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4EFCA" w14:textId="1B769DF3" w:rsidR="004A5665" w:rsidRPr="004D32B6" w:rsidRDefault="004A5665" w:rsidP="00312372">
      <w:pPr>
        <w:pStyle w:val="CreativeCommonsNormal"/>
        <w:spacing w:before="0" w:after="0"/>
      </w:pPr>
      <w:bookmarkStart w:id="0" w:name="_Toc100752516"/>
      <w:bookmarkStart w:id="1" w:name="_Toc101281541"/>
      <w:r w:rsidRPr="004D32B6">
        <w:rPr>
          <w:rStyle w:val="Heading2Char"/>
        </w:rPr>
        <w:t>Fiscal outlook</w:t>
      </w:r>
      <w:bookmarkEnd w:id="0"/>
      <w:bookmarkEnd w:id="1"/>
    </w:p>
    <w:p w14:paraId="745B2DA7" w14:textId="010C2E49" w:rsidR="007B3C8C" w:rsidRPr="004D32B6" w:rsidRDefault="007B3C8C" w:rsidP="007B3C8C">
      <w:r w:rsidRPr="004D32B6">
        <w:t xml:space="preserve">The fiscal outlook has not materially changed since the publication of the </w:t>
      </w:r>
      <w:r w:rsidR="007A6B9C" w:rsidRPr="004D32B6">
        <w:t>2025</w:t>
      </w:r>
      <w:r w:rsidR="002F0971" w:rsidRPr="004D32B6">
        <w:t>–</w:t>
      </w:r>
      <w:r w:rsidR="007A6B9C" w:rsidRPr="004D32B6">
        <w:t>26</w:t>
      </w:r>
      <w:r w:rsidR="00B44CC9" w:rsidRPr="004D32B6">
        <w:t xml:space="preserve"> </w:t>
      </w:r>
      <w:r w:rsidR="007A6B9C" w:rsidRPr="004D32B6">
        <w:t>Budget.</w:t>
      </w:r>
    </w:p>
    <w:p w14:paraId="68F34E2F" w14:textId="1C8892AC" w:rsidR="007B3C8C" w:rsidRPr="004D32B6" w:rsidRDefault="007B3C8C" w:rsidP="007B3C8C">
      <w:r w:rsidRPr="004D32B6">
        <w:t>The underlying cash balance is expected to be a deficit of</w:t>
      </w:r>
      <w:r w:rsidR="00A22345" w:rsidRPr="004D32B6">
        <w:t xml:space="preserve"> $2</w:t>
      </w:r>
      <w:r w:rsidR="00E666AA" w:rsidRPr="004D32B6">
        <w:t>7</w:t>
      </w:r>
      <w:r w:rsidR="00A22345" w:rsidRPr="004D32B6">
        <w:t>.</w:t>
      </w:r>
      <w:r w:rsidR="00AD7073" w:rsidRPr="004D32B6">
        <w:t>9</w:t>
      </w:r>
      <w:r w:rsidR="00B44CC9" w:rsidRPr="004D32B6">
        <w:t xml:space="preserve"> </w:t>
      </w:r>
      <w:r w:rsidR="00A22345" w:rsidRPr="004D32B6">
        <w:t>billion (</w:t>
      </w:r>
      <w:r w:rsidR="005A142F" w:rsidRPr="004D32B6">
        <w:t>1.0</w:t>
      </w:r>
      <w:r w:rsidR="00B44CC9" w:rsidRPr="004D32B6">
        <w:t xml:space="preserve"> </w:t>
      </w:r>
      <w:r w:rsidR="00A22345" w:rsidRPr="004D32B6">
        <w:t>per</w:t>
      </w:r>
      <w:r w:rsidR="00B44CC9" w:rsidRPr="004D32B6">
        <w:t xml:space="preserve"> </w:t>
      </w:r>
      <w:r w:rsidR="00A22345" w:rsidRPr="004D32B6">
        <w:t>cent of GDP) in 2024</w:t>
      </w:r>
      <w:r w:rsidR="00D8359A" w:rsidRPr="004D32B6">
        <w:t>–</w:t>
      </w:r>
      <w:r w:rsidR="00A22345" w:rsidRPr="004D32B6">
        <w:t>25 and</w:t>
      </w:r>
      <w:r w:rsidRPr="004D32B6">
        <w:t xml:space="preserve"> </w:t>
      </w:r>
      <w:r w:rsidR="0083672A" w:rsidRPr="004D32B6">
        <w:t>$</w:t>
      </w:r>
      <w:r w:rsidR="005820AC" w:rsidRPr="004D32B6">
        <w:t>42</w:t>
      </w:r>
      <w:r w:rsidR="00E67F73" w:rsidRPr="004D32B6">
        <w:t>.</w:t>
      </w:r>
      <w:r w:rsidR="0064134A" w:rsidRPr="004D32B6">
        <w:t>2</w:t>
      </w:r>
      <w:r w:rsidR="00B44CC9" w:rsidRPr="004D32B6">
        <w:t xml:space="preserve"> </w:t>
      </w:r>
      <w:r w:rsidRPr="004D32B6">
        <w:t>billion (</w:t>
      </w:r>
      <w:r w:rsidR="005820AC" w:rsidRPr="004D32B6">
        <w:t>1.5</w:t>
      </w:r>
      <w:r w:rsidR="00B44CC9" w:rsidRPr="004D32B6">
        <w:t xml:space="preserve"> </w:t>
      </w:r>
      <w:r w:rsidRPr="004D32B6">
        <w:t>per</w:t>
      </w:r>
      <w:r w:rsidR="00B44CC9" w:rsidRPr="004D32B6">
        <w:t xml:space="preserve"> </w:t>
      </w:r>
      <w:r w:rsidRPr="004D32B6">
        <w:t>cent</w:t>
      </w:r>
      <w:r w:rsidR="002F0971" w:rsidRPr="004D32B6">
        <w:t xml:space="preserve"> </w:t>
      </w:r>
      <w:r w:rsidRPr="004D32B6">
        <w:t>of</w:t>
      </w:r>
      <w:r w:rsidR="002F0971" w:rsidRPr="004D32B6">
        <w:t xml:space="preserve"> </w:t>
      </w:r>
      <w:r w:rsidRPr="004D32B6">
        <w:t xml:space="preserve">GDP) in </w:t>
      </w:r>
      <w:r w:rsidR="00E67F73" w:rsidRPr="004D32B6">
        <w:t>2025–26</w:t>
      </w:r>
      <w:r w:rsidR="00B8438D" w:rsidRPr="004D32B6">
        <w:t>.</w:t>
      </w:r>
    </w:p>
    <w:p w14:paraId="762024EB" w14:textId="230CCBC7" w:rsidR="0085313A" w:rsidRDefault="007B3C8C" w:rsidP="005859DA">
      <w:r w:rsidRPr="004D32B6">
        <w:t xml:space="preserve">Table </w:t>
      </w:r>
      <w:r w:rsidR="008954D1" w:rsidRPr="004D32B6">
        <w:t xml:space="preserve">3 </w:t>
      </w:r>
      <w:r w:rsidRPr="004D32B6">
        <w:t xml:space="preserve">provides estimates of key fiscal aggregates. </w:t>
      </w:r>
    </w:p>
    <w:p w14:paraId="266EF983" w14:textId="304A0774" w:rsidR="001E56D6" w:rsidRDefault="0045466D" w:rsidP="001E56D6">
      <w:pPr>
        <w:pStyle w:val="TableHeading"/>
        <w:rPr>
          <w:rFonts w:asciiTheme="minorHAnsi" w:eastAsiaTheme="minorHAnsi" w:hAnsiTheme="minorHAnsi" w:cstheme="minorBidi"/>
          <w:sz w:val="22"/>
          <w:szCs w:val="22"/>
          <w:lang w:eastAsia="en-US"/>
        </w:rPr>
      </w:pPr>
      <w:r w:rsidRPr="004D32B6">
        <w:rPr>
          <w:szCs w:val="24"/>
        </w:rPr>
        <w:t>Table </w:t>
      </w:r>
      <w:r w:rsidR="008954D1" w:rsidRPr="004D32B6">
        <w:rPr>
          <w:szCs w:val="24"/>
        </w:rPr>
        <w:t>3</w:t>
      </w:r>
      <w:r w:rsidRPr="004D32B6">
        <w:rPr>
          <w:szCs w:val="24"/>
        </w:rPr>
        <w:t>: Australian Government general government sector budget aggregates</w:t>
      </w:r>
      <w:bookmarkStart w:id="2" w:name="_1804936321"/>
      <w:bookmarkStart w:id="3" w:name="_1804924320"/>
      <w:bookmarkEnd w:id="2"/>
      <w:bookmarkEnd w:id="3"/>
      <w:r w:rsidR="00110D1D" w:rsidRPr="004D32B6">
        <w:rPr>
          <w:szCs w:val="24"/>
        </w:rPr>
        <w:t xml:space="preserve"> </w:t>
      </w:r>
      <w:bookmarkStart w:id="4" w:name="_1805267044"/>
      <w:bookmarkStart w:id="5" w:name="_1805271547"/>
      <w:bookmarkStart w:id="6" w:name="_1805266085"/>
      <w:bookmarkStart w:id="7" w:name="_1805266171"/>
      <w:bookmarkEnd w:id="4"/>
      <w:bookmarkEnd w:id="5"/>
      <w:bookmarkEnd w:id="6"/>
      <w:bookmarkEnd w:id="7"/>
    </w:p>
    <w:tbl>
      <w:tblPr>
        <w:tblW w:w="5000" w:type="pct"/>
        <w:tblCellMar>
          <w:left w:w="0" w:type="dxa"/>
          <w:right w:w="28" w:type="dxa"/>
        </w:tblCellMar>
        <w:tblLook w:val="04A0" w:firstRow="1" w:lastRow="0" w:firstColumn="1" w:lastColumn="0" w:noHBand="0" w:noVBand="1"/>
      </w:tblPr>
      <w:tblGrid>
        <w:gridCol w:w="2394"/>
        <w:gridCol w:w="700"/>
        <w:gridCol w:w="700"/>
        <w:gridCol w:w="700"/>
        <w:gridCol w:w="700"/>
        <w:gridCol w:w="700"/>
        <w:gridCol w:w="105"/>
        <w:gridCol w:w="712"/>
        <w:gridCol w:w="125"/>
        <w:gridCol w:w="874"/>
      </w:tblGrid>
      <w:tr w:rsidR="001E56D6" w:rsidRPr="001E56D6" w14:paraId="79A3374D" w14:textId="77777777" w:rsidTr="001E56D6">
        <w:trPr>
          <w:trHeight w:hRule="exact" w:val="225"/>
        </w:trPr>
        <w:tc>
          <w:tcPr>
            <w:tcW w:w="1552" w:type="pct"/>
            <w:tcBorders>
              <w:top w:val="single" w:sz="4" w:space="0" w:color="293F5B"/>
              <w:left w:val="nil"/>
              <w:bottom w:val="nil"/>
              <w:right w:val="nil"/>
            </w:tcBorders>
            <w:shd w:val="clear" w:color="000000" w:fill="FFFFFF"/>
            <w:noWrap/>
            <w:vAlign w:val="center"/>
            <w:hideMark/>
          </w:tcPr>
          <w:p w14:paraId="2DBD6E56" w14:textId="1598EAA8"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2269" w:type="pct"/>
            <w:gridSpan w:val="5"/>
            <w:tcBorders>
              <w:top w:val="single" w:sz="4" w:space="0" w:color="293F5B"/>
              <w:left w:val="nil"/>
              <w:bottom w:val="single" w:sz="4" w:space="0" w:color="293F5B"/>
              <w:right w:val="nil"/>
            </w:tcBorders>
            <w:shd w:val="clear" w:color="000000" w:fill="FFFFFF"/>
            <w:noWrap/>
            <w:vAlign w:val="center"/>
            <w:hideMark/>
          </w:tcPr>
          <w:p w14:paraId="573EACC9" w14:textId="77777777" w:rsidR="001E56D6" w:rsidRPr="001E56D6" w:rsidRDefault="001E56D6" w:rsidP="001E56D6">
            <w:pPr>
              <w:spacing w:before="0" w:after="0" w:line="240" w:lineRule="auto"/>
              <w:jc w:val="center"/>
              <w:rPr>
                <w:rFonts w:ascii="Arial" w:hAnsi="Arial" w:cs="Arial"/>
                <w:color w:val="000000"/>
                <w:sz w:val="16"/>
                <w:szCs w:val="16"/>
              </w:rPr>
            </w:pPr>
            <w:r w:rsidRPr="001E56D6">
              <w:rPr>
                <w:rFonts w:ascii="Arial" w:hAnsi="Arial" w:cs="Arial"/>
                <w:color w:val="000000"/>
                <w:sz w:val="16"/>
                <w:szCs w:val="16"/>
              </w:rPr>
              <w:t>Estimates</w:t>
            </w:r>
          </w:p>
        </w:tc>
        <w:tc>
          <w:tcPr>
            <w:tcW w:w="68" w:type="pct"/>
            <w:tcBorders>
              <w:top w:val="single" w:sz="4" w:space="0" w:color="293F5B"/>
              <w:left w:val="nil"/>
              <w:bottom w:val="nil"/>
              <w:right w:val="nil"/>
            </w:tcBorders>
            <w:shd w:val="clear" w:color="000000" w:fill="FFFFFF"/>
            <w:noWrap/>
            <w:vAlign w:val="center"/>
            <w:hideMark/>
          </w:tcPr>
          <w:p w14:paraId="1A77892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62" w:type="pct"/>
            <w:tcBorders>
              <w:top w:val="single" w:sz="4" w:space="0" w:color="293F5B"/>
              <w:left w:val="nil"/>
              <w:bottom w:val="nil"/>
              <w:right w:val="nil"/>
            </w:tcBorders>
            <w:shd w:val="clear" w:color="000000" w:fill="FFFFFF"/>
            <w:noWrap/>
            <w:vAlign w:val="center"/>
            <w:hideMark/>
          </w:tcPr>
          <w:p w14:paraId="76D5EA8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81" w:type="pct"/>
            <w:tcBorders>
              <w:top w:val="single" w:sz="4" w:space="0" w:color="293F5B"/>
              <w:left w:val="nil"/>
              <w:bottom w:val="nil"/>
              <w:right w:val="nil"/>
            </w:tcBorders>
            <w:shd w:val="clear" w:color="000000" w:fill="FFFFFF"/>
            <w:noWrap/>
            <w:vAlign w:val="center"/>
            <w:hideMark/>
          </w:tcPr>
          <w:p w14:paraId="0793D1F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567" w:type="pct"/>
            <w:tcBorders>
              <w:top w:val="single" w:sz="4" w:space="0" w:color="293F5B"/>
              <w:left w:val="nil"/>
              <w:bottom w:val="nil"/>
              <w:right w:val="nil"/>
            </w:tcBorders>
            <w:shd w:val="clear" w:color="000000" w:fill="FFFFFF"/>
            <w:noWrap/>
            <w:vAlign w:val="center"/>
            <w:hideMark/>
          </w:tcPr>
          <w:p w14:paraId="4CEB4AD9"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Projections</w:t>
            </w:r>
          </w:p>
        </w:tc>
      </w:tr>
      <w:tr w:rsidR="001E56D6" w:rsidRPr="001E56D6" w14:paraId="1BBB444F"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58D8853"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1B39BAA" w14:textId="688F650C"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2024</w:t>
            </w:r>
            <w:r w:rsidR="00993DA1">
              <w:rPr>
                <w:rFonts w:ascii="Arial" w:hAnsi="Arial" w:cs="Arial"/>
                <w:color w:val="000000"/>
                <w:sz w:val="16"/>
                <w:szCs w:val="16"/>
              </w:rPr>
              <w:noBreakHyphen/>
            </w:r>
            <w:r w:rsidRPr="001E56D6">
              <w:rPr>
                <w:rFonts w:ascii="Arial" w:hAnsi="Arial" w:cs="Arial"/>
                <w:color w:val="000000"/>
                <w:sz w:val="16"/>
                <w:szCs w:val="16"/>
              </w:rPr>
              <w:t>25</w:t>
            </w:r>
          </w:p>
        </w:tc>
        <w:tc>
          <w:tcPr>
            <w:tcW w:w="454" w:type="pct"/>
            <w:tcBorders>
              <w:top w:val="nil"/>
              <w:left w:val="nil"/>
              <w:bottom w:val="nil"/>
              <w:right w:val="nil"/>
            </w:tcBorders>
            <w:shd w:val="clear" w:color="000000" w:fill="E6F2FF"/>
            <w:noWrap/>
            <w:vAlign w:val="center"/>
            <w:hideMark/>
          </w:tcPr>
          <w:p w14:paraId="0267957D" w14:textId="6DF5886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2025</w:t>
            </w:r>
            <w:r w:rsidR="00993DA1">
              <w:rPr>
                <w:rFonts w:ascii="Arial" w:hAnsi="Arial" w:cs="Arial"/>
                <w:color w:val="000000"/>
                <w:sz w:val="16"/>
                <w:szCs w:val="16"/>
              </w:rPr>
              <w:noBreakHyphen/>
            </w:r>
            <w:r w:rsidRPr="001E56D6">
              <w:rPr>
                <w:rFonts w:ascii="Arial" w:hAnsi="Arial" w:cs="Arial"/>
                <w:color w:val="000000"/>
                <w:sz w:val="16"/>
                <w:szCs w:val="16"/>
              </w:rPr>
              <w:t>26</w:t>
            </w:r>
          </w:p>
        </w:tc>
        <w:tc>
          <w:tcPr>
            <w:tcW w:w="454" w:type="pct"/>
            <w:tcBorders>
              <w:top w:val="nil"/>
              <w:left w:val="nil"/>
              <w:bottom w:val="nil"/>
              <w:right w:val="nil"/>
            </w:tcBorders>
            <w:shd w:val="clear" w:color="000000" w:fill="FFFFFF"/>
            <w:noWrap/>
            <w:vAlign w:val="center"/>
            <w:hideMark/>
          </w:tcPr>
          <w:p w14:paraId="5ADE8FE2" w14:textId="3E511576"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2026</w:t>
            </w:r>
            <w:r w:rsidR="00993DA1">
              <w:rPr>
                <w:rFonts w:ascii="Arial" w:hAnsi="Arial" w:cs="Arial"/>
                <w:color w:val="000000"/>
                <w:sz w:val="16"/>
                <w:szCs w:val="16"/>
              </w:rPr>
              <w:noBreakHyphen/>
            </w:r>
            <w:r w:rsidRPr="001E56D6">
              <w:rPr>
                <w:rFonts w:ascii="Arial" w:hAnsi="Arial" w:cs="Arial"/>
                <w:color w:val="000000"/>
                <w:sz w:val="16"/>
                <w:szCs w:val="16"/>
              </w:rPr>
              <w:t>27</w:t>
            </w:r>
          </w:p>
        </w:tc>
        <w:tc>
          <w:tcPr>
            <w:tcW w:w="454" w:type="pct"/>
            <w:tcBorders>
              <w:top w:val="nil"/>
              <w:left w:val="nil"/>
              <w:bottom w:val="nil"/>
              <w:right w:val="nil"/>
            </w:tcBorders>
            <w:shd w:val="clear" w:color="000000" w:fill="FFFFFF"/>
            <w:noWrap/>
            <w:vAlign w:val="center"/>
            <w:hideMark/>
          </w:tcPr>
          <w:p w14:paraId="2742C924" w14:textId="7027329E"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2027</w:t>
            </w:r>
            <w:r w:rsidR="00993DA1">
              <w:rPr>
                <w:rFonts w:ascii="Arial" w:hAnsi="Arial" w:cs="Arial"/>
                <w:color w:val="000000"/>
                <w:sz w:val="16"/>
                <w:szCs w:val="16"/>
              </w:rPr>
              <w:noBreakHyphen/>
            </w:r>
            <w:r w:rsidRPr="001E56D6">
              <w:rPr>
                <w:rFonts w:ascii="Arial" w:hAnsi="Arial" w:cs="Arial"/>
                <w:color w:val="000000"/>
                <w:sz w:val="16"/>
                <w:szCs w:val="16"/>
              </w:rPr>
              <w:t>28</w:t>
            </w:r>
          </w:p>
        </w:tc>
        <w:tc>
          <w:tcPr>
            <w:tcW w:w="454" w:type="pct"/>
            <w:tcBorders>
              <w:top w:val="nil"/>
              <w:left w:val="nil"/>
              <w:bottom w:val="nil"/>
              <w:right w:val="nil"/>
            </w:tcBorders>
            <w:shd w:val="clear" w:color="000000" w:fill="FFFFFF"/>
            <w:noWrap/>
            <w:vAlign w:val="center"/>
            <w:hideMark/>
          </w:tcPr>
          <w:p w14:paraId="482B341B" w14:textId="326B2802"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2028</w:t>
            </w:r>
            <w:r w:rsidR="00993DA1">
              <w:rPr>
                <w:rFonts w:ascii="Arial" w:hAnsi="Arial" w:cs="Arial"/>
                <w:color w:val="000000"/>
                <w:sz w:val="16"/>
                <w:szCs w:val="16"/>
              </w:rPr>
              <w:noBreakHyphen/>
            </w:r>
            <w:r w:rsidRPr="001E56D6">
              <w:rPr>
                <w:rFonts w:ascii="Arial" w:hAnsi="Arial" w:cs="Arial"/>
                <w:color w:val="000000"/>
                <w:sz w:val="16"/>
                <w:szCs w:val="16"/>
              </w:rPr>
              <w:t>29</w:t>
            </w:r>
          </w:p>
        </w:tc>
        <w:tc>
          <w:tcPr>
            <w:tcW w:w="68" w:type="pct"/>
            <w:tcBorders>
              <w:top w:val="nil"/>
              <w:left w:val="nil"/>
              <w:bottom w:val="nil"/>
              <w:right w:val="nil"/>
            </w:tcBorders>
            <w:shd w:val="clear" w:color="000000" w:fill="FFFFFF"/>
            <w:noWrap/>
            <w:vAlign w:val="center"/>
            <w:hideMark/>
          </w:tcPr>
          <w:p w14:paraId="3C7ADB5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single" w:sz="4" w:space="0" w:color="293F5B"/>
              <w:left w:val="nil"/>
              <w:bottom w:val="nil"/>
              <w:right w:val="nil"/>
            </w:tcBorders>
            <w:shd w:val="clear" w:color="000000" w:fill="FFFFFF"/>
            <w:noWrap/>
            <w:vAlign w:val="center"/>
            <w:hideMark/>
          </w:tcPr>
          <w:p w14:paraId="503D187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Total</w:t>
            </w:r>
          </w:p>
        </w:tc>
        <w:tc>
          <w:tcPr>
            <w:tcW w:w="81" w:type="pct"/>
            <w:tcBorders>
              <w:top w:val="nil"/>
              <w:left w:val="nil"/>
              <w:bottom w:val="nil"/>
              <w:right w:val="nil"/>
            </w:tcBorders>
            <w:shd w:val="clear" w:color="000000" w:fill="FFFFFF"/>
            <w:noWrap/>
            <w:vAlign w:val="center"/>
            <w:hideMark/>
          </w:tcPr>
          <w:p w14:paraId="52E00C68"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single" w:sz="4" w:space="0" w:color="293F5B"/>
              <w:left w:val="nil"/>
              <w:bottom w:val="nil"/>
              <w:right w:val="nil"/>
            </w:tcBorders>
            <w:shd w:val="clear" w:color="000000" w:fill="FFFFFF"/>
            <w:noWrap/>
            <w:vAlign w:val="center"/>
            <w:hideMark/>
          </w:tcPr>
          <w:p w14:paraId="7848CBB1" w14:textId="6C37EDDB"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2035</w:t>
            </w:r>
            <w:r w:rsidR="00993DA1" w:rsidRPr="004D32B6">
              <w:rPr>
                <w:rFonts w:ascii="Arial" w:hAnsi="Arial" w:cs="Arial"/>
                <w:sz w:val="16"/>
                <w:szCs w:val="16"/>
              </w:rPr>
              <w:noBreakHyphen/>
            </w:r>
            <w:r w:rsidRPr="004D32B6">
              <w:rPr>
                <w:rFonts w:ascii="Arial" w:hAnsi="Arial" w:cs="Arial"/>
                <w:sz w:val="16"/>
                <w:szCs w:val="16"/>
              </w:rPr>
              <w:t>36</w:t>
            </w:r>
          </w:p>
        </w:tc>
      </w:tr>
      <w:tr w:rsidR="001E56D6" w:rsidRPr="001E56D6" w14:paraId="77227FE3"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A3839AD"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single" w:sz="4" w:space="0" w:color="293F5B"/>
              <w:right w:val="nil"/>
            </w:tcBorders>
            <w:shd w:val="clear" w:color="000000" w:fill="FFFFFF"/>
            <w:noWrap/>
            <w:vAlign w:val="center"/>
            <w:hideMark/>
          </w:tcPr>
          <w:p w14:paraId="5A099DC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E6F2FF"/>
            <w:noWrap/>
            <w:vAlign w:val="center"/>
            <w:hideMark/>
          </w:tcPr>
          <w:p w14:paraId="3DF6C5E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3F138E0E"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6C3D861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454" w:type="pct"/>
            <w:tcBorders>
              <w:top w:val="nil"/>
              <w:left w:val="nil"/>
              <w:bottom w:val="single" w:sz="4" w:space="0" w:color="293F5B"/>
              <w:right w:val="nil"/>
            </w:tcBorders>
            <w:shd w:val="clear" w:color="000000" w:fill="FFFFFF"/>
            <w:noWrap/>
            <w:vAlign w:val="center"/>
            <w:hideMark/>
          </w:tcPr>
          <w:p w14:paraId="0F4D82B0"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68" w:type="pct"/>
            <w:tcBorders>
              <w:top w:val="nil"/>
              <w:left w:val="nil"/>
              <w:bottom w:val="nil"/>
              <w:right w:val="nil"/>
            </w:tcBorders>
            <w:shd w:val="clear" w:color="000000" w:fill="FFFFFF"/>
            <w:noWrap/>
            <w:vAlign w:val="center"/>
            <w:hideMark/>
          </w:tcPr>
          <w:p w14:paraId="2B9B501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single" w:sz="4" w:space="0" w:color="293F5B"/>
              <w:right w:val="nil"/>
            </w:tcBorders>
            <w:shd w:val="clear" w:color="000000" w:fill="FFFFFF"/>
            <w:noWrap/>
            <w:vAlign w:val="center"/>
            <w:hideMark/>
          </w:tcPr>
          <w:p w14:paraId="005D288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$b</w:t>
            </w:r>
          </w:p>
        </w:tc>
        <w:tc>
          <w:tcPr>
            <w:tcW w:w="81" w:type="pct"/>
            <w:tcBorders>
              <w:top w:val="nil"/>
              <w:left w:val="nil"/>
              <w:bottom w:val="nil"/>
              <w:right w:val="nil"/>
            </w:tcBorders>
            <w:shd w:val="clear" w:color="000000" w:fill="FFFFFF"/>
            <w:noWrap/>
            <w:vAlign w:val="center"/>
            <w:hideMark/>
          </w:tcPr>
          <w:p w14:paraId="10E87B2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single" w:sz="4" w:space="0" w:color="293F5B"/>
              <w:right w:val="nil"/>
            </w:tcBorders>
            <w:shd w:val="clear" w:color="000000" w:fill="FFFFFF"/>
            <w:noWrap/>
            <w:vAlign w:val="center"/>
            <w:hideMark/>
          </w:tcPr>
          <w:p w14:paraId="41C9D5F9"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of GDP</w:t>
            </w:r>
          </w:p>
        </w:tc>
      </w:tr>
      <w:tr w:rsidR="001E56D6" w:rsidRPr="001E56D6" w14:paraId="7288DDC0"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1910FFE" w14:textId="77777777" w:rsidR="001E56D6" w:rsidRPr="001E56D6" w:rsidRDefault="001E56D6" w:rsidP="001E56D6">
            <w:pPr>
              <w:spacing w:before="0" w:after="0" w:line="240" w:lineRule="auto"/>
              <w:rPr>
                <w:rFonts w:ascii="Arial" w:hAnsi="Arial" w:cs="Arial"/>
                <w:b/>
                <w:bCs/>
                <w:sz w:val="16"/>
                <w:szCs w:val="16"/>
              </w:rPr>
            </w:pPr>
            <w:r w:rsidRPr="001E56D6">
              <w:rPr>
                <w:rFonts w:ascii="Arial" w:hAnsi="Arial" w:cs="Arial"/>
                <w:b/>
                <w:bCs/>
                <w:sz w:val="16"/>
                <w:szCs w:val="16"/>
              </w:rPr>
              <w:t>Underlying cash balance</w:t>
            </w:r>
          </w:p>
        </w:tc>
        <w:tc>
          <w:tcPr>
            <w:tcW w:w="454" w:type="pct"/>
            <w:tcBorders>
              <w:top w:val="nil"/>
              <w:left w:val="nil"/>
              <w:bottom w:val="nil"/>
              <w:right w:val="nil"/>
            </w:tcBorders>
            <w:shd w:val="clear" w:color="000000" w:fill="FFFFFF"/>
            <w:noWrap/>
            <w:vAlign w:val="center"/>
            <w:hideMark/>
          </w:tcPr>
          <w:p w14:paraId="351F45BC" w14:textId="5A1F0A62"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27.9</w:t>
            </w:r>
          </w:p>
        </w:tc>
        <w:tc>
          <w:tcPr>
            <w:tcW w:w="454" w:type="pct"/>
            <w:tcBorders>
              <w:top w:val="nil"/>
              <w:left w:val="nil"/>
              <w:bottom w:val="nil"/>
              <w:right w:val="nil"/>
            </w:tcBorders>
            <w:shd w:val="clear" w:color="000000" w:fill="E6F2FF"/>
            <w:noWrap/>
            <w:vAlign w:val="center"/>
            <w:hideMark/>
          </w:tcPr>
          <w:p w14:paraId="0BC31B90" w14:textId="31D2CA92"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42.2</w:t>
            </w:r>
          </w:p>
        </w:tc>
        <w:tc>
          <w:tcPr>
            <w:tcW w:w="454" w:type="pct"/>
            <w:tcBorders>
              <w:top w:val="nil"/>
              <w:left w:val="nil"/>
              <w:bottom w:val="nil"/>
              <w:right w:val="nil"/>
            </w:tcBorders>
            <w:shd w:val="clear" w:color="000000" w:fill="FFFFFF"/>
            <w:noWrap/>
            <w:vAlign w:val="center"/>
            <w:hideMark/>
          </w:tcPr>
          <w:p w14:paraId="57050F42" w14:textId="111F0005"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35.4</w:t>
            </w:r>
          </w:p>
        </w:tc>
        <w:tc>
          <w:tcPr>
            <w:tcW w:w="454" w:type="pct"/>
            <w:tcBorders>
              <w:top w:val="nil"/>
              <w:left w:val="nil"/>
              <w:bottom w:val="nil"/>
              <w:right w:val="nil"/>
            </w:tcBorders>
            <w:shd w:val="clear" w:color="000000" w:fill="FFFFFF"/>
            <w:noWrap/>
            <w:vAlign w:val="center"/>
            <w:hideMark/>
          </w:tcPr>
          <w:p w14:paraId="7827320C" w14:textId="4138E35E"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37.1</w:t>
            </w:r>
          </w:p>
        </w:tc>
        <w:tc>
          <w:tcPr>
            <w:tcW w:w="454" w:type="pct"/>
            <w:tcBorders>
              <w:top w:val="nil"/>
              <w:left w:val="nil"/>
              <w:bottom w:val="nil"/>
              <w:right w:val="nil"/>
            </w:tcBorders>
            <w:shd w:val="clear" w:color="000000" w:fill="FFFFFF"/>
            <w:noWrap/>
            <w:vAlign w:val="center"/>
            <w:hideMark/>
          </w:tcPr>
          <w:p w14:paraId="12B8016E" w14:textId="06A83EB9" w:rsidR="001E56D6" w:rsidRPr="001E56D6" w:rsidRDefault="00993DA1" w:rsidP="001E56D6">
            <w:pPr>
              <w:spacing w:before="0" w:after="0" w:line="240" w:lineRule="auto"/>
              <w:jc w:val="right"/>
              <w:rPr>
                <w:rFonts w:ascii="Arial" w:hAnsi="Arial" w:cs="Arial"/>
                <w:b/>
                <w:bCs/>
                <w:sz w:val="16"/>
                <w:szCs w:val="16"/>
              </w:rPr>
            </w:pPr>
            <w:r>
              <w:rPr>
                <w:rFonts w:ascii="Arial" w:hAnsi="Arial" w:cs="Arial"/>
                <w:b/>
                <w:bCs/>
                <w:sz w:val="16"/>
                <w:szCs w:val="16"/>
              </w:rPr>
              <w:noBreakHyphen/>
            </w:r>
            <w:r w:rsidR="001E56D6" w:rsidRPr="001E56D6">
              <w:rPr>
                <w:rFonts w:ascii="Arial" w:hAnsi="Arial" w:cs="Arial"/>
                <w:b/>
                <w:bCs/>
                <w:sz w:val="16"/>
                <w:szCs w:val="16"/>
              </w:rPr>
              <w:t>37.0</w:t>
            </w:r>
          </w:p>
        </w:tc>
        <w:tc>
          <w:tcPr>
            <w:tcW w:w="68" w:type="pct"/>
            <w:tcBorders>
              <w:top w:val="nil"/>
              <w:left w:val="nil"/>
              <w:bottom w:val="nil"/>
              <w:right w:val="nil"/>
            </w:tcBorders>
            <w:shd w:val="clear" w:color="000000" w:fill="FFFFFF"/>
            <w:noWrap/>
            <w:vAlign w:val="center"/>
            <w:hideMark/>
          </w:tcPr>
          <w:p w14:paraId="381B913C"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462" w:type="pct"/>
            <w:tcBorders>
              <w:top w:val="nil"/>
              <w:left w:val="nil"/>
              <w:bottom w:val="nil"/>
              <w:right w:val="nil"/>
            </w:tcBorders>
            <w:shd w:val="clear" w:color="000000" w:fill="FFFFFF"/>
            <w:noWrap/>
            <w:vAlign w:val="center"/>
            <w:hideMark/>
          </w:tcPr>
          <w:p w14:paraId="149F6E16" w14:textId="2A893793" w:rsidR="001E56D6" w:rsidRPr="001E56D6" w:rsidRDefault="00993DA1" w:rsidP="001E56D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1E56D6" w:rsidRPr="001E56D6">
              <w:rPr>
                <w:rFonts w:ascii="Arial" w:hAnsi="Arial" w:cs="Arial"/>
                <w:b/>
                <w:bCs/>
                <w:color w:val="000000"/>
                <w:sz w:val="16"/>
                <w:szCs w:val="16"/>
              </w:rPr>
              <w:t>179.5</w:t>
            </w:r>
          </w:p>
        </w:tc>
        <w:tc>
          <w:tcPr>
            <w:tcW w:w="81" w:type="pct"/>
            <w:tcBorders>
              <w:top w:val="nil"/>
              <w:left w:val="nil"/>
              <w:bottom w:val="nil"/>
              <w:right w:val="nil"/>
            </w:tcBorders>
            <w:shd w:val="clear" w:color="000000" w:fill="FFFFFF"/>
            <w:noWrap/>
            <w:vAlign w:val="center"/>
            <w:hideMark/>
          </w:tcPr>
          <w:p w14:paraId="434EF9D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7D286C4"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6A4AF870"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7AFF2B5"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Per cent of GDP</w:t>
            </w:r>
          </w:p>
        </w:tc>
        <w:tc>
          <w:tcPr>
            <w:tcW w:w="454" w:type="pct"/>
            <w:tcBorders>
              <w:top w:val="nil"/>
              <w:left w:val="nil"/>
              <w:bottom w:val="nil"/>
              <w:right w:val="nil"/>
            </w:tcBorders>
            <w:shd w:val="clear" w:color="000000" w:fill="FFFFFF"/>
            <w:noWrap/>
            <w:vAlign w:val="center"/>
            <w:hideMark/>
          </w:tcPr>
          <w:p w14:paraId="03FEC939" w14:textId="600C0D5E"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1.0</w:t>
            </w:r>
          </w:p>
        </w:tc>
        <w:tc>
          <w:tcPr>
            <w:tcW w:w="454" w:type="pct"/>
            <w:tcBorders>
              <w:top w:val="nil"/>
              <w:left w:val="nil"/>
              <w:bottom w:val="nil"/>
              <w:right w:val="nil"/>
            </w:tcBorders>
            <w:shd w:val="clear" w:color="000000" w:fill="E6F2FF"/>
            <w:noWrap/>
            <w:vAlign w:val="center"/>
            <w:hideMark/>
          </w:tcPr>
          <w:p w14:paraId="607A3D69" w14:textId="772E3070"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1.5</w:t>
            </w:r>
          </w:p>
        </w:tc>
        <w:tc>
          <w:tcPr>
            <w:tcW w:w="454" w:type="pct"/>
            <w:tcBorders>
              <w:top w:val="nil"/>
              <w:left w:val="nil"/>
              <w:bottom w:val="nil"/>
              <w:right w:val="nil"/>
            </w:tcBorders>
            <w:shd w:val="clear" w:color="000000" w:fill="FFFFFF"/>
            <w:noWrap/>
            <w:vAlign w:val="center"/>
            <w:hideMark/>
          </w:tcPr>
          <w:p w14:paraId="4C92DDB4" w14:textId="5DE88EA0"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1.2</w:t>
            </w:r>
          </w:p>
        </w:tc>
        <w:tc>
          <w:tcPr>
            <w:tcW w:w="454" w:type="pct"/>
            <w:tcBorders>
              <w:top w:val="nil"/>
              <w:left w:val="nil"/>
              <w:bottom w:val="nil"/>
              <w:right w:val="nil"/>
            </w:tcBorders>
            <w:shd w:val="clear" w:color="000000" w:fill="FFFFFF"/>
            <w:noWrap/>
            <w:vAlign w:val="center"/>
            <w:hideMark/>
          </w:tcPr>
          <w:p w14:paraId="39502632" w14:textId="4EA24B45"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1.2</w:t>
            </w:r>
          </w:p>
        </w:tc>
        <w:tc>
          <w:tcPr>
            <w:tcW w:w="454" w:type="pct"/>
            <w:tcBorders>
              <w:top w:val="nil"/>
              <w:left w:val="nil"/>
              <w:bottom w:val="nil"/>
              <w:right w:val="nil"/>
            </w:tcBorders>
            <w:shd w:val="clear" w:color="000000" w:fill="FFFFFF"/>
            <w:noWrap/>
            <w:vAlign w:val="center"/>
            <w:hideMark/>
          </w:tcPr>
          <w:p w14:paraId="52D623E7" w14:textId="69F1ED25" w:rsidR="001E56D6" w:rsidRPr="001E56D6" w:rsidRDefault="00993DA1" w:rsidP="001E56D6">
            <w:pPr>
              <w:spacing w:before="0" w:after="0" w:line="240" w:lineRule="auto"/>
              <w:jc w:val="right"/>
              <w:rPr>
                <w:rFonts w:ascii="Arial" w:hAnsi="Arial" w:cs="Arial"/>
                <w:sz w:val="16"/>
                <w:szCs w:val="16"/>
              </w:rPr>
            </w:pPr>
            <w:r>
              <w:rPr>
                <w:rFonts w:ascii="Arial" w:hAnsi="Arial" w:cs="Arial"/>
                <w:sz w:val="16"/>
                <w:szCs w:val="16"/>
              </w:rPr>
              <w:noBreakHyphen/>
            </w:r>
            <w:r w:rsidR="001E56D6" w:rsidRPr="001E56D6">
              <w:rPr>
                <w:rFonts w:ascii="Arial" w:hAnsi="Arial" w:cs="Arial"/>
                <w:sz w:val="16"/>
                <w:szCs w:val="16"/>
              </w:rPr>
              <w:t>1.1</w:t>
            </w:r>
          </w:p>
        </w:tc>
        <w:tc>
          <w:tcPr>
            <w:tcW w:w="68" w:type="pct"/>
            <w:tcBorders>
              <w:top w:val="nil"/>
              <w:left w:val="nil"/>
              <w:bottom w:val="nil"/>
              <w:right w:val="nil"/>
            </w:tcBorders>
            <w:shd w:val="clear" w:color="000000" w:fill="FFFFFF"/>
            <w:noWrap/>
            <w:vAlign w:val="center"/>
            <w:hideMark/>
          </w:tcPr>
          <w:p w14:paraId="7C2C49A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A128BB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4486FC0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097F0E0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0.0</w:t>
            </w:r>
          </w:p>
        </w:tc>
      </w:tr>
      <w:tr w:rsidR="001E56D6" w:rsidRPr="001E56D6" w14:paraId="11D4C28D"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5929DA38"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5A5880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2A5FA39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214DE02"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6595C4F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DB3556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23E070C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7452DDF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A19AFC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67A6DD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6684702C"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2A384EDA"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Receipts</w:t>
            </w:r>
          </w:p>
        </w:tc>
        <w:tc>
          <w:tcPr>
            <w:tcW w:w="454" w:type="pct"/>
            <w:tcBorders>
              <w:top w:val="nil"/>
              <w:left w:val="nil"/>
              <w:bottom w:val="nil"/>
              <w:right w:val="nil"/>
            </w:tcBorders>
            <w:shd w:val="clear" w:color="000000" w:fill="FFFFFF"/>
            <w:noWrap/>
            <w:vAlign w:val="center"/>
            <w:hideMark/>
          </w:tcPr>
          <w:p w14:paraId="4D35BA71"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703.9</w:t>
            </w:r>
          </w:p>
        </w:tc>
        <w:tc>
          <w:tcPr>
            <w:tcW w:w="454" w:type="pct"/>
            <w:tcBorders>
              <w:top w:val="nil"/>
              <w:left w:val="nil"/>
              <w:bottom w:val="nil"/>
              <w:right w:val="nil"/>
            </w:tcBorders>
            <w:shd w:val="clear" w:color="000000" w:fill="E6F2FF"/>
            <w:noWrap/>
            <w:vAlign w:val="center"/>
            <w:hideMark/>
          </w:tcPr>
          <w:p w14:paraId="213E523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735.4</w:t>
            </w:r>
          </w:p>
        </w:tc>
        <w:tc>
          <w:tcPr>
            <w:tcW w:w="454" w:type="pct"/>
            <w:tcBorders>
              <w:top w:val="nil"/>
              <w:left w:val="nil"/>
              <w:bottom w:val="nil"/>
              <w:right w:val="nil"/>
            </w:tcBorders>
            <w:shd w:val="clear" w:color="000000" w:fill="FFFFFF"/>
            <w:noWrap/>
            <w:vAlign w:val="center"/>
            <w:hideMark/>
          </w:tcPr>
          <w:p w14:paraId="6EE43D8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766.0</w:t>
            </w:r>
          </w:p>
        </w:tc>
        <w:tc>
          <w:tcPr>
            <w:tcW w:w="454" w:type="pct"/>
            <w:tcBorders>
              <w:top w:val="nil"/>
              <w:left w:val="nil"/>
              <w:bottom w:val="nil"/>
              <w:right w:val="nil"/>
            </w:tcBorders>
            <w:shd w:val="clear" w:color="000000" w:fill="FFFFFF"/>
            <w:noWrap/>
            <w:vAlign w:val="center"/>
            <w:hideMark/>
          </w:tcPr>
          <w:p w14:paraId="4518429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797.4</w:t>
            </w:r>
          </w:p>
        </w:tc>
        <w:tc>
          <w:tcPr>
            <w:tcW w:w="454" w:type="pct"/>
            <w:tcBorders>
              <w:top w:val="nil"/>
              <w:left w:val="nil"/>
              <w:bottom w:val="nil"/>
              <w:right w:val="nil"/>
            </w:tcBorders>
            <w:shd w:val="clear" w:color="000000" w:fill="FFFFFF"/>
            <w:noWrap/>
            <w:vAlign w:val="center"/>
            <w:hideMark/>
          </w:tcPr>
          <w:p w14:paraId="4EBECA9B"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840.8</w:t>
            </w:r>
          </w:p>
        </w:tc>
        <w:tc>
          <w:tcPr>
            <w:tcW w:w="68" w:type="pct"/>
            <w:tcBorders>
              <w:top w:val="nil"/>
              <w:left w:val="nil"/>
              <w:bottom w:val="nil"/>
              <w:right w:val="nil"/>
            </w:tcBorders>
            <w:shd w:val="clear" w:color="000000" w:fill="FFFFFF"/>
            <w:noWrap/>
            <w:vAlign w:val="center"/>
            <w:hideMark/>
          </w:tcPr>
          <w:p w14:paraId="086F87E9"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39BDA2D4"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3,843.5</w:t>
            </w:r>
          </w:p>
        </w:tc>
        <w:tc>
          <w:tcPr>
            <w:tcW w:w="81" w:type="pct"/>
            <w:tcBorders>
              <w:top w:val="nil"/>
              <w:left w:val="nil"/>
              <w:bottom w:val="nil"/>
              <w:right w:val="nil"/>
            </w:tcBorders>
            <w:shd w:val="clear" w:color="000000" w:fill="FFFFFF"/>
            <w:noWrap/>
            <w:vAlign w:val="center"/>
            <w:hideMark/>
          </w:tcPr>
          <w:p w14:paraId="3B1C66C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BA07A66"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02ACA7FB"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1D02F04"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2AA8569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454" w:type="pct"/>
            <w:tcBorders>
              <w:top w:val="nil"/>
              <w:left w:val="nil"/>
              <w:bottom w:val="nil"/>
              <w:right w:val="nil"/>
            </w:tcBorders>
            <w:shd w:val="clear" w:color="000000" w:fill="E6F2FF"/>
            <w:noWrap/>
            <w:vAlign w:val="center"/>
            <w:hideMark/>
          </w:tcPr>
          <w:p w14:paraId="170DAF4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25.5</w:t>
            </w:r>
          </w:p>
        </w:tc>
        <w:tc>
          <w:tcPr>
            <w:tcW w:w="454" w:type="pct"/>
            <w:tcBorders>
              <w:top w:val="nil"/>
              <w:left w:val="nil"/>
              <w:bottom w:val="nil"/>
              <w:right w:val="nil"/>
            </w:tcBorders>
            <w:shd w:val="clear" w:color="000000" w:fill="FFFFFF"/>
            <w:noWrap/>
            <w:vAlign w:val="center"/>
            <w:hideMark/>
          </w:tcPr>
          <w:p w14:paraId="030AF76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25.6</w:t>
            </w:r>
          </w:p>
        </w:tc>
        <w:tc>
          <w:tcPr>
            <w:tcW w:w="454" w:type="pct"/>
            <w:tcBorders>
              <w:top w:val="nil"/>
              <w:left w:val="nil"/>
              <w:bottom w:val="nil"/>
              <w:right w:val="nil"/>
            </w:tcBorders>
            <w:shd w:val="clear" w:color="000000" w:fill="FFFFFF"/>
            <w:noWrap/>
            <w:vAlign w:val="center"/>
            <w:hideMark/>
          </w:tcPr>
          <w:p w14:paraId="56C25A33"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454" w:type="pct"/>
            <w:tcBorders>
              <w:top w:val="nil"/>
              <w:left w:val="nil"/>
              <w:bottom w:val="nil"/>
              <w:right w:val="nil"/>
            </w:tcBorders>
            <w:shd w:val="clear" w:color="000000" w:fill="FFFFFF"/>
            <w:noWrap/>
            <w:vAlign w:val="center"/>
            <w:hideMark/>
          </w:tcPr>
          <w:p w14:paraId="790B355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25.3</w:t>
            </w:r>
          </w:p>
        </w:tc>
        <w:tc>
          <w:tcPr>
            <w:tcW w:w="68" w:type="pct"/>
            <w:tcBorders>
              <w:top w:val="nil"/>
              <w:left w:val="nil"/>
              <w:bottom w:val="nil"/>
              <w:right w:val="nil"/>
            </w:tcBorders>
            <w:shd w:val="clear" w:color="000000" w:fill="FFFFFF"/>
            <w:noWrap/>
            <w:vAlign w:val="center"/>
            <w:hideMark/>
          </w:tcPr>
          <w:p w14:paraId="3E09264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000EB1D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4EC9271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5EEBBF0"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26.8</w:t>
            </w:r>
          </w:p>
        </w:tc>
      </w:tr>
      <w:tr w:rsidR="001E56D6" w:rsidRPr="001E56D6" w14:paraId="03C5DDD3"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4B4E7BB"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B2AB67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50A6F9A7"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30C4504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647F6F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41D9B599"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5818890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404D67D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7496B4CB"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54A2C755"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6C8F302"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58DBA83D" w14:textId="77777777" w:rsidR="001E56D6" w:rsidRPr="001E56D6" w:rsidRDefault="001E56D6" w:rsidP="001E56D6">
            <w:pPr>
              <w:spacing w:before="0" w:after="0" w:line="240" w:lineRule="auto"/>
              <w:ind w:left="170"/>
              <w:rPr>
                <w:rFonts w:ascii="Arial" w:hAnsi="Arial" w:cs="Arial"/>
                <w:b/>
                <w:bCs/>
                <w:color w:val="000000"/>
                <w:sz w:val="16"/>
                <w:szCs w:val="16"/>
              </w:rPr>
            </w:pPr>
            <w:r w:rsidRPr="001E56D6">
              <w:rPr>
                <w:rFonts w:ascii="Arial" w:hAnsi="Arial" w:cs="Arial"/>
                <w:b/>
                <w:bCs/>
                <w:color w:val="000000"/>
                <w:sz w:val="16"/>
                <w:szCs w:val="16"/>
              </w:rPr>
              <w:t>Tax receipts</w:t>
            </w:r>
          </w:p>
        </w:tc>
        <w:tc>
          <w:tcPr>
            <w:tcW w:w="454" w:type="pct"/>
            <w:tcBorders>
              <w:top w:val="nil"/>
              <w:left w:val="nil"/>
              <w:bottom w:val="nil"/>
              <w:right w:val="nil"/>
            </w:tcBorders>
            <w:shd w:val="clear" w:color="000000" w:fill="FFFFFF"/>
            <w:noWrap/>
            <w:vAlign w:val="center"/>
            <w:hideMark/>
          </w:tcPr>
          <w:p w14:paraId="7DD21C0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645.2</w:t>
            </w:r>
          </w:p>
        </w:tc>
        <w:tc>
          <w:tcPr>
            <w:tcW w:w="454" w:type="pct"/>
            <w:tcBorders>
              <w:top w:val="nil"/>
              <w:left w:val="nil"/>
              <w:bottom w:val="nil"/>
              <w:right w:val="nil"/>
            </w:tcBorders>
            <w:shd w:val="clear" w:color="000000" w:fill="E6F2FF"/>
            <w:noWrap/>
            <w:vAlign w:val="center"/>
            <w:hideMark/>
          </w:tcPr>
          <w:p w14:paraId="008A19A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676.1</w:t>
            </w:r>
          </w:p>
        </w:tc>
        <w:tc>
          <w:tcPr>
            <w:tcW w:w="454" w:type="pct"/>
            <w:tcBorders>
              <w:top w:val="nil"/>
              <w:left w:val="nil"/>
              <w:bottom w:val="nil"/>
              <w:right w:val="nil"/>
            </w:tcBorders>
            <w:shd w:val="clear" w:color="000000" w:fill="FFFFFF"/>
            <w:noWrap/>
            <w:vAlign w:val="center"/>
            <w:hideMark/>
          </w:tcPr>
          <w:p w14:paraId="4D06DEBA"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707.6</w:t>
            </w:r>
          </w:p>
        </w:tc>
        <w:tc>
          <w:tcPr>
            <w:tcW w:w="454" w:type="pct"/>
            <w:tcBorders>
              <w:top w:val="nil"/>
              <w:left w:val="nil"/>
              <w:bottom w:val="nil"/>
              <w:right w:val="nil"/>
            </w:tcBorders>
            <w:shd w:val="clear" w:color="000000" w:fill="FFFFFF"/>
            <w:noWrap/>
            <w:vAlign w:val="center"/>
            <w:hideMark/>
          </w:tcPr>
          <w:p w14:paraId="1B9B7538"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735.9</w:t>
            </w:r>
          </w:p>
        </w:tc>
        <w:tc>
          <w:tcPr>
            <w:tcW w:w="454" w:type="pct"/>
            <w:tcBorders>
              <w:top w:val="nil"/>
              <w:left w:val="nil"/>
              <w:bottom w:val="nil"/>
              <w:right w:val="nil"/>
            </w:tcBorders>
            <w:shd w:val="clear" w:color="000000" w:fill="FFFFFF"/>
            <w:noWrap/>
            <w:vAlign w:val="center"/>
            <w:hideMark/>
          </w:tcPr>
          <w:p w14:paraId="35EC96A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778.3</w:t>
            </w:r>
          </w:p>
        </w:tc>
        <w:tc>
          <w:tcPr>
            <w:tcW w:w="68" w:type="pct"/>
            <w:tcBorders>
              <w:top w:val="nil"/>
              <w:left w:val="nil"/>
              <w:bottom w:val="nil"/>
              <w:right w:val="nil"/>
            </w:tcBorders>
            <w:shd w:val="clear" w:color="000000" w:fill="FFFFFF"/>
            <w:noWrap/>
            <w:vAlign w:val="center"/>
            <w:hideMark/>
          </w:tcPr>
          <w:p w14:paraId="505C25B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7A1F94ED"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3,543.1</w:t>
            </w:r>
          </w:p>
        </w:tc>
        <w:tc>
          <w:tcPr>
            <w:tcW w:w="81" w:type="pct"/>
            <w:tcBorders>
              <w:top w:val="nil"/>
              <w:left w:val="nil"/>
              <w:bottom w:val="nil"/>
              <w:right w:val="nil"/>
            </w:tcBorders>
            <w:shd w:val="clear" w:color="000000" w:fill="FFFFFF"/>
            <w:noWrap/>
            <w:vAlign w:val="center"/>
            <w:hideMark/>
          </w:tcPr>
          <w:p w14:paraId="28A131D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4B012A84"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3E075C19"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661F3A2A" w14:textId="77777777" w:rsidR="001E56D6" w:rsidRPr="001E56D6" w:rsidRDefault="001E56D6" w:rsidP="001E56D6">
            <w:pPr>
              <w:spacing w:before="0" w:after="0" w:line="240" w:lineRule="auto"/>
              <w:ind w:left="170"/>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57073E1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23.1</w:t>
            </w:r>
          </w:p>
        </w:tc>
        <w:tc>
          <w:tcPr>
            <w:tcW w:w="454" w:type="pct"/>
            <w:tcBorders>
              <w:top w:val="nil"/>
              <w:left w:val="nil"/>
              <w:bottom w:val="nil"/>
              <w:right w:val="nil"/>
            </w:tcBorders>
            <w:shd w:val="clear" w:color="000000" w:fill="E6F2FF"/>
            <w:noWrap/>
            <w:vAlign w:val="center"/>
            <w:hideMark/>
          </w:tcPr>
          <w:p w14:paraId="4BE4DFB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23.5</w:t>
            </w:r>
          </w:p>
        </w:tc>
        <w:tc>
          <w:tcPr>
            <w:tcW w:w="454" w:type="pct"/>
            <w:tcBorders>
              <w:top w:val="nil"/>
              <w:left w:val="nil"/>
              <w:bottom w:val="nil"/>
              <w:right w:val="nil"/>
            </w:tcBorders>
            <w:shd w:val="clear" w:color="000000" w:fill="FFFFFF"/>
            <w:noWrap/>
            <w:vAlign w:val="center"/>
            <w:hideMark/>
          </w:tcPr>
          <w:p w14:paraId="2667BC5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23.6</w:t>
            </w:r>
          </w:p>
        </w:tc>
        <w:tc>
          <w:tcPr>
            <w:tcW w:w="454" w:type="pct"/>
            <w:tcBorders>
              <w:top w:val="nil"/>
              <w:left w:val="nil"/>
              <w:bottom w:val="nil"/>
              <w:right w:val="nil"/>
            </w:tcBorders>
            <w:shd w:val="clear" w:color="000000" w:fill="FFFFFF"/>
            <w:noWrap/>
            <w:vAlign w:val="center"/>
            <w:hideMark/>
          </w:tcPr>
          <w:p w14:paraId="74B0F9F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23.4</w:t>
            </w:r>
          </w:p>
        </w:tc>
        <w:tc>
          <w:tcPr>
            <w:tcW w:w="454" w:type="pct"/>
            <w:tcBorders>
              <w:top w:val="nil"/>
              <w:left w:val="nil"/>
              <w:bottom w:val="nil"/>
              <w:right w:val="nil"/>
            </w:tcBorders>
            <w:shd w:val="clear" w:color="000000" w:fill="FFFFFF"/>
            <w:noWrap/>
            <w:vAlign w:val="center"/>
            <w:hideMark/>
          </w:tcPr>
          <w:p w14:paraId="4471966D"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23.4</w:t>
            </w:r>
          </w:p>
        </w:tc>
        <w:tc>
          <w:tcPr>
            <w:tcW w:w="68" w:type="pct"/>
            <w:tcBorders>
              <w:top w:val="nil"/>
              <w:left w:val="nil"/>
              <w:bottom w:val="nil"/>
              <w:right w:val="nil"/>
            </w:tcBorders>
            <w:shd w:val="clear" w:color="000000" w:fill="FFFFFF"/>
            <w:noWrap/>
            <w:vAlign w:val="center"/>
            <w:hideMark/>
          </w:tcPr>
          <w:p w14:paraId="54A4A172"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4AD2880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09BA3B4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881FE5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24.9</w:t>
            </w:r>
          </w:p>
        </w:tc>
      </w:tr>
      <w:tr w:rsidR="001E56D6" w:rsidRPr="001E56D6" w14:paraId="0257E14E"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B64F4AA"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B0ADF79"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E6F2FF"/>
            <w:noWrap/>
            <w:vAlign w:val="center"/>
            <w:hideMark/>
          </w:tcPr>
          <w:p w14:paraId="5B2BE3E5"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3DD2B83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57F1B84C"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6F381CCA"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68" w:type="pct"/>
            <w:tcBorders>
              <w:top w:val="nil"/>
              <w:left w:val="nil"/>
              <w:bottom w:val="nil"/>
              <w:right w:val="nil"/>
            </w:tcBorders>
            <w:shd w:val="clear" w:color="000000" w:fill="FFFFFF"/>
            <w:noWrap/>
            <w:vAlign w:val="center"/>
            <w:hideMark/>
          </w:tcPr>
          <w:p w14:paraId="56B561C6"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0774D475"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80732B8"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373188B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FA84F52"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06B1F9E" w14:textId="4ED206BA" w:rsidR="001E56D6" w:rsidRPr="001E56D6" w:rsidRDefault="001E56D6" w:rsidP="001E56D6">
            <w:pPr>
              <w:spacing w:before="0" w:after="0" w:line="240" w:lineRule="auto"/>
              <w:ind w:left="170"/>
              <w:rPr>
                <w:rFonts w:ascii="Arial" w:hAnsi="Arial" w:cs="Arial"/>
                <w:b/>
                <w:bCs/>
                <w:color w:val="000000"/>
                <w:sz w:val="16"/>
                <w:szCs w:val="16"/>
              </w:rPr>
            </w:pPr>
            <w:r w:rsidRPr="001E56D6">
              <w:rPr>
                <w:rFonts w:ascii="Arial" w:hAnsi="Arial" w:cs="Arial"/>
                <w:b/>
                <w:bCs/>
                <w:color w:val="000000"/>
                <w:sz w:val="16"/>
                <w:szCs w:val="16"/>
              </w:rPr>
              <w:t>Non</w:t>
            </w:r>
            <w:r w:rsidR="00993DA1">
              <w:rPr>
                <w:rFonts w:ascii="Arial" w:hAnsi="Arial" w:cs="Arial"/>
                <w:b/>
                <w:bCs/>
                <w:color w:val="000000"/>
                <w:sz w:val="16"/>
                <w:szCs w:val="16"/>
              </w:rPr>
              <w:noBreakHyphen/>
            </w:r>
            <w:r w:rsidRPr="001E56D6">
              <w:rPr>
                <w:rFonts w:ascii="Arial" w:hAnsi="Arial" w:cs="Arial"/>
                <w:b/>
                <w:bCs/>
                <w:color w:val="000000"/>
                <w:sz w:val="16"/>
                <w:szCs w:val="16"/>
              </w:rPr>
              <w:t>tax receipts</w:t>
            </w:r>
          </w:p>
        </w:tc>
        <w:tc>
          <w:tcPr>
            <w:tcW w:w="454" w:type="pct"/>
            <w:tcBorders>
              <w:top w:val="nil"/>
              <w:left w:val="nil"/>
              <w:bottom w:val="nil"/>
              <w:right w:val="nil"/>
            </w:tcBorders>
            <w:shd w:val="clear" w:color="000000" w:fill="FFFFFF"/>
            <w:noWrap/>
            <w:vAlign w:val="center"/>
            <w:hideMark/>
          </w:tcPr>
          <w:p w14:paraId="28A89F4F"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58.7</w:t>
            </w:r>
          </w:p>
        </w:tc>
        <w:tc>
          <w:tcPr>
            <w:tcW w:w="454" w:type="pct"/>
            <w:tcBorders>
              <w:top w:val="nil"/>
              <w:left w:val="nil"/>
              <w:bottom w:val="nil"/>
              <w:right w:val="nil"/>
            </w:tcBorders>
            <w:shd w:val="clear" w:color="000000" w:fill="E6F2FF"/>
            <w:noWrap/>
            <w:vAlign w:val="center"/>
            <w:hideMark/>
          </w:tcPr>
          <w:p w14:paraId="67F458EE"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59.3</w:t>
            </w:r>
          </w:p>
        </w:tc>
        <w:tc>
          <w:tcPr>
            <w:tcW w:w="454" w:type="pct"/>
            <w:tcBorders>
              <w:top w:val="nil"/>
              <w:left w:val="nil"/>
              <w:bottom w:val="nil"/>
              <w:right w:val="nil"/>
            </w:tcBorders>
            <w:shd w:val="clear" w:color="000000" w:fill="FFFFFF"/>
            <w:noWrap/>
            <w:vAlign w:val="center"/>
            <w:hideMark/>
          </w:tcPr>
          <w:p w14:paraId="24049B36"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58.4</w:t>
            </w:r>
          </w:p>
        </w:tc>
        <w:tc>
          <w:tcPr>
            <w:tcW w:w="454" w:type="pct"/>
            <w:tcBorders>
              <w:top w:val="nil"/>
              <w:left w:val="nil"/>
              <w:bottom w:val="nil"/>
              <w:right w:val="nil"/>
            </w:tcBorders>
            <w:shd w:val="clear" w:color="000000" w:fill="FFFFFF"/>
            <w:noWrap/>
            <w:vAlign w:val="center"/>
            <w:hideMark/>
          </w:tcPr>
          <w:p w14:paraId="5FC3224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61.4</w:t>
            </w:r>
          </w:p>
        </w:tc>
        <w:tc>
          <w:tcPr>
            <w:tcW w:w="454" w:type="pct"/>
            <w:tcBorders>
              <w:top w:val="nil"/>
              <w:left w:val="nil"/>
              <w:bottom w:val="nil"/>
              <w:right w:val="nil"/>
            </w:tcBorders>
            <w:shd w:val="clear" w:color="000000" w:fill="FFFFFF"/>
            <w:noWrap/>
            <w:vAlign w:val="center"/>
            <w:hideMark/>
          </w:tcPr>
          <w:p w14:paraId="5C062E4B"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62.6</w:t>
            </w:r>
          </w:p>
        </w:tc>
        <w:tc>
          <w:tcPr>
            <w:tcW w:w="68" w:type="pct"/>
            <w:tcBorders>
              <w:top w:val="nil"/>
              <w:left w:val="nil"/>
              <w:bottom w:val="nil"/>
              <w:right w:val="nil"/>
            </w:tcBorders>
            <w:shd w:val="clear" w:color="000000" w:fill="FFFFFF"/>
            <w:noWrap/>
            <w:vAlign w:val="center"/>
            <w:hideMark/>
          </w:tcPr>
          <w:p w14:paraId="742AD7CC"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2AA5A42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300.4</w:t>
            </w:r>
          </w:p>
        </w:tc>
        <w:tc>
          <w:tcPr>
            <w:tcW w:w="81" w:type="pct"/>
            <w:tcBorders>
              <w:top w:val="nil"/>
              <w:left w:val="nil"/>
              <w:bottom w:val="nil"/>
              <w:right w:val="nil"/>
            </w:tcBorders>
            <w:shd w:val="clear" w:color="000000" w:fill="FFFFFF"/>
            <w:noWrap/>
            <w:vAlign w:val="center"/>
            <w:hideMark/>
          </w:tcPr>
          <w:p w14:paraId="2F97F79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740219E5"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18DF5263"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46F7AA45" w14:textId="77777777" w:rsidR="001E56D6" w:rsidRPr="001E56D6" w:rsidRDefault="001E56D6" w:rsidP="001E56D6">
            <w:pPr>
              <w:spacing w:before="0" w:after="0" w:line="240" w:lineRule="auto"/>
              <w:ind w:left="170"/>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264BFCB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w:t>
            </w:r>
          </w:p>
        </w:tc>
        <w:tc>
          <w:tcPr>
            <w:tcW w:w="454" w:type="pct"/>
            <w:tcBorders>
              <w:top w:val="nil"/>
              <w:left w:val="nil"/>
              <w:bottom w:val="nil"/>
              <w:right w:val="nil"/>
            </w:tcBorders>
            <w:shd w:val="clear" w:color="000000" w:fill="E6F2FF"/>
            <w:noWrap/>
            <w:vAlign w:val="center"/>
            <w:hideMark/>
          </w:tcPr>
          <w:p w14:paraId="4C2B0F03"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w:t>
            </w:r>
          </w:p>
        </w:tc>
        <w:tc>
          <w:tcPr>
            <w:tcW w:w="454" w:type="pct"/>
            <w:tcBorders>
              <w:top w:val="nil"/>
              <w:left w:val="nil"/>
              <w:bottom w:val="nil"/>
              <w:right w:val="nil"/>
            </w:tcBorders>
            <w:shd w:val="clear" w:color="000000" w:fill="FFFFFF"/>
            <w:noWrap/>
            <w:vAlign w:val="center"/>
            <w:hideMark/>
          </w:tcPr>
          <w:p w14:paraId="2AEBBCB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w:t>
            </w:r>
          </w:p>
        </w:tc>
        <w:tc>
          <w:tcPr>
            <w:tcW w:w="454" w:type="pct"/>
            <w:tcBorders>
              <w:top w:val="nil"/>
              <w:left w:val="nil"/>
              <w:bottom w:val="nil"/>
              <w:right w:val="nil"/>
            </w:tcBorders>
            <w:shd w:val="clear" w:color="000000" w:fill="FFFFFF"/>
            <w:noWrap/>
            <w:vAlign w:val="center"/>
            <w:hideMark/>
          </w:tcPr>
          <w:p w14:paraId="30B344B2"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w:t>
            </w:r>
          </w:p>
        </w:tc>
        <w:tc>
          <w:tcPr>
            <w:tcW w:w="454" w:type="pct"/>
            <w:tcBorders>
              <w:top w:val="nil"/>
              <w:left w:val="nil"/>
              <w:bottom w:val="nil"/>
              <w:right w:val="nil"/>
            </w:tcBorders>
            <w:shd w:val="clear" w:color="000000" w:fill="FFFFFF"/>
            <w:noWrap/>
            <w:vAlign w:val="center"/>
            <w:hideMark/>
          </w:tcPr>
          <w:p w14:paraId="685F2B7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1.9</w:t>
            </w:r>
          </w:p>
        </w:tc>
        <w:tc>
          <w:tcPr>
            <w:tcW w:w="68" w:type="pct"/>
            <w:tcBorders>
              <w:top w:val="nil"/>
              <w:left w:val="nil"/>
              <w:bottom w:val="nil"/>
              <w:right w:val="nil"/>
            </w:tcBorders>
            <w:shd w:val="clear" w:color="000000" w:fill="FFFFFF"/>
            <w:noWrap/>
            <w:vAlign w:val="center"/>
            <w:hideMark/>
          </w:tcPr>
          <w:p w14:paraId="2612728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2CC0952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73262F5C"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1AF3DFD9"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1.9</w:t>
            </w:r>
          </w:p>
        </w:tc>
      </w:tr>
      <w:tr w:rsidR="001E56D6" w:rsidRPr="001E56D6" w14:paraId="26F6E83B"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4A686F8A"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238BD73A"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E6F2FF"/>
            <w:noWrap/>
            <w:vAlign w:val="center"/>
            <w:hideMark/>
          </w:tcPr>
          <w:p w14:paraId="46CC9A9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3253A0D9"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4D4E6053"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54" w:type="pct"/>
            <w:tcBorders>
              <w:top w:val="nil"/>
              <w:left w:val="nil"/>
              <w:bottom w:val="nil"/>
              <w:right w:val="nil"/>
            </w:tcBorders>
            <w:shd w:val="clear" w:color="000000" w:fill="FFFFFF"/>
            <w:noWrap/>
            <w:vAlign w:val="center"/>
            <w:hideMark/>
          </w:tcPr>
          <w:p w14:paraId="52D23288"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68" w:type="pct"/>
            <w:tcBorders>
              <w:top w:val="nil"/>
              <w:left w:val="nil"/>
              <w:bottom w:val="nil"/>
              <w:right w:val="nil"/>
            </w:tcBorders>
            <w:shd w:val="clear" w:color="000000" w:fill="FFFFFF"/>
            <w:noWrap/>
            <w:vAlign w:val="center"/>
            <w:hideMark/>
          </w:tcPr>
          <w:p w14:paraId="64E97833" w14:textId="77777777" w:rsidR="001E56D6" w:rsidRPr="001E56D6" w:rsidRDefault="001E56D6" w:rsidP="001E56D6">
            <w:pPr>
              <w:spacing w:before="0" w:after="0" w:line="240" w:lineRule="auto"/>
              <w:jc w:val="right"/>
              <w:rPr>
                <w:rFonts w:ascii="Arial" w:hAnsi="Arial" w:cs="Arial"/>
                <w:i/>
                <w:iCs/>
                <w:color w:val="000000"/>
                <w:sz w:val="16"/>
                <w:szCs w:val="16"/>
              </w:rPr>
            </w:pPr>
            <w:r w:rsidRPr="001E56D6">
              <w:rPr>
                <w:rFonts w:ascii="Arial" w:hAnsi="Arial" w:cs="Arial"/>
                <w:i/>
                <w:iCs/>
                <w:color w:val="000000"/>
                <w:sz w:val="16"/>
                <w:szCs w:val="16"/>
              </w:rPr>
              <w:t> </w:t>
            </w:r>
          </w:p>
        </w:tc>
        <w:tc>
          <w:tcPr>
            <w:tcW w:w="462" w:type="pct"/>
            <w:tcBorders>
              <w:top w:val="nil"/>
              <w:left w:val="nil"/>
              <w:bottom w:val="nil"/>
              <w:right w:val="nil"/>
            </w:tcBorders>
            <w:shd w:val="clear" w:color="000000" w:fill="FFFFFF"/>
            <w:noWrap/>
            <w:vAlign w:val="center"/>
            <w:hideMark/>
          </w:tcPr>
          <w:p w14:paraId="6BB532D6"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16C34AE"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F2DB14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40093B16"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6937E770"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Payments(a)</w:t>
            </w:r>
          </w:p>
        </w:tc>
        <w:tc>
          <w:tcPr>
            <w:tcW w:w="454" w:type="pct"/>
            <w:tcBorders>
              <w:top w:val="nil"/>
              <w:left w:val="nil"/>
              <w:bottom w:val="nil"/>
              <w:right w:val="nil"/>
            </w:tcBorders>
            <w:shd w:val="clear" w:color="000000" w:fill="FFFFFF"/>
            <w:noWrap/>
            <w:vAlign w:val="center"/>
            <w:hideMark/>
          </w:tcPr>
          <w:p w14:paraId="20B6A2E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731.8</w:t>
            </w:r>
          </w:p>
        </w:tc>
        <w:tc>
          <w:tcPr>
            <w:tcW w:w="454" w:type="pct"/>
            <w:tcBorders>
              <w:top w:val="nil"/>
              <w:left w:val="nil"/>
              <w:bottom w:val="nil"/>
              <w:right w:val="nil"/>
            </w:tcBorders>
            <w:shd w:val="clear" w:color="000000" w:fill="E6F2FF"/>
            <w:noWrap/>
            <w:vAlign w:val="center"/>
            <w:hideMark/>
          </w:tcPr>
          <w:p w14:paraId="199380DC"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777.5</w:t>
            </w:r>
          </w:p>
        </w:tc>
        <w:tc>
          <w:tcPr>
            <w:tcW w:w="454" w:type="pct"/>
            <w:tcBorders>
              <w:top w:val="nil"/>
              <w:left w:val="nil"/>
              <w:bottom w:val="nil"/>
              <w:right w:val="nil"/>
            </w:tcBorders>
            <w:shd w:val="clear" w:color="000000" w:fill="FFFFFF"/>
            <w:noWrap/>
            <w:vAlign w:val="center"/>
            <w:hideMark/>
          </w:tcPr>
          <w:p w14:paraId="4AC339B5"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801.3</w:t>
            </w:r>
          </w:p>
        </w:tc>
        <w:tc>
          <w:tcPr>
            <w:tcW w:w="454" w:type="pct"/>
            <w:tcBorders>
              <w:top w:val="nil"/>
              <w:left w:val="nil"/>
              <w:bottom w:val="nil"/>
              <w:right w:val="nil"/>
            </w:tcBorders>
            <w:shd w:val="clear" w:color="000000" w:fill="FFFFFF"/>
            <w:noWrap/>
            <w:vAlign w:val="center"/>
            <w:hideMark/>
          </w:tcPr>
          <w:p w14:paraId="3E89C107"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834.5</w:t>
            </w:r>
          </w:p>
        </w:tc>
        <w:tc>
          <w:tcPr>
            <w:tcW w:w="454" w:type="pct"/>
            <w:tcBorders>
              <w:top w:val="nil"/>
              <w:left w:val="nil"/>
              <w:bottom w:val="nil"/>
              <w:right w:val="nil"/>
            </w:tcBorders>
            <w:shd w:val="clear" w:color="000000" w:fill="FFFFFF"/>
            <w:noWrap/>
            <w:vAlign w:val="center"/>
            <w:hideMark/>
          </w:tcPr>
          <w:p w14:paraId="45BEEF14"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877.9</w:t>
            </w:r>
          </w:p>
        </w:tc>
        <w:tc>
          <w:tcPr>
            <w:tcW w:w="68" w:type="pct"/>
            <w:tcBorders>
              <w:top w:val="nil"/>
              <w:left w:val="nil"/>
              <w:bottom w:val="nil"/>
              <w:right w:val="nil"/>
            </w:tcBorders>
            <w:shd w:val="clear" w:color="000000" w:fill="FFFFFF"/>
            <w:noWrap/>
            <w:vAlign w:val="center"/>
            <w:hideMark/>
          </w:tcPr>
          <w:p w14:paraId="48E69B52"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51E1767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4,023.0</w:t>
            </w:r>
          </w:p>
        </w:tc>
        <w:tc>
          <w:tcPr>
            <w:tcW w:w="81" w:type="pct"/>
            <w:tcBorders>
              <w:top w:val="nil"/>
              <w:left w:val="nil"/>
              <w:bottom w:val="nil"/>
              <w:right w:val="nil"/>
            </w:tcBorders>
            <w:shd w:val="clear" w:color="000000" w:fill="FFFFFF"/>
            <w:noWrap/>
            <w:vAlign w:val="center"/>
            <w:hideMark/>
          </w:tcPr>
          <w:p w14:paraId="5189F590"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567" w:type="pct"/>
            <w:tcBorders>
              <w:top w:val="nil"/>
              <w:left w:val="nil"/>
              <w:bottom w:val="nil"/>
              <w:right w:val="nil"/>
            </w:tcBorders>
            <w:shd w:val="clear" w:color="000000" w:fill="FFFFFF"/>
            <w:noWrap/>
            <w:vAlign w:val="center"/>
            <w:hideMark/>
          </w:tcPr>
          <w:p w14:paraId="349E82B5"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 </w:t>
            </w:r>
          </w:p>
        </w:tc>
      </w:tr>
      <w:tr w:rsidR="001E56D6" w:rsidRPr="001E56D6" w14:paraId="12A6D40D"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3D2C92F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Per cent of GDP</w:t>
            </w:r>
          </w:p>
        </w:tc>
        <w:tc>
          <w:tcPr>
            <w:tcW w:w="454" w:type="pct"/>
            <w:tcBorders>
              <w:top w:val="nil"/>
              <w:left w:val="nil"/>
              <w:bottom w:val="nil"/>
              <w:right w:val="nil"/>
            </w:tcBorders>
            <w:shd w:val="clear" w:color="000000" w:fill="FFFFFF"/>
            <w:noWrap/>
            <w:vAlign w:val="center"/>
            <w:hideMark/>
          </w:tcPr>
          <w:p w14:paraId="720EA44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26.3</w:t>
            </w:r>
          </w:p>
        </w:tc>
        <w:tc>
          <w:tcPr>
            <w:tcW w:w="454" w:type="pct"/>
            <w:tcBorders>
              <w:top w:val="nil"/>
              <w:left w:val="nil"/>
              <w:bottom w:val="nil"/>
              <w:right w:val="nil"/>
            </w:tcBorders>
            <w:shd w:val="clear" w:color="000000" w:fill="E6F2FF"/>
            <w:noWrap/>
            <w:vAlign w:val="center"/>
            <w:hideMark/>
          </w:tcPr>
          <w:p w14:paraId="36C151D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27.0</w:t>
            </w:r>
          </w:p>
        </w:tc>
        <w:tc>
          <w:tcPr>
            <w:tcW w:w="454" w:type="pct"/>
            <w:tcBorders>
              <w:top w:val="nil"/>
              <w:left w:val="nil"/>
              <w:bottom w:val="nil"/>
              <w:right w:val="nil"/>
            </w:tcBorders>
            <w:shd w:val="clear" w:color="000000" w:fill="FFFFFF"/>
            <w:noWrap/>
            <w:vAlign w:val="center"/>
            <w:hideMark/>
          </w:tcPr>
          <w:p w14:paraId="316DB6B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26.8</w:t>
            </w:r>
          </w:p>
        </w:tc>
        <w:tc>
          <w:tcPr>
            <w:tcW w:w="454" w:type="pct"/>
            <w:tcBorders>
              <w:top w:val="nil"/>
              <w:left w:val="nil"/>
              <w:bottom w:val="nil"/>
              <w:right w:val="nil"/>
            </w:tcBorders>
            <w:shd w:val="clear" w:color="000000" w:fill="FFFFFF"/>
            <w:noWrap/>
            <w:vAlign w:val="center"/>
            <w:hideMark/>
          </w:tcPr>
          <w:p w14:paraId="59067B5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26.5</w:t>
            </w:r>
          </w:p>
        </w:tc>
        <w:tc>
          <w:tcPr>
            <w:tcW w:w="454" w:type="pct"/>
            <w:tcBorders>
              <w:top w:val="nil"/>
              <w:left w:val="nil"/>
              <w:bottom w:val="nil"/>
              <w:right w:val="nil"/>
            </w:tcBorders>
            <w:shd w:val="clear" w:color="000000" w:fill="FFFFFF"/>
            <w:noWrap/>
            <w:vAlign w:val="center"/>
            <w:hideMark/>
          </w:tcPr>
          <w:p w14:paraId="68B7A18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26.4</w:t>
            </w:r>
          </w:p>
        </w:tc>
        <w:tc>
          <w:tcPr>
            <w:tcW w:w="68" w:type="pct"/>
            <w:tcBorders>
              <w:top w:val="nil"/>
              <w:left w:val="nil"/>
              <w:bottom w:val="nil"/>
              <w:right w:val="nil"/>
            </w:tcBorders>
            <w:shd w:val="clear" w:color="000000" w:fill="FFFFFF"/>
            <w:noWrap/>
            <w:vAlign w:val="center"/>
            <w:hideMark/>
          </w:tcPr>
          <w:p w14:paraId="67BCDD2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537E3ACD"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2CA2A570"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76B180CB"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26.8</w:t>
            </w:r>
          </w:p>
        </w:tc>
      </w:tr>
      <w:tr w:rsidR="001E56D6" w:rsidRPr="001E56D6" w14:paraId="0DA04DB6"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2521A43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6A5428C"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E6F2FF"/>
            <w:noWrap/>
            <w:vAlign w:val="center"/>
            <w:hideMark/>
          </w:tcPr>
          <w:p w14:paraId="5CF6BEAA"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00FD566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1E779D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83911B4"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68" w:type="pct"/>
            <w:tcBorders>
              <w:top w:val="nil"/>
              <w:left w:val="nil"/>
              <w:bottom w:val="nil"/>
              <w:right w:val="nil"/>
            </w:tcBorders>
            <w:shd w:val="clear" w:color="000000" w:fill="FFFFFF"/>
            <w:noWrap/>
            <w:vAlign w:val="center"/>
            <w:hideMark/>
          </w:tcPr>
          <w:p w14:paraId="4069165F"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462" w:type="pct"/>
            <w:tcBorders>
              <w:top w:val="nil"/>
              <w:left w:val="nil"/>
              <w:bottom w:val="nil"/>
              <w:right w:val="nil"/>
            </w:tcBorders>
            <w:shd w:val="clear" w:color="000000" w:fill="FFFFFF"/>
            <w:noWrap/>
            <w:vAlign w:val="center"/>
            <w:hideMark/>
          </w:tcPr>
          <w:p w14:paraId="1A8C1301"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000000" w:fill="FFFFFF"/>
            <w:noWrap/>
            <w:vAlign w:val="center"/>
            <w:hideMark/>
          </w:tcPr>
          <w:p w14:paraId="0AC1D4B3"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567" w:type="pct"/>
            <w:tcBorders>
              <w:top w:val="nil"/>
              <w:left w:val="nil"/>
              <w:bottom w:val="nil"/>
              <w:right w:val="nil"/>
            </w:tcBorders>
            <w:shd w:val="clear" w:color="000000" w:fill="FFFFFF"/>
            <w:noWrap/>
            <w:vAlign w:val="center"/>
            <w:hideMark/>
          </w:tcPr>
          <w:p w14:paraId="49098781"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w:t>
            </w:r>
          </w:p>
        </w:tc>
      </w:tr>
      <w:tr w:rsidR="001E56D6" w:rsidRPr="001E56D6" w14:paraId="0DE0E606"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59D1FD88" w14:textId="77777777" w:rsidR="001E56D6" w:rsidRPr="00631230" w:rsidRDefault="001E56D6" w:rsidP="001E56D6">
            <w:pPr>
              <w:spacing w:before="0" w:after="0" w:line="240" w:lineRule="auto"/>
              <w:rPr>
                <w:rFonts w:ascii="Arial" w:hAnsi="Arial" w:cs="Arial"/>
                <w:b/>
                <w:color w:val="000000"/>
                <w:sz w:val="16"/>
                <w:szCs w:val="16"/>
                <w:highlight w:val="cyan"/>
              </w:rPr>
            </w:pPr>
            <w:r w:rsidRPr="004D32B6">
              <w:rPr>
                <w:rFonts w:ascii="Arial" w:hAnsi="Arial" w:cs="Arial"/>
                <w:b/>
                <w:sz w:val="16"/>
                <w:szCs w:val="16"/>
              </w:rPr>
              <w:t>Gross debt(b)</w:t>
            </w:r>
          </w:p>
        </w:tc>
        <w:tc>
          <w:tcPr>
            <w:tcW w:w="454" w:type="pct"/>
            <w:tcBorders>
              <w:top w:val="nil"/>
              <w:left w:val="nil"/>
              <w:bottom w:val="nil"/>
              <w:right w:val="nil"/>
            </w:tcBorders>
            <w:shd w:val="clear" w:color="000000" w:fill="FFFFFF"/>
            <w:noWrap/>
            <w:vAlign w:val="center"/>
            <w:hideMark/>
          </w:tcPr>
          <w:p w14:paraId="67F83002"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940.0</w:t>
            </w:r>
          </w:p>
        </w:tc>
        <w:tc>
          <w:tcPr>
            <w:tcW w:w="454" w:type="pct"/>
            <w:tcBorders>
              <w:top w:val="nil"/>
              <w:left w:val="nil"/>
              <w:bottom w:val="nil"/>
              <w:right w:val="nil"/>
            </w:tcBorders>
            <w:shd w:val="clear" w:color="000000" w:fill="E6F2FF"/>
            <w:noWrap/>
            <w:vAlign w:val="center"/>
            <w:hideMark/>
          </w:tcPr>
          <w:p w14:paraId="3756A241"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1,022.0</w:t>
            </w:r>
          </w:p>
        </w:tc>
        <w:tc>
          <w:tcPr>
            <w:tcW w:w="454" w:type="pct"/>
            <w:tcBorders>
              <w:top w:val="nil"/>
              <w:left w:val="nil"/>
              <w:bottom w:val="nil"/>
              <w:right w:val="nil"/>
            </w:tcBorders>
            <w:shd w:val="clear" w:color="000000" w:fill="FFFFFF"/>
            <w:noWrap/>
            <w:vAlign w:val="center"/>
            <w:hideMark/>
          </w:tcPr>
          <w:p w14:paraId="119B762D"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1,092.0</w:t>
            </w:r>
          </w:p>
        </w:tc>
        <w:tc>
          <w:tcPr>
            <w:tcW w:w="454" w:type="pct"/>
            <w:tcBorders>
              <w:top w:val="nil"/>
              <w:left w:val="nil"/>
              <w:bottom w:val="nil"/>
              <w:right w:val="nil"/>
            </w:tcBorders>
            <w:shd w:val="clear" w:color="000000" w:fill="FFFFFF"/>
            <w:noWrap/>
            <w:vAlign w:val="center"/>
            <w:hideMark/>
          </w:tcPr>
          <w:p w14:paraId="141158AB" w14:textId="77777777" w:rsidR="001E56D6" w:rsidRPr="00631230" w:rsidRDefault="001E56D6" w:rsidP="001E56D6">
            <w:pPr>
              <w:spacing w:before="0" w:after="0" w:line="240" w:lineRule="auto"/>
              <w:jc w:val="right"/>
              <w:rPr>
                <w:rFonts w:ascii="Arial" w:hAnsi="Arial" w:cs="Arial"/>
                <w:b/>
                <w:color w:val="000000"/>
                <w:sz w:val="16"/>
                <w:szCs w:val="16"/>
                <w:highlight w:val="cyan"/>
              </w:rPr>
            </w:pPr>
            <w:r w:rsidRPr="004D32B6">
              <w:rPr>
                <w:rFonts w:ascii="Arial" w:hAnsi="Arial" w:cs="Arial"/>
                <w:b/>
                <w:sz w:val="16"/>
                <w:szCs w:val="16"/>
              </w:rPr>
              <w:t>1,161.0</w:t>
            </w:r>
          </w:p>
        </w:tc>
        <w:tc>
          <w:tcPr>
            <w:tcW w:w="454" w:type="pct"/>
            <w:tcBorders>
              <w:top w:val="nil"/>
              <w:left w:val="nil"/>
              <w:bottom w:val="nil"/>
              <w:right w:val="nil"/>
            </w:tcBorders>
            <w:shd w:val="clear" w:color="000000" w:fill="FFFFFF"/>
            <w:noWrap/>
            <w:vAlign w:val="center"/>
            <w:hideMark/>
          </w:tcPr>
          <w:p w14:paraId="78835410" w14:textId="77777777" w:rsidR="001E56D6" w:rsidRPr="004D32B6" w:rsidRDefault="001E56D6" w:rsidP="001E56D6">
            <w:pPr>
              <w:spacing w:before="0" w:after="0" w:line="240" w:lineRule="auto"/>
              <w:jc w:val="right"/>
              <w:rPr>
                <w:rFonts w:ascii="Arial" w:hAnsi="Arial" w:cs="Arial"/>
                <w:b/>
                <w:sz w:val="16"/>
                <w:szCs w:val="16"/>
              </w:rPr>
            </w:pPr>
            <w:r w:rsidRPr="004D32B6">
              <w:rPr>
                <w:rFonts w:ascii="Arial" w:hAnsi="Arial" w:cs="Arial"/>
                <w:b/>
                <w:sz w:val="16"/>
                <w:szCs w:val="16"/>
              </w:rPr>
              <w:t>1,223.0</w:t>
            </w:r>
          </w:p>
        </w:tc>
        <w:tc>
          <w:tcPr>
            <w:tcW w:w="68" w:type="pct"/>
            <w:tcBorders>
              <w:top w:val="nil"/>
              <w:left w:val="nil"/>
              <w:bottom w:val="nil"/>
              <w:right w:val="nil"/>
            </w:tcBorders>
            <w:shd w:val="clear" w:color="000000" w:fill="FFFFFF"/>
            <w:noWrap/>
            <w:vAlign w:val="center"/>
            <w:hideMark/>
          </w:tcPr>
          <w:p w14:paraId="613CCFA3"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462" w:type="pct"/>
            <w:tcBorders>
              <w:top w:val="nil"/>
              <w:left w:val="nil"/>
              <w:bottom w:val="nil"/>
              <w:right w:val="nil"/>
            </w:tcBorders>
            <w:shd w:val="clear" w:color="000000" w:fill="FFFFFF"/>
            <w:noWrap/>
            <w:vAlign w:val="center"/>
            <w:hideMark/>
          </w:tcPr>
          <w:p w14:paraId="74F69AB8" w14:textId="77777777" w:rsidR="001E56D6" w:rsidRPr="001E56D6" w:rsidRDefault="001E56D6" w:rsidP="001E56D6">
            <w:pPr>
              <w:spacing w:before="0" w:after="0" w:line="240" w:lineRule="auto"/>
              <w:jc w:val="right"/>
              <w:rPr>
                <w:rFonts w:ascii="Arial" w:hAnsi="Arial" w:cs="Arial"/>
                <w:b/>
                <w:bCs/>
                <w:color w:val="000000"/>
                <w:sz w:val="16"/>
                <w:szCs w:val="16"/>
              </w:rPr>
            </w:pPr>
            <w:r w:rsidRPr="001E56D6">
              <w:rPr>
                <w:rFonts w:ascii="Arial" w:hAnsi="Arial" w:cs="Arial"/>
                <w:b/>
                <w:bCs/>
                <w:color w:val="000000"/>
                <w:sz w:val="16"/>
                <w:szCs w:val="16"/>
              </w:rPr>
              <w:t> </w:t>
            </w:r>
          </w:p>
        </w:tc>
        <w:tc>
          <w:tcPr>
            <w:tcW w:w="81" w:type="pct"/>
            <w:tcBorders>
              <w:top w:val="nil"/>
              <w:left w:val="nil"/>
              <w:bottom w:val="nil"/>
              <w:right w:val="nil"/>
            </w:tcBorders>
            <w:shd w:val="clear" w:color="auto" w:fill="auto"/>
            <w:noWrap/>
            <w:vAlign w:val="center"/>
            <w:hideMark/>
          </w:tcPr>
          <w:p w14:paraId="339A845F" w14:textId="77777777" w:rsidR="001E56D6" w:rsidRPr="001E56D6" w:rsidRDefault="001E56D6" w:rsidP="001E56D6">
            <w:pPr>
              <w:spacing w:before="0" w:after="0" w:line="240" w:lineRule="auto"/>
              <w:jc w:val="right"/>
              <w:rPr>
                <w:rFonts w:ascii="Arial" w:hAnsi="Arial" w:cs="Arial"/>
                <w:b/>
                <w:bCs/>
                <w:color w:val="000000"/>
                <w:sz w:val="16"/>
                <w:szCs w:val="16"/>
              </w:rPr>
            </w:pPr>
          </w:p>
        </w:tc>
        <w:tc>
          <w:tcPr>
            <w:tcW w:w="567" w:type="pct"/>
            <w:tcBorders>
              <w:top w:val="nil"/>
              <w:left w:val="nil"/>
              <w:bottom w:val="nil"/>
              <w:right w:val="nil"/>
            </w:tcBorders>
            <w:shd w:val="clear" w:color="000000" w:fill="FFFFFF"/>
            <w:noWrap/>
            <w:vAlign w:val="center"/>
            <w:hideMark/>
          </w:tcPr>
          <w:p w14:paraId="49D51058" w14:textId="77777777" w:rsidR="001E56D6" w:rsidRPr="004D32B6" w:rsidRDefault="001E56D6" w:rsidP="001E56D6">
            <w:pPr>
              <w:spacing w:before="0" w:after="0" w:line="240" w:lineRule="auto"/>
              <w:rPr>
                <w:rFonts w:ascii="Arial" w:hAnsi="Arial" w:cs="Arial"/>
                <w:b/>
                <w:sz w:val="16"/>
                <w:szCs w:val="16"/>
              </w:rPr>
            </w:pPr>
            <w:r w:rsidRPr="004D32B6">
              <w:rPr>
                <w:rFonts w:ascii="Arial" w:hAnsi="Arial" w:cs="Arial"/>
                <w:b/>
                <w:sz w:val="16"/>
                <w:szCs w:val="16"/>
              </w:rPr>
              <w:t> </w:t>
            </w:r>
          </w:p>
        </w:tc>
      </w:tr>
      <w:tr w:rsidR="001E56D6" w:rsidRPr="001E56D6" w14:paraId="7B98EEE7"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07E536CB" w14:textId="77777777" w:rsidR="001E56D6" w:rsidRPr="00631230" w:rsidRDefault="001E56D6" w:rsidP="001E56D6">
            <w:pPr>
              <w:spacing w:before="0" w:after="0" w:line="240" w:lineRule="auto"/>
              <w:rPr>
                <w:rFonts w:ascii="Arial" w:hAnsi="Arial" w:cs="Arial"/>
                <w:color w:val="000000"/>
                <w:sz w:val="16"/>
                <w:szCs w:val="16"/>
                <w:highlight w:val="cyan"/>
              </w:rPr>
            </w:pPr>
            <w:r w:rsidRPr="004D32B6">
              <w:rPr>
                <w:rFonts w:ascii="Arial" w:hAnsi="Arial" w:cs="Arial"/>
                <w:sz w:val="16"/>
                <w:szCs w:val="16"/>
              </w:rPr>
              <w:t>Per cent of GDP</w:t>
            </w:r>
          </w:p>
        </w:tc>
        <w:tc>
          <w:tcPr>
            <w:tcW w:w="454" w:type="pct"/>
            <w:tcBorders>
              <w:top w:val="nil"/>
              <w:left w:val="nil"/>
              <w:bottom w:val="nil"/>
              <w:right w:val="nil"/>
            </w:tcBorders>
            <w:shd w:val="clear" w:color="000000" w:fill="FFFFFF"/>
            <w:noWrap/>
            <w:vAlign w:val="center"/>
            <w:hideMark/>
          </w:tcPr>
          <w:p w14:paraId="7F73CF93"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33.7</w:t>
            </w:r>
          </w:p>
        </w:tc>
        <w:tc>
          <w:tcPr>
            <w:tcW w:w="454" w:type="pct"/>
            <w:tcBorders>
              <w:top w:val="nil"/>
              <w:left w:val="nil"/>
              <w:bottom w:val="nil"/>
              <w:right w:val="nil"/>
            </w:tcBorders>
            <w:shd w:val="clear" w:color="000000" w:fill="E6F2FF"/>
            <w:noWrap/>
            <w:vAlign w:val="center"/>
            <w:hideMark/>
          </w:tcPr>
          <w:p w14:paraId="18EF45B2"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35.5</w:t>
            </w:r>
          </w:p>
        </w:tc>
        <w:tc>
          <w:tcPr>
            <w:tcW w:w="454" w:type="pct"/>
            <w:tcBorders>
              <w:top w:val="nil"/>
              <w:left w:val="nil"/>
              <w:bottom w:val="nil"/>
              <w:right w:val="nil"/>
            </w:tcBorders>
            <w:shd w:val="clear" w:color="000000" w:fill="FFFFFF"/>
            <w:noWrap/>
            <w:vAlign w:val="center"/>
            <w:hideMark/>
          </w:tcPr>
          <w:p w14:paraId="2E518AEB"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36.5</w:t>
            </w:r>
          </w:p>
        </w:tc>
        <w:tc>
          <w:tcPr>
            <w:tcW w:w="454" w:type="pct"/>
            <w:tcBorders>
              <w:top w:val="nil"/>
              <w:left w:val="nil"/>
              <w:bottom w:val="nil"/>
              <w:right w:val="nil"/>
            </w:tcBorders>
            <w:shd w:val="clear" w:color="000000" w:fill="FFFFFF"/>
            <w:noWrap/>
            <w:vAlign w:val="center"/>
            <w:hideMark/>
          </w:tcPr>
          <w:p w14:paraId="094B1744" w14:textId="77777777" w:rsidR="001E56D6" w:rsidRPr="00631230" w:rsidRDefault="001E56D6" w:rsidP="001E56D6">
            <w:pPr>
              <w:spacing w:before="0" w:after="0" w:line="240" w:lineRule="auto"/>
              <w:jc w:val="right"/>
              <w:rPr>
                <w:rFonts w:ascii="Arial" w:hAnsi="Arial" w:cs="Arial"/>
                <w:sz w:val="16"/>
                <w:szCs w:val="16"/>
                <w:highlight w:val="cyan"/>
              </w:rPr>
            </w:pPr>
            <w:r w:rsidRPr="004D32B6">
              <w:rPr>
                <w:rFonts w:ascii="Arial" w:hAnsi="Arial" w:cs="Arial"/>
                <w:sz w:val="16"/>
                <w:szCs w:val="16"/>
              </w:rPr>
              <w:t>36.9</w:t>
            </w:r>
          </w:p>
        </w:tc>
        <w:tc>
          <w:tcPr>
            <w:tcW w:w="454" w:type="pct"/>
            <w:tcBorders>
              <w:top w:val="nil"/>
              <w:left w:val="nil"/>
              <w:bottom w:val="nil"/>
              <w:right w:val="nil"/>
            </w:tcBorders>
            <w:shd w:val="clear" w:color="000000" w:fill="FFFFFF"/>
            <w:noWrap/>
            <w:vAlign w:val="center"/>
            <w:hideMark/>
          </w:tcPr>
          <w:p w14:paraId="20C84088"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36.8</w:t>
            </w:r>
          </w:p>
        </w:tc>
        <w:tc>
          <w:tcPr>
            <w:tcW w:w="68" w:type="pct"/>
            <w:tcBorders>
              <w:top w:val="nil"/>
              <w:left w:val="nil"/>
              <w:bottom w:val="nil"/>
              <w:right w:val="nil"/>
            </w:tcBorders>
            <w:shd w:val="clear" w:color="000000" w:fill="FFFFFF"/>
            <w:noWrap/>
            <w:vAlign w:val="center"/>
            <w:hideMark/>
          </w:tcPr>
          <w:p w14:paraId="3D60570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33F89006" w14:textId="77777777" w:rsidR="001E56D6" w:rsidRPr="001E56D6" w:rsidRDefault="001E56D6" w:rsidP="001E56D6">
            <w:pPr>
              <w:spacing w:before="0" w:after="0" w:line="240" w:lineRule="auto"/>
              <w:jc w:val="right"/>
              <w:rPr>
                <w:rFonts w:ascii="Arial" w:hAnsi="Arial" w:cs="Arial"/>
                <w:color w:val="000000"/>
                <w:sz w:val="16"/>
                <w:szCs w:val="16"/>
              </w:rPr>
            </w:pPr>
            <w:r w:rsidRPr="001E56D6">
              <w:rPr>
                <w:rFonts w:ascii="Arial" w:hAnsi="Arial" w:cs="Arial"/>
                <w:color w:val="000000"/>
                <w:sz w:val="16"/>
                <w:szCs w:val="16"/>
              </w:rPr>
              <w:t> </w:t>
            </w:r>
          </w:p>
        </w:tc>
        <w:tc>
          <w:tcPr>
            <w:tcW w:w="81" w:type="pct"/>
            <w:tcBorders>
              <w:top w:val="nil"/>
              <w:left w:val="nil"/>
              <w:bottom w:val="nil"/>
              <w:right w:val="nil"/>
            </w:tcBorders>
            <w:shd w:val="clear" w:color="auto" w:fill="auto"/>
            <w:noWrap/>
            <w:vAlign w:val="center"/>
            <w:hideMark/>
          </w:tcPr>
          <w:p w14:paraId="61BA0B26" w14:textId="77777777" w:rsidR="001E56D6" w:rsidRPr="001E56D6" w:rsidRDefault="001E56D6" w:rsidP="001E56D6">
            <w:pPr>
              <w:spacing w:before="0" w:after="0" w:line="240" w:lineRule="auto"/>
              <w:jc w:val="right"/>
              <w:rPr>
                <w:rFonts w:ascii="Arial" w:hAnsi="Arial" w:cs="Arial"/>
                <w:color w:val="000000"/>
                <w:sz w:val="16"/>
                <w:szCs w:val="16"/>
              </w:rPr>
            </w:pPr>
          </w:p>
        </w:tc>
        <w:tc>
          <w:tcPr>
            <w:tcW w:w="567" w:type="pct"/>
            <w:tcBorders>
              <w:top w:val="nil"/>
              <w:left w:val="nil"/>
              <w:bottom w:val="nil"/>
              <w:right w:val="nil"/>
            </w:tcBorders>
            <w:shd w:val="clear" w:color="000000" w:fill="FFFFFF"/>
            <w:noWrap/>
            <w:vAlign w:val="center"/>
            <w:hideMark/>
          </w:tcPr>
          <w:p w14:paraId="394A89E5"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31.9 </w:t>
            </w:r>
          </w:p>
        </w:tc>
      </w:tr>
      <w:tr w:rsidR="001E56D6" w:rsidRPr="001E56D6" w14:paraId="6FD5E539"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3512168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11F6B6E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E6F2FF"/>
            <w:noWrap/>
            <w:vAlign w:val="center"/>
            <w:hideMark/>
          </w:tcPr>
          <w:p w14:paraId="40D2589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09D489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0CF6710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55A8E1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68" w:type="pct"/>
            <w:tcBorders>
              <w:top w:val="nil"/>
              <w:left w:val="nil"/>
              <w:bottom w:val="nil"/>
              <w:right w:val="nil"/>
            </w:tcBorders>
            <w:shd w:val="clear" w:color="000000" w:fill="FFFFFF"/>
            <w:noWrap/>
            <w:vAlign w:val="center"/>
            <w:hideMark/>
          </w:tcPr>
          <w:p w14:paraId="5E09771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C2BC2A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25D6FA6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435004D3"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B0C1E0F"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BC79BFD" w14:textId="77777777" w:rsidR="001E56D6" w:rsidRPr="001E56D6" w:rsidRDefault="001E56D6" w:rsidP="001E56D6">
            <w:pPr>
              <w:spacing w:before="0" w:after="0" w:line="240" w:lineRule="auto"/>
              <w:rPr>
                <w:rFonts w:ascii="Arial" w:hAnsi="Arial" w:cs="Arial"/>
                <w:b/>
                <w:bCs/>
                <w:color w:val="000000"/>
                <w:sz w:val="16"/>
                <w:szCs w:val="16"/>
              </w:rPr>
            </w:pPr>
            <w:r w:rsidRPr="001E56D6">
              <w:rPr>
                <w:rFonts w:ascii="Arial" w:hAnsi="Arial" w:cs="Arial"/>
                <w:b/>
                <w:bCs/>
                <w:color w:val="000000"/>
                <w:sz w:val="16"/>
                <w:szCs w:val="16"/>
              </w:rPr>
              <w:t xml:space="preserve">Net debt(c) </w:t>
            </w:r>
          </w:p>
        </w:tc>
        <w:tc>
          <w:tcPr>
            <w:tcW w:w="454" w:type="pct"/>
            <w:tcBorders>
              <w:top w:val="nil"/>
              <w:left w:val="nil"/>
              <w:bottom w:val="nil"/>
              <w:right w:val="nil"/>
            </w:tcBorders>
            <w:shd w:val="clear" w:color="000000" w:fill="FFFFFF"/>
            <w:noWrap/>
            <w:vAlign w:val="center"/>
            <w:hideMark/>
          </w:tcPr>
          <w:p w14:paraId="33B8227C"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556.3</w:t>
            </w:r>
          </w:p>
        </w:tc>
        <w:tc>
          <w:tcPr>
            <w:tcW w:w="454" w:type="pct"/>
            <w:tcBorders>
              <w:top w:val="nil"/>
              <w:left w:val="nil"/>
              <w:bottom w:val="nil"/>
              <w:right w:val="nil"/>
            </w:tcBorders>
            <w:shd w:val="clear" w:color="000000" w:fill="E6F2FF"/>
            <w:noWrap/>
            <w:vAlign w:val="center"/>
            <w:hideMark/>
          </w:tcPr>
          <w:p w14:paraId="3A0FC65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620.7</w:t>
            </w:r>
          </w:p>
        </w:tc>
        <w:tc>
          <w:tcPr>
            <w:tcW w:w="454" w:type="pct"/>
            <w:tcBorders>
              <w:top w:val="nil"/>
              <w:left w:val="nil"/>
              <w:bottom w:val="nil"/>
              <w:right w:val="nil"/>
            </w:tcBorders>
            <w:shd w:val="clear" w:color="000000" w:fill="FFFFFF"/>
            <w:noWrap/>
            <w:vAlign w:val="center"/>
            <w:hideMark/>
          </w:tcPr>
          <w:p w14:paraId="0A38C28A"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676.3</w:t>
            </w:r>
          </w:p>
        </w:tc>
        <w:tc>
          <w:tcPr>
            <w:tcW w:w="454" w:type="pct"/>
            <w:tcBorders>
              <w:top w:val="nil"/>
              <w:left w:val="nil"/>
              <w:bottom w:val="nil"/>
              <w:right w:val="nil"/>
            </w:tcBorders>
            <w:shd w:val="clear" w:color="000000" w:fill="FFFFFF"/>
            <w:noWrap/>
            <w:vAlign w:val="center"/>
            <w:hideMark/>
          </w:tcPr>
          <w:p w14:paraId="3E8BCDD2"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713.9</w:t>
            </w:r>
          </w:p>
        </w:tc>
        <w:tc>
          <w:tcPr>
            <w:tcW w:w="454" w:type="pct"/>
            <w:tcBorders>
              <w:top w:val="nil"/>
              <w:left w:val="nil"/>
              <w:bottom w:val="nil"/>
              <w:right w:val="nil"/>
            </w:tcBorders>
            <w:shd w:val="clear" w:color="000000" w:fill="FFFFFF"/>
            <w:noWrap/>
            <w:vAlign w:val="center"/>
            <w:hideMark/>
          </w:tcPr>
          <w:p w14:paraId="1463D925"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768.2</w:t>
            </w:r>
          </w:p>
        </w:tc>
        <w:tc>
          <w:tcPr>
            <w:tcW w:w="68" w:type="pct"/>
            <w:tcBorders>
              <w:top w:val="nil"/>
              <w:left w:val="nil"/>
              <w:bottom w:val="nil"/>
              <w:right w:val="nil"/>
            </w:tcBorders>
            <w:shd w:val="clear" w:color="000000" w:fill="FFFFFF"/>
            <w:noWrap/>
            <w:vAlign w:val="center"/>
            <w:hideMark/>
          </w:tcPr>
          <w:p w14:paraId="558E0A7A"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534C05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81" w:type="pct"/>
            <w:tcBorders>
              <w:top w:val="nil"/>
              <w:left w:val="nil"/>
              <w:bottom w:val="nil"/>
              <w:right w:val="nil"/>
            </w:tcBorders>
            <w:shd w:val="clear" w:color="000000" w:fill="FFFFFF"/>
            <w:noWrap/>
            <w:vAlign w:val="center"/>
            <w:hideMark/>
          </w:tcPr>
          <w:p w14:paraId="13C3912A"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 </w:t>
            </w:r>
          </w:p>
        </w:tc>
        <w:tc>
          <w:tcPr>
            <w:tcW w:w="567" w:type="pct"/>
            <w:tcBorders>
              <w:top w:val="nil"/>
              <w:left w:val="nil"/>
              <w:bottom w:val="nil"/>
              <w:right w:val="nil"/>
            </w:tcBorders>
            <w:shd w:val="clear" w:color="000000" w:fill="FFFFFF"/>
            <w:noWrap/>
            <w:vAlign w:val="center"/>
            <w:hideMark/>
          </w:tcPr>
          <w:p w14:paraId="50A4BDA4"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EB8825A"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7AEA0B59"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xml:space="preserve">Per cent of GDP </w:t>
            </w:r>
          </w:p>
        </w:tc>
        <w:tc>
          <w:tcPr>
            <w:tcW w:w="454" w:type="pct"/>
            <w:tcBorders>
              <w:top w:val="nil"/>
              <w:left w:val="nil"/>
              <w:bottom w:val="nil"/>
              <w:right w:val="nil"/>
            </w:tcBorders>
            <w:shd w:val="clear" w:color="000000" w:fill="FFFFFF"/>
            <w:noWrap/>
            <w:vAlign w:val="center"/>
            <w:hideMark/>
          </w:tcPr>
          <w:p w14:paraId="7FC256BB"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20.0</w:t>
            </w:r>
          </w:p>
        </w:tc>
        <w:tc>
          <w:tcPr>
            <w:tcW w:w="454" w:type="pct"/>
            <w:tcBorders>
              <w:top w:val="nil"/>
              <w:left w:val="nil"/>
              <w:bottom w:val="nil"/>
              <w:right w:val="nil"/>
            </w:tcBorders>
            <w:shd w:val="clear" w:color="000000" w:fill="E6F2FF"/>
            <w:noWrap/>
            <w:vAlign w:val="center"/>
            <w:hideMark/>
          </w:tcPr>
          <w:p w14:paraId="5D863872"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21.6</w:t>
            </w:r>
          </w:p>
        </w:tc>
        <w:tc>
          <w:tcPr>
            <w:tcW w:w="454" w:type="pct"/>
            <w:tcBorders>
              <w:top w:val="nil"/>
              <w:left w:val="nil"/>
              <w:bottom w:val="nil"/>
              <w:right w:val="nil"/>
            </w:tcBorders>
            <w:shd w:val="clear" w:color="000000" w:fill="FFFFFF"/>
            <w:noWrap/>
            <w:vAlign w:val="center"/>
            <w:hideMark/>
          </w:tcPr>
          <w:p w14:paraId="013058A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22.6</w:t>
            </w:r>
          </w:p>
        </w:tc>
        <w:tc>
          <w:tcPr>
            <w:tcW w:w="454" w:type="pct"/>
            <w:tcBorders>
              <w:top w:val="nil"/>
              <w:left w:val="nil"/>
              <w:bottom w:val="nil"/>
              <w:right w:val="nil"/>
            </w:tcBorders>
            <w:shd w:val="clear" w:color="000000" w:fill="FFFFFF"/>
            <w:noWrap/>
            <w:vAlign w:val="center"/>
            <w:hideMark/>
          </w:tcPr>
          <w:p w14:paraId="36C53C4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22.7</w:t>
            </w:r>
          </w:p>
        </w:tc>
        <w:tc>
          <w:tcPr>
            <w:tcW w:w="454" w:type="pct"/>
            <w:tcBorders>
              <w:top w:val="nil"/>
              <w:left w:val="nil"/>
              <w:bottom w:val="nil"/>
              <w:right w:val="nil"/>
            </w:tcBorders>
            <w:shd w:val="clear" w:color="000000" w:fill="FFFFFF"/>
            <w:noWrap/>
            <w:vAlign w:val="center"/>
            <w:hideMark/>
          </w:tcPr>
          <w:p w14:paraId="47A6728B"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23.1</w:t>
            </w:r>
          </w:p>
        </w:tc>
        <w:tc>
          <w:tcPr>
            <w:tcW w:w="68" w:type="pct"/>
            <w:tcBorders>
              <w:top w:val="nil"/>
              <w:left w:val="nil"/>
              <w:bottom w:val="nil"/>
              <w:right w:val="nil"/>
            </w:tcBorders>
            <w:shd w:val="clear" w:color="000000" w:fill="FFFFFF"/>
            <w:noWrap/>
            <w:vAlign w:val="center"/>
            <w:hideMark/>
          </w:tcPr>
          <w:p w14:paraId="57852260"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9849B9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5F5193BF"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579DE073"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20.2 </w:t>
            </w:r>
          </w:p>
        </w:tc>
      </w:tr>
      <w:tr w:rsidR="001E56D6" w:rsidRPr="001E56D6" w14:paraId="56A286F8" w14:textId="77777777" w:rsidTr="001E56D6">
        <w:trPr>
          <w:trHeight w:hRule="exact" w:val="60"/>
        </w:trPr>
        <w:tc>
          <w:tcPr>
            <w:tcW w:w="1552" w:type="pct"/>
            <w:tcBorders>
              <w:top w:val="nil"/>
              <w:left w:val="nil"/>
              <w:bottom w:val="nil"/>
              <w:right w:val="nil"/>
            </w:tcBorders>
            <w:shd w:val="clear" w:color="000000" w:fill="FFFFFF"/>
            <w:noWrap/>
            <w:vAlign w:val="center"/>
            <w:hideMark/>
          </w:tcPr>
          <w:p w14:paraId="676DAA15" w14:textId="77777777" w:rsidR="001E56D6" w:rsidRPr="001E56D6" w:rsidRDefault="001E56D6" w:rsidP="001E56D6">
            <w:pPr>
              <w:spacing w:before="0" w:after="0" w:line="240" w:lineRule="auto"/>
              <w:rPr>
                <w:rFonts w:ascii="Arial" w:hAnsi="Arial" w:cs="Arial"/>
                <w:color w:val="000000"/>
                <w:sz w:val="16"/>
                <w:szCs w:val="16"/>
              </w:rPr>
            </w:pPr>
            <w:r w:rsidRPr="001E56D6">
              <w:rPr>
                <w:rFonts w:ascii="Arial" w:hAnsi="Arial" w:cs="Arial"/>
                <w:color w:val="000000"/>
                <w:sz w:val="16"/>
                <w:szCs w:val="16"/>
              </w:rPr>
              <w:t> </w:t>
            </w:r>
          </w:p>
        </w:tc>
        <w:tc>
          <w:tcPr>
            <w:tcW w:w="454" w:type="pct"/>
            <w:tcBorders>
              <w:top w:val="nil"/>
              <w:left w:val="nil"/>
              <w:bottom w:val="nil"/>
              <w:right w:val="nil"/>
            </w:tcBorders>
            <w:shd w:val="clear" w:color="000000" w:fill="FFFFFF"/>
            <w:noWrap/>
            <w:vAlign w:val="center"/>
            <w:hideMark/>
          </w:tcPr>
          <w:p w14:paraId="7522DD5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E6F2FF"/>
            <w:noWrap/>
            <w:vAlign w:val="center"/>
            <w:hideMark/>
          </w:tcPr>
          <w:p w14:paraId="55923A28"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5CDEB91"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27D30E1E"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54" w:type="pct"/>
            <w:tcBorders>
              <w:top w:val="nil"/>
              <w:left w:val="nil"/>
              <w:bottom w:val="nil"/>
              <w:right w:val="nil"/>
            </w:tcBorders>
            <w:shd w:val="clear" w:color="000000" w:fill="FFFFFF"/>
            <w:noWrap/>
            <w:vAlign w:val="center"/>
            <w:hideMark/>
          </w:tcPr>
          <w:p w14:paraId="66D152B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68" w:type="pct"/>
            <w:tcBorders>
              <w:top w:val="nil"/>
              <w:left w:val="nil"/>
              <w:bottom w:val="nil"/>
              <w:right w:val="nil"/>
            </w:tcBorders>
            <w:shd w:val="clear" w:color="000000" w:fill="FFFFFF"/>
            <w:noWrap/>
            <w:vAlign w:val="center"/>
            <w:hideMark/>
          </w:tcPr>
          <w:p w14:paraId="075F0AB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642A552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81" w:type="pct"/>
            <w:tcBorders>
              <w:top w:val="nil"/>
              <w:left w:val="nil"/>
              <w:bottom w:val="nil"/>
              <w:right w:val="nil"/>
            </w:tcBorders>
            <w:shd w:val="clear" w:color="000000" w:fill="FFFFFF"/>
            <w:noWrap/>
            <w:vAlign w:val="center"/>
            <w:hideMark/>
          </w:tcPr>
          <w:p w14:paraId="4711E175"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14031DFF"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24A8A374" w14:textId="77777777" w:rsidTr="001E56D6">
        <w:trPr>
          <w:trHeight w:hRule="exact" w:val="225"/>
        </w:trPr>
        <w:tc>
          <w:tcPr>
            <w:tcW w:w="1552" w:type="pct"/>
            <w:tcBorders>
              <w:top w:val="nil"/>
              <w:left w:val="nil"/>
              <w:bottom w:val="nil"/>
              <w:right w:val="nil"/>
            </w:tcBorders>
            <w:shd w:val="clear" w:color="000000" w:fill="FFFFFF"/>
            <w:noWrap/>
            <w:vAlign w:val="center"/>
            <w:hideMark/>
          </w:tcPr>
          <w:p w14:paraId="3420AEF0" w14:textId="77777777" w:rsidR="001E56D6" w:rsidRPr="001E56D6" w:rsidRDefault="001E56D6" w:rsidP="001E56D6">
            <w:pPr>
              <w:spacing w:before="0" w:after="0" w:line="240" w:lineRule="auto"/>
              <w:rPr>
                <w:rFonts w:ascii="Arial" w:hAnsi="Arial" w:cs="Arial"/>
                <w:b/>
                <w:bCs/>
                <w:sz w:val="16"/>
                <w:szCs w:val="16"/>
              </w:rPr>
            </w:pPr>
            <w:r w:rsidRPr="001E56D6">
              <w:rPr>
                <w:rFonts w:ascii="Arial" w:hAnsi="Arial" w:cs="Arial"/>
                <w:b/>
                <w:bCs/>
                <w:sz w:val="16"/>
                <w:szCs w:val="16"/>
              </w:rPr>
              <w:t>Net interest payments(d)</w:t>
            </w:r>
          </w:p>
        </w:tc>
        <w:tc>
          <w:tcPr>
            <w:tcW w:w="454" w:type="pct"/>
            <w:tcBorders>
              <w:top w:val="nil"/>
              <w:left w:val="nil"/>
              <w:bottom w:val="nil"/>
              <w:right w:val="nil"/>
            </w:tcBorders>
            <w:shd w:val="clear" w:color="000000" w:fill="FFFFFF"/>
            <w:noWrap/>
            <w:vAlign w:val="center"/>
            <w:hideMark/>
          </w:tcPr>
          <w:p w14:paraId="64E3F4AB"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14.9</w:t>
            </w:r>
          </w:p>
        </w:tc>
        <w:tc>
          <w:tcPr>
            <w:tcW w:w="454" w:type="pct"/>
            <w:tcBorders>
              <w:top w:val="nil"/>
              <w:left w:val="nil"/>
              <w:bottom w:val="nil"/>
              <w:right w:val="nil"/>
            </w:tcBorders>
            <w:shd w:val="clear" w:color="000000" w:fill="E6F2FF"/>
            <w:noWrap/>
            <w:vAlign w:val="center"/>
            <w:hideMark/>
          </w:tcPr>
          <w:p w14:paraId="182E28E7"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18.5</w:t>
            </w:r>
          </w:p>
        </w:tc>
        <w:tc>
          <w:tcPr>
            <w:tcW w:w="454" w:type="pct"/>
            <w:tcBorders>
              <w:top w:val="nil"/>
              <w:left w:val="nil"/>
              <w:bottom w:val="nil"/>
              <w:right w:val="nil"/>
            </w:tcBorders>
            <w:shd w:val="clear" w:color="000000" w:fill="FFFFFF"/>
            <w:noWrap/>
            <w:vAlign w:val="center"/>
            <w:hideMark/>
          </w:tcPr>
          <w:p w14:paraId="3DE3E528"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21.2</w:t>
            </w:r>
          </w:p>
        </w:tc>
        <w:tc>
          <w:tcPr>
            <w:tcW w:w="454" w:type="pct"/>
            <w:tcBorders>
              <w:top w:val="nil"/>
              <w:left w:val="nil"/>
              <w:bottom w:val="nil"/>
              <w:right w:val="nil"/>
            </w:tcBorders>
            <w:shd w:val="clear" w:color="000000" w:fill="FFFFFF"/>
            <w:noWrap/>
            <w:vAlign w:val="center"/>
            <w:hideMark/>
          </w:tcPr>
          <w:p w14:paraId="6ADB150F"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26.9</w:t>
            </w:r>
          </w:p>
        </w:tc>
        <w:tc>
          <w:tcPr>
            <w:tcW w:w="454" w:type="pct"/>
            <w:tcBorders>
              <w:top w:val="nil"/>
              <w:left w:val="nil"/>
              <w:bottom w:val="nil"/>
              <w:right w:val="nil"/>
            </w:tcBorders>
            <w:shd w:val="clear" w:color="000000" w:fill="FFFFFF"/>
            <w:noWrap/>
            <w:vAlign w:val="center"/>
            <w:hideMark/>
          </w:tcPr>
          <w:p w14:paraId="71C3BF02" w14:textId="77777777" w:rsidR="001E56D6" w:rsidRPr="001E56D6" w:rsidRDefault="001E56D6" w:rsidP="001E56D6">
            <w:pPr>
              <w:spacing w:before="0" w:after="0" w:line="240" w:lineRule="auto"/>
              <w:jc w:val="right"/>
              <w:rPr>
                <w:rFonts w:ascii="Arial" w:hAnsi="Arial" w:cs="Arial"/>
                <w:b/>
                <w:bCs/>
                <w:sz w:val="16"/>
                <w:szCs w:val="16"/>
              </w:rPr>
            </w:pPr>
            <w:r w:rsidRPr="001E56D6">
              <w:rPr>
                <w:rFonts w:ascii="Arial" w:hAnsi="Arial" w:cs="Arial"/>
                <w:b/>
                <w:bCs/>
                <w:sz w:val="16"/>
                <w:szCs w:val="16"/>
              </w:rPr>
              <w:t>28.1</w:t>
            </w:r>
          </w:p>
        </w:tc>
        <w:tc>
          <w:tcPr>
            <w:tcW w:w="68" w:type="pct"/>
            <w:tcBorders>
              <w:top w:val="nil"/>
              <w:left w:val="nil"/>
              <w:bottom w:val="nil"/>
              <w:right w:val="nil"/>
            </w:tcBorders>
            <w:shd w:val="clear" w:color="auto" w:fill="auto"/>
            <w:noWrap/>
            <w:vAlign w:val="center"/>
            <w:hideMark/>
          </w:tcPr>
          <w:p w14:paraId="7D83928E" w14:textId="77777777" w:rsidR="001E56D6" w:rsidRPr="001E56D6" w:rsidRDefault="001E56D6" w:rsidP="001E56D6">
            <w:pPr>
              <w:spacing w:before="0" w:after="0" w:line="240" w:lineRule="auto"/>
              <w:jc w:val="right"/>
              <w:rPr>
                <w:rFonts w:ascii="Arial" w:hAnsi="Arial" w:cs="Arial"/>
                <w:b/>
                <w:bCs/>
                <w:sz w:val="16"/>
                <w:szCs w:val="16"/>
              </w:rPr>
            </w:pPr>
          </w:p>
        </w:tc>
        <w:tc>
          <w:tcPr>
            <w:tcW w:w="462" w:type="pct"/>
            <w:tcBorders>
              <w:top w:val="nil"/>
              <w:left w:val="nil"/>
              <w:bottom w:val="nil"/>
              <w:right w:val="nil"/>
            </w:tcBorders>
            <w:shd w:val="clear" w:color="000000" w:fill="FFFFFF"/>
            <w:noWrap/>
            <w:vAlign w:val="center"/>
            <w:hideMark/>
          </w:tcPr>
          <w:p w14:paraId="3B9A41E7" w14:textId="29595BC9" w:rsidR="001E56D6" w:rsidRPr="001E56D6" w:rsidRDefault="001E56D6" w:rsidP="001E56D6">
            <w:pPr>
              <w:spacing w:before="0" w:after="0" w:line="240" w:lineRule="auto"/>
              <w:jc w:val="right"/>
              <w:rPr>
                <w:rFonts w:ascii="Arial" w:hAnsi="Arial" w:cs="Arial"/>
                <w:b/>
                <w:bCs/>
                <w:sz w:val="16"/>
                <w:szCs w:val="16"/>
              </w:rPr>
            </w:pPr>
            <w:r>
              <w:rPr>
                <w:rFonts w:ascii="Arial" w:hAnsi="Arial" w:cs="Arial"/>
                <w:b/>
                <w:bCs/>
                <w:sz w:val="16"/>
                <w:szCs w:val="16"/>
              </w:rPr>
              <w:t xml:space="preserve">109.6 </w:t>
            </w:r>
          </w:p>
        </w:tc>
        <w:tc>
          <w:tcPr>
            <w:tcW w:w="81" w:type="pct"/>
            <w:tcBorders>
              <w:top w:val="nil"/>
              <w:left w:val="nil"/>
              <w:bottom w:val="nil"/>
              <w:right w:val="nil"/>
            </w:tcBorders>
            <w:shd w:val="clear" w:color="000000" w:fill="FFFFFF"/>
            <w:noWrap/>
            <w:vAlign w:val="center"/>
            <w:hideMark/>
          </w:tcPr>
          <w:p w14:paraId="27DF1F8C"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567" w:type="pct"/>
            <w:tcBorders>
              <w:top w:val="nil"/>
              <w:left w:val="nil"/>
              <w:bottom w:val="nil"/>
              <w:right w:val="nil"/>
            </w:tcBorders>
            <w:shd w:val="clear" w:color="000000" w:fill="FFFFFF"/>
            <w:noWrap/>
            <w:vAlign w:val="center"/>
            <w:hideMark/>
          </w:tcPr>
          <w:p w14:paraId="35CA1587" w14:textId="77777777" w:rsidR="001E56D6" w:rsidRPr="004D32B6" w:rsidRDefault="001E56D6" w:rsidP="001E56D6">
            <w:pPr>
              <w:spacing w:before="0" w:after="0" w:line="240" w:lineRule="auto"/>
              <w:rPr>
                <w:rFonts w:ascii="Arial" w:hAnsi="Arial" w:cs="Arial"/>
                <w:sz w:val="16"/>
                <w:szCs w:val="16"/>
              </w:rPr>
            </w:pPr>
            <w:r w:rsidRPr="004D32B6">
              <w:rPr>
                <w:rFonts w:ascii="Arial" w:hAnsi="Arial" w:cs="Arial"/>
                <w:sz w:val="16"/>
                <w:szCs w:val="16"/>
              </w:rPr>
              <w:t> </w:t>
            </w:r>
          </w:p>
        </w:tc>
      </w:tr>
      <w:tr w:rsidR="001E56D6" w:rsidRPr="001E56D6" w14:paraId="5B42B18F" w14:textId="77777777" w:rsidTr="001E56D6">
        <w:trPr>
          <w:trHeight w:hRule="exact" w:val="225"/>
        </w:trPr>
        <w:tc>
          <w:tcPr>
            <w:tcW w:w="1552" w:type="pct"/>
            <w:tcBorders>
              <w:top w:val="nil"/>
              <w:left w:val="nil"/>
              <w:bottom w:val="single" w:sz="4" w:space="0" w:color="293F5B"/>
              <w:right w:val="nil"/>
            </w:tcBorders>
            <w:shd w:val="clear" w:color="000000" w:fill="FFFFFF"/>
            <w:noWrap/>
            <w:vAlign w:val="center"/>
            <w:hideMark/>
          </w:tcPr>
          <w:p w14:paraId="74935096"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Per cent of GDP</w:t>
            </w:r>
          </w:p>
        </w:tc>
        <w:tc>
          <w:tcPr>
            <w:tcW w:w="454" w:type="pct"/>
            <w:tcBorders>
              <w:top w:val="nil"/>
              <w:left w:val="nil"/>
              <w:bottom w:val="single" w:sz="4" w:space="0" w:color="293F5B"/>
              <w:right w:val="nil"/>
            </w:tcBorders>
            <w:shd w:val="clear" w:color="000000" w:fill="FFFFFF"/>
            <w:noWrap/>
            <w:vAlign w:val="center"/>
            <w:hideMark/>
          </w:tcPr>
          <w:p w14:paraId="52877437"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0.5</w:t>
            </w:r>
          </w:p>
        </w:tc>
        <w:tc>
          <w:tcPr>
            <w:tcW w:w="454" w:type="pct"/>
            <w:tcBorders>
              <w:top w:val="nil"/>
              <w:left w:val="nil"/>
              <w:bottom w:val="single" w:sz="4" w:space="0" w:color="293F5B"/>
              <w:right w:val="nil"/>
            </w:tcBorders>
            <w:shd w:val="clear" w:color="000000" w:fill="E6F2FF"/>
            <w:noWrap/>
            <w:vAlign w:val="center"/>
            <w:hideMark/>
          </w:tcPr>
          <w:p w14:paraId="31824736"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0.6</w:t>
            </w:r>
          </w:p>
        </w:tc>
        <w:tc>
          <w:tcPr>
            <w:tcW w:w="454" w:type="pct"/>
            <w:tcBorders>
              <w:top w:val="nil"/>
              <w:left w:val="nil"/>
              <w:bottom w:val="single" w:sz="4" w:space="0" w:color="293F5B"/>
              <w:right w:val="nil"/>
            </w:tcBorders>
            <w:shd w:val="clear" w:color="000000" w:fill="FFFFFF"/>
            <w:noWrap/>
            <w:vAlign w:val="center"/>
            <w:hideMark/>
          </w:tcPr>
          <w:p w14:paraId="6DF2A54D"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0.7</w:t>
            </w:r>
          </w:p>
        </w:tc>
        <w:tc>
          <w:tcPr>
            <w:tcW w:w="454" w:type="pct"/>
            <w:tcBorders>
              <w:top w:val="nil"/>
              <w:left w:val="nil"/>
              <w:bottom w:val="single" w:sz="4" w:space="0" w:color="293F5B"/>
              <w:right w:val="nil"/>
            </w:tcBorders>
            <w:shd w:val="clear" w:color="000000" w:fill="FFFFFF"/>
            <w:noWrap/>
            <w:vAlign w:val="center"/>
            <w:hideMark/>
          </w:tcPr>
          <w:p w14:paraId="10BC6E24"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0.9</w:t>
            </w:r>
          </w:p>
        </w:tc>
        <w:tc>
          <w:tcPr>
            <w:tcW w:w="454" w:type="pct"/>
            <w:tcBorders>
              <w:top w:val="nil"/>
              <w:left w:val="nil"/>
              <w:bottom w:val="single" w:sz="4" w:space="0" w:color="293F5B"/>
              <w:right w:val="nil"/>
            </w:tcBorders>
            <w:shd w:val="clear" w:color="000000" w:fill="FFFFFF"/>
            <w:noWrap/>
            <w:vAlign w:val="center"/>
            <w:hideMark/>
          </w:tcPr>
          <w:p w14:paraId="27DA1599" w14:textId="77777777" w:rsidR="001E56D6" w:rsidRPr="001E56D6" w:rsidRDefault="001E56D6" w:rsidP="001E56D6">
            <w:pPr>
              <w:spacing w:before="0" w:after="0" w:line="240" w:lineRule="auto"/>
              <w:jc w:val="right"/>
              <w:rPr>
                <w:rFonts w:ascii="Arial" w:hAnsi="Arial" w:cs="Arial"/>
                <w:sz w:val="16"/>
                <w:szCs w:val="16"/>
              </w:rPr>
            </w:pPr>
            <w:r w:rsidRPr="001E56D6">
              <w:rPr>
                <w:rFonts w:ascii="Arial" w:hAnsi="Arial" w:cs="Arial"/>
                <w:sz w:val="16"/>
                <w:szCs w:val="16"/>
              </w:rPr>
              <w:t>0.8</w:t>
            </w:r>
          </w:p>
        </w:tc>
        <w:tc>
          <w:tcPr>
            <w:tcW w:w="68" w:type="pct"/>
            <w:tcBorders>
              <w:top w:val="nil"/>
              <w:left w:val="nil"/>
              <w:bottom w:val="single" w:sz="4" w:space="0" w:color="293F5B"/>
              <w:right w:val="nil"/>
            </w:tcBorders>
            <w:shd w:val="clear" w:color="auto" w:fill="auto"/>
            <w:noWrap/>
            <w:vAlign w:val="center"/>
            <w:hideMark/>
          </w:tcPr>
          <w:p w14:paraId="747B6319"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462" w:type="pct"/>
            <w:tcBorders>
              <w:top w:val="nil"/>
              <w:left w:val="nil"/>
              <w:bottom w:val="single" w:sz="4" w:space="0" w:color="293F5B"/>
              <w:right w:val="nil"/>
            </w:tcBorders>
            <w:shd w:val="clear" w:color="000000" w:fill="FFFFFF"/>
            <w:noWrap/>
            <w:vAlign w:val="center"/>
            <w:hideMark/>
          </w:tcPr>
          <w:p w14:paraId="3C95B217"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81" w:type="pct"/>
            <w:tcBorders>
              <w:top w:val="nil"/>
              <w:left w:val="nil"/>
              <w:bottom w:val="single" w:sz="4" w:space="0" w:color="293F5B"/>
              <w:right w:val="nil"/>
            </w:tcBorders>
            <w:shd w:val="clear" w:color="000000" w:fill="FFFFFF"/>
            <w:noWrap/>
            <w:vAlign w:val="center"/>
            <w:hideMark/>
          </w:tcPr>
          <w:p w14:paraId="55DDE782" w14:textId="77777777" w:rsidR="001E56D6" w:rsidRPr="001E56D6" w:rsidRDefault="001E56D6" w:rsidP="001E56D6">
            <w:pPr>
              <w:spacing w:before="0" w:after="0" w:line="240" w:lineRule="auto"/>
              <w:rPr>
                <w:rFonts w:ascii="Arial" w:hAnsi="Arial" w:cs="Arial"/>
                <w:sz w:val="16"/>
                <w:szCs w:val="16"/>
              </w:rPr>
            </w:pPr>
            <w:r w:rsidRPr="001E56D6">
              <w:rPr>
                <w:rFonts w:ascii="Arial" w:hAnsi="Arial" w:cs="Arial"/>
                <w:sz w:val="16"/>
                <w:szCs w:val="16"/>
              </w:rPr>
              <w:t> </w:t>
            </w:r>
          </w:p>
        </w:tc>
        <w:tc>
          <w:tcPr>
            <w:tcW w:w="567" w:type="pct"/>
            <w:tcBorders>
              <w:top w:val="nil"/>
              <w:left w:val="nil"/>
              <w:bottom w:val="single" w:sz="4" w:space="0" w:color="293F5B"/>
              <w:right w:val="nil"/>
            </w:tcBorders>
            <w:shd w:val="clear" w:color="000000" w:fill="FFFFFF"/>
            <w:noWrap/>
            <w:vAlign w:val="center"/>
            <w:hideMark/>
          </w:tcPr>
          <w:p w14:paraId="3D07472F" w14:textId="77777777" w:rsidR="001E56D6" w:rsidRPr="004D32B6" w:rsidRDefault="001E56D6" w:rsidP="001E56D6">
            <w:pPr>
              <w:spacing w:before="0" w:after="0" w:line="240" w:lineRule="auto"/>
              <w:jc w:val="right"/>
              <w:rPr>
                <w:rFonts w:ascii="Arial" w:hAnsi="Arial" w:cs="Arial"/>
                <w:sz w:val="16"/>
                <w:szCs w:val="16"/>
              </w:rPr>
            </w:pPr>
            <w:r w:rsidRPr="004D32B6">
              <w:rPr>
                <w:rFonts w:ascii="Arial" w:hAnsi="Arial" w:cs="Arial"/>
                <w:sz w:val="16"/>
                <w:szCs w:val="16"/>
              </w:rPr>
              <w:t xml:space="preserve">1.1 </w:t>
            </w:r>
          </w:p>
        </w:tc>
      </w:tr>
    </w:tbl>
    <w:p w14:paraId="5363BF15" w14:textId="6AB96419" w:rsidR="0045466D" w:rsidRPr="00712254" w:rsidRDefault="0045466D" w:rsidP="005F3F69">
      <w:pPr>
        <w:pStyle w:val="ChartandTableFootnoteAlpha"/>
        <w:rPr>
          <w:rFonts w:eastAsiaTheme="minorHAnsi"/>
        </w:rPr>
      </w:pPr>
      <w:r w:rsidRPr="004D32B6">
        <w:rPr>
          <w:rFonts w:eastAsiaTheme="minorHAnsi"/>
          <w:color w:val="auto"/>
        </w:rPr>
        <w:t>Equivalent to cash payments for operating activities, purchases of non</w:t>
      </w:r>
      <w:r w:rsidR="00993DA1" w:rsidRPr="004D32B6">
        <w:rPr>
          <w:rFonts w:eastAsiaTheme="minorHAnsi"/>
          <w:color w:val="auto"/>
        </w:rPr>
        <w:noBreakHyphen/>
      </w:r>
      <w:r w:rsidRPr="004D32B6">
        <w:rPr>
          <w:rFonts w:eastAsiaTheme="minorHAnsi"/>
          <w:color w:val="auto"/>
        </w:rPr>
        <w:t>financial assets and principal payments of lease liabilities.</w:t>
      </w:r>
      <w:r w:rsidRPr="00712254">
        <w:t xml:space="preserve"> </w:t>
      </w:r>
    </w:p>
    <w:p w14:paraId="34A67DF8" w14:textId="41BE8AED" w:rsidR="0045466D" w:rsidRPr="00712254" w:rsidRDefault="0045466D" w:rsidP="0045466D">
      <w:pPr>
        <w:pStyle w:val="ChartandTableFootnoteAlpha"/>
        <w:numPr>
          <w:ilvl w:val="0"/>
          <w:numId w:val="4"/>
        </w:numPr>
        <w:rPr>
          <w:rFonts w:eastAsiaTheme="minorHAnsi"/>
          <w:color w:val="auto"/>
        </w:rPr>
      </w:pPr>
      <w:r w:rsidRPr="004D32B6">
        <w:rPr>
          <w:rFonts w:eastAsiaTheme="minorHAnsi"/>
          <w:color w:val="auto"/>
        </w:rPr>
        <w:t xml:space="preserve">Gross debt measures the face value of Australian Government Securities (AGS) on issue and is presented as at the end of the financial year. </w:t>
      </w:r>
      <w:r w:rsidR="002A7915" w:rsidRPr="004D32B6">
        <w:rPr>
          <w:rFonts w:eastAsiaTheme="minorHAnsi"/>
          <w:color w:val="auto"/>
        </w:rPr>
        <w:t>The change in the underlying cash balance since the 2025–26 Budget</w:t>
      </w:r>
      <w:r w:rsidR="00EF3262" w:rsidRPr="004D32B6">
        <w:rPr>
          <w:rFonts w:eastAsiaTheme="minorHAnsi"/>
          <w:color w:val="auto"/>
        </w:rPr>
        <w:t xml:space="preserve"> has not materially changed the Government</w:t>
      </w:r>
      <w:r w:rsidR="00993DA1" w:rsidRPr="004D32B6">
        <w:rPr>
          <w:rFonts w:eastAsiaTheme="minorHAnsi"/>
          <w:color w:val="auto"/>
        </w:rPr>
        <w:t>’</w:t>
      </w:r>
      <w:r w:rsidR="00EF3262" w:rsidRPr="004D32B6">
        <w:rPr>
          <w:rFonts w:eastAsiaTheme="minorHAnsi"/>
          <w:color w:val="auto"/>
        </w:rPr>
        <w:t>s financing requirement</w:t>
      </w:r>
      <w:r w:rsidR="000C432B" w:rsidRPr="004D32B6">
        <w:rPr>
          <w:rFonts w:eastAsiaTheme="minorHAnsi"/>
          <w:color w:val="auto"/>
        </w:rPr>
        <w:t>.</w:t>
      </w:r>
      <w:r w:rsidR="00EF3262" w:rsidRPr="004D32B6">
        <w:rPr>
          <w:rFonts w:eastAsiaTheme="minorHAnsi"/>
          <w:color w:val="auto"/>
        </w:rPr>
        <w:t xml:space="preserve"> </w:t>
      </w:r>
      <w:r w:rsidR="000C432B" w:rsidRPr="004D32B6">
        <w:rPr>
          <w:rFonts w:eastAsiaTheme="minorHAnsi"/>
          <w:color w:val="auto"/>
        </w:rPr>
        <w:t>G</w:t>
      </w:r>
      <w:r w:rsidR="00B75F64" w:rsidRPr="004D32B6">
        <w:rPr>
          <w:rFonts w:eastAsiaTheme="minorHAnsi"/>
          <w:color w:val="auto"/>
        </w:rPr>
        <w:t xml:space="preserve">ross debt estimates </w:t>
      </w:r>
      <w:r w:rsidR="000C432B" w:rsidRPr="004D32B6">
        <w:rPr>
          <w:rFonts w:eastAsiaTheme="minorHAnsi"/>
          <w:color w:val="auto"/>
        </w:rPr>
        <w:t xml:space="preserve">therefore </w:t>
      </w:r>
      <w:r w:rsidR="00B75F64" w:rsidRPr="004D32B6">
        <w:rPr>
          <w:rFonts w:eastAsiaTheme="minorHAnsi"/>
          <w:color w:val="auto"/>
        </w:rPr>
        <w:t>remain</w:t>
      </w:r>
      <w:r w:rsidR="0040017C" w:rsidRPr="004D32B6">
        <w:rPr>
          <w:rFonts w:eastAsiaTheme="minorHAnsi"/>
          <w:color w:val="auto"/>
        </w:rPr>
        <w:t xml:space="preserve"> unchanged since the 2025–26 Budget.</w:t>
      </w:r>
      <w:r w:rsidR="00BD348C" w:rsidRPr="004D32B6">
        <w:rPr>
          <w:rFonts w:eastAsiaTheme="minorHAnsi"/>
          <w:color w:val="auto"/>
        </w:rPr>
        <w:t xml:space="preserve"> </w:t>
      </w:r>
    </w:p>
    <w:p w14:paraId="723B57CD" w14:textId="1BBADE72" w:rsidR="0045466D" w:rsidRPr="00712254" w:rsidRDefault="0045466D" w:rsidP="0045466D">
      <w:pPr>
        <w:pStyle w:val="ChartandTableFootnoteAlpha"/>
        <w:numPr>
          <w:ilvl w:val="0"/>
          <w:numId w:val="4"/>
        </w:numPr>
        <w:rPr>
          <w:rFonts w:eastAsiaTheme="minorHAnsi"/>
          <w:color w:val="auto"/>
        </w:rPr>
      </w:pPr>
      <w:r w:rsidRPr="004D32B6">
        <w:rPr>
          <w:rFonts w:eastAsiaTheme="minorHAnsi"/>
          <w:color w:val="auto"/>
        </w:rPr>
        <w:t>Net debt is the sum of interest</w:t>
      </w:r>
      <w:r w:rsidR="00993DA1" w:rsidRPr="004D32B6">
        <w:rPr>
          <w:rFonts w:eastAsiaTheme="minorHAnsi"/>
          <w:color w:val="auto"/>
        </w:rPr>
        <w:noBreakHyphen/>
      </w:r>
      <w:r w:rsidRPr="004D32B6">
        <w:rPr>
          <w:rFonts w:eastAsiaTheme="minorHAnsi"/>
          <w:color w:val="auto"/>
        </w:rPr>
        <w:t>bearing liabilities (which includes AGS on issue measured at market value) less the sum of selected financial assets (cash and deposits, advances paid and investments, loans and placements) and is presented as at the end of the financial year.</w:t>
      </w:r>
    </w:p>
    <w:p w14:paraId="0EB2FBCC" w14:textId="480DF774" w:rsidR="00520420" w:rsidRPr="00520420" w:rsidRDefault="0045466D" w:rsidP="0005033D">
      <w:pPr>
        <w:pStyle w:val="ChartandTableFootnoteAlpha"/>
        <w:numPr>
          <w:ilvl w:val="0"/>
          <w:numId w:val="4"/>
        </w:numPr>
      </w:pPr>
      <w:r w:rsidRPr="004D32B6">
        <w:rPr>
          <w:rFonts w:eastAsiaTheme="minorEastAsia"/>
          <w:color w:val="auto"/>
        </w:rPr>
        <w:t>Net interest payments are equal to the difference between interest payments and interest receipts.</w:t>
      </w:r>
      <w:r w:rsidR="00EB65D2" w:rsidRPr="004D32B6">
        <w:rPr>
          <w:rFonts w:eastAsiaTheme="minorHAnsi"/>
          <w:color w:val="auto"/>
        </w:rPr>
        <w:t xml:space="preserve"> </w:t>
      </w:r>
    </w:p>
    <w:p w14:paraId="79D9869C" w14:textId="77777777" w:rsidR="00520420" w:rsidRPr="00522EE0" w:rsidRDefault="00520420" w:rsidP="00520420">
      <w:pPr>
        <w:pStyle w:val="TableLine"/>
      </w:pPr>
    </w:p>
    <w:p w14:paraId="78DD77CA" w14:textId="1EFA4197" w:rsidR="007B3C8C" w:rsidRDefault="0045466D" w:rsidP="00520420">
      <w:pPr>
        <w:pStyle w:val="ChartandTableFootnoteAlpha"/>
        <w:numPr>
          <w:ilvl w:val="0"/>
          <w:numId w:val="0"/>
        </w:numPr>
      </w:pPr>
      <w:r w:rsidRPr="00712254">
        <w:br w:type="page"/>
      </w:r>
    </w:p>
    <w:p w14:paraId="286462A2" w14:textId="19CF4FBB" w:rsidR="007B3C8C" w:rsidRPr="004D32B6" w:rsidRDefault="007B3C8C" w:rsidP="007B3C8C">
      <w:pPr>
        <w:pStyle w:val="Heading3"/>
      </w:pPr>
      <w:bookmarkStart w:id="8" w:name="_Toc100843270"/>
      <w:bookmarkStart w:id="9" w:name="_Toc101254457"/>
      <w:bookmarkStart w:id="10" w:name="_Toc101277289"/>
      <w:bookmarkStart w:id="11" w:name="_Toc101281542"/>
      <w:r w:rsidRPr="004D32B6">
        <w:lastRenderedPageBreak/>
        <w:t>Underlying cash balance estimates</w:t>
      </w:r>
      <w:bookmarkEnd w:id="8"/>
      <w:bookmarkEnd w:id="9"/>
      <w:bookmarkEnd w:id="10"/>
      <w:bookmarkEnd w:id="11"/>
      <w:r w:rsidRPr="004D32B6">
        <w:t xml:space="preserve"> </w:t>
      </w:r>
    </w:p>
    <w:p w14:paraId="6B0AAFEB" w14:textId="5272909F" w:rsidR="007B3C8C" w:rsidRDefault="007B3C8C" w:rsidP="007B3C8C">
      <w:r w:rsidRPr="004D32B6">
        <w:t xml:space="preserve">Table </w:t>
      </w:r>
      <w:r w:rsidR="000E4F75" w:rsidRPr="004D32B6">
        <w:t>4</w:t>
      </w:r>
      <w:r w:rsidRPr="004D32B6">
        <w:t xml:space="preserve"> provides a reconciliation of the underlying cash balance estimates from the </w:t>
      </w:r>
      <w:r w:rsidR="009D1FAA" w:rsidRPr="004D32B6">
        <w:br/>
      </w:r>
      <w:r w:rsidR="00044E55" w:rsidRPr="004D32B6">
        <w:t>2025–26</w:t>
      </w:r>
      <w:r w:rsidR="00204116">
        <w:t xml:space="preserve"> </w:t>
      </w:r>
      <w:r w:rsidRPr="004D32B6">
        <w:t xml:space="preserve">Budget to the </w:t>
      </w:r>
      <w:r w:rsidR="00674DF6" w:rsidRPr="004D32B6">
        <w:t xml:space="preserve">2025 </w:t>
      </w:r>
      <w:r w:rsidRPr="004D32B6">
        <w:t xml:space="preserve">PEFO. </w:t>
      </w:r>
    </w:p>
    <w:p w14:paraId="03A3B285" w14:textId="58CA2F36" w:rsidR="009F7D77" w:rsidRDefault="00D553CC" w:rsidP="009F7D77">
      <w:pPr>
        <w:pStyle w:val="TableHeading"/>
        <w:rPr>
          <w:rFonts w:asciiTheme="minorHAnsi" w:eastAsiaTheme="minorHAnsi" w:hAnsiTheme="minorHAnsi" w:cstheme="minorBidi"/>
          <w:sz w:val="22"/>
          <w:szCs w:val="22"/>
          <w:lang w:eastAsia="en-US"/>
        </w:rPr>
      </w:pPr>
      <w:r w:rsidRPr="004D32B6">
        <w:t>Table</w:t>
      </w:r>
      <w:r w:rsidR="00D81C3E" w:rsidRPr="004D32B6">
        <w:t xml:space="preserve"> </w:t>
      </w:r>
      <w:r w:rsidR="000E4F75" w:rsidRPr="004D32B6">
        <w:t>4</w:t>
      </w:r>
      <w:r w:rsidRPr="004D32B6">
        <w:t>: Reconciliation of general government sector underlying cash balance estimates</w:t>
      </w:r>
      <w:bookmarkStart w:id="12" w:name="_1804936324"/>
      <w:bookmarkStart w:id="13" w:name="_1804924781"/>
      <w:bookmarkEnd w:id="12"/>
      <w:bookmarkEnd w:id="13"/>
      <w:r w:rsidR="00110D1D" w:rsidRPr="004D32B6">
        <w:t xml:space="preserve"> </w:t>
      </w:r>
    </w:p>
    <w:tbl>
      <w:tblPr>
        <w:tblW w:w="5000" w:type="pct"/>
        <w:tblCellMar>
          <w:left w:w="0" w:type="dxa"/>
          <w:right w:w="28" w:type="dxa"/>
        </w:tblCellMar>
        <w:tblLook w:val="04A0" w:firstRow="1" w:lastRow="0" w:firstColumn="1" w:lastColumn="0" w:noHBand="0" w:noVBand="1"/>
      </w:tblPr>
      <w:tblGrid>
        <w:gridCol w:w="3259"/>
        <w:gridCol w:w="708"/>
        <w:gridCol w:w="730"/>
        <w:gridCol w:w="731"/>
        <w:gridCol w:w="731"/>
        <w:gridCol w:w="732"/>
        <w:gridCol w:w="73"/>
        <w:gridCol w:w="746"/>
      </w:tblGrid>
      <w:tr w:rsidR="009F7D77" w:rsidRPr="009F7D77" w14:paraId="6E69B4D0" w14:textId="77777777" w:rsidTr="009F7D77">
        <w:trPr>
          <w:trHeight w:hRule="exact" w:val="225"/>
        </w:trPr>
        <w:tc>
          <w:tcPr>
            <w:tcW w:w="2114" w:type="pct"/>
            <w:tcBorders>
              <w:top w:val="single" w:sz="4" w:space="0" w:color="293F5B"/>
              <w:left w:val="nil"/>
              <w:bottom w:val="nil"/>
              <w:right w:val="nil"/>
            </w:tcBorders>
            <w:shd w:val="clear" w:color="000000" w:fill="FFFFFF"/>
            <w:noWrap/>
            <w:vAlign w:val="bottom"/>
            <w:hideMark/>
          </w:tcPr>
          <w:p w14:paraId="3CB1B10C" w14:textId="7E404BAA" w:rsidR="009F7D77" w:rsidRPr="009F7D77" w:rsidRDefault="009F7D77" w:rsidP="009F7D77">
            <w:pPr>
              <w:spacing w:before="0" w:after="0" w:line="240" w:lineRule="auto"/>
              <w:rPr>
                <w:rFonts w:ascii="Calibri" w:hAnsi="Calibri" w:cs="Calibri"/>
                <w:color w:val="000000"/>
                <w:sz w:val="22"/>
                <w:szCs w:val="22"/>
              </w:rPr>
            </w:pPr>
            <w:r w:rsidRPr="009F7D77">
              <w:rPr>
                <w:rFonts w:ascii="Calibri" w:hAnsi="Calibri" w:cs="Calibri"/>
                <w:color w:val="000000"/>
                <w:sz w:val="22"/>
                <w:szCs w:val="22"/>
              </w:rPr>
              <w:t> </w:t>
            </w:r>
          </w:p>
        </w:tc>
        <w:tc>
          <w:tcPr>
            <w:tcW w:w="2357" w:type="pct"/>
            <w:gridSpan w:val="5"/>
            <w:tcBorders>
              <w:top w:val="single" w:sz="4" w:space="0" w:color="293F5B"/>
              <w:left w:val="nil"/>
              <w:bottom w:val="single" w:sz="4" w:space="0" w:color="293F5B"/>
              <w:right w:val="nil"/>
            </w:tcBorders>
            <w:shd w:val="clear" w:color="000000" w:fill="FFFFFF"/>
            <w:noWrap/>
            <w:vAlign w:val="center"/>
            <w:hideMark/>
          </w:tcPr>
          <w:p w14:paraId="07E1F3A7" w14:textId="77777777" w:rsidR="009F7D77" w:rsidRPr="009F7D77" w:rsidRDefault="009F7D77" w:rsidP="009F7D77">
            <w:pPr>
              <w:spacing w:before="0" w:after="0" w:line="240" w:lineRule="auto"/>
              <w:jc w:val="center"/>
              <w:rPr>
                <w:rFonts w:ascii="Arial" w:hAnsi="Arial" w:cs="Arial"/>
                <w:sz w:val="16"/>
                <w:szCs w:val="16"/>
              </w:rPr>
            </w:pPr>
            <w:r w:rsidRPr="009F7D77">
              <w:rPr>
                <w:rFonts w:ascii="Arial" w:hAnsi="Arial" w:cs="Arial"/>
                <w:sz w:val="16"/>
                <w:szCs w:val="16"/>
              </w:rPr>
              <w:t>Estimates</w:t>
            </w:r>
          </w:p>
        </w:tc>
        <w:tc>
          <w:tcPr>
            <w:tcW w:w="45" w:type="pct"/>
            <w:tcBorders>
              <w:top w:val="single" w:sz="4" w:space="0" w:color="293F5B"/>
              <w:left w:val="nil"/>
              <w:bottom w:val="nil"/>
              <w:right w:val="nil"/>
            </w:tcBorders>
            <w:shd w:val="clear" w:color="000000" w:fill="FFFFFF"/>
            <w:noWrap/>
            <w:vAlign w:val="center"/>
            <w:hideMark/>
          </w:tcPr>
          <w:p w14:paraId="024CFC6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5E7CA242"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223A3DB9" w14:textId="77777777" w:rsidTr="009F7D77">
        <w:trPr>
          <w:trHeight w:hRule="exact" w:val="225"/>
        </w:trPr>
        <w:tc>
          <w:tcPr>
            <w:tcW w:w="2114" w:type="pct"/>
            <w:tcBorders>
              <w:top w:val="nil"/>
              <w:left w:val="nil"/>
              <w:bottom w:val="nil"/>
              <w:right w:val="nil"/>
            </w:tcBorders>
            <w:shd w:val="clear" w:color="000000" w:fill="FFFFFF"/>
            <w:noWrap/>
            <w:vAlign w:val="bottom"/>
            <w:hideMark/>
          </w:tcPr>
          <w:p w14:paraId="684A838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single" w:sz="4" w:space="0" w:color="293F5B"/>
              <w:left w:val="nil"/>
              <w:bottom w:val="nil"/>
              <w:right w:val="nil"/>
            </w:tcBorders>
            <w:shd w:val="clear" w:color="000000" w:fill="FFFFFF"/>
            <w:noWrap/>
            <w:vAlign w:val="center"/>
            <w:hideMark/>
          </w:tcPr>
          <w:p w14:paraId="0DA598F5" w14:textId="1744AE2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2024</w:t>
            </w:r>
            <w:r w:rsidR="00993DA1">
              <w:rPr>
                <w:rFonts w:ascii="Arial" w:hAnsi="Arial" w:cs="Arial"/>
                <w:sz w:val="16"/>
                <w:szCs w:val="16"/>
              </w:rPr>
              <w:noBreakHyphen/>
            </w:r>
            <w:r w:rsidRPr="009F7D77">
              <w:rPr>
                <w:rFonts w:ascii="Arial" w:hAnsi="Arial" w:cs="Arial"/>
                <w:sz w:val="16"/>
                <w:szCs w:val="16"/>
              </w:rPr>
              <w:t>25</w:t>
            </w:r>
          </w:p>
        </w:tc>
        <w:tc>
          <w:tcPr>
            <w:tcW w:w="474" w:type="pct"/>
            <w:tcBorders>
              <w:top w:val="single" w:sz="4" w:space="0" w:color="293F5B"/>
              <w:left w:val="nil"/>
              <w:bottom w:val="nil"/>
              <w:right w:val="nil"/>
            </w:tcBorders>
            <w:shd w:val="clear" w:color="000000" w:fill="E6F2FF"/>
            <w:noWrap/>
            <w:vAlign w:val="center"/>
            <w:hideMark/>
          </w:tcPr>
          <w:p w14:paraId="24E9B597" w14:textId="64C55E88"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2025</w:t>
            </w:r>
            <w:r w:rsidR="00993DA1">
              <w:rPr>
                <w:rFonts w:ascii="Arial" w:hAnsi="Arial" w:cs="Arial"/>
                <w:sz w:val="16"/>
                <w:szCs w:val="16"/>
              </w:rPr>
              <w:noBreakHyphen/>
            </w:r>
            <w:r w:rsidRPr="009F7D77">
              <w:rPr>
                <w:rFonts w:ascii="Arial" w:hAnsi="Arial" w:cs="Arial"/>
                <w:sz w:val="16"/>
                <w:szCs w:val="16"/>
              </w:rPr>
              <w:t>26</w:t>
            </w:r>
          </w:p>
        </w:tc>
        <w:tc>
          <w:tcPr>
            <w:tcW w:w="474" w:type="pct"/>
            <w:tcBorders>
              <w:top w:val="single" w:sz="4" w:space="0" w:color="293F5B"/>
              <w:left w:val="nil"/>
              <w:bottom w:val="nil"/>
              <w:right w:val="nil"/>
            </w:tcBorders>
            <w:shd w:val="clear" w:color="000000" w:fill="FFFFFF"/>
            <w:noWrap/>
            <w:vAlign w:val="center"/>
            <w:hideMark/>
          </w:tcPr>
          <w:p w14:paraId="34E81961" w14:textId="6118A81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2026</w:t>
            </w:r>
            <w:r w:rsidR="00993DA1">
              <w:rPr>
                <w:rFonts w:ascii="Arial" w:hAnsi="Arial" w:cs="Arial"/>
                <w:sz w:val="16"/>
                <w:szCs w:val="16"/>
              </w:rPr>
              <w:noBreakHyphen/>
            </w:r>
            <w:r w:rsidRPr="009F7D77">
              <w:rPr>
                <w:rFonts w:ascii="Arial" w:hAnsi="Arial" w:cs="Arial"/>
                <w:sz w:val="16"/>
                <w:szCs w:val="16"/>
              </w:rPr>
              <w:t>27</w:t>
            </w:r>
          </w:p>
        </w:tc>
        <w:tc>
          <w:tcPr>
            <w:tcW w:w="474" w:type="pct"/>
            <w:tcBorders>
              <w:top w:val="single" w:sz="4" w:space="0" w:color="293F5B"/>
              <w:left w:val="nil"/>
              <w:bottom w:val="nil"/>
              <w:right w:val="nil"/>
            </w:tcBorders>
            <w:shd w:val="clear" w:color="000000" w:fill="FFFFFF"/>
            <w:noWrap/>
            <w:vAlign w:val="center"/>
            <w:hideMark/>
          </w:tcPr>
          <w:p w14:paraId="47226891" w14:textId="11DFD7D3"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2027</w:t>
            </w:r>
            <w:r w:rsidR="00993DA1">
              <w:rPr>
                <w:rFonts w:ascii="Arial" w:hAnsi="Arial" w:cs="Arial"/>
                <w:sz w:val="16"/>
                <w:szCs w:val="16"/>
              </w:rPr>
              <w:noBreakHyphen/>
            </w:r>
            <w:r w:rsidRPr="009F7D77">
              <w:rPr>
                <w:rFonts w:ascii="Arial" w:hAnsi="Arial" w:cs="Arial"/>
                <w:sz w:val="16"/>
                <w:szCs w:val="16"/>
              </w:rPr>
              <w:t>28</w:t>
            </w:r>
          </w:p>
        </w:tc>
        <w:tc>
          <w:tcPr>
            <w:tcW w:w="474" w:type="pct"/>
            <w:tcBorders>
              <w:top w:val="single" w:sz="4" w:space="0" w:color="293F5B"/>
              <w:left w:val="nil"/>
              <w:bottom w:val="nil"/>
              <w:right w:val="nil"/>
            </w:tcBorders>
            <w:shd w:val="clear" w:color="000000" w:fill="FFFFFF"/>
            <w:noWrap/>
            <w:vAlign w:val="center"/>
            <w:hideMark/>
          </w:tcPr>
          <w:p w14:paraId="0E1263B6" w14:textId="41E95BA0"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2028</w:t>
            </w:r>
            <w:r w:rsidR="00993DA1">
              <w:rPr>
                <w:rFonts w:ascii="Arial" w:hAnsi="Arial" w:cs="Arial"/>
                <w:sz w:val="16"/>
                <w:szCs w:val="16"/>
              </w:rPr>
              <w:noBreakHyphen/>
            </w:r>
            <w:r w:rsidRPr="009F7D77">
              <w:rPr>
                <w:rFonts w:ascii="Arial" w:hAnsi="Arial" w:cs="Arial"/>
                <w:sz w:val="16"/>
                <w:szCs w:val="16"/>
              </w:rPr>
              <w:t>29</w:t>
            </w:r>
          </w:p>
        </w:tc>
        <w:tc>
          <w:tcPr>
            <w:tcW w:w="45" w:type="pct"/>
            <w:tcBorders>
              <w:top w:val="nil"/>
              <w:left w:val="nil"/>
              <w:bottom w:val="nil"/>
              <w:right w:val="nil"/>
            </w:tcBorders>
            <w:shd w:val="clear" w:color="000000" w:fill="FFFFFF"/>
            <w:noWrap/>
            <w:vAlign w:val="center"/>
            <w:hideMark/>
          </w:tcPr>
          <w:p w14:paraId="7287F93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single" w:sz="4" w:space="0" w:color="293F5B"/>
              <w:left w:val="nil"/>
              <w:bottom w:val="nil"/>
              <w:right w:val="nil"/>
            </w:tcBorders>
            <w:shd w:val="clear" w:color="000000" w:fill="FFFFFF"/>
            <w:noWrap/>
            <w:vAlign w:val="center"/>
            <w:hideMark/>
          </w:tcPr>
          <w:p w14:paraId="65705A04"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Total</w:t>
            </w:r>
          </w:p>
        </w:tc>
      </w:tr>
      <w:tr w:rsidR="009F7D77" w:rsidRPr="009F7D77" w14:paraId="5A067548"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2F5E95C2"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single" w:sz="4" w:space="0" w:color="293F5B"/>
              <w:right w:val="nil"/>
            </w:tcBorders>
            <w:shd w:val="clear" w:color="000000" w:fill="FFFFFF"/>
            <w:noWrap/>
            <w:vAlign w:val="center"/>
            <w:hideMark/>
          </w:tcPr>
          <w:p w14:paraId="5AA40C1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E6F2FF"/>
            <w:noWrap/>
            <w:vAlign w:val="center"/>
            <w:hideMark/>
          </w:tcPr>
          <w:p w14:paraId="6271B02A"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3E80303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56C6C2F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74" w:type="pct"/>
            <w:tcBorders>
              <w:top w:val="nil"/>
              <w:left w:val="nil"/>
              <w:bottom w:val="single" w:sz="4" w:space="0" w:color="293F5B"/>
              <w:right w:val="nil"/>
            </w:tcBorders>
            <w:shd w:val="clear" w:color="000000" w:fill="FFFFFF"/>
            <w:noWrap/>
            <w:vAlign w:val="center"/>
            <w:hideMark/>
          </w:tcPr>
          <w:p w14:paraId="22314EED"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c>
          <w:tcPr>
            <w:tcW w:w="45" w:type="pct"/>
            <w:tcBorders>
              <w:top w:val="nil"/>
              <w:left w:val="nil"/>
              <w:bottom w:val="nil"/>
              <w:right w:val="nil"/>
            </w:tcBorders>
            <w:shd w:val="clear" w:color="000000" w:fill="FFFFFF"/>
            <w:noWrap/>
            <w:vAlign w:val="center"/>
            <w:hideMark/>
          </w:tcPr>
          <w:p w14:paraId="58AD967D"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67322B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$m</w:t>
            </w:r>
          </w:p>
        </w:tc>
      </w:tr>
      <w:tr w:rsidR="009F7D77" w:rsidRPr="009F7D77" w14:paraId="06706F3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4CE1F9A" w14:textId="5D09A6DE"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2025</w:t>
            </w:r>
            <w:r w:rsidR="00993DA1">
              <w:rPr>
                <w:rFonts w:ascii="Arial" w:hAnsi="Arial" w:cs="Arial"/>
                <w:b/>
                <w:bCs/>
                <w:sz w:val="16"/>
                <w:szCs w:val="16"/>
              </w:rPr>
              <w:noBreakHyphen/>
            </w:r>
            <w:r w:rsidRPr="009F7D77">
              <w:rPr>
                <w:rFonts w:ascii="Arial" w:hAnsi="Arial" w:cs="Arial"/>
                <w:b/>
                <w:bCs/>
                <w:sz w:val="16"/>
                <w:szCs w:val="16"/>
              </w:rPr>
              <w:t>26 Budget underlying cash</w:t>
            </w:r>
          </w:p>
        </w:tc>
        <w:tc>
          <w:tcPr>
            <w:tcW w:w="460" w:type="pct"/>
            <w:tcBorders>
              <w:top w:val="nil"/>
              <w:left w:val="nil"/>
              <w:bottom w:val="nil"/>
              <w:right w:val="nil"/>
            </w:tcBorders>
            <w:shd w:val="clear" w:color="000000" w:fill="FFFFFF"/>
            <w:noWrap/>
            <w:vAlign w:val="center"/>
            <w:hideMark/>
          </w:tcPr>
          <w:p w14:paraId="329F259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1E7313F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3FD19DF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7A6895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AEEA7D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30A8CA0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65B44E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r>
      <w:tr w:rsidR="009F7D77" w:rsidRPr="009F7D77" w14:paraId="332B0579"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2267B4DA"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balance</w:t>
            </w:r>
          </w:p>
        </w:tc>
        <w:tc>
          <w:tcPr>
            <w:tcW w:w="460" w:type="pct"/>
            <w:tcBorders>
              <w:top w:val="nil"/>
              <w:left w:val="nil"/>
              <w:bottom w:val="nil"/>
              <w:right w:val="nil"/>
            </w:tcBorders>
            <w:shd w:val="clear" w:color="000000" w:fill="FFFFFF"/>
            <w:noWrap/>
            <w:vAlign w:val="bottom"/>
            <w:hideMark/>
          </w:tcPr>
          <w:p w14:paraId="7F91CC2F" w14:textId="58E04FCE"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27,605</w:t>
            </w:r>
          </w:p>
        </w:tc>
        <w:tc>
          <w:tcPr>
            <w:tcW w:w="474" w:type="pct"/>
            <w:tcBorders>
              <w:top w:val="nil"/>
              <w:left w:val="nil"/>
              <w:bottom w:val="nil"/>
              <w:right w:val="nil"/>
            </w:tcBorders>
            <w:shd w:val="clear" w:color="000000" w:fill="E6F2FF"/>
            <w:noWrap/>
            <w:vAlign w:val="bottom"/>
            <w:hideMark/>
          </w:tcPr>
          <w:p w14:paraId="175321BC" w14:textId="4E16B77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42,122</w:t>
            </w:r>
          </w:p>
        </w:tc>
        <w:tc>
          <w:tcPr>
            <w:tcW w:w="474" w:type="pct"/>
            <w:tcBorders>
              <w:top w:val="nil"/>
              <w:left w:val="nil"/>
              <w:bottom w:val="nil"/>
              <w:right w:val="nil"/>
            </w:tcBorders>
            <w:shd w:val="clear" w:color="000000" w:fill="FFFFFF"/>
            <w:noWrap/>
            <w:vAlign w:val="bottom"/>
            <w:hideMark/>
          </w:tcPr>
          <w:p w14:paraId="6B41EA1C" w14:textId="51739997"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35,706</w:t>
            </w:r>
          </w:p>
        </w:tc>
        <w:tc>
          <w:tcPr>
            <w:tcW w:w="474" w:type="pct"/>
            <w:tcBorders>
              <w:top w:val="nil"/>
              <w:left w:val="nil"/>
              <w:bottom w:val="nil"/>
              <w:right w:val="nil"/>
            </w:tcBorders>
            <w:shd w:val="clear" w:color="000000" w:fill="FFFFFF"/>
            <w:noWrap/>
            <w:vAlign w:val="bottom"/>
            <w:hideMark/>
          </w:tcPr>
          <w:p w14:paraId="5ABF1295" w14:textId="319386A9"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37,247</w:t>
            </w:r>
          </w:p>
        </w:tc>
        <w:tc>
          <w:tcPr>
            <w:tcW w:w="474" w:type="pct"/>
            <w:tcBorders>
              <w:top w:val="nil"/>
              <w:left w:val="nil"/>
              <w:bottom w:val="nil"/>
              <w:right w:val="nil"/>
            </w:tcBorders>
            <w:shd w:val="clear" w:color="000000" w:fill="FFFFFF"/>
            <w:noWrap/>
            <w:vAlign w:val="bottom"/>
            <w:hideMark/>
          </w:tcPr>
          <w:p w14:paraId="6F38B2DF" w14:textId="70BDFCFD"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36,854</w:t>
            </w:r>
          </w:p>
        </w:tc>
        <w:tc>
          <w:tcPr>
            <w:tcW w:w="45" w:type="pct"/>
            <w:tcBorders>
              <w:top w:val="nil"/>
              <w:left w:val="nil"/>
              <w:bottom w:val="nil"/>
              <w:right w:val="nil"/>
            </w:tcBorders>
            <w:shd w:val="clear" w:color="000000" w:fill="FFFFFF"/>
            <w:noWrap/>
            <w:vAlign w:val="center"/>
            <w:hideMark/>
          </w:tcPr>
          <w:p w14:paraId="6D32FF8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bottom"/>
            <w:hideMark/>
          </w:tcPr>
          <w:p w14:paraId="5882F62D" w14:textId="53B773FE"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 xml:space="preserve">179,534 </w:t>
            </w:r>
          </w:p>
        </w:tc>
      </w:tr>
      <w:tr w:rsidR="009F7D77" w:rsidRPr="009F7D77" w14:paraId="15C264FE"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47DC6B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Per cent of GDP</w:t>
            </w:r>
          </w:p>
        </w:tc>
        <w:tc>
          <w:tcPr>
            <w:tcW w:w="460" w:type="pct"/>
            <w:tcBorders>
              <w:top w:val="nil"/>
              <w:left w:val="nil"/>
              <w:bottom w:val="nil"/>
              <w:right w:val="nil"/>
            </w:tcBorders>
            <w:shd w:val="clear" w:color="000000" w:fill="FFFFFF"/>
            <w:noWrap/>
            <w:vAlign w:val="center"/>
            <w:hideMark/>
          </w:tcPr>
          <w:p w14:paraId="383DAA42" w14:textId="05FCB787"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1.0</w:t>
            </w:r>
          </w:p>
        </w:tc>
        <w:tc>
          <w:tcPr>
            <w:tcW w:w="474" w:type="pct"/>
            <w:tcBorders>
              <w:top w:val="nil"/>
              <w:left w:val="nil"/>
              <w:bottom w:val="nil"/>
              <w:right w:val="nil"/>
            </w:tcBorders>
            <w:shd w:val="clear" w:color="000000" w:fill="E6F2FF"/>
            <w:noWrap/>
            <w:vAlign w:val="center"/>
            <w:hideMark/>
          </w:tcPr>
          <w:p w14:paraId="30B973E7" w14:textId="270C1AD9"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1.5</w:t>
            </w:r>
          </w:p>
        </w:tc>
        <w:tc>
          <w:tcPr>
            <w:tcW w:w="474" w:type="pct"/>
            <w:tcBorders>
              <w:top w:val="nil"/>
              <w:left w:val="nil"/>
              <w:bottom w:val="nil"/>
              <w:right w:val="nil"/>
            </w:tcBorders>
            <w:shd w:val="clear" w:color="000000" w:fill="FFFFFF"/>
            <w:noWrap/>
            <w:vAlign w:val="center"/>
            <w:hideMark/>
          </w:tcPr>
          <w:p w14:paraId="55A03B29" w14:textId="2F5A40EE"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nil"/>
              <w:right w:val="nil"/>
            </w:tcBorders>
            <w:shd w:val="clear" w:color="000000" w:fill="FFFFFF"/>
            <w:noWrap/>
            <w:vAlign w:val="center"/>
            <w:hideMark/>
          </w:tcPr>
          <w:p w14:paraId="7F0A705A" w14:textId="3F4425F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nil"/>
              <w:right w:val="nil"/>
            </w:tcBorders>
            <w:shd w:val="clear" w:color="000000" w:fill="FFFFFF"/>
            <w:noWrap/>
            <w:vAlign w:val="center"/>
            <w:hideMark/>
          </w:tcPr>
          <w:p w14:paraId="4E853271" w14:textId="5CBCB84F"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w:t>
            </w:r>
          </w:p>
        </w:tc>
        <w:tc>
          <w:tcPr>
            <w:tcW w:w="45" w:type="pct"/>
            <w:tcBorders>
              <w:top w:val="nil"/>
              <w:left w:val="nil"/>
              <w:bottom w:val="nil"/>
              <w:right w:val="nil"/>
            </w:tcBorders>
            <w:shd w:val="clear" w:color="000000" w:fill="FFFFFF"/>
            <w:noWrap/>
            <w:vAlign w:val="center"/>
            <w:hideMark/>
          </w:tcPr>
          <w:p w14:paraId="66ECFBB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C82173E"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23BFC3FE"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5DA911FA"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3A239C61"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0333190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A5492B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98E2B0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5E15E8F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0997066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01DD5984"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6B9506C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0ECEB31B" w14:textId="0D8AD64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Changes from 2025</w:t>
            </w:r>
            <w:r w:rsidR="00993DA1">
              <w:rPr>
                <w:rFonts w:ascii="Arial" w:hAnsi="Arial" w:cs="Arial"/>
                <w:b/>
                <w:bCs/>
                <w:sz w:val="16"/>
                <w:szCs w:val="16"/>
              </w:rPr>
              <w:noBreakHyphen/>
            </w:r>
            <w:r w:rsidRPr="009F7D77">
              <w:rPr>
                <w:rFonts w:ascii="Arial" w:hAnsi="Arial" w:cs="Arial"/>
                <w:b/>
                <w:bCs/>
                <w:sz w:val="16"/>
                <w:szCs w:val="16"/>
              </w:rPr>
              <w:t>26 Budget</w:t>
            </w:r>
          </w:p>
        </w:tc>
        <w:tc>
          <w:tcPr>
            <w:tcW w:w="460" w:type="pct"/>
            <w:tcBorders>
              <w:top w:val="nil"/>
              <w:left w:val="nil"/>
              <w:bottom w:val="nil"/>
              <w:right w:val="nil"/>
            </w:tcBorders>
            <w:shd w:val="clear" w:color="000000" w:fill="FFFFFF"/>
            <w:noWrap/>
            <w:vAlign w:val="center"/>
            <w:hideMark/>
          </w:tcPr>
          <w:p w14:paraId="2AB9D66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662B46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3AF0FB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6DF97E9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77B6FA2"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7576539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5772D653"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6F6E9DF0"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F326F04"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to 2025 PEFO</w:t>
            </w:r>
          </w:p>
        </w:tc>
        <w:tc>
          <w:tcPr>
            <w:tcW w:w="460" w:type="pct"/>
            <w:tcBorders>
              <w:top w:val="nil"/>
              <w:left w:val="nil"/>
              <w:bottom w:val="nil"/>
              <w:right w:val="nil"/>
            </w:tcBorders>
            <w:shd w:val="clear" w:color="000000" w:fill="FFFFFF"/>
            <w:noWrap/>
            <w:vAlign w:val="center"/>
            <w:hideMark/>
          </w:tcPr>
          <w:p w14:paraId="5CD9BB34"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27EF900F"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2C7664F2"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550B550E"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2ECADC51"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3772EE49"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4F2C3EB6"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488C7E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01ADE785"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Effect of policy decisions(a)(b)</w:t>
            </w:r>
          </w:p>
        </w:tc>
        <w:tc>
          <w:tcPr>
            <w:tcW w:w="460" w:type="pct"/>
            <w:tcBorders>
              <w:top w:val="nil"/>
              <w:left w:val="nil"/>
              <w:bottom w:val="nil"/>
              <w:right w:val="nil"/>
            </w:tcBorders>
            <w:shd w:val="clear" w:color="000000" w:fill="FFFFFF"/>
            <w:noWrap/>
            <w:vAlign w:val="center"/>
            <w:hideMark/>
          </w:tcPr>
          <w:p w14:paraId="07977904"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590A3B9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89BDB1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E31FA5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2E5CEF5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3E567E06"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72D8679"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023EEB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0E5F325"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20ADA2E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E6F2FF"/>
            <w:noWrap/>
            <w:vAlign w:val="center"/>
            <w:hideMark/>
          </w:tcPr>
          <w:p w14:paraId="404FC7F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4FB84512"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6B3EAFA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74" w:type="pct"/>
            <w:tcBorders>
              <w:top w:val="nil"/>
              <w:left w:val="nil"/>
              <w:bottom w:val="nil"/>
              <w:right w:val="nil"/>
            </w:tcBorders>
            <w:shd w:val="clear" w:color="000000" w:fill="FFFFFF"/>
            <w:noWrap/>
            <w:vAlign w:val="center"/>
            <w:hideMark/>
          </w:tcPr>
          <w:p w14:paraId="5EE5C45A"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c>
          <w:tcPr>
            <w:tcW w:w="45" w:type="pct"/>
            <w:tcBorders>
              <w:top w:val="nil"/>
              <w:left w:val="nil"/>
              <w:bottom w:val="nil"/>
              <w:right w:val="nil"/>
            </w:tcBorders>
            <w:shd w:val="clear" w:color="000000" w:fill="FFFFFF"/>
            <w:noWrap/>
            <w:vAlign w:val="center"/>
            <w:hideMark/>
          </w:tcPr>
          <w:p w14:paraId="2FAAA882"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410F47B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0</w:t>
            </w:r>
          </w:p>
        </w:tc>
      </w:tr>
      <w:tr w:rsidR="009F7D77" w:rsidRPr="009F7D77" w14:paraId="487E4C63"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42E54962"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713D0B2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single" w:sz="4" w:space="0" w:color="293F5B"/>
              <w:right w:val="nil"/>
            </w:tcBorders>
            <w:shd w:val="clear" w:color="000000" w:fill="E6F2FF"/>
            <w:noWrap/>
            <w:vAlign w:val="center"/>
            <w:hideMark/>
          </w:tcPr>
          <w:p w14:paraId="4DE1736A"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226</w:t>
            </w:r>
          </w:p>
        </w:tc>
        <w:tc>
          <w:tcPr>
            <w:tcW w:w="474" w:type="pct"/>
            <w:tcBorders>
              <w:top w:val="nil"/>
              <w:left w:val="nil"/>
              <w:bottom w:val="single" w:sz="4" w:space="0" w:color="293F5B"/>
              <w:right w:val="nil"/>
            </w:tcBorders>
            <w:shd w:val="clear" w:color="000000" w:fill="FFFFFF"/>
            <w:noWrap/>
            <w:vAlign w:val="center"/>
            <w:hideMark/>
          </w:tcPr>
          <w:p w14:paraId="5D1595C7"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380</w:t>
            </w:r>
          </w:p>
        </w:tc>
        <w:tc>
          <w:tcPr>
            <w:tcW w:w="474" w:type="pct"/>
            <w:tcBorders>
              <w:top w:val="nil"/>
              <w:left w:val="nil"/>
              <w:bottom w:val="single" w:sz="4" w:space="0" w:color="293F5B"/>
              <w:right w:val="nil"/>
            </w:tcBorders>
            <w:shd w:val="clear" w:color="000000" w:fill="FFFFFF"/>
            <w:noWrap/>
            <w:vAlign w:val="center"/>
            <w:hideMark/>
          </w:tcPr>
          <w:p w14:paraId="201FDF31"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276</w:t>
            </w:r>
          </w:p>
        </w:tc>
        <w:tc>
          <w:tcPr>
            <w:tcW w:w="474" w:type="pct"/>
            <w:tcBorders>
              <w:top w:val="nil"/>
              <w:left w:val="nil"/>
              <w:bottom w:val="single" w:sz="4" w:space="0" w:color="293F5B"/>
              <w:right w:val="nil"/>
            </w:tcBorders>
            <w:shd w:val="clear" w:color="000000" w:fill="FFFFFF"/>
            <w:noWrap/>
            <w:vAlign w:val="center"/>
            <w:hideMark/>
          </w:tcPr>
          <w:p w14:paraId="01C223D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223</w:t>
            </w:r>
          </w:p>
        </w:tc>
        <w:tc>
          <w:tcPr>
            <w:tcW w:w="45" w:type="pct"/>
            <w:tcBorders>
              <w:top w:val="nil"/>
              <w:left w:val="nil"/>
              <w:bottom w:val="nil"/>
              <w:right w:val="nil"/>
            </w:tcBorders>
            <w:shd w:val="clear" w:color="000000" w:fill="FFFFFF"/>
            <w:noWrap/>
            <w:vAlign w:val="center"/>
            <w:hideMark/>
          </w:tcPr>
          <w:p w14:paraId="0FE6663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4EC4E2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1,109</w:t>
            </w:r>
          </w:p>
        </w:tc>
      </w:tr>
      <w:tr w:rsidR="009F7D77" w:rsidRPr="009F7D77" w14:paraId="15353E99"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30454A3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Total policy decisions impact on</w:t>
            </w:r>
          </w:p>
        </w:tc>
        <w:tc>
          <w:tcPr>
            <w:tcW w:w="460" w:type="pct"/>
            <w:tcBorders>
              <w:top w:val="nil"/>
              <w:left w:val="nil"/>
              <w:bottom w:val="nil"/>
              <w:right w:val="nil"/>
            </w:tcBorders>
            <w:shd w:val="clear" w:color="000000" w:fill="FFFFFF"/>
            <w:noWrap/>
            <w:vAlign w:val="center"/>
            <w:hideMark/>
          </w:tcPr>
          <w:p w14:paraId="6D3D923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6E1F77E9"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4848125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FF5693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54D1CD8D"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0FC7760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7207181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r>
      <w:tr w:rsidR="009F7D77" w:rsidRPr="009F7D77" w14:paraId="6E551E81"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36AF2543" w14:textId="77777777" w:rsidR="009F7D77" w:rsidRPr="009F7D77" w:rsidRDefault="009F7D77" w:rsidP="009F7D77">
            <w:pPr>
              <w:spacing w:before="0" w:after="0" w:line="240" w:lineRule="auto"/>
              <w:ind w:left="170"/>
              <w:rPr>
                <w:rFonts w:ascii="Arial" w:hAnsi="Arial" w:cs="Arial"/>
                <w:sz w:val="16"/>
                <w:szCs w:val="16"/>
              </w:rPr>
            </w:pPr>
            <w:r w:rsidRPr="009F7D77">
              <w:rPr>
                <w:rFonts w:ascii="Arial" w:hAnsi="Arial" w:cs="Arial"/>
                <w:sz w:val="16"/>
                <w:szCs w:val="16"/>
              </w:rPr>
              <w:t>underlying cash balance</w:t>
            </w:r>
          </w:p>
        </w:tc>
        <w:tc>
          <w:tcPr>
            <w:tcW w:w="460" w:type="pct"/>
            <w:tcBorders>
              <w:top w:val="nil"/>
              <w:left w:val="nil"/>
              <w:bottom w:val="single" w:sz="4" w:space="0" w:color="293F5B"/>
              <w:right w:val="nil"/>
            </w:tcBorders>
            <w:shd w:val="clear" w:color="000000" w:fill="FFFFFF"/>
            <w:vAlign w:val="center"/>
            <w:hideMark/>
          </w:tcPr>
          <w:p w14:paraId="78353F39" w14:textId="3498B3F5"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4</w:t>
            </w:r>
          </w:p>
        </w:tc>
        <w:tc>
          <w:tcPr>
            <w:tcW w:w="474" w:type="pct"/>
            <w:tcBorders>
              <w:top w:val="nil"/>
              <w:left w:val="nil"/>
              <w:bottom w:val="single" w:sz="4" w:space="0" w:color="293F5B"/>
              <w:right w:val="nil"/>
            </w:tcBorders>
            <w:shd w:val="clear" w:color="000000" w:fill="E6F2FF"/>
            <w:vAlign w:val="center"/>
            <w:hideMark/>
          </w:tcPr>
          <w:p w14:paraId="2DC75D47" w14:textId="6994CDED"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226</w:t>
            </w:r>
          </w:p>
        </w:tc>
        <w:tc>
          <w:tcPr>
            <w:tcW w:w="474" w:type="pct"/>
            <w:tcBorders>
              <w:top w:val="nil"/>
              <w:left w:val="nil"/>
              <w:bottom w:val="single" w:sz="4" w:space="0" w:color="293F5B"/>
              <w:right w:val="nil"/>
            </w:tcBorders>
            <w:shd w:val="clear" w:color="000000" w:fill="FFFFFF"/>
            <w:vAlign w:val="center"/>
            <w:hideMark/>
          </w:tcPr>
          <w:p w14:paraId="5452321A" w14:textId="62D4AC46"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380</w:t>
            </w:r>
          </w:p>
        </w:tc>
        <w:tc>
          <w:tcPr>
            <w:tcW w:w="474" w:type="pct"/>
            <w:tcBorders>
              <w:top w:val="nil"/>
              <w:left w:val="nil"/>
              <w:bottom w:val="single" w:sz="4" w:space="0" w:color="293F5B"/>
              <w:right w:val="nil"/>
            </w:tcBorders>
            <w:shd w:val="clear" w:color="000000" w:fill="FFFFFF"/>
            <w:vAlign w:val="center"/>
            <w:hideMark/>
          </w:tcPr>
          <w:p w14:paraId="7058E9F5" w14:textId="5B52DA24"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276</w:t>
            </w:r>
          </w:p>
        </w:tc>
        <w:tc>
          <w:tcPr>
            <w:tcW w:w="474" w:type="pct"/>
            <w:tcBorders>
              <w:top w:val="nil"/>
              <w:left w:val="nil"/>
              <w:bottom w:val="single" w:sz="4" w:space="0" w:color="293F5B"/>
              <w:right w:val="nil"/>
            </w:tcBorders>
            <w:shd w:val="clear" w:color="000000" w:fill="FFFFFF"/>
            <w:vAlign w:val="center"/>
            <w:hideMark/>
          </w:tcPr>
          <w:p w14:paraId="1E144608" w14:textId="2B4B95D0"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223</w:t>
            </w:r>
          </w:p>
        </w:tc>
        <w:tc>
          <w:tcPr>
            <w:tcW w:w="45" w:type="pct"/>
            <w:tcBorders>
              <w:top w:val="nil"/>
              <w:left w:val="nil"/>
              <w:bottom w:val="nil"/>
              <w:right w:val="nil"/>
            </w:tcBorders>
            <w:shd w:val="clear" w:color="000000" w:fill="FFFFFF"/>
            <w:vAlign w:val="center"/>
            <w:hideMark/>
          </w:tcPr>
          <w:p w14:paraId="0ACF5549"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vAlign w:val="center"/>
            <w:hideMark/>
          </w:tcPr>
          <w:p w14:paraId="4F0783B9" w14:textId="752EDD4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1,109</w:t>
            </w:r>
          </w:p>
        </w:tc>
      </w:tr>
      <w:tr w:rsidR="009F7D77" w:rsidRPr="009F7D77" w14:paraId="0FF61254"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528033F2"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 </w:t>
            </w:r>
          </w:p>
        </w:tc>
        <w:tc>
          <w:tcPr>
            <w:tcW w:w="460" w:type="pct"/>
            <w:tcBorders>
              <w:top w:val="nil"/>
              <w:left w:val="nil"/>
              <w:bottom w:val="nil"/>
              <w:right w:val="nil"/>
            </w:tcBorders>
            <w:shd w:val="clear" w:color="000000" w:fill="FFFFFF"/>
            <w:noWrap/>
            <w:vAlign w:val="center"/>
            <w:hideMark/>
          </w:tcPr>
          <w:p w14:paraId="1B55B92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E6F2FF"/>
            <w:noWrap/>
            <w:vAlign w:val="center"/>
            <w:hideMark/>
          </w:tcPr>
          <w:p w14:paraId="42AC2E9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6284E7A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FB8728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020E4BA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79784E3B"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175E191C"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7C136E1C" w14:textId="77777777" w:rsidTr="009F7D77">
        <w:trPr>
          <w:trHeight w:hRule="exact" w:val="225"/>
        </w:trPr>
        <w:tc>
          <w:tcPr>
            <w:tcW w:w="2114" w:type="pct"/>
            <w:tcBorders>
              <w:top w:val="nil"/>
              <w:left w:val="nil"/>
              <w:bottom w:val="nil"/>
              <w:right w:val="nil"/>
            </w:tcBorders>
            <w:shd w:val="clear" w:color="000000" w:fill="FFFFFF"/>
            <w:noWrap/>
            <w:vAlign w:val="bottom"/>
            <w:hideMark/>
          </w:tcPr>
          <w:p w14:paraId="6E29DB1B"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Effect of parameter and other variations(b)</w:t>
            </w:r>
          </w:p>
        </w:tc>
        <w:tc>
          <w:tcPr>
            <w:tcW w:w="460" w:type="pct"/>
            <w:tcBorders>
              <w:top w:val="nil"/>
              <w:left w:val="nil"/>
              <w:bottom w:val="nil"/>
              <w:right w:val="nil"/>
            </w:tcBorders>
            <w:shd w:val="clear" w:color="000000" w:fill="FFFFFF"/>
            <w:noWrap/>
            <w:vAlign w:val="center"/>
            <w:hideMark/>
          </w:tcPr>
          <w:p w14:paraId="56C79CA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42D1D0FE"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64B72B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177BE903"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07A6E379"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5" w:type="pct"/>
            <w:tcBorders>
              <w:top w:val="nil"/>
              <w:left w:val="nil"/>
              <w:bottom w:val="nil"/>
              <w:right w:val="nil"/>
            </w:tcBorders>
            <w:shd w:val="clear" w:color="000000" w:fill="FFFFFF"/>
            <w:noWrap/>
            <w:vAlign w:val="center"/>
            <w:hideMark/>
          </w:tcPr>
          <w:p w14:paraId="28714218"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1C0161D8"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r>
      <w:tr w:rsidR="009F7D77" w:rsidRPr="009F7D77" w14:paraId="119D307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07435CA"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Receipts</w:t>
            </w:r>
          </w:p>
        </w:tc>
        <w:tc>
          <w:tcPr>
            <w:tcW w:w="460" w:type="pct"/>
            <w:tcBorders>
              <w:top w:val="nil"/>
              <w:left w:val="nil"/>
              <w:bottom w:val="nil"/>
              <w:right w:val="nil"/>
            </w:tcBorders>
            <w:shd w:val="clear" w:color="000000" w:fill="FFFFFF"/>
            <w:noWrap/>
            <w:vAlign w:val="center"/>
            <w:hideMark/>
          </w:tcPr>
          <w:p w14:paraId="5540458C" w14:textId="52629B39"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w:t>
            </w:r>
          </w:p>
        </w:tc>
        <w:tc>
          <w:tcPr>
            <w:tcW w:w="474" w:type="pct"/>
            <w:tcBorders>
              <w:top w:val="nil"/>
              <w:left w:val="nil"/>
              <w:bottom w:val="nil"/>
              <w:right w:val="nil"/>
            </w:tcBorders>
            <w:shd w:val="clear" w:color="000000" w:fill="E6F2FF"/>
            <w:noWrap/>
            <w:vAlign w:val="center"/>
            <w:hideMark/>
          </w:tcPr>
          <w:p w14:paraId="1DB8EA6C"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5</w:t>
            </w:r>
          </w:p>
        </w:tc>
        <w:tc>
          <w:tcPr>
            <w:tcW w:w="474" w:type="pct"/>
            <w:tcBorders>
              <w:top w:val="nil"/>
              <w:left w:val="nil"/>
              <w:bottom w:val="nil"/>
              <w:right w:val="nil"/>
            </w:tcBorders>
            <w:shd w:val="clear" w:color="000000" w:fill="FFFFFF"/>
            <w:noWrap/>
            <w:vAlign w:val="center"/>
            <w:hideMark/>
          </w:tcPr>
          <w:p w14:paraId="5A05ED8D"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nil"/>
              <w:right w:val="nil"/>
            </w:tcBorders>
            <w:shd w:val="clear" w:color="000000" w:fill="FFFFFF"/>
            <w:noWrap/>
            <w:vAlign w:val="center"/>
            <w:hideMark/>
          </w:tcPr>
          <w:p w14:paraId="30771C88"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4</w:t>
            </w:r>
          </w:p>
        </w:tc>
        <w:tc>
          <w:tcPr>
            <w:tcW w:w="474" w:type="pct"/>
            <w:tcBorders>
              <w:top w:val="nil"/>
              <w:left w:val="nil"/>
              <w:bottom w:val="nil"/>
              <w:right w:val="nil"/>
            </w:tcBorders>
            <w:shd w:val="clear" w:color="000000" w:fill="FFFFFF"/>
            <w:noWrap/>
            <w:vAlign w:val="center"/>
            <w:hideMark/>
          </w:tcPr>
          <w:p w14:paraId="648E4CD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5</w:t>
            </w:r>
          </w:p>
        </w:tc>
        <w:tc>
          <w:tcPr>
            <w:tcW w:w="45" w:type="pct"/>
            <w:tcBorders>
              <w:top w:val="nil"/>
              <w:left w:val="nil"/>
              <w:bottom w:val="nil"/>
              <w:right w:val="nil"/>
            </w:tcBorders>
            <w:shd w:val="clear" w:color="000000" w:fill="FFFFFF"/>
            <w:noWrap/>
            <w:vAlign w:val="center"/>
            <w:hideMark/>
          </w:tcPr>
          <w:p w14:paraId="4227DB1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nil"/>
              <w:right w:val="nil"/>
            </w:tcBorders>
            <w:shd w:val="clear" w:color="000000" w:fill="FFFFFF"/>
            <w:noWrap/>
            <w:vAlign w:val="center"/>
            <w:hideMark/>
          </w:tcPr>
          <w:p w14:paraId="0E0C86D4"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17</w:t>
            </w:r>
          </w:p>
        </w:tc>
      </w:tr>
      <w:tr w:rsidR="009F7D77" w:rsidRPr="009F7D77" w14:paraId="4BD30B4D"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658D03E" w14:textId="77777777" w:rsidR="009F7D77" w:rsidRPr="009F7D77" w:rsidRDefault="009F7D77" w:rsidP="009F7D77">
            <w:pPr>
              <w:spacing w:before="0" w:after="0" w:line="240" w:lineRule="auto"/>
              <w:ind w:left="170"/>
              <w:rPr>
                <w:rFonts w:ascii="Arial" w:hAnsi="Arial" w:cs="Arial"/>
                <w:i/>
                <w:iCs/>
                <w:sz w:val="16"/>
                <w:szCs w:val="16"/>
              </w:rPr>
            </w:pPr>
            <w:r w:rsidRPr="009F7D77">
              <w:rPr>
                <w:rFonts w:ascii="Arial" w:hAnsi="Arial" w:cs="Arial"/>
                <w:i/>
                <w:iCs/>
                <w:sz w:val="16"/>
                <w:szCs w:val="16"/>
              </w:rPr>
              <w:t>Payments</w:t>
            </w:r>
          </w:p>
        </w:tc>
        <w:tc>
          <w:tcPr>
            <w:tcW w:w="460" w:type="pct"/>
            <w:tcBorders>
              <w:top w:val="nil"/>
              <w:left w:val="nil"/>
              <w:bottom w:val="single" w:sz="4" w:space="0" w:color="293F5B"/>
              <w:right w:val="nil"/>
            </w:tcBorders>
            <w:shd w:val="clear" w:color="000000" w:fill="FFFFFF"/>
            <w:noWrap/>
            <w:vAlign w:val="center"/>
            <w:hideMark/>
          </w:tcPr>
          <w:p w14:paraId="2839CF43"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279</w:t>
            </w:r>
          </w:p>
        </w:tc>
        <w:tc>
          <w:tcPr>
            <w:tcW w:w="474" w:type="pct"/>
            <w:tcBorders>
              <w:top w:val="nil"/>
              <w:left w:val="nil"/>
              <w:bottom w:val="single" w:sz="4" w:space="0" w:color="293F5B"/>
              <w:right w:val="nil"/>
            </w:tcBorders>
            <w:shd w:val="clear" w:color="000000" w:fill="E6F2FF"/>
            <w:noWrap/>
            <w:vAlign w:val="center"/>
            <w:hideMark/>
          </w:tcPr>
          <w:p w14:paraId="4CD11707" w14:textId="41ECD8C3"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178</w:t>
            </w:r>
          </w:p>
        </w:tc>
        <w:tc>
          <w:tcPr>
            <w:tcW w:w="474" w:type="pct"/>
            <w:tcBorders>
              <w:top w:val="nil"/>
              <w:left w:val="nil"/>
              <w:bottom w:val="single" w:sz="4" w:space="0" w:color="293F5B"/>
              <w:right w:val="nil"/>
            </w:tcBorders>
            <w:shd w:val="clear" w:color="000000" w:fill="FFFFFF"/>
            <w:noWrap/>
            <w:vAlign w:val="center"/>
            <w:hideMark/>
          </w:tcPr>
          <w:p w14:paraId="0C6D51A5" w14:textId="7D1BF74E"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715</w:t>
            </w:r>
          </w:p>
        </w:tc>
        <w:tc>
          <w:tcPr>
            <w:tcW w:w="474" w:type="pct"/>
            <w:tcBorders>
              <w:top w:val="nil"/>
              <w:left w:val="nil"/>
              <w:bottom w:val="single" w:sz="4" w:space="0" w:color="293F5B"/>
              <w:right w:val="nil"/>
            </w:tcBorders>
            <w:shd w:val="clear" w:color="000000" w:fill="FFFFFF"/>
            <w:noWrap/>
            <w:vAlign w:val="center"/>
            <w:hideMark/>
          </w:tcPr>
          <w:p w14:paraId="58E1E235" w14:textId="446A1766"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432</w:t>
            </w:r>
          </w:p>
        </w:tc>
        <w:tc>
          <w:tcPr>
            <w:tcW w:w="474" w:type="pct"/>
            <w:tcBorders>
              <w:top w:val="nil"/>
              <w:left w:val="nil"/>
              <w:bottom w:val="single" w:sz="4" w:space="0" w:color="293F5B"/>
              <w:right w:val="nil"/>
            </w:tcBorders>
            <w:shd w:val="clear" w:color="000000" w:fill="FFFFFF"/>
            <w:noWrap/>
            <w:vAlign w:val="center"/>
            <w:hideMark/>
          </w:tcPr>
          <w:p w14:paraId="6CAFFF17" w14:textId="52BDC2C1"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44</w:t>
            </w:r>
          </w:p>
        </w:tc>
        <w:tc>
          <w:tcPr>
            <w:tcW w:w="45" w:type="pct"/>
            <w:tcBorders>
              <w:top w:val="nil"/>
              <w:left w:val="nil"/>
              <w:bottom w:val="nil"/>
              <w:right w:val="nil"/>
            </w:tcBorders>
            <w:shd w:val="clear" w:color="000000" w:fill="FFFFFF"/>
            <w:noWrap/>
            <w:vAlign w:val="center"/>
            <w:hideMark/>
          </w:tcPr>
          <w:p w14:paraId="36DA0E84"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666BACDA" w14:textId="79D6252E" w:rsidR="009F7D77" w:rsidRPr="009F7D77" w:rsidRDefault="00993DA1" w:rsidP="009F7D77">
            <w:pPr>
              <w:spacing w:before="0" w:after="0" w:line="240" w:lineRule="auto"/>
              <w:jc w:val="right"/>
              <w:rPr>
                <w:rFonts w:ascii="Arial" w:hAnsi="Arial" w:cs="Arial"/>
                <w:i/>
                <w:iCs/>
                <w:sz w:val="16"/>
                <w:szCs w:val="16"/>
              </w:rPr>
            </w:pPr>
            <w:r>
              <w:rPr>
                <w:rFonts w:ascii="Arial" w:hAnsi="Arial" w:cs="Arial"/>
                <w:i/>
                <w:iCs/>
                <w:sz w:val="16"/>
                <w:szCs w:val="16"/>
              </w:rPr>
              <w:noBreakHyphen/>
            </w:r>
            <w:r w:rsidR="009F7D77" w:rsidRPr="009F7D77">
              <w:rPr>
                <w:rFonts w:ascii="Arial" w:hAnsi="Arial" w:cs="Arial"/>
                <w:i/>
                <w:iCs/>
                <w:sz w:val="16"/>
                <w:szCs w:val="16"/>
              </w:rPr>
              <w:t>1,090</w:t>
            </w:r>
          </w:p>
        </w:tc>
      </w:tr>
      <w:tr w:rsidR="009F7D77" w:rsidRPr="009F7D77" w14:paraId="79FC6BB6"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7A655638"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Total parameter and other variations</w:t>
            </w:r>
          </w:p>
        </w:tc>
        <w:tc>
          <w:tcPr>
            <w:tcW w:w="460" w:type="pct"/>
            <w:tcBorders>
              <w:top w:val="nil"/>
              <w:left w:val="nil"/>
              <w:bottom w:val="nil"/>
              <w:right w:val="nil"/>
            </w:tcBorders>
            <w:shd w:val="clear" w:color="000000" w:fill="FFFFFF"/>
            <w:noWrap/>
            <w:vAlign w:val="center"/>
            <w:hideMark/>
          </w:tcPr>
          <w:p w14:paraId="1CA9ACF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E6F2FF"/>
            <w:noWrap/>
            <w:vAlign w:val="center"/>
            <w:hideMark/>
          </w:tcPr>
          <w:p w14:paraId="345D34B5"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74" w:type="pct"/>
            <w:tcBorders>
              <w:top w:val="nil"/>
              <w:left w:val="nil"/>
              <w:bottom w:val="nil"/>
              <w:right w:val="nil"/>
            </w:tcBorders>
            <w:shd w:val="clear" w:color="000000" w:fill="FFFFFF"/>
            <w:noWrap/>
            <w:vAlign w:val="center"/>
            <w:hideMark/>
          </w:tcPr>
          <w:p w14:paraId="76BBC756"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CDB284E"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74" w:type="pct"/>
            <w:tcBorders>
              <w:top w:val="nil"/>
              <w:left w:val="nil"/>
              <w:bottom w:val="nil"/>
              <w:right w:val="nil"/>
            </w:tcBorders>
            <w:shd w:val="clear" w:color="000000" w:fill="FFFFFF"/>
            <w:noWrap/>
            <w:vAlign w:val="center"/>
            <w:hideMark/>
          </w:tcPr>
          <w:p w14:paraId="1EA5E7C5"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c>
          <w:tcPr>
            <w:tcW w:w="45" w:type="pct"/>
            <w:tcBorders>
              <w:top w:val="nil"/>
              <w:left w:val="nil"/>
              <w:bottom w:val="nil"/>
              <w:right w:val="nil"/>
            </w:tcBorders>
            <w:shd w:val="clear" w:color="000000" w:fill="FFFFFF"/>
            <w:noWrap/>
            <w:vAlign w:val="center"/>
            <w:hideMark/>
          </w:tcPr>
          <w:p w14:paraId="5DB9233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nil"/>
              <w:right w:val="nil"/>
            </w:tcBorders>
            <w:shd w:val="clear" w:color="000000" w:fill="FFFFFF"/>
            <w:noWrap/>
            <w:vAlign w:val="center"/>
            <w:hideMark/>
          </w:tcPr>
          <w:p w14:paraId="2288ED18" w14:textId="77777777" w:rsidR="009F7D77" w:rsidRPr="009F7D77" w:rsidRDefault="009F7D77" w:rsidP="009F7D77">
            <w:pPr>
              <w:spacing w:before="0" w:after="0" w:line="240" w:lineRule="auto"/>
              <w:jc w:val="right"/>
              <w:rPr>
                <w:rFonts w:ascii="Arial" w:hAnsi="Arial" w:cs="Arial"/>
                <w:i/>
                <w:iCs/>
                <w:sz w:val="16"/>
                <w:szCs w:val="16"/>
              </w:rPr>
            </w:pPr>
            <w:r w:rsidRPr="009F7D77">
              <w:rPr>
                <w:rFonts w:ascii="Arial" w:hAnsi="Arial" w:cs="Arial"/>
                <w:i/>
                <w:iCs/>
                <w:sz w:val="16"/>
                <w:szCs w:val="16"/>
              </w:rPr>
              <w:t> </w:t>
            </w:r>
          </w:p>
        </w:tc>
      </w:tr>
      <w:tr w:rsidR="009F7D77" w:rsidRPr="009F7D77" w14:paraId="75D9985F"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63BD1595" w14:textId="77777777" w:rsidR="009F7D77" w:rsidRPr="009F7D77" w:rsidRDefault="009F7D77" w:rsidP="009F7D77">
            <w:pPr>
              <w:spacing w:before="0" w:after="0" w:line="240" w:lineRule="auto"/>
              <w:ind w:left="170"/>
              <w:rPr>
                <w:rFonts w:ascii="Arial" w:hAnsi="Arial" w:cs="Arial"/>
                <w:sz w:val="16"/>
                <w:szCs w:val="16"/>
              </w:rPr>
            </w:pPr>
            <w:r w:rsidRPr="009F7D77">
              <w:rPr>
                <w:rFonts w:ascii="Arial" w:hAnsi="Arial" w:cs="Arial"/>
                <w:sz w:val="16"/>
                <w:szCs w:val="16"/>
              </w:rPr>
              <w:t>impact on underlying cash balance</w:t>
            </w:r>
          </w:p>
        </w:tc>
        <w:tc>
          <w:tcPr>
            <w:tcW w:w="460" w:type="pct"/>
            <w:tcBorders>
              <w:top w:val="nil"/>
              <w:left w:val="nil"/>
              <w:bottom w:val="single" w:sz="4" w:space="0" w:color="293F5B"/>
              <w:right w:val="nil"/>
            </w:tcBorders>
            <w:shd w:val="clear" w:color="000000" w:fill="FFFFFF"/>
            <w:noWrap/>
            <w:vAlign w:val="center"/>
            <w:hideMark/>
          </w:tcPr>
          <w:p w14:paraId="67F1E7B1" w14:textId="42066BB8"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280</w:t>
            </w:r>
          </w:p>
        </w:tc>
        <w:tc>
          <w:tcPr>
            <w:tcW w:w="474" w:type="pct"/>
            <w:tcBorders>
              <w:top w:val="nil"/>
              <w:left w:val="nil"/>
              <w:bottom w:val="single" w:sz="4" w:space="0" w:color="293F5B"/>
              <w:right w:val="nil"/>
            </w:tcBorders>
            <w:shd w:val="clear" w:color="000000" w:fill="E6F2FF"/>
            <w:noWrap/>
            <w:vAlign w:val="center"/>
            <w:hideMark/>
          </w:tcPr>
          <w:p w14:paraId="46526717"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183</w:t>
            </w:r>
          </w:p>
        </w:tc>
        <w:tc>
          <w:tcPr>
            <w:tcW w:w="474" w:type="pct"/>
            <w:tcBorders>
              <w:top w:val="nil"/>
              <w:left w:val="nil"/>
              <w:bottom w:val="single" w:sz="4" w:space="0" w:color="293F5B"/>
              <w:right w:val="nil"/>
            </w:tcBorders>
            <w:shd w:val="clear" w:color="000000" w:fill="FFFFFF"/>
            <w:noWrap/>
            <w:vAlign w:val="center"/>
            <w:hideMark/>
          </w:tcPr>
          <w:p w14:paraId="6249A582"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720</w:t>
            </w:r>
          </w:p>
        </w:tc>
        <w:tc>
          <w:tcPr>
            <w:tcW w:w="474" w:type="pct"/>
            <w:tcBorders>
              <w:top w:val="nil"/>
              <w:left w:val="nil"/>
              <w:bottom w:val="single" w:sz="4" w:space="0" w:color="293F5B"/>
              <w:right w:val="nil"/>
            </w:tcBorders>
            <w:shd w:val="clear" w:color="000000" w:fill="FFFFFF"/>
            <w:noWrap/>
            <w:vAlign w:val="center"/>
            <w:hideMark/>
          </w:tcPr>
          <w:p w14:paraId="3E5F695B"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436</w:t>
            </w:r>
          </w:p>
        </w:tc>
        <w:tc>
          <w:tcPr>
            <w:tcW w:w="474" w:type="pct"/>
            <w:tcBorders>
              <w:top w:val="nil"/>
              <w:left w:val="nil"/>
              <w:bottom w:val="single" w:sz="4" w:space="0" w:color="293F5B"/>
              <w:right w:val="nil"/>
            </w:tcBorders>
            <w:shd w:val="clear" w:color="000000" w:fill="FFFFFF"/>
            <w:noWrap/>
            <w:vAlign w:val="center"/>
            <w:hideMark/>
          </w:tcPr>
          <w:p w14:paraId="6D59AEEF"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49</w:t>
            </w:r>
          </w:p>
        </w:tc>
        <w:tc>
          <w:tcPr>
            <w:tcW w:w="45" w:type="pct"/>
            <w:tcBorders>
              <w:top w:val="nil"/>
              <w:left w:val="nil"/>
              <w:bottom w:val="nil"/>
              <w:right w:val="nil"/>
            </w:tcBorders>
            <w:shd w:val="clear" w:color="000000" w:fill="FFFFFF"/>
            <w:noWrap/>
            <w:vAlign w:val="center"/>
            <w:hideMark/>
          </w:tcPr>
          <w:p w14:paraId="2498EFBA"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1A31717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1,107</w:t>
            </w:r>
          </w:p>
        </w:tc>
      </w:tr>
      <w:tr w:rsidR="009F7D77" w:rsidRPr="009F7D77" w14:paraId="3B700F9E" w14:textId="77777777" w:rsidTr="009F7D77">
        <w:trPr>
          <w:trHeight w:hRule="exact" w:val="60"/>
        </w:trPr>
        <w:tc>
          <w:tcPr>
            <w:tcW w:w="2114" w:type="pct"/>
            <w:tcBorders>
              <w:top w:val="nil"/>
              <w:left w:val="nil"/>
              <w:bottom w:val="nil"/>
              <w:right w:val="nil"/>
            </w:tcBorders>
            <w:shd w:val="clear" w:color="000000" w:fill="FFFFFF"/>
            <w:noWrap/>
            <w:vAlign w:val="center"/>
            <w:hideMark/>
          </w:tcPr>
          <w:p w14:paraId="37B767AD"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 </w:t>
            </w:r>
          </w:p>
        </w:tc>
        <w:tc>
          <w:tcPr>
            <w:tcW w:w="460" w:type="pct"/>
            <w:tcBorders>
              <w:top w:val="nil"/>
              <w:left w:val="nil"/>
              <w:bottom w:val="nil"/>
              <w:right w:val="nil"/>
            </w:tcBorders>
            <w:shd w:val="clear" w:color="000000" w:fill="FFFFFF"/>
            <w:noWrap/>
            <w:vAlign w:val="center"/>
            <w:hideMark/>
          </w:tcPr>
          <w:p w14:paraId="121138BC"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E6F2FF"/>
            <w:noWrap/>
            <w:vAlign w:val="center"/>
            <w:hideMark/>
          </w:tcPr>
          <w:p w14:paraId="39BA3274"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372E61C9"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096A271A"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74" w:type="pct"/>
            <w:tcBorders>
              <w:top w:val="nil"/>
              <w:left w:val="nil"/>
              <w:bottom w:val="nil"/>
              <w:right w:val="nil"/>
            </w:tcBorders>
            <w:shd w:val="clear" w:color="000000" w:fill="FFFFFF"/>
            <w:noWrap/>
            <w:vAlign w:val="center"/>
            <w:hideMark/>
          </w:tcPr>
          <w:p w14:paraId="486AC412"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5" w:type="pct"/>
            <w:tcBorders>
              <w:top w:val="nil"/>
              <w:left w:val="nil"/>
              <w:bottom w:val="nil"/>
              <w:right w:val="nil"/>
            </w:tcBorders>
            <w:shd w:val="clear" w:color="000000" w:fill="FFFFFF"/>
            <w:noWrap/>
            <w:vAlign w:val="center"/>
            <w:hideMark/>
          </w:tcPr>
          <w:p w14:paraId="42F0C626"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c>
          <w:tcPr>
            <w:tcW w:w="484" w:type="pct"/>
            <w:tcBorders>
              <w:top w:val="nil"/>
              <w:left w:val="nil"/>
              <w:bottom w:val="nil"/>
              <w:right w:val="nil"/>
            </w:tcBorders>
            <w:shd w:val="clear" w:color="000000" w:fill="FFFFFF"/>
            <w:noWrap/>
            <w:vAlign w:val="center"/>
            <w:hideMark/>
          </w:tcPr>
          <w:p w14:paraId="29EE70F4" w14:textId="77777777" w:rsidR="009F7D77" w:rsidRPr="009F7D77" w:rsidRDefault="009F7D77" w:rsidP="009F7D77">
            <w:pPr>
              <w:spacing w:before="0" w:after="0" w:line="240" w:lineRule="auto"/>
              <w:jc w:val="right"/>
              <w:rPr>
                <w:rFonts w:ascii="Arial" w:hAnsi="Arial" w:cs="Arial"/>
                <w:color w:val="0066CC"/>
                <w:sz w:val="16"/>
                <w:szCs w:val="16"/>
              </w:rPr>
            </w:pPr>
            <w:r w:rsidRPr="009F7D77">
              <w:rPr>
                <w:rFonts w:ascii="Arial" w:hAnsi="Arial" w:cs="Arial"/>
                <w:color w:val="0066CC"/>
                <w:sz w:val="16"/>
                <w:szCs w:val="16"/>
              </w:rPr>
              <w:t> </w:t>
            </w:r>
          </w:p>
        </w:tc>
      </w:tr>
      <w:tr w:rsidR="009F7D77" w:rsidRPr="009F7D77" w14:paraId="0D4B269A"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5513E51B" w14:textId="77777777" w:rsidR="009F7D77" w:rsidRPr="009F7D77" w:rsidRDefault="009F7D77" w:rsidP="009F7D77">
            <w:pPr>
              <w:spacing w:before="0" w:after="0" w:line="240" w:lineRule="auto"/>
              <w:rPr>
                <w:rFonts w:ascii="Arial" w:hAnsi="Arial" w:cs="Arial"/>
                <w:b/>
                <w:bCs/>
                <w:sz w:val="16"/>
                <w:szCs w:val="16"/>
              </w:rPr>
            </w:pPr>
            <w:r w:rsidRPr="009F7D77">
              <w:rPr>
                <w:rFonts w:ascii="Arial" w:hAnsi="Arial" w:cs="Arial"/>
                <w:b/>
                <w:bCs/>
                <w:sz w:val="16"/>
                <w:szCs w:val="16"/>
              </w:rPr>
              <w:t>2025 PEFO underlying cash</w:t>
            </w:r>
          </w:p>
        </w:tc>
        <w:tc>
          <w:tcPr>
            <w:tcW w:w="460" w:type="pct"/>
            <w:tcBorders>
              <w:top w:val="nil"/>
              <w:left w:val="nil"/>
              <w:bottom w:val="nil"/>
              <w:right w:val="nil"/>
            </w:tcBorders>
            <w:shd w:val="clear" w:color="000000" w:fill="FFFFFF"/>
            <w:noWrap/>
            <w:vAlign w:val="center"/>
            <w:hideMark/>
          </w:tcPr>
          <w:p w14:paraId="77492C4D"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E6F2FF"/>
            <w:noWrap/>
            <w:vAlign w:val="center"/>
            <w:hideMark/>
          </w:tcPr>
          <w:p w14:paraId="4D356A9A"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15476DB0"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7047C74F"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74" w:type="pct"/>
            <w:tcBorders>
              <w:top w:val="nil"/>
              <w:left w:val="nil"/>
              <w:bottom w:val="nil"/>
              <w:right w:val="nil"/>
            </w:tcBorders>
            <w:shd w:val="clear" w:color="000000" w:fill="FFFFFF"/>
            <w:noWrap/>
            <w:vAlign w:val="center"/>
            <w:hideMark/>
          </w:tcPr>
          <w:p w14:paraId="0CB621C1"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5" w:type="pct"/>
            <w:tcBorders>
              <w:top w:val="nil"/>
              <w:left w:val="nil"/>
              <w:bottom w:val="nil"/>
              <w:right w:val="nil"/>
            </w:tcBorders>
            <w:shd w:val="clear" w:color="000000" w:fill="FFFFFF"/>
            <w:noWrap/>
            <w:vAlign w:val="center"/>
            <w:hideMark/>
          </w:tcPr>
          <w:p w14:paraId="4239ACEC"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39ABC256"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r>
      <w:tr w:rsidR="009F7D77" w:rsidRPr="009F7D77" w14:paraId="532F03A2" w14:textId="77777777" w:rsidTr="009F7D77">
        <w:trPr>
          <w:trHeight w:hRule="exact" w:val="225"/>
        </w:trPr>
        <w:tc>
          <w:tcPr>
            <w:tcW w:w="2114" w:type="pct"/>
            <w:tcBorders>
              <w:top w:val="nil"/>
              <w:left w:val="nil"/>
              <w:bottom w:val="nil"/>
              <w:right w:val="nil"/>
            </w:tcBorders>
            <w:shd w:val="clear" w:color="000000" w:fill="FFFFFF"/>
            <w:noWrap/>
            <w:vAlign w:val="center"/>
            <w:hideMark/>
          </w:tcPr>
          <w:p w14:paraId="17148EC1" w14:textId="77777777" w:rsidR="009F7D77" w:rsidRPr="009F7D77" w:rsidRDefault="009F7D77" w:rsidP="009F7D77">
            <w:pPr>
              <w:spacing w:before="0" w:after="0" w:line="240" w:lineRule="auto"/>
              <w:ind w:left="170"/>
              <w:rPr>
                <w:rFonts w:ascii="Arial" w:hAnsi="Arial" w:cs="Arial"/>
                <w:b/>
                <w:bCs/>
                <w:sz w:val="16"/>
                <w:szCs w:val="16"/>
              </w:rPr>
            </w:pPr>
            <w:r w:rsidRPr="009F7D77">
              <w:rPr>
                <w:rFonts w:ascii="Arial" w:hAnsi="Arial" w:cs="Arial"/>
                <w:b/>
                <w:bCs/>
                <w:sz w:val="16"/>
                <w:szCs w:val="16"/>
              </w:rPr>
              <w:t>balance</w:t>
            </w:r>
          </w:p>
        </w:tc>
        <w:tc>
          <w:tcPr>
            <w:tcW w:w="460" w:type="pct"/>
            <w:tcBorders>
              <w:top w:val="nil"/>
              <w:left w:val="nil"/>
              <w:bottom w:val="nil"/>
              <w:right w:val="nil"/>
            </w:tcBorders>
            <w:shd w:val="clear" w:color="000000" w:fill="FFFFFF"/>
            <w:noWrap/>
            <w:vAlign w:val="center"/>
            <w:hideMark/>
          </w:tcPr>
          <w:p w14:paraId="0AB54D6B" w14:textId="615A7095"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27,890</w:t>
            </w:r>
          </w:p>
        </w:tc>
        <w:tc>
          <w:tcPr>
            <w:tcW w:w="474" w:type="pct"/>
            <w:tcBorders>
              <w:top w:val="nil"/>
              <w:left w:val="nil"/>
              <w:bottom w:val="nil"/>
              <w:right w:val="nil"/>
            </w:tcBorders>
            <w:shd w:val="clear" w:color="000000" w:fill="E6F2FF"/>
            <w:noWrap/>
            <w:vAlign w:val="center"/>
            <w:hideMark/>
          </w:tcPr>
          <w:p w14:paraId="6867CA66" w14:textId="75CC1414"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42,165</w:t>
            </w:r>
          </w:p>
        </w:tc>
        <w:tc>
          <w:tcPr>
            <w:tcW w:w="474" w:type="pct"/>
            <w:tcBorders>
              <w:top w:val="nil"/>
              <w:left w:val="nil"/>
              <w:bottom w:val="nil"/>
              <w:right w:val="nil"/>
            </w:tcBorders>
            <w:shd w:val="clear" w:color="000000" w:fill="FFFFFF"/>
            <w:noWrap/>
            <w:vAlign w:val="center"/>
            <w:hideMark/>
          </w:tcPr>
          <w:p w14:paraId="70CCA4A9" w14:textId="6488BBC0"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35,366</w:t>
            </w:r>
          </w:p>
        </w:tc>
        <w:tc>
          <w:tcPr>
            <w:tcW w:w="474" w:type="pct"/>
            <w:tcBorders>
              <w:top w:val="nil"/>
              <w:left w:val="nil"/>
              <w:bottom w:val="nil"/>
              <w:right w:val="nil"/>
            </w:tcBorders>
            <w:shd w:val="clear" w:color="000000" w:fill="FFFFFF"/>
            <w:noWrap/>
            <w:vAlign w:val="center"/>
            <w:hideMark/>
          </w:tcPr>
          <w:p w14:paraId="75D5E007" w14:textId="0E291E50"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37,087</w:t>
            </w:r>
          </w:p>
        </w:tc>
        <w:tc>
          <w:tcPr>
            <w:tcW w:w="474" w:type="pct"/>
            <w:tcBorders>
              <w:top w:val="nil"/>
              <w:left w:val="nil"/>
              <w:bottom w:val="nil"/>
              <w:right w:val="nil"/>
            </w:tcBorders>
            <w:shd w:val="clear" w:color="000000" w:fill="FFFFFF"/>
            <w:noWrap/>
            <w:vAlign w:val="center"/>
            <w:hideMark/>
          </w:tcPr>
          <w:p w14:paraId="29005778" w14:textId="7B8D9C6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37,028</w:t>
            </w:r>
          </w:p>
        </w:tc>
        <w:tc>
          <w:tcPr>
            <w:tcW w:w="45" w:type="pct"/>
            <w:tcBorders>
              <w:top w:val="nil"/>
              <w:left w:val="nil"/>
              <w:bottom w:val="nil"/>
              <w:right w:val="nil"/>
            </w:tcBorders>
            <w:shd w:val="clear" w:color="000000" w:fill="FFFFFF"/>
            <w:noWrap/>
            <w:vAlign w:val="center"/>
            <w:hideMark/>
          </w:tcPr>
          <w:p w14:paraId="0D2851DE" w14:textId="77777777" w:rsidR="009F7D77" w:rsidRPr="009F7D77" w:rsidRDefault="009F7D77" w:rsidP="009F7D77">
            <w:pPr>
              <w:spacing w:before="0" w:after="0" w:line="240" w:lineRule="auto"/>
              <w:jc w:val="right"/>
              <w:rPr>
                <w:rFonts w:ascii="Arial" w:hAnsi="Arial" w:cs="Arial"/>
                <w:b/>
                <w:bCs/>
                <w:sz w:val="16"/>
                <w:szCs w:val="16"/>
              </w:rPr>
            </w:pPr>
            <w:r w:rsidRPr="009F7D77">
              <w:rPr>
                <w:rFonts w:ascii="Arial" w:hAnsi="Arial" w:cs="Arial"/>
                <w:b/>
                <w:bCs/>
                <w:sz w:val="16"/>
                <w:szCs w:val="16"/>
              </w:rPr>
              <w:t> </w:t>
            </w:r>
          </w:p>
        </w:tc>
        <w:tc>
          <w:tcPr>
            <w:tcW w:w="484" w:type="pct"/>
            <w:tcBorders>
              <w:top w:val="nil"/>
              <w:left w:val="nil"/>
              <w:bottom w:val="nil"/>
              <w:right w:val="nil"/>
            </w:tcBorders>
            <w:shd w:val="clear" w:color="000000" w:fill="FFFFFF"/>
            <w:noWrap/>
            <w:vAlign w:val="center"/>
            <w:hideMark/>
          </w:tcPr>
          <w:p w14:paraId="5ED958C2" w14:textId="4EDED0AF" w:rsidR="009F7D77" w:rsidRPr="009F7D77" w:rsidRDefault="00993DA1" w:rsidP="009F7D77">
            <w:pPr>
              <w:spacing w:before="0" w:after="0" w:line="240" w:lineRule="auto"/>
              <w:jc w:val="right"/>
              <w:rPr>
                <w:rFonts w:ascii="Arial" w:hAnsi="Arial" w:cs="Arial"/>
                <w:b/>
                <w:bCs/>
                <w:sz w:val="16"/>
                <w:szCs w:val="16"/>
              </w:rPr>
            </w:pPr>
            <w:r>
              <w:rPr>
                <w:rFonts w:ascii="Arial" w:hAnsi="Arial" w:cs="Arial"/>
                <w:b/>
                <w:bCs/>
                <w:sz w:val="16"/>
                <w:szCs w:val="16"/>
              </w:rPr>
              <w:noBreakHyphen/>
            </w:r>
            <w:r w:rsidR="009F7D77" w:rsidRPr="009F7D77">
              <w:rPr>
                <w:rFonts w:ascii="Arial" w:hAnsi="Arial" w:cs="Arial"/>
                <w:b/>
                <w:bCs/>
                <w:sz w:val="16"/>
                <w:szCs w:val="16"/>
              </w:rPr>
              <w:t>179,537</w:t>
            </w:r>
          </w:p>
        </w:tc>
      </w:tr>
      <w:tr w:rsidR="009F7D77" w:rsidRPr="009F7D77" w14:paraId="4C539E51" w14:textId="77777777" w:rsidTr="009F7D77">
        <w:trPr>
          <w:trHeight w:hRule="exact" w:val="225"/>
        </w:trPr>
        <w:tc>
          <w:tcPr>
            <w:tcW w:w="2114" w:type="pct"/>
            <w:tcBorders>
              <w:top w:val="nil"/>
              <w:left w:val="nil"/>
              <w:bottom w:val="single" w:sz="4" w:space="0" w:color="293F5B"/>
              <w:right w:val="nil"/>
            </w:tcBorders>
            <w:shd w:val="clear" w:color="000000" w:fill="FFFFFF"/>
            <w:noWrap/>
            <w:vAlign w:val="center"/>
            <w:hideMark/>
          </w:tcPr>
          <w:p w14:paraId="4DAB530A" w14:textId="77777777" w:rsidR="009F7D77" w:rsidRPr="009F7D77" w:rsidRDefault="009F7D77" w:rsidP="009F7D77">
            <w:pPr>
              <w:spacing w:before="0" w:after="0" w:line="240" w:lineRule="auto"/>
              <w:rPr>
                <w:rFonts w:ascii="Arial" w:hAnsi="Arial" w:cs="Arial"/>
                <w:sz w:val="16"/>
                <w:szCs w:val="16"/>
              </w:rPr>
            </w:pPr>
            <w:r w:rsidRPr="009F7D77">
              <w:rPr>
                <w:rFonts w:ascii="Arial" w:hAnsi="Arial" w:cs="Arial"/>
                <w:sz w:val="16"/>
                <w:szCs w:val="16"/>
              </w:rPr>
              <w:t>Per cent of GDP</w:t>
            </w:r>
          </w:p>
        </w:tc>
        <w:tc>
          <w:tcPr>
            <w:tcW w:w="460" w:type="pct"/>
            <w:tcBorders>
              <w:top w:val="nil"/>
              <w:left w:val="nil"/>
              <w:bottom w:val="single" w:sz="4" w:space="0" w:color="293F5B"/>
              <w:right w:val="nil"/>
            </w:tcBorders>
            <w:shd w:val="clear" w:color="000000" w:fill="FFFFFF"/>
            <w:noWrap/>
            <w:vAlign w:val="center"/>
            <w:hideMark/>
          </w:tcPr>
          <w:p w14:paraId="409D83C5" w14:textId="62629984"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1.0</w:t>
            </w:r>
          </w:p>
        </w:tc>
        <w:tc>
          <w:tcPr>
            <w:tcW w:w="474" w:type="pct"/>
            <w:tcBorders>
              <w:top w:val="nil"/>
              <w:left w:val="nil"/>
              <w:bottom w:val="single" w:sz="4" w:space="0" w:color="293F5B"/>
              <w:right w:val="nil"/>
            </w:tcBorders>
            <w:shd w:val="clear" w:color="000000" w:fill="E6F2FF"/>
            <w:noWrap/>
            <w:vAlign w:val="center"/>
            <w:hideMark/>
          </w:tcPr>
          <w:p w14:paraId="75D4EDF0" w14:textId="027B36B2"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1.5</w:t>
            </w:r>
          </w:p>
        </w:tc>
        <w:tc>
          <w:tcPr>
            <w:tcW w:w="474" w:type="pct"/>
            <w:tcBorders>
              <w:top w:val="nil"/>
              <w:left w:val="nil"/>
              <w:bottom w:val="single" w:sz="4" w:space="0" w:color="293F5B"/>
              <w:right w:val="nil"/>
            </w:tcBorders>
            <w:shd w:val="clear" w:color="000000" w:fill="FFFFFF"/>
            <w:noWrap/>
            <w:vAlign w:val="center"/>
            <w:hideMark/>
          </w:tcPr>
          <w:p w14:paraId="04B8F412" w14:textId="01449EE6"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single" w:sz="4" w:space="0" w:color="293F5B"/>
              <w:right w:val="nil"/>
            </w:tcBorders>
            <w:shd w:val="clear" w:color="000000" w:fill="FFFFFF"/>
            <w:noWrap/>
            <w:vAlign w:val="center"/>
            <w:hideMark/>
          </w:tcPr>
          <w:p w14:paraId="46780EF6" w14:textId="04CB1513"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1.2</w:t>
            </w:r>
          </w:p>
        </w:tc>
        <w:tc>
          <w:tcPr>
            <w:tcW w:w="474" w:type="pct"/>
            <w:tcBorders>
              <w:top w:val="nil"/>
              <w:left w:val="nil"/>
              <w:bottom w:val="single" w:sz="4" w:space="0" w:color="293F5B"/>
              <w:right w:val="nil"/>
            </w:tcBorders>
            <w:shd w:val="clear" w:color="000000" w:fill="FFFFFF"/>
            <w:noWrap/>
            <w:vAlign w:val="center"/>
            <w:hideMark/>
          </w:tcPr>
          <w:p w14:paraId="06E2C498" w14:textId="1C91A77F" w:rsidR="009F7D77" w:rsidRPr="009F7D77" w:rsidRDefault="00993DA1" w:rsidP="009F7D77">
            <w:pPr>
              <w:spacing w:before="0" w:after="0" w:line="240" w:lineRule="auto"/>
              <w:jc w:val="right"/>
              <w:rPr>
                <w:rFonts w:ascii="Arial" w:hAnsi="Arial" w:cs="Arial"/>
                <w:sz w:val="16"/>
                <w:szCs w:val="16"/>
              </w:rPr>
            </w:pPr>
            <w:r>
              <w:rPr>
                <w:rFonts w:ascii="Arial" w:hAnsi="Arial" w:cs="Arial"/>
                <w:sz w:val="16"/>
                <w:szCs w:val="16"/>
              </w:rPr>
              <w:noBreakHyphen/>
            </w:r>
            <w:r w:rsidR="009F7D77" w:rsidRPr="009F7D77">
              <w:rPr>
                <w:rFonts w:ascii="Arial" w:hAnsi="Arial" w:cs="Arial"/>
                <w:sz w:val="16"/>
                <w:szCs w:val="16"/>
              </w:rPr>
              <w:t>1.1</w:t>
            </w:r>
          </w:p>
        </w:tc>
        <w:tc>
          <w:tcPr>
            <w:tcW w:w="45" w:type="pct"/>
            <w:tcBorders>
              <w:top w:val="nil"/>
              <w:left w:val="nil"/>
              <w:bottom w:val="single" w:sz="4" w:space="0" w:color="293F5B"/>
              <w:right w:val="nil"/>
            </w:tcBorders>
            <w:shd w:val="clear" w:color="000000" w:fill="FFFFFF"/>
            <w:noWrap/>
            <w:vAlign w:val="center"/>
            <w:hideMark/>
          </w:tcPr>
          <w:p w14:paraId="449CAACC"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c>
          <w:tcPr>
            <w:tcW w:w="484" w:type="pct"/>
            <w:tcBorders>
              <w:top w:val="nil"/>
              <w:left w:val="nil"/>
              <w:bottom w:val="single" w:sz="4" w:space="0" w:color="293F5B"/>
              <w:right w:val="nil"/>
            </w:tcBorders>
            <w:shd w:val="clear" w:color="000000" w:fill="FFFFFF"/>
            <w:noWrap/>
            <w:vAlign w:val="center"/>
            <w:hideMark/>
          </w:tcPr>
          <w:p w14:paraId="49513B10" w14:textId="77777777" w:rsidR="009F7D77" w:rsidRPr="009F7D77" w:rsidRDefault="009F7D77" w:rsidP="009F7D77">
            <w:pPr>
              <w:spacing w:before="0" w:after="0" w:line="240" w:lineRule="auto"/>
              <w:jc w:val="right"/>
              <w:rPr>
                <w:rFonts w:ascii="Arial" w:hAnsi="Arial" w:cs="Arial"/>
                <w:sz w:val="16"/>
                <w:szCs w:val="16"/>
              </w:rPr>
            </w:pPr>
            <w:r w:rsidRPr="009F7D77">
              <w:rPr>
                <w:rFonts w:ascii="Arial" w:hAnsi="Arial" w:cs="Arial"/>
                <w:sz w:val="16"/>
                <w:szCs w:val="16"/>
              </w:rPr>
              <w:t> </w:t>
            </w:r>
          </w:p>
        </w:tc>
      </w:tr>
    </w:tbl>
    <w:p w14:paraId="6B8F9751" w14:textId="4E1907B1" w:rsidR="00B315A9" w:rsidRPr="004D32B6" w:rsidRDefault="00B315A9" w:rsidP="009F7D77">
      <w:pPr>
        <w:pStyle w:val="ChartandTableFootnoteAlpha"/>
        <w:numPr>
          <w:ilvl w:val="0"/>
          <w:numId w:val="48"/>
        </w:numPr>
        <w:rPr>
          <w:color w:val="auto"/>
        </w:rPr>
      </w:pPr>
      <w:r w:rsidRPr="004D32B6">
        <w:rPr>
          <w:color w:val="auto"/>
        </w:rPr>
        <w:t>Excludes secondary impacts on public debt interest of policy decisions and offsets from the Contingency Reserve for decisions taken.</w:t>
      </w:r>
    </w:p>
    <w:p w14:paraId="4118D744" w14:textId="40851F92" w:rsidR="00B315A9" w:rsidRDefault="00B315A9" w:rsidP="00732DF7">
      <w:pPr>
        <w:pStyle w:val="ChartandTableFootnoteAlpha"/>
      </w:pPr>
      <w:r w:rsidRPr="004D32B6">
        <w:rPr>
          <w:color w:val="auto"/>
        </w:rPr>
        <w:t>A positive number for receipts improves the underlying cash balance, while a positive number for payments worsens the underlying cash balance.</w:t>
      </w:r>
      <w:r w:rsidR="002824AD" w:rsidRPr="004D32B6">
        <w:rPr>
          <w:color w:val="auto"/>
        </w:rPr>
        <w:t xml:space="preserve"> </w:t>
      </w:r>
    </w:p>
    <w:p w14:paraId="575AACF6" w14:textId="77777777" w:rsidR="00522EE0" w:rsidRPr="00522EE0" w:rsidRDefault="00522EE0" w:rsidP="00522EE0">
      <w:pPr>
        <w:pStyle w:val="TableLine"/>
      </w:pPr>
      <w:bookmarkStart w:id="14" w:name="_Hlk194311648"/>
    </w:p>
    <w:bookmarkEnd w:id="14"/>
    <w:p w14:paraId="0202FC8E" w14:textId="11FA0B03" w:rsidR="00E77D8A" w:rsidRPr="004D32B6" w:rsidRDefault="00990503">
      <w:r w:rsidRPr="004D32B6">
        <w:t>The outlook for receipts is unchanged since the 2025–26 Budget, consistent with the unchanged economic outlook.</w:t>
      </w:r>
      <w:r w:rsidRPr="006550E0">
        <w:t xml:space="preserve"> </w:t>
      </w:r>
      <w:r w:rsidR="00223A0D" w:rsidRPr="004D32B6">
        <w:t xml:space="preserve">The outlook for payments </w:t>
      </w:r>
      <w:r w:rsidR="00AE407C" w:rsidRPr="004D32B6">
        <w:t>over the forward estimates</w:t>
      </w:r>
      <w:r w:rsidR="00223A0D" w:rsidRPr="004D32B6">
        <w:t xml:space="preserve"> is </w:t>
      </w:r>
      <w:r w:rsidR="00CE4B8E" w:rsidRPr="004D32B6">
        <w:t>largely</w:t>
      </w:r>
      <w:r w:rsidR="00223A0D" w:rsidRPr="004D32B6">
        <w:t xml:space="preserve"> unchanged since the 2025</w:t>
      </w:r>
      <w:r w:rsidR="00497EE7" w:rsidRPr="004D32B6">
        <w:t>–</w:t>
      </w:r>
      <w:r w:rsidR="00223A0D" w:rsidRPr="004D32B6">
        <w:t>26 Budget, with some changes to the profile of payments between years.</w:t>
      </w:r>
    </w:p>
    <w:p w14:paraId="3FC5F197" w14:textId="5FCF5406" w:rsidR="00866D69" w:rsidRPr="004A6D8E" w:rsidRDefault="00866D69" w:rsidP="00866D69">
      <w:r w:rsidRPr="004D32B6">
        <w:t>Policy decisions since the 2025</w:t>
      </w:r>
      <w:r w:rsidR="003879F3" w:rsidRPr="004D32B6">
        <w:t>–</w:t>
      </w:r>
      <w:r w:rsidRPr="004D32B6">
        <w:t xml:space="preserve">26 Budget have had a negative underlying cash balance impact </w:t>
      </w:r>
      <w:r w:rsidR="00242C5C" w:rsidRPr="004D32B6">
        <w:t xml:space="preserve">of $225.8 million in 2025–26 and $1.1 billion </w:t>
      </w:r>
      <w:r w:rsidRPr="004D32B6">
        <w:t>over the five years to 2028</w:t>
      </w:r>
      <w:r w:rsidR="003879F3" w:rsidRPr="004D32B6">
        <w:t>–</w:t>
      </w:r>
      <w:r w:rsidRPr="004D32B6">
        <w:t>29.</w:t>
      </w:r>
      <w:r w:rsidR="000D14C6" w:rsidRPr="004D32B6">
        <w:t xml:space="preserve"> </w:t>
      </w:r>
    </w:p>
    <w:p w14:paraId="27D2055B" w14:textId="4216A6F1" w:rsidR="00866D69" w:rsidRPr="004A6D8E" w:rsidRDefault="00866D69" w:rsidP="00866D69">
      <w:r w:rsidRPr="004D32B6">
        <w:t>This primarily reflects policy decisions to: contribute to hospital and health care infrastructure projects in Western Australia, South Australia and New South Wales; provide funding for new and existing projects under the Infrastructure Investment Program in Western Australia, New South Wales and Queensland; and provide additional funding to lift the Commonwealth</w:t>
      </w:r>
      <w:r w:rsidR="00993DA1" w:rsidRPr="004D32B6">
        <w:t>’</w:t>
      </w:r>
      <w:r w:rsidRPr="004D32B6">
        <w:t xml:space="preserve">s contribution of the Schooling Resource Standard to </w:t>
      </w:r>
      <w:r w:rsidR="00FB0507">
        <w:br/>
      </w:r>
      <w:r w:rsidRPr="004D32B6">
        <w:t>25</w:t>
      </w:r>
      <w:r w:rsidR="00FB0507">
        <w:t xml:space="preserve"> </w:t>
      </w:r>
      <w:r w:rsidRPr="004D32B6">
        <w:t>per</w:t>
      </w:r>
      <w:r w:rsidR="00FB0507">
        <w:t xml:space="preserve"> </w:t>
      </w:r>
      <w:r w:rsidRPr="004D32B6">
        <w:t>cent by 2034</w:t>
      </w:r>
      <w:r w:rsidR="00FF6E62" w:rsidRPr="004D32B6">
        <w:t>–</w:t>
      </w:r>
      <w:r w:rsidRPr="004D32B6">
        <w:t>35 for government schools in Queensland under the Better and Fairer Schools Agreement</w:t>
      </w:r>
      <w:r w:rsidR="006D4DC0" w:rsidRPr="004D32B6">
        <w:t xml:space="preserve"> </w:t>
      </w:r>
      <w:r w:rsidR="006D4DC0" w:rsidRPr="004D32B6">
        <w:rPr>
          <w:lang w:val="en-US"/>
        </w:rPr>
        <w:t>(Full and Fair Funding 2025</w:t>
      </w:r>
      <w:r w:rsidR="00FB0507" w:rsidRPr="004D32B6">
        <w:t>–</w:t>
      </w:r>
      <w:r w:rsidR="006D4DC0" w:rsidRPr="004D32B6">
        <w:rPr>
          <w:lang w:val="en-US"/>
        </w:rPr>
        <w:t>2034).</w:t>
      </w:r>
      <w:r w:rsidR="004E61D4" w:rsidRPr="004D32B6">
        <w:t xml:space="preserve"> </w:t>
      </w:r>
    </w:p>
    <w:p w14:paraId="59FF0FD7" w14:textId="2AED1E84" w:rsidR="007D6F87" w:rsidRPr="004D32B6" w:rsidRDefault="00866D69" w:rsidP="00226EE0">
      <w:r w:rsidRPr="004D32B6">
        <w:lastRenderedPageBreak/>
        <w:t>Details of all policy decisions taken since the 2025</w:t>
      </w:r>
      <w:r w:rsidR="00FF6E62" w:rsidRPr="004D32B6">
        <w:t>–</w:t>
      </w:r>
      <w:r w:rsidRPr="004D32B6">
        <w:t>26 Budget are provided at Appendix</w:t>
      </w:r>
      <w:r w:rsidR="00D81C3E" w:rsidRPr="004D32B6">
        <w:t xml:space="preserve"> </w:t>
      </w:r>
      <w:r w:rsidRPr="004D32B6">
        <w:t>B.</w:t>
      </w:r>
      <w:bookmarkStart w:id="15" w:name="_Hlk100843388"/>
    </w:p>
    <w:p w14:paraId="4F9EE396" w14:textId="71086500" w:rsidR="009645CB" w:rsidRPr="004D32B6" w:rsidRDefault="009645CB" w:rsidP="009645CB">
      <w:r w:rsidRPr="004D32B6">
        <w:t xml:space="preserve">Parameter and other variations since the 2025–26 Budget have had a positive underlying cash balance impact of $182.9 million in 2025–26 and $1.1 billion over the five years to </w:t>
      </w:r>
      <w:r w:rsidRPr="004D32B6">
        <w:br/>
        <w:t>2028–29, largely reflecting the drawdown of a Contingency Reserve provision for future policy priorities ($1.0</w:t>
      </w:r>
      <w:r w:rsidR="00FF6E62">
        <w:t xml:space="preserve"> </w:t>
      </w:r>
      <w:r w:rsidRPr="004D32B6">
        <w:t xml:space="preserve">billion over three years from 2025–26) and the drawdown of the Contingency Reserve provision to lift the Commonwealth’s contribution of the Schooling Resource Standard to 25 per cent by 2034–35 for government schools in Queensland under the Better and Fairer Schools Agreement </w:t>
      </w:r>
      <w:r w:rsidRPr="004D32B6">
        <w:rPr>
          <w:lang w:val="en-US"/>
        </w:rPr>
        <w:t>(Full and Fair Funding 2025</w:t>
      </w:r>
      <w:r w:rsidR="00FF6E62" w:rsidRPr="004D32B6">
        <w:t>–</w:t>
      </w:r>
      <w:r w:rsidRPr="004D32B6">
        <w:rPr>
          <w:lang w:val="en-US"/>
        </w:rPr>
        <w:t>2034).</w:t>
      </w:r>
      <w:r w:rsidRPr="004D32B6">
        <w:t xml:space="preserve"> </w:t>
      </w:r>
    </w:p>
    <w:p w14:paraId="65B3D7E1" w14:textId="46577F21" w:rsidR="00A91AD5" w:rsidRDefault="00140F37" w:rsidP="00A91AD5">
      <w:r w:rsidRPr="004D32B6">
        <w:t>Payments under the Australian Government Disaster Recovery Payment and Disaster Recovery Allowance are expected to be $281.1 million higher in 2024–25 relative to the estimates in the 2025–26 Budget due to recent major disaster determinations, including in relation to ex</w:t>
      </w:r>
      <w:r w:rsidR="00650B29">
        <w:t>-</w:t>
      </w:r>
      <w:r w:rsidRPr="004D32B6">
        <w:t>Tropical Cyclone Alfred in March 2025. These costs have been drawn down from the $1.2 billion Contingency Reserve provision for disaster recovery costs included in the 2025–</w:t>
      </w:r>
      <w:r w:rsidRPr="004D32B6">
        <w:rPr>
          <w:w w:val="1"/>
        </w:rPr>
        <w:t> </w:t>
      </w:r>
      <w:r w:rsidRPr="004D32B6">
        <w:t>26 Budget. At the 2025 PEFO, $0.9 billion of this provision remains available to contribute to future costs arising from natural disasters</w:t>
      </w:r>
      <w:r w:rsidR="00D01007" w:rsidRPr="004D32B6">
        <w:t>.</w:t>
      </w:r>
      <w:r w:rsidR="00450686" w:rsidRPr="004D32B6">
        <w:t xml:space="preserve"> </w:t>
      </w:r>
    </w:p>
    <w:p w14:paraId="19072A76" w14:textId="4D1A529E" w:rsidR="00ED206D" w:rsidRDefault="00E966D1" w:rsidP="00ED206D">
      <w:r w:rsidRPr="004D32B6">
        <w:t>In line with normal practice, the forward estimates in the 2025 PEFO do not incorporate additional funding for matters where the Government has agreed to them being time limited or that are considered on a year</w:t>
      </w:r>
      <w:r w:rsidR="005F36DD">
        <w:t>-</w:t>
      </w:r>
      <w:r w:rsidRPr="004D32B6">
        <w:t>by</w:t>
      </w:r>
      <w:r w:rsidR="005F36DD">
        <w:t>-</w:t>
      </w:r>
      <w:r w:rsidRPr="004D32B6">
        <w:t>year or more frequent basis. These include defence operations, costs for new and amended Pharmaceutical Benefits Scheme listings and contributions to states and territories in relation to any future natural disasters under the Disaster Recovery Funding Arrangements.</w:t>
      </w:r>
    </w:p>
    <w:p w14:paraId="3A0BA11F" w14:textId="0D0BDB22" w:rsidR="00963E63" w:rsidRDefault="00ED206D" w:rsidP="00ED206D">
      <w:r w:rsidRPr="004D32B6">
        <w:t>Discussion of the sensitivity of fiscal estimates to changes in economic assumptions is unchanged since the 2025</w:t>
      </w:r>
      <w:r w:rsidR="005F36DD" w:rsidRPr="004D32B6">
        <w:t>–</w:t>
      </w:r>
      <w:r w:rsidRPr="004D32B6">
        <w:t xml:space="preserve">26 Budget and can be found in </w:t>
      </w:r>
      <w:r w:rsidRPr="004D32B6">
        <w:rPr>
          <w:rStyle w:val="Emphasis"/>
        </w:rPr>
        <w:t>2025–26 Budget</w:t>
      </w:r>
      <w:r w:rsidRPr="004D32B6">
        <w:rPr>
          <w:rStyle w:val="Emphasis"/>
          <w:i w:val="0"/>
          <w:iCs w:val="0"/>
        </w:rPr>
        <w:t xml:space="preserve"> </w:t>
      </w:r>
      <w:r w:rsidRPr="004D32B6">
        <w:rPr>
          <w:rStyle w:val="Emphasis"/>
        </w:rPr>
        <w:t>Statement 7: Forecasting Performance and Sensitivity Analysis.</w:t>
      </w:r>
      <w:r w:rsidRPr="004D32B6">
        <w:t xml:space="preserve"> </w:t>
      </w:r>
    </w:p>
    <w:bookmarkEnd w:id="15"/>
    <w:p w14:paraId="51ED4672" w14:textId="7C90951C" w:rsidR="007B3C8C" w:rsidRPr="004D32B6" w:rsidRDefault="007B3C8C" w:rsidP="007B3C8C">
      <w:pPr>
        <w:pStyle w:val="Heading4"/>
        <w:rPr>
          <w:rFonts w:cs="Arial"/>
        </w:rPr>
      </w:pPr>
      <w:r w:rsidRPr="004D32B6">
        <w:rPr>
          <w:rFonts w:cs="Arial"/>
        </w:rPr>
        <w:t>Contingency Reserve</w:t>
      </w:r>
    </w:p>
    <w:p w14:paraId="356FEFED" w14:textId="6F4DDF59" w:rsidR="003C2AFB" w:rsidRPr="004D32B6" w:rsidRDefault="003C2AFB" w:rsidP="003C2AFB">
      <w:r w:rsidRPr="004D32B6">
        <w:t xml:space="preserve">The Contingency Reserve estimates in the 2025 PEFO have been reduced since the </w:t>
      </w:r>
      <w:r w:rsidR="003660D9" w:rsidRPr="004D32B6">
        <w:br/>
      </w:r>
      <w:r w:rsidRPr="004D32B6">
        <w:t>2025</w:t>
      </w:r>
      <w:r w:rsidR="008E5ED3" w:rsidRPr="004D32B6">
        <w:t>–</w:t>
      </w:r>
      <w:r w:rsidRPr="004D32B6">
        <w:t>26</w:t>
      </w:r>
      <w:r w:rsidR="00C26CBE" w:rsidRPr="004D32B6">
        <w:t> </w:t>
      </w:r>
      <w:r w:rsidRPr="004D32B6">
        <w:t xml:space="preserve">Budget </w:t>
      </w:r>
      <w:r w:rsidR="00BC6085" w:rsidRPr="004D32B6">
        <w:t xml:space="preserve">by $4.3 billion </w:t>
      </w:r>
      <w:r w:rsidRPr="004D32B6">
        <w:t>over the five years to 2028</w:t>
      </w:r>
      <w:r w:rsidR="008E5ED3" w:rsidRPr="004D32B6">
        <w:t>–</w:t>
      </w:r>
      <w:r w:rsidRPr="004D32B6">
        <w:t>29. Significant decreases since the 2025</w:t>
      </w:r>
      <w:r w:rsidR="008E5ED3" w:rsidRPr="004D32B6">
        <w:t>–</w:t>
      </w:r>
      <w:r w:rsidR="008E5ED3" w:rsidRPr="004D32B6">
        <w:rPr>
          <w:w w:val="1"/>
        </w:rPr>
        <w:t> </w:t>
      </w:r>
      <w:r w:rsidRPr="004D32B6">
        <w:t>26</w:t>
      </w:r>
      <w:r w:rsidR="00C26CBE" w:rsidRPr="004D32B6">
        <w:t> </w:t>
      </w:r>
      <w:r w:rsidRPr="004D32B6">
        <w:t>Budget include:</w:t>
      </w:r>
    </w:p>
    <w:p w14:paraId="22541BE2" w14:textId="0DB7B460" w:rsidR="003C2AFB" w:rsidRPr="004D32B6" w:rsidRDefault="003C2AFB" w:rsidP="00D533E1">
      <w:pPr>
        <w:pStyle w:val="Bullet"/>
      </w:pPr>
      <w:r w:rsidRPr="004D32B6">
        <w:t xml:space="preserve">the drawdown of a </w:t>
      </w:r>
      <w:r w:rsidR="002A045F" w:rsidRPr="004D32B6">
        <w:t xml:space="preserve">$1 billion </w:t>
      </w:r>
      <w:r w:rsidRPr="004D32B6">
        <w:t>provision for future policy priorities and the provision for the Better and Fairer Schools Agreement.</w:t>
      </w:r>
    </w:p>
    <w:p w14:paraId="0FBE7D34" w14:textId="599C1070" w:rsidR="003C2AFB" w:rsidRPr="004D32B6" w:rsidRDefault="003C2AFB" w:rsidP="00D533E1">
      <w:pPr>
        <w:pStyle w:val="Bullet"/>
      </w:pPr>
      <w:r w:rsidRPr="004D32B6">
        <w:t>the partial drawdown of the $1.2 billion provision included in the 2025</w:t>
      </w:r>
      <w:r w:rsidR="008E5ED3" w:rsidRPr="004D32B6">
        <w:t>–</w:t>
      </w:r>
      <w:r w:rsidRPr="004D32B6">
        <w:t>26 Budget for disaster recovery costs associated with recent natural disasters, including ex</w:t>
      </w:r>
      <w:r w:rsidR="00993DA1" w:rsidRPr="004D32B6">
        <w:noBreakHyphen/>
      </w:r>
      <w:r w:rsidRPr="004D32B6">
        <w:t>Tropical Cyclone Alfred.</w:t>
      </w:r>
    </w:p>
    <w:p w14:paraId="7A8DF2C7" w14:textId="77777777" w:rsidR="00BE0D1F" w:rsidRPr="004D32B6" w:rsidRDefault="00BE0D1F" w:rsidP="00D533E1">
      <w:pPr>
        <w:pStyle w:val="Bullet"/>
      </w:pPr>
      <w:r w:rsidRPr="004D32B6">
        <w:br w:type="page"/>
      </w:r>
    </w:p>
    <w:p w14:paraId="19D5EE0A" w14:textId="4AAEBE5F" w:rsidR="003C2AFB" w:rsidRPr="004D32B6" w:rsidRDefault="003C2AFB" w:rsidP="00D533E1">
      <w:pPr>
        <w:pStyle w:val="Bullet"/>
      </w:pPr>
      <w:r w:rsidRPr="004D32B6">
        <w:lastRenderedPageBreak/>
        <w:t>the removal of decisions taken but not yet announced (DTBNYAs) from the 2025</w:t>
      </w:r>
      <w:r w:rsidR="008E5ED3" w:rsidRPr="004D32B6">
        <w:t>–</w:t>
      </w:r>
      <w:r w:rsidR="008E5ED3" w:rsidRPr="004D32B6">
        <w:rPr>
          <w:w w:val="1"/>
        </w:rPr>
        <w:t> </w:t>
      </w:r>
      <w:r w:rsidRPr="004D32B6">
        <w:t>26 Budget or prior rounds, which have now been reflected against entity estimates.</w:t>
      </w:r>
      <w:r w:rsidR="00481468" w:rsidRPr="004D32B6">
        <w:rPr>
          <w:rStyle w:val="FootnoteReference"/>
        </w:rPr>
        <w:footnoteReference w:id="2"/>
      </w:r>
      <w:r w:rsidRPr="004D32B6">
        <w:t xml:space="preserve"> These movements do not impact the underlying cash balance as funding for DTBNYA items has already been reflected in the estimates in the previous budget rounds. The estimates for the 2025</w:t>
      </w:r>
      <w:r w:rsidR="008E5ED3" w:rsidRPr="004D32B6">
        <w:t>–</w:t>
      </w:r>
      <w:r w:rsidRPr="004D32B6">
        <w:t xml:space="preserve">26 Budget measure </w:t>
      </w:r>
      <w:r w:rsidRPr="004D32B6">
        <w:rPr>
          <w:rStyle w:val="Emphasis"/>
        </w:rPr>
        <w:t>Protecting Our Environment</w:t>
      </w:r>
      <w:r w:rsidRPr="004D32B6">
        <w:t xml:space="preserve"> have also been moved from the Contingency Reserve to the relevant entity estimates. </w:t>
      </w:r>
    </w:p>
    <w:p w14:paraId="56346BF2" w14:textId="4A8E6EC3" w:rsidR="003C2AFB" w:rsidRPr="004D32B6" w:rsidRDefault="00BD38C2" w:rsidP="003C2AFB">
      <w:r w:rsidRPr="004D32B6">
        <w:t>In the 2025 PEFO, the Contingency Reserve estimates reduce expenses by $2.0</w:t>
      </w:r>
      <w:r w:rsidR="00047FF1" w:rsidRPr="004D32B6">
        <w:t xml:space="preserve"> </w:t>
      </w:r>
      <w:r w:rsidRPr="004D32B6">
        <w:t>billion in 2024–25, and increase expenses by $0.3 billion in 2025–26, $6.3 billion in 2026–27, $11.7</w:t>
      </w:r>
      <w:r w:rsidR="00F649FE" w:rsidRPr="004D32B6">
        <w:t> </w:t>
      </w:r>
      <w:r w:rsidRPr="004D32B6">
        <w:t>billion in 2027–28 and $20.0 billion in 2028–29. The largest components of the Contingency Reserve are</w:t>
      </w:r>
      <w:r w:rsidR="003C2AFB" w:rsidRPr="004D32B6">
        <w:t>:</w:t>
      </w:r>
    </w:p>
    <w:p w14:paraId="341E127C" w14:textId="6E6A234C" w:rsidR="003C2AFB" w:rsidRPr="004D32B6" w:rsidRDefault="003C2AFB" w:rsidP="00D533E1">
      <w:pPr>
        <w:pStyle w:val="Bullet"/>
      </w:pPr>
      <w:r w:rsidRPr="004D32B6">
        <w:t>an underspend provision in 2024</w:t>
      </w:r>
      <w:r w:rsidR="008E5ED3" w:rsidRPr="004D32B6">
        <w:t>–</w:t>
      </w:r>
      <w:r w:rsidRPr="004D32B6">
        <w:t xml:space="preserve">25 that reflects the tendency for budgeted expenses for some entities or functions not to be met </w:t>
      </w:r>
    </w:p>
    <w:p w14:paraId="00B7E449" w14:textId="2E683B1A" w:rsidR="003C2AFB" w:rsidRPr="004D32B6" w:rsidRDefault="003C2AFB" w:rsidP="00D533E1">
      <w:pPr>
        <w:pStyle w:val="Bullet"/>
      </w:pPr>
      <w:r w:rsidRPr="004D32B6">
        <w:t>the conservative bias allowance, which makes provision for the tendency for estimates of expenses for existing Government policy to be revised upwards in the forward years ($3.5 billion in 2026</w:t>
      </w:r>
      <w:r w:rsidR="008E5ED3" w:rsidRPr="004D32B6">
        <w:t>–</w:t>
      </w:r>
      <w:r w:rsidRPr="004D32B6">
        <w:t>27, $7.3 billion in 2027</w:t>
      </w:r>
      <w:r w:rsidR="008E5ED3" w:rsidRPr="004D32B6">
        <w:t>–</w:t>
      </w:r>
      <w:r w:rsidRPr="004D32B6">
        <w:t>28 and $15.3 billion in 2028</w:t>
      </w:r>
      <w:r w:rsidR="008E5ED3" w:rsidRPr="004D32B6">
        <w:t>–</w:t>
      </w:r>
      <w:r w:rsidRPr="004D32B6">
        <w:t>29, unchanged since the 2025</w:t>
      </w:r>
      <w:r w:rsidR="008E5ED3" w:rsidRPr="004D32B6">
        <w:t>–</w:t>
      </w:r>
      <w:r w:rsidRPr="004D32B6">
        <w:t>26 Budget)</w:t>
      </w:r>
    </w:p>
    <w:p w14:paraId="29BD71B4" w14:textId="2DAD6747" w:rsidR="003C2AFB" w:rsidRPr="004D32B6" w:rsidRDefault="003C2AFB" w:rsidP="00D533E1">
      <w:pPr>
        <w:pStyle w:val="Bullet"/>
      </w:pPr>
      <w:r w:rsidRPr="004D32B6">
        <w:t>a provision to reflect the effects of economic parameter revisions received too late in the 2025</w:t>
      </w:r>
      <w:r w:rsidR="008E5ED3" w:rsidRPr="004D32B6">
        <w:t>–</w:t>
      </w:r>
      <w:r w:rsidRPr="004D32B6">
        <w:t xml:space="preserve">26 Budget process for inclusion in entity estimates </w:t>
      </w:r>
    </w:p>
    <w:p w14:paraId="1B711185" w14:textId="2CC95955" w:rsidR="00E3544A" w:rsidRPr="004D32B6" w:rsidRDefault="00E3544A" w:rsidP="00E3544A">
      <w:pPr>
        <w:pStyle w:val="Bullet"/>
      </w:pPr>
      <w:r w:rsidRPr="004D32B6">
        <w:t>a provision of $9.6 billion over the five years to 2028–29 for future payments to the states and territories once negotiations have been finalised for the new National Health Reform Agreement (NHRA) and Disability Foundational Supports. This is consistent with the Government’s offer to states and territories of $17.8 billion over five years for the NHRA, some of which falls outside of the forward estimates period.</w:t>
      </w:r>
    </w:p>
    <w:p w14:paraId="510053D7" w14:textId="4374E905" w:rsidR="005D62B3" w:rsidRPr="004D32B6" w:rsidRDefault="003C2AFB">
      <w:pPr>
        <w:spacing w:before="0" w:after="160" w:line="259" w:lineRule="auto"/>
      </w:pPr>
      <w:r w:rsidRPr="004D32B6">
        <w:t>The Contingency Reserve contains estimates or funding for a number of items that cannot be disclosed for commercial</w:t>
      </w:r>
      <w:r w:rsidR="00993DA1" w:rsidRPr="004D32B6">
        <w:noBreakHyphen/>
      </w:r>
      <w:r w:rsidRPr="004D32B6">
        <w:t>in</w:t>
      </w:r>
      <w:r w:rsidR="00993DA1" w:rsidRPr="004D32B6">
        <w:noBreakHyphen/>
      </w:r>
      <w:r w:rsidRPr="004D32B6">
        <w:t>confidence or national security reasons</w:t>
      </w:r>
      <w:r w:rsidR="00A40BCE" w:rsidRPr="004D32B6">
        <w:t xml:space="preserve">. It also includes </w:t>
      </w:r>
      <w:r w:rsidRPr="004D32B6">
        <w:t>measures which have been announced but cannot yet be included in entity estimates, usually due to some uncertainty as to their final cost and/or outcomes, such as expected disbursements from the Housing Australia Future Fund, the Disaster Ready Fund and the Green Iron Investment Fund</w:t>
      </w:r>
      <w:r w:rsidR="00993DA1" w:rsidRPr="004D32B6">
        <w:t xml:space="preserve">. </w:t>
      </w:r>
      <w:r w:rsidR="005D62B3" w:rsidRPr="004D32B6">
        <w:br w:type="page"/>
      </w:r>
    </w:p>
    <w:p w14:paraId="26E70E78" w14:textId="4C51E37A" w:rsidR="007B3C8C" w:rsidRPr="004D32B6" w:rsidRDefault="007B3C8C" w:rsidP="007B3C8C">
      <w:pPr>
        <w:pStyle w:val="Heading4"/>
        <w:rPr>
          <w:rFonts w:cs="Arial"/>
        </w:rPr>
      </w:pPr>
      <w:r w:rsidRPr="004D32B6">
        <w:rPr>
          <w:rFonts w:cs="Arial"/>
        </w:rPr>
        <w:lastRenderedPageBreak/>
        <w:t>Medium</w:t>
      </w:r>
      <w:r w:rsidR="00692E2D">
        <w:rPr>
          <w:rFonts w:cs="Arial"/>
        </w:rPr>
        <w:t>-</w:t>
      </w:r>
      <w:r w:rsidRPr="004D32B6">
        <w:rPr>
          <w:rFonts w:cs="Arial"/>
        </w:rPr>
        <w:t>term fiscal outlook</w:t>
      </w:r>
    </w:p>
    <w:p w14:paraId="0922D808" w14:textId="7924A418" w:rsidR="007B3C8C" w:rsidRPr="004D32B6" w:rsidRDefault="00172847" w:rsidP="007B3C8C">
      <w:r w:rsidRPr="004D32B6">
        <w:t>There has been no change to the medium</w:t>
      </w:r>
      <w:r w:rsidR="00993DA1" w:rsidRPr="004D32B6">
        <w:noBreakHyphen/>
      </w:r>
      <w:r w:rsidRPr="004D32B6">
        <w:t xml:space="preserve">term projections since the 2025–26 Budget. </w:t>
      </w:r>
      <w:r w:rsidR="007B3C8C" w:rsidRPr="004D32B6">
        <w:t>The</w:t>
      </w:r>
      <w:r w:rsidR="00F84A81" w:rsidRPr="004D32B6">
        <w:t xml:space="preserve"> </w:t>
      </w:r>
      <w:r w:rsidR="007B3C8C" w:rsidRPr="004D32B6">
        <w:t>underlying cash balance is projected to improve over the medium</w:t>
      </w:r>
      <w:r w:rsidR="005F207D" w:rsidRPr="004D32B6">
        <w:t> </w:t>
      </w:r>
      <w:r w:rsidR="007B3C8C" w:rsidRPr="004D32B6">
        <w:t xml:space="preserve">term </w:t>
      </w:r>
      <w:r w:rsidR="007D3CA0" w:rsidRPr="004D32B6">
        <w:t xml:space="preserve">and is expected </w:t>
      </w:r>
      <w:r w:rsidR="007B3C8C" w:rsidRPr="004D32B6">
        <w:t xml:space="preserve">to </w:t>
      </w:r>
      <w:r w:rsidR="007D3CA0" w:rsidRPr="004D32B6">
        <w:t>return to balance</w:t>
      </w:r>
      <w:r w:rsidR="007B3C8C" w:rsidRPr="004D32B6">
        <w:t xml:space="preserve"> in 203</w:t>
      </w:r>
      <w:r w:rsidR="009202A6" w:rsidRPr="004D32B6">
        <w:t>5</w:t>
      </w:r>
      <w:r w:rsidR="00862B11" w:rsidRPr="004D32B6">
        <w:t>–</w:t>
      </w:r>
      <w:r w:rsidR="007B3C8C" w:rsidRPr="004D32B6">
        <w:t>3</w:t>
      </w:r>
      <w:r w:rsidR="009202A6" w:rsidRPr="004D32B6">
        <w:t>6</w:t>
      </w:r>
      <w:r w:rsidR="007B3C8C" w:rsidRPr="004D32B6">
        <w:t xml:space="preserve"> (Chart </w:t>
      </w:r>
      <w:r w:rsidR="00F417BA" w:rsidRPr="004D32B6">
        <w:t>1</w:t>
      </w:r>
      <w:r w:rsidR="007B3C8C" w:rsidRPr="004D32B6">
        <w:t xml:space="preserve">). </w:t>
      </w:r>
    </w:p>
    <w:p w14:paraId="76991C5F" w14:textId="7271380A" w:rsidR="00D836EA" w:rsidRDefault="00D836EA" w:rsidP="007B3C8C">
      <w:r w:rsidRPr="004D32B6">
        <w:t xml:space="preserve">Gross debt is expected to peak </w:t>
      </w:r>
      <w:r w:rsidR="0097626D" w:rsidRPr="004D32B6">
        <w:t xml:space="preserve">at </w:t>
      </w:r>
      <w:r w:rsidR="00BA5580" w:rsidRPr="004D32B6">
        <w:t>37.0</w:t>
      </w:r>
      <w:r w:rsidR="00F84A81" w:rsidRPr="004D32B6">
        <w:t xml:space="preserve"> </w:t>
      </w:r>
      <w:r w:rsidR="0097626D" w:rsidRPr="004D32B6">
        <w:t>per</w:t>
      </w:r>
      <w:r w:rsidR="00F84A81" w:rsidRPr="004D32B6">
        <w:t xml:space="preserve"> </w:t>
      </w:r>
      <w:r w:rsidR="0097626D" w:rsidRPr="004D32B6">
        <w:t>cent of GDP</w:t>
      </w:r>
      <w:r w:rsidR="00614DEC" w:rsidRPr="004D32B6">
        <w:t xml:space="preserve"> at 30</w:t>
      </w:r>
      <w:r w:rsidR="00F84A81" w:rsidRPr="004D32B6">
        <w:t xml:space="preserve"> </w:t>
      </w:r>
      <w:r w:rsidR="00614DEC" w:rsidRPr="004D32B6">
        <w:t>June</w:t>
      </w:r>
      <w:r w:rsidR="00F84A81" w:rsidRPr="004D32B6">
        <w:t xml:space="preserve"> </w:t>
      </w:r>
      <w:r w:rsidR="00614DEC" w:rsidRPr="004D32B6">
        <w:t>2030</w:t>
      </w:r>
      <w:r w:rsidR="0097626D" w:rsidRPr="004D32B6">
        <w:t xml:space="preserve">, before declining to </w:t>
      </w:r>
      <w:r w:rsidR="00C21CA3" w:rsidRPr="004D32B6">
        <w:t>31</w:t>
      </w:r>
      <w:r w:rsidR="0039792B" w:rsidRPr="004D32B6">
        <w:t>.</w:t>
      </w:r>
      <w:r w:rsidR="00C21CA3" w:rsidRPr="004D32B6">
        <w:t>9</w:t>
      </w:r>
      <w:r w:rsidR="00F84A81" w:rsidRPr="004D32B6">
        <w:t xml:space="preserve"> </w:t>
      </w:r>
      <w:r w:rsidR="0097626D" w:rsidRPr="004D32B6">
        <w:t>per</w:t>
      </w:r>
      <w:r w:rsidR="00F84A81" w:rsidRPr="004D32B6">
        <w:t xml:space="preserve"> </w:t>
      </w:r>
      <w:r w:rsidR="0097626D" w:rsidRPr="004D32B6">
        <w:t xml:space="preserve">cent of GDP by </w:t>
      </w:r>
      <w:r w:rsidR="00614DEC" w:rsidRPr="004D32B6">
        <w:t>30</w:t>
      </w:r>
      <w:r w:rsidR="00F84A81" w:rsidRPr="004D32B6">
        <w:t xml:space="preserve"> </w:t>
      </w:r>
      <w:r w:rsidR="00614DEC" w:rsidRPr="004D32B6">
        <w:t>June</w:t>
      </w:r>
      <w:r w:rsidR="00F84A81" w:rsidRPr="004D32B6">
        <w:t xml:space="preserve"> </w:t>
      </w:r>
      <w:r w:rsidR="0097626D" w:rsidRPr="004D32B6">
        <w:t>2036</w:t>
      </w:r>
      <w:r w:rsidR="00F253BE" w:rsidRPr="004D32B6">
        <w:t xml:space="preserve"> (Chart </w:t>
      </w:r>
      <w:r w:rsidR="00F417BA" w:rsidRPr="004D32B6">
        <w:t>2</w:t>
      </w:r>
      <w:r w:rsidR="00F253BE" w:rsidRPr="004D32B6">
        <w:t>)</w:t>
      </w:r>
      <w:r w:rsidR="0097626D" w:rsidRPr="004D32B6">
        <w:t>.</w:t>
      </w:r>
      <w:r w:rsidR="003D5422" w:rsidRPr="004D32B6">
        <w:t xml:space="preserve"> </w:t>
      </w:r>
    </w:p>
    <w:tbl>
      <w:tblPr>
        <w:tblW w:w="5123" w:type="pct"/>
        <w:tblCellMar>
          <w:left w:w="0" w:type="dxa"/>
        </w:tblCellMar>
        <w:tblLook w:val="04A0" w:firstRow="1" w:lastRow="0" w:firstColumn="1" w:lastColumn="0" w:noHBand="0" w:noVBand="1"/>
      </w:tblPr>
      <w:tblGrid>
        <w:gridCol w:w="3917"/>
        <w:gridCol w:w="3983"/>
      </w:tblGrid>
      <w:tr w:rsidR="00CD3332" w:rsidRPr="00712254" w14:paraId="32421E55" w14:textId="77777777" w:rsidTr="0067017C">
        <w:tc>
          <w:tcPr>
            <w:tcW w:w="3917" w:type="dxa"/>
          </w:tcPr>
          <w:p w14:paraId="082D8880" w14:textId="7CEB8599" w:rsidR="00CD3332" w:rsidRPr="00E13C9F" w:rsidRDefault="00CD3332" w:rsidP="0067017C">
            <w:pPr>
              <w:pStyle w:val="ChartMainHeading"/>
            </w:pPr>
            <w:r w:rsidRPr="004D32B6">
              <w:t>Chart</w:t>
            </w:r>
            <w:r w:rsidR="00F84A81" w:rsidRPr="004D32B6">
              <w:t xml:space="preserve"> </w:t>
            </w:r>
            <w:r w:rsidR="00F417BA" w:rsidRPr="004D32B6">
              <w:t>1</w:t>
            </w:r>
            <w:r w:rsidRPr="004D32B6">
              <w:t>: Underlying cash balance</w:t>
            </w:r>
            <w:r w:rsidRPr="00E13C9F">
              <w:t xml:space="preserve"> </w:t>
            </w:r>
          </w:p>
        </w:tc>
        <w:tc>
          <w:tcPr>
            <w:tcW w:w="3983" w:type="dxa"/>
          </w:tcPr>
          <w:p w14:paraId="55DA497D" w14:textId="3151F2EF" w:rsidR="00CD3332" w:rsidRPr="00E13C9F" w:rsidRDefault="00CD3332" w:rsidP="0067017C">
            <w:pPr>
              <w:pStyle w:val="ChartMainHeading"/>
            </w:pPr>
            <w:r w:rsidRPr="004D32B6">
              <w:t>Chart</w:t>
            </w:r>
            <w:r w:rsidR="00F84A81" w:rsidRPr="004D32B6">
              <w:t xml:space="preserve"> </w:t>
            </w:r>
            <w:r w:rsidR="00F417BA" w:rsidRPr="004D32B6">
              <w:t>2</w:t>
            </w:r>
            <w:r w:rsidRPr="004D32B6">
              <w:t>: Gross debt</w:t>
            </w:r>
            <w:r w:rsidRPr="00E13C9F">
              <w:t xml:space="preserve"> </w:t>
            </w:r>
          </w:p>
        </w:tc>
      </w:tr>
      <w:tr w:rsidR="00CD3332" w:rsidRPr="00712254" w14:paraId="55559CF4" w14:textId="77777777" w:rsidTr="0067017C">
        <w:tblPrEx>
          <w:tblCellMar>
            <w:left w:w="108" w:type="dxa"/>
          </w:tblCellMar>
        </w:tblPrEx>
        <w:tc>
          <w:tcPr>
            <w:tcW w:w="3917" w:type="dxa"/>
          </w:tcPr>
          <w:p w14:paraId="2D9283D6" w14:textId="05CFF69A" w:rsidR="00CD3332" w:rsidRPr="00E13C9F" w:rsidRDefault="003D2F9A" w:rsidP="0067017C">
            <w:pPr>
              <w:pStyle w:val="ChartGraphic"/>
            </w:pPr>
            <w:bookmarkStart w:id="16" w:name="_1776846440"/>
            <w:bookmarkStart w:id="17" w:name="_1805266374"/>
            <w:bookmarkEnd w:id="16"/>
            <w:bookmarkEnd w:id="17"/>
            <w:r>
              <w:rPr>
                <w:noProof/>
              </w:rPr>
              <w:pict w14:anchorId="6D4ED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line chart shows projections of the underlying cash balance at the 2025 PEFO. The underlying cash balance is projected to be a deficit of 1.5 per cent of GDP in 2025-26. The underlying cash balance as a share of GDP is expected to be in deficit over the projection period before returning to balance at the end of the medium term.&#10;" style="width:181.5pt;height:181.5pt">
                  <v:imagedata r:id="rId11" o:title=""/>
                </v:shape>
              </w:pict>
            </w:r>
          </w:p>
        </w:tc>
        <w:tc>
          <w:tcPr>
            <w:tcW w:w="3983" w:type="dxa"/>
          </w:tcPr>
          <w:p w14:paraId="68D8843A" w14:textId="340816E8" w:rsidR="00CD3332" w:rsidRPr="00E13C9F" w:rsidRDefault="003D2F9A" w:rsidP="0067017C">
            <w:pPr>
              <w:pStyle w:val="ChartGraphic"/>
            </w:pPr>
            <w:bookmarkStart w:id="18" w:name="_1776866062"/>
            <w:bookmarkStart w:id="19" w:name="_1802789299"/>
            <w:bookmarkStart w:id="20" w:name="_1805266376"/>
            <w:bookmarkEnd w:id="18"/>
            <w:bookmarkEnd w:id="19"/>
            <w:bookmarkEnd w:id="20"/>
            <w:r>
              <w:pict w14:anchorId="4CBAC443">
                <v:shape id="_x0000_i1026" type="#_x0000_t75" alt="This line shows projections of gross debt as a share of GDP at the 2025 PEFO. In the 2025 PEFO, gross debt is expected to be 33.7 per cent of GDP in 2024-25 before peaking at 37.0 per cent of GDP in 2029-30 and reducing to 31.9 per cent of GDP by the end of the medium term." style="width:181.5pt;height:181.5pt">
                  <v:imagedata r:id="rId12" o:title=""/>
                </v:shape>
              </w:pict>
            </w:r>
          </w:p>
        </w:tc>
      </w:tr>
      <w:tr w:rsidR="00CD3332" w:rsidRPr="00712254" w14:paraId="7C935F75" w14:textId="77777777" w:rsidTr="0067017C">
        <w:tc>
          <w:tcPr>
            <w:tcW w:w="3917" w:type="dxa"/>
          </w:tcPr>
          <w:p w14:paraId="50732E75" w14:textId="60B5B6C7" w:rsidR="00CD3332" w:rsidRPr="00E13C9F" w:rsidRDefault="00CD3332" w:rsidP="0067017C">
            <w:pPr>
              <w:pStyle w:val="ChartandTableFootnote"/>
              <w:rPr>
                <w:color w:val="auto"/>
              </w:rPr>
            </w:pPr>
            <w:r w:rsidRPr="004D32B6">
              <w:rPr>
                <w:color w:val="auto"/>
              </w:rPr>
              <w:t xml:space="preserve">Source: </w:t>
            </w:r>
            <w:r w:rsidRPr="004D32B6">
              <w:rPr>
                <w:color w:val="auto"/>
              </w:rPr>
              <w:tab/>
              <w:t>Treasury.</w:t>
            </w:r>
          </w:p>
        </w:tc>
        <w:tc>
          <w:tcPr>
            <w:tcW w:w="3983" w:type="dxa"/>
          </w:tcPr>
          <w:p w14:paraId="6D26C00C" w14:textId="30D80EE9" w:rsidR="00116886" w:rsidRPr="004D32B6" w:rsidRDefault="00CD3332" w:rsidP="00116886">
            <w:pPr>
              <w:pStyle w:val="ChartandTableFootnote"/>
              <w:rPr>
                <w:color w:val="auto"/>
              </w:rPr>
            </w:pPr>
            <w:r w:rsidRPr="004D32B6">
              <w:rPr>
                <w:color w:val="auto"/>
              </w:rPr>
              <w:t xml:space="preserve">Source: </w:t>
            </w:r>
            <w:r w:rsidRPr="004D32B6">
              <w:rPr>
                <w:color w:val="auto"/>
              </w:rPr>
              <w:tab/>
              <w:t>Australian Office of Financial Management, Treasury.</w:t>
            </w:r>
          </w:p>
          <w:p w14:paraId="6DCA14F8" w14:textId="4B6D07FB" w:rsidR="00CD3332" w:rsidRPr="004A6D8E" w:rsidRDefault="00116886" w:rsidP="008F6701">
            <w:pPr>
              <w:pStyle w:val="ChartandTableFootnote"/>
            </w:pPr>
            <w:r w:rsidRPr="004D32B6">
              <w:rPr>
                <w:color w:val="auto"/>
              </w:rPr>
              <w:t xml:space="preserve">Note: </w:t>
            </w:r>
            <w:r w:rsidRPr="004D32B6">
              <w:rPr>
                <w:color w:val="auto"/>
              </w:rPr>
              <w:tab/>
              <w:t>2025 PEFO gross debt projections are unchanged since the 2025</w:t>
            </w:r>
            <w:r w:rsidR="00AE3D67" w:rsidRPr="004D32B6">
              <w:rPr>
                <w:color w:val="auto"/>
              </w:rPr>
              <w:t>–</w:t>
            </w:r>
            <w:r w:rsidRPr="004D32B6">
              <w:rPr>
                <w:color w:val="auto"/>
              </w:rPr>
              <w:t>26 Budget.</w:t>
            </w:r>
          </w:p>
        </w:tc>
      </w:tr>
    </w:tbl>
    <w:p w14:paraId="263CC4F4" w14:textId="77777777" w:rsidR="00EE07D0" w:rsidRDefault="00EE07D0" w:rsidP="00EE07D0">
      <w:pPr>
        <w:pStyle w:val="ChartLine"/>
      </w:pPr>
    </w:p>
    <w:p w14:paraId="3AB7281B" w14:textId="77777777" w:rsidR="00264A08" w:rsidRDefault="00264A08">
      <w:pPr>
        <w:spacing w:before="0" w:after="160" w:line="259" w:lineRule="auto"/>
        <w:rPr>
          <w:color w:val="0000FF"/>
        </w:rPr>
      </w:pPr>
      <w:r>
        <w:rPr>
          <w:color w:val="0000FF"/>
        </w:rPr>
        <w:br w:type="page"/>
      </w:r>
    </w:p>
    <w:p w14:paraId="40478C81" w14:textId="268EB2C5" w:rsidR="00B55FF0" w:rsidRDefault="00F253BE" w:rsidP="00F253BE">
      <w:r w:rsidRPr="004D32B6">
        <w:lastRenderedPageBreak/>
        <w:t xml:space="preserve">Chart </w:t>
      </w:r>
      <w:r w:rsidR="00F417BA" w:rsidRPr="004D32B6">
        <w:t>3</w:t>
      </w:r>
      <w:r w:rsidRPr="004D32B6">
        <w:t xml:space="preserve"> shows total payments and total receipts projected to 2035–36.</w:t>
      </w:r>
      <w:r w:rsidR="00922749" w:rsidRPr="004D32B6">
        <w:t xml:space="preserve"> </w:t>
      </w:r>
    </w:p>
    <w:p w14:paraId="446FE0E9" w14:textId="0090A064" w:rsidR="002C5A62" w:rsidRPr="00712254" w:rsidRDefault="002C5A62" w:rsidP="002C5A62">
      <w:pPr>
        <w:pStyle w:val="ChartMainHeading"/>
      </w:pPr>
      <w:r w:rsidRPr="004D32B6">
        <w:t>Chart </w:t>
      </w:r>
      <w:r w:rsidR="00F417BA" w:rsidRPr="004D32B6">
        <w:t>3</w:t>
      </w:r>
      <w:r w:rsidRPr="004D32B6">
        <w:t>: Payments and receipts</w:t>
      </w:r>
    </w:p>
    <w:p w14:paraId="131422D7" w14:textId="776134A0" w:rsidR="002C5A62" w:rsidRPr="00712254" w:rsidRDefault="003D2F9A" w:rsidP="002C5A62">
      <w:pPr>
        <w:pStyle w:val="ChartGraphic"/>
      </w:pPr>
      <w:bookmarkStart w:id="21" w:name="_1805266378"/>
      <w:bookmarkEnd w:id="21"/>
      <w:r>
        <w:pict w14:anchorId="14C2270F">
          <v:shape id="_x0000_i1027" type="#_x0000_t75" alt="This chart shows 2025 PEFO projections for total payments and receipts as a share of GDP. Total receipts are expected to be 25.5 per cent of GDP in 2025-26 and are projected to reach 26.8 per cent of GDP in 2035-36. Total payments are expected to fall from 27.0 per cent of GDP in 2025-26 to be 26.8 per cent of GDP in 2035-36.  " style="width:369pt;height:197.25pt;mso-position-vertical:absolute">
            <v:imagedata r:id="rId13" o:title=""/>
          </v:shape>
        </w:pict>
      </w:r>
    </w:p>
    <w:p w14:paraId="06893D91" w14:textId="532FE18B" w:rsidR="002C5A62" w:rsidRPr="00712254" w:rsidRDefault="002C5A62" w:rsidP="002C5A62">
      <w:pPr>
        <w:pStyle w:val="ChartandTableFootnote"/>
        <w:rPr>
          <w:color w:val="auto"/>
        </w:rPr>
      </w:pPr>
      <w:r w:rsidRPr="004D32B6">
        <w:rPr>
          <w:color w:val="auto"/>
        </w:rPr>
        <w:t xml:space="preserve">Source: </w:t>
      </w:r>
      <w:r w:rsidRPr="004D32B6">
        <w:rPr>
          <w:color w:val="auto"/>
        </w:rPr>
        <w:tab/>
        <w:t>Treasury.</w:t>
      </w:r>
    </w:p>
    <w:p w14:paraId="5A0BA4A3" w14:textId="0543CCBE" w:rsidR="002C5A62" w:rsidRPr="00712254" w:rsidRDefault="002C5A62" w:rsidP="002C5A62">
      <w:pPr>
        <w:pStyle w:val="ChartLine"/>
      </w:pPr>
    </w:p>
    <w:p w14:paraId="69691E04" w14:textId="48E87F1E" w:rsidR="002C5A62" w:rsidRPr="004D32B6" w:rsidRDefault="007B3C8C" w:rsidP="007B3C8C">
      <w:r w:rsidRPr="004D32B6">
        <w:t xml:space="preserve">Total receipts are expected to be </w:t>
      </w:r>
      <w:r w:rsidR="00307142" w:rsidRPr="004D32B6">
        <w:t>25</w:t>
      </w:r>
      <w:r w:rsidR="0039792B" w:rsidRPr="004D32B6">
        <w:t>.</w:t>
      </w:r>
      <w:r w:rsidR="00307142" w:rsidRPr="004D32B6">
        <w:t>5</w:t>
      </w:r>
      <w:r w:rsidR="00B25636" w:rsidRPr="004D32B6">
        <w:t xml:space="preserve"> </w:t>
      </w:r>
      <w:r w:rsidRPr="004D32B6">
        <w:t>per</w:t>
      </w:r>
      <w:r w:rsidR="00B25636" w:rsidRPr="004D32B6">
        <w:t xml:space="preserve"> </w:t>
      </w:r>
      <w:r w:rsidRPr="004D32B6">
        <w:t>cent of GDP in 202</w:t>
      </w:r>
      <w:r w:rsidR="009F7EC7" w:rsidRPr="004D32B6">
        <w:t>5</w:t>
      </w:r>
      <w:r w:rsidR="00862B11" w:rsidRPr="004D32B6">
        <w:t>–</w:t>
      </w:r>
      <w:r w:rsidRPr="004D32B6">
        <w:t>2</w:t>
      </w:r>
      <w:r w:rsidR="009F7EC7" w:rsidRPr="004D32B6">
        <w:t>6</w:t>
      </w:r>
      <w:r w:rsidRPr="004D32B6">
        <w:t xml:space="preserve"> and are projected to reach </w:t>
      </w:r>
      <w:r w:rsidR="003C7445" w:rsidRPr="004D32B6">
        <w:t>26.8</w:t>
      </w:r>
      <w:r w:rsidR="00B25636" w:rsidRPr="004D32B6">
        <w:t xml:space="preserve"> </w:t>
      </w:r>
      <w:r w:rsidRPr="004D32B6">
        <w:t>per</w:t>
      </w:r>
      <w:r w:rsidR="00B25636" w:rsidRPr="004D32B6">
        <w:t xml:space="preserve"> </w:t>
      </w:r>
      <w:r w:rsidRPr="004D32B6">
        <w:t>cent of GDP in 203</w:t>
      </w:r>
      <w:r w:rsidR="00EA1924" w:rsidRPr="004D32B6">
        <w:t>5</w:t>
      </w:r>
      <w:r w:rsidR="00024D09" w:rsidRPr="004D32B6">
        <w:t>–</w:t>
      </w:r>
      <w:r w:rsidRPr="004D32B6">
        <w:t>3</w:t>
      </w:r>
      <w:r w:rsidR="00EA1924" w:rsidRPr="004D32B6">
        <w:t>6</w:t>
      </w:r>
      <w:r w:rsidRPr="004D32B6">
        <w:t xml:space="preserve">. </w:t>
      </w:r>
    </w:p>
    <w:p w14:paraId="722D0CFC" w14:textId="22B1F1CB" w:rsidR="007B3C8C" w:rsidRDefault="007B3C8C" w:rsidP="007B3C8C">
      <w:r w:rsidRPr="004D32B6">
        <w:t xml:space="preserve">Total payments </w:t>
      </w:r>
      <w:r w:rsidR="002C5A62" w:rsidRPr="004D32B6">
        <w:t xml:space="preserve">are expected to be </w:t>
      </w:r>
      <w:r w:rsidR="007222F7" w:rsidRPr="004D32B6">
        <w:t>27</w:t>
      </w:r>
      <w:r w:rsidR="0039792B" w:rsidRPr="004D32B6">
        <w:t>.</w:t>
      </w:r>
      <w:r w:rsidR="007222F7" w:rsidRPr="004D32B6">
        <w:t>0 </w:t>
      </w:r>
      <w:r w:rsidR="002C5A62" w:rsidRPr="004D32B6">
        <w:t>per</w:t>
      </w:r>
      <w:r w:rsidR="007222F7" w:rsidRPr="004D32B6">
        <w:t> </w:t>
      </w:r>
      <w:r w:rsidR="002C5A62" w:rsidRPr="004D32B6">
        <w:t xml:space="preserve">cent of GDP in 2025–26 and are projected to reach </w:t>
      </w:r>
      <w:r w:rsidR="0040305F" w:rsidRPr="004D32B6">
        <w:t>26.8</w:t>
      </w:r>
      <w:r w:rsidR="00B25636" w:rsidRPr="004D32B6">
        <w:t xml:space="preserve"> </w:t>
      </w:r>
      <w:r w:rsidR="002C5A62" w:rsidRPr="004D32B6">
        <w:t>per</w:t>
      </w:r>
      <w:r w:rsidR="00B25636" w:rsidRPr="004D32B6">
        <w:t xml:space="preserve"> </w:t>
      </w:r>
      <w:r w:rsidR="002C5A62" w:rsidRPr="004D32B6">
        <w:t xml:space="preserve">cent of GDP in 2035–36. </w:t>
      </w:r>
    </w:p>
    <w:p w14:paraId="45581316" w14:textId="2EAFA0A0" w:rsidR="007B3C8C" w:rsidRPr="00625155" w:rsidRDefault="00EB6C69" w:rsidP="007B3C8C">
      <w:r w:rsidRPr="004D32B6">
        <w:t>The structural budget balance is expected to return to deficit in 2024</w:t>
      </w:r>
      <w:r w:rsidR="00D8359A" w:rsidRPr="004D32B6">
        <w:t>–</w:t>
      </w:r>
      <w:r w:rsidRPr="004D32B6">
        <w:t>25</w:t>
      </w:r>
      <w:r w:rsidR="00FE0420" w:rsidRPr="004D32B6">
        <w:t xml:space="preserve"> and remain in deficit throughout the forward estimates.</w:t>
      </w:r>
      <w:r w:rsidR="006A630B" w:rsidRPr="004D32B6">
        <w:t xml:space="preserve"> T</w:t>
      </w:r>
      <w:r w:rsidR="00FE0420" w:rsidRPr="004D32B6">
        <w:t xml:space="preserve">he structural budget position is </w:t>
      </w:r>
      <w:r w:rsidR="00A80204" w:rsidRPr="004D32B6">
        <w:t xml:space="preserve">then </w:t>
      </w:r>
      <w:r w:rsidR="00FE0420" w:rsidRPr="004D32B6">
        <w:t>expected to gradually improve towards balance over the medium term</w:t>
      </w:r>
      <w:r w:rsidR="00356A26" w:rsidRPr="004D32B6">
        <w:t>.</w:t>
      </w:r>
      <w:r w:rsidR="007B3C8C" w:rsidRPr="004D32B6">
        <w:t xml:space="preserve"> More details can be found in </w:t>
      </w:r>
      <w:r w:rsidR="00FE4ECC" w:rsidRPr="004D32B6">
        <w:rPr>
          <w:rStyle w:val="Emphasis"/>
        </w:rPr>
        <w:t>2025–26 Budget</w:t>
      </w:r>
      <w:r w:rsidR="00FE4ECC" w:rsidRPr="004D32B6">
        <w:rPr>
          <w:rStyle w:val="Emphasis"/>
          <w:i w:val="0"/>
          <w:iCs w:val="0"/>
        </w:rPr>
        <w:t xml:space="preserve"> </w:t>
      </w:r>
      <w:r w:rsidR="00FE4ECC" w:rsidRPr="004D32B6">
        <w:rPr>
          <w:rStyle w:val="Emphasis"/>
        </w:rPr>
        <w:t>Statement </w:t>
      </w:r>
      <w:r w:rsidR="007B3C8C" w:rsidRPr="004D32B6">
        <w:rPr>
          <w:rStyle w:val="Emphasis"/>
        </w:rPr>
        <w:t>3: Fiscal Strategy and Outlook.</w:t>
      </w:r>
    </w:p>
    <w:p w14:paraId="5EE1106D" w14:textId="3840F5F2" w:rsidR="007B3C8C" w:rsidRPr="00C46588" w:rsidRDefault="007B3C8C" w:rsidP="007B3C8C">
      <w:r w:rsidRPr="004D32B6">
        <w:t>Treasury</w:t>
      </w:r>
      <w:r w:rsidR="00993DA1" w:rsidRPr="004D32B6">
        <w:t>’</w:t>
      </w:r>
      <w:r w:rsidRPr="004D32B6">
        <w:t>s medium</w:t>
      </w:r>
      <w:r w:rsidR="00993DA1" w:rsidRPr="004D32B6">
        <w:noBreakHyphen/>
      </w:r>
      <w:r w:rsidRPr="004D32B6">
        <w:t xml:space="preserve">term fiscal projections outline the broad trajectory of the fiscal position under current policy settings. They use the forward estimates as a base. Therefore, they are subject to risks and uncertainties similar to those affecting the forward estimates. However, the longer timeframes across the medium term mean these risks and uncertainties can be amplified. </w:t>
      </w:r>
      <w:r>
        <w:br w:type="page"/>
      </w:r>
    </w:p>
    <w:p w14:paraId="7B4012D7" w14:textId="257CAE1A" w:rsidR="007B3C8C" w:rsidRPr="004D32B6" w:rsidRDefault="007B3C8C" w:rsidP="007B3C8C">
      <w:pPr>
        <w:pStyle w:val="Heading3"/>
        <w:rPr>
          <w:rFonts w:cs="Arial"/>
        </w:rPr>
      </w:pPr>
      <w:bookmarkStart w:id="22" w:name="_Toc100843271"/>
      <w:bookmarkStart w:id="23" w:name="_Toc101254458"/>
      <w:bookmarkStart w:id="24" w:name="_Toc101277290"/>
      <w:bookmarkStart w:id="25" w:name="_Toc101281543"/>
      <w:r w:rsidRPr="004D32B6">
        <w:lastRenderedPageBreak/>
        <w:t>Balance sheet aggregates</w:t>
      </w:r>
      <w:bookmarkEnd w:id="22"/>
      <w:bookmarkEnd w:id="23"/>
      <w:bookmarkEnd w:id="24"/>
      <w:bookmarkEnd w:id="25"/>
      <w:r w:rsidRPr="004D32B6">
        <w:t xml:space="preserve"> </w:t>
      </w:r>
    </w:p>
    <w:p w14:paraId="5D84BD2C" w14:textId="5D411983" w:rsidR="007B3C8C" w:rsidRPr="00625155" w:rsidRDefault="007B3C8C" w:rsidP="007B3C8C">
      <w:r w:rsidRPr="004D32B6">
        <w:t xml:space="preserve">Estimates of gross debt, net debt, net financial worth, net worth and net interest payments have not </w:t>
      </w:r>
      <w:r w:rsidR="003E4296" w:rsidRPr="004D32B6">
        <w:t>changed</w:t>
      </w:r>
      <w:r w:rsidR="003E4296" w:rsidRPr="004D32B6" w:rsidDel="00507AE3">
        <w:t xml:space="preserve"> </w:t>
      </w:r>
      <w:r w:rsidR="003E4296" w:rsidRPr="004D32B6">
        <w:t xml:space="preserve">materially since </w:t>
      </w:r>
      <w:r w:rsidRPr="004D32B6">
        <w:t xml:space="preserve">the </w:t>
      </w:r>
      <w:r w:rsidR="00044E55" w:rsidRPr="004D32B6">
        <w:t xml:space="preserve">2025–26 </w:t>
      </w:r>
      <w:r w:rsidRPr="004D32B6">
        <w:t xml:space="preserve">Budget, as reported in </w:t>
      </w:r>
      <w:r w:rsidR="00FE4ECC" w:rsidRPr="004D32B6">
        <w:rPr>
          <w:rStyle w:val="Emphasis"/>
        </w:rPr>
        <w:t>2025–26 Budget</w:t>
      </w:r>
      <w:r w:rsidR="00FE4ECC" w:rsidRPr="004D32B6">
        <w:rPr>
          <w:rStyle w:val="Emphasis"/>
          <w:i w:val="0"/>
          <w:iCs w:val="0"/>
        </w:rPr>
        <w:t xml:space="preserve"> </w:t>
      </w:r>
      <w:r w:rsidR="00FE4ECC" w:rsidRPr="004D32B6">
        <w:rPr>
          <w:rStyle w:val="Emphasis"/>
        </w:rPr>
        <w:t>Statement</w:t>
      </w:r>
      <w:r w:rsidR="005953E1" w:rsidRPr="004D32B6">
        <w:rPr>
          <w:rStyle w:val="Emphasis"/>
        </w:rPr>
        <w:t xml:space="preserve"> </w:t>
      </w:r>
      <w:r w:rsidRPr="004D32B6">
        <w:rPr>
          <w:rStyle w:val="Emphasis"/>
        </w:rPr>
        <w:t>3: Fiscal Strategy and Outlook.</w:t>
      </w:r>
      <w:r w:rsidR="00421484" w:rsidRPr="004D32B6">
        <w:rPr>
          <w:rStyle w:val="Emphasis"/>
        </w:rPr>
        <w:t xml:space="preserve"> </w:t>
      </w:r>
      <w:r w:rsidRPr="004D32B6">
        <w:t xml:space="preserve">A breakdown of Australian Government Securities on issue was reported in </w:t>
      </w:r>
      <w:r w:rsidR="000A4746" w:rsidRPr="004D32B6">
        <w:rPr>
          <w:rStyle w:val="Emphasis"/>
        </w:rPr>
        <w:t>2025–26 Budget</w:t>
      </w:r>
      <w:r w:rsidR="000A4746" w:rsidRPr="004D32B6">
        <w:rPr>
          <w:rStyle w:val="Emphasis"/>
          <w:i w:val="0"/>
          <w:iCs w:val="0"/>
        </w:rPr>
        <w:t xml:space="preserve"> </w:t>
      </w:r>
      <w:r w:rsidR="000A4746" w:rsidRPr="004D32B6">
        <w:rPr>
          <w:rStyle w:val="Emphasis"/>
        </w:rPr>
        <w:t>Statement</w:t>
      </w:r>
      <w:r w:rsidR="005953E1" w:rsidRPr="004D32B6">
        <w:rPr>
          <w:rStyle w:val="Emphasis"/>
        </w:rPr>
        <w:t xml:space="preserve"> </w:t>
      </w:r>
      <w:r w:rsidR="003B1383" w:rsidRPr="004D32B6">
        <w:rPr>
          <w:rStyle w:val="Emphasis"/>
        </w:rPr>
        <w:t>6</w:t>
      </w:r>
      <w:r w:rsidRPr="004D32B6">
        <w:rPr>
          <w:rStyle w:val="Emphasis"/>
        </w:rPr>
        <w:t xml:space="preserve">: Debt Statement. </w:t>
      </w:r>
    </w:p>
    <w:p w14:paraId="485A3798" w14:textId="6BB6C219" w:rsidR="007B3C8C" w:rsidRPr="00625155" w:rsidRDefault="000A4746" w:rsidP="007B3C8C">
      <w:pPr>
        <w:rPr>
          <w:i/>
        </w:rPr>
      </w:pPr>
      <w:r w:rsidRPr="004D32B6">
        <w:rPr>
          <w:rStyle w:val="Emphasis"/>
        </w:rPr>
        <w:t>2025–26 Budget</w:t>
      </w:r>
      <w:r w:rsidRPr="004D32B6">
        <w:rPr>
          <w:rStyle w:val="Emphasis"/>
          <w:i w:val="0"/>
          <w:iCs w:val="0"/>
        </w:rPr>
        <w:t xml:space="preserve"> </w:t>
      </w:r>
      <w:r w:rsidRPr="004D32B6">
        <w:rPr>
          <w:rStyle w:val="Emphasis"/>
        </w:rPr>
        <w:t>Statement</w:t>
      </w:r>
      <w:r w:rsidR="005953E1" w:rsidRPr="004D32B6">
        <w:rPr>
          <w:rStyle w:val="Emphasis"/>
        </w:rPr>
        <w:t xml:space="preserve"> </w:t>
      </w:r>
      <w:r w:rsidR="007B3C8C" w:rsidRPr="004D32B6">
        <w:rPr>
          <w:rStyle w:val="Emphasis"/>
        </w:rPr>
        <w:t>7: Forecasting Performance and Sensitivity Analysis</w:t>
      </w:r>
      <w:r w:rsidR="007B3C8C" w:rsidRPr="004D32B6">
        <w:t xml:space="preserve"> </w:t>
      </w:r>
      <w:r w:rsidR="007B3C8C" w:rsidRPr="004D32B6">
        <w:rPr>
          <w:iCs/>
        </w:rPr>
        <w:t>presents analysis about the impact that higher and lower yield assumptions have on the underlying cash balance and gross debt estimates and projections.</w:t>
      </w:r>
      <w:r w:rsidR="007B3C8C" w:rsidRPr="004D32B6">
        <w:t xml:space="preserve"> </w:t>
      </w:r>
    </w:p>
    <w:p w14:paraId="1745E796" w14:textId="3E44FB2C" w:rsidR="007B3C8C" w:rsidRDefault="007B3C8C" w:rsidP="008D3C49">
      <w:pPr>
        <w:rPr>
          <w:rFonts w:cs="Arial"/>
        </w:rPr>
      </w:pPr>
      <w:r w:rsidRPr="004D32B6">
        <w:t xml:space="preserve">Table </w:t>
      </w:r>
      <w:r w:rsidR="000E4F75" w:rsidRPr="004D32B6">
        <w:t xml:space="preserve">5 </w:t>
      </w:r>
      <w:r w:rsidRPr="004D32B6">
        <w:t>provides a summary of the Australian Government general government sector balance sheet aggregates.</w:t>
      </w:r>
      <w:r w:rsidR="00212BB7" w:rsidRPr="004D32B6">
        <w:t xml:space="preserve"> </w:t>
      </w:r>
    </w:p>
    <w:p w14:paraId="6657158A" w14:textId="77777777" w:rsidR="00CC2AB0" w:rsidRPr="00557A97" w:rsidRDefault="00CC2AB0">
      <w:pPr>
        <w:spacing w:before="0" w:after="160" w:line="259" w:lineRule="auto"/>
        <w:rPr>
          <w:rFonts w:ascii="Arial" w:hAnsi="Arial"/>
          <w:b/>
          <w:sz w:val="20"/>
          <w:szCs w:val="56"/>
        </w:rPr>
      </w:pPr>
      <w:r>
        <w:rPr>
          <w:color w:val="0000FF"/>
          <w:szCs w:val="56"/>
        </w:rPr>
        <w:br w:type="page"/>
      </w:r>
    </w:p>
    <w:p w14:paraId="2140F46F" w14:textId="0997A151" w:rsidR="00725092" w:rsidRDefault="001A4BA7" w:rsidP="00725092">
      <w:pPr>
        <w:pStyle w:val="TableHeading"/>
        <w:rPr>
          <w:rFonts w:asciiTheme="minorHAnsi" w:eastAsiaTheme="minorHAnsi" w:hAnsiTheme="minorHAnsi" w:cstheme="minorBidi"/>
          <w:sz w:val="22"/>
          <w:szCs w:val="22"/>
          <w:lang w:eastAsia="en-US"/>
        </w:rPr>
      </w:pPr>
      <w:r w:rsidRPr="004D32B6">
        <w:rPr>
          <w:szCs w:val="56"/>
        </w:rPr>
        <w:lastRenderedPageBreak/>
        <w:t>Table </w:t>
      </w:r>
      <w:r w:rsidR="000E4F75" w:rsidRPr="004D32B6">
        <w:rPr>
          <w:szCs w:val="56"/>
        </w:rPr>
        <w:t>5</w:t>
      </w:r>
      <w:r w:rsidRPr="004D32B6">
        <w:rPr>
          <w:szCs w:val="56"/>
        </w:rPr>
        <w:t>: Australian Government general government sector balance sheet aggregates</w:t>
      </w:r>
      <w:bookmarkStart w:id="26" w:name="_1804936328"/>
      <w:bookmarkEnd w:id="26"/>
      <w:r w:rsidRPr="004D32B6">
        <w:rPr>
          <w:szCs w:val="56"/>
          <w:vertAlign w:val="superscript"/>
        </w:rPr>
        <w:t>(a)</w:t>
      </w:r>
      <w:r w:rsidR="00674035" w:rsidRPr="004D32B6">
        <w:rPr>
          <w:vertAlign w:val="superscript"/>
        </w:rPr>
        <w:t xml:space="preserve"> </w:t>
      </w:r>
    </w:p>
    <w:tbl>
      <w:tblPr>
        <w:tblW w:w="5000" w:type="pct"/>
        <w:tblCellMar>
          <w:left w:w="0" w:type="dxa"/>
          <w:right w:w="28" w:type="dxa"/>
        </w:tblCellMar>
        <w:tblLook w:val="04A0" w:firstRow="1" w:lastRow="0" w:firstColumn="1" w:lastColumn="0" w:noHBand="0" w:noVBand="1"/>
      </w:tblPr>
      <w:tblGrid>
        <w:gridCol w:w="2966"/>
        <w:gridCol w:w="950"/>
        <w:gridCol w:w="948"/>
        <w:gridCol w:w="948"/>
        <w:gridCol w:w="948"/>
        <w:gridCol w:w="950"/>
      </w:tblGrid>
      <w:tr w:rsidR="00725092" w:rsidRPr="00725092" w14:paraId="6FF8AF58" w14:textId="77777777" w:rsidTr="00725092">
        <w:trPr>
          <w:trHeight w:hRule="exact" w:val="225"/>
        </w:trPr>
        <w:tc>
          <w:tcPr>
            <w:tcW w:w="1923" w:type="pct"/>
            <w:tcBorders>
              <w:top w:val="single" w:sz="4" w:space="0" w:color="293F5B"/>
              <w:left w:val="nil"/>
              <w:bottom w:val="nil"/>
              <w:right w:val="nil"/>
            </w:tcBorders>
            <w:shd w:val="clear" w:color="000000" w:fill="FFFFFF"/>
            <w:noWrap/>
            <w:vAlign w:val="center"/>
            <w:hideMark/>
          </w:tcPr>
          <w:p w14:paraId="56ED965A" w14:textId="0BD2638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3077" w:type="pct"/>
            <w:gridSpan w:val="5"/>
            <w:tcBorders>
              <w:top w:val="single" w:sz="4" w:space="0" w:color="293F5B"/>
              <w:left w:val="nil"/>
              <w:bottom w:val="single" w:sz="4" w:space="0" w:color="000000"/>
              <w:right w:val="nil"/>
            </w:tcBorders>
            <w:shd w:val="clear" w:color="000000" w:fill="FFFFFF"/>
            <w:noWrap/>
            <w:vAlign w:val="center"/>
            <w:hideMark/>
          </w:tcPr>
          <w:p w14:paraId="73ADDCB3" w14:textId="77777777" w:rsidR="00725092" w:rsidRPr="00725092" w:rsidRDefault="00725092" w:rsidP="00725092">
            <w:pPr>
              <w:spacing w:before="0" w:after="0" w:line="240" w:lineRule="auto"/>
              <w:jc w:val="center"/>
              <w:rPr>
                <w:rFonts w:ascii="Arial" w:hAnsi="Arial" w:cs="Arial"/>
                <w:sz w:val="16"/>
                <w:szCs w:val="16"/>
              </w:rPr>
            </w:pPr>
            <w:r w:rsidRPr="00725092">
              <w:rPr>
                <w:rFonts w:ascii="Arial" w:hAnsi="Arial" w:cs="Arial"/>
                <w:sz w:val="16"/>
                <w:szCs w:val="16"/>
              </w:rPr>
              <w:t>Estimates</w:t>
            </w:r>
          </w:p>
        </w:tc>
      </w:tr>
      <w:tr w:rsidR="00725092" w:rsidRPr="00725092" w14:paraId="65A14B7F"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26BA799"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single" w:sz="4" w:space="0" w:color="293F5B"/>
              <w:left w:val="nil"/>
              <w:bottom w:val="nil"/>
              <w:right w:val="nil"/>
            </w:tcBorders>
            <w:shd w:val="clear" w:color="000000" w:fill="FFFFFF"/>
            <w:noWrap/>
            <w:vAlign w:val="center"/>
            <w:hideMark/>
          </w:tcPr>
          <w:p w14:paraId="67097052" w14:textId="2F69A076"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2024</w:t>
            </w:r>
            <w:r w:rsidR="00993DA1">
              <w:rPr>
                <w:rFonts w:ascii="Arial" w:hAnsi="Arial" w:cs="Arial"/>
                <w:color w:val="000000"/>
                <w:sz w:val="16"/>
                <w:szCs w:val="16"/>
              </w:rPr>
              <w:noBreakHyphen/>
            </w:r>
            <w:r w:rsidRPr="00725092">
              <w:rPr>
                <w:rFonts w:ascii="Arial" w:hAnsi="Arial" w:cs="Arial"/>
                <w:color w:val="000000"/>
                <w:sz w:val="16"/>
                <w:szCs w:val="16"/>
              </w:rPr>
              <w:t>25</w:t>
            </w:r>
          </w:p>
        </w:tc>
        <w:tc>
          <w:tcPr>
            <w:tcW w:w="615" w:type="pct"/>
            <w:tcBorders>
              <w:top w:val="single" w:sz="4" w:space="0" w:color="293F5B"/>
              <w:left w:val="nil"/>
              <w:bottom w:val="nil"/>
              <w:right w:val="nil"/>
            </w:tcBorders>
            <w:shd w:val="clear" w:color="000000" w:fill="E6F2FF"/>
            <w:noWrap/>
            <w:vAlign w:val="center"/>
            <w:hideMark/>
          </w:tcPr>
          <w:p w14:paraId="7026EE86" w14:textId="10D1ACB3"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2025</w:t>
            </w:r>
            <w:r w:rsidR="00993DA1">
              <w:rPr>
                <w:rFonts w:ascii="Arial" w:hAnsi="Arial" w:cs="Arial"/>
                <w:color w:val="000000"/>
                <w:sz w:val="16"/>
                <w:szCs w:val="16"/>
              </w:rPr>
              <w:noBreakHyphen/>
            </w:r>
            <w:r w:rsidRPr="00725092">
              <w:rPr>
                <w:rFonts w:ascii="Arial" w:hAnsi="Arial" w:cs="Arial"/>
                <w:color w:val="000000"/>
                <w:sz w:val="16"/>
                <w:szCs w:val="16"/>
              </w:rPr>
              <w:t>26</w:t>
            </w:r>
          </w:p>
        </w:tc>
        <w:tc>
          <w:tcPr>
            <w:tcW w:w="615" w:type="pct"/>
            <w:tcBorders>
              <w:top w:val="single" w:sz="4" w:space="0" w:color="293F5B"/>
              <w:left w:val="nil"/>
              <w:bottom w:val="nil"/>
              <w:right w:val="nil"/>
            </w:tcBorders>
            <w:shd w:val="clear" w:color="000000" w:fill="FFFFFF"/>
            <w:noWrap/>
            <w:vAlign w:val="center"/>
            <w:hideMark/>
          </w:tcPr>
          <w:p w14:paraId="20998ABC" w14:textId="2AF357ED"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2026</w:t>
            </w:r>
            <w:r w:rsidR="00993DA1">
              <w:rPr>
                <w:rFonts w:ascii="Arial" w:hAnsi="Arial" w:cs="Arial"/>
                <w:color w:val="000000"/>
                <w:sz w:val="16"/>
                <w:szCs w:val="16"/>
              </w:rPr>
              <w:noBreakHyphen/>
            </w:r>
            <w:r w:rsidRPr="00725092">
              <w:rPr>
                <w:rFonts w:ascii="Arial" w:hAnsi="Arial" w:cs="Arial"/>
                <w:color w:val="000000"/>
                <w:sz w:val="16"/>
                <w:szCs w:val="16"/>
              </w:rPr>
              <w:t>27</w:t>
            </w:r>
          </w:p>
        </w:tc>
        <w:tc>
          <w:tcPr>
            <w:tcW w:w="615" w:type="pct"/>
            <w:tcBorders>
              <w:top w:val="single" w:sz="4" w:space="0" w:color="293F5B"/>
              <w:left w:val="nil"/>
              <w:bottom w:val="nil"/>
              <w:right w:val="nil"/>
            </w:tcBorders>
            <w:shd w:val="clear" w:color="000000" w:fill="FFFFFF"/>
            <w:noWrap/>
            <w:vAlign w:val="center"/>
            <w:hideMark/>
          </w:tcPr>
          <w:p w14:paraId="3D6C121C" w14:textId="73481BF1"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2027</w:t>
            </w:r>
            <w:r w:rsidR="00993DA1">
              <w:rPr>
                <w:rFonts w:ascii="Arial" w:hAnsi="Arial" w:cs="Arial"/>
                <w:color w:val="000000"/>
                <w:sz w:val="16"/>
                <w:szCs w:val="16"/>
              </w:rPr>
              <w:noBreakHyphen/>
            </w:r>
            <w:r w:rsidRPr="00725092">
              <w:rPr>
                <w:rFonts w:ascii="Arial" w:hAnsi="Arial" w:cs="Arial"/>
                <w:color w:val="000000"/>
                <w:sz w:val="16"/>
                <w:szCs w:val="16"/>
              </w:rPr>
              <w:t>28</w:t>
            </w:r>
          </w:p>
        </w:tc>
        <w:tc>
          <w:tcPr>
            <w:tcW w:w="615" w:type="pct"/>
            <w:tcBorders>
              <w:top w:val="single" w:sz="4" w:space="0" w:color="293F5B"/>
              <w:left w:val="nil"/>
              <w:bottom w:val="nil"/>
              <w:right w:val="nil"/>
            </w:tcBorders>
            <w:shd w:val="clear" w:color="000000" w:fill="FFFFFF"/>
            <w:noWrap/>
            <w:vAlign w:val="center"/>
            <w:hideMark/>
          </w:tcPr>
          <w:p w14:paraId="75FF7E68" w14:textId="2A518012" w:rsidR="00725092" w:rsidRPr="00725092" w:rsidRDefault="00725092" w:rsidP="00725092">
            <w:pPr>
              <w:spacing w:before="0" w:after="0" w:line="240" w:lineRule="auto"/>
              <w:jc w:val="right"/>
              <w:rPr>
                <w:rFonts w:ascii="Arial" w:hAnsi="Arial" w:cs="Arial"/>
                <w:color w:val="000000"/>
                <w:sz w:val="16"/>
                <w:szCs w:val="16"/>
              </w:rPr>
            </w:pPr>
            <w:r w:rsidRPr="00725092">
              <w:rPr>
                <w:rFonts w:ascii="Arial" w:hAnsi="Arial" w:cs="Arial"/>
                <w:color w:val="000000"/>
                <w:sz w:val="16"/>
                <w:szCs w:val="16"/>
              </w:rPr>
              <w:t>2028</w:t>
            </w:r>
            <w:r w:rsidR="00993DA1">
              <w:rPr>
                <w:rFonts w:ascii="Arial" w:hAnsi="Arial" w:cs="Arial"/>
                <w:color w:val="000000"/>
                <w:sz w:val="16"/>
                <w:szCs w:val="16"/>
              </w:rPr>
              <w:noBreakHyphen/>
            </w:r>
            <w:r w:rsidRPr="00725092">
              <w:rPr>
                <w:rFonts w:ascii="Arial" w:hAnsi="Arial" w:cs="Arial"/>
                <w:color w:val="000000"/>
                <w:sz w:val="16"/>
                <w:szCs w:val="16"/>
              </w:rPr>
              <w:t>29</w:t>
            </w:r>
          </w:p>
        </w:tc>
      </w:tr>
      <w:tr w:rsidR="00725092" w:rsidRPr="00725092" w14:paraId="5C7030C2"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7DA40BE"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nil"/>
              <w:left w:val="nil"/>
              <w:bottom w:val="single" w:sz="4" w:space="0" w:color="293F5B"/>
              <w:right w:val="nil"/>
            </w:tcBorders>
            <w:shd w:val="clear" w:color="000000" w:fill="FFFFFF"/>
            <w:noWrap/>
            <w:vAlign w:val="center"/>
            <w:hideMark/>
          </w:tcPr>
          <w:p w14:paraId="0AF2B1A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E6F2FF"/>
            <w:noWrap/>
            <w:vAlign w:val="center"/>
            <w:hideMark/>
          </w:tcPr>
          <w:p w14:paraId="1B9664F5"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73ABC63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1FDF590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c>
          <w:tcPr>
            <w:tcW w:w="615" w:type="pct"/>
            <w:tcBorders>
              <w:top w:val="nil"/>
              <w:left w:val="nil"/>
              <w:bottom w:val="single" w:sz="4" w:space="0" w:color="293F5B"/>
              <w:right w:val="nil"/>
            </w:tcBorders>
            <w:shd w:val="clear" w:color="000000" w:fill="FFFFFF"/>
            <w:noWrap/>
            <w:vAlign w:val="center"/>
            <w:hideMark/>
          </w:tcPr>
          <w:p w14:paraId="5667854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$b</w:t>
            </w:r>
          </w:p>
        </w:tc>
      </w:tr>
      <w:tr w:rsidR="00725092" w:rsidRPr="00725092" w14:paraId="37F0E1D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570B5F03"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Financial assets</w:t>
            </w:r>
          </w:p>
        </w:tc>
        <w:tc>
          <w:tcPr>
            <w:tcW w:w="616" w:type="pct"/>
            <w:tcBorders>
              <w:top w:val="nil"/>
              <w:left w:val="nil"/>
              <w:bottom w:val="nil"/>
              <w:right w:val="nil"/>
            </w:tcBorders>
            <w:shd w:val="clear" w:color="000000" w:fill="FFFFFF"/>
            <w:noWrap/>
            <w:vAlign w:val="center"/>
            <w:hideMark/>
          </w:tcPr>
          <w:p w14:paraId="6A48DC7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636.7</w:t>
            </w:r>
          </w:p>
        </w:tc>
        <w:tc>
          <w:tcPr>
            <w:tcW w:w="615" w:type="pct"/>
            <w:tcBorders>
              <w:top w:val="nil"/>
              <w:left w:val="nil"/>
              <w:bottom w:val="nil"/>
              <w:right w:val="nil"/>
            </w:tcBorders>
            <w:shd w:val="clear" w:color="000000" w:fill="E6F2FF"/>
            <w:noWrap/>
            <w:vAlign w:val="center"/>
            <w:hideMark/>
          </w:tcPr>
          <w:p w14:paraId="083DB98A"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677.5</w:t>
            </w:r>
          </w:p>
        </w:tc>
        <w:tc>
          <w:tcPr>
            <w:tcW w:w="615" w:type="pct"/>
            <w:tcBorders>
              <w:top w:val="nil"/>
              <w:left w:val="nil"/>
              <w:bottom w:val="nil"/>
              <w:right w:val="nil"/>
            </w:tcBorders>
            <w:shd w:val="clear" w:color="000000" w:fill="FFFFFF"/>
            <w:noWrap/>
            <w:vAlign w:val="center"/>
            <w:hideMark/>
          </w:tcPr>
          <w:p w14:paraId="4303987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715.0</w:t>
            </w:r>
          </w:p>
        </w:tc>
        <w:tc>
          <w:tcPr>
            <w:tcW w:w="615" w:type="pct"/>
            <w:tcBorders>
              <w:top w:val="nil"/>
              <w:left w:val="nil"/>
              <w:bottom w:val="nil"/>
              <w:right w:val="nil"/>
            </w:tcBorders>
            <w:shd w:val="clear" w:color="000000" w:fill="FFFFFF"/>
            <w:noWrap/>
            <w:vAlign w:val="center"/>
            <w:hideMark/>
          </w:tcPr>
          <w:p w14:paraId="7BFD8D1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752.9</w:t>
            </w:r>
          </w:p>
        </w:tc>
        <w:tc>
          <w:tcPr>
            <w:tcW w:w="615" w:type="pct"/>
            <w:tcBorders>
              <w:top w:val="nil"/>
              <w:left w:val="nil"/>
              <w:bottom w:val="nil"/>
              <w:right w:val="nil"/>
            </w:tcBorders>
            <w:shd w:val="clear" w:color="000000" w:fill="FFFFFF"/>
            <w:noWrap/>
            <w:vAlign w:val="center"/>
            <w:hideMark/>
          </w:tcPr>
          <w:p w14:paraId="491B50A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789.2</w:t>
            </w:r>
          </w:p>
        </w:tc>
      </w:tr>
      <w:tr w:rsidR="00725092" w:rsidRPr="00725092" w14:paraId="1BD52FD3"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F15D006"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72DA4FD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22.8</w:t>
            </w:r>
          </w:p>
        </w:tc>
        <w:tc>
          <w:tcPr>
            <w:tcW w:w="615" w:type="pct"/>
            <w:tcBorders>
              <w:top w:val="nil"/>
              <w:left w:val="nil"/>
              <w:bottom w:val="nil"/>
              <w:right w:val="nil"/>
            </w:tcBorders>
            <w:shd w:val="clear" w:color="000000" w:fill="E6F2FF"/>
            <w:noWrap/>
            <w:vAlign w:val="center"/>
            <w:hideMark/>
          </w:tcPr>
          <w:p w14:paraId="3C36E1B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23.5</w:t>
            </w:r>
          </w:p>
        </w:tc>
        <w:tc>
          <w:tcPr>
            <w:tcW w:w="615" w:type="pct"/>
            <w:tcBorders>
              <w:top w:val="nil"/>
              <w:left w:val="nil"/>
              <w:bottom w:val="nil"/>
              <w:right w:val="nil"/>
            </w:tcBorders>
            <w:shd w:val="clear" w:color="000000" w:fill="FFFFFF"/>
            <w:noWrap/>
            <w:vAlign w:val="center"/>
            <w:hideMark/>
          </w:tcPr>
          <w:p w14:paraId="207F3E05"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23.9</w:t>
            </w:r>
          </w:p>
        </w:tc>
        <w:tc>
          <w:tcPr>
            <w:tcW w:w="615" w:type="pct"/>
            <w:tcBorders>
              <w:top w:val="nil"/>
              <w:left w:val="nil"/>
              <w:bottom w:val="nil"/>
              <w:right w:val="nil"/>
            </w:tcBorders>
            <w:shd w:val="clear" w:color="000000" w:fill="FFFFFF"/>
            <w:noWrap/>
            <w:vAlign w:val="center"/>
            <w:hideMark/>
          </w:tcPr>
          <w:p w14:paraId="4C7B134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23.9</w:t>
            </w:r>
          </w:p>
        </w:tc>
        <w:tc>
          <w:tcPr>
            <w:tcW w:w="615" w:type="pct"/>
            <w:tcBorders>
              <w:top w:val="nil"/>
              <w:left w:val="nil"/>
              <w:bottom w:val="nil"/>
              <w:right w:val="nil"/>
            </w:tcBorders>
            <w:shd w:val="clear" w:color="000000" w:fill="FFFFFF"/>
            <w:noWrap/>
            <w:vAlign w:val="center"/>
            <w:hideMark/>
          </w:tcPr>
          <w:p w14:paraId="289FF70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23.8</w:t>
            </w:r>
          </w:p>
        </w:tc>
      </w:tr>
      <w:tr w:rsidR="00725092" w:rsidRPr="00725092" w14:paraId="0695BF6B"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5C98686C"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5DEAEEF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18DE83F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2B79C62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9B429D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FB7507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675D69F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9DD2079" w14:textId="20270388"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Non</w:t>
            </w:r>
            <w:r w:rsidR="00993DA1">
              <w:rPr>
                <w:rFonts w:ascii="Arial" w:hAnsi="Arial" w:cs="Arial"/>
                <w:b/>
                <w:bCs/>
                <w:sz w:val="16"/>
                <w:szCs w:val="16"/>
              </w:rPr>
              <w:noBreakHyphen/>
            </w:r>
            <w:r w:rsidRPr="00725092">
              <w:rPr>
                <w:rFonts w:ascii="Arial" w:hAnsi="Arial" w:cs="Arial"/>
                <w:b/>
                <w:bCs/>
                <w:sz w:val="16"/>
                <w:szCs w:val="16"/>
              </w:rPr>
              <w:t>financial assets</w:t>
            </w:r>
          </w:p>
        </w:tc>
        <w:tc>
          <w:tcPr>
            <w:tcW w:w="616" w:type="pct"/>
            <w:tcBorders>
              <w:top w:val="nil"/>
              <w:left w:val="nil"/>
              <w:bottom w:val="nil"/>
              <w:right w:val="nil"/>
            </w:tcBorders>
            <w:shd w:val="clear" w:color="000000" w:fill="FFFFFF"/>
            <w:noWrap/>
            <w:vAlign w:val="center"/>
            <w:hideMark/>
          </w:tcPr>
          <w:p w14:paraId="733389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220.6</w:t>
            </w:r>
          </w:p>
        </w:tc>
        <w:tc>
          <w:tcPr>
            <w:tcW w:w="615" w:type="pct"/>
            <w:tcBorders>
              <w:top w:val="nil"/>
              <w:left w:val="nil"/>
              <w:bottom w:val="nil"/>
              <w:right w:val="nil"/>
            </w:tcBorders>
            <w:shd w:val="clear" w:color="000000" w:fill="E6F2FF"/>
            <w:noWrap/>
            <w:vAlign w:val="center"/>
            <w:hideMark/>
          </w:tcPr>
          <w:p w14:paraId="1B1E131E"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228.3</w:t>
            </w:r>
          </w:p>
        </w:tc>
        <w:tc>
          <w:tcPr>
            <w:tcW w:w="615" w:type="pct"/>
            <w:tcBorders>
              <w:top w:val="nil"/>
              <w:left w:val="nil"/>
              <w:bottom w:val="nil"/>
              <w:right w:val="nil"/>
            </w:tcBorders>
            <w:shd w:val="clear" w:color="000000" w:fill="FFFFFF"/>
            <w:noWrap/>
            <w:vAlign w:val="center"/>
            <w:hideMark/>
          </w:tcPr>
          <w:p w14:paraId="6BD0136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236.4</w:t>
            </w:r>
          </w:p>
        </w:tc>
        <w:tc>
          <w:tcPr>
            <w:tcW w:w="615" w:type="pct"/>
            <w:tcBorders>
              <w:top w:val="nil"/>
              <w:left w:val="nil"/>
              <w:bottom w:val="nil"/>
              <w:right w:val="nil"/>
            </w:tcBorders>
            <w:shd w:val="clear" w:color="000000" w:fill="FFFFFF"/>
            <w:noWrap/>
            <w:vAlign w:val="center"/>
            <w:hideMark/>
          </w:tcPr>
          <w:p w14:paraId="288453E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247.6</w:t>
            </w:r>
          </w:p>
        </w:tc>
        <w:tc>
          <w:tcPr>
            <w:tcW w:w="615" w:type="pct"/>
            <w:tcBorders>
              <w:top w:val="nil"/>
              <w:left w:val="nil"/>
              <w:bottom w:val="nil"/>
              <w:right w:val="nil"/>
            </w:tcBorders>
            <w:shd w:val="clear" w:color="000000" w:fill="FFFFFF"/>
            <w:noWrap/>
            <w:vAlign w:val="center"/>
            <w:hideMark/>
          </w:tcPr>
          <w:p w14:paraId="77934224"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257.3</w:t>
            </w:r>
          </w:p>
        </w:tc>
      </w:tr>
      <w:tr w:rsidR="00725092" w:rsidRPr="00725092" w14:paraId="34EB4EA0"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05B82C7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58F6A8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E6F2FF"/>
            <w:noWrap/>
            <w:vAlign w:val="center"/>
            <w:hideMark/>
          </w:tcPr>
          <w:p w14:paraId="69F5F8C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1C55FEA7"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2A171906"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7.9</w:t>
            </w:r>
          </w:p>
        </w:tc>
        <w:tc>
          <w:tcPr>
            <w:tcW w:w="615" w:type="pct"/>
            <w:tcBorders>
              <w:top w:val="nil"/>
              <w:left w:val="nil"/>
              <w:bottom w:val="nil"/>
              <w:right w:val="nil"/>
            </w:tcBorders>
            <w:shd w:val="clear" w:color="000000" w:fill="FFFFFF"/>
            <w:noWrap/>
            <w:vAlign w:val="center"/>
            <w:hideMark/>
          </w:tcPr>
          <w:p w14:paraId="5327B22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7.8</w:t>
            </w:r>
          </w:p>
        </w:tc>
      </w:tr>
      <w:tr w:rsidR="00725092" w:rsidRPr="00725092" w14:paraId="3ED38C94"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23427A4"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 </w:t>
            </w:r>
          </w:p>
        </w:tc>
        <w:tc>
          <w:tcPr>
            <w:tcW w:w="616" w:type="pct"/>
            <w:tcBorders>
              <w:top w:val="nil"/>
              <w:left w:val="nil"/>
              <w:bottom w:val="nil"/>
              <w:right w:val="nil"/>
            </w:tcBorders>
            <w:shd w:val="clear" w:color="000000" w:fill="FFFFFF"/>
            <w:noWrap/>
            <w:vAlign w:val="center"/>
            <w:hideMark/>
          </w:tcPr>
          <w:p w14:paraId="65E19E6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E6F2FF"/>
            <w:noWrap/>
            <w:vAlign w:val="center"/>
            <w:hideMark/>
          </w:tcPr>
          <w:p w14:paraId="1B87083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26524F2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3EB2DDE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c>
          <w:tcPr>
            <w:tcW w:w="615" w:type="pct"/>
            <w:tcBorders>
              <w:top w:val="nil"/>
              <w:left w:val="nil"/>
              <w:bottom w:val="nil"/>
              <w:right w:val="nil"/>
            </w:tcBorders>
            <w:shd w:val="clear" w:color="000000" w:fill="FFFFFF"/>
            <w:noWrap/>
            <w:vAlign w:val="center"/>
            <w:hideMark/>
          </w:tcPr>
          <w:p w14:paraId="6EF8189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 </w:t>
            </w:r>
          </w:p>
        </w:tc>
      </w:tr>
      <w:tr w:rsidR="00725092" w:rsidRPr="00725092" w14:paraId="436639CC"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54C4E733"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assets</w:t>
            </w:r>
          </w:p>
        </w:tc>
        <w:tc>
          <w:tcPr>
            <w:tcW w:w="616" w:type="pct"/>
            <w:tcBorders>
              <w:top w:val="nil"/>
              <w:left w:val="nil"/>
              <w:bottom w:val="nil"/>
              <w:right w:val="nil"/>
            </w:tcBorders>
            <w:shd w:val="clear" w:color="000000" w:fill="FFFFFF"/>
            <w:noWrap/>
            <w:vAlign w:val="center"/>
            <w:hideMark/>
          </w:tcPr>
          <w:p w14:paraId="20E67CC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857.3</w:t>
            </w:r>
          </w:p>
        </w:tc>
        <w:tc>
          <w:tcPr>
            <w:tcW w:w="615" w:type="pct"/>
            <w:tcBorders>
              <w:top w:val="nil"/>
              <w:left w:val="nil"/>
              <w:bottom w:val="nil"/>
              <w:right w:val="nil"/>
            </w:tcBorders>
            <w:shd w:val="clear" w:color="000000" w:fill="E6F2FF"/>
            <w:noWrap/>
            <w:vAlign w:val="center"/>
            <w:hideMark/>
          </w:tcPr>
          <w:p w14:paraId="454D8B5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905.8</w:t>
            </w:r>
          </w:p>
        </w:tc>
        <w:tc>
          <w:tcPr>
            <w:tcW w:w="615" w:type="pct"/>
            <w:tcBorders>
              <w:top w:val="nil"/>
              <w:left w:val="nil"/>
              <w:bottom w:val="nil"/>
              <w:right w:val="nil"/>
            </w:tcBorders>
            <w:shd w:val="clear" w:color="000000" w:fill="FFFFFF"/>
            <w:noWrap/>
            <w:vAlign w:val="center"/>
            <w:hideMark/>
          </w:tcPr>
          <w:p w14:paraId="4AE6CF5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951.4</w:t>
            </w:r>
          </w:p>
        </w:tc>
        <w:tc>
          <w:tcPr>
            <w:tcW w:w="615" w:type="pct"/>
            <w:tcBorders>
              <w:top w:val="nil"/>
              <w:left w:val="nil"/>
              <w:bottom w:val="nil"/>
              <w:right w:val="nil"/>
            </w:tcBorders>
            <w:shd w:val="clear" w:color="000000" w:fill="FFFFFF"/>
            <w:noWrap/>
            <w:vAlign w:val="center"/>
            <w:hideMark/>
          </w:tcPr>
          <w:p w14:paraId="13ADDE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1,000.4</w:t>
            </w:r>
          </w:p>
        </w:tc>
        <w:tc>
          <w:tcPr>
            <w:tcW w:w="615" w:type="pct"/>
            <w:tcBorders>
              <w:top w:val="nil"/>
              <w:left w:val="nil"/>
              <w:bottom w:val="nil"/>
              <w:right w:val="nil"/>
            </w:tcBorders>
            <w:shd w:val="clear" w:color="000000" w:fill="FFFFFF"/>
            <w:noWrap/>
            <w:vAlign w:val="center"/>
            <w:hideMark/>
          </w:tcPr>
          <w:p w14:paraId="104F0B0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1,046.5</w:t>
            </w:r>
          </w:p>
        </w:tc>
      </w:tr>
      <w:tr w:rsidR="00725092" w:rsidRPr="00725092" w14:paraId="12F1629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3C41A6E"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5536C73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30.8</w:t>
            </w:r>
          </w:p>
        </w:tc>
        <w:tc>
          <w:tcPr>
            <w:tcW w:w="615" w:type="pct"/>
            <w:tcBorders>
              <w:top w:val="nil"/>
              <w:left w:val="nil"/>
              <w:bottom w:val="nil"/>
              <w:right w:val="nil"/>
            </w:tcBorders>
            <w:shd w:val="clear" w:color="000000" w:fill="E6F2FF"/>
            <w:noWrap/>
            <w:vAlign w:val="center"/>
            <w:hideMark/>
          </w:tcPr>
          <w:p w14:paraId="3184D62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31.5</w:t>
            </w:r>
          </w:p>
        </w:tc>
        <w:tc>
          <w:tcPr>
            <w:tcW w:w="615" w:type="pct"/>
            <w:tcBorders>
              <w:top w:val="nil"/>
              <w:left w:val="nil"/>
              <w:bottom w:val="nil"/>
              <w:right w:val="nil"/>
            </w:tcBorders>
            <w:shd w:val="clear" w:color="000000" w:fill="FFFFFF"/>
            <w:noWrap/>
            <w:vAlign w:val="center"/>
            <w:hideMark/>
          </w:tcPr>
          <w:p w14:paraId="501976B4"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31.8</w:t>
            </w:r>
          </w:p>
        </w:tc>
        <w:tc>
          <w:tcPr>
            <w:tcW w:w="615" w:type="pct"/>
            <w:tcBorders>
              <w:top w:val="nil"/>
              <w:left w:val="nil"/>
              <w:bottom w:val="nil"/>
              <w:right w:val="nil"/>
            </w:tcBorders>
            <w:shd w:val="clear" w:color="000000" w:fill="FFFFFF"/>
            <w:noWrap/>
            <w:vAlign w:val="center"/>
            <w:hideMark/>
          </w:tcPr>
          <w:p w14:paraId="7BEBC8FB"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31.8</w:t>
            </w:r>
          </w:p>
        </w:tc>
        <w:tc>
          <w:tcPr>
            <w:tcW w:w="615" w:type="pct"/>
            <w:tcBorders>
              <w:top w:val="nil"/>
              <w:left w:val="nil"/>
              <w:bottom w:val="nil"/>
              <w:right w:val="nil"/>
            </w:tcBorders>
            <w:shd w:val="clear" w:color="000000" w:fill="FFFFFF"/>
            <w:noWrap/>
            <w:vAlign w:val="center"/>
            <w:hideMark/>
          </w:tcPr>
          <w:p w14:paraId="1F8A2D1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31.5</w:t>
            </w:r>
          </w:p>
        </w:tc>
      </w:tr>
      <w:tr w:rsidR="00725092" w:rsidRPr="00725092" w14:paraId="0073C61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5160F9E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105FD6B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47BD862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4CD10F5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B464FC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36F509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431486A3"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48419C7"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liabilities</w:t>
            </w:r>
          </w:p>
        </w:tc>
        <w:tc>
          <w:tcPr>
            <w:tcW w:w="616" w:type="pct"/>
            <w:tcBorders>
              <w:top w:val="nil"/>
              <w:left w:val="nil"/>
              <w:bottom w:val="nil"/>
              <w:right w:val="nil"/>
            </w:tcBorders>
            <w:shd w:val="clear" w:color="000000" w:fill="FFFFFF"/>
            <w:noWrap/>
            <w:vAlign w:val="center"/>
            <w:hideMark/>
          </w:tcPr>
          <w:p w14:paraId="0ADDDFE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1,427.8</w:t>
            </w:r>
          </w:p>
        </w:tc>
        <w:tc>
          <w:tcPr>
            <w:tcW w:w="615" w:type="pct"/>
            <w:tcBorders>
              <w:top w:val="nil"/>
              <w:left w:val="nil"/>
              <w:bottom w:val="nil"/>
              <w:right w:val="nil"/>
            </w:tcBorders>
            <w:shd w:val="clear" w:color="000000" w:fill="E6F2FF"/>
            <w:noWrap/>
            <w:vAlign w:val="center"/>
            <w:hideMark/>
          </w:tcPr>
          <w:p w14:paraId="7CE47D6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1,527.6</w:t>
            </w:r>
          </w:p>
        </w:tc>
        <w:tc>
          <w:tcPr>
            <w:tcW w:w="615" w:type="pct"/>
            <w:tcBorders>
              <w:top w:val="nil"/>
              <w:left w:val="nil"/>
              <w:bottom w:val="nil"/>
              <w:right w:val="nil"/>
            </w:tcBorders>
            <w:shd w:val="clear" w:color="000000" w:fill="FFFFFF"/>
            <w:noWrap/>
            <w:vAlign w:val="center"/>
            <w:hideMark/>
          </w:tcPr>
          <w:p w14:paraId="64ABF7B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1,610.6</w:t>
            </w:r>
          </w:p>
        </w:tc>
        <w:tc>
          <w:tcPr>
            <w:tcW w:w="615" w:type="pct"/>
            <w:tcBorders>
              <w:top w:val="nil"/>
              <w:left w:val="nil"/>
              <w:bottom w:val="nil"/>
              <w:right w:val="nil"/>
            </w:tcBorders>
            <w:shd w:val="clear" w:color="000000" w:fill="FFFFFF"/>
            <w:noWrap/>
            <w:vAlign w:val="center"/>
            <w:hideMark/>
          </w:tcPr>
          <w:p w14:paraId="344B07EA"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1,701.0</w:t>
            </w:r>
          </w:p>
        </w:tc>
        <w:tc>
          <w:tcPr>
            <w:tcW w:w="615" w:type="pct"/>
            <w:tcBorders>
              <w:top w:val="nil"/>
              <w:left w:val="nil"/>
              <w:bottom w:val="nil"/>
              <w:right w:val="nil"/>
            </w:tcBorders>
            <w:shd w:val="clear" w:color="000000" w:fill="FFFFFF"/>
            <w:noWrap/>
            <w:vAlign w:val="center"/>
            <w:hideMark/>
          </w:tcPr>
          <w:p w14:paraId="3D7B6D1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1,786.6</w:t>
            </w:r>
          </w:p>
        </w:tc>
      </w:tr>
      <w:tr w:rsidR="00725092" w:rsidRPr="00725092" w14:paraId="4F615D71"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057DE40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49A2691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51.2</w:t>
            </w:r>
          </w:p>
        </w:tc>
        <w:tc>
          <w:tcPr>
            <w:tcW w:w="615" w:type="pct"/>
            <w:tcBorders>
              <w:top w:val="nil"/>
              <w:left w:val="nil"/>
              <w:bottom w:val="nil"/>
              <w:right w:val="nil"/>
            </w:tcBorders>
            <w:shd w:val="clear" w:color="000000" w:fill="E6F2FF"/>
            <w:noWrap/>
            <w:vAlign w:val="center"/>
            <w:hideMark/>
          </w:tcPr>
          <w:p w14:paraId="76A765A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53.1</w:t>
            </w:r>
          </w:p>
        </w:tc>
        <w:tc>
          <w:tcPr>
            <w:tcW w:w="615" w:type="pct"/>
            <w:tcBorders>
              <w:top w:val="nil"/>
              <w:left w:val="nil"/>
              <w:bottom w:val="nil"/>
              <w:right w:val="nil"/>
            </w:tcBorders>
            <w:shd w:val="clear" w:color="000000" w:fill="FFFFFF"/>
            <w:noWrap/>
            <w:vAlign w:val="center"/>
            <w:hideMark/>
          </w:tcPr>
          <w:p w14:paraId="0EF4D6D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53.8</w:t>
            </w:r>
          </w:p>
        </w:tc>
        <w:tc>
          <w:tcPr>
            <w:tcW w:w="615" w:type="pct"/>
            <w:tcBorders>
              <w:top w:val="nil"/>
              <w:left w:val="nil"/>
              <w:bottom w:val="nil"/>
              <w:right w:val="nil"/>
            </w:tcBorders>
            <w:shd w:val="clear" w:color="000000" w:fill="FFFFFF"/>
            <w:noWrap/>
            <w:vAlign w:val="center"/>
            <w:hideMark/>
          </w:tcPr>
          <w:p w14:paraId="61E30870"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54.0</w:t>
            </w:r>
          </w:p>
        </w:tc>
        <w:tc>
          <w:tcPr>
            <w:tcW w:w="615" w:type="pct"/>
            <w:tcBorders>
              <w:top w:val="nil"/>
              <w:left w:val="nil"/>
              <w:bottom w:val="nil"/>
              <w:right w:val="nil"/>
            </w:tcBorders>
            <w:shd w:val="clear" w:color="000000" w:fill="FFFFFF"/>
            <w:noWrap/>
            <w:vAlign w:val="center"/>
            <w:hideMark/>
          </w:tcPr>
          <w:p w14:paraId="5DC7A713"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53.8</w:t>
            </w:r>
          </w:p>
        </w:tc>
      </w:tr>
      <w:tr w:rsidR="00725092" w:rsidRPr="00725092" w14:paraId="099BCC4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654A943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7924C57D"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12B93F8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67C5EB5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EE23A4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7E28F2F"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7DC6685"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8F971BA"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worth</w:t>
            </w:r>
          </w:p>
        </w:tc>
        <w:tc>
          <w:tcPr>
            <w:tcW w:w="616" w:type="pct"/>
            <w:tcBorders>
              <w:top w:val="nil"/>
              <w:left w:val="nil"/>
              <w:bottom w:val="nil"/>
              <w:right w:val="nil"/>
            </w:tcBorders>
            <w:shd w:val="clear" w:color="000000" w:fill="FFFFFF"/>
            <w:noWrap/>
            <w:vAlign w:val="center"/>
            <w:hideMark/>
          </w:tcPr>
          <w:p w14:paraId="548CB88C" w14:textId="284B2B8B"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570.5</w:t>
            </w:r>
          </w:p>
        </w:tc>
        <w:tc>
          <w:tcPr>
            <w:tcW w:w="615" w:type="pct"/>
            <w:tcBorders>
              <w:top w:val="nil"/>
              <w:left w:val="nil"/>
              <w:bottom w:val="nil"/>
              <w:right w:val="nil"/>
            </w:tcBorders>
            <w:shd w:val="clear" w:color="000000" w:fill="E6F2FF"/>
            <w:noWrap/>
            <w:vAlign w:val="center"/>
            <w:hideMark/>
          </w:tcPr>
          <w:p w14:paraId="3590B3BE" w14:textId="28EB7C16"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621.8</w:t>
            </w:r>
          </w:p>
        </w:tc>
        <w:tc>
          <w:tcPr>
            <w:tcW w:w="615" w:type="pct"/>
            <w:tcBorders>
              <w:top w:val="nil"/>
              <w:left w:val="nil"/>
              <w:bottom w:val="nil"/>
              <w:right w:val="nil"/>
            </w:tcBorders>
            <w:shd w:val="clear" w:color="000000" w:fill="FFFFFF"/>
            <w:noWrap/>
            <w:vAlign w:val="center"/>
            <w:hideMark/>
          </w:tcPr>
          <w:p w14:paraId="0B4C548C" w14:textId="512A15E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659.2</w:t>
            </w:r>
          </w:p>
        </w:tc>
        <w:tc>
          <w:tcPr>
            <w:tcW w:w="615" w:type="pct"/>
            <w:tcBorders>
              <w:top w:val="nil"/>
              <w:left w:val="nil"/>
              <w:bottom w:val="nil"/>
              <w:right w:val="nil"/>
            </w:tcBorders>
            <w:shd w:val="clear" w:color="000000" w:fill="FFFFFF"/>
            <w:noWrap/>
            <w:vAlign w:val="center"/>
            <w:hideMark/>
          </w:tcPr>
          <w:p w14:paraId="0A542E25" w14:textId="6EB447E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700.5</w:t>
            </w:r>
          </w:p>
        </w:tc>
        <w:tc>
          <w:tcPr>
            <w:tcW w:w="615" w:type="pct"/>
            <w:tcBorders>
              <w:top w:val="nil"/>
              <w:left w:val="nil"/>
              <w:bottom w:val="nil"/>
              <w:right w:val="nil"/>
            </w:tcBorders>
            <w:shd w:val="clear" w:color="000000" w:fill="FFFFFF"/>
            <w:noWrap/>
            <w:vAlign w:val="center"/>
            <w:hideMark/>
          </w:tcPr>
          <w:p w14:paraId="5A7AE628" w14:textId="767E3A30"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740.1</w:t>
            </w:r>
          </w:p>
        </w:tc>
      </w:tr>
      <w:tr w:rsidR="00725092" w:rsidRPr="00725092" w14:paraId="2DAC3A7B"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1D55DBED"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1E2E440" w14:textId="6F13AEBE"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20.5</w:t>
            </w:r>
          </w:p>
        </w:tc>
        <w:tc>
          <w:tcPr>
            <w:tcW w:w="615" w:type="pct"/>
            <w:tcBorders>
              <w:top w:val="nil"/>
              <w:left w:val="nil"/>
              <w:bottom w:val="nil"/>
              <w:right w:val="nil"/>
            </w:tcBorders>
            <w:shd w:val="clear" w:color="000000" w:fill="E6F2FF"/>
            <w:noWrap/>
            <w:vAlign w:val="center"/>
            <w:hideMark/>
          </w:tcPr>
          <w:p w14:paraId="785B13DC" w14:textId="2D48E0F6"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21.6</w:t>
            </w:r>
          </w:p>
        </w:tc>
        <w:tc>
          <w:tcPr>
            <w:tcW w:w="615" w:type="pct"/>
            <w:tcBorders>
              <w:top w:val="nil"/>
              <w:left w:val="nil"/>
              <w:bottom w:val="nil"/>
              <w:right w:val="nil"/>
            </w:tcBorders>
            <w:shd w:val="clear" w:color="000000" w:fill="FFFFFF"/>
            <w:noWrap/>
            <w:vAlign w:val="center"/>
            <w:hideMark/>
          </w:tcPr>
          <w:p w14:paraId="5915C9FF" w14:textId="53DB77FE"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22.0</w:t>
            </w:r>
          </w:p>
        </w:tc>
        <w:tc>
          <w:tcPr>
            <w:tcW w:w="615" w:type="pct"/>
            <w:tcBorders>
              <w:top w:val="nil"/>
              <w:left w:val="nil"/>
              <w:bottom w:val="nil"/>
              <w:right w:val="nil"/>
            </w:tcBorders>
            <w:shd w:val="clear" w:color="000000" w:fill="FFFFFF"/>
            <w:noWrap/>
            <w:vAlign w:val="center"/>
            <w:hideMark/>
          </w:tcPr>
          <w:p w14:paraId="33F31BC5" w14:textId="33BC6C98"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22.3</w:t>
            </w:r>
          </w:p>
        </w:tc>
        <w:tc>
          <w:tcPr>
            <w:tcW w:w="615" w:type="pct"/>
            <w:tcBorders>
              <w:top w:val="nil"/>
              <w:left w:val="nil"/>
              <w:bottom w:val="nil"/>
              <w:right w:val="nil"/>
            </w:tcBorders>
            <w:shd w:val="clear" w:color="000000" w:fill="FFFFFF"/>
            <w:noWrap/>
            <w:vAlign w:val="center"/>
            <w:hideMark/>
          </w:tcPr>
          <w:p w14:paraId="107D3022" w14:textId="0EB60415"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22.3</w:t>
            </w:r>
          </w:p>
        </w:tc>
      </w:tr>
      <w:tr w:rsidR="00725092" w:rsidRPr="00725092" w14:paraId="566D702C"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34C4804"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6073984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4DA6631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3344E2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8A653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6FEF9D2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5F2B751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F7538C0"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xml:space="preserve">Net financial worth(b) </w:t>
            </w:r>
          </w:p>
        </w:tc>
        <w:tc>
          <w:tcPr>
            <w:tcW w:w="616" w:type="pct"/>
            <w:tcBorders>
              <w:top w:val="nil"/>
              <w:left w:val="nil"/>
              <w:bottom w:val="nil"/>
              <w:right w:val="nil"/>
            </w:tcBorders>
            <w:shd w:val="clear" w:color="000000" w:fill="FFFFFF"/>
            <w:noWrap/>
            <w:vAlign w:val="center"/>
            <w:hideMark/>
          </w:tcPr>
          <w:p w14:paraId="0F0F05C1" w14:textId="35642548"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791.1</w:t>
            </w:r>
          </w:p>
        </w:tc>
        <w:tc>
          <w:tcPr>
            <w:tcW w:w="615" w:type="pct"/>
            <w:tcBorders>
              <w:top w:val="nil"/>
              <w:left w:val="nil"/>
              <w:bottom w:val="nil"/>
              <w:right w:val="nil"/>
            </w:tcBorders>
            <w:shd w:val="clear" w:color="000000" w:fill="E6F2FF"/>
            <w:noWrap/>
            <w:vAlign w:val="center"/>
            <w:hideMark/>
          </w:tcPr>
          <w:p w14:paraId="4E5C7516" w14:textId="69385FF7"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850.1</w:t>
            </w:r>
          </w:p>
        </w:tc>
        <w:tc>
          <w:tcPr>
            <w:tcW w:w="615" w:type="pct"/>
            <w:tcBorders>
              <w:top w:val="nil"/>
              <w:left w:val="nil"/>
              <w:bottom w:val="nil"/>
              <w:right w:val="nil"/>
            </w:tcBorders>
            <w:shd w:val="clear" w:color="000000" w:fill="FFFFFF"/>
            <w:noWrap/>
            <w:vAlign w:val="center"/>
            <w:hideMark/>
          </w:tcPr>
          <w:p w14:paraId="4C049AC4" w14:textId="01453DC4"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895.6</w:t>
            </w:r>
          </w:p>
        </w:tc>
        <w:tc>
          <w:tcPr>
            <w:tcW w:w="615" w:type="pct"/>
            <w:tcBorders>
              <w:top w:val="nil"/>
              <w:left w:val="nil"/>
              <w:bottom w:val="nil"/>
              <w:right w:val="nil"/>
            </w:tcBorders>
            <w:shd w:val="clear" w:color="000000" w:fill="FFFFFF"/>
            <w:noWrap/>
            <w:vAlign w:val="center"/>
            <w:hideMark/>
          </w:tcPr>
          <w:p w14:paraId="67B23FDF" w14:textId="561FEF4D"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948.1</w:t>
            </w:r>
          </w:p>
        </w:tc>
        <w:tc>
          <w:tcPr>
            <w:tcW w:w="615" w:type="pct"/>
            <w:tcBorders>
              <w:top w:val="nil"/>
              <w:left w:val="nil"/>
              <w:bottom w:val="nil"/>
              <w:right w:val="nil"/>
            </w:tcBorders>
            <w:shd w:val="clear" w:color="000000" w:fill="FFFFFF"/>
            <w:noWrap/>
            <w:vAlign w:val="center"/>
            <w:hideMark/>
          </w:tcPr>
          <w:p w14:paraId="3C4932B7" w14:textId="1598B73A" w:rsidR="00725092" w:rsidRPr="00725092" w:rsidRDefault="00993DA1" w:rsidP="00725092">
            <w:pPr>
              <w:spacing w:before="0" w:after="0" w:line="240" w:lineRule="auto"/>
              <w:jc w:val="right"/>
              <w:rPr>
                <w:rFonts w:ascii="Arial" w:hAnsi="Arial" w:cs="Arial"/>
                <w:b/>
                <w:bCs/>
                <w:sz w:val="16"/>
                <w:szCs w:val="16"/>
              </w:rPr>
            </w:pPr>
            <w:r>
              <w:rPr>
                <w:rFonts w:ascii="Arial" w:hAnsi="Arial" w:cs="Arial"/>
                <w:b/>
                <w:bCs/>
                <w:sz w:val="16"/>
                <w:szCs w:val="16"/>
              </w:rPr>
              <w:noBreakHyphen/>
            </w:r>
            <w:r w:rsidR="00725092" w:rsidRPr="00725092">
              <w:rPr>
                <w:rFonts w:ascii="Arial" w:hAnsi="Arial" w:cs="Arial"/>
                <w:b/>
                <w:bCs/>
                <w:sz w:val="16"/>
                <w:szCs w:val="16"/>
              </w:rPr>
              <w:t>997.4</w:t>
            </w:r>
          </w:p>
        </w:tc>
      </w:tr>
      <w:tr w:rsidR="00725092" w:rsidRPr="00725092" w14:paraId="1F14ED37"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138C330"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19A4C043" w14:textId="5F8A83F2"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28.4</w:t>
            </w:r>
          </w:p>
        </w:tc>
        <w:tc>
          <w:tcPr>
            <w:tcW w:w="615" w:type="pct"/>
            <w:tcBorders>
              <w:top w:val="nil"/>
              <w:left w:val="nil"/>
              <w:bottom w:val="nil"/>
              <w:right w:val="nil"/>
            </w:tcBorders>
            <w:shd w:val="clear" w:color="000000" w:fill="E6F2FF"/>
            <w:noWrap/>
            <w:vAlign w:val="center"/>
            <w:hideMark/>
          </w:tcPr>
          <w:p w14:paraId="60708A2D" w14:textId="4E4D8DAB"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29.5</w:t>
            </w:r>
          </w:p>
        </w:tc>
        <w:tc>
          <w:tcPr>
            <w:tcW w:w="615" w:type="pct"/>
            <w:tcBorders>
              <w:top w:val="nil"/>
              <w:left w:val="nil"/>
              <w:bottom w:val="nil"/>
              <w:right w:val="nil"/>
            </w:tcBorders>
            <w:shd w:val="clear" w:color="000000" w:fill="FFFFFF"/>
            <w:noWrap/>
            <w:vAlign w:val="center"/>
            <w:hideMark/>
          </w:tcPr>
          <w:p w14:paraId="5871D742" w14:textId="1B60CD16"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29.9</w:t>
            </w:r>
          </w:p>
        </w:tc>
        <w:tc>
          <w:tcPr>
            <w:tcW w:w="615" w:type="pct"/>
            <w:tcBorders>
              <w:top w:val="nil"/>
              <w:left w:val="nil"/>
              <w:bottom w:val="nil"/>
              <w:right w:val="nil"/>
            </w:tcBorders>
            <w:shd w:val="clear" w:color="000000" w:fill="FFFFFF"/>
            <w:noWrap/>
            <w:vAlign w:val="center"/>
            <w:hideMark/>
          </w:tcPr>
          <w:p w14:paraId="225BE2EF" w14:textId="3CCE5AFA"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30.1</w:t>
            </w:r>
          </w:p>
        </w:tc>
        <w:tc>
          <w:tcPr>
            <w:tcW w:w="615" w:type="pct"/>
            <w:tcBorders>
              <w:top w:val="nil"/>
              <w:left w:val="nil"/>
              <w:bottom w:val="nil"/>
              <w:right w:val="nil"/>
            </w:tcBorders>
            <w:shd w:val="clear" w:color="000000" w:fill="FFFFFF"/>
            <w:noWrap/>
            <w:vAlign w:val="center"/>
            <w:hideMark/>
          </w:tcPr>
          <w:p w14:paraId="3A1DAA24" w14:textId="2FFAA81F" w:rsidR="00725092" w:rsidRPr="00725092" w:rsidRDefault="00993DA1" w:rsidP="00725092">
            <w:pPr>
              <w:spacing w:before="0" w:after="0" w:line="240" w:lineRule="auto"/>
              <w:jc w:val="right"/>
              <w:rPr>
                <w:rFonts w:ascii="Arial" w:hAnsi="Arial" w:cs="Arial"/>
                <w:sz w:val="16"/>
                <w:szCs w:val="16"/>
              </w:rPr>
            </w:pPr>
            <w:r>
              <w:rPr>
                <w:rFonts w:ascii="Arial" w:hAnsi="Arial" w:cs="Arial"/>
                <w:sz w:val="16"/>
                <w:szCs w:val="16"/>
              </w:rPr>
              <w:noBreakHyphen/>
            </w:r>
            <w:r w:rsidR="00725092" w:rsidRPr="00725092">
              <w:rPr>
                <w:rFonts w:ascii="Arial" w:hAnsi="Arial" w:cs="Arial"/>
                <w:sz w:val="16"/>
                <w:szCs w:val="16"/>
              </w:rPr>
              <w:t>30.0</w:t>
            </w:r>
          </w:p>
        </w:tc>
      </w:tr>
      <w:tr w:rsidR="00725092" w:rsidRPr="00725092" w14:paraId="55F30E01"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00DD0B0F"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3AFDFB24"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3C9872DD"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F7B64F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BDD726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7979EFD7"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F2698B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686D22CA" w14:textId="77777777" w:rsidR="00725092" w:rsidRPr="00C35BB2" w:rsidRDefault="00725092" w:rsidP="00725092">
            <w:pPr>
              <w:spacing w:before="0" w:after="0" w:line="240" w:lineRule="auto"/>
              <w:rPr>
                <w:rFonts w:ascii="Arial" w:hAnsi="Arial" w:cs="Arial"/>
                <w:b/>
                <w:bCs/>
                <w:sz w:val="16"/>
                <w:szCs w:val="16"/>
                <w:highlight w:val="cyan"/>
              </w:rPr>
            </w:pPr>
            <w:r w:rsidRPr="004D32B6">
              <w:rPr>
                <w:rFonts w:ascii="Arial" w:hAnsi="Arial" w:cs="Arial"/>
                <w:b/>
                <w:bCs/>
                <w:sz w:val="16"/>
                <w:szCs w:val="16"/>
              </w:rPr>
              <w:t>Gross debt(c)</w:t>
            </w:r>
          </w:p>
        </w:tc>
        <w:tc>
          <w:tcPr>
            <w:tcW w:w="616" w:type="pct"/>
            <w:tcBorders>
              <w:top w:val="nil"/>
              <w:left w:val="nil"/>
              <w:bottom w:val="nil"/>
              <w:right w:val="nil"/>
            </w:tcBorders>
            <w:shd w:val="clear" w:color="000000" w:fill="FFFFFF"/>
            <w:noWrap/>
            <w:vAlign w:val="center"/>
            <w:hideMark/>
          </w:tcPr>
          <w:p w14:paraId="3DDC84D6"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940.0</w:t>
            </w:r>
          </w:p>
        </w:tc>
        <w:tc>
          <w:tcPr>
            <w:tcW w:w="615" w:type="pct"/>
            <w:tcBorders>
              <w:top w:val="nil"/>
              <w:left w:val="nil"/>
              <w:bottom w:val="nil"/>
              <w:right w:val="nil"/>
            </w:tcBorders>
            <w:shd w:val="clear" w:color="000000" w:fill="E6F2FF"/>
            <w:noWrap/>
            <w:vAlign w:val="center"/>
            <w:hideMark/>
          </w:tcPr>
          <w:p w14:paraId="4FE0DD55"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1,022.0</w:t>
            </w:r>
          </w:p>
        </w:tc>
        <w:tc>
          <w:tcPr>
            <w:tcW w:w="615" w:type="pct"/>
            <w:tcBorders>
              <w:top w:val="nil"/>
              <w:left w:val="nil"/>
              <w:bottom w:val="nil"/>
              <w:right w:val="nil"/>
            </w:tcBorders>
            <w:shd w:val="clear" w:color="000000" w:fill="FFFFFF"/>
            <w:noWrap/>
            <w:vAlign w:val="center"/>
            <w:hideMark/>
          </w:tcPr>
          <w:p w14:paraId="0097ECAF"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1,092.0</w:t>
            </w:r>
          </w:p>
        </w:tc>
        <w:tc>
          <w:tcPr>
            <w:tcW w:w="615" w:type="pct"/>
            <w:tcBorders>
              <w:top w:val="nil"/>
              <w:left w:val="nil"/>
              <w:bottom w:val="nil"/>
              <w:right w:val="nil"/>
            </w:tcBorders>
            <w:shd w:val="clear" w:color="000000" w:fill="FFFFFF"/>
            <w:noWrap/>
            <w:vAlign w:val="center"/>
            <w:hideMark/>
          </w:tcPr>
          <w:p w14:paraId="5F5FB124" w14:textId="77777777" w:rsidR="00725092" w:rsidRPr="00C35BB2" w:rsidRDefault="00725092" w:rsidP="00725092">
            <w:pPr>
              <w:spacing w:before="0" w:after="0" w:line="240" w:lineRule="auto"/>
              <w:jc w:val="right"/>
              <w:rPr>
                <w:rFonts w:ascii="Arial" w:hAnsi="Arial" w:cs="Arial"/>
                <w:b/>
                <w:bCs/>
                <w:sz w:val="16"/>
                <w:szCs w:val="16"/>
                <w:highlight w:val="cyan"/>
              </w:rPr>
            </w:pPr>
            <w:r w:rsidRPr="004D32B6">
              <w:rPr>
                <w:rFonts w:ascii="Arial" w:hAnsi="Arial" w:cs="Arial"/>
                <w:b/>
                <w:bCs/>
                <w:sz w:val="16"/>
                <w:szCs w:val="16"/>
              </w:rPr>
              <w:t>1,161.0</w:t>
            </w:r>
          </w:p>
        </w:tc>
        <w:tc>
          <w:tcPr>
            <w:tcW w:w="615" w:type="pct"/>
            <w:tcBorders>
              <w:top w:val="nil"/>
              <w:left w:val="nil"/>
              <w:bottom w:val="nil"/>
              <w:right w:val="nil"/>
            </w:tcBorders>
            <w:shd w:val="clear" w:color="000000" w:fill="FFFFFF"/>
            <w:noWrap/>
            <w:vAlign w:val="center"/>
            <w:hideMark/>
          </w:tcPr>
          <w:p w14:paraId="751B9B6D" w14:textId="77777777" w:rsidR="00725092" w:rsidRPr="004D32B6" w:rsidRDefault="00725092" w:rsidP="00725092">
            <w:pPr>
              <w:spacing w:before="0" w:after="0" w:line="240" w:lineRule="auto"/>
              <w:jc w:val="right"/>
              <w:rPr>
                <w:rFonts w:ascii="Arial" w:hAnsi="Arial" w:cs="Arial"/>
                <w:b/>
                <w:bCs/>
                <w:sz w:val="16"/>
                <w:szCs w:val="16"/>
              </w:rPr>
            </w:pPr>
            <w:r w:rsidRPr="004D32B6">
              <w:rPr>
                <w:rFonts w:ascii="Arial" w:hAnsi="Arial" w:cs="Arial"/>
                <w:b/>
                <w:bCs/>
                <w:sz w:val="16"/>
                <w:szCs w:val="16"/>
              </w:rPr>
              <w:t>1,223.0</w:t>
            </w:r>
          </w:p>
        </w:tc>
      </w:tr>
      <w:tr w:rsidR="00725092" w:rsidRPr="00725092" w14:paraId="71C4B4E9"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6BE531E" w14:textId="77777777" w:rsidR="00725092" w:rsidRPr="00C35BB2" w:rsidRDefault="00725092" w:rsidP="00725092">
            <w:pPr>
              <w:spacing w:before="0" w:after="0" w:line="240" w:lineRule="auto"/>
              <w:rPr>
                <w:rFonts w:ascii="Arial" w:hAnsi="Arial" w:cs="Arial"/>
                <w:sz w:val="16"/>
                <w:szCs w:val="16"/>
                <w:highlight w:val="cyan"/>
              </w:rPr>
            </w:pPr>
            <w:r w:rsidRPr="004D32B6">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0E87722E"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33.7</w:t>
            </w:r>
          </w:p>
        </w:tc>
        <w:tc>
          <w:tcPr>
            <w:tcW w:w="615" w:type="pct"/>
            <w:tcBorders>
              <w:top w:val="nil"/>
              <w:left w:val="nil"/>
              <w:bottom w:val="nil"/>
              <w:right w:val="nil"/>
            </w:tcBorders>
            <w:shd w:val="clear" w:color="000000" w:fill="E6F2FF"/>
            <w:noWrap/>
            <w:vAlign w:val="center"/>
            <w:hideMark/>
          </w:tcPr>
          <w:p w14:paraId="7D33FEBD"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35.5</w:t>
            </w:r>
          </w:p>
        </w:tc>
        <w:tc>
          <w:tcPr>
            <w:tcW w:w="615" w:type="pct"/>
            <w:tcBorders>
              <w:top w:val="nil"/>
              <w:left w:val="nil"/>
              <w:bottom w:val="nil"/>
              <w:right w:val="nil"/>
            </w:tcBorders>
            <w:shd w:val="clear" w:color="000000" w:fill="FFFFFF"/>
            <w:noWrap/>
            <w:vAlign w:val="center"/>
            <w:hideMark/>
          </w:tcPr>
          <w:p w14:paraId="4EC0830F"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36.5</w:t>
            </w:r>
          </w:p>
        </w:tc>
        <w:tc>
          <w:tcPr>
            <w:tcW w:w="615" w:type="pct"/>
            <w:tcBorders>
              <w:top w:val="nil"/>
              <w:left w:val="nil"/>
              <w:bottom w:val="nil"/>
              <w:right w:val="nil"/>
            </w:tcBorders>
            <w:shd w:val="clear" w:color="000000" w:fill="FFFFFF"/>
            <w:noWrap/>
            <w:vAlign w:val="center"/>
            <w:hideMark/>
          </w:tcPr>
          <w:p w14:paraId="4A70AD97" w14:textId="77777777" w:rsidR="00725092" w:rsidRPr="00C35BB2" w:rsidRDefault="00725092" w:rsidP="00725092">
            <w:pPr>
              <w:spacing w:before="0" w:after="0" w:line="240" w:lineRule="auto"/>
              <w:jc w:val="right"/>
              <w:rPr>
                <w:rFonts w:ascii="Arial" w:hAnsi="Arial" w:cs="Arial"/>
                <w:sz w:val="16"/>
                <w:szCs w:val="16"/>
                <w:highlight w:val="cyan"/>
              </w:rPr>
            </w:pPr>
            <w:r w:rsidRPr="004D32B6">
              <w:rPr>
                <w:rFonts w:ascii="Arial" w:hAnsi="Arial" w:cs="Arial"/>
                <w:sz w:val="16"/>
                <w:szCs w:val="16"/>
              </w:rPr>
              <w:t>36.9</w:t>
            </w:r>
          </w:p>
        </w:tc>
        <w:tc>
          <w:tcPr>
            <w:tcW w:w="615" w:type="pct"/>
            <w:tcBorders>
              <w:top w:val="nil"/>
              <w:left w:val="nil"/>
              <w:bottom w:val="nil"/>
              <w:right w:val="nil"/>
            </w:tcBorders>
            <w:shd w:val="clear" w:color="000000" w:fill="FFFFFF"/>
            <w:noWrap/>
            <w:vAlign w:val="center"/>
            <w:hideMark/>
          </w:tcPr>
          <w:p w14:paraId="5FC05D35" w14:textId="77777777" w:rsidR="00725092" w:rsidRPr="004D32B6" w:rsidRDefault="00725092" w:rsidP="00725092">
            <w:pPr>
              <w:spacing w:before="0" w:after="0" w:line="240" w:lineRule="auto"/>
              <w:jc w:val="right"/>
              <w:rPr>
                <w:rFonts w:ascii="Arial" w:hAnsi="Arial" w:cs="Arial"/>
                <w:sz w:val="16"/>
                <w:szCs w:val="16"/>
              </w:rPr>
            </w:pPr>
            <w:r w:rsidRPr="004D32B6">
              <w:rPr>
                <w:rFonts w:ascii="Arial" w:hAnsi="Arial" w:cs="Arial"/>
                <w:sz w:val="16"/>
                <w:szCs w:val="16"/>
              </w:rPr>
              <w:t>36.8</w:t>
            </w:r>
          </w:p>
        </w:tc>
      </w:tr>
      <w:tr w:rsidR="00725092" w:rsidRPr="00725092" w14:paraId="1E74A1FE"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225D35BF"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 </w:t>
            </w:r>
          </w:p>
        </w:tc>
        <w:tc>
          <w:tcPr>
            <w:tcW w:w="616" w:type="pct"/>
            <w:tcBorders>
              <w:top w:val="nil"/>
              <w:left w:val="nil"/>
              <w:bottom w:val="nil"/>
              <w:right w:val="nil"/>
            </w:tcBorders>
            <w:shd w:val="clear" w:color="000000" w:fill="FFFFFF"/>
            <w:noWrap/>
            <w:vAlign w:val="center"/>
            <w:hideMark/>
          </w:tcPr>
          <w:p w14:paraId="6CE3B7D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E6F2FF"/>
            <w:noWrap/>
            <w:vAlign w:val="center"/>
            <w:hideMark/>
          </w:tcPr>
          <w:p w14:paraId="771018E1"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3F975A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2C66E81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c>
          <w:tcPr>
            <w:tcW w:w="615" w:type="pct"/>
            <w:tcBorders>
              <w:top w:val="nil"/>
              <w:left w:val="nil"/>
              <w:bottom w:val="nil"/>
              <w:right w:val="nil"/>
            </w:tcBorders>
            <w:shd w:val="clear" w:color="000000" w:fill="FFFFFF"/>
            <w:noWrap/>
            <w:vAlign w:val="center"/>
            <w:hideMark/>
          </w:tcPr>
          <w:p w14:paraId="02E175E6"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 </w:t>
            </w:r>
          </w:p>
        </w:tc>
      </w:tr>
      <w:tr w:rsidR="00725092" w:rsidRPr="00725092" w14:paraId="3C4B0941"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7B7751E8"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debt(d)</w:t>
            </w:r>
          </w:p>
        </w:tc>
        <w:tc>
          <w:tcPr>
            <w:tcW w:w="616" w:type="pct"/>
            <w:tcBorders>
              <w:top w:val="nil"/>
              <w:left w:val="nil"/>
              <w:bottom w:val="nil"/>
              <w:right w:val="nil"/>
            </w:tcBorders>
            <w:shd w:val="clear" w:color="000000" w:fill="FFFFFF"/>
            <w:noWrap/>
            <w:vAlign w:val="center"/>
            <w:hideMark/>
          </w:tcPr>
          <w:p w14:paraId="2B8E30D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556.3</w:t>
            </w:r>
          </w:p>
        </w:tc>
        <w:tc>
          <w:tcPr>
            <w:tcW w:w="615" w:type="pct"/>
            <w:tcBorders>
              <w:top w:val="nil"/>
              <w:left w:val="nil"/>
              <w:bottom w:val="nil"/>
              <w:right w:val="nil"/>
            </w:tcBorders>
            <w:shd w:val="clear" w:color="000000" w:fill="E6F2FF"/>
            <w:noWrap/>
            <w:vAlign w:val="center"/>
            <w:hideMark/>
          </w:tcPr>
          <w:p w14:paraId="08F3550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620.7</w:t>
            </w:r>
          </w:p>
        </w:tc>
        <w:tc>
          <w:tcPr>
            <w:tcW w:w="615" w:type="pct"/>
            <w:tcBorders>
              <w:top w:val="nil"/>
              <w:left w:val="nil"/>
              <w:bottom w:val="nil"/>
              <w:right w:val="nil"/>
            </w:tcBorders>
            <w:shd w:val="clear" w:color="000000" w:fill="FFFFFF"/>
            <w:noWrap/>
            <w:vAlign w:val="center"/>
            <w:hideMark/>
          </w:tcPr>
          <w:p w14:paraId="7A11F9F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676.3</w:t>
            </w:r>
          </w:p>
        </w:tc>
        <w:tc>
          <w:tcPr>
            <w:tcW w:w="615" w:type="pct"/>
            <w:tcBorders>
              <w:top w:val="nil"/>
              <w:left w:val="nil"/>
              <w:bottom w:val="nil"/>
              <w:right w:val="nil"/>
            </w:tcBorders>
            <w:shd w:val="clear" w:color="000000" w:fill="FFFFFF"/>
            <w:noWrap/>
            <w:vAlign w:val="center"/>
            <w:hideMark/>
          </w:tcPr>
          <w:p w14:paraId="1EAF14F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713.9</w:t>
            </w:r>
          </w:p>
        </w:tc>
        <w:tc>
          <w:tcPr>
            <w:tcW w:w="615" w:type="pct"/>
            <w:tcBorders>
              <w:top w:val="nil"/>
              <w:left w:val="nil"/>
              <w:bottom w:val="nil"/>
              <w:right w:val="nil"/>
            </w:tcBorders>
            <w:shd w:val="clear" w:color="000000" w:fill="FFFFFF"/>
            <w:noWrap/>
            <w:vAlign w:val="center"/>
            <w:hideMark/>
          </w:tcPr>
          <w:p w14:paraId="3DC4A718"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768.2</w:t>
            </w:r>
          </w:p>
        </w:tc>
      </w:tr>
      <w:tr w:rsidR="00725092" w:rsidRPr="00725092" w14:paraId="33238CD9"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25AECBAC"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3DC83CC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20.0</w:t>
            </w:r>
          </w:p>
        </w:tc>
        <w:tc>
          <w:tcPr>
            <w:tcW w:w="615" w:type="pct"/>
            <w:tcBorders>
              <w:top w:val="nil"/>
              <w:left w:val="nil"/>
              <w:bottom w:val="nil"/>
              <w:right w:val="nil"/>
            </w:tcBorders>
            <w:shd w:val="clear" w:color="000000" w:fill="E6F2FF"/>
            <w:noWrap/>
            <w:vAlign w:val="center"/>
            <w:hideMark/>
          </w:tcPr>
          <w:p w14:paraId="45D0A07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21.6</w:t>
            </w:r>
          </w:p>
        </w:tc>
        <w:tc>
          <w:tcPr>
            <w:tcW w:w="615" w:type="pct"/>
            <w:tcBorders>
              <w:top w:val="nil"/>
              <w:left w:val="nil"/>
              <w:bottom w:val="nil"/>
              <w:right w:val="nil"/>
            </w:tcBorders>
            <w:shd w:val="clear" w:color="000000" w:fill="FFFFFF"/>
            <w:noWrap/>
            <w:vAlign w:val="center"/>
            <w:hideMark/>
          </w:tcPr>
          <w:p w14:paraId="6FA7FC7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22.6</w:t>
            </w:r>
          </w:p>
        </w:tc>
        <w:tc>
          <w:tcPr>
            <w:tcW w:w="615" w:type="pct"/>
            <w:tcBorders>
              <w:top w:val="nil"/>
              <w:left w:val="nil"/>
              <w:bottom w:val="nil"/>
              <w:right w:val="nil"/>
            </w:tcBorders>
            <w:shd w:val="clear" w:color="000000" w:fill="FFFFFF"/>
            <w:noWrap/>
            <w:vAlign w:val="center"/>
            <w:hideMark/>
          </w:tcPr>
          <w:p w14:paraId="1A8C82C0"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22.7</w:t>
            </w:r>
          </w:p>
        </w:tc>
        <w:tc>
          <w:tcPr>
            <w:tcW w:w="615" w:type="pct"/>
            <w:tcBorders>
              <w:top w:val="nil"/>
              <w:left w:val="nil"/>
              <w:bottom w:val="nil"/>
              <w:right w:val="nil"/>
            </w:tcBorders>
            <w:shd w:val="clear" w:color="000000" w:fill="FFFFFF"/>
            <w:noWrap/>
            <w:vAlign w:val="center"/>
            <w:hideMark/>
          </w:tcPr>
          <w:p w14:paraId="1B80B16E"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23.1</w:t>
            </w:r>
          </w:p>
        </w:tc>
      </w:tr>
      <w:tr w:rsidR="00725092" w:rsidRPr="00725092" w14:paraId="5DA8E0C0"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75DF2A09" w14:textId="77777777" w:rsidR="00725092" w:rsidRPr="00725092" w:rsidRDefault="00725092" w:rsidP="00725092">
            <w:pPr>
              <w:spacing w:before="0" w:after="0" w:line="240" w:lineRule="auto"/>
              <w:rPr>
                <w:rFonts w:ascii="Arial" w:hAnsi="Arial" w:cs="Arial"/>
                <w:color w:val="0000FF"/>
                <w:sz w:val="16"/>
                <w:szCs w:val="16"/>
              </w:rPr>
            </w:pPr>
            <w:r w:rsidRPr="00725092">
              <w:rPr>
                <w:rFonts w:ascii="Arial" w:hAnsi="Arial" w:cs="Arial"/>
                <w:color w:val="0000FF"/>
                <w:sz w:val="16"/>
                <w:szCs w:val="16"/>
              </w:rPr>
              <w:t> </w:t>
            </w:r>
          </w:p>
        </w:tc>
        <w:tc>
          <w:tcPr>
            <w:tcW w:w="616" w:type="pct"/>
            <w:tcBorders>
              <w:top w:val="nil"/>
              <w:left w:val="nil"/>
              <w:bottom w:val="nil"/>
              <w:right w:val="nil"/>
            </w:tcBorders>
            <w:shd w:val="clear" w:color="000000" w:fill="FFFFFF"/>
            <w:noWrap/>
            <w:vAlign w:val="center"/>
            <w:hideMark/>
          </w:tcPr>
          <w:p w14:paraId="0D5C86DF"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E6F2FF"/>
            <w:noWrap/>
            <w:vAlign w:val="center"/>
            <w:hideMark/>
          </w:tcPr>
          <w:p w14:paraId="31AEC632"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18F633F3"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3833A534"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30559103"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r>
      <w:tr w:rsidR="00725092" w:rsidRPr="00725092" w14:paraId="742E6977"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2C31C96"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Total interest payments</w:t>
            </w:r>
          </w:p>
        </w:tc>
        <w:tc>
          <w:tcPr>
            <w:tcW w:w="616" w:type="pct"/>
            <w:tcBorders>
              <w:top w:val="nil"/>
              <w:left w:val="nil"/>
              <w:bottom w:val="nil"/>
              <w:right w:val="nil"/>
            </w:tcBorders>
            <w:shd w:val="clear" w:color="000000" w:fill="FFFFFF"/>
            <w:noWrap/>
            <w:vAlign w:val="center"/>
            <w:hideMark/>
          </w:tcPr>
          <w:p w14:paraId="022C837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24.4</w:t>
            </w:r>
          </w:p>
        </w:tc>
        <w:tc>
          <w:tcPr>
            <w:tcW w:w="615" w:type="pct"/>
            <w:tcBorders>
              <w:top w:val="nil"/>
              <w:left w:val="nil"/>
              <w:bottom w:val="nil"/>
              <w:right w:val="nil"/>
            </w:tcBorders>
            <w:shd w:val="clear" w:color="000000" w:fill="E6F2FF"/>
            <w:noWrap/>
            <w:vAlign w:val="center"/>
            <w:hideMark/>
          </w:tcPr>
          <w:p w14:paraId="00BCC920"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27.9</w:t>
            </w:r>
          </w:p>
        </w:tc>
        <w:tc>
          <w:tcPr>
            <w:tcW w:w="615" w:type="pct"/>
            <w:tcBorders>
              <w:top w:val="nil"/>
              <w:left w:val="nil"/>
              <w:bottom w:val="nil"/>
              <w:right w:val="nil"/>
            </w:tcBorders>
            <w:shd w:val="clear" w:color="000000" w:fill="FFFFFF"/>
            <w:noWrap/>
            <w:vAlign w:val="center"/>
            <w:hideMark/>
          </w:tcPr>
          <w:p w14:paraId="657C700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30.2</w:t>
            </w:r>
          </w:p>
        </w:tc>
        <w:tc>
          <w:tcPr>
            <w:tcW w:w="615" w:type="pct"/>
            <w:tcBorders>
              <w:top w:val="nil"/>
              <w:left w:val="nil"/>
              <w:bottom w:val="nil"/>
              <w:right w:val="nil"/>
            </w:tcBorders>
            <w:shd w:val="clear" w:color="000000" w:fill="FFFFFF"/>
            <w:noWrap/>
            <w:vAlign w:val="center"/>
            <w:hideMark/>
          </w:tcPr>
          <w:p w14:paraId="71E264C5"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36.7</w:t>
            </w:r>
          </w:p>
        </w:tc>
        <w:tc>
          <w:tcPr>
            <w:tcW w:w="615" w:type="pct"/>
            <w:tcBorders>
              <w:top w:val="nil"/>
              <w:left w:val="nil"/>
              <w:bottom w:val="nil"/>
              <w:right w:val="nil"/>
            </w:tcBorders>
            <w:shd w:val="clear" w:color="000000" w:fill="FFFFFF"/>
            <w:noWrap/>
            <w:vAlign w:val="center"/>
            <w:hideMark/>
          </w:tcPr>
          <w:p w14:paraId="1540DB6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38.2</w:t>
            </w:r>
          </w:p>
        </w:tc>
      </w:tr>
      <w:tr w:rsidR="00725092" w:rsidRPr="00725092" w14:paraId="771A5DDE"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3390F304"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nil"/>
              <w:right w:val="nil"/>
            </w:tcBorders>
            <w:shd w:val="clear" w:color="000000" w:fill="FFFFFF"/>
            <w:noWrap/>
            <w:vAlign w:val="center"/>
            <w:hideMark/>
          </w:tcPr>
          <w:p w14:paraId="5AC7B2CC"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0.9</w:t>
            </w:r>
          </w:p>
        </w:tc>
        <w:tc>
          <w:tcPr>
            <w:tcW w:w="615" w:type="pct"/>
            <w:tcBorders>
              <w:top w:val="nil"/>
              <w:left w:val="nil"/>
              <w:bottom w:val="nil"/>
              <w:right w:val="nil"/>
            </w:tcBorders>
            <w:shd w:val="clear" w:color="000000" w:fill="E6F2FF"/>
            <w:noWrap/>
            <w:vAlign w:val="center"/>
            <w:hideMark/>
          </w:tcPr>
          <w:p w14:paraId="3A232DDA"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1.0</w:t>
            </w:r>
          </w:p>
        </w:tc>
        <w:tc>
          <w:tcPr>
            <w:tcW w:w="615" w:type="pct"/>
            <w:tcBorders>
              <w:top w:val="nil"/>
              <w:left w:val="nil"/>
              <w:bottom w:val="nil"/>
              <w:right w:val="nil"/>
            </w:tcBorders>
            <w:shd w:val="clear" w:color="000000" w:fill="FFFFFF"/>
            <w:noWrap/>
            <w:vAlign w:val="center"/>
            <w:hideMark/>
          </w:tcPr>
          <w:p w14:paraId="72A2D3B1"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1.0</w:t>
            </w:r>
          </w:p>
        </w:tc>
        <w:tc>
          <w:tcPr>
            <w:tcW w:w="615" w:type="pct"/>
            <w:tcBorders>
              <w:top w:val="nil"/>
              <w:left w:val="nil"/>
              <w:bottom w:val="nil"/>
              <w:right w:val="nil"/>
            </w:tcBorders>
            <w:shd w:val="clear" w:color="000000" w:fill="FFFFFF"/>
            <w:noWrap/>
            <w:vAlign w:val="center"/>
            <w:hideMark/>
          </w:tcPr>
          <w:p w14:paraId="6BA022C9"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1.2</w:t>
            </w:r>
          </w:p>
        </w:tc>
        <w:tc>
          <w:tcPr>
            <w:tcW w:w="615" w:type="pct"/>
            <w:tcBorders>
              <w:top w:val="nil"/>
              <w:left w:val="nil"/>
              <w:bottom w:val="nil"/>
              <w:right w:val="nil"/>
            </w:tcBorders>
            <w:shd w:val="clear" w:color="000000" w:fill="FFFFFF"/>
            <w:noWrap/>
            <w:vAlign w:val="center"/>
            <w:hideMark/>
          </w:tcPr>
          <w:p w14:paraId="79637207"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1.2</w:t>
            </w:r>
          </w:p>
        </w:tc>
      </w:tr>
      <w:tr w:rsidR="00725092" w:rsidRPr="00725092" w14:paraId="2B679CAA" w14:textId="77777777" w:rsidTr="00725092">
        <w:trPr>
          <w:trHeight w:hRule="exact" w:val="60"/>
        </w:trPr>
        <w:tc>
          <w:tcPr>
            <w:tcW w:w="1923" w:type="pct"/>
            <w:tcBorders>
              <w:top w:val="nil"/>
              <w:left w:val="nil"/>
              <w:bottom w:val="nil"/>
              <w:right w:val="nil"/>
            </w:tcBorders>
            <w:shd w:val="clear" w:color="000000" w:fill="FFFFFF"/>
            <w:noWrap/>
            <w:vAlign w:val="center"/>
            <w:hideMark/>
          </w:tcPr>
          <w:p w14:paraId="498FFA12" w14:textId="77777777" w:rsidR="00725092" w:rsidRPr="00725092" w:rsidRDefault="00725092" w:rsidP="00725092">
            <w:pPr>
              <w:spacing w:before="0" w:after="0" w:line="240" w:lineRule="auto"/>
              <w:rPr>
                <w:rFonts w:ascii="Arial" w:hAnsi="Arial" w:cs="Arial"/>
                <w:color w:val="0000FF"/>
                <w:sz w:val="16"/>
                <w:szCs w:val="16"/>
              </w:rPr>
            </w:pPr>
            <w:r w:rsidRPr="00725092">
              <w:rPr>
                <w:rFonts w:ascii="Arial" w:hAnsi="Arial" w:cs="Arial"/>
                <w:color w:val="0000FF"/>
                <w:sz w:val="16"/>
                <w:szCs w:val="16"/>
              </w:rPr>
              <w:t> </w:t>
            </w:r>
          </w:p>
        </w:tc>
        <w:tc>
          <w:tcPr>
            <w:tcW w:w="616" w:type="pct"/>
            <w:tcBorders>
              <w:top w:val="nil"/>
              <w:left w:val="nil"/>
              <w:bottom w:val="nil"/>
              <w:right w:val="nil"/>
            </w:tcBorders>
            <w:shd w:val="clear" w:color="000000" w:fill="FFFFFF"/>
            <w:noWrap/>
            <w:vAlign w:val="center"/>
            <w:hideMark/>
          </w:tcPr>
          <w:p w14:paraId="3379581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E6F2FF"/>
            <w:noWrap/>
            <w:vAlign w:val="center"/>
            <w:hideMark/>
          </w:tcPr>
          <w:p w14:paraId="51350BC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7B118537"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6A308A76"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c>
          <w:tcPr>
            <w:tcW w:w="615" w:type="pct"/>
            <w:tcBorders>
              <w:top w:val="nil"/>
              <w:left w:val="nil"/>
              <w:bottom w:val="nil"/>
              <w:right w:val="nil"/>
            </w:tcBorders>
            <w:shd w:val="clear" w:color="000000" w:fill="FFFFFF"/>
            <w:noWrap/>
            <w:vAlign w:val="center"/>
            <w:hideMark/>
          </w:tcPr>
          <w:p w14:paraId="633CB7E4" w14:textId="77777777" w:rsidR="00725092" w:rsidRPr="00725092" w:rsidRDefault="00725092" w:rsidP="00725092">
            <w:pPr>
              <w:spacing w:before="0" w:after="0" w:line="240" w:lineRule="auto"/>
              <w:jc w:val="right"/>
              <w:rPr>
                <w:rFonts w:ascii="Arial" w:hAnsi="Arial" w:cs="Arial"/>
                <w:color w:val="0000FF"/>
                <w:sz w:val="16"/>
                <w:szCs w:val="16"/>
              </w:rPr>
            </w:pPr>
            <w:r w:rsidRPr="00725092">
              <w:rPr>
                <w:rFonts w:ascii="Arial" w:hAnsi="Arial" w:cs="Arial"/>
                <w:color w:val="0000FF"/>
                <w:sz w:val="16"/>
                <w:szCs w:val="16"/>
              </w:rPr>
              <w:t> </w:t>
            </w:r>
          </w:p>
        </w:tc>
      </w:tr>
      <w:tr w:rsidR="00725092" w:rsidRPr="00725092" w14:paraId="0B05D4AD" w14:textId="77777777" w:rsidTr="00725092">
        <w:trPr>
          <w:trHeight w:hRule="exact" w:val="225"/>
        </w:trPr>
        <w:tc>
          <w:tcPr>
            <w:tcW w:w="1923" w:type="pct"/>
            <w:tcBorders>
              <w:top w:val="nil"/>
              <w:left w:val="nil"/>
              <w:bottom w:val="nil"/>
              <w:right w:val="nil"/>
            </w:tcBorders>
            <w:shd w:val="clear" w:color="000000" w:fill="FFFFFF"/>
            <w:noWrap/>
            <w:vAlign w:val="center"/>
            <w:hideMark/>
          </w:tcPr>
          <w:p w14:paraId="40F202BE" w14:textId="77777777" w:rsidR="00725092" w:rsidRPr="00725092" w:rsidRDefault="00725092" w:rsidP="00725092">
            <w:pPr>
              <w:spacing w:before="0" w:after="0" w:line="240" w:lineRule="auto"/>
              <w:rPr>
                <w:rFonts w:ascii="Arial" w:hAnsi="Arial" w:cs="Arial"/>
                <w:b/>
                <w:bCs/>
                <w:sz w:val="16"/>
                <w:szCs w:val="16"/>
              </w:rPr>
            </w:pPr>
            <w:r w:rsidRPr="00725092">
              <w:rPr>
                <w:rFonts w:ascii="Arial" w:hAnsi="Arial" w:cs="Arial"/>
                <w:b/>
                <w:bCs/>
                <w:sz w:val="16"/>
                <w:szCs w:val="16"/>
              </w:rPr>
              <w:t>Net interest payments(e)</w:t>
            </w:r>
          </w:p>
        </w:tc>
        <w:tc>
          <w:tcPr>
            <w:tcW w:w="616" w:type="pct"/>
            <w:tcBorders>
              <w:top w:val="nil"/>
              <w:left w:val="nil"/>
              <w:bottom w:val="nil"/>
              <w:right w:val="nil"/>
            </w:tcBorders>
            <w:shd w:val="clear" w:color="000000" w:fill="FFFFFF"/>
            <w:noWrap/>
            <w:vAlign w:val="center"/>
            <w:hideMark/>
          </w:tcPr>
          <w:p w14:paraId="1F601CD3"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14.9</w:t>
            </w:r>
          </w:p>
        </w:tc>
        <w:tc>
          <w:tcPr>
            <w:tcW w:w="615" w:type="pct"/>
            <w:tcBorders>
              <w:top w:val="nil"/>
              <w:left w:val="nil"/>
              <w:bottom w:val="nil"/>
              <w:right w:val="nil"/>
            </w:tcBorders>
            <w:shd w:val="clear" w:color="000000" w:fill="E6F2FF"/>
            <w:noWrap/>
            <w:vAlign w:val="center"/>
            <w:hideMark/>
          </w:tcPr>
          <w:p w14:paraId="453E906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18.5</w:t>
            </w:r>
          </w:p>
        </w:tc>
        <w:tc>
          <w:tcPr>
            <w:tcW w:w="615" w:type="pct"/>
            <w:tcBorders>
              <w:top w:val="nil"/>
              <w:left w:val="nil"/>
              <w:bottom w:val="nil"/>
              <w:right w:val="nil"/>
            </w:tcBorders>
            <w:shd w:val="clear" w:color="000000" w:fill="FFFFFF"/>
            <w:noWrap/>
            <w:vAlign w:val="center"/>
            <w:hideMark/>
          </w:tcPr>
          <w:p w14:paraId="0C36EA1C"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21.2</w:t>
            </w:r>
          </w:p>
        </w:tc>
        <w:tc>
          <w:tcPr>
            <w:tcW w:w="615" w:type="pct"/>
            <w:tcBorders>
              <w:top w:val="nil"/>
              <w:left w:val="nil"/>
              <w:bottom w:val="nil"/>
              <w:right w:val="nil"/>
            </w:tcBorders>
            <w:shd w:val="clear" w:color="000000" w:fill="FFFFFF"/>
            <w:noWrap/>
            <w:vAlign w:val="center"/>
            <w:hideMark/>
          </w:tcPr>
          <w:p w14:paraId="31BFDF1B"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26.9</w:t>
            </w:r>
          </w:p>
        </w:tc>
        <w:tc>
          <w:tcPr>
            <w:tcW w:w="615" w:type="pct"/>
            <w:tcBorders>
              <w:top w:val="nil"/>
              <w:left w:val="nil"/>
              <w:bottom w:val="nil"/>
              <w:right w:val="nil"/>
            </w:tcBorders>
            <w:shd w:val="clear" w:color="000000" w:fill="FFFFFF"/>
            <w:noWrap/>
            <w:vAlign w:val="center"/>
            <w:hideMark/>
          </w:tcPr>
          <w:p w14:paraId="28DEEBB9" w14:textId="77777777" w:rsidR="00725092" w:rsidRPr="00725092" w:rsidRDefault="00725092" w:rsidP="00725092">
            <w:pPr>
              <w:spacing w:before="0" w:after="0" w:line="240" w:lineRule="auto"/>
              <w:jc w:val="right"/>
              <w:rPr>
                <w:rFonts w:ascii="Arial" w:hAnsi="Arial" w:cs="Arial"/>
                <w:b/>
                <w:bCs/>
                <w:sz w:val="16"/>
                <w:szCs w:val="16"/>
              </w:rPr>
            </w:pPr>
            <w:r w:rsidRPr="00725092">
              <w:rPr>
                <w:rFonts w:ascii="Arial" w:hAnsi="Arial" w:cs="Arial"/>
                <w:b/>
                <w:bCs/>
                <w:sz w:val="16"/>
                <w:szCs w:val="16"/>
              </w:rPr>
              <w:t>28.1</w:t>
            </w:r>
          </w:p>
        </w:tc>
      </w:tr>
      <w:tr w:rsidR="00725092" w:rsidRPr="00725092" w14:paraId="1FBEC9E8" w14:textId="77777777" w:rsidTr="00725092">
        <w:trPr>
          <w:trHeight w:hRule="exact" w:val="225"/>
        </w:trPr>
        <w:tc>
          <w:tcPr>
            <w:tcW w:w="1923" w:type="pct"/>
            <w:tcBorders>
              <w:top w:val="nil"/>
              <w:left w:val="nil"/>
              <w:bottom w:val="single" w:sz="4" w:space="0" w:color="293F5B"/>
              <w:right w:val="nil"/>
            </w:tcBorders>
            <w:shd w:val="clear" w:color="000000" w:fill="FFFFFF"/>
            <w:noWrap/>
            <w:vAlign w:val="center"/>
            <w:hideMark/>
          </w:tcPr>
          <w:p w14:paraId="79BCBAB9" w14:textId="77777777" w:rsidR="00725092" w:rsidRPr="00725092" w:rsidRDefault="00725092" w:rsidP="00725092">
            <w:pPr>
              <w:spacing w:before="0" w:after="0" w:line="240" w:lineRule="auto"/>
              <w:rPr>
                <w:rFonts w:ascii="Arial" w:hAnsi="Arial" w:cs="Arial"/>
                <w:sz w:val="16"/>
                <w:szCs w:val="16"/>
              </w:rPr>
            </w:pPr>
            <w:r w:rsidRPr="00725092">
              <w:rPr>
                <w:rFonts w:ascii="Arial" w:hAnsi="Arial" w:cs="Arial"/>
                <w:sz w:val="16"/>
                <w:szCs w:val="16"/>
              </w:rPr>
              <w:t>Per cent of GDP</w:t>
            </w:r>
          </w:p>
        </w:tc>
        <w:tc>
          <w:tcPr>
            <w:tcW w:w="616" w:type="pct"/>
            <w:tcBorders>
              <w:top w:val="nil"/>
              <w:left w:val="nil"/>
              <w:bottom w:val="single" w:sz="4" w:space="0" w:color="293F5B"/>
              <w:right w:val="nil"/>
            </w:tcBorders>
            <w:shd w:val="clear" w:color="000000" w:fill="FFFFFF"/>
            <w:noWrap/>
            <w:vAlign w:val="center"/>
            <w:hideMark/>
          </w:tcPr>
          <w:p w14:paraId="58544F2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0.5</w:t>
            </w:r>
          </w:p>
        </w:tc>
        <w:tc>
          <w:tcPr>
            <w:tcW w:w="615" w:type="pct"/>
            <w:tcBorders>
              <w:top w:val="nil"/>
              <w:left w:val="nil"/>
              <w:bottom w:val="single" w:sz="4" w:space="0" w:color="293F5B"/>
              <w:right w:val="nil"/>
            </w:tcBorders>
            <w:shd w:val="clear" w:color="000000" w:fill="E6F2FF"/>
            <w:noWrap/>
            <w:vAlign w:val="center"/>
            <w:hideMark/>
          </w:tcPr>
          <w:p w14:paraId="356D866D"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0.6</w:t>
            </w:r>
          </w:p>
        </w:tc>
        <w:tc>
          <w:tcPr>
            <w:tcW w:w="615" w:type="pct"/>
            <w:tcBorders>
              <w:top w:val="nil"/>
              <w:left w:val="nil"/>
              <w:bottom w:val="single" w:sz="4" w:space="0" w:color="293F5B"/>
              <w:right w:val="nil"/>
            </w:tcBorders>
            <w:shd w:val="clear" w:color="000000" w:fill="FFFFFF"/>
            <w:noWrap/>
            <w:vAlign w:val="center"/>
            <w:hideMark/>
          </w:tcPr>
          <w:p w14:paraId="45CAD5B8"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0.7</w:t>
            </w:r>
          </w:p>
        </w:tc>
        <w:tc>
          <w:tcPr>
            <w:tcW w:w="615" w:type="pct"/>
            <w:tcBorders>
              <w:top w:val="nil"/>
              <w:left w:val="nil"/>
              <w:bottom w:val="single" w:sz="4" w:space="0" w:color="293F5B"/>
              <w:right w:val="nil"/>
            </w:tcBorders>
            <w:shd w:val="clear" w:color="000000" w:fill="FFFFFF"/>
            <w:noWrap/>
            <w:vAlign w:val="center"/>
            <w:hideMark/>
          </w:tcPr>
          <w:p w14:paraId="1175D0AF"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0.9</w:t>
            </w:r>
          </w:p>
        </w:tc>
        <w:tc>
          <w:tcPr>
            <w:tcW w:w="615" w:type="pct"/>
            <w:tcBorders>
              <w:top w:val="nil"/>
              <w:left w:val="nil"/>
              <w:bottom w:val="single" w:sz="4" w:space="0" w:color="293F5B"/>
              <w:right w:val="nil"/>
            </w:tcBorders>
            <w:shd w:val="clear" w:color="000000" w:fill="FFFFFF"/>
            <w:noWrap/>
            <w:vAlign w:val="center"/>
            <w:hideMark/>
          </w:tcPr>
          <w:p w14:paraId="6FD37F12" w14:textId="77777777" w:rsidR="00725092" w:rsidRPr="00725092" w:rsidRDefault="00725092" w:rsidP="00725092">
            <w:pPr>
              <w:spacing w:before="0" w:after="0" w:line="240" w:lineRule="auto"/>
              <w:jc w:val="right"/>
              <w:rPr>
                <w:rFonts w:ascii="Arial" w:hAnsi="Arial" w:cs="Arial"/>
                <w:sz w:val="16"/>
                <w:szCs w:val="16"/>
              </w:rPr>
            </w:pPr>
            <w:r w:rsidRPr="00725092">
              <w:rPr>
                <w:rFonts w:ascii="Arial" w:hAnsi="Arial" w:cs="Arial"/>
                <w:sz w:val="16"/>
                <w:szCs w:val="16"/>
              </w:rPr>
              <w:t>0.8</w:t>
            </w:r>
          </w:p>
        </w:tc>
      </w:tr>
    </w:tbl>
    <w:p w14:paraId="0D3B138A" w14:textId="6823B570" w:rsidR="001A4BA7" w:rsidRPr="004B69F3" w:rsidRDefault="001A4BA7" w:rsidP="00725092">
      <w:pPr>
        <w:pStyle w:val="ChartandTableFootnoteAlpha"/>
        <w:numPr>
          <w:ilvl w:val="0"/>
          <w:numId w:val="49"/>
        </w:numPr>
      </w:pPr>
      <w:r w:rsidRPr="004D32B6">
        <w:rPr>
          <w:color w:val="auto"/>
        </w:rPr>
        <w:t>Assets, liabilities, net worth, net financial worth, gross debt and net debt are presented as at the end of each financial year.</w:t>
      </w:r>
    </w:p>
    <w:p w14:paraId="2E695785" w14:textId="32C3020B" w:rsidR="001A4BA7" w:rsidRPr="00E04741" w:rsidRDefault="001A4BA7" w:rsidP="00B03D75">
      <w:pPr>
        <w:pStyle w:val="ChartandTableFootnoteAlpha"/>
        <w:rPr>
          <w:color w:val="auto"/>
        </w:rPr>
      </w:pPr>
      <w:r w:rsidRPr="004D32B6">
        <w:rPr>
          <w:color w:val="auto"/>
        </w:rPr>
        <w:t>Net financial worth equals total financial assets minus total liabilities.</w:t>
      </w:r>
      <w:r w:rsidRPr="00E04741">
        <w:rPr>
          <w:color w:val="auto"/>
        </w:rPr>
        <w:t xml:space="preserve"> </w:t>
      </w:r>
    </w:p>
    <w:p w14:paraId="14A08115" w14:textId="094F618A" w:rsidR="00F1363B" w:rsidRPr="00CC2AB0" w:rsidRDefault="00F1363B" w:rsidP="00F1363B">
      <w:pPr>
        <w:pStyle w:val="ChartandTableFootnoteAlpha"/>
        <w:rPr>
          <w:color w:val="auto"/>
        </w:rPr>
      </w:pPr>
      <w:r w:rsidRPr="004D32B6">
        <w:rPr>
          <w:color w:val="auto"/>
        </w:rPr>
        <w:t>Gross debt measures the face value of AGS on issue and is presented as at the end of the financial year. The change in the underlying cash balance since the 2025–26 Budget has not materially changed the Government</w:t>
      </w:r>
      <w:r w:rsidR="00993DA1" w:rsidRPr="004D32B6">
        <w:rPr>
          <w:color w:val="auto"/>
        </w:rPr>
        <w:t>’</w:t>
      </w:r>
      <w:r w:rsidRPr="004D32B6">
        <w:rPr>
          <w:color w:val="auto"/>
        </w:rPr>
        <w:t>s financing requirement. Gross debt estimates therefore remain unchanged since the 2025–26 Budget.</w:t>
      </w:r>
      <w:r w:rsidR="00E20AE2" w:rsidRPr="004D32B6">
        <w:rPr>
          <w:color w:val="auto"/>
        </w:rPr>
        <w:t xml:space="preserve"> </w:t>
      </w:r>
    </w:p>
    <w:p w14:paraId="723A0B99" w14:textId="286084D4" w:rsidR="001A4BA7" w:rsidRPr="00712254" w:rsidRDefault="001A4BA7" w:rsidP="00B03D75">
      <w:pPr>
        <w:pStyle w:val="ChartandTableFootnoteAlpha"/>
        <w:rPr>
          <w:color w:val="auto"/>
        </w:rPr>
      </w:pPr>
      <w:r w:rsidRPr="004D32B6">
        <w:rPr>
          <w:color w:val="auto"/>
        </w:rPr>
        <w:t>Net debt is the sum of interest</w:t>
      </w:r>
      <w:r w:rsidR="00993DA1" w:rsidRPr="004D32B6">
        <w:rPr>
          <w:color w:val="auto"/>
        </w:rPr>
        <w:noBreakHyphen/>
      </w:r>
      <w:r w:rsidRPr="004D32B6">
        <w:rPr>
          <w:color w:val="auto"/>
        </w:rPr>
        <w:t>bearing liabilities (which includes AGS on issue measured at market value) less the sum of selected financial assets (cash and deposits, advances paid and investments, loans and placements).</w:t>
      </w:r>
    </w:p>
    <w:p w14:paraId="37DBDF00" w14:textId="36BE0768" w:rsidR="001A4BA7" w:rsidRPr="00712254" w:rsidRDefault="001A4BA7" w:rsidP="001A4BA7">
      <w:pPr>
        <w:pStyle w:val="ChartandTableFootnoteAlpha"/>
        <w:numPr>
          <w:ilvl w:val="0"/>
          <w:numId w:val="4"/>
        </w:numPr>
        <w:rPr>
          <w:rFonts w:eastAsiaTheme="minorHAnsi"/>
          <w:color w:val="auto"/>
          <w:lang w:eastAsia="en-US"/>
        </w:rPr>
      </w:pPr>
      <w:r w:rsidRPr="004D32B6">
        <w:rPr>
          <w:rFonts w:eastAsiaTheme="minorHAnsi"/>
          <w:color w:val="auto"/>
          <w:lang w:eastAsia="en-US"/>
        </w:rPr>
        <w:t>Net interest payments are equal to the difference between interest payments and interest receipts.</w:t>
      </w:r>
    </w:p>
    <w:p w14:paraId="0906C491" w14:textId="77777777" w:rsidR="001A4BA7" w:rsidRPr="00712254" w:rsidRDefault="001A4BA7" w:rsidP="001A4BA7">
      <w:pPr>
        <w:pStyle w:val="ChartLine"/>
      </w:pPr>
    </w:p>
    <w:p w14:paraId="78BDE319" w14:textId="158FD539" w:rsidR="00862B11" w:rsidRPr="00862B11" w:rsidRDefault="00862B11" w:rsidP="005F207D"/>
    <w:sectPr w:rsidR="00862B11" w:rsidRPr="00862B11" w:rsidSect="003073F4">
      <w:headerReference w:type="even" r:id="rId14"/>
      <w:headerReference w:type="default" r:id="rId15"/>
      <w:footerReference w:type="even" r:id="rId16"/>
      <w:footerReference w:type="default" r:id="rId17"/>
      <w:headerReference w:type="first" r:id="rId18"/>
      <w:footerReference w:type="first" r:id="rId19"/>
      <w:pgSz w:w="11906" w:h="16838" w:code="9"/>
      <w:pgMar w:top="2835" w:right="2098" w:bottom="2466" w:left="2098" w:header="1814" w:footer="1814"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E8D3" w14:textId="77777777" w:rsidR="002E5B5E" w:rsidRDefault="002E5B5E" w:rsidP="00E40261">
      <w:pPr>
        <w:spacing w:after="0" w:line="240" w:lineRule="auto"/>
      </w:pPr>
      <w:r>
        <w:separator/>
      </w:r>
    </w:p>
  </w:endnote>
  <w:endnote w:type="continuationSeparator" w:id="0">
    <w:p w14:paraId="0B206B61" w14:textId="77777777" w:rsidR="002E5B5E" w:rsidRDefault="002E5B5E" w:rsidP="00E40261">
      <w:pPr>
        <w:spacing w:after="0" w:line="240" w:lineRule="auto"/>
      </w:pPr>
      <w:r>
        <w:continuationSeparator/>
      </w:r>
    </w:p>
  </w:endnote>
  <w:endnote w:type="continuationNotice" w:id="1">
    <w:p w14:paraId="7F1790C5" w14:textId="77777777" w:rsidR="002E5B5E" w:rsidRDefault="002E5B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03C55" w14:textId="549255B7" w:rsidR="00235AAE" w:rsidRDefault="00F476FC" w:rsidP="00F476F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033CBC">
        <w:t>Fiscal outlook</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85CD7" w14:textId="51AC9974" w:rsidR="006B6AE9" w:rsidRPr="006B6AE9" w:rsidRDefault="00033CBC" w:rsidP="00F476FC">
    <w:pPr>
      <w:pStyle w:val="FooterOdd"/>
    </w:pPr>
    <w:fldSimple w:instr=" SUBJECT   \* MERGEFORMAT ">
      <w:r>
        <w:t>Fiscal outlook</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B672" w14:textId="29E416C4" w:rsidR="00235AAE" w:rsidRDefault="00033CBC" w:rsidP="00F476FC">
    <w:pPr>
      <w:pStyle w:val="FooterOdd"/>
    </w:pPr>
    <w:fldSimple w:instr=" SUBJECT  \* FirstCap  \* MERGEFORMAT ">
      <w:r>
        <w:t>Fiscal outlook</w:t>
      </w:r>
    </w:fldSimple>
    <w:r w:rsidR="00F476FC" w:rsidRPr="00B3705D">
      <w:t xml:space="preserve">  |  </w:t>
    </w:r>
    <w:r w:rsidR="00F476FC" w:rsidRPr="00B3705D">
      <w:rPr>
        <w:b/>
        <w:bCs/>
      </w:rPr>
      <w:t xml:space="preserve">Page </w:t>
    </w:r>
    <w:r w:rsidR="00F476FC" w:rsidRPr="00B3705D">
      <w:rPr>
        <w:b/>
        <w:bCs/>
      </w:rPr>
      <w:fldChar w:fldCharType="begin"/>
    </w:r>
    <w:r w:rsidR="00F476FC" w:rsidRPr="00B3705D">
      <w:rPr>
        <w:b/>
        <w:bCs/>
      </w:rPr>
      <w:instrText xml:space="preserve"> PAGE  \* Arabic  \* MERGEFORMAT </w:instrText>
    </w:r>
    <w:r w:rsidR="00F476FC" w:rsidRPr="00B3705D">
      <w:rPr>
        <w:b/>
        <w:bCs/>
      </w:rPr>
      <w:fldChar w:fldCharType="separate"/>
    </w:r>
    <w:r w:rsidR="00F476FC">
      <w:rPr>
        <w:b/>
        <w:bCs/>
      </w:rPr>
      <w:t>1</w:t>
    </w:r>
    <w:r w:rsidR="00F476FC"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FB57" w14:textId="77777777" w:rsidR="002E5B5E" w:rsidRPr="003C1CA4" w:rsidRDefault="002E5B5E"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4DBDD6C7" w14:textId="77777777" w:rsidR="002E5B5E" w:rsidRDefault="002E5B5E" w:rsidP="00E40261">
      <w:pPr>
        <w:spacing w:after="0" w:line="240" w:lineRule="auto"/>
      </w:pPr>
      <w:r>
        <w:continuationSeparator/>
      </w:r>
    </w:p>
  </w:footnote>
  <w:footnote w:type="continuationNotice" w:id="1">
    <w:p w14:paraId="2B9DFB15" w14:textId="77777777" w:rsidR="002E5B5E" w:rsidRDefault="002E5B5E">
      <w:pPr>
        <w:spacing w:before="0" w:after="0" w:line="240" w:lineRule="auto"/>
      </w:pPr>
    </w:p>
  </w:footnote>
  <w:footnote w:id="2">
    <w:p w14:paraId="2A552FB9" w14:textId="74BA260C" w:rsidR="00481468" w:rsidRDefault="00894975">
      <w:pPr>
        <w:pStyle w:val="FootnoteText"/>
      </w:pPr>
      <w:r w:rsidRPr="00894975">
        <w:rPr>
          <w:rStyle w:val="FootnoteReference"/>
          <w:vertAlign w:val="baseline"/>
        </w:rPr>
        <w:footnoteRef/>
      </w:r>
      <w:r w:rsidR="00481468">
        <w:t xml:space="preserve"> </w:t>
      </w:r>
      <w:r w:rsidR="00CF640B" w:rsidRPr="004D32B6">
        <w:tab/>
      </w:r>
      <w:r w:rsidR="00481468" w:rsidRPr="004D32B6">
        <w:t xml:space="preserve">DTBNYA items removed since the 2025–26 Budget are included in Appendix B, with the financial impact included in the relevant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0AEF" w14:textId="1C369F67" w:rsidR="006B6AE9" w:rsidRPr="00AA5439" w:rsidRDefault="006B6AE9" w:rsidP="00AA5439">
    <w:pPr>
      <w:pStyle w:val="HeaderEven"/>
      <w:rPr>
        <w:sz w:val="2"/>
        <w:szCs w:val="2"/>
      </w:rPr>
    </w:pPr>
    <w:r w:rsidRPr="00235AAE">
      <w:rPr>
        <w:noProof/>
        <w:sz w:val="32"/>
        <w:szCs w:val="32"/>
      </w:rPr>
      <mc:AlternateContent>
        <mc:Choice Requires="wps">
          <w:drawing>
            <wp:anchor distT="0" distB="0" distL="114300" distR="114300" simplePos="0" relativeHeight="251658241" behindDoc="0" locked="0" layoutInCell="1" allowOverlap="1" wp14:anchorId="0C881CF6" wp14:editId="5CCBBB58">
              <wp:simplePos x="0" y="0"/>
              <wp:positionH relativeFrom="column">
                <wp:posOffset>7560945</wp:posOffset>
              </wp:positionH>
              <wp:positionV relativeFrom="margin">
                <wp:align>top</wp:align>
              </wp:positionV>
              <wp:extent cx="399600" cy="4896000"/>
              <wp:effectExtent l="0" t="317" r="317" b="318"/>
              <wp:wrapNone/>
              <wp:docPr id="9959222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2E573" w14:textId="6E62875C" w:rsidR="006B6AE9" w:rsidRPr="00137C7E" w:rsidRDefault="00033CBC" w:rsidP="00CC6004">
                          <w:pPr>
                            <w:pStyle w:val="HeaderEven"/>
                          </w:pPr>
                          <w:fldSimple w:instr=" TITLE   \* MERGEFORMAT ">
                            <w:r>
                              <w:t>Pre-election Economic and Fiscal Outlook 2025</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1CF6"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1658241;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7872E573" w14:textId="6E62875C" w:rsidR="006B6AE9" w:rsidRPr="00137C7E" w:rsidRDefault="00033CBC" w:rsidP="00CC6004">
                    <w:pPr>
                      <w:pStyle w:val="HeaderEven"/>
                    </w:pPr>
                    <w:fldSimple w:instr=" TITLE   \* MERGEFORMAT ">
                      <w:r>
                        <w:t>Pre-election Economic and Fiscal Outlook 2025</w:t>
                      </w:r>
                    </w:fldSimple>
                  </w:p>
                </w:txbxContent>
              </v:textbox>
              <w10:wrap anchory="margin"/>
            </v:shape>
          </w:pict>
        </mc:Fallback>
      </mc:AlternateContent>
    </w:r>
  </w:p>
  <w:p w14:paraId="34224C84" w14:textId="77777777" w:rsidR="006B6AE9" w:rsidRPr="00AA5439" w:rsidRDefault="006B6AE9" w:rsidP="00AA5439">
    <w:pPr>
      <w:pStyle w:val="HeaderEven"/>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3FA56C92" w14:textId="77777777">
      <w:trPr>
        <w:trHeight w:hRule="exact" w:val="340"/>
      </w:trPr>
      <w:tc>
        <w:tcPr>
          <w:tcW w:w="7797" w:type="dxa"/>
        </w:tcPr>
        <w:p w14:paraId="22DE27B1" w14:textId="20B18FCA" w:rsidR="00F476FC" w:rsidRPr="008C56E1" w:rsidRDefault="00033CBC" w:rsidP="00F60EA1">
          <w:pPr>
            <w:pStyle w:val="HeaderEven"/>
          </w:pPr>
          <w:fldSimple w:instr=" TITLE   \* MERGEFORMAT ">
            <w:r>
              <w:t>Pre-election Economic and Fiscal Outlook 2025</w:t>
            </w:r>
          </w:fldSimple>
        </w:p>
      </w:tc>
    </w:tr>
  </w:tbl>
  <w:p w14:paraId="4842EA84" w14:textId="77777777" w:rsidR="006B6AE9" w:rsidRPr="007703C7" w:rsidRDefault="006B6AE9"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4094" w14:textId="5989D815" w:rsidR="006B6AE9" w:rsidRPr="000635BE" w:rsidRDefault="006B6AE9"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476FC" w14:paraId="2F499382" w14:textId="77777777" w:rsidTr="001051B9">
      <w:trPr>
        <w:trHeight w:hRule="exact" w:val="340"/>
      </w:trPr>
      <w:tc>
        <w:tcPr>
          <w:tcW w:w="7797" w:type="dxa"/>
          <w:tcMar>
            <w:left w:w="108" w:type="dxa"/>
            <w:right w:w="108" w:type="dxa"/>
          </w:tcMar>
        </w:tcPr>
        <w:p w14:paraId="779F2489" w14:textId="4F4B14F0" w:rsidR="00F476FC" w:rsidRPr="00D13BF9" w:rsidRDefault="00033CBC" w:rsidP="00D13BF9">
          <w:pPr>
            <w:pStyle w:val="HeaderOdd"/>
          </w:pPr>
          <w:fldSimple w:instr=" TITLE   \* MERGEFORMAT ">
            <w:r>
              <w:t>Pre-election Economic and Fiscal Outlook 2025</w:t>
            </w:r>
          </w:fldSimple>
          <w:r w:rsidR="00F476FC" w:rsidRPr="00D13BF9">
            <w:t xml:space="preserve">  </w:t>
          </w:r>
        </w:p>
      </w:tc>
    </w:tr>
  </w:tbl>
  <w:p w14:paraId="34AC9FE5" w14:textId="77777777" w:rsidR="006B6AE9" w:rsidRPr="00AA5439" w:rsidRDefault="006B6AE9" w:rsidP="00AA5439">
    <w:pPr>
      <w:pStyle w:val="Header"/>
      <w:rPr>
        <w:sz w:val="2"/>
        <w:szCs w:val="2"/>
      </w:rPr>
    </w:pPr>
    <w:r w:rsidRPr="006B6AE9">
      <w:rPr>
        <w:noProof/>
        <w:sz w:val="32"/>
        <w:szCs w:val="32"/>
      </w:rPr>
      <mc:AlternateContent>
        <mc:Choice Requires="wps">
          <w:drawing>
            <wp:anchor distT="0" distB="0" distL="114300" distR="114300" simplePos="0" relativeHeight="251658242" behindDoc="0" locked="0" layoutInCell="1" allowOverlap="1" wp14:anchorId="6F7B2ED8" wp14:editId="63C0F640">
              <wp:simplePos x="0" y="0"/>
              <wp:positionH relativeFrom="column">
                <wp:posOffset>7560945</wp:posOffset>
              </wp:positionH>
              <wp:positionV relativeFrom="margin">
                <wp:align>bottom</wp:align>
              </wp:positionV>
              <wp:extent cx="399600" cy="4896000"/>
              <wp:effectExtent l="0" t="0" r="635" b="0"/>
              <wp:wrapNone/>
              <wp:docPr id="470743143"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E7562" w14:textId="0AFFC673" w:rsidR="006B6AE9" w:rsidRPr="00137C7E" w:rsidRDefault="00033CBC" w:rsidP="001D33D6">
                          <w:pPr>
                            <w:pStyle w:val="HeaderOdd"/>
                          </w:pPr>
                          <w:fldSimple w:instr=" TITLE   \* MERGEFORMAT ">
                            <w:r>
                              <w:t>Pre-election Economic and Fiscal Outlook 2025</w:t>
                            </w:r>
                          </w:fldSimple>
                          <w:r w:rsidR="006B6AE9">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B2ED8"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165824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574E7562" w14:textId="0AFFC673" w:rsidR="006B6AE9" w:rsidRPr="00137C7E" w:rsidRDefault="00033CBC" w:rsidP="001D33D6">
                    <w:pPr>
                      <w:pStyle w:val="HeaderOdd"/>
                    </w:pPr>
                    <w:fldSimple w:instr=" TITLE   \* MERGEFORMAT ">
                      <w:r>
                        <w:t>Pre-election Economic and Fiscal Outlook 2025</w:t>
                      </w:r>
                    </w:fldSimple>
                    <w:r w:rsidR="006B6AE9">
                      <w:t xml:space="preserve">  </w:t>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FBD5" w14:textId="18330930" w:rsidR="00235AAE" w:rsidRDefault="00235AAE">
    <w:pPr>
      <w:pStyle w:val="Header"/>
      <w:rPr>
        <w:sz w:val="2"/>
        <w:szCs w:val="2"/>
      </w:rPr>
    </w:pPr>
    <w:r w:rsidRPr="00235AAE">
      <w:rPr>
        <w:noProof/>
        <w:sz w:val="32"/>
        <w:szCs w:val="32"/>
      </w:rPr>
      <mc:AlternateContent>
        <mc:Choice Requires="wps">
          <w:drawing>
            <wp:anchor distT="0" distB="0" distL="114300" distR="114300" simplePos="0" relativeHeight="251658240" behindDoc="0" locked="0" layoutInCell="1" allowOverlap="1" wp14:anchorId="6FA523BE" wp14:editId="2D5910FB">
              <wp:simplePos x="0" y="0"/>
              <wp:positionH relativeFrom="column">
                <wp:posOffset>7560945</wp:posOffset>
              </wp:positionH>
              <wp:positionV relativeFrom="margin">
                <wp:align>bottom</wp:align>
              </wp:positionV>
              <wp:extent cx="399600" cy="4896000"/>
              <wp:effectExtent l="0" t="0" r="635" b="0"/>
              <wp:wrapNone/>
              <wp:docPr id="194791558"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96997" w14:textId="1B53970D" w:rsidR="00235AAE" w:rsidRPr="00137C7E" w:rsidRDefault="00033CBC" w:rsidP="001D33D6">
                          <w:pPr>
                            <w:pStyle w:val="HeaderOdd"/>
                          </w:pPr>
                          <w:fldSimple w:instr=" TITLE   \* MERGEFORMAT ">
                            <w:r>
                              <w:t>Pre-election Economic and Fiscal Outlook 2025</w:t>
                            </w:r>
                          </w:fldSimple>
                          <w:r w:rsidR="00235AAE">
                            <w:t xml:space="preserve">  </w:t>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23BE" id="_x0000_t202" coordsize="21600,21600" o:spt="202" path="m,l,21600r21600,l21600,xe">
              <v:stroke joinstyle="miter"/>
              <v:path gradientshapeok="t" o:connecttype="rect"/>
            </v:shapetype>
            <v:shape id="_x0000_s1028"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kO7gEAAMQDAAAOAAAAZHJzL2Uyb0RvYy54bWysU9tu2zAMfR+wfxD0vjjJhq414hRdigwD&#10;ugvQ7QNkWbaFyaJGKrH796PkJB26t2F+ECiROuI5PN7cToMTR4NkwVdytVhKYbyGxvqukj++799c&#10;S0FR+UY58KaST4bk7fb1q80YSrOGHlxjUDCIp3IMlexjDGVRkO7NoGgBwXhOtoCDirzFrmhQjYw+&#10;uGK9XF4VI2ATELQh4tP7OSm3Gb9tjY5f25ZMFK6S3FvMK+a1Tmux3aiyQxV6q09tqH/oYlDW86MX&#10;qHsVlTig/QtqsBqBoI0LDUMBbWu1yRyYzWr5gs1jr4LJXFgcCheZ6P/B6i/Hx/ANRZw+wMQDzCQo&#10;PID+ScLDrle+M3eIMPZGNfzwKklWjIHK09UkNZWUQOrxMzQ8ZHWIkIGmFoekCvMUjM4DeLqIbqYo&#10;NB++vbm5WnJGc+rddYrzVApVnm8HpPjRwCBSUEnkoWZ0dXygmLpR5bkkPUbgbLO3zuUNdvXOoTgq&#10;NsA+f5nAizLnU7GHdG1GTCeZZmI2c4xTPQnbVHKdIBLrGpon5o0w+4r/Aw7SKsXInqok/TooNFK4&#10;T561SwY8B3gO6hy8ZzNLobzugd3J9+dwF2evHgLarmfweUAe7lji1mb2z42cOmarZFFOtk5e/HOf&#10;q55/vu1v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6yQZDu4BAADEAwAADgAAAAAAAAAAAAAAAAAuAgAAZHJzL2Uy&#10;b0RvYy54bWxQSwECLQAUAAYACAAAACEAYq6fkuAAAAAKAQAADwAAAAAAAAAAAAAAAABIBAAAZHJz&#10;L2Rvd25yZXYueG1sUEsFBgAAAAAEAAQA8wAAAFUFAAAAAA==&#10;" stroked="f">
              <v:textbox style="layout-flow:vertical" inset="0,0,0,.2mm">
                <w:txbxContent>
                  <w:p w14:paraId="72E96997" w14:textId="1B53970D" w:rsidR="00235AAE" w:rsidRPr="00137C7E" w:rsidRDefault="00033CBC" w:rsidP="001D33D6">
                    <w:pPr>
                      <w:pStyle w:val="HeaderOdd"/>
                    </w:pPr>
                    <w:fldSimple w:instr=" TITLE   \* MERGEFORMAT ">
                      <w:r>
                        <w:t>Pre-election Economic and Fiscal Outlook 2025</w:t>
                      </w:r>
                    </w:fldSimple>
                    <w:r w:rsidR="00235AAE">
                      <w:t xml:space="preserve">  </w:t>
                    </w:r>
                  </w:p>
                </w:txbxContent>
              </v:textbox>
              <w10:wrap anchory="margin"/>
            </v:shape>
          </w:pict>
        </mc:Fallback>
      </mc:AlternateContent>
    </w:r>
  </w:p>
  <w:p w14:paraId="7C9EDEB6" w14:textId="77777777" w:rsidR="00235AAE" w:rsidRDefault="00235AAE">
    <w:pPr>
      <w:pStyle w:val="Header"/>
      <w:rPr>
        <w:sz w:val="2"/>
        <w:szCs w:val="2"/>
      </w:rPr>
    </w:pPr>
  </w:p>
  <w:p w14:paraId="75D2DF21"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0FE910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6"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7"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9"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5" w15:restartNumberingAfterBreak="0">
    <w:nsid w:val="7E420D07"/>
    <w:multiLevelType w:val="hybridMultilevel"/>
    <w:tmpl w:val="E5DA7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03410866">
    <w:abstractNumId w:val="18"/>
  </w:num>
  <w:num w:numId="2" w16cid:durableId="70975900">
    <w:abstractNumId w:val="12"/>
  </w:num>
  <w:num w:numId="3" w16cid:durableId="1903564601">
    <w:abstractNumId w:val="10"/>
  </w:num>
  <w:num w:numId="4" w16cid:durableId="778522229">
    <w:abstractNumId w:val="13"/>
  </w:num>
  <w:num w:numId="5" w16cid:durableId="308556280">
    <w:abstractNumId w:val="22"/>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3"/>
  </w:num>
  <w:num w:numId="19"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829608">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4638334">
    <w:abstractNumId w:val="21"/>
  </w:num>
  <w:num w:numId="23" w16cid:durableId="684594675">
    <w:abstractNumId w:val="16"/>
    <w:lvlOverride w:ilvl="0">
      <w:startOverride w:val="1"/>
    </w:lvlOverride>
  </w:num>
  <w:num w:numId="24" w16cid:durableId="1115951310">
    <w:abstractNumId w:val="16"/>
    <w:lvlOverride w:ilvl="0">
      <w:startOverride w:val="1"/>
    </w:lvlOverride>
  </w:num>
  <w:num w:numId="25" w16cid:durableId="335226763">
    <w:abstractNumId w:val="19"/>
  </w:num>
  <w:num w:numId="26" w16cid:durableId="1869180332">
    <w:abstractNumId w:val="16"/>
    <w:lvlOverride w:ilvl="0">
      <w:startOverride w:val="1"/>
    </w:lvlOverride>
  </w:num>
  <w:num w:numId="27" w16cid:durableId="463038501">
    <w:abstractNumId w:val="17"/>
  </w:num>
  <w:num w:numId="28" w16cid:durableId="904336081">
    <w:abstractNumId w:val="24"/>
  </w:num>
  <w:num w:numId="29" w16cid:durableId="116802040">
    <w:abstractNumId w:val="15"/>
  </w:num>
  <w:num w:numId="30" w16cid:durableId="1745449066">
    <w:abstractNumId w:val="20"/>
  </w:num>
  <w:num w:numId="31" w16cid:durableId="222524697">
    <w:abstractNumId w:val="14"/>
  </w:num>
  <w:num w:numId="32" w16cid:durableId="2082678496">
    <w:abstractNumId w:val="23"/>
  </w:num>
  <w:num w:numId="33" w16cid:durableId="947199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28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47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241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4871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0441228">
    <w:abstractNumId w:val="25"/>
  </w:num>
  <w:num w:numId="39" w16cid:durableId="451945165">
    <w:abstractNumId w:val="11"/>
  </w:num>
  <w:num w:numId="40" w16cid:durableId="8698055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7600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3297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606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6514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4279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76048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9622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974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6524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8E5E8A"/>
    <w:rsid w:val="0000007E"/>
    <w:rsid w:val="000000A9"/>
    <w:rsid w:val="000004EA"/>
    <w:rsid w:val="00001199"/>
    <w:rsid w:val="00001B38"/>
    <w:rsid w:val="000026EC"/>
    <w:rsid w:val="00003C4D"/>
    <w:rsid w:val="00004494"/>
    <w:rsid w:val="00005CCD"/>
    <w:rsid w:val="00005CD9"/>
    <w:rsid w:val="00007A6A"/>
    <w:rsid w:val="00007BA9"/>
    <w:rsid w:val="00007D37"/>
    <w:rsid w:val="00007D5F"/>
    <w:rsid w:val="000100FE"/>
    <w:rsid w:val="00010248"/>
    <w:rsid w:val="00011DBB"/>
    <w:rsid w:val="00012DCD"/>
    <w:rsid w:val="00013527"/>
    <w:rsid w:val="00013EA8"/>
    <w:rsid w:val="000142B7"/>
    <w:rsid w:val="0001526B"/>
    <w:rsid w:val="00015273"/>
    <w:rsid w:val="0001563A"/>
    <w:rsid w:val="00015F9E"/>
    <w:rsid w:val="00016788"/>
    <w:rsid w:val="00022056"/>
    <w:rsid w:val="00022CAF"/>
    <w:rsid w:val="000231D3"/>
    <w:rsid w:val="000232EC"/>
    <w:rsid w:val="000233C9"/>
    <w:rsid w:val="00023840"/>
    <w:rsid w:val="00023BA3"/>
    <w:rsid w:val="00023C4A"/>
    <w:rsid w:val="000244E6"/>
    <w:rsid w:val="0002478B"/>
    <w:rsid w:val="000247EB"/>
    <w:rsid w:val="00024BA4"/>
    <w:rsid w:val="00024D09"/>
    <w:rsid w:val="000268F8"/>
    <w:rsid w:val="000276B1"/>
    <w:rsid w:val="00027BE5"/>
    <w:rsid w:val="0003026F"/>
    <w:rsid w:val="00030B5C"/>
    <w:rsid w:val="00030D05"/>
    <w:rsid w:val="00030D86"/>
    <w:rsid w:val="0003211E"/>
    <w:rsid w:val="00032897"/>
    <w:rsid w:val="0003293A"/>
    <w:rsid w:val="00032A1C"/>
    <w:rsid w:val="00032EA9"/>
    <w:rsid w:val="000331B3"/>
    <w:rsid w:val="00033806"/>
    <w:rsid w:val="00033B78"/>
    <w:rsid w:val="00033CBC"/>
    <w:rsid w:val="00033DE9"/>
    <w:rsid w:val="00034011"/>
    <w:rsid w:val="00034BD3"/>
    <w:rsid w:val="00035039"/>
    <w:rsid w:val="0003533C"/>
    <w:rsid w:val="00035D8D"/>
    <w:rsid w:val="0003604A"/>
    <w:rsid w:val="00036668"/>
    <w:rsid w:val="0003686A"/>
    <w:rsid w:val="00036B31"/>
    <w:rsid w:val="00037D03"/>
    <w:rsid w:val="000405A6"/>
    <w:rsid w:val="00041B1B"/>
    <w:rsid w:val="00041E61"/>
    <w:rsid w:val="00042213"/>
    <w:rsid w:val="00044CC0"/>
    <w:rsid w:val="00044DA5"/>
    <w:rsid w:val="00044E55"/>
    <w:rsid w:val="000450DB"/>
    <w:rsid w:val="0004583F"/>
    <w:rsid w:val="00045B8A"/>
    <w:rsid w:val="00046092"/>
    <w:rsid w:val="00046541"/>
    <w:rsid w:val="000470C9"/>
    <w:rsid w:val="00047876"/>
    <w:rsid w:val="00047FB1"/>
    <w:rsid w:val="00047FF1"/>
    <w:rsid w:val="0005033D"/>
    <w:rsid w:val="0005051E"/>
    <w:rsid w:val="00051BA6"/>
    <w:rsid w:val="0005266B"/>
    <w:rsid w:val="00052ECF"/>
    <w:rsid w:val="00053A18"/>
    <w:rsid w:val="00053D11"/>
    <w:rsid w:val="00053DEC"/>
    <w:rsid w:val="00054231"/>
    <w:rsid w:val="000546EB"/>
    <w:rsid w:val="00055A6B"/>
    <w:rsid w:val="00056A55"/>
    <w:rsid w:val="00056B57"/>
    <w:rsid w:val="00056BC1"/>
    <w:rsid w:val="000578D4"/>
    <w:rsid w:val="00060370"/>
    <w:rsid w:val="0006045C"/>
    <w:rsid w:val="00060673"/>
    <w:rsid w:val="000622DA"/>
    <w:rsid w:val="0006332C"/>
    <w:rsid w:val="000634F5"/>
    <w:rsid w:val="000635BE"/>
    <w:rsid w:val="00063E3E"/>
    <w:rsid w:val="000640F7"/>
    <w:rsid w:val="000642C6"/>
    <w:rsid w:val="0006471B"/>
    <w:rsid w:val="00064BF8"/>
    <w:rsid w:val="00064CEA"/>
    <w:rsid w:val="00065A49"/>
    <w:rsid w:val="000661EF"/>
    <w:rsid w:val="00066BD3"/>
    <w:rsid w:val="00066EF0"/>
    <w:rsid w:val="00067276"/>
    <w:rsid w:val="000675AB"/>
    <w:rsid w:val="000704AE"/>
    <w:rsid w:val="00070E1C"/>
    <w:rsid w:val="00071680"/>
    <w:rsid w:val="00071B63"/>
    <w:rsid w:val="00071C9F"/>
    <w:rsid w:val="000723EA"/>
    <w:rsid w:val="00072AE6"/>
    <w:rsid w:val="0007348E"/>
    <w:rsid w:val="0007362D"/>
    <w:rsid w:val="00073AA9"/>
    <w:rsid w:val="0007454C"/>
    <w:rsid w:val="00074DA8"/>
    <w:rsid w:val="000750F5"/>
    <w:rsid w:val="000754C4"/>
    <w:rsid w:val="000755B7"/>
    <w:rsid w:val="0007566A"/>
    <w:rsid w:val="0007679A"/>
    <w:rsid w:val="000768E2"/>
    <w:rsid w:val="0007700D"/>
    <w:rsid w:val="00077BFB"/>
    <w:rsid w:val="00080465"/>
    <w:rsid w:val="00081DA0"/>
    <w:rsid w:val="00082103"/>
    <w:rsid w:val="00082191"/>
    <w:rsid w:val="00082318"/>
    <w:rsid w:val="0008374D"/>
    <w:rsid w:val="0008399A"/>
    <w:rsid w:val="00085343"/>
    <w:rsid w:val="0008597F"/>
    <w:rsid w:val="00085C1F"/>
    <w:rsid w:val="0008676C"/>
    <w:rsid w:val="0008677A"/>
    <w:rsid w:val="0008789F"/>
    <w:rsid w:val="000879BA"/>
    <w:rsid w:val="000904FE"/>
    <w:rsid w:val="00090D06"/>
    <w:rsid w:val="000919BC"/>
    <w:rsid w:val="00092590"/>
    <w:rsid w:val="00092BD4"/>
    <w:rsid w:val="000930D2"/>
    <w:rsid w:val="000934DF"/>
    <w:rsid w:val="00093877"/>
    <w:rsid w:val="00093D11"/>
    <w:rsid w:val="00093E6E"/>
    <w:rsid w:val="00094625"/>
    <w:rsid w:val="00094D01"/>
    <w:rsid w:val="0009512C"/>
    <w:rsid w:val="00095703"/>
    <w:rsid w:val="00095842"/>
    <w:rsid w:val="0009675E"/>
    <w:rsid w:val="000A0B37"/>
    <w:rsid w:val="000A11EE"/>
    <w:rsid w:val="000A1337"/>
    <w:rsid w:val="000A1472"/>
    <w:rsid w:val="000A30B8"/>
    <w:rsid w:val="000A36CF"/>
    <w:rsid w:val="000A3FBA"/>
    <w:rsid w:val="000A4020"/>
    <w:rsid w:val="000A404F"/>
    <w:rsid w:val="000A4746"/>
    <w:rsid w:val="000A4B8F"/>
    <w:rsid w:val="000A556B"/>
    <w:rsid w:val="000A6A03"/>
    <w:rsid w:val="000A6B6F"/>
    <w:rsid w:val="000A738D"/>
    <w:rsid w:val="000A746E"/>
    <w:rsid w:val="000B04E8"/>
    <w:rsid w:val="000B0C69"/>
    <w:rsid w:val="000B15B6"/>
    <w:rsid w:val="000B25D5"/>
    <w:rsid w:val="000B2BC6"/>
    <w:rsid w:val="000B303C"/>
    <w:rsid w:val="000B3336"/>
    <w:rsid w:val="000B38A8"/>
    <w:rsid w:val="000B4758"/>
    <w:rsid w:val="000B4828"/>
    <w:rsid w:val="000B48BE"/>
    <w:rsid w:val="000B4FDF"/>
    <w:rsid w:val="000B51C6"/>
    <w:rsid w:val="000B5651"/>
    <w:rsid w:val="000B5C53"/>
    <w:rsid w:val="000B6CDE"/>
    <w:rsid w:val="000B7301"/>
    <w:rsid w:val="000C09AC"/>
    <w:rsid w:val="000C0E00"/>
    <w:rsid w:val="000C0E68"/>
    <w:rsid w:val="000C14D1"/>
    <w:rsid w:val="000C1BFB"/>
    <w:rsid w:val="000C200F"/>
    <w:rsid w:val="000C3C18"/>
    <w:rsid w:val="000C431A"/>
    <w:rsid w:val="000C432B"/>
    <w:rsid w:val="000C4DF6"/>
    <w:rsid w:val="000C619C"/>
    <w:rsid w:val="000C694C"/>
    <w:rsid w:val="000C7820"/>
    <w:rsid w:val="000C7F22"/>
    <w:rsid w:val="000D0C4A"/>
    <w:rsid w:val="000D14C6"/>
    <w:rsid w:val="000D2B53"/>
    <w:rsid w:val="000D2D77"/>
    <w:rsid w:val="000D3ADE"/>
    <w:rsid w:val="000D3AEC"/>
    <w:rsid w:val="000D4187"/>
    <w:rsid w:val="000D489A"/>
    <w:rsid w:val="000D5670"/>
    <w:rsid w:val="000D57A1"/>
    <w:rsid w:val="000D5A77"/>
    <w:rsid w:val="000D6DF9"/>
    <w:rsid w:val="000D6F94"/>
    <w:rsid w:val="000D78F4"/>
    <w:rsid w:val="000D7FCD"/>
    <w:rsid w:val="000E0278"/>
    <w:rsid w:val="000E0671"/>
    <w:rsid w:val="000E0ADB"/>
    <w:rsid w:val="000E0D24"/>
    <w:rsid w:val="000E105B"/>
    <w:rsid w:val="000E149B"/>
    <w:rsid w:val="000E1F94"/>
    <w:rsid w:val="000E28B1"/>
    <w:rsid w:val="000E3AB3"/>
    <w:rsid w:val="000E3BB5"/>
    <w:rsid w:val="000E43AA"/>
    <w:rsid w:val="000E4F75"/>
    <w:rsid w:val="000E5115"/>
    <w:rsid w:val="000E6534"/>
    <w:rsid w:val="000E6F48"/>
    <w:rsid w:val="000E7401"/>
    <w:rsid w:val="000E7936"/>
    <w:rsid w:val="000E7FAF"/>
    <w:rsid w:val="000F02B6"/>
    <w:rsid w:val="000F0692"/>
    <w:rsid w:val="000F097E"/>
    <w:rsid w:val="000F1AF2"/>
    <w:rsid w:val="000F1E51"/>
    <w:rsid w:val="000F1FA5"/>
    <w:rsid w:val="000F29F2"/>
    <w:rsid w:val="000F3DB7"/>
    <w:rsid w:val="000F4057"/>
    <w:rsid w:val="000F4837"/>
    <w:rsid w:val="000F5BA6"/>
    <w:rsid w:val="000F632F"/>
    <w:rsid w:val="000F7741"/>
    <w:rsid w:val="000F77AA"/>
    <w:rsid w:val="00101168"/>
    <w:rsid w:val="00101F7D"/>
    <w:rsid w:val="001024CB"/>
    <w:rsid w:val="00102DDC"/>
    <w:rsid w:val="00103D47"/>
    <w:rsid w:val="00103D9F"/>
    <w:rsid w:val="00103F65"/>
    <w:rsid w:val="00104103"/>
    <w:rsid w:val="001047C1"/>
    <w:rsid w:val="00104F0C"/>
    <w:rsid w:val="0010514B"/>
    <w:rsid w:val="001051B9"/>
    <w:rsid w:val="00105BC1"/>
    <w:rsid w:val="00105CF5"/>
    <w:rsid w:val="00105E4C"/>
    <w:rsid w:val="001060C3"/>
    <w:rsid w:val="001064E5"/>
    <w:rsid w:val="00106ADE"/>
    <w:rsid w:val="001070DA"/>
    <w:rsid w:val="00107454"/>
    <w:rsid w:val="001075B0"/>
    <w:rsid w:val="00110A9A"/>
    <w:rsid w:val="00110BC4"/>
    <w:rsid w:val="00110D1D"/>
    <w:rsid w:val="00111534"/>
    <w:rsid w:val="001115D8"/>
    <w:rsid w:val="0011175D"/>
    <w:rsid w:val="001119B9"/>
    <w:rsid w:val="00111FA4"/>
    <w:rsid w:val="00112609"/>
    <w:rsid w:val="0011265E"/>
    <w:rsid w:val="00112787"/>
    <w:rsid w:val="00112B2B"/>
    <w:rsid w:val="00113840"/>
    <w:rsid w:val="00115122"/>
    <w:rsid w:val="001163AD"/>
    <w:rsid w:val="00116493"/>
    <w:rsid w:val="00116886"/>
    <w:rsid w:val="00116ECE"/>
    <w:rsid w:val="0012365C"/>
    <w:rsid w:val="00124336"/>
    <w:rsid w:val="001244B4"/>
    <w:rsid w:val="00124584"/>
    <w:rsid w:val="001253C0"/>
    <w:rsid w:val="00125591"/>
    <w:rsid w:val="00125CCD"/>
    <w:rsid w:val="00125CE6"/>
    <w:rsid w:val="00125D0C"/>
    <w:rsid w:val="00125ED1"/>
    <w:rsid w:val="00127662"/>
    <w:rsid w:val="0013041A"/>
    <w:rsid w:val="00131964"/>
    <w:rsid w:val="00132508"/>
    <w:rsid w:val="001330D7"/>
    <w:rsid w:val="00133153"/>
    <w:rsid w:val="0013487A"/>
    <w:rsid w:val="001358C3"/>
    <w:rsid w:val="0013606D"/>
    <w:rsid w:val="0013644F"/>
    <w:rsid w:val="00136DE9"/>
    <w:rsid w:val="00137EF6"/>
    <w:rsid w:val="00140149"/>
    <w:rsid w:val="00140F37"/>
    <w:rsid w:val="00141E8F"/>
    <w:rsid w:val="00143039"/>
    <w:rsid w:val="00143093"/>
    <w:rsid w:val="00143866"/>
    <w:rsid w:val="00143B92"/>
    <w:rsid w:val="00143F2E"/>
    <w:rsid w:val="00144315"/>
    <w:rsid w:val="00144AE2"/>
    <w:rsid w:val="00144B60"/>
    <w:rsid w:val="00144F75"/>
    <w:rsid w:val="00145743"/>
    <w:rsid w:val="00145755"/>
    <w:rsid w:val="00146A47"/>
    <w:rsid w:val="0014709E"/>
    <w:rsid w:val="001472CA"/>
    <w:rsid w:val="00150C1A"/>
    <w:rsid w:val="001521A2"/>
    <w:rsid w:val="00152415"/>
    <w:rsid w:val="00152C7B"/>
    <w:rsid w:val="0015428C"/>
    <w:rsid w:val="00154327"/>
    <w:rsid w:val="00154447"/>
    <w:rsid w:val="00155322"/>
    <w:rsid w:val="00155FD0"/>
    <w:rsid w:val="00156D0E"/>
    <w:rsid w:val="0016074C"/>
    <w:rsid w:val="00160928"/>
    <w:rsid w:val="001610AE"/>
    <w:rsid w:val="0016234A"/>
    <w:rsid w:val="001623B3"/>
    <w:rsid w:val="001635B6"/>
    <w:rsid w:val="00163FBE"/>
    <w:rsid w:val="00164294"/>
    <w:rsid w:val="00165168"/>
    <w:rsid w:val="001709C0"/>
    <w:rsid w:val="0017157A"/>
    <w:rsid w:val="001722DC"/>
    <w:rsid w:val="00172847"/>
    <w:rsid w:val="001728B5"/>
    <w:rsid w:val="001728B6"/>
    <w:rsid w:val="00172CFE"/>
    <w:rsid w:val="0017450B"/>
    <w:rsid w:val="00174CAF"/>
    <w:rsid w:val="00175A34"/>
    <w:rsid w:val="00177418"/>
    <w:rsid w:val="001777F8"/>
    <w:rsid w:val="001803EC"/>
    <w:rsid w:val="001817A7"/>
    <w:rsid w:val="00181B4A"/>
    <w:rsid w:val="00182249"/>
    <w:rsid w:val="00182DA8"/>
    <w:rsid w:val="001835A3"/>
    <w:rsid w:val="0018431B"/>
    <w:rsid w:val="00184A04"/>
    <w:rsid w:val="00184B43"/>
    <w:rsid w:val="00184F67"/>
    <w:rsid w:val="001852D4"/>
    <w:rsid w:val="00185420"/>
    <w:rsid w:val="00185D58"/>
    <w:rsid w:val="00186369"/>
    <w:rsid w:val="00186675"/>
    <w:rsid w:val="0018725B"/>
    <w:rsid w:val="00187D65"/>
    <w:rsid w:val="0019032E"/>
    <w:rsid w:val="00190769"/>
    <w:rsid w:val="0019115B"/>
    <w:rsid w:val="00191442"/>
    <w:rsid w:val="0019179D"/>
    <w:rsid w:val="0019191B"/>
    <w:rsid w:val="001919D1"/>
    <w:rsid w:val="00191AE8"/>
    <w:rsid w:val="001925E6"/>
    <w:rsid w:val="0019291C"/>
    <w:rsid w:val="00192C4F"/>
    <w:rsid w:val="00192E1D"/>
    <w:rsid w:val="001930A3"/>
    <w:rsid w:val="00193318"/>
    <w:rsid w:val="0019400D"/>
    <w:rsid w:val="00194204"/>
    <w:rsid w:val="0019478B"/>
    <w:rsid w:val="00194968"/>
    <w:rsid w:val="00195712"/>
    <w:rsid w:val="00195F70"/>
    <w:rsid w:val="0019645E"/>
    <w:rsid w:val="00196958"/>
    <w:rsid w:val="001970E6"/>
    <w:rsid w:val="001972F9"/>
    <w:rsid w:val="00197F4A"/>
    <w:rsid w:val="001A162A"/>
    <w:rsid w:val="001A184A"/>
    <w:rsid w:val="001A1E73"/>
    <w:rsid w:val="001A21B3"/>
    <w:rsid w:val="001A2789"/>
    <w:rsid w:val="001A47A6"/>
    <w:rsid w:val="001A4B3E"/>
    <w:rsid w:val="001A4BA7"/>
    <w:rsid w:val="001A4C75"/>
    <w:rsid w:val="001A5680"/>
    <w:rsid w:val="001A57FD"/>
    <w:rsid w:val="001A5988"/>
    <w:rsid w:val="001A5A92"/>
    <w:rsid w:val="001A5F84"/>
    <w:rsid w:val="001A6A17"/>
    <w:rsid w:val="001A7393"/>
    <w:rsid w:val="001A7712"/>
    <w:rsid w:val="001B0E29"/>
    <w:rsid w:val="001B13FC"/>
    <w:rsid w:val="001B1E5E"/>
    <w:rsid w:val="001B2043"/>
    <w:rsid w:val="001B28D3"/>
    <w:rsid w:val="001B3E23"/>
    <w:rsid w:val="001B4204"/>
    <w:rsid w:val="001B44CA"/>
    <w:rsid w:val="001B4B3F"/>
    <w:rsid w:val="001B5FCA"/>
    <w:rsid w:val="001B6C03"/>
    <w:rsid w:val="001B7232"/>
    <w:rsid w:val="001B7621"/>
    <w:rsid w:val="001B7829"/>
    <w:rsid w:val="001B7994"/>
    <w:rsid w:val="001C020C"/>
    <w:rsid w:val="001C0302"/>
    <w:rsid w:val="001C0B58"/>
    <w:rsid w:val="001C0C15"/>
    <w:rsid w:val="001C1A75"/>
    <w:rsid w:val="001C2130"/>
    <w:rsid w:val="001C29BA"/>
    <w:rsid w:val="001C2C92"/>
    <w:rsid w:val="001C3674"/>
    <w:rsid w:val="001C3B40"/>
    <w:rsid w:val="001C40D4"/>
    <w:rsid w:val="001C56F7"/>
    <w:rsid w:val="001C5E21"/>
    <w:rsid w:val="001C680F"/>
    <w:rsid w:val="001D05CB"/>
    <w:rsid w:val="001D0CAA"/>
    <w:rsid w:val="001D0D80"/>
    <w:rsid w:val="001D1316"/>
    <w:rsid w:val="001D24B3"/>
    <w:rsid w:val="001D325B"/>
    <w:rsid w:val="001D33D6"/>
    <w:rsid w:val="001D387B"/>
    <w:rsid w:val="001D4C5A"/>
    <w:rsid w:val="001D5822"/>
    <w:rsid w:val="001D5871"/>
    <w:rsid w:val="001D5ED4"/>
    <w:rsid w:val="001E053D"/>
    <w:rsid w:val="001E06E8"/>
    <w:rsid w:val="001E171F"/>
    <w:rsid w:val="001E239F"/>
    <w:rsid w:val="001E28B4"/>
    <w:rsid w:val="001E408B"/>
    <w:rsid w:val="001E434E"/>
    <w:rsid w:val="001E4804"/>
    <w:rsid w:val="001E51DB"/>
    <w:rsid w:val="001E56D6"/>
    <w:rsid w:val="001E5B96"/>
    <w:rsid w:val="001E60A1"/>
    <w:rsid w:val="001E6F7D"/>
    <w:rsid w:val="001E6FD3"/>
    <w:rsid w:val="001E7651"/>
    <w:rsid w:val="001F02C7"/>
    <w:rsid w:val="001F0814"/>
    <w:rsid w:val="001F08E1"/>
    <w:rsid w:val="001F0935"/>
    <w:rsid w:val="001F1333"/>
    <w:rsid w:val="001F1C3A"/>
    <w:rsid w:val="001F2263"/>
    <w:rsid w:val="001F2518"/>
    <w:rsid w:val="001F27D1"/>
    <w:rsid w:val="001F2BE7"/>
    <w:rsid w:val="001F3A7F"/>
    <w:rsid w:val="001F3BDB"/>
    <w:rsid w:val="001F498F"/>
    <w:rsid w:val="001F520F"/>
    <w:rsid w:val="001F595C"/>
    <w:rsid w:val="001F6580"/>
    <w:rsid w:val="002000FB"/>
    <w:rsid w:val="002003EA"/>
    <w:rsid w:val="00200589"/>
    <w:rsid w:val="00203332"/>
    <w:rsid w:val="002033BF"/>
    <w:rsid w:val="0020360D"/>
    <w:rsid w:val="002036AA"/>
    <w:rsid w:val="00203C7F"/>
    <w:rsid w:val="00203DD3"/>
    <w:rsid w:val="00203E25"/>
    <w:rsid w:val="00204116"/>
    <w:rsid w:val="0020621E"/>
    <w:rsid w:val="002065EE"/>
    <w:rsid w:val="00206A05"/>
    <w:rsid w:val="00206C39"/>
    <w:rsid w:val="00207335"/>
    <w:rsid w:val="0020776B"/>
    <w:rsid w:val="002110B0"/>
    <w:rsid w:val="002111F1"/>
    <w:rsid w:val="00211495"/>
    <w:rsid w:val="002116B0"/>
    <w:rsid w:val="00212BB7"/>
    <w:rsid w:val="00212C4D"/>
    <w:rsid w:val="00212D1A"/>
    <w:rsid w:val="002133E6"/>
    <w:rsid w:val="00213816"/>
    <w:rsid w:val="00214DF6"/>
    <w:rsid w:val="00214E37"/>
    <w:rsid w:val="00215211"/>
    <w:rsid w:val="002157B8"/>
    <w:rsid w:val="00216980"/>
    <w:rsid w:val="002209D5"/>
    <w:rsid w:val="00220AE3"/>
    <w:rsid w:val="00220EEB"/>
    <w:rsid w:val="00221207"/>
    <w:rsid w:val="00221CFD"/>
    <w:rsid w:val="002223AB"/>
    <w:rsid w:val="002227B7"/>
    <w:rsid w:val="00222AF9"/>
    <w:rsid w:val="002232FB"/>
    <w:rsid w:val="002234ED"/>
    <w:rsid w:val="00223A0D"/>
    <w:rsid w:val="00225202"/>
    <w:rsid w:val="00225D69"/>
    <w:rsid w:val="0022670E"/>
    <w:rsid w:val="00226BBD"/>
    <w:rsid w:val="00226EE0"/>
    <w:rsid w:val="0022714D"/>
    <w:rsid w:val="00227987"/>
    <w:rsid w:val="002328DE"/>
    <w:rsid w:val="00232F39"/>
    <w:rsid w:val="00233AE0"/>
    <w:rsid w:val="00234010"/>
    <w:rsid w:val="00234BB1"/>
    <w:rsid w:val="00235AAE"/>
    <w:rsid w:val="0023701F"/>
    <w:rsid w:val="00237F04"/>
    <w:rsid w:val="0024080D"/>
    <w:rsid w:val="00240B15"/>
    <w:rsid w:val="00241BB6"/>
    <w:rsid w:val="00241D22"/>
    <w:rsid w:val="0024243B"/>
    <w:rsid w:val="00242462"/>
    <w:rsid w:val="00242479"/>
    <w:rsid w:val="00242C5C"/>
    <w:rsid w:val="00242C77"/>
    <w:rsid w:val="00243F64"/>
    <w:rsid w:val="002441C4"/>
    <w:rsid w:val="0024521A"/>
    <w:rsid w:val="00245844"/>
    <w:rsid w:val="00245951"/>
    <w:rsid w:val="00246924"/>
    <w:rsid w:val="00247663"/>
    <w:rsid w:val="002479A1"/>
    <w:rsid w:val="00247A9A"/>
    <w:rsid w:val="00247F50"/>
    <w:rsid w:val="00250208"/>
    <w:rsid w:val="002511B0"/>
    <w:rsid w:val="002512E8"/>
    <w:rsid w:val="002515C2"/>
    <w:rsid w:val="00251DFD"/>
    <w:rsid w:val="00251EA3"/>
    <w:rsid w:val="00251FE0"/>
    <w:rsid w:val="00252482"/>
    <w:rsid w:val="0025262F"/>
    <w:rsid w:val="002535A2"/>
    <w:rsid w:val="00253E55"/>
    <w:rsid w:val="00254227"/>
    <w:rsid w:val="002543C1"/>
    <w:rsid w:val="00254F03"/>
    <w:rsid w:val="002554E0"/>
    <w:rsid w:val="00256FBA"/>
    <w:rsid w:val="0025727D"/>
    <w:rsid w:val="00257B16"/>
    <w:rsid w:val="00260A21"/>
    <w:rsid w:val="00261B50"/>
    <w:rsid w:val="002620B5"/>
    <w:rsid w:val="00262821"/>
    <w:rsid w:val="00262A05"/>
    <w:rsid w:val="00262BC1"/>
    <w:rsid w:val="00262F76"/>
    <w:rsid w:val="00263162"/>
    <w:rsid w:val="00263E90"/>
    <w:rsid w:val="00264A08"/>
    <w:rsid w:val="0026500F"/>
    <w:rsid w:val="0026523A"/>
    <w:rsid w:val="00265370"/>
    <w:rsid w:val="002655EB"/>
    <w:rsid w:val="00265AD8"/>
    <w:rsid w:val="002661BF"/>
    <w:rsid w:val="00266A61"/>
    <w:rsid w:val="00267200"/>
    <w:rsid w:val="00267508"/>
    <w:rsid w:val="002706A1"/>
    <w:rsid w:val="002728FF"/>
    <w:rsid w:val="002739F8"/>
    <w:rsid w:val="00273F30"/>
    <w:rsid w:val="002747DE"/>
    <w:rsid w:val="00274BAF"/>
    <w:rsid w:val="0027639B"/>
    <w:rsid w:val="00277E4F"/>
    <w:rsid w:val="00280D86"/>
    <w:rsid w:val="0028145F"/>
    <w:rsid w:val="002815F2"/>
    <w:rsid w:val="00281716"/>
    <w:rsid w:val="00281DAB"/>
    <w:rsid w:val="00281F72"/>
    <w:rsid w:val="00282028"/>
    <w:rsid w:val="002824AD"/>
    <w:rsid w:val="00283DF4"/>
    <w:rsid w:val="00285708"/>
    <w:rsid w:val="00285B95"/>
    <w:rsid w:val="00285B9A"/>
    <w:rsid w:val="00285E29"/>
    <w:rsid w:val="0029155C"/>
    <w:rsid w:val="00291C4D"/>
    <w:rsid w:val="002920C2"/>
    <w:rsid w:val="00293384"/>
    <w:rsid w:val="002934A5"/>
    <w:rsid w:val="002935EF"/>
    <w:rsid w:val="0029404C"/>
    <w:rsid w:val="00294970"/>
    <w:rsid w:val="00294A2D"/>
    <w:rsid w:val="00294B4C"/>
    <w:rsid w:val="00294C56"/>
    <w:rsid w:val="00295611"/>
    <w:rsid w:val="0029601B"/>
    <w:rsid w:val="002975FD"/>
    <w:rsid w:val="002977D9"/>
    <w:rsid w:val="002979E1"/>
    <w:rsid w:val="002A045F"/>
    <w:rsid w:val="002A087B"/>
    <w:rsid w:val="002A09A3"/>
    <w:rsid w:val="002A0B23"/>
    <w:rsid w:val="002A0D4F"/>
    <w:rsid w:val="002A2738"/>
    <w:rsid w:val="002A2D79"/>
    <w:rsid w:val="002A31CA"/>
    <w:rsid w:val="002A37B8"/>
    <w:rsid w:val="002A3A05"/>
    <w:rsid w:val="002A3EBD"/>
    <w:rsid w:val="002A48DE"/>
    <w:rsid w:val="002A57BB"/>
    <w:rsid w:val="002A5BC6"/>
    <w:rsid w:val="002A670B"/>
    <w:rsid w:val="002A6A16"/>
    <w:rsid w:val="002A744D"/>
    <w:rsid w:val="002A762A"/>
    <w:rsid w:val="002A76E3"/>
    <w:rsid w:val="002A7915"/>
    <w:rsid w:val="002A7921"/>
    <w:rsid w:val="002A7E8E"/>
    <w:rsid w:val="002B0974"/>
    <w:rsid w:val="002B105D"/>
    <w:rsid w:val="002B1EE2"/>
    <w:rsid w:val="002B1EE9"/>
    <w:rsid w:val="002B221A"/>
    <w:rsid w:val="002B26D6"/>
    <w:rsid w:val="002B2A16"/>
    <w:rsid w:val="002B3CB6"/>
    <w:rsid w:val="002B5B8B"/>
    <w:rsid w:val="002B6106"/>
    <w:rsid w:val="002B66EF"/>
    <w:rsid w:val="002B6973"/>
    <w:rsid w:val="002C00DF"/>
    <w:rsid w:val="002C185B"/>
    <w:rsid w:val="002C1CE0"/>
    <w:rsid w:val="002C2097"/>
    <w:rsid w:val="002C22C7"/>
    <w:rsid w:val="002C2FAE"/>
    <w:rsid w:val="002C3DEB"/>
    <w:rsid w:val="002C41BD"/>
    <w:rsid w:val="002C46EE"/>
    <w:rsid w:val="002C4FA6"/>
    <w:rsid w:val="002C596C"/>
    <w:rsid w:val="002C5A21"/>
    <w:rsid w:val="002C5A62"/>
    <w:rsid w:val="002C7173"/>
    <w:rsid w:val="002C7497"/>
    <w:rsid w:val="002C7590"/>
    <w:rsid w:val="002D1A98"/>
    <w:rsid w:val="002D2230"/>
    <w:rsid w:val="002D27C7"/>
    <w:rsid w:val="002D2E5D"/>
    <w:rsid w:val="002D4591"/>
    <w:rsid w:val="002D4F43"/>
    <w:rsid w:val="002D5E13"/>
    <w:rsid w:val="002D5E5D"/>
    <w:rsid w:val="002D5FD3"/>
    <w:rsid w:val="002D603F"/>
    <w:rsid w:val="002D6ECA"/>
    <w:rsid w:val="002D73DE"/>
    <w:rsid w:val="002D789E"/>
    <w:rsid w:val="002E0511"/>
    <w:rsid w:val="002E0CBD"/>
    <w:rsid w:val="002E125C"/>
    <w:rsid w:val="002E184E"/>
    <w:rsid w:val="002E1890"/>
    <w:rsid w:val="002E2637"/>
    <w:rsid w:val="002E29EF"/>
    <w:rsid w:val="002E5023"/>
    <w:rsid w:val="002E519B"/>
    <w:rsid w:val="002E5B5E"/>
    <w:rsid w:val="002E638A"/>
    <w:rsid w:val="002E6641"/>
    <w:rsid w:val="002E6CAE"/>
    <w:rsid w:val="002E719F"/>
    <w:rsid w:val="002E7A5A"/>
    <w:rsid w:val="002E7B71"/>
    <w:rsid w:val="002F011B"/>
    <w:rsid w:val="002F0513"/>
    <w:rsid w:val="002F07D2"/>
    <w:rsid w:val="002F08F0"/>
    <w:rsid w:val="002F0971"/>
    <w:rsid w:val="002F0B20"/>
    <w:rsid w:val="002F104E"/>
    <w:rsid w:val="002F1B31"/>
    <w:rsid w:val="002F2237"/>
    <w:rsid w:val="002F2279"/>
    <w:rsid w:val="002F3A50"/>
    <w:rsid w:val="002F40F3"/>
    <w:rsid w:val="002F4290"/>
    <w:rsid w:val="002F430E"/>
    <w:rsid w:val="002F4F0B"/>
    <w:rsid w:val="002F5B25"/>
    <w:rsid w:val="002F5EEC"/>
    <w:rsid w:val="002F6905"/>
    <w:rsid w:val="002F6B91"/>
    <w:rsid w:val="002F77D3"/>
    <w:rsid w:val="002F7879"/>
    <w:rsid w:val="002F7A48"/>
    <w:rsid w:val="0030014A"/>
    <w:rsid w:val="00300A00"/>
    <w:rsid w:val="00300AC8"/>
    <w:rsid w:val="00300C36"/>
    <w:rsid w:val="0030136D"/>
    <w:rsid w:val="00301569"/>
    <w:rsid w:val="00302498"/>
    <w:rsid w:val="00303002"/>
    <w:rsid w:val="00303076"/>
    <w:rsid w:val="00303892"/>
    <w:rsid w:val="00303B65"/>
    <w:rsid w:val="003042BF"/>
    <w:rsid w:val="00304327"/>
    <w:rsid w:val="00304C13"/>
    <w:rsid w:val="00305105"/>
    <w:rsid w:val="00305118"/>
    <w:rsid w:val="0030531A"/>
    <w:rsid w:val="00306819"/>
    <w:rsid w:val="00306D9F"/>
    <w:rsid w:val="00307142"/>
    <w:rsid w:val="003073F4"/>
    <w:rsid w:val="003075E2"/>
    <w:rsid w:val="00307CA1"/>
    <w:rsid w:val="00310276"/>
    <w:rsid w:val="00310973"/>
    <w:rsid w:val="003109B1"/>
    <w:rsid w:val="003112D7"/>
    <w:rsid w:val="003121EF"/>
    <w:rsid w:val="00312372"/>
    <w:rsid w:val="003125B6"/>
    <w:rsid w:val="003147F0"/>
    <w:rsid w:val="00315E3D"/>
    <w:rsid w:val="003200D4"/>
    <w:rsid w:val="00320153"/>
    <w:rsid w:val="0032041C"/>
    <w:rsid w:val="00320938"/>
    <w:rsid w:val="00321640"/>
    <w:rsid w:val="00321857"/>
    <w:rsid w:val="00322068"/>
    <w:rsid w:val="003233A1"/>
    <w:rsid w:val="00323581"/>
    <w:rsid w:val="00323D15"/>
    <w:rsid w:val="003243BE"/>
    <w:rsid w:val="00324AB4"/>
    <w:rsid w:val="0032579E"/>
    <w:rsid w:val="003258C4"/>
    <w:rsid w:val="00326391"/>
    <w:rsid w:val="0032662C"/>
    <w:rsid w:val="00330291"/>
    <w:rsid w:val="003303B0"/>
    <w:rsid w:val="00330D2A"/>
    <w:rsid w:val="003312E5"/>
    <w:rsid w:val="0033177B"/>
    <w:rsid w:val="00331F36"/>
    <w:rsid w:val="003327BB"/>
    <w:rsid w:val="00332C26"/>
    <w:rsid w:val="00332E65"/>
    <w:rsid w:val="00334901"/>
    <w:rsid w:val="00334925"/>
    <w:rsid w:val="003352D6"/>
    <w:rsid w:val="00335592"/>
    <w:rsid w:val="003364FE"/>
    <w:rsid w:val="0033738E"/>
    <w:rsid w:val="003376F9"/>
    <w:rsid w:val="00337B29"/>
    <w:rsid w:val="00337C13"/>
    <w:rsid w:val="0034056E"/>
    <w:rsid w:val="00340FF6"/>
    <w:rsid w:val="00341829"/>
    <w:rsid w:val="003421CD"/>
    <w:rsid w:val="00342263"/>
    <w:rsid w:val="00342756"/>
    <w:rsid w:val="0034286F"/>
    <w:rsid w:val="00343785"/>
    <w:rsid w:val="00344013"/>
    <w:rsid w:val="003447D8"/>
    <w:rsid w:val="003448AF"/>
    <w:rsid w:val="003451F5"/>
    <w:rsid w:val="003466D2"/>
    <w:rsid w:val="00346AD5"/>
    <w:rsid w:val="003478ED"/>
    <w:rsid w:val="00347F09"/>
    <w:rsid w:val="003501EF"/>
    <w:rsid w:val="00350291"/>
    <w:rsid w:val="00350461"/>
    <w:rsid w:val="00350552"/>
    <w:rsid w:val="003506C0"/>
    <w:rsid w:val="003508FB"/>
    <w:rsid w:val="0035264F"/>
    <w:rsid w:val="0035279F"/>
    <w:rsid w:val="003545FE"/>
    <w:rsid w:val="00354D88"/>
    <w:rsid w:val="00355C31"/>
    <w:rsid w:val="00356448"/>
    <w:rsid w:val="00356A26"/>
    <w:rsid w:val="00356FCE"/>
    <w:rsid w:val="00357568"/>
    <w:rsid w:val="00357766"/>
    <w:rsid w:val="00357BBF"/>
    <w:rsid w:val="00360947"/>
    <w:rsid w:val="003614E9"/>
    <w:rsid w:val="0036155C"/>
    <w:rsid w:val="00361C4B"/>
    <w:rsid w:val="00361CAA"/>
    <w:rsid w:val="003623C6"/>
    <w:rsid w:val="003643C8"/>
    <w:rsid w:val="00364CED"/>
    <w:rsid w:val="00365A52"/>
    <w:rsid w:val="003660D9"/>
    <w:rsid w:val="00366594"/>
    <w:rsid w:val="00366762"/>
    <w:rsid w:val="00367E83"/>
    <w:rsid w:val="00370AFB"/>
    <w:rsid w:val="00370C58"/>
    <w:rsid w:val="00371ECC"/>
    <w:rsid w:val="00371F69"/>
    <w:rsid w:val="00372DD7"/>
    <w:rsid w:val="00372FC4"/>
    <w:rsid w:val="003734FE"/>
    <w:rsid w:val="0037444D"/>
    <w:rsid w:val="00374C57"/>
    <w:rsid w:val="0037597E"/>
    <w:rsid w:val="00375ABB"/>
    <w:rsid w:val="00376330"/>
    <w:rsid w:val="00376990"/>
    <w:rsid w:val="00377657"/>
    <w:rsid w:val="00377927"/>
    <w:rsid w:val="00377A7A"/>
    <w:rsid w:val="00377D0A"/>
    <w:rsid w:val="0038012A"/>
    <w:rsid w:val="003807D0"/>
    <w:rsid w:val="003807E6"/>
    <w:rsid w:val="00380E72"/>
    <w:rsid w:val="00381D29"/>
    <w:rsid w:val="00382475"/>
    <w:rsid w:val="00382E3D"/>
    <w:rsid w:val="00384079"/>
    <w:rsid w:val="00384913"/>
    <w:rsid w:val="00385D5A"/>
    <w:rsid w:val="003864AB"/>
    <w:rsid w:val="00386587"/>
    <w:rsid w:val="00386E7B"/>
    <w:rsid w:val="003879F3"/>
    <w:rsid w:val="00387DB3"/>
    <w:rsid w:val="00391B6F"/>
    <w:rsid w:val="00391DE3"/>
    <w:rsid w:val="00393F28"/>
    <w:rsid w:val="003949D7"/>
    <w:rsid w:val="0039509A"/>
    <w:rsid w:val="00395427"/>
    <w:rsid w:val="00395587"/>
    <w:rsid w:val="00396C85"/>
    <w:rsid w:val="00397000"/>
    <w:rsid w:val="003974E4"/>
    <w:rsid w:val="0039764E"/>
    <w:rsid w:val="0039792B"/>
    <w:rsid w:val="00397F8D"/>
    <w:rsid w:val="003A110E"/>
    <w:rsid w:val="003A2EFC"/>
    <w:rsid w:val="003A3AC2"/>
    <w:rsid w:val="003A3B4E"/>
    <w:rsid w:val="003A3C5E"/>
    <w:rsid w:val="003A51FC"/>
    <w:rsid w:val="003A5C76"/>
    <w:rsid w:val="003A6E57"/>
    <w:rsid w:val="003A7573"/>
    <w:rsid w:val="003B04B8"/>
    <w:rsid w:val="003B0B69"/>
    <w:rsid w:val="003B12D6"/>
    <w:rsid w:val="003B1383"/>
    <w:rsid w:val="003B13D9"/>
    <w:rsid w:val="003B26AC"/>
    <w:rsid w:val="003B3670"/>
    <w:rsid w:val="003B4A75"/>
    <w:rsid w:val="003B4AAF"/>
    <w:rsid w:val="003B5208"/>
    <w:rsid w:val="003B60D9"/>
    <w:rsid w:val="003B69D2"/>
    <w:rsid w:val="003B7574"/>
    <w:rsid w:val="003C00E6"/>
    <w:rsid w:val="003C0526"/>
    <w:rsid w:val="003C0B2A"/>
    <w:rsid w:val="003C0EDF"/>
    <w:rsid w:val="003C1370"/>
    <w:rsid w:val="003C1580"/>
    <w:rsid w:val="003C16EB"/>
    <w:rsid w:val="003C1CA4"/>
    <w:rsid w:val="003C2526"/>
    <w:rsid w:val="003C2AFB"/>
    <w:rsid w:val="003C3840"/>
    <w:rsid w:val="003C3E2F"/>
    <w:rsid w:val="003C437C"/>
    <w:rsid w:val="003C618D"/>
    <w:rsid w:val="003C6B1B"/>
    <w:rsid w:val="003C6C69"/>
    <w:rsid w:val="003C7445"/>
    <w:rsid w:val="003C790F"/>
    <w:rsid w:val="003C7980"/>
    <w:rsid w:val="003D0355"/>
    <w:rsid w:val="003D0CD6"/>
    <w:rsid w:val="003D0D22"/>
    <w:rsid w:val="003D1449"/>
    <w:rsid w:val="003D2D6F"/>
    <w:rsid w:val="003D2E7B"/>
    <w:rsid w:val="003D2F9A"/>
    <w:rsid w:val="003D30E6"/>
    <w:rsid w:val="003D4A6A"/>
    <w:rsid w:val="003D5422"/>
    <w:rsid w:val="003D5F10"/>
    <w:rsid w:val="003D6137"/>
    <w:rsid w:val="003D6B0E"/>
    <w:rsid w:val="003D6F19"/>
    <w:rsid w:val="003E1026"/>
    <w:rsid w:val="003E1AB4"/>
    <w:rsid w:val="003E4296"/>
    <w:rsid w:val="003E45D4"/>
    <w:rsid w:val="003E4D9B"/>
    <w:rsid w:val="003E51D8"/>
    <w:rsid w:val="003E55AE"/>
    <w:rsid w:val="003E65BF"/>
    <w:rsid w:val="003E71FF"/>
    <w:rsid w:val="003E736D"/>
    <w:rsid w:val="003E7681"/>
    <w:rsid w:val="003F058D"/>
    <w:rsid w:val="003F198D"/>
    <w:rsid w:val="003F2D20"/>
    <w:rsid w:val="003F3C32"/>
    <w:rsid w:val="003F3EA2"/>
    <w:rsid w:val="003F41D5"/>
    <w:rsid w:val="003F42F4"/>
    <w:rsid w:val="003F45C4"/>
    <w:rsid w:val="003F4B47"/>
    <w:rsid w:val="003F62C2"/>
    <w:rsid w:val="003F639C"/>
    <w:rsid w:val="003F6988"/>
    <w:rsid w:val="003F6CAA"/>
    <w:rsid w:val="003F6D5B"/>
    <w:rsid w:val="0040017C"/>
    <w:rsid w:val="004003A7"/>
    <w:rsid w:val="0040085B"/>
    <w:rsid w:val="004009AE"/>
    <w:rsid w:val="00402394"/>
    <w:rsid w:val="00402D1B"/>
    <w:rsid w:val="0040305F"/>
    <w:rsid w:val="00403409"/>
    <w:rsid w:val="00404933"/>
    <w:rsid w:val="00405134"/>
    <w:rsid w:val="00405523"/>
    <w:rsid w:val="004068BA"/>
    <w:rsid w:val="00407D94"/>
    <w:rsid w:val="00410AC2"/>
    <w:rsid w:val="00411D4C"/>
    <w:rsid w:val="004125A3"/>
    <w:rsid w:val="004125B5"/>
    <w:rsid w:val="00413679"/>
    <w:rsid w:val="00414811"/>
    <w:rsid w:val="00414D61"/>
    <w:rsid w:val="00415030"/>
    <w:rsid w:val="00415A38"/>
    <w:rsid w:val="00415E2C"/>
    <w:rsid w:val="004162FB"/>
    <w:rsid w:val="0041684D"/>
    <w:rsid w:val="00420BA9"/>
    <w:rsid w:val="00421220"/>
    <w:rsid w:val="004212B6"/>
    <w:rsid w:val="00421484"/>
    <w:rsid w:val="0042152F"/>
    <w:rsid w:val="00421547"/>
    <w:rsid w:val="00421914"/>
    <w:rsid w:val="00421A3C"/>
    <w:rsid w:val="00421AFC"/>
    <w:rsid w:val="0042228C"/>
    <w:rsid w:val="0042239A"/>
    <w:rsid w:val="004225A6"/>
    <w:rsid w:val="00422947"/>
    <w:rsid w:val="004233DE"/>
    <w:rsid w:val="004233F0"/>
    <w:rsid w:val="004237D5"/>
    <w:rsid w:val="004249D2"/>
    <w:rsid w:val="00424BB2"/>
    <w:rsid w:val="00424D83"/>
    <w:rsid w:val="00424ED6"/>
    <w:rsid w:val="00425126"/>
    <w:rsid w:val="00425654"/>
    <w:rsid w:val="00426F8A"/>
    <w:rsid w:val="004273AD"/>
    <w:rsid w:val="00427856"/>
    <w:rsid w:val="004278D2"/>
    <w:rsid w:val="00430660"/>
    <w:rsid w:val="00430CF8"/>
    <w:rsid w:val="00432F2C"/>
    <w:rsid w:val="004331A5"/>
    <w:rsid w:val="00433889"/>
    <w:rsid w:val="00434EFD"/>
    <w:rsid w:val="00435788"/>
    <w:rsid w:val="00435DF6"/>
    <w:rsid w:val="00436220"/>
    <w:rsid w:val="00437804"/>
    <w:rsid w:val="00437C6B"/>
    <w:rsid w:val="00440760"/>
    <w:rsid w:val="004407B9"/>
    <w:rsid w:val="00440C3E"/>
    <w:rsid w:val="00441E29"/>
    <w:rsid w:val="0044201A"/>
    <w:rsid w:val="00442102"/>
    <w:rsid w:val="00442279"/>
    <w:rsid w:val="004423E3"/>
    <w:rsid w:val="0044254C"/>
    <w:rsid w:val="00443293"/>
    <w:rsid w:val="004444AC"/>
    <w:rsid w:val="004446FB"/>
    <w:rsid w:val="00445121"/>
    <w:rsid w:val="00446D82"/>
    <w:rsid w:val="0044727A"/>
    <w:rsid w:val="00447BB8"/>
    <w:rsid w:val="00447C67"/>
    <w:rsid w:val="00447DB8"/>
    <w:rsid w:val="00447E2C"/>
    <w:rsid w:val="00450686"/>
    <w:rsid w:val="00451A0D"/>
    <w:rsid w:val="00452534"/>
    <w:rsid w:val="00452674"/>
    <w:rsid w:val="0045315D"/>
    <w:rsid w:val="004532FA"/>
    <w:rsid w:val="0045466D"/>
    <w:rsid w:val="004550E0"/>
    <w:rsid w:val="00456017"/>
    <w:rsid w:val="0045661A"/>
    <w:rsid w:val="00456701"/>
    <w:rsid w:val="004571BC"/>
    <w:rsid w:val="004621A9"/>
    <w:rsid w:val="0046235B"/>
    <w:rsid w:val="004623E3"/>
    <w:rsid w:val="004632B2"/>
    <w:rsid w:val="0046391C"/>
    <w:rsid w:val="00463E05"/>
    <w:rsid w:val="00463EA5"/>
    <w:rsid w:val="004641A5"/>
    <w:rsid w:val="00465660"/>
    <w:rsid w:val="00465A16"/>
    <w:rsid w:val="0046649C"/>
    <w:rsid w:val="00466D4C"/>
    <w:rsid w:val="00470AE9"/>
    <w:rsid w:val="00470FC6"/>
    <w:rsid w:val="00471170"/>
    <w:rsid w:val="004714D7"/>
    <w:rsid w:val="00471ABF"/>
    <w:rsid w:val="00471CC7"/>
    <w:rsid w:val="0047215E"/>
    <w:rsid w:val="00472CAE"/>
    <w:rsid w:val="00472D91"/>
    <w:rsid w:val="00473567"/>
    <w:rsid w:val="0047369A"/>
    <w:rsid w:val="0047382F"/>
    <w:rsid w:val="00473CEE"/>
    <w:rsid w:val="004740AD"/>
    <w:rsid w:val="004746A4"/>
    <w:rsid w:val="00476644"/>
    <w:rsid w:val="00476AF3"/>
    <w:rsid w:val="004776A1"/>
    <w:rsid w:val="0047778E"/>
    <w:rsid w:val="00477A4F"/>
    <w:rsid w:val="00477BCF"/>
    <w:rsid w:val="00480205"/>
    <w:rsid w:val="004806A5"/>
    <w:rsid w:val="004813F6"/>
    <w:rsid w:val="00481468"/>
    <w:rsid w:val="00481487"/>
    <w:rsid w:val="00481560"/>
    <w:rsid w:val="00482453"/>
    <w:rsid w:val="00482FF0"/>
    <w:rsid w:val="00483B5E"/>
    <w:rsid w:val="00483BD1"/>
    <w:rsid w:val="0048563A"/>
    <w:rsid w:val="0048796B"/>
    <w:rsid w:val="00492FA1"/>
    <w:rsid w:val="004931F8"/>
    <w:rsid w:val="004933CD"/>
    <w:rsid w:val="00493596"/>
    <w:rsid w:val="00493B34"/>
    <w:rsid w:val="004946C9"/>
    <w:rsid w:val="00494EEC"/>
    <w:rsid w:val="00495242"/>
    <w:rsid w:val="004954BB"/>
    <w:rsid w:val="00495797"/>
    <w:rsid w:val="00496561"/>
    <w:rsid w:val="00497EE7"/>
    <w:rsid w:val="004A02D3"/>
    <w:rsid w:val="004A1BA1"/>
    <w:rsid w:val="004A25ED"/>
    <w:rsid w:val="004A325E"/>
    <w:rsid w:val="004A3AE3"/>
    <w:rsid w:val="004A3FC1"/>
    <w:rsid w:val="004A49CE"/>
    <w:rsid w:val="004A5665"/>
    <w:rsid w:val="004A6872"/>
    <w:rsid w:val="004A6D8E"/>
    <w:rsid w:val="004A79DD"/>
    <w:rsid w:val="004B04B8"/>
    <w:rsid w:val="004B124F"/>
    <w:rsid w:val="004B1272"/>
    <w:rsid w:val="004B1808"/>
    <w:rsid w:val="004B1E77"/>
    <w:rsid w:val="004B1EE3"/>
    <w:rsid w:val="004B215A"/>
    <w:rsid w:val="004B26C6"/>
    <w:rsid w:val="004B2A6E"/>
    <w:rsid w:val="004B3470"/>
    <w:rsid w:val="004B3EAE"/>
    <w:rsid w:val="004B3FD6"/>
    <w:rsid w:val="004B411C"/>
    <w:rsid w:val="004B4B89"/>
    <w:rsid w:val="004B558E"/>
    <w:rsid w:val="004B5847"/>
    <w:rsid w:val="004B5913"/>
    <w:rsid w:val="004B665B"/>
    <w:rsid w:val="004B7334"/>
    <w:rsid w:val="004B7A56"/>
    <w:rsid w:val="004B7CBB"/>
    <w:rsid w:val="004C0245"/>
    <w:rsid w:val="004C0756"/>
    <w:rsid w:val="004C0FC1"/>
    <w:rsid w:val="004C145D"/>
    <w:rsid w:val="004C14A2"/>
    <w:rsid w:val="004C1CCD"/>
    <w:rsid w:val="004C2099"/>
    <w:rsid w:val="004C22DF"/>
    <w:rsid w:val="004C36F9"/>
    <w:rsid w:val="004C39F7"/>
    <w:rsid w:val="004C3E04"/>
    <w:rsid w:val="004C3F27"/>
    <w:rsid w:val="004C42C0"/>
    <w:rsid w:val="004C431A"/>
    <w:rsid w:val="004C4A91"/>
    <w:rsid w:val="004C4B5C"/>
    <w:rsid w:val="004C4E4F"/>
    <w:rsid w:val="004C7037"/>
    <w:rsid w:val="004C74A1"/>
    <w:rsid w:val="004D016D"/>
    <w:rsid w:val="004D188C"/>
    <w:rsid w:val="004D1B89"/>
    <w:rsid w:val="004D3149"/>
    <w:rsid w:val="004D32B6"/>
    <w:rsid w:val="004D52AA"/>
    <w:rsid w:val="004D653F"/>
    <w:rsid w:val="004D6D9F"/>
    <w:rsid w:val="004D7B85"/>
    <w:rsid w:val="004D7D8F"/>
    <w:rsid w:val="004E0B4A"/>
    <w:rsid w:val="004E1612"/>
    <w:rsid w:val="004E1C93"/>
    <w:rsid w:val="004E1D7D"/>
    <w:rsid w:val="004E1F58"/>
    <w:rsid w:val="004E31E7"/>
    <w:rsid w:val="004E32DF"/>
    <w:rsid w:val="004E3AB5"/>
    <w:rsid w:val="004E4C15"/>
    <w:rsid w:val="004E5425"/>
    <w:rsid w:val="004E54DF"/>
    <w:rsid w:val="004E606D"/>
    <w:rsid w:val="004E61C0"/>
    <w:rsid w:val="004E61D4"/>
    <w:rsid w:val="004E6DE8"/>
    <w:rsid w:val="004F122F"/>
    <w:rsid w:val="004F16B5"/>
    <w:rsid w:val="004F1DEA"/>
    <w:rsid w:val="004F333F"/>
    <w:rsid w:val="004F3FD9"/>
    <w:rsid w:val="004F5DE7"/>
    <w:rsid w:val="004F60DD"/>
    <w:rsid w:val="004F6844"/>
    <w:rsid w:val="004F69E5"/>
    <w:rsid w:val="004F6AF1"/>
    <w:rsid w:val="004F73FF"/>
    <w:rsid w:val="005003B0"/>
    <w:rsid w:val="00500C1D"/>
    <w:rsid w:val="0050160B"/>
    <w:rsid w:val="00502371"/>
    <w:rsid w:val="0050313E"/>
    <w:rsid w:val="00503458"/>
    <w:rsid w:val="005039C1"/>
    <w:rsid w:val="00503C88"/>
    <w:rsid w:val="0050415C"/>
    <w:rsid w:val="0050469C"/>
    <w:rsid w:val="0050533F"/>
    <w:rsid w:val="00506E9D"/>
    <w:rsid w:val="00506FBA"/>
    <w:rsid w:val="00507AE3"/>
    <w:rsid w:val="00510AC7"/>
    <w:rsid w:val="00510DA5"/>
    <w:rsid w:val="00511000"/>
    <w:rsid w:val="00511654"/>
    <w:rsid w:val="005118AA"/>
    <w:rsid w:val="00511994"/>
    <w:rsid w:val="0051221A"/>
    <w:rsid w:val="005127F3"/>
    <w:rsid w:val="005131F1"/>
    <w:rsid w:val="005138DC"/>
    <w:rsid w:val="00513D77"/>
    <w:rsid w:val="00513F36"/>
    <w:rsid w:val="00513FCE"/>
    <w:rsid w:val="00514B62"/>
    <w:rsid w:val="00514CF3"/>
    <w:rsid w:val="005151D9"/>
    <w:rsid w:val="00516585"/>
    <w:rsid w:val="00517382"/>
    <w:rsid w:val="0051777C"/>
    <w:rsid w:val="00517DE7"/>
    <w:rsid w:val="00520420"/>
    <w:rsid w:val="005213F3"/>
    <w:rsid w:val="00521783"/>
    <w:rsid w:val="005229FE"/>
    <w:rsid w:val="00522A55"/>
    <w:rsid w:val="00522EE0"/>
    <w:rsid w:val="00523DD1"/>
    <w:rsid w:val="00524F28"/>
    <w:rsid w:val="0052699C"/>
    <w:rsid w:val="00526CBB"/>
    <w:rsid w:val="005273D0"/>
    <w:rsid w:val="00527DBB"/>
    <w:rsid w:val="0053017F"/>
    <w:rsid w:val="00530532"/>
    <w:rsid w:val="005305F0"/>
    <w:rsid w:val="0053074C"/>
    <w:rsid w:val="00530FB2"/>
    <w:rsid w:val="00531129"/>
    <w:rsid w:val="0053157E"/>
    <w:rsid w:val="005316E0"/>
    <w:rsid w:val="00532259"/>
    <w:rsid w:val="00532432"/>
    <w:rsid w:val="00532A97"/>
    <w:rsid w:val="00532AE6"/>
    <w:rsid w:val="005342A6"/>
    <w:rsid w:val="00535A77"/>
    <w:rsid w:val="00536538"/>
    <w:rsid w:val="00536547"/>
    <w:rsid w:val="00536941"/>
    <w:rsid w:val="00537695"/>
    <w:rsid w:val="00537697"/>
    <w:rsid w:val="005376FE"/>
    <w:rsid w:val="00537D6A"/>
    <w:rsid w:val="00540722"/>
    <w:rsid w:val="005409AE"/>
    <w:rsid w:val="00542EFE"/>
    <w:rsid w:val="005439F6"/>
    <w:rsid w:val="005440AF"/>
    <w:rsid w:val="00544AA2"/>
    <w:rsid w:val="00545E13"/>
    <w:rsid w:val="0054659A"/>
    <w:rsid w:val="005476BD"/>
    <w:rsid w:val="00550A9A"/>
    <w:rsid w:val="00551A04"/>
    <w:rsid w:val="00551BFD"/>
    <w:rsid w:val="00551E91"/>
    <w:rsid w:val="00553226"/>
    <w:rsid w:val="005539B2"/>
    <w:rsid w:val="00554342"/>
    <w:rsid w:val="00554FD4"/>
    <w:rsid w:val="005551CD"/>
    <w:rsid w:val="00555317"/>
    <w:rsid w:val="00555404"/>
    <w:rsid w:val="005562DC"/>
    <w:rsid w:val="00556D97"/>
    <w:rsid w:val="00556E8B"/>
    <w:rsid w:val="005574E4"/>
    <w:rsid w:val="00557A97"/>
    <w:rsid w:val="00557C50"/>
    <w:rsid w:val="00560EFC"/>
    <w:rsid w:val="00561775"/>
    <w:rsid w:val="00561F76"/>
    <w:rsid w:val="00562A7F"/>
    <w:rsid w:val="00562E62"/>
    <w:rsid w:val="00563658"/>
    <w:rsid w:val="00563C32"/>
    <w:rsid w:val="005642C7"/>
    <w:rsid w:val="0056572E"/>
    <w:rsid w:val="005659B3"/>
    <w:rsid w:val="00565A06"/>
    <w:rsid w:val="0056710F"/>
    <w:rsid w:val="005671D2"/>
    <w:rsid w:val="00567BC7"/>
    <w:rsid w:val="00570EA9"/>
    <w:rsid w:val="00571742"/>
    <w:rsid w:val="0057214B"/>
    <w:rsid w:val="00572415"/>
    <w:rsid w:val="0057256D"/>
    <w:rsid w:val="00572F53"/>
    <w:rsid w:val="00573CB1"/>
    <w:rsid w:val="0057402E"/>
    <w:rsid w:val="0057438F"/>
    <w:rsid w:val="0057504D"/>
    <w:rsid w:val="00575DAE"/>
    <w:rsid w:val="00576BED"/>
    <w:rsid w:val="00580067"/>
    <w:rsid w:val="0058021A"/>
    <w:rsid w:val="005802A6"/>
    <w:rsid w:val="00580658"/>
    <w:rsid w:val="0058075D"/>
    <w:rsid w:val="005807FE"/>
    <w:rsid w:val="00580CA7"/>
    <w:rsid w:val="0058102A"/>
    <w:rsid w:val="0058114B"/>
    <w:rsid w:val="005811E2"/>
    <w:rsid w:val="0058121B"/>
    <w:rsid w:val="00581C0C"/>
    <w:rsid w:val="005820AC"/>
    <w:rsid w:val="00582724"/>
    <w:rsid w:val="00582770"/>
    <w:rsid w:val="00582D78"/>
    <w:rsid w:val="00583258"/>
    <w:rsid w:val="005859DA"/>
    <w:rsid w:val="00587270"/>
    <w:rsid w:val="005876A4"/>
    <w:rsid w:val="005921D3"/>
    <w:rsid w:val="005924BD"/>
    <w:rsid w:val="005938CD"/>
    <w:rsid w:val="00593F3A"/>
    <w:rsid w:val="0059421B"/>
    <w:rsid w:val="005953E1"/>
    <w:rsid w:val="00595AD3"/>
    <w:rsid w:val="00596700"/>
    <w:rsid w:val="0059680A"/>
    <w:rsid w:val="005979FF"/>
    <w:rsid w:val="00597A2C"/>
    <w:rsid w:val="005A0B38"/>
    <w:rsid w:val="005A142F"/>
    <w:rsid w:val="005A19DB"/>
    <w:rsid w:val="005A1A61"/>
    <w:rsid w:val="005A28AF"/>
    <w:rsid w:val="005A2FC2"/>
    <w:rsid w:val="005A43A4"/>
    <w:rsid w:val="005A517D"/>
    <w:rsid w:val="005A5A75"/>
    <w:rsid w:val="005A5F28"/>
    <w:rsid w:val="005A608F"/>
    <w:rsid w:val="005A639B"/>
    <w:rsid w:val="005A6721"/>
    <w:rsid w:val="005A6828"/>
    <w:rsid w:val="005A6A9B"/>
    <w:rsid w:val="005A6CFE"/>
    <w:rsid w:val="005A6F5F"/>
    <w:rsid w:val="005A7280"/>
    <w:rsid w:val="005B04BC"/>
    <w:rsid w:val="005B0F43"/>
    <w:rsid w:val="005B19C0"/>
    <w:rsid w:val="005B2053"/>
    <w:rsid w:val="005B25B1"/>
    <w:rsid w:val="005B2B69"/>
    <w:rsid w:val="005B2F30"/>
    <w:rsid w:val="005B3010"/>
    <w:rsid w:val="005B33B0"/>
    <w:rsid w:val="005B44F8"/>
    <w:rsid w:val="005B4A75"/>
    <w:rsid w:val="005B4CA0"/>
    <w:rsid w:val="005B5419"/>
    <w:rsid w:val="005B5DF8"/>
    <w:rsid w:val="005B6B7E"/>
    <w:rsid w:val="005B6FE0"/>
    <w:rsid w:val="005B71BF"/>
    <w:rsid w:val="005B78A6"/>
    <w:rsid w:val="005C0244"/>
    <w:rsid w:val="005C068F"/>
    <w:rsid w:val="005C0E52"/>
    <w:rsid w:val="005C0F79"/>
    <w:rsid w:val="005C2193"/>
    <w:rsid w:val="005C28B3"/>
    <w:rsid w:val="005C29D4"/>
    <w:rsid w:val="005C3011"/>
    <w:rsid w:val="005C3363"/>
    <w:rsid w:val="005C432B"/>
    <w:rsid w:val="005C5615"/>
    <w:rsid w:val="005C6052"/>
    <w:rsid w:val="005C6AFD"/>
    <w:rsid w:val="005C72DF"/>
    <w:rsid w:val="005C7305"/>
    <w:rsid w:val="005C794D"/>
    <w:rsid w:val="005C7A05"/>
    <w:rsid w:val="005D0904"/>
    <w:rsid w:val="005D1020"/>
    <w:rsid w:val="005D13F1"/>
    <w:rsid w:val="005D18DF"/>
    <w:rsid w:val="005D23CB"/>
    <w:rsid w:val="005D23DE"/>
    <w:rsid w:val="005D295D"/>
    <w:rsid w:val="005D36CF"/>
    <w:rsid w:val="005D3877"/>
    <w:rsid w:val="005D3937"/>
    <w:rsid w:val="005D44E5"/>
    <w:rsid w:val="005D5427"/>
    <w:rsid w:val="005D62B3"/>
    <w:rsid w:val="005D6ADA"/>
    <w:rsid w:val="005D7B8C"/>
    <w:rsid w:val="005E028D"/>
    <w:rsid w:val="005E0862"/>
    <w:rsid w:val="005E1401"/>
    <w:rsid w:val="005E2173"/>
    <w:rsid w:val="005E286F"/>
    <w:rsid w:val="005E2D6B"/>
    <w:rsid w:val="005E3133"/>
    <w:rsid w:val="005E3D56"/>
    <w:rsid w:val="005E4109"/>
    <w:rsid w:val="005E4F85"/>
    <w:rsid w:val="005E520D"/>
    <w:rsid w:val="005E6935"/>
    <w:rsid w:val="005E71DA"/>
    <w:rsid w:val="005E7325"/>
    <w:rsid w:val="005E78F3"/>
    <w:rsid w:val="005E792C"/>
    <w:rsid w:val="005F091A"/>
    <w:rsid w:val="005F0B16"/>
    <w:rsid w:val="005F0E16"/>
    <w:rsid w:val="005F207D"/>
    <w:rsid w:val="005F36DD"/>
    <w:rsid w:val="005F3F69"/>
    <w:rsid w:val="005F63C8"/>
    <w:rsid w:val="005F66DE"/>
    <w:rsid w:val="005F68AC"/>
    <w:rsid w:val="005F761E"/>
    <w:rsid w:val="005F7954"/>
    <w:rsid w:val="006010B1"/>
    <w:rsid w:val="006026E5"/>
    <w:rsid w:val="00602DAC"/>
    <w:rsid w:val="0060305C"/>
    <w:rsid w:val="00604082"/>
    <w:rsid w:val="00604882"/>
    <w:rsid w:val="00604BAA"/>
    <w:rsid w:val="00606291"/>
    <w:rsid w:val="00607267"/>
    <w:rsid w:val="006074D2"/>
    <w:rsid w:val="006076DE"/>
    <w:rsid w:val="00607CA3"/>
    <w:rsid w:val="00610E25"/>
    <w:rsid w:val="00611156"/>
    <w:rsid w:val="00611549"/>
    <w:rsid w:val="006116AF"/>
    <w:rsid w:val="00611877"/>
    <w:rsid w:val="006126DC"/>
    <w:rsid w:val="00612AE9"/>
    <w:rsid w:val="00614554"/>
    <w:rsid w:val="00614DDE"/>
    <w:rsid w:val="00614DEC"/>
    <w:rsid w:val="00614FC4"/>
    <w:rsid w:val="00615865"/>
    <w:rsid w:val="00615DFF"/>
    <w:rsid w:val="00615E17"/>
    <w:rsid w:val="0061682C"/>
    <w:rsid w:val="00617E4E"/>
    <w:rsid w:val="00620016"/>
    <w:rsid w:val="006206C4"/>
    <w:rsid w:val="00620BA8"/>
    <w:rsid w:val="00620EDF"/>
    <w:rsid w:val="00621B83"/>
    <w:rsid w:val="00622831"/>
    <w:rsid w:val="00622CDB"/>
    <w:rsid w:val="00623116"/>
    <w:rsid w:val="00623CEF"/>
    <w:rsid w:val="00623D6A"/>
    <w:rsid w:val="00624F91"/>
    <w:rsid w:val="00625AE9"/>
    <w:rsid w:val="006268EB"/>
    <w:rsid w:val="00626AC1"/>
    <w:rsid w:val="00627E88"/>
    <w:rsid w:val="00630C56"/>
    <w:rsid w:val="00631230"/>
    <w:rsid w:val="00631960"/>
    <w:rsid w:val="00631AC1"/>
    <w:rsid w:val="00632A78"/>
    <w:rsid w:val="00633163"/>
    <w:rsid w:val="00633784"/>
    <w:rsid w:val="00633AE6"/>
    <w:rsid w:val="00633C87"/>
    <w:rsid w:val="0063413E"/>
    <w:rsid w:val="006344A7"/>
    <w:rsid w:val="00635DFB"/>
    <w:rsid w:val="00636C2B"/>
    <w:rsid w:val="00636F72"/>
    <w:rsid w:val="00640B40"/>
    <w:rsid w:val="006411B3"/>
    <w:rsid w:val="0064134A"/>
    <w:rsid w:val="006414C4"/>
    <w:rsid w:val="006417D4"/>
    <w:rsid w:val="00642541"/>
    <w:rsid w:val="00642B23"/>
    <w:rsid w:val="00643623"/>
    <w:rsid w:val="0064376B"/>
    <w:rsid w:val="00644CA7"/>
    <w:rsid w:val="00644D77"/>
    <w:rsid w:val="00644DA4"/>
    <w:rsid w:val="00645A88"/>
    <w:rsid w:val="00645BF3"/>
    <w:rsid w:val="00646AA7"/>
    <w:rsid w:val="006506FA"/>
    <w:rsid w:val="00650B29"/>
    <w:rsid w:val="00650F6F"/>
    <w:rsid w:val="00651988"/>
    <w:rsid w:val="006520FB"/>
    <w:rsid w:val="00652A0D"/>
    <w:rsid w:val="00652F47"/>
    <w:rsid w:val="006533CF"/>
    <w:rsid w:val="00653D2B"/>
    <w:rsid w:val="00653D6F"/>
    <w:rsid w:val="006550E0"/>
    <w:rsid w:val="006550F2"/>
    <w:rsid w:val="006568AA"/>
    <w:rsid w:val="00656FA5"/>
    <w:rsid w:val="006571A5"/>
    <w:rsid w:val="006575E5"/>
    <w:rsid w:val="00657887"/>
    <w:rsid w:val="00657A57"/>
    <w:rsid w:val="00660228"/>
    <w:rsid w:val="00660F33"/>
    <w:rsid w:val="0066110C"/>
    <w:rsid w:val="00661875"/>
    <w:rsid w:val="00661922"/>
    <w:rsid w:val="00661DF6"/>
    <w:rsid w:val="0066290A"/>
    <w:rsid w:val="006631F8"/>
    <w:rsid w:val="006646A9"/>
    <w:rsid w:val="00664D70"/>
    <w:rsid w:val="00664E55"/>
    <w:rsid w:val="00664F1B"/>
    <w:rsid w:val="00664FCA"/>
    <w:rsid w:val="00666F0D"/>
    <w:rsid w:val="006676D1"/>
    <w:rsid w:val="0066782A"/>
    <w:rsid w:val="006700E9"/>
    <w:rsid w:val="0067017C"/>
    <w:rsid w:val="006715BC"/>
    <w:rsid w:val="00671D9A"/>
    <w:rsid w:val="00672219"/>
    <w:rsid w:val="00674035"/>
    <w:rsid w:val="00674A90"/>
    <w:rsid w:val="00674DF6"/>
    <w:rsid w:val="00674F8C"/>
    <w:rsid w:val="006758C7"/>
    <w:rsid w:val="0067641A"/>
    <w:rsid w:val="00676DCE"/>
    <w:rsid w:val="006778CA"/>
    <w:rsid w:val="00677D56"/>
    <w:rsid w:val="00677EBB"/>
    <w:rsid w:val="00680768"/>
    <w:rsid w:val="00680F6F"/>
    <w:rsid w:val="00682D05"/>
    <w:rsid w:val="006832C2"/>
    <w:rsid w:val="006834FB"/>
    <w:rsid w:val="00683620"/>
    <w:rsid w:val="00683707"/>
    <w:rsid w:val="00684CC8"/>
    <w:rsid w:val="00684DC3"/>
    <w:rsid w:val="00685647"/>
    <w:rsid w:val="006861CC"/>
    <w:rsid w:val="006862B4"/>
    <w:rsid w:val="00686705"/>
    <w:rsid w:val="0068790B"/>
    <w:rsid w:val="006905EC"/>
    <w:rsid w:val="006912E4"/>
    <w:rsid w:val="00691483"/>
    <w:rsid w:val="0069196F"/>
    <w:rsid w:val="006919E1"/>
    <w:rsid w:val="00691B40"/>
    <w:rsid w:val="006920FD"/>
    <w:rsid w:val="00692105"/>
    <w:rsid w:val="00692837"/>
    <w:rsid w:val="006929C0"/>
    <w:rsid w:val="00692BED"/>
    <w:rsid w:val="00692DDA"/>
    <w:rsid w:val="00692E2D"/>
    <w:rsid w:val="00692F9A"/>
    <w:rsid w:val="00693546"/>
    <w:rsid w:val="00693B00"/>
    <w:rsid w:val="006940A2"/>
    <w:rsid w:val="00694D95"/>
    <w:rsid w:val="00695DC3"/>
    <w:rsid w:val="006961E8"/>
    <w:rsid w:val="0069625E"/>
    <w:rsid w:val="00696F83"/>
    <w:rsid w:val="00697248"/>
    <w:rsid w:val="006A1814"/>
    <w:rsid w:val="006A3EF9"/>
    <w:rsid w:val="006A51CA"/>
    <w:rsid w:val="006A61C7"/>
    <w:rsid w:val="006A630B"/>
    <w:rsid w:val="006A7D1B"/>
    <w:rsid w:val="006B0C7B"/>
    <w:rsid w:val="006B11B0"/>
    <w:rsid w:val="006B227B"/>
    <w:rsid w:val="006B3A89"/>
    <w:rsid w:val="006B3D1F"/>
    <w:rsid w:val="006B60BC"/>
    <w:rsid w:val="006B6AE9"/>
    <w:rsid w:val="006B6EA7"/>
    <w:rsid w:val="006C1494"/>
    <w:rsid w:val="006C17BD"/>
    <w:rsid w:val="006C25D2"/>
    <w:rsid w:val="006C3AC1"/>
    <w:rsid w:val="006C3D81"/>
    <w:rsid w:val="006C3E1F"/>
    <w:rsid w:val="006C477D"/>
    <w:rsid w:val="006C4809"/>
    <w:rsid w:val="006C4A90"/>
    <w:rsid w:val="006C4B66"/>
    <w:rsid w:val="006C4BC2"/>
    <w:rsid w:val="006C5DFA"/>
    <w:rsid w:val="006C67A8"/>
    <w:rsid w:val="006C6A16"/>
    <w:rsid w:val="006C7F78"/>
    <w:rsid w:val="006D0FEE"/>
    <w:rsid w:val="006D18BF"/>
    <w:rsid w:val="006D29ED"/>
    <w:rsid w:val="006D2D0C"/>
    <w:rsid w:val="006D381C"/>
    <w:rsid w:val="006D4A4D"/>
    <w:rsid w:val="006D4DC0"/>
    <w:rsid w:val="006D6CC8"/>
    <w:rsid w:val="006D76ED"/>
    <w:rsid w:val="006E0342"/>
    <w:rsid w:val="006E2D21"/>
    <w:rsid w:val="006E39B8"/>
    <w:rsid w:val="006E469F"/>
    <w:rsid w:val="006E4EE4"/>
    <w:rsid w:val="006E58F4"/>
    <w:rsid w:val="006E59D9"/>
    <w:rsid w:val="006E620F"/>
    <w:rsid w:val="006E7390"/>
    <w:rsid w:val="006E7F46"/>
    <w:rsid w:val="006E7FF2"/>
    <w:rsid w:val="006F0263"/>
    <w:rsid w:val="006F10E6"/>
    <w:rsid w:val="006F14FE"/>
    <w:rsid w:val="006F23C8"/>
    <w:rsid w:val="006F2736"/>
    <w:rsid w:val="006F3B2A"/>
    <w:rsid w:val="006F40D4"/>
    <w:rsid w:val="006F41A8"/>
    <w:rsid w:val="006F429C"/>
    <w:rsid w:val="006F46D1"/>
    <w:rsid w:val="006F4CFA"/>
    <w:rsid w:val="006F4FD5"/>
    <w:rsid w:val="006F55EF"/>
    <w:rsid w:val="006F6370"/>
    <w:rsid w:val="006F7119"/>
    <w:rsid w:val="00701D3C"/>
    <w:rsid w:val="00702304"/>
    <w:rsid w:val="0070254C"/>
    <w:rsid w:val="007027A9"/>
    <w:rsid w:val="00702C37"/>
    <w:rsid w:val="00702DA3"/>
    <w:rsid w:val="0070375B"/>
    <w:rsid w:val="00703900"/>
    <w:rsid w:val="0070496D"/>
    <w:rsid w:val="007050D7"/>
    <w:rsid w:val="00705951"/>
    <w:rsid w:val="00705E71"/>
    <w:rsid w:val="00706129"/>
    <w:rsid w:val="00706675"/>
    <w:rsid w:val="0070680B"/>
    <w:rsid w:val="0070708F"/>
    <w:rsid w:val="00707DBF"/>
    <w:rsid w:val="00710624"/>
    <w:rsid w:val="00710CAD"/>
    <w:rsid w:val="00710D4C"/>
    <w:rsid w:val="00711D2F"/>
    <w:rsid w:val="007125F3"/>
    <w:rsid w:val="0071367D"/>
    <w:rsid w:val="0071374F"/>
    <w:rsid w:val="00713A19"/>
    <w:rsid w:val="00713B5C"/>
    <w:rsid w:val="00713CB3"/>
    <w:rsid w:val="00714276"/>
    <w:rsid w:val="0071537F"/>
    <w:rsid w:val="0071581F"/>
    <w:rsid w:val="0071638E"/>
    <w:rsid w:val="00716B08"/>
    <w:rsid w:val="00716F62"/>
    <w:rsid w:val="00717190"/>
    <w:rsid w:val="00717E3E"/>
    <w:rsid w:val="00720C36"/>
    <w:rsid w:val="00721935"/>
    <w:rsid w:val="007222F7"/>
    <w:rsid w:val="007224AA"/>
    <w:rsid w:val="007228FE"/>
    <w:rsid w:val="0072357A"/>
    <w:rsid w:val="0072449F"/>
    <w:rsid w:val="00724AB7"/>
    <w:rsid w:val="00724DA4"/>
    <w:rsid w:val="00725092"/>
    <w:rsid w:val="00725690"/>
    <w:rsid w:val="00726D69"/>
    <w:rsid w:val="00727E3A"/>
    <w:rsid w:val="00730CFC"/>
    <w:rsid w:val="00731674"/>
    <w:rsid w:val="007323EF"/>
    <w:rsid w:val="007327D3"/>
    <w:rsid w:val="00732DF7"/>
    <w:rsid w:val="00733285"/>
    <w:rsid w:val="00734678"/>
    <w:rsid w:val="00736FC6"/>
    <w:rsid w:val="00737924"/>
    <w:rsid w:val="0073792E"/>
    <w:rsid w:val="007404D8"/>
    <w:rsid w:val="007405EB"/>
    <w:rsid w:val="00740EA9"/>
    <w:rsid w:val="00741424"/>
    <w:rsid w:val="00741948"/>
    <w:rsid w:val="00741D97"/>
    <w:rsid w:val="0074255E"/>
    <w:rsid w:val="00742C4E"/>
    <w:rsid w:val="007438E3"/>
    <w:rsid w:val="00743B09"/>
    <w:rsid w:val="00743EFB"/>
    <w:rsid w:val="0074426D"/>
    <w:rsid w:val="00744299"/>
    <w:rsid w:val="007447C5"/>
    <w:rsid w:val="0074527D"/>
    <w:rsid w:val="007455F9"/>
    <w:rsid w:val="007465F2"/>
    <w:rsid w:val="00746D7B"/>
    <w:rsid w:val="007470E2"/>
    <w:rsid w:val="007479AA"/>
    <w:rsid w:val="00747B5C"/>
    <w:rsid w:val="007516E1"/>
    <w:rsid w:val="00751AF7"/>
    <w:rsid w:val="00752A05"/>
    <w:rsid w:val="00752D0A"/>
    <w:rsid w:val="0075357F"/>
    <w:rsid w:val="0075372A"/>
    <w:rsid w:val="00753C1D"/>
    <w:rsid w:val="00754CF2"/>
    <w:rsid w:val="00755196"/>
    <w:rsid w:val="007556ED"/>
    <w:rsid w:val="00755F34"/>
    <w:rsid w:val="00756345"/>
    <w:rsid w:val="007568BD"/>
    <w:rsid w:val="00757F95"/>
    <w:rsid w:val="00760104"/>
    <w:rsid w:val="007603E3"/>
    <w:rsid w:val="00761122"/>
    <w:rsid w:val="0076301B"/>
    <w:rsid w:val="00765192"/>
    <w:rsid w:val="00765F07"/>
    <w:rsid w:val="007665DC"/>
    <w:rsid w:val="00766760"/>
    <w:rsid w:val="007668B9"/>
    <w:rsid w:val="00766E95"/>
    <w:rsid w:val="0076703C"/>
    <w:rsid w:val="00767C10"/>
    <w:rsid w:val="007703C7"/>
    <w:rsid w:val="00770AFF"/>
    <w:rsid w:val="00771CBC"/>
    <w:rsid w:val="00772DC8"/>
    <w:rsid w:val="0077376C"/>
    <w:rsid w:val="0077378C"/>
    <w:rsid w:val="00774716"/>
    <w:rsid w:val="0077481B"/>
    <w:rsid w:val="00776095"/>
    <w:rsid w:val="007767D8"/>
    <w:rsid w:val="00776AF7"/>
    <w:rsid w:val="007801B8"/>
    <w:rsid w:val="00780252"/>
    <w:rsid w:val="00783450"/>
    <w:rsid w:val="007845EC"/>
    <w:rsid w:val="0078499E"/>
    <w:rsid w:val="00786642"/>
    <w:rsid w:val="0078667E"/>
    <w:rsid w:val="0078697B"/>
    <w:rsid w:val="00786C0F"/>
    <w:rsid w:val="00786C96"/>
    <w:rsid w:val="00786FE0"/>
    <w:rsid w:val="0078717E"/>
    <w:rsid w:val="00787977"/>
    <w:rsid w:val="0078798B"/>
    <w:rsid w:val="00787A21"/>
    <w:rsid w:val="00787DEE"/>
    <w:rsid w:val="007901AD"/>
    <w:rsid w:val="00791275"/>
    <w:rsid w:val="007913DD"/>
    <w:rsid w:val="00791876"/>
    <w:rsid w:val="00791B94"/>
    <w:rsid w:val="007920CF"/>
    <w:rsid w:val="00792613"/>
    <w:rsid w:val="00792F0C"/>
    <w:rsid w:val="00793BC5"/>
    <w:rsid w:val="00793F7C"/>
    <w:rsid w:val="007943D5"/>
    <w:rsid w:val="0079535E"/>
    <w:rsid w:val="00795708"/>
    <w:rsid w:val="00796E17"/>
    <w:rsid w:val="00797059"/>
    <w:rsid w:val="007A0720"/>
    <w:rsid w:val="007A0DDC"/>
    <w:rsid w:val="007A0F9F"/>
    <w:rsid w:val="007A179D"/>
    <w:rsid w:val="007A17E2"/>
    <w:rsid w:val="007A1F27"/>
    <w:rsid w:val="007A2176"/>
    <w:rsid w:val="007A2594"/>
    <w:rsid w:val="007A2C03"/>
    <w:rsid w:val="007A4CCE"/>
    <w:rsid w:val="007A68F1"/>
    <w:rsid w:val="007A6B9C"/>
    <w:rsid w:val="007A6EE6"/>
    <w:rsid w:val="007A7365"/>
    <w:rsid w:val="007A7FE1"/>
    <w:rsid w:val="007B065A"/>
    <w:rsid w:val="007B0738"/>
    <w:rsid w:val="007B1119"/>
    <w:rsid w:val="007B2110"/>
    <w:rsid w:val="007B32B3"/>
    <w:rsid w:val="007B3893"/>
    <w:rsid w:val="007B3A07"/>
    <w:rsid w:val="007B3C8C"/>
    <w:rsid w:val="007B47A8"/>
    <w:rsid w:val="007B48D4"/>
    <w:rsid w:val="007B48EA"/>
    <w:rsid w:val="007B4A3A"/>
    <w:rsid w:val="007B4BB6"/>
    <w:rsid w:val="007B6617"/>
    <w:rsid w:val="007B6922"/>
    <w:rsid w:val="007C02FB"/>
    <w:rsid w:val="007C1447"/>
    <w:rsid w:val="007C1FBA"/>
    <w:rsid w:val="007C2481"/>
    <w:rsid w:val="007C341B"/>
    <w:rsid w:val="007C387E"/>
    <w:rsid w:val="007C3B7A"/>
    <w:rsid w:val="007C4329"/>
    <w:rsid w:val="007C4344"/>
    <w:rsid w:val="007C473F"/>
    <w:rsid w:val="007C55A6"/>
    <w:rsid w:val="007D0D63"/>
    <w:rsid w:val="007D0F9E"/>
    <w:rsid w:val="007D1545"/>
    <w:rsid w:val="007D3CA0"/>
    <w:rsid w:val="007D3CF7"/>
    <w:rsid w:val="007D46E4"/>
    <w:rsid w:val="007D541B"/>
    <w:rsid w:val="007D5AEF"/>
    <w:rsid w:val="007D6F87"/>
    <w:rsid w:val="007E01EA"/>
    <w:rsid w:val="007E0239"/>
    <w:rsid w:val="007E0B7B"/>
    <w:rsid w:val="007E1E0F"/>
    <w:rsid w:val="007E2111"/>
    <w:rsid w:val="007E248B"/>
    <w:rsid w:val="007E2573"/>
    <w:rsid w:val="007E25BF"/>
    <w:rsid w:val="007E2913"/>
    <w:rsid w:val="007E293F"/>
    <w:rsid w:val="007E302E"/>
    <w:rsid w:val="007E352E"/>
    <w:rsid w:val="007E3B2F"/>
    <w:rsid w:val="007E41A8"/>
    <w:rsid w:val="007E432D"/>
    <w:rsid w:val="007E5623"/>
    <w:rsid w:val="007E5C3F"/>
    <w:rsid w:val="007E6492"/>
    <w:rsid w:val="007E6A64"/>
    <w:rsid w:val="007E7ACE"/>
    <w:rsid w:val="007F011C"/>
    <w:rsid w:val="007F0A38"/>
    <w:rsid w:val="007F27F4"/>
    <w:rsid w:val="007F3B5E"/>
    <w:rsid w:val="007F4022"/>
    <w:rsid w:val="007F5ABA"/>
    <w:rsid w:val="007F6BD7"/>
    <w:rsid w:val="007F6DA0"/>
    <w:rsid w:val="007F71CD"/>
    <w:rsid w:val="007F7313"/>
    <w:rsid w:val="007F79F2"/>
    <w:rsid w:val="008006B0"/>
    <w:rsid w:val="008017BA"/>
    <w:rsid w:val="0080210B"/>
    <w:rsid w:val="0080252B"/>
    <w:rsid w:val="008026AB"/>
    <w:rsid w:val="00803085"/>
    <w:rsid w:val="00803447"/>
    <w:rsid w:val="008034BA"/>
    <w:rsid w:val="00803E19"/>
    <w:rsid w:val="00804596"/>
    <w:rsid w:val="00804A3C"/>
    <w:rsid w:val="00804D36"/>
    <w:rsid w:val="00804EAF"/>
    <w:rsid w:val="008054AE"/>
    <w:rsid w:val="00806D52"/>
    <w:rsid w:val="0080733F"/>
    <w:rsid w:val="0080750E"/>
    <w:rsid w:val="00807A44"/>
    <w:rsid w:val="00807D31"/>
    <w:rsid w:val="00811685"/>
    <w:rsid w:val="00813304"/>
    <w:rsid w:val="008139A9"/>
    <w:rsid w:val="008148C8"/>
    <w:rsid w:val="0081501E"/>
    <w:rsid w:val="00816255"/>
    <w:rsid w:val="008175EC"/>
    <w:rsid w:val="00817896"/>
    <w:rsid w:val="00820806"/>
    <w:rsid w:val="00820A4B"/>
    <w:rsid w:val="00820B36"/>
    <w:rsid w:val="00820B4E"/>
    <w:rsid w:val="00820DB2"/>
    <w:rsid w:val="00820DB5"/>
    <w:rsid w:val="00820DB8"/>
    <w:rsid w:val="00821A21"/>
    <w:rsid w:val="00821A70"/>
    <w:rsid w:val="00821F87"/>
    <w:rsid w:val="008222B5"/>
    <w:rsid w:val="00822A42"/>
    <w:rsid w:val="00822D65"/>
    <w:rsid w:val="00823E1B"/>
    <w:rsid w:val="00823F25"/>
    <w:rsid w:val="00823F3D"/>
    <w:rsid w:val="0082411C"/>
    <w:rsid w:val="0082487B"/>
    <w:rsid w:val="0082488A"/>
    <w:rsid w:val="00824A76"/>
    <w:rsid w:val="00824E07"/>
    <w:rsid w:val="008252B6"/>
    <w:rsid w:val="008253FB"/>
    <w:rsid w:val="00826148"/>
    <w:rsid w:val="0082614A"/>
    <w:rsid w:val="00827EF0"/>
    <w:rsid w:val="00830543"/>
    <w:rsid w:val="0083087F"/>
    <w:rsid w:val="0083138F"/>
    <w:rsid w:val="008315A5"/>
    <w:rsid w:val="00831E20"/>
    <w:rsid w:val="008326D9"/>
    <w:rsid w:val="00832F73"/>
    <w:rsid w:val="00833757"/>
    <w:rsid w:val="00833C5F"/>
    <w:rsid w:val="00834A59"/>
    <w:rsid w:val="00834A7E"/>
    <w:rsid w:val="0083672A"/>
    <w:rsid w:val="0083727B"/>
    <w:rsid w:val="008373BE"/>
    <w:rsid w:val="00840907"/>
    <w:rsid w:val="00840F15"/>
    <w:rsid w:val="00841A08"/>
    <w:rsid w:val="00842115"/>
    <w:rsid w:val="00842523"/>
    <w:rsid w:val="00842E61"/>
    <w:rsid w:val="0084417E"/>
    <w:rsid w:val="008449F3"/>
    <w:rsid w:val="008453B8"/>
    <w:rsid w:val="008458CF"/>
    <w:rsid w:val="00845D19"/>
    <w:rsid w:val="00846033"/>
    <w:rsid w:val="00847151"/>
    <w:rsid w:val="00850245"/>
    <w:rsid w:val="008502BF"/>
    <w:rsid w:val="00850601"/>
    <w:rsid w:val="00850782"/>
    <w:rsid w:val="008507AF"/>
    <w:rsid w:val="00850E68"/>
    <w:rsid w:val="00850F58"/>
    <w:rsid w:val="00852CF8"/>
    <w:rsid w:val="008530C0"/>
    <w:rsid w:val="0085313A"/>
    <w:rsid w:val="008537A9"/>
    <w:rsid w:val="00853A9C"/>
    <w:rsid w:val="00853F23"/>
    <w:rsid w:val="00854CA4"/>
    <w:rsid w:val="0085540B"/>
    <w:rsid w:val="00856396"/>
    <w:rsid w:val="008574E1"/>
    <w:rsid w:val="00857C87"/>
    <w:rsid w:val="00860D38"/>
    <w:rsid w:val="00861382"/>
    <w:rsid w:val="008619E8"/>
    <w:rsid w:val="00862104"/>
    <w:rsid w:val="00862B11"/>
    <w:rsid w:val="008637D6"/>
    <w:rsid w:val="0086384D"/>
    <w:rsid w:val="00863D2F"/>
    <w:rsid w:val="00863F75"/>
    <w:rsid w:val="0086401A"/>
    <w:rsid w:val="008640A6"/>
    <w:rsid w:val="00864EA1"/>
    <w:rsid w:val="00864FD7"/>
    <w:rsid w:val="0086508A"/>
    <w:rsid w:val="00865578"/>
    <w:rsid w:val="00865BE0"/>
    <w:rsid w:val="00866644"/>
    <w:rsid w:val="00866D0A"/>
    <w:rsid w:val="00866D69"/>
    <w:rsid w:val="00867630"/>
    <w:rsid w:val="00870F0E"/>
    <w:rsid w:val="00871271"/>
    <w:rsid w:val="00871545"/>
    <w:rsid w:val="00871B14"/>
    <w:rsid w:val="0087230F"/>
    <w:rsid w:val="0087256B"/>
    <w:rsid w:val="008728FB"/>
    <w:rsid w:val="00874248"/>
    <w:rsid w:val="00875BF9"/>
    <w:rsid w:val="00876721"/>
    <w:rsid w:val="00876981"/>
    <w:rsid w:val="0088023E"/>
    <w:rsid w:val="00881820"/>
    <w:rsid w:val="00881D59"/>
    <w:rsid w:val="00882207"/>
    <w:rsid w:val="00882A4A"/>
    <w:rsid w:val="0088356A"/>
    <w:rsid w:val="00883FB5"/>
    <w:rsid w:val="00884009"/>
    <w:rsid w:val="00884272"/>
    <w:rsid w:val="008848DC"/>
    <w:rsid w:val="00885620"/>
    <w:rsid w:val="008866DC"/>
    <w:rsid w:val="00886BDA"/>
    <w:rsid w:val="0088703A"/>
    <w:rsid w:val="00887128"/>
    <w:rsid w:val="00887D76"/>
    <w:rsid w:val="008908B2"/>
    <w:rsid w:val="00890C66"/>
    <w:rsid w:val="00891952"/>
    <w:rsid w:val="00891DB3"/>
    <w:rsid w:val="00893845"/>
    <w:rsid w:val="00894975"/>
    <w:rsid w:val="008950DC"/>
    <w:rsid w:val="008954D1"/>
    <w:rsid w:val="008954DB"/>
    <w:rsid w:val="00896F84"/>
    <w:rsid w:val="008976CD"/>
    <w:rsid w:val="00897BA3"/>
    <w:rsid w:val="008A08C8"/>
    <w:rsid w:val="008A0EA6"/>
    <w:rsid w:val="008A154B"/>
    <w:rsid w:val="008A1DC1"/>
    <w:rsid w:val="008A1F3E"/>
    <w:rsid w:val="008A2B00"/>
    <w:rsid w:val="008A30C6"/>
    <w:rsid w:val="008A3225"/>
    <w:rsid w:val="008A3906"/>
    <w:rsid w:val="008A4BA3"/>
    <w:rsid w:val="008A62CD"/>
    <w:rsid w:val="008B119C"/>
    <w:rsid w:val="008B152D"/>
    <w:rsid w:val="008B17C8"/>
    <w:rsid w:val="008B1CD6"/>
    <w:rsid w:val="008B30FB"/>
    <w:rsid w:val="008B32E4"/>
    <w:rsid w:val="008B3877"/>
    <w:rsid w:val="008B3EAE"/>
    <w:rsid w:val="008B3EEE"/>
    <w:rsid w:val="008B3F5E"/>
    <w:rsid w:val="008B41E0"/>
    <w:rsid w:val="008B4262"/>
    <w:rsid w:val="008B42E0"/>
    <w:rsid w:val="008B4483"/>
    <w:rsid w:val="008B4A87"/>
    <w:rsid w:val="008B53FF"/>
    <w:rsid w:val="008B5952"/>
    <w:rsid w:val="008B64B9"/>
    <w:rsid w:val="008B7EFB"/>
    <w:rsid w:val="008C00E1"/>
    <w:rsid w:val="008C0F62"/>
    <w:rsid w:val="008C0F8A"/>
    <w:rsid w:val="008C1382"/>
    <w:rsid w:val="008C1F7F"/>
    <w:rsid w:val="008C2246"/>
    <w:rsid w:val="008C2AAD"/>
    <w:rsid w:val="008C3CBE"/>
    <w:rsid w:val="008C43AD"/>
    <w:rsid w:val="008C4747"/>
    <w:rsid w:val="008C4BBD"/>
    <w:rsid w:val="008C4C20"/>
    <w:rsid w:val="008C4D84"/>
    <w:rsid w:val="008C56E1"/>
    <w:rsid w:val="008C67E7"/>
    <w:rsid w:val="008C7A72"/>
    <w:rsid w:val="008C7DEC"/>
    <w:rsid w:val="008C7F64"/>
    <w:rsid w:val="008C7FF0"/>
    <w:rsid w:val="008D1B51"/>
    <w:rsid w:val="008D1DCF"/>
    <w:rsid w:val="008D3C49"/>
    <w:rsid w:val="008D3CA1"/>
    <w:rsid w:val="008D3EF8"/>
    <w:rsid w:val="008D45DE"/>
    <w:rsid w:val="008D4AAC"/>
    <w:rsid w:val="008D4C65"/>
    <w:rsid w:val="008D6936"/>
    <w:rsid w:val="008D6FCC"/>
    <w:rsid w:val="008D71E5"/>
    <w:rsid w:val="008E004E"/>
    <w:rsid w:val="008E0596"/>
    <w:rsid w:val="008E05F8"/>
    <w:rsid w:val="008E0832"/>
    <w:rsid w:val="008E11D9"/>
    <w:rsid w:val="008E1415"/>
    <w:rsid w:val="008E168C"/>
    <w:rsid w:val="008E2B1F"/>
    <w:rsid w:val="008E3B84"/>
    <w:rsid w:val="008E4232"/>
    <w:rsid w:val="008E43AF"/>
    <w:rsid w:val="008E4C82"/>
    <w:rsid w:val="008E590C"/>
    <w:rsid w:val="008E5E8A"/>
    <w:rsid w:val="008E5ED3"/>
    <w:rsid w:val="008E62CF"/>
    <w:rsid w:val="008E650F"/>
    <w:rsid w:val="008E6BA7"/>
    <w:rsid w:val="008E70FD"/>
    <w:rsid w:val="008E7225"/>
    <w:rsid w:val="008F0CB0"/>
    <w:rsid w:val="008F12F1"/>
    <w:rsid w:val="008F1514"/>
    <w:rsid w:val="008F16CF"/>
    <w:rsid w:val="008F2BCB"/>
    <w:rsid w:val="008F316C"/>
    <w:rsid w:val="008F4211"/>
    <w:rsid w:val="008F44A5"/>
    <w:rsid w:val="008F44C8"/>
    <w:rsid w:val="008F5123"/>
    <w:rsid w:val="008F52A6"/>
    <w:rsid w:val="008F55F8"/>
    <w:rsid w:val="008F60AE"/>
    <w:rsid w:val="008F6570"/>
    <w:rsid w:val="008F6701"/>
    <w:rsid w:val="008F6B2F"/>
    <w:rsid w:val="008F6FED"/>
    <w:rsid w:val="008F7339"/>
    <w:rsid w:val="008F7403"/>
    <w:rsid w:val="008F75A0"/>
    <w:rsid w:val="008F774B"/>
    <w:rsid w:val="0090084D"/>
    <w:rsid w:val="009011D2"/>
    <w:rsid w:val="0090286D"/>
    <w:rsid w:val="009028BA"/>
    <w:rsid w:val="009028F5"/>
    <w:rsid w:val="00902B1A"/>
    <w:rsid w:val="009032F2"/>
    <w:rsid w:val="009034C1"/>
    <w:rsid w:val="00903918"/>
    <w:rsid w:val="009047AA"/>
    <w:rsid w:val="009047BF"/>
    <w:rsid w:val="00905B20"/>
    <w:rsid w:val="00905FD6"/>
    <w:rsid w:val="009066A9"/>
    <w:rsid w:val="0090673C"/>
    <w:rsid w:val="00906AEC"/>
    <w:rsid w:val="00906C95"/>
    <w:rsid w:val="0091001B"/>
    <w:rsid w:val="009106D2"/>
    <w:rsid w:val="00910F55"/>
    <w:rsid w:val="00911A33"/>
    <w:rsid w:val="009133F1"/>
    <w:rsid w:val="00914C03"/>
    <w:rsid w:val="00915348"/>
    <w:rsid w:val="009174AA"/>
    <w:rsid w:val="00917CAE"/>
    <w:rsid w:val="009202A6"/>
    <w:rsid w:val="00920542"/>
    <w:rsid w:val="00920B13"/>
    <w:rsid w:val="00920CA6"/>
    <w:rsid w:val="0092135D"/>
    <w:rsid w:val="00921C04"/>
    <w:rsid w:val="00922414"/>
    <w:rsid w:val="00922749"/>
    <w:rsid w:val="009236C7"/>
    <w:rsid w:val="0092374B"/>
    <w:rsid w:val="00923FE0"/>
    <w:rsid w:val="009240A2"/>
    <w:rsid w:val="009243B6"/>
    <w:rsid w:val="00924757"/>
    <w:rsid w:val="00924E4F"/>
    <w:rsid w:val="0092528E"/>
    <w:rsid w:val="009253BA"/>
    <w:rsid w:val="00925ACF"/>
    <w:rsid w:val="00926EA9"/>
    <w:rsid w:val="00927045"/>
    <w:rsid w:val="0092777A"/>
    <w:rsid w:val="00927C1F"/>
    <w:rsid w:val="00930173"/>
    <w:rsid w:val="009306AF"/>
    <w:rsid w:val="0093073D"/>
    <w:rsid w:val="00930912"/>
    <w:rsid w:val="0093134A"/>
    <w:rsid w:val="00931A0F"/>
    <w:rsid w:val="00931A70"/>
    <w:rsid w:val="00932FB7"/>
    <w:rsid w:val="0093363A"/>
    <w:rsid w:val="00933A52"/>
    <w:rsid w:val="00933C1F"/>
    <w:rsid w:val="00933F92"/>
    <w:rsid w:val="009345C5"/>
    <w:rsid w:val="00934CD9"/>
    <w:rsid w:val="009357C7"/>
    <w:rsid w:val="009368BE"/>
    <w:rsid w:val="00936D7A"/>
    <w:rsid w:val="00937C17"/>
    <w:rsid w:val="00940EBD"/>
    <w:rsid w:val="0094145E"/>
    <w:rsid w:val="00942531"/>
    <w:rsid w:val="0094281C"/>
    <w:rsid w:val="0094282E"/>
    <w:rsid w:val="00942B1D"/>
    <w:rsid w:val="0094345F"/>
    <w:rsid w:val="00943C8B"/>
    <w:rsid w:val="0094407E"/>
    <w:rsid w:val="00944147"/>
    <w:rsid w:val="0094512E"/>
    <w:rsid w:val="00945376"/>
    <w:rsid w:val="0094591F"/>
    <w:rsid w:val="00945A57"/>
    <w:rsid w:val="00945C29"/>
    <w:rsid w:val="00947A84"/>
    <w:rsid w:val="00947C1C"/>
    <w:rsid w:val="009501F8"/>
    <w:rsid w:val="00950331"/>
    <w:rsid w:val="00950432"/>
    <w:rsid w:val="0095085E"/>
    <w:rsid w:val="0095269D"/>
    <w:rsid w:val="009526DA"/>
    <w:rsid w:val="00952A05"/>
    <w:rsid w:val="00952A15"/>
    <w:rsid w:val="0095361B"/>
    <w:rsid w:val="00953664"/>
    <w:rsid w:val="00956173"/>
    <w:rsid w:val="00956752"/>
    <w:rsid w:val="00956827"/>
    <w:rsid w:val="009569E0"/>
    <w:rsid w:val="0096046D"/>
    <w:rsid w:val="00960EA4"/>
    <w:rsid w:val="00962324"/>
    <w:rsid w:val="009627FD"/>
    <w:rsid w:val="00962DC9"/>
    <w:rsid w:val="0096346D"/>
    <w:rsid w:val="0096357E"/>
    <w:rsid w:val="00963AAB"/>
    <w:rsid w:val="00963E63"/>
    <w:rsid w:val="009640E6"/>
    <w:rsid w:val="009641C3"/>
    <w:rsid w:val="009645CB"/>
    <w:rsid w:val="0096475E"/>
    <w:rsid w:val="00964A9B"/>
    <w:rsid w:val="00966580"/>
    <w:rsid w:val="0096663A"/>
    <w:rsid w:val="0096671B"/>
    <w:rsid w:val="00966D99"/>
    <w:rsid w:val="009670DF"/>
    <w:rsid w:val="009700A3"/>
    <w:rsid w:val="009701FF"/>
    <w:rsid w:val="0097149F"/>
    <w:rsid w:val="009721F2"/>
    <w:rsid w:val="0097342F"/>
    <w:rsid w:val="00973F70"/>
    <w:rsid w:val="009749F7"/>
    <w:rsid w:val="0097626D"/>
    <w:rsid w:val="00976419"/>
    <w:rsid w:val="00976493"/>
    <w:rsid w:val="009767C4"/>
    <w:rsid w:val="00977218"/>
    <w:rsid w:val="009777CE"/>
    <w:rsid w:val="00977BE7"/>
    <w:rsid w:val="009804F5"/>
    <w:rsid w:val="00980981"/>
    <w:rsid w:val="0098163A"/>
    <w:rsid w:val="00981ECF"/>
    <w:rsid w:val="009836FA"/>
    <w:rsid w:val="0098575B"/>
    <w:rsid w:val="00985963"/>
    <w:rsid w:val="0098629D"/>
    <w:rsid w:val="00986A58"/>
    <w:rsid w:val="00986F9F"/>
    <w:rsid w:val="009876D1"/>
    <w:rsid w:val="009904BF"/>
    <w:rsid w:val="00990503"/>
    <w:rsid w:val="00990523"/>
    <w:rsid w:val="0099087F"/>
    <w:rsid w:val="00991898"/>
    <w:rsid w:val="00991916"/>
    <w:rsid w:val="00991A51"/>
    <w:rsid w:val="00992AE4"/>
    <w:rsid w:val="00992B3A"/>
    <w:rsid w:val="00992C59"/>
    <w:rsid w:val="009930EA"/>
    <w:rsid w:val="0099321B"/>
    <w:rsid w:val="0099352A"/>
    <w:rsid w:val="00993AD4"/>
    <w:rsid w:val="00993DA1"/>
    <w:rsid w:val="0099452B"/>
    <w:rsid w:val="009945DF"/>
    <w:rsid w:val="00995433"/>
    <w:rsid w:val="009962F0"/>
    <w:rsid w:val="00997029"/>
    <w:rsid w:val="00997373"/>
    <w:rsid w:val="009A0828"/>
    <w:rsid w:val="009A0A1E"/>
    <w:rsid w:val="009A1595"/>
    <w:rsid w:val="009A19CC"/>
    <w:rsid w:val="009A22A0"/>
    <w:rsid w:val="009A238E"/>
    <w:rsid w:val="009A29A8"/>
    <w:rsid w:val="009A2F3C"/>
    <w:rsid w:val="009A3FDC"/>
    <w:rsid w:val="009A4192"/>
    <w:rsid w:val="009A4666"/>
    <w:rsid w:val="009A553C"/>
    <w:rsid w:val="009A554C"/>
    <w:rsid w:val="009A6451"/>
    <w:rsid w:val="009A7DCC"/>
    <w:rsid w:val="009B0E65"/>
    <w:rsid w:val="009B1E0D"/>
    <w:rsid w:val="009B233C"/>
    <w:rsid w:val="009B2CFA"/>
    <w:rsid w:val="009B47BE"/>
    <w:rsid w:val="009B48B1"/>
    <w:rsid w:val="009B53E0"/>
    <w:rsid w:val="009B5D4A"/>
    <w:rsid w:val="009B6CF8"/>
    <w:rsid w:val="009B6F7F"/>
    <w:rsid w:val="009B712A"/>
    <w:rsid w:val="009B7F62"/>
    <w:rsid w:val="009C171C"/>
    <w:rsid w:val="009C295A"/>
    <w:rsid w:val="009C2C71"/>
    <w:rsid w:val="009C37E9"/>
    <w:rsid w:val="009C3A40"/>
    <w:rsid w:val="009C4905"/>
    <w:rsid w:val="009C5105"/>
    <w:rsid w:val="009C6361"/>
    <w:rsid w:val="009C6627"/>
    <w:rsid w:val="009C740C"/>
    <w:rsid w:val="009C74C6"/>
    <w:rsid w:val="009C7863"/>
    <w:rsid w:val="009C7D98"/>
    <w:rsid w:val="009D07B3"/>
    <w:rsid w:val="009D0D21"/>
    <w:rsid w:val="009D1352"/>
    <w:rsid w:val="009D15FA"/>
    <w:rsid w:val="009D1FAA"/>
    <w:rsid w:val="009D40BB"/>
    <w:rsid w:val="009D44CF"/>
    <w:rsid w:val="009D468A"/>
    <w:rsid w:val="009D4B69"/>
    <w:rsid w:val="009D515A"/>
    <w:rsid w:val="009D5334"/>
    <w:rsid w:val="009D67BB"/>
    <w:rsid w:val="009D6FB7"/>
    <w:rsid w:val="009D7143"/>
    <w:rsid w:val="009D7147"/>
    <w:rsid w:val="009D71DC"/>
    <w:rsid w:val="009D7662"/>
    <w:rsid w:val="009E02DD"/>
    <w:rsid w:val="009E04CE"/>
    <w:rsid w:val="009E0B5F"/>
    <w:rsid w:val="009E22C3"/>
    <w:rsid w:val="009E26B6"/>
    <w:rsid w:val="009E3B4A"/>
    <w:rsid w:val="009E419A"/>
    <w:rsid w:val="009E4FFC"/>
    <w:rsid w:val="009E5ECD"/>
    <w:rsid w:val="009E6B25"/>
    <w:rsid w:val="009E72B8"/>
    <w:rsid w:val="009E766A"/>
    <w:rsid w:val="009E79FC"/>
    <w:rsid w:val="009E7BA3"/>
    <w:rsid w:val="009F08F2"/>
    <w:rsid w:val="009F1896"/>
    <w:rsid w:val="009F1DEF"/>
    <w:rsid w:val="009F23F4"/>
    <w:rsid w:val="009F2855"/>
    <w:rsid w:val="009F3DE0"/>
    <w:rsid w:val="009F3EF1"/>
    <w:rsid w:val="009F3FC4"/>
    <w:rsid w:val="009F47FB"/>
    <w:rsid w:val="009F4D56"/>
    <w:rsid w:val="009F4D67"/>
    <w:rsid w:val="009F6995"/>
    <w:rsid w:val="009F6AFD"/>
    <w:rsid w:val="009F6BF1"/>
    <w:rsid w:val="009F7D33"/>
    <w:rsid w:val="009F7D77"/>
    <w:rsid w:val="009F7EC7"/>
    <w:rsid w:val="00A0057A"/>
    <w:rsid w:val="00A008D1"/>
    <w:rsid w:val="00A00C4C"/>
    <w:rsid w:val="00A01029"/>
    <w:rsid w:val="00A02728"/>
    <w:rsid w:val="00A04475"/>
    <w:rsid w:val="00A048CC"/>
    <w:rsid w:val="00A049EF"/>
    <w:rsid w:val="00A05BC1"/>
    <w:rsid w:val="00A06544"/>
    <w:rsid w:val="00A07948"/>
    <w:rsid w:val="00A07EE4"/>
    <w:rsid w:val="00A10317"/>
    <w:rsid w:val="00A1197C"/>
    <w:rsid w:val="00A11F5D"/>
    <w:rsid w:val="00A121AC"/>
    <w:rsid w:val="00A125ED"/>
    <w:rsid w:val="00A137F3"/>
    <w:rsid w:val="00A13BEF"/>
    <w:rsid w:val="00A13D96"/>
    <w:rsid w:val="00A149DE"/>
    <w:rsid w:val="00A15690"/>
    <w:rsid w:val="00A1571D"/>
    <w:rsid w:val="00A15ACB"/>
    <w:rsid w:val="00A16207"/>
    <w:rsid w:val="00A20043"/>
    <w:rsid w:val="00A205D8"/>
    <w:rsid w:val="00A20D3A"/>
    <w:rsid w:val="00A20F6D"/>
    <w:rsid w:val="00A21E47"/>
    <w:rsid w:val="00A22345"/>
    <w:rsid w:val="00A22777"/>
    <w:rsid w:val="00A22CB9"/>
    <w:rsid w:val="00A244CA"/>
    <w:rsid w:val="00A2549D"/>
    <w:rsid w:val="00A26222"/>
    <w:rsid w:val="00A26245"/>
    <w:rsid w:val="00A267BA"/>
    <w:rsid w:val="00A268AC"/>
    <w:rsid w:val="00A26F94"/>
    <w:rsid w:val="00A27919"/>
    <w:rsid w:val="00A30DFB"/>
    <w:rsid w:val="00A32A26"/>
    <w:rsid w:val="00A342FD"/>
    <w:rsid w:val="00A34BAF"/>
    <w:rsid w:val="00A3546C"/>
    <w:rsid w:val="00A3613F"/>
    <w:rsid w:val="00A3668C"/>
    <w:rsid w:val="00A36880"/>
    <w:rsid w:val="00A369EA"/>
    <w:rsid w:val="00A375CA"/>
    <w:rsid w:val="00A37901"/>
    <w:rsid w:val="00A37EBC"/>
    <w:rsid w:val="00A37FA9"/>
    <w:rsid w:val="00A40131"/>
    <w:rsid w:val="00A4070D"/>
    <w:rsid w:val="00A40BCE"/>
    <w:rsid w:val="00A41157"/>
    <w:rsid w:val="00A4143C"/>
    <w:rsid w:val="00A416AB"/>
    <w:rsid w:val="00A41F86"/>
    <w:rsid w:val="00A42202"/>
    <w:rsid w:val="00A4476D"/>
    <w:rsid w:val="00A448A8"/>
    <w:rsid w:val="00A45464"/>
    <w:rsid w:val="00A45B95"/>
    <w:rsid w:val="00A468A6"/>
    <w:rsid w:val="00A46EA3"/>
    <w:rsid w:val="00A46FD6"/>
    <w:rsid w:val="00A4704D"/>
    <w:rsid w:val="00A50584"/>
    <w:rsid w:val="00A5158C"/>
    <w:rsid w:val="00A51C05"/>
    <w:rsid w:val="00A51D4C"/>
    <w:rsid w:val="00A52AFA"/>
    <w:rsid w:val="00A52FE6"/>
    <w:rsid w:val="00A53044"/>
    <w:rsid w:val="00A547C3"/>
    <w:rsid w:val="00A5498D"/>
    <w:rsid w:val="00A54BE6"/>
    <w:rsid w:val="00A54C29"/>
    <w:rsid w:val="00A54F65"/>
    <w:rsid w:val="00A55CB9"/>
    <w:rsid w:val="00A55D11"/>
    <w:rsid w:val="00A55EB6"/>
    <w:rsid w:val="00A56A45"/>
    <w:rsid w:val="00A57C83"/>
    <w:rsid w:val="00A57E65"/>
    <w:rsid w:val="00A605E5"/>
    <w:rsid w:val="00A61EAD"/>
    <w:rsid w:val="00A62231"/>
    <w:rsid w:val="00A6265C"/>
    <w:rsid w:val="00A62DE7"/>
    <w:rsid w:val="00A6373F"/>
    <w:rsid w:val="00A63C05"/>
    <w:rsid w:val="00A64C2E"/>
    <w:rsid w:val="00A65631"/>
    <w:rsid w:val="00A65C43"/>
    <w:rsid w:val="00A65E61"/>
    <w:rsid w:val="00A66C7B"/>
    <w:rsid w:val="00A7017B"/>
    <w:rsid w:val="00A71162"/>
    <w:rsid w:val="00A71981"/>
    <w:rsid w:val="00A71E72"/>
    <w:rsid w:val="00A72EB5"/>
    <w:rsid w:val="00A75231"/>
    <w:rsid w:val="00A75247"/>
    <w:rsid w:val="00A772C6"/>
    <w:rsid w:val="00A77782"/>
    <w:rsid w:val="00A80204"/>
    <w:rsid w:val="00A80934"/>
    <w:rsid w:val="00A8093B"/>
    <w:rsid w:val="00A80C04"/>
    <w:rsid w:val="00A819BF"/>
    <w:rsid w:val="00A81B92"/>
    <w:rsid w:val="00A82087"/>
    <w:rsid w:val="00A83049"/>
    <w:rsid w:val="00A831CB"/>
    <w:rsid w:val="00A84009"/>
    <w:rsid w:val="00A84436"/>
    <w:rsid w:val="00A84FF5"/>
    <w:rsid w:val="00A85845"/>
    <w:rsid w:val="00A85C7E"/>
    <w:rsid w:val="00A86D4A"/>
    <w:rsid w:val="00A87063"/>
    <w:rsid w:val="00A8737F"/>
    <w:rsid w:val="00A87AB2"/>
    <w:rsid w:val="00A90EAA"/>
    <w:rsid w:val="00A9138D"/>
    <w:rsid w:val="00A91AD5"/>
    <w:rsid w:val="00A930FD"/>
    <w:rsid w:val="00A94473"/>
    <w:rsid w:val="00A94488"/>
    <w:rsid w:val="00A94A87"/>
    <w:rsid w:val="00A95EF1"/>
    <w:rsid w:val="00A962C4"/>
    <w:rsid w:val="00A96C3F"/>
    <w:rsid w:val="00AA0230"/>
    <w:rsid w:val="00AA0E11"/>
    <w:rsid w:val="00AA260E"/>
    <w:rsid w:val="00AA27DD"/>
    <w:rsid w:val="00AA2A77"/>
    <w:rsid w:val="00AA3012"/>
    <w:rsid w:val="00AA5310"/>
    <w:rsid w:val="00AA5439"/>
    <w:rsid w:val="00AA65FE"/>
    <w:rsid w:val="00AA6BAA"/>
    <w:rsid w:val="00AA6F0A"/>
    <w:rsid w:val="00AA71A0"/>
    <w:rsid w:val="00AA71BD"/>
    <w:rsid w:val="00AA71F1"/>
    <w:rsid w:val="00AA7E7E"/>
    <w:rsid w:val="00AB1327"/>
    <w:rsid w:val="00AB218F"/>
    <w:rsid w:val="00AB2383"/>
    <w:rsid w:val="00AB2C4D"/>
    <w:rsid w:val="00AB3130"/>
    <w:rsid w:val="00AB3EF2"/>
    <w:rsid w:val="00AB3FD1"/>
    <w:rsid w:val="00AB4144"/>
    <w:rsid w:val="00AB42E3"/>
    <w:rsid w:val="00AB53BD"/>
    <w:rsid w:val="00AB55F7"/>
    <w:rsid w:val="00AB5E51"/>
    <w:rsid w:val="00AB63E5"/>
    <w:rsid w:val="00AB6C08"/>
    <w:rsid w:val="00AB6C85"/>
    <w:rsid w:val="00AB7222"/>
    <w:rsid w:val="00AC0C9B"/>
    <w:rsid w:val="00AC0E77"/>
    <w:rsid w:val="00AC13E2"/>
    <w:rsid w:val="00AC14F4"/>
    <w:rsid w:val="00AC1DB6"/>
    <w:rsid w:val="00AC2626"/>
    <w:rsid w:val="00AC2C90"/>
    <w:rsid w:val="00AC2E39"/>
    <w:rsid w:val="00AC2F2D"/>
    <w:rsid w:val="00AC2FED"/>
    <w:rsid w:val="00AC3189"/>
    <w:rsid w:val="00AC350A"/>
    <w:rsid w:val="00AC4087"/>
    <w:rsid w:val="00AC4125"/>
    <w:rsid w:val="00AC4602"/>
    <w:rsid w:val="00AC7B03"/>
    <w:rsid w:val="00AD0BD8"/>
    <w:rsid w:val="00AD0C92"/>
    <w:rsid w:val="00AD1E72"/>
    <w:rsid w:val="00AD212B"/>
    <w:rsid w:val="00AD26C8"/>
    <w:rsid w:val="00AD29FC"/>
    <w:rsid w:val="00AD34DC"/>
    <w:rsid w:val="00AD3856"/>
    <w:rsid w:val="00AD3CAE"/>
    <w:rsid w:val="00AD5B57"/>
    <w:rsid w:val="00AD6675"/>
    <w:rsid w:val="00AD68DA"/>
    <w:rsid w:val="00AD6E5A"/>
    <w:rsid w:val="00AD7073"/>
    <w:rsid w:val="00AD70C7"/>
    <w:rsid w:val="00AD728B"/>
    <w:rsid w:val="00AD7690"/>
    <w:rsid w:val="00AD7B77"/>
    <w:rsid w:val="00AD7D82"/>
    <w:rsid w:val="00AD7FB3"/>
    <w:rsid w:val="00AE0249"/>
    <w:rsid w:val="00AE13BF"/>
    <w:rsid w:val="00AE1B39"/>
    <w:rsid w:val="00AE1D5A"/>
    <w:rsid w:val="00AE2277"/>
    <w:rsid w:val="00AE2FCB"/>
    <w:rsid w:val="00AE3A37"/>
    <w:rsid w:val="00AE3D67"/>
    <w:rsid w:val="00AE407C"/>
    <w:rsid w:val="00AE40D3"/>
    <w:rsid w:val="00AE5C38"/>
    <w:rsid w:val="00AE6F54"/>
    <w:rsid w:val="00AE701B"/>
    <w:rsid w:val="00AE7432"/>
    <w:rsid w:val="00AF0C30"/>
    <w:rsid w:val="00AF0F74"/>
    <w:rsid w:val="00AF16EE"/>
    <w:rsid w:val="00AF232D"/>
    <w:rsid w:val="00AF2C78"/>
    <w:rsid w:val="00AF3182"/>
    <w:rsid w:val="00AF3680"/>
    <w:rsid w:val="00AF39C7"/>
    <w:rsid w:val="00AF3E2C"/>
    <w:rsid w:val="00AF464B"/>
    <w:rsid w:val="00AF5634"/>
    <w:rsid w:val="00AF7011"/>
    <w:rsid w:val="00B00185"/>
    <w:rsid w:val="00B007A5"/>
    <w:rsid w:val="00B01ACF"/>
    <w:rsid w:val="00B01DAB"/>
    <w:rsid w:val="00B026C0"/>
    <w:rsid w:val="00B0344A"/>
    <w:rsid w:val="00B037C3"/>
    <w:rsid w:val="00B03D75"/>
    <w:rsid w:val="00B04AAD"/>
    <w:rsid w:val="00B05135"/>
    <w:rsid w:val="00B051A6"/>
    <w:rsid w:val="00B05297"/>
    <w:rsid w:val="00B05E78"/>
    <w:rsid w:val="00B066C1"/>
    <w:rsid w:val="00B06D0F"/>
    <w:rsid w:val="00B07135"/>
    <w:rsid w:val="00B071B6"/>
    <w:rsid w:val="00B07237"/>
    <w:rsid w:val="00B075D4"/>
    <w:rsid w:val="00B076B5"/>
    <w:rsid w:val="00B07A18"/>
    <w:rsid w:val="00B100EA"/>
    <w:rsid w:val="00B104F3"/>
    <w:rsid w:val="00B10CEA"/>
    <w:rsid w:val="00B10EE2"/>
    <w:rsid w:val="00B10F56"/>
    <w:rsid w:val="00B11DE6"/>
    <w:rsid w:val="00B1263F"/>
    <w:rsid w:val="00B1370E"/>
    <w:rsid w:val="00B149FF"/>
    <w:rsid w:val="00B14F90"/>
    <w:rsid w:val="00B150D9"/>
    <w:rsid w:val="00B1633A"/>
    <w:rsid w:val="00B16AA9"/>
    <w:rsid w:val="00B16D83"/>
    <w:rsid w:val="00B1783A"/>
    <w:rsid w:val="00B20BD9"/>
    <w:rsid w:val="00B22DEF"/>
    <w:rsid w:val="00B236E7"/>
    <w:rsid w:val="00B24E40"/>
    <w:rsid w:val="00B250A2"/>
    <w:rsid w:val="00B25636"/>
    <w:rsid w:val="00B25AC9"/>
    <w:rsid w:val="00B25DE1"/>
    <w:rsid w:val="00B261D5"/>
    <w:rsid w:val="00B26C0C"/>
    <w:rsid w:val="00B30112"/>
    <w:rsid w:val="00B30419"/>
    <w:rsid w:val="00B30ABF"/>
    <w:rsid w:val="00B315A9"/>
    <w:rsid w:val="00B31645"/>
    <w:rsid w:val="00B31AB8"/>
    <w:rsid w:val="00B31D7A"/>
    <w:rsid w:val="00B32007"/>
    <w:rsid w:val="00B337A3"/>
    <w:rsid w:val="00B355D7"/>
    <w:rsid w:val="00B36639"/>
    <w:rsid w:val="00B37FE5"/>
    <w:rsid w:val="00B41672"/>
    <w:rsid w:val="00B42242"/>
    <w:rsid w:val="00B4235C"/>
    <w:rsid w:val="00B425A3"/>
    <w:rsid w:val="00B43351"/>
    <w:rsid w:val="00B448D0"/>
    <w:rsid w:val="00B44CC9"/>
    <w:rsid w:val="00B450B8"/>
    <w:rsid w:val="00B45BBD"/>
    <w:rsid w:val="00B45CD9"/>
    <w:rsid w:val="00B46457"/>
    <w:rsid w:val="00B46599"/>
    <w:rsid w:val="00B467BE"/>
    <w:rsid w:val="00B476E5"/>
    <w:rsid w:val="00B47D6F"/>
    <w:rsid w:val="00B50955"/>
    <w:rsid w:val="00B50B5B"/>
    <w:rsid w:val="00B50BF6"/>
    <w:rsid w:val="00B52033"/>
    <w:rsid w:val="00B5258B"/>
    <w:rsid w:val="00B52D21"/>
    <w:rsid w:val="00B5345B"/>
    <w:rsid w:val="00B54584"/>
    <w:rsid w:val="00B546B8"/>
    <w:rsid w:val="00B54CFA"/>
    <w:rsid w:val="00B555B8"/>
    <w:rsid w:val="00B558E7"/>
    <w:rsid w:val="00B55FF0"/>
    <w:rsid w:val="00B56380"/>
    <w:rsid w:val="00B56A7F"/>
    <w:rsid w:val="00B56AD2"/>
    <w:rsid w:val="00B56AE1"/>
    <w:rsid w:val="00B57A68"/>
    <w:rsid w:val="00B57E2F"/>
    <w:rsid w:val="00B61D6D"/>
    <w:rsid w:val="00B61D79"/>
    <w:rsid w:val="00B62ED2"/>
    <w:rsid w:val="00B63C17"/>
    <w:rsid w:val="00B6463D"/>
    <w:rsid w:val="00B64BD1"/>
    <w:rsid w:val="00B65121"/>
    <w:rsid w:val="00B6541D"/>
    <w:rsid w:val="00B654FE"/>
    <w:rsid w:val="00B665E3"/>
    <w:rsid w:val="00B67281"/>
    <w:rsid w:val="00B6775B"/>
    <w:rsid w:val="00B67762"/>
    <w:rsid w:val="00B67D86"/>
    <w:rsid w:val="00B7016B"/>
    <w:rsid w:val="00B7067E"/>
    <w:rsid w:val="00B70A22"/>
    <w:rsid w:val="00B712D4"/>
    <w:rsid w:val="00B7403B"/>
    <w:rsid w:val="00B742E3"/>
    <w:rsid w:val="00B74F40"/>
    <w:rsid w:val="00B75215"/>
    <w:rsid w:val="00B75873"/>
    <w:rsid w:val="00B758F7"/>
    <w:rsid w:val="00B75F64"/>
    <w:rsid w:val="00B760EA"/>
    <w:rsid w:val="00B76291"/>
    <w:rsid w:val="00B76325"/>
    <w:rsid w:val="00B77393"/>
    <w:rsid w:val="00B7795E"/>
    <w:rsid w:val="00B8014F"/>
    <w:rsid w:val="00B80182"/>
    <w:rsid w:val="00B8043E"/>
    <w:rsid w:val="00B810EE"/>
    <w:rsid w:val="00B815A3"/>
    <w:rsid w:val="00B8189F"/>
    <w:rsid w:val="00B81AF3"/>
    <w:rsid w:val="00B81FDC"/>
    <w:rsid w:val="00B8290C"/>
    <w:rsid w:val="00B82E9C"/>
    <w:rsid w:val="00B8333C"/>
    <w:rsid w:val="00B838DF"/>
    <w:rsid w:val="00B83A2E"/>
    <w:rsid w:val="00B8438D"/>
    <w:rsid w:val="00B8465B"/>
    <w:rsid w:val="00B84E36"/>
    <w:rsid w:val="00B84EB7"/>
    <w:rsid w:val="00B84F5F"/>
    <w:rsid w:val="00B8515E"/>
    <w:rsid w:val="00B86726"/>
    <w:rsid w:val="00B868A1"/>
    <w:rsid w:val="00B868C4"/>
    <w:rsid w:val="00B8711A"/>
    <w:rsid w:val="00B8738F"/>
    <w:rsid w:val="00B87C05"/>
    <w:rsid w:val="00B904FB"/>
    <w:rsid w:val="00B91AED"/>
    <w:rsid w:val="00B921B1"/>
    <w:rsid w:val="00B9220F"/>
    <w:rsid w:val="00B92650"/>
    <w:rsid w:val="00B92835"/>
    <w:rsid w:val="00B929FA"/>
    <w:rsid w:val="00B93295"/>
    <w:rsid w:val="00B93562"/>
    <w:rsid w:val="00B93988"/>
    <w:rsid w:val="00B93B63"/>
    <w:rsid w:val="00B93C06"/>
    <w:rsid w:val="00B940EC"/>
    <w:rsid w:val="00B95D67"/>
    <w:rsid w:val="00B966CE"/>
    <w:rsid w:val="00B966F9"/>
    <w:rsid w:val="00B96A23"/>
    <w:rsid w:val="00B9760B"/>
    <w:rsid w:val="00BA068C"/>
    <w:rsid w:val="00BA0B67"/>
    <w:rsid w:val="00BA0EF6"/>
    <w:rsid w:val="00BA18EF"/>
    <w:rsid w:val="00BA1CFB"/>
    <w:rsid w:val="00BA2B08"/>
    <w:rsid w:val="00BA465E"/>
    <w:rsid w:val="00BA4D75"/>
    <w:rsid w:val="00BA4E01"/>
    <w:rsid w:val="00BA5580"/>
    <w:rsid w:val="00BA5BA9"/>
    <w:rsid w:val="00BA5F42"/>
    <w:rsid w:val="00BA6103"/>
    <w:rsid w:val="00BA622D"/>
    <w:rsid w:val="00BA635A"/>
    <w:rsid w:val="00BA68AF"/>
    <w:rsid w:val="00BA7246"/>
    <w:rsid w:val="00BA76CE"/>
    <w:rsid w:val="00BA7B55"/>
    <w:rsid w:val="00BA7E3F"/>
    <w:rsid w:val="00BB1ED9"/>
    <w:rsid w:val="00BB207D"/>
    <w:rsid w:val="00BB2AAF"/>
    <w:rsid w:val="00BB3317"/>
    <w:rsid w:val="00BB3486"/>
    <w:rsid w:val="00BB38F8"/>
    <w:rsid w:val="00BB3E90"/>
    <w:rsid w:val="00BB4366"/>
    <w:rsid w:val="00BB44D0"/>
    <w:rsid w:val="00BB4632"/>
    <w:rsid w:val="00BB52EC"/>
    <w:rsid w:val="00BB5D6B"/>
    <w:rsid w:val="00BC045E"/>
    <w:rsid w:val="00BC2074"/>
    <w:rsid w:val="00BC27C2"/>
    <w:rsid w:val="00BC27D7"/>
    <w:rsid w:val="00BC2935"/>
    <w:rsid w:val="00BC2B22"/>
    <w:rsid w:val="00BC33A7"/>
    <w:rsid w:val="00BC357E"/>
    <w:rsid w:val="00BC3E99"/>
    <w:rsid w:val="00BC4844"/>
    <w:rsid w:val="00BC4AA3"/>
    <w:rsid w:val="00BC4E72"/>
    <w:rsid w:val="00BC53BA"/>
    <w:rsid w:val="00BC57C2"/>
    <w:rsid w:val="00BC5A0A"/>
    <w:rsid w:val="00BC5E05"/>
    <w:rsid w:val="00BC5E12"/>
    <w:rsid w:val="00BC6085"/>
    <w:rsid w:val="00BC62BC"/>
    <w:rsid w:val="00BC6522"/>
    <w:rsid w:val="00BC65FB"/>
    <w:rsid w:val="00BC73EA"/>
    <w:rsid w:val="00BD034D"/>
    <w:rsid w:val="00BD03B0"/>
    <w:rsid w:val="00BD0B2A"/>
    <w:rsid w:val="00BD0E35"/>
    <w:rsid w:val="00BD1771"/>
    <w:rsid w:val="00BD270E"/>
    <w:rsid w:val="00BD31CA"/>
    <w:rsid w:val="00BD321B"/>
    <w:rsid w:val="00BD3262"/>
    <w:rsid w:val="00BD348C"/>
    <w:rsid w:val="00BD38C2"/>
    <w:rsid w:val="00BD3AA2"/>
    <w:rsid w:val="00BD4335"/>
    <w:rsid w:val="00BD48A9"/>
    <w:rsid w:val="00BD501E"/>
    <w:rsid w:val="00BD5AB3"/>
    <w:rsid w:val="00BE009D"/>
    <w:rsid w:val="00BE0D1F"/>
    <w:rsid w:val="00BE0FEE"/>
    <w:rsid w:val="00BE1649"/>
    <w:rsid w:val="00BE19F2"/>
    <w:rsid w:val="00BE2420"/>
    <w:rsid w:val="00BE281E"/>
    <w:rsid w:val="00BE3C84"/>
    <w:rsid w:val="00BE3F37"/>
    <w:rsid w:val="00BE67A7"/>
    <w:rsid w:val="00BE6FF8"/>
    <w:rsid w:val="00BE6FFA"/>
    <w:rsid w:val="00BE712B"/>
    <w:rsid w:val="00BE7B1A"/>
    <w:rsid w:val="00BF0379"/>
    <w:rsid w:val="00BF1004"/>
    <w:rsid w:val="00BF1BD0"/>
    <w:rsid w:val="00BF27DD"/>
    <w:rsid w:val="00BF4110"/>
    <w:rsid w:val="00BF5E50"/>
    <w:rsid w:val="00BF5E88"/>
    <w:rsid w:val="00BF6437"/>
    <w:rsid w:val="00BF6523"/>
    <w:rsid w:val="00C0082B"/>
    <w:rsid w:val="00C01233"/>
    <w:rsid w:val="00C01300"/>
    <w:rsid w:val="00C01AEC"/>
    <w:rsid w:val="00C0206B"/>
    <w:rsid w:val="00C02CDE"/>
    <w:rsid w:val="00C042A5"/>
    <w:rsid w:val="00C04715"/>
    <w:rsid w:val="00C04DA6"/>
    <w:rsid w:val="00C04EEC"/>
    <w:rsid w:val="00C05763"/>
    <w:rsid w:val="00C05FF7"/>
    <w:rsid w:val="00C060D7"/>
    <w:rsid w:val="00C06759"/>
    <w:rsid w:val="00C07252"/>
    <w:rsid w:val="00C07DFE"/>
    <w:rsid w:val="00C101E3"/>
    <w:rsid w:val="00C11668"/>
    <w:rsid w:val="00C11AC0"/>
    <w:rsid w:val="00C120D6"/>
    <w:rsid w:val="00C129BC"/>
    <w:rsid w:val="00C12BD6"/>
    <w:rsid w:val="00C12DC4"/>
    <w:rsid w:val="00C12FB0"/>
    <w:rsid w:val="00C138CF"/>
    <w:rsid w:val="00C14040"/>
    <w:rsid w:val="00C14844"/>
    <w:rsid w:val="00C1539F"/>
    <w:rsid w:val="00C158D8"/>
    <w:rsid w:val="00C1610A"/>
    <w:rsid w:val="00C21110"/>
    <w:rsid w:val="00C21280"/>
    <w:rsid w:val="00C21CA3"/>
    <w:rsid w:val="00C229F3"/>
    <w:rsid w:val="00C22AA1"/>
    <w:rsid w:val="00C23A3B"/>
    <w:rsid w:val="00C23DA2"/>
    <w:rsid w:val="00C2418E"/>
    <w:rsid w:val="00C2548C"/>
    <w:rsid w:val="00C25663"/>
    <w:rsid w:val="00C25820"/>
    <w:rsid w:val="00C26CBE"/>
    <w:rsid w:val="00C27D2F"/>
    <w:rsid w:val="00C303A9"/>
    <w:rsid w:val="00C30A50"/>
    <w:rsid w:val="00C31496"/>
    <w:rsid w:val="00C31651"/>
    <w:rsid w:val="00C32E64"/>
    <w:rsid w:val="00C33129"/>
    <w:rsid w:val="00C33633"/>
    <w:rsid w:val="00C34038"/>
    <w:rsid w:val="00C34069"/>
    <w:rsid w:val="00C34415"/>
    <w:rsid w:val="00C346AD"/>
    <w:rsid w:val="00C3490B"/>
    <w:rsid w:val="00C34CA5"/>
    <w:rsid w:val="00C35BB2"/>
    <w:rsid w:val="00C36ED1"/>
    <w:rsid w:val="00C37040"/>
    <w:rsid w:val="00C3785B"/>
    <w:rsid w:val="00C3792A"/>
    <w:rsid w:val="00C407DF"/>
    <w:rsid w:val="00C408A7"/>
    <w:rsid w:val="00C408DD"/>
    <w:rsid w:val="00C4090E"/>
    <w:rsid w:val="00C4126E"/>
    <w:rsid w:val="00C41708"/>
    <w:rsid w:val="00C42480"/>
    <w:rsid w:val="00C4293F"/>
    <w:rsid w:val="00C42D1F"/>
    <w:rsid w:val="00C43D23"/>
    <w:rsid w:val="00C44195"/>
    <w:rsid w:val="00C442D8"/>
    <w:rsid w:val="00C449ED"/>
    <w:rsid w:val="00C44A46"/>
    <w:rsid w:val="00C44CEE"/>
    <w:rsid w:val="00C45084"/>
    <w:rsid w:val="00C4516C"/>
    <w:rsid w:val="00C45194"/>
    <w:rsid w:val="00C4558F"/>
    <w:rsid w:val="00C45B70"/>
    <w:rsid w:val="00C45C61"/>
    <w:rsid w:val="00C461BE"/>
    <w:rsid w:val="00C47273"/>
    <w:rsid w:val="00C50CCC"/>
    <w:rsid w:val="00C50E62"/>
    <w:rsid w:val="00C51F04"/>
    <w:rsid w:val="00C52563"/>
    <w:rsid w:val="00C53D72"/>
    <w:rsid w:val="00C5437B"/>
    <w:rsid w:val="00C556C3"/>
    <w:rsid w:val="00C561F5"/>
    <w:rsid w:val="00C57075"/>
    <w:rsid w:val="00C57676"/>
    <w:rsid w:val="00C57990"/>
    <w:rsid w:val="00C601D0"/>
    <w:rsid w:val="00C615B2"/>
    <w:rsid w:val="00C62057"/>
    <w:rsid w:val="00C63068"/>
    <w:rsid w:val="00C637A6"/>
    <w:rsid w:val="00C64039"/>
    <w:rsid w:val="00C642B1"/>
    <w:rsid w:val="00C646D2"/>
    <w:rsid w:val="00C64B9B"/>
    <w:rsid w:val="00C64CC1"/>
    <w:rsid w:val="00C651A0"/>
    <w:rsid w:val="00C651B8"/>
    <w:rsid w:val="00C678B3"/>
    <w:rsid w:val="00C67CF7"/>
    <w:rsid w:val="00C70741"/>
    <w:rsid w:val="00C70B40"/>
    <w:rsid w:val="00C70DD8"/>
    <w:rsid w:val="00C71E51"/>
    <w:rsid w:val="00C72735"/>
    <w:rsid w:val="00C728FF"/>
    <w:rsid w:val="00C72F2B"/>
    <w:rsid w:val="00C73973"/>
    <w:rsid w:val="00C75ABC"/>
    <w:rsid w:val="00C772C6"/>
    <w:rsid w:val="00C77876"/>
    <w:rsid w:val="00C80924"/>
    <w:rsid w:val="00C81815"/>
    <w:rsid w:val="00C81D55"/>
    <w:rsid w:val="00C85058"/>
    <w:rsid w:val="00C8511C"/>
    <w:rsid w:val="00C85860"/>
    <w:rsid w:val="00C85F9B"/>
    <w:rsid w:val="00C8681A"/>
    <w:rsid w:val="00C870CB"/>
    <w:rsid w:val="00C87517"/>
    <w:rsid w:val="00C87547"/>
    <w:rsid w:val="00C87905"/>
    <w:rsid w:val="00C9054B"/>
    <w:rsid w:val="00C93398"/>
    <w:rsid w:val="00C9381F"/>
    <w:rsid w:val="00C9389A"/>
    <w:rsid w:val="00C94239"/>
    <w:rsid w:val="00C94AB7"/>
    <w:rsid w:val="00C94F84"/>
    <w:rsid w:val="00C950E9"/>
    <w:rsid w:val="00C95551"/>
    <w:rsid w:val="00C958FA"/>
    <w:rsid w:val="00C9612C"/>
    <w:rsid w:val="00C96413"/>
    <w:rsid w:val="00C97276"/>
    <w:rsid w:val="00CA0273"/>
    <w:rsid w:val="00CA049E"/>
    <w:rsid w:val="00CA10D2"/>
    <w:rsid w:val="00CA184E"/>
    <w:rsid w:val="00CA2147"/>
    <w:rsid w:val="00CA301A"/>
    <w:rsid w:val="00CA3986"/>
    <w:rsid w:val="00CA39A1"/>
    <w:rsid w:val="00CA445A"/>
    <w:rsid w:val="00CA5915"/>
    <w:rsid w:val="00CA5ADE"/>
    <w:rsid w:val="00CA6AC5"/>
    <w:rsid w:val="00CA6F21"/>
    <w:rsid w:val="00CA7142"/>
    <w:rsid w:val="00CA76D9"/>
    <w:rsid w:val="00CA79C1"/>
    <w:rsid w:val="00CB025B"/>
    <w:rsid w:val="00CB2049"/>
    <w:rsid w:val="00CB241E"/>
    <w:rsid w:val="00CB2AA3"/>
    <w:rsid w:val="00CB3FF3"/>
    <w:rsid w:val="00CB5154"/>
    <w:rsid w:val="00CB584E"/>
    <w:rsid w:val="00CB6CDE"/>
    <w:rsid w:val="00CC0EC7"/>
    <w:rsid w:val="00CC158C"/>
    <w:rsid w:val="00CC202B"/>
    <w:rsid w:val="00CC2AB0"/>
    <w:rsid w:val="00CC39F2"/>
    <w:rsid w:val="00CC3AA3"/>
    <w:rsid w:val="00CC3C7D"/>
    <w:rsid w:val="00CC3FED"/>
    <w:rsid w:val="00CC4594"/>
    <w:rsid w:val="00CC59DF"/>
    <w:rsid w:val="00CC5B76"/>
    <w:rsid w:val="00CC5C81"/>
    <w:rsid w:val="00CC5D7A"/>
    <w:rsid w:val="00CC6004"/>
    <w:rsid w:val="00CC62AC"/>
    <w:rsid w:val="00CC682A"/>
    <w:rsid w:val="00CC6B4C"/>
    <w:rsid w:val="00CC7FF5"/>
    <w:rsid w:val="00CD1070"/>
    <w:rsid w:val="00CD11AB"/>
    <w:rsid w:val="00CD137A"/>
    <w:rsid w:val="00CD1DE8"/>
    <w:rsid w:val="00CD3332"/>
    <w:rsid w:val="00CD3F97"/>
    <w:rsid w:val="00CD47D0"/>
    <w:rsid w:val="00CD49A7"/>
    <w:rsid w:val="00CD50E4"/>
    <w:rsid w:val="00CD5134"/>
    <w:rsid w:val="00CD52A7"/>
    <w:rsid w:val="00CD611D"/>
    <w:rsid w:val="00CD6C61"/>
    <w:rsid w:val="00CD737A"/>
    <w:rsid w:val="00CD737C"/>
    <w:rsid w:val="00CE0172"/>
    <w:rsid w:val="00CE06A1"/>
    <w:rsid w:val="00CE09D5"/>
    <w:rsid w:val="00CE20E6"/>
    <w:rsid w:val="00CE2D30"/>
    <w:rsid w:val="00CE382C"/>
    <w:rsid w:val="00CE3C5A"/>
    <w:rsid w:val="00CE3F69"/>
    <w:rsid w:val="00CE4142"/>
    <w:rsid w:val="00CE4253"/>
    <w:rsid w:val="00CE4B8E"/>
    <w:rsid w:val="00CE4BC1"/>
    <w:rsid w:val="00CE5AE4"/>
    <w:rsid w:val="00CE6188"/>
    <w:rsid w:val="00CE68AB"/>
    <w:rsid w:val="00CE69A3"/>
    <w:rsid w:val="00CE7110"/>
    <w:rsid w:val="00CE7323"/>
    <w:rsid w:val="00CE7688"/>
    <w:rsid w:val="00CF144D"/>
    <w:rsid w:val="00CF1E50"/>
    <w:rsid w:val="00CF2F0D"/>
    <w:rsid w:val="00CF2F91"/>
    <w:rsid w:val="00CF329A"/>
    <w:rsid w:val="00CF34C6"/>
    <w:rsid w:val="00CF37C0"/>
    <w:rsid w:val="00CF4C70"/>
    <w:rsid w:val="00CF52DF"/>
    <w:rsid w:val="00CF6112"/>
    <w:rsid w:val="00CF640B"/>
    <w:rsid w:val="00CF7121"/>
    <w:rsid w:val="00CF739E"/>
    <w:rsid w:val="00CF7E32"/>
    <w:rsid w:val="00D01007"/>
    <w:rsid w:val="00D010EF"/>
    <w:rsid w:val="00D02EA4"/>
    <w:rsid w:val="00D03672"/>
    <w:rsid w:val="00D036C3"/>
    <w:rsid w:val="00D040AD"/>
    <w:rsid w:val="00D04510"/>
    <w:rsid w:val="00D04A23"/>
    <w:rsid w:val="00D0596D"/>
    <w:rsid w:val="00D05F4A"/>
    <w:rsid w:val="00D100EC"/>
    <w:rsid w:val="00D102A5"/>
    <w:rsid w:val="00D10329"/>
    <w:rsid w:val="00D10B5E"/>
    <w:rsid w:val="00D10FED"/>
    <w:rsid w:val="00D11ECD"/>
    <w:rsid w:val="00D11F0F"/>
    <w:rsid w:val="00D120AA"/>
    <w:rsid w:val="00D122EC"/>
    <w:rsid w:val="00D123CA"/>
    <w:rsid w:val="00D12F1E"/>
    <w:rsid w:val="00D13BF9"/>
    <w:rsid w:val="00D13DCA"/>
    <w:rsid w:val="00D14142"/>
    <w:rsid w:val="00D14323"/>
    <w:rsid w:val="00D146F0"/>
    <w:rsid w:val="00D1474E"/>
    <w:rsid w:val="00D1656D"/>
    <w:rsid w:val="00D1685E"/>
    <w:rsid w:val="00D16FF4"/>
    <w:rsid w:val="00D170B6"/>
    <w:rsid w:val="00D17997"/>
    <w:rsid w:val="00D22800"/>
    <w:rsid w:val="00D23B27"/>
    <w:rsid w:val="00D2460F"/>
    <w:rsid w:val="00D24890"/>
    <w:rsid w:val="00D24C3D"/>
    <w:rsid w:val="00D254BA"/>
    <w:rsid w:val="00D25F47"/>
    <w:rsid w:val="00D2647A"/>
    <w:rsid w:val="00D27078"/>
    <w:rsid w:val="00D270F4"/>
    <w:rsid w:val="00D27D55"/>
    <w:rsid w:val="00D323F0"/>
    <w:rsid w:val="00D32CA2"/>
    <w:rsid w:val="00D33947"/>
    <w:rsid w:val="00D33A66"/>
    <w:rsid w:val="00D353B6"/>
    <w:rsid w:val="00D35F80"/>
    <w:rsid w:val="00D35FA4"/>
    <w:rsid w:val="00D362CE"/>
    <w:rsid w:val="00D36504"/>
    <w:rsid w:val="00D3719C"/>
    <w:rsid w:val="00D40BFF"/>
    <w:rsid w:val="00D40C2A"/>
    <w:rsid w:val="00D412BB"/>
    <w:rsid w:val="00D4177C"/>
    <w:rsid w:val="00D43E4E"/>
    <w:rsid w:val="00D44D30"/>
    <w:rsid w:val="00D45537"/>
    <w:rsid w:val="00D479CE"/>
    <w:rsid w:val="00D47C6E"/>
    <w:rsid w:val="00D50822"/>
    <w:rsid w:val="00D50A81"/>
    <w:rsid w:val="00D50A85"/>
    <w:rsid w:val="00D50DDC"/>
    <w:rsid w:val="00D5170C"/>
    <w:rsid w:val="00D52379"/>
    <w:rsid w:val="00D52C51"/>
    <w:rsid w:val="00D52CFE"/>
    <w:rsid w:val="00D533E1"/>
    <w:rsid w:val="00D5475A"/>
    <w:rsid w:val="00D553CC"/>
    <w:rsid w:val="00D5569F"/>
    <w:rsid w:val="00D5589A"/>
    <w:rsid w:val="00D56165"/>
    <w:rsid w:val="00D56466"/>
    <w:rsid w:val="00D5684C"/>
    <w:rsid w:val="00D60006"/>
    <w:rsid w:val="00D601EB"/>
    <w:rsid w:val="00D61387"/>
    <w:rsid w:val="00D614D1"/>
    <w:rsid w:val="00D615DE"/>
    <w:rsid w:val="00D6177D"/>
    <w:rsid w:val="00D61ECD"/>
    <w:rsid w:val="00D63B42"/>
    <w:rsid w:val="00D63F5D"/>
    <w:rsid w:val="00D64C61"/>
    <w:rsid w:val="00D65649"/>
    <w:rsid w:val="00D65EBF"/>
    <w:rsid w:val="00D6647E"/>
    <w:rsid w:val="00D66CB2"/>
    <w:rsid w:val="00D71461"/>
    <w:rsid w:val="00D71D75"/>
    <w:rsid w:val="00D72536"/>
    <w:rsid w:val="00D72F3E"/>
    <w:rsid w:val="00D73006"/>
    <w:rsid w:val="00D736C4"/>
    <w:rsid w:val="00D75A36"/>
    <w:rsid w:val="00D75E68"/>
    <w:rsid w:val="00D778A1"/>
    <w:rsid w:val="00D778F4"/>
    <w:rsid w:val="00D7796B"/>
    <w:rsid w:val="00D77CA5"/>
    <w:rsid w:val="00D8089D"/>
    <w:rsid w:val="00D80B72"/>
    <w:rsid w:val="00D80E6C"/>
    <w:rsid w:val="00D81A31"/>
    <w:rsid w:val="00D81C3E"/>
    <w:rsid w:val="00D8264C"/>
    <w:rsid w:val="00D82AF6"/>
    <w:rsid w:val="00D82B0F"/>
    <w:rsid w:val="00D82EBB"/>
    <w:rsid w:val="00D830D5"/>
    <w:rsid w:val="00D83186"/>
    <w:rsid w:val="00D8320B"/>
    <w:rsid w:val="00D833F7"/>
    <w:rsid w:val="00D8359A"/>
    <w:rsid w:val="00D836EA"/>
    <w:rsid w:val="00D8411C"/>
    <w:rsid w:val="00D847E7"/>
    <w:rsid w:val="00D84A00"/>
    <w:rsid w:val="00D84EB5"/>
    <w:rsid w:val="00D856F3"/>
    <w:rsid w:val="00D86137"/>
    <w:rsid w:val="00D86889"/>
    <w:rsid w:val="00D868DE"/>
    <w:rsid w:val="00D86FC2"/>
    <w:rsid w:val="00D875BE"/>
    <w:rsid w:val="00D90A73"/>
    <w:rsid w:val="00D916C9"/>
    <w:rsid w:val="00D925F8"/>
    <w:rsid w:val="00D929AE"/>
    <w:rsid w:val="00D92A91"/>
    <w:rsid w:val="00D92F9D"/>
    <w:rsid w:val="00D92FF1"/>
    <w:rsid w:val="00D9378D"/>
    <w:rsid w:val="00D93796"/>
    <w:rsid w:val="00D9399B"/>
    <w:rsid w:val="00D939F8"/>
    <w:rsid w:val="00D942FB"/>
    <w:rsid w:val="00D943E6"/>
    <w:rsid w:val="00D94799"/>
    <w:rsid w:val="00D948DD"/>
    <w:rsid w:val="00D95259"/>
    <w:rsid w:val="00D95589"/>
    <w:rsid w:val="00D96716"/>
    <w:rsid w:val="00DA0B0F"/>
    <w:rsid w:val="00DA0DA4"/>
    <w:rsid w:val="00DA1221"/>
    <w:rsid w:val="00DA1D1A"/>
    <w:rsid w:val="00DA1DBC"/>
    <w:rsid w:val="00DA1DFB"/>
    <w:rsid w:val="00DA37E8"/>
    <w:rsid w:val="00DA39C4"/>
    <w:rsid w:val="00DA42A3"/>
    <w:rsid w:val="00DA4BAB"/>
    <w:rsid w:val="00DA5553"/>
    <w:rsid w:val="00DA58C6"/>
    <w:rsid w:val="00DA5ABA"/>
    <w:rsid w:val="00DA5EA7"/>
    <w:rsid w:val="00DA5EAD"/>
    <w:rsid w:val="00DA7766"/>
    <w:rsid w:val="00DB0915"/>
    <w:rsid w:val="00DB108A"/>
    <w:rsid w:val="00DB186D"/>
    <w:rsid w:val="00DB19A3"/>
    <w:rsid w:val="00DB1EB0"/>
    <w:rsid w:val="00DB2D30"/>
    <w:rsid w:val="00DB2DD7"/>
    <w:rsid w:val="00DB3149"/>
    <w:rsid w:val="00DB3819"/>
    <w:rsid w:val="00DB3BFD"/>
    <w:rsid w:val="00DB3C6E"/>
    <w:rsid w:val="00DB45AA"/>
    <w:rsid w:val="00DB513A"/>
    <w:rsid w:val="00DB5BBA"/>
    <w:rsid w:val="00DB5C41"/>
    <w:rsid w:val="00DB62D7"/>
    <w:rsid w:val="00DB70CE"/>
    <w:rsid w:val="00DB75A7"/>
    <w:rsid w:val="00DC0E8C"/>
    <w:rsid w:val="00DC15F0"/>
    <w:rsid w:val="00DC25BA"/>
    <w:rsid w:val="00DC2CA0"/>
    <w:rsid w:val="00DC318F"/>
    <w:rsid w:val="00DC361F"/>
    <w:rsid w:val="00DC4168"/>
    <w:rsid w:val="00DC64A6"/>
    <w:rsid w:val="00DC6A19"/>
    <w:rsid w:val="00DC6C0E"/>
    <w:rsid w:val="00DD2A5E"/>
    <w:rsid w:val="00DD31E4"/>
    <w:rsid w:val="00DD32D0"/>
    <w:rsid w:val="00DD344F"/>
    <w:rsid w:val="00DD374B"/>
    <w:rsid w:val="00DD4C86"/>
    <w:rsid w:val="00DD6251"/>
    <w:rsid w:val="00DD690E"/>
    <w:rsid w:val="00DE1A80"/>
    <w:rsid w:val="00DE1D98"/>
    <w:rsid w:val="00DE1E3C"/>
    <w:rsid w:val="00DE2C7C"/>
    <w:rsid w:val="00DE2F47"/>
    <w:rsid w:val="00DE32FB"/>
    <w:rsid w:val="00DE34FC"/>
    <w:rsid w:val="00DE3858"/>
    <w:rsid w:val="00DE450D"/>
    <w:rsid w:val="00DE504B"/>
    <w:rsid w:val="00DE5E9F"/>
    <w:rsid w:val="00DE60D6"/>
    <w:rsid w:val="00DE70D3"/>
    <w:rsid w:val="00DE71D2"/>
    <w:rsid w:val="00DE7F12"/>
    <w:rsid w:val="00DF0142"/>
    <w:rsid w:val="00DF01AC"/>
    <w:rsid w:val="00DF091D"/>
    <w:rsid w:val="00DF3F92"/>
    <w:rsid w:val="00DF4DE4"/>
    <w:rsid w:val="00DF5A91"/>
    <w:rsid w:val="00DF63B5"/>
    <w:rsid w:val="00DF65B4"/>
    <w:rsid w:val="00DF7229"/>
    <w:rsid w:val="00DF7BA5"/>
    <w:rsid w:val="00E005E5"/>
    <w:rsid w:val="00E02066"/>
    <w:rsid w:val="00E02A03"/>
    <w:rsid w:val="00E02B2A"/>
    <w:rsid w:val="00E02B2F"/>
    <w:rsid w:val="00E03AD1"/>
    <w:rsid w:val="00E052C6"/>
    <w:rsid w:val="00E05660"/>
    <w:rsid w:val="00E05B4E"/>
    <w:rsid w:val="00E06106"/>
    <w:rsid w:val="00E06286"/>
    <w:rsid w:val="00E062E7"/>
    <w:rsid w:val="00E06633"/>
    <w:rsid w:val="00E06C80"/>
    <w:rsid w:val="00E07175"/>
    <w:rsid w:val="00E1027D"/>
    <w:rsid w:val="00E11807"/>
    <w:rsid w:val="00E11FAE"/>
    <w:rsid w:val="00E1246E"/>
    <w:rsid w:val="00E125BF"/>
    <w:rsid w:val="00E12832"/>
    <w:rsid w:val="00E12BF5"/>
    <w:rsid w:val="00E16CF1"/>
    <w:rsid w:val="00E20AE2"/>
    <w:rsid w:val="00E20C79"/>
    <w:rsid w:val="00E20DE5"/>
    <w:rsid w:val="00E21119"/>
    <w:rsid w:val="00E217B0"/>
    <w:rsid w:val="00E21AEF"/>
    <w:rsid w:val="00E21C09"/>
    <w:rsid w:val="00E2359A"/>
    <w:rsid w:val="00E247A1"/>
    <w:rsid w:val="00E2536A"/>
    <w:rsid w:val="00E2597A"/>
    <w:rsid w:val="00E2659E"/>
    <w:rsid w:val="00E26726"/>
    <w:rsid w:val="00E26B71"/>
    <w:rsid w:val="00E26E11"/>
    <w:rsid w:val="00E31881"/>
    <w:rsid w:val="00E31A51"/>
    <w:rsid w:val="00E3204D"/>
    <w:rsid w:val="00E3222B"/>
    <w:rsid w:val="00E32678"/>
    <w:rsid w:val="00E33FB0"/>
    <w:rsid w:val="00E34A53"/>
    <w:rsid w:val="00E3544A"/>
    <w:rsid w:val="00E35475"/>
    <w:rsid w:val="00E35950"/>
    <w:rsid w:val="00E3606C"/>
    <w:rsid w:val="00E36447"/>
    <w:rsid w:val="00E37545"/>
    <w:rsid w:val="00E37886"/>
    <w:rsid w:val="00E4005A"/>
    <w:rsid w:val="00E400B5"/>
    <w:rsid w:val="00E40261"/>
    <w:rsid w:val="00E404C5"/>
    <w:rsid w:val="00E41003"/>
    <w:rsid w:val="00E41E08"/>
    <w:rsid w:val="00E41FA4"/>
    <w:rsid w:val="00E4206C"/>
    <w:rsid w:val="00E44081"/>
    <w:rsid w:val="00E445BC"/>
    <w:rsid w:val="00E4460D"/>
    <w:rsid w:val="00E456EB"/>
    <w:rsid w:val="00E4685E"/>
    <w:rsid w:val="00E46F6D"/>
    <w:rsid w:val="00E471A9"/>
    <w:rsid w:val="00E47715"/>
    <w:rsid w:val="00E47746"/>
    <w:rsid w:val="00E47947"/>
    <w:rsid w:val="00E507EA"/>
    <w:rsid w:val="00E51857"/>
    <w:rsid w:val="00E51E64"/>
    <w:rsid w:val="00E52DDE"/>
    <w:rsid w:val="00E53424"/>
    <w:rsid w:val="00E54554"/>
    <w:rsid w:val="00E55C18"/>
    <w:rsid w:val="00E55FA6"/>
    <w:rsid w:val="00E5654F"/>
    <w:rsid w:val="00E567F7"/>
    <w:rsid w:val="00E570F9"/>
    <w:rsid w:val="00E573D0"/>
    <w:rsid w:val="00E57C43"/>
    <w:rsid w:val="00E57D89"/>
    <w:rsid w:val="00E610A3"/>
    <w:rsid w:val="00E618C6"/>
    <w:rsid w:val="00E62027"/>
    <w:rsid w:val="00E63332"/>
    <w:rsid w:val="00E6518E"/>
    <w:rsid w:val="00E657FC"/>
    <w:rsid w:val="00E66127"/>
    <w:rsid w:val="00E666AA"/>
    <w:rsid w:val="00E66821"/>
    <w:rsid w:val="00E67F73"/>
    <w:rsid w:val="00E70282"/>
    <w:rsid w:val="00E70A8B"/>
    <w:rsid w:val="00E71045"/>
    <w:rsid w:val="00E71345"/>
    <w:rsid w:val="00E71D6E"/>
    <w:rsid w:val="00E72262"/>
    <w:rsid w:val="00E7291B"/>
    <w:rsid w:val="00E75354"/>
    <w:rsid w:val="00E75B14"/>
    <w:rsid w:val="00E75F35"/>
    <w:rsid w:val="00E7616A"/>
    <w:rsid w:val="00E7664A"/>
    <w:rsid w:val="00E76ABE"/>
    <w:rsid w:val="00E76EAD"/>
    <w:rsid w:val="00E77351"/>
    <w:rsid w:val="00E7783E"/>
    <w:rsid w:val="00E77BC9"/>
    <w:rsid w:val="00E77D8A"/>
    <w:rsid w:val="00E80210"/>
    <w:rsid w:val="00E805BF"/>
    <w:rsid w:val="00E80635"/>
    <w:rsid w:val="00E8120E"/>
    <w:rsid w:val="00E81D48"/>
    <w:rsid w:val="00E8299E"/>
    <w:rsid w:val="00E83A70"/>
    <w:rsid w:val="00E83C80"/>
    <w:rsid w:val="00E84752"/>
    <w:rsid w:val="00E84F14"/>
    <w:rsid w:val="00E85029"/>
    <w:rsid w:val="00E856E8"/>
    <w:rsid w:val="00E8751E"/>
    <w:rsid w:val="00E900F5"/>
    <w:rsid w:val="00E9081E"/>
    <w:rsid w:val="00E911A6"/>
    <w:rsid w:val="00E91311"/>
    <w:rsid w:val="00E913F9"/>
    <w:rsid w:val="00E9220F"/>
    <w:rsid w:val="00E92DF3"/>
    <w:rsid w:val="00E93328"/>
    <w:rsid w:val="00E9451E"/>
    <w:rsid w:val="00E94771"/>
    <w:rsid w:val="00E94F3E"/>
    <w:rsid w:val="00E9561A"/>
    <w:rsid w:val="00E966D1"/>
    <w:rsid w:val="00E97A9D"/>
    <w:rsid w:val="00E97B5A"/>
    <w:rsid w:val="00E97DDA"/>
    <w:rsid w:val="00EA02C0"/>
    <w:rsid w:val="00EA0508"/>
    <w:rsid w:val="00EA0ADE"/>
    <w:rsid w:val="00EA0B72"/>
    <w:rsid w:val="00EA10F8"/>
    <w:rsid w:val="00EA1554"/>
    <w:rsid w:val="00EA183D"/>
    <w:rsid w:val="00EA1924"/>
    <w:rsid w:val="00EA1EB3"/>
    <w:rsid w:val="00EA28B9"/>
    <w:rsid w:val="00EA2A1D"/>
    <w:rsid w:val="00EA2D92"/>
    <w:rsid w:val="00EA3006"/>
    <w:rsid w:val="00EA52E4"/>
    <w:rsid w:val="00EA62D7"/>
    <w:rsid w:val="00EA6D14"/>
    <w:rsid w:val="00EA7A31"/>
    <w:rsid w:val="00EA7B9A"/>
    <w:rsid w:val="00EA7F4F"/>
    <w:rsid w:val="00EB0D2B"/>
    <w:rsid w:val="00EB19AE"/>
    <w:rsid w:val="00EB2DFA"/>
    <w:rsid w:val="00EB3785"/>
    <w:rsid w:val="00EB3B29"/>
    <w:rsid w:val="00EB427B"/>
    <w:rsid w:val="00EB4F9A"/>
    <w:rsid w:val="00EB6429"/>
    <w:rsid w:val="00EB6597"/>
    <w:rsid w:val="00EB65D2"/>
    <w:rsid w:val="00EB688B"/>
    <w:rsid w:val="00EB6C69"/>
    <w:rsid w:val="00EB6D4B"/>
    <w:rsid w:val="00EB715C"/>
    <w:rsid w:val="00EB77F1"/>
    <w:rsid w:val="00EB7869"/>
    <w:rsid w:val="00EB79DF"/>
    <w:rsid w:val="00EC1B10"/>
    <w:rsid w:val="00EC1F4F"/>
    <w:rsid w:val="00EC2D79"/>
    <w:rsid w:val="00EC36D9"/>
    <w:rsid w:val="00EC3704"/>
    <w:rsid w:val="00EC3937"/>
    <w:rsid w:val="00EC4C3D"/>
    <w:rsid w:val="00EC5770"/>
    <w:rsid w:val="00EC5C46"/>
    <w:rsid w:val="00EC6756"/>
    <w:rsid w:val="00EC722B"/>
    <w:rsid w:val="00EC7346"/>
    <w:rsid w:val="00EC7C57"/>
    <w:rsid w:val="00ED00D4"/>
    <w:rsid w:val="00ED04CC"/>
    <w:rsid w:val="00ED06FA"/>
    <w:rsid w:val="00ED0F3D"/>
    <w:rsid w:val="00ED13E4"/>
    <w:rsid w:val="00ED206D"/>
    <w:rsid w:val="00ED2388"/>
    <w:rsid w:val="00ED4528"/>
    <w:rsid w:val="00ED4E83"/>
    <w:rsid w:val="00ED50E4"/>
    <w:rsid w:val="00ED56F8"/>
    <w:rsid w:val="00ED7466"/>
    <w:rsid w:val="00ED764E"/>
    <w:rsid w:val="00ED7C49"/>
    <w:rsid w:val="00EE07D0"/>
    <w:rsid w:val="00EE0978"/>
    <w:rsid w:val="00EE3C28"/>
    <w:rsid w:val="00EE3CED"/>
    <w:rsid w:val="00EE4527"/>
    <w:rsid w:val="00EE4F36"/>
    <w:rsid w:val="00EE6AFB"/>
    <w:rsid w:val="00EE70FD"/>
    <w:rsid w:val="00EF09FB"/>
    <w:rsid w:val="00EF158F"/>
    <w:rsid w:val="00EF18DD"/>
    <w:rsid w:val="00EF1B7E"/>
    <w:rsid w:val="00EF2635"/>
    <w:rsid w:val="00EF27D0"/>
    <w:rsid w:val="00EF2DD7"/>
    <w:rsid w:val="00EF2E2D"/>
    <w:rsid w:val="00EF3262"/>
    <w:rsid w:val="00EF338C"/>
    <w:rsid w:val="00EF3604"/>
    <w:rsid w:val="00EF3C5F"/>
    <w:rsid w:val="00EF4500"/>
    <w:rsid w:val="00EF4C8A"/>
    <w:rsid w:val="00EF5297"/>
    <w:rsid w:val="00EF5FBC"/>
    <w:rsid w:val="00EF7638"/>
    <w:rsid w:val="00EF7649"/>
    <w:rsid w:val="00EF77BC"/>
    <w:rsid w:val="00EF7F83"/>
    <w:rsid w:val="00F02056"/>
    <w:rsid w:val="00F02200"/>
    <w:rsid w:val="00F02394"/>
    <w:rsid w:val="00F027BE"/>
    <w:rsid w:val="00F03A4F"/>
    <w:rsid w:val="00F03B3B"/>
    <w:rsid w:val="00F03D83"/>
    <w:rsid w:val="00F045BD"/>
    <w:rsid w:val="00F04862"/>
    <w:rsid w:val="00F04EF3"/>
    <w:rsid w:val="00F056CC"/>
    <w:rsid w:val="00F0581B"/>
    <w:rsid w:val="00F05895"/>
    <w:rsid w:val="00F06F1B"/>
    <w:rsid w:val="00F073AC"/>
    <w:rsid w:val="00F07A9E"/>
    <w:rsid w:val="00F07B32"/>
    <w:rsid w:val="00F107CB"/>
    <w:rsid w:val="00F1095C"/>
    <w:rsid w:val="00F10F4F"/>
    <w:rsid w:val="00F1117D"/>
    <w:rsid w:val="00F11365"/>
    <w:rsid w:val="00F127DA"/>
    <w:rsid w:val="00F1343A"/>
    <w:rsid w:val="00F1363B"/>
    <w:rsid w:val="00F14183"/>
    <w:rsid w:val="00F14802"/>
    <w:rsid w:val="00F14C4B"/>
    <w:rsid w:val="00F20099"/>
    <w:rsid w:val="00F20211"/>
    <w:rsid w:val="00F20630"/>
    <w:rsid w:val="00F20921"/>
    <w:rsid w:val="00F20CC3"/>
    <w:rsid w:val="00F20DE0"/>
    <w:rsid w:val="00F21671"/>
    <w:rsid w:val="00F22C6B"/>
    <w:rsid w:val="00F245D9"/>
    <w:rsid w:val="00F246AB"/>
    <w:rsid w:val="00F252FF"/>
    <w:rsid w:val="00F253BE"/>
    <w:rsid w:val="00F25ABF"/>
    <w:rsid w:val="00F25EEB"/>
    <w:rsid w:val="00F260ED"/>
    <w:rsid w:val="00F2727D"/>
    <w:rsid w:val="00F30237"/>
    <w:rsid w:val="00F30A78"/>
    <w:rsid w:val="00F30F71"/>
    <w:rsid w:val="00F315BE"/>
    <w:rsid w:val="00F316C6"/>
    <w:rsid w:val="00F31B20"/>
    <w:rsid w:val="00F32079"/>
    <w:rsid w:val="00F322C1"/>
    <w:rsid w:val="00F32F57"/>
    <w:rsid w:val="00F3320A"/>
    <w:rsid w:val="00F34084"/>
    <w:rsid w:val="00F34211"/>
    <w:rsid w:val="00F3498E"/>
    <w:rsid w:val="00F34B3E"/>
    <w:rsid w:val="00F35132"/>
    <w:rsid w:val="00F35F3C"/>
    <w:rsid w:val="00F362DE"/>
    <w:rsid w:val="00F3656D"/>
    <w:rsid w:val="00F36C3B"/>
    <w:rsid w:val="00F36EBA"/>
    <w:rsid w:val="00F36F4E"/>
    <w:rsid w:val="00F37D75"/>
    <w:rsid w:val="00F417BA"/>
    <w:rsid w:val="00F421E1"/>
    <w:rsid w:val="00F4295B"/>
    <w:rsid w:val="00F43283"/>
    <w:rsid w:val="00F434DF"/>
    <w:rsid w:val="00F4513C"/>
    <w:rsid w:val="00F457A1"/>
    <w:rsid w:val="00F45DA3"/>
    <w:rsid w:val="00F467E8"/>
    <w:rsid w:val="00F46CAC"/>
    <w:rsid w:val="00F4768D"/>
    <w:rsid w:val="00F476FC"/>
    <w:rsid w:val="00F47FF7"/>
    <w:rsid w:val="00F50789"/>
    <w:rsid w:val="00F508EB"/>
    <w:rsid w:val="00F51527"/>
    <w:rsid w:val="00F51DA2"/>
    <w:rsid w:val="00F51EBF"/>
    <w:rsid w:val="00F51F93"/>
    <w:rsid w:val="00F529AA"/>
    <w:rsid w:val="00F53994"/>
    <w:rsid w:val="00F5399D"/>
    <w:rsid w:val="00F54354"/>
    <w:rsid w:val="00F54655"/>
    <w:rsid w:val="00F5476B"/>
    <w:rsid w:val="00F55217"/>
    <w:rsid w:val="00F557C3"/>
    <w:rsid w:val="00F5591E"/>
    <w:rsid w:val="00F56672"/>
    <w:rsid w:val="00F56C1B"/>
    <w:rsid w:val="00F56CAF"/>
    <w:rsid w:val="00F60EA1"/>
    <w:rsid w:val="00F6119F"/>
    <w:rsid w:val="00F6384A"/>
    <w:rsid w:val="00F64682"/>
    <w:rsid w:val="00F64718"/>
    <w:rsid w:val="00F649FE"/>
    <w:rsid w:val="00F64BDA"/>
    <w:rsid w:val="00F6503A"/>
    <w:rsid w:val="00F65EF8"/>
    <w:rsid w:val="00F668F8"/>
    <w:rsid w:val="00F66CA1"/>
    <w:rsid w:val="00F67346"/>
    <w:rsid w:val="00F7182D"/>
    <w:rsid w:val="00F71F2F"/>
    <w:rsid w:val="00F73872"/>
    <w:rsid w:val="00F74868"/>
    <w:rsid w:val="00F74D8D"/>
    <w:rsid w:val="00F75C42"/>
    <w:rsid w:val="00F76467"/>
    <w:rsid w:val="00F7787A"/>
    <w:rsid w:val="00F81553"/>
    <w:rsid w:val="00F81641"/>
    <w:rsid w:val="00F81864"/>
    <w:rsid w:val="00F81A7F"/>
    <w:rsid w:val="00F8232B"/>
    <w:rsid w:val="00F840E4"/>
    <w:rsid w:val="00F84A81"/>
    <w:rsid w:val="00F84C6D"/>
    <w:rsid w:val="00F84F40"/>
    <w:rsid w:val="00F8538C"/>
    <w:rsid w:val="00F85B5C"/>
    <w:rsid w:val="00F85CB9"/>
    <w:rsid w:val="00F8663D"/>
    <w:rsid w:val="00F86D74"/>
    <w:rsid w:val="00F87E7F"/>
    <w:rsid w:val="00F9016F"/>
    <w:rsid w:val="00F906A2"/>
    <w:rsid w:val="00F92205"/>
    <w:rsid w:val="00F95C2F"/>
    <w:rsid w:val="00F95D58"/>
    <w:rsid w:val="00F96065"/>
    <w:rsid w:val="00F97E99"/>
    <w:rsid w:val="00F97EE7"/>
    <w:rsid w:val="00FA0785"/>
    <w:rsid w:val="00FA0E92"/>
    <w:rsid w:val="00FA0F22"/>
    <w:rsid w:val="00FA0FD4"/>
    <w:rsid w:val="00FA1166"/>
    <w:rsid w:val="00FA17B5"/>
    <w:rsid w:val="00FA1C04"/>
    <w:rsid w:val="00FA1EE6"/>
    <w:rsid w:val="00FA31C3"/>
    <w:rsid w:val="00FA36B3"/>
    <w:rsid w:val="00FA388E"/>
    <w:rsid w:val="00FA53E9"/>
    <w:rsid w:val="00FA54E4"/>
    <w:rsid w:val="00FA5676"/>
    <w:rsid w:val="00FA7420"/>
    <w:rsid w:val="00FA7498"/>
    <w:rsid w:val="00FA767C"/>
    <w:rsid w:val="00FA79CD"/>
    <w:rsid w:val="00FA7D31"/>
    <w:rsid w:val="00FA7D53"/>
    <w:rsid w:val="00FA7F73"/>
    <w:rsid w:val="00FB0507"/>
    <w:rsid w:val="00FB1863"/>
    <w:rsid w:val="00FB19EC"/>
    <w:rsid w:val="00FB202E"/>
    <w:rsid w:val="00FB2154"/>
    <w:rsid w:val="00FB30BC"/>
    <w:rsid w:val="00FB3661"/>
    <w:rsid w:val="00FB4E6C"/>
    <w:rsid w:val="00FB4FA2"/>
    <w:rsid w:val="00FB4FE1"/>
    <w:rsid w:val="00FB55FF"/>
    <w:rsid w:val="00FB5DDD"/>
    <w:rsid w:val="00FB5EA2"/>
    <w:rsid w:val="00FB6815"/>
    <w:rsid w:val="00FB6EE5"/>
    <w:rsid w:val="00FB7227"/>
    <w:rsid w:val="00FB7522"/>
    <w:rsid w:val="00FC00A4"/>
    <w:rsid w:val="00FC0F52"/>
    <w:rsid w:val="00FC2571"/>
    <w:rsid w:val="00FC41B1"/>
    <w:rsid w:val="00FC43ED"/>
    <w:rsid w:val="00FC4856"/>
    <w:rsid w:val="00FC4B2E"/>
    <w:rsid w:val="00FC4B61"/>
    <w:rsid w:val="00FC4D2F"/>
    <w:rsid w:val="00FC5AB0"/>
    <w:rsid w:val="00FC5B5A"/>
    <w:rsid w:val="00FC5F1B"/>
    <w:rsid w:val="00FC698C"/>
    <w:rsid w:val="00FC6EEA"/>
    <w:rsid w:val="00FC6F71"/>
    <w:rsid w:val="00FC7371"/>
    <w:rsid w:val="00FC75E7"/>
    <w:rsid w:val="00FD0ED8"/>
    <w:rsid w:val="00FD114C"/>
    <w:rsid w:val="00FD17ED"/>
    <w:rsid w:val="00FD2E4E"/>
    <w:rsid w:val="00FD2F03"/>
    <w:rsid w:val="00FD30A3"/>
    <w:rsid w:val="00FD3DE6"/>
    <w:rsid w:val="00FD5283"/>
    <w:rsid w:val="00FD690F"/>
    <w:rsid w:val="00FD763B"/>
    <w:rsid w:val="00FE01D6"/>
    <w:rsid w:val="00FE029D"/>
    <w:rsid w:val="00FE0420"/>
    <w:rsid w:val="00FE0819"/>
    <w:rsid w:val="00FE167A"/>
    <w:rsid w:val="00FE1B7E"/>
    <w:rsid w:val="00FE26AF"/>
    <w:rsid w:val="00FE2C06"/>
    <w:rsid w:val="00FE2EB0"/>
    <w:rsid w:val="00FE2EE9"/>
    <w:rsid w:val="00FE449F"/>
    <w:rsid w:val="00FE48A3"/>
    <w:rsid w:val="00FE4ECC"/>
    <w:rsid w:val="00FE52FE"/>
    <w:rsid w:val="00FE6334"/>
    <w:rsid w:val="00FE6D3D"/>
    <w:rsid w:val="00FE6E26"/>
    <w:rsid w:val="00FE72E6"/>
    <w:rsid w:val="00FE7979"/>
    <w:rsid w:val="00FE7A70"/>
    <w:rsid w:val="00FF08E0"/>
    <w:rsid w:val="00FF2089"/>
    <w:rsid w:val="00FF2A27"/>
    <w:rsid w:val="00FF3AED"/>
    <w:rsid w:val="00FF594F"/>
    <w:rsid w:val="00FF6623"/>
    <w:rsid w:val="00FF663F"/>
    <w:rsid w:val="00FF6CE9"/>
    <w:rsid w:val="00FF6E62"/>
    <w:rsid w:val="00FF7133"/>
    <w:rsid w:val="00FF771D"/>
    <w:rsid w:val="00FF7962"/>
    <w:rsid w:val="00FF7E73"/>
    <w:rsid w:val="00FF7FE5"/>
    <w:rsid w:val="117CC473"/>
    <w:rsid w:val="1880FEA1"/>
    <w:rsid w:val="1943847A"/>
    <w:rsid w:val="28C88DEE"/>
    <w:rsid w:val="2A3FCF64"/>
    <w:rsid w:val="380EC54B"/>
    <w:rsid w:val="39C151F2"/>
    <w:rsid w:val="3F069E94"/>
    <w:rsid w:val="41061380"/>
    <w:rsid w:val="48B49C83"/>
    <w:rsid w:val="538E59BC"/>
    <w:rsid w:val="5E3B01BA"/>
    <w:rsid w:val="621EFAD3"/>
    <w:rsid w:val="66CDD2B0"/>
    <w:rsid w:val="66E76F96"/>
    <w:rsid w:val="6C43A4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341ED"/>
  <w15:chartTrackingRefBased/>
  <w15:docId w15:val="{BB27A6E2-60CC-4710-AC35-87452DEE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9EA"/>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A369E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369EA"/>
    <w:pPr>
      <w:spacing w:before="240" w:after="240"/>
      <w:outlineLvl w:val="1"/>
    </w:pPr>
    <w:rPr>
      <w:rFonts w:ascii="Arial Bold" w:hAnsi="Arial Bold"/>
      <w:b/>
      <w:sz w:val="26"/>
    </w:rPr>
  </w:style>
  <w:style w:type="paragraph" w:styleId="Heading3">
    <w:name w:val="heading 3"/>
    <w:basedOn w:val="HeadingBase"/>
    <w:next w:val="Normal"/>
    <w:link w:val="Heading3Char"/>
    <w:qFormat/>
    <w:rsid w:val="00A369EA"/>
    <w:pPr>
      <w:spacing w:before="120" w:after="120"/>
      <w:outlineLvl w:val="2"/>
    </w:pPr>
    <w:rPr>
      <w:rFonts w:ascii="Arial Bold" w:hAnsi="Arial Bold"/>
      <w:b/>
      <w:sz w:val="22"/>
    </w:rPr>
  </w:style>
  <w:style w:type="paragraph" w:styleId="Heading4">
    <w:name w:val="heading 4"/>
    <w:basedOn w:val="HeadingBase"/>
    <w:next w:val="Normal"/>
    <w:link w:val="Heading4Char"/>
    <w:qFormat/>
    <w:rsid w:val="00A369EA"/>
    <w:pPr>
      <w:spacing w:after="120"/>
      <w:outlineLvl w:val="3"/>
    </w:pPr>
    <w:rPr>
      <w:rFonts w:ascii="Arial Bold" w:hAnsi="Arial Bold"/>
      <w:b/>
      <w:sz w:val="20"/>
    </w:rPr>
  </w:style>
  <w:style w:type="paragraph" w:styleId="Heading5">
    <w:name w:val="heading 5"/>
    <w:basedOn w:val="HeadingBase"/>
    <w:next w:val="Normal"/>
    <w:link w:val="Heading5Char"/>
    <w:qFormat/>
    <w:rsid w:val="00A369EA"/>
    <w:pPr>
      <w:spacing w:after="120"/>
      <w:outlineLvl w:val="4"/>
    </w:pPr>
    <w:rPr>
      <w:bCs/>
      <w:i/>
      <w:iCs/>
      <w:sz w:val="20"/>
      <w:szCs w:val="26"/>
    </w:rPr>
  </w:style>
  <w:style w:type="paragraph" w:styleId="Heading6">
    <w:name w:val="heading 6"/>
    <w:basedOn w:val="HeadingBase"/>
    <w:next w:val="Normal"/>
    <w:link w:val="Heading6Char"/>
    <w:rsid w:val="00A369EA"/>
    <w:pPr>
      <w:spacing w:after="120"/>
      <w:outlineLvl w:val="5"/>
    </w:pPr>
    <w:rPr>
      <w:bCs/>
      <w:sz w:val="20"/>
      <w:szCs w:val="22"/>
    </w:rPr>
  </w:style>
  <w:style w:type="paragraph" w:styleId="Heading7">
    <w:name w:val="heading 7"/>
    <w:basedOn w:val="HeadingBase"/>
    <w:next w:val="Normal"/>
    <w:link w:val="Heading7Char"/>
    <w:rsid w:val="00A369EA"/>
    <w:pPr>
      <w:spacing w:before="120"/>
      <w:outlineLvl w:val="6"/>
    </w:pPr>
    <w:rPr>
      <w:sz w:val="20"/>
      <w:szCs w:val="24"/>
    </w:rPr>
  </w:style>
  <w:style w:type="paragraph" w:styleId="Heading8">
    <w:name w:val="heading 8"/>
    <w:basedOn w:val="HeadingBase"/>
    <w:next w:val="Normal"/>
    <w:link w:val="Heading8Char"/>
    <w:rsid w:val="00A369E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A369E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A369EA"/>
    <w:pPr>
      <w:tabs>
        <w:tab w:val="center" w:pos="4153"/>
        <w:tab w:val="right" w:pos="8306"/>
      </w:tabs>
    </w:pPr>
  </w:style>
  <w:style w:type="character" w:customStyle="1" w:styleId="HeaderChar">
    <w:name w:val="Header Char"/>
    <w:basedOn w:val="DefaultParagraphFont"/>
    <w:link w:val="Header"/>
    <w:rsid w:val="00A369E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A369EA"/>
    <w:pPr>
      <w:tabs>
        <w:tab w:val="center" w:pos="4153"/>
        <w:tab w:val="right" w:pos="8306"/>
      </w:tabs>
    </w:pPr>
  </w:style>
  <w:style w:type="character" w:customStyle="1" w:styleId="FooterChar">
    <w:name w:val="Footer Char"/>
    <w:basedOn w:val="DefaultParagraphFont"/>
    <w:link w:val="Footer"/>
    <w:rsid w:val="00A369EA"/>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A369E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A369E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A369E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A369E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A369E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A369E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A369E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A369E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A369EA"/>
    <w:pPr>
      <w:jc w:val="center"/>
    </w:pPr>
    <w:rPr>
      <w:rFonts w:ascii="Arial Bold" w:hAnsi="Arial Bold"/>
      <w:b/>
      <w:caps/>
      <w:sz w:val="22"/>
    </w:rPr>
  </w:style>
  <w:style w:type="paragraph" w:customStyle="1" w:styleId="FileProperties">
    <w:name w:val="File Properties"/>
    <w:basedOn w:val="Normal"/>
    <w:rsid w:val="00A369EA"/>
    <w:pPr>
      <w:spacing w:before="0"/>
    </w:pPr>
    <w:rPr>
      <w:i/>
    </w:rPr>
  </w:style>
  <w:style w:type="paragraph" w:customStyle="1" w:styleId="AlphaParagraph">
    <w:name w:val="Alpha Paragraph"/>
    <w:basedOn w:val="Normal"/>
    <w:rsid w:val="00A369EA"/>
    <w:pPr>
      <w:numPr>
        <w:numId w:val="1"/>
      </w:numPr>
      <w:tabs>
        <w:tab w:val="clear" w:pos="567"/>
        <w:tab w:val="num" w:pos="360"/>
      </w:tabs>
      <w:ind w:left="0" w:firstLine="0"/>
    </w:pPr>
  </w:style>
  <w:style w:type="paragraph" w:customStyle="1" w:styleId="HeadingBase">
    <w:name w:val="Heading Base"/>
    <w:rsid w:val="00A369E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A369EA"/>
    <w:rPr>
      <w:bCs/>
      <w:color w:val="002A54" w:themeColor="text2"/>
      <w:szCs w:val="52"/>
    </w:rPr>
  </w:style>
  <w:style w:type="paragraph" w:customStyle="1" w:styleId="BoxText">
    <w:name w:val="Box Text"/>
    <w:basedOn w:val="Normal"/>
    <w:link w:val="BoxTextChar"/>
    <w:qFormat/>
    <w:rsid w:val="00A369EA"/>
    <w:pPr>
      <w:spacing w:before="120" w:after="120" w:line="240" w:lineRule="auto"/>
    </w:pPr>
  </w:style>
  <w:style w:type="paragraph" w:customStyle="1" w:styleId="BoxBullet">
    <w:name w:val="Box Bullet"/>
    <w:basedOn w:val="BoxText"/>
    <w:rsid w:val="00A369EA"/>
    <w:pPr>
      <w:numPr>
        <w:numId w:val="2"/>
      </w:numPr>
    </w:pPr>
  </w:style>
  <w:style w:type="paragraph" w:customStyle="1" w:styleId="BoxHeading">
    <w:name w:val="Box Heading"/>
    <w:basedOn w:val="HeadingBase"/>
    <w:next w:val="BoxText"/>
    <w:rsid w:val="00A369EA"/>
    <w:pPr>
      <w:spacing w:before="120" w:after="120"/>
    </w:pPr>
    <w:rPr>
      <w:b/>
      <w:sz w:val="20"/>
    </w:rPr>
  </w:style>
  <w:style w:type="character" w:customStyle="1" w:styleId="Heading6Char">
    <w:name w:val="Heading 6 Char"/>
    <w:basedOn w:val="DefaultParagraphFont"/>
    <w:link w:val="Heading6"/>
    <w:rsid w:val="00A369EA"/>
    <w:rPr>
      <w:rFonts w:ascii="Arial" w:eastAsia="Times New Roman" w:hAnsi="Arial" w:cs="Times New Roman"/>
      <w:bCs/>
      <w:sz w:val="20"/>
      <w:lang w:eastAsia="en-AU"/>
    </w:rPr>
  </w:style>
  <w:style w:type="paragraph" w:customStyle="1" w:styleId="Bullet">
    <w:name w:val="Bullet"/>
    <w:basedOn w:val="Normal"/>
    <w:link w:val="BulletChar"/>
    <w:qFormat/>
    <w:rsid w:val="00A369EA"/>
    <w:pPr>
      <w:numPr>
        <w:numId w:val="7"/>
      </w:numPr>
      <w:spacing w:after="160"/>
      <w:ind w:left="284" w:hanging="284"/>
    </w:pPr>
  </w:style>
  <w:style w:type="paragraph" w:styleId="Caption">
    <w:name w:val="caption"/>
    <w:basedOn w:val="Normal"/>
    <w:next w:val="Normal"/>
    <w:rsid w:val="00A369EA"/>
    <w:rPr>
      <w:b/>
      <w:bCs/>
    </w:rPr>
  </w:style>
  <w:style w:type="paragraph" w:customStyle="1" w:styleId="ChartandTableFootnote">
    <w:name w:val="Chart and Table Footnote"/>
    <w:basedOn w:val="HeadingBase"/>
    <w:next w:val="Normal"/>
    <w:link w:val="ChartandTableFootnoteChar"/>
    <w:rsid w:val="00A369E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A369EA"/>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A369EA"/>
    <w:pPr>
      <w:keepNext w:val="0"/>
      <w:tabs>
        <w:tab w:val="left" w:pos="284"/>
      </w:tabs>
      <w:jc w:val="both"/>
    </w:pPr>
    <w:rPr>
      <w:color w:val="000000"/>
      <w:sz w:val="15"/>
    </w:rPr>
  </w:style>
  <w:style w:type="paragraph" w:customStyle="1" w:styleId="ChartGraphic">
    <w:name w:val="Chart Graphic"/>
    <w:basedOn w:val="HeadingBase"/>
    <w:link w:val="ChartGraphicChar"/>
    <w:rsid w:val="00A369EA"/>
    <w:rPr>
      <w:sz w:val="20"/>
    </w:rPr>
  </w:style>
  <w:style w:type="paragraph" w:customStyle="1" w:styleId="TableLine">
    <w:name w:val="Table Line"/>
    <w:basedOn w:val="Normal"/>
    <w:next w:val="Normal"/>
    <w:autoRedefine/>
    <w:rsid w:val="00A369E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A369EA"/>
    <w:pPr>
      <w:spacing w:after="60"/>
    </w:pPr>
    <w:rPr>
      <w:sz w:val="19"/>
    </w:rPr>
  </w:style>
  <w:style w:type="character" w:styleId="CommentReference">
    <w:name w:val="annotation reference"/>
    <w:basedOn w:val="DefaultParagraphFont"/>
    <w:rsid w:val="00A369EA"/>
    <w:rPr>
      <w:sz w:val="16"/>
      <w:szCs w:val="16"/>
    </w:rPr>
  </w:style>
  <w:style w:type="paragraph" w:styleId="CommentText">
    <w:name w:val="annotation text"/>
    <w:basedOn w:val="Normal"/>
    <w:link w:val="CommentTextChar"/>
    <w:rsid w:val="00A369EA"/>
  </w:style>
  <w:style w:type="character" w:customStyle="1" w:styleId="CommentTextChar">
    <w:name w:val="Comment Text Char"/>
    <w:basedOn w:val="DefaultParagraphFont"/>
    <w:link w:val="CommentText"/>
    <w:rsid w:val="00A369E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A369EA"/>
    <w:rPr>
      <w:b/>
      <w:bCs/>
    </w:rPr>
  </w:style>
  <w:style w:type="character" w:customStyle="1" w:styleId="CommentSubjectChar">
    <w:name w:val="Comment Subject Char"/>
    <w:basedOn w:val="CommentTextChar"/>
    <w:link w:val="CommentSubject"/>
    <w:semiHidden/>
    <w:rsid w:val="00A369EA"/>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A369EA"/>
    <w:pPr>
      <w:spacing w:after="720"/>
      <w:outlineLvl w:val="9"/>
    </w:pPr>
  </w:style>
  <w:style w:type="character" w:styleId="Strong">
    <w:name w:val="Strong"/>
    <w:basedOn w:val="DefaultParagraphFont"/>
    <w:uiPriority w:val="22"/>
    <w:qFormat/>
    <w:rsid w:val="00A369EA"/>
    <w:rPr>
      <w:b/>
      <w:bCs/>
      <w:color w:val="auto"/>
    </w:rPr>
  </w:style>
  <w:style w:type="paragraph" w:customStyle="1" w:styleId="Dash">
    <w:name w:val="Dash"/>
    <w:basedOn w:val="Normal"/>
    <w:qFormat/>
    <w:rsid w:val="00A369EA"/>
    <w:pPr>
      <w:numPr>
        <w:ilvl w:val="1"/>
        <w:numId w:val="7"/>
      </w:numPr>
      <w:tabs>
        <w:tab w:val="left" w:pos="567"/>
      </w:tabs>
    </w:pPr>
  </w:style>
  <w:style w:type="paragraph" w:styleId="DocumentMap">
    <w:name w:val="Document Map"/>
    <w:basedOn w:val="Normal"/>
    <w:link w:val="DocumentMapChar"/>
    <w:semiHidden/>
    <w:rsid w:val="00A369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369EA"/>
    <w:rPr>
      <w:rFonts w:ascii="Tahoma" w:eastAsia="Times New Roman" w:hAnsi="Tahoma" w:cs="Tahoma"/>
      <w:sz w:val="19"/>
      <w:szCs w:val="20"/>
      <w:shd w:val="clear" w:color="auto" w:fill="000080"/>
      <w:lang w:eastAsia="en-AU"/>
    </w:rPr>
  </w:style>
  <w:style w:type="paragraph" w:customStyle="1" w:styleId="DoubleDot">
    <w:name w:val="Double Dot"/>
    <w:basedOn w:val="Normal"/>
    <w:rsid w:val="00A369EA"/>
    <w:pPr>
      <w:numPr>
        <w:ilvl w:val="2"/>
        <w:numId w:val="7"/>
      </w:numPr>
      <w:tabs>
        <w:tab w:val="clear" w:pos="850"/>
        <w:tab w:val="num" w:pos="360"/>
        <w:tab w:val="left" w:pos="851"/>
      </w:tabs>
    </w:pPr>
  </w:style>
  <w:style w:type="paragraph" w:customStyle="1" w:styleId="FigureHeading">
    <w:name w:val="Figure Heading"/>
    <w:basedOn w:val="HeadingBase"/>
    <w:next w:val="ChartGraphic"/>
    <w:rsid w:val="00A369EA"/>
    <w:pPr>
      <w:spacing w:before="120" w:after="20"/>
    </w:pPr>
    <w:rPr>
      <w:b/>
      <w:sz w:val="20"/>
    </w:rPr>
  </w:style>
  <w:style w:type="paragraph" w:customStyle="1" w:styleId="FooterBase">
    <w:name w:val="Footer Base"/>
    <w:rsid w:val="00A369E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A369EA"/>
    <w:pPr>
      <w:pBdr>
        <w:top w:val="single" w:sz="4" w:space="10" w:color="002A54" w:themeColor="text2"/>
      </w:pBdr>
      <w:jc w:val="left"/>
    </w:pPr>
    <w:rPr>
      <w:sz w:val="18"/>
    </w:rPr>
  </w:style>
  <w:style w:type="paragraph" w:customStyle="1" w:styleId="FooterOdd">
    <w:name w:val="Footer Odd"/>
    <w:basedOn w:val="Footer"/>
    <w:qFormat/>
    <w:rsid w:val="00A369EA"/>
    <w:pPr>
      <w:pBdr>
        <w:top w:val="single" w:sz="4" w:space="10" w:color="002A54" w:themeColor="text2"/>
      </w:pBdr>
      <w:jc w:val="right"/>
    </w:pPr>
    <w:rPr>
      <w:sz w:val="18"/>
    </w:rPr>
  </w:style>
  <w:style w:type="character" w:styleId="FootnoteReference">
    <w:name w:val="footnote reference"/>
    <w:basedOn w:val="DefaultParagraphFont"/>
    <w:rsid w:val="00A369EA"/>
    <w:rPr>
      <w:vertAlign w:val="superscript"/>
    </w:rPr>
  </w:style>
  <w:style w:type="paragraph" w:styleId="FootnoteText">
    <w:name w:val="footnote text"/>
    <w:basedOn w:val="Normal"/>
    <w:link w:val="FootnoteTextChar"/>
    <w:rsid w:val="00A369E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A369EA"/>
    <w:rPr>
      <w:rFonts w:ascii="Book Antiqua" w:eastAsia="Times New Roman" w:hAnsi="Book Antiqua" w:cs="Times New Roman"/>
      <w:sz w:val="18"/>
      <w:szCs w:val="20"/>
      <w:lang w:eastAsia="en-AU"/>
    </w:rPr>
  </w:style>
  <w:style w:type="character" w:customStyle="1" w:styleId="FramedHeader">
    <w:name w:val="Framed Header"/>
    <w:basedOn w:val="DefaultParagraphFont"/>
    <w:rsid w:val="00A369EA"/>
    <w:rPr>
      <w:rFonts w:ascii="Book Antiqua" w:hAnsi="Book Antiqua"/>
      <w:i/>
      <w:dstrike w:val="0"/>
      <w:color w:val="auto"/>
      <w:sz w:val="20"/>
      <w:vertAlign w:val="baseline"/>
    </w:rPr>
  </w:style>
  <w:style w:type="paragraph" w:customStyle="1" w:styleId="HeaderBase">
    <w:name w:val="Header Base"/>
    <w:rsid w:val="00A369E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A369EA"/>
  </w:style>
  <w:style w:type="paragraph" w:customStyle="1" w:styleId="HeaderOdd">
    <w:name w:val="Header Odd"/>
    <w:basedOn w:val="HeaderBase"/>
    <w:rsid w:val="00A369EA"/>
    <w:pPr>
      <w:jc w:val="right"/>
    </w:pPr>
  </w:style>
  <w:style w:type="character" w:customStyle="1" w:styleId="Heading1Char">
    <w:name w:val="Heading 1 Char"/>
    <w:basedOn w:val="DefaultParagraphFont"/>
    <w:link w:val="Heading1"/>
    <w:rsid w:val="00A369EA"/>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A369EA"/>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A369EA"/>
    <w:rPr>
      <w:rFonts w:ascii="Arial Bold" w:eastAsia="Times New Roman" w:hAnsi="Arial Bold" w:cs="Times New Roman"/>
      <w:b/>
      <w:szCs w:val="20"/>
      <w:lang w:eastAsia="en-AU"/>
    </w:rPr>
  </w:style>
  <w:style w:type="paragraph" w:customStyle="1" w:styleId="Heading3noTOC">
    <w:name w:val="Heading 3 no TOC"/>
    <w:basedOn w:val="Heading3"/>
    <w:rsid w:val="00A369EA"/>
    <w:pPr>
      <w:outlineLvl w:val="9"/>
    </w:pPr>
  </w:style>
  <w:style w:type="character" w:customStyle="1" w:styleId="Heading4Char">
    <w:name w:val="Heading 4 Char"/>
    <w:basedOn w:val="DefaultParagraphFont"/>
    <w:link w:val="Heading4"/>
    <w:rsid w:val="00A369EA"/>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A369EA"/>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A369E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A369EA"/>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A369EA"/>
    <w:rPr>
      <w:rFonts w:ascii="Times New Roman" w:hAnsi="Times New Roman"/>
      <w:vanish/>
      <w:sz w:val="16"/>
    </w:rPr>
  </w:style>
  <w:style w:type="character" w:styleId="Hyperlink">
    <w:name w:val="Hyperlink"/>
    <w:basedOn w:val="DefaultParagraphFont"/>
    <w:uiPriority w:val="99"/>
    <w:unhideWhenUsed/>
    <w:rsid w:val="00A369EA"/>
    <w:rPr>
      <w:color w:val="auto"/>
      <w:u w:val="single"/>
    </w:rPr>
  </w:style>
  <w:style w:type="paragraph" w:styleId="Index4">
    <w:name w:val="index 4"/>
    <w:basedOn w:val="Normal"/>
    <w:next w:val="Normal"/>
    <w:autoRedefine/>
    <w:semiHidden/>
    <w:rsid w:val="00A369EA"/>
    <w:pPr>
      <w:ind w:left="800" w:hanging="200"/>
    </w:pPr>
  </w:style>
  <w:style w:type="paragraph" w:styleId="Index5">
    <w:name w:val="index 5"/>
    <w:basedOn w:val="Normal"/>
    <w:next w:val="Normal"/>
    <w:autoRedefine/>
    <w:semiHidden/>
    <w:rsid w:val="00A369EA"/>
    <w:pPr>
      <w:ind w:left="1000" w:hanging="200"/>
    </w:pPr>
  </w:style>
  <w:style w:type="paragraph" w:styleId="Index6">
    <w:name w:val="index 6"/>
    <w:basedOn w:val="Normal"/>
    <w:next w:val="Normal"/>
    <w:autoRedefine/>
    <w:semiHidden/>
    <w:rsid w:val="00A369EA"/>
    <w:pPr>
      <w:ind w:left="1200" w:hanging="200"/>
    </w:pPr>
  </w:style>
  <w:style w:type="paragraph" w:styleId="Index7">
    <w:name w:val="index 7"/>
    <w:basedOn w:val="Normal"/>
    <w:next w:val="Normal"/>
    <w:autoRedefine/>
    <w:semiHidden/>
    <w:rsid w:val="00A369EA"/>
    <w:pPr>
      <w:ind w:left="1400" w:hanging="200"/>
    </w:pPr>
  </w:style>
  <w:style w:type="paragraph" w:styleId="Index8">
    <w:name w:val="index 8"/>
    <w:basedOn w:val="Normal"/>
    <w:next w:val="Normal"/>
    <w:autoRedefine/>
    <w:semiHidden/>
    <w:rsid w:val="00A369EA"/>
    <w:pPr>
      <w:ind w:left="1600" w:hanging="200"/>
    </w:pPr>
  </w:style>
  <w:style w:type="paragraph" w:styleId="Index9">
    <w:name w:val="index 9"/>
    <w:basedOn w:val="Normal"/>
    <w:next w:val="Normal"/>
    <w:autoRedefine/>
    <w:semiHidden/>
    <w:rsid w:val="00A369EA"/>
    <w:pPr>
      <w:ind w:left="1800" w:hanging="200"/>
    </w:pPr>
  </w:style>
  <w:style w:type="paragraph" w:styleId="MacroText">
    <w:name w:val="macro"/>
    <w:link w:val="MacroTextChar"/>
    <w:unhideWhenUsed/>
    <w:rsid w:val="00A369E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A369EA"/>
    <w:rPr>
      <w:rFonts w:ascii="Courier New" w:eastAsia="Times New Roman" w:hAnsi="Courier New" w:cs="Courier New"/>
      <w:sz w:val="20"/>
      <w:szCs w:val="20"/>
      <w:lang w:eastAsia="en-AU"/>
    </w:rPr>
  </w:style>
  <w:style w:type="paragraph" w:styleId="NormalIndent">
    <w:name w:val="Normal Indent"/>
    <w:basedOn w:val="Normal"/>
    <w:rsid w:val="00A369EA"/>
    <w:pPr>
      <w:ind w:left="567"/>
    </w:pPr>
  </w:style>
  <w:style w:type="paragraph" w:customStyle="1" w:styleId="NoteTableHeading">
    <w:name w:val="Note Table Heading"/>
    <w:basedOn w:val="HeadingBase"/>
    <w:next w:val="Normal"/>
    <w:rsid w:val="00A369EA"/>
    <w:pPr>
      <w:spacing w:before="240"/>
    </w:pPr>
    <w:rPr>
      <w:b/>
      <w:sz w:val="20"/>
    </w:rPr>
  </w:style>
  <w:style w:type="paragraph" w:customStyle="1" w:styleId="OverviewParagraph">
    <w:name w:val="Overview Paragraph"/>
    <w:basedOn w:val="Normal"/>
    <w:rsid w:val="00A369EA"/>
    <w:pPr>
      <w:spacing w:before="120" w:after="120" w:line="240" w:lineRule="auto"/>
    </w:pPr>
  </w:style>
  <w:style w:type="character" w:styleId="PageNumber">
    <w:name w:val="page number"/>
    <w:basedOn w:val="DefaultParagraphFont"/>
    <w:rsid w:val="00A369EA"/>
    <w:rPr>
      <w:rFonts w:ascii="Arial" w:hAnsi="Arial" w:cs="Arial"/>
    </w:rPr>
  </w:style>
  <w:style w:type="paragraph" w:customStyle="1" w:styleId="SingleParagraph">
    <w:name w:val="Single Paragraph"/>
    <w:basedOn w:val="Normal"/>
    <w:rsid w:val="00A369EA"/>
    <w:pPr>
      <w:spacing w:before="0" w:after="0"/>
    </w:pPr>
  </w:style>
  <w:style w:type="paragraph" w:customStyle="1" w:styleId="Source">
    <w:name w:val="Source"/>
    <w:basedOn w:val="Normal"/>
    <w:rsid w:val="00A369E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A369E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A369EA"/>
    <w:pPr>
      <w:jc w:val="center"/>
    </w:pPr>
  </w:style>
  <w:style w:type="paragraph" w:customStyle="1" w:styleId="TableColumnHeadingLeft">
    <w:name w:val="Table Column Heading Left"/>
    <w:basedOn w:val="TableColumnHeadingBase"/>
    <w:next w:val="Normal"/>
    <w:rsid w:val="00A369EA"/>
  </w:style>
  <w:style w:type="paragraph" w:customStyle="1" w:styleId="TableColumnHeadingRight">
    <w:name w:val="Table Column Heading Right"/>
    <w:basedOn w:val="TableColumnHeadingBase"/>
    <w:next w:val="Normal"/>
    <w:rsid w:val="00A369EA"/>
    <w:pPr>
      <w:jc w:val="right"/>
    </w:pPr>
  </w:style>
  <w:style w:type="paragraph" w:customStyle="1" w:styleId="TableGraphic">
    <w:name w:val="Table Graphic"/>
    <w:basedOn w:val="Normal"/>
    <w:next w:val="Normal"/>
    <w:rsid w:val="00A369EA"/>
    <w:pPr>
      <w:spacing w:after="0" w:line="240" w:lineRule="auto"/>
      <w:ind w:right="-113"/>
    </w:pPr>
  </w:style>
  <w:style w:type="table" w:styleId="TableGrid">
    <w:name w:val="Table Grid"/>
    <w:basedOn w:val="TableNormal"/>
    <w:rsid w:val="00A369E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A369EA"/>
    <w:pPr>
      <w:spacing w:before="120" w:after="20"/>
    </w:pPr>
    <w:rPr>
      <w:b/>
      <w:sz w:val="20"/>
    </w:rPr>
  </w:style>
  <w:style w:type="paragraph" w:customStyle="1" w:styleId="TableHeadingcontinued">
    <w:name w:val="Table Heading continued"/>
    <w:basedOn w:val="HeadingBase"/>
    <w:next w:val="TableGraphic"/>
    <w:rsid w:val="00A369EA"/>
    <w:pPr>
      <w:spacing w:before="120" w:after="20"/>
    </w:pPr>
    <w:rPr>
      <w:rFonts w:ascii="Arial Bold" w:hAnsi="Arial Bold"/>
      <w:b/>
      <w:sz w:val="20"/>
    </w:rPr>
  </w:style>
  <w:style w:type="paragraph" w:styleId="TableofFigures">
    <w:name w:val="table of figures"/>
    <w:basedOn w:val="Normal"/>
    <w:next w:val="Normal"/>
    <w:rsid w:val="00A369EA"/>
  </w:style>
  <w:style w:type="paragraph" w:customStyle="1" w:styleId="TableTextBase">
    <w:name w:val="Table Text Base"/>
    <w:basedOn w:val="Normal"/>
    <w:rsid w:val="00A369EA"/>
    <w:pPr>
      <w:spacing w:before="20" w:after="20" w:line="240" w:lineRule="auto"/>
    </w:pPr>
    <w:rPr>
      <w:rFonts w:ascii="Arial" w:hAnsi="Arial"/>
      <w:sz w:val="16"/>
    </w:rPr>
  </w:style>
  <w:style w:type="paragraph" w:customStyle="1" w:styleId="TableTextCentred">
    <w:name w:val="Table Text Centred"/>
    <w:basedOn w:val="TableTextBase"/>
    <w:rsid w:val="00A369EA"/>
    <w:pPr>
      <w:jc w:val="center"/>
    </w:pPr>
  </w:style>
  <w:style w:type="paragraph" w:customStyle="1" w:styleId="TableTextIndented">
    <w:name w:val="Table Text Indented"/>
    <w:basedOn w:val="TableTextBase"/>
    <w:rsid w:val="00A369EA"/>
    <w:pPr>
      <w:ind w:left="284"/>
    </w:pPr>
  </w:style>
  <w:style w:type="paragraph" w:customStyle="1" w:styleId="TableTextLeft">
    <w:name w:val="Table Text Left"/>
    <w:basedOn w:val="TableTextBase"/>
    <w:rsid w:val="00A369EA"/>
  </w:style>
  <w:style w:type="paragraph" w:customStyle="1" w:styleId="TableTextRight">
    <w:name w:val="Table Text Right"/>
    <w:basedOn w:val="TableTextBase"/>
    <w:rsid w:val="00A369EA"/>
    <w:pPr>
      <w:jc w:val="right"/>
    </w:pPr>
  </w:style>
  <w:style w:type="paragraph" w:styleId="TOAHeading">
    <w:name w:val="toa heading"/>
    <w:basedOn w:val="Normal"/>
    <w:next w:val="Normal"/>
    <w:rsid w:val="00A369EA"/>
    <w:pPr>
      <w:spacing w:before="120"/>
    </w:pPr>
    <w:rPr>
      <w:rFonts w:ascii="Arial" w:hAnsi="Arial" w:cs="Arial"/>
      <w:b/>
      <w:bCs/>
      <w:sz w:val="24"/>
      <w:szCs w:val="24"/>
    </w:rPr>
  </w:style>
  <w:style w:type="paragraph" w:styleId="TOC1">
    <w:name w:val="toc 1"/>
    <w:basedOn w:val="HeaderBase"/>
    <w:next w:val="Normal"/>
    <w:uiPriority w:val="2"/>
    <w:rsid w:val="00A369E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A369E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369EA"/>
    <w:pPr>
      <w:tabs>
        <w:tab w:val="right" w:leader="dot" w:pos="7700"/>
      </w:tabs>
      <w:spacing w:before="40"/>
      <w:ind w:right="851"/>
    </w:pPr>
    <w:rPr>
      <w:sz w:val="20"/>
    </w:rPr>
  </w:style>
  <w:style w:type="paragraph" w:styleId="TOC4">
    <w:name w:val="toc 4"/>
    <w:basedOn w:val="HeadingBase"/>
    <w:next w:val="Normal"/>
    <w:uiPriority w:val="2"/>
    <w:unhideWhenUsed/>
    <w:rsid w:val="00A369EA"/>
    <w:pPr>
      <w:tabs>
        <w:tab w:val="right" w:leader="dot" w:pos="7700"/>
      </w:tabs>
      <w:spacing w:before="40"/>
      <w:ind w:right="851"/>
    </w:pPr>
    <w:rPr>
      <w:sz w:val="20"/>
    </w:rPr>
  </w:style>
  <w:style w:type="paragraph" w:styleId="TOC5">
    <w:name w:val="toc 5"/>
    <w:basedOn w:val="Normal"/>
    <w:next w:val="Normal"/>
    <w:autoRedefine/>
    <w:uiPriority w:val="2"/>
    <w:semiHidden/>
    <w:rsid w:val="00A369E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A369EA"/>
    <w:pPr>
      <w:tabs>
        <w:tab w:val="left" w:pos="851"/>
      </w:tabs>
      <w:ind w:left="851" w:hanging="851"/>
    </w:pPr>
    <w:rPr>
      <w:color w:val="000000"/>
    </w:rPr>
  </w:style>
  <w:style w:type="paragraph" w:styleId="TOC7">
    <w:name w:val="toc 7"/>
    <w:basedOn w:val="Normal"/>
    <w:next w:val="Normal"/>
    <w:autoRedefine/>
    <w:uiPriority w:val="2"/>
    <w:semiHidden/>
    <w:rsid w:val="00A369EA"/>
    <w:pPr>
      <w:ind w:left="1200"/>
    </w:pPr>
  </w:style>
  <w:style w:type="paragraph" w:styleId="TOC8">
    <w:name w:val="toc 8"/>
    <w:basedOn w:val="Normal"/>
    <w:next w:val="Normal"/>
    <w:autoRedefine/>
    <w:uiPriority w:val="2"/>
    <w:semiHidden/>
    <w:rsid w:val="00A369EA"/>
    <w:pPr>
      <w:ind w:left="1400"/>
    </w:pPr>
  </w:style>
  <w:style w:type="paragraph" w:styleId="TOC9">
    <w:name w:val="toc 9"/>
    <w:basedOn w:val="Normal"/>
    <w:next w:val="Normal"/>
    <w:autoRedefine/>
    <w:uiPriority w:val="2"/>
    <w:semiHidden/>
    <w:rsid w:val="00A369EA"/>
    <w:pPr>
      <w:ind w:left="1600"/>
    </w:pPr>
  </w:style>
  <w:style w:type="paragraph" w:customStyle="1" w:styleId="TPHeading1">
    <w:name w:val="TP Heading 1"/>
    <w:basedOn w:val="HeadingBase"/>
    <w:semiHidden/>
    <w:rsid w:val="00A369EA"/>
    <w:pPr>
      <w:spacing w:before="60" w:after="60"/>
      <w:ind w:left="1134"/>
    </w:pPr>
    <w:rPr>
      <w:rFonts w:ascii="Arial Bold" w:hAnsi="Arial Bold"/>
      <w:b/>
      <w:caps/>
      <w:spacing w:val="-10"/>
      <w:sz w:val="28"/>
    </w:rPr>
  </w:style>
  <w:style w:type="paragraph" w:customStyle="1" w:styleId="TPHeading2">
    <w:name w:val="TP Heading 2"/>
    <w:basedOn w:val="HeadingBase"/>
    <w:rsid w:val="00A369EA"/>
    <w:pPr>
      <w:ind w:left="1134"/>
    </w:pPr>
    <w:rPr>
      <w:caps/>
      <w:spacing w:val="-10"/>
      <w:sz w:val="28"/>
    </w:rPr>
  </w:style>
  <w:style w:type="paragraph" w:customStyle="1" w:styleId="TPHeading3">
    <w:name w:val="TP Heading 3"/>
    <w:basedOn w:val="HeadingBase"/>
    <w:rsid w:val="00A369EA"/>
    <w:pPr>
      <w:ind w:left="1134"/>
    </w:pPr>
    <w:rPr>
      <w:caps/>
      <w:spacing w:val="-10"/>
    </w:rPr>
  </w:style>
  <w:style w:type="paragraph" w:customStyle="1" w:styleId="TPHeading3bold">
    <w:name w:val="TP Heading 3 bold"/>
    <w:basedOn w:val="TPHeading3"/>
    <w:semiHidden/>
    <w:rsid w:val="00A369EA"/>
    <w:rPr>
      <w:rFonts w:cs="Arial"/>
      <w:b/>
      <w:sz w:val="22"/>
      <w:szCs w:val="22"/>
    </w:rPr>
  </w:style>
  <w:style w:type="paragraph" w:customStyle="1" w:styleId="TPHEADING3boldspace">
    <w:name w:val="TP HEADING 3 bold space"/>
    <w:basedOn w:val="TPHeading3bold"/>
    <w:semiHidden/>
    <w:rsid w:val="00A369EA"/>
    <w:pPr>
      <w:spacing w:after="120"/>
    </w:pPr>
  </w:style>
  <w:style w:type="paragraph" w:customStyle="1" w:styleId="TPHEADING3space">
    <w:name w:val="TP HEADING 3 space"/>
    <w:basedOn w:val="TPHeading3"/>
    <w:semiHidden/>
    <w:rsid w:val="00A369EA"/>
    <w:pPr>
      <w:spacing w:before="120" w:after="120"/>
    </w:pPr>
    <w:rPr>
      <w:rFonts w:cs="Arial"/>
      <w:sz w:val="22"/>
      <w:szCs w:val="22"/>
    </w:rPr>
  </w:style>
  <w:style w:type="paragraph" w:customStyle="1" w:styleId="TPHeading4">
    <w:name w:val="TP Heading 4"/>
    <w:basedOn w:val="TPHeading3"/>
    <w:semiHidden/>
    <w:rsid w:val="00A369EA"/>
    <w:rPr>
      <w:sz w:val="20"/>
    </w:rPr>
  </w:style>
  <w:style w:type="paragraph" w:customStyle="1" w:styleId="TPHEADING4space">
    <w:name w:val="TP HEADING 4 space"/>
    <w:basedOn w:val="TPHEADING3space"/>
    <w:semiHidden/>
    <w:rsid w:val="00A369EA"/>
  </w:style>
  <w:style w:type="paragraph" w:customStyle="1" w:styleId="ChartLine">
    <w:name w:val="Chart Line"/>
    <w:basedOn w:val="Normal"/>
    <w:autoRedefine/>
    <w:qFormat/>
    <w:rsid w:val="00A369E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A369E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A369EA"/>
    <w:rPr>
      <w:sz w:val="16"/>
    </w:rPr>
  </w:style>
  <w:style w:type="paragraph" w:customStyle="1" w:styleId="Box-continuedon">
    <w:name w:val="Box - continued on"/>
    <w:basedOn w:val="Normal"/>
    <w:qFormat/>
    <w:rsid w:val="00A369EA"/>
    <w:pPr>
      <w:jc w:val="right"/>
    </w:pPr>
    <w:rPr>
      <w:rFonts w:asciiTheme="majorHAnsi" w:hAnsiTheme="majorHAnsi" w:cstheme="majorHAnsi"/>
      <w:i/>
      <w:iCs/>
      <w:sz w:val="18"/>
      <w:szCs w:val="24"/>
    </w:rPr>
  </w:style>
  <w:style w:type="paragraph" w:customStyle="1" w:styleId="BoxHeading2">
    <w:name w:val="Box Heading 2"/>
    <w:basedOn w:val="BoxHeading"/>
    <w:autoRedefine/>
    <w:rsid w:val="00A369EA"/>
    <w:pPr>
      <w:spacing w:after="0"/>
    </w:pPr>
    <w:rPr>
      <w:b w:val="0"/>
      <w:bCs/>
      <w:szCs w:val="14"/>
    </w:rPr>
  </w:style>
  <w:style w:type="character" w:customStyle="1" w:styleId="Heading9Char">
    <w:name w:val="Heading 9 Char"/>
    <w:basedOn w:val="DefaultParagraphFont"/>
    <w:link w:val="Heading9"/>
    <w:uiPriority w:val="9"/>
    <w:rsid w:val="00A369EA"/>
    <w:rPr>
      <w:rFonts w:ascii="Cambria" w:eastAsia="Times New Roman" w:hAnsi="Cambria" w:cs="Times New Roman"/>
      <w:lang w:eastAsia="en-AU"/>
    </w:rPr>
  </w:style>
  <w:style w:type="paragraph" w:customStyle="1" w:styleId="GhostLine">
    <w:name w:val="Ghost Line"/>
    <w:basedOn w:val="NoSpacing"/>
    <w:qFormat/>
    <w:rsid w:val="00A369EA"/>
    <w:pPr>
      <w:jc w:val="both"/>
    </w:pPr>
    <w:rPr>
      <w:rFonts w:ascii="Book Antiqua" w:hAnsi="Book Antiqua"/>
      <w:sz w:val="2"/>
    </w:rPr>
  </w:style>
  <w:style w:type="paragraph" w:styleId="NoSpacing">
    <w:name w:val="No Spacing"/>
    <w:uiPriority w:val="1"/>
    <w:qFormat/>
    <w:rsid w:val="00A369EA"/>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A369EA"/>
    <w:rPr>
      <w:rFonts w:ascii="Book Antiqua" w:eastAsia="Times New Roman" w:hAnsi="Book Antiqua" w:cs="Times New Roman"/>
      <w:sz w:val="19"/>
      <w:szCs w:val="20"/>
      <w:lang w:eastAsia="en-AU"/>
    </w:rPr>
  </w:style>
  <w:style w:type="paragraph" w:customStyle="1" w:styleId="ChartHeading">
    <w:name w:val="Chart Heading"/>
    <w:basedOn w:val="HeadingBase"/>
    <w:next w:val="ChartGraphic"/>
    <w:link w:val="ChartHeadingChar"/>
    <w:qFormat/>
    <w:rsid w:val="005859DA"/>
    <w:pPr>
      <w:spacing w:before="120" w:after="20"/>
    </w:pPr>
    <w:rPr>
      <w:b/>
      <w:sz w:val="20"/>
    </w:rPr>
  </w:style>
  <w:style w:type="character" w:customStyle="1" w:styleId="ChartHeadingChar">
    <w:name w:val="Chart Heading Char"/>
    <w:link w:val="ChartHeading"/>
    <w:locked/>
    <w:rsid w:val="005859DA"/>
    <w:rPr>
      <w:rFonts w:ascii="Arial" w:eastAsia="Times New Roman" w:hAnsi="Arial" w:cs="Times New Roman"/>
      <w:b/>
      <w:sz w:val="20"/>
      <w:szCs w:val="20"/>
      <w:lang w:eastAsia="en-AU"/>
    </w:rPr>
  </w:style>
  <w:style w:type="character" w:customStyle="1" w:styleId="BulletChar">
    <w:name w:val="Bullet Char"/>
    <w:link w:val="Bullet"/>
    <w:qFormat/>
    <w:locked/>
    <w:rsid w:val="00206C39"/>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206C39"/>
    <w:rPr>
      <w:rFonts w:ascii="Arial" w:eastAsia="Times New Roman" w:hAnsi="Arial" w:cs="Times New Roman"/>
      <w:color w:val="000000"/>
      <w:sz w:val="16"/>
      <w:szCs w:val="20"/>
      <w:lang w:eastAsia="en-AU"/>
    </w:rPr>
  </w:style>
  <w:style w:type="character" w:styleId="Emphasis">
    <w:name w:val="Emphasis"/>
    <w:basedOn w:val="DefaultParagraphFont"/>
    <w:uiPriority w:val="20"/>
    <w:rsid w:val="00CA5915"/>
    <w:rPr>
      <w:i/>
      <w:iCs/>
    </w:rPr>
  </w:style>
  <w:style w:type="paragraph" w:styleId="NormalWeb">
    <w:name w:val="Normal (Web)"/>
    <w:basedOn w:val="Normal"/>
    <w:uiPriority w:val="99"/>
    <w:semiHidden/>
    <w:unhideWhenUsed/>
    <w:rsid w:val="00CA5915"/>
    <w:rPr>
      <w:rFonts w:ascii="Times New Roman" w:hAnsi="Times New Roman"/>
      <w:sz w:val="24"/>
      <w:szCs w:val="24"/>
    </w:rPr>
  </w:style>
  <w:style w:type="paragraph" w:customStyle="1" w:styleId="AppendixHeading">
    <w:name w:val="Appendix Heading"/>
    <w:basedOn w:val="HeadingBase"/>
    <w:rsid w:val="007B3C8C"/>
    <w:pPr>
      <w:spacing w:after="240"/>
      <w:jc w:val="center"/>
      <w:outlineLvl w:val="3"/>
    </w:pPr>
    <w:rPr>
      <w:b/>
      <w:smallCaps/>
      <w:sz w:val="30"/>
    </w:rPr>
  </w:style>
  <w:style w:type="paragraph" w:styleId="BalloonText">
    <w:name w:val="Balloon Text"/>
    <w:basedOn w:val="Normal"/>
    <w:link w:val="BalloonTextChar"/>
    <w:rsid w:val="007B3C8C"/>
    <w:rPr>
      <w:rFonts w:ascii="Tahoma" w:hAnsi="Tahoma" w:cs="Tahoma"/>
      <w:sz w:val="16"/>
      <w:szCs w:val="16"/>
    </w:rPr>
  </w:style>
  <w:style w:type="character" w:customStyle="1" w:styleId="BalloonTextChar">
    <w:name w:val="Balloon Text Char"/>
    <w:basedOn w:val="DefaultParagraphFont"/>
    <w:link w:val="BalloonText"/>
    <w:rsid w:val="007B3C8C"/>
    <w:rPr>
      <w:rFonts w:ascii="Tahoma" w:eastAsia="Times New Roman" w:hAnsi="Tahoma" w:cs="Tahoma"/>
      <w:sz w:val="16"/>
      <w:szCs w:val="16"/>
      <w:lang w:eastAsia="en-AU"/>
    </w:rPr>
  </w:style>
  <w:style w:type="paragraph" w:customStyle="1" w:styleId="BlockedQuotation">
    <w:name w:val="Blocked Quotation"/>
    <w:basedOn w:val="Normal"/>
    <w:rsid w:val="007B3C8C"/>
    <w:pPr>
      <w:ind w:left="567"/>
    </w:pPr>
  </w:style>
  <w:style w:type="paragraph" w:customStyle="1" w:styleId="BoxSubHeading">
    <w:name w:val="Box Sub Heading"/>
    <w:basedOn w:val="Heading6"/>
    <w:rsid w:val="007B3C8C"/>
    <w:pPr>
      <w:spacing w:before="120" w:after="40"/>
    </w:pPr>
  </w:style>
  <w:style w:type="paragraph" w:customStyle="1" w:styleId="ContentsnoToC">
    <w:name w:val="Contents no ToC"/>
    <w:basedOn w:val="ContentsHeading"/>
    <w:rsid w:val="007B3C8C"/>
    <w:pPr>
      <w:jc w:val="center"/>
    </w:pPr>
    <w:rPr>
      <w:kern w:val="0"/>
    </w:rPr>
  </w:style>
  <w:style w:type="character" w:styleId="EndnoteReference">
    <w:name w:val="endnote reference"/>
    <w:basedOn w:val="DefaultParagraphFont"/>
    <w:unhideWhenUsed/>
    <w:rsid w:val="007B3C8C"/>
    <w:rPr>
      <w:vertAlign w:val="superscript"/>
    </w:rPr>
  </w:style>
  <w:style w:type="paragraph" w:styleId="EndnoteText">
    <w:name w:val="endnote text"/>
    <w:basedOn w:val="Normal"/>
    <w:link w:val="EndnoteTextChar"/>
    <w:unhideWhenUsed/>
    <w:rsid w:val="007B3C8C"/>
  </w:style>
  <w:style w:type="character" w:customStyle="1" w:styleId="EndnoteTextChar">
    <w:name w:val="Endnote Text Char"/>
    <w:basedOn w:val="DefaultParagraphFont"/>
    <w:link w:val="EndnoteText"/>
    <w:rsid w:val="007B3C8C"/>
    <w:rPr>
      <w:rFonts w:ascii="Book Antiqua" w:eastAsia="Times New Roman" w:hAnsi="Book Antiqua" w:cs="Times New Roman"/>
      <w:sz w:val="20"/>
      <w:szCs w:val="20"/>
      <w:lang w:eastAsia="en-AU"/>
    </w:rPr>
  </w:style>
  <w:style w:type="paragraph" w:styleId="Index1">
    <w:name w:val="index 1"/>
    <w:basedOn w:val="Normal"/>
    <w:next w:val="Normal"/>
    <w:rsid w:val="007B3C8C"/>
    <w:pPr>
      <w:ind w:left="200" w:hanging="200"/>
    </w:pPr>
  </w:style>
  <w:style w:type="paragraph" w:styleId="Index2">
    <w:name w:val="index 2"/>
    <w:basedOn w:val="Normal"/>
    <w:next w:val="Normal"/>
    <w:rsid w:val="007B3C8C"/>
    <w:pPr>
      <w:ind w:left="400" w:hanging="200"/>
    </w:pPr>
  </w:style>
  <w:style w:type="paragraph" w:styleId="Index3">
    <w:name w:val="index 3"/>
    <w:basedOn w:val="Normal"/>
    <w:next w:val="Normal"/>
    <w:rsid w:val="007B3C8C"/>
    <w:pPr>
      <w:ind w:left="600" w:hanging="200"/>
    </w:pPr>
  </w:style>
  <w:style w:type="paragraph" w:styleId="IndexHeading">
    <w:name w:val="index heading"/>
    <w:basedOn w:val="Normal"/>
    <w:next w:val="Index1"/>
    <w:rsid w:val="007B3C8C"/>
    <w:rPr>
      <w:rFonts w:ascii="Arial Bold" w:hAnsi="Arial Bold" w:cs="Arial"/>
      <w:b/>
      <w:bCs/>
      <w:color w:val="002B54"/>
    </w:rPr>
  </w:style>
  <w:style w:type="paragraph" w:customStyle="1" w:styleId="SourceBox">
    <w:name w:val="Source Box"/>
    <w:basedOn w:val="Source"/>
    <w:rsid w:val="007B3C8C"/>
    <w:pPr>
      <w:spacing w:before="0" w:after="120"/>
    </w:pPr>
  </w:style>
  <w:style w:type="paragraph" w:customStyle="1" w:styleId="TableColumnHeadingS118pt">
    <w:name w:val="Table Column Heading S11 8 pt"/>
    <w:basedOn w:val="TableColumnHeadingBase"/>
    <w:rsid w:val="007B3C8C"/>
    <w:pPr>
      <w:spacing w:after="0"/>
    </w:pPr>
    <w:rPr>
      <w:rFonts w:ascii="Arial" w:hAnsi="Arial"/>
    </w:rPr>
  </w:style>
  <w:style w:type="paragraph" w:customStyle="1" w:styleId="TableColumnHeadingS119pt">
    <w:name w:val="Table Column Heading S11 9 pt"/>
    <w:basedOn w:val="TableColumnHeadingBase"/>
    <w:rsid w:val="007B3C8C"/>
    <w:pPr>
      <w:spacing w:before="60" w:after="60"/>
    </w:pPr>
    <w:rPr>
      <w:rFonts w:ascii="Arial" w:hAnsi="Arial"/>
      <w:sz w:val="18"/>
    </w:rPr>
  </w:style>
  <w:style w:type="paragraph" w:styleId="TableofAuthorities">
    <w:name w:val="table of authorities"/>
    <w:basedOn w:val="Normal"/>
    <w:next w:val="Normal"/>
    <w:rsid w:val="007B3C8C"/>
    <w:pPr>
      <w:ind w:left="200" w:hanging="200"/>
    </w:pPr>
  </w:style>
  <w:style w:type="paragraph" w:customStyle="1" w:styleId="Boxcontinuedover">
    <w:name w:val="Box continued over"/>
    <w:basedOn w:val="BoxText"/>
    <w:qFormat/>
    <w:rsid w:val="007B3C8C"/>
    <w:pPr>
      <w:spacing w:before="240" w:after="0"/>
      <w:jc w:val="right"/>
    </w:pPr>
    <w:rPr>
      <w:rFonts w:ascii="Arial" w:hAnsi="Arial"/>
      <w:b/>
      <w:bCs/>
      <w:sz w:val="18"/>
      <w:szCs w:val="16"/>
    </w:rPr>
  </w:style>
  <w:style w:type="paragraph" w:customStyle="1" w:styleId="PrelimsAlpha">
    <w:name w:val="Prelims Alpha"/>
    <w:basedOn w:val="Normal"/>
    <w:rsid w:val="007B3C8C"/>
    <w:pPr>
      <w:tabs>
        <w:tab w:val="left" w:pos="567"/>
      </w:tabs>
      <w:ind w:left="567" w:hanging="567"/>
    </w:pPr>
    <w:rPr>
      <w:color w:val="000000"/>
      <w:szCs w:val="24"/>
      <w:lang w:eastAsia="en-US"/>
    </w:rPr>
  </w:style>
  <w:style w:type="paragraph" w:customStyle="1" w:styleId="PrelimsDash">
    <w:name w:val="Prelims Dash"/>
    <w:basedOn w:val="Dash"/>
    <w:rsid w:val="007B3C8C"/>
    <w:pPr>
      <w:numPr>
        <w:ilvl w:val="0"/>
        <w:numId w:val="22"/>
      </w:numPr>
      <w:tabs>
        <w:tab w:val="clear" w:pos="567"/>
        <w:tab w:val="left" w:pos="992"/>
      </w:tabs>
      <w:ind w:left="992" w:hanging="425"/>
    </w:pPr>
    <w:rPr>
      <w:color w:val="000000"/>
      <w:szCs w:val="24"/>
      <w:lang w:eastAsia="en-US"/>
    </w:rPr>
  </w:style>
  <w:style w:type="character" w:customStyle="1" w:styleId="italic">
    <w:name w:val="italic"/>
    <w:rsid w:val="007B3C8C"/>
    <w:rPr>
      <w:i/>
    </w:rPr>
  </w:style>
  <w:style w:type="character" w:customStyle="1" w:styleId="A5">
    <w:name w:val="A5"/>
    <w:uiPriority w:val="99"/>
    <w:rsid w:val="007B3C8C"/>
    <w:rPr>
      <w:rFonts w:cs="Swiss 721 BT"/>
      <w:color w:val="000000"/>
      <w:sz w:val="20"/>
      <w:szCs w:val="20"/>
    </w:rPr>
  </w:style>
  <w:style w:type="paragraph" w:styleId="TOCHeading">
    <w:name w:val="TOC Heading"/>
    <w:basedOn w:val="Heading1"/>
    <w:next w:val="Normal"/>
    <w:uiPriority w:val="39"/>
    <w:unhideWhenUsed/>
    <w:qFormat/>
    <w:rsid w:val="007B3C8C"/>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paragraph" w:customStyle="1" w:styleId="TableColumnHeading">
    <w:name w:val="Table Column Heading"/>
    <w:basedOn w:val="Normal"/>
    <w:rsid w:val="007B3C8C"/>
    <w:pPr>
      <w:spacing w:before="20" w:after="20" w:line="240" w:lineRule="auto"/>
    </w:pPr>
    <w:rPr>
      <w:rFonts w:ascii="Arial" w:hAnsi="Arial"/>
      <w:b/>
      <w:color w:val="002B54"/>
      <w:sz w:val="16"/>
    </w:rPr>
  </w:style>
  <w:style w:type="paragraph" w:styleId="Revision">
    <w:name w:val="Revision"/>
    <w:hidden/>
    <w:uiPriority w:val="99"/>
    <w:semiHidden/>
    <w:rsid w:val="007B3C8C"/>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7B3C8C"/>
    <w:rPr>
      <w:color w:val="E61E26" w:themeColor="followedHyperlink"/>
      <w:u w:val="single"/>
    </w:rPr>
  </w:style>
  <w:style w:type="paragraph" w:customStyle="1" w:styleId="SummaryMeasureTitlewithTheme">
    <w:name w:val="Summary Measure Title with Theme"/>
    <w:basedOn w:val="Normal"/>
    <w:rsid w:val="007B3C8C"/>
    <w:pPr>
      <w:tabs>
        <w:tab w:val="left" w:pos="285"/>
      </w:tabs>
      <w:spacing w:before="20" w:after="20" w:line="240" w:lineRule="auto"/>
      <w:ind w:left="340" w:right="57" w:hanging="113"/>
    </w:pPr>
    <w:rPr>
      <w:rFonts w:ascii="Arial" w:hAnsi="Arial"/>
      <w:noProof/>
      <w:color w:val="000000"/>
      <w:sz w:val="16"/>
      <w:szCs w:val="16"/>
    </w:rPr>
  </w:style>
  <w:style w:type="paragraph" w:customStyle="1" w:styleId="Summarytabletextrightaligned">
    <w:name w:val="Summary table text right aligned"/>
    <w:basedOn w:val="Normal"/>
    <w:rsid w:val="007B3C8C"/>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7B3C8C"/>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7B3C8C"/>
    <w:pPr>
      <w:tabs>
        <w:tab w:val="left" w:pos="285"/>
      </w:tabs>
      <w:spacing w:before="20" w:after="20" w:line="240" w:lineRule="auto"/>
    </w:pPr>
    <w:rPr>
      <w:rFonts w:ascii="Arial" w:hAnsi="Arial"/>
      <w:b/>
      <w:noProof/>
      <w:color w:val="000000"/>
      <w:sz w:val="16"/>
      <w:szCs w:val="16"/>
    </w:rPr>
  </w:style>
  <w:style w:type="paragraph" w:customStyle="1" w:styleId="SummaryPortfolioTitle-BP2">
    <w:name w:val="Summary Portfolio Title - BP2"/>
    <w:aliases w:val="Theme"/>
    <w:basedOn w:val="Normal"/>
    <w:rsid w:val="007B3C8C"/>
    <w:pPr>
      <w:spacing w:before="120" w:after="20" w:line="240" w:lineRule="auto"/>
      <w:ind w:right="113"/>
    </w:pPr>
    <w:rPr>
      <w:rFonts w:ascii="Arial" w:hAnsi="Arial"/>
      <w:b/>
      <w:caps/>
      <w:sz w:val="16"/>
    </w:rPr>
  </w:style>
  <w:style w:type="paragraph" w:customStyle="1" w:styleId="SummaryAgencyTitle-BP2">
    <w:name w:val="Summary Agency Title - BP2"/>
    <w:aliases w:val="The"/>
    <w:basedOn w:val="Normal"/>
    <w:rsid w:val="007B3C8C"/>
    <w:pPr>
      <w:keepLines/>
      <w:spacing w:before="20" w:after="20" w:line="240" w:lineRule="auto"/>
      <w:ind w:left="113" w:right="113" w:hanging="113"/>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7B3C8C"/>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7B3C8C"/>
    <w:pPr>
      <w:ind w:left="720"/>
      <w:contextualSpacing/>
    </w:pPr>
  </w:style>
  <w:style w:type="paragraph" w:customStyle="1" w:styleId="OutlineNumbered1">
    <w:name w:val="Outline Numbered 1"/>
    <w:basedOn w:val="Normal"/>
    <w:link w:val="OutlineNumbered1Char"/>
    <w:rsid w:val="007B3C8C"/>
    <w:pPr>
      <w:numPr>
        <w:numId w:val="25"/>
      </w:numPr>
    </w:pPr>
    <w:rPr>
      <w:rFonts w:eastAsia="Book Antiqua"/>
      <w:color w:val="000000"/>
    </w:rPr>
  </w:style>
  <w:style w:type="character" w:customStyle="1" w:styleId="OutlineNumbered1Char">
    <w:name w:val="Outline Numbered 1 Char"/>
    <w:basedOn w:val="ChartandTableFootnoteAlphaChar"/>
    <w:link w:val="OutlineNumbered1"/>
    <w:rsid w:val="007B3C8C"/>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7B3C8C"/>
    <w:pPr>
      <w:numPr>
        <w:ilvl w:val="1"/>
        <w:numId w:val="25"/>
      </w:numPr>
    </w:pPr>
    <w:rPr>
      <w:rFonts w:eastAsia="Book Antiqua"/>
      <w:color w:val="000000"/>
    </w:rPr>
  </w:style>
  <w:style w:type="character" w:customStyle="1" w:styleId="OutlineNumbered2Char">
    <w:name w:val="Outline Numbered 2 Char"/>
    <w:basedOn w:val="ChartandTableFootnoteAlphaChar"/>
    <w:link w:val="OutlineNumbered2"/>
    <w:rsid w:val="007B3C8C"/>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7B3C8C"/>
    <w:pPr>
      <w:numPr>
        <w:ilvl w:val="2"/>
        <w:numId w:val="25"/>
      </w:numPr>
    </w:pPr>
    <w:rPr>
      <w:rFonts w:eastAsia="Book Antiqua"/>
      <w:color w:val="000000"/>
    </w:rPr>
  </w:style>
  <w:style w:type="character" w:customStyle="1" w:styleId="OutlineNumbered3Char">
    <w:name w:val="Outline Numbered 3 Char"/>
    <w:basedOn w:val="ChartandTableFootnoteAlphaChar"/>
    <w:link w:val="OutlineNumbered3"/>
    <w:rsid w:val="007B3C8C"/>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7B3C8C"/>
    <w:rPr>
      <w:color w:val="605E5C"/>
      <w:shd w:val="clear" w:color="auto" w:fill="E1DFDD"/>
    </w:rPr>
  </w:style>
  <w:style w:type="character" w:customStyle="1" w:styleId="Mention1">
    <w:name w:val="Mention1"/>
    <w:basedOn w:val="DefaultParagraphFont"/>
    <w:uiPriority w:val="99"/>
    <w:unhideWhenUsed/>
    <w:rsid w:val="007B3C8C"/>
    <w:rPr>
      <w:color w:val="2B579A"/>
      <w:shd w:val="clear" w:color="auto" w:fill="E1DFDD"/>
    </w:rPr>
  </w:style>
  <w:style w:type="character" w:customStyle="1" w:styleId="UnresolvedMention2">
    <w:name w:val="Unresolved Mention2"/>
    <w:basedOn w:val="DefaultParagraphFont"/>
    <w:uiPriority w:val="99"/>
    <w:unhideWhenUsed/>
    <w:rsid w:val="007B3C8C"/>
    <w:rPr>
      <w:color w:val="605E5C"/>
      <w:shd w:val="clear" w:color="auto" w:fill="E1DFDD"/>
    </w:rPr>
  </w:style>
  <w:style w:type="character" w:customStyle="1" w:styleId="Mention2">
    <w:name w:val="Mention2"/>
    <w:basedOn w:val="DefaultParagraphFont"/>
    <w:uiPriority w:val="99"/>
    <w:unhideWhenUsed/>
    <w:rsid w:val="007B3C8C"/>
    <w:rPr>
      <w:color w:val="2B579A"/>
      <w:shd w:val="clear" w:color="auto" w:fill="E1DFDD"/>
    </w:rPr>
  </w:style>
  <w:style w:type="character" w:customStyle="1" w:styleId="UnresolvedMention3">
    <w:name w:val="Unresolved Mention3"/>
    <w:basedOn w:val="DefaultParagraphFont"/>
    <w:uiPriority w:val="99"/>
    <w:unhideWhenUsed/>
    <w:rsid w:val="007B3C8C"/>
    <w:rPr>
      <w:color w:val="605E5C"/>
      <w:shd w:val="clear" w:color="auto" w:fill="E1DFDD"/>
    </w:rPr>
  </w:style>
  <w:style w:type="character" w:customStyle="1" w:styleId="Mention3">
    <w:name w:val="Mention3"/>
    <w:basedOn w:val="DefaultParagraphFont"/>
    <w:uiPriority w:val="99"/>
    <w:unhideWhenUsed/>
    <w:rsid w:val="007B3C8C"/>
    <w:rPr>
      <w:color w:val="2B579A"/>
      <w:shd w:val="clear" w:color="auto" w:fill="E1DFDD"/>
    </w:rPr>
  </w:style>
  <w:style w:type="character" w:styleId="SubtleEmphasis">
    <w:name w:val="Subtle Emphasis"/>
    <w:basedOn w:val="DefaultParagraphFont"/>
    <w:uiPriority w:val="19"/>
    <w:rsid w:val="00F0581B"/>
    <w:rPr>
      <w:i/>
      <w:iCs/>
      <w:color w:val="404040" w:themeColor="text1" w:themeTint="BF"/>
    </w:rPr>
  </w:style>
  <w:style w:type="character" w:customStyle="1" w:styleId="ChartGraphicChar">
    <w:name w:val="Chart Graphic Char"/>
    <w:basedOn w:val="DefaultParagraphFont"/>
    <w:link w:val="ChartGraphic"/>
    <w:locked/>
    <w:rsid w:val="00CD3332"/>
    <w:rPr>
      <w:rFonts w:ascii="Arial" w:eastAsia="Times New Roman" w:hAnsi="Arial" w:cs="Times New Roman"/>
      <w:sz w:val="20"/>
      <w:szCs w:val="20"/>
      <w:lang w:eastAsia="en-AU"/>
    </w:rPr>
  </w:style>
  <w:style w:type="character" w:customStyle="1" w:styleId="ChartandTableFootnoteChar">
    <w:name w:val="Chart and Table Footnote Char"/>
    <w:basedOn w:val="DefaultParagraphFont"/>
    <w:link w:val="ChartandTableFootnote"/>
    <w:locked/>
    <w:rsid w:val="00CD3332"/>
    <w:rPr>
      <w:rFonts w:ascii="Arial" w:eastAsia="Times New Roman" w:hAnsi="Arial" w:cs="Times New Roman"/>
      <w:color w:val="000000"/>
      <w:sz w:val="16"/>
      <w:szCs w:val="20"/>
      <w:lang w:eastAsia="en-AU"/>
    </w:rPr>
  </w:style>
  <w:style w:type="paragraph" w:customStyle="1" w:styleId="CreativeCommonsNormal">
    <w:name w:val="Creative Commons Normal"/>
    <w:basedOn w:val="Normal"/>
    <w:qFormat/>
    <w:rsid w:val="000E43AA"/>
    <w:pPr>
      <w:spacing w:before="120" w:after="120"/>
    </w:pPr>
  </w:style>
  <w:style w:type="character" w:styleId="Mention">
    <w:name w:val="Mention"/>
    <w:basedOn w:val="DefaultParagraphFont"/>
    <w:uiPriority w:val="99"/>
    <w:unhideWhenUsed/>
    <w:rsid w:val="000E43AA"/>
    <w:rPr>
      <w:color w:val="2B579A"/>
      <w:shd w:val="clear" w:color="auto" w:fill="E1DFDD"/>
    </w:rPr>
  </w:style>
  <w:style w:type="character" w:styleId="UnresolvedMention">
    <w:name w:val="Unresolved Mention"/>
    <w:basedOn w:val="DefaultParagraphFont"/>
    <w:uiPriority w:val="99"/>
    <w:semiHidden/>
    <w:unhideWhenUsed/>
    <w:rsid w:val="00032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25223">
      <w:bodyDiv w:val="1"/>
      <w:marLeft w:val="0"/>
      <w:marRight w:val="0"/>
      <w:marTop w:val="0"/>
      <w:marBottom w:val="0"/>
      <w:divBdr>
        <w:top w:val="none" w:sz="0" w:space="0" w:color="auto"/>
        <w:left w:val="none" w:sz="0" w:space="0" w:color="auto"/>
        <w:bottom w:val="none" w:sz="0" w:space="0" w:color="auto"/>
        <w:right w:val="none" w:sz="0" w:space="0" w:color="auto"/>
      </w:divBdr>
    </w:div>
    <w:div w:id="211774123">
      <w:bodyDiv w:val="1"/>
      <w:marLeft w:val="0"/>
      <w:marRight w:val="0"/>
      <w:marTop w:val="0"/>
      <w:marBottom w:val="0"/>
      <w:divBdr>
        <w:top w:val="none" w:sz="0" w:space="0" w:color="auto"/>
        <w:left w:val="none" w:sz="0" w:space="0" w:color="auto"/>
        <w:bottom w:val="none" w:sz="0" w:space="0" w:color="auto"/>
        <w:right w:val="none" w:sz="0" w:space="0" w:color="auto"/>
      </w:divBdr>
    </w:div>
    <w:div w:id="416562220">
      <w:bodyDiv w:val="1"/>
      <w:marLeft w:val="0"/>
      <w:marRight w:val="0"/>
      <w:marTop w:val="0"/>
      <w:marBottom w:val="0"/>
      <w:divBdr>
        <w:top w:val="none" w:sz="0" w:space="0" w:color="auto"/>
        <w:left w:val="none" w:sz="0" w:space="0" w:color="auto"/>
        <w:bottom w:val="none" w:sz="0" w:space="0" w:color="auto"/>
        <w:right w:val="none" w:sz="0" w:space="0" w:color="auto"/>
      </w:divBdr>
    </w:div>
    <w:div w:id="545485543">
      <w:bodyDiv w:val="1"/>
      <w:marLeft w:val="0"/>
      <w:marRight w:val="0"/>
      <w:marTop w:val="0"/>
      <w:marBottom w:val="0"/>
      <w:divBdr>
        <w:top w:val="none" w:sz="0" w:space="0" w:color="auto"/>
        <w:left w:val="none" w:sz="0" w:space="0" w:color="auto"/>
        <w:bottom w:val="none" w:sz="0" w:space="0" w:color="auto"/>
        <w:right w:val="none" w:sz="0" w:space="0" w:color="auto"/>
      </w:divBdr>
    </w:div>
    <w:div w:id="550849015">
      <w:bodyDiv w:val="1"/>
      <w:marLeft w:val="0"/>
      <w:marRight w:val="0"/>
      <w:marTop w:val="0"/>
      <w:marBottom w:val="0"/>
      <w:divBdr>
        <w:top w:val="none" w:sz="0" w:space="0" w:color="auto"/>
        <w:left w:val="none" w:sz="0" w:space="0" w:color="auto"/>
        <w:bottom w:val="none" w:sz="0" w:space="0" w:color="auto"/>
        <w:right w:val="none" w:sz="0" w:space="0" w:color="auto"/>
      </w:divBdr>
    </w:div>
    <w:div w:id="563180524">
      <w:bodyDiv w:val="1"/>
      <w:marLeft w:val="0"/>
      <w:marRight w:val="0"/>
      <w:marTop w:val="0"/>
      <w:marBottom w:val="0"/>
      <w:divBdr>
        <w:top w:val="none" w:sz="0" w:space="0" w:color="auto"/>
        <w:left w:val="none" w:sz="0" w:space="0" w:color="auto"/>
        <w:bottom w:val="none" w:sz="0" w:space="0" w:color="auto"/>
        <w:right w:val="none" w:sz="0" w:space="0" w:color="auto"/>
      </w:divBdr>
    </w:div>
    <w:div w:id="690768063">
      <w:bodyDiv w:val="1"/>
      <w:marLeft w:val="0"/>
      <w:marRight w:val="0"/>
      <w:marTop w:val="0"/>
      <w:marBottom w:val="0"/>
      <w:divBdr>
        <w:top w:val="none" w:sz="0" w:space="0" w:color="auto"/>
        <w:left w:val="none" w:sz="0" w:space="0" w:color="auto"/>
        <w:bottom w:val="none" w:sz="0" w:space="0" w:color="auto"/>
        <w:right w:val="none" w:sz="0" w:space="0" w:color="auto"/>
      </w:divBdr>
    </w:div>
    <w:div w:id="731659282">
      <w:bodyDiv w:val="1"/>
      <w:marLeft w:val="0"/>
      <w:marRight w:val="0"/>
      <w:marTop w:val="0"/>
      <w:marBottom w:val="0"/>
      <w:divBdr>
        <w:top w:val="none" w:sz="0" w:space="0" w:color="auto"/>
        <w:left w:val="none" w:sz="0" w:space="0" w:color="auto"/>
        <w:bottom w:val="none" w:sz="0" w:space="0" w:color="auto"/>
        <w:right w:val="none" w:sz="0" w:space="0" w:color="auto"/>
      </w:divBdr>
    </w:div>
    <w:div w:id="1282497326">
      <w:bodyDiv w:val="1"/>
      <w:marLeft w:val="0"/>
      <w:marRight w:val="0"/>
      <w:marTop w:val="0"/>
      <w:marBottom w:val="0"/>
      <w:divBdr>
        <w:top w:val="none" w:sz="0" w:space="0" w:color="auto"/>
        <w:left w:val="none" w:sz="0" w:space="0" w:color="auto"/>
        <w:bottom w:val="none" w:sz="0" w:space="0" w:color="auto"/>
        <w:right w:val="none" w:sz="0" w:space="0" w:color="auto"/>
      </w:divBdr>
    </w:div>
    <w:div w:id="1431468083">
      <w:bodyDiv w:val="1"/>
      <w:marLeft w:val="0"/>
      <w:marRight w:val="0"/>
      <w:marTop w:val="0"/>
      <w:marBottom w:val="0"/>
      <w:divBdr>
        <w:top w:val="none" w:sz="0" w:space="0" w:color="auto"/>
        <w:left w:val="none" w:sz="0" w:space="0" w:color="auto"/>
        <w:bottom w:val="none" w:sz="0" w:space="0" w:color="auto"/>
        <w:right w:val="none" w:sz="0" w:space="0" w:color="auto"/>
      </w:divBdr>
    </w:div>
    <w:div w:id="1570850045">
      <w:bodyDiv w:val="1"/>
      <w:marLeft w:val="0"/>
      <w:marRight w:val="0"/>
      <w:marTop w:val="0"/>
      <w:marBottom w:val="0"/>
      <w:divBdr>
        <w:top w:val="none" w:sz="0" w:space="0" w:color="auto"/>
        <w:left w:val="none" w:sz="0" w:space="0" w:color="auto"/>
        <w:bottom w:val="none" w:sz="0" w:space="0" w:color="auto"/>
        <w:right w:val="none" w:sz="0" w:space="0" w:color="auto"/>
      </w:divBdr>
    </w:div>
    <w:div w:id="1732845324">
      <w:bodyDiv w:val="1"/>
      <w:marLeft w:val="0"/>
      <w:marRight w:val="0"/>
      <w:marTop w:val="0"/>
      <w:marBottom w:val="0"/>
      <w:divBdr>
        <w:top w:val="none" w:sz="0" w:space="0" w:color="auto"/>
        <w:left w:val="none" w:sz="0" w:space="0" w:color="auto"/>
        <w:bottom w:val="none" w:sz="0" w:space="0" w:color="auto"/>
        <w:right w:val="none" w:sz="0" w:space="0" w:color="auto"/>
      </w:divBdr>
    </w:div>
    <w:div w:id="1796680875">
      <w:bodyDiv w:val="1"/>
      <w:marLeft w:val="0"/>
      <w:marRight w:val="0"/>
      <w:marTop w:val="0"/>
      <w:marBottom w:val="0"/>
      <w:divBdr>
        <w:top w:val="none" w:sz="0" w:space="0" w:color="auto"/>
        <w:left w:val="none" w:sz="0" w:space="0" w:color="auto"/>
        <w:bottom w:val="none" w:sz="0" w:space="0" w:color="auto"/>
        <w:right w:val="none" w:sz="0" w:space="0" w:color="auto"/>
      </w:divBdr>
    </w:div>
    <w:div w:id="1882133469">
      <w:bodyDiv w:val="1"/>
      <w:marLeft w:val="0"/>
      <w:marRight w:val="0"/>
      <w:marTop w:val="0"/>
      <w:marBottom w:val="0"/>
      <w:divBdr>
        <w:top w:val="none" w:sz="0" w:space="0" w:color="auto"/>
        <w:left w:val="none" w:sz="0" w:space="0" w:color="auto"/>
        <w:bottom w:val="none" w:sz="0" w:space="0" w:color="auto"/>
        <w:right w:val="none" w:sz="0" w:space="0" w:color="auto"/>
      </w:divBdr>
    </w:div>
    <w:div w:id="1882476265">
      <w:bodyDiv w:val="1"/>
      <w:marLeft w:val="0"/>
      <w:marRight w:val="0"/>
      <w:marTop w:val="0"/>
      <w:marBottom w:val="0"/>
      <w:divBdr>
        <w:top w:val="none" w:sz="0" w:space="0" w:color="auto"/>
        <w:left w:val="none" w:sz="0" w:space="0" w:color="auto"/>
        <w:bottom w:val="none" w:sz="0" w:space="0" w:color="auto"/>
        <w:right w:val="none" w:sz="0" w:space="0" w:color="auto"/>
      </w:divBdr>
    </w:div>
    <w:div w:id="1927692984">
      <w:bodyDiv w:val="1"/>
      <w:marLeft w:val="0"/>
      <w:marRight w:val="0"/>
      <w:marTop w:val="0"/>
      <w:marBottom w:val="0"/>
      <w:divBdr>
        <w:top w:val="none" w:sz="0" w:space="0" w:color="auto"/>
        <w:left w:val="none" w:sz="0" w:space="0" w:color="auto"/>
        <w:bottom w:val="none" w:sz="0" w:space="0" w:color="auto"/>
        <w:right w:val="none" w:sz="0" w:space="0" w:color="auto"/>
      </w:divBdr>
    </w:div>
    <w:div w:id="1973243654">
      <w:bodyDiv w:val="1"/>
      <w:marLeft w:val="0"/>
      <w:marRight w:val="0"/>
      <w:marTop w:val="0"/>
      <w:marBottom w:val="0"/>
      <w:divBdr>
        <w:top w:val="none" w:sz="0" w:space="0" w:color="auto"/>
        <w:left w:val="none" w:sz="0" w:space="0" w:color="auto"/>
        <w:bottom w:val="none" w:sz="0" w:space="0" w:color="auto"/>
        <w:right w:val="none" w:sz="0" w:space="0" w:color="auto"/>
      </w:divBdr>
    </w:div>
    <w:div w:id="1999772037">
      <w:bodyDiv w:val="1"/>
      <w:marLeft w:val="0"/>
      <w:marRight w:val="0"/>
      <w:marTop w:val="0"/>
      <w:marBottom w:val="0"/>
      <w:divBdr>
        <w:top w:val="none" w:sz="0" w:space="0" w:color="auto"/>
        <w:left w:val="none" w:sz="0" w:space="0" w:color="auto"/>
        <w:bottom w:val="none" w:sz="0" w:space="0" w:color="auto"/>
        <w:right w:val="none" w:sz="0" w:space="0" w:color="auto"/>
      </w:divBdr>
    </w:div>
    <w:div w:id="20030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MudmapEVID xmlns="9115ddca-c623-419f-a3c0-6a1c58c4dac8" xsi:nil="true"/>
    <_ip_UnifiedCompliancePolicyProperties xmlns="http://schemas.microsoft.com/sharepoint/v3"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F7B0DAD1-DBAF-4513-9D76-B83F724E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F5BBDB8E-C5E3-4546-8B33-EBE72CE3B659}">
  <ds:schemaRefs>
    <ds:schemaRef ds:uri="http://schemas.microsoft.com/sharepoint/v3/contenttype/forms"/>
  </ds:schemaRefs>
</ds:datastoreItem>
</file>

<file path=customXml/itemProps4.xml><?xml version="1.0" encoding="utf-8"?>
<ds:datastoreItem xmlns:ds="http://schemas.openxmlformats.org/officeDocument/2006/customXml" ds:itemID="{7629C7F5-CA36-4BF2-B9DB-3F876FED5319}">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docProps/app.xml><?xml version="1.0" encoding="utf-8"?>
<Properties xmlns="http://schemas.openxmlformats.org/officeDocument/2006/extended-properties" xmlns:vt="http://schemas.openxmlformats.org/officeDocument/2006/docPropsVTypes">
  <Template>PEFO.dotm</Template>
  <TotalTime>1</TotalTime>
  <Pages>8</Pages>
  <Words>2282</Words>
  <Characters>11799</Characters>
  <Application>Microsoft Office Word</Application>
  <DocSecurity>0</DocSecurity>
  <Lines>842</Lines>
  <Paragraphs>502</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Fiscal outlook</dc:subject>
  <cp:keywords>[SEC=OFFICIAL]</cp:keywords>
  <dc:description/>
  <cp:revision>2</cp:revision>
  <cp:lastPrinted>2025-04-04T03:08:00Z</cp:lastPrinted>
  <dcterms:created xsi:type="dcterms:W3CDTF">2025-04-06T23:01:00Z</dcterms:created>
  <dcterms:modified xsi:type="dcterms:W3CDTF">2025-04-06T23:01:00Z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  Cabinet</vt:lpwstr>
  </property>
  <property fmtid="{D5CDD505-2E9C-101B-9397-08002B2CF9AE}" pid="4" name="ClassificationContentMarkingHeaderFontProps">
    <vt:lpwstr>#ff0000,12,Calibri</vt:lpwstr>
  </property>
  <property fmtid="{D5CDD505-2E9C-101B-9397-08002B2CF9AE}" pid="5" name="ClassificationContentMarkingFooterFontProps">
    <vt:lpwstr>#ff0000,12,Calibri</vt:lpwstr>
  </property>
  <property fmtid="{D5CDD505-2E9C-101B-9397-08002B2CF9AE}" pid="6" name="ContentTypeId">
    <vt:lpwstr>0x010100DA4EFA3CD0C9384883E202483A01CFD0</vt:lpwstr>
  </property>
  <property fmtid="{D5CDD505-2E9C-101B-9397-08002B2CF9AE}" pid="7" name="MediaServiceImageTags">
    <vt:lpwstr/>
  </property>
  <property fmtid="{D5CDD505-2E9C-101B-9397-08002B2CF9AE}" pid="8" name="ClassificationContentMarkingHeaderShapeIds">
    <vt:lpwstr>55de58ed,390618ed,5ddb15a2,76051ce9,e9101f7,57d3c657,11aa806d,1db18f6f,19196993</vt:lpwstr>
  </property>
  <property fmtid="{D5CDD505-2E9C-101B-9397-08002B2CF9AE}" pid="9" name="ClassificationContentMarkingHeaderText">
    <vt:lpwstr>PROTECTED</vt:lpwstr>
  </property>
  <property fmtid="{D5CDD505-2E9C-101B-9397-08002B2CF9AE}" pid="10" name="ClassificationContentMarkingFooterShapeIds">
    <vt:lpwstr>5db81791,4c61337f,554b530c,5deca7c6,3f92321d,27715421,78f7c61a,716776bc,4170beb3</vt:lpwstr>
  </property>
  <property fmtid="{D5CDD505-2E9C-101B-9397-08002B2CF9AE}" pid="11" name="ClassificationContentMarkingFooterText">
    <vt:lpwstr>PROTECTED</vt:lpwstr>
  </property>
  <property fmtid="{D5CDD505-2E9C-101B-9397-08002B2CF9AE}" pid="12" name="MSIP_Label_8c016467-e564-44a9-b184-235c1fe42542_Enabled">
    <vt:lpwstr>true</vt:lpwstr>
  </property>
  <property fmtid="{D5CDD505-2E9C-101B-9397-08002B2CF9AE}" pid="13" name="MSIP_Label_8c016467-e564-44a9-b184-235c1fe42542_SetDate">
    <vt:lpwstr>2025-04-03T05:53:04Z</vt:lpwstr>
  </property>
  <property fmtid="{D5CDD505-2E9C-101B-9397-08002B2CF9AE}" pid="14" name="MSIP_Label_8c016467-e564-44a9-b184-235c1fe42542_Method">
    <vt:lpwstr>Privileged</vt:lpwstr>
  </property>
  <property fmtid="{D5CDD505-2E9C-101B-9397-08002B2CF9AE}" pid="15" name="MSIP_Label_8c016467-e564-44a9-b184-235c1fe42542_Name">
    <vt:lpwstr>P C AM</vt:lpwstr>
  </property>
  <property fmtid="{D5CDD505-2E9C-101B-9397-08002B2CF9AE}" pid="16" name="MSIP_Label_8c016467-e564-44a9-b184-235c1fe42542_SiteId">
    <vt:lpwstr>214f1646-2021-47cc-8397-e3d3a7ba7d9d</vt:lpwstr>
  </property>
  <property fmtid="{D5CDD505-2E9C-101B-9397-08002B2CF9AE}" pid="17" name="MSIP_Label_8c016467-e564-44a9-b184-235c1fe42542_ActionId">
    <vt:lpwstr>c719b1eb-9bbf-43d5-9453-94cade70ea76</vt:lpwstr>
  </property>
  <property fmtid="{D5CDD505-2E9C-101B-9397-08002B2CF9AE}" pid="18" name="MSIP_Label_8c016467-e564-44a9-b184-235c1fe42542_ContentBits">
    <vt:lpwstr>0</vt:lpwstr>
  </property>
  <property fmtid="{D5CDD505-2E9C-101B-9397-08002B2CF9AE}" pid="19" name="PM_Hash_SHA1">
    <vt:lpwstr>FC80ACA33E6A80A458B308A48F7AA98A8B8D59A5</vt:lpwstr>
  </property>
  <property fmtid="{D5CDD505-2E9C-101B-9397-08002B2CF9AE}" pid="20" name="MSIP_Label_87d6481e-ccdd-4ab6-8b26-05a0df5699e7_Method">
    <vt:lpwstr>Privileged</vt:lpwstr>
  </property>
  <property fmtid="{D5CDD505-2E9C-101B-9397-08002B2CF9AE}" pid="21" name="PM_Hash_Version">
    <vt:lpwstr>2022.1</vt:lpwstr>
  </property>
  <property fmtid="{D5CDD505-2E9C-101B-9397-08002B2CF9AE}" pid="22" name="PM_Namespace">
    <vt:lpwstr>gov.au</vt:lpwstr>
  </property>
  <property fmtid="{D5CDD505-2E9C-101B-9397-08002B2CF9AE}" pid="23" name="PM_Caveats_Count">
    <vt:lpwstr>0</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v=2022.1;a=SHA256;h=064B817F24DDC9861A823533E3639770255ACB11D1F541437106148613921B12</vt:lpwstr>
  </property>
  <property fmtid="{D5CDD505-2E9C-101B-9397-08002B2CF9AE}" pid="27" name="PM_Qualifier">
    <vt:lpwstr/>
  </property>
  <property fmtid="{D5CDD505-2E9C-101B-9397-08002B2CF9AE}" pid="28" name="PM_ProtectiveMarkingValue_Header">
    <vt:lpwstr>OFFICIAL</vt:lpwstr>
  </property>
  <property fmtid="{D5CDD505-2E9C-101B-9397-08002B2CF9AE}" pid="29" name="PM_OriginationTimeStamp">
    <vt:lpwstr>2025-04-06T23:00:18Z</vt:lpwstr>
  </property>
  <property fmtid="{D5CDD505-2E9C-101B-9397-08002B2CF9AE}" pid="30" name="PM_Note">
    <vt:lpwstr/>
  </property>
  <property fmtid="{D5CDD505-2E9C-101B-9397-08002B2CF9AE}" pid="31" name="PM_Markers">
    <vt:lpwstr/>
  </property>
  <property fmtid="{D5CDD505-2E9C-101B-9397-08002B2CF9AE}" pid="32" name="MSIP_Label_87d6481e-ccdd-4ab6-8b26-05a0df5699e7_Name">
    <vt:lpwstr>OFFICIAL</vt:lpwstr>
  </property>
  <property fmtid="{D5CDD505-2E9C-101B-9397-08002B2CF9AE}" pid="33" name="MSIP_Label_87d6481e-ccdd-4ab6-8b26-05a0df5699e7_SiteId">
    <vt:lpwstr>08954cee-4782-4ff6-9ad5-1997dccef4b0</vt:lpwstr>
  </property>
  <property fmtid="{D5CDD505-2E9C-101B-9397-08002B2CF9AE}" pid="34" name="MSIP_Label_87d6481e-ccdd-4ab6-8b26-05a0df5699e7_Enabled">
    <vt:lpwstr>true</vt:lpwstr>
  </property>
  <property fmtid="{D5CDD505-2E9C-101B-9397-08002B2CF9AE}" pid="35" name="PM_OriginatorUserAccountName_SHA256">
    <vt:lpwstr>2E75060944458ED88EA111AE45340297A60807EEB41F1D0DD44D1BD2AA4BE835</vt:lpwstr>
  </property>
  <property fmtid="{D5CDD505-2E9C-101B-9397-08002B2CF9AE}" pid="36" name="MSIP_Label_87d6481e-ccdd-4ab6-8b26-05a0df5699e7_SetDate">
    <vt:lpwstr>2025-04-06T23:00:18Z</vt:lpwstr>
  </property>
  <property fmtid="{D5CDD505-2E9C-101B-9397-08002B2CF9AE}" pid="37" name="MSIP_Label_87d6481e-ccdd-4ab6-8b26-05a0df5699e7_ContentBits">
    <vt:lpwstr>0</vt:lpwstr>
  </property>
  <property fmtid="{D5CDD505-2E9C-101B-9397-08002B2CF9AE}" pid="38" name="MSIP_Label_87d6481e-ccdd-4ab6-8b26-05a0df5699e7_ActionId">
    <vt:lpwstr>f7541ebafa414c3c9feeaa93c979f63c</vt:lpwstr>
  </property>
  <property fmtid="{D5CDD505-2E9C-101B-9397-08002B2CF9AE}" pid="39" name="PM_InsertionValue">
    <vt:lpwstr>OFFICIAL</vt:lpwstr>
  </property>
  <property fmtid="{D5CDD505-2E9C-101B-9397-08002B2CF9AE}" pid="40" name="PM_Originator_Hash_SHA1">
    <vt:lpwstr>DC913A4AA2945FA19FDC4B96751AC2B9A7C297ED</vt:lpwstr>
  </property>
  <property fmtid="{D5CDD505-2E9C-101B-9397-08002B2CF9AE}" pid="41" name="PM_DisplayValueSecClassificationWithQualifier">
    <vt:lpwstr>OFFICIAL</vt:lpwstr>
  </property>
  <property fmtid="{D5CDD505-2E9C-101B-9397-08002B2CF9AE}" pid="42" name="PM_Originating_FileId">
    <vt:lpwstr>7AC281AE727A4A33A75BD76C34DAD3EE</vt:lpwstr>
  </property>
  <property fmtid="{D5CDD505-2E9C-101B-9397-08002B2CF9AE}" pid="43" name="PM_ProtectiveMarkingValue_Footer">
    <vt:lpwstr>OFFICIAL</vt:lpwstr>
  </property>
  <property fmtid="{D5CDD505-2E9C-101B-9397-08002B2CF9AE}" pid="44" name="PM_ProtectiveMarkingImage_Header">
    <vt:lpwstr>C:\Program Files\Common Files\janusNET Shared\janusSEAL\Images\DocumentSlashBlue.png</vt:lpwstr>
  </property>
  <property fmtid="{D5CDD505-2E9C-101B-9397-08002B2CF9AE}" pid="45" name="PM_ProtectiveMarkingImage_Footer">
    <vt:lpwstr>C:\Program Files\Common Files\janusNET Shared\janusSEAL\Images\DocumentSlashBlue.png</vt:lpwstr>
  </property>
  <property fmtid="{D5CDD505-2E9C-101B-9397-08002B2CF9AE}" pid="46" name="PM_Display">
    <vt:lpwstr>OFFICIAL</vt:lpwstr>
  </property>
  <property fmtid="{D5CDD505-2E9C-101B-9397-08002B2CF9AE}" pid="47" name="PM_OriginatorDomainName_SHA256">
    <vt:lpwstr>325440F6CA31C4C3BCE4433552DC42928CAAD3E2731ABE35FDE729ECEB763AF0</vt:lpwstr>
  </property>
  <property fmtid="{D5CDD505-2E9C-101B-9397-08002B2CF9AE}" pid="48" name="PMUuid">
    <vt:lpwstr>v=2022.2;d=gov.au;g=46DD6D7C-8107-577B-BC6E-F348953B2E44</vt:lpwstr>
  </property>
  <property fmtid="{D5CDD505-2E9C-101B-9397-08002B2CF9AE}" pid="49" name="PM_Hash_Salt_Prev">
    <vt:lpwstr>DCFDD5DE747AEFBAF51DF893E2519F3A</vt:lpwstr>
  </property>
  <property fmtid="{D5CDD505-2E9C-101B-9397-08002B2CF9AE}" pid="50" name="PM_Hash_Salt">
    <vt:lpwstr>DCFDD5DE747AEFBAF51DF893E2519F3A</vt:lpwstr>
  </property>
</Properties>
</file>