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D0C28C9" w:rsidR="00022D0E" w:rsidRPr="00861E0E" w:rsidRDefault="00CD657F" w:rsidP="00136782">
      <w:pPr>
        <w:pStyle w:val="Heading1"/>
      </w:pPr>
      <w:r>
        <w:t>Example Governance Disclosure</w:t>
      </w:r>
    </w:p>
    <w:p w14:paraId="14F6B3A1" w14:textId="107069CC" w:rsidR="0005610F" w:rsidRPr="003D6007" w:rsidRDefault="00CD657F" w:rsidP="00640B29">
      <w:pPr>
        <w:pStyle w:val="Subheading"/>
        <w:spacing w:beforeLines="0" w:before="240" w:beforeAutospacing="0" w:after="600" w:afterAutospacing="0"/>
      </w:pPr>
      <w:r>
        <w:t>Large non-corporate Commonwealth entity</w:t>
      </w:r>
    </w:p>
    <w:p w14:paraId="6C0E3F4D" w14:textId="4577D347" w:rsidR="00902AB1" w:rsidRDefault="007C22AC" w:rsidP="00B26257">
      <w:pPr>
        <w:pStyle w:val="Heading2"/>
      </w:pPr>
      <w:r>
        <w:t>Introduction</w:t>
      </w:r>
    </w:p>
    <w:p w14:paraId="6F6793CE" w14:textId="77777777" w:rsidR="002977E2" w:rsidRDefault="002977E2" w:rsidP="002977E2">
      <w:pPr>
        <w:pStyle w:val="BodyText1"/>
      </w:pPr>
      <w:r>
        <w:t xml:space="preserve">This document has been prepared as a hypothetical example of disclosing the Governance criteria for inclusion in an entity’s Annual Report. This example has been prepared by the Department of Finance's Climate Action in Government Operations Unit to support Commonwealth entities participating in Tranche 1 of the </w:t>
      </w:r>
      <w:hyperlink r:id="rId8" w:history="1">
        <w:r w:rsidRPr="002977E2">
          <w:rPr>
            <w:rStyle w:val="Hyperlink"/>
          </w:rPr>
          <w:t>Commonwealth Climate Disclosure (CCD) Initiative</w:t>
        </w:r>
      </w:hyperlink>
      <w:r>
        <w:t xml:space="preserve"> in FY2024-25. The example disclosure can also be used by other entities opting into Tranche 1. </w:t>
      </w:r>
    </w:p>
    <w:p w14:paraId="739E3840" w14:textId="2B9AD68C" w:rsidR="002977E2" w:rsidRDefault="002977E2" w:rsidP="002977E2">
      <w:pPr>
        <w:pStyle w:val="BodyText1"/>
      </w:pPr>
      <w:r>
        <w:t xml:space="preserve">The example disclosure has been prepared for </w:t>
      </w:r>
      <w:r w:rsidRPr="2AF056F6">
        <w:rPr>
          <w:b/>
        </w:rPr>
        <w:t xml:space="preserve">a fictional </w:t>
      </w:r>
      <w:r w:rsidR="00BE0035" w:rsidRPr="2AF056F6">
        <w:rPr>
          <w:b/>
        </w:rPr>
        <w:t xml:space="preserve">Commonwealth </w:t>
      </w:r>
      <w:r w:rsidR="00BE0035">
        <w:rPr>
          <w:b/>
        </w:rPr>
        <w:t>entity</w:t>
      </w:r>
      <w:r>
        <w:t>, the Resilient Infrastructure Agency, which is presented as a large non-corporate Commonwealth entity.</w:t>
      </w:r>
      <w:r w:rsidRPr="00C82E5B">
        <w:t xml:space="preserve"> </w:t>
      </w:r>
      <w:r>
        <w:t xml:space="preserve">It demonstrates a possible approach entities could take when preparing their climate disclosure. </w:t>
      </w:r>
      <w:r w:rsidR="00BE0035">
        <w:t xml:space="preserve">It is </w:t>
      </w:r>
      <w:r>
        <w:t>tailored for entities at the start of their climate risk maturity journey.</w:t>
      </w:r>
    </w:p>
    <w:p w14:paraId="17E0D72E" w14:textId="2DEC97B6" w:rsidR="002977E2" w:rsidRDefault="002977E2" w:rsidP="002977E2">
      <w:pPr>
        <w:pStyle w:val="BodyText1"/>
      </w:pPr>
      <w:r>
        <w:t>Th</w:t>
      </w:r>
      <w:r w:rsidR="00F24892">
        <w:t>is</w:t>
      </w:r>
      <w:r>
        <w:t xml:space="preserve"> example </w:t>
      </w:r>
      <w:r w:rsidR="0054014A">
        <w:t xml:space="preserve">governance </w:t>
      </w:r>
      <w:r>
        <w:t>disclosure should be considered in conjunction with the</w:t>
      </w:r>
      <w:r w:rsidRPr="00C43B8F">
        <w:rPr>
          <w:rStyle w:val="Hyperlink"/>
          <w:rFonts w:ascii="Arial" w:hAnsi="Arial"/>
          <w:bCs/>
          <w:color w:val="auto"/>
          <w:u w:val="none"/>
        </w:rPr>
        <w:t xml:space="preserve"> </w:t>
      </w:r>
      <w:hyperlink r:id="rId9" w:history="1">
        <w:r w:rsidRPr="00972367">
          <w:rPr>
            <w:rStyle w:val="Hyperlink"/>
            <w:rFonts w:ascii="Arial" w:hAnsi="Arial"/>
            <w:bCs/>
          </w:rPr>
          <w:t>CCD Year 1 Requiremen</w:t>
        </w:r>
        <w:r w:rsidRPr="00972367">
          <w:rPr>
            <w:rStyle w:val="Hyperlink"/>
          </w:rPr>
          <w:t>ts</w:t>
        </w:r>
      </w:hyperlink>
      <w:r w:rsidRPr="00C43B8F">
        <w:rPr>
          <w:color w:val="000000"/>
        </w:rPr>
        <w:t xml:space="preserve"> </w:t>
      </w:r>
      <w:r>
        <w:t xml:space="preserve">and </w:t>
      </w:r>
      <w:r w:rsidRPr="00487F1F">
        <w:t xml:space="preserve">either </w:t>
      </w:r>
      <w:r w:rsidRPr="00052BC2">
        <w:rPr>
          <w:rStyle w:val="Hyperlink"/>
          <w:rFonts w:ascii="Arial" w:hAnsi="Arial"/>
          <w:color w:val="auto"/>
          <w:u w:val="none"/>
        </w:rPr>
        <w:t xml:space="preserve">Resource Management Guide (RMG) </w:t>
      </w:r>
      <w:hyperlink r:id="rId10" w:history="1">
        <w:r w:rsidRPr="00112950">
          <w:rPr>
            <w:rStyle w:val="Hyperlink"/>
            <w:rFonts w:ascii="Arial" w:hAnsi="Arial"/>
          </w:rPr>
          <w:t>135</w:t>
        </w:r>
      </w:hyperlink>
      <w:r w:rsidRPr="00052BC2">
        <w:rPr>
          <w:rStyle w:val="Hyperlink"/>
          <w:rFonts w:ascii="Arial" w:hAnsi="Arial"/>
          <w:color w:val="auto"/>
          <w:u w:val="none"/>
        </w:rPr>
        <w:t xml:space="preserve"> or </w:t>
      </w:r>
      <w:hyperlink r:id="rId11" w:history="1">
        <w:r w:rsidRPr="00112950">
          <w:rPr>
            <w:rStyle w:val="Hyperlink"/>
            <w:rFonts w:ascii="Arial" w:hAnsi="Arial"/>
          </w:rPr>
          <w:t>136</w:t>
        </w:r>
      </w:hyperlink>
      <w:r>
        <w:t xml:space="preserve"> when preparing an entity’s FY2024-25 Annual Report. </w:t>
      </w:r>
    </w:p>
    <w:p w14:paraId="27ABB0CA" w14:textId="77777777" w:rsidR="002977E2" w:rsidRDefault="002977E2" w:rsidP="002977E2">
      <w:pPr>
        <w:pStyle w:val="BodyText1"/>
      </w:pPr>
      <w:r>
        <w:t>Note: Commonwealth entities are encouraged to disclose more detail and progress than outlined in this example climate disclosure where they have the opportunity to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14:paraId="16F17110" w14:textId="77777777" w:rsidTr="003936E8">
        <w:tc>
          <w:tcPr>
            <w:tcW w:w="9402" w:type="dxa"/>
            <w:shd w:val="clear" w:color="auto" w:fill="D2F0EF" w:themeFill="accent2" w:themeFillTint="33"/>
          </w:tcPr>
          <w:p w14:paraId="1E334AFC" w14:textId="58077614" w:rsidR="002977E2" w:rsidRDefault="002977E2" w:rsidP="001E7E5D">
            <w:pPr>
              <w:pStyle w:val="BodyText1"/>
            </w:pPr>
            <w:r w:rsidRPr="0046495D">
              <w:rPr>
                <w:b/>
              </w:rPr>
              <w:t>Tip:</w:t>
            </w:r>
            <w:r>
              <w:t xml:space="preserve"> </w:t>
            </w:r>
            <w:r w:rsidRPr="00425D04">
              <w:t>Guidance on how to</w:t>
            </w:r>
            <w:r>
              <w:t xml:space="preserve"> use this example is identified throughout in these boxes.</w:t>
            </w:r>
          </w:p>
          <w:p w14:paraId="30D0665C" w14:textId="5FC3CE4F" w:rsidR="0089260C" w:rsidRDefault="0089260C" w:rsidP="0089260C">
            <w:pPr>
              <w:pStyle w:val="BodyText1"/>
            </w:pPr>
            <w:r w:rsidRPr="00487F1F">
              <w:t>The following sectio</w:t>
            </w:r>
            <w:r w:rsidR="00FB50BD">
              <w:t>n</w:t>
            </w:r>
            <w:r w:rsidR="00340E2A">
              <w:t xml:space="preserve"> </w:t>
            </w:r>
            <w:r w:rsidRPr="00487F1F">
              <w:t xml:space="preserve">provides an example of the Governance component of the Commonwealth Climate Disclosure of the fictional entity, the </w:t>
            </w:r>
            <w:r>
              <w:t>Resilient Infrastructure</w:t>
            </w:r>
            <w:r w:rsidRPr="00487F1F">
              <w:t xml:space="preserve"> Agency, which would be included as an Appendix in the entity's Annual Report</w:t>
            </w:r>
            <w:r>
              <w:t xml:space="preserve"> (refer to </w:t>
            </w:r>
            <w:r w:rsidR="00340E2A">
              <w:t xml:space="preserve">example </w:t>
            </w:r>
            <w:r>
              <w:fldChar w:fldCharType="begin"/>
            </w:r>
            <w:r>
              <w:instrText xml:space="preserve"> REF _Ref182824604 \h </w:instrText>
            </w:r>
            <w:r w:rsidR="003936E8">
              <w:instrText xml:space="preserve"> \* MERGEFORMAT </w:instrText>
            </w:r>
            <w:r>
              <w:fldChar w:fldCharType="separate"/>
            </w:r>
            <w:r w:rsidRPr="007A5D29">
              <w:t>Contents</w:t>
            </w:r>
            <w:r>
              <w:fldChar w:fldCharType="end"/>
            </w:r>
            <w:r>
              <w:t xml:space="preserve"> section</w:t>
            </w:r>
            <w:r w:rsidR="00340E2A">
              <w:t xml:space="preserve"> on page </w:t>
            </w:r>
            <w:r w:rsidR="009C4D51">
              <w:fldChar w:fldCharType="begin"/>
            </w:r>
            <w:r w:rsidR="009C4D51">
              <w:instrText xml:space="preserve"> PAGEREF _Ref182824604 \h </w:instrText>
            </w:r>
            <w:r w:rsidR="009C4D51">
              <w:fldChar w:fldCharType="separate"/>
            </w:r>
            <w:r w:rsidR="009C4D51">
              <w:rPr>
                <w:noProof/>
              </w:rPr>
              <w:t>7</w:t>
            </w:r>
            <w:r w:rsidR="009C4D51">
              <w:fldChar w:fldCharType="end"/>
            </w:r>
            <w:r>
              <w:t xml:space="preserve"> for </w:t>
            </w:r>
            <w:r w:rsidR="009C4D51">
              <w:t xml:space="preserve">where this would fit in the annual report </w:t>
            </w:r>
            <w:r>
              <w:t>structure</w:t>
            </w:r>
            <w:r w:rsidR="00C16849">
              <w:t>)</w:t>
            </w:r>
            <w:r>
              <w:t>.</w:t>
            </w:r>
          </w:p>
          <w:p w14:paraId="45F3B5D5" w14:textId="519B1EAD" w:rsidR="0089260C" w:rsidRDefault="0089260C" w:rsidP="0089260C">
            <w:pPr>
              <w:pStyle w:val="BodyText1"/>
            </w:pPr>
            <w:r>
              <w:t>This example</w:t>
            </w:r>
            <w:r w:rsidR="009C4D51">
              <w:t xml:space="preserve"> demonstrates how to</w:t>
            </w:r>
            <w:r>
              <w:t xml:space="preserve"> leverage information that would be within the body of an annual report </w:t>
            </w:r>
            <w:r w:rsidR="009C4D51">
              <w:t>and</w:t>
            </w:r>
            <w:r>
              <w:t xml:space="preserve"> how to cross-reference information, including:</w:t>
            </w:r>
          </w:p>
          <w:p w14:paraId="31938120" w14:textId="2F9B4E22" w:rsidR="0089260C" w:rsidRDefault="0089260C" w:rsidP="0089260C">
            <w:pPr>
              <w:pStyle w:val="Bodybullet1"/>
              <w:spacing w:before="0" w:after="0" w:line="240" w:lineRule="auto"/>
              <w:ind w:left="360"/>
            </w:pPr>
            <w:r>
              <w:t>information with the body of the annual report (example extracts of annual report included from page 6 onwards)</w:t>
            </w:r>
          </w:p>
          <w:p w14:paraId="02CD6CD0" w14:textId="1EE9BC0F" w:rsidR="0089260C" w:rsidRDefault="0089260C" w:rsidP="0089260C">
            <w:pPr>
              <w:pStyle w:val="Bodybullet1"/>
              <w:spacing w:before="0" w:after="0" w:line="240" w:lineRule="auto"/>
              <w:ind w:left="360"/>
            </w:pPr>
            <w:r>
              <w:t>externally available information. This uses real documents from Commonwealth entities which have been identified through footnotes, such as Department of Finance’s Corporate Plan.</w:t>
            </w:r>
          </w:p>
          <w:p w14:paraId="00AA0E41" w14:textId="1DD42648" w:rsidR="0089260C" w:rsidRDefault="0089260C" w:rsidP="0089260C">
            <w:pPr>
              <w:pStyle w:val="BodyText1"/>
              <w:rPr>
                <w:rFonts w:asciiTheme="majorHAnsi" w:eastAsiaTheme="majorEastAsia" w:hAnsiTheme="majorHAnsi" w:cstheme="majorBidi"/>
                <w:b/>
                <w:sz w:val="48"/>
                <w:szCs w:val="32"/>
              </w:rPr>
            </w:pPr>
            <w:r>
              <w:t>An index is recommended when cross-referencing information outside of the climate disclosure to enable readers to connect to all relevant information.</w:t>
            </w:r>
          </w:p>
        </w:tc>
      </w:tr>
    </w:tbl>
    <w:p w14:paraId="5D39B2B5" w14:textId="77777777" w:rsidR="00162042" w:rsidRDefault="00162042" w:rsidP="00FB2D0C">
      <w:pPr>
        <w:pStyle w:val="Heading1"/>
      </w:pPr>
      <w:bookmarkStart w:id="0" w:name="_Heading_2_here"/>
      <w:bookmarkEnd w:id="0"/>
    </w:p>
    <w:p w14:paraId="1DD4013E" w14:textId="34989931" w:rsidR="00FB2D0C" w:rsidRDefault="00FB2D0C" w:rsidP="00FB2D0C">
      <w:pPr>
        <w:pStyle w:val="Heading1"/>
      </w:pPr>
      <w:r w:rsidRPr="00D03E82">
        <w:t>Appendix</w:t>
      </w:r>
      <w:r>
        <w:t xml:space="preserve"> C</w:t>
      </w:r>
      <w:r w:rsidRPr="00162BA7">
        <w:t xml:space="preserve">: </w:t>
      </w:r>
      <w:r>
        <w:t>Climate Statement</w:t>
      </w:r>
    </w:p>
    <w:p w14:paraId="2E634A22" w14:textId="2CB68E94" w:rsidR="00761D30" w:rsidRDefault="00761D30" w:rsidP="00761D30">
      <w:pPr>
        <w:pStyle w:val="Heading2"/>
      </w:pPr>
      <w:r>
        <w:t>Example governance disclosure</w:t>
      </w:r>
    </w:p>
    <w:p w14:paraId="6557A91F" w14:textId="59F3D37D" w:rsidR="00A34966" w:rsidRDefault="00A34966" w:rsidP="00A34966">
      <w:pPr>
        <w:pStyle w:val="BodyText1"/>
        <w:rPr>
          <w:rFonts w:cstheme="minorHAnsi"/>
        </w:rPr>
      </w:pPr>
      <w:r>
        <w:t xml:space="preserve">Commonwealth Climate Disclosure is the Government’s policy for Commonwealth entities to publicly disclose their exposure to climate risks and opportunities, as well as their </w:t>
      </w:r>
      <w:r>
        <w:rPr>
          <w:rFonts w:cstheme="minorHAnsi"/>
        </w:rPr>
        <w:t>actions to manage them</w:t>
      </w:r>
      <w:r w:rsidRPr="00FF015B">
        <w:rPr>
          <w:rFonts w:cstheme="minorHAnsi"/>
        </w:rPr>
        <w:t>, delivering transparent and consistent climate disclosures to the Australian public</w:t>
      </w:r>
      <w:r>
        <w:rPr>
          <w:rFonts w:cstheme="minorHAnsi"/>
        </w:rPr>
        <w:t>.</w:t>
      </w:r>
    </w:p>
    <w:p w14:paraId="6EFFE9F1" w14:textId="26C073EF" w:rsidR="00A34966" w:rsidRDefault="00A34966" w:rsidP="00A34966">
      <w:pPr>
        <w:pStyle w:val="BodyText1"/>
      </w:pPr>
      <w:r w:rsidRPr="00B30E03">
        <w:t xml:space="preserve">Under the policy, non-corporate Commonwealth entities are required to complete climate disclosures. </w:t>
      </w:r>
      <w:r>
        <w:t>As t</w:t>
      </w:r>
      <w:r w:rsidRPr="2AF056F6">
        <w:t xml:space="preserve">he </w:t>
      </w:r>
      <w:r>
        <w:t>Resilient Infrastructure</w:t>
      </w:r>
      <w:r w:rsidRPr="2AF056F6">
        <w:t xml:space="preserve"> Agency (</w:t>
      </w:r>
      <w:r>
        <w:t>RI</w:t>
      </w:r>
      <w:r w:rsidRPr="2AF056F6">
        <w:t xml:space="preserve">A) meets the thresholds of Tranche 1 in the </w:t>
      </w:r>
      <w:hyperlink r:id="rId12">
        <w:r w:rsidRPr="2AF056F6">
          <w:rPr>
            <w:rStyle w:val="Hyperlink"/>
          </w:rPr>
          <w:t xml:space="preserve">CCD </w:t>
        </w:r>
        <w:r>
          <w:rPr>
            <w:rStyle w:val="Hyperlink"/>
          </w:rPr>
          <w:t>P</w:t>
        </w:r>
        <w:r w:rsidRPr="2AF056F6">
          <w:rPr>
            <w:rStyle w:val="Hyperlink"/>
          </w:rPr>
          <w:t xml:space="preserve">olicy </w:t>
        </w:r>
        <w:r>
          <w:rPr>
            <w:rStyle w:val="Hyperlink"/>
          </w:rPr>
          <w:t>A</w:t>
        </w:r>
        <w:r w:rsidRPr="2AF056F6">
          <w:rPr>
            <w:rStyle w:val="Hyperlink"/>
          </w:rPr>
          <w:t>rchitecture</w:t>
        </w:r>
      </w:hyperlink>
      <w:r>
        <w:t>, we are</w:t>
      </w:r>
      <w:r w:rsidRPr="2AF056F6">
        <w:t xml:space="preserve"> required to start including climate-related disclosures in our Annual Report from FY2024-25.</w:t>
      </w:r>
      <w:r>
        <w:t xml:space="preserve"> This climate statement has been prepared in accordance with the </w:t>
      </w:r>
      <w:hyperlink r:id="rId13" w:history="1">
        <w:r w:rsidRPr="00972367">
          <w:rPr>
            <w:rStyle w:val="Hyperlink"/>
          </w:rPr>
          <w:t>Year 1 Reporting Provisions</w:t>
        </w:r>
      </w:hyperlink>
      <w:r>
        <w:t xml:space="preserve"> for Tranche 1 entities.</w:t>
      </w:r>
    </w:p>
    <w:p w14:paraId="6ABEC107" w14:textId="77777777" w:rsidR="00A34966" w:rsidRPr="00C01E64" w:rsidRDefault="00A34966" w:rsidP="00690EA3">
      <w:pPr>
        <w:pStyle w:val="Heading2example"/>
      </w:pPr>
      <w:bookmarkStart w:id="1" w:name="_Toc161825470"/>
      <w:bookmarkStart w:id="2" w:name="_Toc163464085"/>
      <w:r w:rsidRPr="00C01E64">
        <w:t>Governance</w:t>
      </w:r>
      <w:bookmarkEnd w:id="1"/>
      <w:bookmarkEnd w:id="2"/>
    </w:p>
    <w:p w14:paraId="33001AC3" w14:textId="22D0CF3D" w:rsidR="00A34966" w:rsidRDefault="00A34966" w:rsidP="00A34966">
      <w:pPr>
        <w:pStyle w:val="BodyText1"/>
      </w:pPr>
      <w:r w:rsidRPr="2AF056F6">
        <w:t xml:space="preserve">Effective governance </w:t>
      </w:r>
      <w:r>
        <w:t xml:space="preserve">is crucial to </w:t>
      </w:r>
      <w:r w:rsidRPr="2AF056F6">
        <w:t>enabl</w:t>
      </w:r>
      <w:r>
        <w:t>ing</w:t>
      </w:r>
      <w:r w:rsidRPr="2AF056F6">
        <w:t xml:space="preserve"> our </w:t>
      </w:r>
      <w:commentRangeStart w:id="3"/>
      <w:r w:rsidRPr="2AF056F6">
        <w:t>CEO, as our accountable authority</w:t>
      </w:r>
      <w:commentRangeEnd w:id="3"/>
      <w:r>
        <w:rPr>
          <w:rStyle w:val="CommentReference"/>
        </w:rPr>
        <w:commentReference w:id="3"/>
      </w:r>
      <w:r w:rsidRPr="2AF056F6">
        <w:t>, to oversee our agency’s management of climate-related risks and opportunities. With a comprehensive governance framework already in place, we use existing policies and procedures to manage all our enterprise risks, including the risks and opportunities relating to climate change.</w:t>
      </w:r>
      <w:r>
        <w:t xml:space="preserve"> </w:t>
      </w:r>
      <w:commentRangeStart w:id="4"/>
      <w:r>
        <w:t xml:space="preserve">Through embedding climate risk in existing frameworks, we are delivering on our obligations under </w:t>
      </w:r>
      <w:r w:rsidRPr="00205E0D">
        <w:rPr>
          <w:rFonts w:cs="Arial"/>
        </w:rPr>
        <w:t xml:space="preserve">The </w:t>
      </w:r>
      <w:hyperlink r:id="rId17" w:history="1">
        <w:r w:rsidRPr="00972367">
          <w:rPr>
            <w:rStyle w:val="Hyperlink"/>
            <w:rFonts w:cs="Arial"/>
          </w:rPr>
          <w:t>Australian Government’s Approach to Climate Risk and Opportunity Management in the Public Sector 2024-2026</w:t>
        </w:r>
        <w:commentRangeEnd w:id="4"/>
        <w:r w:rsidRPr="00972367">
          <w:rPr>
            <w:rStyle w:val="Hyperlink"/>
            <w:sz w:val="16"/>
            <w:szCs w:val="16"/>
          </w:rPr>
          <w:commentReference w:id="4"/>
        </w:r>
      </w:hyperlink>
      <w:r>
        <w:t xml:space="preserve">. </w:t>
      </w:r>
      <w:r w:rsidRPr="2AF056F6">
        <w:t xml:space="preserve"> </w:t>
      </w:r>
      <w:commentRangeStart w:id="5"/>
      <w:r w:rsidRPr="2AF056F6">
        <w:t xml:space="preserve">Refer to the </w:t>
      </w:r>
      <w:r w:rsidRPr="2AF056F6">
        <w:fldChar w:fldCharType="begin"/>
      </w:r>
      <w:r w:rsidRPr="2AF056F6">
        <w:instrText xml:space="preserve"> REF _Ref178336383 \h  \* MERGEFORMAT </w:instrText>
      </w:r>
      <w:r w:rsidRPr="2AF056F6">
        <w:fldChar w:fldCharType="separate"/>
      </w:r>
      <w:r w:rsidRPr="2AF056F6">
        <w:t>Corporate Governance</w:t>
      </w:r>
      <w:r w:rsidRPr="2AF056F6">
        <w:fldChar w:fldCharType="end"/>
      </w:r>
      <w:r w:rsidRPr="2AF056F6">
        <w:t xml:space="preserve"> section (</w:t>
      </w:r>
      <w:r>
        <w:t>Page X</w:t>
      </w:r>
      <w:r w:rsidRPr="2AF056F6">
        <w:t xml:space="preserve">) and the </w:t>
      </w:r>
      <w:r w:rsidRPr="2AF056F6">
        <w:fldChar w:fldCharType="begin"/>
      </w:r>
      <w:r w:rsidRPr="2AF056F6">
        <w:instrText xml:space="preserve"> REF _Ref178338010 \h  \* MERGEFORMAT </w:instrText>
      </w:r>
      <w:r w:rsidRPr="2AF056F6">
        <w:fldChar w:fldCharType="separate"/>
      </w:r>
      <w:r w:rsidRPr="2AF056F6">
        <w:t>Enterprise Risk Management</w:t>
      </w:r>
      <w:r w:rsidRPr="2AF056F6">
        <w:fldChar w:fldCharType="end"/>
      </w:r>
      <w:r w:rsidRPr="2AF056F6">
        <w:t xml:space="preserve"> section (</w:t>
      </w:r>
      <w:r>
        <w:t>Page X</w:t>
      </w:r>
      <w:r w:rsidRPr="2AF056F6">
        <w:t>) for further information on our agency-wide approach to governance, risk management, related policies and procedures and the roles and responsibilities of our executive committees.</w:t>
      </w:r>
      <w:commentRangeEnd w:id="5"/>
      <w:r>
        <w:rPr>
          <w:rStyle w:val="CommentReference"/>
        </w:rPr>
        <w:commentReference w:id="5"/>
      </w:r>
    </w:p>
    <w:p w14:paraId="260F6FED" w14:textId="77777777" w:rsidR="00A34966" w:rsidRPr="00554971" w:rsidRDefault="00A34966" w:rsidP="00A34966">
      <w:pPr>
        <w:pStyle w:val="BodyText1"/>
      </w:pPr>
      <w:r w:rsidRPr="2AF056F6">
        <w:t xml:space="preserve">Climate risk management is a priority in our agency, with climate change identified as one of the four key challenges influencing our operating environment in our </w:t>
      </w:r>
      <w:commentRangeStart w:id="6"/>
      <w:r w:rsidRPr="0081656A">
        <w:rPr>
          <w:rFonts w:ascii="Arial" w:hAnsi="Arial"/>
          <w:sz w:val="20"/>
        </w:rPr>
        <w:fldChar w:fldCharType="begin"/>
      </w:r>
      <w:r w:rsidRPr="0081656A">
        <w:instrText>HYPERLINK "https://www.finance.gov.au/sites/default/files/2024-08/2024-25%20_Corporate_Plan.pdf"</w:instrText>
      </w:r>
      <w:r w:rsidRPr="0081656A">
        <w:rPr>
          <w:rFonts w:ascii="Arial" w:hAnsi="Arial"/>
          <w:sz w:val="20"/>
        </w:rPr>
      </w:r>
      <w:r w:rsidRPr="0081656A">
        <w:rPr>
          <w:rFonts w:ascii="Arial" w:hAnsi="Arial"/>
          <w:sz w:val="20"/>
        </w:rPr>
        <w:fldChar w:fldCharType="separate"/>
      </w:r>
      <w:r w:rsidRPr="0081656A">
        <w:rPr>
          <w:rStyle w:val="Hyperlink"/>
        </w:rPr>
        <w:t>Corporate Plan</w:t>
      </w:r>
      <w:r w:rsidRPr="0081656A">
        <w:rPr>
          <w:rStyle w:val="Hyperlink"/>
        </w:rPr>
        <w:fldChar w:fldCharType="end"/>
      </w:r>
      <w:r w:rsidRPr="2AF056F6">
        <w:rPr>
          <w:rStyle w:val="FootnoteReference"/>
        </w:rPr>
        <w:footnoteReference w:id="2"/>
      </w:r>
      <w:r w:rsidRPr="2AF056F6">
        <w:t xml:space="preserve">. Our strategy to reduce emissions aligns with the </w:t>
      </w:r>
      <w:hyperlink r:id="rId18" w:history="1">
        <w:r w:rsidRPr="0081656A">
          <w:rPr>
            <w:rStyle w:val="Hyperlink"/>
          </w:rPr>
          <w:t>APS Net Zero in Government Operations Strategy</w:t>
        </w:r>
      </w:hyperlink>
      <w:r w:rsidRPr="2AF056F6">
        <w:t xml:space="preserve"> and is set out in our publicly available </w:t>
      </w:r>
      <w:hyperlink r:id="rId19" w:history="1">
        <w:r w:rsidRPr="0081656A">
          <w:rPr>
            <w:rStyle w:val="Hyperlink"/>
          </w:rPr>
          <w:t>Emissions Reduction Plan</w:t>
        </w:r>
      </w:hyperlink>
      <w:r>
        <w:rPr>
          <w:rStyle w:val="FootnoteReference"/>
          <w:i/>
          <w:iCs/>
        </w:rPr>
        <w:footnoteReference w:id="3"/>
      </w:r>
      <w:r w:rsidRPr="2AF056F6">
        <w:t xml:space="preserve">. </w:t>
      </w:r>
      <w:commentRangeEnd w:id="6"/>
      <w:r>
        <w:rPr>
          <w:rStyle w:val="CommentReference"/>
        </w:rPr>
        <w:commentReference w:id="6"/>
      </w:r>
    </w:p>
    <w:p w14:paraId="00D48EA2" w14:textId="77777777" w:rsidR="007E6C21" w:rsidRDefault="007E6C21" w:rsidP="00690EA3">
      <w:pPr>
        <w:pStyle w:val="Heading2example"/>
      </w:pPr>
      <w:bookmarkStart w:id="7" w:name="_Toc161825471"/>
      <w:bookmarkStart w:id="8" w:name="_Ref162002804"/>
      <w:bookmarkStart w:id="9" w:name="_Ref162002829"/>
      <w:bookmarkStart w:id="10" w:name="_Ref162002863"/>
      <w:bookmarkStart w:id="11" w:name="_Ref162002878"/>
      <w:bookmarkStart w:id="12" w:name="_Toc163464086"/>
      <w:r>
        <w:t>Our approach to climate governance</w:t>
      </w:r>
    </w:p>
    <w:bookmarkEnd w:id="7"/>
    <w:bookmarkEnd w:id="8"/>
    <w:bookmarkEnd w:id="9"/>
    <w:bookmarkEnd w:id="10"/>
    <w:bookmarkEnd w:id="11"/>
    <w:bookmarkEnd w:id="12"/>
    <w:p w14:paraId="75709C9D" w14:textId="77777777" w:rsidR="007E6C21" w:rsidRDefault="007E6C21" w:rsidP="007E6C21">
      <w:pPr>
        <w:pStyle w:val="BodyText1"/>
      </w:pPr>
      <w:r>
        <w:t xml:space="preserve">Our climate governance is </w:t>
      </w:r>
      <w:r w:rsidRPr="00817AF4">
        <w:t xml:space="preserve">underpinned by </w:t>
      </w:r>
      <w:r>
        <w:t xml:space="preserve">our agency’s </w:t>
      </w:r>
      <w:r w:rsidRPr="006F78F2">
        <w:rPr>
          <w:iCs/>
        </w:rPr>
        <w:t>Risk Management Framework</w:t>
      </w:r>
      <w:r>
        <w:t xml:space="preserve"> and </w:t>
      </w:r>
      <w:r w:rsidRPr="006F78F2">
        <w:rPr>
          <w:iCs/>
        </w:rPr>
        <w:t>Risk Management Policy</w:t>
      </w:r>
      <w:r>
        <w:t xml:space="preserve">, </w:t>
      </w:r>
      <w:r w:rsidRPr="00A5415D">
        <w:t>established in accordance</w:t>
      </w:r>
      <w:r>
        <w:t xml:space="preserve"> with our </w:t>
      </w:r>
      <w:commentRangeStart w:id="13"/>
      <w:r w:rsidRPr="00BD3F7B">
        <w:t>Accountable Authorities Instructions</w:t>
      </w:r>
      <w:r>
        <w:t xml:space="preserve">, </w:t>
      </w:r>
      <w:r w:rsidRPr="00A5415D">
        <w:t xml:space="preserve">the </w:t>
      </w:r>
      <w:hyperlink r:id="rId20" w:history="1">
        <w:r w:rsidRPr="00817515">
          <w:rPr>
            <w:rStyle w:val="Hyperlink"/>
          </w:rPr>
          <w:t>Commonwealth Risk Management Policy (2023)</w:t>
        </w:r>
      </w:hyperlink>
      <w:r w:rsidRPr="00944464">
        <w:t>,</w:t>
      </w:r>
      <w:r w:rsidRPr="00A5415D">
        <w:t xml:space="preserve"> and</w:t>
      </w:r>
      <w:r>
        <w:t xml:space="preserve"> the</w:t>
      </w:r>
      <w:r w:rsidRPr="00A5415D">
        <w:t xml:space="preserve"> </w:t>
      </w:r>
      <w:hyperlink r:id="rId21" w:history="1">
        <w:r w:rsidRPr="005A5471">
          <w:rPr>
            <w:rStyle w:val="Hyperlink"/>
            <w:i/>
            <w:iCs/>
          </w:rPr>
          <w:t>Public Governance, Performance and Accountability Act 2013</w:t>
        </w:r>
      </w:hyperlink>
      <w:r w:rsidRPr="00944464">
        <w:t xml:space="preserve"> (PGPA Act).</w:t>
      </w:r>
      <w:r w:rsidRPr="00817AF4">
        <w:t xml:space="preserve"> </w:t>
      </w:r>
      <w:commentRangeEnd w:id="13"/>
      <w:r>
        <w:rPr>
          <w:rStyle w:val="CommentReference"/>
        </w:rPr>
        <w:commentReference w:id="13"/>
      </w:r>
      <w:r>
        <w:t>Our Risk Management Framework (Framework) has been established to ensure alignment with Section 16 of the PGPA Act, which requires our CEO to establish and maintain internal systems for oversight and management of risk. Climate-related risk is addressed in the framework as a specialist risk category.</w:t>
      </w:r>
    </w:p>
    <w:p w14:paraId="7C3522FA" w14:textId="77777777" w:rsidR="007E6C21" w:rsidRDefault="007E6C21" w:rsidP="007E6C21">
      <w:pPr>
        <w:pStyle w:val="BodyText1"/>
      </w:pPr>
      <w:r w:rsidRPr="009A4068">
        <w:t xml:space="preserve">The CEO oversees the agency’s strategy and risk management processes, including making decisions in relation </w:t>
      </w:r>
      <w:r>
        <w:t>to</w:t>
      </w:r>
      <w:r w:rsidRPr="0068707E">
        <w:t xml:space="preserve"> climate-related risks and opportunities.</w:t>
      </w:r>
      <w:r w:rsidRPr="009A4068">
        <w:t xml:space="preserve"> </w:t>
      </w:r>
      <w:commentRangeStart w:id="14"/>
      <w:r w:rsidRPr="009A4068">
        <w:t>The CEO also oversees the setting of targets related to climate-related risks and opportunities</w:t>
      </w:r>
      <w:r>
        <w:t xml:space="preserve">, as </w:t>
      </w:r>
      <w:r w:rsidRPr="2AF056F6">
        <w:t xml:space="preserve">set out in our recently published </w:t>
      </w:r>
      <w:hyperlink r:id="rId22" w:history="1">
        <w:r w:rsidRPr="0081656A">
          <w:rPr>
            <w:rStyle w:val="Hyperlink"/>
          </w:rPr>
          <w:t>Emissions Reduction Plan</w:t>
        </w:r>
      </w:hyperlink>
      <w:r>
        <w:t xml:space="preserve">, </w:t>
      </w:r>
      <w:r w:rsidRPr="009A4068">
        <w:t xml:space="preserve">and monitors progress towards those targets. </w:t>
      </w:r>
      <w:commentRangeEnd w:id="14"/>
      <w:r>
        <w:rPr>
          <w:rStyle w:val="CommentReference"/>
        </w:rPr>
        <w:commentReference w:id="14"/>
      </w:r>
    </w:p>
    <w:p w14:paraId="1D8BC470" w14:textId="226A46EB" w:rsidR="007E6C21" w:rsidRDefault="007E6C21" w:rsidP="007E6C21">
      <w:pPr>
        <w:pStyle w:val="BodyText1"/>
      </w:pPr>
      <w:r w:rsidRPr="2AF056F6">
        <w:t>The CEO and Executive Committee work closely with the Audit and Risk Committee</w:t>
      </w:r>
      <w:r w:rsidRPr="2AF056F6">
        <w:rPr>
          <w:rStyle w:val="FootnoteReference"/>
        </w:rPr>
        <w:footnoteReference w:id="4"/>
      </w:r>
      <w:r w:rsidRPr="2AF056F6">
        <w:t xml:space="preserve"> and the </w:t>
      </w:r>
      <w:commentRangeStart w:id="15"/>
      <w:r w:rsidRPr="2AF056F6">
        <w:t>newly</w:t>
      </w:r>
      <w:r>
        <w:t xml:space="preserve"> </w:t>
      </w:r>
      <w:r w:rsidRPr="2AF056F6">
        <w:t xml:space="preserve">established Climate Risk Sub-Committee to </w:t>
      </w:r>
      <w:r>
        <w:t>ensure</w:t>
      </w:r>
      <w:r w:rsidRPr="2AF056F6">
        <w:t xml:space="preserve"> our climate risk management practices align with the Climate Risk and Opportunity Management Program’s (CROMP) tools and resources. </w:t>
      </w:r>
      <w:commentRangeEnd w:id="15"/>
      <w:r>
        <w:rPr>
          <w:rStyle w:val="CommentReference"/>
        </w:rPr>
        <w:commentReference w:id="15"/>
      </w:r>
      <w:r w:rsidRPr="2AF056F6">
        <w:t xml:space="preserve">This </w:t>
      </w:r>
      <w:r>
        <w:t xml:space="preserve">process </w:t>
      </w:r>
      <w:r w:rsidRPr="2AF056F6">
        <w:t xml:space="preserve">ensures climate-related risks and opportunities are appropriately identified, </w:t>
      </w:r>
      <w:r>
        <w:t xml:space="preserve">assessed, </w:t>
      </w:r>
      <w:r w:rsidRPr="2AF056F6">
        <w:t>prioritised and managed across our agency.</w:t>
      </w:r>
      <w:r>
        <w:t xml:space="preserve"> </w:t>
      </w:r>
      <w:commentRangeStart w:id="16"/>
      <w:r>
        <w:t>This year we have added climate risk to our due diligence process for major projects (within the site selection checklist). This ensures the Executive Committee can consider climate-related risks and opportunities at the earliest opportunity within a major project’s lifecycle.</w:t>
      </w:r>
      <w:commentRangeEnd w:id="16"/>
      <w:r>
        <w:rPr>
          <w:rStyle w:val="CommentReference"/>
        </w:rPr>
        <w:commentReference w:id="16"/>
      </w:r>
    </w:p>
    <w:p w14:paraId="15FBBAA8" w14:textId="77777777" w:rsidR="007E6C21" w:rsidRDefault="007E6C21" w:rsidP="007E6C21">
      <w:pPr>
        <w:pStyle w:val="BodyText1"/>
      </w:pPr>
      <w:r w:rsidRPr="2AF056F6">
        <w:t xml:space="preserve">The roles and responsibilities of our </w:t>
      </w:r>
      <w:r w:rsidRPr="00D15DC9">
        <w:t xml:space="preserve">executive team and committees are detailed in </w:t>
      </w:r>
      <w:r w:rsidRPr="00D15DC9">
        <w:fldChar w:fldCharType="begin"/>
      </w:r>
      <w:r w:rsidRPr="00D15DC9">
        <w:instrText xml:space="preserve"> REF _Ref179545519 \h </w:instrText>
      </w:r>
      <w:r>
        <w:instrText xml:space="preserve"> \* MERGEFORMAT </w:instrText>
      </w:r>
      <w:r w:rsidRPr="00D15DC9">
        <w:fldChar w:fldCharType="separate"/>
      </w:r>
      <w:r w:rsidRPr="00591037">
        <w:t xml:space="preserve">Figure </w:t>
      </w:r>
      <w:r w:rsidRPr="00591037">
        <w:rPr>
          <w:noProof/>
        </w:rPr>
        <w:t>2</w:t>
      </w:r>
      <w:r w:rsidRPr="00591037">
        <w:t xml:space="preserve"> Executive Management Structure</w:t>
      </w:r>
      <w:r w:rsidRPr="00D15DC9">
        <w:fldChar w:fldCharType="end"/>
      </w:r>
      <w:r w:rsidRPr="00D15DC9">
        <w:t xml:space="preserve"> and the </w:t>
      </w:r>
      <w:r w:rsidRPr="00D15DC9">
        <w:rPr>
          <w:i/>
          <w:iCs/>
          <w:highlight w:val="yellow"/>
        </w:rPr>
        <w:fldChar w:fldCharType="begin"/>
      </w:r>
      <w:r w:rsidRPr="00D15DC9">
        <w:instrText xml:space="preserve"> REF _Ref178336383 \h </w:instrText>
      </w:r>
      <w:r>
        <w:rPr>
          <w:i/>
          <w:iCs/>
          <w:highlight w:val="yellow"/>
        </w:rPr>
        <w:instrText xml:space="preserve"> \* MERGEFORMAT </w:instrText>
      </w:r>
      <w:r w:rsidRPr="00D15DC9">
        <w:rPr>
          <w:i/>
          <w:iCs/>
          <w:highlight w:val="yellow"/>
        </w:rPr>
      </w:r>
      <w:r w:rsidRPr="00D15DC9">
        <w:rPr>
          <w:i/>
          <w:iCs/>
          <w:highlight w:val="yellow"/>
        </w:rPr>
        <w:fldChar w:fldCharType="separate"/>
      </w:r>
      <w:r w:rsidRPr="00591037">
        <w:t>Corporate Governance</w:t>
      </w:r>
      <w:r w:rsidRPr="00D15DC9">
        <w:rPr>
          <w:i/>
          <w:iCs/>
          <w:highlight w:val="yellow"/>
        </w:rPr>
        <w:fldChar w:fldCharType="end"/>
      </w:r>
      <w:r w:rsidRPr="00D15DC9">
        <w:rPr>
          <w:i/>
          <w:iCs/>
        </w:rPr>
        <w:t xml:space="preserve"> </w:t>
      </w:r>
      <w:r w:rsidRPr="00D15DC9">
        <w:t>section</w:t>
      </w:r>
      <w:r>
        <w:t xml:space="preserve"> of the Annual Report</w:t>
      </w:r>
      <w:r w:rsidRPr="00D15DC9">
        <w:t xml:space="preserve"> on</w:t>
      </w:r>
      <w:r>
        <w:t xml:space="preserve"> P</w:t>
      </w:r>
      <w:r w:rsidRPr="00D15DC9">
        <w:t>age</w:t>
      </w:r>
      <w:r>
        <w:t xml:space="preserve"> X</w:t>
      </w:r>
      <w:r w:rsidRPr="00D15DC9">
        <w:rPr>
          <w:highlight w:val="yellow"/>
        </w:rPr>
        <w:fldChar w:fldCharType="begin"/>
      </w:r>
      <w:r w:rsidRPr="00D15DC9">
        <w:instrText xml:space="preserve"> PAGEREF _Ref178336383 \h </w:instrText>
      </w:r>
      <w:r w:rsidRPr="00D15DC9">
        <w:rPr>
          <w:highlight w:val="yellow"/>
        </w:rPr>
      </w:r>
      <w:r w:rsidRPr="00D15DC9">
        <w:rPr>
          <w:highlight w:val="yellow"/>
        </w:rPr>
        <w:fldChar w:fldCharType="separate"/>
      </w:r>
      <w:r w:rsidRPr="00D15DC9">
        <w:rPr>
          <w:highlight w:val="yellow"/>
        </w:rPr>
        <w:fldChar w:fldCharType="end"/>
      </w:r>
      <w:r w:rsidRPr="00030898">
        <w:t>. In addition to these roles, climate risk is also managed in the agency through the governance</w:t>
      </w:r>
      <w:r w:rsidRPr="40267491">
        <w:t xml:space="preserve"> structure </w:t>
      </w:r>
      <w:r>
        <w:t>summarised</w:t>
      </w:r>
      <w:r w:rsidRPr="40267491">
        <w:t xml:space="preserve"> </w:t>
      </w:r>
      <w:r w:rsidRPr="00573214">
        <w:t xml:space="preserve">in </w:t>
      </w:r>
      <w:r w:rsidRPr="00573214">
        <w:fldChar w:fldCharType="begin"/>
      </w:r>
      <w:r w:rsidRPr="00573214">
        <w:instrText xml:space="preserve"> REF _Ref164321672 \h  \* MERGEFORMAT </w:instrText>
      </w:r>
      <w:r w:rsidRPr="00573214">
        <w:fldChar w:fldCharType="separate"/>
      </w:r>
      <w:r w:rsidRPr="00573214">
        <w:t xml:space="preserve">Figure </w:t>
      </w:r>
      <w:r w:rsidRPr="00573214">
        <w:rPr>
          <w:noProof/>
        </w:rPr>
        <w:t>1</w:t>
      </w:r>
      <w:r w:rsidRPr="00573214">
        <w:fldChar w:fldCharType="end"/>
      </w:r>
      <w:r w:rsidRPr="00591037">
        <w:t xml:space="preserve">, and the </w:t>
      </w:r>
      <w:r w:rsidRPr="00471ED4">
        <w:t>roles</w:t>
      </w:r>
      <w:r w:rsidRPr="00030898">
        <w:t xml:space="preserve"> </w:t>
      </w:r>
      <w:r>
        <w:t xml:space="preserve">and responsibilities </w:t>
      </w:r>
      <w:r w:rsidRPr="00030898">
        <w:t xml:space="preserve">outlined in </w:t>
      </w:r>
      <w:r w:rsidRPr="00573214">
        <w:fldChar w:fldCharType="begin"/>
      </w:r>
      <w:r w:rsidRPr="00573214">
        <w:instrText xml:space="preserve"> REF _Ref182405133 \h  \* MERGEFORMAT </w:instrText>
      </w:r>
      <w:r w:rsidRPr="00573214">
        <w:fldChar w:fldCharType="separate"/>
      </w:r>
      <w:r w:rsidRPr="00573214">
        <w:t xml:space="preserve">Table </w:t>
      </w:r>
      <w:r w:rsidRPr="00573214">
        <w:rPr>
          <w:noProof/>
        </w:rPr>
        <w:t>2</w:t>
      </w:r>
      <w:r w:rsidRPr="00573214">
        <w:fldChar w:fldCharType="end"/>
      </w:r>
      <w:r>
        <w:t>.</w:t>
      </w:r>
    </w:p>
    <w:p w14:paraId="75347AD2" w14:textId="45B3A2BC" w:rsidR="007E6C21" w:rsidRPr="00F80544" w:rsidRDefault="009C4D51" w:rsidP="007E6C21">
      <w:pPr>
        <w:pStyle w:val="Caption"/>
        <w:rPr>
          <w:i w:val="0"/>
        </w:rPr>
      </w:pPr>
      <w:r w:rsidRPr="00693C61">
        <w:rPr>
          <w:rFonts w:asciiTheme="minorHAnsi" w:hAnsiTheme="minorHAnsi"/>
          <w:noProof/>
          <w:sz w:val="22"/>
        </w:rPr>
        <w:drawing>
          <wp:anchor distT="0" distB="0" distL="114300" distR="114300" simplePos="0" relativeHeight="251658240" behindDoc="0" locked="0" layoutInCell="1" allowOverlap="1" wp14:anchorId="3976D3DB" wp14:editId="1925B7F2">
            <wp:simplePos x="0" y="0"/>
            <wp:positionH relativeFrom="column">
              <wp:posOffset>-1905</wp:posOffset>
            </wp:positionH>
            <wp:positionV relativeFrom="paragraph">
              <wp:posOffset>203200</wp:posOffset>
            </wp:positionV>
            <wp:extent cx="5972175" cy="3789045"/>
            <wp:effectExtent l="0" t="0" r="9525" b="1905"/>
            <wp:wrapTopAndBottom/>
            <wp:docPr id="1288330307" name="Picture 1" descr="A blue and white diagram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30307" name="Picture 1" descr="A blue and white diagram with text"/>
                    <pic:cNvPicPr/>
                  </pic:nvPicPr>
                  <pic:blipFill>
                    <a:blip r:embed="rId23"/>
                    <a:stretch>
                      <a:fillRect/>
                    </a:stretch>
                  </pic:blipFill>
                  <pic:spPr>
                    <a:xfrm>
                      <a:off x="0" y="0"/>
                      <a:ext cx="5972175" cy="3789045"/>
                    </a:xfrm>
                    <a:prstGeom prst="rect">
                      <a:avLst/>
                    </a:prstGeom>
                  </pic:spPr>
                </pic:pic>
              </a:graphicData>
            </a:graphic>
            <wp14:sizeRelH relativeFrom="margin">
              <wp14:pctWidth>0</wp14:pctWidth>
            </wp14:sizeRelH>
            <wp14:sizeRelV relativeFrom="margin">
              <wp14:pctHeight>0</wp14:pctHeight>
            </wp14:sizeRelV>
          </wp:anchor>
        </w:drawing>
      </w:r>
      <w:r w:rsidR="007E6C21" w:rsidRPr="00F80544">
        <w:rPr>
          <w:i w:val="0"/>
        </w:rPr>
        <w:t xml:space="preserve">Figure </w:t>
      </w:r>
      <w:r w:rsidR="007E6C21" w:rsidRPr="00F80544">
        <w:rPr>
          <w:i w:val="0"/>
        </w:rPr>
        <w:fldChar w:fldCharType="begin"/>
      </w:r>
      <w:r w:rsidR="007E6C21" w:rsidRPr="00F80544">
        <w:rPr>
          <w:i w:val="0"/>
        </w:rPr>
        <w:instrText xml:space="preserve"> SEQ Figure \* ARABIC </w:instrText>
      </w:r>
      <w:r w:rsidR="007E6C21" w:rsidRPr="00F80544">
        <w:rPr>
          <w:i w:val="0"/>
        </w:rPr>
        <w:fldChar w:fldCharType="separate"/>
      </w:r>
      <w:r w:rsidR="007E6C21" w:rsidRPr="00F80544">
        <w:rPr>
          <w:i w:val="0"/>
        </w:rPr>
        <w:t>2</w:t>
      </w:r>
      <w:r w:rsidR="007E6C21" w:rsidRPr="00F80544">
        <w:rPr>
          <w:i w:val="0"/>
        </w:rPr>
        <w:fldChar w:fldCharType="end"/>
      </w:r>
      <w:r w:rsidR="007E6C21" w:rsidRPr="00F80544">
        <w:rPr>
          <w:i w:val="0"/>
        </w:rPr>
        <w:t xml:space="preserve"> Our Climate Risk Governance Structure </w:t>
      </w:r>
    </w:p>
    <w:p w14:paraId="6BE47ABC" w14:textId="77777777" w:rsidR="009C4D51" w:rsidRDefault="007E6C21" w:rsidP="007E6C21">
      <w:pPr>
        <w:pStyle w:val="Caption"/>
        <w:keepNext/>
        <w:rPr>
          <w:i w:val="0"/>
        </w:rPr>
      </w:pPr>
      <w:commentRangeStart w:id="17"/>
      <w:commentRangeEnd w:id="17"/>
      <w:r>
        <w:rPr>
          <w:rStyle w:val="CommentReference"/>
        </w:rPr>
        <w:commentReference w:id="17"/>
      </w:r>
      <w:bookmarkStart w:id="18" w:name="_Ref182405133"/>
    </w:p>
    <w:p w14:paraId="5FB49E98" w14:textId="77777777" w:rsidR="001E7E5D" w:rsidRDefault="001E7E5D">
      <w:pPr>
        <w:spacing w:before="0" w:after="160" w:line="259" w:lineRule="auto"/>
        <w:rPr>
          <w:iCs/>
          <w:sz w:val="18"/>
          <w:szCs w:val="18"/>
        </w:rPr>
      </w:pPr>
      <w:r>
        <w:rPr>
          <w:i/>
        </w:rPr>
        <w:br w:type="page"/>
      </w:r>
    </w:p>
    <w:p w14:paraId="5E1258E2" w14:textId="28194122" w:rsidR="007E6C21" w:rsidRPr="00F80544" w:rsidRDefault="007E6C21" w:rsidP="007E6C21">
      <w:pPr>
        <w:pStyle w:val="Caption"/>
        <w:keepNext/>
        <w:rPr>
          <w:i w:val="0"/>
        </w:rPr>
      </w:pPr>
      <w:r w:rsidRPr="00F80544">
        <w:rPr>
          <w:i w:val="0"/>
        </w:rPr>
        <w:t xml:space="preserve">Table </w:t>
      </w:r>
      <w:r w:rsidRPr="00F80544">
        <w:rPr>
          <w:i w:val="0"/>
        </w:rPr>
        <w:fldChar w:fldCharType="begin"/>
      </w:r>
      <w:r>
        <w:instrText xml:space="preserve"> SEQ Table \* ARABIC </w:instrText>
      </w:r>
      <w:r w:rsidRPr="00F80544">
        <w:rPr>
          <w:i w:val="0"/>
        </w:rPr>
        <w:fldChar w:fldCharType="separate"/>
      </w:r>
      <w:r w:rsidRPr="00F80544">
        <w:rPr>
          <w:i w:val="0"/>
        </w:rPr>
        <w:t>2</w:t>
      </w:r>
      <w:r w:rsidRPr="00F80544">
        <w:rPr>
          <w:i w:val="0"/>
        </w:rPr>
        <w:fldChar w:fldCharType="end"/>
      </w:r>
      <w:bookmarkEnd w:id="18"/>
      <w:r>
        <w:rPr>
          <w:i w:val="0"/>
          <w:iCs w:val="0"/>
        </w:rPr>
        <w:t xml:space="preserve"> </w:t>
      </w:r>
      <w:r w:rsidRPr="00F80544">
        <w:rPr>
          <w:i w:val="0"/>
          <w:iCs w:val="0"/>
        </w:rPr>
        <w:t>-</w:t>
      </w:r>
      <w:r w:rsidRPr="00F80544">
        <w:rPr>
          <w:i w:val="0"/>
        </w:rPr>
        <w:t xml:space="preserve"> Climate Risk Roles and Responsibilities</w:t>
      </w:r>
    </w:p>
    <w:tbl>
      <w:tblPr>
        <w:tblStyle w:val="GridTable1Light"/>
        <w:tblW w:w="0" w:type="auto"/>
        <w:tblLook w:val="04A0" w:firstRow="1" w:lastRow="0" w:firstColumn="1" w:lastColumn="0" w:noHBand="0" w:noVBand="1"/>
      </w:tblPr>
      <w:tblGrid>
        <w:gridCol w:w="1696"/>
        <w:gridCol w:w="7706"/>
      </w:tblGrid>
      <w:tr w:rsidR="007E6C21" w14:paraId="0F472C12" w14:textId="77777777" w:rsidTr="00393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0E8AE99" w14:textId="77777777" w:rsidR="007E6C21" w:rsidRPr="00FB7823" w:rsidRDefault="007E6C21" w:rsidP="001E7E5D">
            <w:pPr>
              <w:pStyle w:val="Tablebodytext"/>
              <w:rPr>
                <w:szCs w:val="20"/>
              </w:rPr>
            </w:pPr>
            <w:r w:rsidRPr="00FB7823">
              <w:rPr>
                <w:szCs w:val="20"/>
              </w:rPr>
              <w:t>Role</w:t>
            </w:r>
          </w:p>
        </w:tc>
        <w:tc>
          <w:tcPr>
            <w:tcW w:w="7706" w:type="dxa"/>
          </w:tcPr>
          <w:p w14:paraId="797EC48C" w14:textId="77777777" w:rsidR="007E6C21" w:rsidRPr="00FB7823" w:rsidRDefault="007E6C21" w:rsidP="001E7E5D">
            <w:pPr>
              <w:pStyle w:val="Tablebodytext"/>
              <w:cnfStyle w:val="100000000000" w:firstRow="1" w:lastRow="0" w:firstColumn="0" w:lastColumn="0" w:oddVBand="0" w:evenVBand="0" w:oddHBand="0" w:evenHBand="0" w:firstRowFirstColumn="0" w:firstRowLastColumn="0" w:lastRowFirstColumn="0" w:lastRowLastColumn="0"/>
              <w:rPr>
                <w:szCs w:val="20"/>
              </w:rPr>
            </w:pPr>
            <w:r w:rsidRPr="00FB7823">
              <w:rPr>
                <w:szCs w:val="20"/>
              </w:rPr>
              <w:t>Responsibility</w:t>
            </w:r>
          </w:p>
        </w:tc>
      </w:tr>
      <w:tr w:rsidR="007E6C21" w14:paraId="0A3B3BDC" w14:textId="77777777" w:rsidTr="003936E8">
        <w:tc>
          <w:tcPr>
            <w:cnfStyle w:val="001000000000" w:firstRow="0" w:lastRow="0" w:firstColumn="1" w:lastColumn="0" w:oddVBand="0" w:evenVBand="0" w:oddHBand="0" w:evenHBand="0" w:firstRowFirstColumn="0" w:firstRowLastColumn="0" w:lastRowFirstColumn="0" w:lastRowLastColumn="0"/>
            <w:tcW w:w="1696" w:type="dxa"/>
          </w:tcPr>
          <w:p w14:paraId="38725B46" w14:textId="77777777" w:rsidR="007E6C21" w:rsidRPr="00FB7823" w:rsidRDefault="007E6C21" w:rsidP="001E7E5D">
            <w:pPr>
              <w:pStyle w:val="Tablebodytext"/>
              <w:rPr>
                <w:szCs w:val="20"/>
              </w:rPr>
            </w:pPr>
            <w:r w:rsidRPr="00FB7823">
              <w:rPr>
                <w:szCs w:val="20"/>
              </w:rPr>
              <w:t>Chief Risk Officer (CRO):</w:t>
            </w:r>
          </w:p>
        </w:tc>
        <w:tc>
          <w:tcPr>
            <w:tcW w:w="7706" w:type="dxa"/>
          </w:tcPr>
          <w:p w14:paraId="162450C4" w14:textId="77777777" w:rsidR="007E6C21" w:rsidRPr="00FB7823" w:rsidRDefault="007E6C21" w:rsidP="001E7E5D">
            <w:pPr>
              <w:pStyle w:val="Tablebodytext"/>
              <w:cnfStyle w:val="000000000000" w:firstRow="0" w:lastRow="0" w:firstColumn="0" w:lastColumn="0" w:oddVBand="0" w:evenVBand="0" w:oddHBand="0" w:evenHBand="0" w:firstRowFirstColumn="0" w:firstRowLastColumn="0" w:lastRowFirstColumn="0" w:lastRowLastColumn="0"/>
              <w:rPr>
                <w:szCs w:val="20"/>
              </w:rPr>
            </w:pPr>
            <w:r w:rsidRPr="00FB7823">
              <w:rPr>
                <w:szCs w:val="20"/>
              </w:rPr>
              <w:t>Responsible for overseeing the risk management framework and governance as well as advising the CEO and Executive Committee, including through their role on the Audit and Risk Committee. Executes the agency’s obligations under the Commonwealth Climate Disclosure Initiative and CROMP and contributes to the department’s implementation of the Net Zero in Government Operations Strategy (currently led by our Business Enabling Services Division). The CRO also functions as the Chief Sustainability Officer, the appointment of which is encouraged in the Net Zero in Government Operations Strategy.</w:t>
            </w:r>
          </w:p>
        </w:tc>
      </w:tr>
      <w:tr w:rsidR="007E6C21" w14:paraId="4E001D21" w14:textId="77777777" w:rsidTr="003936E8">
        <w:tc>
          <w:tcPr>
            <w:cnfStyle w:val="001000000000" w:firstRow="0" w:lastRow="0" w:firstColumn="1" w:lastColumn="0" w:oddVBand="0" w:evenVBand="0" w:oddHBand="0" w:evenHBand="0" w:firstRowFirstColumn="0" w:firstRowLastColumn="0" w:lastRowFirstColumn="0" w:lastRowLastColumn="0"/>
            <w:tcW w:w="1696" w:type="dxa"/>
          </w:tcPr>
          <w:p w14:paraId="1D74136F" w14:textId="77777777" w:rsidR="007E6C21" w:rsidRPr="00FB7823" w:rsidRDefault="007E6C21" w:rsidP="001E7E5D">
            <w:pPr>
              <w:pStyle w:val="Tablebodytext"/>
              <w:rPr>
                <w:szCs w:val="20"/>
              </w:rPr>
            </w:pPr>
            <w:r w:rsidRPr="00FB7823">
              <w:rPr>
                <w:szCs w:val="20"/>
              </w:rPr>
              <w:t>Climate Risk Sub-committee</w:t>
            </w:r>
          </w:p>
        </w:tc>
        <w:tc>
          <w:tcPr>
            <w:tcW w:w="7706" w:type="dxa"/>
          </w:tcPr>
          <w:p w14:paraId="091A38C2" w14:textId="77777777" w:rsidR="007E6C21" w:rsidRPr="00FB7823" w:rsidRDefault="007E6C21" w:rsidP="001E7E5D">
            <w:pPr>
              <w:pStyle w:val="Tablebodytext"/>
              <w:cnfStyle w:val="000000000000" w:firstRow="0" w:lastRow="0" w:firstColumn="0" w:lastColumn="0" w:oddVBand="0" w:evenVBand="0" w:oddHBand="0" w:evenHBand="0" w:firstRowFirstColumn="0" w:firstRowLastColumn="0" w:lastRowFirstColumn="0" w:lastRowLastColumn="0"/>
              <w:rPr>
                <w:szCs w:val="20"/>
              </w:rPr>
            </w:pPr>
            <w:r w:rsidRPr="00FB7823">
              <w:rPr>
                <w:szCs w:val="20"/>
              </w:rPr>
              <w:t>Cross-functional working group responsible for delivering the agency’s organisation-wide climate risk assessment using CROMP tools and resources and providing in-house climate risk expertise across the agency.</w:t>
            </w:r>
          </w:p>
        </w:tc>
      </w:tr>
      <w:tr w:rsidR="007E6C21" w14:paraId="6F68FF48" w14:textId="77777777" w:rsidTr="003936E8">
        <w:tc>
          <w:tcPr>
            <w:cnfStyle w:val="001000000000" w:firstRow="0" w:lastRow="0" w:firstColumn="1" w:lastColumn="0" w:oddVBand="0" w:evenVBand="0" w:oddHBand="0" w:evenHBand="0" w:firstRowFirstColumn="0" w:firstRowLastColumn="0" w:lastRowFirstColumn="0" w:lastRowLastColumn="0"/>
            <w:tcW w:w="1696" w:type="dxa"/>
          </w:tcPr>
          <w:p w14:paraId="756A4CBB" w14:textId="77777777" w:rsidR="007E6C21" w:rsidRPr="00FB7823" w:rsidRDefault="007E6C21" w:rsidP="001E7E5D">
            <w:pPr>
              <w:pStyle w:val="Tablebodytext"/>
              <w:rPr>
                <w:szCs w:val="20"/>
              </w:rPr>
            </w:pPr>
            <w:r w:rsidRPr="00FB7823">
              <w:rPr>
                <w:szCs w:val="20"/>
              </w:rPr>
              <w:t>Risk Management team</w:t>
            </w:r>
          </w:p>
        </w:tc>
        <w:tc>
          <w:tcPr>
            <w:tcW w:w="7706" w:type="dxa"/>
          </w:tcPr>
          <w:p w14:paraId="0A0EA8A9" w14:textId="77777777" w:rsidR="007E6C21" w:rsidRPr="00FB7823" w:rsidRDefault="007E6C21" w:rsidP="001E7E5D">
            <w:pPr>
              <w:pStyle w:val="Tablebodytext"/>
              <w:cnfStyle w:val="000000000000" w:firstRow="0" w:lastRow="0" w:firstColumn="0" w:lastColumn="0" w:oddVBand="0" w:evenVBand="0" w:oddHBand="0" w:evenHBand="0" w:firstRowFirstColumn="0" w:firstRowLastColumn="0" w:lastRowFirstColumn="0" w:lastRowLastColumn="0"/>
              <w:rPr>
                <w:szCs w:val="20"/>
              </w:rPr>
            </w:pPr>
            <w:r w:rsidRPr="00FB7823">
              <w:rPr>
                <w:szCs w:val="20"/>
              </w:rPr>
              <w:t>Responsible for designing, building, and implementing our risk management framework, developing capability internally to manage risk, promoting positive risk culture and supporting the Climate Risk Sub-committee through the CROMP process.</w:t>
            </w:r>
          </w:p>
        </w:tc>
      </w:tr>
    </w:tbl>
    <w:p w14:paraId="2A166D96" w14:textId="77777777" w:rsidR="007E6C21" w:rsidRDefault="007E6C21" w:rsidP="00690EA3">
      <w:pPr>
        <w:pStyle w:val="Heading2example"/>
      </w:pPr>
      <w:commentRangeStart w:id="19"/>
      <w:r>
        <w:t>Climate risk capability</w:t>
      </w:r>
      <w:commentRangeEnd w:id="19"/>
      <w:r>
        <w:rPr>
          <w:rStyle w:val="CommentReference"/>
          <w:rFonts w:ascii="Arial" w:eastAsiaTheme="minorHAnsi" w:hAnsi="Arial" w:cstheme="minorBidi"/>
          <w:b w:val="0"/>
          <w:bCs w:val="0"/>
          <w:color w:val="auto"/>
        </w:rPr>
        <w:commentReference w:id="19"/>
      </w:r>
    </w:p>
    <w:p w14:paraId="67387C3E" w14:textId="77777777" w:rsidR="00E207D0" w:rsidRPr="0092251E" w:rsidRDefault="00E207D0" w:rsidP="00E207D0">
      <w:pPr>
        <w:pStyle w:val="BodyText1"/>
      </w:pPr>
      <w:r w:rsidRPr="4D115EFC">
        <w:t xml:space="preserve">The </w:t>
      </w:r>
      <w:hyperlink r:id="rId24">
        <w:r w:rsidRPr="00817515">
          <w:rPr>
            <w:rStyle w:val="Hyperlink"/>
          </w:rPr>
          <w:t>Commonwealth Risk Management Policy</w:t>
        </w:r>
      </w:hyperlink>
      <w:r w:rsidRPr="4D115EFC">
        <w:t xml:space="preserve"> requires that </w:t>
      </w:r>
      <w:r w:rsidRPr="00942E7D">
        <w:t>Commonwealth entities</w:t>
      </w:r>
      <w:r>
        <w:t xml:space="preserve"> </w:t>
      </w:r>
      <w:r w:rsidRPr="4D115EFC">
        <w:t xml:space="preserve">have an appropriate level of risk management capability. To ensure </w:t>
      </w:r>
      <w:r>
        <w:t>our</w:t>
      </w:r>
      <w:r w:rsidRPr="4D115EFC">
        <w:t xml:space="preserve"> agency is equipped with the in-house capability to manage climate-related risks, we have mandated </w:t>
      </w:r>
      <w:r>
        <w:t xml:space="preserve">that </w:t>
      </w:r>
      <w:r w:rsidRPr="4D115EFC">
        <w:t xml:space="preserve">all </w:t>
      </w:r>
      <w:r>
        <w:t>members of the</w:t>
      </w:r>
      <w:r w:rsidRPr="4D115EFC">
        <w:t xml:space="preserve"> Risk Management Team complete the first two </w:t>
      </w:r>
      <w:hyperlink r:id="rId25" w:history="1">
        <w:r w:rsidRPr="00817515">
          <w:rPr>
            <w:rStyle w:val="Hyperlink"/>
          </w:rPr>
          <w:t>Climate Risk and Opportunity Management Program</w:t>
        </w:r>
        <w:r w:rsidRPr="003E6D6B">
          <w:rPr>
            <w:rStyle w:val="Hyperlink"/>
          </w:rPr>
          <w:t xml:space="preserve"> (CROMP) training modules</w:t>
        </w:r>
      </w:hyperlink>
      <w:r w:rsidRPr="00D17460">
        <w:t>,</w:t>
      </w:r>
      <w:r>
        <w:t xml:space="preserve"> and that</w:t>
      </w:r>
      <w:r w:rsidRPr="00D17460">
        <w:t xml:space="preserve"> members of the Climate Risk Sub-Committee complete all three CROMP training modules</w:t>
      </w:r>
      <w:r>
        <w:t xml:space="preserve">. We also encourage participation in the </w:t>
      </w:r>
      <w:hyperlink r:id="rId26" w:history="1">
        <w:r w:rsidRPr="00096391">
          <w:rPr>
            <w:rStyle w:val="Hyperlink"/>
          </w:rPr>
          <w:t>Net Zero in Government Operations GovTEAMS</w:t>
        </w:r>
      </w:hyperlink>
      <w:r w:rsidRPr="007225E4">
        <w:t xml:space="preserve"> </w:t>
      </w:r>
      <w:r>
        <w:t xml:space="preserve">community and the completion of the </w:t>
      </w:r>
      <w:hyperlink r:id="rId27" w:history="1">
        <w:r w:rsidRPr="0092251E">
          <w:rPr>
            <w:rStyle w:val="Hyperlink"/>
          </w:rPr>
          <w:t>Foundations of Net Zero in Government Operations training module</w:t>
        </w:r>
      </w:hyperlink>
      <w:r w:rsidRPr="0092251E">
        <w:t>.</w:t>
      </w:r>
    </w:p>
    <w:p w14:paraId="7D034B8F" w14:textId="77777777" w:rsidR="00E207D0" w:rsidRPr="00360A99" w:rsidRDefault="00E207D0" w:rsidP="00E207D0">
      <w:pPr>
        <w:pStyle w:val="BodyText1"/>
      </w:pPr>
      <w:r w:rsidRPr="00360A99">
        <w:t>The Climate Risk Sub-Committee ensures that staff and executives in the agency possess the skills and expertise necessary for climate risk management through climate risk and opportunity assessments. The Sub-Committee will communicate any skills gaps identified in these assessments to the CEO via the quarterly Audit and Risk Committee meeting for further action.</w:t>
      </w:r>
    </w:p>
    <w:p w14:paraId="53C73865" w14:textId="77777777" w:rsidR="009070AE" w:rsidRPr="00B07E26" w:rsidRDefault="009070AE" w:rsidP="00690EA3">
      <w:pPr>
        <w:pStyle w:val="Heading2example"/>
      </w:pPr>
      <w:r>
        <w:t xml:space="preserve">Commonwealth Climate Disclosure </w:t>
      </w:r>
      <w:r w:rsidRPr="00B07E26">
        <w:t>Index</w:t>
      </w:r>
    </w:p>
    <w:tbl>
      <w:tblPr>
        <w:tblStyle w:val="TableGrid"/>
        <w:tblW w:w="0" w:type="auto"/>
        <w:shd w:val="clear" w:color="auto" w:fill="D2F0EF" w:themeFill="accent2" w:themeFillTint="33"/>
        <w:tblLook w:val="04A0" w:firstRow="1" w:lastRow="0" w:firstColumn="1" w:lastColumn="0" w:noHBand="0" w:noVBand="1"/>
      </w:tblPr>
      <w:tblGrid>
        <w:gridCol w:w="9402"/>
      </w:tblGrid>
      <w:tr w:rsidR="009070AE" w14:paraId="3ECA3ED7" w14:textId="77777777" w:rsidTr="003936E8">
        <w:tc>
          <w:tcPr>
            <w:tcW w:w="9402" w:type="dxa"/>
            <w:shd w:val="clear" w:color="auto" w:fill="D2F0EF" w:themeFill="accent2" w:themeFillTint="33"/>
          </w:tcPr>
          <w:p w14:paraId="1CCB500A" w14:textId="77777777" w:rsidR="009070AE" w:rsidRPr="0042583E" w:rsidRDefault="009070AE" w:rsidP="001E7E5D">
            <w:pPr>
              <w:pStyle w:val="Italicbodytext"/>
              <w:rPr>
                <w:i w:val="0"/>
                <w:iCs/>
              </w:rPr>
            </w:pPr>
            <w:r w:rsidRPr="0042583E">
              <w:rPr>
                <w:b/>
                <w:bCs w:val="0"/>
                <w:i w:val="0"/>
                <w:iCs/>
              </w:rPr>
              <w:t>Tip:</w:t>
            </w:r>
            <w:r w:rsidRPr="0042583E">
              <w:rPr>
                <w:i w:val="0"/>
                <w:iCs/>
              </w:rPr>
              <w:t xml:space="preserve"> Where information is provided across different sections of an annual report and/or external publications, it is recommended that an index is used to ensure readers to see that all requirements have been achieved. The index can also be used to respond to any disclosure gaps within the annual report.</w:t>
            </w:r>
          </w:p>
        </w:tc>
      </w:tr>
    </w:tbl>
    <w:tbl>
      <w:tblPr>
        <w:tblStyle w:val="GridTable1Light"/>
        <w:tblW w:w="9402" w:type="dxa"/>
        <w:tblLook w:val="04A0" w:firstRow="1" w:lastRow="0" w:firstColumn="1" w:lastColumn="0" w:noHBand="0" w:noVBand="1"/>
      </w:tblPr>
      <w:tblGrid>
        <w:gridCol w:w="1525"/>
        <w:gridCol w:w="1628"/>
        <w:gridCol w:w="6249"/>
      </w:tblGrid>
      <w:tr w:rsidR="009070AE" w14:paraId="5C256886" w14:textId="77777777" w:rsidTr="00393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D98236" w14:textId="77777777" w:rsidR="009070AE" w:rsidRDefault="009070AE" w:rsidP="001E7E5D">
            <w:r>
              <w:t>Core Requirement</w:t>
            </w:r>
          </w:p>
        </w:tc>
        <w:tc>
          <w:tcPr>
            <w:tcW w:w="2475" w:type="dxa"/>
          </w:tcPr>
          <w:p w14:paraId="06655618" w14:textId="77777777" w:rsidR="009070AE" w:rsidRDefault="009070AE" w:rsidP="001E7E5D">
            <w:pPr>
              <w:cnfStyle w:val="100000000000" w:firstRow="1" w:lastRow="0" w:firstColumn="0" w:lastColumn="0" w:oddVBand="0" w:evenVBand="0" w:oddHBand="0" w:evenHBand="0" w:firstRowFirstColumn="0" w:firstRowLastColumn="0" w:lastRowFirstColumn="0" w:lastRowLastColumn="0"/>
            </w:pPr>
            <w:r>
              <w:t>Overview</w:t>
            </w:r>
          </w:p>
        </w:tc>
        <w:tc>
          <w:tcPr>
            <w:tcW w:w="4947" w:type="dxa"/>
          </w:tcPr>
          <w:p w14:paraId="78A48F96" w14:textId="77777777" w:rsidR="009070AE" w:rsidRDefault="009070AE" w:rsidP="001E7E5D">
            <w:pPr>
              <w:cnfStyle w:val="100000000000" w:firstRow="1" w:lastRow="0" w:firstColumn="0" w:lastColumn="0" w:oddVBand="0" w:evenVBand="0" w:oddHBand="0" w:evenHBand="0" w:firstRowFirstColumn="0" w:firstRowLastColumn="0" w:lastRowFirstColumn="0" w:lastRowLastColumn="0"/>
            </w:pPr>
            <w:r>
              <w:t>Disclosed</w:t>
            </w:r>
          </w:p>
        </w:tc>
      </w:tr>
      <w:tr w:rsidR="009070AE" w14:paraId="66840EF6"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2227C069" w14:textId="77777777" w:rsidR="009070AE" w:rsidRPr="00A17510" w:rsidRDefault="009070AE" w:rsidP="001E7E5D">
            <w:pPr>
              <w:rPr>
                <w:sz w:val="18"/>
                <w:szCs w:val="18"/>
              </w:rPr>
            </w:pPr>
            <w:r w:rsidRPr="00A17510">
              <w:rPr>
                <w:sz w:val="18"/>
                <w:szCs w:val="18"/>
              </w:rPr>
              <w:t>G1(a)</w:t>
            </w:r>
          </w:p>
        </w:tc>
        <w:tc>
          <w:tcPr>
            <w:tcW w:w="2475" w:type="dxa"/>
          </w:tcPr>
          <w:p w14:paraId="6A0D4CEA"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ID Accountable Authority</w:t>
            </w:r>
          </w:p>
        </w:tc>
        <w:tc>
          <w:tcPr>
            <w:tcW w:w="4947" w:type="dxa"/>
          </w:tcPr>
          <w:p w14:paraId="1B4CA5DF"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Chief Executive Officer</w:t>
            </w:r>
          </w:p>
        </w:tc>
      </w:tr>
      <w:tr w:rsidR="009070AE" w14:paraId="2C201AE9"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733EE0FC" w14:textId="77777777" w:rsidR="009070AE" w:rsidRPr="00A17510" w:rsidRDefault="009070AE" w:rsidP="001E7E5D">
            <w:pPr>
              <w:rPr>
                <w:sz w:val="18"/>
                <w:szCs w:val="18"/>
              </w:rPr>
            </w:pPr>
            <w:r w:rsidRPr="00A17510">
              <w:rPr>
                <w:sz w:val="18"/>
                <w:szCs w:val="18"/>
              </w:rPr>
              <w:t>G1(a)i</w:t>
            </w:r>
          </w:p>
        </w:tc>
        <w:tc>
          <w:tcPr>
            <w:tcW w:w="2475" w:type="dxa"/>
          </w:tcPr>
          <w:p w14:paraId="4E4A19C8"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Responsibilities of Accountable Authority</w:t>
            </w:r>
          </w:p>
        </w:tc>
        <w:tc>
          <w:tcPr>
            <w:tcW w:w="4947" w:type="dxa"/>
          </w:tcPr>
          <w:p w14:paraId="0BCBFFC7"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Corporate Governance section, page X-Y</w:t>
            </w:r>
            <w:r>
              <w:rPr>
                <w:sz w:val="18"/>
                <w:szCs w:val="18"/>
              </w:rPr>
              <w:t xml:space="preserve">; </w:t>
            </w:r>
            <w:r w:rsidRPr="00A17510">
              <w:rPr>
                <w:sz w:val="18"/>
                <w:szCs w:val="18"/>
              </w:rPr>
              <w:t>Our approach to climate governance section, page X</w:t>
            </w:r>
            <w:r>
              <w:rPr>
                <w:sz w:val="18"/>
                <w:szCs w:val="18"/>
              </w:rPr>
              <w:t xml:space="preserve">; </w:t>
            </w:r>
            <w:r w:rsidRPr="00A17510">
              <w:rPr>
                <w:sz w:val="18"/>
                <w:szCs w:val="18"/>
              </w:rPr>
              <w:t>Figure 1 Our Climate Risk Governance Structure, page X</w:t>
            </w:r>
          </w:p>
        </w:tc>
      </w:tr>
      <w:tr w:rsidR="009070AE" w14:paraId="3FE13744"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66B51729" w14:textId="77777777" w:rsidR="009070AE" w:rsidRPr="00A17510" w:rsidRDefault="009070AE" w:rsidP="001E7E5D">
            <w:pPr>
              <w:rPr>
                <w:sz w:val="18"/>
                <w:szCs w:val="18"/>
              </w:rPr>
            </w:pPr>
            <w:r w:rsidRPr="00A17510">
              <w:rPr>
                <w:sz w:val="18"/>
                <w:szCs w:val="18"/>
              </w:rPr>
              <w:t>G1(a)ii</w:t>
            </w:r>
          </w:p>
        </w:tc>
        <w:tc>
          <w:tcPr>
            <w:tcW w:w="2475" w:type="dxa"/>
          </w:tcPr>
          <w:p w14:paraId="4C467AC7"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Skills and Competencies</w:t>
            </w:r>
          </w:p>
        </w:tc>
        <w:tc>
          <w:tcPr>
            <w:tcW w:w="4947" w:type="dxa"/>
          </w:tcPr>
          <w:p w14:paraId="46E0F9F0" w14:textId="77777777" w:rsidR="009070AE" w:rsidRPr="00A17510" w:rsidRDefault="009070AE" w:rsidP="001E7E5D">
            <w:pPr>
              <w:pStyle w:val="Caption"/>
              <w:cnfStyle w:val="000000000000" w:firstRow="0" w:lastRow="0" w:firstColumn="0" w:lastColumn="0" w:oddVBand="0" w:evenVBand="0" w:oddHBand="0" w:evenHBand="0" w:firstRowFirstColumn="0" w:firstRowLastColumn="0" w:lastRowFirstColumn="0" w:lastRowLastColumn="0"/>
              <w:rPr>
                <w:i w:val="0"/>
                <w:iCs w:val="0"/>
              </w:rPr>
            </w:pPr>
            <w:r w:rsidRPr="00A17510">
              <w:rPr>
                <w:i w:val="0"/>
                <w:iCs w:val="0"/>
              </w:rPr>
              <w:t>Climate risk capability section, page X</w:t>
            </w:r>
          </w:p>
        </w:tc>
      </w:tr>
      <w:tr w:rsidR="009070AE" w14:paraId="196770EB"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3E1205B1" w14:textId="77777777" w:rsidR="009070AE" w:rsidRPr="00A17510" w:rsidRDefault="009070AE" w:rsidP="001E7E5D">
            <w:pPr>
              <w:rPr>
                <w:sz w:val="18"/>
                <w:szCs w:val="18"/>
              </w:rPr>
            </w:pPr>
            <w:r w:rsidRPr="00A17510">
              <w:rPr>
                <w:sz w:val="18"/>
                <w:szCs w:val="18"/>
              </w:rPr>
              <w:t>G1(b)iii</w:t>
            </w:r>
          </w:p>
        </w:tc>
        <w:tc>
          <w:tcPr>
            <w:tcW w:w="2475" w:type="dxa"/>
          </w:tcPr>
          <w:p w14:paraId="547136E9"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Informing accountable authority</w:t>
            </w:r>
          </w:p>
        </w:tc>
        <w:tc>
          <w:tcPr>
            <w:tcW w:w="4947" w:type="dxa"/>
          </w:tcPr>
          <w:p w14:paraId="165459CB" w14:textId="77777777" w:rsidR="009070AE" w:rsidRPr="00A17510" w:rsidRDefault="009070AE" w:rsidP="001E7E5D">
            <w:pPr>
              <w:pStyle w:val="Caption"/>
              <w:cnfStyle w:val="000000000000" w:firstRow="0" w:lastRow="0" w:firstColumn="0" w:lastColumn="0" w:oddVBand="0" w:evenVBand="0" w:oddHBand="0" w:evenHBand="0" w:firstRowFirstColumn="0" w:firstRowLastColumn="0" w:lastRowFirstColumn="0" w:lastRowLastColumn="0"/>
              <w:rPr>
                <w:i w:val="0"/>
                <w:iCs w:val="0"/>
              </w:rPr>
            </w:pPr>
            <w:r w:rsidRPr="00A17510">
              <w:rPr>
                <w:i w:val="0"/>
                <w:iCs w:val="0"/>
              </w:rPr>
              <w:t>Appendix C – Climate Statement Table 2, page X</w:t>
            </w:r>
          </w:p>
          <w:p w14:paraId="3D058FB9" w14:textId="77777777" w:rsidR="009070AE" w:rsidRPr="00A17510" w:rsidRDefault="009070AE" w:rsidP="001E7E5D">
            <w:pPr>
              <w:pStyle w:val="Caption"/>
              <w:cnfStyle w:val="000000000000" w:firstRow="0" w:lastRow="0" w:firstColumn="0" w:lastColumn="0" w:oddVBand="0" w:evenVBand="0" w:oddHBand="0" w:evenHBand="0" w:firstRowFirstColumn="0" w:firstRowLastColumn="0" w:lastRowFirstColumn="0" w:lastRowLastColumn="0"/>
              <w:rPr>
                <w:i w:val="0"/>
                <w:iCs w:val="0"/>
              </w:rPr>
            </w:pPr>
            <w:r w:rsidRPr="00A17510">
              <w:rPr>
                <w:i w:val="0"/>
                <w:iCs w:val="0"/>
              </w:rPr>
              <w:t>CEO informed on risks through quarterly ARC meetings with serious risks escalated on an as needs basis</w:t>
            </w:r>
          </w:p>
        </w:tc>
      </w:tr>
      <w:tr w:rsidR="009070AE" w14:paraId="1F1A5497"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3063B081" w14:textId="77777777" w:rsidR="009070AE" w:rsidRPr="00A17510" w:rsidRDefault="009070AE" w:rsidP="001E7E5D">
            <w:pPr>
              <w:rPr>
                <w:sz w:val="18"/>
                <w:szCs w:val="18"/>
              </w:rPr>
            </w:pPr>
            <w:r w:rsidRPr="00A17510">
              <w:rPr>
                <w:sz w:val="18"/>
                <w:szCs w:val="18"/>
              </w:rPr>
              <w:t>G1(a)iv</w:t>
            </w:r>
          </w:p>
        </w:tc>
        <w:tc>
          <w:tcPr>
            <w:tcW w:w="2475" w:type="dxa"/>
          </w:tcPr>
          <w:p w14:paraId="7B770320"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Strategy and Risk Management</w:t>
            </w:r>
          </w:p>
        </w:tc>
        <w:tc>
          <w:tcPr>
            <w:tcW w:w="4947" w:type="dxa"/>
          </w:tcPr>
          <w:p w14:paraId="1FBFE0A8" w14:textId="5B750A9E"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 xml:space="preserve">Our approach to climate governance section, page </w:t>
            </w:r>
            <w:r w:rsidR="0057101B">
              <w:rPr>
                <w:sz w:val="18"/>
                <w:szCs w:val="18"/>
              </w:rPr>
              <w:t>X</w:t>
            </w:r>
          </w:p>
        </w:tc>
      </w:tr>
      <w:tr w:rsidR="009070AE" w14:paraId="0658BDBA"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502BEA3D" w14:textId="77777777" w:rsidR="009070AE" w:rsidRPr="00A17510" w:rsidRDefault="009070AE" w:rsidP="001E7E5D">
            <w:pPr>
              <w:rPr>
                <w:sz w:val="18"/>
                <w:szCs w:val="18"/>
              </w:rPr>
            </w:pPr>
            <w:r w:rsidRPr="00A17510">
              <w:rPr>
                <w:sz w:val="18"/>
                <w:szCs w:val="18"/>
              </w:rPr>
              <w:t>G1(a)v</w:t>
            </w:r>
          </w:p>
        </w:tc>
        <w:tc>
          <w:tcPr>
            <w:tcW w:w="2475" w:type="dxa"/>
          </w:tcPr>
          <w:p w14:paraId="3FC607A4"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Setting Targets</w:t>
            </w:r>
          </w:p>
        </w:tc>
        <w:tc>
          <w:tcPr>
            <w:tcW w:w="4947" w:type="dxa"/>
          </w:tcPr>
          <w:p w14:paraId="2B20047B" w14:textId="4ECE9174"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Our approach to climate governance, para 2, page X</w:t>
            </w:r>
            <w:r>
              <w:rPr>
                <w:sz w:val="18"/>
                <w:szCs w:val="18"/>
              </w:rPr>
              <w:t xml:space="preserve">; </w:t>
            </w:r>
            <w:r w:rsidRPr="00A17510">
              <w:rPr>
                <w:sz w:val="18"/>
                <w:szCs w:val="18"/>
              </w:rPr>
              <w:t>Emissions Reduction Plan, available online at</w:t>
            </w:r>
            <w:r w:rsidR="001E7E5D">
              <w:rPr>
                <w:sz w:val="18"/>
                <w:szCs w:val="18"/>
              </w:rPr>
              <w:t xml:space="preserve"> </w:t>
            </w:r>
            <w:hyperlink r:id="rId28" w:history="1">
              <w:r w:rsidR="001E7E5D" w:rsidRPr="006A5429">
                <w:rPr>
                  <w:rStyle w:val="Hyperlink"/>
                  <w:sz w:val="18"/>
                  <w:szCs w:val="18"/>
                </w:rPr>
                <w:t>https://www.infrastructure.gov.au/department/media/publications/emissions-reduction-plan-2024</w:t>
              </w:r>
            </w:hyperlink>
            <w:r w:rsidR="001E7E5D">
              <w:rPr>
                <w:sz w:val="18"/>
                <w:szCs w:val="18"/>
              </w:rPr>
              <w:t xml:space="preserve"> </w:t>
            </w:r>
          </w:p>
        </w:tc>
      </w:tr>
      <w:tr w:rsidR="009070AE" w14:paraId="506D9800"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15733049" w14:textId="77777777" w:rsidR="009070AE" w:rsidRPr="00A17510" w:rsidRDefault="009070AE" w:rsidP="001E7E5D">
            <w:pPr>
              <w:rPr>
                <w:sz w:val="18"/>
                <w:szCs w:val="18"/>
              </w:rPr>
            </w:pPr>
            <w:r w:rsidRPr="00A17510">
              <w:rPr>
                <w:sz w:val="18"/>
                <w:szCs w:val="18"/>
              </w:rPr>
              <w:t>G1(a)v</w:t>
            </w:r>
            <w:r>
              <w:rPr>
                <w:sz w:val="18"/>
                <w:szCs w:val="18"/>
              </w:rPr>
              <w:t>i</w:t>
            </w:r>
          </w:p>
        </w:tc>
        <w:tc>
          <w:tcPr>
            <w:tcW w:w="2475" w:type="dxa"/>
          </w:tcPr>
          <w:p w14:paraId="7F101E55"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Risk Oversight</w:t>
            </w:r>
          </w:p>
        </w:tc>
        <w:tc>
          <w:tcPr>
            <w:tcW w:w="4947" w:type="dxa"/>
          </w:tcPr>
          <w:p w14:paraId="28689D77"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Enterprise Risk Management section, pages X-Y</w:t>
            </w:r>
            <w:r>
              <w:rPr>
                <w:sz w:val="18"/>
                <w:szCs w:val="18"/>
              </w:rPr>
              <w:t xml:space="preserve">; </w:t>
            </w:r>
            <w:r w:rsidRPr="00A17510">
              <w:rPr>
                <w:sz w:val="18"/>
                <w:szCs w:val="18"/>
              </w:rPr>
              <w:t>Our approach to climate governance section, pages X-Y</w:t>
            </w:r>
          </w:p>
        </w:tc>
      </w:tr>
      <w:tr w:rsidR="009070AE" w14:paraId="154EC177"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176D1391" w14:textId="77777777" w:rsidR="009070AE" w:rsidRPr="00A17510" w:rsidRDefault="009070AE" w:rsidP="001E7E5D">
            <w:pPr>
              <w:rPr>
                <w:sz w:val="18"/>
                <w:szCs w:val="18"/>
              </w:rPr>
            </w:pPr>
            <w:r w:rsidRPr="00A17510">
              <w:rPr>
                <w:sz w:val="18"/>
                <w:szCs w:val="18"/>
              </w:rPr>
              <w:t>G</w:t>
            </w:r>
            <w:r>
              <w:rPr>
                <w:sz w:val="18"/>
                <w:szCs w:val="18"/>
              </w:rPr>
              <w:t>1(b)</w:t>
            </w:r>
          </w:p>
        </w:tc>
        <w:tc>
          <w:tcPr>
            <w:tcW w:w="2475" w:type="dxa"/>
          </w:tcPr>
          <w:p w14:paraId="4E9453CD"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Controls and procedures</w:t>
            </w:r>
          </w:p>
        </w:tc>
        <w:tc>
          <w:tcPr>
            <w:tcW w:w="4947" w:type="dxa"/>
          </w:tcPr>
          <w:p w14:paraId="2B5FCD2B"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sidRPr="00A17510">
              <w:rPr>
                <w:sz w:val="18"/>
                <w:szCs w:val="18"/>
              </w:rPr>
              <w:t>Enterprise Risk Management section, pages X-Y</w:t>
            </w:r>
            <w:r>
              <w:rPr>
                <w:sz w:val="18"/>
                <w:szCs w:val="18"/>
              </w:rPr>
              <w:t xml:space="preserve">; </w:t>
            </w:r>
            <w:r w:rsidRPr="00A17510">
              <w:rPr>
                <w:sz w:val="18"/>
                <w:szCs w:val="18"/>
              </w:rPr>
              <w:t>Our approach to climate governance section, pages X-Y</w:t>
            </w:r>
          </w:p>
        </w:tc>
      </w:tr>
      <w:tr w:rsidR="009070AE" w14:paraId="074C8647" w14:textId="77777777" w:rsidTr="003936E8">
        <w:tc>
          <w:tcPr>
            <w:cnfStyle w:val="001000000000" w:firstRow="0" w:lastRow="0" w:firstColumn="1" w:lastColumn="0" w:oddVBand="0" w:evenVBand="0" w:oddHBand="0" w:evenHBand="0" w:firstRowFirstColumn="0" w:firstRowLastColumn="0" w:lastRowFirstColumn="0" w:lastRowLastColumn="0"/>
            <w:tcW w:w="1980" w:type="dxa"/>
          </w:tcPr>
          <w:p w14:paraId="0960B9B7" w14:textId="77777777" w:rsidR="009070AE" w:rsidRPr="00A17510" w:rsidRDefault="009070AE" w:rsidP="001E7E5D">
            <w:pPr>
              <w:rPr>
                <w:sz w:val="18"/>
                <w:szCs w:val="18"/>
              </w:rPr>
            </w:pPr>
            <w:r w:rsidRPr="00A17510">
              <w:rPr>
                <w:sz w:val="18"/>
                <w:szCs w:val="18"/>
              </w:rPr>
              <w:t>G</w:t>
            </w:r>
            <w:r>
              <w:rPr>
                <w:sz w:val="18"/>
                <w:szCs w:val="18"/>
              </w:rPr>
              <w:t>2(a)</w:t>
            </w:r>
          </w:p>
        </w:tc>
        <w:tc>
          <w:tcPr>
            <w:tcW w:w="2475" w:type="dxa"/>
          </w:tcPr>
          <w:p w14:paraId="5EC15FE5"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Regard to CROMP Approach </w:t>
            </w:r>
          </w:p>
        </w:tc>
        <w:tc>
          <w:tcPr>
            <w:tcW w:w="4947" w:type="dxa"/>
          </w:tcPr>
          <w:p w14:paraId="3B88B9CB"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Governance section, page X</w:t>
            </w:r>
          </w:p>
        </w:tc>
      </w:tr>
      <w:tr w:rsidR="009070AE" w14:paraId="12D9FABA" w14:textId="77777777" w:rsidTr="003936E8">
        <w:trPr>
          <w:trHeight w:val="500"/>
        </w:trPr>
        <w:tc>
          <w:tcPr>
            <w:cnfStyle w:val="001000000000" w:firstRow="0" w:lastRow="0" w:firstColumn="1" w:lastColumn="0" w:oddVBand="0" w:evenVBand="0" w:oddHBand="0" w:evenHBand="0" w:firstRowFirstColumn="0" w:firstRowLastColumn="0" w:lastRowFirstColumn="0" w:lastRowLastColumn="0"/>
            <w:tcW w:w="1980" w:type="dxa"/>
          </w:tcPr>
          <w:p w14:paraId="1DC809FE" w14:textId="77777777" w:rsidR="009070AE" w:rsidRPr="00A17510" w:rsidRDefault="009070AE" w:rsidP="001E7E5D">
            <w:pPr>
              <w:rPr>
                <w:sz w:val="18"/>
                <w:szCs w:val="18"/>
              </w:rPr>
            </w:pPr>
            <w:r>
              <w:rPr>
                <w:sz w:val="18"/>
                <w:szCs w:val="18"/>
              </w:rPr>
              <w:t>G2(b)</w:t>
            </w:r>
          </w:p>
        </w:tc>
        <w:tc>
          <w:tcPr>
            <w:tcW w:w="2475" w:type="dxa"/>
          </w:tcPr>
          <w:p w14:paraId="1E341198"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Alignment with other policies</w:t>
            </w:r>
          </w:p>
        </w:tc>
        <w:tc>
          <w:tcPr>
            <w:tcW w:w="4947" w:type="dxa"/>
          </w:tcPr>
          <w:p w14:paraId="4E93B029" w14:textId="77777777" w:rsidR="009070AE" w:rsidRPr="00A17510" w:rsidRDefault="009070AE" w:rsidP="001E7E5D">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Governance section, page X</w:t>
            </w:r>
          </w:p>
        </w:tc>
      </w:tr>
    </w:tbl>
    <w:p w14:paraId="52072964" w14:textId="77777777" w:rsidR="00DB1E11" w:rsidRPr="00DB1E11" w:rsidRDefault="00DB1E11" w:rsidP="00DB1E11"/>
    <w:p w14:paraId="2B3D16C0" w14:textId="77777777" w:rsidR="00961D9D" w:rsidRDefault="00961D9D">
      <w:pPr>
        <w:spacing w:before="0" w:after="160" w:line="259" w:lineRule="auto"/>
        <w:rPr>
          <w:b/>
          <w:color w:val="404040" w:themeColor="text1" w:themeTint="BF"/>
          <w:sz w:val="72"/>
        </w:rPr>
      </w:pPr>
      <w:r>
        <w:br w:type="page"/>
      </w:r>
    </w:p>
    <w:p w14:paraId="1995639F" w14:textId="77777777" w:rsidR="00961D9D" w:rsidRDefault="00961D9D" w:rsidP="00961D9D">
      <w:pPr>
        <w:pStyle w:val="Coverheading1"/>
        <w:jc w:val="center"/>
      </w:pPr>
    </w:p>
    <w:p w14:paraId="227028B2" w14:textId="77777777" w:rsidR="00961D9D" w:rsidRDefault="00961D9D" w:rsidP="00961D9D">
      <w:pPr>
        <w:pStyle w:val="Coverheading1"/>
        <w:jc w:val="center"/>
      </w:pPr>
    </w:p>
    <w:p w14:paraId="3D218882" w14:textId="131B8954" w:rsidR="00961D9D" w:rsidRDefault="00961D9D" w:rsidP="00961D9D">
      <w:pPr>
        <w:pStyle w:val="Coverheading1"/>
        <w:jc w:val="center"/>
      </w:pPr>
      <w:r w:rsidRPr="005865BD">
        <w:t>Annual</w:t>
      </w:r>
      <w:r>
        <w:t xml:space="preserve"> Report</w:t>
      </w:r>
    </w:p>
    <w:p w14:paraId="4A7EAB88" w14:textId="77777777" w:rsidR="00961D9D" w:rsidRPr="003441FB" w:rsidRDefault="00961D9D" w:rsidP="00690EA3">
      <w:pPr>
        <w:pStyle w:val="Example-Centredheading"/>
      </w:pPr>
      <w:r w:rsidRPr="003441FB">
        <w:t>2024-25</w:t>
      </w:r>
      <w:r>
        <w:t xml:space="preserve"> Financial Year</w:t>
      </w:r>
    </w:p>
    <w:p w14:paraId="7887651B" w14:textId="77777777" w:rsidR="00961D9D" w:rsidRDefault="00961D9D" w:rsidP="00961D9D">
      <w:pPr>
        <w:pStyle w:val="EgHeading1"/>
      </w:pPr>
    </w:p>
    <w:p w14:paraId="7D3EC1CE" w14:textId="77777777" w:rsidR="00961D9D" w:rsidRPr="00A45C99" w:rsidRDefault="00961D9D" w:rsidP="003936E8">
      <w:pPr>
        <w:pStyle w:val="Example-Centredheading3"/>
      </w:pPr>
      <w:r>
        <w:t>Resilient Infrastructure</w:t>
      </w:r>
      <w:r w:rsidRPr="00A45C99">
        <w:t xml:space="preserve"> Agency</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6E2022F7" w14:textId="77777777" w:rsidTr="003936E8">
        <w:tc>
          <w:tcPr>
            <w:tcW w:w="9402" w:type="dxa"/>
            <w:shd w:val="clear" w:color="auto" w:fill="D2F0EF" w:themeFill="accent2" w:themeFillTint="33"/>
          </w:tcPr>
          <w:p w14:paraId="39CFA600" w14:textId="077E8129" w:rsidR="009C4D51" w:rsidRPr="009C4D51" w:rsidRDefault="00177005" w:rsidP="009C4D51">
            <w:pPr>
              <w:pStyle w:val="Italicbodytext"/>
              <w:rPr>
                <w:i w:val="0"/>
                <w:iCs/>
              </w:rPr>
            </w:pPr>
            <w:r w:rsidRPr="009C4D51">
              <w:rPr>
                <w:b/>
                <w:bCs w:val="0"/>
                <w:i w:val="0"/>
                <w:iCs/>
              </w:rPr>
              <w:t xml:space="preserve">Note: </w:t>
            </w:r>
            <w:r w:rsidRPr="009C4D51">
              <w:rPr>
                <w:i w:val="0"/>
                <w:iCs/>
              </w:rPr>
              <w:t xml:space="preserve">This annual report has been developed to demonstrate how to cross reference standard annual report content </w:t>
            </w:r>
            <w:r w:rsidR="00B361CF" w:rsidRPr="009C4D51">
              <w:rPr>
                <w:i w:val="0"/>
                <w:iCs/>
              </w:rPr>
              <w:t>to</w:t>
            </w:r>
            <w:r w:rsidRPr="009C4D51">
              <w:rPr>
                <w:i w:val="0"/>
                <w:iCs/>
              </w:rPr>
              <w:t xml:space="preserve"> avoid duplication and length within </w:t>
            </w:r>
            <w:r w:rsidR="00B361CF" w:rsidRPr="009C4D51">
              <w:rPr>
                <w:i w:val="0"/>
                <w:iCs/>
              </w:rPr>
              <w:t>a climate disclosure.</w:t>
            </w:r>
            <w:r w:rsidR="009C4D51">
              <w:rPr>
                <w:i w:val="0"/>
                <w:iCs/>
              </w:rPr>
              <w:t xml:space="preserve"> It also </w:t>
            </w:r>
            <w:r w:rsidR="0097202F">
              <w:rPr>
                <w:i w:val="0"/>
                <w:iCs/>
              </w:rPr>
              <w:t>showcases where a climate disclosure could fit within the annual report.</w:t>
            </w:r>
          </w:p>
        </w:tc>
      </w:tr>
    </w:tbl>
    <w:p w14:paraId="6B9DE58F" w14:textId="3B342B5E" w:rsidR="00961D9D" w:rsidRDefault="00961D9D" w:rsidP="00961D9D">
      <w:pPr>
        <w:spacing w:before="0" w:after="160" w:line="259" w:lineRule="auto"/>
        <w:rPr>
          <w:rFonts w:asciiTheme="majorHAnsi" w:eastAsiaTheme="majorEastAsia" w:hAnsiTheme="majorHAnsi" w:cstheme="majorBidi"/>
          <w:b/>
          <w:bCs/>
          <w:sz w:val="48"/>
          <w:szCs w:val="40"/>
        </w:rPr>
      </w:pPr>
    </w:p>
    <w:p w14:paraId="5B709A27" w14:textId="77777777" w:rsidR="00961D9D" w:rsidRDefault="00961D9D">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237C842E" w14:textId="77777777" w:rsidR="00961D9D" w:rsidRPr="007A5D29" w:rsidRDefault="00961D9D" w:rsidP="00690EA3">
      <w:pPr>
        <w:pStyle w:val="Heading2example"/>
      </w:pPr>
      <w:bookmarkStart w:id="20" w:name="_Ref182824604"/>
      <w:r w:rsidRPr="007A5D29">
        <w:t>Contents</w:t>
      </w:r>
      <w:bookmarkEnd w:id="20"/>
    </w:p>
    <w:p w14:paraId="7AE79B78" w14:textId="77777777" w:rsidR="00961D9D" w:rsidRDefault="00961D9D" w:rsidP="00961D9D">
      <w:pPr>
        <w:pStyle w:val="Heading3"/>
      </w:pPr>
      <w:r>
        <w:t>Introduction</w:t>
      </w:r>
    </w:p>
    <w:p w14:paraId="224444BB" w14:textId="77777777" w:rsidR="00961D9D" w:rsidRDefault="00961D9D" w:rsidP="00961D9D">
      <w:r>
        <w:tab/>
        <w:t>Letter of transmittal</w:t>
      </w:r>
    </w:p>
    <w:p w14:paraId="300D7068" w14:textId="77777777" w:rsidR="00961D9D" w:rsidRPr="005519CC" w:rsidRDefault="00961D9D" w:rsidP="00961D9D">
      <w:r>
        <w:tab/>
        <w:t>2024-25 snapshot</w:t>
      </w:r>
    </w:p>
    <w:p w14:paraId="0E9E21A6" w14:textId="77777777" w:rsidR="00961D9D" w:rsidRDefault="00961D9D" w:rsidP="00961D9D">
      <w:pPr>
        <w:pStyle w:val="Heading3"/>
      </w:pPr>
      <w:r>
        <w:t>Section 1: Overview</w:t>
      </w:r>
    </w:p>
    <w:p w14:paraId="637D84F1" w14:textId="77777777" w:rsidR="00961D9D" w:rsidRDefault="00961D9D" w:rsidP="00961D9D">
      <w:pPr>
        <w:ind w:left="720"/>
      </w:pPr>
      <w:r>
        <w:t>Agency overview</w:t>
      </w:r>
      <w:r>
        <w:tab/>
      </w:r>
    </w:p>
    <w:p w14:paraId="6161EEC3" w14:textId="77777777" w:rsidR="00961D9D" w:rsidRPr="00606C2D" w:rsidRDefault="00961D9D" w:rsidP="00961D9D">
      <w:pPr>
        <w:ind w:left="720"/>
      </w:pPr>
      <w:r>
        <w:t>Purpose and vision</w:t>
      </w:r>
      <w:r>
        <w:tab/>
      </w:r>
    </w:p>
    <w:p w14:paraId="0511872F" w14:textId="77777777" w:rsidR="00961D9D" w:rsidRDefault="00961D9D" w:rsidP="00961D9D">
      <w:pPr>
        <w:pStyle w:val="Heading3"/>
      </w:pPr>
      <w:r>
        <w:t>Section 2: Our Performance</w:t>
      </w:r>
    </w:p>
    <w:p w14:paraId="0C7BCF79" w14:textId="77777777" w:rsidR="00961D9D" w:rsidRDefault="00961D9D" w:rsidP="00961D9D">
      <w:r>
        <w:tab/>
        <w:t>Annual performance statement</w:t>
      </w:r>
    </w:p>
    <w:p w14:paraId="04D30DAF" w14:textId="77777777" w:rsidR="00961D9D" w:rsidRDefault="00961D9D" w:rsidP="00961D9D">
      <w:pPr>
        <w:ind w:left="720"/>
      </w:pPr>
      <w:r>
        <w:t>Performance framework</w:t>
      </w:r>
    </w:p>
    <w:p w14:paraId="2FC092F2" w14:textId="77777777" w:rsidR="00961D9D" w:rsidRPr="006B15A1" w:rsidRDefault="00961D9D" w:rsidP="00961D9D">
      <w:pPr>
        <w:ind w:left="720"/>
      </w:pPr>
      <w:r>
        <w:t>Performance results</w:t>
      </w:r>
    </w:p>
    <w:p w14:paraId="09D21360" w14:textId="77777777" w:rsidR="00961D9D" w:rsidRDefault="00961D9D" w:rsidP="00961D9D">
      <w:pPr>
        <w:pStyle w:val="Heading3"/>
      </w:pPr>
      <w:r>
        <w:t>Section 3: Organisational Management</w:t>
      </w:r>
    </w:p>
    <w:p w14:paraId="5B3E0BF6" w14:textId="77777777" w:rsidR="00961D9D" w:rsidRDefault="00961D9D" w:rsidP="00961D9D">
      <w:pPr>
        <w:ind w:left="720"/>
      </w:pPr>
      <w:r w:rsidRPr="008B46B1">
        <w:rPr>
          <w:highlight w:val="yellow"/>
        </w:rPr>
        <w:t>Corporate governance</w:t>
      </w:r>
    </w:p>
    <w:p w14:paraId="765DBE25" w14:textId="77777777" w:rsidR="00961D9D" w:rsidRDefault="00961D9D" w:rsidP="00961D9D">
      <w:pPr>
        <w:ind w:left="720"/>
      </w:pPr>
      <w:r w:rsidRPr="007A5D29">
        <w:rPr>
          <w:highlight w:val="yellow"/>
        </w:rPr>
        <w:t>Enterprise Risk Management</w:t>
      </w:r>
    </w:p>
    <w:p w14:paraId="05549339" w14:textId="77777777" w:rsidR="00961D9D" w:rsidRDefault="00961D9D" w:rsidP="00961D9D">
      <w:pPr>
        <w:ind w:left="720"/>
      </w:pPr>
      <w:r>
        <w:t>People Management</w:t>
      </w:r>
    </w:p>
    <w:p w14:paraId="18A095E6" w14:textId="77777777" w:rsidR="00961D9D" w:rsidRDefault="00961D9D" w:rsidP="00961D9D">
      <w:pPr>
        <w:ind w:left="720"/>
      </w:pPr>
      <w:r>
        <w:t>Financial resource management</w:t>
      </w:r>
    </w:p>
    <w:p w14:paraId="63A36820" w14:textId="77777777" w:rsidR="00961D9D" w:rsidRDefault="00961D9D" w:rsidP="00961D9D">
      <w:pPr>
        <w:pStyle w:val="Heading3"/>
      </w:pPr>
      <w:r>
        <w:t>Section 4: Financial Statements</w:t>
      </w:r>
    </w:p>
    <w:p w14:paraId="0EDE9016" w14:textId="77777777" w:rsidR="00961D9D" w:rsidRPr="005519CC" w:rsidRDefault="00961D9D" w:rsidP="00961D9D">
      <w:r>
        <w:tab/>
        <w:t>Financial Statements</w:t>
      </w:r>
    </w:p>
    <w:p w14:paraId="0B4A4428" w14:textId="77777777" w:rsidR="00961D9D" w:rsidRDefault="00961D9D" w:rsidP="00961D9D">
      <w:pPr>
        <w:pStyle w:val="Heading3"/>
      </w:pPr>
      <w:r>
        <w:t>Section 5: Appendices</w:t>
      </w:r>
    </w:p>
    <w:p w14:paraId="3B2573CB" w14:textId="77777777" w:rsidR="00961D9D" w:rsidRPr="00563F3B" w:rsidRDefault="00961D9D" w:rsidP="00961D9D">
      <w:pPr>
        <w:ind w:firstLine="720"/>
      </w:pPr>
      <w:r w:rsidRPr="00563F3B">
        <w:t>Appendix A – List of requirements</w:t>
      </w:r>
    </w:p>
    <w:p w14:paraId="26D8149B" w14:textId="77777777" w:rsidR="00961D9D" w:rsidRDefault="00961D9D" w:rsidP="00961D9D">
      <w:pPr>
        <w:ind w:firstLine="720"/>
      </w:pPr>
      <w:r w:rsidRPr="00563F3B">
        <w:t>Appendix B – Glossary</w:t>
      </w:r>
    </w:p>
    <w:p w14:paraId="4A9B3A53" w14:textId="77777777" w:rsidR="00961D9D" w:rsidRDefault="00961D9D" w:rsidP="00961D9D">
      <w:pPr>
        <w:ind w:firstLine="720"/>
      </w:pPr>
      <w:r w:rsidRPr="00563F3B">
        <w:rPr>
          <w:highlight w:val="yellow"/>
        </w:rPr>
        <w:t xml:space="preserve">Appendix </w:t>
      </w:r>
      <w:r w:rsidRPr="006A3B7D">
        <w:rPr>
          <w:highlight w:val="yellow"/>
        </w:rPr>
        <w:t>C – Climate Statement</w:t>
      </w:r>
    </w:p>
    <w:p w14:paraId="40196EF3" w14:textId="77777777" w:rsidR="00961D9D" w:rsidRDefault="00961D9D" w:rsidP="00961D9D">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76C0F3A3" w14:textId="77777777" w:rsidTr="003936E8">
        <w:tc>
          <w:tcPr>
            <w:tcW w:w="9402" w:type="dxa"/>
            <w:shd w:val="clear" w:color="auto" w:fill="D2F0EF" w:themeFill="accent2" w:themeFillTint="33"/>
          </w:tcPr>
          <w:p w14:paraId="2AC2303A" w14:textId="77777777" w:rsidR="00961D9D" w:rsidRDefault="00961D9D" w:rsidP="001E7E5D">
            <w:pPr>
              <w:pStyle w:val="BodyText1"/>
              <w:rPr>
                <w:rFonts w:asciiTheme="majorHAnsi" w:eastAsiaTheme="majorEastAsia" w:hAnsiTheme="majorHAnsi" w:cstheme="majorBidi"/>
                <w:b/>
                <w:sz w:val="48"/>
                <w:szCs w:val="32"/>
              </w:rPr>
            </w:pPr>
            <w:r w:rsidRPr="0046495D">
              <w:rPr>
                <w:b/>
              </w:rPr>
              <w:t>Tip:</w:t>
            </w:r>
            <w:r>
              <w:t xml:space="preserve"> this contents page is included to demonstrate how existing information within the body of your annual report can be leveraged when producing a climate disclosure. The sections that address the Governance criteria are identified in </w:t>
            </w:r>
            <w:r w:rsidRPr="006E10ED">
              <w:rPr>
                <w:highlight w:val="yellow"/>
              </w:rPr>
              <w:t>yellow</w:t>
            </w:r>
            <w:r>
              <w:t xml:space="preserve"> and included below. Where criteria are addressed by cross-referencing the body of the annual report or an external publication, this can be summarised in an index to ensure readers can easily access relevant information and see that all criteria have been addressed by the entity. </w:t>
            </w:r>
          </w:p>
        </w:tc>
      </w:tr>
    </w:tbl>
    <w:p w14:paraId="634FBADC" w14:textId="77777777" w:rsidR="00961D9D" w:rsidRPr="008B46B1" w:rsidRDefault="00961D9D" w:rsidP="00961D9D"/>
    <w:p w14:paraId="366754CD" w14:textId="77777777" w:rsidR="00FA63B6" w:rsidRDefault="00FA63B6">
      <w:pPr>
        <w:spacing w:before="0" w:after="160" w:line="259" w:lineRule="auto"/>
        <w:rPr>
          <w:rFonts w:asciiTheme="majorHAnsi" w:eastAsiaTheme="majorEastAsia" w:hAnsiTheme="majorHAnsi" w:cstheme="majorBidi"/>
          <w:color w:val="000000" w:themeColor="text1"/>
          <w:sz w:val="32"/>
          <w:szCs w:val="26"/>
        </w:rPr>
      </w:pPr>
      <w:r>
        <w:br w:type="page"/>
      </w:r>
    </w:p>
    <w:p w14:paraId="661BA65A" w14:textId="29297481" w:rsidR="00961D9D" w:rsidRDefault="00961D9D" w:rsidP="00961D9D">
      <w:pPr>
        <w:pStyle w:val="Heading2Noshow"/>
      </w:pPr>
      <w:r>
        <w:t>Section</w:t>
      </w:r>
      <w:r w:rsidRPr="00162BA7">
        <w:t xml:space="preserve"> </w:t>
      </w:r>
      <w:r>
        <w:t>3</w:t>
      </w:r>
      <w:r w:rsidRPr="00162BA7">
        <w:t xml:space="preserve">: </w:t>
      </w:r>
      <w:r>
        <w:t>Organisational Management</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4E3250FD" w14:textId="77777777" w:rsidTr="003936E8">
        <w:tc>
          <w:tcPr>
            <w:tcW w:w="9402" w:type="dxa"/>
            <w:shd w:val="clear" w:color="auto" w:fill="D2F0EF" w:themeFill="accent2" w:themeFillTint="33"/>
          </w:tcPr>
          <w:p w14:paraId="4DC9B505" w14:textId="77777777" w:rsidR="00961D9D" w:rsidRDefault="00961D9D" w:rsidP="001E7E5D">
            <w:pPr>
              <w:pStyle w:val="BodyText1"/>
            </w:pPr>
            <w:r>
              <w:rPr>
                <w:b/>
              </w:rPr>
              <w:t>Tip</w:t>
            </w:r>
            <w:r w:rsidRPr="007A5D29">
              <w:rPr>
                <w:b/>
              </w:rPr>
              <w:t>:</w:t>
            </w:r>
            <w:r>
              <w:t xml:space="preserve"> </w:t>
            </w:r>
            <w:r w:rsidRPr="009170C0">
              <w:t xml:space="preserve">The </w:t>
            </w:r>
            <w:r>
              <w:t xml:space="preserve">following </w:t>
            </w:r>
            <w:r w:rsidRPr="009170C0">
              <w:t xml:space="preserve">sections </w:t>
            </w:r>
            <w:r>
              <w:t>provide</w:t>
            </w:r>
            <w:r w:rsidRPr="009170C0">
              <w:t xml:space="preserve"> examples of extracts from the </w:t>
            </w:r>
            <w:r>
              <w:t xml:space="preserve">Annual Report of the </w:t>
            </w:r>
            <w:r w:rsidRPr="009170C0">
              <w:t>fictional entit</w:t>
            </w:r>
            <w:r>
              <w:t>y, the Resilient Infrastructure</w:t>
            </w:r>
            <w:r w:rsidRPr="00682216">
              <w:t xml:space="preserve"> Agency</w:t>
            </w:r>
            <w:r>
              <w:t>,</w:t>
            </w:r>
            <w:r w:rsidRPr="009170C0">
              <w:t xml:space="preserve"> that have been referred to in the climate disclosure </w:t>
            </w:r>
            <w:r>
              <w:t>in Appendix C</w:t>
            </w:r>
            <w:r w:rsidRPr="009170C0">
              <w:t>. The aim of this section is to highlight how entities can leverage content already included within an annual report to meet climate disclosure obligations.</w:t>
            </w:r>
          </w:p>
        </w:tc>
      </w:tr>
    </w:tbl>
    <w:p w14:paraId="7B59E162" w14:textId="77777777" w:rsidR="00961D9D" w:rsidRPr="00F174DA" w:rsidRDefault="00961D9D" w:rsidP="00690EA3">
      <w:pPr>
        <w:pStyle w:val="Heading2example"/>
      </w:pPr>
      <w:r>
        <w:t>Corporate Governance</w:t>
      </w:r>
    </w:p>
    <w:p w14:paraId="422866E2" w14:textId="77777777" w:rsidR="00961D9D" w:rsidRPr="003E23F1" w:rsidRDefault="00961D9D" w:rsidP="00961D9D">
      <w:pPr>
        <w:pStyle w:val="Heading3"/>
      </w:pPr>
      <w:r w:rsidRPr="003E23F1">
        <w:t>Agency Executive Management Structure</w:t>
      </w:r>
    </w:p>
    <w:p w14:paraId="22FFD6BA" w14:textId="77777777" w:rsidR="00961D9D" w:rsidRPr="003E23F1" w:rsidRDefault="00961D9D" w:rsidP="00961D9D">
      <w:pPr>
        <w:pStyle w:val="Caption"/>
      </w:pPr>
      <w:r w:rsidRPr="007E1EDF">
        <w:rPr>
          <w:i w:val="0"/>
          <w:iCs w:val="0"/>
        </w:rPr>
        <w:t xml:space="preserve">Figure </w:t>
      </w:r>
      <w:r w:rsidRPr="007E1EDF">
        <w:rPr>
          <w:i w:val="0"/>
        </w:rPr>
        <w:fldChar w:fldCharType="begin"/>
      </w:r>
      <w:r w:rsidRPr="007E1EDF">
        <w:rPr>
          <w:i w:val="0"/>
          <w:iCs w:val="0"/>
        </w:rPr>
        <w:instrText xml:space="preserve"> SEQ Figure \* ARABIC </w:instrText>
      </w:r>
      <w:r w:rsidRPr="007E1EDF">
        <w:rPr>
          <w:i w:val="0"/>
        </w:rPr>
        <w:fldChar w:fldCharType="separate"/>
      </w:r>
      <w:r w:rsidRPr="007E1EDF">
        <w:rPr>
          <w:i w:val="0"/>
          <w:iCs w:val="0"/>
          <w:noProof/>
        </w:rPr>
        <w:t>2</w:t>
      </w:r>
      <w:r w:rsidRPr="007E1EDF">
        <w:rPr>
          <w:i w:val="0"/>
        </w:rPr>
        <w:fldChar w:fldCharType="end"/>
      </w:r>
      <w:r w:rsidRPr="007E1EDF">
        <w:rPr>
          <w:i w:val="0"/>
          <w:iCs w:val="0"/>
        </w:rPr>
        <w:t xml:space="preserve"> Executive Management Structure</w:t>
      </w:r>
    </w:p>
    <w:p w14:paraId="4BDD6341" w14:textId="77777777" w:rsidR="00961D9D" w:rsidRPr="003E23F1" w:rsidRDefault="00961D9D" w:rsidP="00961D9D">
      <w:r w:rsidRPr="003E23F1">
        <w:rPr>
          <w:noProof/>
        </w:rPr>
        <w:drawing>
          <wp:inline distT="0" distB="0" distL="0" distR="0" wp14:anchorId="64D36478" wp14:editId="4326AC78">
            <wp:extent cx="6007100" cy="1714500"/>
            <wp:effectExtent l="0" t="0" r="0" b="57150"/>
            <wp:docPr id="13540492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7358B9C" w14:textId="77777777" w:rsidR="00961D9D" w:rsidRPr="003E23F1" w:rsidRDefault="00961D9D" w:rsidP="00961D9D">
      <w:pPr>
        <w:pStyle w:val="Heading3"/>
      </w:pPr>
      <w:commentRangeStart w:id="21"/>
      <w:r w:rsidRPr="003E23F1">
        <w:t>Executive Roles and Responsibilities</w:t>
      </w:r>
      <w:commentRangeEnd w:id="21"/>
      <w:r>
        <w:rPr>
          <w:rStyle w:val="CommentReference"/>
          <w:rFonts w:ascii="Arial" w:eastAsiaTheme="minorHAnsi" w:hAnsi="Arial" w:cstheme="minorBidi"/>
          <w:b w:val="0"/>
        </w:rPr>
        <w:commentReference w:id="21"/>
      </w:r>
    </w:p>
    <w:p w14:paraId="3725521C" w14:textId="78061B73" w:rsidR="00961D9D" w:rsidRPr="0092251E" w:rsidRDefault="00961D9D" w:rsidP="001E7E5D">
      <w:pPr>
        <w:pStyle w:val="Bodybullet1"/>
      </w:pPr>
      <w:r w:rsidRPr="005F42FA">
        <w:rPr>
          <w:b/>
          <w:bCs/>
        </w:rPr>
        <w:t>Chief Executive Officer</w:t>
      </w:r>
      <w:r w:rsidR="005F42FA" w:rsidRPr="005F42FA">
        <w:rPr>
          <w:b/>
          <w:bCs/>
        </w:rPr>
        <w:t>:</w:t>
      </w:r>
      <w:r w:rsidR="005F42FA">
        <w:t xml:space="preserve"> </w:t>
      </w:r>
      <w:r w:rsidRPr="0092251E">
        <w:t>Responsible for supporting the Minister for Infrastructure in the delivery of portfolio responsibilities and development of strategic policy advice. The C</w:t>
      </w:r>
      <w:r>
        <w:t xml:space="preserve">hief </w:t>
      </w:r>
      <w:r w:rsidRPr="0092251E">
        <w:t>E</w:t>
      </w:r>
      <w:r>
        <w:t xml:space="preserve">xecutive </w:t>
      </w:r>
      <w:r w:rsidRPr="0092251E">
        <w:t>O</w:t>
      </w:r>
      <w:r>
        <w:t>fficer (CEO)</w:t>
      </w:r>
      <w:r w:rsidRPr="0092251E">
        <w:t xml:space="preserve"> provides strategic oversight, leadership and management of the agency, ensuring there is collaborative implementation and delivery of government policy and programs and a whole-of-government approach to services delivery. The CEO also manages key stakeholder relationships and contributes to the stewardship of the APS. </w:t>
      </w:r>
    </w:p>
    <w:p w14:paraId="7BFE4F60" w14:textId="1B6307DD" w:rsidR="00961D9D" w:rsidRPr="00487F1F" w:rsidRDefault="00961D9D" w:rsidP="001E7E5D">
      <w:pPr>
        <w:pStyle w:val="Bodybullet1"/>
      </w:pPr>
      <w:r w:rsidRPr="005F42FA">
        <w:rPr>
          <w:b/>
          <w:bCs/>
        </w:rPr>
        <w:t>Deputy Chief Executive, Project Delivery</w:t>
      </w:r>
      <w:r w:rsidR="005F42FA" w:rsidRPr="005F42FA">
        <w:rPr>
          <w:b/>
          <w:bCs/>
        </w:rPr>
        <w:t>:</w:t>
      </w:r>
      <w:r w:rsidR="005F42FA">
        <w:t xml:space="preserve"> </w:t>
      </w:r>
      <w:r w:rsidRPr="00487F1F">
        <w:t xml:space="preserve">Responsible for the delivery of the pipeline of </w:t>
      </w:r>
      <w:r>
        <w:t>Resilient Infrastructure</w:t>
      </w:r>
      <w:r w:rsidRPr="00487F1F">
        <w:t xml:space="preserve"> projects under the agency’s responsibility oversight and management of project design and delivery.</w:t>
      </w:r>
    </w:p>
    <w:p w14:paraId="10FBABB5" w14:textId="195EA2C5" w:rsidR="00961D9D" w:rsidRPr="00487F1F" w:rsidRDefault="00961D9D" w:rsidP="001E7E5D">
      <w:pPr>
        <w:pStyle w:val="Bodybullet1"/>
      </w:pPr>
      <w:r w:rsidRPr="005F42FA">
        <w:rPr>
          <w:b/>
          <w:bCs/>
        </w:rPr>
        <w:t>Deputy Chief Executive, Innovation and Technology</w:t>
      </w:r>
      <w:r w:rsidR="005F42FA" w:rsidRPr="005F42FA">
        <w:rPr>
          <w:b/>
          <w:bCs/>
        </w:rPr>
        <w:t>:</w:t>
      </w:r>
      <w:r w:rsidR="005F42FA">
        <w:t xml:space="preserve"> </w:t>
      </w:r>
      <w:r w:rsidRPr="00487F1F">
        <w:t>Responsible for developing and delivering the agency’s information and communications technology (ICT), digital capability and innovation.</w:t>
      </w:r>
    </w:p>
    <w:p w14:paraId="1B751F10" w14:textId="118B538B" w:rsidR="00961D9D" w:rsidRPr="00487F1F" w:rsidRDefault="00961D9D" w:rsidP="001E7E5D">
      <w:pPr>
        <w:pStyle w:val="Bodybullet1"/>
      </w:pPr>
      <w:r w:rsidRPr="005F42FA">
        <w:rPr>
          <w:b/>
          <w:bCs/>
        </w:rPr>
        <w:t>Chief Operating Officer</w:t>
      </w:r>
      <w:r w:rsidR="005F42FA" w:rsidRPr="005F42FA">
        <w:rPr>
          <w:b/>
          <w:bCs/>
        </w:rPr>
        <w:t>:</w:t>
      </w:r>
      <w:r w:rsidR="005F42FA">
        <w:t xml:space="preserve"> </w:t>
      </w:r>
      <w:r w:rsidRPr="00487F1F">
        <w:t>Responsible for the agency’s corporate functions including finance, human resources, audit, legal and procurement.</w:t>
      </w:r>
    </w:p>
    <w:p w14:paraId="7735693F" w14:textId="77777777" w:rsidR="00961D9D" w:rsidRPr="00333574" w:rsidRDefault="00961D9D" w:rsidP="00961D9D">
      <w:pPr>
        <w:pStyle w:val="Heading3"/>
      </w:pPr>
      <w:commentRangeStart w:id="22"/>
      <w:r>
        <w:t>Executive Committees</w:t>
      </w:r>
      <w:commentRangeEnd w:id="22"/>
      <w:r>
        <w:rPr>
          <w:rStyle w:val="CommentReference"/>
          <w:rFonts w:ascii="Arial" w:eastAsiaTheme="minorHAnsi" w:hAnsi="Arial" w:cstheme="minorBidi"/>
          <w:b w:val="0"/>
        </w:rPr>
        <w:commentReference w:id="22"/>
      </w:r>
    </w:p>
    <w:p w14:paraId="57139E2E" w14:textId="77777777" w:rsidR="00961D9D" w:rsidRDefault="00961D9D" w:rsidP="00373811">
      <w:pPr>
        <w:pStyle w:val="Heading5"/>
      </w:pPr>
      <w:r>
        <w:t>Executive Committee</w:t>
      </w:r>
    </w:p>
    <w:p w14:paraId="26A83423" w14:textId="77777777" w:rsidR="00961D9D" w:rsidRPr="003E23F1" w:rsidRDefault="00961D9D" w:rsidP="00961D9D">
      <w:pPr>
        <w:pStyle w:val="BodyText1"/>
      </w:pPr>
      <w:r w:rsidRPr="003E23F1">
        <w:t xml:space="preserve">The </w:t>
      </w:r>
      <w:commentRangeStart w:id="23"/>
      <w:r w:rsidRPr="003E23F1">
        <w:t xml:space="preserve">Executive Committee </w:t>
      </w:r>
      <w:r>
        <w:t xml:space="preserve">(EC) </w:t>
      </w:r>
      <w:r w:rsidRPr="003E23F1">
        <w:t xml:space="preserve">is the agency’s most senior governance committee. It supports the CEO to undertake her duties under the </w:t>
      </w:r>
      <w:hyperlink r:id="rId34" w:history="1">
        <w:r w:rsidRPr="00FC7E16">
          <w:rPr>
            <w:rStyle w:val="Hyperlink"/>
            <w:rFonts w:cstheme="minorHAnsi"/>
            <w:i/>
            <w:iCs/>
          </w:rPr>
          <w:t>Public Governance, Performance and Accountability Act 2013</w:t>
        </w:r>
      </w:hyperlink>
      <w:r>
        <w:rPr>
          <w:rFonts w:cstheme="minorHAnsi"/>
        </w:rPr>
        <w:t xml:space="preserve"> </w:t>
      </w:r>
      <w:r w:rsidRPr="008E1188">
        <w:t>(PGPA Act)</w:t>
      </w:r>
      <w:r w:rsidRPr="00487F1F">
        <w:t xml:space="preserve"> </w:t>
      </w:r>
      <w:r w:rsidRPr="003E23F1">
        <w:t>and section 57 of the</w:t>
      </w:r>
      <w:r w:rsidRPr="00487F1F">
        <w:t xml:space="preserve"> </w:t>
      </w:r>
      <w:hyperlink r:id="rId35" w:history="1">
        <w:r w:rsidRPr="00FC7E16">
          <w:rPr>
            <w:rStyle w:val="Hyperlink"/>
            <w:rFonts w:ascii="Arial" w:hAnsi="Arial"/>
            <w:i/>
            <w:iCs/>
          </w:rPr>
          <w:t>Public Service Act 1999</w:t>
        </w:r>
      </w:hyperlink>
      <w:r w:rsidRPr="00487F1F">
        <w:t xml:space="preserve">. </w:t>
      </w:r>
      <w:commentRangeEnd w:id="23"/>
      <w:r>
        <w:rPr>
          <w:rStyle w:val="CommentReference"/>
        </w:rPr>
        <w:commentReference w:id="23"/>
      </w:r>
      <w:r w:rsidRPr="003E23F1">
        <w:t>The committee’s focus is on the overall strategic direction and priorities of the agency, as well as providing oversight of the agency’s financial and operational performance. It allocates resources, resolves major issues, oversees the management of enterprise risks, and ensures the agency meets accountability and regulatory requirements. It also provides direction on key organisation matters raised by sub-committees.</w:t>
      </w:r>
    </w:p>
    <w:p w14:paraId="1DE4EBFF" w14:textId="77777777" w:rsidR="00961D9D" w:rsidRDefault="00961D9D" w:rsidP="00373811">
      <w:pPr>
        <w:pStyle w:val="Heading5"/>
      </w:pPr>
      <w:r>
        <w:t>Audit and Risk Committee</w:t>
      </w:r>
    </w:p>
    <w:p w14:paraId="723E61D6" w14:textId="77777777" w:rsidR="00961D9D" w:rsidRPr="0092251E" w:rsidRDefault="00961D9D" w:rsidP="00961D9D">
      <w:pPr>
        <w:pStyle w:val="BodyText1"/>
      </w:pPr>
      <w:r w:rsidRPr="0092251E">
        <w:t xml:space="preserve">The Audit and Risk Committee (ARC) provides independent advice to the CEO, as the Accountable Authority, on the appropriateness of the agency’s financial reporting, performance reporting, system of risk oversight and management, and system of internal control, consistent with subsection 17(2) of the </w:t>
      </w:r>
      <w:hyperlink r:id="rId36" w:history="1">
        <w:r w:rsidRPr="0092251E">
          <w:rPr>
            <w:rStyle w:val="Hyperlink"/>
            <w:rFonts w:ascii="Arial" w:hAnsi="Arial"/>
            <w:i/>
            <w:iCs/>
          </w:rPr>
          <w:t>Public Governance and Accountability Rule 2014</w:t>
        </w:r>
      </w:hyperlink>
      <w:r w:rsidRPr="0092251E">
        <w:t xml:space="preserve"> (PGPA Rule).</w:t>
      </w:r>
    </w:p>
    <w:p w14:paraId="5E3C4487" w14:textId="77777777" w:rsidR="00961D9D" w:rsidRPr="0092251E" w:rsidRDefault="00961D9D" w:rsidP="00961D9D">
      <w:pPr>
        <w:pStyle w:val="BodyText1"/>
      </w:pPr>
      <w:commentRangeStart w:id="24"/>
      <w:r w:rsidRPr="0092251E">
        <w:t>The ARC functions in accordance with section 17 of the PGPA Rule</w:t>
      </w:r>
      <w:r>
        <w:t>. T</w:t>
      </w:r>
      <w:r w:rsidRPr="0092251E">
        <w:t xml:space="preserve">he </w:t>
      </w:r>
      <w:hyperlink r:id="rId37" w:history="1">
        <w:r w:rsidRPr="0047063C">
          <w:rPr>
            <w:rStyle w:val="Hyperlink"/>
            <w:rFonts w:ascii="Arial" w:hAnsi="Arial"/>
          </w:rPr>
          <w:t>Committee Charter</w:t>
        </w:r>
      </w:hyperlink>
      <w:r>
        <w:rPr>
          <w:rStyle w:val="FootnoteReference"/>
        </w:rPr>
        <w:footnoteReference w:id="5"/>
      </w:r>
      <w:r w:rsidRPr="0092251E">
        <w:t xml:space="preserve"> details its purpose and responsibilities.</w:t>
      </w:r>
      <w:commentRangeEnd w:id="24"/>
      <w:r>
        <w:rPr>
          <w:rStyle w:val="CommentReference"/>
        </w:rPr>
        <w:commentReference w:id="24"/>
      </w:r>
    </w:p>
    <w:p w14:paraId="491DDD90" w14:textId="77777777" w:rsidR="00961D9D" w:rsidRPr="0092251E" w:rsidRDefault="00961D9D" w:rsidP="00961D9D">
      <w:pPr>
        <w:pStyle w:val="BodyText1"/>
      </w:pPr>
      <w:r w:rsidRPr="0092251E">
        <w:t>The ARC is composed of five members: the Chief Operating Officer (COO), two Deputy Chief Executives, and two additional members with relevant expertise. These members provide a balance of perspectives to ensure robust governance practices.</w:t>
      </w:r>
    </w:p>
    <w:p w14:paraId="19C9B415" w14:textId="680CF92B" w:rsidR="00961D9D" w:rsidRPr="0092251E" w:rsidRDefault="00961D9D" w:rsidP="00961D9D">
      <w:pPr>
        <w:pStyle w:val="BodyText1"/>
      </w:pPr>
      <w:r w:rsidRPr="0092251E">
        <w:t>The ARC supports the CEO by reviewing and providing advice on key areas such as</w:t>
      </w:r>
      <w:r w:rsidR="00FA63B6">
        <w:t xml:space="preserve"> financial reporting, performance reporting, risk management and internal controls and systems.</w:t>
      </w:r>
    </w:p>
    <w:p w14:paraId="2ABC70F3" w14:textId="77777777" w:rsidR="00961D9D" w:rsidRPr="0092251E" w:rsidRDefault="00961D9D" w:rsidP="00961D9D">
      <w:pPr>
        <w:pStyle w:val="BodyText1"/>
        <w:rPr>
          <w:highlight w:val="yellow"/>
        </w:rPr>
      </w:pPr>
      <w:r w:rsidRPr="0092251E">
        <w:t>Additionally, the ARC ensures that the agency’s risk management processes are aligned with the Commonwealth Risk Management Policy and the PGPA Act, establishing a cohesive and consistent approach to identifying and managing risks.</w:t>
      </w:r>
    </w:p>
    <w:p w14:paraId="1A45D4B9" w14:textId="77777777" w:rsidR="00961D9D" w:rsidRDefault="00961D9D" w:rsidP="00373811">
      <w:pPr>
        <w:pStyle w:val="Heading5"/>
      </w:pPr>
      <w:r>
        <w:t>Climate Risk Sub-committee</w:t>
      </w:r>
    </w:p>
    <w:p w14:paraId="03FE8AC3" w14:textId="77777777" w:rsidR="00961D9D" w:rsidRPr="002B1CCD" w:rsidRDefault="00961D9D" w:rsidP="00961D9D">
      <w:pPr>
        <w:pStyle w:val="BodyText1"/>
      </w:pPr>
      <w:r>
        <w:t>The ARC is supported by the newly established Climate Risk Sub-committee (CRSC). The purpose of the CRSC is to support the ARC by delivering an organisation-wide climate risk and opportunity assessment and provide advice on how the assessment results can be embedded within the agency’s approach to risk management.</w:t>
      </w:r>
    </w:p>
    <w:p w14:paraId="571E0E3D" w14:textId="77777777" w:rsidR="00961D9D" w:rsidRDefault="00961D9D" w:rsidP="00690EA3">
      <w:pPr>
        <w:pStyle w:val="Heading2example"/>
      </w:pPr>
      <w:r>
        <w:t>Enterprise Risk Management</w:t>
      </w:r>
    </w:p>
    <w:p w14:paraId="37152B3A" w14:textId="77777777" w:rsidR="00961D9D" w:rsidRDefault="00961D9D" w:rsidP="00961D9D">
      <w:pPr>
        <w:pStyle w:val="BodyText1"/>
      </w:pPr>
      <w:r w:rsidRPr="007D2704">
        <w:t xml:space="preserve">Effective risk management plays a key role in shaping the </w:t>
      </w:r>
      <w:r>
        <w:t>Resilient Infrastructure Agency’s</w:t>
      </w:r>
      <w:r w:rsidRPr="007D2704">
        <w:t xml:space="preserve"> strategic direction and successfully delivering on its purpose</w:t>
      </w:r>
      <w:r w:rsidRPr="005E75A6">
        <w:t xml:space="preserve"> of fostering sustainable development and infrastructure growth to enhance the nation’s economic and social well-being.</w:t>
      </w:r>
      <w:r>
        <w:t xml:space="preserve"> </w:t>
      </w:r>
      <w:commentRangeStart w:id="25"/>
      <w:r>
        <w:t>Our Risk Management Framework is prepared in accordance with the Commonwealth Risk Management Policy and the PGPA Act to establish a common approach to identifying and managing risk. The CEO, as the Accountable Authority, endorses this framework</w:t>
      </w:r>
      <w:commentRangeEnd w:id="25"/>
      <w:r>
        <w:rPr>
          <w:rStyle w:val="CommentReference"/>
        </w:rPr>
        <w:commentReference w:id="25"/>
      </w:r>
      <w:r>
        <w:t>.</w:t>
      </w:r>
    </w:p>
    <w:p w14:paraId="42282D95" w14:textId="77777777" w:rsidR="00961D9D" w:rsidRDefault="00961D9D" w:rsidP="00961D9D">
      <w:pPr>
        <w:pStyle w:val="BodyText1"/>
      </w:pPr>
      <w:commentRangeStart w:id="26"/>
      <w:r>
        <w:t>Deputy CEOs are accountable to the CEO and responsible for managing risks within the agency. All staff actively contribute to risk management within their area of responsibility to identify, assess, manage, monitor and report risks.</w:t>
      </w:r>
    </w:p>
    <w:p w14:paraId="1A697AFB" w14:textId="77777777" w:rsidR="00961D9D" w:rsidRDefault="00961D9D" w:rsidP="00961D9D">
      <w:pPr>
        <w:pStyle w:val="BodyText1"/>
      </w:pPr>
      <w:r>
        <w:t>The Executive Committee sets the direction for risk management and oversees how risks are managed. The Chief Risk Officer supports the CEO and proves strategy advice to the executive. Together they promote positive risk behaviours to drive the improvement of risk management across the agency, ensuring a positive risk management culture is embedded within the agency.</w:t>
      </w:r>
    </w:p>
    <w:p w14:paraId="5B9FBE75" w14:textId="77777777" w:rsidR="00961D9D" w:rsidRDefault="00961D9D" w:rsidP="00961D9D">
      <w:pPr>
        <w:pStyle w:val="BodyText1"/>
      </w:pPr>
      <w:r>
        <w:t>The Audit and Risk Committee provides independent advice to the CEO on the appropriateness of the agency’s systems of risk oversight and management.</w:t>
      </w:r>
    </w:p>
    <w:p w14:paraId="1A5A6F17" w14:textId="77777777" w:rsidR="00961D9D" w:rsidRDefault="00961D9D" w:rsidP="00961D9D">
      <w:pPr>
        <w:pStyle w:val="BodyText1"/>
      </w:pPr>
      <w:r>
        <w:t>During FY2023–24, we increased our risk management maturity by establishing a new Climate Risk Sub-committee to deliver on our first climate risk and opportunity assessment.</w:t>
      </w:r>
      <w:commentRangeEnd w:id="26"/>
      <w:r>
        <w:rPr>
          <w:rStyle w:val="CommentReference"/>
        </w:rPr>
        <w:commentReference w:id="26"/>
      </w:r>
    </w:p>
    <w:p w14:paraId="1A647E01" w14:textId="77777777" w:rsidR="00961D9D" w:rsidRDefault="00961D9D" w:rsidP="00961D9D">
      <w:pPr>
        <w:pStyle w:val="BodyText1"/>
      </w:pPr>
      <w:r>
        <w:t>Risks are identified, assessed, managed, monitored and reported in accordance with the framework. Our agency manages 10 enterprise risks across 7 risk categories. Enterprise risks are owned and managed by the executive and are defined as “risks with the greatest potential to affect the agency’s achievement of its mission and strategic objectives.”</w:t>
      </w:r>
    </w:p>
    <w:p w14:paraId="1C42AC21" w14:textId="77777777" w:rsidR="00961D9D" w:rsidRPr="00F80544" w:rsidRDefault="00961D9D" w:rsidP="00961D9D">
      <w:pPr>
        <w:pStyle w:val="Caption"/>
        <w:keepNext/>
        <w:rPr>
          <w:i w:val="0"/>
        </w:rPr>
      </w:pPr>
      <w:r w:rsidRPr="00F80544">
        <w:rPr>
          <w:i w:val="0"/>
        </w:rPr>
        <w:t xml:space="preserve">Table </w:t>
      </w:r>
      <w:r w:rsidRPr="00F80544">
        <w:rPr>
          <w:i w:val="0"/>
        </w:rPr>
        <w:fldChar w:fldCharType="begin"/>
      </w:r>
      <w:r>
        <w:instrText xml:space="preserve"> SEQ Table \* ARABIC </w:instrText>
      </w:r>
      <w:r w:rsidRPr="00F80544">
        <w:rPr>
          <w:i w:val="0"/>
        </w:rPr>
        <w:fldChar w:fldCharType="separate"/>
      </w:r>
      <w:r w:rsidRPr="00F80544">
        <w:rPr>
          <w:i w:val="0"/>
        </w:rPr>
        <w:t>1</w:t>
      </w:r>
      <w:r w:rsidRPr="00F80544">
        <w:rPr>
          <w:i w:val="0"/>
        </w:rPr>
        <w:fldChar w:fldCharType="end"/>
      </w:r>
      <w:r w:rsidRPr="00F80544">
        <w:rPr>
          <w:i w:val="0"/>
          <w:iCs w:val="0"/>
        </w:rPr>
        <w:t xml:space="preserve"> -</w:t>
      </w:r>
      <w:r w:rsidRPr="00F80544">
        <w:rPr>
          <w:i w:val="0"/>
        </w:rPr>
        <w:t xml:space="preserve"> Key Agency Risks</w:t>
      </w:r>
    </w:p>
    <w:tbl>
      <w:tblPr>
        <w:tblStyle w:val="GridTable7Colorful"/>
        <w:tblW w:w="0" w:type="auto"/>
        <w:tblLook w:val="04A0" w:firstRow="1" w:lastRow="0" w:firstColumn="1" w:lastColumn="0" w:noHBand="0" w:noVBand="1"/>
      </w:tblPr>
      <w:tblGrid>
        <w:gridCol w:w="1843"/>
        <w:gridCol w:w="7559"/>
      </w:tblGrid>
      <w:tr w:rsidR="00961D9D" w14:paraId="5F72B40D" w14:textId="77777777" w:rsidTr="00690E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44D23791" w14:textId="77777777" w:rsidR="00961D9D" w:rsidRPr="00C54E8D" w:rsidRDefault="00961D9D" w:rsidP="001E7E5D">
            <w:pPr>
              <w:pStyle w:val="Tablebodytext"/>
              <w:rPr>
                <w:color w:val="auto"/>
              </w:rPr>
            </w:pPr>
            <w:r w:rsidRPr="00C54E8D">
              <w:rPr>
                <w:color w:val="auto"/>
              </w:rPr>
              <w:t>Risk category</w:t>
            </w:r>
          </w:p>
        </w:tc>
        <w:tc>
          <w:tcPr>
            <w:tcW w:w="7559" w:type="dxa"/>
          </w:tcPr>
          <w:p w14:paraId="4FAA9DC0" w14:textId="77777777" w:rsidR="00961D9D" w:rsidRPr="00C54E8D" w:rsidRDefault="00961D9D" w:rsidP="001E7E5D">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C54E8D">
              <w:rPr>
                <w:color w:val="auto"/>
              </w:rPr>
              <w:t>Key risks</w:t>
            </w:r>
          </w:p>
        </w:tc>
      </w:tr>
      <w:tr w:rsidR="00961D9D" w14:paraId="48316D93"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E7246BD" w14:textId="77777777" w:rsidR="00961D9D" w:rsidRPr="00C54E8D" w:rsidRDefault="00961D9D" w:rsidP="001E7E5D">
            <w:pPr>
              <w:pStyle w:val="Tablebodytext"/>
              <w:rPr>
                <w:color w:val="auto"/>
              </w:rPr>
            </w:pPr>
            <w:r w:rsidRPr="00C54E8D">
              <w:rPr>
                <w:color w:val="auto"/>
              </w:rPr>
              <w:t>Health and safety</w:t>
            </w:r>
          </w:p>
        </w:tc>
        <w:tc>
          <w:tcPr>
            <w:tcW w:w="7559" w:type="dxa"/>
          </w:tcPr>
          <w:p w14:paraId="1110AFB5"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Staff wellbeing and safety</w:t>
            </w:r>
          </w:p>
        </w:tc>
      </w:tr>
      <w:tr w:rsidR="00961D9D" w14:paraId="20DA06A0" w14:textId="77777777" w:rsidTr="00690EA3">
        <w:tc>
          <w:tcPr>
            <w:cnfStyle w:val="001000000000" w:firstRow="0" w:lastRow="0" w:firstColumn="1" w:lastColumn="0" w:oddVBand="0" w:evenVBand="0" w:oddHBand="0" w:evenHBand="0" w:firstRowFirstColumn="0" w:firstRowLastColumn="0" w:lastRowFirstColumn="0" w:lastRowLastColumn="0"/>
            <w:tcW w:w="1843" w:type="dxa"/>
          </w:tcPr>
          <w:p w14:paraId="2B456A6F" w14:textId="77777777" w:rsidR="00961D9D" w:rsidRPr="00C54E8D" w:rsidRDefault="00961D9D" w:rsidP="001E7E5D">
            <w:pPr>
              <w:pStyle w:val="Tablebodytext"/>
              <w:rPr>
                <w:color w:val="auto"/>
              </w:rPr>
            </w:pPr>
            <w:r w:rsidRPr="00C54E8D">
              <w:rPr>
                <w:color w:val="auto"/>
              </w:rPr>
              <w:t>Security</w:t>
            </w:r>
          </w:p>
        </w:tc>
        <w:tc>
          <w:tcPr>
            <w:tcW w:w="7559" w:type="dxa"/>
          </w:tcPr>
          <w:p w14:paraId="2110E97C"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Physical security risk; Cyber security risk</w:t>
            </w:r>
          </w:p>
        </w:tc>
      </w:tr>
      <w:tr w:rsidR="00961D9D" w14:paraId="1A4E8326"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73CF406" w14:textId="77777777" w:rsidR="00961D9D" w:rsidRPr="00C54E8D" w:rsidRDefault="00961D9D" w:rsidP="001E7E5D">
            <w:pPr>
              <w:pStyle w:val="Tablebodytext"/>
              <w:rPr>
                <w:color w:val="auto"/>
              </w:rPr>
            </w:pPr>
            <w:r w:rsidRPr="00C54E8D">
              <w:rPr>
                <w:color w:val="auto"/>
              </w:rPr>
              <w:t>Reputation</w:t>
            </w:r>
          </w:p>
        </w:tc>
        <w:tc>
          <w:tcPr>
            <w:tcW w:w="7559" w:type="dxa"/>
          </w:tcPr>
          <w:p w14:paraId="286A8A75"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Reputational damage risk; Fraud</w:t>
            </w:r>
          </w:p>
        </w:tc>
      </w:tr>
      <w:tr w:rsidR="00961D9D" w14:paraId="30DD8E13" w14:textId="77777777" w:rsidTr="00690EA3">
        <w:tc>
          <w:tcPr>
            <w:cnfStyle w:val="001000000000" w:firstRow="0" w:lastRow="0" w:firstColumn="1" w:lastColumn="0" w:oddVBand="0" w:evenVBand="0" w:oddHBand="0" w:evenHBand="0" w:firstRowFirstColumn="0" w:firstRowLastColumn="0" w:lastRowFirstColumn="0" w:lastRowLastColumn="0"/>
            <w:tcW w:w="1843" w:type="dxa"/>
          </w:tcPr>
          <w:p w14:paraId="5109F7B6" w14:textId="77777777" w:rsidR="00961D9D" w:rsidRPr="00C54E8D" w:rsidRDefault="00961D9D" w:rsidP="001E7E5D">
            <w:pPr>
              <w:pStyle w:val="Tablebodytext"/>
              <w:rPr>
                <w:color w:val="auto"/>
              </w:rPr>
            </w:pPr>
            <w:r w:rsidRPr="00C54E8D">
              <w:rPr>
                <w:color w:val="auto"/>
              </w:rPr>
              <w:t>Project delivery</w:t>
            </w:r>
          </w:p>
        </w:tc>
        <w:tc>
          <w:tcPr>
            <w:tcW w:w="7559" w:type="dxa"/>
          </w:tcPr>
          <w:p w14:paraId="0670CFB9"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Project delivery cost; Timeframes to deliver projects</w:t>
            </w:r>
          </w:p>
        </w:tc>
      </w:tr>
      <w:tr w:rsidR="00961D9D" w14:paraId="3971725E"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A04CA3" w14:textId="77777777" w:rsidR="00961D9D" w:rsidRPr="00C54E8D" w:rsidRDefault="00961D9D" w:rsidP="001E7E5D">
            <w:pPr>
              <w:pStyle w:val="Tablebodytext"/>
              <w:rPr>
                <w:color w:val="auto"/>
              </w:rPr>
            </w:pPr>
            <w:r w:rsidRPr="00C54E8D">
              <w:rPr>
                <w:color w:val="auto"/>
              </w:rPr>
              <w:t>Workforce</w:t>
            </w:r>
          </w:p>
        </w:tc>
        <w:tc>
          <w:tcPr>
            <w:tcW w:w="7559" w:type="dxa"/>
          </w:tcPr>
          <w:p w14:paraId="26A8EBF9"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Workforce attraction and retention</w:t>
            </w:r>
          </w:p>
        </w:tc>
      </w:tr>
      <w:tr w:rsidR="00961D9D" w14:paraId="37818AD5" w14:textId="77777777" w:rsidTr="00690EA3">
        <w:tc>
          <w:tcPr>
            <w:cnfStyle w:val="001000000000" w:firstRow="0" w:lastRow="0" w:firstColumn="1" w:lastColumn="0" w:oddVBand="0" w:evenVBand="0" w:oddHBand="0" w:evenHBand="0" w:firstRowFirstColumn="0" w:firstRowLastColumn="0" w:lastRowFirstColumn="0" w:lastRowLastColumn="0"/>
            <w:tcW w:w="1843" w:type="dxa"/>
          </w:tcPr>
          <w:p w14:paraId="503D61DB" w14:textId="77777777" w:rsidR="00961D9D" w:rsidRPr="00C54E8D" w:rsidRDefault="00961D9D" w:rsidP="001E7E5D">
            <w:pPr>
              <w:pStyle w:val="Tablebodytext"/>
              <w:rPr>
                <w:color w:val="auto"/>
              </w:rPr>
            </w:pPr>
            <w:r w:rsidRPr="00C54E8D">
              <w:rPr>
                <w:color w:val="auto"/>
              </w:rPr>
              <w:t>Community engagement</w:t>
            </w:r>
          </w:p>
        </w:tc>
        <w:tc>
          <w:tcPr>
            <w:tcW w:w="7559" w:type="dxa"/>
          </w:tcPr>
          <w:p w14:paraId="5DDFE300"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 xml:space="preserve">Community engagement and </w:t>
            </w:r>
          </w:p>
          <w:p w14:paraId="71146C09" w14:textId="77777777" w:rsidR="00961D9D" w:rsidRPr="00C54E8D" w:rsidRDefault="00961D9D" w:rsidP="001E7E5D">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Community satisfaction</w:t>
            </w:r>
          </w:p>
        </w:tc>
      </w:tr>
      <w:tr w:rsidR="00961D9D" w14:paraId="21289C10" w14:textId="77777777" w:rsidTr="0069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FB7E711" w14:textId="77777777" w:rsidR="00961D9D" w:rsidRPr="00C54E8D" w:rsidRDefault="00961D9D" w:rsidP="001E7E5D">
            <w:pPr>
              <w:pStyle w:val="Tablebodytext"/>
              <w:rPr>
                <w:color w:val="auto"/>
              </w:rPr>
            </w:pPr>
            <w:r w:rsidRPr="00C54E8D">
              <w:rPr>
                <w:color w:val="auto"/>
              </w:rPr>
              <w:t>Assets</w:t>
            </w:r>
          </w:p>
        </w:tc>
        <w:tc>
          <w:tcPr>
            <w:tcW w:w="7559" w:type="dxa"/>
          </w:tcPr>
          <w:p w14:paraId="4D286146" w14:textId="77777777" w:rsidR="00961D9D" w:rsidRPr="00C54E8D" w:rsidRDefault="00961D9D" w:rsidP="001E7E5D">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Resilience and maintenance</w:t>
            </w:r>
          </w:p>
        </w:tc>
      </w:tr>
    </w:tbl>
    <w:p w14:paraId="2DF7DF4A" w14:textId="77777777" w:rsidR="00961D9D" w:rsidRDefault="00961D9D" w:rsidP="00961D9D">
      <w:pPr>
        <w:pStyle w:val="BodyText1"/>
      </w:pPr>
      <w:commentRangeStart w:id="27"/>
      <w:r w:rsidRPr="007551E6">
        <w:t>Oversight of the agency’s risks, associated controls and treatment strategies is managed through quarterly reporting to the Executive and the Audit and Risk Committee.</w:t>
      </w:r>
      <w:commentRangeEnd w:id="27"/>
      <w:r>
        <w:rPr>
          <w:rStyle w:val="CommentReference"/>
        </w:rPr>
        <w:commentReference w:id="27"/>
      </w:r>
    </w:p>
    <w:p w14:paraId="6E986559" w14:textId="77777777" w:rsidR="00690EA3" w:rsidRDefault="00690EA3" w:rsidP="00961D9D">
      <w:pPr>
        <w:pStyle w:val="BodyText1"/>
      </w:pPr>
    </w:p>
    <w:p w14:paraId="0E8C91A8" w14:textId="77777777" w:rsidR="00690EA3" w:rsidRDefault="00690EA3" w:rsidP="00961D9D">
      <w:pPr>
        <w:pStyle w:val="BodyText1"/>
      </w:pPr>
    </w:p>
    <w:p w14:paraId="7429CAD6" w14:textId="77777777" w:rsidR="00690EA3" w:rsidRDefault="00690EA3" w:rsidP="00961D9D">
      <w:pPr>
        <w:pStyle w:val="BodyText1"/>
      </w:pPr>
    </w:p>
    <w:p w14:paraId="64BD393A" w14:textId="77777777" w:rsidR="00690EA3" w:rsidRDefault="00690EA3" w:rsidP="00961D9D">
      <w:pPr>
        <w:pStyle w:val="BodyText1"/>
      </w:pPr>
    </w:p>
    <w:p w14:paraId="011CA1A4" w14:textId="77777777" w:rsidR="00690EA3" w:rsidRDefault="00690EA3" w:rsidP="00961D9D">
      <w:pPr>
        <w:pStyle w:val="BodyText1"/>
      </w:pPr>
    </w:p>
    <w:p w14:paraId="489B4626" w14:textId="77777777" w:rsidR="00690EA3" w:rsidRDefault="00690EA3" w:rsidP="00961D9D">
      <w:pPr>
        <w:pStyle w:val="BodyText1"/>
      </w:pPr>
    </w:p>
    <w:p w14:paraId="1AC579E3" w14:textId="77777777" w:rsidR="00690EA3" w:rsidRPr="007551E6" w:rsidRDefault="00690EA3" w:rsidP="00961D9D">
      <w:pPr>
        <w:pStyle w:val="BodyText1"/>
      </w:pPr>
    </w:p>
    <w:p w14:paraId="5A949C67" w14:textId="77777777" w:rsidR="00961D9D" w:rsidRDefault="00961D9D" w:rsidP="00961D9D">
      <w:pPr>
        <w:pStyle w:val="Heading2"/>
      </w:pPr>
      <w:bookmarkStart w:id="28" w:name="_Ref178337998"/>
      <w:r>
        <w:t>Document control</w:t>
      </w:r>
      <w:bookmarkEnd w:id="28"/>
    </w:p>
    <w:tbl>
      <w:tblPr>
        <w:tblStyle w:val="GridTable1Light-Accent2"/>
        <w:tblW w:w="5000" w:type="pct"/>
        <w:tblLook w:val="04A0" w:firstRow="1" w:lastRow="0" w:firstColumn="1" w:lastColumn="0" w:noHBand="0" w:noVBand="1"/>
      </w:tblPr>
      <w:tblGrid>
        <w:gridCol w:w="1837"/>
        <w:gridCol w:w="1986"/>
        <w:gridCol w:w="5579"/>
      </w:tblGrid>
      <w:tr w:rsidR="00961D9D" w:rsidRPr="00C34F17" w14:paraId="55B0E6FF" w14:textId="77777777" w:rsidTr="00373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1241133B" w14:textId="77777777" w:rsidR="00961D9D" w:rsidRPr="00C34F17" w:rsidRDefault="00961D9D" w:rsidP="001E7E5D">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1056" w:type="pct"/>
          </w:tcPr>
          <w:p w14:paraId="658B82EB" w14:textId="77777777" w:rsidR="00961D9D" w:rsidRPr="00C34F17" w:rsidRDefault="00961D9D" w:rsidP="001E7E5D">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2967" w:type="pct"/>
          </w:tcPr>
          <w:p w14:paraId="342A4BF6" w14:textId="77777777" w:rsidR="00961D9D" w:rsidRPr="00C34F17" w:rsidRDefault="00961D9D" w:rsidP="001E7E5D">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961D9D" w:rsidRPr="00C34F17" w14:paraId="60779ACD" w14:textId="77777777" w:rsidTr="00373811">
        <w:tc>
          <w:tcPr>
            <w:cnfStyle w:val="001000000000" w:firstRow="0" w:lastRow="0" w:firstColumn="1" w:lastColumn="0" w:oddVBand="0" w:evenVBand="0" w:oddHBand="0" w:evenHBand="0" w:firstRowFirstColumn="0" w:firstRowLastColumn="0" w:lastRowFirstColumn="0" w:lastRowLastColumn="0"/>
            <w:tcW w:w="977" w:type="pct"/>
          </w:tcPr>
          <w:p w14:paraId="7E9A9B2D" w14:textId="77777777" w:rsidR="00961D9D" w:rsidRPr="00B07E26" w:rsidRDefault="00961D9D" w:rsidP="001E7E5D">
            <w:pPr>
              <w:spacing w:before="60" w:after="60"/>
              <w:rPr>
                <w:rFonts w:asciiTheme="minorHAnsi" w:hAnsiTheme="minorHAnsi"/>
                <w:b w:val="0"/>
                <w:bCs w:val="0"/>
                <w:color w:val="000000" w:themeColor="text1"/>
                <w:szCs w:val="24"/>
              </w:rPr>
            </w:pPr>
            <w:r w:rsidRPr="00B07E26">
              <w:rPr>
                <w:rFonts w:asciiTheme="minorHAnsi" w:hAnsiTheme="minorHAnsi"/>
                <w:b w:val="0"/>
                <w:bCs w:val="0"/>
                <w:color w:val="000000" w:themeColor="text1"/>
                <w:szCs w:val="24"/>
              </w:rPr>
              <w:t>1</w:t>
            </w:r>
          </w:p>
        </w:tc>
        <w:tc>
          <w:tcPr>
            <w:tcW w:w="1056" w:type="pct"/>
          </w:tcPr>
          <w:p w14:paraId="0C4005B0" w14:textId="07E34DAC" w:rsidR="00961D9D" w:rsidRDefault="00AE7849" w:rsidP="001E7E5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31</w:t>
            </w:r>
            <w:r w:rsidR="00961D9D">
              <w:rPr>
                <w:rFonts w:asciiTheme="minorHAnsi" w:hAnsiTheme="minorHAnsi"/>
                <w:color w:val="000000" w:themeColor="text1"/>
                <w:szCs w:val="24"/>
              </w:rPr>
              <w:t>/</w:t>
            </w:r>
            <w:r>
              <w:rPr>
                <w:rFonts w:asciiTheme="minorHAnsi" w:hAnsiTheme="minorHAnsi"/>
                <w:color w:val="000000" w:themeColor="text1"/>
                <w:szCs w:val="24"/>
              </w:rPr>
              <w:t>01</w:t>
            </w:r>
            <w:r w:rsidR="00961D9D">
              <w:rPr>
                <w:rFonts w:asciiTheme="minorHAnsi" w:hAnsiTheme="minorHAnsi"/>
                <w:color w:val="000000" w:themeColor="text1"/>
                <w:szCs w:val="24"/>
              </w:rPr>
              <w:t>/202</w:t>
            </w:r>
            <w:r>
              <w:rPr>
                <w:rFonts w:asciiTheme="minorHAnsi" w:hAnsiTheme="minorHAnsi"/>
                <w:color w:val="000000" w:themeColor="text1"/>
                <w:szCs w:val="24"/>
              </w:rPr>
              <w:t>5</w:t>
            </w:r>
          </w:p>
        </w:tc>
        <w:tc>
          <w:tcPr>
            <w:tcW w:w="2967" w:type="pct"/>
          </w:tcPr>
          <w:p w14:paraId="0F26D9A0" w14:textId="77777777" w:rsidR="00961D9D" w:rsidRDefault="00961D9D" w:rsidP="001E7E5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093AE5C0" w14:textId="77777777" w:rsidR="006A0540" w:rsidRDefault="006A0540" w:rsidP="000C4D03">
      <w:pPr>
        <w:pStyle w:val="BodyText1"/>
      </w:pPr>
    </w:p>
    <w:p w14:paraId="3911A639" w14:textId="77777777" w:rsidR="006A0540" w:rsidRPr="006A0540" w:rsidRDefault="006A0540" w:rsidP="000C4D03">
      <w:pPr>
        <w:pStyle w:val="BodyText1"/>
      </w:pPr>
    </w:p>
    <w:sectPr w:rsidR="006A0540" w:rsidRPr="006A0540" w:rsidSect="001146A7">
      <w:footerReference w:type="default" r:id="rId38"/>
      <w:headerReference w:type="first" r:id="rId39"/>
      <w:footerReference w:type="first" r:id="rId40"/>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thor" w:initials="A">
    <w:p w14:paraId="3E999BC7" w14:textId="13AFB5E0" w:rsidR="00A34966" w:rsidRDefault="00A34966" w:rsidP="00A34966">
      <w:pPr>
        <w:pStyle w:val="CommentText"/>
      </w:pPr>
      <w:r>
        <w:rPr>
          <w:rStyle w:val="CommentReference"/>
        </w:rPr>
        <w:annotationRef/>
      </w:r>
      <w:r>
        <w:t>G1(a)</w:t>
      </w:r>
    </w:p>
  </w:comment>
  <w:comment w:id="4" w:author="Author" w:initials="A">
    <w:p w14:paraId="0218998B" w14:textId="77777777" w:rsidR="00A34966" w:rsidRDefault="00A34966" w:rsidP="00A34966">
      <w:pPr>
        <w:pStyle w:val="CommentText"/>
      </w:pPr>
      <w:r>
        <w:rPr>
          <w:rStyle w:val="CommentReference"/>
        </w:rPr>
        <w:annotationRef/>
      </w:r>
      <w:r>
        <w:t>G2(a) - CROMP Approach alignment</w:t>
      </w:r>
    </w:p>
  </w:comment>
  <w:comment w:id="5" w:author="Author" w:initials="A">
    <w:p w14:paraId="04C72D03" w14:textId="77777777" w:rsidR="00A34966" w:rsidRDefault="00A34966" w:rsidP="00A34966">
      <w:pPr>
        <w:pStyle w:val="CommentText"/>
      </w:pPr>
      <w:r>
        <w:rPr>
          <w:rStyle w:val="CommentReference"/>
        </w:rPr>
        <w:annotationRef/>
      </w:r>
      <w:r>
        <w:t>G1(b) - included in cross-referenced annual report Section 3.</w:t>
      </w:r>
    </w:p>
    <w:p w14:paraId="68167274" w14:textId="77777777" w:rsidR="00A34966" w:rsidRDefault="00A34966" w:rsidP="00A34966">
      <w:pPr>
        <w:pStyle w:val="CommentText"/>
      </w:pPr>
    </w:p>
    <w:p w14:paraId="4031BCF9" w14:textId="77777777" w:rsidR="00A34966" w:rsidRDefault="00A34966" w:rsidP="00A34966">
      <w:pPr>
        <w:pStyle w:val="CommentText"/>
      </w:pPr>
      <w:r>
        <w:t>Page numbers deliberately noted as X.</w:t>
      </w:r>
    </w:p>
  </w:comment>
  <w:comment w:id="6" w:author="Author" w:initials="A">
    <w:p w14:paraId="4F2B7C24" w14:textId="77777777" w:rsidR="00A34966" w:rsidRDefault="00A34966" w:rsidP="00A34966">
      <w:pPr>
        <w:pStyle w:val="CommentText"/>
      </w:pPr>
      <w:r>
        <w:rPr>
          <w:rStyle w:val="CommentReference"/>
        </w:rPr>
        <w:annotationRef/>
      </w:r>
      <w:r>
        <w:t>G1(a)I - reflected in roles, related policies (Corporate Plan).</w:t>
      </w:r>
    </w:p>
    <w:p w14:paraId="52464931" w14:textId="77777777" w:rsidR="00A34966" w:rsidRDefault="00A34966" w:rsidP="00A34966">
      <w:pPr>
        <w:pStyle w:val="CommentText"/>
      </w:pPr>
      <w:r>
        <w:t>G2(b) - regard to NZ strategy.</w:t>
      </w:r>
    </w:p>
  </w:comment>
  <w:comment w:id="13" w:author="Author" w:initials="A">
    <w:p w14:paraId="075302CA" w14:textId="77777777" w:rsidR="007E6C21" w:rsidRDefault="007E6C21" w:rsidP="007E6C21">
      <w:pPr>
        <w:pStyle w:val="CommentText"/>
      </w:pPr>
      <w:r>
        <w:rPr>
          <w:rStyle w:val="CommentReference"/>
        </w:rPr>
        <w:annotationRef/>
      </w:r>
      <w:r>
        <w:t>G1(a) i: including para above on entity strategy (Corporate Plan and ERP).</w:t>
      </w:r>
    </w:p>
  </w:comment>
  <w:comment w:id="14" w:author="Author" w:initials="A">
    <w:p w14:paraId="169EC153" w14:textId="77777777" w:rsidR="007E6C21" w:rsidRDefault="007E6C21" w:rsidP="007E6C21">
      <w:pPr>
        <w:pStyle w:val="CommentText"/>
      </w:pPr>
      <w:r>
        <w:rPr>
          <w:rStyle w:val="CommentReference"/>
        </w:rPr>
        <w:annotationRef/>
      </w:r>
      <w:r>
        <w:t>G1(a)v - setting climate related-targets.</w:t>
      </w:r>
    </w:p>
  </w:comment>
  <w:comment w:id="15" w:author="Author" w:initials="A">
    <w:p w14:paraId="636B3AA2" w14:textId="77777777" w:rsidR="007E6C21" w:rsidRDefault="007E6C21" w:rsidP="007E6C21">
      <w:pPr>
        <w:pStyle w:val="CommentText"/>
      </w:pPr>
      <w:r>
        <w:rPr>
          <w:rStyle w:val="CommentReference"/>
        </w:rPr>
        <w:annotationRef/>
      </w:r>
      <w:r>
        <w:t>G2(a) - referencing CROMP</w:t>
      </w:r>
    </w:p>
  </w:comment>
  <w:comment w:id="16" w:author="Author" w:initials="A">
    <w:p w14:paraId="23B53C82" w14:textId="77777777" w:rsidR="007E6C21" w:rsidRDefault="007E6C21" w:rsidP="007E6C21">
      <w:pPr>
        <w:pStyle w:val="CommentText"/>
      </w:pPr>
      <w:r>
        <w:rPr>
          <w:rStyle w:val="CommentReference"/>
        </w:rPr>
        <w:annotationRef/>
      </w:r>
      <w:r>
        <w:t>G1(a)iv - consideration of climate risk in major transactions.</w:t>
      </w:r>
    </w:p>
  </w:comment>
  <w:comment w:id="17" w:author="Author" w:initials="A">
    <w:p w14:paraId="7ADF1107" w14:textId="5D1BEF0F" w:rsidR="007E6C21" w:rsidRDefault="007E6C21" w:rsidP="007E6C21">
      <w:pPr>
        <w:pStyle w:val="CommentText"/>
      </w:pPr>
      <w:r>
        <w:rPr>
          <w:rStyle w:val="CommentReference"/>
        </w:rPr>
        <w:annotationRef/>
      </w:r>
      <w:r>
        <w:t>G1(a)iii (quarterly A&amp;R Committee mtgs)</w:t>
      </w:r>
    </w:p>
  </w:comment>
  <w:comment w:id="19" w:author="Author" w:initials="A">
    <w:p w14:paraId="5A9D3686" w14:textId="77777777" w:rsidR="007E6C21" w:rsidRDefault="007E6C21" w:rsidP="007E6C21">
      <w:pPr>
        <w:pStyle w:val="CommentText"/>
      </w:pPr>
      <w:r>
        <w:rPr>
          <w:rStyle w:val="CommentReference"/>
        </w:rPr>
        <w:annotationRef/>
      </w:r>
      <w:r>
        <w:t>G1(a)ii- skills/capability</w:t>
      </w:r>
    </w:p>
  </w:comment>
  <w:comment w:id="21" w:author="Author" w:initials="A">
    <w:p w14:paraId="64A1A09C" w14:textId="06C275E3" w:rsidR="00961D9D" w:rsidRDefault="00961D9D" w:rsidP="00961D9D">
      <w:pPr>
        <w:pStyle w:val="CommentText"/>
      </w:pPr>
      <w:r>
        <w:rPr>
          <w:rStyle w:val="CommentReference"/>
        </w:rPr>
        <w:annotationRef/>
      </w:r>
      <w:r>
        <w:t>G1(b)</w:t>
      </w:r>
    </w:p>
  </w:comment>
  <w:comment w:id="22" w:author="Author" w:initials="A">
    <w:p w14:paraId="279B605B" w14:textId="2D0150C2" w:rsidR="00961D9D" w:rsidRDefault="00961D9D" w:rsidP="00961D9D">
      <w:pPr>
        <w:pStyle w:val="CommentText"/>
      </w:pPr>
      <w:r>
        <w:rPr>
          <w:rStyle w:val="CommentReference"/>
        </w:rPr>
        <w:annotationRef/>
      </w:r>
      <w:r>
        <w:t>G1(a)vi - deputised responsibility.</w:t>
      </w:r>
    </w:p>
    <w:p w14:paraId="0ECC5B2D" w14:textId="77777777" w:rsidR="00961D9D" w:rsidRDefault="00961D9D" w:rsidP="00961D9D">
      <w:pPr>
        <w:pStyle w:val="CommentText"/>
      </w:pPr>
    </w:p>
    <w:p w14:paraId="50D29833" w14:textId="77777777" w:rsidR="00961D9D" w:rsidRDefault="00961D9D" w:rsidP="00961D9D">
      <w:pPr>
        <w:pStyle w:val="CommentText"/>
      </w:pPr>
      <w:r>
        <w:t>Also addresses aspects of G1(b) - assignees oversight of processes.</w:t>
      </w:r>
    </w:p>
  </w:comment>
  <w:comment w:id="23" w:author="Author" w:initials="A">
    <w:p w14:paraId="3A25C7FA" w14:textId="77777777" w:rsidR="00961D9D" w:rsidRDefault="00961D9D" w:rsidP="00961D9D">
      <w:pPr>
        <w:pStyle w:val="CommentText"/>
      </w:pPr>
      <w:r>
        <w:rPr>
          <w:rStyle w:val="CommentReference"/>
        </w:rPr>
        <w:annotationRef/>
      </w:r>
      <w:r>
        <w:t>G1(a)i- roles set out in relevant legislation in regards to risk.</w:t>
      </w:r>
    </w:p>
  </w:comment>
  <w:comment w:id="24" w:author="Author" w:initials="A">
    <w:p w14:paraId="5675876D" w14:textId="77777777" w:rsidR="00961D9D" w:rsidRDefault="00961D9D" w:rsidP="00961D9D">
      <w:pPr>
        <w:pStyle w:val="CommentText"/>
      </w:pPr>
      <w:r>
        <w:rPr>
          <w:rStyle w:val="CommentReference"/>
        </w:rPr>
        <w:annotationRef/>
      </w:r>
      <w:r>
        <w:t>G1(a)i- where roles/responsibilities are set out.</w:t>
      </w:r>
    </w:p>
  </w:comment>
  <w:comment w:id="25" w:author="Author" w:initials="A">
    <w:p w14:paraId="75D956FB" w14:textId="77777777" w:rsidR="00961D9D" w:rsidRDefault="00961D9D" w:rsidP="00961D9D">
      <w:pPr>
        <w:pStyle w:val="CommentText"/>
      </w:pPr>
      <w:r>
        <w:rPr>
          <w:rStyle w:val="CommentReference"/>
        </w:rPr>
        <w:annotationRef/>
      </w:r>
      <w:r>
        <w:t>G2(b) - regard to Commonwealth Risk Management Policy.</w:t>
      </w:r>
    </w:p>
  </w:comment>
  <w:comment w:id="26" w:author="Author" w:initials="A">
    <w:p w14:paraId="2DEADB16" w14:textId="77777777" w:rsidR="00961D9D" w:rsidRDefault="00961D9D" w:rsidP="00961D9D">
      <w:pPr>
        <w:pStyle w:val="CommentText"/>
      </w:pPr>
      <w:r>
        <w:rPr>
          <w:rStyle w:val="CommentReference"/>
        </w:rPr>
        <w:annotationRef/>
      </w:r>
      <w:r>
        <w:t>G1(a)vi- deputised roles (assignees). Also reflected in Table 2 and Figure 2 within Appendix C - CCD.</w:t>
      </w:r>
    </w:p>
  </w:comment>
  <w:comment w:id="27" w:author="Author" w:initials="A">
    <w:p w14:paraId="25E3B73B" w14:textId="77777777" w:rsidR="00961D9D" w:rsidRDefault="00961D9D" w:rsidP="00961D9D">
      <w:pPr>
        <w:pStyle w:val="CommentText"/>
      </w:pPr>
      <w:r>
        <w:rPr>
          <w:rStyle w:val="CommentReference"/>
        </w:rPr>
        <w:annotationRef/>
      </w:r>
      <w:r>
        <w:t>G1(a)ii- How and how often AA is informed (through EC and ARC). This is also included in the Index (escalation of serious risks).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E999BC7" w15:done="0"/>
  <w15:commentEx w15:paraId="0218998B" w15:done="0"/>
  <w15:commentEx w15:paraId="4031BCF9" w15:done="0"/>
  <w15:commentEx w15:paraId="52464931" w15:done="0"/>
  <w15:commentEx w15:paraId="075302CA" w15:done="0"/>
  <w15:commentEx w15:paraId="169EC153" w15:done="0"/>
  <w15:commentEx w15:paraId="636B3AA2" w15:done="0"/>
  <w15:commentEx w15:paraId="23B53C82" w15:done="0"/>
  <w15:commentEx w15:paraId="7ADF1107" w15:done="0"/>
  <w15:commentEx w15:paraId="5A9D3686" w15:done="0"/>
  <w15:commentEx w15:paraId="64A1A09C" w15:done="0"/>
  <w15:commentEx w15:paraId="50D29833" w15:done="0"/>
  <w15:commentEx w15:paraId="3A25C7FA" w15:done="0"/>
  <w15:commentEx w15:paraId="5675876D" w15:done="0"/>
  <w15:commentEx w15:paraId="75D956FB" w15:done="0"/>
  <w15:commentEx w15:paraId="2DEADB16" w15:done="0"/>
  <w15:commentEx w15:paraId="25E3B7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E999BC7" w16cid:durableId="120876D0"/>
  <w16cid:commentId w16cid:paraId="0218998B" w16cid:durableId="49B5469D"/>
  <w16cid:commentId w16cid:paraId="4031BCF9" w16cid:durableId="30A104F8"/>
  <w16cid:commentId w16cid:paraId="52464931" w16cid:durableId="33781E9E"/>
  <w16cid:commentId w16cid:paraId="075302CA" w16cid:durableId="769E4061"/>
  <w16cid:commentId w16cid:paraId="169EC153" w16cid:durableId="543209C9"/>
  <w16cid:commentId w16cid:paraId="636B3AA2" w16cid:durableId="0316748B"/>
  <w16cid:commentId w16cid:paraId="23B53C82" w16cid:durableId="10309BCD"/>
  <w16cid:commentId w16cid:paraId="7ADF1107" w16cid:durableId="46A71184"/>
  <w16cid:commentId w16cid:paraId="5A9D3686" w16cid:durableId="09502BC2"/>
  <w16cid:commentId w16cid:paraId="64A1A09C" w16cid:durableId="2228706A"/>
  <w16cid:commentId w16cid:paraId="50D29833" w16cid:durableId="15186708"/>
  <w16cid:commentId w16cid:paraId="3A25C7FA" w16cid:durableId="4F387A6C"/>
  <w16cid:commentId w16cid:paraId="5675876D" w16cid:durableId="513541B0"/>
  <w16cid:commentId w16cid:paraId="75D956FB" w16cid:durableId="74933ECF"/>
  <w16cid:commentId w16cid:paraId="2DEADB16" w16cid:durableId="671F7E73"/>
  <w16cid:commentId w16cid:paraId="25E3B73B" w16cid:durableId="50EB0B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D984D" w14:textId="77777777" w:rsidR="00C825DE" w:rsidRDefault="00C825DE" w:rsidP="0030644C">
      <w:pPr>
        <w:spacing w:after="0"/>
      </w:pPr>
      <w:r>
        <w:separator/>
      </w:r>
    </w:p>
  </w:endnote>
  <w:endnote w:type="continuationSeparator" w:id="0">
    <w:p w14:paraId="00C5B707" w14:textId="77777777" w:rsidR="00C825DE" w:rsidRDefault="00C825DE" w:rsidP="0030644C">
      <w:pPr>
        <w:spacing w:after="0"/>
      </w:pPr>
      <w:r>
        <w:continuationSeparator/>
      </w:r>
    </w:p>
  </w:endnote>
  <w:endnote w:type="continuationNotice" w:id="1">
    <w:p w14:paraId="180627EC" w14:textId="77777777" w:rsidR="00C825DE" w:rsidRDefault="00C825D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292FCB42" w:rsidR="006A0540" w:rsidRPr="00864D66" w:rsidRDefault="006A0540"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Pr>
            <w:rStyle w:val="FooterChar"/>
          </w:rPr>
          <w:t>CLIMATE ACTION IN GOVERNMENT OPERATIONS</w:t>
        </w:r>
        <w:r w:rsidRPr="00864D66">
          <w:rPr>
            <w:rStyle w:val="FooterChar"/>
          </w:rPr>
          <w:t xml:space="preserve"> </w:t>
        </w:r>
        <w:r w:rsidR="00434888">
          <w:rPr>
            <w:rStyle w:val="FooterChar"/>
          </w:rPr>
          <w:t>–</w:t>
        </w:r>
        <w:r>
          <w:rPr>
            <w:rStyle w:val="FooterChar"/>
          </w:rPr>
          <w:t xml:space="preserve"> </w:t>
        </w:r>
        <w:r w:rsidR="00434888">
          <w:rPr>
            <w:rStyle w:val="FooterChar"/>
          </w:rPr>
          <w:t>Example Governance Disclosure – Large NCE</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2A2E018F" w:rsidR="002F0593" w:rsidRPr="00864D66" w:rsidRDefault="00966D24" w:rsidP="000C4D03">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2F0593">
          <w:rPr>
            <w:rStyle w:val="FooterChar"/>
          </w:rPr>
          <w:t>CLIMATE ACTION IN GOVERNMENT OPERATIONS</w:t>
        </w:r>
        <w:r w:rsidR="002F0593" w:rsidRPr="00864D66">
          <w:rPr>
            <w:rStyle w:val="FooterChar"/>
          </w:rPr>
          <w:t xml:space="preserve"> </w:t>
        </w:r>
        <w:r w:rsidR="003936E8">
          <w:rPr>
            <w:rStyle w:val="FooterChar"/>
          </w:rPr>
          <w:t>–</w:t>
        </w:r>
        <w:r w:rsidR="00022690">
          <w:rPr>
            <w:rStyle w:val="FooterChar"/>
          </w:rPr>
          <w:t xml:space="preserve"> </w:t>
        </w:r>
        <w:r w:rsidR="003936E8">
          <w:rPr>
            <w:rStyle w:val="FooterChar"/>
          </w:rPr>
          <w:t>Example Governance Disclosure</w:t>
        </w:r>
        <w:r w:rsidR="002F0593">
          <w:rPr>
            <w:rStyle w:val="FooterChar"/>
          </w:rPr>
          <w:t xml:space="preserve"> </w:t>
        </w:r>
        <w:r w:rsidR="00E94099">
          <w:rPr>
            <w:rStyle w:val="FooterChar"/>
          </w:rPr>
          <w:t>– Large NCE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E590A" w14:textId="77777777" w:rsidR="00C825DE" w:rsidRPr="00FA00FB" w:rsidRDefault="00C825DE" w:rsidP="000C4D03">
      <w:pPr>
        <w:pStyle w:val="Footer"/>
      </w:pPr>
    </w:p>
  </w:footnote>
  <w:footnote w:type="continuationSeparator" w:id="0">
    <w:p w14:paraId="3A8F9352" w14:textId="77777777" w:rsidR="00C825DE" w:rsidRDefault="00C825DE" w:rsidP="0030644C">
      <w:pPr>
        <w:spacing w:after="0"/>
      </w:pPr>
      <w:r>
        <w:continuationSeparator/>
      </w:r>
    </w:p>
  </w:footnote>
  <w:footnote w:type="continuationNotice" w:id="1">
    <w:p w14:paraId="53EE28DA" w14:textId="77777777" w:rsidR="00C825DE" w:rsidRDefault="00C825DE">
      <w:pPr>
        <w:spacing w:before="0" w:after="0"/>
      </w:pPr>
    </w:p>
  </w:footnote>
  <w:footnote w:id="2">
    <w:p w14:paraId="6D72CE04" w14:textId="77777777" w:rsidR="00A34966" w:rsidRDefault="00A34966" w:rsidP="00A34966">
      <w:pPr>
        <w:pStyle w:val="FootnoteText"/>
      </w:pPr>
      <w:r>
        <w:rPr>
          <w:rStyle w:val="FootnoteReference"/>
        </w:rPr>
        <w:footnoteRef/>
      </w:r>
      <w:r>
        <w:t xml:space="preserve"> As the RIA is fictional and does not have a Corporate Plan, the Department of Finance’s 2024-25 Corporate Plan has been used as an example on how to reference external public facing documents within a climate disclosure.</w:t>
      </w:r>
    </w:p>
  </w:footnote>
  <w:footnote w:id="3">
    <w:p w14:paraId="68565AE6" w14:textId="77777777" w:rsidR="00A34966" w:rsidRDefault="00A34966" w:rsidP="00A34966">
      <w:pPr>
        <w:pStyle w:val="FootnoteText"/>
      </w:pPr>
      <w:r>
        <w:rPr>
          <w:rStyle w:val="FootnoteReference"/>
        </w:rPr>
        <w:footnoteRef/>
      </w:r>
      <w:r>
        <w:t xml:space="preserve"> As the RIA is fictional and does not have an </w:t>
      </w:r>
      <w:hyperlink r:id="rId1" w:history="1">
        <w:r w:rsidRPr="00C54E8D">
          <w:rPr>
            <w:rStyle w:val="Hyperlink"/>
          </w:rPr>
          <w:t>Emissions Reduction Plan</w:t>
        </w:r>
      </w:hyperlink>
      <w:r>
        <w:t>, the Department of Infrastructure, Transport, Regional Development, Communications and the Arts has been used as an example on how to reference a publicly available Emissions Reduction Plan.</w:t>
      </w:r>
    </w:p>
  </w:footnote>
  <w:footnote w:id="4">
    <w:p w14:paraId="5C418B9E" w14:textId="77777777" w:rsidR="007E6C21" w:rsidRDefault="007E6C21" w:rsidP="007E6C21">
      <w:pPr>
        <w:pStyle w:val="FootnoteText"/>
      </w:pPr>
    </w:p>
  </w:footnote>
  <w:footnote w:id="5">
    <w:p w14:paraId="2BF91CEA" w14:textId="087B44FE" w:rsidR="00961D9D" w:rsidRDefault="00961D9D" w:rsidP="00961D9D">
      <w:pPr>
        <w:pStyle w:val="FootnoteText"/>
      </w:pPr>
      <w:r>
        <w:rPr>
          <w:rStyle w:val="FootnoteReference"/>
        </w:rPr>
        <w:footnoteRef/>
      </w:r>
      <w:r>
        <w:t xml:space="preserve"> As the RIA is </w:t>
      </w:r>
      <w:r w:rsidR="00A46404">
        <w:t xml:space="preserve">a </w:t>
      </w:r>
      <w:r>
        <w:t>fictional</w:t>
      </w:r>
      <w:r w:rsidR="00A46404">
        <w:t xml:space="preserve"> entity</w:t>
      </w:r>
      <w:r>
        <w:t xml:space="preserve">, </w:t>
      </w:r>
      <w:r w:rsidRPr="00872AC1">
        <w:t xml:space="preserve">the </w:t>
      </w:r>
      <w:hyperlink r:id="rId2" w:history="1">
        <w:r w:rsidRPr="00591037">
          <w:rPr>
            <w:rStyle w:val="Hyperlink"/>
          </w:rPr>
          <w:t>Audit and Risk Committee Charter</w:t>
        </w:r>
      </w:hyperlink>
      <w:r>
        <w:t xml:space="preserve"> published by Services Australia is included as an example on how to cross reference external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02018EC0" w:rsidR="001146A7" w:rsidRPr="004924F5" w:rsidRDefault="004924F5" w:rsidP="004924F5">
    <w:pPr>
      <w:pStyle w:val="Header"/>
      <w:pBdr>
        <w:bottom w:val="none" w:sz="0" w:space="0" w:color="auto"/>
      </w:pBdr>
      <w:rPr>
        <w:b/>
        <w:bCs/>
      </w:rPr>
    </w:pPr>
    <w:r w:rsidRPr="00EC445C">
      <w:rPr>
        <w:rFonts w:eastAsia="Arial" w:cs="Arial"/>
        <w:noProof/>
      </w:rPr>
      <w:drawing>
        <wp:anchor distT="0" distB="0" distL="114300" distR="114300" simplePos="0" relativeHeight="251658240" behindDoc="1" locked="0" layoutInCell="1" allowOverlap="1" wp14:anchorId="10CE1646" wp14:editId="1B89AF50">
          <wp:simplePos x="0" y="0"/>
          <wp:positionH relativeFrom="column">
            <wp:posOffset>-784860</wp:posOffset>
          </wp:positionH>
          <wp:positionV relativeFrom="page">
            <wp:posOffset>-10795</wp:posOffset>
          </wp:positionV>
          <wp:extent cx="7553960" cy="2355215"/>
          <wp:effectExtent l="0" t="0" r="8890" b="6985"/>
          <wp:wrapNone/>
          <wp:docPr id="1803511313" name="Picture 1"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11313" name="Picture 1" descr="A close up of a plant&#10;&#10;Description automatically generated"/>
                  <pic:cNvPicPr/>
                </pic:nvPicPr>
                <pic:blipFill rotWithShape="1">
                  <a:blip r:embed="rId1">
                    <a:extLst>
                      <a:ext uri="{28A0092B-C50C-407E-A947-70E740481C1C}">
                        <a14:useLocalDpi xmlns:a14="http://schemas.microsoft.com/office/drawing/2010/main" val="0"/>
                      </a:ext>
                    </a:extLst>
                  </a:blip>
                  <a:srcRect l="182" t="692" r="174" b="805"/>
                  <a:stretch/>
                </pic:blipFill>
                <pic:spPr bwMode="auto">
                  <a:xfrm>
                    <a:off x="0" y="0"/>
                    <a:ext cx="7553960" cy="235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FE071C"/>
    <w:multiLevelType w:val="hybridMultilevel"/>
    <w:tmpl w:val="DF16DA46"/>
    <w:lvl w:ilvl="0" w:tplc="707A9092">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16FC2A1F"/>
    <w:multiLevelType w:val="hybridMultilevel"/>
    <w:tmpl w:val="E224FB3E"/>
    <w:lvl w:ilvl="0" w:tplc="0162598E">
      <w:start w:val="1"/>
      <w:numFmt w:val="decimal"/>
      <w:lvlText w:val="%1."/>
      <w:lvlJc w:val="left"/>
      <w:pPr>
        <w:ind w:left="720" w:hanging="360"/>
      </w:pPr>
    </w:lvl>
    <w:lvl w:ilvl="1" w:tplc="3708B608">
      <w:start w:val="1"/>
      <w:numFmt w:val="lowerLetter"/>
      <w:lvlText w:val="%2."/>
      <w:lvlJc w:val="left"/>
      <w:pPr>
        <w:ind w:left="1440" w:hanging="360"/>
      </w:pPr>
    </w:lvl>
    <w:lvl w:ilvl="2" w:tplc="D402D11C">
      <w:start w:val="1"/>
      <w:numFmt w:val="lowerRoman"/>
      <w:lvlText w:val="%3."/>
      <w:lvlJc w:val="right"/>
      <w:pPr>
        <w:ind w:left="2160" w:hanging="180"/>
      </w:pPr>
    </w:lvl>
    <w:lvl w:ilvl="3" w:tplc="B2D04E6A">
      <w:start w:val="1"/>
      <w:numFmt w:val="decimal"/>
      <w:lvlText w:val="%4."/>
      <w:lvlJc w:val="left"/>
      <w:pPr>
        <w:ind w:left="2880" w:hanging="360"/>
      </w:pPr>
    </w:lvl>
    <w:lvl w:ilvl="4" w:tplc="BCCEA036">
      <w:start w:val="1"/>
      <w:numFmt w:val="lowerLetter"/>
      <w:lvlText w:val="%5."/>
      <w:lvlJc w:val="left"/>
      <w:pPr>
        <w:ind w:left="3600" w:hanging="360"/>
      </w:pPr>
    </w:lvl>
    <w:lvl w:ilvl="5" w:tplc="A3988F98">
      <w:start w:val="1"/>
      <w:numFmt w:val="lowerRoman"/>
      <w:lvlText w:val="%6."/>
      <w:lvlJc w:val="right"/>
      <w:pPr>
        <w:ind w:left="4320" w:hanging="180"/>
      </w:pPr>
    </w:lvl>
    <w:lvl w:ilvl="6" w:tplc="31365252">
      <w:start w:val="1"/>
      <w:numFmt w:val="decimal"/>
      <w:lvlText w:val="%7."/>
      <w:lvlJc w:val="left"/>
      <w:pPr>
        <w:ind w:left="5040" w:hanging="360"/>
      </w:pPr>
    </w:lvl>
    <w:lvl w:ilvl="7" w:tplc="830A766E">
      <w:start w:val="1"/>
      <w:numFmt w:val="lowerLetter"/>
      <w:lvlText w:val="%8."/>
      <w:lvlJc w:val="left"/>
      <w:pPr>
        <w:ind w:left="5760" w:hanging="360"/>
      </w:pPr>
    </w:lvl>
    <w:lvl w:ilvl="8" w:tplc="F16A2504">
      <w:start w:val="1"/>
      <w:numFmt w:val="lowerRoman"/>
      <w:lvlText w:val="%9."/>
      <w:lvlJc w:val="right"/>
      <w:pPr>
        <w:ind w:left="6480" w:hanging="180"/>
      </w:pPr>
    </w:lvl>
  </w:abstractNum>
  <w:abstractNum w:abstractNumId="15" w15:restartNumberingAfterBreak="0">
    <w:nsid w:val="2DEEECE4"/>
    <w:multiLevelType w:val="hybridMultilevel"/>
    <w:tmpl w:val="2844327C"/>
    <w:lvl w:ilvl="0" w:tplc="404E4CC6">
      <w:start w:val="1"/>
      <w:numFmt w:val="decimal"/>
      <w:lvlText w:val="%1."/>
      <w:lvlJc w:val="left"/>
      <w:pPr>
        <w:ind w:left="720" w:hanging="360"/>
      </w:pPr>
    </w:lvl>
    <w:lvl w:ilvl="1" w:tplc="B1D85D54">
      <w:start w:val="1"/>
      <w:numFmt w:val="lowerLetter"/>
      <w:lvlText w:val="%2."/>
      <w:lvlJc w:val="left"/>
      <w:pPr>
        <w:ind w:left="1440" w:hanging="360"/>
      </w:pPr>
    </w:lvl>
    <w:lvl w:ilvl="2" w:tplc="D14A927C">
      <w:start w:val="1"/>
      <w:numFmt w:val="lowerRoman"/>
      <w:lvlText w:val="%3."/>
      <w:lvlJc w:val="right"/>
      <w:pPr>
        <w:ind w:left="2160" w:hanging="180"/>
      </w:pPr>
    </w:lvl>
    <w:lvl w:ilvl="3" w:tplc="1F8A7322">
      <w:start w:val="1"/>
      <w:numFmt w:val="decimal"/>
      <w:lvlText w:val="%4."/>
      <w:lvlJc w:val="left"/>
      <w:pPr>
        <w:ind w:left="2880" w:hanging="360"/>
      </w:pPr>
    </w:lvl>
    <w:lvl w:ilvl="4" w:tplc="73A88FB6">
      <w:start w:val="1"/>
      <w:numFmt w:val="lowerLetter"/>
      <w:lvlText w:val="%5."/>
      <w:lvlJc w:val="left"/>
      <w:pPr>
        <w:ind w:left="3600" w:hanging="360"/>
      </w:pPr>
    </w:lvl>
    <w:lvl w:ilvl="5" w:tplc="D11E2026">
      <w:start w:val="1"/>
      <w:numFmt w:val="lowerRoman"/>
      <w:lvlText w:val="%6."/>
      <w:lvlJc w:val="right"/>
      <w:pPr>
        <w:ind w:left="4320" w:hanging="180"/>
      </w:pPr>
    </w:lvl>
    <w:lvl w:ilvl="6" w:tplc="DA94078A">
      <w:start w:val="1"/>
      <w:numFmt w:val="decimal"/>
      <w:lvlText w:val="%7."/>
      <w:lvlJc w:val="left"/>
      <w:pPr>
        <w:ind w:left="5040" w:hanging="360"/>
      </w:pPr>
    </w:lvl>
    <w:lvl w:ilvl="7" w:tplc="74DA6F2C">
      <w:start w:val="1"/>
      <w:numFmt w:val="lowerLetter"/>
      <w:lvlText w:val="%8."/>
      <w:lvlJc w:val="left"/>
      <w:pPr>
        <w:ind w:left="5760" w:hanging="360"/>
      </w:pPr>
    </w:lvl>
    <w:lvl w:ilvl="8" w:tplc="803E6CB0">
      <w:start w:val="1"/>
      <w:numFmt w:val="lowerRoman"/>
      <w:lvlText w:val="%9."/>
      <w:lvlJc w:val="right"/>
      <w:pPr>
        <w:ind w:left="6480" w:hanging="180"/>
      </w:pPr>
    </w:lvl>
  </w:abstractNum>
  <w:abstractNum w:abstractNumId="16"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9B09A2"/>
    <w:multiLevelType w:val="hybridMultilevel"/>
    <w:tmpl w:val="F2265E80"/>
    <w:lvl w:ilvl="0" w:tplc="DD020ECC">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18B67FC"/>
    <w:multiLevelType w:val="hybridMultilevel"/>
    <w:tmpl w:val="25D81BE8"/>
    <w:lvl w:ilvl="0" w:tplc="D7BAA728">
      <w:start w:val="1"/>
      <w:numFmt w:val="decimal"/>
      <w:lvlText w:val="%1."/>
      <w:lvlJc w:val="left"/>
      <w:pPr>
        <w:ind w:left="720" w:hanging="360"/>
      </w:pPr>
    </w:lvl>
    <w:lvl w:ilvl="1" w:tplc="2DE2BC76">
      <w:start w:val="1"/>
      <w:numFmt w:val="lowerLetter"/>
      <w:lvlText w:val="%2."/>
      <w:lvlJc w:val="left"/>
      <w:pPr>
        <w:ind w:left="1440" w:hanging="360"/>
      </w:pPr>
    </w:lvl>
    <w:lvl w:ilvl="2" w:tplc="6B5407DE">
      <w:start w:val="1"/>
      <w:numFmt w:val="lowerRoman"/>
      <w:lvlText w:val="%3."/>
      <w:lvlJc w:val="right"/>
      <w:pPr>
        <w:ind w:left="2160" w:hanging="180"/>
      </w:pPr>
    </w:lvl>
    <w:lvl w:ilvl="3" w:tplc="33FA7898">
      <w:start w:val="1"/>
      <w:numFmt w:val="decimal"/>
      <w:lvlText w:val="%4."/>
      <w:lvlJc w:val="left"/>
      <w:pPr>
        <w:ind w:left="2880" w:hanging="360"/>
      </w:pPr>
    </w:lvl>
    <w:lvl w:ilvl="4" w:tplc="FD2AD5FC">
      <w:start w:val="1"/>
      <w:numFmt w:val="lowerLetter"/>
      <w:lvlText w:val="%5."/>
      <w:lvlJc w:val="left"/>
      <w:pPr>
        <w:ind w:left="3600" w:hanging="360"/>
      </w:pPr>
    </w:lvl>
    <w:lvl w:ilvl="5" w:tplc="A8484F98">
      <w:start w:val="1"/>
      <w:numFmt w:val="lowerRoman"/>
      <w:lvlText w:val="%6."/>
      <w:lvlJc w:val="right"/>
      <w:pPr>
        <w:ind w:left="4320" w:hanging="180"/>
      </w:pPr>
    </w:lvl>
    <w:lvl w:ilvl="6" w:tplc="1382B0BE">
      <w:start w:val="1"/>
      <w:numFmt w:val="decimal"/>
      <w:lvlText w:val="%7."/>
      <w:lvlJc w:val="left"/>
      <w:pPr>
        <w:ind w:left="5040" w:hanging="360"/>
      </w:pPr>
    </w:lvl>
    <w:lvl w:ilvl="7" w:tplc="0E866A1A">
      <w:start w:val="1"/>
      <w:numFmt w:val="lowerLetter"/>
      <w:lvlText w:val="%8."/>
      <w:lvlJc w:val="left"/>
      <w:pPr>
        <w:ind w:left="5760" w:hanging="360"/>
      </w:pPr>
    </w:lvl>
    <w:lvl w:ilvl="8" w:tplc="DBC005AE">
      <w:start w:val="1"/>
      <w:numFmt w:val="lowerRoman"/>
      <w:lvlText w:val="%9."/>
      <w:lvlJc w:val="right"/>
      <w:pPr>
        <w:ind w:left="6480" w:hanging="180"/>
      </w:p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A0A12"/>
    <w:multiLevelType w:val="hybridMultilevel"/>
    <w:tmpl w:val="67F0EF30"/>
    <w:lvl w:ilvl="0" w:tplc="B3B6B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F21806"/>
    <w:multiLevelType w:val="hybridMultilevel"/>
    <w:tmpl w:val="A5A8A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C16494"/>
    <w:multiLevelType w:val="multilevel"/>
    <w:tmpl w:val="AB22A3EC"/>
    <w:lvl w:ilvl="0">
      <w:start w:val="5"/>
      <w:numFmt w:val="decimal"/>
      <w:lvlText w:val="%1"/>
      <w:lvlJc w:val="left"/>
      <w:pPr>
        <w:ind w:left="360" w:hanging="360"/>
      </w:pPr>
      <w:rPr>
        <w:rFonts w:cstheme="majorBidi" w:hint="default"/>
        <w:b w:val="0"/>
      </w:rPr>
    </w:lvl>
    <w:lvl w:ilvl="1">
      <w:start w:val="2"/>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28" w15:restartNumberingAfterBreak="0">
    <w:nsid w:val="4DA2081F"/>
    <w:multiLevelType w:val="hybridMultilevel"/>
    <w:tmpl w:val="998AB2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2"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3"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5" w15:restartNumberingAfterBreak="0">
    <w:nsid w:val="616708BF"/>
    <w:multiLevelType w:val="hybridMultilevel"/>
    <w:tmpl w:val="4698B090"/>
    <w:lvl w:ilvl="0" w:tplc="80ACA526">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8" w15:restartNumberingAfterBreak="0">
    <w:nsid w:val="6B5900C8"/>
    <w:multiLevelType w:val="multilevel"/>
    <w:tmpl w:val="E2C8B57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9" w15:restartNumberingAfterBreak="0">
    <w:nsid w:val="6B6140F0"/>
    <w:multiLevelType w:val="hybridMultilevel"/>
    <w:tmpl w:val="3A74F750"/>
    <w:lvl w:ilvl="0" w:tplc="32D819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2"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92884916">
    <w:abstractNumId w:val="14"/>
  </w:num>
  <w:num w:numId="2" w16cid:durableId="1609384768">
    <w:abstractNumId w:val="15"/>
  </w:num>
  <w:num w:numId="3" w16cid:durableId="2146265719">
    <w:abstractNumId w:val="20"/>
  </w:num>
  <w:num w:numId="4" w16cid:durableId="431555603">
    <w:abstractNumId w:val="42"/>
  </w:num>
  <w:num w:numId="5" w16cid:durableId="149910038">
    <w:abstractNumId w:val="10"/>
  </w:num>
  <w:num w:numId="6" w16cid:durableId="2142729045">
    <w:abstractNumId w:val="40"/>
  </w:num>
  <w:num w:numId="7" w16cid:durableId="2146464139">
    <w:abstractNumId w:val="22"/>
  </w:num>
  <w:num w:numId="8" w16cid:durableId="1306399879">
    <w:abstractNumId w:val="29"/>
  </w:num>
  <w:num w:numId="9" w16cid:durableId="829176984">
    <w:abstractNumId w:val="29"/>
  </w:num>
  <w:num w:numId="10" w16cid:durableId="353384724">
    <w:abstractNumId w:val="41"/>
  </w:num>
  <w:num w:numId="11" w16cid:durableId="1699162566">
    <w:abstractNumId w:val="31"/>
  </w:num>
  <w:num w:numId="12" w16cid:durableId="707224731">
    <w:abstractNumId w:val="21"/>
  </w:num>
  <w:num w:numId="13" w16cid:durableId="1368990630">
    <w:abstractNumId w:val="19"/>
  </w:num>
  <w:num w:numId="14" w16cid:durableId="148833218">
    <w:abstractNumId w:val="25"/>
  </w:num>
  <w:num w:numId="15" w16cid:durableId="1141078808">
    <w:abstractNumId w:val="30"/>
  </w:num>
  <w:num w:numId="16" w16cid:durableId="1574702078">
    <w:abstractNumId w:val="16"/>
  </w:num>
  <w:num w:numId="17" w16cid:durableId="505680124">
    <w:abstractNumId w:val="11"/>
  </w:num>
  <w:num w:numId="18" w16cid:durableId="1983801536">
    <w:abstractNumId w:val="32"/>
  </w:num>
  <w:num w:numId="19" w16cid:durableId="1066027682">
    <w:abstractNumId w:val="32"/>
    <w:lvlOverride w:ilvl="0">
      <w:startOverride w:val="1"/>
    </w:lvlOverride>
  </w:num>
  <w:num w:numId="20" w16cid:durableId="2002931022">
    <w:abstractNumId w:val="36"/>
  </w:num>
  <w:num w:numId="21" w16cid:durableId="16169080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2785466">
    <w:abstractNumId w:val="9"/>
  </w:num>
  <w:num w:numId="23" w16cid:durableId="442652481">
    <w:abstractNumId w:val="8"/>
  </w:num>
  <w:num w:numId="24" w16cid:durableId="106895382">
    <w:abstractNumId w:val="7"/>
  </w:num>
  <w:num w:numId="25" w16cid:durableId="915045431">
    <w:abstractNumId w:val="6"/>
  </w:num>
  <w:num w:numId="26" w16cid:durableId="850994638">
    <w:abstractNumId w:val="5"/>
  </w:num>
  <w:num w:numId="27" w16cid:durableId="1403674578">
    <w:abstractNumId w:val="4"/>
  </w:num>
  <w:num w:numId="28" w16cid:durableId="778572730">
    <w:abstractNumId w:val="3"/>
  </w:num>
  <w:num w:numId="29" w16cid:durableId="940604204">
    <w:abstractNumId w:val="2"/>
  </w:num>
  <w:num w:numId="30" w16cid:durableId="635837723">
    <w:abstractNumId w:val="1"/>
  </w:num>
  <w:num w:numId="31" w16cid:durableId="79451520">
    <w:abstractNumId w:val="0"/>
  </w:num>
  <w:num w:numId="32" w16cid:durableId="546645872">
    <w:abstractNumId w:val="13"/>
  </w:num>
  <w:num w:numId="33" w16cid:durableId="1404991699">
    <w:abstractNumId w:val="33"/>
  </w:num>
  <w:num w:numId="34" w16cid:durableId="1721322673">
    <w:abstractNumId w:val="18"/>
  </w:num>
  <w:num w:numId="35" w16cid:durableId="284196550">
    <w:abstractNumId w:val="38"/>
  </w:num>
  <w:num w:numId="36" w16cid:durableId="807631858">
    <w:abstractNumId w:val="34"/>
  </w:num>
  <w:num w:numId="37" w16cid:durableId="199242945">
    <w:abstractNumId w:val="27"/>
  </w:num>
  <w:num w:numId="38" w16cid:durableId="611742272">
    <w:abstractNumId w:val="28"/>
  </w:num>
  <w:num w:numId="39" w16cid:durableId="1919945058">
    <w:abstractNumId w:val="12"/>
  </w:num>
  <w:num w:numId="40" w16cid:durableId="1492405563">
    <w:abstractNumId w:val="39"/>
  </w:num>
  <w:num w:numId="41" w16cid:durableId="1659111045">
    <w:abstractNumId w:val="17"/>
  </w:num>
  <w:num w:numId="42" w16cid:durableId="860439761">
    <w:abstractNumId w:val="26"/>
  </w:num>
  <w:num w:numId="43" w16cid:durableId="240870478">
    <w:abstractNumId w:val="35"/>
  </w:num>
  <w:num w:numId="44" w16cid:durableId="1073357253">
    <w:abstractNumId w:val="23"/>
  </w:num>
  <w:num w:numId="45" w16cid:durableId="1424763064">
    <w:abstractNumId w:val="37"/>
  </w:num>
  <w:num w:numId="46" w16cid:durableId="461925351">
    <w:abstractNumId w:val="24"/>
  </w:num>
  <w:num w:numId="47" w16cid:durableId="1455249089">
    <w:abstractNumId w:val="43"/>
  </w:num>
  <w:num w:numId="48" w16cid:durableId="7730135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1993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movePersonalInformation/>
  <w:removeDateAndTime/>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235D"/>
    <w:rsid w:val="00011847"/>
    <w:rsid w:val="00012A50"/>
    <w:rsid w:val="00012AB6"/>
    <w:rsid w:val="00012C6B"/>
    <w:rsid w:val="0001336C"/>
    <w:rsid w:val="00017624"/>
    <w:rsid w:val="0002102A"/>
    <w:rsid w:val="00022690"/>
    <w:rsid w:val="00022D0E"/>
    <w:rsid w:val="000248B8"/>
    <w:rsid w:val="0002498D"/>
    <w:rsid w:val="00026AF9"/>
    <w:rsid w:val="000304B5"/>
    <w:rsid w:val="00030C4E"/>
    <w:rsid w:val="00032F4D"/>
    <w:rsid w:val="00035B54"/>
    <w:rsid w:val="000363C7"/>
    <w:rsid w:val="00036AA2"/>
    <w:rsid w:val="00036EF7"/>
    <w:rsid w:val="00037203"/>
    <w:rsid w:val="000435C9"/>
    <w:rsid w:val="00045772"/>
    <w:rsid w:val="000509E9"/>
    <w:rsid w:val="00051094"/>
    <w:rsid w:val="0005360B"/>
    <w:rsid w:val="0005610F"/>
    <w:rsid w:val="00056D71"/>
    <w:rsid w:val="0005713B"/>
    <w:rsid w:val="00057E95"/>
    <w:rsid w:val="00060071"/>
    <w:rsid w:val="0006173D"/>
    <w:rsid w:val="00073669"/>
    <w:rsid w:val="0007415B"/>
    <w:rsid w:val="000752DF"/>
    <w:rsid w:val="00076BED"/>
    <w:rsid w:val="0008146C"/>
    <w:rsid w:val="000917BE"/>
    <w:rsid w:val="00091CE0"/>
    <w:rsid w:val="00093F02"/>
    <w:rsid w:val="00094ADC"/>
    <w:rsid w:val="000969C3"/>
    <w:rsid w:val="000A2822"/>
    <w:rsid w:val="000A32D2"/>
    <w:rsid w:val="000A352B"/>
    <w:rsid w:val="000A4817"/>
    <w:rsid w:val="000A7EF4"/>
    <w:rsid w:val="000B085A"/>
    <w:rsid w:val="000B0BF9"/>
    <w:rsid w:val="000B0FBF"/>
    <w:rsid w:val="000B1693"/>
    <w:rsid w:val="000B16B1"/>
    <w:rsid w:val="000B3F9A"/>
    <w:rsid w:val="000B3F9B"/>
    <w:rsid w:val="000B445A"/>
    <w:rsid w:val="000B47FC"/>
    <w:rsid w:val="000C031C"/>
    <w:rsid w:val="000C1E4D"/>
    <w:rsid w:val="000C310E"/>
    <w:rsid w:val="000C40F9"/>
    <w:rsid w:val="000C4D03"/>
    <w:rsid w:val="000C5FEC"/>
    <w:rsid w:val="000C641B"/>
    <w:rsid w:val="000C6C44"/>
    <w:rsid w:val="000D0721"/>
    <w:rsid w:val="000D0758"/>
    <w:rsid w:val="000D4F6F"/>
    <w:rsid w:val="000E0414"/>
    <w:rsid w:val="000E1420"/>
    <w:rsid w:val="000F48F3"/>
    <w:rsid w:val="000F48F7"/>
    <w:rsid w:val="000F5042"/>
    <w:rsid w:val="000F5201"/>
    <w:rsid w:val="000F61AF"/>
    <w:rsid w:val="0010001E"/>
    <w:rsid w:val="001039C2"/>
    <w:rsid w:val="001050A8"/>
    <w:rsid w:val="00107BD5"/>
    <w:rsid w:val="0011050F"/>
    <w:rsid w:val="001146A7"/>
    <w:rsid w:val="00117C28"/>
    <w:rsid w:val="00120C50"/>
    <w:rsid w:val="00123DD0"/>
    <w:rsid w:val="00124404"/>
    <w:rsid w:val="0012680C"/>
    <w:rsid w:val="00126AC0"/>
    <w:rsid w:val="001273C0"/>
    <w:rsid w:val="0012767C"/>
    <w:rsid w:val="00127895"/>
    <w:rsid w:val="0013034F"/>
    <w:rsid w:val="0013318D"/>
    <w:rsid w:val="0013411A"/>
    <w:rsid w:val="00135044"/>
    <w:rsid w:val="00136782"/>
    <w:rsid w:val="00140C80"/>
    <w:rsid w:val="001415FC"/>
    <w:rsid w:val="00141B3A"/>
    <w:rsid w:val="00141D1C"/>
    <w:rsid w:val="00143296"/>
    <w:rsid w:val="0014494B"/>
    <w:rsid w:val="001455AB"/>
    <w:rsid w:val="00145692"/>
    <w:rsid w:val="001459B7"/>
    <w:rsid w:val="001526FF"/>
    <w:rsid w:val="00152EA0"/>
    <w:rsid w:val="0015329A"/>
    <w:rsid w:val="001533BF"/>
    <w:rsid w:val="00154FBC"/>
    <w:rsid w:val="001617A8"/>
    <w:rsid w:val="00162042"/>
    <w:rsid w:val="00162A14"/>
    <w:rsid w:val="00162CC7"/>
    <w:rsid w:val="0016472B"/>
    <w:rsid w:val="001662B8"/>
    <w:rsid w:val="0017586A"/>
    <w:rsid w:val="00176C9B"/>
    <w:rsid w:val="00177005"/>
    <w:rsid w:val="00180C55"/>
    <w:rsid w:val="00180F33"/>
    <w:rsid w:val="001814BA"/>
    <w:rsid w:val="00182C87"/>
    <w:rsid w:val="00183672"/>
    <w:rsid w:val="00191E53"/>
    <w:rsid w:val="00192FC8"/>
    <w:rsid w:val="00194B7E"/>
    <w:rsid w:val="001A1DF2"/>
    <w:rsid w:val="001A44DA"/>
    <w:rsid w:val="001A4C39"/>
    <w:rsid w:val="001A543D"/>
    <w:rsid w:val="001A59E1"/>
    <w:rsid w:val="001B1C66"/>
    <w:rsid w:val="001B39BF"/>
    <w:rsid w:val="001B68D4"/>
    <w:rsid w:val="001B71D2"/>
    <w:rsid w:val="001C2440"/>
    <w:rsid w:val="001C3A95"/>
    <w:rsid w:val="001C4A2A"/>
    <w:rsid w:val="001C6595"/>
    <w:rsid w:val="001D01E3"/>
    <w:rsid w:val="001D0CA0"/>
    <w:rsid w:val="001D162D"/>
    <w:rsid w:val="001D4A2B"/>
    <w:rsid w:val="001D617A"/>
    <w:rsid w:val="001D6962"/>
    <w:rsid w:val="001D7690"/>
    <w:rsid w:val="001D7988"/>
    <w:rsid w:val="001D7F50"/>
    <w:rsid w:val="001E01F4"/>
    <w:rsid w:val="001E0898"/>
    <w:rsid w:val="001E21B6"/>
    <w:rsid w:val="001E2489"/>
    <w:rsid w:val="001E4BA5"/>
    <w:rsid w:val="001E7E5D"/>
    <w:rsid w:val="001F08B0"/>
    <w:rsid w:val="001F2EDD"/>
    <w:rsid w:val="001F7233"/>
    <w:rsid w:val="00203409"/>
    <w:rsid w:val="0020345C"/>
    <w:rsid w:val="0020378A"/>
    <w:rsid w:val="00203872"/>
    <w:rsid w:val="00206A43"/>
    <w:rsid w:val="002071D1"/>
    <w:rsid w:val="00207C9F"/>
    <w:rsid w:val="00210184"/>
    <w:rsid w:val="002105CF"/>
    <w:rsid w:val="00210FD0"/>
    <w:rsid w:val="002118DA"/>
    <w:rsid w:val="00212EAD"/>
    <w:rsid w:val="00213960"/>
    <w:rsid w:val="00215342"/>
    <w:rsid w:val="002226C3"/>
    <w:rsid w:val="002239C1"/>
    <w:rsid w:val="00225247"/>
    <w:rsid w:val="002267BC"/>
    <w:rsid w:val="002267DC"/>
    <w:rsid w:val="002324C0"/>
    <w:rsid w:val="00232872"/>
    <w:rsid w:val="002329E3"/>
    <w:rsid w:val="00233446"/>
    <w:rsid w:val="0023376E"/>
    <w:rsid w:val="00233822"/>
    <w:rsid w:val="00233B71"/>
    <w:rsid w:val="00233D41"/>
    <w:rsid w:val="00235A56"/>
    <w:rsid w:val="00235E28"/>
    <w:rsid w:val="00236C6C"/>
    <w:rsid w:val="00236CB7"/>
    <w:rsid w:val="00236D4F"/>
    <w:rsid w:val="00240972"/>
    <w:rsid w:val="00242B50"/>
    <w:rsid w:val="00243366"/>
    <w:rsid w:val="00243F65"/>
    <w:rsid w:val="00245F23"/>
    <w:rsid w:val="002460B8"/>
    <w:rsid w:val="0024743A"/>
    <w:rsid w:val="00253997"/>
    <w:rsid w:val="00253F71"/>
    <w:rsid w:val="002542B7"/>
    <w:rsid w:val="00254B5E"/>
    <w:rsid w:val="00256EDD"/>
    <w:rsid w:val="00257563"/>
    <w:rsid w:val="00261EB5"/>
    <w:rsid w:val="00261ED0"/>
    <w:rsid w:val="00262D0B"/>
    <w:rsid w:val="00262F54"/>
    <w:rsid w:val="00262FD9"/>
    <w:rsid w:val="002636DF"/>
    <w:rsid w:val="0026424A"/>
    <w:rsid w:val="00270007"/>
    <w:rsid w:val="002710DA"/>
    <w:rsid w:val="00271D7B"/>
    <w:rsid w:val="00271EC3"/>
    <w:rsid w:val="00272B2E"/>
    <w:rsid w:val="002754F7"/>
    <w:rsid w:val="00275AF9"/>
    <w:rsid w:val="00276176"/>
    <w:rsid w:val="002768CE"/>
    <w:rsid w:val="00277C52"/>
    <w:rsid w:val="00284D25"/>
    <w:rsid w:val="00285D48"/>
    <w:rsid w:val="002861A5"/>
    <w:rsid w:val="0029001B"/>
    <w:rsid w:val="0029050A"/>
    <w:rsid w:val="00290B0B"/>
    <w:rsid w:val="00291164"/>
    <w:rsid w:val="002911DC"/>
    <w:rsid w:val="00291EE8"/>
    <w:rsid w:val="00293F69"/>
    <w:rsid w:val="00294CDE"/>
    <w:rsid w:val="002955A8"/>
    <w:rsid w:val="0029719C"/>
    <w:rsid w:val="002977E2"/>
    <w:rsid w:val="00297E1F"/>
    <w:rsid w:val="002A12C9"/>
    <w:rsid w:val="002A203F"/>
    <w:rsid w:val="002A3B9B"/>
    <w:rsid w:val="002A525C"/>
    <w:rsid w:val="002A5E1F"/>
    <w:rsid w:val="002A7650"/>
    <w:rsid w:val="002B0C3F"/>
    <w:rsid w:val="002B39E8"/>
    <w:rsid w:val="002B6374"/>
    <w:rsid w:val="002B6A23"/>
    <w:rsid w:val="002C4422"/>
    <w:rsid w:val="002C5A04"/>
    <w:rsid w:val="002C5D11"/>
    <w:rsid w:val="002C7057"/>
    <w:rsid w:val="002C7771"/>
    <w:rsid w:val="002D07D9"/>
    <w:rsid w:val="002D0F1F"/>
    <w:rsid w:val="002D1BB4"/>
    <w:rsid w:val="002D376F"/>
    <w:rsid w:val="002D436E"/>
    <w:rsid w:val="002D54DA"/>
    <w:rsid w:val="002D6145"/>
    <w:rsid w:val="002D758B"/>
    <w:rsid w:val="002D7CB1"/>
    <w:rsid w:val="002E00EE"/>
    <w:rsid w:val="002E2822"/>
    <w:rsid w:val="002E4342"/>
    <w:rsid w:val="002E5520"/>
    <w:rsid w:val="002E6661"/>
    <w:rsid w:val="002F0593"/>
    <w:rsid w:val="002F1A23"/>
    <w:rsid w:val="002F203B"/>
    <w:rsid w:val="002F3796"/>
    <w:rsid w:val="002F45CA"/>
    <w:rsid w:val="002F623A"/>
    <w:rsid w:val="002F6BD0"/>
    <w:rsid w:val="002F7F7B"/>
    <w:rsid w:val="00301FF0"/>
    <w:rsid w:val="00302312"/>
    <w:rsid w:val="003027D3"/>
    <w:rsid w:val="00303DA0"/>
    <w:rsid w:val="0030425E"/>
    <w:rsid w:val="003050E2"/>
    <w:rsid w:val="0030644C"/>
    <w:rsid w:val="003065B5"/>
    <w:rsid w:val="00306738"/>
    <w:rsid w:val="00307264"/>
    <w:rsid w:val="0031348F"/>
    <w:rsid w:val="00314D26"/>
    <w:rsid w:val="00315E0A"/>
    <w:rsid w:val="00320FDC"/>
    <w:rsid w:val="003325AE"/>
    <w:rsid w:val="00332A8D"/>
    <w:rsid w:val="00332EAD"/>
    <w:rsid w:val="00333F20"/>
    <w:rsid w:val="00334FCC"/>
    <w:rsid w:val="00340230"/>
    <w:rsid w:val="00340E2A"/>
    <w:rsid w:val="003410B5"/>
    <w:rsid w:val="00344D92"/>
    <w:rsid w:val="00346617"/>
    <w:rsid w:val="0035102F"/>
    <w:rsid w:val="0035132B"/>
    <w:rsid w:val="00351CE3"/>
    <w:rsid w:val="0035343B"/>
    <w:rsid w:val="00354D35"/>
    <w:rsid w:val="00356680"/>
    <w:rsid w:val="00356A4B"/>
    <w:rsid w:val="00356F3B"/>
    <w:rsid w:val="00360BFD"/>
    <w:rsid w:val="00361924"/>
    <w:rsid w:val="0037196E"/>
    <w:rsid w:val="00373811"/>
    <w:rsid w:val="00373C1B"/>
    <w:rsid w:val="00381552"/>
    <w:rsid w:val="003815BA"/>
    <w:rsid w:val="00381F7F"/>
    <w:rsid w:val="003838A6"/>
    <w:rsid w:val="00385127"/>
    <w:rsid w:val="00387659"/>
    <w:rsid w:val="003904AB"/>
    <w:rsid w:val="00390ED0"/>
    <w:rsid w:val="003910A3"/>
    <w:rsid w:val="003928D8"/>
    <w:rsid w:val="00392E4C"/>
    <w:rsid w:val="00393698"/>
    <w:rsid w:val="003936E8"/>
    <w:rsid w:val="00397F71"/>
    <w:rsid w:val="003A03AA"/>
    <w:rsid w:val="003A0C15"/>
    <w:rsid w:val="003A1E4A"/>
    <w:rsid w:val="003A2185"/>
    <w:rsid w:val="003A22B5"/>
    <w:rsid w:val="003A28CC"/>
    <w:rsid w:val="003A33C6"/>
    <w:rsid w:val="003A4BA0"/>
    <w:rsid w:val="003A515A"/>
    <w:rsid w:val="003A6A52"/>
    <w:rsid w:val="003A6FAF"/>
    <w:rsid w:val="003B0A66"/>
    <w:rsid w:val="003B186E"/>
    <w:rsid w:val="003B481F"/>
    <w:rsid w:val="003B48A6"/>
    <w:rsid w:val="003B53DE"/>
    <w:rsid w:val="003B59C3"/>
    <w:rsid w:val="003B63A8"/>
    <w:rsid w:val="003B6680"/>
    <w:rsid w:val="003B71D6"/>
    <w:rsid w:val="003C0B8A"/>
    <w:rsid w:val="003C0FE9"/>
    <w:rsid w:val="003C1AFF"/>
    <w:rsid w:val="003C1B1B"/>
    <w:rsid w:val="003C4843"/>
    <w:rsid w:val="003C4C2F"/>
    <w:rsid w:val="003C4C93"/>
    <w:rsid w:val="003C5329"/>
    <w:rsid w:val="003D1EE4"/>
    <w:rsid w:val="003D27E7"/>
    <w:rsid w:val="003D5151"/>
    <w:rsid w:val="003D6007"/>
    <w:rsid w:val="003E2790"/>
    <w:rsid w:val="003E4E6E"/>
    <w:rsid w:val="003E6F43"/>
    <w:rsid w:val="003E7337"/>
    <w:rsid w:val="003F14ED"/>
    <w:rsid w:val="003F5163"/>
    <w:rsid w:val="00400021"/>
    <w:rsid w:val="00403BE6"/>
    <w:rsid w:val="00406071"/>
    <w:rsid w:val="004100B5"/>
    <w:rsid w:val="004101B0"/>
    <w:rsid w:val="00411982"/>
    <w:rsid w:val="004127A5"/>
    <w:rsid w:val="00413BF3"/>
    <w:rsid w:val="004148E6"/>
    <w:rsid w:val="00416C9C"/>
    <w:rsid w:val="00417733"/>
    <w:rsid w:val="00421873"/>
    <w:rsid w:val="0042220B"/>
    <w:rsid w:val="00423876"/>
    <w:rsid w:val="0042396F"/>
    <w:rsid w:val="00423E16"/>
    <w:rsid w:val="00425CE2"/>
    <w:rsid w:val="0042634D"/>
    <w:rsid w:val="00427E09"/>
    <w:rsid w:val="00430EFA"/>
    <w:rsid w:val="00434888"/>
    <w:rsid w:val="00436875"/>
    <w:rsid w:val="0044262F"/>
    <w:rsid w:val="00443883"/>
    <w:rsid w:val="00444BC1"/>
    <w:rsid w:val="004454CE"/>
    <w:rsid w:val="004532E9"/>
    <w:rsid w:val="0045377F"/>
    <w:rsid w:val="004541E0"/>
    <w:rsid w:val="00461604"/>
    <w:rsid w:val="00461BAC"/>
    <w:rsid w:val="00463F1E"/>
    <w:rsid w:val="00464576"/>
    <w:rsid w:val="004649B6"/>
    <w:rsid w:val="004666C3"/>
    <w:rsid w:val="004706BD"/>
    <w:rsid w:val="00472A54"/>
    <w:rsid w:val="00472D1C"/>
    <w:rsid w:val="00473168"/>
    <w:rsid w:val="00473DC3"/>
    <w:rsid w:val="00480B2C"/>
    <w:rsid w:val="00482463"/>
    <w:rsid w:val="00485B4B"/>
    <w:rsid w:val="00486C0F"/>
    <w:rsid w:val="00486E74"/>
    <w:rsid w:val="0048760A"/>
    <w:rsid w:val="0048778F"/>
    <w:rsid w:val="004917D6"/>
    <w:rsid w:val="004924F5"/>
    <w:rsid w:val="00493725"/>
    <w:rsid w:val="00493BCB"/>
    <w:rsid w:val="00494BBD"/>
    <w:rsid w:val="00495F98"/>
    <w:rsid w:val="004A0A7D"/>
    <w:rsid w:val="004A1C34"/>
    <w:rsid w:val="004A1ED7"/>
    <w:rsid w:val="004A3BBB"/>
    <w:rsid w:val="004A5486"/>
    <w:rsid w:val="004A5D8F"/>
    <w:rsid w:val="004A7853"/>
    <w:rsid w:val="004B005D"/>
    <w:rsid w:val="004B43F8"/>
    <w:rsid w:val="004B46C3"/>
    <w:rsid w:val="004B569A"/>
    <w:rsid w:val="004B5E63"/>
    <w:rsid w:val="004C0DBF"/>
    <w:rsid w:val="004C1290"/>
    <w:rsid w:val="004C17F2"/>
    <w:rsid w:val="004C19AE"/>
    <w:rsid w:val="004C1FDC"/>
    <w:rsid w:val="004C2E87"/>
    <w:rsid w:val="004C32F3"/>
    <w:rsid w:val="004D37DF"/>
    <w:rsid w:val="004D5186"/>
    <w:rsid w:val="004D5509"/>
    <w:rsid w:val="004D5E6D"/>
    <w:rsid w:val="004E1EAB"/>
    <w:rsid w:val="004E41E0"/>
    <w:rsid w:val="004F23D6"/>
    <w:rsid w:val="004F383C"/>
    <w:rsid w:val="004F5565"/>
    <w:rsid w:val="00501EFA"/>
    <w:rsid w:val="005028B8"/>
    <w:rsid w:val="0050511A"/>
    <w:rsid w:val="00510699"/>
    <w:rsid w:val="0051169E"/>
    <w:rsid w:val="00511A0C"/>
    <w:rsid w:val="00512582"/>
    <w:rsid w:val="0051285F"/>
    <w:rsid w:val="0051417F"/>
    <w:rsid w:val="00514A2E"/>
    <w:rsid w:val="00516F32"/>
    <w:rsid w:val="005170B4"/>
    <w:rsid w:val="0052099C"/>
    <w:rsid w:val="00521242"/>
    <w:rsid w:val="0052338B"/>
    <w:rsid w:val="005265A6"/>
    <w:rsid w:val="00530FED"/>
    <w:rsid w:val="005323E9"/>
    <w:rsid w:val="00532786"/>
    <w:rsid w:val="005337C3"/>
    <w:rsid w:val="00533F2E"/>
    <w:rsid w:val="0053488B"/>
    <w:rsid w:val="0054014A"/>
    <w:rsid w:val="00540905"/>
    <w:rsid w:val="005416D0"/>
    <w:rsid w:val="00542D4D"/>
    <w:rsid w:val="00543859"/>
    <w:rsid w:val="00543A2E"/>
    <w:rsid w:val="00544D4A"/>
    <w:rsid w:val="00546330"/>
    <w:rsid w:val="00546AE5"/>
    <w:rsid w:val="00552DCE"/>
    <w:rsid w:val="005539E3"/>
    <w:rsid w:val="00555078"/>
    <w:rsid w:val="00555C06"/>
    <w:rsid w:val="0056014F"/>
    <w:rsid w:val="0056159E"/>
    <w:rsid w:val="00562DB7"/>
    <w:rsid w:val="00563113"/>
    <w:rsid w:val="00563875"/>
    <w:rsid w:val="005639A6"/>
    <w:rsid w:val="0057101B"/>
    <w:rsid w:val="00572D1A"/>
    <w:rsid w:val="00573214"/>
    <w:rsid w:val="0057376C"/>
    <w:rsid w:val="00575D3D"/>
    <w:rsid w:val="00576C1A"/>
    <w:rsid w:val="005815B6"/>
    <w:rsid w:val="00581BBA"/>
    <w:rsid w:val="00584AAC"/>
    <w:rsid w:val="005859B7"/>
    <w:rsid w:val="00586065"/>
    <w:rsid w:val="00586A4A"/>
    <w:rsid w:val="005873B2"/>
    <w:rsid w:val="00591942"/>
    <w:rsid w:val="00593974"/>
    <w:rsid w:val="0059544F"/>
    <w:rsid w:val="0059797F"/>
    <w:rsid w:val="005A0340"/>
    <w:rsid w:val="005A151E"/>
    <w:rsid w:val="005A4830"/>
    <w:rsid w:val="005A6504"/>
    <w:rsid w:val="005B0443"/>
    <w:rsid w:val="005B2563"/>
    <w:rsid w:val="005B4A2D"/>
    <w:rsid w:val="005B517C"/>
    <w:rsid w:val="005B5EA9"/>
    <w:rsid w:val="005B7760"/>
    <w:rsid w:val="005C02B6"/>
    <w:rsid w:val="005C2680"/>
    <w:rsid w:val="005C2898"/>
    <w:rsid w:val="005C3724"/>
    <w:rsid w:val="005D04DA"/>
    <w:rsid w:val="005D12EB"/>
    <w:rsid w:val="005D35BF"/>
    <w:rsid w:val="005D6D50"/>
    <w:rsid w:val="005D7B1B"/>
    <w:rsid w:val="005E1484"/>
    <w:rsid w:val="005E23BA"/>
    <w:rsid w:val="005E75F5"/>
    <w:rsid w:val="005E82B3"/>
    <w:rsid w:val="005F20BC"/>
    <w:rsid w:val="005F42FA"/>
    <w:rsid w:val="005F48E5"/>
    <w:rsid w:val="00600596"/>
    <w:rsid w:val="006011D2"/>
    <w:rsid w:val="006013F8"/>
    <w:rsid w:val="0060178D"/>
    <w:rsid w:val="0060311B"/>
    <w:rsid w:val="0060654D"/>
    <w:rsid w:val="00612705"/>
    <w:rsid w:val="00616D17"/>
    <w:rsid w:val="00617364"/>
    <w:rsid w:val="00621777"/>
    <w:rsid w:val="00622280"/>
    <w:rsid w:val="0062293C"/>
    <w:rsid w:val="00622979"/>
    <w:rsid w:val="00622CE0"/>
    <w:rsid w:val="0062356B"/>
    <w:rsid w:val="00623FC1"/>
    <w:rsid w:val="00625E81"/>
    <w:rsid w:val="0062793A"/>
    <w:rsid w:val="00630A98"/>
    <w:rsid w:val="0063337B"/>
    <w:rsid w:val="00633727"/>
    <w:rsid w:val="006354AD"/>
    <w:rsid w:val="00640B29"/>
    <w:rsid w:val="006416ED"/>
    <w:rsid w:val="00642A69"/>
    <w:rsid w:val="006452FE"/>
    <w:rsid w:val="00647DAC"/>
    <w:rsid w:val="00651787"/>
    <w:rsid w:val="00651B07"/>
    <w:rsid w:val="00652949"/>
    <w:rsid w:val="00653502"/>
    <w:rsid w:val="006601C5"/>
    <w:rsid w:val="00673326"/>
    <w:rsid w:val="0067343B"/>
    <w:rsid w:val="0067371C"/>
    <w:rsid w:val="00674205"/>
    <w:rsid w:val="00674DA8"/>
    <w:rsid w:val="006752B5"/>
    <w:rsid w:val="006802AA"/>
    <w:rsid w:val="00682040"/>
    <w:rsid w:val="00686EBB"/>
    <w:rsid w:val="0068783B"/>
    <w:rsid w:val="006907AA"/>
    <w:rsid w:val="00690EA3"/>
    <w:rsid w:val="00693B98"/>
    <w:rsid w:val="00693C95"/>
    <w:rsid w:val="006A03C5"/>
    <w:rsid w:val="006A0540"/>
    <w:rsid w:val="006A09B2"/>
    <w:rsid w:val="006A1028"/>
    <w:rsid w:val="006A1CD8"/>
    <w:rsid w:val="006A31AA"/>
    <w:rsid w:val="006A4EEE"/>
    <w:rsid w:val="006A5DBC"/>
    <w:rsid w:val="006B5351"/>
    <w:rsid w:val="006B7E74"/>
    <w:rsid w:val="006C1767"/>
    <w:rsid w:val="006C23B4"/>
    <w:rsid w:val="006C2F40"/>
    <w:rsid w:val="006C3284"/>
    <w:rsid w:val="006C32CB"/>
    <w:rsid w:val="006C3552"/>
    <w:rsid w:val="006C3F3A"/>
    <w:rsid w:val="006C708A"/>
    <w:rsid w:val="006C73A2"/>
    <w:rsid w:val="006D57DD"/>
    <w:rsid w:val="006D7776"/>
    <w:rsid w:val="006E0997"/>
    <w:rsid w:val="006E0EEA"/>
    <w:rsid w:val="006E10ED"/>
    <w:rsid w:val="006E2435"/>
    <w:rsid w:val="006E31B0"/>
    <w:rsid w:val="006E347D"/>
    <w:rsid w:val="006E4B1D"/>
    <w:rsid w:val="006E5B63"/>
    <w:rsid w:val="006E5D14"/>
    <w:rsid w:val="006E6C2A"/>
    <w:rsid w:val="006F108D"/>
    <w:rsid w:val="006F2F4A"/>
    <w:rsid w:val="006F7814"/>
    <w:rsid w:val="006F78F2"/>
    <w:rsid w:val="00700E80"/>
    <w:rsid w:val="00707B12"/>
    <w:rsid w:val="0071056A"/>
    <w:rsid w:val="007105D8"/>
    <w:rsid w:val="0071182F"/>
    <w:rsid w:val="0071495E"/>
    <w:rsid w:val="00721CAF"/>
    <w:rsid w:val="00722100"/>
    <w:rsid w:val="00722B9F"/>
    <w:rsid w:val="007247C5"/>
    <w:rsid w:val="00725B0C"/>
    <w:rsid w:val="00726C6F"/>
    <w:rsid w:val="00727102"/>
    <w:rsid w:val="00730739"/>
    <w:rsid w:val="00732379"/>
    <w:rsid w:val="00733EAA"/>
    <w:rsid w:val="00740AF4"/>
    <w:rsid w:val="007426A0"/>
    <w:rsid w:val="00745082"/>
    <w:rsid w:val="00745099"/>
    <w:rsid w:val="00746597"/>
    <w:rsid w:val="00746A52"/>
    <w:rsid w:val="0075173C"/>
    <w:rsid w:val="00756371"/>
    <w:rsid w:val="00757764"/>
    <w:rsid w:val="00757954"/>
    <w:rsid w:val="00760FFB"/>
    <w:rsid w:val="00761D30"/>
    <w:rsid w:val="00761FEE"/>
    <w:rsid w:val="00762CAD"/>
    <w:rsid w:val="0077088D"/>
    <w:rsid w:val="00771429"/>
    <w:rsid w:val="0077262E"/>
    <w:rsid w:val="00773924"/>
    <w:rsid w:val="00775D18"/>
    <w:rsid w:val="007763F8"/>
    <w:rsid w:val="0077697A"/>
    <w:rsid w:val="00776A98"/>
    <w:rsid w:val="0077755F"/>
    <w:rsid w:val="00794082"/>
    <w:rsid w:val="00794AEB"/>
    <w:rsid w:val="00795DC6"/>
    <w:rsid w:val="00795F6F"/>
    <w:rsid w:val="00795F77"/>
    <w:rsid w:val="00797ADB"/>
    <w:rsid w:val="007A08D3"/>
    <w:rsid w:val="007A0D6C"/>
    <w:rsid w:val="007A3C05"/>
    <w:rsid w:val="007A40AC"/>
    <w:rsid w:val="007A69AC"/>
    <w:rsid w:val="007A7458"/>
    <w:rsid w:val="007B0E5D"/>
    <w:rsid w:val="007B1BE8"/>
    <w:rsid w:val="007B211C"/>
    <w:rsid w:val="007B765D"/>
    <w:rsid w:val="007B7727"/>
    <w:rsid w:val="007C1ACE"/>
    <w:rsid w:val="007C20EA"/>
    <w:rsid w:val="007C22AC"/>
    <w:rsid w:val="007C40CE"/>
    <w:rsid w:val="007C48EE"/>
    <w:rsid w:val="007C522F"/>
    <w:rsid w:val="007C7427"/>
    <w:rsid w:val="007D0112"/>
    <w:rsid w:val="007D066D"/>
    <w:rsid w:val="007D0DE3"/>
    <w:rsid w:val="007D1E39"/>
    <w:rsid w:val="007D2417"/>
    <w:rsid w:val="007D3962"/>
    <w:rsid w:val="007D4153"/>
    <w:rsid w:val="007D47F0"/>
    <w:rsid w:val="007D4B97"/>
    <w:rsid w:val="007D4FB9"/>
    <w:rsid w:val="007D78A6"/>
    <w:rsid w:val="007E0F86"/>
    <w:rsid w:val="007E0FE9"/>
    <w:rsid w:val="007E1B49"/>
    <w:rsid w:val="007E264C"/>
    <w:rsid w:val="007E405E"/>
    <w:rsid w:val="007E4195"/>
    <w:rsid w:val="007E5F74"/>
    <w:rsid w:val="007E6C21"/>
    <w:rsid w:val="007E6F4B"/>
    <w:rsid w:val="007F1370"/>
    <w:rsid w:val="008031FE"/>
    <w:rsid w:val="0080380A"/>
    <w:rsid w:val="00803F54"/>
    <w:rsid w:val="00806C33"/>
    <w:rsid w:val="00807199"/>
    <w:rsid w:val="008079C8"/>
    <w:rsid w:val="00807FDA"/>
    <w:rsid w:val="00814D3C"/>
    <w:rsid w:val="008163C2"/>
    <w:rsid w:val="00816DD3"/>
    <w:rsid w:val="00824C98"/>
    <w:rsid w:val="0082719A"/>
    <w:rsid w:val="008275C4"/>
    <w:rsid w:val="00832889"/>
    <w:rsid w:val="00840357"/>
    <w:rsid w:val="00840970"/>
    <w:rsid w:val="0084451A"/>
    <w:rsid w:val="00845C0E"/>
    <w:rsid w:val="008465CA"/>
    <w:rsid w:val="00846E55"/>
    <w:rsid w:val="008478DC"/>
    <w:rsid w:val="00850700"/>
    <w:rsid w:val="0085368F"/>
    <w:rsid w:val="00856CE8"/>
    <w:rsid w:val="008614B1"/>
    <w:rsid w:val="00861E0E"/>
    <w:rsid w:val="00862518"/>
    <w:rsid w:val="00862A7B"/>
    <w:rsid w:val="00864D66"/>
    <w:rsid w:val="00865034"/>
    <w:rsid w:val="00865900"/>
    <w:rsid w:val="00865E8E"/>
    <w:rsid w:val="00867A19"/>
    <w:rsid w:val="0087602F"/>
    <w:rsid w:val="00881201"/>
    <w:rsid w:val="00881C17"/>
    <w:rsid w:val="008841CA"/>
    <w:rsid w:val="00884669"/>
    <w:rsid w:val="00887A4F"/>
    <w:rsid w:val="00887D4C"/>
    <w:rsid w:val="008918EC"/>
    <w:rsid w:val="0089260C"/>
    <w:rsid w:val="008966A1"/>
    <w:rsid w:val="00896B08"/>
    <w:rsid w:val="00896C5C"/>
    <w:rsid w:val="008A3B35"/>
    <w:rsid w:val="008A3EA4"/>
    <w:rsid w:val="008A4F44"/>
    <w:rsid w:val="008B0DE3"/>
    <w:rsid w:val="008B4631"/>
    <w:rsid w:val="008B6CCA"/>
    <w:rsid w:val="008C2637"/>
    <w:rsid w:val="008C3D85"/>
    <w:rsid w:val="008C7162"/>
    <w:rsid w:val="008D18C7"/>
    <w:rsid w:val="008D1CDB"/>
    <w:rsid w:val="008D1E37"/>
    <w:rsid w:val="008D28A2"/>
    <w:rsid w:val="008D2917"/>
    <w:rsid w:val="008D3137"/>
    <w:rsid w:val="008D5007"/>
    <w:rsid w:val="008D5985"/>
    <w:rsid w:val="008D60AF"/>
    <w:rsid w:val="008D644E"/>
    <w:rsid w:val="008D6C41"/>
    <w:rsid w:val="008E2531"/>
    <w:rsid w:val="008E38F4"/>
    <w:rsid w:val="008E48BC"/>
    <w:rsid w:val="008E4AD7"/>
    <w:rsid w:val="008E4FB5"/>
    <w:rsid w:val="008E59B0"/>
    <w:rsid w:val="008E69D4"/>
    <w:rsid w:val="008F137F"/>
    <w:rsid w:val="008F23B8"/>
    <w:rsid w:val="008F568A"/>
    <w:rsid w:val="008F7539"/>
    <w:rsid w:val="008F7D5B"/>
    <w:rsid w:val="009010E2"/>
    <w:rsid w:val="00902AB1"/>
    <w:rsid w:val="00902EEA"/>
    <w:rsid w:val="009039AA"/>
    <w:rsid w:val="00903D30"/>
    <w:rsid w:val="00904682"/>
    <w:rsid w:val="00904B70"/>
    <w:rsid w:val="0090644A"/>
    <w:rsid w:val="009070AE"/>
    <w:rsid w:val="0090794D"/>
    <w:rsid w:val="009104EB"/>
    <w:rsid w:val="00911235"/>
    <w:rsid w:val="009143B4"/>
    <w:rsid w:val="0091584E"/>
    <w:rsid w:val="00916CB2"/>
    <w:rsid w:val="0092175D"/>
    <w:rsid w:val="0092334B"/>
    <w:rsid w:val="0092378A"/>
    <w:rsid w:val="00924394"/>
    <w:rsid w:val="0092440B"/>
    <w:rsid w:val="0092708E"/>
    <w:rsid w:val="009307FB"/>
    <w:rsid w:val="009320EF"/>
    <w:rsid w:val="0093339B"/>
    <w:rsid w:val="00935324"/>
    <w:rsid w:val="00935F5C"/>
    <w:rsid w:val="00935F87"/>
    <w:rsid w:val="00936E91"/>
    <w:rsid w:val="009375D4"/>
    <w:rsid w:val="00946490"/>
    <w:rsid w:val="00946824"/>
    <w:rsid w:val="0094694E"/>
    <w:rsid w:val="00947F22"/>
    <w:rsid w:val="00950824"/>
    <w:rsid w:val="0095148E"/>
    <w:rsid w:val="00952EBC"/>
    <w:rsid w:val="00953BC6"/>
    <w:rsid w:val="00960DFC"/>
    <w:rsid w:val="00961621"/>
    <w:rsid w:val="00961D9D"/>
    <w:rsid w:val="00961EB9"/>
    <w:rsid w:val="009666CB"/>
    <w:rsid w:val="00966D24"/>
    <w:rsid w:val="00967E99"/>
    <w:rsid w:val="00970CB9"/>
    <w:rsid w:val="0097126F"/>
    <w:rsid w:val="0097160C"/>
    <w:rsid w:val="0097202F"/>
    <w:rsid w:val="00972367"/>
    <w:rsid w:val="0097274A"/>
    <w:rsid w:val="009747AA"/>
    <w:rsid w:val="00974DBB"/>
    <w:rsid w:val="009760B8"/>
    <w:rsid w:val="0097661E"/>
    <w:rsid w:val="00976743"/>
    <w:rsid w:val="00980009"/>
    <w:rsid w:val="009819D1"/>
    <w:rsid w:val="009823DD"/>
    <w:rsid w:val="00982454"/>
    <w:rsid w:val="00984A7A"/>
    <w:rsid w:val="009855DC"/>
    <w:rsid w:val="00986BD1"/>
    <w:rsid w:val="00990B09"/>
    <w:rsid w:val="00991CBF"/>
    <w:rsid w:val="00992CC5"/>
    <w:rsid w:val="009931CE"/>
    <w:rsid w:val="00993760"/>
    <w:rsid w:val="00993E0A"/>
    <w:rsid w:val="00995A50"/>
    <w:rsid w:val="009A163A"/>
    <w:rsid w:val="009A4907"/>
    <w:rsid w:val="009A5FB1"/>
    <w:rsid w:val="009B02F6"/>
    <w:rsid w:val="009B420B"/>
    <w:rsid w:val="009B679F"/>
    <w:rsid w:val="009B73F1"/>
    <w:rsid w:val="009C1744"/>
    <w:rsid w:val="009C45A4"/>
    <w:rsid w:val="009C4D51"/>
    <w:rsid w:val="009D3121"/>
    <w:rsid w:val="009E21F5"/>
    <w:rsid w:val="009E76D4"/>
    <w:rsid w:val="009F1B3B"/>
    <w:rsid w:val="009F2BFC"/>
    <w:rsid w:val="009F461A"/>
    <w:rsid w:val="009F4B7E"/>
    <w:rsid w:val="009F4F23"/>
    <w:rsid w:val="009F5221"/>
    <w:rsid w:val="00A01020"/>
    <w:rsid w:val="00A010EE"/>
    <w:rsid w:val="00A10134"/>
    <w:rsid w:val="00A11717"/>
    <w:rsid w:val="00A11A73"/>
    <w:rsid w:val="00A13E06"/>
    <w:rsid w:val="00A15273"/>
    <w:rsid w:val="00A154C7"/>
    <w:rsid w:val="00A15859"/>
    <w:rsid w:val="00A1684B"/>
    <w:rsid w:val="00A201C0"/>
    <w:rsid w:val="00A20A07"/>
    <w:rsid w:val="00A21D7B"/>
    <w:rsid w:val="00A21F46"/>
    <w:rsid w:val="00A234EE"/>
    <w:rsid w:val="00A23839"/>
    <w:rsid w:val="00A2599F"/>
    <w:rsid w:val="00A26C64"/>
    <w:rsid w:val="00A27F8A"/>
    <w:rsid w:val="00A30AFE"/>
    <w:rsid w:val="00A334B6"/>
    <w:rsid w:val="00A34966"/>
    <w:rsid w:val="00A34F4C"/>
    <w:rsid w:val="00A357F6"/>
    <w:rsid w:val="00A3621F"/>
    <w:rsid w:val="00A3702D"/>
    <w:rsid w:val="00A37A7F"/>
    <w:rsid w:val="00A37DB5"/>
    <w:rsid w:val="00A413C2"/>
    <w:rsid w:val="00A42257"/>
    <w:rsid w:val="00A45528"/>
    <w:rsid w:val="00A45D8D"/>
    <w:rsid w:val="00A46404"/>
    <w:rsid w:val="00A46B6F"/>
    <w:rsid w:val="00A514E9"/>
    <w:rsid w:val="00A522BA"/>
    <w:rsid w:val="00A529F1"/>
    <w:rsid w:val="00A52FE3"/>
    <w:rsid w:val="00A55A3C"/>
    <w:rsid w:val="00A60670"/>
    <w:rsid w:val="00A60A96"/>
    <w:rsid w:val="00A62667"/>
    <w:rsid w:val="00A62957"/>
    <w:rsid w:val="00A6321C"/>
    <w:rsid w:val="00A64CF8"/>
    <w:rsid w:val="00A65218"/>
    <w:rsid w:val="00A671BC"/>
    <w:rsid w:val="00A725AA"/>
    <w:rsid w:val="00A73430"/>
    <w:rsid w:val="00A755EB"/>
    <w:rsid w:val="00A75D4C"/>
    <w:rsid w:val="00A75D75"/>
    <w:rsid w:val="00A76E73"/>
    <w:rsid w:val="00A77336"/>
    <w:rsid w:val="00A805E6"/>
    <w:rsid w:val="00A81C0D"/>
    <w:rsid w:val="00A82C1F"/>
    <w:rsid w:val="00A82EAE"/>
    <w:rsid w:val="00A84A3D"/>
    <w:rsid w:val="00A84B38"/>
    <w:rsid w:val="00A86219"/>
    <w:rsid w:val="00A917A9"/>
    <w:rsid w:val="00A92340"/>
    <w:rsid w:val="00A937CC"/>
    <w:rsid w:val="00A95140"/>
    <w:rsid w:val="00AA03EC"/>
    <w:rsid w:val="00AA0941"/>
    <w:rsid w:val="00AA23AF"/>
    <w:rsid w:val="00AA2BFC"/>
    <w:rsid w:val="00AA506A"/>
    <w:rsid w:val="00AA5131"/>
    <w:rsid w:val="00AB149D"/>
    <w:rsid w:val="00AB25F8"/>
    <w:rsid w:val="00AB425B"/>
    <w:rsid w:val="00AB482A"/>
    <w:rsid w:val="00AC0C93"/>
    <w:rsid w:val="00AC2795"/>
    <w:rsid w:val="00AC3D96"/>
    <w:rsid w:val="00AC42D0"/>
    <w:rsid w:val="00AC4F7E"/>
    <w:rsid w:val="00AC5BF7"/>
    <w:rsid w:val="00AC631E"/>
    <w:rsid w:val="00AD3159"/>
    <w:rsid w:val="00AD357B"/>
    <w:rsid w:val="00AE4545"/>
    <w:rsid w:val="00AE4FCF"/>
    <w:rsid w:val="00AE67AB"/>
    <w:rsid w:val="00AE7849"/>
    <w:rsid w:val="00AE7BB9"/>
    <w:rsid w:val="00AF1619"/>
    <w:rsid w:val="00AF44E1"/>
    <w:rsid w:val="00AF4925"/>
    <w:rsid w:val="00B01AFA"/>
    <w:rsid w:val="00B045D2"/>
    <w:rsid w:val="00B0634E"/>
    <w:rsid w:val="00B14C61"/>
    <w:rsid w:val="00B17115"/>
    <w:rsid w:val="00B17799"/>
    <w:rsid w:val="00B26193"/>
    <w:rsid w:val="00B26257"/>
    <w:rsid w:val="00B3001C"/>
    <w:rsid w:val="00B30302"/>
    <w:rsid w:val="00B31176"/>
    <w:rsid w:val="00B32BE2"/>
    <w:rsid w:val="00B33CC1"/>
    <w:rsid w:val="00B34D36"/>
    <w:rsid w:val="00B35234"/>
    <w:rsid w:val="00B361CF"/>
    <w:rsid w:val="00B40C4E"/>
    <w:rsid w:val="00B54854"/>
    <w:rsid w:val="00B55814"/>
    <w:rsid w:val="00B56048"/>
    <w:rsid w:val="00B56CE7"/>
    <w:rsid w:val="00B57042"/>
    <w:rsid w:val="00B625A3"/>
    <w:rsid w:val="00B64C32"/>
    <w:rsid w:val="00B65BC1"/>
    <w:rsid w:val="00B65E91"/>
    <w:rsid w:val="00B66431"/>
    <w:rsid w:val="00B74938"/>
    <w:rsid w:val="00B75234"/>
    <w:rsid w:val="00B76FB8"/>
    <w:rsid w:val="00B8527E"/>
    <w:rsid w:val="00B868B8"/>
    <w:rsid w:val="00B86AB7"/>
    <w:rsid w:val="00B90BA5"/>
    <w:rsid w:val="00B91910"/>
    <w:rsid w:val="00B92545"/>
    <w:rsid w:val="00B93732"/>
    <w:rsid w:val="00B943E3"/>
    <w:rsid w:val="00B959F7"/>
    <w:rsid w:val="00B96899"/>
    <w:rsid w:val="00BA2B0C"/>
    <w:rsid w:val="00BA39A9"/>
    <w:rsid w:val="00BA5B39"/>
    <w:rsid w:val="00BA6334"/>
    <w:rsid w:val="00BB13A8"/>
    <w:rsid w:val="00BB2954"/>
    <w:rsid w:val="00BB3CAB"/>
    <w:rsid w:val="00BB4356"/>
    <w:rsid w:val="00BB676E"/>
    <w:rsid w:val="00BC3DF9"/>
    <w:rsid w:val="00BC4212"/>
    <w:rsid w:val="00BC496C"/>
    <w:rsid w:val="00BC4A51"/>
    <w:rsid w:val="00BC4C9A"/>
    <w:rsid w:val="00BC66BC"/>
    <w:rsid w:val="00BD27EE"/>
    <w:rsid w:val="00BD29B1"/>
    <w:rsid w:val="00BD2A89"/>
    <w:rsid w:val="00BD3A24"/>
    <w:rsid w:val="00BD555F"/>
    <w:rsid w:val="00BD6EA2"/>
    <w:rsid w:val="00BD7154"/>
    <w:rsid w:val="00BE0035"/>
    <w:rsid w:val="00BE0A11"/>
    <w:rsid w:val="00BF0E55"/>
    <w:rsid w:val="00BF2132"/>
    <w:rsid w:val="00BF2579"/>
    <w:rsid w:val="00BF5A14"/>
    <w:rsid w:val="00BF5A8E"/>
    <w:rsid w:val="00BF63FC"/>
    <w:rsid w:val="00BF6972"/>
    <w:rsid w:val="00C00A3C"/>
    <w:rsid w:val="00C0269E"/>
    <w:rsid w:val="00C02A57"/>
    <w:rsid w:val="00C03FF2"/>
    <w:rsid w:val="00C04102"/>
    <w:rsid w:val="00C042AC"/>
    <w:rsid w:val="00C108D5"/>
    <w:rsid w:val="00C1141D"/>
    <w:rsid w:val="00C12F6B"/>
    <w:rsid w:val="00C14FC1"/>
    <w:rsid w:val="00C16849"/>
    <w:rsid w:val="00C211FD"/>
    <w:rsid w:val="00C231F3"/>
    <w:rsid w:val="00C23980"/>
    <w:rsid w:val="00C31EB8"/>
    <w:rsid w:val="00C32D1B"/>
    <w:rsid w:val="00C35405"/>
    <w:rsid w:val="00C426B0"/>
    <w:rsid w:val="00C43024"/>
    <w:rsid w:val="00C44665"/>
    <w:rsid w:val="00C45B7C"/>
    <w:rsid w:val="00C4605C"/>
    <w:rsid w:val="00C46A5C"/>
    <w:rsid w:val="00C46ADE"/>
    <w:rsid w:val="00C520E4"/>
    <w:rsid w:val="00C552C4"/>
    <w:rsid w:val="00C5672F"/>
    <w:rsid w:val="00C579FD"/>
    <w:rsid w:val="00C61721"/>
    <w:rsid w:val="00C628C3"/>
    <w:rsid w:val="00C64F66"/>
    <w:rsid w:val="00C65677"/>
    <w:rsid w:val="00C66CA4"/>
    <w:rsid w:val="00C71892"/>
    <w:rsid w:val="00C73A2F"/>
    <w:rsid w:val="00C7403A"/>
    <w:rsid w:val="00C75341"/>
    <w:rsid w:val="00C802B0"/>
    <w:rsid w:val="00C81A52"/>
    <w:rsid w:val="00C825DE"/>
    <w:rsid w:val="00C830ED"/>
    <w:rsid w:val="00C83D89"/>
    <w:rsid w:val="00C8430A"/>
    <w:rsid w:val="00C85ECB"/>
    <w:rsid w:val="00C85F74"/>
    <w:rsid w:val="00C9087D"/>
    <w:rsid w:val="00C91A0C"/>
    <w:rsid w:val="00C931D1"/>
    <w:rsid w:val="00C93C7A"/>
    <w:rsid w:val="00C948DB"/>
    <w:rsid w:val="00C9773B"/>
    <w:rsid w:val="00CA120B"/>
    <w:rsid w:val="00CA34AE"/>
    <w:rsid w:val="00CA4143"/>
    <w:rsid w:val="00CA46C9"/>
    <w:rsid w:val="00CA4FAA"/>
    <w:rsid w:val="00CA582C"/>
    <w:rsid w:val="00CA7022"/>
    <w:rsid w:val="00CB0E3B"/>
    <w:rsid w:val="00CB340F"/>
    <w:rsid w:val="00CB3918"/>
    <w:rsid w:val="00CB609E"/>
    <w:rsid w:val="00CC079F"/>
    <w:rsid w:val="00CC0B53"/>
    <w:rsid w:val="00CC3CD5"/>
    <w:rsid w:val="00CC5009"/>
    <w:rsid w:val="00CC71E5"/>
    <w:rsid w:val="00CC7644"/>
    <w:rsid w:val="00CD30D1"/>
    <w:rsid w:val="00CD4F2E"/>
    <w:rsid w:val="00CD5331"/>
    <w:rsid w:val="00CD586A"/>
    <w:rsid w:val="00CD6104"/>
    <w:rsid w:val="00CD6310"/>
    <w:rsid w:val="00CD657F"/>
    <w:rsid w:val="00CD7696"/>
    <w:rsid w:val="00CD7F9A"/>
    <w:rsid w:val="00CE0ECB"/>
    <w:rsid w:val="00CE19EC"/>
    <w:rsid w:val="00CE355C"/>
    <w:rsid w:val="00CE4C4C"/>
    <w:rsid w:val="00CE4E9A"/>
    <w:rsid w:val="00CE54D8"/>
    <w:rsid w:val="00CE5F38"/>
    <w:rsid w:val="00CF133F"/>
    <w:rsid w:val="00CF3B3D"/>
    <w:rsid w:val="00CF3E66"/>
    <w:rsid w:val="00D005B6"/>
    <w:rsid w:val="00D00851"/>
    <w:rsid w:val="00D013FF"/>
    <w:rsid w:val="00D02E62"/>
    <w:rsid w:val="00D05EEA"/>
    <w:rsid w:val="00D07B55"/>
    <w:rsid w:val="00D109F2"/>
    <w:rsid w:val="00D11457"/>
    <w:rsid w:val="00D11AEA"/>
    <w:rsid w:val="00D15B34"/>
    <w:rsid w:val="00D15D44"/>
    <w:rsid w:val="00D15F2E"/>
    <w:rsid w:val="00D1692A"/>
    <w:rsid w:val="00D16AEB"/>
    <w:rsid w:val="00D16C51"/>
    <w:rsid w:val="00D22C84"/>
    <w:rsid w:val="00D25B41"/>
    <w:rsid w:val="00D25D97"/>
    <w:rsid w:val="00D3022F"/>
    <w:rsid w:val="00D33576"/>
    <w:rsid w:val="00D35899"/>
    <w:rsid w:val="00D35AA6"/>
    <w:rsid w:val="00D35AD5"/>
    <w:rsid w:val="00D407C4"/>
    <w:rsid w:val="00D43C8E"/>
    <w:rsid w:val="00D4589C"/>
    <w:rsid w:val="00D47068"/>
    <w:rsid w:val="00D5157F"/>
    <w:rsid w:val="00D543C0"/>
    <w:rsid w:val="00D54601"/>
    <w:rsid w:val="00D60F1F"/>
    <w:rsid w:val="00D61EC2"/>
    <w:rsid w:val="00D62658"/>
    <w:rsid w:val="00D63503"/>
    <w:rsid w:val="00D65C45"/>
    <w:rsid w:val="00D6662C"/>
    <w:rsid w:val="00D67C68"/>
    <w:rsid w:val="00D70696"/>
    <w:rsid w:val="00D763CB"/>
    <w:rsid w:val="00D765C4"/>
    <w:rsid w:val="00D80639"/>
    <w:rsid w:val="00D83323"/>
    <w:rsid w:val="00D83550"/>
    <w:rsid w:val="00D8387F"/>
    <w:rsid w:val="00D847B0"/>
    <w:rsid w:val="00D8607E"/>
    <w:rsid w:val="00D86E85"/>
    <w:rsid w:val="00D874C0"/>
    <w:rsid w:val="00D9154B"/>
    <w:rsid w:val="00D9483F"/>
    <w:rsid w:val="00D94C14"/>
    <w:rsid w:val="00D9504B"/>
    <w:rsid w:val="00D953D7"/>
    <w:rsid w:val="00D96AC9"/>
    <w:rsid w:val="00D970D1"/>
    <w:rsid w:val="00D97B8E"/>
    <w:rsid w:val="00DA3512"/>
    <w:rsid w:val="00DA5C70"/>
    <w:rsid w:val="00DB0B7B"/>
    <w:rsid w:val="00DB1E11"/>
    <w:rsid w:val="00DB23F3"/>
    <w:rsid w:val="00DB2F86"/>
    <w:rsid w:val="00DB2FA1"/>
    <w:rsid w:val="00DB5404"/>
    <w:rsid w:val="00DB5BB1"/>
    <w:rsid w:val="00DB665D"/>
    <w:rsid w:val="00DC73E9"/>
    <w:rsid w:val="00DC7AC6"/>
    <w:rsid w:val="00DD1376"/>
    <w:rsid w:val="00DD2B60"/>
    <w:rsid w:val="00DD3A6F"/>
    <w:rsid w:val="00DD3B8C"/>
    <w:rsid w:val="00DD3FFB"/>
    <w:rsid w:val="00DD41B8"/>
    <w:rsid w:val="00DD4A81"/>
    <w:rsid w:val="00DD63D9"/>
    <w:rsid w:val="00DE6619"/>
    <w:rsid w:val="00DF2B4D"/>
    <w:rsid w:val="00DF47C7"/>
    <w:rsid w:val="00E00449"/>
    <w:rsid w:val="00E00771"/>
    <w:rsid w:val="00E00FD7"/>
    <w:rsid w:val="00E06128"/>
    <w:rsid w:val="00E063C8"/>
    <w:rsid w:val="00E07D90"/>
    <w:rsid w:val="00E10426"/>
    <w:rsid w:val="00E10735"/>
    <w:rsid w:val="00E108D5"/>
    <w:rsid w:val="00E10E54"/>
    <w:rsid w:val="00E11E6A"/>
    <w:rsid w:val="00E141B4"/>
    <w:rsid w:val="00E1474A"/>
    <w:rsid w:val="00E16A4F"/>
    <w:rsid w:val="00E2043D"/>
    <w:rsid w:val="00E207D0"/>
    <w:rsid w:val="00E24C2F"/>
    <w:rsid w:val="00E30C5C"/>
    <w:rsid w:val="00E31060"/>
    <w:rsid w:val="00E3231C"/>
    <w:rsid w:val="00E35EC3"/>
    <w:rsid w:val="00E3753C"/>
    <w:rsid w:val="00E4328A"/>
    <w:rsid w:val="00E44DC8"/>
    <w:rsid w:val="00E474D9"/>
    <w:rsid w:val="00E50BBA"/>
    <w:rsid w:val="00E50DC9"/>
    <w:rsid w:val="00E52CDB"/>
    <w:rsid w:val="00E543B7"/>
    <w:rsid w:val="00E54561"/>
    <w:rsid w:val="00E54581"/>
    <w:rsid w:val="00E5791D"/>
    <w:rsid w:val="00E60475"/>
    <w:rsid w:val="00E62AE3"/>
    <w:rsid w:val="00E62E9D"/>
    <w:rsid w:val="00E641A2"/>
    <w:rsid w:val="00E64AE6"/>
    <w:rsid w:val="00E650E6"/>
    <w:rsid w:val="00E653D4"/>
    <w:rsid w:val="00E65F9C"/>
    <w:rsid w:val="00E67D02"/>
    <w:rsid w:val="00E70107"/>
    <w:rsid w:val="00E7047F"/>
    <w:rsid w:val="00E7097E"/>
    <w:rsid w:val="00E72D32"/>
    <w:rsid w:val="00E7D917"/>
    <w:rsid w:val="00E813F3"/>
    <w:rsid w:val="00E81EB4"/>
    <w:rsid w:val="00E82606"/>
    <w:rsid w:val="00E8412E"/>
    <w:rsid w:val="00E8497C"/>
    <w:rsid w:val="00E86654"/>
    <w:rsid w:val="00E901B7"/>
    <w:rsid w:val="00E904B7"/>
    <w:rsid w:val="00E92433"/>
    <w:rsid w:val="00E94099"/>
    <w:rsid w:val="00E944A5"/>
    <w:rsid w:val="00E9567E"/>
    <w:rsid w:val="00E972E7"/>
    <w:rsid w:val="00EA1F17"/>
    <w:rsid w:val="00EA45AF"/>
    <w:rsid w:val="00EA493C"/>
    <w:rsid w:val="00EA4BBF"/>
    <w:rsid w:val="00EA5619"/>
    <w:rsid w:val="00EB07CE"/>
    <w:rsid w:val="00EB1A94"/>
    <w:rsid w:val="00EB4458"/>
    <w:rsid w:val="00EB4704"/>
    <w:rsid w:val="00EB48CC"/>
    <w:rsid w:val="00EB5B78"/>
    <w:rsid w:val="00EB6DE4"/>
    <w:rsid w:val="00EB7A16"/>
    <w:rsid w:val="00EC23DB"/>
    <w:rsid w:val="00EC5387"/>
    <w:rsid w:val="00ED1DCA"/>
    <w:rsid w:val="00ED24EE"/>
    <w:rsid w:val="00ED5D0E"/>
    <w:rsid w:val="00EE4144"/>
    <w:rsid w:val="00EE440E"/>
    <w:rsid w:val="00EF0122"/>
    <w:rsid w:val="00EF0CC7"/>
    <w:rsid w:val="00EF1976"/>
    <w:rsid w:val="00EF57D9"/>
    <w:rsid w:val="00EF6290"/>
    <w:rsid w:val="00EF76A8"/>
    <w:rsid w:val="00EF7E10"/>
    <w:rsid w:val="00EF7E75"/>
    <w:rsid w:val="00F003D9"/>
    <w:rsid w:val="00F02F8A"/>
    <w:rsid w:val="00F03FA2"/>
    <w:rsid w:val="00F0554D"/>
    <w:rsid w:val="00F0673A"/>
    <w:rsid w:val="00F11202"/>
    <w:rsid w:val="00F16C1A"/>
    <w:rsid w:val="00F247A5"/>
    <w:rsid w:val="00F24892"/>
    <w:rsid w:val="00F25039"/>
    <w:rsid w:val="00F25062"/>
    <w:rsid w:val="00F25808"/>
    <w:rsid w:val="00F259E2"/>
    <w:rsid w:val="00F27269"/>
    <w:rsid w:val="00F27FC2"/>
    <w:rsid w:val="00F30FBA"/>
    <w:rsid w:val="00F31A90"/>
    <w:rsid w:val="00F37FC6"/>
    <w:rsid w:val="00F419F5"/>
    <w:rsid w:val="00F41ABA"/>
    <w:rsid w:val="00F45C68"/>
    <w:rsid w:val="00F461A1"/>
    <w:rsid w:val="00F50381"/>
    <w:rsid w:val="00F50A62"/>
    <w:rsid w:val="00F51752"/>
    <w:rsid w:val="00F53240"/>
    <w:rsid w:val="00F5334F"/>
    <w:rsid w:val="00F533B9"/>
    <w:rsid w:val="00F54253"/>
    <w:rsid w:val="00F543B8"/>
    <w:rsid w:val="00F56CF5"/>
    <w:rsid w:val="00F56D9E"/>
    <w:rsid w:val="00F57163"/>
    <w:rsid w:val="00F608C7"/>
    <w:rsid w:val="00F616E1"/>
    <w:rsid w:val="00F62307"/>
    <w:rsid w:val="00F6430C"/>
    <w:rsid w:val="00F65ABE"/>
    <w:rsid w:val="00F72CB0"/>
    <w:rsid w:val="00F73A8D"/>
    <w:rsid w:val="00F8056A"/>
    <w:rsid w:val="00F80E6B"/>
    <w:rsid w:val="00F8370F"/>
    <w:rsid w:val="00F84C4F"/>
    <w:rsid w:val="00F84FF3"/>
    <w:rsid w:val="00F8514B"/>
    <w:rsid w:val="00F85FE0"/>
    <w:rsid w:val="00F876F1"/>
    <w:rsid w:val="00F90910"/>
    <w:rsid w:val="00F91340"/>
    <w:rsid w:val="00F92700"/>
    <w:rsid w:val="00F93A9C"/>
    <w:rsid w:val="00F956F0"/>
    <w:rsid w:val="00F973DD"/>
    <w:rsid w:val="00FA00FB"/>
    <w:rsid w:val="00FA1B53"/>
    <w:rsid w:val="00FA22C7"/>
    <w:rsid w:val="00FA2582"/>
    <w:rsid w:val="00FA63B6"/>
    <w:rsid w:val="00FA72EF"/>
    <w:rsid w:val="00FA77AA"/>
    <w:rsid w:val="00FB0E88"/>
    <w:rsid w:val="00FB146E"/>
    <w:rsid w:val="00FB23B2"/>
    <w:rsid w:val="00FB2B34"/>
    <w:rsid w:val="00FB2D0C"/>
    <w:rsid w:val="00FB50BD"/>
    <w:rsid w:val="00FB593B"/>
    <w:rsid w:val="00FB7A27"/>
    <w:rsid w:val="00FC08DF"/>
    <w:rsid w:val="00FC21CD"/>
    <w:rsid w:val="00FC34EB"/>
    <w:rsid w:val="00FC3CF1"/>
    <w:rsid w:val="00FC5292"/>
    <w:rsid w:val="00FC5A73"/>
    <w:rsid w:val="00FC6E23"/>
    <w:rsid w:val="00FC7300"/>
    <w:rsid w:val="00FD12B0"/>
    <w:rsid w:val="00FD12DC"/>
    <w:rsid w:val="00FD3623"/>
    <w:rsid w:val="00FD40CF"/>
    <w:rsid w:val="00FD4591"/>
    <w:rsid w:val="00FD6D2F"/>
    <w:rsid w:val="00FE7A94"/>
    <w:rsid w:val="00FF0859"/>
    <w:rsid w:val="00FF5875"/>
    <w:rsid w:val="00FF60F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9C91C53"/>
    <w:rsid w:val="2ADC2273"/>
    <w:rsid w:val="2C99B53D"/>
    <w:rsid w:val="2D27EDC8"/>
    <w:rsid w:val="2D6F548C"/>
    <w:rsid w:val="2FE7A5CC"/>
    <w:rsid w:val="2FFEB50F"/>
    <w:rsid w:val="33E10D02"/>
    <w:rsid w:val="344DFD32"/>
    <w:rsid w:val="36946B51"/>
    <w:rsid w:val="37842A38"/>
    <w:rsid w:val="3CAD0077"/>
    <w:rsid w:val="3E481261"/>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1328F09"/>
    <w:rsid w:val="631EC265"/>
    <w:rsid w:val="6374B36E"/>
    <w:rsid w:val="64D8040A"/>
    <w:rsid w:val="67879093"/>
    <w:rsid w:val="6948DE96"/>
    <w:rsid w:val="69D35BE8"/>
    <w:rsid w:val="6AB3F323"/>
    <w:rsid w:val="6B904B89"/>
    <w:rsid w:val="6C362390"/>
    <w:rsid w:val="6DD88B9A"/>
    <w:rsid w:val="726D52DE"/>
    <w:rsid w:val="752045F3"/>
    <w:rsid w:val="754B29EE"/>
    <w:rsid w:val="7599099A"/>
    <w:rsid w:val="775C67D4"/>
    <w:rsid w:val="77BEDC35"/>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136782"/>
    <w:pPr>
      <w:spacing w:after="240"/>
      <w:outlineLvl w:val="0"/>
    </w:pPr>
  </w:style>
  <w:style w:type="paragraph" w:styleId="Heading2">
    <w:name w:val="heading 2"/>
    <w:basedOn w:val="Normal"/>
    <w:next w:val="Normal"/>
    <w:link w:val="Heading2Char"/>
    <w:autoRedefine/>
    <w:qFormat/>
    <w:rsid w:val="00206A43"/>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782"/>
    <w:rPr>
      <w:rFonts w:asciiTheme="majorHAnsi" w:hAnsiTheme="majorHAnsi" w:cstheme="majorHAnsi"/>
      <w:b/>
      <w:sz w:val="56"/>
    </w:rPr>
  </w:style>
  <w:style w:type="paragraph" w:customStyle="1" w:styleId="BodyText1">
    <w:name w:val="Body Text 1"/>
    <w:link w:val="BodyText1Char"/>
    <w:autoRedefine/>
    <w:uiPriority w:val="2"/>
    <w:qFormat/>
    <w:rsid w:val="000C4D03"/>
    <w:pPr>
      <w:tabs>
        <w:tab w:val="right" w:pos="9356"/>
      </w:tabs>
      <w:spacing w:before="120" w:after="120" w:line="276" w:lineRule="auto"/>
    </w:pPr>
  </w:style>
  <w:style w:type="character" w:customStyle="1" w:styleId="Heading2Char">
    <w:name w:val="Heading 2 Char"/>
    <w:basedOn w:val="DefaultParagraphFont"/>
    <w:link w:val="Heading2"/>
    <w:rsid w:val="00206A43"/>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6A0540"/>
    <w:pPr>
      <w:numPr>
        <w:numId w:val="42"/>
      </w:numPr>
      <w:spacing w:before="120" w:after="120" w:line="276" w:lineRule="auto"/>
    </w:pPr>
  </w:style>
  <w:style w:type="paragraph" w:customStyle="1" w:styleId="Bodybullet2">
    <w:name w:val="Body bullet 2"/>
    <w:next w:val="Normal"/>
    <w:uiPriority w:val="99"/>
    <w:semiHidden/>
    <w:qFormat/>
    <w:rsid w:val="0030644C"/>
    <w:pPr>
      <w:numPr>
        <w:numId w:val="6"/>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8"/>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10"/>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13"/>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18"/>
      </w:numPr>
      <w:spacing w:before="120" w:after="120" w:line="276" w:lineRule="auto"/>
      <w:ind w:left="1140" w:hanging="573"/>
    </w:pPr>
  </w:style>
  <w:style w:type="paragraph" w:customStyle="1" w:styleId="Numberedlistii">
    <w:name w:val="Numbered list_ii"/>
    <w:autoRedefine/>
    <w:uiPriority w:val="9"/>
    <w:qFormat/>
    <w:rsid w:val="006A0540"/>
    <w:pPr>
      <w:numPr>
        <w:numId w:val="47"/>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32"/>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33"/>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45"/>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2977E2"/>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i/>
      <w:color w:val="00000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shd w:val="clear" w:color="auto" w:fill="D2F0EF" w:themeFill="accent2" w:themeFillTint="33"/>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commonwealth-climate-disclosure-requirements" TargetMode="External"/><Relationship Id="rId18" Type="http://schemas.openxmlformats.org/officeDocument/2006/relationships/hyperlink" Target="https://www.finance.gov.au/government/climate-action-government-operations/aps-net-zero-emissions-2030" TargetMode="External"/><Relationship Id="rId26" Type="http://schemas.openxmlformats.org/officeDocument/2006/relationships/hyperlink" Target="https://www.finance.gov.au/government/climate-action-government-operations/aps-net-zero-emissions-2030" TargetMode="External"/><Relationship Id="rId39" Type="http://schemas.openxmlformats.org/officeDocument/2006/relationships/header" Target="header1.xml"/><Relationship Id="rId21" Type="http://schemas.openxmlformats.org/officeDocument/2006/relationships/hyperlink" Target="https://www.legislation.gov.au/C2013A00123/latest/text" TargetMode="External"/><Relationship Id="rId34" Type="http://schemas.openxmlformats.org/officeDocument/2006/relationships/hyperlink" Target="https://www.legislation.gov.au/C2013A00123/latest/tex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www.finance.gov.au/government/comcover/risk-services/management/commonwealth-risk-management-policy" TargetMode="External"/><Relationship Id="rId29" Type="http://schemas.openxmlformats.org/officeDocument/2006/relationships/diagramData" Target="diagrams/data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ance.gov.au/government/managing-commonwealth-resources/annual-reports-corporate-commonwealth-entities-rmg-136" TargetMode="External"/><Relationship Id="rId24" Type="http://schemas.openxmlformats.org/officeDocument/2006/relationships/hyperlink" Target="https://www.finance.gov.au/government/comcover/risk-services/management/commonwealth-risk-management-policy" TargetMode="External"/><Relationship Id="rId32" Type="http://schemas.openxmlformats.org/officeDocument/2006/relationships/diagramColors" Target="diagrams/colors1.xml"/><Relationship Id="rId37" Type="http://schemas.openxmlformats.org/officeDocument/2006/relationships/hyperlink" Target="https://www.servicesaustralia.gov.au/audit-and-risk-committee-charter?context=22" TargetMode="External"/><Relationship Id="rId40"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png"/><Relationship Id="rId28" Type="http://schemas.openxmlformats.org/officeDocument/2006/relationships/hyperlink" Target="https://www.infrastructure.gov.au/department/media/publications/emissions-reduction-plan-2024" TargetMode="External"/><Relationship Id="rId36" Type="http://schemas.openxmlformats.org/officeDocument/2006/relationships/hyperlink" Target="https://www.legislation.gov.au/Series/F2014L00911" TargetMode="External"/><Relationship Id="rId10" Type="http://schemas.openxmlformats.org/officeDocument/2006/relationships/hyperlink" Target="https://www.finance.gov.au/government/managing-commonwealth-resources/annual-reports-non-corporate-commonwealth-entities-rmg-135" TargetMode="External"/><Relationship Id="rId19" Type="http://schemas.openxmlformats.org/officeDocument/2006/relationships/hyperlink" Target="https://www.infrastructure.gov.au/department/media/publications/emissions-reduction-plan-2024" TargetMode="Externa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www.finance.gov.au/government/climate-action-government-operations/commonwealth-climate-disclosure-requirements" TargetMode="External"/><Relationship Id="rId14" Type="http://schemas.openxmlformats.org/officeDocument/2006/relationships/comments" Target="comments.xml"/><Relationship Id="rId22" Type="http://schemas.openxmlformats.org/officeDocument/2006/relationships/hyperlink" Target="https://www.infrastructure.gov.au/department/media/publications/emissions-reduction-plan-2024" TargetMode="External"/><Relationship Id="rId27" Type="http://schemas.openxmlformats.org/officeDocument/2006/relationships/hyperlink" Target="https://www.apsacademy.gov.au/courses/foundations-net-zero-government-operations" TargetMode="External"/><Relationship Id="rId30" Type="http://schemas.openxmlformats.org/officeDocument/2006/relationships/diagramLayout" Target="diagrams/layout1.xml"/><Relationship Id="rId35" Type="http://schemas.openxmlformats.org/officeDocument/2006/relationships/hyperlink" Target="https://www8.austlii.edu.au/cgi-bin/viewdb/au/legis/cth/consol_act/psa1999152/" TargetMode="External"/><Relationship Id="rId8" Type="http://schemas.openxmlformats.org/officeDocument/2006/relationships/hyperlink" Target="https://www.finance.gov.au/government/climate-action-government-operations/commonwealth-climate-disclosure-policy" TargetMode="External"/><Relationship Id="rId3" Type="http://schemas.openxmlformats.org/officeDocument/2006/relationships/styles" Target="styles.xml"/><Relationship Id="rId12" Type="http://schemas.openxmlformats.org/officeDocument/2006/relationships/hyperlink" Target="https://www.finance.gov.au/government/climate-action-government-operations/commonwealth-climate-disclosure-policy" TargetMode="External"/><Relationship Id="rId17" Type="http://schemas.openxmlformats.org/officeDocument/2006/relationships/hyperlink" Target="https://www.dcceew.gov.au/climate-change/publications/climate-risk-opportunity-management-program-resources" TargetMode="External"/><Relationship Id="rId25" Type="http://schemas.openxmlformats.org/officeDocument/2006/relationships/hyperlink" Target="https://www.apsacademy.gov.au/courses/program-cromp-climate-risk-and-opportunity-management-program" TargetMode="External"/><Relationship Id="rId33" Type="http://schemas.microsoft.com/office/2007/relationships/diagramDrawing" Target="diagrams/drawing1.xm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servicesaustralia.gov.au/audit-and-risk-committee-charter?context=22" TargetMode="External"/><Relationship Id="rId1" Type="http://schemas.openxmlformats.org/officeDocument/2006/relationships/hyperlink" Target="https://www.infrastructure.gov.au/department/media/publications/emissions-reduction-plan-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B87C9B-5736-4564-9C68-EE60222E2F0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AU"/>
        </a:p>
      </dgm:t>
    </dgm:pt>
    <dgm:pt modelId="{64F7A57B-7A61-449B-9FB4-0113B0179524}">
      <dgm:prSet phldrT="[Text]"/>
      <dgm:spPr/>
      <dgm:t>
        <a:bodyPr/>
        <a:lstStyle/>
        <a:p>
          <a:r>
            <a:rPr lang="en-AU"/>
            <a:t>Chief Executive Officer</a:t>
          </a:r>
        </a:p>
      </dgm:t>
    </dgm:pt>
    <dgm:pt modelId="{31198907-683D-4A29-B2FA-2ECD108D8F41}" type="parTrans" cxnId="{A5A445C3-D07A-4CCD-9FED-E18BADA829C2}">
      <dgm:prSet/>
      <dgm:spPr/>
      <dgm:t>
        <a:bodyPr/>
        <a:lstStyle/>
        <a:p>
          <a:endParaRPr lang="en-AU"/>
        </a:p>
      </dgm:t>
    </dgm:pt>
    <dgm:pt modelId="{DFE4A5F9-B6BF-4F76-9AC7-1A35A363328E}" type="sibTrans" cxnId="{A5A445C3-D07A-4CCD-9FED-E18BADA829C2}">
      <dgm:prSet/>
      <dgm:spPr/>
      <dgm:t>
        <a:bodyPr/>
        <a:lstStyle/>
        <a:p>
          <a:endParaRPr lang="en-AU"/>
        </a:p>
      </dgm:t>
    </dgm:pt>
    <dgm:pt modelId="{B86C7F58-D330-485F-809A-A5B7D7AF7EE6}" type="asst">
      <dgm:prSet phldrT="[Text]"/>
      <dgm:spPr/>
      <dgm:t>
        <a:bodyPr/>
        <a:lstStyle/>
        <a:p>
          <a:r>
            <a:rPr lang="en-AU"/>
            <a:t>Executive Board</a:t>
          </a:r>
        </a:p>
      </dgm:t>
    </dgm:pt>
    <dgm:pt modelId="{CD9CC980-01AB-4CC9-AEBC-F3CA488E5107}" type="parTrans" cxnId="{038945C1-079C-48E7-9095-2D7A4DD3E146}">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3EBE403E-B472-4DCC-97C8-F45C0E8AABAF}" type="sibTrans" cxnId="{038945C1-079C-48E7-9095-2D7A4DD3E146}">
      <dgm:prSet/>
      <dgm:spPr/>
      <dgm:t>
        <a:bodyPr/>
        <a:lstStyle/>
        <a:p>
          <a:endParaRPr lang="en-AU"/>
        </a:p>
      </dgm:t>
    </dgm:pt>
    <dgm:pt modelId="{E82938FD-3DC7-470D-8746-BBBD807D315D}">
      <dgm:prSet phldrT="[Text]"/>
      <dgm:spPr/>
      <dgm:t>
        <a:bodyPr/>
        <a:lstStyle/>
        <a:p>
          <a:r>
            <a:rPr lang="en-AU"/>
            <a:t>Chief Operating Officer</a:t>
          </a:r>
        </a:p>
      </dgm:t>
    </dgm:pt>
    <dgm:pt modelId="{6BACB121-7F75-4EC3-BF43-0CEF83B5E08E}" type="parTrans" cxnId="{70843266-4811-42C2-A186-D6A6323D08DC}">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18E68B6D-2E6E-4E8C-AF83-1CF15030E049}" type="sibTrans" cxnId="{70843266-4811-42C2-A186-D6A6323D08DC}">
      <dgm:prSet/>
      <dgm:spPr/>
      <dgm:t>
        <a:bodyPr/>
        <a:lstStyle/>
        <a:p>
          <a:endParaRPr lang="en-AU"/>
        </a:p>
      </dgm:t>
    </dgm:pt>
    <dgm:pt modelId="{913F16FF-675F-48C8-B65C-A7D040653A8B}">
      <dgm:prSet phldrT="[Text]"/>
      <dgm:spPr/>
      <dgm:t>
        <a:bodyPr/>
        <a:lstStyle/>
        <a:p>
          <a:r>
            <a:rPr lang="en-AU"/>
            <a:t>Deputy Chief Executive (Project Delivery)</a:t>
          </a:r>
        </a:p>
      </dgm:t>
    </dgm:pt>
    <dgm:pt modelId="{A0F4F245-4F09-4439-873E-559BC2CD31A5}" type="parTrans" cxnId="{0D58143A-E083-41D6-82EE-137991B91DE0}">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498F2982-BE07-407C-B4DD-BB2695E6F440}" type="sibTrans" cxnId="{0D58143A-E083-41D6-82EE-137991B91DE0}">
      <dgm:prSet/>
      <dgm:spPr/>
      <dgm:t>
        <a:bodyPr/>
        <a:lstStyle/>
        <a:p>
          <a:endParaRPr lang="en-AU"/>
        </a:p>
      </dgm:t>
    </dgm:pt>
    <dgm:pt modelId="{75E13CE2-B5A6-4BF1-9A96-1A9A7B5780C5}" type="asst">
      <dgm:prSet phldrT="[Text]"/>
      <dgm:spPr/>
      <dgm:t>
        <a:bodyPr/>
        <a:lstStyle/>
        <a:p>
          <a:r>
            <a:rPr lang="en-AU"/>
            <a:t>Audit and Risk Committee</a:t>
          </a:r>
        </a:p>
      </dgm:t>
    </dgm:pt>
    <dgm:pt modelId="{D9606DF9-2D7C-40FF-96F4-F90ED3E830C0}" type="parTrans" cxnId="{30CD3C76-D830-46E2-8C8C-39A41E189F2F}">
      <dgm:prSet/>
      <dgm:spPr/>
      <dgm:t>
        <a:bodyPr/>
        <a:lstStyle/>
        <a:p>
          <a:endParaRPr lang="en-AU"/>
        </a:p>
      </dgm:t>
    </dgm:pt>
    <dgm:pt modelId="{20ACCD45-1107-4130-BFA6-3D18DF29E13E}" type="sibTrans" cxnId="{30CD3C76-D830-46E2-8C8C-39A41E189F2F}">
      <dgm:prSet/>
      <dgm:spPr/>
      <dgm:t>
        <a:bodyPr/>
        <a:lstStyle/>
        <a:p>
          <a:endParaRPr lang="en-AU"/>
        </a:p>
      </dgm:t>
    </dgm:pt>
    <dgm:pt modelId="{A0110EBA-0121-4464-841F-16F76DBA73C4}">
      <dgm:prSet phldrT="[Text]"/>
      <dgm:spPr/>
      <dgm:t>
        <a:bodyPr/>
        <a:lstStyle/>
        <a:p>
          <a:r>
            <a:rPr lang="en-AU"/>
            <a:t>Deputy Chief Executive (Innovation and Technology)</a:t>
          </a:r>
        </a:p>
      </dgm:t>
    </dgm:pt>
    <dgm:pt modelId="{CCA2DF76-951A-46B7-9BC4-002B74C688EA}" type="parTrans" cxnId="{6867DA94-E19D-49AF-81B1-2791D776ADC5}">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2FA65C8B-6675-4404-86FB-1771BC11783E}" type="sibTrans" cxnId="{6867DA94-E19D-49AF-81B1-2791D776ADC5}">
      <dgm:prSet/>
      <dgm:spPr/>
      <dgm:t>
        <a:bodyPr/>
        <a:lstStyle/>
        <a:p>
          <a:endParaRPr lang="en-AU"/>
        </a:p>
      </dgm:t>
    </dgm:pt>
    <dgm:pt modelId="{E2EECCA3-2F1F-4544-9F25-B1B1977BCF55}" type="pres">
      <dgm:prSet presAssocID="{E0B87C9B-5736-4564-9C68-EE60222E2F0C}" presName="hierChild1" presStyleCnt="0">
        <dgm:presLayoutVars>
          <dgm:orgChart val="1"/>
          <dgm:chPref val="1"/>
          <dgm:dir/>
          <dgm:animOne val="branch"/>
          <dgm:animLvl val="lvl"/>
          <dgm:resizeHandles/>
        </dgm:presLayoutVars>
      </dgm:prSet>
      <dgm:spPr/>
    </dgm:pt>
    <dgm:pt modelId="{8CAABC97-0DB7-49EC-A47B-2A4698FA3269}" type="pres">
      <dgm:prSet presAssocID="{64F7A57B-7A61-449B-9FB4-0113B0179524}" presName="hierRoot1" presStyleCnt="0">
        <dgm:presLayoutVars>
          <dgm:hierBranch val="init"/>
        </dgm:presLayoutVars>
      </dgm:prSet>
      <dgm:spPr/>
    </dgm:pt>
    <dgm:pt modelId="{245F7F34-D792-4A70-8368-3B21FBE6DDD2}" type="pres">
      <dgm:prSet presAssocID="{64F7A57B-7A61-449B-9FB4-0113B0179524}" presName="rootComposite1" presStyleCnt="0"/>
      <dgm:spPr/>
    </dgm:pt>
    <dgm:pt modelId="{F09762E2-4BDB-4880-80C8-DB0C142636FF}" type="pres">
      <dgm:prSet presAssocID="{64F7A57B-7A61-449B-9FB4-0113B0179524}" presName="rootText1" presStyleLbl="node0" presStyleIdx="0" presStyleCnt="1">
        <dgm:presLayoutVars>
          <dgm:chPref val="3"/>
        </dgm:presLayoutVars>
      </dgm:prSet>
      <dgm:spPr/>
    </dgm:pt>
    <dgm:pt modelId="{DBBC11A7-AF70-4F4A-97E6-3B74A4B881D6}" type="pres">
      <dgm:prSet presAssocID="{64F7A57B-7A61-449B-9FB4-0113B0179524}" presName="rootConnector1" presStyleLbl="node1" presStyleIdx="0" presStyleCnt="0"/>
      <dgm:spPr/>
    </dgm:pt>
    <dgm:pt modelId="{238254D9-06A0-423B-A92A-79EB654222AD}" type="pres">
      <dgm:prSet presAssocID="{64F7A57B-7A61-449B-9FB4-0113B0179524}" presName="hierChild2" presStyleCnt="0"/>
      <dgm:spPr/>
    </dgm:pt>
    <dgm:pt modelId="{01BC95FC-DAF5-46D3-8F0C-1200CAABE253}" type="pres">
      <dgm:prSet presAssocID="{6BACB121-7F75-4EC3-BF43-0CEF83B5E08E}" presName="Name37" presStyleLbl="parChTrans1D2" presStyleIdx="0" presStyleCnt="5"/>
      <dgm:spPr/>
    </dgm:pt>
    <dgm:pt modelId="{03E069E7-1988-4258-ADF8-671A1F2E7D59}" type="pres">
      <dgm:prSet presAssocID="{E82938FD-3DC7-470D-8746-BBBD807D315D}" presName="hierRoot2" presStyleCnt="0">
        <dgm:presLayoutVars>
          <dgm:hierBranch val="init"/>
        </dgm:presLayoutVars>
      </dgm:prSet>
      <dgm:spPr/>
    </dgm:pt>
    <dgm:pt modelId="{A527C79F-3747-4A5C-A44F-20E1F3A7C35B}" type="pres">
      <dgm:prSet presAssocID="{E82938FD-3DC7-470D-8746-BBBD807D315D}" presName="rootComposite" presStyleCnt="0"/>
      <dgm:spPr/>
    </dgm:pt>
    <dgm:pt modelId="{E2D3D95A-879F-41D3-AA94-AE52E0DCA5C0}" type="pres">
      <dgm:prSet presAssocID="{E82938FD-3DC7-470D-8746-BBBD807D315D}" presName="rootText" presStyleLbl="node2" presStyleIdx="0" presStyleCnt="3">
        <dgm:presLayoutVars>
          <dgm:chPref val="3"/>
        </dgm:presLayoutVars>
      </dgm:prSet>
      <dgm:spPr/>
    </dgm:pt>
    <dgm:pt modelId="{3C80411B-74E0-49E9-A7D8-B5DC63C9D6BB}" type="pres">
      <dgm:prSet presAssocID="{E82938FD-3DC7-470D-8746-BBBD807D315D}" presName="rootConnector" presStyleLbl="node2" presStyleIdx="0" presStyleCnt="3"/>
      <dgm:spPr/>
    </dgm:pt>
    <dgm:pt modelId="{581697D0-6D85-4481-BA0E-F73E3FADE9A6}" type="pres">
      <dgm:prSet presAssocID="{E82938FD-3DC7-470D-8746-BBBD807D315D}" presName="hierChild4" presStyleCnt="0"/>
      <dgm:spPr/>
    </dgm:pt>
    <dgm:pt modelId="{FBCCCB6B-3517-4BBD-8AE9-9725E67091C9}" type="pres">
      <dgm:prSet presAssocID="{E82938FD-3DC7-470D-8746-BBBD807D315D}" presName="hierChild5" presStyleCnt="0"/>
      <dgm:spPr/>
    </dgm:pt>
    <dgm:pt modelId="{177EE92A-9AEE-4D72-81F7-5D0A40010AC1}" type="pres">
      <dgm:prSet presAssocID="{A0F4F245-4F09-4439-873E-559BC2CD31A5}" presName="Name37" presStyleLbl="parChTrans1D2" presStyleIdx="1" presStyleCnt="5"/>
      <dgm:spPr/>
    </dgm:pt>
    <dgm:pt modelId="{051BCAF2-112A-4F5B-B5F7-1CFF04F102E7}" type="pres">
      <dgm:prSet presAssocID="{913F16FF-675F-48C8-B65C-A7D040653A8B}" presName="hierRoot2" presStyleCnt="0">
        <dgm:presLayoutVars>
          <dgm:hierBranch val="init"/>
        </dgm:presLayoutVars>
      </dgm:prSet>
      <dgm:spPr/>
    </dgm:pt>
    <dgm:pt modelId="{CA0FF543-497C-4226-9BAF-694F2E2021CB}" type="pres">
      <dgm:prSet presAssocID="{913F16FF-675F-48C8-B65C-A7D040653A8B}" presName="rootComposite" presStyleCnt="0"/>
      <dgm:spPr/>
    </dgm:pt>
    <dgm:pt modelId="{1641E092-65C5-434C-A233-CAB207B56AA2}" type="pres">
      <dgm:prSet presAssocID="{913F16FF-675F-48C8-B65C-A7D040653A8B}" presName="rootText" presStyleLbl="node2" presStyleIdx="1" presStyleCnt="3">
        <dgm:presLayoutVars>
          <dgm:chPref val="3"/>
        </dgm:presLayoutVars>
      </dgm:prSet>
      <dgm:spPr/>
    </dgm:pt>
    <dgm:pt modelId="{10EBDEBE-8AEB-4A5B-9588-F7D0EE89B8B7}" type="pres">
      <dgm:prSet presAssocID="{913F16FF-675F-48C8-B65C-A7D040653A8B}" presName="rootConnector" presStyleLbl="node2" presStyleIdx="1" presStyleCnt="3"/>
      <dgm:spPr/>
    </dgm:pt>
    <dgm:pt modelId="{807FA25E-4510-4D09-A231-6D5C38737F2A}" type="pres">
      <dgm:prSet presAssocID="{913F16FF-675F-48C8-B65C-A7D040653A8B}" presName="hierChild4" presStyleCnt="0"/>
      <dgm:spPr/>
    </dgm:pt>
    <dgm:pt modelId="{631A8566-BEF0-4DE7-AE13-82E053523A8F}" type="pres">
      <dgm:prSet presAssocID="{913F16FF-675F-48C8-B65C-A7D040653A8B}" presName="hierChild5" presStyleCnt="0"/>
      <dgm:spPr/>
    </dgm:pt>
    <dgm:pt modelId="{EA45F08B-2602-4415-8749-3C84E64EC247}" type="pres">
      <dgm:prSet presAssocID="{CCA2DF76-951A-46B7-9BC4-002B74C688EA}" presName="Name37" presStyleLbl="parChTrans1D2" presStyleIdx="2" presStyleCnt="5"/>
      <dgm:spPr/>
    </dgm:pt>
    <dgm:pt modelId="{AF6D3810-EBFB-40B1-9073-CBE518AF1601}" type="pres">
      <dgm:prSet presAssocID="{A0110EBA-0121-4464-841F-16F76DBA73C4}" presName="hierRoot2" presStyleCnt="0">
        <dgm:presLayoutVars>
          <dgm:hierBranch val="init"/>
        </dgm:presLayoutVars>
      </dgm:prSet>
      <dgm:spPr/>
    </dgm:pt>
    <dgm:pt modelId="{D408BB00-35E7-401B-8542-362CEE17143A}" type="pres">
      <dgm:prSet presAssocID="{A0110EBA-0121-4464-841F-16F76DBA73C4}" presName="rootComposite" presStyleCnt="0"/>
      <dgm:spPr/>
    </dgm:pt>
    <dgm:pt modelId="{B545C1CC-2F8F-4794-8A74-EC8ECA9D08DE}" type="pres">
      <dgm:prSet presAssocID="{A0110EBA-0121-4464-841F-16F76DBA73C4}" presName="rootText" presStyleLbl="node2" presStyleIdx="2" presStyleCnt="3">
        <dgm:presLayoutVars>
          <dgm:chPref val="3"/>
        </dgm:presLayoutVars>
      </dgm:prSet>
      <dgm:spPr/>
    </dgm:pt>
    <dgm:pt modelId="{E39CEC41-3947-4D4D-A4DB-8A62D60F4AAA}" type="pres">
      <dgm:prSet presAssocID="{A0110EBA-0121-4464-841F-16F76DBA73C4}" presName="rootConnector" presStyleLbl="node2" presStyleIdx="2" presStyleCnt="3"/>
      <dgm:spPr/>
    </dgm:pt>
    <dgm:pt modelId="{63E52E5D-8D7B-46A9-8EF1-F8FA72F8D56C}" type="pres">
      <dgm:prSet presAssocID="{A0110EBA-0121-4464-841F-16F76DBA73C4}" presName="hierChild4" presStyleCnt="0"/>
      <dgm:spPr/>
    </dgm:pt>
    <dgm:pt modelId="{4F93715A-3060-4359-93F5-4CCF03CC1026}" type="pres">
      <dgm:prSet presAssocID="{A0110EBA-0121-4464-841F-16F76DBA73C4}" presName="hierChild5" presStyleCnt="0"/>
      <dgm:spPr/>
    </dgm:pt>
    <dgm:pt modelId="{B092C7BE-17C6-4CE1-9CEC-BAEF2E4F0994}" type="pres">
      <dgm:prSet presAssocID="{64F7A57B-7A61-449B-9FB4-0113B0179524}" presName="hierChild3" presStyleCnt="0"/>
      <dgm:spPr/>
    </dgm:pt>
    <dgm:pt modelId="{75DA1C13-9E06-47AB-8FA4-1D666FC539A6}" type="pres">
      <dgm:prSet presAssocID="{CD9CC980-01AB-4CC9-AEBC-F3CA488E5107}" presName="Name111" presStyleLbl="parChTrans1D2" presStyleIdx="3" presStyleCnt="5"/>
      <dgm:spPr/>
    </dgm:pt>
    <dgm:pt modelId="{02249426-256A-411E-8C53-146418B2308C}" type="pres">
      <dgm:prSet presAssocID="{B86C7F58-D330-485F-809A-A5B7D7AF7EE6}" presName="hierRoot3" presStyleCnt="0">
        <dgm:presLayoutVars>
          <dgm:hierBranch val="init"/>
        </dgm:presLayoutVars>
      </dgm:prSet>
      <dgm:spPr/>
    </dgm:pt>
    <dgm:pt modelId="{559240BE-C6CC-41A7-93CC-8021E64596F1}" type="pres">
      <dgm:prSet presAssocID="{B86C7F58-D330-485F-809A-A5B7D7AF7EE6}" presName="rootComposite3" presStyleCnt="0"/>
      <dgm:spPr/>
    </dgm:pt>
    <dgm:pt modelId="{98AFD705-5668-49FF-B0D8-151405A66AAF}" type="pres">
      <dgm:prSet presAssocID="{B86C7F58-D330-485F-809A-A5B7D7AF7EE6}" presName="rootText3" presStyleLbl="asst1" presStyleIdx="0" presStyleCnt="2">
        <dgm:presLayoutVars>
          <dgm:chPref val="3"/>
        </dgm:presLayoutVars>
      </dgm:prSet>
      <dgm:spPr/>
    </dgm:pt>
    <dgm:pt modelId="{7165DDAD-7C76-4983-B938-88683C1259AE}" type="pres">
      <dgm:prSet presAssocID="{B86C7F58-D330-485F-809A-A5B7D7AF7EE6}" presName="rootConnector3" presStyleLbl="asst1" presStyleIdx="0" presStyleCnt="2"/>
      <dgm:spPr/>
    </dgm:pt>
    <dgm:pt modelId="{25CB63BB-8681-49B9-973A-48E10BBB4B61}" type="pres">
      <dgm:prSet presAssocID="{B86C7F58-D330-485F-809A-A5B7D7AF7EE6}" presName="hierChild6" presStyleCnt="0"/>
      <dgm:spPr/>
    </dgm:pt>
    <dgm:pt modelId="{5C903FC9-A899-41E3-AECD-A194E6E23634}" type="pres">
      <dgm:prSet presAssocID="{B86C7F58-D330-485F-809A-A5B7D7AF7EE6}" presName="hierChild7" presStyleCnt="0"/>
      <dgm:spPr/>
    </dgm:pt>
    <dgm:pt modelId="{F4D19B7E-6877-45BD-8C06-E4F9D9D84C05}" type="pres">
      <dgm:prSet presAssocID="{D9606DF9-2D7C-40FF-96F4-F90ED3E830C0}" presName="Name111" presStyleLbl="parChTrans1D2" presStyleIdx="4" presStyleCnt="5"/>
      <dgm:spPr/>
    </dgm:pt>
    <dgm:pt modelId="{BD1F7E6C-7A40-457D-A514-8B02DE492B51}" type="pres">
      <dgm:prSet presAssocID="{75E13CE2-B5A6-4BF1-9A96-1A9A7B5780C5}" presName="hierRoot3" presStyleCnt="0">
        <dgm:presLayoutVars>
          <dgm:hierBranch val="init"/>
        </dgm:presLayoutVars>
      </dgm:prSet>
      <dgm:spPr/>
    </dgm:pt>
    <dgm:pt modelId="{BC80B51F-2F83-4A71-972B-9A80E9A014CF}" type="pres">
      <dgm:prSet presAssocID="{75E13CE2-B5A6-4BF1-9A96-1A9A7B5780C5}" presName="rootComposite3" presStyleCnt="0"/>
      <dgm:spPr/>
    </dgm:pt>
    <dgm:pt modelId="{0EA2203F-BF27-4013-8848-C954D8E2528D}" type="pres">
      <dgm:prSet presAssocID="{75E13CE2-B5A6-4BF1-9A96-1A9A7B5780C5}" presName="rootText3" presStyleLbl="asst1" presStyleIdx="1" presStyleCnt="2">
        <dgm:presLayoutVars>
          <dgm:chPref val="3"/>
        </dgm:presLayoutVars>
      </dgm:prSet>
      <dgm:spPr/>
    </dgm:pt>
    <dgm:pt modelId="{A5C87B4F-CB53-4C62-BD75-287A616E4F3A}" type="pres">
      <dgm:prSet presAssocID="{75E13CE2-B5A6-4BF1-9A96-1A9A7B5780C5}" presName="rootConnector3" presStyleLbl="asst1" presStyleIdx="1" presStyleCnt="2"/>
      <dgm:spPr/>
    </dgm:pt>
    <dgm:pt modelId="{F18A0320-BEF8-4933-A95C-CC3D42289E7B}" type="pres">
      <dgm:prSet presAssocID="{75E13CE2-B5A6-4BF1-9A96-1A9A7B5780C5}" presName="hierChild6" presStyleCnt="0"/>
      <dgm:spPr/>
    </dgm:pt>
    <dgm:pt modelId="{2439A484-90AD-42EA-8AFF-841FF45F5808}" type="pres">
      <dgm:prSet presAssocID="{75E13CE2-B5A6-4BF1-9A96-1A9A7B5780C5}" presName="hierChild7" presStyleCnt="0"/>
      <dgm:spPr/>
    </dgm:pt>
  </dgm:ptLst>
  <dgm:cxnLst>
    <dgm:cxn modelId="{5A102804-2B4F-47AB-94ED-2BEE1394F337}" type="presOf" srcId="{75E13CE2-B5A6-4BF1-9A96-1A9A7B5780C5}" destId="{A5C87B4F-CB53-4C62-BD75-287A616E4F3A}" srcOrd="1" destOrd="0" presId="urn:microsoft.com/office/officeart/2005/8/layout/orgChart1"/>
    <dgm:cxn modelId="{3D05E21B-C94F-4337-B24B-B0FAA48A0B06}" type="presOf" srcId="{A0110EBA-0121-4464-841F-16F76DBA73C4}" destId="{E39CEC41-3947-4D4D-A4DB-8A62D60F4AAA}" srcOrd="1" destOrd="0" presId="urn:microsoft.com/office/officeart/2005/8/layout/orgChart1"/>
    <dgm:cxn modelId="{5EAB5125-1587-4915-AFDD-3E82384DC533}" type="presOf" srcId="{6BACB121-7F75-4EC3-BF43-0CEF83B5E08E}" destId="{01BC95FC-DAF5-46D3-8F0C-1200CAABE253}" srcOrd="0" destOrd="0" presId="urn:microsoft.com/office/officeart/2005/8/layout/orgChart1"/>
    <dgm:cxn modelId="{5B291E39-E2FB-49CE-AB5B-6699889FAB0D}" type="presOf" srcId="{E0B87C9B-5736-4564-9C68-EE60222E2F0C}" destId="{E2EECCA3-2F1F-4544-9F25-B1B1977BCF55}" srcOrd="0" destOrd="0" presId="urn:microsoft.com/office/officeart/2005/8/layout/orgChart1"/>
    <dgm:cxn modelId="{0D58143A-E083-41D6-82EE-137991B91DE0}" srcId="{64F7A57B-7A61-449B-9FB4-0113B0179524}" destId="{913F16FF-675F-48C8-B65C-A7D040653A8B}" srcOrd="3" destOrd="0" parTransId="{A0F4F245-4F09-4439-873E-559BC2CD31A5}" sibTransId="{498F2982-BE07-407C-B4DD-BB2695E6F440}"/>
    <dgm:cxn modelId="{E3106462-8063-4C9D-9CCA-7AEE444E56E1}" type="presOf" srcId="{913F16FF-675F-48C8-B65C-A7D040653A8B}" destId="{1641E092-65C5-434C-A233-CAB207B56AA2}" srcOrd="0" destOrd="0" presId="urn:microsoft.com/office/officeart/2005/8/layout/orgChart1"/>
    <dgm:cxn modelId="{70843266-4811-42C2-A186-D6A6323D08DC}" srcId="{64F7A57B-7A61-449B-9FB4-0113B0179524}" destId="{E82938FD-3DC7-470D-8746-BBBD807D315D}" srcOrd="2" destOrd="0" parTransId="{6BACB121-7F75-4EC3-BF43-0CEF83B5E08E}" sibTransId="{18E68B6D-2E6E-4E8C-AF83-1CF15030E049}"/>
    <dgm:cxn modelId="{C253BB52-BCA1-466A-80A1-9DDDC9D064FB}" type="presOf" srcId="{E82938FD-3DC7-470D-8746-BBBD807D315D}" destId="{E2D3D95A-879F-41D3-AA94-AE52E0DCA5C0}" srcOrd="0" destOrd="0" presId="urn:microsoft.com/office/officeart/2005/8/layout/orgChart1"/>
    <dgm:cxn modelId="{30CD3C76-D830-46E2-8C8C-39A41E189F2F}" srcId="{64F7A57B-7A61-449B-9FB4-0113B0179524}" destId="{75E13CE2-B5A6-4BF1-9A96-1A9A7B5780C5}" srcOrd="1" destOrd="0" parTransId="{D9606DF9-2D7C-40FF-96F4-F90ED3E830C0}" sibTransId="{20ACCD45-1107-4130-BFA6-3D18DF29E13E}"/>
    <dgm:cxn modelId="{0533B558-AC39-4779-9DD8-444914188333}" type="presOf" srcId="{B86C7F58-D330-485F-809A-A5B7D7AF7EE6}" destId="{7165DDAD-7C76-4983-B938-88683C1259AE}" srcOrd="1" destOrd="0" presId="urn:microsoft.com/office/officeart/2005/8/layout/orgChart1"/>
    <dgm:cxn modelId="{ED7DF578-20E5-4E8D-BC4F-F089ACE19DEE}" type="presOf" srcId="{B86C7F58-D330-485F-809A-A5B7D7AF7EE6}" destId="{98AFD705-5668-49FF-B0D8-151405A66AAF}" srcOrd="0" destOrd="0" presId="urn:microsoft.com/office/officeart/2005/8/layout/orgChart1"/>
    <dgm:cxn modelId="{D2690186-9871-4C8F-85A4-DBC720C3C435}" type="presOf" srcId="{64F7A57B-7A61-449B-9FB4-0113B0179524}" destId="{F09762E2-4BDB-4880-80C8-DB0C142636FF}" srcOrd="0" destOrd="0" presId="urn:microsoft.com/office/officeart/2005/8/layout/orgChart1"/>
    <dgm:cxn modelId="{6867DA94-E19D-49AF-81B1-2791D776ADC5}" srcId="{64F7A57B-7A61-449B-9FB4-0113B0179524}" destId="{A0110EBA-0121-4464-841F-16F76DBA73C4}" srcOrd="4" destOrd="0" parTransId="{CCA2DF76-951A-46B7-9BC4-002B74C688EA}" sibTransId="{2FA65C8B-6675-4404-86FB-1771BC11783E}"/>
    <dgm:cxn modelId="{0FBFB4B3-3281-4495-A2B6-336127C7EB99}" type="presOf" srcId="{A0F4F245-4F09-4439-873E-559BC2CD31A5}" destId="{177EE92A-9AEE-4D72-81F7-5D0A40010AC1}" srcOrd="0" destOrd="0" presId="urn:microsoft.com/office/officeart/2005/8/layout/orgChart1"/>
    <dgm:cxn modelId="{9540D6B3-E0A1-4851-929C-FC43FCAB52B9}" type="presOf" srcId="{913F16FF-675F-48C8-B65C-A7D040653A8B}" destId="{10EBDEBE-8AEB-4A5B-9588-F7D0EE89B8B7}" srcOrd="1" destOrd="0" presId="urn:microsoft.com/office/officeart/2005/8/layout/orgChart1"/>
    <dgm:cxn modelId="{0CC333D7-3E1A-4E53-B093-53EAE7E06F77}" type="presOf" srcId="{75E13CE2-B5A6-4BF1-9A96-1A9A7B5780C5}" destId="{0EA2203F-BF27-4013-8848-C954D8E2528D}" srcOrd="0" destOrd="0" presId="urn:microsoft.com/office/officeart/2005/8/layout/orgChart1"/>
    <dgm:cxn modelId="{038945C1-079C-48E7-9095-2D7A4DD3E146}" srcId="{64F7A57B-7A61-449B-9FB4-0113B0179524}" destId="{B86C7F58-D330-485F-809A-A5B7D7AF7EE6}" srcOrd="0" destOrd="0" parTransId="{CD9CC980-01AB-4CC9-AEBC-F3CA488E5107}" sibTransId="{3EBE403E-B472-4DCC-97C8-F45C0E8AABAF}"/>
    <dgm:cxn modelId="{A5A445C3-D07A-4CCD-9FED-E18BADA829C2}" srcId="{E0B87C9B-5736-4564-9C68-EE60222E2F0C}" destId="{64F7A57B-7A61-449B-9FB4-0113B0179524}" srcOrd="0" destOrd="0" parTransId="{31198907-683D-4A29-B2FA-2ECD108D8F41}" sibTransId="{DFE4A5F9-B6BF-4F76-9AC7-1A35A363328E}"/>
    <dgm:cxn modelId="{01D073C4-F9D1-4603-8EA3-209CB89DD675}" type="presOf" srcId="{A0110EBA-0121-4464-841F-16F76DBA73C4}" destId="{B545C1CC-2F8F-4794-8A74-EC8ECA9D08DE}" srcOrd="0" destOrd="0" presId="urn:microsoft.com/office/officeart/2005/8/layout/orgChart1"/>
    <dgm:cxn modelId="{743D9DC5-77E9-4D38-B389-0D4E82272CDC}" type="presOf" srcId="{CD9CC980-01AB-4CC9-AEBC-F3CA488E5107}" destId="{75DA1C13-9E06-47AB-8FA4-1D666FC539A6}" srcOrd="0" destOrd="0" presId="urn:microsoft.com/office/officeart/2005/8/layout/orgChart1"/>
    <dgm:cxn modelId="{FE16FCE8-4547-4202-A617-FC346D77CDE1}" type="presOf" srcId="{E82938FD-3DC7-470D-8746-BBBD807D315D}" destId="{3C80411B-74E0-49E9-A7D8-B5DC63C9D6BB}" srcOrd="1" destOrd="0" presId="urn:microsoft.com/office/officeart/2005/8/layout/orgChart1"/>
    <dgm:cxn modelId="{30E865EB-4763-4A91-85A7-6A8102B7CE3E}" type="presOf" srcId="{64F7A57B-7A61-449B-9FB4-0113B0179524}" destId="{DBBC11A7-AF70-4F4A-97E6-3B74A4B881D6}" srcOrd="1" destOrd="0" presId="urn:microsoft.com/office/officeart/2005/8/layout/orgChart1"/>
    <dgm:cxn modelId="{B5ADACCC-3D4B-4C03-8DF4-326A8A2594C1}" type="presOf" srcId="{D9606DF9-2D7C-40FF-96F4-F90ED3E830C0}" destId="{F4D19B7E-6877-45BD-8C06-E4F9D9D84C05}" srcOrd="0" destOrd="0" presId="urn:microsoft.com/office/officeart/2005/8/layout/orgChart1"/>
    <dgm:cxn modelId="{A6FF56D1-41CE-4371-877B-899AD9B14EA9}" type="presOf" srcId="{CCA2DF76-951A-46B7-9BC4-002B74C688EA}" destId="{EA45F08B-2602-4415-8749-3C84E64EC247}" srcOrd="0" destOrd="0" presId="urn:microsoft.com/office/officeart/2005/8/layout/orgChart1"/>
    <dgm:cxn modelId="{6CBC993E-D0EF-4EF8-AB8E-C9FF77D4EC1B}" type="presParOf" srcId="{E2EECCA3-2F1F-4544-9F25-B1B1977BCF55}" destId="{8CAABC97-0DB7-49EC-A47B-2A4698FA3269}" srcOrd="0" destOrd="0" presId="urn:microsoft.com/office/officeart/2005/8/layout/orgChart1"/>
    <dgm:cxn modelId="{E2CA1923-99EE-4958-8793-AF24265490FD}" type="presParOf" srcId="{8CAABC97-0DB7-49EC-A47B-2A4698FA3269}" destId="{245F7F34-D792-4A70-8368-3B21FBE6DDD2}" srcOrd="0" destOrd="0" presId="urn:microsoft.com/office/officeart/2005/8/layout/orgChart1"/>
    <dgm:cxn modelId="{2A8FDF5E-BF5B-4DB5-AC43-0C166568A545}" type="presParOf" srcId="{245F7F34-D792-4A70-8368-3B21FBE6DDD2}" destId="{F09762E2-4BDB-4880-80C8-DB0C142636FF}" srcOrd="0" destOrd="0" presId="urn:microsoft.com/office/officeart/2005/8/layout/orgChart1"/>
    <dgm:cxn modelId="{57D32770-D2E9-42B2-ADD3-2BB904DC37EA}" type="presParOf" srcId="{245F7F34-D792-4A70-8368-3B21FBE6DDD2}" destId="{DBBC11A7-AF70-4F4A-97E6-3B74A4B881D6}" srcOrd="1" destOrd="0" presId="urn:microsoft.com/office/officeart/2005/8/layout/orgChart1"/>
    <dgm:cxn modelId="{3AF216D7-AF21-431B-A14D-D7F8E9610DB1}" type="presParOf" srcId="{8CAABC97-0DB7-49EC-A47B-2A4698FA3269}" destId="{238254D9-06A0-423B-A92A-79EB654222AD}" srcOrd="1" destOrd="0" presId="urn:microsoft.com/office/officeart/2005/8/layout/orgChart1"/>
    <dgm:cxn modelId="{48848E61-72CF-45F1-990D-FA0FB3A72CD2}" type="presParOf" srcId="{238254D9-06A0-423B-A92A-79EB654222AD}" destId="{01BC95FC-DAF5-46D3-8F0C-1200CAABE253}" srcOrd="0" destOrd="0" presId="urn:microsoft.com/office/officeart/2005/8/layout/orgChart1"/>
    <dgm:cxn modelId="{010479C9-AA86-4A0C-8716-2C0274712F75}" type="presParOf" srcId="{238254D9-06A0-423B-A92A-79EB654222AD}" destId="{03E069E7-1988-4258-ADF8-671A1F2E7D59}" srcOrd="1" destOrd="0" presId="urn:microsoft.com/office/officeart/2005/8/layout/orgChart1"/>
    <dgm:cxn modelId="{840C5B48-318A-4EFC-A94A-352F1F57731E}" type="presParOf" srcId="{03E069E7-1988-4258-ADF8-671A1F2E7D59}" destId="{A527C79F-3747-4A5C-A44F-20E1F3A7C35B}" srcOrd="0" destOrd="0" presId="urn:microsoft.com/office/officeart/2005/8/layout/orgChart1"/>
    <dgm:cxn modelId="{FCF41BC9-330A-495E-8937-259A25488EAC}" type="presParOf" srcId="{A527C79F-3747-4A5C-A44F-20E1F3A7C35B}" destId="{E2D3D95A-879F-41D3-AA94-AE52E0DCA5C0}" srcOrd="0" destOrd="0" presId="urn:microsoft.com/office/officeart/2005/8/layout/orgChart1"/>
    <dgm:cxn modelId="{3B1AD3E0-B0DE-4F76-99BA-0890D1D83885}" type="presParOf" srcId="{A527C79F-3747-4A5C-A44F-20E1F3A7C35B}" destId="{3C80411B-74E0-49E9-A7D8-B5DC63C9D6BB}" srcOrd="1" destOrd="0" presId="urn:microsoft.com/office/officeart/2005/8/layout/orgChart1"/>
    <dgm:cxn modelId="{EE50181A-9F4F-4BFC-877E-8302B7668BBB}" type="presParOf" srcId="{03E069E7-1988-4258-ADF8-671A1F2E7D59}" destId="{581697D0-6D85-4481-BA0E-F73E3FADE9A6}" srcOrd="1" destOrd="0" presId="urn:microsoft.com/office/officeart/2005/8/layout/orgChart1"/>
    <dgm:cxn modelId="{2254D827-649B-4A4A-BB5B-5D663C6A2500}" type="presParOf" srcId="{03E069E7-1988-4258-ADF8-671A1F2E7D59}" destId="{FBCCCB6B-3517-4BBD-8AE9-9725E67091C9}" srcOrd="2" destOrd="0" presId="urn:microsoft.com/office/officeart/2005/8/layout/orgChart1"/>
    <dgm:cxn modelId="{C38471C6-5827-4C52-9ED6-5F871C1E13DC}" type="presParOf" srcId="{238254D9-06A0-423B-A92A-79EB654222AD}" destId="{177EE92A-9AEE-4D72-81F7-5D0A40010AC1}" srcOrd="2" destOrd="0" presId="urn:microsoft.com/office/officeart/2005/8/layout/orgChart1"/>
    <dgm:cxn modelId="{8C6A8F57-3B1A-4129-A0A0-4AA8F68A7BF5}" type="presParOf" srcId="{238254D9-06A0-423B-A92A-79EB654222AD}" destId="{051BCAF2-112A-4F5B-B5F7-1CFF04F102E7}" srcOrd="3" destOrd="0" presId="urn:microsoft.com/office/officeart/2005/8/layout/orgChart1"/>
    <dgm:cxn modelId="{D7556232-0D20-45FF-96A3-58D82EFF98A2}" type="presParOf" srcId="{051BCAF2-112A-4F5B-B5F7-1CFF04F102E7}" destId="{CA0FF543-497C-4226-9BAF-694F2E2021CB}" srcOrd="0" destOrd="0" presId="urn:microsoft.com/office/officeart/2005/8/layout/orgChart1"/>
    <dgm:cxn modelId="{C04B9486-2258-4B25-B51E-6634B74B686E}" type="presParOf" srcId="{CA0FF543-497C-4226-9BAF-694F2E2021CB}" destId="{1641E092-65C5-434C-A233-CAB207B56AA2}" srcOrd="0" destOrd="0" presId="urn:microsoft.com/office/officeart/2005/8/layout/orgChart1"/>
    <dgm:cxn modelId="{381ACDA5-F1E1-46C3-B9C3-D5258D389F38}" type="presParOf" srcId="{CA0FF543-497C-4226-9BAF-694F2E2021CB}" destId="{10EBDEBE-8AEB-4A5B-9588-F7D0EE89B8B7}" srcOrd="1" destOrd="0" presId="urn:microsoft.com/office/officeart/2005/8/layout/orgChart1"/>
    <dgm:cxn modelId="{DD1B83D0-AE72-428E-91AA-4CF6A8C608AE}" type="presParOf" srcId="{051BCAF2-112A-4F5B-B5F7-1CFF04F102E7}" destId="{807FA25E-4510-4D09-A231-6D5C38737F2A}" srcOrd="1" destOrd="0" presId="urn:microsoft.com/office/officeart/2005/8/layout/orgChart1"/>
    <dgm:cxn modelId="{3E0ABCC5-1117-439C-84D3-08E9A73B5B9F}" type="presParOf" srcId="{051BCAF2-112A-4F5B-B5F7-1CFF04F102E7}" destId="{631A8566-BEF0-4DE7-AE13-82E053523A8F}" srcOrd="2" destOrd="0" presId="urn:microsoft.com/office/officeart/2005/8/layout/orgChart1"/>
    <dgm:cxn modelId="{C5005657-15F2-4083-8D9B-91DFFC352C3F}" type="presParOf" srcId="{238254D9-06A0-423B-A92A-79EB654222AD}" destId="{EA45F08B-2602-4415-8749-3C84E64EC247}" srcOrd="4" destOrd="0" presId="urn:microsoft.com/office/officeart/2005/8/layout/orgChart1"/>
    <dgm:cxn modelId="{F8B37FBD-4A38-4A84-8B88-D7D4DCF8801E}" type="presParOf" srcId="{238254D9-06A0-423B-A92A-79EB654222AD}" destId="{AF6D3810-EBFB-40B1-9073-CBE518AF1601}" srcOrd="5" destOrd="0" presId="urn:microsoft.com/office/officeart/2005/8/layout/orgChart1"/>
    <dgm:cxn modelId="{F86EC153-5BEB-4C44-A5D9-87081A65B15B}" type="presParOf" srcId="{AF6D3810-EBFB-40B1-9073-CBE518AF1601}" destId="{D408BB00-35E7-401B-8542-362CEE17143A}" srcOrd="0" destOrd="0" presId="urn:microsoft.com/office/officeart/2005/8/layout/orgChart1"/>
    <dgm:cxn modelId="{3AE30AF2-138B-42DB-BBBA-23E557A75F31}" type="presParOf" srcId="{D408BB00-35E7-401B-8542-362CEE17143A}" destId="{B545C1CC-2F8F-4794-8A74-EC8ECA9D08DE}" srcOrd="0" destOrd="0" presId="urn:microsoft.com/office/officeart/2005/8/layout/orgChart1"/>
    <dgm:cxn modelId="{70AC4225-043F-4473-A55F-1380353A9F25}" type="presParOf" srcId="{D408BB00-35E7-401B-8542-362CEE17143A}" destId="{E39CEC41-3947-4D4D-A4DB-8A62D60F4AAA}" srcOrd="1" destOrd="0" presId="urn:microsoft.com/office/officeart/2005/8/layout/orgChart1"/>
    <dgm:cxn modelId="{133FABCE-BD52-4AE1-BDD3-7F9BA5DA54AE}" type="presParOf" srcId="{AF6D3810-EBFB-40B1-9073-CBE518AF1601}" destId="{63E52E5D-8D7B-46A9-8EF1-F8FA72F8D56C}" srcOrd="1" destOrd="0" presId="urn:microsoft.com/office/officeart/2005/8/layout/orgChart1"/>
    <dgm:cxn modelId="{B9E4F3E3-B057-46A7-80F8-93D8340FEF35}" type="presParOf" srcId="{AF6D3810-EBFB-40B1-9073-CBE518AF1601}" destId="{4F93715A-3060-4359-93F5-4CCF03CC1026}" srcOrd="2" destOrd="0" presId="urn:microsoft.com/office/officeart/2005/8/layout/orgChart1"/>
    <dgm:cxn modelId="{405F3CC4-312D-4140-A8BD-9B6E4C36AB45}" type="presParOf" srcId="{8CAABC97-0DB7-49EC-A47B-2A4698FA3269}" destId="{B092C7BE-17C6-4CE1-9CEC-BAEF2E4F0994}" srcOrd="2" destOrd="0" presId="urn:microsoft.com/office/officeart/2005/8/layout/orgChart1"/>
    <dgm:cxn modelId="{97C2B87F-02A3-4519-B533-AE9D7BC260F2}" type="presParOf" srcId="{B092C7BE-17C6-4CE1-9CEC-BAEF2E4F0994}" destId="{75DA1C13-9E06-47AB-8FA4-1D666FC539A6}" srcOrd="0" destOrd="0" presId="urn:microsoft.com/office/officeart/2005/8/layout/orgChart1"/>
    <dgm:cxn modelId="{6BF75B6E-581C-47FD-A007-E6F5D082E8C2}" type="presParOf" srcId="{B092C7BE-17C6-4CE1-9CEC-BAEF2E4F0994}" destId="{02249426-256A-411E-8C53-146418B2308C}" srcOrd="1" destOrd="0" presId="urn:microsoft.com/office/officeart/2005/8/layout/orgChart1"/>
    <dgm:cxn modelId="{80333CC6-FC9F-4E5E-94A1-0558965B3677}" type="presParOf" srcId="{02249426-256A-411E-8C53-146418B2308C}" destId="{559240BE-C6CC-41A7-93CC-8021E64596F1}" srcOrd="0" destOrd="0" presId="urn:microsoft.com/office/officeart/2005/8/layout/orgChart1"/>
    <dgm:cxn modelId="{C44A005E-48F3-46EB-8085-FA888B94097C}" type="presParOf" srcId="{559240BE-C6CC-41A7-93CC-8021E64596F1}" destId="{98AFD705-5668-49FF-B0D8-151405A66AAF}" srcOrd="0" destOrd="0" presId="urn:microsoft.com/office/officeart/2005/8/layout/orgChart1"/>
    <dgm:cxn modelId="{CF33C742-2344-411F-8E29-ABA2EE98756D}" type="presParOf" srcId="{559240BE-C6CC-41A7-93CC-8021E64596F1}" destId="{7165DDAD-7C76-4983-B938-88683C1259AE}" srcOrd="1" destOrd="0" presId="urn:microsoft.com/office/officeart/2005/8/layout/orgChart1"/>
    <dgm:cxn modelId="{13D70437-0AF5-4414-8D71-981748BB29CF}" type="presParOf" srcId="{02249426-256A-411E-8C53-146418B2308C}" destId="{25CB63BB-8681-49B9-973A-48E10BBB4B61}" srcOrd="1" destOrd="0" presId="urn:microsoft.com/office/officeart/2005/8/layout/orgChart1"/>
    <dgm:cxn modelId="{F33B8899-BA26-4C75-B29F-03452012FB23}" type="presParOf" srcId="{02249426-256A-411E-8C53-146418B2308C}" destId="{5C903FC9-A899-41E3-AECD-A194E6E23634}" srcOrd="2" destOrd="0" presId="urn:microsoft.com/office/officeart/2005/8/layout/orgChart1"/>
    <dgm:cxn modelId="{8295312A-3ECF-4D27-8A11-A85ECE9592CB}" type="presParOf" srcId="{B092C7BE-17C6-4CE1-9CEC-BAEF2E4F0994}" destId="{F4D19B7E-6877-45BD-8C06-E4F9D9D84C05}" srcOrd="2" destOrd="0" presId="urn:microsoft.com/office/officeart/2005/8/layout/orgChart1"/>
    <dgm:cxn modelId="{3482FC4B-5C13-4112-9C95-0FF239892E7B}" type="presParOf" srcId="{B092C7BE-17C6-4CE1-9CEC-BAEF2E4F0994}" destId="{BD1F7E6C-7A40-457D-A514-8B02DE492B51}" srcOrd="3" destOrd="0" presId="urn:microsoft.com/office/officeart/2005/8/layout/orgChart1"/>
    <dgm:cxn modelId="{DC35EC93-97F2-4C97-A197-049A3140F237}" type="presParOf" srcId="{BD1F7E6C-7A40-457D-A514-8B02DE492B51}" destId="{BC80B51F-2F83-4A71-972B-9A80E9A014CF}" srcOrd="0" destOrd="0" presId="urn:microsoft.com/office/officeart/2005/8/layout/orgChart1"/>
    <dgm:cxn modelId="{1E71012D-1B93-476B-9EDC-2C4454A5E9D4}" type="presParOf" srcId="{BC80B51F-2F83-4A71-972B-9A80E9A014CF}" destId="{0EA2203F-BF27-4013-8848-C954D8E2528D}" srcOrd="0" destOrd="0" presId="urn:microsoft.com/office/officeart/2005/8/layout/orgChart1"/>
    <dgm:cxn modelId="{5E6DC4EC-2A58-46D0-89D6-2CEC9FB2FBDA}" type="presParOf" srcId="{BC80B51F-2F83-4A71-972B-9A80E9A014CF}" destId="{A5C87B4F-CB53-4C62-BD75-287A616E4F3A}" srcOrd="1" destOrd="0" presId="urn:microsoft.com/office/officeart/2005/8/layout/orgChart1"/>
    <dgm:cxn modelId="{7BFB0462-DCC9-4472-B4B7-B4EF7EC3BAA5}" type="presParOf" srcId="{BD1F7E6C-7A40-457D-A514-8B02DE492B51}" destId="{F18A0320-BEF8-4933-A95C-CC3D42289E7B}" srcOrd="1" destOrd="0" presId="urn:microsoft.com/office/officeart/2005/8/layout/orgChart1"/>
    <dgm:cxn modelId="{B06C11B8-E694-4F23-88F4-A97E8C0D38B3}" type="presParOf" srcId="{BD1F7E6C-7A40-457D-A514-8B02DE492B51}" destId="{2439A484-90AD-42EA-8AFF-841FF45F5808}"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19B7E-6877-45BD-8C06-E4F9D9D84C05}">
      <dsp:nvSpPr>
        <dsp:cNvPr id="0" name=""/>
        <dsp:cNvSpPr/>
      </dsp:nvSpPr>
      <dsp:spPr>
        <a:xfrm>
          <a:off x="3003550" y="446571"/>
          <a:ext cx="93741" cy="410678"/>
        </a:xfrm>
        <a:custGeom>
          <a:avLst/>
          <a:gdLst/>
          <a:ahLst/>
          <a:cxnLst/>
          <a:rect l="0" t="0" r="0" b="0"/>
          <a:pathLst>
            <a:path>
              <a:moveTo>
                <a:pt x="0" y="0"/>
              </a:moveTo>
              <a:lnTo>
                <a:pt x="0" y="410678"/>
              </a:lnTo>
              <a:lnTo>
                <a:pt x="93741" y="410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A1C13-9E06-47AB-8FA4-1D666FC539A6}">
      <dsp:nvSpPr>
        <dsp:cNvPr id="0" name=""/>
        <dsp:cNvSpPr/>
      </dsp:nvSpPr>
      <dsp:spPr>
        <a:xfrm>
          <a:off x="2909808" y="446571"/>
          <a:ext cx="93741" cy="410678"/>
        </a:xfrm>
        <a:custGeom>
          <a:avLst/>
          <a:gdLst/>
          <a:ahLst/>
          <a:cxnLst/>
          <a:rect l="0" t="0" r="0" b="0"/>
          <a:pathLst>
            <a:path>
              <a:moveTo>
                <a:pt x="93741" y="0"/>
              </a:moveTo>
              <a:lnTo>
                <a:pt x="93741" y="410678"/>
              </a:lnTo>
              <a:lnTo>
                <a:pt x="0" y="410678"/>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EA45F08B-2602-4415-8749-3C84E64EC247}">
      <dsp:nvSpPr>
        <dsp:cNvPr id="0" name=""/>
        <dsp:cNvSpPr/>
      </dsp:nvSpPr>
      <dsp:spPr>
        <a:xfrm>
          <a:off x="3003550" y="446571"/>
          <a:ext cx="1080262" cy="821356"/>
        </a:xfrm>
        <a:custGeom>
          <a:avLst/>
          <a:gdLst/>
          <a:ahLst/>
          <a:cxnLst/>
          <a:rect l="0" t="0" r="0" b="0"/>
          <a:pathLst>
            <a:path>
              <a:moveTo>
                <a:pt x="0" y="0"/>
              </a:moveTo>
              <a:lnTo>
                <a:pt x="0" y="727614"/>
              </a:lnTo>
              <a:lnTo>
                <a:pt x="1080262" y="727614"/>
              </a:lnTo>
              <a:lnTo>
                <a:pt x="1080262"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177EE92A-9AEE-4D72-81F7-5D0A40010AC1}">
      <dsp:nvSpPr>
        <dsp:cNvPr id="0" name=""/>
        <dsp:cNvSpPr/>
      </dsp:nvSpPr>
      <dsp:spPr>
        <a:xfrm>
          <a:off x="2957830" y="446571"/>
          <a:ext cx="91440" cy="821356"/>
        </a:xfrm>
        <a:custGeom>
          <a:avLst/>
          <a:gdLst/>
          <a:ahLst/>
          <a:cxnLst/>
          <a:rect l="0" t="0" r="0" b="0"/>
          <a:pathLst>
            <a:path>
              <a:moveTo>
                <a:pt x="45720" y="0"/>
              </a:moveTo>
              <a:lnTo>
                <a:pt x="4572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01BC95FC-DAF5-46D3-8F0C-1200CAABE253}">
      <dsp:nvSpPr>
        <dsp:cNvPr id="0" name=""/>
        <dsp:cNvSpPr/>
      </dsp:nvSpPr>
      <dsp:spPr>
        <a:xfrm>
          <a:off x="1923287" y="446571"/>
          <a:ext cx="1080262" cy="821356"/>
        </a:xfrm>
        <a:custGeom>
          <a:avLst/>
          <a:gdLst/>
          <a:ahLst/>
          <a:cxnLst/>
          <a:rect l="0" t="0" r="0" b="0"/>
          <a:pathLst>
            <a:path>
              <a:moveTo>
                <a:pt x="1080262" y="0"/>
              </a:moveTo>
              <a:lnTo>
                <a:pt x="1080262" y="727614"/>
              </a:lnTo>
              <a:lnTo>
                <a:pt x="0" y="727614"/>
              </a:lnTo>
              <a:lnTo>
                <a:pt x="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09762E2-4BDB-4880-80C8-DB0C142636FF}">
      <dsp:nvSpPr>
        <dsp:cNvPr id="0" name=""/>
        <dsp:cNvSpPr/>
      </dsp:nvSpPr>
      <dsp:spPr>
        <a:xfrm>
          <a:off x="2557160" y="182"/>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Executive Officer</a:t>
          </a:r>
        </a:p>
      </dsp:txBody>
      <dsp:txXfrm>
        <a:off x="2557160" y="182"/>
        <a:ext cx="892778" cy="446389"/>
      </dsp:txXfrm>
    </dsp:sp>
    <dsp:sp modelId="{E2D3D95A-879F-41D3-AA94-AE52E0DCA5C0}">
      <dsp:nvSpPr>
        <dsp:cNvPr id="0" name=""/>
        <dsp:cNvSpPr/>
      </dsp:nvSpPr>
      <dsp:spPr>
        <a:xfrm>
          <a:off x="1476898"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Operating Officer</a:t>
          </a:r>
        </a:p>
      </dsp:txBody>
      <dsp:txXfrm>
        <a:off x="1476898" y="1267928"/>
        <a:ext cx="892778" cy="446389"/>
      </dsp:txXfrm>
    </dsp:sp>
    <dsp:sp modelId="{1641E092-65C5-434C-A233-CAB207B56AA2}">
      <dsp:nvSpPr>
        <dsp:cNvPr id="0" name=""/>
        <dsp:cNvSpPr/>
      </dsp:nvSpPr>
      <dsp:spPr>
        <a:xfrm>
          <a:off x="2557160"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(Project Delivery)</a:t>
          </a:r>
        </a:p>
      </dsp:txBody>
      <dsp:txXfrm>
        <a:off x="2557160" y="1267928"/>
        <a:ext cx="892778" cy="446389"/>
      </dsp:txXfrm>
    </dsp:sp>
    <dsp:sp modelId="{B545C1CC-2F8F-4794-8A74-EC8ECA9D08DE}">
      <dsp:nvSpPr>
        <dsp:cNvPr id="0" name=""/>
        <dsp:cNvSpPr/>
      </dsp:nvSpPr>
      <dsp:spPr>
        <a:xfrm>
          <a:off x="3637422"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(Innovation and Technology)</a:t>
          </a:r>
        </a:p>
      </dsp:txBody>
      <dsp:txXfrm>
        <a:off x="3637422" y="1267928"/>
        <a:ext cx="892778" cy="446389"/>
      </dsp:txXfrm>
    </dsp:sp>
    <dsp:sp modelId="{98AFD705-5668-49FF-B0D8-151405A66AAF}">
      <dsp:nvSpPr>
        <dsp:cNvPr id="0" name=""/>
        <dsp:cNvSpPr/>
      </dsp:nvSpPr>
      <dsp:spPr>
        <a:xfrm>
          <a:off x="2017029"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Board</a:t>
          </a:r>
        </a:p>
      </dsp:txBody>
      <dsp:txXfrm>
        <a:off x="2017029" y="634055"/>
        <a:ext cx="892778" cy="446389"/>
      </dsp:txXfrm>
    </dsp:sp>
    <dsp:sp modelId="{0EA2203F-BF27-4013-8848-C954D8E2528D}">
      <dsp:nvSpPr>
        <dsp:cNvPr id="0" name=""/>
        <dsp:cNvSpPr/>
      </dsp:nvSpPr>
      <dsp:spPr>
        <a:xfrm>
          <a:off x="3097291"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Audit and Risk Committee</a:t>
          </a:r>
        </a:p>
      </dsp:txBody>
      <dsp:txXfrm>
        <a:off x="3097291" y="634055"/>
        <a:ext cx="892778" cy="4463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2963</Words>
  <Characters>17957</Characters>
  <Application>Microsoft Office Word</Application>
  <DocSecurity>0</DocSecurity>
  <Lines>399</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Governance Disclosure</dc:title>
  <dc:subject/>
  <dc:creator/>
  <cp:keywords>[SEC=OFFICIAL]</cp:keywords>
  <dc:description/>
  <cp:lastModifiedBy/>
  <cp:revision>1</cp:revision>
  <dcterms:created xsi:type="dcterms:W3CDTF">2025-01-30T06:24:00Z</dcterms:created>
  <dcterms:modified xsi:type="dcterms:W3CDTF">2025-02-04T01:13:00Z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v=2022.1;a=SHA256;h=FE173C02145DA73FCD95A165135BF4C4B22CF8B07F8CF381C9F8B14C26C09024</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2024-01-31T23:33:34Z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MSIP_Label_87d6481e-ccdd-4ab6-8b26-05a0df5699e7_SetDate">
    <vt:lpwstr>2024-01-31T23:33:34Z</vt:lpwstr>
  </property>
  <property fmtid="{D5CDD505-2E9C-101B-9397-08002B2CF9AE}" pid="15" name="PM_OriginatorUserAccountName_SHA256">
    <vt:lpwstr>3F9C3930C95A80FE14E5E569A96906FECB80D374DD6F0E6814A1821B290CD60B</vt:lpwstr>
  </property>
  <property fmtid="{D5CDD505-2E9C-101B-9397-08002B2CF9AE}" pid="16" name="PM_SecurityClassification_Prev">
    <vt:lpwstr>OFFICIAL</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ed632418036d4e5bb082aeaee9403669</vt:lpwstr>
  </property>
  <property fmtid="{D5CDD505-2E9C-101B-9397-08002B2CF9AE}" pid="20" name="PM_InsertionValue">
    <vt:lpwstr>OFFICIAL</vt:lpwstr>
  </property>
  <property fmtid="{D5CDD505-2E9C-101B-9397-08002B2CF9AE}" pid="21" name="PM_Originator_Hash_SHA1">
    <vt:lpwstr>C4E8576B6510B1FB5DEF9BBC04AB3A64E004CBD8</vt:lpwstr>
  </property>
  <property fmtid="{D5CDD505-2E9C-101B-9397-08002B2CF9AE}" pid="22" name="PM_DisplayValueSecClassificationWithQualifier">
    <vt:lpwstr>OFFICIAL</vt:lpwstr>
  </property>
  <property fmtid="{D5CDD505-2E9C-101B-9397-08002B2CF9AE}" pid="23" name="PM_ProtectiveMarkingValue_Footer">
    <vt:lpwstr>OFFICIAL</vt:lpwstr>
  </property>
  <property fmtid="{D5CDD505-2E9C-101B-9397-08002B2CF9AE}" pid="24" name="PM_Originating_FileId">
    <vt:lpwstr>AA2AC64332A64A2BBE0A3E6D5815BB89</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EF712047640F4D2F41FF8CF20E591F33</vt:lpwstr>
  </property>
  <property fmtid="{D5CDD505-2E9C-101B-9397-08002B2CF9AE}" pid="32" name="PM_Hash_Salt">
    <vt:lpwstr>D644CFE669DC548EEF06E90343AB170F</vt:lpwstr>
  </property>
  <property fmtid="{D5CDD505-2E9C-101B-9397-08002B2CF9AE}" pid="33" name="PM_Hash_SHA1">
    <vt:lpwstr>68E0C495704878E2389F9DCA6ED2989BBF308E90</vt:lpwstr>
  </property>
  <property fmtid="{D5CDD505-2E9C-101B-9397-08002B2CF9AE}" pid="34" name="PM_Qualifier_Prev">
    <vt:lpwstr/>
  </property>
  <property fmtid="{D5CDD505-2E9C-101B-9397-08002B2CF9AE}" pid="35" name="PM_Caveats_Count">
    <vt:lpwstr>0</vt:lpwstr>
  </property>
</Properties>
</file>