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003A6" w14:textId="77777777" w:rsidR="00FC7ED1" w:rsidRPr="00FC7ED1" w:rsidRDefault="00FC7ED1" w:rsidP="00FC7ED1">
      <w:pPr>
        <w:keepNext/>
        <w:spacing w:before="120" w:after="20" w:line="240" w:lineRule="auto"/>
        <w:rPr>
          <w:rFonts w:ascii="Arial" w:hAnsi="Arial"/>
          <w:b/>
          <w:sz w:val="20"/>
        </w:rPr>
      </w:pPr>
      <w:r w:rsidRPr="00FC7ED1">
        <w:rPr>
          <w:rFonts w:ascii="Arial" w:hAnsi="Arial"/>
          <w:b/>
          <w:sz w:val="20"/>
        </w:rPr>
        <w:t>Table 2.X.3: Performance measures for Outcome X</w:t>
      </w:r>
    </w:p>
    <w:p w14:paraId="4388E872" w14:textId="77777777" w:rsidR="00FC7ED1" w:rsidRPr="00FC7ED1" w:rsidRDefault="00FC7ED1" w:rsidP="00FC7ED1">
      <w:r w:rsidRPr="00FC7ED1">
        <w:t xml:space="preserve">Table 2.X.3 details the performance measures for each program associated with Outcome X. It is used by entities to describe the results they plan to achieve and the related key activities, as detailed in the current corporate plan (i.e. 2024–25), the context in which these activities are delivered, and how the performance of these activities will be measured. Where relevant, details of the 2025–26 Budget measures that have created new programs or materially changed existing programs are provided. </w:t>
      </w:r>
    </w:p>
    <w:p w14:paraId="764A41E4" w14:textId="77777777" w:rsidR="00FC7ED1" w:rsidRPr="00FC7ED1" w:rsidRDefault="00FC7ED1" w:rsidP="00FC7ED1">
      <w:pPr>
        <w:spacing w:before="140" w:line="280" w:lineRule="atLeast"/>
        <w:rPr>
          <w:rFonts w:ascii="Calibri" w:hAnsi="Calibri" w:cs="Calibri"/>
          <w:i/>
          <w:color w:val="FF0000"/>
          <w:sz w:val="22"/>
          <w:szCs w:val="24"/>
        </w:rPr>
      </w:pPr>
      <w:r w:rsidRPr="00FC7ED1">
        <w:rPr>
          <w:rFonts w:ascii="Calibri" w:hAnsi="Calibri" w:cs="Calibri"/>
          <w:i/>
          <w:color w:val="FF0000"/>
          <w:sz w:val="22"/>
          <w:szCs w:val="24"/>
        </w:rPr>
        <w:t>Repeat the following table for each program in the Outcome. The “Outcome X” row is only required for the first program table for that outcome.</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FC7ED1" w:rsidRPr="00FC7ED1" w14:paraId="2A72A863" w14:textId="77777777" w:rsidTr="00A84BB8">
        <w:trPr>
          <w:cantSplit/>
          <w:trHeight w:val="261"/>
          <w:tblHeader/>
        </w:trPr>
        <w:tc>
          <w:tcPr>
            <w:tcW w:w="7796" w:type="dxa"/>
            <w:gridSpan w:val="3"/>
            <w:shd w:val="clear" w:color="auto" w:fill="F2F2F2"/>
          </w:tcPr>
          <w:p w14:paraId="19CEB7EC" w14:textId="77777777" w:rsidR="00FC7ED1" w:rsidRPr="00FC7ED1" w:rsidRDefault="00FC7ED1" w:rsidP="00FC7ED1">
            <w:pPr>
              <w:spacing w:before="40" w:after="40" w:line="240" w:lineRule="auto"/>
              <w:rPr>
                <w:rFonts w:ascii="Arial Bold" w:hAnsi="Arial Bold" w:cs="Arial"/>
                <w:bCs/>
                <w:sz w:val="16"/>
                <w:szCs w:val="16"/>
              </w:rPr>
            </w:pPr>
            <w:r w:rsidRPr="00FC7ED1">
              <w:rPr>
                <w:rFonts w:ascii="Arial" w:hAnsi="Arial" w:cs="Arial"/>
                <w:b/>
                <w:sz w:val="16"/>
                <w:szCs w:val="16"/>
              </w:rPr>
              <w:t>Outcome X</w:t>
            </w:r>
            <w:r w:rsidRPr="00FC7ED1">
              <w:rPr>
                <w:rFonts w:ascii="Arial Bold" w:hAnsi="Arial Bold" w:cs="Arial"/>
                <w:bCs/>
                <w:sz w:val="16"/>
                <w:szCs w:val="16"/>
              </w:rPr>
              <w:t xml:space="preserve"> </w:t>
            </w:r>
            <w:r w:rsidRPr="00FC7ED1">
              <w:rPr>
                <w:rFonts w:ascii="Arial Bold" w:hAnsi="Arial Bold" w:cs="Arial"/>
                <w:b/>
                <w:sz w:val="16"/>
                <w:szCs w:val="16"/>
              </w:rPr>
              <w:t xml:space="preserve">– </w:t>
            </w:r>
            <w:r w:rsidRPr="00FC7ED1">
              <w:rPr>
                <w:rFonts w:ascii="Arial Bold" w:hAnsi="Arial Bold" w:cs="Arial"/>
                <w:b/>
                <w:color w:val="FF0000"/>
                <w:sz w:val="16"/>
                <w:szCs w:val="16"/>
              </w:rPr>
              <w:t>Repeat relevant outcome statement for Outcome X</w:t>
            </w:r>
          </w:p>
        </w:tc>
      </w:tr>
      <w:tr w:rsidR="00FC7ED1" w:rsidRPr="00FC7ED1" w14:paraId="188BF4E6" w14:textId="77777777" w:rsidTr="00A84BB8">
        <w:trPr>
          <w:cantSplit/>
          <w:trHeight w:val="522"/>
          <w:tblHeader/>
        </w:trPr>
        <w:tc>
          <w:tcPr>
            <w:tcW w:w="7796" w:type="dxa"/>
            <w:gridSpan w:val="3"/>
            <w:shd w:val="clear" w:color="auto" w:fill="F2F2F2"/>
          </w:tcPr>
          <w:p w14:paraId="0BB294AB" w14:textId="77777777" w:rsidR="00FC7ED1" w:rsidRPr="00FC7ED1" w:rsidRDefault="00FC7ED1" w:rsidP="00FC7ED1">
            <w:pPr>
              <w:spacing w:before="40" w:after="40" w:line="240" w:lineRule="auto"/>
              <w:rPr>
                <w:rFonts w:ascii="Arial" w:eastAsia="Arial" w:hAnsi="Arial" w:cs="Arial"/>
                <w:b/>
                <w:sz w:val="16"/>
                <w:szCs w:val="16"/>
              </w:rPr>
            </w:pPr>
            <w:r w:rsidRPr="00FC7ED1">
              <w:rPr>
                <w:rFonts w:ascii="Arial" w:hAnsi="Arial" w:cs="Arial"/>
                <w:b/>
                <w:sz w:val="16"/>
                <w:szCs w:val="16"/>
              </w:rPr>
              <w:t xml:space="preserve">Program X.X – </w:t>
            </w:r>
            <w:r w:rsidRPr="00FC7ED1">
              <w:rPr>
                <w:rFonts w:ascii="Arial" w:eastAsia="Arial" w:hAnsi="Arial" w:cs="Arial"/>
                <w:b/>
                <w:color w:val="FF0000"/>
                <w:sz w:val="16"/>
                <w:szCs w:val="16"/>
              </w:rPr>
              <w:t>Program name</w:t>
            </w:r>
          </w:p>
          <w:p w14:paraId="5CFE0829" w14:textId="77777777" w:rsidR="00FC7ED1" w:rsidRPr="00FC7ED1" w:rsidRDefault="00FC7ED1" w:rsidP="00FC7ED1">
            <w:pPr>
              <w:spacing w:before="40" w:after="40" w:line="240" w:lineRule="auto"/>
              <w:rPr>
                <w:rFonts w:ascii="Arial" w:hAnsi="Arial" w:cs="Arial"/>
                <w:sz w:val="16"/>
                <w:szCs w:val="16"/>
              </w:rPr>
            </w:pPr>
            <w:r w:rsidRPr="00FC7ED1">
              <w:rPr>
                <w:rFonts w:ascii="Arial" w:hAnsi="Arial" w:cs="Arial"/>
                <w:color w:val="FF0000"/>
                <w:sz w:val="16"/>
                <w:szCs w:val="16"/>
              </w:rPr>
              <w:t>Brief description of Program X.X (i.e. 1–2 sentences outlining the program objective and how it contributes to delivering Outcome X)</w:t>
            </w:r>
          </w:p>
        </w:tc>
      </w:tr>
      <w:tr w:rsidR="00FC7ED1" w:rsidRPr="00FC7ED1" w14:paraId="0976D399" w14:textId="77777777" w:rsidTr="00A84BB8">
        <w:trPr>
          <w:cantSplit/>
          <w:trHeight w:val="261"/>
        </w:trPr>
        <w:tc>
          <w:tcPr>
            <w:tcW w:w="1560" w:type="dxa"/>
            <w:tcBorders>
              <w:bottom w:val="double" w:sz="4" w:space="0" w:color="auto"/>
            </w:tcBorders>
          </w:tcPr>
          <w:p w14:paraId="4C3ED387" w14:textId="77777777" w:rsidR="00FC7ED1" w:rsidRPr="00FC7ED1" w:rsidRDefault="00FC7ED1" w:rsidP="00FC7ED1">
            <w:pPr>
              <w:tabs>
                <w:tab w:val="left" w:pos="709"/>
              </w:tabs>
              <w:spacing w:before="40" w:after="40" w:line="240" w:lineRule="auto"/>
              <w:rPr>
                <w:rFonts w:ascii="Arial" w:hAnsi="Arial" w:cs="Arial"/>
                <w:b/>
                <w:sz w:val="16"/>
                <w:szCs w:val="16"/>
              </w:rPr>
            </w:pPr>
            <w:r w:rsidRPr="00FC7ED1">
              <w:rPr>
                <w:rFonts w:ascii="Arial" w:hAnsi="Arial" w:cs="Arial"/>
                <w:b/>
                <w:sz w:val="16"/>
                <w:szCs w:val="16"/>
              </w:rPr>
              <w:t>Key activities (a)</w:t>
            </w:r>
          </w:p>
        </w:tc>
        <w:tc>
          <w:tcPr>
            <w:tcW w:w="6236" w:type="dxa"/>
            <w:gridSpan w:val="2"/>
            <w:tcBorders>
              <w:bottom w:val="double" w:sz="4" w:space="0" w:color="auto"/>
            </w:tcBorders>
          </w:tcPr>
          <w:p w14:paraId="2145AFD2" w14:textId="77777777" w:rsidR="00FC7ED1" w:rsidRPr="00FC7ED1" w:rsidRDefault="00FC7ED1" w:rsidP="00FC7ED1">
            <w:pPr>
              <w:tabs>
                <w:tab w:val="left" w:pos="709"/>
              </w:tabs>
              <w:spacing w:before="40" w:after="40" w:line="240" w:lineRule="auto"/>
              <w:rPr>
                <w:rFonts w:ascii="Arial" w:hAnsi="Arial" w:cs="Arial"/>
                <w:sz w:val="16"/>
                <w:szCs w:val="16"/>
              </w:rPr>
            </w:pPr>
            <w:r w:rsidRPr="00FC7ED1">
              <w:rPr>
                <w:rFonts w:ascii="Arial" w:hAnsi="Arial" w:cs="Arial"/>
                <w:bCs/>
                <w:color w:val="FF0000"/>
                <w:sz w:val="16"/>
                <w:szCs w:val="16"/>
              </w:rPr>
              <w:t>Key activities reported in the current corporate plan that relate to this program (the title of the key activities will suffice)</w:t>
            </w:r>
          </w:p>
        </w:tc>
      </w:tr>
      <w:tr w:rsidR="00FC7ED1" w:rsidRPr="00FC7ED1" w14:paraId="6E30C94B" w14:textId="77777777" w:rsidTr="00A84BB8">
        <w:trPr>
          <w:cantSplit/>
          <w:trHeight w:val="258"/>
        </w:trPr>
        <w:tc>
          <w:tcPr>
            <w:tcW w:w="1560" w:type="dxa"/>
            <w:tcBorders>
              <w:top w:val="double" w:sz="4" w:space="0" w:color="auto"/>
              <w:bottom w:val="single" w:sz="4" w:space="0" w:color="auto"/>
              <w:right w:val="single" w:sz="4" w:space="0" w:color="auto"/>
            </w:tcBorders>
          </w:tcPr>
          <w:p w14:paraId="2EA052EC" w14:textId="77777777" w:rsidR="00FC7ED1" w:rsidRPr="00FC7ED1" w:rsidRDefault="00FC7ED1" w:rsidP="00FC7ED1">
            <w:pPr>
              <w:spacing w:before="40" w:after="40" w:line="240" w:lineRule="auto"/>
              <w:rPr>
                <w:rFonts w:ascii="Arial" w:hAnsi="Arial" w:cs="Arial"/>
                <w:b/>
                <w:sz w:val="16"/>
                <w:szCs w:val="16"/>
              </w:rPr>
            </w:pPr>
            <w:r w:rsidRPr="00FC7ED1">
              <w:rPr>
                <w:rFonts w:ascii="Arial" w:hAnsi="Arial" w:cs="Arial"/>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579A065E" w14:textId="77777777" w:rsidR="00FC7ED1" w:rsidRPr="00FC7ED1" w:rsidRDefault="00FC7ED1" w:rsidP="00FC7ED1">
            <w:pPr>
              <w:spacing w:before="40" w:after="40" w:line="240" w:lineRule="auto"/>
              <w:rPr>
                <w:rFonts w:ascii="Arial" w:hAnsi="Arial" w:cs="Arial"/>
                <w:b/>
                <w:sz w:val="16"/>
                <w:szCs w:val="16"/>
              </w:rPr>
            </w:pPr>
            <w:r w:rsidRPr="00FC7ED1">
              <w:rPr>
                <w:rFonts w:ascii="Arial" w:hAnsi="Arial" w:cs="Arial"/>
                <w:b/>
                <w:sz w:val="16"/>
                <w:szCs w:val="16"/>
              </w:rPr>
              <w:t>Performance measures (b)</w:t>
            </w:r>
          </w:p>
        </w:tc>
        <w:tc>
          <w:tcPr>
            <w:tcW w:w="3118" w:type="dxa"/>
            <w:tcBorders>
              <w:top w:val="double" w:sz="4" w:space="0" w:color="auto"/>
              <w:left w:val="single" w:sz="4" w:space="0" w:color="auto"/>
              <w:bottom w:val="single" w:sz="4" w:space="0" w:color="auto"/>
            </w:tcBorders>
          </w:tcPr>
          <w:p w14:paraId="4AF32DCC" w14:textId="77777777" w:rsidR="00FC7ED1" w:rsidRPr="00FC7ED1" w:rsidRDefault="00FC7ED1" w:rsidP="00FC7ED1">
            <w:pPr>
              <w:spacing w:before="40" w:after="40" w:line="240" w:lineRule="auto"/>
              <w:rPr>
                <w:rFonts w:ascii="Arial" w:hAnsi="Arial" w:cs="Arial"/>
                <w:b/>
                <w:sz w:val="16"/>
                <w:szCs w:val="16"/>
              </w:rPr>
            </w:pPr>
            <w:r w:rsidRPr="00FC7ED1">
              <w:rPr>
                <w:rFonts w:ascii="Arial" w:hAnsi="Arial" w:cs="Arial"/>
                <w:b/>
                <w:sz w:val="16"/>
                <w:szCs w:val="16"/>
              </w:rPr>
              <w:t>Expected performance results</w:t>
            </w:r>
          </w:p>
        </w:tc>
      </w:tr>
      <w:tr w:rsidR="00FC7ED1" w:rsidRPr="00FC7ED1" w14:paraId="585C1AE7" w14:textId="77777777" w:rsidTr="00A84BB8">
        <w:trPr>
          <w:cantSplit/>
          <w:trHeight w:val="642"/>
        </w:trPr>
        <w:tc>
          <w:tcPr>
            <w:tcW w:w="1560" w:type="dxa"/>
            <w:tcBorders>
              <w:top w:val="single" w:sz="4" w:space="0" w:color="auto"/>
              <w:bottom w:val="dotted" w:sz="4" w:space="0" w:color="auto"/>
              <w:right w:val="single" w:sz="4" w:space="0" w:color="auto"/>
            </w:tcBorders>
          </w:tcPr>
          <w:p w14:paraId="60A72872" w14:textId="77777777" w:rsidR="00FC7ED1" w:rsidRPr="00FC7ED1" w:rsidRDefault="00FC7ED1" w:rsidP="00FC7ED1">
            <w:pPr>
              <w:spacing w:before="40" w:after="40" w:line="240" w:lineRule="auto"/>
              <w:rPr>
                <w:rFonts w:ascii="Arial" w:hAnsi="Arial" w:cs="Arial"/>
                <w:sz w:val="16"/>
                <w:szCs w:val="16"/>
              </w:rPr>
            </w:pPr>
            <w:r w:rsidRPr="00FC7ED1">
              <w:rPr>
                <w:rFonts w:ascii="Arial" w:hAnsi="Arial" w:cs="Arial"/>
                <w:sz w:val="16"/>
                <w:szCs w:val="16"/>
              </w:rPr>
              <w:t xml:space="preserve">Current Year </w:t>
            </w:r>
          </w:p>
          <w:p w14:paraId="07C79454" w14:textId="77777777" w:rsidR="00FC7ED1" w:rsidRPr="00FC7ED1" w:rsidRDefault="00FC7ED1" w:rsidP="00FC7ED1">
            <w:pPr>
              <w:spacing w:before="40" w:after="40" w:line="240" w:lineRule="auto"/>
              <w:rPr>
                <w:rFonts w:ascii="Arial" w:hAnsi="Arial" w:cs="Arial"/>
                <w:sz w:val="16"/>
                <w:szCs w:val="16"/>
              </w:rPr>
            </w:pPr>
            <w:r w:rsidRPr="00FC7ED1">
              <w:rPr>
                <w:rFonts w:ascii="Arial" w:hAnsi="Arial" w:cs="Arial"/>
                <w:sz w:val="16"/>
                <w:szCs w:val="16"/>
              </w:rPr>
              <w:t>2024–25</w:t>
            </w:r>
          </w:p>
        </w:tc>
        <w:tc>
          <w:tcPr>
            <w:tcW w:w="3118" w:type="dxa"/>
            <w:tcBorders>
              <w:top w:val="single" w:sz="4" w:space="0" w:color="auto"/>
              <w:left w:val="single" w:sz="4" w:space="0" w:color="auto"/>
              <w:bottom w:val="dotted" w:sz="4" w:space="0" w:color="auto"/>
              <w:right w:val="single" w:sz="4" w:space="0" w:color="auto"/>
            </w:tcBorders>
          </w:tcPr>
          <w:p w14:paraId="0E92181C" w14:textId="77777777" w:rsidR="00FC7ED1" w:rsidRPr="00FC7ED1" w:rsidRDefault="00FC7ED1" w:rsidP="00FC7ED1">
            <w:pPr>
              <w:spacing w:before="40" w:after="40" w:line="240" w:lineRule="auto"/>
              <w:rPr>
                <w:rFonts w:ascii="Arial" w:hAnsi="Arial" w:cs="Arial"/>
                <w:color w:val="FF0000"/>
                <w:sz w:val="16"/>
                <w:szCs w:val="16"/>
              </w:rPr>
            </w:pPr>
            <w:r w:rsidRPr="00FC7ED1">
              <w:rPr>
                <w:rFonts w:ascii="Arial" w:hAnsi="Arial" w:cs="Arial"/>
                <w:color w:val="FF0000"/>
                <w:sz w:val="16"/>
                <w:szCs w:val="16"/>
              </w:rPr>
              <w:t>Performance measures for 2024–25 described in the 2024–25 Portfolio Budget Statements</w:t>
            </w:r>
          </w:p>
          <w:p w14:paraId="15B3A97D" w14:textId="77777777" w:rsidR="00FC7ED1" w:rsidRPr="00FC7ED1" w:rsidRDefault="00FC7ED1" w:rsidP="00FC7ED1">
            <w:pPr>
              <w:spacing w:before="40" w:after="40" w:line="240" w:lineRule="auto"/>
              <w:rPr>
                <w:rFonts w:ascii="Arial" w:hAnsi="Arial" w:cs="Arial"/>
                <w:color w:val="FF0000"/>
                <w:sz w:val="16"/>
                <w:szCs w:val="16"/>
              </w:rPr>
            </w:pPr>
          </w:p>
          <w:p w14:paraId="2879E68B" w14:textId="77777777" w:rsidR="00FC7ED1" w:rsidRPr="00FC7ED1" w:rsidRDefault="00FC7ED1" w:rsidP="00FC7ED1">
            <w:pPr>
              <w:spacing w:before="40" w:after="40" w:line="240" w:lineRule="auto"/>
              <w:rPr>
                <w:rFonts w:ascii="Arial" w:hAnsi="Arial" w:cs="Arial"/>
                <w:color w:val="FF0000"/>
                <w:sz w:val="16"/>
                <w:szCs w:val="16"/>
              </w:rPr>
            </w:pPr>
            <w:r w:rsidRPr="00FC7ED1">
              <w:rPr>
                <w:rFonts w:ascii="Arial" w:hAnsi="Arial" w:cs="Arial"/>
                <w:color w:val="0070C0"/>
                <w:sz w:val="16"/>
                <w:szCs w:val="16"/>
              </w:rPr>
              <w:t>[</w:t>
            </w:r>
            <w:r w:rsidRPr="00FC7ED1">
              <w:rPr>
                <w:rFonts w:ascii="Arial" w:hAnsi="Arial" w:cs="Arial"/>
                <w:b/>
                <w:color w:val="0070C0"/>
                <w:sz w:val="16"/>
                <w:szCs w:val="16"/>
              </w:rPr>
              <w:t>Note</w:t>
            </w:r>
            <w:r w:rsidRPr="00FC7ED1">
              <w:rPr>
                <w:rFonts w:ascii="Arial" w:hAnsi="Arial" w:cs="Arial"/>
                <w:color w:val="0070C0"/>
                <w:sz w:val="16"/>
                <w:szCs w:val="16"/>
              </w:rPr>
              <w:t xml:space="preserve"> – insert each performance measure on a separate row]</w:t>
            </w:r>
          </w:p>
        </w:tc>
        <w:tc>
          <w:tcPr>
            <w:tcW w:w="3118" w:type="dxa"/>
            <w:tcBorders>
              <w:top w:val="single" w:sz="4" w:space="0" w:color="auto"/>
              <w:left w:val="single" w:sz="4" w:space="0" w:color="auto"/>
              <w:bottom w:val="dotted" w:sz="4" w:space="0" w:color="auto"/>
            </w:tcBorders>
          </w:tcPr>
          <w:p w14:paraId="678E3CEF" w14:textId="77777777" w:rsidR="00FC7ED1" w:rsidRPr="00FC7ED1" w:rsidRDefault="00FC7ED1" w:rsidP="00FC7ED1">
            <w:pPr>
              <w:spacing w:before="40" w:after="40" w:line="240" w:lineRule="auto"/>
              <w:rPr>
                <w:rFonts w:ascii="Arial" w:hAnsi="Arial" w:cs="Arial"/>
                <w:color w:val="FF0000"/>
                <w:sz w:val="16"/>
                <w:szCs w:val="16"/>
              </w:rPr>
            </w:pPr>
            <w:r w:rsidRPr="00FC7ED1">
              <w:rPr>
                <w:rFonts w:ascii="Arial" w:hAnsi="Arial" w:cs="Arial"/>
                <w:color w:val="FF0000"/>
                <w:sz w:val="16"/>
                <w:szCs w:val="16"/>
              </w:rPr>
              <w:t>Expected performance results against performance measures for 2024–25 as described in the 2024–25 Portfolio Budget Statements</w:t>
            </w:r>
          </w:p>
          <w:p w14:paraId="56C47FE1" w14:textId="77777777" w:rsidR="00FC7ED1" w:rsidRPr="00FC7ED1" w:rsidRDefault="00FC7ED1" w:rsidP="00FC7ED1">
            <w:pPr>
              <w:spacing w:before="40" w:after="40" w:line="240" w:lineRule="auto"/>
              <w:rPr>
                <w:rFonts w:ascii="Arial" w:hAnsi="Arial" w:cs="Arial"/>
                <w:color w:val="FF0000"/>
                <w:sz w:val="16"/>
                <w:szCs w:val="16"/>
              </w:rPr>
            </w:pPr>
          </w:p>
          <w:p w14:paraId="4B6AB986" w14:textId="77777777" w:rsidR="00FC7ED1" w:rsidRPr="00FC7ED1" w:rsidRDefault="00FC7ED1" w:rsidP="00FC7ED1">
            <w:pPr>
              <w:spacing w:before="40" w:after="40" w:line="240" w:lineRule="auto"/>
              <w:rPr>
                <w:rFonts w:ascii="Arial" w:hAnsi="Arial" w:cs="Arial"/>
                <w:color w:val="FF0000"/>
                <w:sz w:val="16"/>
                <w:szCs w:val="16"/>
              </w:rPr>
            </w:pPr>
            <w:r w:rsidRPr="00FC7ED1">
              <w:rPr>
                <w:rFonts w:ascii="Arial" w:hAnsi="Arial" w:cs="Arial"/>
                <w:color w:val="0070C0"/>
                <w:sz w:val="16"/>
                <w:szCs w:val="16"/>
              </w:rPr>
              <w:t>[</w:t>
            </w:r>
            <w:r w:rsidRPr="00FC7ED1">
              <w:rPr>
                <w:rFonts w:ascii="Arial" w:hAnsi="Arial" w:cs="Arial"/>
                <w:b/>
                <w:bCs/>
                <w:color w:val="0070C0"/>
                <w:sz w:val="16"/>
                <w:szCs w:val="16"/>
              </w:rPr>
              <w:t>Note</w:t>
            </w:r>
            <w:r w:rsidRPr="00FC7ED1">
              <w:rPr>
                <w:rFonts w:ascii="Arial" w:hAnsi="Arial" w:cs="Arial"/>
                <w:color w:val="0070C0"/>
                <w:sz w:val="16"/>
                <w:szCs w:val="16"/>
              </w:rPr>
              <w:t xml:space="preserve"> – for each performance measure, include the target (if any), expected performance result (if known) and an indicator of the expected result such as ‘Achieved’, ‘On track’ or ‘At risk’].</w:t>
            </w:r>
          </w:p>
        </w:tc>
      </w:tr>
      <w:tr w:rsidR="00FC7ED1" w:rsidRPr="00FC7ED1" w14:paraId="06B711D9" w14:textId="77777777" w:rsidTr="00A84BB8">
        <w:trPr>
          <w:cantSplit/>
          <w:trHeight w:val="100"/>
        </w:trPr>
        <w:tc>
          <w:tcPr>
            <w:tcW w:w="1560" w:type="dxa"/>
            <w:tcBorders>
              <w:top w:val="single" w:sz="4" w:space="0" w:color="auto"/>
              <w:bottom w:val="dotted" w:sz="4" w:space="0" w:color="auto"/>
              <w:right w:val="single" w:sz="4" w:space="0" w:color="auto"/>
            </w:tcBorders>
          </w:tcPr>
          <w:p w14:paraId="6080E5DC" w14:textId="77777777" w:rsidR="00FC7ED1" w:rsidRPr="00FC7ED1" w:rsidRDefault="00FC7ED1" w:rsidP="00FC7ED1">
            <w:pPr>
              <w:spacing w:before="40" w:after="40" w:line="240" w:lineRule="auto"/>
              <w:rPr>
                <w:rFonts w:ascii="Arial" w:hAnsi="Arial" w:cs="Arial"/>
                <w:b/>
                <w:sz w:val="16"/>
                <w:szCs w:val="16"/>
              </w:rPr>
            </w:pPr>
            <w:r w:rsidRPr="00FC7ED1">
              <w:rPr>
                <w:rFonts w:ascii="Arial" w:hAnsi="Arial" w:cs="Arial"/>
                <w:b/>
                <w:sz w:val="16"/>
                <w:szCs w:val="16"/>
              </w:rPr>
              <w:t>Year</w:t>
            </w:r>
          </w:p>
        </w:tc>
        <w:tc>
          <w:tcPr>
            <w:tcW w:w="3118" w:type="dxa"/>
            <w:tcBorders>
              <w:top w:val="single" w:sz="4" w:space="0" w:color="auto"/>
              <w:left w:val="single" w:sz="4" w:space="0" w:color="auto"/>
              <w:bottom w:val="dotted" w:sz="4" w:space="0" w:color="auto"/>
              <w:right w:val="single" w:sz="4" w:space="0" w:color="auto"/>
            </w:tcBorders>
          </w:tcPr>
          <w:p w14:paraId="4BFF0FDF" w14:textId="77777777" w:rsidR="00FC7ED1" w:rsidRPr="00FC7ED1" w:rsidRDefault="00FC7ED1" w:rsidP="00FC7ED1">
            <w:pPr>
              <w:spacing w:before="40" w:after="40" w:line="240" w:lineRule="auto"/>
              <w:rPr>
                <w:rFonts w:ascii="Arial" w:hAnsi="Arial" w:cs="Arial"/>
                <w:b/>
                <w:sz w:val="16"/>
                <w:szCs w:val="16"/>
              </w:rPr>
            </w:pPr>
            <w:r w:rsidRPr="00FC7ED1">
              <w:rPr>
                <w:rFonts w:ascii="Arial" w:hAnsi="Arial" w:cs="Arial"/>
                <w:b/>
                <w:sz w:val="16"/>
                <w:szCs w:val="16"/>
              </w:rPr>
              <w:t>Performance measures (c)</w:t>
            </w:r>
          </w:p>
        </w:tc>
        <w:tc>
          <w:tcPr>
            <w:tcW w:w="3118" w:type="dxa"/>
            <w:tcBorders>
              <w:top w:val="single" w:sz="4" w:space="0" w:color="auto"/>
              <w:left w:val="single" w:sz="4" w:space="0" w:color="auto"/>
              <w:bottom w:val="dotted" w:sz="4" w:space="0" w:color="auto"/>
            </w:tcBorders>
          </w:tcPr>
          <w:p w14:paraId="1310CDE2" w14:textId="77777777" w:rsidR="00FC7ED1" w:rsidRPr="00FC7ED1" w:rsidRDefault="00FC7ED1" w:rsidP="00FC7ED1">
            <w:pPr>
              <w:spacing w:before="40" w:after="40" w:line="240" w:lineRule="auto"/>
              <w:rPr>
                <w:rFonts w:ascii="Arial" w:hAnsi="Arial" w:cs="Arial"/>
                <w:b/>
                <w:sz w:val="16"/>
                <w:szCs w:val="16"/>
              </w:rPr>
            </w:pPr>
            <w:r w:rsidRPr="00FC7ED1">
              <w:rPr>
                <w:rFonts w:ascii="Arial" w:hAnsi="Arial" w:cs="Arial"/>
                <w:b/>
                <w:sz w:val="16"/>
                <w:szCs w:val="16"/>
              </w:rPr>
              <w:t>Planned performance results (d)</w:t>
            </w:r>
          </w:p>
        </w:tc>
      </w:tr>
      <w:tr w:rsidR="00FC7ED1" w:rsidRPr="00FC7ED1" w14:paraId="33ECC9F2" w14:textId="77777777" w:rsidTr="00A84BB8">
        <w:trPr>
          <w:cantSplit/>
          <w:trHeight w:val="782"/>
        </w:trPr>
        <w:tc>
          <w:tcPr>
            <w:tcW w:w="1560" w:type="dxa"/>
            <w:tcBorders>
              <w:top w:val="single" w:sz="4" w:space="0" w:color="auto"/>
              <w:bottom w:val="dotted" w:sz="4" w:space="0" w:color="auto"/>
              <w:right w:val="single" w:sz="4" w:space="0" w:color="auto"/>
            </w:tcBorders>
          </w:tcPr>
          <w:p w14:paraId="383474E5" w14:textId="77777777" w:rsidR="00FC7ED1" w:rsidRPr="00FC7ED1" w:rsidRDefault="00FC7ED1" w:rsidP="00FC7ED1">
            <w:pPr>
              <w:spacing w:before="40" w:after="40" w:line="240" w:lineRule="auto"/>
              <w:rPr>
                <w:rFonts w:ascii="Arial" w:hAnsi="Arial" w:cs="Arial"/>
                <w:sz w:val="16"/>
                <w:szCs w:val="16"/>
              </w:rPr>
            </w:pPr>
            <w:r w:rsidRPr="00FC7ED1">
              <w:rPr>
                <w:rFonts w:ascii="Arial" w:hAnsi="Arial" w:cs="Arial"/>
                <w:sz w:val="16"/>
                <w:szCs w:val="16"/>
              </w:rPr>
              <w:t xml:space="preserve">Budget Year </w:t>
            </w:r>
          </w:p>
          <w:p w14:paraId="4F753E78" w14:textId="77777777" w:rsidR="00FC7ED1" w:rsidRPr="00FC7ED1" w:rsidRDefault="00FC7ED1" w:rsidP="00FC7ED1">
            <w:pPr>
              <w:spacing w:before="40" w:after="40" w:line="240" w:lineRule="auto"/>
              <w:rPr>
                <w:rFonts w:ascii="Arial" w:hAnsi="Arial" w:cs="Arial"/>
                <w:sz w:val="16"/>
                <w:szCs w:val="16"/>
              </w:rPr>
            </w:pPr>
            <w:r w:rsidRPr="00FC7ED1">
              <w:rPr>
                <w:rFonts w:ascii="Arial" w:hAnsi="Arial" w:cs="Arial"/>
                <w:sz w:val="16"/>
                <w:szCs w:val="16"/>
              </w:rPr>
              <w:t>2025–26</w:t>
            </w:r>
          </w:p>
        </w:tc>
        <w:tc>
          <w:tcPr>
            <w:tcW w:w="3118" w:type="dxa"/>
            <w:tcBorders>
              <w:top w:val="single" w:sz="4" w:space="0" w:color="auto"/>
              <w:left w:val="single" w:sz="4" w:space="0" w:color="auto"/>
              <w:bottom w:val="dotted" w:sz="4" w:space="0" w:color="auto"/>
              <w:right w:val="single" w:sz="4" w:space="0" w:color="auto"/>
            </w:tcBorders>
          </w:tcPr>
          <w:p w14:paraId="5FEA7428" w14:textId="77777777" w:rsidR="00FC7ED1" w:rsidRPr="00FC7ED1" w:rsidRDefault="00FC7ED1" w:rsidP="00FC7ED1">
            <w:pPr>
              <w:spacing w:before="40" w:after="40" w:line="240" w:lineRule="auto"/>
              <w:rPr>
                <w:rFonts w:ascii="Arial" w:hAnsi="Arial" w:cs="Arial"/>
                <w:color w:val="FF0000"/>
                <w:sz w:val="16"/>
                <w:szCs w:val="16"/>
              </w:rPr>
            </w:pPr>
            <w:r w:rsidRPr="00FC7ED1">
              <w:rPr>
                <w:rFonts w:ascii="Arial" w:hAnsi="Arial" w:cs="Arial"/>
                <w:color w:val="FF0000"/>
                <w:sz w:val="16"/>
                <w:szCs w:val="16"/>
              </w:rPr>
              <w:t>Performance measures for assessing performance in 2025–26</w:t>
            </w:r>
          </w:p>
        </w:tc>
        <w:tc>
          <w:tcPr>
            <w:tcW w:w="3118" w:type="dxa"/>
            <w:tcBorders>
              <w:top w:val="single" w:sz="4" w:space="0" w:color="auto"/>
              <w:left w:val="single" w:sz="4" w:space="0" w:color="auto"/>
              <w:bottom w:val="dotted" w:sz="4" w:space="0" w:color="auto"/>
            </w:tcBorders>
          </w:tcPr>
          <w:p w14:paraId="40771852" w14:textId="77777777" w:rsidR="00FC7ED1" w:rsidRPr="00FC7ED1" w:rsidRDefault="00FC7ED1" w:rsidP="00FC7ED1">
            <w:pPr>
              <w:spacing w:before="40" w:after="40" w:line="240" w:lineRule="auto"/>
              <w:rPr>
                <w:rFonts w:ascii="Arial" w:hAnsi="Arial" w:cs="Arial"/>
                <w:color w:val="FF0000"/>
                <w:sz w:val="16"/>
                <w:szCs w:val="16"/>
              </w:rPr>
            </w:pPr>
            <w:r w:rsidRPr="00FC7ED1">
              <w:rPr>
                <w:rFonts w:ascii="Arial" w:hAnsi="Arial" w:cs="Arial"/>
                <w:color w:val="FF0000"/>
                <w:sz w:val="16"/>
                <w:szCs w:val="16"/>
              </w:rPr>
              <w:t>Insert description of planned performance results in 2025–26</w:t>
            </w:r>
          </w:p>
        </w:tc>
      </w:tr>
      <w:tr w:rsidR="00FC7ED1" w:rsidRPr="00FC7ED1" w14:paraId="0977E0A8" w14:textId="77777777" w:rsidTr="00A84BB8">
        <w:trPr>
          <w:cantSplit/>
          <w:trHeight w:val="491"/>
        </w:trPr>
        <w:tc>
          <w:tcPr>
            <w:tcW w:w="1560" w:type="dxa"/>
            <w:tcBorders>
              <w:top w:val="dotted" w:sz="4" w:space="0" w:color="auto"/>
              <w:bottom w:val="dotted" w:sz="4" w:space="0" w:color="auto"/>
              <w:right w:val="single" w:sz="4" w:space="0" w:color="auto"/>
            </w:tcBorders>
          </w:tcPr>
          <w:p w14:paraId="1E0C1FAF" w14:textId="77777777" w:rsidR="00FC7ED1" w:rsidRPr="00FC7ED1" w:rsidRDefault="00FC7ED1" w:rsidP="00FC7ED1">
            <w:pPr>
              <w:spacing w:before="40" w:after="40" w:line="240" w:lineRule="auto"/>
              <w:rPr>
                <w:rFonts w:ascii="Arial" w:hAnsi="Arial" w:cs="Arial"/>
                <w:sz w:val="16"/>
                <w:szCs w:val="16"/>
              </w:rPr>
            </w:pPr>
            <w:r w:rsidRPr="00FC7ED1">
              <w:rPr>
                <w:rFonts w:ascii="Arial" w:hAnsi="Arial" w:cs="Arial"/>
                <w:sz w:val="16"/>
                <w:szCs w:val="16"/>
              </w:rPr>
              <w:t xml:space="preserve">Forward Estimates </w:t>
            </w:r>
          </w:p>
          <w:p w14:paraId="52283D16" w14:textId="77777777" w:rsidR="00FC7ED1" w:rsidRPr="00FC7ED1" w:rsidRDefault="00FC7ED1" w:rsidP="00FC7ED1">
            <w:pPr>
              <w:spacing w:before="40" w:after="40" w:line="240" w:lineRule="auto"/>
              <w:rPr>
                <w:rFonts w:ascii="Arial" w:hAnsi="Arial" w:cs="Arial"/>
                <w:b/>
                <w:sz w:val="16"/>
                <w:szCs w:val="16"/>
              </w:rPr>
            </w:pPr>
            <w:r w:rsidRPr="00FC7ED1">
              <w:rPr>
                <w:rFonts w:ascii="Arial" w:hAnsi="Arial" w:cs="Arial"/>
                <w:sz w:val="16"/>
                <w:szCs w:val="16"/>
              </w:rPr>
              <w:t>2026–29</w:t>
            </w:r>
          </w:p>
        </w:tc>
        <w:tc>
          <w:tcPr>
            <w:tcW w:w="3118" w:type="dxa"/>
            <w:tcBorders>
              <w:top w:val="dotted" w:sz="4" w:space="0" w:color="auto"/>
              <w:left w:val="single" w:sz="4" w:space="0" w:color="auto"/>
              <w:bottom w:val="dotted" w:sz="4" w:space="0" w:color="auto"/>
              <w:right w:val="single" w:sz="4" w:space="0" w:color="auto"/>
            </w:tcBorders>
          </w:tcPr>
          <w:p w14:paraId="6CBC5DE4" w14:textId="77777777" w:rsidR="00FC7ED1" w:rsidRPr="00FC7ED1" w:rsidRDefault="00FC7ED1" w:rsidP="00FC7ED1">
            <w:pPr>
              <w:spacing w:before="40" w:after="40" w:line="240" w:lineRule="auto"/>
              <w:rPr>
                <w:rFonts w:ascii="Arial" w:hAnsi="Arial" w:cs="Arial"/>
                <w:color w:val="FF0000"/>
                <w:sz w:val="16"/>
                <w:szCs w:val="16"/>
              </w:rPr>
            </w:pPr>
            <w:r w:rsidRPr="00FC7ED1">
              <w:rPr>
                <w:rFonts w:ascii="Arial" w:hAnsi="Arial" w:cs="Arial"/>
                <w:color w:val="FF0000"/>
                <w:sz w:val="16"/>
                <w:szCs w:val="16"/>
              </w:rPr>
              <w:t>Performance measures for assessing performance over the forward estimates</w:t>
            </w:r>
          </w:p>
          <w:p w14:paraId="116AD90F" w14:textId="77777777" w:rsidR="00FC7ED1" w:rsidRPr="00FC7ED1" w:rsidRDefault="00FC7ED1" w:rsidP="00FC7ED1">
            <w:pPr>
              <w:spacing w:before="40" w:after="40" w:line="240" w:lineRule="auto"/>
              <w:rPr>
                <w:rFonts w:ascii="Arial" w:hAnsi="Arial" w:cs="Arial"/>
                <w:color w:val="FF0000"/>
                <w:sz w:val="16"/>
                <w:szCs w:val="16"/>
              </w:rPr>
            </w:pPr>
          </w:p>
          <w:p w14:paraId="4B15D736" w14:textId="77777777" w:rsidR="00FC7ED1" w:rsidRPr="00FC7ED1" w:rsidRDefault="00FC7ED1" w:rsidP="00FC7ED1">
            <w:pPr>
              <w:spacing w:before="40" w:after="40" w:line="240" w:lineRule="auto"/>
              <w:rPr>
                <w:rFonts w:ascii="Arial" w:hAnsi="Arial" w:cs="Arial"/>
                <w:b/>
                <w:color w:val="FF0000"/>
                <w:sz w:val="16"/>
                <w:szCs w:val="16"/>
              </w:rPr>
            </w:pPr>
            <w:r w:rsidRPr="00FC7ED1">
              <w:rPr>
                <w:rFonts w:ascii="Arial" w:hAnsi="Arial" w:cs="Arial"/>
                <w:color w:val="0070C0"/>
                <w:sz w:val="16"/>
                <w:szCs w:val="16"/>
              </w:rPr>
              <w:t>[</w:t>
            </w:r>
            <w:r w:rsidRPr="00FC7ED1">
              <w:rPr>
                <w:rFonts w:ascii="Arial" w:hAnsi="Arial" w:cs="Arial"/>
                <w:b/>
                <w:color w:val="0070C0"/>
                <w:sz w:val="16"/>
                <w:szCs w:val="16"/>
              </w:rPr>
              <w:t>Note</w:t>
            </w:r>
            <w:r w:rsidRPr="00FC7ED1">
              <w:rPr>
                <w:rFonts w:ascii="Arial" w:hAnsi="Arial" w:cs="Arial"/>
                <w:color w:val="0070C0"/>
                <w:sz w:val="16"/>
                <w:szCs w:val="16"/>
              </w:rPr>
              <w:t xml:space="preserve"> – if the same measures as </w:t>
            </w:r>
            <w:r w:rsidRPr="00FC7ED1">
              <w:rPr>
                <w:rFonts w:ascii="Arial" w:hAnsi="Arial" w:cs="Arial"/>
                <w:color w:val="0070C0"/>
                <w:sz w:val="16"/>
                <w:szCs w:val="16"/>
              </w:rPr>
              <w:br/>
              <w:t>2025–26, use ‘As per 2025–26’]</w:t>
            </w:r>
          </w:p>
        </w:tc>
        <w:tc>
          <w:tcPr>
            <w:tcW w:w="3118" w:type="dxa"/>
            <w:tcBorders>
              <w:top w:val="dotted" w:sz="4" w:space="0" w:color="auto"/>
              <w:left w:val="single" w:sz="4" w:space="0" w:color="auto"/>
              <w:bottom w:val="dotted" w:sz="4" w:space="0" w:color="auto"/>
            </w:tcBorders>
          </w:tcPr>
          <w:p w14:paraId="1FEE0664" w14:textId="77777777" w:rsidR="00FC7ED1" w:rsidRPr="00FC7ED1" w:rsidRDefault="00FC7ED1" w:rsidP="00FC7ED1">
            <w:pPr>
              <w:spacing w:before="40" w:after="40" w:line="240" w:lineRule="auto"/>
              <w:rPr>
                <w:rFonts w:ascii="Arial" w:hAnsi="Arial" w:cs="Arial"/>
                <w:b/>
                <w:color w:val="FF0000"/>
                <w:sz w:val="16"/>
                <w:szCs w:val="16"/>
              </w:rPr>
            </w:pPr>
            <w:r w:rsidRPr="00FC7ED1">
              <w:rPr>
                <w:rFonts w:ascii="Arial" w:hAnsi="Arial" w:cs="Arial"/>
                <w:color w:val="FF0000"/>
                <w:sz w:val="16"/>
                <w:szCs w:val="16"/>
              </w:rPr>
              <w:t>Insert description of planned performance results over the forward estimates</w:t>
            </w:r>
          </w:p>
        </w:tc>
      </w:tr>
      <w:tr w:rsidR="00FC7ED1" w:rsidRPr="00FC7ED1" w14:paraId="24D88177" w14:textId="77777777" w:rsidTr="00A84BB8">
        <w:trPr>
          <w:cantSplit/>
          <w:trHeight w:val="261"/>
        </w:trPr>
        <w:tc>
          <w:tcPr>
            <w:tcW w:w="7796" w:type="dxa"/>
            <w:gridSpan w:val="3"/>
          </w:tcPr>
          <w:p w14:paraId="56F23498" w14:textId="77777777" w:rsidR="00FC7ED1" w:rsidRPr="00FC7ED1" w:rsidRDefault="00FC7ED1" w:rsidP="00FC7ED1">
            <w:pPr>
              <w:spacing w:before="40" w:after="40" w:line="240" w:lineRule="auto"/>
              <w:rPr>
                <w:rFonts w:ascii="Arial" w:eastAsia="Cambria" w:hAnsi="Arial" w:cs="Arial"/>
                <w:spacing w:val="-6"/>
                <w:sz w:val="16"/>
                <w:szCs w:val="16"/>
              </w:rPr>
            </w:pPr>
            <w:r w:rsidRPr="00FC7ED1">
              <w:rPr>
                <w:rFonts w:ascii="Arial" w:hAnsi="Arial" w:cs="Arial"/>
                <w:sz w:val="16"/>
                <w:szCs w:val="16"/>
              </w:rPr>
              <w:t>Material changes to Program X.X resulting from 2025–26 Budget Measures:</w:t>
            </w:r>
            <w:r w:rsidRPr="00FC7ED1">
              <w:rPr>
                <w:rFonts w:ascii="Arial" w:eastAsia="Cambria" w:hAnsi="Arial" w:cs="Arial"/>
                <w:spacing w:val="-6"/>
                <w:sz w:val="16"/>
                <w:szCs w:val="16"/>
                <w:lang w:eastAsia="en-US"/>
              </w:rPr>
              <w:t xml:space="preserve"> </w:t>
            </w:r>
            <w:r w:rsidRPr="00FC7ED1">
              <w:rPr>
                <w:rFonts w:ascii="Arial" w:eastAsia="Cambria" w:hAnsi="Arial" w:cs="Arial"/>
                <w:color w:val="FF0000"/>
                <w:spacing w:val="-6"/>
                <w:sz w:val="16"/>
                <w:szCs w:val="16"/>
                <w:lang w:eastAsia="en-US"/>
              </w:rPr>
              <w:t>If none, use ‘Nil’</w:t>
            </w:r>
          </w:p>
        </w:tc>
      </w:tr>
    </w:tbl>
    <w:p w14:paraId="20EB6855" w14:textId="77777777" w:rsidR="00FC7ED1" w:rsidRPr="00FC7ED1" w:rsidRDefault="00FC7ED1" w:rsidP="00FC7ED1">
      <w:pPr>
        <w:numPr>
          <w:ilvl w:val="1"/>
          <w:numId w:val="1"/>
        </w:numPr>
        <w:spacing w:before="30" w:after="0" w:line="240" w:lineRule="auto"/>
        <w:ind w:left="357" w:hanging="357"/>
        <w:rPr>
          <w:rFonts w:ascii="Arial" w:hAnsi="Arial"/>
          <w:color w:val="000000"/>
          <w:sz w:val="16"/>
        </w:rPr>
      </w:pPr>
      <w:r w:rsidRPr="00FC7ED1">
        <w:rPr>
          <w:rFonts w:ascii="Arial" w:hAnsi="Arial"/>
          <w:color w:val="000000"/>
          <w:sz w:val="16"/>
        </w:rPr>
        <w:t>Insert a footnote if key activities have been updated since the 2024–25 Corporate Plan (for example, a form of words similar to ‘Refers to updated key activities that will be reflected in the 2025–26 corporate plan’).</w:t>
      </w:r>
    </w:p>
    <w:p w14:paraId="020E3DE7" w14:textId="77777777" w:rsidR="00FC7ED1" w:rsidRPr="00FC7ED1" w:rsidRDefault="00FC7ED1" w:rsidP="00FC7ED1">
      <w:pPr>
        <w:numPr>
          <w:ilvl w:val="1"/>
          <w:numId w:val="1"/>
        </w:numPr>
        <w:spacing w:before="30" w:after="0" w:line="240" w:lineRule="auto"/>
        <w:ind w:left="357" w:hanging="357"/>
        <w:rPr>
          <w:rFonts w:ascii="Arial" w:hAnsi="Arial"/>
          <w:color w:val="000000"/>
          <w:sz w:val="16"/>
        </w:rPr>
      </w:pPr>
      <w:r w:rsidRPr="00FC7ED1">
        <w:rPr>
          <w:rFonts w:ascii="Arial" w:hAnsi="Arial"/>
          <w:color w:val="000000"/>
          <w:sz w:val="16"/>
        </w:rPr>
        <w:t xml:space="preserve">Use a footnote to briefly outline any changes to performance information and the rationale for each change. Note, your entity will be able to outline more details in its 2025–26 corporate plan and </w:t>
      </w:r>
      <w:r w:rsidRPr="00FC7ED1">
        <w:rPr>
          <w:rFonts w:ascii="Arial" w:hAnsi="Arial"/>
          <w:color w:val="000000"/>
          <w:sz w:val="16"/>
        </w:rPr>
        <w:br/>
        <w:t>2024–25 annual performance statements.</w:t>
      </w:r>
    </w:p>
    <w:p w14:paraId="77698328" w14:textId="77777777" w:rsidR="00FC7ED1" w:rsidRPr="00FC7ED1" w:rsidRDefault="00FC7ED1" w:rsidP="00FC7ED1">
      <w:pPr>
        <w:numPr>
          <w:ilvl w:val="1"/>
          <w:numId w:val="1"/>
        </w:numPr>
        <w:spacing w:before="30" w:after="0" w:line="240" w:lineRule="auto"/>
        <w:ind w:left="357" w:hanging="357"/>
        <w:rPr>
          <w:rFonts w:ascii="Arial" w:hAnsi="Arial"/>
          <w:color w:val="000000"/>
          <w:sz w:val="16"/>
        </w:rPr>
      </w:pPr>
      <w:r w:rsidRPr="00FC7ED1">
        <w:rPr>
          <w:rFonts w:ascii="Arial" w:hAnsi="Arial"/>
          <w:color w:val="000000"/>
          <w:sz w:val="16"/>
        </w:rPr>
        <w:t xml:space="preserve">Where new programs are established in the 2025–26 Budget, all of the performance measures related to that new program need to be shown as outlined in the </w:t>
      </w:r>
      <w:hyperlink r:id="rId12" w:history="1">
        <w:r w:rsidRPr="00FC7ED1">
          <w:rPr>
            <w:rFonts w:ascii="Arial" w:hAnsi="Arial"/>
            <w:sz w:val="16"/>
            <w:u w:val="single"/>
          </w:rPr>
          <w:t>Finance Secretary Direction</w:t>
        </w:r>
      </w:hyperlink>
      <w:r w:rsidRPr="00FC7ED1">
        <w:rPr>
          <w:rFonts w:ascii="Arial" w:hAnsi="Arial"/>
          <w:color w:val="000000"/>
          <w:sz w:val="16"/>
        </w:rPr>
        <w:t>.</w:t>
      </w:r>
    </w:p>
    <w:p w14:paraId="25D9973D" w14:textId="77777777" w:rsidR="00FC7ED1" w:rsidRPr="00FC7ED1" w:rsidRDefault="00FC7ED1" w:rsidP="00FC7ED1">
      <w:pPr>
        <w:numPr>
          <w:ilvl w:val="1"/>
          <w:numId w:val="1"/>
        </w:numPr>
        <w:spacing w:before="30" w:after="0" w:line="240" w:lineRule="auto"/>
        <w:ind w:left="357" w:hanging="357"/>
        <w:rPr>
          <w:rFonts w:ascii="Arial" w:hAnsi="Arial"/>
          <w:color w:val="000000"/>
          <w:sz w:val="16"/>
        </w:rPr>
      </w:pPr>
      <w:r w:rsidRPr="00FC7ED1">
        <w:rPr>
          <w:rFonts w:ascii="Arial" w:hAnsi="Arial"/>
          <w:color w:val="000000"/>
          <w:sz w:val="16"/>
        </w:rPr>
        <w:t>Use a footnote to briefly explain why it may not be reasonably practicable to set a target for a performance measure.</w:t>
      </w:r>
    </w:p>
    <w:p w14:paraId="0A7CCF22" w14:textId="1599E36A" w:rsidR="006E74B1" w:rsidRPr="00FC7ED1" w:rsidRDefault="006E74B1" w:rsidP="00FC7ED1"/>
    <w:sectPr w:rsidR="006E74B1" w:rsidRPr="00FC7ED1" w:rsidSect="006E74B1">
      <w:headerReference w:type="default" r:id="rId13"/>
      <w:pgSz w:w="11906" w:h="16838"/>
      <w:pgMar w:top="2835" w:right="2098" w:bottom="1985" w:left="20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FEFD9" w14:textId="77777777" w:rsidR="006E74B1" w:rsidRDefault="006E74B1" w:rsidP="006E74B1">
      <w:pPr>
        <w:spacing w:before="0" w:after="0" w:line="240" w:lineRule="auto"/>
      </w:pPr>
      <w:r>
        <w:separator/>
      </w:r>
    </w:p>
  </w:endnote>
  <w:endnote w:type="continuationSeparator" w:id="0">
    <w:p w14:paraId="68388FB0" w14:textId="77777777" w:rsidR="006E74B1" w:rsidRDefault="006E74B1" w:rsidP="006E74B1">
      <w:pPr>
        <w:spacing w:before="0" w:after="0" w:line="240" w:lineRule="auto"/>
      </w:pPr>
      <w:r>
        <w:continuationSeparator/>
      </w:r>
    </w:p>
  </w:endnote>
  <w:endnote w:type="continuationNotice" w:id="1">
    <w:p w14:paraId="12C1959F" w14:textId="77777777" w:rsidR="00B70D31" w:rsidRDefault="00B70D3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95A8C" w14:textId="77777777" w:rsidR="006E74B1" w:rsidRDefault="006E74B1" w:rsidP="006E74B1">
      <w:pPr>
        <w:spacing w:before="0" w:after="0" w:line="240" w:lineRule="auto"/>
      </w:pPr>
      <w:r>
        <w:separator/>
      </w:r>
    </w:p>
  </w:footnote>
  <w:footnote w:type="continuationSeparator" w:id="0">
    <w:p w14:paraId="1DDAA46F" w14:textId="77777777" w:rsidR="006E74B1" w:rsidRDefault="006E74B1" w:rsidP="006E74B1">
      <w:pPr>
        <w:spacing w:before="0" w:after="0" w:line="240" w:lineRule="auto"/>
      </w:pPr>
      <w:r>
        <w:continuationSeparator/>
      </w:r>
    </w:p>
  </w:footnote>
  <w:footnote w:type="continuationNotice" w:id="1">
    <w:p w14:paraId="0C3DB4F4" w14:textId="77777777" w:rsidR="00B70D31" w:rsidRDefault="00B70D3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4FBAC" w14:textId="77777777" w:rsidR="006E74B1" w:rsidRPr="000213B1" w:rsidRDefault="006E74B1" w:rsidP="006E74B1">
    <w:pPr>
      <w:pStyle w:val="NoSpacing"/>
      <w:jc w:val="right"/>
      <w:rPr>
        <w:rFonts w:ascii="Arial" w:hAnsi="Arial" w:cs="Arial"/>
        <w:b/>
        <w:sz w:val="14"/>
        <w:szCs w:val="14"/>
      </w:rPr>
    </w:pPr>
    <w:r w:rsidRPr="000213B1">
      <w:rPr>
        <w:rFonts w:ascii="Arial" w:hAnsi="Arial" w:cs="Arial"/>
        <w:b/>
        <w:sz w:val="14"/>
        <w:szCs w:val="14"/>
      </w:rPr>
      <w:t>Department</w:t>
    </w:r>
    <w:r w:rsidRPr="000213B1">
      <w:rPr>
        <w:rFonts w:ascii="Arial" w:hAnsi="Arial" w:cs="Arial"/>
        <w:b/>
        <w:spacing w:val="-6"/>
        <w:sz w:val="14"/>
        <w:szCs w:val="14"/>
      </w:rPr>
      <w:t xml:space="preserve"> </w:t>
    </w:r>
    <w:r w:rsidRPr="000213B1">
      <w:rPr>
        <w:rFonts w:ascii="Arial" w:hAnsi="Arial" w:cs="Arial"/>
        <w:b/>
        <w:sz w:val="14"/>
        <w:szCs w:val="14"/>
      </w:rPr>
      <w:t>of</w:t>
    </w:r>
    <w:r w:rsidRPr="000213B1">
      <w:rPr>
        <w:rFonts w:ascii="Arial" w:hAnsi="Arial" w:cs="Arial"/>
        <w:b/>
        <w:spacing w:val="-5"/>
        <w:sz w:val="14"/>
        <w:szCs w:val="14"/>
      </w:rPr>
      <w:t xml:space="preserve"> </w:t>
    </w:r>
    <w:r w:rsidRPr="000213B1">
      <w:rPr>
        <w:rFonts w:ascii="Arial" w:hAnsi="Arial" w:cs="Arial"/>
        <w:b/>
        <w:sz w:val="14"/>
        <w:szCs w:val="14"/>
      </w:rPr>
      <w:t>Finance</w:t>
    </w:r>
  </w:p>
  <w:p w14:paraId="19C7BFF7" w14:textId="77777777" w:rsidR="006E74B1" w:rsidRDefault="006E74B1" w:rsidP="006E74B1">
    <w:pPr>
      <w:pStyle w:val="NoSpacing"/>
      <w:jc w:val="right"/>
      <w:rPr>
        <w:rFonts w:ascii="Arial" w:hAnsi="Arial" w:cs="Arial"/>
        <w:sz w:val="14"/>
        <w:szCs w:val="14"/>
      </w:rPr>
    </w:pPr>
    <w:r>
      <w:rPr>
        <w:rFonts w:ascii="Arial" w:hAnsi="Arial" w:cs="Arial"/>
        <w:sz w:val="14"/>
        <w:szCs w:val="14"/>
      </w:rPr>
      <w:t>RMG-129</w:t>
    </w:r>
    <w:r w:rsidRPr="000213B1">
      <w:rPr>
        <w:rFonts w:ascii="Arial" w:hAnsi="Arial" w:cs="Arial"/>
        <w:sz w:val="14"/>
        <w:szCs w:val="14"/>
      </w:rPr>
      <w:t>:</w:t>
    </w:r>
    <w:r w:rsidRPr="000213B1">
      <w:rPr>
        <w:rFonts w:ascii="Arial" w:hAnsi="Arial" w:cs="Arial"/>
        <w:spacing w:val="-6"/>
        <w:sz w:val="14"/>
        <w:szCs w:val="14"/>
      </w:rPr>
      <w:t xml:space="preserve"> </w:t>
    </w:r>
    <w:r w:rsidRPr="008D7987">
      <w:rPr>
        <w:rFonts w:ascii="Arial" w:hAnsi="Arial" w:cs="Arial"/>
        <w:sz w:val="14"/>
        <w:szCs w:val="14"/>
      </w:rPr>
      <w:t>Reporting performance information in Portfolio Budget Statements</w:t>
    </w:r>
  </w:p>
  <w:p w14:paraId="1F1C2F57" w14:textId="77777777" w:rsidR="006E74B1" w:rsidRPr="00FC7ED1" w:rsidRDefault="006E74B1" w:rsidP="006E74B1">
    <w:pPr>
      <w:pStyle w:val="NoSpacing"/>
      <w:rPr>
        <w:rFonts w:ascii="Arial" w:hAnsi="Arial" w:cs="Arial"/>
        <w:b/>
        <w:bCs/>
        <w:color w:val="000000"/>
        <w:sz w:val="20"/>
      </w:rPr>
    </w:pPr>
  </w:p>
  <w:p w14:paraId="1750D075" w14:textId="77777777" w:rsidR="006E74B1" w:rsidRPr="00FC7ED1" w:rsidRDefault="006E74B1" w:rsidP="006E74B1">
    <w:pPr>
      <w:pStyle w:val="NoSpacing"/>
      <w:rPr>
        <w:rFonts w:ascii="Arial" w:hAnsi="Arial" w:cs="Arial"/>
        <w:b/>
        <w:bCs/>
        <w:color w:val="000000"/>
        <w:sz w:val="20"/>
      </w:rPr>
    </w:pPr>
  </w:p>
  <w:p w14:paraId="1259E6A8" w14:textId="5C31AC16" w:rsidR="006E74B1" w:rsidRPr="00D70FA1" w:rsidRDefault="00035D93" w:rsidP="00644B35">
    <w:pPr>
      <w:pStyle w:val="NoSpacing"/>
      <w:jc w:val="center"/>
      <w:rPr>
        <w:rFonts w:ascii="Arial" w:hAnsi="Arial" w:cs="Arial"/>
        <w:sz w:val="16"/>
        <w:szCs w:val="16"/>
      </w:rPr>
    </w:pPr>
    <w:r w:rsidRPr="00FC7ED1">
      <w:rPr>
        <w:rFonts w:ascii="Arial" w:hAnsi="Arial" w:cs="Arial"/>
        <w:b/>
        <w:bCs/>
        <w:color w:val="000000"/>
        <w:szCs w:val="24"/>
      </w:rPr>
      <w:t xml:space="preserve">Template </w:t>
    </w:r>
    <w:r w:rsidR="00F77C61" w:rsidRPr="00FC7ED1">
      <w:rPr>
        <w:rFonts w:ascii="Arial" w:hAnsi="Arial" w:cs="Arial"/>
        <w:b/>
        <w:bCs/>
        <w:color w:val="000000"/>
        <w:szCs w:val="24"/>
      </w:rPr>
      <w:t>–</w:t>
    </w:r>
    <w:r w:rsidRPr="00FC7ED1">
      <w:rPr>
        <w:rFonts w:ascii="Arial" w:hAnsi="Arial" w:cs="Arial"/>
        <w:b/>
        <w:bCs/>
        <w:color w:val="000000"/>
        <w:szCs w:val="24"/>
      </w:rPr>
      <w:t xml:space="preserve"> </w:t>
    </w:r>
    <w:r w:rsidR="00D61846" w:rsidRPr="00FC7ED1">
      <w:rPr>
        <w:rFonts w:ascii="Arial" w:hAnsi="Arial" w:cs="Arial"/>
        <w:b/>
        <w:bCs/>
        <w:color w:val="000000"/>
        <w:szCs w:val="24"/>
      </w:rPr>
      <w:t>Performance reporting</w:t>
    </w:r>
    <w:r w:rsidR="006E74B1" w:rsidRPr="00FC7ED1">
      <w:rPr>
        <w:rFonts w:ascii="Arial" w:hAnsi="Arial" w:cs="Arial"/>
        <w:b/>
        <w:bCs/>
        <w:color w:val="000000"/>
        <w:szCs w:val="24"/>
      </w:rPr>
      <w:t xml:space="preserve"> </w:t>
    </w:r>
    <w:r w:rsidR="00644B35" w:rsidRPr="00FC7ED1">
      <w:rPr>
        <w:rFonts w:ascii="Arial" w:hAnsi="Arial" w:cs="Arial"/>
        <w:b/>
        <w:bCs/>
        <w:color w:val="000000"/>
        <w:szCs w:val="24"/>
      </w:rPr>
      <w:t>Table (</w:t>
    </w:r>
    <w:r w:rsidRPr="00FC7ED1">
      <w:rPr>
        <w:rFonts w:ascii="Arial" w:hAnsi="Arial" w:cs="Arial"/>
        <w:b/>
        <w:bCs/>
        <w:color w:val="000000"/>
        <w:szCs w:val="24"/>
      </w:rPr>
      <w:t>Table 2.X.3</w:t>
    </w:r>
    <w:r w:rsidR="00644B35" w:rsidRPr="00FC7ED1">
      <w:rPr>
        <w:rFonts w:ascii="Arial" w:hAnsi="Arial" w:cs="Arial"/>
        <w:b/>
        <w:bCs/>
        <w:color w:val="000000"/>
        <w:szCs w:val="24"/>
      </w:rPr>
      <w:t>)</w:t>
    </w:r>
    <w:r w:rsidRPr="00FC7ED1">
      <w:rPr>
        <w:rFonts w:ascii="Arial" w:hAnsi="Arial" w:cs="Arial"/>
        <w:b/>
        <w:bCs/>
        <w:color w:val="000000"/>
        <w:szCs w:val="24"/>
      </w:rPr>
      <w:t xml:space="preserve"> for the </w:t>
    </w:r>
    <w:r w:rsidR="00644B35" w:rsidRPr="00FC7ED1">
      <w:rPr>
        <w:rFonts w:ascii="Arial" w:hAnsi="Arial" w:cs="Arial"/>
        <w:b/>
        <w:bCs/>
        <w:color w:val="000000"/>
        <w:szCs w:val="24"/>
      </w:rPr>
      <w:br/>
    </w:r>
    <w:r w:rsidR="00F77C61" w:rsidRPr="00FC7ED1">
      <w:rPr>
        <w:rFonts w:ascii="Arial" w:hAnsi="Arial" w:cs="Arial"/>
        <w:b/>
        <w:bCs/>
        <w:color w:val="000000"/>
        <w:szCs w:val="24"/>
      </w:rPr>
      <w:t xml:space="preserve">2025–26 </w:t>
    </w:r>
    <w:r w:rsidRPr="00FC7ED1">
      <w:rPr>
        <w:rFonts w:ascii="Arial" w:hAnsi="Arial" w:cs="Arial"/>
        <w:b/>
        <w:bCs/>
        <w:color w:val="000000"/>
        <w:szCs w:val="24"/>
      </w:rPr>
      <w:t>Portfolio Budget Statements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2084"/>
    <w:multiLevelType w:val="multilevel"/>
    <w:tmpl w:val="0FCC5C3A"/>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185843"/>
    <w:multiLevelType w:val="multilevel"/>
    <w:tmpl w:val="E6FAC36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ascii="Arial" w:eastAsia="Times New Roman" w:hAnsi="Arial"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05045607">
    <w:abstractNumId w:val="1"/>
    <w:lvlOverride w:ilvl="0">
      <w:startOverride w:val="1"/>
    </w:lvlOverride>
  </w:num>
  <w:num w:numId="2" w16cid:durableId="1154025785">
    <w:abstractNumId w:val="0"/>
  </w:num>
  <w:num w:numId="3" w16cid:durableId="1422338298">
    <w:abstractNumId w:val="0"/>
  </w:num>
  <w:num w:numId="4" w16cid:durableId="72699652">
    <w:abstractNumId w:val="0"/>
  </w:num>
  <w:num w:numId="5" w16cid:durableId="2607270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4B1"/>
    <w:rsid w:val="00035D93"/>
    <w:rsid w:val="0004477A"/>
    <w:rsid w:val="0019072D"/>
    <w:rsid w:val="002271B6"/>
    <w:rsid w:val="00331B9E"/>
    <w:rsid w:val="004806C5"/>
    <w:rsid w:val="004B6ED6"/>
    <w:rsid w:val="00644B35"/>
    <w:rsid w:val="006E74B1"/>
    <w:rsid w:val="00842578"/>
    <w:rsid w:val="008D4A41"/>
    <w:rsid w:val="00921E11"/>
    <w:rsid w:val="009C4776"/>
    <w:rsid w:val="00A966EC"/>
    <w:rsid w:val="00AA3A1B"/>
    <w:rsid w:val="00B70D31"/>
    <w:rsid w:val="00C16400"/>
    <w:rsid w:val="00C84F68"/>
    <w:rsid w:val="00CA7DB6"/>
    <w:rsid w:val="00D11470"/>
    <w:rsid w:val="00D61846"/>
    <w:rsid w:val="00D70FA1"/>
    <w:rsid w:val="00E703A7"/>
    <w:rsid w:val="00E84896"/>
    <w:rsid w:val="00EA6123"/>
    <w:rsid w:val="00EE2621"/>
    <w:rsid w:val="00F71261"/>
    <w:rsid w:val="00F77C61"/>
    <w:rsid w:val="00FC7E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567200"/>
  <w15:chartTrackingRefBased/>
  <w15:docId w15:val="{1C034605-C77B-4AFA-9F5B-806B8DFD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4B1"/>
    <w:pPr>
      <w:spacing w:before="240" w:after="240" w:line="240" w:lineRule="exact"/>
    </w:pPr>
    <w:rPr>
      <w:rFonts w:ascii="Book Antiqua" w:eastAsia="Times New Roman" w:hAnsi="Book Antiqua" w:cs="Times New Roman"/>
      <w:kern w:val="0"/>
      <w:sz w:val="19"/>
      <w:szCs w:val="20"/>
      <w:lang w:eastAsia="en-AU"/>
      <w14:ligatures w14:val="none"/>
    </w:rPr>
  </w:style>
  <w:style w:type="paragraph" w:styleId="Heading1">
    <w:name w:val="heading 1"/>
    <w:basedOn w:val="Normal"/>
    <w:next w:val="Normal"/>
    <w:link w:val="Heading1Char"/>
    <w:uiPriority w:val="9"/>
    <w:qFormat/>
    <w:rsid w:val="006E74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4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4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4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4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4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4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4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4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4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4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4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4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4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4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4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4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4B1"/>
    <w:rPr>
      <w:rFonts w:eastAsiaTheme="majorEastAsia" w:cstheme="majorBidi"/>
      <w:color w:val="272727" w:themeColor="text1" w:themeTint="D8"/>
    </w:rPr>
  </w:style>
  <w:style w:type="paragraph" w:styleId="Title">
    <w:name w:val="Title"/>
    <w:basedOn w:val="Normal"/>
    <w:next w:val="Normal"/>
    <w:link w:val="TitleChar"/>
    <w:uiPriority w:val="10"/>
    <w:qFormat/>
    <w:rsid w:val="006E7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4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4B1"/>
    <w:pPr>
      <w:spacing w:before="160"/>
      <w:jc w:val="center"/>
    </w:pPr>
    <w:rPr>
      <w:i/>
      <w:iCs/>
      <w:color w:val="404040" w:themeColor="text1" w:themeTint="BF"/>
    </w:rPr>
  </w:style>
  <w:style w:type="character" w:customStyle="1" w:styleId="QuoteChar">
    <w:name w:val="Quote Char"/>
    <w:basedOn w:val="DefaultParagraphFont"/>
    <w:link w:val="Quote"/>
    <w:uiPriority w:val="29"/>
    <w:rsid w:val="006E74B1"/>
    <w:rPr>
      <w:i/>
      <w:iCs/>
      <w:color w:val="404040" w:themeColor="text1" w:themeTint="BF"/>
    </w:rPr>
  </w:style>
  <w:style w:type="paragraph" w:styleId="ListParagraph">
    <w:name w:val="List Paragraph"/>
    <w:basedOn w:val="Normal"/>
    <w:uiPriority w:val="34"/>
    <w:qFormat/>
    <w:rsid w:val="006E74B1"/>
    <w:pPr>
      <w:ind w:left="720"/>
      <w:contextualSpacing/>
    </w:pPr>
  </w:style>
  <w:style w:type="character" w:styleId="IntenseEmphasis">
    <w:name w:val="Intense Emphasis"/>
    <w:basedOn w:val="DefaultParagraphFont"/>
    <w:uiPriority w:val="21"/>
    <w:qFormat/>
    <w:rsid w:val="006E74B1"/>
    <w:rPr>
      <w:i/>
      <w:iCs/>
      <w:color w:val="0F4761" w:themeColor="accent1" w:themeShade="BF"/>
    </w:rPr>
  </w:style>
  <w:style w:type="paragraph" w:styleId="IntenseQuote">
    <w:name w:val="Intense Quote"/>
    <w:basedOn w:val="Normal"/>
    <w:next w:val="Normal"/>
    <w:link w:val="IntenseQuoteChar"/>
    <w:uiPriority w:val="30"/>
    <w:qFormat/>
    <w:rsid w:val="006E74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4B1"/>
    <w:rPr>
      <w:i/>
      <w:iCs/>
      <w:color w:val="0F4761" w:themeColor="accent1" w:themeShade="BF"/>
    </w:rPr>
  </w:style>
  <w:style w:type="character" w:styleId="IntenseReference">
    <w:name w:val="Intense Reference"/>
    <w:basedOn w:val="DefaultParagraphFont"/>
    <w:uiPriority w:val="32"/>
    <w:qFormat/>
    <w:rsid w:val="006E74B1"/>
    <w:rPr>
      <w:b/>
      <w:bCs/>
      <w:smallCaps/>
      <w:color w:val="0F4761" w:themeColor="accent1" w:themeShade="BF"/>
      <w:spacing w:val="5"/>
    </w:rPr>
  </w:style>
  <w:style w:type="paragraph" w:customStyle="1" w:styleId="TableHeading">
    <w:name w:val="Table Heading"/>
    <w:basedOn w:val="Normal"/>
    <w:next w:val="Normal"/>
    <w:link w:val="TableHeadingChar"/>
    <w:qFormat/>
    <w:rsid w:val="006E74B1"/>
    <w:pPr>
      <w:keepNext/>
      <w:spacing w:before="120" w:after="20" w:line="240" w:lineRule="auto"/>
    </w:pPr>
    <w:rPr>
      <w:rFonts w:ascii="Arial" w:hAnsi="Arial"/>
      <w:b/>
      <w:sz w:val="20"/>
    </w:rPr>
  </w:style>
  <w:style w:type="paragraph" w:customStyle="1" w:styleId="ChartandTableFootnoteAlpha">
    <w:name w:val="Chart and Table Footnote Alpha"/>
    <w:basedOn w:val="Normal"/>
    <w:next w:val="Normal"/>
    <w:rsid w:val="006E74B1"/>
    <w:pPr>
      <w:numPr>
        <w:numId w:val="2"/>
      </w:numPr>
      <w:spacing w:before="30" w:after="0" w:line="240" w:lineRule="auto"/>
    </w:pPr>
    <w:rPr>
      <w:rFonts w:ascii="Arial" w:hAnsi="Arial"/>
      <w:color w:val="000000"/>
      <w:sz w:val="16"/>
    </w:rPr>
  </w:style>
  <w:style w:type="paragraph" w:customStyle="1" w:styleId="TableTextBase">
    <w:name w:val="Table Text Base"/>
    <w:basedOn w:val="Normal"/>
    <w:link w:val="TableTextBaseChar"/>
    <w:rsid w:val="006E74B1"/>
    <w:pPr>
      <w:spacing w:before="20" w:after="20" w:line="240" w:lineRule="auto"/>
    </w:pPr>
    <w:rPr>
      <w:rFonts w:ascii="Arial" w:hAnsi="Arial"/>
      <w:sz w:val="16"/>
    </w:rPr>
  </w:style>
  <w:style w:type="paragraph" w:customStyle="1" w:styleId="TableTextLeft">
    <w:name w:val="Table Text Left"/>
    <w:basedOn w:val="TableTextBase"/>
    <w:link w:val="TableTextLeftChar"/>
    <w:rsid w:val="006E74B1"/>
  </w:style>
  <w:style w:type="paragraph" w:customStyle="1" w:styleId="TableColumnHeadingLeft">
    <w:name w:val="Table Column Heading Left"/>
    <w:basedOn w:val="Normal"/>
    <w:next w:val="Normal"/>
    <w:rsid w:val="006E74B1"/>
    <w:pPr>
      <w:spacing w:before="40" w:after="40" w:line="240" w:lineRule="auto"/>
    </w:pPr>
    <w:rPr>
      <w:rFonts w:ascii="Arial Bold" w:hAnsi="Arial Bold"/>
      <w:b/>
      <w:sz w:val="16"/>
    </w:rPr>
  </w:style>
  <w:style w:type="character" w:styleId="CommentReference">
    <w:name w:val="annotation reference"/>
    <w:basedOn w:val="DefaultParagraphFont"/>
    <w:semiHidden/>
    <w:rsid w:val="006E74B1"/>
    <w:rPr>
      <w:sz w:val="16"/>
      <w:szCs w:val="16"/>
    </w:rPr>
  </w:style>
  <w:style w:type="paragraph" w:styleId="CommentText">
    <w:name w:val="annotation text"/>
    <w:basedOn w:val="Normal"/>
    <w:link w:val="CommentTextChar"/>
    <w:rsid w:val="006E74B1"/>
  </w:style>
  <w:style w:type="character" w:customStyle="1" w:styleId="CommentTextChar">
    <w:name w:val="Comment Text Char"/>
    <w:basedOn w:val="DefaultParagraphFont"/>
    <w:link w:val="CommentText"/>
    <w:rsid w:val="006E74B1"/>
    <w:rPr>
      <w:rFonts w:ascii="Book Antiqua" w:eastAsia="Times New Roman" w:hAnsi="Book Antiqua" w:cs="Times New Roman"/>
      <w:kern w:val="0"/>
      <w:sz w:val="19"/>
      <w:szCs w:val="20"/>
      <w:lang w:eastAsia="en-AU"/>
      <w14:ligatures w14:val="none"/>
    </w:rPr>
  </w:style>
  <w:style w:type="character" w:styleId="Hyperlink">
    <w:name w:val="Hyperlink"/>
    <w:basedOn w:val="DefaultParagraphFont"/>
    <w:uiPriority w:val="99"/>
    <w:unhideWhenUsed/>
    <w:rsid w:val="006E74B1"/>
    <w:rPr>
      <w:color w:val="auto"/>
      <w:u w:val="single"/>
    </w:rPr>
  </w:style>
  <w:style w:type="character" w:customStyle="1" w:styleId="TableHeadingChar">
    <w:name w:val="Table Heading Char"/>
    <w:link w:val="TableHeading"/>
    <w:rsid w:val="006E74B1"/>
    <w:rPr>
      <w:rFonts w:ascii="Arial" w:eastAsia="Times New Roman" w:hAnsi="Arial" w:cs="Times New Roman"/>
      <w:b/>
      <w:kern w:val="0"/>
      <w:sz w:val="20"/>
      <w:szCs w:val="20"/>
      <w:lang w:eastAsia="en-AU"/>
      <w14:ligatures w14:val="none"/>
    </w:rPr>
  </w:style>
  <w:style w:type="character" w:customStyle="1" w:styleId="TableTextBaseChar">
    <w:name w:val="Table Text Base Char"/>
    <w:link w:val="TableTextBase"/>
    <w:rsid w:val="006E74B1"/>
    <w:rPr>
      <w:rFonts w:ascii="Arial" w:eastAsia="Times New Roman" w:hAnsi="Arial" w:cs="Times New Roman"/>
      <w:kern w:val="0"/>
      <w:sz w:val="16"/>
      <w:szCs w:val="20"/>
      <w:lang w:eastAsia="en-AU"/>
      <w14:ligatures w14:val="none"/>
    </w:rPr>
  </w:style>
  <w:style w:type="character" w:customStyle="1" w:styleId="TableTextLeftChar">
    <w:name w:val="Table Text Left Char"/>
    <w:link w:val="TableTextLeft"/>
    <w:rsid w:val="006E74B1"/>
    <w:rPr>
      <w:rFonts w:ascii="Arial" w:eastAsia="Times New Roman" w:hAnsi="Arial" w:cs="Times New Roman"/>
      <w:kern w:val="0"/>
      <w:sz w:val="16"/>
      <w:szCs w:val="20"/>
      <w:lang w:eastAsia="en-AU"/>
      <w14:ligatures w14:val="none"/>
    </w:rPr>
  </w:style>
  <w:style w:type="paragraph" w:styleId="BodyText">
    <w:name w:val="Body Text"/>
    <w:basedOn w:val="Normal"/>
    <w:link w:val="BodyTextChar"/>
    <w:uiPriority w:val="1"/>
    <w:qFormat/>
    <w:rsid w:val="006E74B1"/>
    <w:pPr>
      <w:spacing w:before="120" w:after="120" w:line="264" w:lineRule="auto"/>
      <w:ind w:right="272"/>
    </w:pPr>
    <w:rPr>
      <w:rFonts w:ascii="Calibri" w:eastAsia="Cambria" w:hAnsi="Calibri"/>
      <w:sz w:val="22"/>
      <w:szCs w:val="28"/>
      <w:lang w:eastAsia="en-US"/>
    </w:rPr>
  </w:style>
  <w:style w:type="character" w:customStyle="1" w:styleId="BodyTextChar">
    <w:name w:val="Body Text Char"/>
    <w:basedOn w:val="DefaultParagraphFont"/>
    <w:link w:val="BodyText"/>
    <w:uiPriority w:val="1"/>
    <w:rsid w:val="006E74B1"/>
    <w:rPr>
      <w:rFonts w:ascii="Calibri" w:eastAsia="Cambria" w:hAnsi="Calibri" w:cs="Times New Roman"/>
      <w:kern w:val="0"/>
      <w:sz w:val="22"/>
      <w:szCs w:val="28"/>
      <w14:ligatures w14:val="none"/>
    </w:rPr>
  </w:style>
  <w:style w:type="paragraph" w:styleId="Header">
    <w:name w:val="header"/>
    <w:basedOn w:val="Normal"/>
    <w:link w:val="HeaderChar"/>
    <w:uiPriority w:val="99"/>
    <w:unhideWhenUsed/>
    <w:rsid w:val="006E74B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E74B1"/>
    <w:rPr>
      <w:rFonts w:ascii="Book Antiqua" w:eastAsia="Times New Roman" w:hAnsi="Book Antiqua" w:cs="Times New Roman"/>
      <w:kern w:val="0"/>
      <w:sz w:val="19"/>
      <w:szCs w:val="20"/>
      <w:lang w:eastAsia="en-AU"/>
      <w14:ligatures w14:val="none"/>
    </w:rPr>
  </w:style>
  <w:style w:type="paragraph" w:styleId="Footer">
    <w:name w:val="footer"/>
    <w:basedOn w:val="Normal"/>
    <w:link w:val="FooterChar"/>
    <w:uiPriority w:val="99"/>
    <w:unhideWhenUsed/>
    <w:rsid w:val="006E74B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E74B1"/>
    <w:rPr>
      <w:rFonts w:ascii="Book Antiqua" w:eastAsia="Times New Roman" w:hAnsi="Book Antiqua" w:cs="Times New Roman"/>
      <w:kern w:val="0"/>
      <w:sz w:val="19"/>
      <w:szCs w:val="20"/>
      <w:lang w:eastAsia="en-AU"/>
      <w14:ligatures w14:val="none"/>
    </w:rPr>
  </w:style>
  <w:style w:type="paragraph" w:styleId="NoSpacing">
    <w:name w:val="No Spacing"/>
    <w:uiPriority w:val="1"/>
    <w:qFormat/>
    <w:rsid w:val="006E74B1"/>
    <w:pPr>
      <w:suppressAutoHyphens/>
      <w:spacing w:after="0" w:line="240" w:lineRule="auto"/>
    </w:pPr>
    <w:rPr>
      <w:kern w:val="0"/>
      <w:sz w:val="22"/>
      <w:szCs w:val="22"/>
      <w14:ligatures w14:val="none"/>
    </w:rPr>
  </w:style>
  <w:style w:type="paragraph" w:styleId="Revision">
    <w:name w:val="Revision"/>
    <w:hidden/>
    <w:uiPriority w:val="99"/>
    <w:semiHidden/>
    <w:rsid w:val="004806C5"/>
    <w:pPr>
      <w:spacing w:after="0" w:line="240" w:lineRule="auto"/>
    </w:pPr>
    <w:rPr>
      <w:rFonts w:ascii="Book Antiqua" w:eastAsia="Times New Roman" w:hAnsi="Book Antiqua" w:cs="Times New Roman"/>
      <w:kern w:val="0"/>
      <w:sz w:val="19"/>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inance.gov.au/government/managing-commonwealth-resources/reporting-performance-information-portfolio-budget-statements-rmg-129/finance-secretary-direction-21-august-202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TaxCatchAll xmlns="a334ba3b-e131-42d3-95f3-2728f5a41884">
      <Value>17</Value>
      <Value>23</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e0fcb3f570964638902a63147cd98219>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https://financegovau.sharepoint.com/sites/M365_DoF_50033698/_layouts/15/DocIdRedir.aspx?ID=FIN33698-1310712376-30016</Url>
      <Description>FIN33698-1310712376-30016</Description>
    </_dlc_DocIdUrl>
    <_dlc_DocId xmlns="6a7e9632-768a-49bf-85ac-c69233ab2a52">FIN33698-1310712376-30016</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Security_x0020_Classification xmlns="a334ba3b-e131-42d3-95f3-2728f5a41884">OFFICIAL</Security_x0020_Classification>
    <Original_x0020_Date_x0020_Created xmlns="a334ba3b-e131-42d3-95f3-2728f5a41884" xsi:nil="true"/>
    <EntityType xmlns="bafc251d-e9b4-49f5-b575-b5e93fa5c0c7" xsi:nil="true"/>
    <lcf76f155ced4ddcb4097134ff3c332f xmlns="bafc251d-e9b4-49f5-b575-b5e93fa5c0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19872F86E2EE114EB3E8161F2B337E45" ma:contentTypeVersion="32" ma:contentTypeDescription="Create a new document." ma:contentTypeScope="" ma:versionID="694c679cc0a0a900bd2950a7783e1092">
  <xsd:schema xmlns:xsd="http://www.w3.org/2001/XMLSchema" xmlns:xs="http://www.w3.org/2001/XMLSchema" xmlns:p="http://schemas.microsoft.com/office/2006/metadata/properties" xmlns:ns2="a334ba3b-e131-42d3-95f3-2728f5a41884" xmlns:ns3="6a7e9632-768a-49bf-85ac-c69233ab2a52" xmlns:ns4="bafc251d-e9b4-49f5-b575-b5e93fa5c0c7" targetNamespace="http://schemas.microsoft.com/office/2006/metadata/properties" ma:root="true" ma:fieldsID="b30e3700fd16d298796c283f94b4c268" ns2:_="" ns3:_="" ns4:_="">
    <xsd:import namespace="a334ba3b-e131-42d3-95f3-2728f5a41884"/>
    <xsd:import namespace="6a7e9632-768a-49bf-85ac-c69233ab2a52"/>
    <xsd:import namespace="bafc251d-e9b4-49f5-b575-b5e93fa5c0c7"/>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element ref="ns4:Entity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8df9eee-58d4-4295-8b11-e2e27d40979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GPA Communications|21ca23e4-4376-4b96-a405-eb60172fd693"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8df9eee-58d4-4295-8b11-e2e27d40979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fc251d-e9b4-49f5-b575-b5e93fa5c0c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EntityType" ma:index="38" nillable="true" ma:displayName="Entity Type" ma:format="RadioButtons" ma:internalName="EntityType">
      <xsd:simpleType>
        <xsd:restriction base="dms:Choice">
          <xsd:enumeration value="NCE"/>
          <xsd:enumeration value="CCE"/>
          <xsd:enumeration value="C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074484-86A8-4F1E-8421-8E7038E59EF1}">
  <ds:schemaRefs>
    <ds:schemaRef ds:uri="Microsoft.SharePoint.Taxonomy.ContentTypeSync"/>
  </ds:schemaRefs>
</ds:datastoreItem>
</file>

<file path=customXml/itemProps2.xml><?xml version="1.0" encoding="utf-8"?>
<ds:datastoreItem xmlns:ds="http://schemas.openxmlformats.org/officeDocument/2006/customXml" ds:itemID="{D9275B30-F545-4995-9274-57EA3B24C330}">
  <ds:schemaRefs>
    <ds:schemaRef ds:uri="http://schemas.microsoft.com/sharepoint/v3/contenttype/forms"/>
  </ds:schemaRefs>
</ds:datastoreItem>
</file>

<file path=customXml/itemProps3.xml><?xml version="1.0" encoding="utf-8"?>
<ds:datastoreItem xmlns:ds="http://schemas.openxmlformats.org/officeDocument/2006/customXml" ds:itemID="{691D1C63-E9A3-4110-A3BA-DF7E99483F9F}">
  <ds:schemaRefs>
    <ds:schemaRef ds:uri="http://schemas.microsoft.com/office/2006/documentManagement/types"/>
    <ds:schemaRef ds:uri="http://www.w3.org/XML/1998/namespace"/>
    <ds:schemaRef ds:uri="http://purl.org/dc/elements/1.1/"/>
    <ds:schemaRef ds:uri="a334ba3b-e131-42d3-95f3-2728f5a41884"/>
    <ds:schemaRef ds:uri="bafc251d-e9b4-49f5-b575-b5e93fa5c0c7"/>
    <ds:schemaRef ds:uri="http://purl.org/dc/dcmitype/"/>
    <ds:schemaRef ds:uri="http://schemas.microsoft.com/office/infopath/2007/PartnerControls"/>
    <ds:schemaRef ds:uri="http://schemas.openxmlformats.org/package/2006/metadata/core-properties"/>
    <ds:schemaRef ds:uri="6a7e9632-768a-49bf-85ac-c69233ab2a52"/>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3FD28B4-4AAD-4897-991C-A4B97CD18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bafc251d-e9b4-49f5-b575-b5e93fa5c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77A63B-1057-4FFE-A4D3-DB2781C045F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2614</Characters>
  <Application>Microsoft Office Word</Application>
  <DocSecurity>0</DocSecurity>
  <Lines>72</Lines>
  <Paragraphs>42</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Ustick, Heather</dc:creator>
  <cp:keywords>[SEC=OFFICIAL]</cp:keywords>
  <dc:description/>
  <cp:lastModifiedBy>Parsons, Jurgen</cp:lastModifiedBy>
  <cp:revision>2</cp:revision>
  <dcterms:created xsi:type="dcterms:W3CDTF">2025-02-10T05:08:00Z</dcterms:created>
  <dcterms:modified xsi:type="dcterms:W3CDTF">2025-02-10T05:08:00Z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v=2022.1;a=SHA256;h=55C7D55A25B02695C8A0F14EEBD45499553DC237CA75D92A77ED56704F4A95FB</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2025-01-17T05:45:23Z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24E3AA2EA81197C7AEBDFC654CEF79384F9E4BD5772A928FAF5E1458B5CBAB9E</vt:lpwstr>
  </property>
  <property fmtid="{D5CDD505-2E9C-101B-9397-08002B2CF9AE}" pid="16" name="MSIP_Label_87d6481e-ccdd-4ab6-8b26-05a0df5699e7_SetDate">
    <vt:lpwstr>2025-01-17T05:45:23Z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5f39b157f76a4761afb22b7e9d4953c3</vt:lpwstr>
  </property>
  <property fmtid="{D5CDD505-2E9C-101B-9397-08002B2CF9AE}" pid="20" name="PM_InsertionValue">
    <vt:lpwstr>OFFICIAL</vt:lpwstr>
  </property>
  <property fmtid="{D5CDD505-2E9C-101B-9397-08002B2CF9AE}" pid="21" name="PM_Originator_Hash_SHA1">
    <vt:lpwstr>FE880DF04F3B4309C842DE366CC17F6FA058D037</vt:lpwstr>
  </property>
  <property fmtid="{D5CDD505-2E9C-101B-9397-08002B2CF9AE}" pid="22" name="PM_DisplayValueSecClassificationWithQualifier">
    <vt:lpwstr>OFFICIAL</vt:lpwstr>
  </property>
  <property fmtid="{D5CDD505-2E9C-101B-9397-08002B2CF9AE}" pid="23" name="PM_Originating_FileId">
    <vt:lpwstr>F256BC0FEBB54CF6A1E24927FE2AD4FF</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1929B5B82DB5639347ABED826EE502BC</vt:lpwstr>
  </property>
  <property fmtid="{D5CDD505-2E9C-101B-9397-08002B2CF9AE}" pid="32" name="PM_Hash_Salt">
    <vt:lpwstr>BED3A26F504144BA85405199D397DE1F</vt:lpwstr>
  </property>
  <property fmtid="{D5CDD505-2E9C-101B-9397-08002B2CF9AE}" pid="33" name="PM_Hash_SHA1">
    <vt:lpwstr>5C02C7307FD9670BBD734C6381CE1A5FB6AC17D7</vt:lpwstr>
  </property>
  <property fmtid="{D5CDD505-2E9C-101B-9397-08002B2CF9AE}" pid="34" name="EmReceivedByName">
    <vt:lpwstr/>
  </property>
  <property fmtid="{D5CDD505-2E9C-101B-9397-08002B2CF9AE}" pid="35" name="TaxKeyword">
    <vt:lpwstr>17;#[SEC=OFFICIAL]|07351cc0-de73-4913-be2f-56f124cbf8bb</vt:lpwstr>
  </property>
  <property fmtid="{D5CDD505-2E9C-101B-9397-08002B2CF9AE}" pid="36" name="EmToAddress">
    <vt:lpwstr/>
  </property>
  <property fmtid="{D5CDD505-2E9C-101B-9397-08002B2CF9AE}" pid="37" name="EmCategory">
    <vt:lpwstr/>
  </property>
  <property fmtid="{D5CDD505-2E9C-101B-9397-08002B2CF9AE}" pid="38" name="EmConversationIndex">
    <vt:lpwstr/>
  </property>
  <property fmtid="{D5CDD505-2E9C-101B-9397-08002B2CF9AE}" pid="39" name="EmHasAttachments">
    <vt:bool>false</vt:bool>
  </property>
  <property fmtid="{D5CDD505-2E9C-101B-9397-08002B2CF9AE}" pid="40" name="EmBody">
    <vt:lpwstr/>
  </property>
  <property fmtid="{D5CDD505-2E9C-101B-9397-08002B2CF9AE}" pid="41" name="PM_Qualifier_Prev">
    <vt:lpwstr/>
  </property>
  <property fmtid="{D5CDD505-2E9C-101B-9397-08002B2CF9AE}" pid="42" name="EmCC">
    <vt:lpwstr/>
  </property>
  <property fmtid="{D5CDD505-2E9C-101B-9397-08002B2CF9AE}" pid="43" name="EmBCCSMTPAddress">
    <vt:lpwstr/>
  </property>
  <property fmtid="{D5CDD505-2E9C-101B-9397-08002B2CF9AE}" pid="44" name="EmFromName">
    <vt:lpwstr/>
  </property>
  <property fmtid="{D5CDD505-2E9C-101B-9397-08002B2CF9AE}" pid="45" name="EmTo">
    <vt:lpwstr/>
  </property>
  <property fmtid="{D5CDD505-2E9C-101B-9397-08002B2CF9AE}" pid="46" name="EmToSMTPAddress">
    <vt:lpwstr/>
  </property>
  <property fmtid="{D5CDD505-2E9C-101B-9397-08002B2CF9AE}" pid="47" name="_ExtendedDescription">
    <vt:lpwstr/>
  </property>
  <property fmtid="{D5CDD505-2E9C-101B-9397-08002B2CF9AE}" pid="48" name="Organisation Unit">
    <vt:lpwstr>20;#Performance|0f4dd21a-6494-4313-960a-2dff10e24755</vt:lpwstr>
  </property>
  <property fmtid="{D5CDD505-2E9C-101B-9397-08002B2CF9AE}" pid="49" name="Function_x0020_and_x0020_Activity">
    <vt:lpwstr/>
  </property>
  <property fmtid="{D5CDD505-2E9C-101B-9397-08002B2CF9AE}" pid="50" name="EmCon">
    <vt:lpwstr/>
  </property>
  <property fmtid="{D5CDD505-2E9C-101B-9397-08002B2CF9AE}" pid="51" name="EmCompanies">
    <vt:lpwstr/>
  </property>
  <property fmtid="{D5CDD505-2E9C-101B-9397-08002B2CF9AE}" pid="52" name="EmFromSMTPAddress">
    <vt:lpwstr/>
  </property>
  <property fmtid="{D5CDD505-2E9C-101B-9397-08002B2CF9AE}" pid="53" name="EmAttachCount">
    <vt:lpwstr/>
  </property>
  <property fmtid="{D5CDD505-2E9C-101B-9397-08002B2CF9AE}" pid="54" name="of934ccb37d6451ba60cdb89c18171670">
    <vt:lpwstr>Department of Finance|fd660e8f-8f31-49bd-92a3-d31d4da31afe</vt:lpwstr>
  </property>
  <property fmtid="{D5CDD505-2E9C-101B-9397-08002B2CF9AE}" pid="55" name="f0888ba7078d4a1bac90b097c1ed0fad0">
    <vt:lpwstr>Department of Finance|fd660e8f-8f31-49bd-92a3-d31d4da31afe</vt:lpwstr>
  </property>
  <property fmtid="{D5CDD505-2E9C-101B-9397-08002B2CF9AE}" pid="56" name="lcf76f155ced4ddcb4097134ff3c332f">
    <vt:lpwstr/>
  </property>
  <property fmtid="{D5CDD505-2E9C-101B-9397-08002B2CF9AE}" pid="57" name="EmReceivedOnBehalfOfName">
    <vt:lpwstr/>
  </property>
  <property fmtid="{D5CDD505-2E9C-101B-9397-08002B2CF9AE}" pid="58" name="EmReplyRecipients">
    <vt:lpwstr/>
  </property>
  <property fmtid="{D5CDD505-2E9C-101B-9397-08002B2CF9AE}" pid="59" name="EmRetentionPolicyName">
    <vt:lpwstr/>
  </property>
  <property fmtid="{D5CDD505-2E9C-101B-9397-08002B2CF9AE}" pid="60" name="EmReplyRecipientNames">
    <vt:lpwstr/>
  </property>
  <property fmtid="{D5CDD505-2E9C-101B-9397-08002B2CF9AE}" pid="61" name="_dlc_DocIdItemGuid">
    <vt:lpwstr>4318d922-7bdb-4cbc-aab5-c4ff2961c91b</vt:lpwstr>
  </property>
  <property fmtid="{D5CDD505-2E9C-101B-9397-08002B2CF9AE}" pid="62" name="lf395e0388bc45bfb8642f07b9d090f40">
    <vt:lpwstr/>
  </property>
  <property fmtid="{D5CDD505-2E9C-101B-9397-08002B2CF9AE}" pid="63" name="About Entity">
    <vt:lpwstr>1;#Department of Finance|fd660e8f-8f31-49bd-92a3-d31d4da31afe</vt:lpwstr>
  </property>
  <property fmtid="{D5CDD505-2E9C-101B-9397-08002B2CF9AE}" pid="64" name="EmFrom">
    <vt:lpwstr/>
  </property>
  <property fmtid="{D5CDD505-2E9C-101B-9397-08002B2CF9AE}" pid="65" name="e0fcb3f570964638902a63147cd982190">
    <vt:lpwstr>Performance|0f4dd21a-6494-4313-960a-2dff10e24755</vt:lpwstr>
  </property>
  <property fmtid="{D5CDD505-2E9C-101B-9397-08002B2CF9AE}" pid="66" name="EmAttachmentNames">
    <vt:lpwstr/>
  </property>
  <property fmtid="{D5CDD505-2E9C-101B-9397-08002B2CF9AE}" pid="67" name="EmSentOnBehalfOfName">
    <vt:lpwstr/>
  </property>
  <property fmtid="{D5CDD505-2E9C-101B-9397-08002B2CF9AE}" pid="68" name="RelatedIssues">
    <vt:lpwstr/>
  </property>
  <property fmtid="{D5CDD505-2E9C-101B-9397-08002B2CF9AE}" pid="69" name="Initiating Entity">
    <vt:lpwstr>1;#Department of Finance|fd660e8f-8f31-49bd-92a3-d31d4da31afe</vt:lpwstr>
  </property>
  <property fmtid="{D5CDD505-2E9C-101B-9397-08002B2CF9AE}" pid="70" name="PM_SecurityClassification_Prev">
    <vt:lpwstr>OFFICIAL</vt:lpwstr>
  </property>
  <property fmtid="{D5CDD505-2E9C-101B-9397-08002B2CF9AE}" pid="71" name="Function and Activity">
    <vt:lpwstr/>
  </property>
  <property fmtid="{D5CDD505-2E9C-101B-9397-08002B2CF9AE}" pid="72" name="EmCCSMTPAddress">
    <vt:lpwstr/>
  </property>
  <property fmtid="{D5CDD505-2E9C-101B-9397-08002B2CF9AE}" pid="73" name="EmConversationID">
    <vt:lpwstr/>
  </property>
  <property fmtid="{D5CDD505-2E9C-101B-9397-08002B2CF9AE}" pid="74" name="Initiating_x0020_Entity">
    <vt:lpwstr>1;#Department of Finance|fd660e8f-8f31-49bd-92a3-d31d4da31afe</vt:lpwstr>
  </property>
  <property fmtid="{D5CDD505-2E9C-101B-9397-08002B2CF9AE}" pid="75" name="EmBCC">
    <vt:lpwstr/>
  </property>
  <property fmtid="{D5CDD505-2E9C-101B-9397-08002B2CF9AE}" pid="76" name="EmID">
    <vt:lpwstr/>
  </property>
  <property fmtid="{D5CDD505-2E9C-101B-9397-08002B2CF9AE}" pid="77" name="Organisation_x0020_Unit">
    <vt:lpwstr>20;#Performance|0f4dd21a-6494-4313-960a-2dff10e24755</vt:lpwstr>
  </property>
  <property fmtid="{D5CDD505-2E9C-101B-9397-08002B2CF9AE}" pid="78" name="MediaServiceImageTags">
    <vt:lpwstr/>
  </property>
  <property fmtid="{D5CDD505-2E9C-101B-9397-08002B2CF9AE}" pid="79" name="EmSubject">
    <vt:lpwstr/>
  </property>
  <property fmtid="{D5CDD505-2E9C-101B-9397-08002B2CF9AE}" pid="80" name="About_x0020_Entity">
    <vt:lpwstr>1;#Department of Finance|fd660e8f-8f31-49bd-92a3-d31d4da31afe</vt:lpwstr>
  </property>
  <property fmtid="{D5CDD505-2E9C-101B-9397-08002B2CF9AE}" pid="81" name="ContentTypeId">
    <vt:lpwstr>0x010100B7B479F47583304BA8B631462CC772D70019872F86E2EE114EB3E8161F2B337E45</vt:lpwstr>
  </property>
</Properties>
</file>