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74C86" w14:textId="34AC8919" w:rsidR="00022D0E" w:rsidRPr="00516B2B" w:rsidRDefault="005D3A15" w:rsidP="0000539B">
      <w:pPr>
        <w:pStyle w:val="Bannerheading"/>
        <w:spacing w:before="480"/>
        <w:rPr>
          <w:color w:val="auto"/>
        </w:rPr>
      </w:pPr>
      <w:r>
        <w:rPr>
          <w:color w:val="auto"/>
        </w:rPr>
        <w:t>Risk Management</w:t>
      </w:r>
      <w:r w:rsidR="00136351">
        <w:rPr>
          <w:color w:val="auto"/>
        </w:rPr>
        <w:t xml:space="preserve"> Guidance</w:t>
      </w:r>
    </w:p>
    <w:p w14:paraId="780FB66C" w14:textId="03831B6B" w:rsidR="0030644C" w:rsidRPr="00516B2B" w:rsidRDefault="00136351" w:rsidP="00F541E4">
      <w:pPr>
        <w:pStyle w:val="Subheading"/>
        <w:spacing w:after="360"/>
        <w:rPr>
          <w:color w:val="auto"/>
        </w:rPr>
      </w:pPr>
      <w:r>
        <w:rPr>
          <w:color w:val="auto"/>
        </w:rPr>
        <w:t>Commonwealth Climate Disclosure</w:t>
      </w:r>
    </w:p>
    <w:p w14:paraId="1B9BBB74" w14:textId="45C4109B" w:rsidR="000E2C6D" w:rsidRPr="000E2C6D" w:rsidRDefault="000E2C6D" w:rsidP="001F3454">
      <w:pPr>
        <w:pStyle w:val="BodyText1"/>
      </w:pPr>
      <w:r w:rsidRPr="000E2C6D">
        <w:t xml:space="preserve">This document has been developed to support you in implementing the </w:t>
      </w:r>
      <w:r w:rsidR="005D3A15">
        <w:t xml:space="preserve">Risk </w:t>
      </w:r>
      <w:r w:rsidR="0084484D">
        <w:t>M</w:t>
      </w:r>
      <w:r w:rsidR="005D3A15">
        <w:t>anagement</w:t>
      </w:r>
      <w:r w:rsidRPr="000E2C6D">
        <w:t xml:space="preserve"> criteria of your </w:t>
      </w:r>
      <w:r w:rsidR="00137D61">
        <w:t>entity’s</w:t>
      </w:r>
      <w:r w:rsidRPr="000E2C6D">
        <w:t xml:space="preserve"> climate disclosure. It is not mandatory to use this </w:t>
      </w:r>
      <w:r w:rsidR="00C07D48">
        <w:t>G</w:t>
      </w:r>
      <w:r w:rsidRPr="000E2C6D">
        <w:t xml:space="preserve">uidance, and you should consider how the </w:t>
      </w:r>
      <w:r w:rsidR="003920BD">
        <w:t>G</w:t>
      </w:r>
      <w:r w:rsidRPr="000E2C6D">
        <w:t>uidance relates to your entity’s individual circumstances.</w:t>
      </w:r>
    </w:p>
    <w:p w14:paraId="40731BD8" w14:textId="77777777" w:rsidR="000E2C6D" w:rsidRPr="000E2C6D" w:rsidRDefault="000E2C6D" w:rsidP="001F3454">
      <w:pPr>
        <w:pStyle w:val="BodyText1"/>
      </w:pPr>
      <w:r w:rsidRPr="000E2C6D">
        <w:t xml:space="preserve">Although all climate disclosure criteria should be addressed, the format for how these are disclosed is flexible (provided it meets the General Requirements). When the climate disclosure refers to different sections of an annual report, we recommend using an index. </w:t>
      </w:r>
    </w:p>
    <w:p w14:paraId="1B000AFB" w14:textId="553EEA3C" w:rsidR="000E2C6D" w:rsidRPr="000E2C6D" w:rsidRDefault="000E2C6D" w:rsidP="001F3454">
      <w:pPr>
        <w:pStyle w:val="BodyText1"/>
      </w:pPr>
      <w:r w:rsidRPr="000E2C6D">
        <w:t xml:space="preserve">We recommend that you use this document alongside the examples and other resources published on the </w:t>
      </w:r>
      <w:hyperlink r:id="rId8" w:history="1">
        <w:r w:rsidRPr="00710B4A">
          <w:rPr>
            <w:rStyle w:val="Hyperlink"/>
          </w:rPr>
          <w:t>Application Guidance website</w:t>
        </w:r>
      </w:hyperlink>
      <w:r w:rsidRPr="000E2C6D">
        <w:t>.</w:t>
      </w:r>
    </w:p>
    <w:p w14:paraId="26BB2472" w14:textId="77777777" w:rsidR="00BC46BB" w:rsidRPr="00953C96" w:rsidRDefault="00BC46BB" w:rsidP="00BC46BB">
      <w:pPr>
        <w:pStyle w:val="Heading2"/>
      </w:pPr>
      <w:r>
        <w:t>Guide to making your disclosure</w:t>
      </w:r>
    </w:p>
    <w:p w14:paraId="2737DADA" w14:textId="500FF804" w:rsidR="009F3904" w:rsidRDefault="002C4B4D" w:rsidP="001F3454">
      <w:pPr>
        <w:pStyle w:val="BodyText1"/>
      </w:pPr>
      <w:r w:rsidRPr="00CB6108">
        <w:t xml:space="preserve">The </w:t>
      </w:r>
      <w:r w:rsidR="00411001">
        <w:t>R</w:t>
      </w:r>
      <w:r w:rsidR="005D3A15">
        <w:t xml:space="preserve">isk </w:t>
      </w:r>
      <w:r w:rsidR="00555041">
        <w:t>M</w:t>
      </w:r>
      <w:r w:rsidR="005D3A15">
        <w:t>anagement</w:t>
      </w:r>
      <w:r w:rsidRPr="00CB6108">
        <w:t xml:space="preserve"> section of your </w:t>
      </w:r>
      <w:r w:rsidR="003028CB">
        <w:t>entity’s</w:t>
      </w:r>
      <w:r w:rsidRPr="00CB6108">
        <w:t xml:space="preserve"> climate disclosure should provide a high-level description of </w:t>
      </w:r>
      <w:r w:rsidR="00796262">
        <w:t xml:space="preserve">the processes and related policies </w:t>
      </w:r>
      <w:r w:rsidR="005E7E06">
        <w:t>your</w:t>
      </w:r>
      <w:r w:rsidR="00796262">
        <w:t xml:space="preserve"> entity uses </w:t>
      </w:r>
      <w:r w:rsidR="005F1E87">
        <w:t>in the management of</w:t>
      </w:r>
      <w:r w:rsidR="00796262">
        <w:t xml:space="preserve"> </w:t>
      </w:r>
      <w:r w:rsidR="00FE73A6">
        <w:t xml:space="preserve">its </w:t>
      </w:r>
      <w:r w:rsidR="00796262">
        <w:t>climate-related risks and opportunities</w:t>
      </w:r>
      <w:r w:rsidRPr="00CB6108">
        <w:t>. A summary of what should be included is detailed below.</w:t>
      </w:r>
    </w:p>
    <w:p w14:paraId="676F9978" w14:textId="3F5F7273" w:rsidR="009F3904" w:rsidRDefault="009F3904" w:rsidP="001F3454">
      <w:pPr>
        <w:pStyle w:val="BodyText1"/>
      </w:pPr>
      <w:r w:rsidRPr="00CB6108">
        <w:rPr>
          <w:noProof/>
        </w:rPr>
        <w:drawing>
          <wp:inline distT="0" distB="0" distL="0" distR="0" wp14:anchorId="4BB68828" wp14:editId="6C81D957">
            <wp:extent cx="5977255" cy="1713297"/>
            <wp:effectExtent l="0" t="0" r="23495" b="20320"/>
            <wp:docPr id="22360004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B3BFB19" w14:textId="0BEF9AE6" w:rsidR="003F2F12" w:rsidRPr="00CB6108" w:rsidRDefault="003F2F12" w:rsidP="003F2F12">
      <w:pPr>
        <w:pStyle w:val="Figuretext"/>
      </w:pPr>
      <w:r w:rsidRPr="00CB6108">
        <w:t xml:space="preserve">Figure 1 Summary of </w:t>
      </w:r>
      <w:r w:rsidR="000A4D9D">
        <w:t>R</w:t>
      </w:r>
      <w:r w:rsidR="005D3A15">
        <w:t xml:space="preserve">isk </w:t>
      </w:r>
      <w:r w:rsidR="00FC3A57">
        <w:t>M</w:t>
      </w:r>
      <w:r w:rsidR="005D3A15">
        <w:t>anagement</w:t>
      </w:r>
      <w:r w:rsidRPr="00CB6108">
        <w:t xml:space="preserve"> criteria</w:t>
      </w:r>
    </w:p>
    <w:p w14:paraId="00ED4D31" w14:textId="77777777" w:rsidR="00997889" w:rsidRPr="00CB6108" w:rsidRDefault="00997889" w:rsidP="00997889">
      <w:pPr>
        <w:pStyle w:val="Heading2"/>
      </w:pPr>
      <w:r>
        <w:t>Step 1: Review related publications</w:t>
      </w:r>
    </w:p>
    <w:p w14:paraId="562A87EE" w14:textId="2944BEAB" w:rsidR="0075682C" w:rsidRPr="00CB6108" w:rsidRDefault="0075682C" w:rsidP="001F3454">
      <w:pPr>
        <w:pStyle w:val="BodyText1"/>
      </w:pPr>
      <w:r w:rsidRPr="00CB6108">
        <w:t xml:space="preserve">Review the </w:t>
      </w:r>
      <w:r w:rsidR="001F34A6">
        <w:t>R</w:t>
      </w:r>
      <w:r w:rsidR="003E5ED9">
        <w:t xml:space="preserve">isk </w:t>
      </w:r>
      <w:r w:rsidR="00555041">
        <w:t>M</w:t>
      </w:r>
      <w:r w:rsidR="00B700F7">
        <w:t>a</w:t>
      </w:r>
      <w:r w:rsidR="003E5ED9">
        <w:t>nagement</w:t>
      </w:r>
      <w:r w:rsidRPr="00CB6108">
        <w:t xml:space="preserve"> section</w:t>
      </w:r>
      <w:r w:rsidR="00CB5B7E">
        <w:t>(s)</w:t>
      </w:r>
      <w:r w:rsidRPr="00CB6108">
        <w:t xml:space="preserve"> of your annual report to see what is already disclosed, for example: </w:t>
      </w:r>
    </w:p>
    <w:p w14:paraId="403540B9" w14:textId="1E8C5108" w:rsidR="00200893" w:rsidRDefault="00113685" w:rsidP="00200893">
      <w:pPr>
        <w:pStyle w:val="Bodybullet1"/>
        <w:ind w:left="360" w:hanging="360"/>
      </w:pPr>
      <w:r>
        <w:t>c</w:t>
      </w:r>
      <w:r w:rsidR="00200893">
        <w:t xml:space="preserve">orporate governance (e.g. </w:t>
      </w:r>
      <w:r w:rsidR="006115D2">
        <w:t xml:space="preserve">responsibilities of </w:t>
      </w:r>
      <w:r w:rsidR="00200893">
        <w:t>Risk Committee</w:t>
      </w:r>
      <w:r w:rsidR="006115D2">
        <w:t>s</w:t>
      </w:r>
      <w:r w:rsidR="00200893">
        <w:t>)</w:t>
      </w:r>
    </w:p>
    <w:p w14:paraId="1EA20FCB" w14:textId="01F42BE6" w:rsidR="00943EBC" w:rsidRDefault="00113685" w:rsidP="005D3A15">
      <w:pPr>
        <w:pStyle w:val="Bodybullet1"/>
        <w:ind w:left="360" w:hanging="360"/>
      </w:pPr>
      <w:r>
        <w:t>r</w:t>
      </w:r>
      <w:r w:rsidR="0074404F">
        <w:t xml:space="preserve">isk management </w:t>
      </w:r>
      <w:r w:rsidR="00046755">
        <w:t>framework</w:t>
      </w:r>
    </w:p>
    <w:p w14:paraId="1F5FF01B" w14:textId="5D01A6D6" w:rsidR="005D3A15" w:rsidRDefault="00113685" w:rsidP="005D3A15">
      <w:pPr>
        <w:pStyle w:val="Bodybullet1"/>
        <w:ind w:left="360" w:hanging="360"/>
      </w:pPr>
      <w:r>
        <w:t>r</w:t>
      </w:r>
      <w:r w:rsidR="00943EBC">
        <w:t xml:space="preserve">isk management </w:t>
      </w:r>
      <w:r w:rsidR="00882847">
        <w:t>policies</w:t>
      </w:r>
    </w:p>
    <w:p w14:paraId="0A966ED0" w14:textId="41CD45A6" w:rsidR="004D273E" w:rsidRDefault="00113685" w:rsidP="005D3A15">
      <w:pPr>
        <w:pStyle w:val="Bodybullet1"/>
        <w:ind w:left="360" w:hanging="360"/>
      </w:pPr>
      <w:r>
        <w:t>r</w:t>
      </w:r>
      <w:r w:rsidR="004D273E">
        <w:t xml:space="preserve">isk </w:t>
      </w:r>
      <w:r w:rsidR="0017311F">
        <w:t>a</w:t>
      </w:r>
      <w:r w:rsidR="005D0B1C">
        <w:t xml:space="preserve">ppetite </w:t>
      </w:r>
      <w:r w:rsidR="0017311F">
        <w:t>s</w:t>
      </w:r>
      <w:r w:rsidR="005D0B1C">
        <w:t>tatement</w:t>
      </w:r>
    </w:p>
    <w:p w14:paraId="4301E164" w14:textId="0E6B4CEA" w:rsidR="005D3A15" w:rsidRPr="007F355E" w:rsidRDefault="00093578" w:rsidP="00886465">
      <w:pPr>
        <w:pStyle w:val="Bodybullet1"/>
        <w:ind w:left="360" w:hanging="360"/>
      </w:pPr>
      <w:r>
        <w:t>c</w:t>
      </w:r>
      <w:r w:rsidR="006B3A5C">
        <w:t>limate risk assessment process</w:t>
      </w:r>
      <w:r w:rsidR="00995D05">
        <w:t xml:space="preserve"> (if</w:t>
      </w:r>
      <w:r w:rsidR="004B3749">
        <w:t xml:space="preserve"> applicable)</w:t>
      </w:r>
      <w:r w:rsidR="00A343E4">
        <w:t>.</w:t>
      </w:r>
    </w:p>
    <w:p w14:paraId="039BDE8A" w14:textId="63319494" w:rsidR="00606E2B" w:rsidRPr="00CB6108" w:rsidRDefault="0075682C" w:rsidP="001F3454">
      <w:pPr>
        <w:pStyle w:val="BodyText1"/>
      </w:pPr>
      <w:r w:rsidRPr="00CB6108">
        <w:t xml:space="preserve">There is no need to duplicate relevant content in other sections of the annual report within your climate disclosure section. </w:t>
      </w:r>
    </w:p>
    <w:tbl>
      <w:tblPr>
        <w:tblStyle w:val="TableGrid"/>
        <w:tblW w:w="0" w:type="auto"/>
        <w:tblLook w:val="04A0" w:firstRow="1" w:lastRow="0" w:firstColumn="1" w:lastColumn="0" w:noHBand="0" w:noVBand="1"/>
      </w:tblPr>
      <w:tblGrid>
        <w:gridCol w:w="9402"/>
      </w:tblGrid>
      <w:tr w:rsidR="00606E2B" w:rsidRPr="00CB6108" w14:paraId="75FFF12F" w14:textId="77777777">
        <w:tc>
          <w:tcPr>
            <w:tcW w:w="9402" w:type="dxa"/>
            <w:shd w:val="clear" w:color="auto" w:fill="D2F0EF" w:themeFill="accent2" w:themeFillTint="33"/>
          </w:tcPr>
          <w:p w14:paraId="08FFEB01" w14:textId="4FBFBD98" w:rsidR="008870DF" w:rsidRDefault="00606E2B" w:rsidP="001F3454">
            <w:pPr>
              <w:pStyle w:val="BodyText1"/>
            </w:pPr>
            <w:r w:rsidRPr="009A76C1">
              <w:rPr>
                <w:b/>
                <w:bCs/>
              </w:rPr>
              <w:lastRenderedPageBreak/>
              <w:t>Tip:</w:t>
            </w:r>
            <w:r w:rsidRPr="00CB6108">
              <w:t xml:space="preserve"> Information that is publicly available at the same time and on the same terms as the climate disclosure can be disclosed by linking to the public document. </w:t>
            </w:r>
            <w:r w:rsidR="004B2691">
              <w:t>For e</w:t>
            </w:r>
            <w:r w:rsidRPr="00CB6108">
              <w:t>xample</w:t>
            </w:r>
            <w:r w:rsidR="008870DF">
              <w:t>:</w:t>
            </w:r>
            <w:r w:rsidRPr="00CB6108">
              <w:t xml:space="preserve"> </w:t>
            </w:r>
          </w:p>
          <w:p w14:paraId="43D74BA6" w14:textId="1E08D817" w:rsidR="00606E2B" w:rsidRDefault="00E53224" w:rsidP="008870DF">
            <w:pPr>
              <w:pStyle w:val="Bodybullet1"/>
            </w:pPr>
            <w:r>
              <w:t>T</w:t>
            </w:r>
            <w:r w:rsidR="003C1569">
              <w:t xml:space="preserve">he </w:t>
            </w:r>
            <w:hyperlink r:id="rId14" w:history="1">
              <w:r w:rsidR="003C1569" w:rsidRPr="00410372">
                <w:rPr>
                  <w:rStyle w:val="Hyperlink"/>
                </w:rPr>
                <w:t>Department of Climate Change, Energy, the Environment and Water</w:t>
              </w:r>
            </w:hyperlink>
            <w:r w:rsidR="004B2691">
              <w:t xml:space="preserve"> </w:t>
            </w:r>
            <w:r w:rsidR="00E96D9D">
              <w:t>disclosed</w:t>
            </w:r>
            <w:r w:rsidR="00767494">
              <w:t xml:space="preserve"> that</w:t>
            </w:r>
            <w:r w:rsidR="00D47838">
              <w:t xml:space="preserve"> </w:t>
            </w:r>
            <w:r w:rsidR="00B24E6E">
              <w:t>its</w:t>
            </w:r>
            <w:r w:rsidR="00D47838">
              <w:t xml:space="preserve"> </w:t>
            </w:r>
            <w:r w:rsidR="00767494">
              <w:t xml:space="preserve">2024-25 </w:t>
            </w:r>
            <w:r w:rsidR="00D47838">
              <w:t xml:space="preserve">Corporate Plan </w:t>
            </w:r>
            <w:r w:rsidR="00457B87">
              <w:t xml:space="preserve">contained a new enterprise risk </w:t>
            </w:r>
            <w:r w:rsidR="00AE7CBC">
              <w:t>on</w:t>
            </w:r>
            <w:r w:rsidR="00457B87">
              <w:t xml:space="preserve"> their </w:t>
            </w:r>
            <w:r w:rsidR="00457B87" w:rsidRPr="00457B87">
              <w:t>ability to manage climate</w:t>
            </w:r>
            <w:r w:rsidR="00457B87">
              <w:t>-</w:t>
            </w:r>
            <w:r w:rsidR="00457B87" w:rsidRPr="00457B87">
              <w:t xml:space="preserve">related risks in the delivery of operations and achievement of </w:t>
            </w:r>
            <w:r w:rsidR="00AE7CBC">
              <w:t>their</w:t>
            </w:r>
            <w:r w:rsidR="00457B87" w:rsidRPr="00457B87">
              <w:t xml:space="preserve"> purposes</w:t>
            </w:r>
            <w:r w:rsidR="000F3BF7">
              <w:t>.</w:t>
            </w:r>
          </w:p>
          <w:p w14:paraId="6E5DD812" w14:textId="4DED099C" w:rsidR="00D65D62" w:rsidRDefault="004C3FC5" w:rsidP="00964E89">
            <w:pPr>
              <w:pStyle w:val="Bodybullet1"/>
            </w:pPr>
            <w:r>
              <w:t xml:space="preserve">The </w:t>
            </w:r>
            <w:hyperlink r:id="rId15" w:history="1">
              <w:r w:rsidR="00DB44B9" w:rsidRPr="00E53224">
                <w:rPr>
                  <w:rStyle w:val="Hyperlink"/>
                </w:rPr>
                <w:t>Australian National Audit Office</w:t>
              </w:r>
            </w:hyperlink>
            <w:r w:rsidR="004B2691">
              <w:t xml:space="preserve"> </w:t>
            </w:r>
            <w:r w:rsidR="00B24E6E">
              <w:t>provide</w:t>
            </w:r>
            <w:r w:rsidR="00964E89">
              <w:t>d</w:t>
            </w:r>
            <w:r w:rsidR="00B24E6E">
              <w:t xml:space="preserve"> a link to its Risk Management Framework </w:t>
            </w:r>
            <w:r w:rsidR="00964E89">
              <w:t>2022-2024</w:t>
            </w:r>
            <w:r w:rsidR="00183B27">
              <w:t xml:space="preserve"> when outlining its risk management</w:t>
            </w:r>
            <w:r w:rsidR="00CC03BA">
              <w:t xml:space="preserve"> practices</w:t>
            </w:r>
            <w:r w:rsidR="00D65D62">
              <w:t>.</w:t>
            </w:r>
          </w:p>
          <w:p w14:paraId="0DB50EA8" w14:textId="6FC42EED" w:rsidR="00606E2B" w:rsidRPr="00CB6108" w:rsidRDefault="002D7467" w:rsidP="002D7467">
            <w:pPr>
              <w:pStyle w:val="Bodybullet1"/>
              <w:numPr>
                <w:ilvl w:val="0"/>
                <w:numId w:val="0"/>
              </w:numPr>
            </w:pPr>
            <w:r>
              <w:t>Refer to entit</w:t>
            </w:r>
            <w:r w:rsidR="00434FAC">
              <w:t>ie</w:t>
            </w:r>
            <w:r>
              <w:t>s</w:t>
            </w:r>
            <w:r w:rsidR="00434FAC">
              <w:t>’</w:t>
            </w:r>
            <w:r>
              <w:t xml:space="preserve"> </w:t>
            </w:r>
            <w:r w:rsidR="002E18C2">
              <w:t xml:space="preserve">FY2023-24 </w:t>
            </w:r>
            <w:r>
              <w:t>annual reports linked above for further details.</w:t>
            </w:r>
          </w:p>
        </w:tc>
      </w:tr>
    </w:tbl>
    <w:p w14:paraId="76D49414" w14:textId="21E9F975" w:rsidR="00606E2B" w:rsidRDefault="00606E2B" w:rsidP="00606E2B">
      <w:pPr>
        <w:pStyle w:val="Heading2"/>
      </w:pPr>
      <w:r>
        <w:t xml:space="preserve">Step 2: </w:t>
      </w:r>
      <w:r w:rsidR="00ED1071">
        <w:t>Undertake</w:t>
      </w:r>
      <w:r w:rsidR="007F02A4">
        <w:t xml:space="preserve"> </w:t>
      </w:r>
      <w:r w:rsidR="007B6422">
        <w:t>a</w:t>
      </w:r>
      <w:r w:rsidR="007F02A4">
        <w:t xml:space="preserve"> climate risk and opportunity assessment</w:t>
      </w:r>
    </w:p>
    <w:p w14:paraId="654F6C8C" w14:textId="6316EA67" w:rsidR="0036126A" w:rsidRDefault="0036126A" w:rsidP="00FC4C23">
      <w:pPr>
        <w:pStyle w:val="Bodybullet1"/>
        <w:numPr>
          <w:ilvl w:val="0"/>
          <w:numId w:val="0"/>
        </w:numPr>
      </w:pPr>
      <w:hyperlink r:id="rId16" w:history="1">
        <w:r w:rsidRPr="008675A3">
          <w:rPr>
            <w:rStyle w:val="Hyperlink"/>
          </w:rPr>
          <w:t>The Australian Government’s Approach to Climate Risk and Opportunity Management in the Public Sector 2024-2026</w:t>
        </w:r>
      </w:hyperlink>
      <w:r w:rsidRPr="0036126A">
        <w:t xml:space="preserve"> sets out the expectations for climate risk assessment and management by Commonwealth entities and Commonwealth companies.</w:t>
      </w:r>
    </w:p>
    <w:p w14:paraId="6981D1DE" w14:textId="6B14FF3A" w:rsidR="00F47074" w:rsidRDefault="00CA7265" w:rsidP="00FC4C23">
      <w:pPr>
        <w:pStyle w:val="Bodybullet1"/>
        <w:numPr>
          <w:ilvl w:val="0"/>
          <w:numId w:val="0"/>
        </w:numPr>
      </w:pPr>
      <w:r>
        <w:t>If your entity has not undertaken a climate risk and opportunity assessment before, you are encouraged to</w:t>
      </w:r>
      <w:r w:rsidR="005163A6" w:rsidRPr="005163A6">
        <w:t xml:space="preserve"> conduct </w:t>
      </w:r>
      <w:r w:rsidR="00575733">
        <w:t>an</w:t>
      </w:r>
      <w:r w:rsidR="005163A6" w:rsidRPr="005163A6">
        <w:t xml:space="preserve"> assessment in adherence with the </w:t>
      </w:r>
      <w:hyperlink r:id="rId17" w:history="1">
        <w:r w:rsidR="005163A6" w:rsidRPr="002060C5">
          <w:rPr>
            <w:rStyle w:val="Hyperlink"/>
          </w:rPr>
          <w:t>Climate Risk and Opportunity Management Program (CROMP)</w:t>
        </w:r>
      </w:hyperlink>
      <w:r w:rsidR="005163A6" w:rsidRPr="005163A6">
        <w:t>.</w:t>
      </w:r>
      <w:r w:rsidR="00E91E8F">
        <w:t xml:space="preserve"> The </w:t>
      </w:r>
      <w:hyperlink r:id="rId18" w:history="1">
        <w:r w:rsidR="00E91E8F" w:rsidRPr="00D34C83">
          <w:rPr>
            <w:rStyle w:val="Hyperlink"/>
          </w:rPr>
          <w:t>Climate Risk Management Organisation Application Guide</w:t>
        </w:r>
      </w:hyperlink>
      <w:r w:rsidR="00B70433">
        <w:t xml:space="preserve"> </w:t>
      </w:r>
      <w:r w:rsidR="00326AA2">
        <w:t xml:space="preserve">does not assume any prior knowledge and </w:t>
      </w:r>
      <w:r w:rsidR="00B70433">
        <w:t xml:space="preserve">details the </w:t>
      </w:r>
      <w:r w:rsidR="00FE1E6C">
        <w:t>below 6 steps of the process:</w:t>
      </w:r>
    </w:p>
    <w:p w14:paraId="14A5FC70" w14:textId="1D3F0606" w:rsidR="00D7376C" w:rsidRDefault="00D7376C" w:rsidP="00FC4C23">
      <w:pPr>
        <w:pStyle w:val="Bodybullet1"/>
        <w:numPr>
          <w:ilvl w:val="0"/>
          <w:numId w:val="0"/>
        </w:numPr>
      </w:pPr>
      <w:r>
        <w:rPr>
          <w:noProof/>
        </w:rPr>
        <w:drawing>
          <wp:inline distT="0" distB="0" distL="0" distR="0" wp14:anchorId="15D6D3B9" wp14:editId="1476379C">
            <wp:extent cx="5957625" cy="1351915"/>
            <wp:effectExtent l="0" t="0" r="5080" b="0"/>
            <wp:docPr id="167709240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1826586" w14:textId="4AC907F8" w:rsidR="00C742EB" w:rsidRDefault="000B1185" w:rsidP="00AB1B11">
      <w:pPr>
        <w:pStyle w:val="BodyText1"/>
      </w:pPr>
      <w:r>
        <w:t>If your entity has</w:t>
      </w:r>
      <w:r w:rsidR="00C205B1">
        <w:t xml:space="preserve"> previously undertaken a</w:t>
      </w:r>
      <w:r w:rsidR="00D96B04">
        <w:t xml:space="preserve"> </w:t>
      </w:r>
      <w:r w:rsidR="00C205B1">
        <w:t>climate risk and opportunity assessment</w:t>
      </w:r>
      <w:r>
        <w:t xml:space="preserve">, </w:t>
      </w:r>
      <w:r w:rsidR="00B90879">
        <w:t>you should review and update the assessment</w:t>
      </w:r>
      <w:r w:rsidR="002F0806">
        <w:t xml:space="preserve"> to include any additional climate-related risks and opportunities</w:t>
      </w:r>
      <w:r w:rsidR="00370529">
        <w:t xml:space="preserve"> that your entity</w:t>
      </w:r>
      <w:r w:rsidR="003B2D03">
        <w:t xml:space="preserve"> </w:t>
      </w:r>
      <w:r w:rsidR="0004137A">
        <w:t>may be</w:t>
      </w:r>
      <w:r w:rsidR="003B2D03">
        <w:t xml:space="preserve"> exposed to</w:t>
      </w:r>
      <w:r w:rsidR="002F0806">
        <w:t xml:space="preserve"> </w:t>
      </w:r>
      <w:r w:rsidR="00716CBA">
        <w:t>and</w:t>
      </w:r>
      <w:r w:rsidR="00E47D3F">
        <w:t xml:space="preserve"> </w:t>
      </w:r>
      <w:r w:rsidR="003B2D03">
        <w:t xml:space="preserve">any additional </w:t>
      </w:r>
      <w:r w:rsidR="00E47D3F">
        <w:t>actions</w:t>
      </w:r>
      <w:r w:rsidR="003B2D03">
        <w:t xml:space="preserve"> that are needed to manage them</w:t>
      </w:r>
      <w:r w:rsidR="00CE00E3">
        <w:t xml:space="preserve">. </w:t>
      </w:r>
      <w:r w:rsidR="002B78B3">
        <w:t xml:space="preserve">It is important </w:t>
      </w:r>
      <w:r w:rsidR="001E15C4">
        <w:t>that you confirm</w:t>
      </w:r>
      <w:r w:rsidR="00546F39">
        <w:t xml:space="preserve"> the scope of your assessment is </w:t>
      </w:r>
      <w:r w:rsidR="00EF1C64">
        <w:t>in line with the</w:t>
      </w:r>
      <w:r w:rsidR="001B36D4">
        <w:t xml:space="preserve"> </w:t>
      </w:r>
      <w:r w:rsidR="00EF1C64">
        <w:t xml:space="preserve">progressive implementation schedule </w:t>
      </w:r>
      <w:r w:rsidR="00FF72C0">
        <w:t xml:space="preserve">(Table 1) </w:t>
      </w:r>
      <w:r w:rsidR="00EF1C64">
        <w:t xml:space="preserve">in the </w:t>
      </w:r>
      <w:r w:rsidR="008F74A2">
        <w:t>General Requirements.</w:t>
      </w:r>
    </w:p>
    <w:tbl>
      <w:tblPr>
        <w:tblStyle w:val="TableGrid"/>
        <w:tblW w:w="0" w:type="auto"/>
        <w:tblLook w:val="04A0" w:firstRow="1" w:lastRow="0" w:firstColumn="1" w:lastColumn="0" w:noHBand="0" w:noVBand="1"/>
      </w:tblPr>
      <w:tblGrid>
        <w:gridCol w:w="9402"/>
      </w:tblGrid>
      <w:tr w:rsidR="00C742EB" w:rsidRPr="00CB6108" w14:paraId="627FACD5" w14:textId="77777777">
        <w:tc>
          <w:tcPr>
            <w:tcW w:w="9402" w:type="dxa"/>
            <w:shd w:val="clear" w:color="auto" w:fill="DCE2FF" w:themeFill="text2" w:themeFillTint="33"/>
          </w:tcPr>
          <w:p w14:paraId="3C5D4DD5" w14:textId="7BBDBF5D" w:rsidR="00C742EB" w:rsidRPr="00CB6108" w:rsidRDefault="00C742EB">
            <w:pPr>
              <w:pStyle w:val="BodyText1"/>
            </w:pPr>
            <w:r w:rsidRPr="009A76C1">
              <w:rPr>
                <w:b/>
                <w:bCs/>
              </w:rPr>
              <w:t>Note:</w:t>
            </w:r>
            <w:r w:rsidRPr="00CB6108">
              <w:t xml:space="preserve"> </w:t>
            </w:r>
            <w:r>
              <w:t>If your entity</w:t>
            </w:r>
            <w:r w:rsidRPr="005163A6">
              <w:t xml:space="preserve"> </w:t>
            </w:r>
            <w:r>
              <w:t>has</w:t>
            </w:r>
            <w:r w:rsidRPr="005163A6">
              <w:t xml:space="preserve"> climate risk and opportunity assessment practices </w:t>
            </w:r>
            <w:r>
              <w:t xml:space="preserve">already </w:t>
            </w:r>
            <w:r w:rsidRPr="005163A6">
              <w:t xml:space="preserve">in place or </w:t>
            </w:r>
            <w:r>
              <w:t>chooses</w:t>
            </w:r>
            <w:r w:rsidRPr="005163A6">
              <w:t xml:space="preserve"> to adopt </w:t>
            </w:r>
            <w:r>
              <w:t xml:space="preserve">an </w:t>
            </w:r>
            <w:r w:rsidRPr="005163A6">
              <w:t>alternate methodolog</w:t>
            </w:r>
            <w:r>
              <w:t>y, you</w:t>
            </w:r>
            <w:r w:rsidRPr="005163A6">
              <w:t xml:space="preserve"> </w:t>
            </w:r>
            <w:r w:rsidR="005E5AFC">
              <w:t>should</w:t>
            </w:r>
            <w:r w:rsidRPr="005163A6">
              <w:t xml:space="preserve"> disclose </w:t>
            </w:r>
            <w:r>
              <w:t>your</w:t>
            </w:r>
            <w:r w:rsidRPr="005163A6">
              <w:t xml:space="preserve"> reasoning for deviating from CROMP in </w:t>
            </w:r>
            <w:r>
              <w:t>your</w:t>
            </w:r>
            <w:r w:rsidRPr="005163A6">
              <w:t xml:space="preserve"> climate disclosure and ensure that </w:t>
            </w:r>
            <w:r>
              <w:t>your</w:t>
            </w:r>
            <w:r w:rsidRPr="005163A6">
              <w:t xml:space="preserve"> alternate methodology is robust and defensible.</w:t>
            </w:r>
          </w:p>
        </w:tc>
      </w:tr>
    </w:tbl>
    <w:p w14:paraId="5C0D6C43" w14:textId="77777777" w:rsidR="00D87F4F" w:rsidRDefault="00D87F4F" w:rsidP="00D87F4F">
      <w:pPr>
        <w:pStyle w:val="BodyText1"/>
      </w:pPr>
    </w:p>
    <w:tbl>
      <w:tblPr>
        <w:tblStyle w:val="TableGrid"/>
        <w:tblW w:w="0" w:type="auto"/>
        <w:tblInd w:w="-5" w:type="dxa"/>
        <w:tblLook w:val="04A0" w:firstRow="1" w:lastRow="0" w:firstColumn="1" w:lastColumn="0" w:noHBand="0" w:noVBand="1"/>
      </w:tblPr>
      <w:tblGrid>
        <w:gridCol w:w="9407"/>
      </w:tblGrid>
      <w:tr w:rsidR="00A45199" w:rsidRPr="00CB6108" w14:paraId="200CC351" w14:textId="77777777">
        <w:tc>
          <w:tcPr>
            <w:tcW w:w="9407" w:type="dxa"/>
            <w:shd w:val="clear" w:color="auto" w:fill="D2F0EF" w:themeFill="accent2" w:themeFillTint="33"/>
          </w:tcPr>
          <w:p w14:paraId="17563947" w14:textId="1F7CD5E1" w:rsidR="00A45199" w:rsidRPr="00DF6BDC" w:rsidRDefault="00A45199">
            <w:pPr>
              <w:pStyle w:val="Bodybullet1"/>
              <w:numPr>
                <w:ilvl w:val="0"/>
                <w:numId w:val="0"/>
              </w:numPr>
              <w:rPr>
                <w:b/>
                <w:bCs/>
              </w:rPr>
            </w:pPr>
            <w:r w:rsidRPr="00DF6BDC">
              <w:rPr>
                <w:b/>
                <w:bCs/>
              </w:rPr>
              <w:t>Case study: example of</w:t>
            </w:r>
            <w:r>
              <w:rPr>
                <w:b/>
                <w:bCs/>
              </w:rPr>
              <w:t xml:space="preserve"> undertaking a climate risk and opportunity assessment using CROMP</w:t>
            </w:r>
          </w:p>
          <w:p w14:paraId="61E01BDA" w14:textId="1D4399F3" w:rsidR="00A45199" w:rsidRPr="0007718F" w:rsidRDefault="00A45199">
            <w:pPr>
              <w:pStyle w:val="Bodybullet1"/>
              <w:ind w:left="360" w:hanging="360"/>
            </w:pPr>
            <w:r w:rsidRPr="0007718F">
              <w:t xml:space="preserve">The </w:t>
            </w:r>
            <w:hyperlink r:id="rId24" w:history="1">
              <w:r w:rsidRPr="005D0531">
                <w:rPr>
                  <w:rStyle w:val="Hyperlink"/>
                </w:rPr>
                <w:t>Department of Defence</w:t>
              </w:r>
            </w:hyperlink>
            <w:r>
              <w:t xml:space="preserve"> commenced its first climate risk and opportunity assessment using CROMP resources and tools, and provided detail of their completed actions under Step 1 and Step 2 of the Program. </w:t>
            </w:r>
          </w:p>
          <w:p w14:paraId="6D9969D6" w14:textId="4575C57C" w:rsidR="00A45199" w:rsidRDefault="00A45199">
            <w:pPr>
              <w:pStyle w:val="Bodybullet1"/>
              <w:ind w:left="360" w:hanging="360"/>
            </w:pPr>
            <w:r w:rsidRPr="0007718F">
              <w:lastRenderedPageBreak/>
              <w:t xml:space="preserve">The </w:t>
            </w:r>
            <w:hyperlink r:id="rId25" w:history="1">
              <w:r w:rsidRPr="00337B4D">
                <w:rPr>
                  <w:rStyle w:val="Hyperlink"/>
                </w:rPr>
                <w:t>Department of Climate Change, Energy, the Environment and Water</w:t>
              </w:r>
            </w:hyperlink>
            <w:r>
              <w:t xml:space="preserve"> undertook an organisation-wide climate risk and opportunity assessment, informed by workshops across the department and utilising the Climate Risk Management Organisation Application Guide.</w:t>
            </w:r>
          </w:p>
          <w:p w14:paraId="317E294F" w14:textId="1A657A3F" w:rsidR="00A45199" w:rsidRPr="009A76C1" w:rsidRDefault="00A45199" w:rsidP="009A76C1">
            <w:pPr>
              <w:pStyle w:val="BodyText1"/>
            </w:pPr>
            <w:r w:rsidRPr="00E3020E">
              <w:rPr>
                <w:b/>
                <w:bCs/>
              </w:rPr>
              <w:t>Case study: example of undertaking a climate risk and opportunity assessment using a</w:t>
            </w:r>
            <w:r w:rsidRPr="0038418C">
              <w:rPr>
                <w:b/>
                <w:bCs/>
              </w:rPr>
              <w:t xml:space="preserve"> </w:t>
            </w:r>
            <w:r w:rsidR="008A72BC" w:rsidRPr="0038418C">
              <w:rPr>
                <w:b/>
                <w:bCs/>
              </w:rPr>
              <w:t>robust and def</w:t>
            </w:r>
            <w:r w:rsidR="002378E9" w:rsidRPr="0038418C">
              <w:rPr>
                <w:b/>
                <w:bCs/>
              </w:rPr>
              <w:t>ensible</w:t>
            </w:r>
            <w:r w:rsidR="002378E9">
              <w:t xml:space="preserve"> </w:t>
            </w:r>
            <w:r w:rsidR="00791442" w:rsidRPr="00791442">
              <w:rPr>
                <w:b/>
                <w:bCs/>
              </w:rPr>
              <w:t xml:space="preserve">alternative </w:t>
            </w:r>
            <w:r w:rsidRPr="00E3020E">
              <w:rPr>
                <w:b/>
                <w:bCs/>
              </w:rPr>
              <w:t>methodology</w:t>
            </w:r>
          </w:p>
          <w:p w14:paraId="50038B33" w14:textId="52260774" w:rsidR="00A45199" w:rsidRDefault="00A45199">
            <w:pPr>
              <w:pStyle w:val="Bodybullet1"/>
            </w:pPr>
            <w:r>
              <w:t xml:space="preserve">The </w:t>
            </w:r>
            <w:hyperlink r:id="rId26" w:history="1">
              <w:r w:rsidRPr="00967B90">
                <w:rPr>
                  <w:rStyle w:val="Hyperlink"/>
                </w:rPr>
                <w:t>Clean Energy Finance Corporation</w:t>
              </w:r>
            </w:hyperlink>
            <w:r>
              <w:t xml:space="preserve"> considered climate-related risks and opportunities in line with its risk management framework</w:t>
            </w:r>
            <w:r w:rsidR="007A3715">
              <w:t>,</w:t>
            </w:r>
            <w:r>
              <w:t xml:space="preserve"> and conducted their first climate physical risk assessment using a climate risk analytics tool to assess the impact of Intergovernmental Panel on Climate Change (IPCC) temperature scenarios. </w:t>
            </w:r>
          </w:p>
          <w:p w14:paraId="32FFF2A7" w14:textId="019C2E27" w:rsidR="00A45199" w:rsidRPr="00CB6108" w:rsidRDefault="00A45199">
            <w:pPr>
              <w:pStyle w:val="Bodybullet1"/>
              <w:numPr>
                <w:ilvl w:val="0"/>
                <w:numId w:val="0"/>
              </w:numPr>
              <w:ind w:left="426" w:hanging="426"/>
            </w:pPr>
            <w:r>
              <w:t>Refer to entit</w:t>
            </w:r>
            <w:r w:rsidR="00434FAC">
              <w:t>ie</w:t>
            </w:r>
            <w:r>
              <w:t>s</w:t>
            </w:r>
            <w:r w:rsidR="00434FAC">
              <w:t>’</w:t>
            </w:r>
            <w:r>
              <w:t xml:space="preserve"> FY2023-24 annual reports linked above for further details.</w:t>
            </w:r>
          </w:p>
        </w:tc>
      </w:tr>
    </w:tbl>
    <w:p w14:paraId="6BF99228" w14:textId="3D1EA785" w:rsidR="00570D9C" w:rsidRDefault="00570D9C" w:rsidP="00570D9C">
      <w:pPr>
        <w:pStyle w:val="Heading2"/>
      </w:pPr>
      <w:r>
        <w:lastRenderedPageBreak/>
        <w:t xml:space="preserve">Step </w:t>
      </w:r>
      <w:r w:rsidR="007B6422">
        <w:t>3</w:t>
      </w:r>
      <w:r>
        <w:t xml:space="preserve">: </w:t>
      </w:r>
      <w:r w:rsidR="00423ED6">
        <w:t>Outline process</w:t>
      </w:r>
      <w:r w:rsidR="00345E73">
        <w:t>es</w:t>
      </w:r>
      <w:r w:rsidR="001C6599">
        <w:t xml:space="preserve"> </w:t>
      </w:r>
      <w:r w:rsidR="00345E73">
        <w:t xml:space="preserve">and related policies </w:t>
      </w:r>
      <w:r w:rsidR="001C6599">
        <w:t>used</w:t>
      </w:r>
    </w:p>
    <w:p w14:paraId="61AB4C0B" w14:textId="24E06FED" w:rsidR="003172A7" w:rsidRDefault="000D1FA5" w:rsidP="00570D9C">
      <w:pPr>
        <w:pStyle w:val="BodyText1"/>
      </w:pPr>
      <w:r>
        <w:t xml:space="preserve">Your disclosure against the Risk </w:t>
      </w:r>
      <w:r w:rsidR="00BB6412">
        <w:t>M</w:t>
      </w:r>
      <w:r>
        <w:t xml:space="preserve">anagement criteria </w:t>
      </w:r>
      <w:r w:rsidR="00350B2E">
        <w:t>will</w:t>
      </w:r>
      <w:r>
        <w:t xml:space="preserve"> include </w:t>
      </w:r>
      <w:r w:rsidR="0065556A">
        <w:t xml:space="preserve">information about how your climate risk and opportunity assessment was undertaken. </w:t>
      </w:r>
      <w:r w:rsidR="003172A7">
        <w:t>If your entity followed the step-by-step approach outlined in CROMP, you can leverage the relevant associated documentation by providing a link in your disclosure</w:t>
      </w:r>
      <w:r w:rsidR="00290EE6">
        <w:t xml:space="preserve"> (see example below)</w:t>
      </w:r>
      <w:r w:rsidR="003172A7">
        <w:t>.</w:t>
      </w:r>
    </w:p>
    <w:p w14:paraId="35467B6B" w14:textId="1209A305" w:rsidR="00570D9C" w:rsidRDefault="007E2C07" w:rsidP="00570D9C">
      <w:pPr>
        <w:pStyle w:val="BodyText1"/>
      </w:pPr>
      <w:r>
        <w:t xml:space="preserve">Where other processes and related policies </w:t>
      </w:r>
      <w:r w:rsidR="00FA1A6E">
        <w:t>were</w:t>
      </w:r>
      <w:r>
        <w:t xml:space="preserve"> drawn on, thi</w:t>
      </w:r>
      <w:r w:rsidR="008D3DF6">
        <w:t xml:space="preserve">s will need to be </w:t>
      </w:r>
      <w:r w:rsidR="003172A7">
        <w:t>described</w:t>
      </w:r>
      <w:r w:rsidR="008D3DF6">
        <w:t xml:space="preserve"> in your disclosure. </w:t>
      </w:r>
      <w:r w:rsidR="00303371">
        <w:t xml:space="preserve">For example, </w:t>
      </w:r>
      <w:r w:rsidR="00FF6937">
        <w:t>your</w:t>
      </w:r>
      <w:r w:rsidR="000C1705">
        <w:t xml:space="preserve"> risk management framework may</w:t>
      </w:r>
      <w:r w:rsidR="00A04AF6">
        <w:t xml:space="preserve"> establish how your entity identifies, assesses, manages </w:t>
      </w:r>
      <w:r w:rsidR="009B5F13">
        <w:t xml:space="preserve">and monitors </w:t>
      </w:r>
      <w:r w:rsidR="00A04AF6">
        <w:t xml:space="preserve">risks throughout </w:t>
      </w:r>
      <w:r w:rsidR="00CF6A0F">
        <w:t>your</w:t>
      </w:r>
      <w:r w:rsidR="00A04AF6">
        <w:t xml:space="preserve"> organisation</w:t>
      </w:r>
      <w:r w:rsidR="008945AE">
        <w:t xml:space="preserve">. </w:t>
      </w:r>
      <w:r w:rsidR="000648DD">
        <w:t xml:space="preserve">You </w:t>
      </w:r>
      <w:r w:rsidR="007D2C40">
        <w:t>could</w:t>
      </w:r>
      <w:r w:rsidR="00910D3D">
        <w:t xml:space="preserve"> refer to your risk management framework if you use</w:t>
      </w:r>
      <w:r w:rsidR="00373F81">
        <w:t>d</w:t>
      </w:r>
      <w:r w:rsidR="00910D3D">
        <w:t xml:space="preserve"> </w:t>
      </w:r>
      <w:r w:rsidR="001B78BA">
        <w:t>the same likelihood and consequence</w:t>
      </w:r>
      <w:r w:rsidR="0035780C">
        <w:t xml:space="preserve"> criteria </w:t>
      </w:r>
      <w:r w:rsidR="00910D3D">
        <w:t>to assess climate-related risks</w:t>
      </w:r>
      <w:r w:rsidR="00D83AA6">
        <w:t>.</w:t>
      </w:r>
      <w:r w:rsidR="006E343B">
        <w:t xml:space="preserve"> </w:t>
      </w:r>
      <w:r w:rsidR="00D83AA6">
        <w:t>Y</w:t>
      </w:r>
      <w:r w:rsidR="00BD4DDF">
        <w:t>ou</w:t>
      </w:r>
      <w:r w:rsidR="006E343B">
        <w:t xml:space="preserve"> </w:t>
      </w:r>
      <w:r w:rsidR="007D2C40">
        <w:t>could</w:t>
      </w:r>
      <w:r w:rsidR="00D83AA6">
        <w:t xml:space="preserve"> also </w:t>
      </w:r>
      <w:r w:rsidR="00904B10">
        <w:t xml:space="preserve">refer to your entity’s risk appetite </w:t>
      </w:r>
      <w:r w:rsidR="00D83AA6">
        <w:t xml:space="preserve">statement </w:t>
      </w:r>
      <w:r w:rsidR="006A6D24">
        <w:t xml:space="preserve">if this </w:t>
      </w:r>
      <w:r w:rsidR="00D10372">
        <w:t>was</w:t>
      </w:r>
      <w:r w:rsidR="006A6D24">
        <w:t xml:space="preserve"> used to </w:t>
      </w:r>
      <w:r w:rsidR="00904B10">
        <w:t>determin</w:t>
      </w:r>
      <w:r w:rsidR="006A6D24">
        <w:t>e</w:t>
      </w:r>
      <w:r w:rsidR="00AE033E">
        <w:t xml:space="preserve"> actions to manage</w:t>
      </w:r>
      <w:r w:rsidR="00A8542A">
        <w:t xml:space="preserve"> climate-related</w:t>
      </w:r>
      <w:r w:rsidR="00AE033E">
        <w:t xml:space="preserve"> risks.</w:t>
      </w:r>
    </w:p>
    <w:p w14:paraId="6D9D034A" w14:textId="316F05C5" w:rsidR="00C97E90" w:rsidRDefault="00282E6D" w:rsidP="00C97E90">
      <w:pPr>
        <w:pStyle w:val="BodyText1"/>
      </w:pPr>
      <w:r>
        <w:t>Specific information to disclose for climate-related risks includes:</w:t>
      </w:r>
    </w:p>
    <w:p w14:paraId="092F9200" w14:textId="4E64129F" w:rsidR="00C97E90" w:rsidRDefault="00C97E90" w:rsidP="00C97E90">
      <w:pPr>
        <w:pStyle w:val="BodyText1"/>
      </w:pPr>
      <w:r w:rsidRPr="00CB6108">
        <w:rPr>
          <w:noProof/>
        </w:rPr>
        <w:drawing>
          <wp:inline distT="0" distB="0" distL="0" distR="0" wp14:anchorId="702B31D4" wp14:editId="2AD22146">
            <wp:extent cx="5967095" cy="1630908"/>
            <wp:effectExtent l="0" t="0" r="0" b="7620"/>
            <wp:docPr id="145846077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45E77CB2" w14:textId="54C06CB5" w:rsidR="00DF384E" w:rsidRDefault="00CA6DD3" w:rsidP="009176F1">
      <w:pPr>
        <w:pStyle w:val="BodyText1"/>
      </w:pPr>
      <w:r>
        <w:t>In disclosing information</w:t>
      </w:r>
      <w:r w:rsidR="00B805DB">
        <w:t xml:space="preserve"> about i</w:t>
      </w:r>
      <w:r w:rsidR="002A3A72">
        <w:t>nputs and parameters</w:t>
      </w:r>
      <w:r>
        <w:t>, you</w:t>
      </w:r>
      <w:r w:rsidR="002A3A72">
        <w:t xml:space="preserve"> </w:t>
      </w:r>
      <w:r w:rsidR="0063311D">
        <w:t xml:space="preserve">might like to consider </w:t>
      </w:r>
      <w:r w:rsidR="00B917E8">
        <w:t>information about</w:t>
      </w:r>
      <w:r w:rsidR="00AE26CC">
        <w:t xml:space="preserve"> </w:t>
      </w:r>
      <w:r w:rsidR="002D656C">
        <w:t>data sources</w:t>
      </w:r>
      <w:r w:rsidR="00516913">
        <w:t xml:space="preserve">, </w:t>
      </w:r>
      <w:r w:rsidR="00B917E8">
        <w:t xml:space="preserve">the </w:t>
      </w:r>
      <w:r w:rsidR="00516913">
        <w:t>significant areas of uncertainty</w:t>
      </w:r>
      <w:r w:rsidR="002D656C">
        <w:t xml:space="preserve"> and</w:t>
      </w:r>
      <w:r w:rsidR="00B917E8">
        <w:t xml:space="preserve"> the</w:t>
      </w:r>
      <w:r w:rsidR="002D656C">
        <w:t xml:space="preserve"> </w:t>
      </w:r>
      <w:r w:rsidR="00AE26CC">
        <w:t xml:space="preserve">scope of operations covered in the processes. </w:t>
      </w:r>
    </w:p>
    <w:tbl>
      <w:tblPr>
        <w:tblStyle w:val="TableGrid"/>
        <w:tblW w:w="0" w:type="auto"/>
        <w:tblInd w:w="-5" w:type="dxa"/>
        <w:tblLook w:val="04A0" w:firstRow="1" w:lastRow="0" w:firstColumn="1" w:lastColumn="0" w:noHBand="0" w:noVBand="1"/>
      </w:tblPr>
      <w:tblGrid>
        <w:gridCol w:w="9407"/>
      </w:tblGrid>
      <w:tr w:rsidR="00266C8F" w:rsidRPr="00CB6108" w14:paraId="75EF272B" w14:textId="77777777">
        <w:tc>
          <w:tcPr>
            <w:tcW w:w="9407" w:type="dxa"/>
            <w:shd w:val="clear" w:color="auto" w:fill="D2F0EF" w:themeFill="accent2" w:themeFillTint="33"/>
          </w:tcPr>
          <w:p w14:paraId="47CF474D" w14:textId="242BDB68" w:rsidR="00B5599D" w:rsidRPr="00B538AA" w:rsidRDefault="00B5599D">
            <w:pPr>
              <w:pStyle w:val="BodyText1"/>
            </w:pPr>
            <w:r w:rsidRPr="00E129F4">
              <w:rPr>
                <w:rStyle w:val="Heading3Char"/>
                <w:sz w:val="22"/>
                <w:szCs w:val="22"/>
              </w:rPr>
              <w:t>Tip:</w:t>
            </w:r>
            <w:r w:rsidRPr="0038031F">
              <w:t xml:space="preserve"> </w:t>
            </w:r>
            <w:r>
              <w:t xml:space="preserve">Refer to the </w:t>
            </w:r>
            <w:hyperlink r:id="rId32" w:history="1">
              <w:r w:rsidRPr="00D34C83">
                <w:rPr>
                  <w:rStyle w:val="Hyperlink"/>
                </w:rPr>
                <w:t xml:space="preserve">Climate Risk Management </w:t>
              </w:r>
              <w:r w:rsidR="00D85364">
                <w:rPr>
                  <w:rStyle w:val="Hyperlink"/>
                </w:rPr>
                <w:t xml:space="preserve">Technical </w:t>
              </w:r>
              <w:r w:rsidR="00E42E9F">
                <w:rPr>
                  <w:rStyle w:val="Hyperlink"/>
                </w:rPr>
                <w:t>Guidance</w:t>
              </w:r>
            </w:hyperlink>
            <w:r w:rsidRPr="009C28A6">
              <w:t xml:space="preserve"> </w:t>
            </w:r>
            <w:r w:rsidRPr="00B538AA">
              <w:t>for more</w:t>
            </w:r>
            <w:r>
              <w:t xml:space="preserve"> guidance </w:t>
            </w:r>
            <w:r w:rsidR="0096331D">
              <w:t>on scope</w:t>
            </w:r>
            <w:r w:rsidR="00653FE4">
              <w:t xml:space="preserve"> and uncertainties, </w:t>
            </w:r>
            <w:r>
              <w:t xml:space="preserve">and </w:t>
            </w:r>
            <w:r w:rsidR="00C755E7">
              <w:t>to access</w:t>
            </w:r>
            <w:r w:rsidR="00930CA6">
              <w:t xml:space="preserve"> </w:t>
            </w:r>
            <w:r w:rsidR="00D85364">
              <w:t>links</w:t>
            </w:r>
            <w:r>
              <w:t xml:space="preserve"> </w:t>
            </w:r>
            <w:r w:rsidR="00C755E7">
              <w:t>for</w:t>
            </w:r>
            <w:r>
              <w:t xml:space="preserve"> </w:t>
            </w:r>
            <w:r w:rsidR="00C1756E">
              <w:t xml:space="preserve">recommended </w:t>
            </w:r>
            <w:r w:rsidR="00887D68">
              <w:t xml:space="preserve">climate scenarios and </w:t>
            </w:r>
            <w:r w:rsidR="00D85364">
              <w:t xml:space="preserve">datasets </w:t>
            </w:r>
            <w:r w:rsidR="00930CA6">
              <w:t>to</w:t>
            </w:r>
            <w:r w:rsidR="00D85364">
              <w:t xml:space="preserve"> use in your climate risk and opportunity assessment</w:t>
            </w:r>
            <w:r>
              <w:t>.</w:t>
            </w:r>
          </w:p>
        </w:tc>
      </w:tr>
    </w:tbl>
    <w:p w14:paraId="236721B7" w14:textId="77777777" w:rsidR="00EB74FB" w:rsidRDefault="00EB74FB" w:rsidP="009143F5">
      <w:pPr>
        <w:pStyle w:val="BodyText1"/>
      </w:pPr>
    </w:p>
    <w:tbl>
      <w:tblPr>
        <w:tblStyle w:val="TableGrid"/>
        <w:tblW w:w="0" w:type="auto"/>
        <w:tblInd w:w="-5" w:type="dxa"/>
        <w:tblLook w:val="04A0" w:firstRow="1" w:lastRow="0" w:firstColumn="1" w:lastColumn="0" w:noHBand="0" w:noVBand="1"/>
      </w:tblPr>
      <w:tblGrid>
        <w:gridCol w:w="9407"/>
      </w:tblGrid>
      <w:tr w:rsidR="009A76C1" w:rsidRPr="00CB6108" w14:paraId="126D870F" w14:textId="77777777" w:rsidTr="00171941">
        <w:tc>
          <w:tcPr>
            <w:tcW w:w="9407" w:type="dxa"/>
            <w:shd w:val="clear" w:color="auto" w:fill="F8F0DD" w:themeFill="accent1" w:themeFillTint="33"/>
          </w:tcPr>
          <w:p w14:paraId="220D2CAE" w14:textId="4E4A6245" w:rsidR="009A76C1" w:rsidRPr="006E1101" w:rsidRDefault="00A86237" w:rsidP="00A86237">
            <w:pPr>
              <w:pStyle w:val="Heading3centred"/>
              <w:rPr>
                <w:rStyle w:val="Heading3Char"/>
                <w:b/>
                <w:color w:val="auto"/>
              </w:rPr>
            </w:pPr>
            <w:r w:rsidRPr="006E1101">
              <w:rPr>
                <w:rStyle w:val="Heading3Char"/>
                <w:b/>
                <w:color w:val="auto"/>
              </w:rPr>
              <w:lastRenderedPageBreak/>
              <w:t>EXAMPLE</w:t>
            </w:r>
          </w:p>
          <w:p w14:paraId="7EFAF1F9" w14:textId="4F9F1A96" w:rsidR="009A76C1" w:rsidRPr="00A86237" w:rsidRDefault="1657DFB2" w:rsidP="009A76C1">
            <w:pPr>
              <w:pStyle w:val="BodyText1"/>
              <w:rPr>
                <w:rStyle w:val="Strong"/>
              </w:rPr>
            </w:pPr>
            <w:r w:rsidRPr="00A86237">
              <w:rPr>
                <w:rStyle w:val="Strong"/>
              </w:rPr>
              <w:t>N</w:t>
            </w:r>
            <w:r w:rsidR="009A76C1" w:rsidRPr="00A86237">
              <w:rPr>
                <w:rStyle w:val="Strong"/>
              </w:rPr>
              <w:t xml:space="preserve">on-corporate Commonwealth entity </w:t>
            </w:r>
            <w:r w:rsidR="00BA354E" w:rsidRPr="00A86237">
              <w:rPr>
                <w:rStyle w:val="Strong"/>
              </w:rPr>
              <w:t xml:space="preserve">using CROMP </w:t>
            </w:r>
            <w:r w:rsidR="00322206" w:rsidRPr="00A86237">
              <w:rPr>
                <w:rStyle w:val="Strong"/>
              </w:rPr>
              <w:t>for climate-related risks</w:t>
            </w:r>
          </w:p>
          <w:p w14:paraId="5BD09559" w14:textId="07E77D72" w:rsidR="00BA354E" w:rsidRDefault="00C22AD6" w:rsidP="009A76C1">
            <w:pPr>
              <w:pStyle w:val="BodyText1"/>
            </w:pPr>
            <w:r>
              <w:t xml:space="preserve">We </w:t>
            </w:r>
            <w:r w:rsidR="003343AD">
              <w:t>conducted</w:t>
            </w:r>
            <w:r>
              <w:t xml:space="preserve"> our</w:t>
            </w:r>
            <w:r w:rsidR="008C1B26">
              <w:t xml:space="preserve"> first</w:t>
            </w:r>
            <w:r w:rsidR="00C03AFB">
              <w:t xml:space="preserve"> climate risk and opportunity</w:t>
            </w:r>
            <w:r w:rsidR="00FA1E6D">
              <w:t xml:space="preserve"> assessment </w:t>
            </w:r>
            <w:r w:rsidR="00C03AFB">
              <w:t>this year</w:t>
            </w:r>
            <w:r w:rsidR="00E441A2">
              <w:t xml:space="preserve"> </w:t>
            </w:r>
            <w:r w:rsidR="00B80BBF">
              <w:t xml:space="preserve">following the 6 steps </w:t>
            </w:r>
            <w:r w:rsidR="007E699A">
              <w:t>outlined in</w:t>
            </w:r>
            <w:r w:rsidR="00E441A2">
              <w:t xml:space="preserve"> the Climate Risk and Opportunity Management Program’s </w:t>
            </w:r>
            <w:hyperlink r:id="rId33" w:history="1">
              <w:r w:rsidR="00E441A2" w:rsidRPr="00816FE4">
                <w:rPr>
                  <w:rStyle w:val="Hyperlink"/>
                </w:rPr>
                <w:t>Organisation Application Guid</w:t>
              </w:r>
              <w:r w:rsidR="00B80BBF" w:rsidRPr="00816FE4">
                <w:rPr>
                  <w:rStyle w:val="Hyperlink"/>
                </w:rPr>
                <w:t>e</w:t>
              </w:r>
            </w:hyperlink>
            <w:r w:rsidR="00B80BBF">
              <w:t xml:space="preserve">. </w:t>
            </w:r>
          </w:p>
          <w:p w14:paraId="2B83650B" w14:textId="716418EA" w:rsidR="0061427C" w:rsidRDefault="00EF61B0" w:rsidP="009A76C1">
            <w:pPr>
              <w:pStyle w:val="BodyText1"/>
            </w:pPr>
            <w:r>
              <w:t>Our staff health and safety</w:t>
            </w:r>
            <w:r w:rsidR="00260676">
              <w:t xml:space="preserve"> </w:t>
            </w:r>
            <w:r w:rsidR="00EA16B7">
              <w:t>and</w:t>
            </w:r>
            <w:r w:rsidR="00842CF9">
              <w:t xml:space="preserve"> i</w:t>
            </w:r>
            <w:r w:rsidR="006F1AE5">
              <w:t xml:space="preserve">nfrastructure, </w:t>
            </w:r>
            <w:r w:rsidR="00C10E83">
              <w:t>a</w:t>
            </w:r>
            <w:r w:rsidR="00A14F7A">
              <w:t xml:space="preserve">ssets and operations </w:t>
            </w:r>
            <w:r w:rsidR="00A36A1C">
              <w:t>were in scope</w:t>
            </w:r>
            <w:r w:rsidR="001D0BEE">
              <w:t xml:space="preserve"> of the assessment</w:t>
            </w:r>
            <w:r w:rsidR="00A70D4E">
              <w:t xml:space="preserve">. </w:t>
            </w:r>
            <w:r w:rsidR="00AA2ABF">
              <w:t xml:space="preserve">We </w:t>
            </w:r>
            <w:r w:rsidR="00321338">
              <w:t>intend to broaden this scope in</w:t>
            </w:r>
            <w:r w:rsidR="00025448">
              <w:t xml:space="preserve"> future reporting years in line with the progressive implementation schedule. </w:t>
            </w:r>
            <w:r w:rsidR="00A5299A">
              <w:t>Internal data sources</w:t>
            </w:r>
            <w:r w:rsidR="00666DAD">
              <w:t xml:space="preserve">, such as our </w:t>
            </w:r>
            <w:r w:rsidR="007921DF">
              <w:t xml:space="preserve">enterprise </w:t>
            </w:r>
            <w:r w:rsidR="00666DAD">
              <w:t>risk management framework</w:t>
            </w:r>
            <w:r w:rsidR="00A75143">
              <w:t>, incident registers</w:t>
            </w:r>
            <w:r w:rsidR="00666DAD">
              <w:t xml:space="preserve"> and insurance </w:t>
            </w:r>
            <w:r w:rsidR="00E978B7">
              <w:t>claims</w:t>
            </w:r>
            <w:r w:rsidR="004D1575">
              <w:t xml:space="preserve">, were </w:t>
            </w:r>
            <w:r w:rsidR="00CE5693">
              <w:t>reviewed</w:t>
            </w:r>
            <w:r w:rsidR="004D1575">
              <w:t xml:space="preserve"> </w:t>
            </w:r>
            <w:r w:rsidR="008F43AE">
              <w:t xml:space="preserve">in </w:t>
            </w:r>
            <w:r w:rsidR="00E1701E">
              <w:t>S</w:t>
            </w:r>
            <w:r w:rsidR="00D3482C">
              <w:t xml:space="preserve">tep 1 and </w:t>
            </w:r>
            <w:r w:rsidR="000418C8">
              <w:t xml:space="preserve">Step </w:t>
            </w:r>
            <w:r w:rsidR="00D3482C">
              <w:t>2</w:t>
            </w:r>
            <w:r w:rsidR="008F43AE">
              <w:t xml:space="preserve"> of</w:t>
            </w:r>
            <w:r w:rsidR="00C43A1D">
              <w:t xml:space="preserve"> the assessment</w:t>
            </w:r>
            <w:r w:rsidR="004D1575">
              <w:t xml:space="preserve">. </w:t>
            </w:r>
            <w:r w:rsidR="004F469B">
              <w:t>National datasets</w:t>
            </w:r>
            <w:r w:rsidR="0088553F">
              <w:t xml:space="preserve">, </w:t>
            </w:r>
            <w:r w:rsidR="00847DA3">
              <w:t>including</w:t>
            </w:r>
            <w:r w:rsidR="0088553F">
              <w:t xml:space="preserve"> </w:t>
            </w:r>
            <w:r w:rsidR="00464D29">
              <w:t>the IPCC Sixth Assessment Report (2021)</w:t>
            </w:r>
            <w:r w:rsidR="00216E2A">
              <w:t>,</w:t>
            </w:r>
            <w:r w:rsidR="00AF1FAF">
              <w:t xml:space="preserve"> </w:t>
            </w:r>
            <w:r w:rsidR="002F64D1">
              <w:t xml:space="preserve">Climate Change in Australia, </w:t>
            </w:r>
            <w:r w:rsidR="0088553F">
              <w:t xml:space="preserve">the </w:t>
            </w:r>
            <w:r w:rsidR="009600FF">
              <w:t>State of the Climate 2024</w:t>
            </w:r>
            <w:r w:rsidR="006C489E">
              <w:t xml:space="preserve"> report</w:t>
            </w:r>
            <w:r w:rsidR="0088553F" w:rsidDel="00477920">
              <w:t xml:space="preserve"> </w:t>
            </w:r>
            <w:r w:rsidR="00216E2A">
              <w:t>and the climate scenario and transition summaries</w:t>
            </w:r>
            <w:r w:rsidR="00D62DB2">
              <w:t xml:space="preserve"> in </w:t>
            </w:r>
            <w:r w:rsidR="008D305F">
              <w:t xml:space="preserve">the </w:t>
            </w:r>
            <w:r w:rsidR="00A24E65">
              <w:t xml:space="preserve">CROMP </w:t>
            </w:r>
            <w:r w:rsidR="008D305F">
              <w:t>Organisation Application Guide’s Appendix</w:t>
            </w:r>
            <w:r w:rsidR="0088553F">
              <w:t>,</w:t>
            </w:r>
            <w:r w:rsidR="004F469B">
              <w:t xml:space="preserve"> were </w:t>
            </w:r>
            <w:r w:rsidR="00B92597">
              <w:t>used</w:t>
            </w:r>
            <w:r w:rsidR="004F469B">
              <w:t xml:space="preserve"> </w:t>
            </w:r>
            <w:r w:rsidR="00E16B5C">
              <w:t xml:space="preserve">to obtain climate information </w:t>
            </w:r>
            <w:r w:rsidR="00CA621A">
              <w:t xml:space="preserve">for </w:t>
            </w:r>
            <w:r w:rsidR="00991532">
              <w:t>our organisation’s two main metropolitan areas</w:t>
            </w:r>
            <w:r w:rsidR="00195E38">
              <w:t xml:space="preserve"> of operation</w:t>
            </w:r>
            <w:r w:rsidR="00A70D4E">
              <w:t xml:space="preserve"> (</w:t>
            </w:r>
            <w:r w:rsidR="00E16B5C">
              <w:t>Canberra and Perth</w:t>
            </w:r>
            <w:r w:rsidR="00A70D4E">
              <w:t>)</w:t>
            </w:r>
            <w:r w:rsidR="00523360">
              <w:t>.</w:t>
            </w:r>
            <w:r w:rsidR="00E16B5C">
              <w:t xml:space="preserve"> </w:t>
            </w:r>
          </w:p>
          <w:p w14:paraId="09582CE9" w14:textId="0875A58F" w:rsidR="002F3246" w:rsidRDefault="00B76F45" w:rsidP="009A76C1">
            <w:pPr>
              <w:pStyle w:val="BodyText1"/>
            </w:pPr>
            <w:r>
              <w:t>A</w:t>
            </w:r>
            <w:r w:rsidR="0061427C">
              <w:t xml:space="preserve"> </w:t>
            </w:r>
            <w:r>
              <w:t>s</w:t>
            </w:r>
            <w:r w:rsidR="00FE24D0">
              <w:t>ource of uncertainty in the assessment</w:t>
            </w:r>
            <w:r w:rsidR="00880BA8">
              <w:t xml:space="preserve"> stem</w:t>
            </w:r>
            <w:r>
              <w:t>s</w:t>
            </w:r>
            <w:r w:rsidR="00880BA8">
              <w:t xml:space="preserve"> from </w:t>
            </w:r>
            <w:r w:rsidR="00540E42">
              <w:t>our entity being new</w:t>
            </w:r>
            <w:r w:rsidR="000E0767">
              <w:t>ly established in 2</w:t>
            </w:r>
            <w:r w:rsidR="008D1025">
              <w:t>02</w:t>
            </w:r>
            <w:r w:rsidR="000503F7">
              <w:t>1,</w:t>
            </w:r>
            <w:r w:rsidR="00F45F05">
              <w:t xml:space="preserve"> limiting access to </w:t>
            </w:r>
            <w:r w:rsidR="00ED6DC9">
              <w:t>long</w:t>
            </w:r>
            <w:r w:rsidR="00EB144D">
              <w:t xml:space="preserve"> </w:t>
            </w:r>
            <w:r w:rsidR="00ED6DC9">
              <w:t xml:space="preserve">term </w:t>
            </w:r>
            <w:r w:rsidR="00751977">
              <w:t>internal data.</w:t>
            </w:r>
            <w:r w:rsidR="00697CC5">
              <w:t xml:space="preserve"> </w:t>
            </w:r>
            <w:r w:rsidR="006F7E06">
              <w:t>Uncertainties in climate projections have been managed by reviewing and using data from three reputable datasets from Australian and international climate science organisations</w:t>
            </w:r>
            <w:r w:rsidR="006858BD">
              <w:t xml:space="preserve">. Uncertainties in how risk profiles will change in future under different climate scenarios have been managed by </w:t>
            </w:r>
            <w:r w:rsidR="006F7E06">
              <w:t xml:space="preserve">assessing risks across two </w:t>
            </w:r>
            <w:r w:rsidR="006858BD">
              <w:t xml:space="preserve">distinct </w:t>
            </w:r>
            <w:r w:rsidR="006F7E06">
              <w:t xml:space="preserve">climate scenarios </w:t>
            </w:r>
            <w:r w:rsidR="00AB3422">
              <w:t xml:space="preserve">(one low and one </w:t>
            </w:r>
            <w:r w:rsidR="00A24E65">
              <w:t>high</w:t>
            </w:r>
            <w:r w:rsidR="00AB3422">
              <w:t>)</w:t>
            </w:r>
            <w:r w:rsidR="00512E12">
              <w:t xml:space="preserve"> to</w:t>
            </w:r>
            <w:r w:rsidR="00447613">
              <w:t xml:space="preserve"> compare projected changes and understand the range of plausible outcomes</w:t>
            </w:r>
            <w:r w:rsidR="007C3375">
              <w:t>.</w:t>
            </w:r>
          </w:p>
          <w:p w14:paraId="75BA09E7" w14:textId="079EEF66" w:rsidR="00CD3D31" w:rsidRDefault="007C5F88" w:rsidP="009A76C1">
            <w:pPr>
              <w:pStyle w:val="BodyText1"/>
            </w:pPr>
            <w:r>
              <w:t>The effects of our identified c</w:t>
            </w:r>
            <w:r w:rsidR="00F04FB8">
              <w:t>limate</w:t>
            </w:r>
            <w:r w:rsidR="00480953">
              <w:t xml:space="preserve">-related risks </w:t>
            </w:r>
            <w:r w:rsidR="0004121D">
              <w:t>were</w:t>
            </w:r>
            <w:r w:rsidR="00480953">
              <w:t xml:space="preserve"> assessed </w:t>
            </w:r>
            <w:r w:rsidR="0033755C">
              <w:t>using</w:t>
            </w:r>
            <w:r w:rsidR="005C6490">
              <w:t xml:space="preserve"> </w:t>
            </w:r>
            <w:r w:rsidR="00F04FB8">
              <w:t>the likelihood, consequence</w:t>
            </w:r>
            <w:r w:rsidR="007007EB">
              <w:t xml:space="preserve"> </w:t>
            </w:r>
            <w:r w:rsidR="002C0ECD">
              <w:t xml:space="preserve">and severity </w:t>
            </w:r>
            <w:r w:rsidR="00D34F1B">
              <w:t xml:space="preserve">evaluation </w:t>
            </w:r>
            <w:r w:rsidR="005C6490">
              <w:t xml:space="preserve">criteria from our existing </w:t>
            </w:r>
            <w:r w:rsidR="00A530B0">
              <w:t xml:space="preserve">enterprise </w:t>
            </w:r>
            <w:r w:rsidR="005C6490">
              <w:t xml:space="preserve">risk management framework. </w:t>
            </w:r>
            <w:r w:rsidR="002A637E">
              <w:t xml:space="preserve">All </w:t>
            </w:r>
            <w:r w:rsidR="005265B9">
              <w:t xml:space="preserve">risks </w:t>
            </w:r>
            <w:r w:rsidR="00C21FCF">
              <w:t>to our organisation</w:t>
            </w:r>
            <w:r w:rsidR="00BA071E">
              <w:t>, including climate-related risks,</w:t>
            </w:r>
            <w:r w:rsidR="00C21FCF">
              <w:t xml:space="preserve"> </w:t>
            </w:r>
            <w:r w:rsidR="00C32358">
              <w:t>were</w:t>
            </w:r>
            <w:r w:rsidR="005265B9">
              <w:t xml:space="preserve"> prioritised based on </w:t>
            </w:r>
            <w:r w:rsidR="009B2CD3">
              <w:t xml:space="preserve">their residual risk rating against </w:t>
            </w:r>
            <w:r w:rsidR="009D24F5">
              <w:t>our</w:t>
            </w:r>
            <w:r w:rsidR="0026396F">
              <w:t xml:space="preserve"> </w:t>
            </w:r>
            <w:r w:rsidR="009D24F5">
              <w:t>Risk Appetite and Tolerance Statement</w:t>
            </w:r>
            <w:r w:rsidR="00BA071E">
              <w:t>s</w:t>
            </w:r>
            <w:r w:rsidR="003A027D">
              <w:t>, in accordance with the Commonwealth Risk Management Policy</w:t>
            </w:r>
            <w:r w:rsidR="008211F6">
              <w:t>.</w:t>
            </w:r>
            <w:r w:rsidR="00421999">
              <w:t xml:space="preserve"> </w:t>
            </w:r>
            <w:r w:rsidR="00CF76AB">
              <w:t>Actions to manage climate</w:t>
            </w:r>
            <w:r w:rsidR="00B220C3">
              <w:noBreakHyphen/>
            </w:r>
            <w:r w:rsidR="00CF76AB">
              <w:t xml:space="preserve">related risks were </w:t>
            </w:r>
            <w:r w:rsidR="005A1DFA">
              <w:t xml:space="preserve">informed by our </w:t>
            </w:r>
            <w:r w:rsidR="00A530B0">
              <w:t xml:space="preserve">enterprise </w:t>
            </w:r>
            <w:r w:rsidR="005A1DFA">
              <w:t xml:space="preserve">risk management framework. </w:t>
            </w:r>
          </w:p>
          <w:p w14:paraId="23DDE381" w14:textId="54C825E7" w:rsidR="00CD3D31" w:rsidRPr="009A76C1" w:rsidRDefault="00CD3D31" w:rsidP="009A76C1">
            <w:pPr>
              <w:pStyle w:val="BodyText1"/>
            </w:pPr>
            <w:r>
              <w:t xml:space="preserve">Our climate-related risks </w:t>
            </w:r>
            <w:r w:rsidR="004555C4">
              <w:t>are</w:t>
            </w:r>
            <w:r w:rsidR="007A4DF4">
              <w:t xml:space="preserve"> monitored</w:t>
            </w:r>
            <w:r w:rsidR="000F09E6">
              <w:t xml:space="preserve"> and managed</w:t>
            </w:r>
            <w:r w:rsidR="007A4DF4">
              <w:t xml:space="preserve"> by our </w:t>
            </w:r>
            <w:r w:rsidR="00FD286D">
              <w:t>executive</w:t>
            </w:r>
            <w:r w:rsidR="00D05CC1">
              <w:t xml:space="preserve"> team</w:t>
            </w:r>
            <w:r w:rsidR="00A90703">
              <w:t xml:space="preserve">, with the </w:t>
            </w:r>
            <w:r w:rsidR="00C708AA">
              <w:t xml:space="preserve">Performance and </w:t>
            </w:r>
            <w:r w:rsidR="007A4DF4">
              <w:t>Risk Committee</w:t>
            </w:r>
            <w:r w:rsidR="00A90703">
              <w:t xml:space="preserve"> </w:t>
            </w:r>
            <w:r w:rsidR="001E19EB">
              <w:t>having</w:t>
            </w:r>
            <w:r w:rsidR="00A90703">
              <w:t xml:space="preserve"> an oversight</w:t>
            </w:r>
            <w:r w:rsidR="005F25DF">
              <w:t xml:space="preserve"> and advisory</w:t>
            </w:r>
            <w:r w:rsidR="00A90703">
              <w:t xml:space="preserve"> role</w:t>
            </w:r>
            <w:r w:rsidR="007A4DF4">
              <w:t xml:space="preserve">, </w:t>
            </w:r>
            <w:r w:rsidR="00A90703">
              <w:t>in accordance with</w:t>
            </w:r>
            <w:r w:rsidR="007A4DF4">
              <w:t xml:space="preserve"> our </w:t>
            </w:r>
            <w:r w:rsidR="00E558B3">
              <w:t>standard</w:t>
            </w:r>
            <w:r w:rsidR="007A4DF4">
              <w:t xml:space="preserve"> </w:t>
            </w:r>
            <w:r w:rsidR="00CC7C44">
              <w:t xml:space="preserve">risk management </w:t>
            </w:r>
            <w:r w:rsidR="00393E5F">
              <w:t>practices</w:t>
            </w:r>
            <w:r w:rsidR="007A4DF4">
              <w:t xml:space="preserve">. </w:t>
            </w:r>
          </w:p>
        </w:tc>
      </w:tr>
    </w:tbl>
    <w:p w14:paraId="75F0EB9A" w14:textId="77777777" w:rsidR="009A76C1" w:rsidRDefault="009A76C1" w:rsidP="009A76C1">
      <w:pPr>
        <w:pStyle w:val="BodyText1"/>
      </w:pPr>
    </w:p>
    <w:tbl>
      <w:tblPr>
        <w:tblStyle w:val="TableGrid"/>
        <w:tblW w:w="0" w:type="auto"/>
        <w:tblLook w:val="04A0" w:firstRow="1" w:lastRow="0" w:firstColumn="1" w:lastColumn="0" w:noHBand="0" w:noVBand="1"/>
      </w:tblPr>
      <w:tblGrid>
        <w:gridCol w:w="9402"/>
      </w:tblGrid>
      <w:tr w:rsidR="00BA354E" w:rsidRPr="00CB6108" w14:paraId="7800F373" w14:textId="77777777" w:rsidTr="00171941">
        <w:tc>
          <w:tcPr>
            <w:tcW w:w="9402" w:type="dxa"/>
            <w:shd w:val="clear" w:color="auto" w:fill="F8F0DD" w:themeFill="accent1" w:themeFillTint="33"/>
          </w:tcPr>
          <w:p w14:paraId="37EC6EC6" w14:textId="3CDC9AEE" w:rsidR="00A86237" w:rsidRPr="006E1101" w:rsidRDefault="00A86237" w:rsidP="00A86237">
            <w:pPr>
              <w:pStyle w:val="Heading3centred"/>
              <w:rPr>
                <w:color w:val="auto"/>
              </w:rPr>
            </w:pPr>
            <w:r w:rsidRPr="006E1101">
              <w:rPr>
                <w:color w:val="auto"/>
              </w:rPr>
              <w:lastRenderedPageBreak/>
              <w:t>EXAMPLE</w:t>
            </w:r>
          </w:p>
          <w:p w14:paraId="3C7ECA0B" w14:textId="0C346DA7" w:rsidR="002B209B" w:rsidRPr="00A86237" w:rsidRDefault="00A86237">
            <w:pPr>
              <w:pStyle w:val="BodyText1"/>
              <w:rPr>
                <w:rStyle w:val="Strong"/>
              </w:rPr>
            </w:pPr>
            <w:r w:rsidRPr="00A86237">
              <w:rPr>
                <w:rStyle w:val="Strong"/>
              </w:rPr>
              <w:t>C</w:t>
            </w:r>
            <w:r w:rsidR="00BA354E" w:rsidRPr="00A86237">
              <w:rPr>
                <w:rStyle w:val="Strong"/>
              </w:rPr>
              <w:t xml:space="preserve">orporate Commonwealth entity using </w:t>
            </w:r>
            <w:r w:rsidR="00965435" w:rsidRPr="00A86237">
              <w:rPr>
                <w:rStyle w:val="Strong"/>
              </w:rPr>
              <w:t>a</w:t>
            </w:r>
            <w:r w:rsidR="007E108E" w:rsidRPr="00A86237">
              <w:rPr>
                <w:rStyle w:val="Strong"/>
              </w:rPr>
              <w:t xml:space="preserve"> </w:t>
            </w:r>
            <w:r w:rsidR="00F17C3E">
              <w:rPr>
                <w:rStyle w:val="Strong"/>
              </w:rPr>
              <w:t>pre-existing</w:t>
            </w:r>
            <w:r w:rsidR="00477126">
              <w:rPr>
                <w:rStyle w:val="Strong"/>
              </w:rPr>
              <w:t xml:space="preserve"> robust and defensible</w:t>
            </w:r>
            <w:r w:rsidR="00F17C3E">
              <w:rPr>
                <w:rStyle w:val="Strong"/>
              </w:rPr>
              <w:t xml:space="preserve"> process </w:t>
            </w:r>
            <w:r w:rsidR="007E108E" w:rsidRPr="00A86237">
              <w:rPr>
                <w:rStyle w:val="Strong"/>
              </w:rPr>
              <w:t>for climate-related risks</w:t>
            </w:r>
          </w:p>
          <w:p w14:paraId="23A3A4CB" w14:textId="427E64AA" w:rsidR="002D2B86" w:rsidRDefault="002258A8" w:rsidP="00B50FD0">
            <w:pPr>
              <w:pStyle w:val="BodyText1"/>
            </w:pPr>
            <w:r>
              <w:t xml:space="preserve">Initial work </w:t>
            </w:r>
            <w:r w:rsidR="00B92F91">
              <w:t>to conduct</w:t>
            </w:r>
            <w:r w:rsidR="00F71B78">
              <w:t xml:space="preserve"> a</w:t>
            </w:r>
            <w:r w:rsidR="00BB5CFB">
              <w:t xml:space="preserve"> physical </w:t>
            </w:r>
            <w:r w:rsidR="00F71B78">
              <w:t xml:space="preserve">climate risk </w:t>
            </w:r>
            <w:r w:rsidR="00301E71">
              <w:t xml:space="preserve">and opportunity assessment </w:t>
            </w:r>
            <w:r w:rsidR="00F80BC6">
              <w:t xml:space="preserve">was completed in 2021-2022 using the </w:t>
            </w:r>
            <w:hyperlink r:id="rId34" w:history="1">
              <w:r w:rsidR="00F80BC6" w:rsidRPr="007C159C">
                <w:rPr>
                  <w:rStyle w:val="Hyperlink"/>
                </w:rPr>
                <w:t>Climate Risk Ready NSW Guide</w:t>
              </w:r>
            </w:hyperlink>
            <w:r w:rsidR="00F80BC6">
              <w:t xml:space="preserve">. </w:t>
            </w:r>
            <w:r w:rsidR="001A480F">
              <w:t>This year,</w:t>
            </w:r>
            <w:r w:rsidR="000A2714">
              <w:t xml:space="preserve"> we updated our assessment</w:t>
            </w:r>
            <w:r w:rsidR="006A22BC">
              <w:t xml:space="preserve"> in response to </w:t>
            </w:r>
            <w:r w:rsidR="00146732">
              <w:t>the increased frequency and severity of extreme weather events</w:t>
            </w:r>
            <w:r w:rsidR="004021EC">
              <w:t xml:space="preserve"> and </w:t>
            </w:r>
            <w:r w:rsidR="003A2EF7">
              <w:t>update</w:t>
            </w:r>
            <w:r w:rsidR="00AB293C">
              <w:t>s</w:t>
            </w:r>
            <w:r w:rsidR="00F96075">
              <w:t xml:space="preserve"> to</w:t>
            </w:r>
            <w:r w:rsidR="003A2EF7">
              <w:t xml:space="preserve"> climate information and projections</w:t>
            </w:r>
            <w:r w:rsidR="00F96075">
              <w:t xml:space="preserve"> that have occurred over recent years</w:t>
            </w:r>
            <w:r w:rsidR="00056AB4">
              <w:t xml:space="preserve">, </w:t>
            </w:r>
            <w:r w:rsidR="00CF63B7">
              <w:t xml:space="preserve">and in consideration </w:t>
            </w:r>
            <w:r w:rsidR="00056AB4">
              <w:t xml:space="preserve">of </w:t>
            </w:r>
            <w:hyperlink r:id="rId35" w:history="1">
              <w:r w:rsidR="00056AB4" w:rsidRPr="00FB271C">
                <w:rPr>
                  <w:rStyle w:val="Hyperlink"/>
                </w:rPr>
                <w:t>The Australian Government’s Approach to Climate Risk and Opportunity Management in the Public Sector 2024-2026</w:t>
              </w:r>
            </w:hyperlink>
            <w:r w:rsidR="00671060">
              <w:t>. W</w:t>
            </w:r>
            <w:r w:rsidR="000945E9">
              <w:t>hile we</w:t>
            </w:r>
            <w:r w:rsidR="00671060">
              <w:t xml:space="preserve"> </w:t>
            </w:r>
            <w:r w:rsidR="007C691A">
              <w:t>used the same process</w:t>
            </w:r>
            <w:r w:rsidR="0018606A">
              <w:t xml:space="preserve"> this year</w:t>
            </w:r>
            <w:r w:rsidR="00056AB4">
              <w:t xml:space="preserve"> </w:t>
            </w:r>
            <w:r w:rsidR="0022315B">
              <w:t>to identify physical climate-related risks</w:t>
            </w:r>
            <w:r w:rsidR="000945E9">
              <w:t xml:space="preserve">, we </w:t>
            </w:r>
            <w:r w:rsidR="000E5BE5">
              <w:t>amended our process to include</w:t>
            </w:r>
            <w:r w:rsidR="00A13F28">
              <w:t xml:space="preserve"> a review of </w:t>
            </w:r>
            <w:r w:rsidR="00D62AF7">
              <w:t>the organisation’s exposure to climate-related transition risks</w:t>
            </w:r>
            <w:r w:rsidR="008931B3">
              <w:t>.</w:t>
            </w:r>
            <w:r w:rsidR="00D62AF7">
              <w:t xml:space="preserve"> </w:t>
            </w:r>
            <w:r w:rsidR="008931B3">
              <w:t>We also</w:t>
            </w:r>
            <w:r w:rsidR="00D62AF7">
              <w:t xml:space="preserve"> </w:t>
            </w:r>
            <w:r w:rsidR="00671060">
              <w:t>expanded our scope to include the organisation’s key pur</w:t>
            </w:r>
            <w:r w:rsidR="00E65EE6">
              <w:t>pose</w:t>
            </w:r>
            <w:r w:rsidR="00913754">
              <w:t>/</w:t>
            </w:r>
            <w:r w:rsidR="00E65EE6">
              <w:t xml:space="preserve">outcomes </w:t>
            </w:r>
            <w:r w:rsidR="00281E49">
              <w:t xml:space="preserve">and concessional loans program </w:t>
            </w:r>
            <w:r w:rsidR="00301B02">
              <w:t>alongside our infrastructure, assets and operations.</w:t>
            </w:r>
            <w:r w:rsidR="001741DC">
              <w:t xml:space="preserve"> </w:t>
            </w:r>
            <w:r w:rsidR="00B021B5">
              <w:t xml:space="preserve">With these two amendments our process </w:t>
            </w:r>
            <w:r w:rsidR="00423847">
              <w:t xml:space="preserve">is more </w:t>
            </w:r>
            <w:r w:rsidR="00B021B5">
              <w:t>align</w:t>
            </w:r>
            <w:r w:rsidR="00423847">
              <w:t>ed</w:t>
            </w:r>
            <w:r w:rsidR="00B021B5">
              <w:t xml:space="preserve"> with the </w:t>
            </w:r>
            <w:r w:rsidR="0059476C">
              <w:t xml:space="preserve">steps </w:t>
            </w:r>
            <w:r w:rsidR="00423847">
              <w:t>in</w:t>
            </w:r>
            <w:r w:rsidR="0059476C">
              <w:t xml:space="preserve"> CROMP.</w:t>
            </w:r>
          </w:p>
          <w:p w14:paraId="66A28B4A" w14:textId="7234CDF4" w:rsidR="00173E35" w:rsidRDefault="001265BE">
            <w:pPr>
              <w:pStyle w:val="BodyText1"/>
            </w:pPr>
            <w:r>
              <w:t>O</w:t>
            </w:r>
            <w:r w:rsidR="00760D98">
              <w:t xml:space="preserve">ur risk management framework, incident registers and insurance claims </w:t>
            </w:r>
            <w:r w:rsidR="001E7BB8">
              <w:t>formed the foundation</w:t>
            </w:r>
            <w:r w:rsidR="00905BA5">
              <w:t>al</w:t>
            </w:r>
            <w:r w:rsidR="001E7BB8">
              <w:t xml:space="preserve"> </w:t>
            </w:r>
            <w:r>
              <w:t>internal data sources used in</w:t>
            </w:r>
            <w:r w:rsidR="001E7BB8">
              <w:t xml:space="preserve"> our</w:t>
            </w:r>
            <w:r w:rsidR="00255555">
              <w:t xml:space="preserve"> assessment</w:t>
            </w:r>
            <w:r w:rsidR="00760D98">
              <w:t>. National and regional datasets, such as the IPCC Sixth Assessment Report (2021)</w:t>
            </w:r>
            <w:r w:rsidR="00407817">
              <w:t>, NSW and ACT Regional Climate Modelling (</w:t>
            </w:r>
            <w:proofErr w:type="spellStart"/>
            <w:r w:rsidR="00407817">
              <w:t>NARCliM</w:t>
            </w:r>
            <w:proofErr w:type="spellEnd"/>
            <w:r w:rsidR="00760D98">
              <w:t xml:space="preserve">) and the Climate Change in Australia Regional Climate Change Explorer, were used to obtain climate information for </w:t>
            </w:r>
            <w:r w:rsidR="0012450E">
              <w:t>the locations of our two offices (</w:t>
            </w:r>
            <w:r w:rsidR="00760D98">
              <w:t>Canberra</w:t>
            </w:r>
            <w:r w:rsidR="002F2B4A">
              <w:t xml:space="preserve"> and </w:t>
            </w:r>
            <w:r w:rsidR="00064CB2">
              <w:t>Newcastle</w:t>
            </w:r>
            <w:r w:rsidR="00A909D1">
              <w:t>)</w:t>
            </w:r>
            <w:r w:rsidR="00760D98">
              <w:t xml:space="preserve">. </w:t>
            </w:r>
            <w:r w:rsidR="00E411AA">
              <w:t>Uncertainties in climate projections have been managed by reviewing and using data from three reputable datasets from Australian and international climate science organisations. Uncertainties in how risk profiles will change in future under different climate scenarios have been managed by assessing risks across two distinct climate scenarios</w:t>
            </w:r>
            <w:r w:rsidR="00E411AA" w:rsidRPr="009D2046" w:rsidDel="00E411AA">
              <w:t xml:space="preserve"> </w:t>
            </w:r>
            <w:r w:rsidR="009D2046" w:rsidRPr="009D2046">
              <w:t xml:space="preserve">(one low and one </w:t>
            </w:r>
            <w:r w:rsidR="005B2206">
              <w:t>high</w:t>
            </w:r>
            <w:r w:rsidR="009D2046" w:rsidRPr="009D2046">
              <w:t>) to compare projected changes and understand the range of plausible outcomes.</w:t>
            </w:r>
          </w:p>
          <w:p w14:paraId="3342B415" w14:textId="7E03611C" w:rsidR="00E1170B" w:rsidRDefault="00E1170B" w:rsidP="00E1170B">
            <w:pPr>
              <w:pStyle w:val="BodyText1"/>
            </w:pPr>
            <w:r>
              <w:t>The effects of our identified climate-related risks were assessed using the likelihood</w:t>
            </w:r>
            <w:r w:rsidR="008F711F">
              <w:t xml:space="preserve"> and</w:t>
            </w:r>
            <w:r>
              <w:t xml:space="preserve"> consequence evaluation criteria from our existing risk management framework. All risks to our organisation, including climate-related risks, </w:t>
            </w:r>
            <w:r w:rsidR="00D9699C">
              <w:t>were</w:t>
            </w:r>
            <w:r>
              <w:t xml:space="preserve"> prioritised based on their residual risk rating against our Risk Appetite Statement</w:t>
            </w:r>
            <w:r w:rsidR="007C579B">
              <w:t>.</w:t>
            </w:r>
            <w:r>
              <w:t xml:space="preserve"> </w:t>
            </w:r>
            <w:r w:rsidR="00EC792F">
              <w:t>Our risk management framework and Risk Appetite Statement are aligned</w:t>
            </w:r>
            <w:r>
              <w:t xml:space="preserve"> with the Commonwealth Risk Management Policy</w:t>
            </w:r>
            <w:r w:rsidR="00EC792F">
              <w:t xml:space="preserve"> as a matter of good practice.</w:t>
            </w:r>
            <w:r w:rsidR="00331198">
              <w:t xml:space="preserve"> Actions to manage climate-related risks were informed by our risk management framework.</w:t>
            </w:r>
          </w:p>
          <w:p w14:paraId="684346D3" w14:textId="71F26BA7" w:rsidR="00E1170B" w:rsidRPr="00CB6108" w:rsidRDefault="00E1170B" w:rsidP="00E1170B">
            <w:pPr>
              <w:pStyle w:val="BodyText1"/>
            </w:pPr>
            <w:r>
              <w:t>Our climate-related risks are monitored and managed</w:t>
            </w:r>
            <w:r w:rsidR="00FE72ED">
              <w:t xml:space="preserve"> using our standard risk management practices. </w:t>
            </w:r>
            <w:r w:rsidR="0085796F">
              <w:t>The Board is ultimately responsible for</w:t>
            </w:r>
            <w:r w:rsidR="0070317C">
              <w:t xml:space="preserve"> the organisation’s risk management activities. </w:t>
            </w:r>
            <w:r w:rsidR="00FE72ED">
              <w:t>Our</w:t>
            </w:r>
            <w:r>
              <w:t xml:space="preserve"> </w:t>
            </w:r>
            <w:r w:rsidR="001C338F">
              <w:t>Chief Risk Officer and executive team</w:t>
            </w:r>
            <w:r w:rsidR="00C20902">
              <w:t xml:space="preserve"> </w:t>
            </w:r>
            <w:r w:rsidR="008B6FD9">
              <w:t>make operational decisions about</w:t>
            </w:r>
            <w:r w:rsidR="009D4987">
              <w:t xml:space="preserve"> how risks are</w:t>
            </w:r>
            <w:r w:rsidR="00C20902">
              <w:t xml:space="preserve"> monitor</w:t>
            </w:r>
            <w:r w:rsidR="009D4987">
              <w:t>ed</w:t>
            </w:r>
            <w:r w:rsidR="00C20902">
              <w:t xml:space="preserve"> and manag</w:t>
            </w:r>
            <w:r w:rsidR="009D4987">
              <w:t>ed</w:t>
            </w:r>
            <w:r w:rsidR="00C20902">
              <w:t xml:space="preserve"> within </w:t>
            </w:r>
            <w:r w:rsidR="00803FBB">
              <w:t>our organisation</w:t>
            </w:r>
            <w:r w:rsidR="00C20902">
              <w:t xml:space="preserve"> and our</w:t>
            </w:r>
            <w:r>
              <w:t xml:space="preserve"> </w:t>
            </w:r>
            <w:r w:rsidR="001C338F">
              <w:t>Audit</w:t>
            </w:r>
            <w:r>
              <w:t xml:space="preserve"> and Risk Committee </w:t>
            </w:r>
            <w:r w:rsidR="00203021">
              <w:t>maintain</w:t>
            </w:r>
            <w:r w:rsidR="00241348">
              <w:t>s</w:t>
            </w:r>
            <w:r w:rsidR="00EF7AC9">
              <w:t xml:space="preserve"> regular oversight </w:t>
            </w:r>
            <w:r w:rsidR="001B08E8">
              <w:t>of</w:t>
            </w:r>
            <w:r w:rsidR="0092010C">
              <w:t xml:space="preserve"> the risk management function.</w:t>
            </w:r>
            <w:r>
              <w:t xml:space="preserve"> </w:t>
            </w:r>
          </w:p>
        </w:tc>
      </w:tr>
    </w:tbl>
    <w:tbl>
      <w:tblPr>
        <w:tblStyle w:val="TableGrid"/>
        <w:tblpPr w:leftFromText="180" w:rightFromText="180" w:vertAnchor="text" w:horzAnchor="margin" w:tblpY="320"/>
        <w:tblW w:w="0" w:type="auto"/>
        <w:tblLook w:val="04A0" w:firstRow="1" w:lastRow="0" w:firstColumn="1" w:lastColumn="0" w:noHBand="0" w:noVBand="1"/>
      </w:tblPr>
      <w:tblGrid>
        <w:gridCol w:w="9402"/>
      </w:tblGrid>
      <w:tr w:rsidR="006B7E8A" w:rsidRPr="00CB6108" w14:paraId="19731C0F" w14:textId="77777777" w:rsidTr="006B7E8A">
        <w:tc>
          <w:tcPr>
            <w:tcW w:w="9402" w:type="dxa"/>
            <w:shd w:val="clear" w:color="auto" w:fill="DCE2FF" w:themeFill="text2" w:themeFillTint="33"/>
          </w:tcPr>
          <w:p w14:paraId="6C3DC9C9" w14:textId="36D2D05B" w:rsidR="006B7E8A" w:rsidRPr="00CB6108" w:rsidRDefault="006B7E8A" w:rsidP="006B7E8A">
            <w:pPr>
              <w:pStyle w:val="BodyText1"/>
            </w:pPr>
            <w:r>
              <w:rPr>
                <w:b/>
              </w:rPr>
              <w:t>Note</w:t>
            </w:r>
            <w:r w:rsidRPr="00CB6108">
              <w:rPr>
                <w:b/>
              </w:rPr>
              <w:t>:</w:t>
            </w:r>
            <w:r w:rsidRPr="00CB6108">
              <w:t xml:space="preserve"> </w:t>
            </w:r>
            <w:r>
              <w:t>The requirements for climate-related risks are more detailed than those for climate</w:t>
            </w:r>
            <w:r w:rsidR="00485B68">
              <w:noBreakHyphen/>
            </w:r>
            <w:r>
              <w:t>related opportunities. This is due to the relative maturity of risk management processes compared to that of opportunity management.</w:t>
            </w:r>
          </w:p>
        </w:tc>
      </w:tr>
    </w:tbl>
    <w:p w14:paraId="76B28AFB" w14:textId="77777777" w:rsidR="00543130" w:rsidRDefault="00543130" w:rsidP="009A76C1">
      <w:pPr>
        <w:pStyle w:val="BodyText1"/>
      </w:pPr>
    </w:p>
    <w:p w14:paraId="5468FE1B" w14:textId="18CF5E3F" w:rsidR="008550B4" w:rsidRDefault="00424521" w:rsidP="009A76C1">
      <w:pPr>
        <w:pStyle w:val="BodyText1"/>
      </w:pPr>
      <w:r>
        <w:lastRenderedPageBreak/>
        <w:t xml:space="preserve">The processes and policies used to </w:t>
      </w:r>
      <w:r w:rsidR="00FB2F90">
        <w:t xml:space="preserve">identify, assess, prioritise, manage and monitor climate-related opportunities </w:t>
      </w:r>
      <w:r w:rsidR="00A97E3E">
        <w:t>may</w:t>
      </w:r>
      <w:r w:rsidR="00FB2F90">
        <w:t xml:space="preserve"> </w:t>
      </w:r>
      <w:r w:rsidR="00A73D0B">
        <w:t xml:space="preserve">be similar or different to </w:t>
      </w:r>
      <w:r w:rsidR="00DF2CBA">
        <w:t>those used for climate-related risks</w:t>
      </w:r>
      <w:r w:rsidR="00FB2F90">
        <w:t>.</w:t>
      </w:r>
      <w:r w:rsidR="009D2E84">
        <w:t xml:space="preserve"> </w:t>
      </w:r>
      <w:r w:rsidR="00DF2CBA">
        <w:t>For example, c</w:t>
      </w:r>
      <w:r w:rsidR="009D2E84">
        <w:t>limate-related opportunities may</w:t>
      </w:r>
      <w:r w:rsidR="00B3426F">
        <w:t xml:space="preserve"> </w:t>
      </w:r>
      <w:r w:rsidR="009D2E84">
        <w:t xml:space="preserve">be prioritised </w:t>
      </w:r>
      <w:r w:rsidR="00942CC2">
        <w:t xml:space="preserve">alongside climate-related risks </w:t>
      </w:r>
      <w:r w:rsidR="00D27B0F">
        <w:t>using existing risk management framework processes</w:t>
      </w:r>
      <w:r w:rsidR="00B3426F">
        <w:t xml:space="preserve"> and risk registers</w:t>
      </w:r>
      <w:r w:rsidR="00DF2CBA">
        <w:t>,</w:t>
      </w:r>
      <w:r w:rsidR="003C7283">
        <w:t xml:space="preserve"> or </w:t>
      </w:r>
      <w:r w:rsidR="00DF2CBA">
        <w:t xml:space="preserve">they could </w:t>
      </w:r>
      <w:r w:rsidR="0006713B">
        <w:t xml:space="preserve">be prioritised </w:t>
      </w:r>
      <w:r w:rsidR="003C7283">
        <w:t>using a multi</w:t>
      </w:r>
      <w:r w:rsidR="00485B68">
        <w:noBreakHyphen/>
      </w:r>
      <w:r w:rsidR="003C7283">
        <w:t>criteria analysis approach</w:t>
      </w:r>
      <w:r w:rsidR="00CB5548">
        <w:t xml:space="preserve">, </w:t>
      </w:r>
      <w:proofErr w:type="gramStart"/>
      <w:r w:rsidR="00CB5548">
        <w:t>taking into account</w:t>
      </w:r>
      <w:proofErr w:type="gramEnd"/>
      <w:r w:rsidR="00B87C94">
        <w:t xml:space="preserve"> </w:t>
      </w:r>
      <w:r w:rsidR="00442CFF">
        <w:t xml:space="preserve">criteria such as </w:t>
      </w:r>
      <w:r w:rsidR="00CC1E7E">
        <w:t>strategic alignment,</w:t>
      </w:r>
      <w:r w:rsidR="003B4AFB">
        <w:t xml:space="preserve"> risk appetite,</w:t>
      </w:r>
      <w:r w:rsidR="00CC1E7E">
        <w:t xml:space="preserve"> resource requirements and co-benefits</w:t>
      </w:r>
      <w:r w:rsidR="003C7283">
        <w:t>.</w:t>
      </w:r>
    </w:p>
    <w:tbl>
      <w:tblPr>
        <w:tblStyle w:val="TableGrid"/>
        <w:tblW w:w="0" w:type="auto"/>
        <w:tblInd w:w="-5" w:type="dxa"/>
        <w:tblLook w:val="04A0" w:firstRow="1" w:lastRow="0" w:firstColumn="1" w:lastColumn="0" w:noHBand="0" w:noVBand="1"/>
      </w:tblPr>
      <w:tblGrid>
        <w:gridCol w:w="9407"/>
      </w:tblGrid>
      <w:tr w:rsidR="008550B4" w:rsidRPr="00CB6108" w14:paraId="7E878DE8" w14:textId="77777777">
        <w:tc>
          <w:tcPr>
            <w:tcW w:w="9407" w:type="dxa"/>
            <w:shd w:val="clear" w:color="auto" w:fill="D2F0EF" w:themeFill="accent2" w:themeFillTint="33"/>
          </w:tcPr>
          <w:p w14:paraId="50AC56B7" w14:textId="31445F96" w:rsidR="008550B4" w:rsidRPr="00B538AA" w:rsidRDefault="008550B4" w:rsidP="00B50FD0">
            <w:pPr>
              <w:pStyle w:val="BodyText1"/>
            </w:pPr>
            <w:r w:rsidRPr="00E129F4">
              <w:rPr>
                <w:rStyle w:val="Heading3Char"/>
                <w:sz w:val="22"/>
                <w:szCs w:val="22"/>
              </w:rPr>
              <w:t>Tip:</w:t>
            </w:r>
            <w:r w:rsidRPr="0038031F">
              <w:t xml:space="preserve"> </w:t>
            </w:r>
            <w:r>
              <w:t xml:space="preserve">Refer to the </w:t>
            </w:r>
            <w:hyperlink r:id="rId36" w:history="1">
              <w:r w:rsidR="00B1086C" w:rsidRPr="00D34C83">
                <w:rPr>
                  <w:rStyle w:val="Hyperlink"/>
                </w:rPr>
                <w:t>Climate Risk Management Organisation Application Guide</w:t>
              </w:r>
            </w:hyperlink>
            <w:r w:rsidR="004E3CAF" w:rsidRPr="00D33E10">
              <w:t xml:space="preserve"> </w:t>
            </w:r>
            <w:r w:rsidR="00B1086C">
              <w:t>f</w:t>
            </w:r>
            <w:r w:rsidRPr="00B538AA">
              <w:t>or more</w:t>
            </w:r>
            <w:r>
              <w:t xml:space="preserve"> guidance on </w:t>
            </w:r>
            <w:r w:rsidR="004E3CAF">
              <w:t xml:space="preserve">using a </w:t>
            </w:r>
            <w:r w:rsidR="00E51898">
              <w:t>multi-criteria analysis</w:t>
            </w:r>
            <w:r w:rsidR="004E3CAF">
              <w:t xml:space="preserve"> approach</w:t>
            </w:r>
            <w:r w:rsidR="00EE3FA0">
              <w:t xml:space="preserve"> for climate-related opportunities</w:t>
            </w:r>
            <w:r w:rsidR="004E3CAF">
              <w:t>.</w:t>
            </w:r>
          </w:p>
        </w:tc>
      </w:tr>
    </w:tbl>
    <w:p w14:paraId="6DECBB59" w14:textId="023F47F3" w:rsidR="002E3CE0" w:rsidRDefault="002E3CE0" w:rsidP="002E3CE0">
      <w:pPr>
        <w:pStyle w:val="Heading2"/>
      </w:pPr>
      <w:r>
        <w:t xml:space="preserve">Step </w:t>
      </w:r>
      <w:r w:rsidR="00BD5ACB">
        <w:t>4</w:t>
      </w:r>
      <w:r>
        <w:t xml:space="preserve">: </w:t>
      </w:r>
      <w:r w:rsidR="000564D4">
        <w:t xml:space="preserve">Integrate </w:t>
      </w:r>
      <w:r w:rsidR="00DE3248">
        <w:t>into</w:t>
      </w:r>
      <w:r w:rsidR="0043787C">
        <w:t xml:space="preserve"> the</w:t>
      </w:r>
      <w:r w:rsidR="00DE3248">
        <w:t xml:space="preserve"> overall risk management process</w:t>
      </w:r>
    </w:p>
    <w:p w14:paraId="23272152" w14:textId="113CFF47" w:rsidR="00A858E6" w:rsidRDefault="0074719F" w:rsidP="0060550E">
      <w:pPr>
        <w:pStyle w:val="Bodybullet1"/>
        <w:numPr>
          <w:ilvl w:val="0"/>
          <w:numId w:val="0"/>
        </w:numPr>
      </w:pPr>
      <w:r>
        <w:t>It is good practice to integrate your c</w:t>
      </w:r>
      <w:r w:rsidR="00FF0137">
        <w:t xml:space="preserve">limate-related risks </w:t>
      </w:r>
      <w:r w:rsidR="00152BC1">
        <w:t xml:space="preserve">and opportunities </w:t>
      </w:r>
      <w:r w:rsidR="00FF0137">
        <w:t>into your entity’s existing risk</w:t>
      </w:r>
      <w:r w:rsidR="00E57441">
        <w:t xml:space="preserve"> management </w:t>
      </w:r>
      <w:r w:rsidR="006659A1">
        <w:t>system</w:t>
      </w:r>
      <w:r w:rsidR="005565E8">
        <w:t xml:space="preserve"> and processes</w:t>
      </w:r>
      <w:r w:rsidR="00E57441">
        <w:t>. For example,</w:t>
      </w:r>
      <w:r w:rsidR="00DF7319">
        <w:t xml:space="preserve"> </w:t>
      </w:r>
      <w:r w:rsidR="0020447E">
        <w:t xml:space="preserve">you may include climate risk as a main risk category or </w:t>
      </w:r>
      <w:r w:rsidR="00244F07">
        <w:t xml:space="preserve">identify climate change as a </w:t>
      </w:r>
      <w:r w:rsidR="003A4AE7">
        <w:t>driver of existing risks</w:t>
      </w:r>
      <w:r w:rsidR="00430481">
        <w:t xml:space="preserve">. </w:t>
      </w:r>
      <w:r w:rsidR="00C64BCB">
        <w:t>Y</w:t>
      </w:r>
      <w:r w:rsidR="00DF7319">
        <w:t xml:space="preserve">ou may </w:t>
      </w:r>
      <w:r w:rsidR="00C64BCB">
        <w:t xml:space="preserve">also </w:t>
      </w:r>
      <w:r w:rsidR="00552207">
        <w:t xml:space="preserve">integrate the findings on your climate risk and opportunity assessment into your entity’s risk register. </w:t>
      </w:r>
      <w:r w:rsidR="0060550E">
        <w:t>Where</w:t>
      </w:r>
      <w:r w:rsidR="001566F7">
        <w:t xml:space="preserve"> </w:t>
      </w:r>
      <w:r w:rsidR="00B61B8C">
        <w:t xml:space="preserve">any </w:t>
      </w:r>
      <w:r w:rsidR="001566F7">
        <w:t>such</w:t>
      </w:r>
      <w:r w:rsidR="0060550E">
        <w:t xml:space="preserve"> integration occurs, you should </w:t>
      </w:r>
      <w:r w:rsidR="003B4BFA">
        <w:t xml:space="preserve">outline this in your climate disclosure. </w:t>
      </w:r>
    </w:p>
    <w:p w14:paraId="371EC775" w14:textId="673C4A10" w:rsidR="002577C8" w:rsidRPr="00CB6108" w:rsidRDefault="00E21C2A" w:rsidP="006C7737">
      <w:pPr>
        <w:pStyle w:val="Bodybullet1"/>
        <w:numPr>
          <w:ilvl w:val="0"/>
          <w:numId w:val="0"/>
        </w:numPr>
      </w:pPr>
      <w:r>
        <w:t xml:space="preserve">The monitoring of climate-related risks </w:t>
      </w:r>
      <w:r w:rsidR="00E52FF0">
        <w:t xml:space="preserve">and opportunities </w:t>
      </w:r>
      <w:r>
        <w:t xml:space="preserve">should closely align with your entity’s existing risk management practices to monitor risk. </w:t>
      </w:r>
      <w:r w:rsidR="00294253">
        <w:t xml:space="preserve">You should </w:t>
      </w:r>
      <w:r w:rsidR="001B1FFA">
        <w:t xml:space="preserve">also </w:t>
      </w:r>
      <w:r>
        <w:t>have processes</w:t>
      </w:r>
      <w:r w:rsidR="006C7737">
        <w:t xml:space="preserve"> in place</w:t>
      </w:r>
      <w:r w:rsidR="00E147DD">
        <w:t xml:space="preserve"> to regularly review priority climate-related risks and opportunities</w:t>
      </w:r>
      <w:r w:rsidR="006C7737">
        <w:t xml:space="preserve">, in line with your entity’s existing </w:t>
      </w:r>
      <w:r w:rsidR="00D30F20">
        <w:t xml:space="preserve">risk management procedures for periodic </w:t>
      </w:r>
      <w:r w:rsidR="006C7737">
        <w:t>review</w:t>
      </w:r>
      <w:r w:rsidR="00716C25">
        <w:t xml:space="preserve">, to ensure </w:t>
      </w:r>
      <w:r w:rsidR="00A636CF">
        <w:t>the</w:t>
      </w:r>
      <w:r w:rsidR="009764F8">
        <w:t>ir</w:t>
      </w:r>
      <w:r w:rsidR="00A636CF">
        <w:t xml:space="preserve"> </w:t>
      </w:r>
      <w:r w:rsidR="00716C25">
        <w:t>continued management</w:t>
      </w:r>
      <w:r w:rsidR="006C7737">
        <w:t xml:space="preserve">. </w:t>
      </w:r>
      <w:r w:rsidR="002577C8" w:rsidRPr="00CB6108">
        <w:t xml:space="preserve"> </w:t>
      </w:r>
    </w:p>
    <w:tbl>
      <w:tblPr>
        <w:tblStyle w:val="TableGrid"/>
        <w:tblpPr w:leftFromText="180" w:rightFromText="180" w:vertAnchor="text" w:horzAnchor="margin" w:tblpY="19"/>
        <w:tblW w:w="0" w:type="auto"/>
        <w:tblLook w:val="04A0" w:firstRow="1" w:lastRow="0" w:firstColumn="1" w:lastColumn="0" w:noHBand="0" w:noVBand="1"/>
      </w:tblPr>
      <w:tblGrid>
        <w:gridCol w:w="9402"/>
      </w:tblGrid>
      <w:tr w:rsidR="00D73F4A" w:rsidRPr="00CB6108" w14:paraId="425E64E2" w14:textId="77777777" w:rsidTr="00D73F4A">
        <w:tc>
          <w:tcPr>
            <w:tcW w:w="9402" w:type="dxa"/>
            <w:shd w:val="clear" w:color="auto" w:fill="DCE2FF" w:themeFill="text2" w:themeFillTint="33"/>
          </w:tcPr>
          <w:p w14:paraId="0F441821" w14:textId="7A5FB8A4" w:rsidR="00D73F4A" w:rsidRPr="00CB6108" w:rsidRDefault="00D73F4A" w:rsidP="00D73F4A">
            <w:pPr>
              <w:pStyle w:val="BodyText1"/>
            </w:pPr>
            <w:bookmarkStart w:id="0" w:name="_Hlk187309064"/>
            <w:r>
              <w:rPr>
                <w:b/>
              </w:rPr>
              <w:t>Note</w:t>
            </w:r>
            <w:r w:rsidRPr="00CB6108">
              <w:rPr>
                <w:b/>
              </w:rPr>
              <w:t>:</w:t>
            </w:r>
            <w:r w:rsidRPr="00CB6108">
              <w:t xml:space="preserve"> </w:t>
            </w:r>
            <w:r>
              <w:t>Integrating climate-related risks into existing risk management processes may require some adjustment to the existing processes, given the unique characteristics of climate-related risks. For example, climate-related risks tend to have longer time horizons and long-lived effects than other types of risk</w:t>
            </w:r>
            <w:r w:rsidR="00D91C15">
              <w:t xml:space="preserve"> and require assessment across different climate scenarios</w:t>
            </w:r>
            <w:r>
              <w:t>.</w:t>
            </w:r>
          </w:p>
        </w:tc>
      </w:tr>
      <w:bookmarkEnd w:id="0"/>
    </w:tbl>
    <w:p w14:paraId="35B25632" w14:textId="77777777" w:rsidR="00D73F4A" w:rsidRPr="00CB6108" w:rsidRDefault="00D73F4A" w:rsidP="006C7737">
      <w:pPr>
        <w:pStyle w:val="Bodybullet1"/>
        <w:numPr>
          <w:ilvl w:val="0"/>
          <w:numId w:val="0"/>
        </w:numPr>
      </w:pPr>
    </w:p>
    <w:tbl>
      <w:tblPr>
        <w:tblStyle w:val="TableGrid"/>
        <w:tblW w:w="0" w:type="auto"/>
        <w:tblInd w:w="-5" w:type="dxa"/>
        <w:tblLook w:val="04A0" w:firstRow="1" w:lastRow="0" w:firstColumn="1" w:lastColumn="0" w:noHBand="0" w:noVBand="1"/>
      </w:tblPr>
      <w:tblGrid>
        <w:gridCol w:w="9407"/>
      </w:tblGrid>
      <w:tr w:rsidR="00266C8F" w:rsidRPr="00CB6108" w14:paraId="705D5F4B" w14:textId="77777777">
        <w:tc>
          <w:tcPr>
            <w:tcW w:w="9407" w:type="dxa"/>
            <w:shd w:val="clear" w:color="auto" w:fill="D2F0EF" w:themeFill="accent2" w:themeFillTint="33"/>
          </w:tcPr>
          <w:p w14:paraId="32D6AAA6" w14:textId="6C19F09A" w:rsidR="002577C8" w:rsidRPr="00B538AA" w:rsidRDefault="002577C8" w:rsidP="00BE7B63">
            <w:pPr>
              <w:pStyle w:val="BodyText1"/>
            </w:pPr>
            <w:bookmarkStart w:id="1" w:name="_Hlk186805158"/>
            <w:r w:rsidRPr="00E129F4">
              <w:rPr>
                <w:rStyle w:val="Heading3Char"/>
                <w:sz w:val="22"/>
                <w:szCs w:val="22"/>
              </w:rPr>
              <w:t>Tip:</w:t>
            </w:r>
            <w:r w:rsidRPr="0038031F">
              <w:t xml:space="preserve"> </w:t>
            </w:r>
            <w:r w:rsidR="005C5C49">
              <w:t xml:space="preserve">Refer to the </w:t>
            </w:r>
            <w:hyperlink r:id="rId37" w:history="1">
              <w:r w:rsidR="00045879" w:rsidRPr="00D34C83">
                <w:rPr>
                  <w:rStyle w:val="Hyperlink"/>
                </w:rPr>
                <w:t>Climate Risk Management Organisation Application Guide</w:t>
              </w:r>
            </w:hyperlink>
            <w:r w:rsidR="00B538AA" w:rsidRPr="00D33E10">
              <w:t xml:space="preserve"> </w:t>
            </w:r>
            <w:r w:rsidR="000A7839">
              <w:t>and</w:t>
            </w:r>
            <w:r w:rsidR="00BE7B63" w:rsidRPr="00BE7B63">
              <w:t xml:space="preserve"> </w:t>
            </w:r>
            <w:r w:rsidR="009065AD">
              <w:t xml:space="preserve">the </w:t>
            </w:r>
            <w:hyperlink r:id="rId38" w:history="1">
              <w:r w:rsidR="00BE7B63" w:rsidRPr="007802B1">
                <w:rPr>
                  <w:rStyle w:val="Hyperlink"/>
                </w:rPr>
                <w:t xml:space="preserve">TCFD Guidance </w:t>
              </w:r>
              <w:r w:rsidR="00F86F8A" w:rsidRPr="007802B1">
                <w:rPr>
                  <w:rStyle w:val="Hyperlink"/>
                </w:rPr>
                <w:t xml:space="preserve">on </w:t>
              </w:r>
              <w:r w:rsidR="00BE7B63" w:rsidRPr="007802B1">
                <w:rPr>
                  <w:rStyle w:val="Hyperlink"/>
                </w:rPr>
                <w:t>Risk Management Integration and Disclosure</w:t>
              </w:r>
            </w:hyperlink>
            <w:r w:rsidR="00BE7B63">
              <w:t xml:space="preserve"> </w:t>
            </w:r>
            <w:r w:rsidR="00B538AA" w:rsidRPr="00B538AA">
              <w:t>for more</w:t>
            </w:r>
            <w:r w:rsidR="00B538AA">
              <w:t xml:space="preserve"> guidance</w:t>
            </w:r>
            <w:r w:rsidR="002D2D25">
              <w:t xml:space="preserve"> and examples</w:t>
            </w:r>
            <w:r w:rsidR="00B538AA">
              <w:t xml:space="preserve"> o</w:t>
            </w:r>
            <w:r w:rsidR="00AE6B4D">
              <w:t>n</w:t>
            </w:r>
            <w:r w:rsidR="00B538AA">
              <w:t xml:space="preserve"> </w:t>
            </w:r>
            <w:r w:rsidR="003F78E9">
              <w:t>how to integrate</w:t>
            </w:r>
            <w:r w:rsidR="00BB06C7">
              <w:t xml:space="preserve"> climate-related risks and opportunities into your risk management system.</w:t>
            </w:r>
          </w:p>
        </w:tc>
      </w:tr>
      <w:bookmarkEnd w:id="1"/>
    </w:tbl>
    <w:p w14:paraId="1CCDCDCC" w14:textId="77777777" w:rsidR="00547BDD" w:rsidRDefault="00547BDD">
      <w:pPr>
        <w:spacing w:before="0" w:after="160" w:line="259" w:lineRule="auto"/>
        <w:rPr>
          <w:bCs/>
          <w:sz w:val="32"/>
          <w:szCs w:val="26"/>
        </w:rPr>
      </w:pPr>
    </w:p>
    <w:p w14:paraId="69C99FFF" w14:textId="77777777" w:rsidR="00547BDD" w:rsidRPr="00E27D99" w:rsidRDefault="00547BDD" w:rsidP="00547BDD">
      <w:pPr>
        <w:pStyle w:val="Heading1"/>
      </w:pPr>
      <w:r w:rsidRPr="00E27D99">
        <w:t>Document control</w:t>
      </w:r>
    </w:p>
    <w:tbl>
      <w:tblPr>
        <w:tblStyle w:val="GridTable1Light-Accent2"/>
        <w:tblW w:w="5000" w:type="pct"/>
        <w:tblLook w:val="04A0" w:firstRow="1" w:lastRow="0" w:firstColumn="1" w:lastColumn="0" w:noHBand="0" w:noVBand="1"/>
      </w:tblPr>
      <w:tblGrid>
        <w:gridCol w:w="978"/>
        <w:gridCol w:w="1689"/>
        <w:gridCol w:w="6961"/>
      </w:tblGrid>
      <w:tr w:rsidR="00547BDD" w:rsidRPr="00C34F17" w14:paraId="28032FC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Pr>
          <w:p w14:paraId="770BE648" w14:textId="77777777" w:rsidR="00547BDD" w:rsidRPr="00C34F17" w:rsidRDefault="00547BDD">
            <w:pPr>
              <w:rPr>
                <w:rFonts w:asciiTheme="majorHAnsi" w:hAnsiTheme="majorHAnsi"/>
                <w:b w:val="0"/>
                <w:color w:val="000000" w:themeColor="text1"/>
                <w:szCs w:val="24"/>
              </w:rPr>
            </w:pPr>
            <w:r w:rsidRPr="00F9407A">
              <w:rPr>
                <w:rFonts w:asciiTheme="majorHAnsi" w:hAnsiTheme="majorHAnsi"/>
                <w:color w:val="000000" w:themeColor="text1"/>
                <w:szCs w:val="24"/>
              </w:rPr>
              <w:t>Version number</w:t>
            </w:r>
          </w:p>
        </w:tc>
        <w:tc>
          <w:tcPr>
            <w:tcW w:w="877" w:type="pct"/>
          </w:tcPr>
          <w:p w14:paraId="1E8E4089" w14:textId="77777777" w:rsidR="00547BDD" w:rsidRPr="00C34F17" w:rsidRDefault="00547BDD">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Cs w:val="24"/>
              </w:rPr>
            </w:pPr>
            <w:r w:rsidRPr="00F9407A">
              <w:rPr>
                <w:rFonts w:asciiTheme="majorHAnsi" w:hAnsiTheme="majorHAnsi"/>
                <w:color w:val="000000" w:themeColor="text1"/>
                <w:szCs w:val="24"/>
              </w:rPr>
              <w:t>Date of issue</w:t>
            </w:r>
          </w:p>
        </w:tc>
        <w:tc>
          <w:tcPr>
            <w:tcW w:w="3615" w:type="pct"/>
          </w:tcPr>
          <w:p w14:paraId="524E7C4B" w14:textId="77777777" w:rsidR="00547BDD" w:rsidRPr="00C34F17" w:rsidRDefault="00547BDD">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Cs w:val="24"/>
              </w:rPr>
            </w:pPr>
            <w:r w:rsidRPr="00F9407A">
              <w:rPr>
                <w:rFonts w:asciiTheme="majorHAnsi" w:hAnsiTheme="majorHAnsi"/>
                <w:color w:val="000000" w:themeColor="text1"/>
                <w:szCs w:val="24"/>
              </w:rPr>
              <w:t>Brief description of change</w:t>
            </w:r>
          </w:p>
        </w:tc>
      </w:tr>
      <w:tr w:rsidR="00547BDD" w:rsidRPr="00C34F17" w14:paraId="6BEFFB17" w14:textId="77777777">
        <w:tc>
          <w:tcPr>
            <w:cnfStyle w:val="001000000000" w:firstRow="0" w:lastRow="0" w:firstColumn="1" w:lastColumn="0" w:oddVBand="0" w:evenVBand="0" w:oddHBand="0" w:evenHBand="0" w:firstRowFirstColumn="0" w:firstRowLastColumn="0" w:lastRowFirstColumn="0" w:lastRowLastColumn="0"/>
            <w:tcW w:w="508" w:type="pct"/>
          </w:tcPr>
          <w:p w14:paraId="1D4B9ECF" w14:textId="77777777" w:rsidR="00547BDD" w:rsidRDefault="00547BDD">
            <w:pPr>
              <w:spacing w:before="60" w:after="60"/>
              <w:rPr>
                <w:rFonts w:asciiTheme="minorHAnsi" w:hAnsiTheme="minorHAnsi"/>
                <w:color w:val="000000" w:themeColor="text1"/>
                <w:szCs w:val="24"/>
              </w:rPr>
            </w:pPr>
            <w:r>
              <w:rPr>
                <w:rFonts w:asciiTheme="minorHAnsi" w:hAnsiTheme="minorHAnsi"/>
                <w:color w:val="000000" w:themeColor="text1"/>
                <w:szCs w:val="24"/>
              </w:rPr>
              <w:t>1</w:t>
            </w:r>
          </w:p>
        </w:tc>
        <w:tc>
          <w:tcPr>
            <w:tcW w:w="877" w:type="pct"/>
          </w:tcPr>
          <w:p w14:paraId="79183EAB" w14:textId="06ED7B1F" w:rsidR="00547BDD" w:rsidRDefault="00195E3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Pr>
                <w:rFonts w:asciiTheme="minorHAnsi" w:hAnsiTheme="minorHAnsi"/>
                <w:color w:val="000000" w:themeColor="text1"/>
                <w:szCs w:val="24"/>
              </w:rPr>
              <w:t>17</w:t>
            </w:r>
            <w:r w:rsidR="00547BDD">
              <w:rPr>
                <w:rFonts w:asciiTheme="minorHAnsi" w:hAnsiTheme="minorHAnsi"/>
                <w:color w:val="000000" w:themeColor="text1"/>
                <w:szCs w:val="24"/>
              </w:rPr>
              <w:t>/</w:t>
            </w:r>
            <w:r w:rsidR="004A4568">
              <w:rPr>
                <w:rFonts w:asciiTheme="minorHAnsi" w:hAnsiTheme="minorHAnsi"/>
                <w:color w:val="000000" w:themeColor="text1"/>
                <w:szCs w:val="24"/>
              </w:rPr>
              <w:t>02</w:t>
            </w:r>
            <w:r w:rsidR="00547BDD">
              <w:rPr>
                <w:rFonts w:asciiTheme="minorHAnsi" w:hAnsiTheme="minorHAnsi"/>
                <w:color w:val="000000" w:themeColor="text1"/>
                <w:szCs w:val="24"/>
              </w:rPr>
              <w:t>/2025</w:t>
            </w:r>
          </w:p>
        </w:tc>
        <w:tc>
          <w:tcPr>
            <w:tcW w:w="3615" w:type="pct"/>
          </w:tcPr>
          <w:p w14:paraId="32290D4C" w14:textId="77777777" w:rsidR="00547BDD" w:rsidRDefault="00547BD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Pr>
                <w:rFonts w:asciiTheme="minorHAnsi" w:hAnsiTheme="minorHAnsi"/>
                <w:color w:val="000000" w:themeColor="text1"/>
                <w:szCs w:val="24"/>
              </w:rPr>
              <w:t>Initial publication</w:t>
            </w:r>
          </w:p>
        </w:tc>
      </w:tr>
    </w:tbl>
    <w:p w14:paraId="7080A36E" w14:textId="77777777" w:rsidR="00547BDD" w:rsidRDefault="00547BDD" w:rsidP="00547BDD">
      <w:pPr>
        <w:pStyle w:val="Heading2Noshow"/>
      </w:pPr>
      <w:r>
        <w:t xml:space="preserve">Contact </w:t>
      </w:r>
    </w:p>
    <w:p w14:paraId="0748F391" w14:textId="11C6B520" w:rsidR="002A18D1" w:rsidRPr="00547BDD" w:rsidRDefault="00547BDD" w:rsidP="00547BDD">
      <w:pPr>
        <w:pStyle w:val="BodyText1"/>
      </w:pPr>
      <w:r w:rsidRPr="001F3454">
        <w:t xml:space="preserve">Email: </w:t>
      </w:r>
      <w:hyperlink r:id="rId39" w:history="1">
        <w:r w:rsidRPr="001F3454">
          <w:rPr>
            <w:rStyle w:val="Hyperlink"/>
          </w:rPr>
          <w:t>ClimateAction@finance.gov.au</w:t>
        </w:r>
      </w:hyperlink>
      <w:r w:rsidRPr="001F3454">
        <w:t xml:space="preserve"> </w:t>
      </w:r>
    </w:p>
    <w:sectPr w:rsidR="002A18D1" w:rsidRPr="00547BDD" w:rsidSect="00503EA3">
      <w:headerReference w:type="default" r:id="rId40"/>
      <w:footerReference w:type="default" r:id="rId41"/>
      <w:headerReference w:type="first" r:id="rId42"/>
      <w:footerReference w:type="first" r:id="rId43"/>
      <w:pgSz w:w="11906" w:h="16838"/>
      <w:pgMar w:top="1843"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3EBA4" w14:textId="77777777" w:rsidR="006705FE" w:rsidRDefault="006705FE" w:rsidP="0030644C">
      <w:pPr>
        <w:spacing w:after="0"/>
      </w:pPr>
      <w:r>
        <w:separator/>
      </w:r>
    </w:p>
  </w:endnote>
  <w:endnote w:type="continuationSeparator" w:id="0">
    <w:p w14:paraId="08A5699D" w14:textId="77777777" w:rsidR="006705FE" w:rsidRDefault="006705FE" w:rsidP="0030644C">
      <w:pPr>
        <w:spacing w:after="0"/>
      </w:pPr>
      <w:r>
        <w:continuationSeparator/>
      </w:r>
    </w:p>
  </w:endnote>
  <w:endnote w:type="continuationNotice" w:id="1">
    <w:p w14:paraId="18B425F8" w14:textId="77777777" w:rsidR="006705FE" w:rsidRDefault="006705F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45 Light">
    <w:altName w:val="Calibri"/>
    <w:charset w:val="00"/>
    <w:family w:val="auto"/>
    <w:pitch w:val="variable"/>
    <w:sig w:usb0="8000002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6548693"/>
      <w:docPartObj>
        <w:docPartGallery w:val="Page Numbers (Bottom of Page)"/>
        <w:docPartUnique/>
      </w:docPartObj>
    </w:sdtPr>
    <w:sdtEndPr>
      <w:rPr>
        <w:rStyle w:val="FooterChar"/>
        <w:color w:val="0D0D0D" w:themeColor="text1" w:themeTint="F2"/>
        <w:sz w:val="18"/>
        <w:szCs w:val="18"/>
      </w:rPr>
    </w:sdtEndPr>
    <w:sdtContent>
      <w:sdt>
        <w:sdtPr>
          <w:rPr>
            <w:color w:val="0D0D0D" w:themeColor="text1" w:themeTint="F2"/>
            <w:sz w:val="18"/>
            <w:szCs w:val="18"/>
          </w:rPr>
          <w:id w:val="1114477877"/>
          <w:docPartObj>
            <w:docPartGallery w:val="Page Numbers (Bottom of Page)"/>
            <w:docPartUnique/>
          </w:docPartObj>
        </w:sdtPr>
        <w:sdtEndPr>
          <w:rPr>
            <w:rStyle w:val="FooterChar"/>
            <w:color w:val="000000" w:themeColor="text1"/>
          </w:rPr>
        </w:sdtEndPr>
        <w:sdtContent>
          <w:p w14:paraId="5E47D1F5" w14:textId="231BF645" w:rsidR="00B1372A" w:rsidRDefault="00260AB0" w:rsidP="001F3454">
            <w:pPr>
              <w:pStyle w:val="BodyText1"/>
              <w:rPr>
                <w:rStyle w:val="FooterChar"/>
                <w:rFonts w:ascii="Arial" w:hAnsi="Arial"/>
              </w:rPr>
            </w:pPr>
            <w:r w:rsidRPr="00864D66">
              <w:rPr>
                <w:rStyle w:val="FooterChar"/>
              </w:rPr>
              <w:fldChar w:fldCharType="begin"/>
            </w:r>
            <w:r w:rsidRPr="00864D66">
              <w:rPr>
                <w:rStyle w:val="FooterChar"/>
              </w:rPr>
              <w:instrText xml:space="preserve"> PAGE   \* MERGEFORMAT </w:instrText>
            </w:r>
            <w:r w:rsidRPr="00864D66">
              <w:rPr>
                <w:rStyle w:val="FooterChar"/>
              </w:rPr>
              <w:fldChar w:fldCharType="separate"/>
            </w:r>
            <w:r>
              <w:rPr>
                <w:rStyle w:val="FooterChar"/>
              </w:rPr>
              <w:t>1</w:t>
            </w:r>
            <w:r w:rsidRPr="00864D66">
              <w:rPr>
                <w:rStyle w:val="FooterChar"/>
              </w:rPr>
              <w:fldChar w:fldCharType="end"/>
            </w:r>
            <w:r w:rsidRPr="00864D66">
              <w:rPr>
                <w:rStyle w:val="FooterChar"/>
              </w:rPr>
              <w:t xml:space="preserve"> | </w:t>
            </w:r>
            <w:sdt>
              <w:sdtPr>
                <w:id w:val="243159277"/>
                <w:docPartObj>
                  <w:docPartGallery w:val="Page Numbers (Bottom of Page)"/>
                  <w:docPartUnique/>
                </w:docPartObj>
              </w:sdtPr>
              <w:sdtEndPr>
                <w:rPr>
                  <w:rStyle w:val="FooterChar"/>
                  <w:color w:val="0D0D0D" w:themeColor="text1" w:themeTint="F2"/>
                  <w:sz w:val="18"/>
                  <w:szCs w:val="18"/>
                </w:rPr>
              </w:sdtEndPr>
              <w:sdtContent>
                <w:r w:rsidR="008B2D4F">
                  <w:rPr>
                    <w:rStyle w:val="FooterChar"/>
                  </w:rPr>
                  <w:t>COMMONWEALTH CLIMATE DISCLOSURE</w:t>
                </w:r>
                <w:r w:rsidR="008B2D4F" w:rsidRPr="00864D66">
                  <w:rPr>
                    <w:rStyle w:val="FooterChar"/>
                  </w:rPr>
                  <w:t xml:space="preserve"> | </w:t>
                </w:r>
                <w:r w:rsidR="008B2D4F">
                  <w:rPr>
                    <w:rStyle w:val="FooterChar"/>
                  </w:rPr>
                  <w:t>Risk Management Guidance</w:t>
                </w:r>
              </w:sdtContent>
            </w:sdt>
            <w:r w:rsidR="008B2D4F">
              <w:rPr>
                <w:rStyle w:val="FooterChar"/>
              </w:rPr>
              <w:t xml:space="preserve"> Factsheet</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07F19" w14:textId="0C8756AD" w:rsidR="00B1372A" w:rsidRDefault="00C76295" w:rsidP="001F3454">
    <w:pPr>
      <w:pStyle w:val="BodyText1"/>
      <w:rPr>
        <w:rStyle w:val="FooterChar"/>
        <w:rFonts w:ascii="Arial" w:hAnsi="Arial"/>
      </w:rPr>
    </w:pPr>
    <w:sdt>
      <w:sdtPr>
        <w:rPr>
          <w:color w:val="0D0D0D" w:themeColor="text1" w:themeTint="F2"/>
          <w:sz w:val="18"/>
          <w:szCs w:val="18"/>
        </w:rPr>
        <w:id w:val="728660213"/>
        <w:docPartObj>
          <w:docPartGallery w:val="Page Numbers (Bottom of Page)"/>
          <w:docPartUnique/>
        </w:docPartObj>
      </w:sdtPr>
      <w:sdtEndPr>
        <w:rPr>
          <w:rStyle w:val="FooterChar"/>
        </w:rPr>
      </w:sdtEndPr>
      <w:sdtContent>
        <w:r w:rsidR="00B1372A" w:rsidRPr="00864D66">
          <w:rPr>
            <w:rStyle w:val="FooterChar"/>
          </w:rPr>
          <w:fldChar w:fldCharType="begin"/>
        </w:r>
        <w:r w:rsidR="00B1372A" w:rsidRPr="00864D66">
          <w:rPr>
            <w:rStyle w:val="FooterChar"/>
          </w:rPr>
          <w:instrText xml:space="preserve"> PAGE   \* MERGEFORMAT </w:instrText>
        </w:r>
        <w:r w:rsidR="00B1372A" w:rsidRPr="00864D66">
          <w:rPr>
            <w:rStyle w:val="FooterChar"/>
          </w:rPr>
          <w:fldChar w:fldCharType="separate"/>
        </w:r>
        <w:r w:rsidR="00B1372A">
          <w:rPr>
            <w:rStyle w:val="FooterChar"/>
          </w:rPr>
          <w:t>1</w:t>
        </w:r>
        <w:r w:rsidR="00B1372A" w:rsidRPr="00864D66">
          <w:rPr>
            <w:rStyle w:val="FooterChar"/>
          </w:rPr>
          <w:fldChar w:fldCharType="end"/>
        </w:r>
        <w:r w:rsidR="00B1372A" w:rsidRPr="00864D66">
          <w:rPr>
            <w:rStyle w:val="FooterChar"/>
          </w:rPr>
          <w:t xml:space="preserve"> | </w:t>
        </w:r>
        <w:r w:rsidR="008426CD">
          <w:rPr>
            <w:rStyle w:val="FooterChar"/>
          </w:rPr>
          <w:t>COMMONWEALTH CLIMATE DISCLOSURE</w:t>
        </w:r>
        <w:r w:rsidR="00B1372A" w:rsidRPr="00864D66">
          <w:rPr>
            <w:rStyle w:val="FooterChar"/>
          </w:rPr>
          <w:t xml:space="preserve"> | </w:t>
        </w:r>
        <w:r w:rsidR="008426CD">
          <w:rPr>
            <w:rStyle w:val="FooterChar"/>
          </w:rPr>
          <w:t>Risk Management Guidance</w:t>
        </w:r>
      </w:sdtContent>
    </w:sdt>
    <w:r w:rsidR="00E05DA8">
      <w:rPr>
        <w:rStyle w:val="FooterChar"/>
      </w:rPr>
      <w:t xml:space="preserve"> Factsheet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FBBFC" w14:textId="77777777" w:rsidR="006705FE" w:rsidRPr="00FA00FB" w:rsidRDefault="006705FE" w:rsidP="001F3454">
      <w:pPr>
        <w:pStyle w:val="Footer"/>
      </w:pPr>
    </w:p>
  </w:footnote>
  <w:footnote w:type="continuationSeparator" w:id="0">
    <w:p w14:paraId="43B8A3D3" w14:textId="77777777" w:rsidR="006705FE" w:rsidRDefault="006705FE" w:rsidP="0030644C">
      <w:pPr>
        <w:spacing w:after="0"/>
      </w:pPr>
      <w:r>
        <w:continuationSeparator/>
      </w:r>
    </w:p>
  </w:footnote>
  <w:footnote w:type="continuationNotice" w:id="1">
    <w:p w14:paraId="2AE2636A" w14:textId="77777777" w:rsidR="006705FE" w:rsidRDefault="006705F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2CF31" w14:textId="49C49EC2" w:rsidR="5536753C" w:rsidRDefault="00723130" w:rsidP="00723130">
    <w:pPr>
      <w:pStyle w:val="Header"/>
      <w:pBdr>
        <w:bottom w:val="none" w:sz="0" w:space="0" w:color="auto"/>
      </w:pBdr>
    </w:pPr>
    <w:r w:rsidRPr="00FC7300">
      <w:rPr>
        <w:noProof/>
      </w:rPr>
      <w:drawing>
        <wp:anchor distT="0" distB="0" distL="114300" distR="114300" simplePos="0" relativeHeight="251658240" behindDoc="0" locked="0" layoutInCell="1" allowOverlap="1" wp14:anchorId="170B5025" wp14:editId="1BEE8523">
          <wp:simplePos x="0" y="0"/>
          <wp:positionH relativeFrom="column">
            <wp:posOffset>-205740</wp:posOffset>
          </wp:positionH>
          <wp:positionV relativeFrom="paragraph">
            <wp:posOffset>-5715</wp:posOffset>
          </wp:positionV>
          <wp:extent cx="1698026" cy="498475"/>
          <wp:effectExtent l="0" t="0" r="0" b="0"/>
          <wp:wrapNone/>
          <wp:docPr id="190422454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99795" name="Picture 1" descr="A close-up of a logo&#10;&#10;Description automatically generated"/>
                  <pic:cNvPicPr/>
                </pic:nvPicPr>
                <pic:blipFill>
                  <a:blip r:embed="rId1"/>
                  <a:stretch>
                    <a:fillRect/>
                  </a:stretch>
                </pic:blipFill>
                <pic:spPr>
                  <a:xfrm>
                    <a:off x="0" y="0"/>
                    <a:ext cx="1698026" cy="4984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24AF4" w14:textId="41FFD0FF" w:rsidR="00B1372A" w:rsidRDefault="00346E40" w:rsidP="00521887">
    <w:pPr>
      <w:pStyle w:val="Header"/>
      <w:pBdr>
        <w:bottom w:val="none" w:sz="0" w:space="0" w:color="auto"/>
      </w:pBdr>
      <w:tabs>
        <w:tab w:val="clear" w:pos="3119"/>
        <w:tab w:val="clear" w:pos="4513"/>
        <w:tab w:val="clear" w:pos="9026"/>
        <w:tab w:val="left" w:pos="7186"/>
      </w:tabs>
    </w:pPr>
    <w:r>
      <w:rPr>
        <w:noProof/>
      </w:rPr>
      <w:drawing>
        <wp:anchor distT="0" distB="0" distL="114300" distR="114300" simplePos="0" relativeHeight="251658241" behindDoc="0" locked="0" layoutInCell="1" allowOverlap="1" wp14:anchorId="0E01AB92" wp14:editId="1EF0531E">
          <wp:simplePos x="0" y="0"/>
          <wp:positionH relativeFrom="page">
            <wp:align>left</wp:align>
          </wp:positionH>
          <wp:positionV relativeFrom="paragraph">
            <wp:posOffset>-444188</wp:posOffset>
          </wp:positionV>
          <wp:extent cx="7558392" cy="2383559"/>
          <wp:effectExtent l="0" t="0" r="5080" b="0"/>
          <wp:wrapNone/>
          <wp:docPr id="1018110649" name="Picture 1018110649"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10649" name="Picture 1018110649" descr="A close up of a pla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392" cy="2383559"/>
                  </a:xfrm>
                  <a:prstGeom prst="rect">
                    <a:avLst/>
                  </a:prstGeom>
                  <a:solidFill>
                    <a:schemeClr val="accent2"/>
                  </a:solid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56B3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3E4F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D082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D23F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8EEE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8CBC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6842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BAB7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2A82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0002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120AA"/>
    <w:multiLevelType w:val="hybridMultilevel"/>
    <w:tmpl w:val="C1E63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572565"/>
    <w:multiLevelType w:val="hybridMultilevel"/>
    <w:tmpl w:val="C9E4A876"/>
    <w:lvl w:ilvl="0" w:tplc="AC7C8796">
      <w:start w:val="1"/>
      <w:numFmt w:val="bullet"/>
      <w:lvlText w:val="―"/>
      <w:lvlJc w:val="left"/>
      <w:pPr>
        <w:ind w:left="720" w:hanging="360"/>
      </w:pPr>
      <w:rPr>
        <w:rFonts w:ascii="Calibri" w:hAnsi="Calibri" w:hint="default"/>
        <w:color w:val="7F7F7F" w:themeColor="text1" w:themeTint="8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8D6DCA"/>
    <w:multiLevelType w:val="hybridMultilevel"/>
    <w:tmpl w:val="A0382F54"/>
    <w:lvl w:ilvl="0" w:tplc="8000110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1AF2C2D"/>
    <w:multiLevelType w:val="singleLevel"/>
    <w:tmpl w:val="970052D8"/>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14" w15:restartNumberingAfterBreak="0">
    <w:nsid w:val="30E62D1E"/>
    <w:multiLevelType w:val="hybridMultilevel"/>
    <w:tmpl w:val="3480597A"/>
    <w:lvl w:ilvl="0" w:tplc="F7A0665C">
      <w:start w:val="1"/>
      <w:numFmt w:val="bullet"/>
      <w:lvlText w:val="•"/>
      <w:lvlJc w:val="left"/>
      <w:pPr>
        <w:ind w:left="720" w:hanging="360"/>
      </w:pPr>
      <w:rPr>
        <w:rFonts w:ascii="Arial" w:hAnsi="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7A241C"/>
    <w:multiLevelType w:val="hybridMultilevel"/>
    <w:tmpl w:val="C114A330"/>
    <w:lvl w:ilvl="0" w:tplc="A0CAF85E">
      <w:start w:val="1"/>
      <w:numFmt w:val="lowerRoman"/>
      <w:lvlText w:val="%1."/>
      <w:lvlJc w:val="right"/>
      <w:pPr>
        <w:ind w:left="1080" w:hanging="360"/>
      </w:pPr>
      <w:rPr>
        <w:rFonts w:ascii="Arial" w:hAnsi="Arial" w:hint="default"/>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A8546C3"/>
    <w:multiLevelType w:val="hybridMultilevel"/>
    <w:tmpl w:val="5FFCD10A"/>
    <w:lvl w:ilvl="0" w:tplc="060E8814">
      <w:numFmt w:val="bullet"/>
      <w:pStyle w:val="Bodybullet1"/>
      <w:lvlText w:val="•"/>
      <w:lvlJc w:val="left"/>
      <w:pPr>
        <w:ind w:left="786" w:hanging="360"/>
      </w:pPr>
      <w:rPr>
        <w:rFonts w:ascii="Arial" w:eastAsiaTheme="minorHAnsi" w:hAnsi="Arial" w:cs="Arial"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7" w15:restartNumberingAfterBreak="0">
    <w:nsid w:val="3BBB2FA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E9B09A2"/>
    <w:multiLevelType w:val="hybridMultilevel"/>
    <w:tmpl w:val="7360A892"/>
    <w:lvl w:ilvl="0" w:tplc="70CA9154">
      <w:start w:val="1"/>
      <w:numFmt w:val="bullet"/>
      <w:lvlText w:val="•"/>
      <w:lvlJc w:val="left"/>
      <w:pPr>
        <w:ind w:left="1077" w:hanging="360"/>
      </w:pPr>
      <w:rPr>
        <w:rFonts w:ascii="Times New Roman" w:hAnsi="Times New Roman"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15:restartNumberingAfterBreak="0">
    <w:nsid w:val="3FB12B7C"/>
    <w:multiLevelType w:val="hybridMultilevel"/>
    <w:tmpl w:val="80F25B7C"/>
    <w:lvl w:ilvl="0" w:tplc="859E8FEC">
      <w:start w:val="1"/>
      <w:numFmt w:val="bullet"/>
      <w:lvlText w:val="•"/>
      <w:lvlJc w:val="left"/>
      <w:pPr>
        <w:ind w:left="360" w:hanging="360"/>
      </w:pPr>
      <w:rPr>
        <w:rFonts w:ascii="Arial" w:hAnsi="Arial" w:hint="default"/>
        <w:color w:val="auto"/>
        <w:sz w:val="2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FC47B59"/>
    <w:multiLevelType w:val="multilevel"/>
    <w:tmpl w:val="2FA081D0"/>
    <w:lvl w:ilvl="0">
      <w:start w:val="1"/>
      <w:numFmt w:val="decimal"/>
      <w:pStyle w:val="Numberedlist1"/>
      <w:lvlText w:val="%1."/>
      <w:lvlJc w:val="left"/>
      <w:pPr>
        <w:ind w:left="284" w:hanging="284"/>
      </w:pPr>
      <w:rPr>
        <w:rFonts w:ascii="Arial" w:hAnsi="Arial" w:hint="default"/>
        <w:b w:val="0"/>
        <w:i w:val="0"/>
        <w:color w:val="000000" w:themeColor="text1"/>
        <w:sz w:val="22"/>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38D3875"/>
    <w:multiLevelType w:val="hybridMultilevel"/>
    <w:tmpl w:val="8AFC80BA"/>
    <w:lvl w:ilvl="0" w:tplc="9334BD6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4163BC8"/>
    <w:multiLevelType w:val="hybridMultilevel"/>
    <w:tmpl w:val="3FDE95D6"/>
    <w:lvl w:ilvl="0" w:tplc="21C4BCCE">
      <w:start w:val="1"/>
      <w:numFmt w:val="bullet"/>
      <w:lvlText w:val="―"/>
      <w:lvlJc w:val="left"/>
      <w:pPr>
        <w:ind w:left="720" w:hanging="360"/>
      </w:pPr>
      <w:rPr>
        <w:rFonts w:ascii="Calibri" w:hAnsi="Calibri"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224748"/>
    <w:multiLevelType w:val="hybridMultilevel"/>
    <w:tmpl w:val="7B62CE44"/>
    <w:lvl w:ilvl="0" w:tplc="942A7664">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61236B7"/>
    <w:multiLevelType w:val="hybridMultilevel"/>
    <w:tmpl w:val="0C902D14"/>
    <w:lvl w:ilvl="0" w:tplc="1E9CCE62">
      <w:start w:val="1"/>
      <w:numFmt w:val="bullet"/>
      <w:pStyle w:val="Tablebullet1"/>
      <w:lvlText w:val="·"/>
      <w:lvlJc w:val="left"/>
      <w:pPr>
        <w:ind w:left="720" w:hanging="360"/>
      </w:pPr>
      <w:rPr>
        <w:rFonts w:ascii="Symbol" w:hAnsi="Symbol" w:hint="default"/>
        <w:color w:val="00477C"/>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998741E"/>
    <w:multiLevelType w:val="hybridMultilevel"/>
    <w:tmpl w:val="90E87FD2"/>
    <w:lvl w:ilvl="0" w:tplc="51A805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E83758"/>
    <w:multiLevelType w:val="multilevel"/>
    <w:tmpl w:val="FA3EB6E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7" w15:restartNumberingAfterBreak="0">
    <w:nsid w:val="5BD82ACF"/>
    <w:multiLevelType w:val="hybridMultilevel"/>
    <w:tmpl w:val="10304BB4"/>
    <w:lvl w:ilvl="0" w:tplc="AB08DB02">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50E6E90C">
      <w:start w:val="1"/>
      <w:numFmt w:val="lowerRoman"/>
      <w:pStyle w:val="Numberedlistii"/>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8" w15:restartNumberingAfterBreak="0">
    <w:nsid w:val="5EA365BA"/>
    <w:multiLevelType w:val="hybridMultilevel"/>
    <w:tmpl w:val="D0B6508C"/>
    <w:lvl w:ilvl="0" w:tplc="5F243B3E">
      <w:start w:val="1"/>
      <w:numFmt w:val="bullet"/>
      <w:pStyle w:val="Bullet3rdlevel"/>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C871E9"/>
    <w:multiLevelType w:val="multilevel"/>
    <w:tmpl w:val="9FC000B2"/>
    <w:lvl w:ilvl="0">
      <w:start w:val="1"/>
      <w:numFmt w:val="lowerRoman"/>
      <w:lvlText w:val="%1."/>
      <w:lvlJc w:val="right"/>
      <w:pPr>
        <w:ind w:left="1080" w:hanging="360"/>
      </w:pPr>
      <w:rPr>
        <w:rFonts w:ascii="Arial" w:hAnsi="Arial" w:hint="default"/>
        <w:sz w:val="2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0" w15:restartNumberingAfterBreak="0">
    <w:nsid w:val="6DA1064E"/>
    <w:multiLevelType w:val="hybridMultilevel"/>
    <w:tmpl w:val="0AD4A120"/>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14C44F5"/>
    <w:multiLevelType w:val="hybridMultilevel"/>
    <w:tmpl w:val="BBF2ECF6"/>
    <w:lvl w:ilvl="0" w:tplc="3EAE0144">
      <w:start w:val="1"/>
      <w:numFmt w:val="bullet"/>
      <w:pStyle w:val="Tablebullet2"/>
      <w:lvlText w:val="―"/>
      <w:lvlJc w:val="left"/>
      <w:pPr>
        <w:ind w:left="1004" w:hanging="360"/>
      </w:pPr>
      <w:rPr>
        <w:rFonts w:ascii="Calibri" w:hAnsi="Calibri" w:hint="default"/>
        <w:color w:val="auto"/>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2" w15:restartNumberingAfterBreak="0">
    <w:nsid w:val="774D0E9B"/>
    <w:multiLevelType w:val="hybridMultilevel"/>
    <w:tmpl w:val="5E0438DC"/>
    <w:lvl w:ilvl="0" w:tplc="9A4838D2">
      <w:start w:val="1"/>
      <w:numFmt w:val="bullet"/>
      <w:lvlText w:val="·"/>
      <w:lvlJc w:val="left"/>
      <w:pPr>
        <w:ind w:left="720" w:hanging="360"/>
      </w:pPr>
      <w:rPr>
        <w:rFonts w:ascii="Symbol" w:hAnsi="Symbol" w:hint="default"/>
        <w:color w:val="00477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31555603">
    <w:abstractNumId w:val="32"/>
  </w:num>
  <w:num w:numId="2" w16cid:durableId="149910038">
    <w:abstractNumId w:val="11"/>
  </w:num>
  <w:num w:numId="3" w16cid:durableId="2142729045">
    <w:abstractNumId w:val="30"/>
  </w:num>
  <w:num w:numId="4" w16cid:durableId="2146464139">
    <w:abstractNumId w:val="22"/>
  </w:num>
  <w:num w:numId="5" w16cid:durableId="1306399879">
    <w:abstractNumId w:val="24"/>
  </w:num>
  <w:num w:numId="6" w16cid:durableId="829176984">
    <w:abstractNumId w:val="24"/>
  </w:num>
  <w:num w:numId="7" w16cid:durableId="353384724">
    <w:abstractNumId w:val="31"/>
  </w:num>
  <w:num w:numId="8" w16cid:durableId="1699162566">
    <w:abstractNumId w:val="26"/>
  </w:num>
  <w:num w:numId="9" w16cid:durableId="707224731">
    <w:abstractNumId w:val="21"/>
  </w:num>
  <w:num w:numId="10" w16cid:durableId="1368990630">
    <w:abstractNumId w:val="20"/>
  </w:num>
  <w:num w:numId="11" w16cid:durableId="148833218">
    <w:abstractNumId w:val="23"/>
  </w:num>
  <w:num w:numId="12" w16cid:durableId="1141078808">
    <w:abstractNumId w:val="25"/>
  </w:num>
  <w:num w:numId="13" w16cid:durableId="1574702078">
    <w:abstractNumId w:val="15"/>
  </w:num>
  <w:num w:numId="14" w16cid:durableId="505680124">
    <w:abstractNumId w:val="12"/>
  </w:num>
  <w:num w:numId="15" w16cid:durableId="1983801536">
    <w:abstractNumId w:val="27"/>
  </w:num>
  <w:num w:numId="16" w16cid:durableId="1066027682">
    <w:abstractNumId w:val="27"/>
    <w:lvlOverride w:ilvl="0">
      <w:startOverride w:val="1"/>
    </w:lvlOverride>
  </w:num>
  <w:num w:numId="17" w16cid:durableId="2002931022">
    <w:abstractNumId w:val="29"/>
  </w:num>
  <w:num w:numId="18" w16cid:durableId="16169080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72785466">
    <w:abstractNumId w:val="9"/>
  </w:num>
  <w:num w:numId="20" w16cid:durableId="442652481">
    <w:abstractNumId w:val="8"/>
  </w:num>
  <w:num w:numId="21" w16cid:durableId="106895382">
    <w:abstractNumId w:val="7"/>
  </w:num>
  <w:num w:numId="22" w16cid:durableId="915045431">
    <w:abstractNumId w:val="6"/>
  </w:num>
  <w:num w:numId="23" w16cid:durableId="850994638">
    <w:abstractNumId w:val="5"/>
  </w:num>
  <w:num w:numId="24" w16cid:durableId="1403674578">
    <w:abstractNumId w:val="4"/>
  </w:num>
  <w:num w:numId="25" w16cid:durableId="778572730">
    <w:abstractNumId w:val="3"/>
  </w:num>
  <w:num w:numId="26" w16cid:durableId="940604204">
    <w:abstractNumId w:val="2"/>
  </w:num>
  <w:num w:numId="27" w16cid:durableId="635837723">
    <w:abstractNumId w:val="1"/>
  </w:num>
  <w:num w:numId="28" w16cid:durableId="79451520">
    <w:abstractNumId w:val="0"/>
  </w:num>
  <w:num w:numId="29" w16cid:durableId="546645872">
    <w:abstractNumId w:val="13"/>
  </w:num>
  <w:num w:numId="30" w16cid:durableId="1404991699">
    <w:abstractNumId w:val="28"/>
  </w:num>
  <w:num w:numId="31" w16cid:durableId="1721322673">
    <w:abstractNumId w:val="19"/>
  </w:num>
  <w:num w:numId="32" w16cid:durableId="866715588">
    <w:abstractNumId w:val="19"/>
  </w:num>
  <w:num w:numId="33" w16cid:durableId="1964144525">
    <w:abstractNumId w:val="14"/>
  </w:num>
  <w:num w:numId="34" w16cid:durableId="1659111045">
    <w:abstractNumId w:val="18"/>
  </w:num>
  <w:num w:numId="35" w16cid:durableId="473109172">
    <w:abstractNumId w:val="17"/>
  </w:num>
  <w:num w:numId="36" w16cid:durableId="1555968373">
    <w:abstractNumId w:val="16"/>
  </w:num>
  <w:num w:numId="37" w16cid:durableId="118524930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3AA6"/>
    <w:rsid w:val="00003C59"/>
    <w:rsid w:val="0000539B"/>
    <w:rsid w:val="00007234"/>
    <w:rsid w:val="00011933"/>
    <w:rsid w:val="0001254B"/>
    <w:rsid w:val="00013408"/>
    <w:rsid w:val="00014DE0"/>
    <w:rsid w:val="00015702"/>
    <w:rsid w:val="0001634E"/>
    <w:rsid w:val="00016B6D"/>
    <w:rsid w:val="0002075E"/>
    <w:rsid w:val="00021179"/>
    <w:rsid w:val="00022009"/>
    <w:rsid w:val="00022CE4"/>
    <w:rsid w:val="00022D0E"/>
    <w:rsid w:val="000233B5"/>
    <w:rsid w:val="00024736"/>
    <w:rsid w:val="000248B8"/>
    <w:rsid w:val="00024E7E"/>
    <w:rsid w:val="000253C4"/>
    <w:rsid w:val="00025448"/>
    <w:rsid w:val="0002566B"/>
    <w:rsid w:val="000258DA"/>
    <w:rsid w:val="00025EDE"/>
    <w:rsid w:val="000262DC"/>
    <w:rsid w:val="000301FC"/>
    <w:rsid w:val="00030C4E"/>
    <w:rsid w:val="000315EE"/>
    <w:rsid w:val="000327A2"/>
    <w:rsid w:val="00032C52"/>
    <w:rsid w:val="00032DA2"/>
    <w:rsid w:val="00033E76"/>
    <w:rsid w:val="00033FD9"/>
    <w:rsid w:val="00034C5F"/>
    <w:rsid w:val="00034DC0"/>
    <w:rsid w:val="00036A55"/>
    <w:rsid w:val="00037BF4"/>
    <w:rsid w:val="00037CA4"/>
    <w:rsid w:val="00037E0D"/>
    <w:rsid w:val="00040DE7"/>
    <w:rsid w:val="0004121D"/>
    <w:rsid w:val="0004137A"/>
    <w:rsid w:val="000414CF"/>
    <w:rsid w:val="000418C8"/>
    <w:rsid w:val="00041E80"/>
    <w:rsid w:val="00044E63"/>
    <w:rsid w:val="00045525"/>
    <w:rsid w:val="00045879"/>
    <w:rsid w:val="00046755"/>
    <w:rsid w:val="000471B9"/>
    <w:rsid w:val="000503F7"/>
    <w:rsid w:val="000506DF"/>
    <w:rsid w:val="0005360B"/>
    <w:rsid w:val="0005513C"/>
    <w:rsid w:val="0005610F"/>
    <w:rsid w:val="000564D4"/>
    <w:rsid w:val="00056AB4"/>
    <w:rsid w:val="00061329"/>
    <w:rsid w:val="0006173D"/>
    <w:rsid w:val="00062538"/>
    <w:rsid w:val="00063AC5"/>
    <w:rsid w:val="000648DD"/>
    <w:rsid w:val="00064CB2"/>
    <w:rsid w:val="0006713B"/>
    <w:rsid w:val="000679FF"/>
    <w:rsid w:val="000708B6"/>
    <w:rsid w:val="00070A8B"/>
    <w:rsid w:val="00070B17"/>
    <w:rsid w:val="000710D5"/>
    <w:rsid w:val="00072857"/>
    <w:rsid w:val="0007415B"/>
    <w:rsid w:val="000769D6"/>
    <w:rsid w:val="000772EB"/>
    <w:rsid w:val="0008008E"/>
    <w:rsid w:val="000805ED"/>
    <w:rsid w:val="0008146C"/>
    <w:rsid w:val="000851A5"/>
    <w:rsid w:val="00086B54"/>
    <w:rsid w:val="00090D92"/>
    <w:rsid w:val="00092B48"/>
    <w:rsid w:val="00093578"/>
    <w:rsid w:val="000945E9"/>
    <w:rsid w:val="000960AB"/>
    <w:rsid w:val="00096833"/>
    <w:rsid w:val="00097ABA"/>
    <w:rsid w:val="00097BAF"/>
    <w:rsid w:val="000A10E1"/>
    <w:rsid w:val="000A1EB3"/>
    <w:rsid w:val="000A2262"/>
    <w:rsid w:val="000A2714"/>
    <w:rsid w:val="000A2822"/>
    <w:rsid w:val="000A3A65"/>
    <w:rsid w:val="000A4D52"/>
    <w:rsid w:val="000A4D9D"/>
    <w:rsid w:val="000A7015"/>
    <w:rsid w:val="000A7839"/>
    <w:rsid w:val="000B0022"/>
    <w:rsid w:val="000B1185"/>
    <w:rsid w:val="000B1424"/>
    <w:rsid w:val="000B16B1"/>
    <w:rsid w:val="000B2325"/>
    <w:rsid w:val="000B2C61"/>
    <w:rsid w:val="000B582B"/>
    <w:rsid w:val="000B6A70"/>
    <w:rsid w:val="000B6B70"/>
    <w:rsid w:val="000B746F"/>
    <w:rsid w:val="000C1705"/>
    <w:rsid w:val="000C2288"/>
    <w:rsid w:val="000C4741"/>
    <w:rsid w:val="000C61B6"/>
    <w:rsid w:val="000C75CF"/>
    <w:rsid w:val="000C7FED"/>
    <w:rsid w:val="000D0721"/>
    <w:rsid w:val="000D1FA5"/>
    <w:rsid w:val="000D4B4D"/>
    <w:rsid w:val="000D4EE9"/>
    <w:rsid w:val="000D57B3"/>
    <w:rsid w:val="000D7A69"/>
    <w:rsid w:val="000E0414"/>
    <w:rsid w:val="000E0767"/>
    <w:rsid w:val="000E13C2"/>
    <w:rsid w:val="000E13CF"/>
    <w:rsid w:val="000E1F22"/>
    <w:rsid w:val="000E2C6D"/>
    <w:rsid w:val="000E4161"/>
    <w:rsid w:val="000E445A"/>
    <w:rsid w:val="000E57E3"/>
    <w:rsid w:val="000E5BE5"/>
    <w:rsid w:val="000E61BE"/>
    <w:rsid w:val="000F08D3"/>
    <w:rsid w:val="000F09E6"/>
    <w:rsid w:val="000F0C6E"/>
    <w:rsid w:val="000F11BF"/>
    <w:rsid w:val="000F16D1"/>
    <w:rsid w:val="000F2957"/>
    <w:rsid w:val="000F34C8"/>
    <w:rsid w:val="000F3BF7"/>
    <w:rsid w:val="000F3FDF"/>
    <w:rsid w:val="000F41B3"/>
    <w:rsid w:val="000F44C9"/>
    <w:rsid w:val="000F5806"/>
    <w:rsid w:val="0010001E"/>
    <w:rsid w:val="00100306"/>
    <w:rsid w:val="001003DC"/>
    <w:rsid w:val="00101F65"/>
    <w:rsid w:val="00102F8F"/>
    <w:rsid w:val="001045A4"/>
    <w:rsid w:val="0011099F"/>
    <w:rsid w:val="00111041"/>
    <w:rsid w:val="00113685"/>
    <w:rsid w:val="00114098"/>
    <w:rsid w:val="001149A3"/>
    <w:rsid w:val="00117A62"/>
    <w:rsid w:val="0012078E"/>
    <w:rsid w:val="00121EFD"/>
    <w:rsid w:val="00123071"/>
    <w:rsid w:val="00124404"/>
    <w:rsid w:val="0012450E"/>
    <w:rsid w:val="0012466B"/>
    <w:rsid w:val="00124829"/>
    <w:rsid w:val="001265BE"/>
    <w:rsid w:val="00132BA9"/>
    <w:rsid w:val="00132DED"/>
    <w:rsid w:val="0013521E"/>
    <w:rsid w:val="001353AF"/>
    <w:rsid w:val="00136351"/>
    <w:rsid w:val="00136F67"/>
    <w:rsid w:val="00137ABA"/>
    <w:rsid w:val="00137D61"/>
    <w:rsid w:val="001419F0"/>
    <w:rsid w:val="00141D1C"/>
    <w:rsid w:val="001434A8"/>
    <w:rsid w:val="00143EE2"/>
    <w:rsid w:val="00144D85"/>
    <w:rsid w:val="00144E35"/>
    <w:rsid w:val="001450B8"/>
    <w:rsid w:val="001459B7"/>
    <w:rsid w:val="00146732"/>
    <w:rsid w:val="00146C44"/>
    <w:rsid w:val="00147869"/>
    <w:rsid w:val="00150AF4"/>
    <w:rsid w:val="00152BC1"/>
    <w:rsid w:val="001548C1"/>
    <w:rsid w:val="00154FBC"/>
    <w:rsid w:val="00155D0E"/>
    <w:rsid w:val="0015651D"/>
    <w:rsid w:val="001566F7"/>
    <w:rsid w:val="00160D32"/>
    <w:rsid w:val="001617A8"/>
    <w:rsid w:val="00161A5A"/>
    <w:rsid w:val="00162CC7"/>
    <w:rsid w:val="00163FA9"/>
    <w:rsid w:val="0016479D"/>
    <w:rsid w:val="001647BB"/>
    <w:rsid w:val="001654F1"/>
    <w:rsid w:val="00166DCC"/>
    <w:rsid w:val="00167850"/>
    <w:rsid w:val="001678B7"/>
    <w:rsid w:val="00167BCA"/>
    <w:rsid w:val="00167DB8"/>
    <w:rsid w:val="0017085F"/>
    <w:rsid w:val="00170CFE"/>
    <w:rsid w:val="00171736"/>
    <w:rsid w:val="00171941"/>
    <w:rsid w:val="00172DBA"/>
    <w:rsid w:val="0017311F"/>
    <w:rsid w:val="00173E35"/>
    <w:rsid w:val="001741DC"/>
    <w:rsid w:val="001743C8"/>
    <w:rsid w:val="0017764F"/>
    <w:rsid w:val="00181008"/>
    <w:rsid w:val="001814BA"/>
    <w:rsid w:val="0018355C"/>
    <w:rsid w:val="00183B27"/>
    <w:rsid w:val="00185C35"/>
    <w:rsid w:val="0018606A"/>
    <w:rsid w:val="00186B8D"/>
    <w:rsid w:val="00192FC8"/>
    <w:rsid w:val="00193F88"/>
    <w:rsid w:val="00195E38"/>
    <w:rsid w:val="001962D7"/>
    <w:rsid w:val="00197261"/>
    <w:rsid w:val="001A0FFE"/>
    <w:rsid w:val="001A1D2F"/>
    <w:rsid w:val="001A1DF2"/>
    <w:rsid w:val="001A2598"/>
    <w:rsid w:val="001A480F"/>
    <w:rsid w:val="001A4D97"/>
    <w:rsid w:val="001A5772"/>
    <w:rsid w:val="001A607D"/>
    <w:rsid w:val="001A6107"/>
    <w:rsid w:val="001A70AD"/>
    <w:rsid w:val="001A737D"/>
    <w:rsid w:val="001B07EB"/>
    <w:rsid w:val="001B08E8"/>
    <w:rsid w:val="001B14BF"/>
    <w:rsid w:val="001B1702"/>
    <w:rsid w:val="001B1C66"/>
    <w:rsid w:val="001B1FFA"/>
    <w:rsid w:val="001B36D4"/>
    <w:rsid w:val="001B6CC2"/>
    <w:rsid w:val="001B7339"/>
    <w:rsid w:val="001B758C"/>
    <w:rsid w:val="001B78BA"/>
    <w:rsid w:val="001B7A4E"/>
    <w:rsid w:val="001C06B9"/>
    <w:rsid w:val="001C1D2F"/>
    <w:rsid w:val="001C1D89"/>
    <w:rsid w:val="001C1E19"/>
    <w:rsid w:val="001C2440"/>
    <w:rsid w:val="001C338F"/>
    <w:rsid w:val="001C4263"/>
    <w:rsid w:val="001C6599"/>
    <w:rsid w:val="001C6A4C"/>
    <w:rsid w:val="001D01E3"/>
    <w:rsid w:val="001D0BEE"/>
    <w:rsid w:val="001D162D"/>
    <w:rsid w:val="001D17D3"/>
    <w:rsid w:val="001D557E"/>
    <w:rsid w:val="001D585F"/>
    <w:rsid w:val="001D5AA5"/>
    <w:rsid w:val="001D66FC"/>
    <w:rsid w:val="001D7886"/>
    <w:rsid w:val="001D7D73"/>
    <w:rsid w:val="001E15C4"/>
    <w:rsid w:val="001E19E4"/>
    <w:rsid w:val="001E19EB"/>
    <w:rsid w:val="001E21B6"/>
    <w:rsid w:val="001E498B"/>
    <w:rsid w:val="001E7362"/>
    <w:rsid w:val="001E75ED"/>
    <w:rsid w:val="001E7BB8"/>
    <w:rsid w:val="001F0983"/>
    <w:rsid w:val="001F0AB4"/>
    <w:rsid w:val="001F0F5E"/>
    <w:rsid w:val="001F1EDE"/>
    <w:rsid w:val="001F224B"/>
    <w:rsid w:val="001F3108"/>
    <w:rsid w:val="001F3454"/>
    <w:rsid w:val="001F34A6"/>
    <w:rsid w:val="001F38CC"/>
    <w:rsid w:val="001F3BFB"/>
    <w:rsid w:val="001F487C"/>
    <w:rsid w:val="001F5A71"/>
    <w:rsid w:val="001F7BDA"/>
    <w:rsid w:val="001F7EBE"/>
    <w:rsid w:val="00200225"/>
    <w:rsid w:val="00200893"/>
    <w:rsid w:val="00202745"/>
    <w:rsid w:val="00203021"/>
    <w:rsid w:val="002034B3"/>
    <w:rsid w:val="0020378A"/>
    <w:rsid w:val="002037C0"/>
    <w:rsid w:val="00204043"/>
    <w:rsid w:val="0020447E"/>
    <w:rsid w:val="002044DA"/>
    <w:rsid w:val="00204C0B"/>
    <w:rsid w:val="00205031"/>
    <w:rsid w:val="002060AB"/>
    <w:rsid w:val="002060C5"/>
    <w:rsid w:val="00206410"/>
    <w:rsid w:val="00206B2D"/>
    <w:rsid w:val="0020727B"/>
    <w:rsid w:val="002104EE"/>
    <w:rsid w:val="002114AC"/>
    <w:rsid w:val="00211898"/>
    <w:rsid w:val="002118DA"/>
    <w:rsid w:val="00211BA2"/>
    <w:rsid w:val="002144A1"/>
    <w:rsid w:val="00214937"/>
    <w:rsid w:val="0021517D"/>
    <w:rsid w:val="00216E2A"/>
    <w:rsid w:val="0022093D"/>
    <w:rsid w:val="00220FE4"/>
    <w:rsid w:val="002211F8"/>
    <w:rsid w:val="002226C3"/>
    <w:rsid w:val="00222C69"/>
    <w:rsid w:val="0022315B"/>
    <w:rsid w:val="00223833"/>
    <w:rsid w:val="002238A6"/>
    <w:rsid w:val="00224074"/>
    <w:rsid w:val="00224924"/>
    <w:rsid w:val="00224A07"/>
    <w:rsid w:val="00224F45"/>
    <w:rsid w:val="002258A8"/>
    <w:rsid w:val="002267BC"/>
    <w:rsid w:val="00230AA6"/>
    <w:rsid w:val="00231814"/>
    <w:rsid w:val="00232374"/>
    <w:rsid w:val="00232872"/>
    <w:rsid w:val="0023376E"/>
    <w:rsid w:val="0023399A"/>
    <w:rsid w:val="00236CB7"/>
    <w:rsid w:val="002378E9"/>
    <w:rsid w:val="00240C38"/>
    <w:rsid w:val="00241108"/>
    <w:rsid w:val="00241348"/>
    <w:rsid w:val="00241F36"/>
    <w:rsid w:val="0024305C"/>
    <w:rsid w:val="00243366"/>
    <w:rsid w:val="00244EFB"/>
    <w:rsid w:val="00244F07"/>
    <w:rsid w:val="00245753"/>
    <w:rsid w:val="00247739"/>
    <w:rsid w:val="00247E95"/>
    <w:rsid w:val="002509FC"/>
    <w:rsid w:val="00252707"/>
    <w:rsid w:val="0025427D"/>
    <w:rsid w:val="0025485E"/>
    <w:rsid w:val="0025505A"/>
    <w:rsid w:val="00255555"/>
    <w:rsid w:val="00257013"/>
    <w:rsid w:val="002575AF"/>
    <w:rsid w:val="002577C8"/>
    <w:rsid w:val="00257B60"/>
    <w:rsid w:val="00260676"/>
    <w:rsid w:val="00260AB0"/>
    <w:rsid w:val="00261A94"/>
    <w:rsid w:val="0026396F"/>
    <w:rsid w:val="00263DFD"/>
    <w:rsid w:val="0026424A"/>
    <w:rsid w:val="00266C8F"/>
    <w:rsid w:val="002703BF"/>
    <w:rsid w:val="00270511"/>
    <w:rsid w:val="00270D68"/>
    <w:rsid w:val="00271346"/>
    <w:rsid w:val="002723B1"/>
    <w:rsid w:val="00273D13"/>
    <w:rsid w:val="00274C50"/>
    <w:rsid w:val="00274FBE"/>
    <w:rsid w:val="00275AF9"/>
    <w:rsid w:val="002761C5"/>
    <w:rsid w:val="002769A6"/>
    <w:rsid w:val="00277188"/>
    <w:rsid w:val="0027793D"/>
    <w:rsid w:val="00277BFC"/>
    <w:rsid w:val="002813F5"/>
    <w:rsid w:val="00281E49"/>
    <w:rsid w:val="00282CDB"/>
    <w:rsid w:val="00282E6D"/>
    <w:rsid w:val="00282F13"/>
    <w:rsid w:val="0028383F"/>
    <w:rsid w:val="00284B88"/>
    <w:rsid w:val="00284C4E"/>
    <w:rsid w:val="00284C56"/>
    <w:rsid w:val="0029001B"/>
    <w:rsid w:val="002900A8"/>
    <w:rsid w:val="00290EE6"/>
    <w:rsid w:val="00290F2A"/>
    <w:rsid w:val="002911DC"/>
    <w:rsid w:val="00294253"/>
    <w:rsid w:val="002942C2"/>
    <w:rsid w:val="00296D79"/>
    <w:rsid w:val="002A0119"/>
    <w:rsid w:val="002A0CB7"/>
    <w:rsid w:val="002A18D1"/>
    <w:rsid w:val="002A1A16"/>
    <w:rsid w:val="002A203F"/>
    <w:rsid w:val="002A320E"/>
    <w:rsid w:val="002A35D6"/>
    <w:rsid w:val="002A3A72"/>
    <w:rsid w:val="002A5BC1"/>
    <w:rsid w:val="002A637E"/>
    <w:rsid w:val="002B0309"/>
    <w:rsid w:val="002B0804"/>
    <w:rsid w:val="002B0A18"/>
    <w:rsid w:val="002B209B"/>
    <w:rsid w:val="002B41C8"/>
    <w:rsid w:val="002B6374"/>
    <w:rsid w:val="002B6C4C"/>
    <w:rsid w:val="002B6FDC"/>
    <w:rsid w:val="002B78B3"/>
    <w:rsid w:val="002C0C57"/>
    <w:rsid w:val="002C0ECD"/>
    <w:rsid w:val="002C128A"/>
    <w:rsid w:val="002C3D4E"/>
    <w:rsid w:val="002C4204"/>
    <w:rsid w:val="002C4A25"/>
    <w:rsid w:val="002C4B4D"/>
    <w:rsid w:val="002C4CB2"/>
    <w:rsid w:val="002C59B1"/>
    <w:rsid w:val="002C5A04"/>
    <w:rsid w:val="002C5FE7"/>
    <w:rsid w:val="002D2B86"/>
    <w:rsid w:val="002D2D25"/>
    <w:rsid w:val="002D486B"/>
    <w:rsid w:val="002D5335"/>
    <w:rsid w:val="002D5830"/>
    <w:rsid w:val="002D5D82"/>
    <w:rsid w:val="002D5F25"/>
    <w:rsid w:val="002D656C"/>
    <w:rsid w:val="002D67BC"/>
    <w:rsid w:val="002D7467"/>
    <w:rsid w:val="002D754B"/>
    <w:rsid w:val="002E186D"/>
    <w:rsid w:val="002E18C2"/>
    <w:rsid w:val="002E2FA5"/>
    <w:rsid w:val="002E3CE0"/>
    <w:rsid w:val="002E3E14"/>
    <w:rsid w:val="002E4437"/>
    <w:rsid w:val="002E4D2F"/>
    <w:rsid w:val="002E50DC"/>
    <w:rsid w:val="002E64E1"/>
    <w:rsid w:val="002F0806"/>
    <w:rsid w:val="002F2B4A"/>
    <w:rsid w:val="002F3028"/>
    <w:rsid w:val="002F3246"/>
    <w:rsid w:val="002F3F61"/>
    <w:rsid w:val="002F4303"/>
    <w:rsid w:val="002F45CA"/>
    <w:rsid w:val="002F4CC2"/>
    <w:rsid w:val="002F623A"/>
    <w:rsid w:val="002F64D1"/>
    <w:rsid w:val="002F6506"/>
    <w:rsid w:val="002F6E99"/>
    <w:rsid w:val="002F746D"/>
    <w:rsid w:val="003014DA"/>
    <w:rsid w:val="00301B02"/>
    <w:rsid w:val="00301B85"/>
    <w:rsid w:val="00301E71"/>
    <w:rsid w:val="00301FF0"/>
    <w:rsid w:val="003027D3"/>
    <w:rsid w:val="003028CB"/>
    <w:rsid w:val="00303371"/>
    <w:rsid w:val="00303584"/>
    <w:rsid w:val="003054EC"/>
    <w:rsid w:val="0030644C"/>
    <w:rsid w:val="003065B5"/>
    <w:rsid w:val="00306738"/>
    <w:rsid w:val="00306DFF"/>
    <w:rsid w:val="00307224"/>
    <w:rsid w:val="00307836"/>
    <w:rsid w:val="00310713"/>
    <w:rsid w:val="00310F74"/>
    <w:rsid w:val="00310F9F"/>
    <w:rsid w:val="00314582"/>
    <w:rsid w:val="0031661F"/>
    <w:rsid w:val="003172A7"/>
    <w:rsid w:val="00320EF9"/>
    <w:rsid w:val="00321338"/>
    <w:rsid w:val="00322206"/>
    <w:rsid w:val="00326AA2"/>
    <w:rsid w:val="00326B2F"/>
    <w:rsid w:val="00330B4E"/>
    <w:rsid w:val="00331198"/>
    <w:rsid w:val="00331752"/>
    <w:rsid w:val="00331E39"/>
    <w:rsid w:val="003325AE"/>
    <w:rsid w:val="003326C4"/>
    <w:rsid w:val="00332A8D"/>
    <w:rsid w:val="00333ADB"/>
    <w:rsid w:val="003343AD"/>
    <w:rsid w:val="00334FCC"/>
    <w:rsid w:val="003354CE"/>
    <w:rsid w:val="00335968"/>
    <w:rsid w:val="003360D8"/>
    <w:rsid w:val="00337072"/>
    <w:rsid w:val="0033755C"/>
    <w:rsid w:val="00337B4D"/>
    <w:rsid w:val="00340230"/>
    <w:rsid w:val="00344D92"/>
    <w:rsid w:val="00345C25"/>
    <w:rsid w:val="00345E73"/>
    <w:rsid w:val="00346308"/>
    <w:rsid w:val="003465B7"/>
    <w:rsid w:val="00346E40"/>
    <w:rsid w:val="00350270"/>
    <w:rsid w:val="003504A6"/>
    <w:rsid w:val="003509CA"/>
    <w:rsid w:val="00350B2E"/>
    <w:rsid w:val="0035115F"/>
    <w:rsid w:val="0035140D"/>
    <w:rsid w:val="00351CE3"/>
    <w:rsid w:val="0035317B"/>
    <w:rsid w:val="00353A5C"/>
    <w:rsid w:val="00353BE2"/>
    <w:rsid w:val="0035447E"/>
    <w:rsid w:val="00355F16"/>
    <w:rsid w:val="00356680"/>
    <w:rsid w:val="00356B90"/>
    <w:rsid w:val="00356DA9"/>
    <w:rsid w:val="00356F3B"/>
    <w:rsid w:val="0035780C"/>
    <w:rsid w:val="0036044D"/>
    <w:rsid w:val="003606AF"/>
    <w:rsid w:val="003608AF"/>
    <w:rsid w:val="00360BFD"/>
    <w:rsid w:val="0036100C"/>
    <w:rsid w:val="0036126A"/>
    <w:rsid w:val="00361924"/>
    <w:rsid w:val="00361DC5"/>
    <w:rsid w:val="003636F8"/>
    <w:rsid w:val="003642B4"/>
    <w:rsid w:val="00366233"/>
    <w:rsid w:val="00367237"/>
    <w:rsid w:val="00370529"/>
    <w:rsid w:val="00371154"/>
    <w:rsid w:val="00372077"/>
    <w:rsid w:val="00373C1B"/>
    <w:rsid w:val="00373F81"/>
    <w:rsid w:val="00374695"/>
    <w:rsid w:val="003751AD"/>
    <w:rsid w:val="00376AC9"/>
    <w:rsid w:val="00376DC1"/>
    <w:rsid w:val="00377099"/>
    <w:rsid w:val="00377B49"/>
    <w:rsid w:val="003800E3"/>
    <w:rsid w:val="003805D5"/>
    <w:rsid w:val="00383536"/>
    <w:rsid w:val="00383A4B"/>
    <w:rsid w:val="0038418C"/>
    <w:rsid w:val="003857FA"/>
    <w:rsid w:val="003860FA"/>
    <w:rsid w:val="00386F20"/>
    <w:rsid w:val="00386FD3"/>
    <w:rsid w:val="00387620"/>
    <w:rsid w:val="00390964"/>
    <w:rsid w:val="00390C73"/>
    <w:rsid w:val="00390ED0"/>
    <w:rsid w:val="003920BD"/>
    <w:rsid w:val="003934FA"/>
    <w:rsid w:val="00393982"/>
    <w:rsid w:val="00393DCC"/>
    <w:rsid w:val="00393E5F"/>
    <w:rsid w:val="003958E0"/>
    <w:rsid w:val="003968DE"/>
    <w:rsid w:val="003A0275"/>
    <w:rsid w:val="003A027D"/>
    <w:rsid w:val="003A0D63"/>
    <w:rsid w:val="003A1AA5"/>
    <w:rsid w:val="003A2D0B"/>
    <w:rsid w:val="003A2EF7"/>
    <w:rsid w:val="003A4AE7"/>
    <w:rsid w:val="003A4BA0"/>
    <w:rsid w:val="003A58D9"/>
    <w:rsid w:val="003A5F23"/>
    <w:rsid w:val="003A6FAF"/>
    <w:rsid w:val="003A7380"/>
    <w:rsid w:val="003B01C7"/>
    <w:rsid w:val="003B182B"/>
    <w:rsid w:val="003B2C3F"/>
    <w:rsid w:val="003B2D03"/>
    <w:rsid w:val="003B4AFB"/>
    <w:rsid w:val="003B4BFA"/>
    <w:rsid w:val="003B4C6B"/>
    <w:rsid w:val="003B5013"/>
    <w:rsid w:val="003B57E8"/>
    <w:rsid w:val="003B6C23"/>
    <w:rsid w:val="003C1569"/>
    <w:rsid w:val="003C1AFF"/>
    <w:rsid w:val="003C1B1B"/>
    <w:rsid w:val="003C1B64"/>
    <w:rsid w:val="003C3561"/>
    <w:rsid w:val="003C3AEF"/>
    <w:rsid w:val="003C3CD0"/>
    <w:rsid w:val="003C5215"/>
    <w:rsid w:val="003C5329"/>
    <w:rsid w:val="003C6F9A"/>
    <w:rsid w:val="003C7006"/>
    <w:rsid w:val="003C7283"/>
    <w:rsid w:val="003D196A"/>
    <w:rsid w:val="003D1A84"/>
    <w:rsid w:val="003D23CB"/>
    <w:rsid w:val="003D5034"/>
    <w:rsid w:val="003D65F9"/>
    <w:rsid w:val="003D6F62"/>
    <w:rsid w:val="003D7999"/>
    <w:rsid w:val="003E138F"/>
    <w:rsid w:val="003E180C"/>
    <w:rsid w:val="003E2790"/>
    <w:rsid w:val="003E2E1B"/>
    <w:rsid w:val="003E5ECC"/>
    <w:rsid w:val="003E5ED9"/>
    <w:rsid w:val="003E67D3"/>
    <w:rsid w:val="003E7337"/>
    <w:rsid w:val="003F15EA"/>
    <w:rsid w:val="003F2F12"/>
    <w:rsid w:val="003F5163"/>
    <w:rsid w:val="003F5EDA"/>
    <w:rsid w:val="003F78E9"/>
    <w:rsid w:val="004001D8"/>
    <w:rsid w:val="00401127"/>
    <w:rsid w:val="004021EC"/>
    <w:rsid w:val="00403E8F"/>
    <w:rsid w:val="004060C7"/>
    <w:rsid w:val="00406923"/>
    <w:rsid w:val="00406C55"/>
    <w:rsid w:val="00407645"/>
    <w:rsid w:val="00407817"/>
    <w:rsid w:val="00410372"/>
    <w:rsid w:val="00411001"/>
    <w:rsid w:val="0041106A"/>
    <w:rsid w:val="00411982"/>
    <w:rsid w:val="004127A5"/>
    <w:rsid w:val="004148E6"/>
    <w:rsid w:val="004152B9"/>
    <w:rsid w:val="00415E59"/>
    <w:rsid w:val="00417BFD"/>
    <w:rsid w:val="00421999"/>
    <w:rsid w:val="00423847"/>
    <w:rsid w:val="0042396F"/>
    <w:rsid w:val="00423A08"/>
    <w:rsid w:val="00423ED6"/>
    <w:rsid w:val="00424521"/>
    <w:rsid w:val="004259A9"/>
    <w:rsid w:val="00425CE2"/>
    <w:rsid w:val="00427E91"/>
    <w:rsid w:val="00430001"/>
    <w:rsid w:val="00430481"/>
    <w:rsid w:val="00431225"/>
    <w:rsid w:val="0043299F"/>
    <w:rsid w:val="00432B1F"/>
    <w:rsid w:val="004333C4"/>
    <w:rsid w:val="00434719"/>
    <w:rsid w:val="00434FAC"/>
    <w:rsid w:val="0043507D"/>
    <w:rsid w:val="004350DC"/>
    <w:rsid w:val="00437690"/>
    <w:rsid w:val="0043772C"/>
    <w:rsid w:val="0043787C"/>
    <w:rsid w:val="00437B9B"/>
    <w:rsid w:val="00437CCD"/>
    <w:rsid w:val="0044262F"/>
    <w:rsid w:val="00442991"/>
    <w:rsid w:val="00442CFF"/>
    <w:rsid w:val="004434B8"/>
    <w:rsid w:val="00443883"/>
    <w:rsid w:val="00443D5A"/>
    <w:rsid w:val="00444B30"/>
    <w:rsid w:val="00445F51"/>
    <w:rsid w:val="00447613"/>
    <w:rsid w:val="00447A15"/>
    <w:rsid w:val="0045309F"/>
    <w:rsid w:val="004541E0"/>
    <w:rsid w:val="00454D84"/>
    <w:rsid w:val="004555C4"/>
    <w:rsid w:val="004559B5"/>
    <w:rsid w:val="00457B87"/>
    <w:rsid w:val="00460E96"/>
    <w:rsid w:val="00461643"/>
    <w:rsid w:val="00461A13"/>
    <w:rsid w:val="00461BAC"/>
    <w:rsid w:val="00461CC7"/>
    <w:rsid w:val="0046210E"/>
    <w:rsid w:val="004647C0"/>
    <w:rsid w:val="00464D29"/>
    <w:rsid w:val="0047054B"/>
    <w:rsid w:val="004744F8"/>
    <w:rsid w:val="00474BDA"/>
    <w:rsid w:val="00475EAD"/>
    <w:rsid w:val="00477126"/>
    <w:rsid w:val="00477920"/>
    <w:rsid w:val="00480953"/>
    <w:rsid w:val="004824FE"/>
    <w:rsid w:val="00482D2D"/>
    <w:rsid w:val="00485B68"/>
    <w:rsid w:val="00485FAF"/>
    <w:rsid w:val="004866B9"/>
    <w:rsid w:val="00486BE1"/>
    <w:rsid w:val="00487F91"/>
    <w:rsid w:val="00487FCC"/>
    <w:rsid w:val="004904B9"/>
    <w:rsid w:val="00490EE2"/>
    <w:rsid w:val="00492364"/>
    <w:rsid w:val="00494405"/>
    <w:rsid w:val="004A4568"/>
    <w:rsid w:val="004A5AB0"/>
    <w:rsid w:val="004B0170"/>
    <w:rsid w:val="004B131D"/>
    <w:rsid w:val="004B25F7"/>
    <w:rsid w:val="004B2691"/>
    <w:rsid w:val="004B3598"/>
    <w:rsid w:val="004B3749"/>
    <w:rsid w:val="004B37E2"/>
    <w:rsid w:val="004B3A76"/>
    <w:rsid w:val="004B43F8"/>
    <w:rsid w:val="004B50AC"/>
    <w:rsid w:val="004B542B"/>
    <w:rsid w:val="004B63B2"/>
    <w:rsid w:val="004B7364"/>
    <w:rsid w:val="004C20C8"/>
    <w:rsid w:val="004C22A3"/>
    <w:rsid w:val="004C2D61"/>
    <w:rsid w:val="004C2F69"/>
    <w:rsid w:val="004C3FC5"/>
    <w:rsid w:val="004C5D09"/>
    <w:rsid w:val="004C7C30"/>
    <w:rsid w:val="004D0F83"/>
    <w:rsid w:val="004D1575"/>
    <w:rsid w:val="004D273E"/>
    <w:rsid w:val="004D33C0"/>
    <w:rsid w:val="004D37DF"/>
    <w:rsid w:val="004D3E42"/>
    <w:rsid w:val="004D4DD9"/>
    <w:rsid w:val="004D5E6D"/>
    <w:rsid w:val="004D6F30"/>
    <w:rsid w:val="004D7835"/>
    <w:rsid w:val="004D7D97"/>
    <w:rsid w:val="004D7E42"/>
    <w:rsid w:val="004E03A9"/>
    <w:rsid w:val="004E0EFB"/>
    <w:rsid w:val="004E29D1"/>
    <w:rsid w:val="004E2BA3"/>
    <w:rsid w:val="004E31B1"/>
    <w:rsid w:val="004E3CAF"/>
    <w:rsid w:val="004E41D2"/>
    <w:rsid w:val="004E66D1"/>
    <w:rsid w:val="004E67F4"/>
    <w:rsid w:val="004F0841"/>
    <w:rsid w:val="004F0E6A"/>
    <w:rsid w:val="004F1D48"/>
    <w:rsid w:val="004F361F"/>
    <w:rsid w:val="004F3FD0"/>
    <w:rsid w:val="004F469B"/>
    <w:rsid w:val="004F61EF"/>
    <w:rsid w:val="004F6324"/>
    <w:rsid w:val="004F69D4"/>
    <w:rsid w:val="004F74DA"/>
    <w:rsid w:val="005006C6"/>
    <w:rsid w:val="0050242D"/>
    <w:rsid w:val="00502E0D"/>
    <w:rsid w:val="00503EA3"/>
    <w:rsid w:val="00505081"/>
    <w:rsid w:val="0051094A"/>
    <w:rsid w:val="00510CCD"/>
    <w:rsid w:val="005112D2"/>
    <w:rsid w:val="0051169F"/>
    <w:rsid w:val="00511A0C"/>
    <w:rsid w:val="00511CA1"/>
    <w:rsid w:val="00512B9F"/>
    <w:rsid w:val="00512E12"/>
    <w:rsid w:val="005141BC"/>
    <w:rsid w:val="005149A0"/>
    <w:rsid w:val="00514BBF"/>
    <w:rsid w:val="005163A6"/>
    <w:rsid w:val="00516913"/>
    <w:rsid w:val="00516B2B"/>
    <w:rsid w:val="00516D62"/>
    <w:rsid w:val="005170B4"/>
    <w:rsid w:val="00521887"/>
    <w:rsid w:val="00523360"/>
    <w:rsid w:val="005265B9"/>
    <w:rsid w:val="00527F63"/>
    <w:rsid w:val="00532786"/>
    <w:rsid w:val="00532B72"/>
    <w:rsid w:val="00532F77"/>
    <w:rsid w:val="00533DD0"/>
    <w:rsid w:val="00534F4C"/>
    <w:rsid w:val="0053536E"/>
    <w:rsid w:val="00537B7A"/>
    <w:rsid w:val="00540E42"/>
    <w:rsid w:val="00543130"/>
    <w:rsid w:val="00544533"/>
    <w:rsid w:val="00544D05"/>
    <w:rsid w:val="0054686A"/>
    <w:rsid w:val="00546C12"/>
    <w:rsid w:val="00546F39"/>
    <w:rsid w:val="00547938"/>
    <w:rsid w:val="00547BDD"/>
    <w:rsid w:val="005509AF"/>
    <w:rsid w:val="00552207"/>
    <w:rsid w:val="00552DCE"/>
    <w:rsid w:val="00553CE2"/>
    <w:rsid w:val="00553DCD"/>
    <w:rsid w:val="0055479D"/>
    <w:rsid w:val="00555041"/>
    <w:rsid w:val="005565E8"/>
    <w:rsid w:val="0055789C"/>
    <w:rsid w:val="0056073A"/>
    <w:rsid w:val="00560C46"/>
    <w:rsid w:val="0056525B"/>
    <w:rsid w:val="0056599C"/>
    <w:rsid w:val="00567917"/>
    <w:rsid w:val="00567CE5"/>
    <w:rsid w:val="00570D9C"/>
    <w:rsid w:val="00573B38"/>
    <w:rsid w:val="00574695"/>
    <w:rsid w:val="00574DC6"/>
    <w:rsid w:val="00575733"/>
    <w:rsid w:val="005757F1"/>
    <w:rsid w:val="00575A6E"/>
    <w:rsid w:val="00575AC6"/>
    <w:rsid w:val="0057619B"/>
    <w:rsid w:val="00576D36"/>
    <w:rsid w:val="00577EDC"/>
    <w:rsid w:val="00577EDF"/>
    <w:rsid w:val="0058093E"/>
    <w:rsid w:val="00581622"/>
    <w:rsid w:val="00582236"/>
    <w:rsid w:val="00583295"/>
    <w:rsid w:val="005870D4"/>
    <w:rsid w:val="005874CA"/>
    <w:rsid w:val="00593E80"/>
    <w:rsid w:val="00594238"/>
    <w:rsid w:val="0059476C"/>
    <w:rsid w:val="005964BA"/>
    <w:rsid w:val="005A1DFA"/>
    <w:rsid w:val="005A1F20"/>
    <w:rsid w:val="005A346C"/>
    <w:rsid w:val="005A369C"/>
    <w:rsid w:val="005A6BE1"/>
    <w:rsid w:val="005B04D5"/>
    <w:rsid w:val="005B073D"/>
    <w:rsid w:val="005B0D7D"/>
    <w:rsid w:val="005B1F0C"/>
    <w:rsid w:val="005B2206"/>
    <w:rsid w:val="005B2E9E"/>
    <w:rsid w:val="005B517C"/>
    <w:rsid w:val="005B6357"/>
    <w:rsid w:val="005C2898"/>
    <w:rsid w:val="005C3B1A"/>
    <w:rsid w:val="005C44CE"/>
    <w:rsid w:val="005C4502"/>
    <w:rsid w:val="005C4697"/>
    <w:rsid w:val="005C4FD9"/>
    <w:rsid w:val="005C53F1"/>
    <w:rsid w:val="005C5C49"/>
    <w:rsid w:val="005C5D94"/>
    <w:rsid w:val="005C63D6"/>
    <w:rsid w:val="005C6490"/>
    <w:rsid w:val="005C7FAB"/>
    <w:rsid w:val="005D04DA"/>
    <w:rsid w:val="005D0531"/>
    <w:rsid w:val="005D05DC"/>
    <w:rsid w:val="005D0AF5"/>
    <w:rsid w:val="005D0B1C"/>
    <w:rsid w:val="005D2530"/>
    <w:rsid w:val="005D34A2"/>
    <w:rsid w:val="005D3A15"/>
    <w:rsid w:val="005D3DC0"/>
    <w:rsid w:val="005D5269"/>
    <w:rsid w:val="005D6D50"/>
    <w:rsid w:val="005D7342"/>
    <w:rsid w:val="005E0228"/>
    <w:rsid w:val="005E0314"/>
    <w:rsid w:val="005E10A0"/>
    <w:rsid w:val="005E23BA"/>
    <w:rsid w:val="005E259E"/>
    <w:rsid w:val="005E3AF6"/>
    <w:rsid w:val="005E3F93"/>
    <w:rsid w:val="005E5AFC"/>
    <w:rsid w:val="005E75F5"/>
    <w:rsid w:val="005E7655"/>
    <w:rsid w:val="005E7E06"/>
    <w:rsid w:val="005F1856"/>
    <w:rsid w:val="005F1E87"/>
    <w:rsid w:val="005F1FD9"/>
    <w:rsid w:val="005F2013"/>
    <w:rsid w:val="005F20BC"/>
    <w:rsid w:val="005F25DF"/>
    <w:rsid w:val="005F29E3"/>
    <w:rsid w:val="005F2F31"/>
    <w:rsid w:val="005F3A5B"/>
    <w:rsid w:val="005F5327"/>
    <w:rsid w:val="005F7259"/>
    <w:rsid w:val="005F7EDE"/>
    <w:rsid w:val="006003A4"/>
    <w:rsid w:val="00600BDC"/>
    <w:rsid w:val="0060107A"/>
    <w:rsid w:val="006011D2"/>
    <w:rsid w:val="006013F8"/>
    <w:rsid w:val="006024E1"/>
    <w:rsid w:val="00602B1C"/>
    <w:rsid w:val="00602F92"/>
    <w:rsid w:val="006037C9"/>
    <w:rsid w:val="0060550E"/>
    <w:rsid w:val="00605DC6"/>
    <w:rsid w:val="00606E2B"/>
    <w:rsid w:val="00606FE7"/>
    <w:rsid w:val="006115D2"/>
    <w:rsid w:val="00612CF1"/>
    <w:rsid w:val="0061427C"/>
    <w:rsid w:val="00614E97"/>
    <w:rsid w:val="00616088"/>
    <w:rsid w:val="00617364"/>
    <w:rsid w:val="00617ECC"/>
    <w:rsid w:val="00621605"/>
    <w:rsid w:val="00621777"/>
    <w:rsid w:val="00622280"/>
    <w:rsid w:val="00622E15"/>
    <w:rsid w:val="00623A24"/>
    <w:rsid w:val="00623FC1"/>
    <w:rsid w:val="006243EC"/>
    <w:rsid w:val="00624E9F"/>
    <w:rsid w:val="0062620E"/>
    <w:rsid w:val="006270CD"/>
    <w:rsid w:val="006309A2"/>
    <w:rsid w:val="00631A6E"/>
    <w:rsid w:val="00631A81"/>
    <w:rsid w:val="00631FE1"/>
    <w:rsid w:val="0063311D"/>
    <w:rsid w:val="006337E7"/>
    <w:rsid w:val="00634C51"/>
    <w:rsid w:val="00634E1E"/>
    <w:rsid w:val="006350D0"/>
    <w:rsid w:val="006351A9"/>
    <w:rsid w:val="006419D9"/>
    <w:rsid w:val="00642FC3"/>
    <w:rsid w:val="0064475C"/>
    <w:rsid w:val="00645103"/>
    <w:rsid w:val="00645126"/>
    <w:rsid w:val="00647DD6"/>
    <w:rsid w:val="00647FA1"/>
    <w:rsid w:val="00650A9A"/>
    <w:rsid w:val="00651DEE"/>
    <w:rsid w:val="00652829"/>
    <w:rsid w:val="00652915"/>
    <w:rsid w:val="00653266"/>
    <w:rsid w:val="00653502"/>
    <w:rsid w:val="006538F3"/>
    <w:rsid w:val="00653D86"/>
    <w:rsid w:val="00653FE4"/>
    <w:rsid w:val="0065556A"/>
    <w:rsid w:val="00655EA0"/>
    <w:rsid w:val="00656216"/>
    <w:rsid w:val="006606CA"/>
    <w:rsid w:val="00660854"/>
    <w:rsid w:val="00661639"/>
    <w:rsid w:val="0066170A"/>
    <w:rsid w:val="006635DC"/>
    <w:rsid w:val="00664D13"/>
    <w:rsid w:val="00665801"/>
    <w:rsid w:val="006659A1"/>
    <w:rsid w:val="00666587"/>
    <w:rsid w:val="00666DAD"/>
    <w:rsid w:val="00666EC8"/>
    <w:rsid w:val="00667D6B"/>
    <w:rsid w:val="006705FE"/>
    <w:rsid w:val="00670BC0"/>
    <w:rsid w:val="00671060"/>
    <w:rsid w:val="00673EBE"/>
    <w:rsid w:val="006746AF"/>
    <w:rsid w:val="006765D1"/>
    <w:rsid w:val="00676EE8"/>
    <w:rsid w:val="00677AF5"/>
    <w:rsid w:val="00680D48"/>
    <w:rsid w:val="00681CC5"/>
    <w:rsid w:val="00682EBD"/>
    <w:rsid w:val="006836A9"/>
    <w:rsid w:val="006846D0"/>
    <w:rsid w:val="00684DC1"/>
    <w:rsid w:val="006858BD"/>
    <w:rsid w:val="00686776"/>
    <w:rsid w:val="00686BF5"/>
    <w:rsid w:val="00687144"/>
    <w:rsid w:val="006907AA"/>
    <w:rsid w:val="00692820"/>
    <w:rsid w:val="00692B72"/>
    <w:rsid w:val="00693043"/>
    <w:rsid w:val="00693EDC"/>
    <w:rsid w:val="006946E4"/>
    <w:rsid w:val="00696B64"/>
    <w:rsid w:val="00697241"/>
    <w:rsid w:val="00697CC5"/>
    <w:rsid w:val="00697FCE"/>
    <w:rsid w:val="006A09B2"/>
    <w:rsid w:val="006A0CD3"/>
    <w:rsid w:val="006A2065"/>
    <w:rsid w:val="006A22BC"/>
    <w:rsid w:val="006A6D24"/>
    <w:rsid w:val="006A6ECB"/>
    <w:rsid w:val="006A76FB"/>
    <w:rsid w:val="006B0096"/>
    <w:rsid w:val="006B28D7"/>
    <w:rsid w:val="006B3A5C"/>
    <w:rsid w:val="006B426F"/>
    <w:rsid w:val="006B66B9"/>
    <w:rsid w:val="006B72EF"/>
    <w:rsid w:val="006B783D"/>
    <w:rsid w:val="006B7E8A"/>
    <w:rsid w:val="006C0104"/>
    <w:rsid w:val="006C0E96"/>
    <w:rsid w:val="006C1967"/>
    <w:rsid w:val="006C3284"/>
    <w:rsid w:val="006C3F3A"/>
    <w:rsid w:val="006C489E"/>
    <w:rsid w:val="006C7737"/>
    <w:rsid w:val="006D36BA"/>
    <w:rsid w:val="006D3C2D"/>
    <w:rsid w:val="006D6E6A"/>
    <w:rsid w:val="006D751A"/>
    <w:rsid w:val="006E0FF7"/>
    <w:rsid w:val="006E1101"/>
    <w:rsid w:val="006E2435"/>
    <w:rsid w:val="006E343B"/>
    <w:rsid w:val="006E461D"/>
    <w:rsid w:val="006E4B1D"/>
    <w:rsid w:val="006E5129"/>
    <w:rsid w:val="006E71A3"/>
    <w:rsid w:val="006E73D2"/>
    <w:rsid w:val="006F0172"/>
    <w:rsid w:val="006F1AE5"/>
    <w:rsid w:val="006F259B"/>
    <w:rsid w:val="006F3008"/>
    <w:rsid w:val="006F46D6"/>
    <w:rsid w:val="006F5177"/>
    <w:rsid w:val="006F7C88"/>
    <w:rsid w:val="006F7E06"/>
    <w:rsid w:val="00700064"/>
    <w:rsid w:val="007007EB"/>
    <w:rsid w:val="007008C0"/>
    <w:rsid w:val="00701B40"/>
    <w:rsid w:val="007022F0"/>
    <w:rsid w:val="0070317C"/>
    <w:rsid w:val="007040B9"/>
    <w:rsid w:val="007057F6"/>
    <w:rsid w:val="00710B4A"/>
    <w:rsid w:val="00711BEB"/>
    <w:rsid w:val="00712895"/>
    <w:rsid w:val="00712DBC"/>
    <w:rsid w:val="00713A55"/>
    <w:rsid w:val="00714978"/>
    <w:rsid w:val="00715428"/>
    <w:rsid w:val="00715D42"/>
    <w:rsid w:val="00716C25"/>
    <w:rsid w:val="00716CBA"/>
    <w:rsid w:val="00722C98"/>
    <w:rsid w:val="00723130"/>
    <w:rsid w:val="0072461B"/>
    <w:rsid w:val="00724EBE"/>
    <w:rsid w:val="007252DE"/>
    <w:rsid w:val="0072716A"/>
    <w:rsid w:val="00727192"/>
    <w:rsid w:val="00727A59"/>
    <w:rsid w:val="007303B7"/>
    <w:rsid w:val="007306E6"/>
    <w:rsid w:val="00730739"/>
    <w:rsid w:val="007312BD"/>
    <w:rsid w:val="0073189F"/>
    <w:rsid w:val="00732FFA"/>
    <w:rsid w:val="0073380D"/>
    <w:rsid w:val="00733BF9"/>
    <w:rsid w:val="00737B1E"/>
    <w:rsid w:val="0074000D"/>
    <w:rsid w:val="00740284"/>
    <w:rsid w:val="0074088C"/>
    <w:rsid w:val="00740911"/>
    <w:rsid w:val="007426A0"/>
    <w:rsid w:val="00742DF0"/>
    <w:rsid w:val="0074404F"/>
    <w:rsid w:val="00745287"/>
    <w:rsid w:val="00745613"/>
    <w:rsid w:val="00745AA2"/>
    <w:rsid w:val="00746597"/>
    <w:rsid w:val="0074719F"/>
    <w:rsid w:val="00747745"/>
    <w:rsid w:val="00747C2E"/>
    <w:rsid w:val="00751977"/>
    <w:rsid w:val="00753D9D"/>
    <w:rsid w:val="00754B8D"/>
    <w:rsid w:val="007559BC"/>
    <w:rsid w:val="00756371"/>
    <w:rsid w:val="00756494"/>
    <w:rsid w:val="0075682C"/>
    <w:rsid w:val="007601C6"/>
    <w:rsid w:val="00760D98"/>
    <w:rsid w:val="00760F70"/>
    <w:rsid w:val="007667A5"/>
    <w:rsid w:val="00767494"/>
    <w:rsid w:val="00770073"/>
    <w:rsid w:val="00770D57"/>
    <w:rsid w:val="00773924"/>
    <w:rsid w:val="00775B17"/>
    <w:rsid w:val="007763F8"/>
    <w:rsid w:val="007764A6"/>
    <w:rsid w:val="007770A5"/>
    <w:rsid w:val="007802B1"/>
    <w:rsid w:val="00783EC6"/>
    <w:rsid w:val="0078539D"/>
    <w:rsid w:val="007859DB"/>
    <w:rsid w:val="00791442"/>
    <w:rsid w:val="00791B7B"/>
    <w:rsid w:val="00791FE9"/>
    <w:rsid w:val="007921DF"/>
    <w:rsid w:val="00794154"/>
    <w:rsid w:val="00795CA6"/>
    <w:rsid w:val="0079615F"/>
    <w:rsid w:val="00796262"/>
    <w:rsid w:val="00796453"/>
    <w:rsid w:val="007A08D3"/>
    <w:rsid w:val="007A1440"/>
    <w:rsid w:val="007A3715"/>
    <w:rsid w:val="007A3963"/>
    <w:rsid w:val="007A4DF4"/>
    <w:rsid w:val="007A60F0"/>
    <w:rsid w:val="007A7715"/>
    <w:rsid w:val="007B1BE8"/>
    <w:rsid w:val="007B3486"/>
    <w:rsid w:val="007B37F0"/>
    <w:rsid w:val="007B3B90"/>
    <w:rsid w:val="007B505E"/>
    <w:rsid w:val="007B5AD3"/>
    <w:rsid w:val="007B6422"/>
    <w:rsid w:val="007C03DD"/>
    <w:rsid w:val="007C159C"/>
    <w:rsid w:val="007C1AA6"/>
    <w:rsid w:val="007C3375"/>
    <w:rsid w:val="007C34FC"/>
    <w:rsid w:val="007C4577"/>
    <w:rsid w:val="007C522F"/>
    <w:rsid w:val="007C579B"/>
    <w:rsid w:val="007C5F88"/>
    <w:rsid w:val="007C691A"/>
    <w:rsid w:val="007C7427"/>
    <w:rsid w:val="007D0112"/>
    <w:rsid w:val="007D0241"/>
    <w:rsid w:val="007D0DE3"/>
    <w:rsid w:val="007D2C40"/>
    <w:rsid w:val="007D2CDC"/>
    <w:rsid w:val="007D335F"/>
    <w:rsid w:val="007D4B97"/>
    <w:rsid w:val="007D7415"/>
    <w:rsid w:val="007E000B"/>
    <w:rsid w:val="007E06AB"/>
    <w:rsid w:val="007E108E"/>
    <w:rsid w:val="007E1AC4"/>
    <w:rsid w:val="007E1D4B"/>
    <w:rsid w:val="007E2C07"/>
    <w:rsid w:val="007E41F9"/>
    <w:rsid w:val="007E5F74"/>
    <w:rsid w:val="007E699A"/>
    <w:rsid w:val="007E6E0B"/>
    <w:rsid w:val="007E7E51"/>
    <w:rsid w:val="007E7FDE"/>
    <w:rsid w:val="007F02A4"/>
    <w:rsid w:val="007F12ED"/>
    <w:rsid w:val="007F1BFD"/>
    <w:rsid w:val="007F306D"/>
    <w:rsid w:val="007F570E"/>
    <w:rsid w:val="00802F0C"/>
    <w:rsid w:val="00803F54"/>
    <w:rsid w:val="00803FBB"/>
    <w:rsid w:val="00807B4D"/>
    <w:rsid w:val="00810EB5"/>
    <w:rsid w:val="00814E04"/>
    <w:rsid w:val="00814E69"/>
    <w:rsid w:val="0081528A"/>
    <w:rsid w:val="008157BB"/>
    <w:rsid w:val="0081622A"/>
    <w:rsid w:val="00816234"/>
    <w:rsid w:val="00816FE4"/>
    <w:rsid w:val="008211F6"/>
    <w:rsid w:val="008246D8"/>
    <w:rsid w:val="00824C98"/>
    <w:rsid w:val="0082678D"/>
    <w:rsid w:val="00826C1E"/>
    <w:rsid w:val="00830124"/>
    <w:rsid w:val="00836382"/>
    <w:rsid w:val="00837DC0"/>
    <w:rsid w:val="00840CAF"/>
    <w:rsid w:val="008423E0"/>
    <w:rsid w:val="008426CD"/>
    <w:rsid w:val="00842BD0"/>
    <w:rsid w:val="00842CF9"/>
    <w:rsid w:val="0084451A"/>
    <w:rsid w:val="0084484D"/>
    <w:rsid w:val="00844A73"/>
    <w:rsid w:val="00846104"/>
    <w:rsid w:val="0084639B"/>
    <w:rsid w:val="00847DA3"/>
    <w:rsid w:val="00850436"/>
    <w:rsid w:val="00852D55"/>
    <w:rsid w:val="00854BA3"/>
    <w:rsid w:val="008550B4"/>
    <w:rsid w:val="0085543C"/>
    <w:rsid w:val="00856AB9"/>
    <w:rsid w:val="0085796F"/>
    <w:rsid w:val="00857CD0"/>
    <w:rsid w:val="0086042F"/>
    <w:rsid w:val="008614AA"/>
    <w:rsid w:val="00861E59"/>
    <w:rsid w:val="00862095"/>
    <w:rsid w:val="00862518"/>
    <w:rsid w:val="00862A7B"/>
    <w:rsid w:val="00864D66"/>
    <w:rsid w:val="00865034"/>
    <w:rsid w:val="00866BCF"/>
    <w:rsid w:val="00866F0F"/>
    <w:rsid w:val="008672A7"/>
    <w:rsid w:val="008675A3"/>
    <w:rsid w:val="00867A19"/>
    <w:rsid w:val="00867AFE"/>
    <w:rsid w:val="00870B26"/>
    <w:rsid w:val="008711B2"/>
    <w:rsid w:val="00871A25"/>
    <w:rsid w:val="008725BB"/>
    <w:rsid w:val="00872DD5"/>
    <w:rsid w:val="00875AB8"/>
    <w:rsid w:val="0087602F"/>
    <w:rsid w:val="008761CC"/>
    <w:rsid w:val="00876A7D"/>
    <w:rsid w:val="00876BC5"/>
    <w:rsid w:val="00880AAC"/>
    <w:rsid w:val="00880BA8"/>
    <w:rsid w:val="008826A2"/>
    <w:rsid w:val="00882847"/>
    <w:rsid w:val="00882B56"/>
    <w:rsid w:val="0088553F"/>
    <w:rsid w:val="008860AF"/>
    <w:rsid w:val="00886465"/>
    <w:rsid w:val="008870DF"/>
    <w:rsid w:val="008874EC"/>
    <w:rsid w:val="00887D68"/>
    <w:rsid w:val="0089178A"/>
    <w:rsid w:val="008920AB"/>
    <w:rsid w:val="0089255E"/>
    <w:rsid w:val="008931B3"/>
    <w:rsid w:val="008945AE"/>
    <w:rsid w:val="00895522"/>
    <w:rsid w:val="008958D2"/>
    <w:rsid w:val="00897A36"/>
    <w:rsid w:val="00897C1D"/>
    <w:rsid w:val="008A0AAC"/>
    <w:rsid w:val="008A1553"/>
    <w:rsid w:val="008A19C2"/>
    <w:rsid w:val="008A336E"/>
    <w:rsid w:val="008A5059"/>
    <w:rsid w:val="008A5F23"/>
    <w:rsid w:val="008A72BC"/>
    <w:rsid w:val="008B0611"/>
    <w:rsid w:val="008B1400"/>
    <w:rsid w:val="008B21F8"/>
    <w:rsid w:val="008B25AF"/>
    <w:rsid w:val="008B2D4F"/>
    <w:rsid w:val="008B32F2"/>
    <w:rsid w:val="008B3B66"/>
    <w:rsid w:val="008B4A55"/>
    <w:rsid w:val="008B6FD9"/>
    <w:rsid w:val="008C05ED"/>
    <w:rsid w:val="008C09C9"/>
    <w:rsid w:val="008C0B0B"/>
    <w:rsid w:val="008C1B26"/>
    <w:rsid w:val="008C1CC6"/>
    <w:rsid w:val="008C2443"/>
    <w:rsid w:val="008C403C"/>
    <w:rsid w:val="008C5755"/>
    <w:rsid w:val="008C7884"/>
    <w:rsid w:val="008D0487"/>
    <w:rsid w:val="008D1025"/>
    <w:rsid w:val="008D1CDB"/>
    <w:rsid w:val="008D2917"/>
    <w:rsid w:val="008D305F"/>
    <w:rsid w:val="008D327C"/>
    <w:rsid w:val="008D3DF6"/>
    <w:rsid w:val="008D6982"/>
    <w:rsid w:val="008D6A7E"/>
    <w:rsid w:val="008D6C41"/>
    <w:rsid w:val="008D6E8B"/>
    <w:rsid w:val="008E16B5"/>
    <w:rsid w:val="008E2F99"/>
    <w:rsid w:val="008E31A9"/>
    <w:rsid w:val="008E3974"/>
    <w:rsid w:val="008F009E"/>
    <w:rsid w:val="008F031E"/>
    <w:rsid w:val="008F1722"/>
    <w:rsid w:val="008F1BB6"/>
    <w:rsid w:val="008F28C3"/>
    <w:rsid w:val="008F2D23"/>
    <w:rsid w:val="008F38F7"/>
    <w:rsid w:val="008F43AE"/>
    <w:rsid w:val="008F568A"/>
    <w:rsid w:val="008F6CC5"/>
    <w:rsid w:val="008F711F"/>
    <w:rsid w:val="008F74A2"/>
    <w:rsid w:val="008F7D5B"/>
    <w:rsid w:val="0090009E"/>
    <w:rsid w:val="009001D7"/>
    <w:rsid w:val="00900A92"/>
    <w:rsid w:val="00901908"/>
    <w:rsid w:val="009028B1"/>
    <w:rsid w:val="00902C67"/>
    <w:rsid w:val="00903CDB"/>
    <w:rsid w:val="00903D30"/>
    <w:rsid w:val="009047EC"/>
    <w:rsid w:val="00904B10"/>
    <w:rsid w:val="00905BA5"/>
    <w:rsid w:val="009065AD"/>
    <w:rsid w:val="00907212"/>
    <w:rsid w:val="00907562"/>
    <w:rsid w:val="0090794D"/>
    <w:rsid w:val="00910D3D"/>
    <w:rsid w:val="00913754"/>
    <w:rsid w:val="009143F5"/>
    <w:rsid w:val="0091664C"/>
    <w:rsid w:val="00916CB2"/>
    <w:rsid w:val="009176F1"/>
    <w:rsid w:val="0092010C"/>
    <w:rsid w:val="00920249"/>
    <w:rsid w:val="00921802"/>
    <w:rsid w:val="00921BA0"/>
    <w:rsid w:val="0092708E"/>
    <w:rsid w:val="00927310"/>
    <w:rsid w:val="00930CA6"/>
    <w:rsid w:val="00931ADE"/>
    <w:rsid w:val="00932599"/>
    <w:rsid w:val="009325CF"/>
    <w:rsid w:val="0093339B"/>
    <w:rsid w:val="00933B93"/>
    <w:rsid w:val="00935F87"/>
    <w:rsid w:val="00937589"/>
    <w:rsid w:val="00941BEF"/>
    <w:rsid w:val="00942CC2"/>
    <w:rsid w:val="00943EBC"/>
    <w:rsid w:val="009452D6"/>
    <w:rsid w:val="00945409"/>
    <w:rsid w:val="00946082"/>
    <w:rsid w:val="0094694E"/>
    <w:rsid w:val="00950138"/>
    <w:rsid w:val="0095037D"/>
    <w:rsid w:val="00950824"/>
    <w:rsid w:val="00950FCF"/>
    <w:rsid w:val="00951A2B"/>
    <w:rsid w:val="00952EBC"/>
    <w:rsid w:val="00953066"/>
    <w:rsid w:val="009548FD"/>
    <w:rsid w:val="00955C28"/>
    <w:rsid w:val="009600FF"/>
    <w:rsid w:val="009609C1"/>
    <w:rsid w:val="0096331D"/>
    <w:rsid w:val="00964973"/>
    <w:rsid w:val="00964E89"/>
    <w:rsid w:val="00965435"/>
    <w:rsid w:val="00965664"/>
    <w:rsid w:val="00967669"/>
    <w:rsid w:val="00967B90"/>
    <w:rsid w:val="00970731"/>
    <w:rsid w:val="00970777"/>
    <w:rsid w:val="0097160C"/>
    <w:rsid w:val="00971778"/>
    <w:rsid w:val="0097195D"/>
    <w:rsid w:val="0097274A"/>
    <w:rsid w:val="009728BD"/>
    <w:rsid w:val="00972964"/>
    <w:rsid w:val="00972F4A"/>
    <w:rsid w:val="009732C5"/>
    <w:rsid w:val="00974002"/>
    <w:rsid w:val="00975C5C"/>
    <w:rsid w:val="009764F8"/>
    <w:rsid w:val="009767CB"/>
    <w:rsid w:val="0097712F"/>
    <w:rsid w:val="00977AD9"/>
    <w:rsid w:val="009816E0"/>
    <w:rsid w:val="009819D1"/>
    <w:rsid w:val="0098374D"/>
    <w:rsid w:val="00984637"/>
    <w:rsid w:val="00984861"/>
    <w:rsid w:val="009855DC"/>
    <w:rsid w:val="00985AB5"/>
    <w:rsid w:val="009869F1"/>
    <w:rsid w:val="00986F1C"/>
    <w:rsid w:val="00987A14"/>
    <w:rsid w:val="009901C4"/>
    <w:rsid w:val="00991231"/>
    <w:rsid w:val="00991532"/>
    <w:rsid w:val="0099333D"/>
    <w:rsid w:val="00993E6E"/>
    <w:rsid w:val="00994054"/>
    <w:rsid w:val="00995AD2"/>
    <w:rsid w:val="00995D05"/>
    <w:rsid w:val="00996066"/>
    <w:rsid w:val="00997572"/>
    <w:rsid w:val="00997889"/>
    <w:rsid w:val="009A271F"/>
    <w:rsid w:val="009A3079"/>
    <w:rsid w:val="009A4A4E"/>
    <w:rsid w:val="009A5F65"/>
    <w:rsid w:val="009A5FB1"/>
    <w:rsid w:val="009A645B"/>
    <w:rsid w:val="009A68A5"/>
    <w:rsid w:val="009A73E0"/>
    <w:rsid w:val="009A76C1"/>
    <w:rsid w:val="009A7A74"/>
    <w:rsid w:val="009B2CD3"/>
    <w:rsid w:val="009B44E0"/>
    <w:rsid w:val="009B4748"/>
    <w:rsid w:val="009B52C9"/>
    <w:rsid w:val="009B5F13"/>
    <w:rsid w:val="009B6A15"/>
    <w:rsid w:val="009B6AB5"/>
    <w:rsid w:val="009B73F1"/>
    <w:rsid w:val="009B7D19"/>
    <w:rsid w:val="009C05C7"/>
    <w:rsid w:val="009C17EB"/>
    <w:rsid w:val="009C28A6"/>
    <w:rsid w:val="009C3D98"/>
    <w:rsid w:val="009C45A4"/>
    <w:rsid w:val="009C4A20"/>
    <w:rsid w:val="009C78C1"/>
    <w:rsid w:val="009D04A9"/>
    <w:rsid w:val="009D2046"/>
    <w:rsid w:val="009D24F5"/>
    <w:rsid w:val="009D2763"/>
    <w:rsid w:val="009D2E84"/>
    <w:rsid w:val="009D4987"/>
    <w:rsid w:val="009D54A8"/>
    <w:rsid w:val="009E04E3"/>
    <w:rsid w:val="009E073F"/>
    <w:rsid w:val="009E21F5"/>
    <w:rsid w:val="009E4671"/>
    <w:rsid w:val="009E5217"/>
    <w:rsid w:val="009E5A60"/>
    <w:rsid w:val="009E5E43"/>
    <w:rsid w:val="009E76D4"/>
    <w:rsid w:val="009F02CF"/>
    <w:rsid w:val="009F0B82"/>
    <w:rsid w:val="009F1B9B"/>
    <w:rsid w:val="009F2019"/>
    <w:rsid w:val="009F21F1"/>
    <w:rsid w:val="009F346B"/>
    <w:rsid w:val="009F3904"/>
    <w:rsid w:val="009F3CDC"/>
    <w:rsid w:val="009F65F4"/>
    <w:rsid w:val="009F7790"/>
    <w:rsid w:val="00A00DDC"/>
    <w:rsid w:val="00A01744"/>
    <w:rsid w:val="00A01987"/>
    <w:rsid w:val="00A01EF6"/>
    <w:rsid w:val="00A04AF6"/>
    <w:rsid w:val="00A053B9"/>
    <w:rsid w:val="00A05490"/>
    <w:rsid w:val="00A05C44"/>
    <w:rsid w:val="00A06843"/>
    <w:rsid w:val="00A06A45"/>
    <w:rsid w:val="00A074A2"/>
    <w:rsid w:val="00A10106"/>
    <w:rsid w:val="00A10F6C"/>
    <w:rsid w:val="00A1284D"/>
    <w:rsid w:val="00A12EB6"/>
    <w:rsid w:val="00A131B5"/>
    <w:rsid w:val="00A13F28"/>
    <w:rsid w:val="00A14337"/>
    <w:rsid w:val="00A14F7A"/>
    <w:rsid w:val="00A16600"/>
    <w:rsid w:val="00A16AB4"/>
    <w:rsid w:val="00A16E54"/>
    <w:rsid w:val="00A201C0"/>
    <w:rsid w:val="00A20A07"/>
    <w:rsid w:val="00A22F7A"/>
    <w:rsid w:val="00A235FB"/>
    <w:rsid w:val="00A23CA3"/>
    <w:rsid w:val="00A24E65"/>
    <w:rsid w:val="00A25B58"/>
    <w:rsid w:val="00A30114"/>
    <w:rsid w:val="00A306AD"/>
    <w:rsid w:val="00A30FEE"/>
    <w:rsid w:val="00A327C7"/>
    <w:rsid w:val="00A32AEC"/>
    <w:rsid w:val="00A343E4"/>
    <w:rsid w:val="00A35DB0"/>
    <w:rsid w:val="00A36A1C"/>
    <w:rsid w:val="00A36D49"/>
    <w:rsid w:val="00A37DB5"/>
    <w:rsid w:val="00A413C2"/>
    <w:rsid w:val="00A415AE"/>
    <w:rsid w:val="00A42EF1"/>
    <w:rsid w:val="00A43262"/>
    <w:rsid w:val="00A45199"/>
    <w:rsid w:val="00A45870"/>
    <w:rsid w:val="00A464C9"/>
    <w:rsid w:val="00A46711"/>
    <w:rsid w:val="00A47AFC"/>
    <w:rsid w:val="00A514E9"/>
    <w:rsid w:val="00A5153A"/>
    <w:rsid w:val="00A522BA"/>
    <w:rsid w:val="00A5299A"/>
    <w:rsid w:val="00A530B0"/>
    <w:rsid w:val="00A541CB"/>
    <w:rsid w:val="00A55FEB"/>
    <w:rsid w:val="00A56A11"/>
    <w:rsid w:val="00A579F3"/>
    <w:rsid w:val="00A61E42"/>
    <w:rsid w:val="00A6302F"/>
    <w:rsid w:val="00A636CF"/>
    <w:rsid w:val="00A64CF8"/>
    <w:rsid w:val="00A65893"/>
    <w:rsid w:val="00A6790D"/>
    <w:rsid w:val="00A7036E"/>
    <w:rsid w:val="00A70D4E"/>
    <w:rsid w:val="00A73A73"/>
    <w:rsid w:val="00A73D0B"/>
    <w:rsid w:val="00A7498C"/>
    <w:rsid w:val="00A74F97"/>
    <w:rsid w:val="00A75143"/>
    <w:rsid w:val="00A75754"/>
    <w:rsid w:val="00A760FE"/>
    <w:rsid w:val="00A76565"/>
    <w:rsid w:val="00A765EE"/>
    <w:rsid w:val="00A76E73"/>
    <w:rsid w:val="00A77336"/>
    <w:rsid w:val="00A80FDC"/>
    <w:rsid w:val="00A81287"/>
    <w:rsid w:val="00A81C0D"/>
    <w:rsid w:val="00A8542A"/>
    <w:rsid w:val="00A858E6"/>
    <w:rsid w:val="00A86237"/>
    <w:rsid w:val="00A8650D"/>
    <w:rsid w:val="00A87303"/>
    <w:rsid w:val="00A876F3"/>
    <w:rsid w:val="00A90703"/>
    <w:rsid w:val="00A90784"/>
    <w:rsid w:val="00A909D1"/>
    <w:rsid w:val="00A926B5"/>
    <w:rsid w:val="00A92BC6"/>
    <w:rsid w:val="00A92D93"/>
    <w:rsid w:val="00A937CC"/>
    <w:rsid w:val="00A97E3E"/>
    <w:rsid w:val="00AA0941"/>
    <w:rsid w:val="00AA0BA2"/>
    <w:rsid w:val="00AA23AF"/>
    <w:rsid w:val="00AA255F"/>
    <w:rsid w:val="00AA2ABF"/>
    <w:rsid w:val="00AA4A26"/>
    <w:rsid w:val="00AA4B2A"/>
    <w:rsid w:val="00AA5ED9"/>
    <w:rsid w:val="00AA7528"/>
    <w:rsid w:val="00AB0C69"/>
    <w:rsid w:val="00AB1B11"/>
    <w:rsid w:val="00AB1C0A"/>
    <w:rsid w:val="00AB293C"/>
    <w:rsid w:val="00AB3422"/>
    <w:rsid w:val="00AB5116"/>
    <w:rsid w:val="00AB5D55"/>
    <w:rsid w:val="00AC0C93"/>
    <w:rsid w:val="00AC3501"/>
    <w:rsid w:val="00AC3D96"/>
    <w:rsid w:val="00AC40E5"/>
    <w:rsid w:val="00AC4C1A"/>
    <w:rsid w:val="00AC4F7E"/>
    <w:rsid w:val="00AC51CC"/>
    <w:rsid w:val="00AC5F95"/>
    <w:rsid w:val="00AC63A1"/>
    <w:rsid w:val="00AC6D2C"/>
    <w:rsid w:val="00AC769F"/>
    <w:rsid w:val="00AD0852"/>
    <w:rsid w:val="00AD0C6C"/>
    <w:rsid w:val="00AD6E7B"/>
    <w:rsid w:val="00AD7A2C"/>
    <w:rsid w:val="00AE033E"/>
    <w:rsid w:val="00AE1919"/>
    <w:rsid w:val="00AE22B5"/>
    <w:rsid w:val="00AE26CC"/>
    <w:rsid w:val="00AE26E9"/>
    <w:rsid w:val="00AE32A2"/>
    <w:rsid w:val="00AE4545"/>
    <w:rsid w:val="00AE4FCF"/>
    <w:rsid w:val="00AE591D"/>
    <w:rsid w:val="00AE67AB"/>
    <w:rsid w:val="00AE6B4D"/>
    <w:rsid w:val="00AE7CBC"/>
    <w:rsid w:val="00AF08D3"/>
    <w:rsid w:val="00AF0C18"/>
    <w:rsid w:val="00AF1028"/>
    <w:rsid w:val="00AF1FAF"/>
    <w:rsid w:val="00AF2100"/>
    <w:rsid w:val="00AF26A3"/>
    <w:rsid w:val="00AF34AF"/>
    <w:rsid w:val="00AF3508"/>
    <w:rsid w:val="00AF3C0F"/>
    <w:rsid w:val="00AF4613"/>
    <w:rsid w:val="00AF5280"/>
    <w:rsid w:val="00AF5B89"/>
    <w:rsid w:val="00B00398"/>
    <w:rsid w:val="00B00BC3"/>
    <w:rsid w:val="00B021B5"/>
    <w:rsid w:val="00B02652"/>
    <w:rsid w:val="00B03E09"/>
    <w:rsid w:val="00B04731"/>
    <w:rsid w:val="00B07EC1"/>
    <w:rsid w:val="00B1086C"/>
    <w:rsid w:val="00B1372A"/>
    <w:rsid w:val="00B141F0"/>
    <w:rsid w:val="00B144FB"/>
    <w:rsid w:val="00B14BCA"/>
    <w:rsid w:val="00B179C3"/>
    <w:rsid w:val="00B207F4"/>
    <w:rsid w:val="00B220C3"/>
    <w:rsid w:val="00B224B2"/>
    <w:rsid w:val="00B228CF"/>
    <w:rsid w:val="00B229BE"/>
    <w:rsid w:val="00B24E6E"/>
    <w:rsid w:val="00B3426F"/>
    <w:rsid w:val="00B35234"/>
    <w:rsid w:val="00B40555"/>
    <w:rsid w:val="00B444D4"/>
    <w:rsid w:val="00B45F54"/>
    <w:rsid w:val="00B4636D"/>
    <w:rsid w:val="00B46E53"/>
    <w:rsid w:val="00B47433"/>
    <w:rsid w:val="00B475C9"/>
    <w:rsid w:val="00B50FD0"/>
    <w:rsid w:val="00B516E9"/>
    <w:rsid w:val="00B52FBD"/>
    <w:rsid w:val="00B53249"/>
    <w:rsid w:val="00B538AA"/>
    <w:rsid w:val="00B54854"/>
    <w:rsid w:val="00B5599D"/>
    <w:rsid w:val="00B55D69"/>
    <w:rsid w:val="00B56CE7"/>
    <w:rsid w:val="00B57042"/>
    <w:rsid w:val="00B5757E"/>
    <w:rsid w:val="00B601D7"/>
    <w:rsid w:val="00B60EE4"/>
    <w:rsid w:val="00B61B8C"/>
    <w:rsid w:val="00B623AC"/>
    <w:rsid w:val="00B624A0"/>
    <w:rsid w:val="00B64412"/>
    <w:rsid w:val="00B6794A"/>
    <w:rsid w:val="00B679F7"/>
    <w:rsid w:val="00B700F7"/>
    <w:rsid w:val="00B70433"/>
    <w:rsid w:val="00B75910"/>
    <w:rsid w:val="00B76F45"/>
    <w:rsid w:val="00B76FB8"/>
    <w:rsid w:val="00B805B3"/>
    <w:rsid w:val="00B805DB"/>
    <w:rsid w:val="00B80BBF"/>
    <w:rsid w:val="00B80CB2"/>
    <w:rsid w:val="00B811FA"/>
    <w:rsid w:val="00B81B55"/>
    <w:rsid w:val="00B83D7D"/>
    <w:rsid w:val="00B84AE0"/>
    <w:rsid w:val="00B86587"/>
    <w:rsid w:val="00B86AB7"/>
    <w:rsid w:val="00B87C94"/>
    <w:rsid w:val="00B90879"/>
    <w:rsid w:val="00B917E8"/>
    <w:rsid w:val="00B92597"/>
    <w:rsid w:val="00B92F91"/>
    <w:rsid w:val="00B93119"/>
    <w:rsid w:val="00B9393E"/>
    <w:rsid w:val="00B93EA5"/>
    <w:rsid w:val="00B94316"/>
    <w:rsid w:val="00B95E97"/>
    <w:rsid w:val="00B96899"/>
    <w:rsid w:val="00B96EDA"/>
    <w:rsid w:val="00BA071E"/>
    <w:rsid w:val="00BA122C"/>
    <w:rsid w:val="00BA354E"/>
    <w:rsid w:val="00BA3B4E"/>
    <w:rsid w:val="00BA3C87"/>
    <w:rsid w:val="00BA5C2C"/>
    <w:rsid w:val="00BA78B9"/>
    <w:rsid w:val="00BA7D82"/>
    <w:rsid w:val="00BB043D"/>
    <w:rsid w:val="00BB050E"/>
    <w:rsid w:val="00BB06C7"/>
    <w:rsid w:val="00BB18FE"/>
    <w:rsid w:val="00BB1B92"/>
    <w:rsid w:val="00BB4541"/>
    <w:rsid w:val="00BB5CFB"/>
    <w:rsid w:val="00BB5EBE"/>
    <w:rsid w:val="00BB61C7"/>
    <w:rsid w:val="00BB6412"/>
    <w:rsid w:val="00BB670F"/>
    <w:rsid w:val="00BC1BB0"/>
    <w:rsid w:val="00BC26C0"/>
    <w:rsid w:val="00BC46BB"/>
    <w:rsid w:val="00BC49E9"/>
    <w:rsid w:val="00BC4C9A"/>
    <w:rsid w:val="00BC5048"/>
    <w:rsid w:val="00BC63E9"/>
    <w:rsid w:val="00BC73F9"/>
    <w:rsid w:val="00BD0459"/>
    <w:rsid w:val="00BD0B57"/>
    <w:rsid w:val="00BD2A89"/>
    <w:rsid w:val="00BD3937"/>
    <w:rsid w:val="00BD3D8D"/>
    <w:rsid w:val="00BD4580"/>
    <w:rsid w:val="00BD4DDF"/>
    <w:rsid w:val="00BD55BA"/>
    <w:rsid w:val="00BD5ACB"/>
    <w:rsid w:val="00BD5B97"/>
    <w:rsid w:val="00BD7154"/>
    <w:rsid w:val="00BE1CFD"/>
    <w:rsid w:val="00BE49D1"/>
    <w:rsid w:val="00BE61D9"/>
    <w:rsid w:val="00BE6FC8"/>
    <w:rsid w:val="00BE7B63"/>
    <w:rsid w:val="00BF0E55"/>
    <w:rsid w:val="00BF2EFB"/>
    <w:rsid w:val="00BF4389"/>
    <w:rsid w:val="00BF5101"/>
    <w:rsid w:val="00BF5CBD"/>
    <w:rsid w:val="00BF7843"/>
    <w:rsid w:val="00C00B63"/>
    <w:rsid w:val="00C01712"/>
    <w:rsid w:val="00C028AB"/>
    <w:rsid w:val="00C02A57"/>
    <w:rsid w:val="00C035FC"/>
    <w:rsid w:val="00C03AFB"/>
    <w:rsid w:val="00C0652B"/>
    <w:rsid w:val="00C07D48"/>
    <w:rsid w:val="00C10E83"/>
    <w:rsid w:val="00C11DC0"/>
    <w:rsid w:val="00C14601"/>
    <w:rsid w:val="00C15673"/>
    <w:rsid w:val="00C15A10"/>
    <w:rsid w:val="00C16716"/>
    <w:rsid w:val="00C1756E"/>
    <w:rsid w:val="00C205B1"/>
    <w:rsid w:val="00C20902"/>
    <w:rsid w:val="00C211FD"/>
    <w:rsid w:val="00C21FCF"/>
    <w:rsid w:val="00C22AD6"/>
    <w:rsid w:val="00C2341B"/>
    <w:rsid w:val="00C23980"/>
    <w:rsid w:val="00C25A5B"/>
    <w:rsid w:val="00C3036C"/>
    <w:rsid w:val="00C30C48"/>
    <w:rsid w:val="00C32358"/>
    <w:rsid w:val="00C32A45"/>
    <w:rsid w:val="00C32D1B"/>
    <w:rsid w:val="00C32FA3"/>
    <w:rsid w:val="00C338BB"/>
    <w:rsid w:val="00C339E4"/>
    <w:rsid w:val="00C33E4A"/>
    <w:rsid w:val="00C347C1"/>
    <w:rsid w:val="00C40C2A"/>
    <w:rsid w:val="00C40D0C"/>
    <w:rsid w:val="00C416CF"/>
    <w:rsid w:val="00C43A1D"/>
    <w:rsid w:val="00C43F9D"/>
    <w:rsid w:val="00C45790"/>
    <w:rsid w:val="00C45B7C"/>
    <w:rsid w:val="00C45D93"/>
    <w:rsid w:val="00C46488"/>
    <w:rsid w:val="00C466E9"/>
    <w:rsid w:val="00C46ADE"/>
    <w:rsid w:val="00C46F98"/>
    <w:rsid w:val="00C50C12"/>
    <w:rsid w:val="00C50EE7"/>
    <w:rsid w:val="00C5315F"/>
    <w:rsid w:val="00C541FF"/>
    <w:rsid w:val="00C54AB2"/>
    <w:rsid w:val="00C5548F"/>
    <w:rsid w:val="00C57A5B"/>
    <w:rsid w:val="00C61F9C"/>
    <w:rsid w:val="00C64BCB"/>
    <w:rsid w:val="00C65A18"/>
    <w:rsid w:val="00C66091"/>
    <w:rsid w:val="00C67F6F"/>
    <w:rsid w:val="00C708AA"/>
    <w:rsid w:val="00C7143B"/>
    <w:rsid w:val="00C717CA"/>
    <w:rsid w:val="00C71A0C"/>
    <w:rsid w:val="00C723FD"/>
    <w:rsid w:val="00C7283C"/>
    <w:rsid w:val="00C72971"/>
    <w:rsid w:val="00C72B85"/>
    <w:rsid w:val="00C731E8"/>
    <w:rsid w:val="00C73A2F"/>
    <w:rsid w:val="00C742EB"/>
    <w:rsid w:val="00C74C0B"/>
    <w:rsid w:val="00C7502E"/>
    <w:rsid w:val="00C755E7"/>
    <w:rsid w:val="00C75B1B"/>
    <w:rsid w:val="00C77280"/>
    <w:rsid w:val="00C7741F"/>
    <w:rsid w:val="00C816AD"/>
    <w:rsid w:val="00C81856"/>
    <w:rsid w:val="00C81FED"/>
    <w:rsid w:val="00C85E17"/>
    <w:rsid w:val="00C85ECB"/>
    <w:rsid w:val="00C909B6"/>
    <w:rsid w:val="00C90D69"/>
    <w:rsid w:val="00C919C1"/>
    <w:rsid w:val="00C9379A"/>
    <w:rsid w:val="00C93F25"/>
    <w:rsid w:val="00C948DB"/>
    <w:rsid w:val="00C96AC4"/>
    <w:rsid w:val="00C97C30"/>
    <w:rsid w:val="00C97E90"/>
    <w:rsid w:val="00CA0E54"/>
    <w:rsid w:val="00CA1477"/>
    <w:rsid w:val="00CA2397"/>
    <w:rsid w:val="00CA3358"/>
    <w:rsid w:val="00CA3ED7"/>
    <w:rsid w:val="00CA4143"/>
    <w:rsid w:val="00CA582C"/>
    <w:rsid w:val="00CA621A"/>
    <w:rsid w:val="00CA6DD3"/>
    <w:rsid w:val="00CA7265"/>
    <w:rsid w:val="00CA73B3"/>
    <w:rsid w:val="00CB052C"/>
    <w:rsid w:val="00CB360C"/>
    <w:rsid w:val="00CB3918"/>
    <w:rsid w:val="00CB3B8D"/>
    <w:rsid w:val="00CB4E26"/>
    <w:rsid w:val="00CB5548"/>
    <w:rsid w:val="00CB5B7E"/>
    <w:rsid w:val="00CB6181"/>
    <w:rsid w:val="00CB6B05"/>
    <w:rsid w:val="00CB77C4"/>
    <w:rsid w:val="00CC03BA"/>
    <w:rsid w:val="00CC0665"/>
    <w:rsid w:val="00CC1904"/>
    <w:rsid w:val="00CC1E7E"/>
    <w:rsid w:val="00CC248A"/>
    <w:rsid w:val="00CC3142"/>
    <w:rsid w:val="00CC3964"/>
    <w:rsid w:val="00CC3A8E"/>
    <w:rsid w:val="00CC3C35"/>
    <w:rsid w:val="00CC5107"/>
    <w:rsid w:val="00CC5762"/>
    <w:rsid w:val="00CC6D5A"/>
    <w:rsid w:val="00CC7C44"/>
    <w:rsid w:val="00CD3931"/>
    <w:rsid w:val="00CD3D31"/>
    <w:rsid w:val="00CD66C1"/>
    <w:rsid w:val="00CD7818"/>
    <w:rsid w:val="00CD7F9A"/>
    <w:rsid w:val="00CE00E3"/>
    <w:rsid w:val="00CE0ECB"/>
    <w:rsid w:val="00CE1ADD"/>
    <w:rsid w:val="00CE3487"/>
    <w:rsid w:val="00CE355C"/>
    <w:rsid w:val="00CE4711"/>
    <w:rsid w:val="00CE54D8"/>
    <w:rsid w:val="00CE5693"/>
    <w:rsid w:val="00CE61DB"/>
    <w:rsid w:val="00CE648B"/>
    <w:rsid w:val="00CE7E0A"/>
    <w:rsid w:val="00CF21AA"/>
    <w:rsid w:val="00CF2241"/>
    <w:rsid w:val="00CF2749"/>
    <w:rsid w:val="00CF339C"/>
    <w:rsid w:val="00CF54DD"/>
    <w:rsid w:val="00CF5601"/>
    <w:rsid w:val="00CF5D99"/>
    <w:rsid w:val="00CF63B7"/>
    <w:rsid w:val="00CF6A0F"/>
    <w:rsid w:val="00CF6A58"/>
    <w:rsid w:val="00CF76AB"/>
    <w:rsid w:val="00D0025C"/>
    <w:rsid w:val="00D00E97"/>
    <w:rsid w:val="00D01F92"/>
    <w:rsid w:val="00D02329"/>
    <w:rsid w:val="00D03B74"/>
    <w:rsid w:val="00D03EF8"/>
    <w:rsid w:val="00D04AE7"/>
    <w:rsid w:val="00D05CC1"/>
    <w:rsid w:val="00D062A9"/>
    <w:rsid w:val="00D06E9A"/>
    <w:rsid w:val="00D10372"/>
    <w:rsid w:val="00D11441"/>
    <w:rsid w:val="00D11457"/>
    <w:rsid w:val="00D124A1"/>
    <w:rsid w:val="00D12C15"/>
    <w:rsid w:val="00D12DDB"/>
    <w:rsid w:val="00D1692A"/>
    <w:rsid w:val="00D17C14"/>
    <w:rsid w:val="00D205D0"/>
    <w:rsid w:val="00D22D4D"/>
    <w:rsid w:val="00D2425A"/>
    <w:rsid w:val="00D24667"/>
    <w:rsid w:val="00D24681"/>
    <w:rsid w:val="00D25603"/>
    <w:rsid w:val="00D2652C"/>
    <w:rsid w:val="00D2753F"/>
    <w:rsid w:val="00D27B0F"/>
    <w:rsid w:val="00D27BAC"/>
    <w:rsid w:val="00D30F20"/>
    <w:rsid w:val="00D310F4"/>
    <w:rsid w:val="00D316F6"/>
    <w:rsid w:val="00D3221A"/>
    <w:rsid w:val="00D33D3A"/>
    <w:rsid w:val="00D33E10"/>
    <w:rsid w:val="00D3482C"/>
    <w:rsid w:val="00D34C83"/>
    <w:rsid w:val="00D34F1B"/>
    <w:rsid w:val="00D419CF"/>
    <w:rsid w:val="00D41BCD"/>
    <w:rsid w:val="00D43775"/>
    <w:rsid w:val="00D43959"/>
    <w:rsid w:val="00D45597"/>
    <w:rsid w:val="00D45DE3"/>
    <w:rsid w:val="00D464DE"/>
    <w:rsid w:val="00D470FE"/>
    <w:rsid w:val="00D47791"/>
    <w:rsid w:val="00D47838"/>
    <w:rsid w:val="00D543C0"/>
    <w:rsid w:val="00D54984"/>
    <w:rsid w:val="00D5712D"/>
    <w:rsid w:val="00D57BFA"/>
    <w:rsid w:val="00D600D0"/>
    <w:rsid w:val="00D61C14"/>
    <w:rsid w:val="00D61DDD"/>
    <w:rsid w:val="00D62AF7"/>
    <w:rsid w:val="00D62DB2"/>
    <w:rsid w:val="00D64258"/>
    <w:rsid w:val="00D64CAC"/>
    <w:rsid w:val="00D65D62"/>
    <w:rsid w:val="00D65FAE"/>
    <w:rsid w:val="00D6701A"/>
    <w:rsid w:val="00D70696"/>
    <w:rsid w:val="00D70B57"/>
    <w:rsid w:val="00D71AB5"/>
    <w:rsid w:val="00D7376C"/>
    <w:rsid w:val="00D73F4A"/>
    <w:rsid w:val="00D73F56"/>
    <w:rsid w:val="00D74394"/>
    <w:rsid w:val="00D7454E"/>
    <w:rsid w:val="00D756B8"/>
    <w:rsid w:val="00D75E23"/>
    <w:rsid w:val="00D76738"/>
    <w:rsid w:val="00D81066"/>
    <w:rsid w:val="00D819E4"/>
    <w:rsid w:val="00D81D32"/>
    <w:rsid w:val="00D8292E"/>
    <w:rsid w:val="00D83323"/>
    <w:rsid w:val="00D83AA6"/>
    <w:rsid w:val="00D84FEF"/>
    <w:rsid w:val="00D85364"/>
    <w:rsid w:val="00D85785"/>
    <w:rsid w:val="00D85E90"/>
    <w:rsid w:val="00D876B9"/>
    <w:rsid w:val="00D87DE0"/>
    <w:rsid w:val="00D87F4F"/>
    <w:rsid w:val="00D9012E"/>
    <w:rsid w:val="00D91C15"/>
    <w:rsid w:val="00D94C14"/>
    <w:rsid w:val="00D9504B"/>
    <w:rsid w:val="00D95205"/>
    <w:rsid w:val="00D953D7"/>
    <w:rsid w:val="00D95914"/>
    <w:rsid w:val="00D966A5"/>
    <w:rsid w:val="00D9699C"/>
    <w:rsid w:val="00D96B04"/>
    <w:rsid w:val="00D97BF0"/>
    <w:rsid w:val="00DA0073"/>
    <w:rsid w:val="00DA389B"/>
    <w:rsid w:val="00DA44A0"/>
    <w:rsid w:val="00DA5C70"/>
    <w:rsid w:val="00DA6A4A"/>
    <w:rsid w:val="00DA74AF"/>
    <w:rsid w:val="00DB104A"/>
    <w:rsid w:val="00DB2A5F"/>
    <w:rsid w:val="00DB2F86"/>
    <w:rsid w:val="00DB402F"/>
    <w:rsid w:val="00DB44B9"/>
    <w:rsid w:val="00DB4B2D"/>
    <w:rsid w:val="00DB4F1D"/>
    <w:rsid w:val="00DB5404"/>
    <w:rsid w:val="00DB5A19"/>
    <w:rsid w:val="00DB5BEA"/>
    <w:rsid w:val="00DB5C7E"/>
    <w:rsid w:val="00DB76C6"/>
    <w:rsid w:val="00DC02DE"/>
    <w:rsid w:val="00DC11BC"/>
    <w:rsid w:val="00DC36DF"/>
    <w:rsid w:val="00DC401F"/>
    <w:rsid w:val="00DC5C0C"/>
    <w:rsid w:val="00DC7AC6"/>
    <w:rsid w:val="00DC7BB5"/>
    <w:rsid w:val="00DD154F"/>
    <w:rsid w:val="00DD2A88"/>
    <w:rsid w:val="00DD2B60"/>
    <w:rsid w:val="00DD3664"/>
    <w:rsid w:val="00DD54ED"/>
    <w:rsid w:val="00DD5A68"/>
    <w:rsid w:val="00DD6391"/>
    <w:rsid w:val="00DD6E9A"/>
    <w:rsid w:val="00DD74A7"/>
    <w:rsid w:val="00DE02A4"/>
    <w:rsid w:val="00DE07C6"/>
    <w:rsid w:val="00DE2FBE"/>
    <w:rsid w:val="00DE3032"/>
    <w:rsid w:val="00DE3248"/>
    <w:rsid w:val="00DE48A0"/>
    <w:rsid w:val="00DE4DC4"/>
    <w:rsid w:val="00DE565D"/>
    <w:rsid w:val="00DE6FB9"/>
    <w:rsid w:val="00DE76CC"/>
    <w:rsid w:val="00DE76D5"/>
    <w:rsid w:val="00DF07C1"/>
    <w:rsid w:val="00DF2334"/>
    <w:rsid w:val="00DF2CBA"/>
    <w:rsid w:val="00DF384E"/>
    <w:rsid w:val="00DF38E1"/>
    <w:rsid w:val="00DF4868"/>
    <w:rsid w:val="00DF7319"/>
    <w:rsid w:val="00E00FD7"/>
    <w:rsid w:val="00E02AD3"/>
    <w:rsid w:val="00E03B29"/>
    <w:rsid w:val="00E0554C"/>
    <w:rsid w:val="00E05DA8"/>
    <w:rsid w:val="00E06128"/>
    <w:rsid w:val="00E06129"/>
    <w:rsid w:val="00E06AB0"/>
    <w:rsid w:val="00E06E44"/>
    <w:rsid w:val="00E07C20"/>
    <w:rsid w:val="00E07C45"/>
    <w:rsid w:val="00E107BA"/>
    <w:rsid w:val="00E10E54"/>
    <w:rsid w:val="00E1170B"/>
    <w:rsid w:val="00E11E92"/>
    <w:rsid w:val="00E127FD"/>
    <w:rsid w:val="00E12A01"/>
    <w:rsid w:val="00E12CD2"/>
    <w:rsid w:val="00E12F9F"/>
    <w:rsid w:val="00E1365B"/>
    <w:rsid w:val="00E13829"/>
    <w:rsid w:val="00E1400C"/>
    <w:rsid w:val="00E1464C"/>
    <w:rsid w:val="00E147DD"/>
    <w:rsid w:val="00E16B5C"/>
    <w:rsid w:val="00E1701E"/>
    <w:rsid w:val="00E20B70"/>
    <w:rsid w:val="00E21C2A"/>
    <w:rsid w:val="00E22C7A"/>
    <w:rsid w:val="00E2334C"/>
    <w:rsid w:val="00E24C2F"/>
    <w:rsid w:val="00E251CA"/>
    <w:rsid w:val="00E253FD"/>
    <w:rsid w:val="00E26720"/>
    <w:rsid w:val="00E26834"/>
    <w:rsid w:val="00E26DC8"/>
    <w:rsid w:val="00E27398"/>
    <w:rsid w:val="00E27703"/>
    <w:rsid w:val="00E27A64"/>
    <w:rsid w:val="00E27D99"/>
    <w:rsid w:val="00E3020E"/>
    <w:rsid w:val="00E30C5C"/>
    <w:rsid w:val="00E33FC5"/>
    <w:rsid w:val="00E3522E"/>
    <w:rsid w:val="00E353AA"/>
    <w:rsid w:val="00E40010"/>
    <w:rsid w:val="00E411AA"/>
    <w:rsid w:val="00E41CC7"/>
    <w:rsid w:val="00E42531"/>
    <w:rsid w:val="00E42E9F"/>
    <w:rsid w:val="00E4417F"/>
    <w:rsid w:val="00E441A2"/>
    <w:rsid w:val="00E44A89"/>
    <w:rsid w:val="00E44DC8"/>
    <w:rsid w:val="00E4742B"/>
    <w:rsid w:val="00E47783"/>
    <w:rsid w:val="00E47D3F"/>
    <w:rsid w:val="00E50BBA"/>
    <w:rsid w:val="00E51898"/>
    <w:rsid w:val="00E52FF0"/>
    <w:rsid w:val="00E53224"/>
    <w:rsid w:val="00E545C5"/>
    <w:rsid w:val="00E54A11"/>
    <w:rsid w:val="00E55866"/>
    <w:rsid w:val="00E558B3"/>
    <w:rsid w:val="00E57441"/>
    <w:rsid w:val="00E60FD5"/>
    <w:rsid w:val="00E61452"/>
    <w:rsid w:val="00E63A8C"/>
    <w:rsid w:val="00E6407C"/>
    <w:rsid w:val="00E65A6E"/>
    <w:rsid w:val="00E65EE6"/>
    <w:rsid w:val="00E66A3E"/>
    <w:rsid w:val="00E67501"/>
    <w:rsid w:val="00E729B6"/>
    <w:rsid w:val="00E72D32"/>
    <w:rsid w:val="00E733F0"/>
    <w:rsid w:val="00E76B54"/>
    <w:rsid w:val="00E813F3"/>
    <w:rsid w:val="00E81EB4"/>
    <w:rsid w:val="00E821F0"/>
    <w:rsid w:val="00E83660"/>
    <w:rsid w:val="00E841AB"/>
    <w:rsid w:val="00E8615D"/>
    <w:rsid w:val="00E86718"/>
    <w:rsid w:val="00E87986"/>
    <w:rsid w:val="00E904B7"/>
    <w:rsid w:val="00E91E8F"/>
    <w:rsid w:val="00E92C1B"/>
    <w:rsid w:val="00E94225"/>
    <w:rsid w:val="00E94BAA"/>
    <w:rsid w:val="00E95CDC"/>
    <w:rsid w:val="00E96012"/>
    <w:rsid w:val="00E96D9D"/>
    <w:rsid w:val="00E978B7"/>
    <w:rsid w:val="00E97970"/>
    <w:rsid w:val="00EA1312"/>
    <w:rsid w:val="00EA16B7"/>
    <w:rsid w:val="00EA206B"/>
    <w:rsid w:val="00EA2C76"/>
    <w:rsid w:val="00EA51E5"/>
    <w:rsid w:val="00EA5B88"/>
    <w:rsid w:val="00EA670F"/>
    <w:rsid w:val="00EA6858"/>
    <w:rsid w:val="00EA6FCF"/>
    <w:rsid w:val="00EA7110"/>
    <w:rsid w:val="00EA718C"/>
    <w:rsid w:val="00EA794E"/>
    <w:rsid w:val="00EB0976"/>
    <w:rsid w:val="00EB144D"/>
    <w:rsid w:val="00EB21F2"/>
    <w:rsid w:val="00EB3465"/>
    <w:rsid w:val="00EB4269"/>
    <w:rsid w:val="00EB48CC"/>
    <w:rsid w:val="00EB4C9F"/>
    <w:rsid w:val="00EB5CE1"/>
    <w:rsid w:val="00EB74FB"/>
    <w:rsid w:val="00EC0CF7"/>
    <w:rsid w:val="00EC1058"/>
    <w:rsid w:val="00EC2BFA"/>
    <w:rsid w:val="00EC5F18"/>
    <w:rsid w:val="00EC71AD"/>
    <w:rsid w:val="00EC75B6"/>
    <w:rsid w:val="00EC792F"/>
    <w:rsid w:val="00ED1071"/>
    <w:rsid w:val="00ED140C"/>
    <w:rsid w:val="00ED1A1C"/>
    <w:rsid w:val="00ED3B63"/>
    <w:rsid w:val="00ED41F7"/>
    <w:rsid w:val="00ED5968"/>
    <w:rsid w:val="00ED6DC9"/>
    <w:rsid w:val="00ED7393"/>
    <w:rsid w:val="00EE3FA0"/>
    <w:rsid w:val="00EE49E5"/>
    <w:rsid w:val="00EE5607"/>
    <w:rsid w:val="00EE655C"/>
    <w:rsid w:val="00EE6666"/>
    <w:rsid w:val="00EF1457"/>
    <w:rsid w:val="00EF1C64"/>
    <w:rsid w:val="00EF265C"/>
    <w:rsid w:val="00EF316A"/>
    <w:rsid w:val="00EF331A"/>
    <w:rsid w:val="00EF5133"/>
    <w:rsid w:val="00EF61B0"/>
    <w:rsid w:val="00EF6641"/>
    <w:rsid w:val="00EF6684"/>
    <w:rsid w:val="00EF755A"/>
    <w:rsid w:val="00EF7AC9"/>
    <w:rsid w:val="00F00236"/>
    <w:rsid w:val="00F0279A"/>
    <w:rsid w:val="00F02CF9"/>
    <w:rsid w:val="00F0455D"/>
    <w:rsid w:val="00F047AF"/>
    <w:rsid w:val="00F04FB8"/>
    <w:rsid w:val="00F0504F"/>
    <w:rsid w:val="00F0554D"/>
    <w:rsid w:val="00F100E3"/>
    <w:rsid w:val="00F107A7"/>
    <w:rsid w:val="00F13664"/>
    <w:rsid w:val="00F15E51"/>
    <w:rsid w:val="00F17C3E"/>
    <w:rsid w:val="00F20480"/>
    <w:rsid w:val="00F21641"/>
    <w:rsid w:val="00F21E94"/>
    <w:rsid w:val="00F22E3D"/>
    <w:rsid w:val="00F22FDB"/>
    <w:rsid w:val="00F23032"/>
    <w:rsid w:val="00F23EB5"/>
    <w:rsid w:val="00F24152"/>
    <w:rsid w:val="00F25293"/>
    <w:rsid w:val="00F26634"/>
    <w:rsid w:val="00F27B87"/>
    <w:rsid w:val="00F27FC2"/>
    <w:rsid w:val="00F306A1"/>
    <w:rsid w:val="00F30FBA"/>
    <w:rsid w:val="00F31A90"/>
    <w:rsid w:val="00F3283C"/>
    <w:rsid w:val="00F32967"/>
    <w:rsid w:val="00F32A5A"/>
    <w:rsid w:val="00F343A3"/>
    <w:rsid w:val="00F34D79"/>
    <w:rsid w:val="00F40AA0"/>
    <w:rsid w:val="00F40C8F"/>
    <w:rsid w:val="00F41C02"/>
    <w:rsid w:val="00F41FF5"/>
    <w:rsid w:val="00F43092"/>
    <w:rsid w:val="00F430BF"/>
    <w:rsid w:val="00F43AFA"/>
    <w:rsid w:val="00F44572"/>
    <w:rsid w:val="00F45F05"/>
    <w:rsid w:val="00F47074"/>
    <w:rsid w:val="00F504D9"/>
    <w:rsid w:val="00F50967"/>
    <w:rsid w:val="00F51EC0"/>
    <w:rsid w:val="00F53240"/>
    <w:rsid w:val="00F535B3"/>
    <w:rsid w:val="00F53EEC"/>
    <w:rsid w:val="00F541E4"/>
    <w:rsid w:val="00F54253"/>
    <w:rsid w:val="00F54FD9"/>
    <w:rsid w:val="00F55B49"/>
    <w:rsid w:val="00F662FD"/>
    <w:rsid w:val="00F71B78"/>
    <w:rsid w:val="00F73E9F"/>
    <w:rsid w:val="00F74DC9"/>
    <w:rsid w:val="00F76B7C"/>
    <w:rsid w:val="00F80BC6"/>
    <w:rsid w:val="00F829AA"/>
    <w:rsid w:val="00F8370F"/>
    <w:rsid w:val="00F8514B"/>
    <w:rsid w:val="00F86A39"/>
    <w:rsid w:val="00F86F8A"/>
    <w:rsid w:val="00F90BC2"/>
    <w:rsid w:val="00F90E2C"/>
    <w:rsid w:val="00F92F0D"/>
    <w:rsid w:val="00F9600D"/>
    <w:rsid w:val="00F96075"/>
    <w:rsid w:val="00F97916"/>
    <w:rsid w:val="00FA00FB"/>
    <w:rsid w:val="00FA125A"/>
    <w:rsid w:val="00FA1A6E"/>
    <w:rsid w:val="00FA1E6D"/>
    <w:rsid w:val="00FA2CD0"/>
    <w:rsid w:val="00FA386A"/>
    <w:rsid w:val="00FA3E50"/>
    <w:rsid w:val="00FA439A"/>
    <w:rsid w:val="00FA4673"/>
    <w:rsid w:val="00FA758A"/>
    <w:rsid w:val="00FB053D"/>
    <w:rsid w:val="00FB271C"/>
    <w:rsid w:val="00FB2797"/>
    <w:rsid w:val="00FB28D7"/>
    <w:rsid w:val="00FB2F90"/>
    <w:rsid w:val="00FB4636"/>
    <w:rsid w:val="00FB4745"/>
    <w:rsid w:val="00FB58D6"/>
    <w:rsid w:val="00FB5BE3"/>
    <w:rsid w:val="00FB7837"/>
    <w:rsid w:val="00FB7DA7"/>
    <w:rsid w:val="00FC139C"/>
    <w:rsid w:val="00FC2996"/>
    <w:rsid w:val="00FC34EB"/>
    <w:rsid w:val="00FC3A57"/>
    <w:rsid w:val="00FC4980"/>
    <w:rsid w:val="00FC4C23"/>
    <w:rsid w:val="00FC5FEB"/>
    <w:rsid w:val="00FC7630"/>
    <w:rsid w:val="00FD2398"/>
    <w:rsid w:val="00FD25E2"/>
    <w:rsid w:val="00FD286D"/>
    <w:rsid w:val="00FD338C"/>
    <w:rsid w:val="00FD36DA"/>
    <w:rsid w:val="00FD3AD1"/>
    <w:rsid w:val="00FD3DED"/>
    <w:rsid w:val="00FD40CF"/>
    <w:rsid w:val="00FD4C1B"/>
    <w:rsid w:val="00FD5E03"/>
    <w:rsid w:val="00FD645D"/>
    <w:rsid w:val="00FD6D2F"/>
    <w:rsid w:val="00FD791D"/>
    <w:rsid w:val="00FE0436"/>
    <w:rsid w:val="00FE0FCB"/>
    <w:rsid w:val="00FE1CEE"/>
    <w:rsid w:val="00FE1E6C"/>
    <w:rsid w:val="00FE24D0"/>
    <w:rsid w:val="00FE539E"/>
    <w:rsid w:val="00FE6701"/>
    <w:rsid w:val="00FE72ED"/>
    <w:rsid w:val="00FE73A6"/>
    <w:rsid w:val="00FE7F23"/>
    <w:rsid w:val="00FF0137"/>
    <w:rsid w:val="00FF0859"/>
    <w:rsid w:val="00FF1438"/>
    <w:rsid w:val="00FF5593"/>
    <w:rsid w:val="00FF6937"/>
    <w:rsid w:val="00FF72C0"/>
    <w:rsid w:val="00FF7660"/>
    <w:rsid w:val="00FF7E82"/>
    <w:rsid w:val="10858930"/>
    <w:rsid w:val="128DD61F"/>
    <w:rsid w:val="1657DFB2"/>
    <w:rsid w:val="25717CA0"/>
    <w:rsid w:val="37FD720F"/>
    <w:rsid w:val="48C5EBD9"/>
    <w:rsid w:val="5536753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5D67A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B5599D"/>
    <w:pPr>
      <w:spacing w:before="120" w:after="120" w:line="240" w:lineRule="auto"/>
    </w:pPr>
    <w:rPr>
      <w:rFonts w:ascii="Arial" w:hAnsi="Arial"/>
      <w:sz w:val="20"/>
    </w:rPr>
  </w:style>
  <w:style w:type="paragraph" w:styleId="Heading1">
    <w:name w:val="heading 1"/>
    <w:basedOn w:val="Normal"/>
    <w:next w:val="Normal"/>
    <w:link w:val="Heading1Char"/>
    <w:autoRedefine/>
    <w:qFormat/>
    <w:rsid w:val="00A86237"/>
    <w:pPr>
      <w:keepNext/>
      <w:keepLines/>
      <w:spacing w:before="240" w:after="360"/>
      <w:outlineLvl w:val="0"/>
    </w:pPr>
    <w:rPr>
      <w:rFonts w:asciiTheme="majorHAnsi" w:eastAsiaTheme="majorEastAsia" w:hAnsiTheme="majorHAnsi" w:cstheme="majorBidi"/>
      <w:b/>
      <w:sz w:val="48"/>
      <w:szCs w:val="32"/>
    </w:rPr>
  </w:style>
  <w:style w:type="paragraph" w:styleId="Heading2">
    <w:name w:val="heading 2"/>
    <w:basedOn w:val="Normal"/>
    <w:next w:val="Normal"/>
    <w:link w:val="Heading2Char"/>
    <w:autoRedefine/>
    <w:qFormat/>
    <w:rsid w:val="003A2D0B"/>
    <w:pPr>
      <w:keepNext/>
      <w:keepLines/>
      <w:pBdr>
        <w:top w:val="single" w:sz="4" w:space="4" w:color="808080" w:themeColor="background1" w:themeShade="80"/>
        <w:bottom w:val="single" w:sz="4" w:space="4" w:color="808080" w:themeColor="background1" w:themeShade="80"/>
      </w:pBdr>
      <w:spacing w:before="240" w:line="276" w:lineRule="auto"/>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autoRedefine/>
    <w:qFormat/>
    <w:rsid w:val="00236CB7"/>
    <w:pPr>
      <w:keepNext/>
      <w:keepLines/>
      <w:spacing w:before="240" w:after="240" w:line="276" w:lineRule="auto"/>
      <w:outlineLvl w:val="2"/>
    </w:pPr>
    <w:rPr>
      <w:rFonts w:asciiTheme="minorHAnsi" w:eastAsiaTheme="majorEastAsia" w:hAnsiTheme="minorHAnsi" w:cstheme="majorBidi"/>
      <w:b/>
      <w:color w:val="000000" w:themeColor="text1"/>
      <w:sz w:val="24"/>
      <w:szCs w:val="24"/>
    </w:rPr>
  </w:style>
  <w:style w:type="paragraph" w:styleId="Heading4">
    <w:name w:val="heading 4"/>
    <w:basedOn w:val="Normal"/>
    <w:next w:val="Normal"/>
    <w:link w:val="Heading4Char"/>
    <w:autoRedefine/>
    <w:qFormat/>
    <w:rsid w:val="001D162D"/>
    <w:pPr>
      <w:keepNext/>
      <w:keepLines/>
      <w:outlineLvl w:val="3"/>
    </w:pPr>
    <w:rPr>
      <w:rFonts w:asciiTheme="majorHAnsi" w:eastAsiaTheme="majorEastAsia" w:hAnsiTheme="majorHAnsi" w:cstheme="majorBidi"/>
      <w:color w:val="000000" w:themeColor="text1"/>
      <w:sz w:val="24"/>
    </w:rPr>
  </w:style>
  <w:style w:type="paragraph" w:styleId="Heading5">
    <w:name w:val="heading 5"/>
    <w:basedOn w:val="Normal"/>
    <w:next w:val="Normal"/>
    <w:link w:val="Heading5Char"/>
    <w:autoRedefine/>
    <w:qFormat/>
    <w:rsid w:val="00236CB7"/>
    <w:pPr>
      <w:keepNext/>
      <w:keepLines/>
      <w:outlineLvl w:val="4"/>
    </w:pPr>
    <w:rPr>
      <w:rFonts w:asciiTheme="majorHAnsi" w:eastAsiaTheme="majorEastAsia" w:hAnsiTheme="majorHAnsi" w:cstheme="majorBidi"/>
      <w:i/>
      <w:iCs/>
      <w:color w:val="000000" w:themeColor="text1"/>
      <w:sz w:val="24"/>
    </w:rPr>
  </w:style>
  <w:style w:type="paragraph" w:styleId="Heading6">
    <w:name w:val="heading 6"/>
    <w:basedOn w:val="Normal"/>
    <w:next w:val="Normal"/>
    <w:link w:val="Heading6Char"/>
    <w:uiPriority w:val="6"/>
    <w:semiHidden/>
    <w:rsid w:val="0090794D"/>
    <w:pPr>
      <w:keepNext/>
      <w:keepLines/>
      <w:spacing w:before="40" w:after="0"/>
      <w:outlineLvl w:val="5"/>
    </w:pPr>
    <w:rPr>
      <w:rFonts w:asciiTheme="majorHAnsi" w:eastAsiaTheme="majorEastAsia" w:hAnsiTheme="majorHAnsi" w:cstheme="majorBidi"/>
      <w:color w:val="8160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162D"/>
    <w:rPr>
      <w:rFonts w:asciiTheme="majorHAnsi" w:eastAsiaTheme="majorEastAsia" w:hAnsiTheme="majorHAnsi" w:cstheme="majorBidi"/>
      <w:b/>
      <w:sz w:val="48"/>
      <w:szCs w:val="32"/>
    </w:rPr>
  </w:style>
  <w:style w:type="paragraph" w:customStyle="1" w:styleId="BodyText1">
    <w:name w:val="Body Text 1"/>
    <w:autoRedefine/>
    <w:uiPriority w:val="2"/>
    <w:qFormat/>
    <w:rsid w:val="00BE7B63"/>
    <w:pPr>
      <w:spacing w:before="120" w:after="120" w:line="276" w:lineRule="auto"/>
    </w:pPr>
  </w:style>
  <w:style w:type="character" w:customStyle="1" w:styleId="Heading2Char">
    <w:name w:val="Heading 2 Char"/>
    <w:basedOn w:val="DefaultParagraphFont"/>
    <w:link w:val="Heading2"/>
    <w:rsid w:val="003A2D0B"/>
    <w:rPr>
      <w:rFonts w:asciiTheme="majorHAnsi" w:eastAsiaTheme="majorEastAsia" w:hAnsiTheme="majorHAnsi" w:cstheme="majorBidi"/>
      <w:b/>
      <w:bCs/>
      <w:color w:val="000000" w:themeColor="text1"/>
      <w:sz w:val="24"/>
      <w:szCs w:val="26"/>
    </w:rPr>
  </w:style>
  <w:style w:type="paragraph" w:customStyle="1" w:styleId="Bodybullet1">
    <w:name w:val="Body bullet 1"/>
    <w:basedOn w:val="Bullet2ndlevel"/>
    <w:autoRedefine/>
    <w:uiPriority w:val="2"/>
    <w:qFormat/>
    <w:rsid w:val="002C0C57"/>
    <w:pPr>
      <w:numPr>
        <w:numId w:val="36"/>
      </w:numPr>
      <w:spacing w:line="276" w:lineRule="auto"/>
      <w:ind w:left="426" w:hanging="426"/>
    </w:pPr>
  </w:style>
  <w:style w:type="paragraph" w:customStyle="1" w:styleId="Bodybullet2">
    <w:name w:val="Body bullet 2"/>
    <w:next w:val="Normal"/>
    <w:uiPriority w:val="99"/>
    <w:semiHidden/>
    <w:qFormat/>
    <w:rsid w:val="0030644C"/>
    <w:pPr>
      <w:numPr>
        <w:numId w:val="3"/>
      </w:numPr>
      <w:spacing w:before="60" w:after="60" w:line="240" w:lineRule="auto"/>
      <w:ind w:left="568" w:hanging="284"/>
    </w:pPr>
    <w:rPr>
      <w:rFonts w:ascii="Arial" w:hAnsi="Arial"/>
      <w:sz w:val="20"/>
    </w:rPr>
  </w:style>
  <w:style w:type="table" w:styleId="TableGrid">
    <w:name w:val="Table Grid"/>
    <w:basedOn w:val="TableNormal"/>
    <w:uiPriority w:val="3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next w:val="BodyText1"/>
    <w:autoRedefine/>
    <w:qFormat/>
    <w:rsid w:val="00236CB7"/>
    <w:pPr>
      <w:spacing w:before="360" w:after="0" w:line="240" w:lineRule="auto"/>
    </w:pPr>
    <w:rPr>
      <w:rFonts w:asciiTheme="majorHAnsi" w:eastAsiaTheme="majorEastAsia" w:hAnsiTheme="majorHAnsi" w:cstheme="majorBidi"/>
      <w:b/>
      <w:color w:val="359D9A" w:themeColor="accent2"/>
      <w:sz w:val="72"/>
      <w:szCs w:val="72"/>
    </w:rPr>
  </w:style>
  <w:style w:type="character" w:customStyle="1" w:styleId="Heading3Char">
    <w:name w:val="Heading 3 Char"/>
    <w:basedOn w:val="DefaultParagraphFont"/>
    <w:link w:val="Heading3"/>
    <w:rsid w:val="00236CB7"/>
    <w:rPr>
      <w:rFonts w:eastAsiaTheme="majorEastAsia" w:cstheme="majorBidi"/>
      <w:b/>
      <w:color w:val="000000" w:themeColor="text1"/>
      <w:sz w:val="24"/>
      <w:szCs w:val="24"/>
    </w:rPr>
  </w:style>
  <w:style w:type="paragraph" w:styleId="TOC1">
    <w:name w:val="toc 1"/>
    <w:basedOn w:val="Normal"/>
    <w:next w:val="Normal"/>
    <w:autoRedefine/>
    <w:uiPriority w:val="39"/>
    <w:qFormat/>
    <w:rsid w:val="0029001B"/>
    <w:pPr>
      <w:tabs>
        <w:tab w:val="right" w:leader="dot" w:pos="9402"/>
      </w:tabs>
      <w:spacing w:before="240" w:after="60" w:line="360" w:lineRule="auto"/>
    </w:pPr>
    <w:rPr>
      <w:rFonts w:asciiTheme="minorHAnsi" w:hAnsiTheme="minorHAnsi"/>
      <w:b/>
      <w:noProof/>
      <w:sz w:val="24"/>
      <w:szCs w:val="24"/>
    </w:rPr>
  </w:style>
  <w:style w:type="paragraph" w:styleId="TOC2">
    <w:name w:val="toc 2"/>
    <w:basedOn w:val="Normal"/>
    <w:next w:val="Normal"/>
    <w:autoRedefine/>
    <w:uiPriority w:val="39"/>
    <w:qFormat/>
    <w:rsid w:val="0029001B"/>
    <w:pPr>
      <w:tabs>
        <w:tab w:val="right" w:leader="dot" w:pos="9402"/>
      </w:tabs>
      <w:spacing w:line="360" w:lineRule="auto"/>
      <w:ind w:left="221"/>
    </w:pPr>
    <w:rPr>
      <w:rFonts w:asciiTheme="minorHAnsi" w:hAnsiTheme="minorHAnsi"/>
      <w:noProof/>
      <w:sz w:val="24"/>
      <w:szCs w:val="24"/>
    </w:rPr>
  </w:style>
  <w:style w:type="character" w:styleId="Hyperlink">
    <w:name w:val="Hyperlink"/>
    <w:basedOn w:val="DefaultParagraphFont"/>
    <w:uiPriority w:val="99"/>
    <w:unhideWhenUsed/>
    <w:qFormat/>
    <w:rsid w:val="000301FC"/>
    <w:rPr>
      <w:color w:val="277572" w:themeColor="accent2" w:themeShade="BF"/>
      <w:u w:val="single"/>
    </w:rPr>
  </w:style>
  <w:style w:type="paragraph" w:styleId="Header">
    <w:name w:val="header"/>
    <w:basedOn w:val="Normal"/>
    <w:link w:val="HeaderChar"/>
    <w:autoRedefine/>
    <w:uiPriority w:val="99"/>
    <w:semiHidden/>
    <w:qFormat/>
    <w:rsid w:val="00340230"/>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semiHidden/>
    <w:rsid w:val="00AE67AB"/>
    <w:rPr>
      <w:rFonts w:ascii="Arial" w:hAnsi="Arial"/>
      <w:color w:val="808080" w:themeColor="background1" w:themeShade="80"/>
      <w:sz w:val="16"/>
    </w:rPr>
  </w:style>
  <w:style w:type="paragraph" w:styleId="Footer">
    <w:name w:val="footer"/>
    <w:basedOn w:val="BodyText1"/>
    <w:link w:val="FooterChar"/>
    <w:autoRedefine/>
    <w:uiPriority w:val="99"/>
    <w:unhideWhenUsed/>
    <w:qFormat/>
    <w:rsid w:val="00864D66"/>
    <w:rPr>
      <w:color w:val="0D0D0D" w:themeColor="text1" w:themeTint="F2"/>
      <w:sz w:val="18"/>
      <w:szCs w:val="18"/>
    </w:rPr>
  </w:style>
  <w:style w:type="character" w:customStyle="1" w:styleId="FooterChar">
    <w:name w:val="Footer Char"/>
    <w:basedOn w:val="DefaultParagraphFont"/>
    <w:link w:val="Footer"/>
    <w:uiPriority w:val="99"/>
    <w:rsid w:val="00864D66"/>
    <w:rPr>
      <w:color w:val="0D0D0D" w:themeColor="text1" w:themeTint="F2"/>
      <w:sz w:val="18"/>
      <w:szCs w:val="18"/>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
    <w:name w:val="Table heading"/>
    <w:next w:val="Normal"/>
    <w:link w:val="TableheadingChar"/>
    <w:autoRedefine/>
    <w:uiPriority w:val="11"/>
    <w:qFormat/>
    <w:rsid w:val="00461BAC"/>
    <w:pPr>
      <w:spacing w:before="120" w:after="120" w:line="240" w:lineRule="auto"/>
    </w:pPr>
    <w:rPr>
      <w:rFonts w:asciiTheme="majorHAnsi" w:hAnsiTheme="majorHAnsi"/>
      <w:b/>
      <w:color w:val="000000" w:themeColor="text1"/>
      <w:sz w:val="18"/>
    </w:rPr>
  </w:style>
  <w:style w:type="paragraph" w:customStyle="1" w:styleId="Tablebodytext">
    <w:name w:val="Table body text"/>
    <w:autoRedefine/>
    <w:uiPriority w:val="12"/>
    <w:qFormat/>
    <w:rsid w:val="009548FD"/>
    <w:pPr>
      <w:spacing w:before="60" w:after="60" w:line="240" w:lineRule="auto"/>
    </w:pPr>
    <w:rPr>
      <w:sz w:val="18"/>
    </w:rPr>
  </w:style>
  <w:style w:type="paragraph" w:customStyle="1" w:styleId="Tablebullet1">
    <w:name w:val="Table bullet 1"/>
    <w:next w:val="BodyText1"/>
    <w:autoRedefine/>
    <w:uiPriority w:val="12"/>
    <w:qFormat/>
    <w:rsid w:val="00461BAC"/>
    <w:pPr>
      <w:numPr>
        <w:numId w:val="5"/>
      </w:numPr>
      <w:spacing w:before="40" w:after="40" w:line="240" w:lineRule="auto"/>
      <w:ind w:left="284" w:hanging="284"/>
    </w:pPr>
    <w:rPr>
      <w:sz w:val="18"/>
    </w:rPr>
  </w:style>
  <w:style w:type="paragraph" w:customStyle="1" w:styleId="Tablebullet2">
    <w:name w:val="Table bullet 2"/>
    <w:next w:val="BodyText1"/>
    <w:autoRedefine/>
    <w:uiPriority w:val="12"/>
    <w:qFormat/>
    <w:rsid w:val="00461BAC"/>
    <w:pPr>
      <w:numPr>
        <w:numId w:val="7"/>
      </w:numPr>
      <w:spacing w:before="40" w:after="40" w:line="240" w:lineRule="auto"/>
      <w:ind w:left="568" w:hanging="284"/>
    </w:pPr>
    <w:rPr>
      <w:sz w:val="18"/>
    </w:rPr>
  </w:style>
  <w:style w:type="paragraph" w:customStyle="1" w:styleId="Numberedlist1">
    <w:name w:val="Numbered list 1"/>
    <w:autoRedefine/>
    <w:uiPriority w:val="7"/>
    <w:qFormat/>
    <w:rsid w:val="00236CB7"/>
    <w:pPr>
      <w:numPr>
        <w:numId w:val="10"/>
      </w:numPr>
      <w:spacing w:before="120" w:after="120" w:line="276" w:lineRule="auto"/>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autoRedefine/>
    <w:uiPriority w:val="10"/>
    <w:qFormat/>
    <w:rsid w:val="00236CB7"/>
    <w:pPr>
      <w:spacing w:before="240" w:after="240" w:line="240" w:lineRule="auto"/>
    </w:pPr>
    <w:rPr>
      <w:i/>
      <w:color w:val="000000" w:themeColor="text1"/>
      <w:sz w:val="24"/>
    </w:rPr>
  </w:style>
  <w:style w:type="paragraph" w:customStyle="1" w:styleId="Numberedlistabc">
    <w:name w:val="Numbered list_abc"/>
    <w:autoRedefine/>
    <w:uiPriority w:val="9"/>
    <w:qFormat/>
    <w:rsid w:val="00236CB7"/>
    <w:pPr>
      <w:numPr>
        <w:numId w:val="15"/>
      </w:numPr>
      <w:spacing w:before="120" w:after="120" w:line="240" w:lineRule="auto"/>
      <w:ind w:left="1139" w:hanging="357"/>
    </w:pPr>
  </w:style>
  <w:style w:type="paragraph" w:customStyle="1" w:styleId="Numberedlistii">
    <w:name w:val="Numbered list_ii"/>
    <w:autoRedefine/>
    <w:uiPriority w:val="9"/>
    <w:qFormat/>
    <w:rsid w:val="009C45A4"/>
    <w:pPr>
      <w:numPr>
        <w:ilvl w:val="2"/>
        <w:numId w:val="15"/>
      </w:numPr>
      <w:spacing w:before="120" w:after="120" w:line="240" w:lineRule="auto"/>
      <w:ind w:left="1531" w:hanging="284"/>
    </w:pPr>
    <w:rPr>
      <w:sz w:val="24"/>
    </w:rPr>
  </w:style>
  <w:style w:type="paragraph" w:customStyle="1" w:styleId="Figuretext">
    <w:name w:val="Figure text"/>
    <w:autoRedefine/>
    <w:uiPriority w:val="13"/>
    <w:qFormat/>
    <w:rsid w:val="00461BAC"/>
    <w:pPr>
      <w:spacing w:before="60" w:after="240" w:line="240" w:lineRule="auto"/>
    </w:pPr>
    <w:rPr>
      <w:i/>
      <w:sz w:val="20"/>
    </w:rPr>
  </w:style>
  <w:style w:type="paragraph" w:customStyle="1" w:styleId="Heading2Noshow">
    <w:name w:val="Heading 2_No show"/>
    <w:autoRedefine/>
    <w:qFormat/>
    <w:rsid w:val="00236CB7"/>
    <w:pPr>
      <w:spacing w:beforeLines="500" w:before="1200" w:beforeAutospacing="1" w:after="100" w:afterAutospacing="1" w:line="240" w:lineRule="auto"/>
    </w:pPr>
    <w:rPr>
      <w:rFonts w:asciiTheme="majorHAnsi" w:eastAsiaTheme="majorEastAsia" w:hAnsiTheme="majorHAnsi" w:cstheme="majorBidi"/>
      <w:color w:val="000000" w:themeColor="text1"/>
      <w:sz w:val="32"/>
      <w:szCs w:val="26"/>
    </w:rPr>
  </w:style>
  <w:style w:type="paragraph" w:styleId="FootnoteText">
    <w:name w:val="footnote text"/>
    <w:basedOn w:val="Normal"/>
    <w:link w:val="FootnoteTextChar"/>
    <w:uiPriority w:val="99"/>
    <w:semiHidden/>
    <w:unhideWhenUsed/>
    <w:rsid w:val="001814BA"/>
    <w:pPr>
      <w:spacing w:before="0" w:after="0"/>
    </w:pPr>
    <w:rPr>
      <w:szCs w:val="20"/>
    </w:rPr>
  </w:style>
  <w:style w:type="character" w:customStyle="1" w:styleId="FootnoteTextChar">
    <w:name w:val="Footnote Text Char"/>
    <w:basedOn w:val="DefaultParagraphFont"/>
    <w:link w:val="FootnoteText"/>
    <w:uiPriority w:val="99"/>
    <w:semiHidden/>
    <w:rsid w:val="001814BA"/>
    <w:rPr>
      <w:rFonts w:ascii="Arial" w:hAnsi="Arial"/>
      <w:sz w:val="20"/>
      <w:szCs w:val="20"/>
    </w:rPr>
  </w:style>
  <w:style w:type="character" w:styleId="FootnoteReference">
    <w:name w:val="footnote reference"/>
    <w:basedOn w:val="DefaultParagraphFont"/>
    <w:uiPriority w:val="99"/>
    <w:unhideWhenUsed/>
    <w:qFormat/>
    <w:rsid w:val="001D162D"/>
    <w:rPr>
      <w:rFonts w:asciiTheme="minorHAnsi" w:hAnsiTheme="minorHAnsi"/>
      <w:color w:val="0D0D0D" w:themeColor="text1" w:themeTint="F2"/>
      <w:sz w:val="18"/>
      <w:bdr w:val="none" w:sz="0" w:space="0" w:color="auto"/>
      <w:vertAlign w:val="superscript"/>
    </w:rPr>
  </w:style>
  <w:style w:type="paragraph" w:customStyle="1" w:styleId="FootnoteText1">
    <w:name w:val="Footnote Text1"/>
    <w:autoRedefine/>
    <w:uiPriority w:val="99"/>
    <w:qFormat/>
    <w:rsid w:val="00236CB7"/>
    <w:pPr>
      <w:spacing w:before="100" w:beforeAutospacing="1" w:after="60" w:line="240" w:lineRule="auto"/>
    </w:pPr>
    <w:rPr>
      <w:szCs w:val="20"/>
    </w:rPr>
  </w:style>
  <w:style w:type="paragraph" w:styleId="Title">
    <w:name w:val="Title"/>
    <w:basedOn w:val="Normal"/>
    <w:next w:val="Normal"/>
    <w:link w:val="TitleChar"/>
    <w:uiPriority w:val="99"/>
    <w:semiHidden/>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semiHidden/>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semiHidden/>
    <w:qFormat/>
    <w:rsid w:val="00F27FC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semiHidden/>
    <w:rsid w:val="00AE67AB"/>
    <w:rPr>
      <w:rFonts w:eastAsiaTheme="minorEastAsia"/>
      <w:color w:val="5A5A5A" w:themeColor="text1" w:themeTint="A5"/>
      <w:spacing w:val="15"/>
    </w:rPr>
  </w:style>
  <w:style w:type="paragraph" w:customStyle="1" w:styleId="Bodycopy">
    <w:name w:val="Body copy"/>
    <w:basedOn w:val="Normal"/>
    <w:uiPriority w:val="99"/>
    <w:semiHidden/>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rsid w:val="001D162D"/>
    <w:rPr>
      <w:rFonts w:asciiTheme="majorHAnsi" w:eastAsiaTheme="majorEastAsia" w:hAnsiTheme="majorHAnsi" w:cstheme="majorBidi"/>
      <w:color w:val="000000" w:themeColor="text1"/>
      <w:sz w:val="24"/>
    </w:rPr>
  </w:style>
  <w:style w:type="character" w:customStyle="1" w:styleId="Heading5Char">
    <w:name w:val="Heading 5 Char"/>
    <w:basedOn w:val="DefaultParagraphFont"/>
    <w:link w:val="Heading5"/>
    <w:rsid w:val="00236CB7"/>
    <w:rPr>
      <w:rFonts w:asciiTheme="majorHAnsi" w:eastAsiaTheme="majorEastAsia" w:hAnsiTheme="majorHAnsi" w:cstheme="majorBidi"/>
      <w:i/>
      <w:iCs/>
      <w:color w:val="000000" w:themeColor="text1"/>
      <w:sz w:val="24"/>
    </w:rPr>
  </w:style>
  <w:style w:type="character" w:customStyle="1" w:styleId="Heading6Char">
    <w:name w:val="Heading 6 Char"/>
    <w:basedOn w:val="DefaultParagraphFont"/>
    <w:link w:val="Heading6"/>
    <w:uiPriority w:val="6"/>
    <w:semiHidden/>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954F72"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semiHidden/>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332A8D"/>
    <w:rPr>
      <w:rFonts w:ascii="Arial" w:hAnsi="Arial"/>
      <w:i/>
      <w:iCs/>
      <w:color w:val="404040" w:themeColor="text1" w:themeTint="BF"/>
      <w:sz w:val="20"/>
    </w:rPr>
  </w:style>
  <w:style w:type="paragraph" w:customStyle="1" w:styleId="Bullet2ndlevel">
    <w:name w:val="Bullet 2nd level"/>
    <w:basedOn w:val="Normal"/>
    <w:autoRedefine/>
    <w:uiPriority w:val="2"/>
    <w:qFormat/>
    <w:rsid w:val="00086B54"/>
    <w:pPr>
      <w:numPr>
        <w:numId w:val="29"/>
      </w:numPr>
      <w:tabs>
        <w:tab w:val="clear" w:pos="340"/>
        <w:tab w:val="num" w:pos="851"/>
      </w:tabs>
      <w:ind w:left="851" w:hanging="425"/>
    </w:pPr>
    <w:rPr>
      <w:rFonts w:asciiTheme="minorHAnsi" w:hAnsiTheme="minorHAnsi" w:cs="Arial"/>
      <w:sz w:val="22"/>
    </w:rPr>
  </w:style>
  <w:style w:type="paragraph" w:customStyle="1" w:styleId="Bullet3rdlevel">
    <w:name w:val="Bullet 3rd level"/>
    <w:basedOn w:val="Normal"/>
    <w:autoRedefine/>
    <w:uiPriority w:val="2"/>
    <w:qFormat/>
    <w:rsid w:val="00236CB7"/>
    <w:pPr>
      <w:numPr>
        <w:numId w:val="30"/>
      </w:numPr>
      <w:tabs>
        <w:tab w:val="clear" w:pos="340"/>
        <w:tab w:val="num" w:pos="993"/>
      </w:tabs>
      <w:ind w:left="908" w:hanging="284"/>
    </w:pPr>
    <w:rPr>
      <w:rFonts w:asciiTheme="minorHAnsi" w:hAnsiTheme="minorHAnsi" w:cstheme="minorHAnsi"/>
      <w:sz w:val="22"/>
    </w:rPr>
  </w:style>
  <w:style w:type="paragraph" w:customStyle="1" w:styleId="Contactus">
    <w:name w:val="Contact us"/>
    <w:basedOn w:val="Normal"/>
    <w:autoRedefine/>
    <w:uiPriority w:val="14"/>
    <w:qFormat/>
    <w:rsid w:val="004C2D61"/>
    <w:pPr>
      <w:tabs>
        <w:tab w:val="right" w:pos="9638"/>
      </w:tabs>
      <w:spacing w:before="360"/>
    </w:pPr>
    <w:rPr>
      <w:rFonts w:asciiTheme="majorHAnsi" w:hAnsiTheme="majorHAnsi" w:cs="Segoe UI"/>
      <w:b/>
      <w:color w:val="359D9A" w:themeColor="accent2"/>
      <w:sz w:val="44"/>
    </w:rPr>
  </w:style>
  <w:style w:type="paragraph" w:customStyle="1" w:styleId="backcoverdetails">
    <w:name w:val="back cover details"/>
    <w:basedOn w:val="Normal"/>
    <w:autoRedefine/>
    <w:uiPriority w:val="14"/>
    <w:qFormat/>
    <w:rsid w:val="00EB48CC"/>
    <w:pPr>
      <w:spacing w:before="0" w:after="0"/>
    </w:pPr>
    <w:rPr>
      <w:rFonts w:asciiTheme="minorHAnsi" w:hAnsiTheme="minorHAnsi" w:cstheme="minorHAnsi"/>
      <w:b/>
      <w:color w:val="000000" w:themeColor="text1"/>
    </w:rPr>
  </w:style>
  <w:style w:type="character" w:styleId="Strong">
    <w:name w:val="Strong"/>
    <w:basedOn w:val="DefaultParagraphFont"/>
    <w:uiPriority w:val="99"/>
    <w:qFormat/>
    <w:rsid w:val="009A5FB1"/>
    <w:rPr>
      <w:b/>
      <w:bCs/>
    </w:rPr>
  </w:style>
  <w:style w:type="paragraph" w:customStyle="1" w:styleId="TableHeadinggreen">
    <w:name w:val="Table Heading green"/>
    <w:basedOn w:val="Tableheading"/>
    <w:link w:val="TableHeadinggreenChar"/>
    <w:autoRedefine/>
    <w:uiPriority w:val="11"/>
    <w:qFormat/>
    <w:rsid w:val="00E06128"/>
  </w:style>
  <w:style w:type="character" w:customStyle="1" w:styleId="TableheadingChar">
    <w:name w:val="Table heading Char"/>
    <w:basedOn w:val="DefaultParagraphFont"/>
    <w:link w:val="Tableheading"/>
    <w:uiPriority w:val="11"/>
    <w:rsid w:val="00461BAC"/>
    <w:rPr>
      <w:rFonts w:asciiTheme="majorHAnsi" w:hAnsiTheme="majorHAnsi"/>
      <w:b/>
      <w:color w:val="000000" w:themeColor="text1"/>
      <w:sz w:val="18"/>
    </w:rPr>
  </w:style>
  <w:style w:type="character" w:customStyle="1" w:styleId="TableHeadinggreenChar">
    <w:name w:val="Table Heading green Char"/>
    <w:basedOn w:val="TableheadingChar"/>
    <w:link w:val="TableHeadinggreen"/>
    <w:uiPriority w:val="11"/>
    <w:rsid w:val="00E06128"/>
    <w:rPr>
      <w:rFonts w:ascii="Arial" w:hAnsi="Arial"/>
      <w:b/>
      <w:color w:val="00338D" w:themeColor="accent3"/>
      <w:sz w:val="18"/>
    </w:rPr>
  </w:style>
  <w:style w:type="paragraph" w:styleId="IntenseQuote">
    <w:name w:val="Intense Quote"/>
    <w:basedOn w:val="Normal"/>
    <w:next w:val="Normal"/>
    <w:link w:val="IntenseQuoteChar"/>
    <w:autoRedefine/>
    <w:uiPriority w:val="99"/>
    <w:semiHidden/>
    <w:qFormat/>
    <w:rsid w:val="009C45A4"/>
    <w:pPr>
      <w:pBdr>
        <w:top w:val="single" w:sz="4" w:space="10" w:color="DFB558" w:themeColor="accent1"/>
        <w:bottom w:val="single" w:sz="4" w:space="10" w:color="DFB558" w:themeColor="accent1"/>
      </w:pBdr>
      <w:spacing w:before="360" w:after="360"/>
      <w:ind w:left="864" w:right="864"/>
      <w:jc w:val="center"/>
    </w:pPr>
    <w:rPr>
      <w:rFonts w:asciiTheme="minorHAnsi" w:hAnsiTheme="minorHAnsi"/>
      <w:i/>
      <w:iCs/>
      <w:color w:val="5271FF" w:themeColor="text2"/>
    </w:rPr>
  </w:style>
  <w:style w:type="character" w:customStyle="1" w:styleId="IntenseQuoteChar">
    <w:name w:val="Intense Quote Char"/>
    <w:basedOn w:val="DefaultParagraphFont"/>
    <w:link w:val="IntenseQuote"/>
    <w:uiPriority w:val="99"/>
    <w:semiHidden/>
    <w:rsid w:val="009C45A4"/>
    <w:rPr>
      <w:i/>
      <w:iCs/>
      <w:color w:val="5271FF" w:themeColor="text2"/>
      <w:sz w:val="20"/>
    </w:rPr>
  </w:style>
  <w:style w:type="paragraph" w:customStyle="1" w:styleId="IntroText">
    <w:name w:val="Intro Text"/>
    <w:basedOn w:val="Normal"/>
    <w:autoRedefine/>
    <w:qFormat/>
    <w:rsid w:val="00236CB7"/>
    <w:pPr>
      <w:spacing w:before="600" w:after="480" w:line="276" w:lineRule="auto"/>
    </w:pPr>
    <w:rPr>
      <w:rFonts w:asciiTheme="majorHAnsi" w:eastAsia="Arial" w:hAnsiTheme="majorHAnsi" w:cs="Arial"/>
      <w:color w:val="000000" w:themeColor="text1"/>
      <w:sz w:val="28"/>
      <w:szCs w:val="28"/>
    </w:rPr>
  </w:style>
  <w:style w:type="paragraph" w:customStyle="1" w:styleId="Bannerheading">
    <w:name w:val="Banner heading"/>
    <w:uiPriority w:val="99"/>
    <w:qFormat/>
    <w:rsid w:val="00C32D1B"/>
    <w:rPr>
      <w:rFonts w:ascii="Arial" w:hAnsi="Arial"/>
      <w:b/>
      <w:color w:val="359D9A" w:themeColor="accent2"/>
      <w:sz w:val="56"/>
    </w:rPr>
  </w:style>
  <w:style w:type="paragraph" w:customStyle="1" w:styleId="Subheading">
    <w:name w:val="Subheading"/>
    <w:uiPriority w:val="99"/>
    <w:qFormat/>
    <w:rsid w:val="00C32D1B"/>
    <w:rPr>
      <w:rFonts w:asciiTheme="majorHAnsi" w:eastAsiaTheme="majorEastAsia" w:hAnsiTheme="majorHAnsi" w:cstheme="majorBidi"/>
      <w:b/>
      <w:bCs/>
      <w:color w:val="359D9A" w:themeColor="accent2"/>
      <w:sz w:val="32"/>
      <w:szCs w:val="26"/>
    </w:rPr>
  </w:style>
  <w:style w:type="character" w:styleId="CommentReference">
    <w:name w:val="annotation reference"/>
    <w:basedOn w:val="DefaultParagraphFont"/>
    <w:uiPriority w:val="99"/>
    <w:semiHidden/>
    <w:unhideWhenUsed/>
    <w:rsid w:val="00D966A5"/>
    <w:rPr>
      <w:sz w:val="16"/>
      <w:szCs w:val="16"/>
    </w:rPr>
  </w:style>
  <w:style w:type="paragraph" w:styleId="CommentText">
    <w:name w:val="annotation text"/>
    <w:basedOn w:val="Normal"/>
    <w:link w:val="CommentTextChar"/>
    <w:uiPriority w:val="99"/>
    <w:unhideWhenUsed/>
    <w:rsid w:val="00D966A5"/>
    <w:pPr>
      <w:suppressAutoHyphens/>
      <w:spacing w:before="180" w:after="60"/>
    </w:pPr>
    <w:rPr>
      <w:rFonts w:asciiTheme="minorHAnsi" w:hAnsiTheme="minorHAnsi"/>
      <w:szCs w:val="20"/>
    </w:rPr>
  </w:style>
  <w:style w:type="character" w:customStyle="1" w:styleId="CommentTextChar">
    <w:name w:val="Comment Text Char"/>
    <w:basedOn w:val="DefaultParagraphFont"/>
    <w:link w:val="CommentText"/>
    <w:uiPriority w:val="99"/>
    <w:rsid w:val="00D966A5"/>
    <w:rPr>
      <w:sz w:val="20"/>
      <w:szCs w:val="20"/>
    </w:rPr>
  </w:style>
  <w:style w:type="paragraph" w:styleId="Caption">
    <w:name w:val="caption"/>
    <w:basedOn w:val="Normal"/>
    <w:next w:val="Normal"/>
    <w:uiPriority w:val="35"/>
    <w:unhideWhenUsed/>
    <w:qFormat/>
    <w:rsid w:val="003F2F12"/>
    <w:pPr>
      <w:spacing w:before="0" w:after="200"/>
    </w:pPr>
    <w:rPr>
      <w:i/>
      <w:iCs/>
      <w:sz w:val="18"/>
      <w:szCs w:val="18"/>
    </w:rPr>
  </w:style>
  <w:style w:type="table" w:styleId="GridTable1Light-Accent2">
    <w:name w:val="Grid Table 1 Light Accent 2"/>
    <w:basedOn w:val="TableNormal"/>
    <w:uiPriority w:val="46"/>
    <w:rsid w:val="009028B1"/>
    <w:pPr>
      <w:spacing w:after="0" w:line="240" w:lineRule="auto"/>
    </w:pPr>
    <w:tblPr>
      <w:tblStyleRowBandSize w:val="1"/>
      <w:tblStyleColBandSize w:val="1"/>
      <w:tbl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insideH w:val="single" w:sz="4" w:space="0" w:color="A5E0DE" w:themeColor="accent2" w:themeTint="66"/>
        <w:insideV w:val="single" w:sz="4" w:space="0" w:color="A5E0DE" w:themeColor="accent2" w:themeTint="66"/>
      </w:tblBorders>
    </w:tblPr>
    <w:tblStylePr w:type="firstRow">
      <w:rPr>
        <w:b/>
        <w:bCs/>
      </w:rPr>
      <w:tblPr/>
      <w:tcPr>
        <w:tcBorders>
          <w:bottom w:val="single" w:sz="12" w:space="0" w:color="78D1CE" w:themeColor="accent2" w:themeTint="99"/>
        </w:tcBorders>
      </w:tcPr>
    </w:tblStylePr>
    <w:tblStylePr w:type="lastRow">
      <w:rPr>
        <w:b/>
        <w:bCs/>
      </w:rPr>
      <w:tblPr/>
      <w:tcPr>
        <w:tcBorders>
          <w:top w:val="double" w:sz="2" w:space="0" w:color="78D1CE" w:themeColor="accent2"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BF7843"/>
    <w:pPr>
      <w:suppressAutoHyphens w:val="0"/>
      <w:spacing w:before="120" w:after="120"/>
    </w:pPr>
    <w:rPr>
      <w:rFonts w:ascii="Arial" w:hAnsi="Arial"/>
      <w:b/>
      <w:bCs/>
    </w:rPr>
  </w:style>
  <w:style w:type="character" w:customStyle="1" w:styleId="CommentSubjectChar">
    <w:name w:val="Comment Subject Char"/>
    <w:basedOn w:val="CommentTextChar"/>
    <w:link w:val="CommentSubject"/>
    <w:uiPriority w:val="99"/>
    <w:semiHidden/>
    <w:rsid w:val="00BF7843"/>
    <w:rPr>
      <w:rFonts w:ascii="Arial" w:hAnsi="Arial"/>
      <w:b/>
      <w:bCs/>
      <w:sz w:val="20"/>
      <w:szCs w:val="20"/>
    </w:rPr>
  </w:style>
  <w:style w:type="paragraph" w:customStyle="1" w:styleId="Heading3centred">
    <w:name w:val="Heading 3 centred"/>
    <w:basedOn w:val="Heading3"/>
    <w:link w:val="Heading3centredChar"/>
    <w:uiPriority w:val="99"/>
    <w:qFormat/>
    <w:rsid w:val="003C1B64"/>
    <w:pPr>
      <w:jc w:val="center"/>
    </w:pPr>
    <w:rPr>
      <w:color w:val="AEAAAA" w:themeColor="background2" w:themeShade="BF"/>
    </w:rPr>
  </w:style>
  <w:style w:type="character" w:customStyle="1" w:styleId="Heading3centredChar">
    <w:name w:val="Heading 3 centred Char"/>
    <w:basedOn w:val="Heading3Char"/>
    <w:link w:val="Heading3centred"/>
    <w:uiPriority w:val="99"/>
    <w:rsid w:val="003C1B64"/>
    <w:rPr>
      <w:rFonts w:eastAsiaTheme="majorEastAsia" w:cstheme="majorBidi"/>
      <w:b/>
      <w:color w:val="AEAAAA" w:themeColor="background2" w:themeShade="BF"/>
      <w:sz w:val="24"/>
      <w:szCs w:val="24"/>
    </w:rPr>
  </w:style>
  <w:style w:type="character" w:styleId="Mention">
    <w:name w:val="Mention"/>
    <w:basedOn w:val="DefaultParagraphFont"/>
    <w:uiPriority w:val="99"/>
    <w:unhideWhenUsed/>
    <w:rsid w:val="00064CB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4483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yperlink" Target="https://www.dcceew.gov.au/climate-change/publications/climate-risk-opportunity-management-program-resources" TargetMode="External"/><Relationship Id="rId26" Type="http://schemas.openxmlformats.org/officeDocument/2006/relationships/hyperlink" Target="https://www.cefc.com.au/document?file=/media/d3dodzn3/cefc_annualreport2023-24.pdf" TargetMode="External"/><Relationship Id="rId39" Type="http://schemas.openxmlformats.org/officeDocument/2006/relationships/hyperlink" Target="mailto:ClimateAction@finance.gov.au" TargetMode="External"/><Relationship Id="rId21" Type="http://schemas.openxmlformats.org/officeDocument/2006/relationships/diagramQuickStyle" Target="diagrams/quickStyle2.xml"/><Relationship Id="rId34" Type="http://schemas.openxmlformats.org/officeDocument/2006/relationships/hyperlink" Target="https://www.ipart.nsw.gov.au/sites/default/files/cm9_documents/2024-Pricing-proposal-Sydney-Water-Chapter-3-NSW-Climate-Risk-Ready-Guide.PDF"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cceew.gov.au/sites/default/files/documents/climate-risk-management.pdf" TargetMode="External"/><Relationship Id="rId29"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s://www.defence.gov.au/about/accessing-information/annual-reports" TargetMode="External"/><Relationship Id="rId32" Type="http://schemas.openxmlformats.org/officeDocument/2006/relationships/hyperlink" Target="https://www.dcceew.gov.au/climate-change/publications/climate-risk-opportunity-management-program-resources" TargetMode="External"/><Relationship Id="rId37" Type="http://schemas.openxmlformats.org/officeDocument/2006/relationships/hyperlink" Target="https://www.dcceew.gov.au/climate-change/publications/climate-risk-opportunity-management-program-resources"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nao.gov.au/work/annual-report/anao-annual-report-2023-24" TargetMode="External"/><Relationship Id="rId23" Type="http://schemas.microsoft.com/office/2007/relationships/diagramDrawing" Target="diagrams/drawing2.xml"/><Relationship Id="rId28" Type="http://schemas.openxmlformats.org/officeDocument/2006/relationships/diagramLayout" Target="diagrams/layout3.xml"/><Relationship Id="rId36" Type="http://schemas.openxmlformats.org/officeDocument/2006/relationships/hyperlink" Target="https://www.dcceew.gov.au/climate-change/publications/climate-risk-opportunity-management-program-resources" TargetMode="External"/><Relationship Id="rId10" Type="http://schemas.openxmlformats.org/officeDocument/2006/relationships/diagramLayout" Target="diagrams/layout1.xml"/><Relationship Id="rId19" Type="http://schemas.openxmlformats.org/officeDocument/2006/relationships/diagramData" Target="diagrams/data2.xml"/><Relationship Id="rId31" Type="http://schemas.microsoft.com/office/2007/relationships/diagramDrawing" Target="diagrams/drawing3.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s://www.dcceew.gov.au/sites/default/files/documents/dcceew-2023-24-annual-report.pdf" TargetMode="External"/><Relationship Id="rId22" Type="http://schemas.openxmlformats.org/officeDocument/2006/relationships/diagramColors" Target="diagrams/colors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hyperlink" Target="https://www.dcceew.gov.au/sites/default/files/documents/climate-risk-management.pdf" TargetMode="External"/><Relationship Id="rId43" Type="http://schemas.openxmlformats.org/officeDocument/2006/relationships/footer" Target="footer2.xml"/><Relationship Id="rId8" Type="http://schemas.openxmlformats.org/officeDocument/2006/relationships/hyperlink" Target="https://www.finance.gov.au/government/climate-action-government-operations/application-guidance"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hyperlink" Target="https://www.dcceew.gov.au/climate-change/policy/adaptation/climate-risk-opportunity-management-program" TargetMode="External"/><Relationship Id="rId25" Type="http://schemas.openxmlformats.org/officeDocument/2006/relationships/hyperlink" Target="https://www.dcceew.gov.au/sites/default/files/documents/dcceew-2023-24-annual-report.pdf" TargetMode="External"/><Relationship Id="rId33" Type="http://schemas.openxmlformats.org/officeDocument/2006/relationships/hyperlink" Target="https://www.dcceew.gov.au/climate-change/publications/climate-risk-opportunity-management-program-resources" TargetMode="External"/><Relationship Id="rId38" Type="http://schemas.openxmlformats.org/officeDocument/2006/relationships/hyperlink" Target="https://assets.bbhub.io/company/sites/60/2020/09/2020-TCFD_Guidance-Risk-Management-Integration-and-Disclosure.pdf" TargetMode="External"/><Relationship Id="rId20" Type="http://schemas.openxmlformats.org/officeDocument/2006/relationships/diagramLayout" Target="diagrams/layout2.xml"/><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F1D7F8-A934-4396-8AA6-B74123D0075E}" type="doc">
      <dgm:prSet loTypeId="urn:microsoft.com/office/officeart/2005/8/layout/process4" loCatId="process" qsTypeId="urn:microsoft.com/office/officeart/2005/8/quickstyle/simple1" qsCatId="simple" csTypeId="urn:microsoft.com/office/officeart/2005/8/colors/colorful2" csCatId="colorful" phldr="1"/>
      <dgm:spPr/>
      <dgm:t>
        <a:bodyPr/>
        <a:lstStyle/>
        <a:p>
          <a:endParaRPr lang="en-AU"/>
        </a:p>
      </dgm:t>
    </dgm:pt>
    <dgm:pt modelId="{00BF4424-821C-4EE8-B167-E38A5AF00AD7}">
      <dgm:prSet phldrT="[Text]" custT="1"/>
      <dgm:spPr/>
      <dgm:t>
        <a:bodyPr/>
        <a:lstStyle/>
        <a:p>
          <a:r>
            <a:rPr lang="en-AU" sz="1000"/>
            <a:t>The processes and related policies used to identify, assess, prioritise, manage and monitor </a:t>
          </a:r>
          <a:br>
            <a:rPr lang="en-AU" sz="1000"/>
          </a:br>
          <a:r>
            <a:rPr lang="en-AU" sz="1000"/>
            <a:t>climate-related risks</a:t>
          </a:r>
        </a:p>
      </dgm:t>
    </dgm:pt>
    <dgm:pt modelId="{715057C7-6BE8-48D4-BF50-25CFC9E7227F}" type="parTrans" cxnId="{16165B0A-80F5-482A-B851-4ADD447CEFA9}">
      <dgm:prSet/>
      <dgm:spPr/>
      <dgm:t>
        <a:bodyPr/>
        <a:lstStyle/>
        <a:p>
          <a:endParaRPr lang="en-AU"/>
        </a:p>
      </dgm:t>
    </dgm:pt>
    <dgm:pt modelId="{E638A02E-858F-4BA6-987F-E4225A0CC964}" type="sibTrans" cxnId="{16165B0A-80F5-482A-B851-4ADD447CEFA9}">
      <dgm:prSet/>
      <dgm:spPr/>
      <dgm:t>
        <a:bodyPr/>
        <a:lstStyle/>
        <a:p>
          <a:endParaRPr lang="en-AU"/>
        </a:p>
      </dgm:t>
    </dgm:pt>
    <dgm:pt modelId="{4B72AD53-4CE2-4C37-82DB-C10301D288AF}">
      <dgm:prSet phldrT="[Text]" custT="1"/>
      <dgm:spPr/>
      <dgm:t>
        <a:bodyPr/>
        <a:lstStyle/>
        <a:p>
          <a:r>
            <a:rPr lang="en-AU" sz="1000"/>
            <a:t>Whether and how those processes are integrated into the overall risk management framework</a:t>
          </a:r>
        </a:p>
      </dgm:t>
    </dgm:pt>
    <dgm:pt modelId="{CB68F530-A94D-4EDD-A669-29F51B8FA17C}" type="parTrans" cxnId="{7846F983-3F46-49BE-B4F0-F13E9F836512}">
      <dgm:prSet/>
      <dgm:spPr/>
      <dgm:t>
        <a:bodyPr/>
        <a:lstStyle/>
        <a:p>
          <a:endParaRPr lang="en-AU"/>
        </a:p>
      </dgm:t>
    </dgm:pt>
    <dgm:pt modelId="{EC11F5B6-F191-45B4-A33D-474A588FDEB2}" type="sibTrans" cxnId="{7846F983-3F46-49BE-B4F0-F13E9F836512}">
      <dgm:prSet/>
      <dgm:spPr/>
      <dgm:t>
        <a:bodyPr/>
        <a:lstStyle/>
        <a:p>
          <a:endParaRPr lang="en-AU"/>
        </a:p>
      </dgm:t>
    </dgm:pt>
    <dgm:pt modelId="{E41FB7D0-4460-4076-8BDA-991D2C931726}">
      <dgm:prSet phldrT="[Text]" custT="1"/>
      <dgm:spPr/>
      <dgm:t>
        <a:bodyPr/>
        <a:lstStyle/>
        <a:p>
          <a:r>
            <a:rPr lang="en-AU" sz="1000"/>
            <a:t>The processes and related policies used to identify, assess, prioritise, manage and monitor </a:t>
          </a:r>
          <a:br>
            <a:rPr lang="en-AU" sz="1000"/>
          </a:br>
          <a:r>
            <a:rPr lang="en-AU" sz="1000"/>
            <a:t>climate-related opportunities</a:t>
          </a:r>
        </a:p>
      </dgm:t>
    </dgm:pt>
    <dgm:pt modelId="{342257E9-5DC2-4367-A645-32CE6CDCCC91}" type="parTrans" cxnId="{05FC7ACF-B920-495D-B550-6E4C3917160F}">
      <dgm:prSet/>
      <dgm:spPr/>
      <dgm:t>
        <a:bodyPr/>
        <a:lstStyle/>
        <a:p>
          <a:endParaRPr lang="en-AU"/>
        </a:p>
      </dgm:t>
    </dgm:pt>
    <dgm:pt modelId="{DD5BFF0E-8A1C-445A-91E1-0BB4EDFCE534}" type="sibTrans" cxnId="{05FC7ACF-B920-495D-B550-6E4C3917160F}">
      <dgm:prSet/>
      <dgm:spPr/>
      <dgm:t>
        <a:bodyPr/>
        <a:lstStyle/>
        <a:p>
          <a:endParaRPr lang="en-AU"/>
        </a:p>
      </dgm:t>
    </dgm:pt>
    <dgm:pt modelId="{67F0B56A-2413-4FE4-9759-3A1E71A1CAE1}" type="pres">
      <dgm:prSet presAssocID="{56F1D7F8-A934-4396-8AA6-B74123D0075E}" presName="Name0" presStyleCnt="0">
        <dgm:presLayoutVars>
          <dgm:dir/>
          <dgm:animLvl val="lvl"/>
          <dgm:resizeHandles val="exact"/>
        </dgm:presLayoutVars>
      </dgm:prSet>
      <dgm:spPr/>
    </dgm:pt>
    <dgm:pt modelId="{6C08EF81-50C6-47D8-9D4E-526C3314CA18}" type="pres">
      <dgm:prSet presAssocID="{4B72AD53-4CE2-4C37-82DB-C10301D288AF}" presName="boxAndChildren" presStyleCnt="0"/>
      <dgm:spPr/>
    </dgm:pt>
    <dgm:pt modelId="{AB5EBCDA-F4CF-4E71-9820-3085C1CCF624}" type="pres">
      <dgm:prSet presAssocID="{4B72AD53-4CE2-4C37-82DB-C10301D288AF}" presName="parentTextBox" presStyleLbl="node1" presStyleIdx="0" presStyleCnt="3"/>
      <dgm:spPr/>
    </dgm:pt>
    <dgm:pt modelId="{823BBFD7-9880-4C86-959C-A0FF41AAB09A}" type="pres">
      <dgm:prSet presAssocID="{DD5BFF0E-8A1C-445A-91E1-0BB4EDFCE534}" presName="sp" presStyleCnt="0"/>
      <dgm:spPr/>
    </dgm:pt>
    <dgm:pt modelId="{39291E6D-EDAD-4406-87D7-F3203127FEF7}" type="pres">
      <dgm:prSet presAssocID="{E41FB7D0-4460-4076-8BDA-991D2C931726}" presName="arrowAndChildren" presStyleCnt="0"/>
      <dgm:spPr/>
    </dgm:pt>
    <dgm:pt modelId="{99C4F926-3E93-455A-8622-EF1AA5401E9F}" type="pres">
      <dgm:prSet presAssocID="{E41FB7D0-4460-4076-8BDA-991D2C931726}" presName="parentTextArrow" presStyleLbl="node1" presStyleIdx="1" presStyleCnt="3"/>
      <dgm:spPr/>
    </dgm:pt>
    <dgm:pt modelId="{E2DD0716-24C4-4087-8005-597AB7656824}" type="pres">
      <dgm:prSet presAssocID="{E638A02E-858F-4BA6-987F-E4225A0CC964}" presName="sp" presStyleCnt="0"/>
      <dgm:spPr/>
    </dgm:pt>
    <dgm:pt modelId="{CA8ED04C-6943-4F4B-A440-D8B4ECEAF387}" type="pres">
      <dgm:prSet presAssocID="{00BF4424-821C-4EE8-B167-E38A5AF00AD7}" presName="arrowAndChildren" presStyleCnt="0"/>
      <dgm:spPr/>
    </dgm:pt>
    <dgm:pt modelId="{36E2B9DB-769D-46C2-8997-E93AE9C641FF}" type="pres">
      <dgm:prSet presAssocID="{00BF4424-821C-4EE8-B167-E38A5AF00AD7}" presName="parentTextArrow" presStyleLbl="node1" presStyleIdx="2" presStyleCnt="3"/>
      <dgm:spPr/>
    </dgm:pt>
  </dgm:ptLst>
  <dgm:cxnLst>
    <dgm:cxn modelId="{16165B0A-80F5-482A-B851-4ADD447CEFA9}" srcId="{56F1D7F8-A934-4396-8AA6-B74123D0075E}" destId="{00BF4424-821C-4EE8-B167-E38A5AF00AD7}" srcOrd="0" destOrd="0" parTransId="{715057C7-6BE8-48D4-BF50-25CFC9E7227F}" sibTransId="{E638A02E-858F-4BA6-987F-E4225A0CC964}"/>
    <dgm:cxn modelId="{E422F50D-754A-42B7-8377-CC83E3EB0067}" type="presOf" srcId="{56F1D7F8-A934-4396-8AA6-B74123D0075E}" destId="{67F0B56A-2413-4FE4-9759-3A1E71A1CAE1}" srcOrd="0" destOrd="0" presId="urn:microsoft.com/office/officeart/2005/8/layout/process4"/>
    <dgm:cxn modelId="{ED7E915A-C041-4DD1-82FD-CC7E1C1E7DB7}" type="presOf" srcId="{4B72AD53-4CE2-4C37-82DB-C10301D288AF}" destId="{AB5EBCDA-F4CF-4E71-9820-3085C1CCF624}" srcOrd="0" destOrd="0" presId="urn:microsoft.com/office/officeart/2005/8/layout/process4"/>
    <dgm:cxn modelId="{7846F983-3F46-49BE-B4F0-F13E9F836512}" srcId="{56F1D7F8-A934-4396-8AA6-B74123D0075E}" destId="{4B72AD53-4CE2-4C37-82DB-C10301D288AF}" srcOrd="2" destOrd="0" parTransId="{CB68F530-A94D-4EDD-A669-29F51B8FA17C}" sibTransId="{EC11F5B6-F191-45B4-A33D-474A588FDEB2}"/>
    <dgm:cxn modelId="{A16445CB-2B8A-4B19-9F82-E9F14C20F411}" type="presOf" srcId="{00BF4424-821C-4EE8-B167-E38A5AF00AD7}" destId="{36E2B9DB-769D-46C2-8997-E93AE9C641FF}" srcOrd="0" destOrd="0" presId="urn:microsoft.com/office/officeart/2005/8/layout/process4"/>
    <dgm:cxn modelId="{05FC7ACF-B920-495D-B550-6E4C3917160F}" srcId="{56F1D7F8-A934-4396-8AA6-B74123D0075E}" destId="{E41FB7D0-4460-4076-8BDA-991D2C931726}" srcOrd="1" destOrd="0" parTransId="{342257E9-5DC2-4367-A645-32CE6CDCCC91}" sibTransId="{DD5BFF0E-8A1C-445A-91E1-0BB4EDFCE534}"/>
    <dgm:cxn modelId="{32ECA3DC-2355-4CE5-AA0D-72847F1416D2}" type="presOf" srcId="{E41FB7D0-4460-4076-8BDA-991D2C931726}" destId="{99C4F926-3E93-455A-8622-EF1AA5401E9F}" srcOrd="0" destOrd="0" presId="urn:microsoft.com/office/officeart/2005/8/layout/process4"/>
    <dgm:cxn modelId="{DB9AAF21-A38C-4029-B24A-79E69114FBD3}" type="presParOf" srcId="{67F0B56A-2413-4FE4-9759-3A1E71A1CAE1}" destId="{6C08EF81-50C6-47D8-9D4E-526C3314CA18}" srcOrd="0" destOrd="0" presId="urn:microsoft.com/office/officeart/2005/8/layout/process4"/>
    <dgm:cxn modelId="{560DE3BE-11BD-4363-A80A-23B3DC79FBD4}" type="presParOf" srcId="{6C08EF81-50C6-47D8-9D4E-526C3314CA18}" destId="{AB5EBCDA-F4CF-4E71-9820-3085C1CCF624}" srcOrd="0" destOrd="0" presId="urn:microsoft.com/office/officeart/2005/8/layout/process4"/>
    <dgm:cxn modelId="{353BD70E-B2D1-4718-9B6A-244545CB2962}" type="presParOf" srcId="{67F0B56A-2413-4FE4-9759-3A1E71A1CAE1}" destId="{823BBFD7-9880-4C86-959C-A0FF41AAB09A}" srcOrd="1" destOrd="0" presId="urn:microsoft.com/office/officeart/2005/8/layout/process4"/>
    <dgm:cxn modelId="{12C2354C-E899-468D-8DA5-D819C0A8DF62}" type="presParOf" srcId="{67F0B56A-2413-4FE4-9759-3A1E71A1CAE1}" destId="{39291E6D-EDAD-4406-87D7-F3203127FEF7}" srcOrd="2" destOrd="0" presId="urn:microsoft.com/office/officeart/2005/8/layout/process4"/>
    <dgm:cxn modelId="{EF2897BD-2DBD-42B8-88C3-F39167FF9E72}" type="presParOf" srcId="{39291E6D-EDAD-4406-87D7-F3203127FEF7}" destId="{99C4F926-3E93-455A-8622-EF1AA5401E9F}" srcOrd="0" destOrd="0" presId="urn:microsoft.com/office/officeart/2005/8/layout/process4"/>
    <dgm:cxn modelId="{133BC206-B40C-4A0B-A472-328F5A721713}" type="presParOf" srcId="{67F0B56A-2413-4FE4-9759-3A1E71A1CAE1}" destId="{E2DD0716-24C4-4087-8005-597AB7656824}" srcOrd="3" destOrd="0" presId="urn:microsoft.com/office/officeart/2005/8/layout/process4"/>
    <dgm:cxn modelId="{F83B69BD-81C3-4577-85AD-D598907D2860}" type="presParOf" srcId="{67F0B56A-2413-4FE4-9759-3A1E71A1CAE1}" destId="{CA8ED04C-6943-4F4B-A440-D8B4ECEAF387}" srcOrd="4" destOrd="0" presId="urn:microsoft.com/office/officeart/2005/8/layout/process4"/>
    <dgm:cxn modelId="{ADC838D3-1CA5-4D04-BC57-28B76ECD1B14}" type="presParOf" srcId="{CA8ED04C-6943-4F4B-A440-D8B4ECEAF387}" destId="{36E2B9DB-769D-46C2-8997-E93AE9C641FF}" srcOrd="0" destOrd="0" presId="urn:microsoft.com/office/officeart/2005/8/layout/process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047E26-026F-4F64-B830-CD72FD7169CF}" type="doc">
      <dgm:prSet loTypeId="urn:microsoft.com/office/officeart/2005/8/layout/hProcess11" loCatId="process" qsTypeId="urn:microsoft.com/office/officeart/2005/8/quickstyle/simple1" qsCatId="simple" csTypeId="urn:microsoft.com/office/officeart/2005/8/colors/colorful2" csCatId="colorful" phldr="1"/>
      <dgm:spPr/>
    </dgm:pt>
    <dgm:pt modelId="{FA8DE3B4-6688-453A-9373-BFDEFC7B2764}">
      <dgm:prSet phldrT="[Text]"/>
      <dgm:spPr/>
      <dgm:t>
        <a:bodyPr/>
        <a:lstStyle/>
        <a:p>
          <a:pPr>
            <a:buClr>
              <a:srgbClr val="000000"/>
            </a:buClr>
            <a:buSzPts val="1100"/>
            <a:buFont typeface="Arial" panose="020B0604020202020204" pitchFamily="34" charset="0"/>
            <a:buAutoNum type="arabicPeriod"/>
          </a:pPr>
          <a:r>
            <a:rPr lang="en-AU"/>
            <a:t>1. Scope the assessment</a:t>
          </a:r>
        </a:p>
      </dgm:t>
    </dgm:pt>
    <dgm:pt modelId="{3A815309-8BE8-4840-AB65-EF1EC8CC6874}" type="parTrans" cxnId="{7B569943-A269-4010-BB27-0C8F3BF6544A}">
      <dgm:prSet/>
      <dgm:spPr/>
      <dgm:t>
        <a:bodyPr/>
        <a:lstStyle/>
        <a:p>
          <a:endParaRPr lang="en-AU"/>
        </a:p>
      </dgm:t>
    </dgm:pt>
    <dgm:pt modelId="{6AF53CB7-8FA9-41C9-8016-D6552C69E6AB}" type="sibTrans" cxnId="{7B569943-A269-4010-BB27-0C8F3BF6544A}">
      <dgm:prSet/>
      <dgm:spPr/>
      <dgm:t>
        <a:bodyPr/>
        <a:lstStyle/>
        <a:p>
          <a:endParaRPr lang="en-AU"/>
        </a:p>
      </dgm:t>
    </dgm:pt>
    <dgm:pt modelId="{EEF48649-63D8-40F9-9737-46FBBCDE40B3}">
      <dgm:prSet/>
      <dgm:spPr/>
      <dgm:t>
        <a:bodyPr/>
        <a:lstStyle/>
        <a:p>
          <a:pPr>
            <a:buClr>
              <a:srgbClr val="000000"/>
            </a:buClr>
            <a:buSzPts val="1100"/>
            <a:buFont typeface="Arial" panose="020B0604020202020204" pitchFamily="34" charset="0"/>
            <a:buAutoNum type="arabicPeriod"/>
          </a:pPr>
          <a:r>
            <a:rPr lang="en-AU"/>
            <a:t>2. Consider current and future state</a:t>
          </a:r>
        </a:p>
      </dgm:t>
    </dgm:pt>
    <dgm:pt modelId="{B561B342-70B2-4018-9887-A55810A997ED}" type="parTrans" cxnId="{C8F6151C-98BE-4060-8955-7638FFC625C6}">
      <dgm:prSet/>
      <dgm:spPr/>
      <dgm:t>
        <a:bodyPr/>
        <a:lstStyle/>
        <a:p>
          <a:endParaRPr lang="en-AU"/>
        </a:p>
      </dgm:t>
    </dgm:pt>
    <dgm:pt modelId="{BADB4C88-2108-4895-B567-8FD98998655C}" type="sibTrans" cxnId="{C8F6151C-98BE-4060-8955-7638FFC625C6}">
      <dgm:prSet/>
      <dgm:spPr/>
      <dgm:t>
        <a:bodyPr/>
        <a:lstStyle/>
        <a:p>
          <a:endParaRPr lang="en-AU"/>
        </a:p>
      </dgm:t>
    </dgm:pt>
    <dgm:pt modelId="{7244EEDE-781F-405B-A1E9-9E006217CADE}">
      <dgm:prSet/>
      <dgm:spPr/>
      <dgm:t>
        <a:bodyPr/>
        <a:lstStyle/>
        <a:p>
          <a:pPr>
            <a:buClr>
              <a:srgbClr val="000000"/>
            </a:buClr>
            <a:buSzPts val="1100"/>
            <a:buFont typeface="Arial" panose="020B0604020202020204" pitchFamily="34" charset="0"/>
            <a:buAutoNum type="arabicPeriod"/>
          </a:pPr>
          <a:r>
            <a:rPr lang="en-AU"/>
            <a:t>3. Identify your risks and opportunities</a:t>
          </a:r>
        </a:p>
      </dgm:t>
    </dgm:pt>
    <dgm:pt modelId="{02161C22-E003-4EAF-873F-EB96CF63CCB0}" type="parTrans" cxnId="{CD7F654C-4735-4287-A3B8-22EFD380AF72}">
      <dgm:prSet/>
      <dgm:spPr/>
      <dgm:t>
        <a:bodyPr/>
        <a:lstStyle/>
        <a:p>
          <a:endParaRPr lang="en-AU"/>
        </a:p>
      </dgm:t>
    </dgm:pt>
    <dgm:pt modelId="{AA0687DC-D69C-400B-9010-524766B60EDF}" type="sibTrans" cxnId="{CD7F654C-4735-4287-A3B8-22EFD380AF72}">
      <dgm:prSet/>
      <dgm:spPr/>
      <dgm:t>
        <a:bodyPr/>
        <a:lstStyle/>
        <a:p>
          <a:endParaRPr lang="en-AU"/>
        </a:p>
      </dgm:t>
    </dgm:pt>
    <dgm:pt modelId="{B24F931C-8E36-41EA-BE5A-DC6C2C26FDC9}">
      <dgm:prSet/>
      <dgm:spPr/>
      <dgm:t>
        <a:bodyPr/>
        <a:lstStyle/>
        <a:p>
          <a:pPr>
            <a:buClr>
              <a:srgbClr val="000000"/>
            </a:buClr>
            <a:buSzPts val="1100"/>
            <a:buFont typeface="Arial" panose="020B0604020202020204" pitchFamily="34" charset="0"/>
            <a:buAutoNum type="arabicPeriod"/>
          </a:pPr>
          <a:r>
            <a:rPr lang="en-AU"/>
            <a:t>4. Prioritise risks and opportunities</a:t>
          </a:r>
        </a:p>
      </dgm:t>
    </dgm:pt>
    <dgm:pt modelId="{E2B03ED6-432A-4ED2-8E35-F281A1D8F405}" type="parTrans" cxnId="{AF0369B2-289C-4532-886C-5687639FAF9C}">
      <dgm:prSet/>
      <dgm:spPr/>
      <dgm:t>
        <a:bodyPr/>
        <a:lstStyle/>
        <a:p>
          <a:endParaRPr lang="en-AU"/>
        </a:p>
      </dgm:t>
    </dgm:pt>
    <dgm:pt modelId="{D8986075-516E-43F6-943D-E802526FCBDE}" type="sibTrans" cxnId="{AF0369B2-289C-4532-886C-5687639FAF9C}">
      <dgm:prSet/>
      <dgm:spPr/>
      <dgm:t>
        <a:bodyPr/>
        <a:lstStyle/>
        <a:p>
          <a:endParaRPr lang="en-AU"/>
        </a:p>
      </dgm:t>
    </dgm:pt>
    <dgm:pt modelId="{A4051A3D-617C-4CF5-8D20-BC5723E032E3}">
      <dgm:prSet/>
      <dgm:spPr/>
      <dgm:t>
        <a:bodyPr/>
        <a:lstStyle/>
        <a:p>
          <a:pPr>
            <a:buClr>
              <a:srgbClr val="000000"/>
            </a:buClr>
            <a:buSzPts val="1100"/>
            <a:buFont typeface="Arial" panose="020B0604020202020204" pitchFamily="34" charset="0"/>
            <a:buAutoNum type="arabicPeriod"/>
          </a:pPr>
          <a:r>
            <a:rPr lang="en-AU"/>
            <a:t>5. Plan and take action</a:t>
          </a:r>
        </a:p>
      </dgm:t>
    </dgm:pt>
    <dgm:pt modelId="{0F3007D7-1C9B-49A4-8EA0-E950CE18E69A}" type="parTrans" cxnId="{6ED66201-A64F-48C7-907C-1EF7D3CAB7EB}">
      <dgm:prSet/>
      <dgm:spPr/>
      <dgm:t>
        <a:bodyPr/>
        <a:lstStyle/>
        <a:p>
          <a:endParaRPr lang="en-AU"/>
        </a:p>
      </dgm:t>
    </dgm:pt>
    <dgm:pt modelId="{36864AD7-3A6A-4EC1-9D35-10E478D38507}" type="sibTrans" cxnId="{6ED66201-A64F-48C7-907C-1EF7D3CAB7EB}">
      <dgm:prSet/>
      <dgm:spPr/>
      <dgm:t>
        <a:bodyPr/>
        <a:lstStyle/>
        <a:p>
          <a:endParaRPr lang="en-AU"/>
        </a:p>
      </dgm:t>
    </dgm:pt>
    <dgm:pt modelId="{B4168784-6B1E-4F84-9968-5F30A85DE5EF}">
      <dgm:prSet/>
      <dgm:spPr/>
      <dgm:t>
        <a:bodyPr/>
        <a:lstStyle/>
        <a:p>
          <a:pPr>
            <a:buClr>
              <a:srgbClr val="000000"/>
            </a:buClr>
            <a:buSzPts val="1100"/>
            <a:buFont typeface="Arial" panose="020B0604020202020204" pitchFamily="34" charset="0"/>
            <a:buAutoNum type="arabicPeriod"/>
          </a:pPr>
          <a:r>
            <a:rPr lang="en-AU"/>
            <a:t>6. Monitor, evaluate and communicate.</a:t>
          </a:r>
        </a:p>
      </dgm:t>
    </dgm:pt>
    <dgm:pt modelId="{1F2E5511-1D53-4C37-B088-B4DC2A5E8224}" type="parTrans" cxnId="{DD3348FF-D406-4194-AE40-47F53FCA5EB5}">
      <dgm:prSet/>
      <dgm:spPr/>
      <dgm:t>
        <a:bodyPr/>
        <a:lstStyle/>
        <a:p>
          <a:endParaRPr lang="en-AU"/>
        </a:p>
      </dgm:t>
    </dgm:pt>
    <dgm:pt modelId="{862CD6A5-7C15-46C0-A693-0450D686D624}" type="sibTrans" cxnId="{DD3348FF-D406-4194-AE40-47F53FCA5EB5}">
      <dgm:prSet/>
      <dgm:spPr/>
      <dgm:t>
        <a:bodyPr/>
        <a:lstStyle/>
        <a:p>
          <a:endParaRPr lang="en-AU"/>
        </a:p>
      </dgm:t>
    </dgm:pt>
    <dgm:pt modelId="{BF377A09-2D21-4E60-A358-F513E682D555}" type="pres">
      <dgm:prSet presAssocID="{08047E26-026F-4F64-B830-CD72FD7169CF}" presName="Name0" presStyleCnt="0">
        <dgm:presLayoutVars>
          <dgm:dir/>
          <dgm:resizeHandles val="exact"/>
        </dgm:presLayoutVars>
      </dgm:prSet>
      <dgm:spPr/>
    </dgm:pt>
    <dgm:pt modelId="{B6C16645-AE94-4D6C-9B56-0E8840475C41}" type="pres">
      <dgm:prSet presAssocID="{08047E26-026F-4F64-B830-CD72FD7169CF}" presName="arrow" presStyleLbl="bgShp" presStyleIdx="0" presStyleCnt="1"/>
      <dgm:spPr/>
    </dgm:pt>
    <dgm:pt modelId="{8583461F-F175-4EE5-9A2C-70E023C763FF}" type="pres">
      <dgm:prSet presAssocID="{08047E26-026F-4F64-B830-CD72FD7169CF}" presName="points" presStyleCnt="0"/>
      <dgm:spPr/>
    </dgm:pt>
    <dgm:pt modelId="{B7939C3A-AB2F-40BC-983A-1004C5D00E5D}" type="pres">
      <dgm:prSet presAssocID="{FA8DE3B4-6688-453A-9373-BFDEFC7B2764}" presName="compositeA" presStyleCnt="0"/>
      <dgm:spPr/>
    </dgm:pt>
    <dgm:pt modelId="{25D4EB3C-0DA1-4D66-A67C-77D47F031C5E}" type="pres">
      <dgm:prSet presAssocID="{FA8DE3B4-6688-453A-9373-BFDEFC7B2764}" presName="textA" presStyleLbl="revTx" presStyleIdx="0" presStyleCnt="6">
        <dgm:presLayoutVars>
          <dgm:bulletEnabled val="1"/>
        </dgm:presLayoutVars>
      </dgm:prSet>
      <dgm:spPr/>
    </dgm:pt>
    <dgm:pt modelId="{0680DD19-639E-498B-9985-C295A5EDECFA}" type="pres">
      <dgm:prSet presAssocID="{FA8DE3B4-6688-453A-9373-BFDEFC7B2764}" presName="circleA" presStyleLbl="node1" presStyleIdx="0" presStyleCnt="6"/>
      <dgm:spPr/>
    </dgm:pt>
    <dgm:pt modelId="{30B4A6AA-70FC-4722-AADC-A0F5746A6568}" type="pres">
      <dgm:prSet presAssocID="{FA8DE3B4-6688-453A-9373-BFDEFC7B2764}" presName="spaceA" presStyleCnt="0"/>
      <dgm:spPr/>
    </dgm:pt>
    <dgm:pt modelId="{873E5867-3D57-4499-A52D-9516BF5EDFFC}" type="pres">
      <dgm:prSet presAssocID="{6AF53CB7-8FA9-41C9-8016-D6552C69E6AB}" presName="space" presStyleCnt="0"/>
      <dgm:spPr/>
    </dgm:pt>
    <dgm:pt modelId="{522A5E76-ADF8-4C41-8052-AA4257DF75F7}" type="pres">
      <dgm:prSet presAssocID="{EEF48649-63D8-40F9-9737-46FBBCDE40B3}" presName="compositeB" presStyleCnt="0"/>
      <dgm:spPr/>
    </dgm:pt>
    <dgm:pt modelId="{E2A2D4E9-6CA5-4A85-9721-775E1EB40A43}" type="pres">
      <dgm:prSet presAssocID="{EEF48649-63D8-40F9-9737-46FBBCDE40B3}" presName="textB" presStyleLbl="revTx" presStyleIdx="1" presStyleCnt="6">
        <dgm:presLayoutVars>
          <dgm:bulletEnabled val="1"/>
        </dgm:presLayoutVars>
      </dgm:prSet>
      <dgm:spPr/>
    </dgm:pt>
    <dgm:pt modelId="{00D19972-933D-4F13-9309-129072B2F5BE}" type="pres">
      <dgm:prSet presAssocID="{EEF48649-63D8-40F9-9737-46FBBCDE40B3}" presName="circleB" presStyleLbl="node1" presStyleIdx="1" presStyleCnt="6"/>
      <dgm:spPr/>
    </dgm:pt>
    <dgm:pt modelId="{4230823F-B79C-48E8-A56F-1401127B3A2F}" type="pres">
      <dgm:prSet presAssocID="{EEF48649-63D8-40F9-9737-46FBBCDE40B3}" presName="spaceB" presStyleCnt="0"/>
      <dgm:spPr/>
    </dgm:pt>
    <dgm:pt modelId="{2212672F-E7DF-4058-828C-38ECD0C89BD4}" type="pres">
      <dgm:prSet presAssocID="{BADB4C88-2108-4895-B567-8FD98998655C}" presName="space" presStyleCnt="0"/>
      <dgm:spPr/>
    </dgm:pt>
    <dgm:pt modelId="{3D204F74-EB17-430E-A923-FBD5B1C87668}" type="pres">
      <dgm:prSet presAssocID="{7244EEDE-781F-405B-A1E9-9E006217CADE}" presName="compositeA" presStyleCnt="0"/>
      <dgm:spPr/>
    </dgm:pt>
    <dgm:pt modelId="{A4ADAB33-910C-4E4E-8D15-C8EBEB17F2FD}" type="pres">
      <dgm:prSet presAssocID="{7244EEDE-781F-405B-A1E9-9E006217CADE}" presName="textA" presStyleLbl="revTx" presStyleIdx="2" presStyleCnt="6">
        <dgm:presLayoutVars>
          <dgm:bulletEnabled val="1"/>
        </dgm:presLayoutVars>
      </dgm:prSet>
      <dgm:spPr/>
    </dgm:pt>
    <dgm:pt modelId="{5B2FFD8E-4DE5-4916-BF35-B6FA0F968637}" type="pres">
      <dgm:prSet presAssocID="{7244EEDE-781F-405B-A1E9-9E006217CADE}" presName="circleA" presStyleLbl="node1" presStyleIdx="2" presStyleCnt="6"/>
      <dgm:spPr/>
    </dgm:pt>
    <dgm:pt modelId="{E498E0DC-9E19-40FC-96ED-4E183E642EB8}" type="pres">
      <dgm:prSet presAssocID="{7244EEDE-781F-405B-A1E9-9E006217CADE}" presName="spaceA" presStyleCnt="0"/>
      <dgm:spPr/>
    </dgm:pt>
    <dgm:pt modelId="{A18D2C2C-3ABA-41EB-89CB-D4E8A242AE31}" type="pres">
      <dgm:prSet presAssocID="{AA0687DC-D69C-400B-9010-524766B60EDF}" presName="space" presStyleCnt="0"/>
      <dgm:spPr/>
    </dgm:pt>
    <dgm:pt modelId="{341E14E5-8788-49B7-951F-5FCE371985F7}" type="pres">
      <dgm:prSet presAssocID="{B24F931C-8E36-41EA-BE5A-DC6C2C26FDC9}" presName="compositeB" presStyleCnt="0"/>
      <dgm:spPr/>
    </dgm:pt>
    <dgm:pt modelId="{B40C5C49-503E-4789-BB7A-1791410B9906}" type="pres">
      <dgm:prSet presAssocID="{B24F931C-8E36-41EA-BE5A-DC6C2C26FDC9}" presName="textB" presStyleLbl="revTx" presStyleIdx="3" presStyleCnt="6">
        <dgm:presLayoutVars>
          <dgm:bulletEnabled val="1"/>
        </dgm:presLayoutVars>
      </dgm:prSet>
      <dgm:spPr/>
    </dgm:pt>
    <dgm:pt modelId="{1491FF68-6C79-4A4A-BA84-80FDA5F6EF9D}" type="pres">
      <dgm:prSet presAssocID="{B24F931C-8E36-41EA-BE5A-DC6C2C26FDC9}" presName="circleB" presStyleLbl="node1" presStyleIdx="3" presStyleCnt="6"/>
      <dgm:spPr/>
    </dgm:pt>
    <dgm:pt modelId="{399AC6C3-C36E-4444-891E-ADB03738FB4C}" type="pres">
      <dgm:prSet presAssocID="{B24F931C-8E36-41EA-BE5A-DC6C2C26FDC9}" presName="spaceB" presStyleCnt="0"/>
      <dgm:spPr/>
    </dgm:pt>
    <dgm:pt modelId="{8214E76C-1066-4D9D-B2DF-77F02739C792}" type="pres">
      <dgm:prSet presAssocID="{D8986075-516E-43F6-943D-E802526FCBDE}" presName="space" presStyleCnt="0"/>
      <dgm:spPr/>
    </dgm:pt>
    <dgm:pt modelId="{D1E3B99D-503E-421B-B5BD-A439B77C97CB}" type="pres">
      <dgm:prSet presAssocID="{A4051A3D-617C-4CF5-8D20-BC5723E032E3}" presName="compositeA" presStyleCnt="0"/>
      <dgm:spPr/>
    </dgm:pt>
    <dgm:pt modelId="{67BEC738-43B3-4088-948A-50D0F40DEE18}" type="pres">
      <dgm:prSet presAssocID="{A4051A3D-617C-4CF5-8D20-BC5723E032E3}" presName="textA" presStyleLbl="revTx" presStyleIdx="4" presStyleCnt="6">
        <dgm:presLayoutVars>
          <dgm:bulletEnabled val="1"/>
        </dgm:presLayoutVars>
      </dgm:prSet>
      <dgm:spPr/>
    </dgm:pt>
    <dgm:pt modelId="{F169D0C2-E373-41F3-B2F2-F7F961C66C80}" type="pres">
      <dgm:prSet presAssocID="{A4051A3D-617C-4CF5-8D20-BC5723E032E3}" presName="circleA" presStyleLbl="node1" presStyleIdx="4" presStyleCnt="6"/>
      <dgm:spPr/>
    </dgm:pt>
    <dgm:pt modelId="{CB5A4C0C-6D4A-48D7-8074-8ACF66BE9A2E}" type="pres">
      <dgm:prSet presAssocID="{A4051A3D-617C-4CF5-8D20-BC5723E032E3}" presName="spaceA" presStyleCnt="0"/>
      <dgm:spPr/>
    </dgm:pt>
    <dgm:pt modelId="{C3FF228A-2CBF-499F-892E-E569BECFA060}" type="pres">
      <dgm:prSet presAssocID="{36864AD7-3A6A-4EC1-9D35-10E478D38507}" presName="space" presStyleCnt="0"/>
      <dgm:spPr/>
    </dgm:pt>
    <dgm:pt modelId="{CD79723E-6636-4A98-BF3A-8C46386AB241}" type="pres">
      <dgm:prSet presAssocID="{B4168784-6B1E-4F84-9968-5F30A85DE5EF}" presName="compositeB" presStyleCnt="0"/>
      <dgm:spPr/>
    </dgm:pt>
    <dgm:pt modelId="{0E81ED88-B49F-4E5F-872D-10811B0CB757}" type="pres">
      <dgm:prSet presAssocID="{B4168784-6B1E-4F84-9968-5F30A85DE5EF}" presName="textB" presStyleLbl="revTx" presStyleIdx="5" presStyleCnt="6">
        <dgm:presLayoutVars>
          <dgm:bulletEnabled val="1"/>
        </dgm:presLayoutVars>
      </dgm:prSet>
      <dgm:spPr/>
    </dgm:pt>
    <dgm:pt modelId="{6EEE8215-E69B-4834-990E-DA90152B8FE3}" type="pres">
      <dgm:prSet presAssocID="{B4168784-6B1E-4F84-9968-5F30A85DE5EF}" presName="circleB" presStyleLbl="node1" presStyleIdx="5" presStyleCnt="6"/>
      <dgm:spPr/>
    </dgm:pt>
    <dgm:pt modelId="{0DAEA917-9440-4293-9A61-9F57A7123F56}" type="pres">
      <dgm:prSet presAssocID="{B4168784-6B1E-4F84-9968-5F30A85DE5EF}" presName="spaceB" presStyleCnt="0"/>
      <dgm:spPr/>
    </dgm:pt>
  </dgm:ptLst>
  <dgm:cxnLst>
    <dgm:cxn modelId="{6ED66201-A64F-48C7-907C-1EF7D3CAB7EB}" srcId="{08047E26-026F-4F64-B830-CD72FD7169CF}" destId="{A4051A3D-617C-4CF5-8D20-BC5723E032E3}" srcOrd="4" destOrd="0" parTransId="{0F3007D7-1C9B-49A4-8EA0-E950CE18E69A}" sibTransId="{36864AD7-3A6A-4EC1-9D35-10E478D38507}"/>
    <dgm:cxn modelId="{C8F6151C-98BE-4060-8955-7638FFC625C6}" srcId="{08047E26-026F-4F64-B830-CD72FD7169CF}" destId="{EEF48649-63D8-40F9-9737-46FBBCDE40B3}" srcOrd="1" destOrd="0" parTransId="{B561B342-70B2-4018-9887-A55810A997ED}" sibTransId="{BADB4C88-2108-4895-B567-8FD98998655C}"/>
    <dgm:cxn modelId="{2249EF21-016B-4283-B47D-9439B189136D}" type="presOf" srcId="{B4168784-6B1E-4F84-9968-5F30A85DE5EF}" destId="{0E81ED88-B49F-4E5F-872D-10811B0CB757}" srcOrd="0" destOrd="0" presId="urn:microsoft.com/office/officeart/2005/8/layout/hProcess11"/>
    <dgm:cxn modelId="{45504A5C-58D8-41FB-94E5-DA73F0C1CE41}" type="presOf" srcId="{FA8DE3B4-6688-453A-9373-BFDEFC7B2764}" destId="{25D4EB3C-0DA1-4D66-A67C-77D47F031C5E}" srcOrd="0" destOrd="0" presId="urn:microsoft.com/office/officeart/2005/8/layout/hProcess11"/>
    <dgm:cxn modelId="{7B569943-A269-4010-BB27-0C8F3BF6544A}" srcId="{08047E26-026F-4F64-B830-CD72FD7169CF}" destId="{FA8DE3B4-6688-453A-9373-BFDEFC7B2764}" srcOrd="0" destOrd="0" parTransId="{3A815309-8BE8-4840-AB65-EF1EC8CC6874}" sibTransId="{6AF53CB7-8FA9-41C9-8016-D6552C69E6AB}"/>
    <dgm:cxn modelId="{CD7F654C-4735-4287-A3B8-22EFD380AF72}" srcId="{08047E26-026F-4F64-B830-CD72FD7169CF}" destId="{7244EEDE-781F-405B-A1E9-9E006217CADE}" srcOrd="2" destOrd="0" parTransId="{02161C22-E003-4EAF-873F-EB96CF63CCB0}" sibTransId="{AA0687DC-D69C-400B-9010-524766B60EDF}"/>
    <dgm:cxn modelId="{786CFD91-F58D-451E-9A01-D78AF053DD66}" type="presOf" srcId="{A4051A3D-617C-4CF5-8D20-BC5723E032E3}" destId="{67BEC738-43B3-4088-948A-50D0F40DEE18}" srcOrd="0" destOrd="0" presId="urn:microsoft.com/office/officeart/2005/8/layout/hProcess11"/>
    <dgm:cxn modelId="{AF0369B2-289C-4532-886C-5687639FAF9C}" srcId="{08047E26-026F-4F64-B830-CD72FD7169CF}" destId="{B24F931C-8E36-41EA-BE5A-DC6C2C26FDC9}" srcOrd="3" destOrd="0" parTransId="{E2B03ED6-432A-4ED2-8E35-F281A1D8F405}" sibTransId="{D8986075-516E-43F6-943D-E802526FCBDE}"/>
    <dgm:cxn modelId="{500571C4-EDFD-47A4-9111-20F20E07AA78}" type="presOf" srcId="{B24F931C-8E36-41EA-BE5A-DC6C2C26FDC9}" destId="{B40C5C49-503E-4789-BB7A-1791410B9906}" srcOrd="0" destOrd="0" presId="urn:microsoft.com/office/officeart/2005/8/layout/hProcess11"/>
    <dgm:cxn modelId="{AC9B64C6-A82C-4FE8-9E06-8E950FCE668C}" type="presOf" srcId="{7244EEDE-781F-405B-A1E9-9E006217CADE}" destId="{A4ADAB33-910C-4E4E-8D15-C8EBEB17F2FD}" srcOrd="0" destOrd="0" presId="urn:microsoft.com/office/officeart/2005/8/layout/hProcess11"/>
    <dgm:cxn modelId="{3188F5ED-7F62-431B-9F4D-2FAEC0533C4D}" type="presOf" srcId="{EEF48649-63D8-40F9-9737-46FBBCDE40B3}" destId="{E2A2D4E9-6CA5-4A85-9721-775E1EB40A43}" srcOrd="0" destOrd="0" presId="urn:microsoft.com/office/officeart/2005/8/layout/hProcess11"/>
    <dgm:cxn modelId="{2306B5F4-3850-4A7F-A6ED-0093A2720E70}" type="presOf" srcId="{08047E26-026F-4F64-B830-CD72FD7169CF}" destId="{BF377A09-2D21-4E60-A358-F513E682D555}" srcOrd="0" destOrd="0" presId="urn:microsoft.com/office/officeart/2005/8/layout/hProcess11"/>
    <dgm:cxn modelId="{DD3348FF-D406-4194-AE40-47F53FCA5EB5}" srcId="{08047E26-026F-4F64-B830-CD72FD7169CF}" destId="{B4168784-6B1E-4F84-9968-5F30A85DE5EF}" srcOrd="5" destOrd="0" parTransId="{1F2E5511-1D53-4C37-B088-B4DC2A5E8224}" sibTransId="{862CD6A5-7C15-46C0-A693-0450D686D624}"/>
    <dgm:cxn modelId="{60FF289A-48B9-4E39-917B-A13F10937F5C}" type="presParOf" srcId="{BF377A09-2D21-4E60-A358-F513E682D555}" destId="{B6C16645-AE94-4D6C-9B56-0E8840475C41}" srcOrd="0" destOrd="0" presId="urn:microsoft.com/office/officeart/2005/8/layout/hProcess11"/>
    <dgm:cxn modelId="{23760DC1-561D-491E-B1F5-C6D5161583B0}" type="presParOf" srcId="{BF377A09-2D21-4E60-A358-F513E682D555}" destId="{8583461F-F175-4EE5-9A2C-70E023C763FF}" srcOrd="1" destOrd="0" presId="urn:microsoft.com/office/officeart/2005/8/layout/hProcess11"/>
    <dgm:cxn modelId="{2315BA16-F1F8-4846-B20C-EA0AB3F94874}" type="presParOf" srcId="{8583461F-F175-4EE5-9A2C-70E023C763FF}" destId="{B7939C3A-AB2F-40BC-983A-1004C5D00E5D}" srcOrd="0" destOrd="0" presId="urn:microsoft.com/office/officeart/2005/8/layout/hProcess11"/>
    <dgm:cxn modelId="{E8A60CB8-E6FD-4A88-A9BD-5418E111049C}" type="presParOf" srcId="{B7939C3A-AB2F-40BC-983A-1004C5D00E5D}" destId="{25D4EB3C-0DA1-4D66-A67C-77D47F031C5E}" srcOrd="0" destOrd="0" presId="urn:microsoft.com/office/officeart/2005/8/layout/hProcess11"/>
    <dgm:cxn modelId="{5D6C2406-00BA-48E9-9102-A4D545FB3E72}" type="presParOf" srcId="{B7939C3A-AB2F-40BC-983A-1004C5D00E5D}" destId="{0680DD19-639E-498B-9985-C295A5EDECFA}" srcOrd="1" destOrd="0" presId="urn:microsoft.com/office/officeart/2005/8/layout/hProcess11"/>
    <dgm:cxn modelId="{6624A341-1B16-4E63-9CD5-DC13E0FE0E1F}" type="presParOf" srcId="{B7939C3A-AB2F-40BC-983A-1004C5D00E5D}" destId="{30B4A6AA-70FC-4722-AADC-A0F5746A6568}" srcOrd="2" destOrd="0" presId="urn:microsoft.com/office/officeart/2005/8/layout/hProcess11"/>
    <dgm:cxn modelId="{766E7666-2532-4253-8414-61434D7A5C84}" type="presParOf" srcId="{8583461F-F175-4EE5-9A2C-70E023C763FF}" destId="{873E5867-3D57-4499-A52D-9516BF5EDFFC}" srcOrd="1" destOrd="0" presId="urn:microsoft.com/office/officeart/2005/8/layout/hProcess11"/>
    <dgm:cxn modelId="{6FC8BF51-0655-402C-B58D-ED88B2CDEE8F}" type="presParOf" srcId="{8583461F-F175-4EE5-9A2C-70E023C763FF}" destId="{522A5E76-ADF8-4C41-8052-AA4257DF75F7}" srcOrd="2" destOrd="0" presId="urn:microsoft.com/office/officeart/2005/8/layout/hProcess11"/>
    <dgm:cxn modelId="{6A3DC4FC-3B90-4F3D-A95E-C4D1D62AC966}" type="presParOf" srcId="{522A5E76-ADF8-4C41-8052-AA4257DF75F7}" destId="{E2A2D4E9-6CA5-4A85-9721-775E1EB40A43}" srcOrd="0" destOrd="0" presId="urn:microsoft.com/office/officeart/2005/8/layout/hProcess11"/>
    <dgm:cxn modelId="{589AB2E6-6918-4D3E-A438-17C4764BB479}" type="presParOf" srcId="{522A5E76-ADF8-4C41-8052-AA4257DF75F7}" destId="{00D19972-933D-4F13-9309-129072B2F5BE}" srcOrd="1" destOrd="0" presId="urn:microsoft.com/office/officeart/2005/8/layout/hProcess11"/>
    <dgm:cxn modelId="{7994BCFE-9A08-46FA-92A3-250731AE450C}" type="presParOf" srcId="{522A5E76-ADF8-4C41-8052-AA4257DF75F7}" destId="{4230823F-B79C-48E8-A56F-1401127B3A2F}" srcOrd="2" destOrd="0" presId="urn:microsoft.com/office/officeart/2005/8/layout/hProcess11"/>
    <dgm:cxn modelId="{043DC5FE-CE62-49F3-83D8-F47CCAB0A360}" type="presParOf" srcId="{8583461F-F175-4EE5-9A2C-70E023C763FF}" destId="{2212672F-E7DF-4058-828C-38ECD0C89BD4}" srcOrd="3" destOrd="0" presId="urn:microsoft.com/office/officeart/2005/8/layout/hProcess11"/>
    <dgm:cxn modelId="{AAF5D048-9E74-47B4-871D-A33F209EC6E1}" type="presParOf" srcId="{8583461F-F175-4EE5-9A2C-70E023C763FF}" destId="{3D204F74-EB17-430E-A923-FBD5B1C87668}" srcOrd="4" destOrd="0" presId="urn:microsoft.com/office/officeart/2005/8/layout/hProcess11"/>
    <dgm:cxn modelId="{C56D5932-28BB-4F78-8E7D-23159ECF1FCA}" type="presParOf" srcId="{3D204F74-EB17-430E-A923-FBD5B1C87668}" destId="{A4ADAB33-910C-4E4E-8D15-C8EBEB17F2FD}" srcOrd="0" destOrd="0" presId="urn:microsoft.com/office/officeart/2005/8/layout/hProcess11"/>
    <dgm:cxn modelId="{C3ACF76F-DE24-415E-AA0D-76DD773A474A}" type="presParOf" srcId="{3D204F74-EB17-430E-A923-FBD5B1C87668}" destId="{5B2FFD8E-4DE5-4916-BF35-B6FA0F968637}" srcOrd="1" destOrd="0" presId="urn:microsoft.com/office/officeart/2005/8/layout/hProcess11"/>
    <dgm:cxn modelId="{670AD26E-0771-4215-93C7-999F0B48E2DA}" type="presParOf" srcId="{3D204F74-EB17-430E-A923-FBD5B1C87668}" destId="{E498E0DC-9E19-40FC-96ED-4E183E642EB8}" srcOrd="2" destOrd="0" presId="urn:microsoft.com/office/officeart/2005/8/layout/hProcess11"/>
    <dgm:cxn modelId="{C44FA911-DC5D-49A1-9299-19290A1B8E7D}" type="presParOf" srcId="{8583461F-F175-4EE5-9A2C-70E023C763FF}" destId="{A18D2C2C-3ABA-41EB-89CB-D4E8A242AE31}" srcOrd="5" destOrd="0" presId="urn:microsoft.com/office/officeart/2005/8/layout/hProcess11"/>
    <dgm:cxn modelId="{7A140321-A913-4854-804F-2DC34790BA09}" type="presParOf" srcId="{8583461F-F175-4EE5-9A2C-70E023C763FF}" destId="{341E14E5-8788-49B7-951F-5FCE371985F7}" srcOrd="6" destOrd="0" presId="urn:microsoft.com/office/officeart/2005/8/layout/hProcess11"/>
    <dgm:cxn modelId="{0846FDC6-E798-4436-91F4-91926DA5B130}" type="presParOf" srcId="{341E14E5-8788-49B7-951F-5FCE371985F7}" destId="{B40C5C49-503E-4789-BB7A-1791410B9906}" srcOrd="0" destOrd="0" presId="urn:microsoft.com/office/officeart/2005/8/layout/hProcess11"/>
    <dgm:cxn modelId="{1407C9F9-9A95-4D3C-B2A4-4E6232AC885F}" type="presParOf" srcId="{341E14E5-8788-49B7-951F-5FCE371985F7}" destId="{1491FF68-6C79-4A4A-BA84-80FDA5F6EF9D}" srcOrd="1" destOrd="0" presId="urn:microsoft.com/office/officeart/2005/8/layout/hProcess11"/>
    <dgm:cxn modelId="{797241BE-69E6-4128-92EF-D4509A9C42B5}" type="presParOf" srcId="{341E14E5-8788-49B7-951F-5FCE371985F7}" destId="{399AC6C3-C36E-4444-891E-ADB03738FB4C}" srcOrd="2" destOrd="0" presId="urn:microsoft.com/office/officeart/2005/8/layout/hProcess11"/>
    <dgm:cxn modelId="{2DB1534F-D06B-4D56-A1D4-43203EAEB646}" type="presParOf" srcId="{8583461F-F175-4EE5-9A2C-70E023C763FF}" destId="{8214E76C-1066-4D9D-B2DF-77F02739C792}" srcOrd="7" destOrd="0" presId="urn:microsoft.com/office/officeart/2005/8/layout/hProcess11"/>
    <dgm:cxn modelId="{147EC7AD-E95A-4950-BA6F-AE1DD9524166}" type="presParOf" srcId="{8583461F-F175-4EE5-9A2C-70E023C763FF}" destId="{D1E3B99D-503E-421B-B5BD-A439B77C97CB}" srcOrd="8" destOrd="0" presId="urn:microsoft.com/office/officeart/2005/8/layout/hProcess11"/>
    <dgm:cxn modelId="{D56684F5-0A3B-415F-A3C7-3FA3C1BF0C9E}" type="presParOf" srcId="{D1E3B99D-503E-421B-B5BD-A439B77C97CB}" destId="{67BEC738-43B3-4088-948A-50D0F40DEE18}" srcOrd="0" destOrd="0" presId="urn:microsoft.com/office/officeart/2005/8/layout/hProcess11"/>
    <dgm:cxn modelId="{DF242561-0C5D-4098-9894-951F01C5E2A4}" type="presParOf" srcId="{D1E3B99D-503E-421B-B5BD-A439B77C97CB}" destId="{F169D0C2-E373-41F3-B2F2-F7F961C66C80}" srcOrd="1" destOrd="0" presId="urn:microsoft.com/office/officeart/2005/8/layout/hProcess11"/>
    <dgm:cxn modelId="{7FE0BD98-7B74-4073-84CA-001B27EF462B}" type="presParOf" srcId="{D1E3B99D-503E-421B-B5BD-A439B77C97CB}" destId="{CB5A4C0C-6D4A-48D7-8074-8ACF66BE9A2E}" srcOrd="2" destOrd="0" presId="urn:microsoft.com/office/officeart/2005/8/layout/hProcess11"/>
    <dgm:cxn modelId="{28FA8BA0-1073-40B9-A9C3-880E74A32758}" type="presParOf" srcId="{8583461F-F175-4EE5-9A2C-70E023C763FF}" destId="{C3FF228A-2CBF-499F-892E-E569BECFA060}" srcOrd="9" destOrd="0" presId="urn:microsoft.com/office/officeart/2005/8/layout/hProcess11"/>
    <dgm:cxn modelId="{684217BC-859D-4F2D-98CD-AE62151CCC7D}" type="presParOf" srcId="{8583461F-F175-4EE5-9A2C-70E023C763FF}" destId="{CD79723E-6636-4A98-BF3A-8C46386AB241}" srcOrd="10" destOrd="0" presId="urn:microsoft.com/office/officeart/2005/8/layout/hProcess11"/>
    <dgm:cxn modelId="{88B97B2B-97E7-4005-A895-9C3020904925}" type="presParOf" srcId="{CD79723E-6636-4A98-BF3A-8C46386AB241}" destId="{0E81ED88-B49F-4E5F-872D-10811B0CB757}" srcOrd="0" destOrd="0" presId="urn:microsoft.com/office/officeart/2005/8/layout/hProcess11"/>
    <dgm:cxn modelId="{EA56F350-262C-40CC-92A5-4CA6AA3BBD3F}" type="presParOf" srcId="{CD79723E-6636-4A98-BF3A-8C46386AB241}" destId="{6EEE8215-E69B-4834-990E-DA90152B8FE3}" srcOrd="1" destOrd="0" presId="urn:microsoft.com/office/officeart/2005/8/layout/hProcess11"/>
    <dgm:cxn modelId="{85F897FA-53C4-489F-B8AE-528E33823111}" type="presParOf" srcId="{CD79723E-6636-4A98-BF3A-8C46386AB241}" destId="{0DAEA917-9440-4293-9A61-9F57A7123F56}" srcOrd="2" destOrd="0" presId="urn:microsoft.com/office/officeart/2005/8/layout/hProcess1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318C110-304C-44C2-B17C-71E23D84379A}" type="doc">
      <dgm:prSet loTypeId="urn:microsoft.com/office/officeart/2008/layout/VerticalCurvedList" loCatId="list" qsTypeId="urn:microsoft.com/office/officeart/2005/8/quickstyle/simple1" qsCatId="simple" csTypeId="urn:microsoft.com/office/officeart/2005/8/colors/colorful2" csCatId="colorful" phldr="1"/>
      <dgm:spPr/>
      <dgm:t>
        <a:bodyPr/>
        <a:lstStyle/>
        <a:p>
          <a:endParaRPr lang="en-AU"/>
        </a:p>
      </dgm:t>
    </dgm:pt>
    <dgm:pt modelId="{C9F2D774-17C5-46A1-841D-B063EEF2C738}">
      <dgm:prSet phldrT="[Text]" custT="1"/>
      <dgm:spPr/>
      <dgm:t>
        <a:bodyPr/>
        <a:lstStyle/>
        <a:p>
          <a:r>
            <a:rPr lang="en-AU" sz="1000"/>
            <a:t>Inputs and parameters used in the climate risk assessment</a:t>
          </a:r>
        </a:p>
      </dgm:t>
    </dgm:pt>
    <dgm:pt modelId="{9C04D7AC-9937-4114-A29B-EEE1ADD48262}" type="parTrans" cxnId="{E6B8068D-ED38-4093-8E84-E19324D09AAE}">
      <dgm:prSet/>
      <dgm:spPr/>
      <dgm:t>
        <a:bodyPr/>
        <a:lstStyle/>
        <a:p>
          <a:endParaRPr lang="en-AU"/>
        </a:p>
      </dgm:t>
    </dgm:pt>
    <dgm:pt modelId="{E0F4E985-FED7-4C2B-9351-B24B74ACC34E}" type="sibTrans" cxnId="{E6B8068D-ED38-4093-8E84-E19324D09AAE}">
      <dgm:prSet/>
      <dgm:spPr/>
      <dgm:t>
        <a:bodyPr/>
        <a:lstStyle/>
        <a:p>
          <a:endParaRPr lang="en-AU"/>
        </a:p>
      </dgm:t>
    </dgm:pt>
    <dgm:pt modelId="{E6D120C1-829C-4A94-9FB3-6419AFE4716A}">
      <dgm:prSet phldrT="[Text]" custT="1"/>
      <dgm:spPr/>
      <dgm:t>
        <a:bodyPr/>
        <a:lstStyle/>
        <a:p>
          <a:r>
            <a:rPr lang="en-AU" sz="1000"/>
            <a:t>How the nature, likelihood and magnitude of the effects of the risks are assessed</a:t>
          </a:r>
        </a:p>
      </dgm:t>
    </dgm:pt>
    <dgm:pt modelId="{A56044C8-F887-4A80-9748-D2F9B74F63DC}" type="parTrans" cxnId="{B44A8A94-6FB0-47B9-BC9B-1CCCDE3E3B20}">
      <dgm:prSet/>
      <dgm:spPr/>
      <dgm:t>
        <a:bodyPr/>
        <a:lstStyle/>
        <a:p>
          <a:endParaRPr lang="en-AU"/>
        </a:p>
      </dgm:t>
    </dgm:pt>
    <dgm:pt modelId="{F53A9B9A-81E6-4DAC-B5C5-7F2D102CEB71}" type="sibTrans" cxnId="{B44A8A94-6FB0-47B9-BC9B-1CCCDE3E3B20}">
      <dgm:prSet/>
      <dgm:spPr/>
      <dgm:t>
        <a:bodyPr/>
        <a:lstStyle/>
        <a:p>
          <a:endParaRPr lang="en-AU"/>
        </a:p>
      </dgm:t>
    </dgm:pt>
    <dgm:pt modelId="{D664443E-33F5-4BBC-8A78-89BBD3B5E4E6}">
      <dgm:prSet phldrT="[Text]" custT="1"/>
      <dgm:spPr/>
      <dgm:t>
        <a:bodyPr/>
        <a:lstStyle/>
        <a:p>
          <a:r>
            <a:rPr lang="en-AU" sz="1000"/>
            <a:t>Whether and how climate-related risks are prioritised relative to other types of risk</a:t>
          </a:r>
        </a:p>
      </dgm:t>
    </dgm:pt>
    <dgm:pt modelId="{87DA4142-10F0-49C0-9FED-D015D82F6CA3}" type="parTrans" cxnId="{0B5B0299-5F45-408D-A332-FA5AC838F0DC}">
      <dgm:prSet/>
      <dgm:spPr/>
      <dgm:t>
        <a:bodyPr/>
        <a:lstStyle/>
        <a:p>
          <a:endParaRPr lang="en-AU"/>
        </a:p>
      </dgm:t>
    </dgm:pt>
    <dgm:pt modelId="{A2F7FB3F-A95F-4CC0-9725-FED6E638EFFA}" type="sibTrans" cxnId="{0B5B0299-5F45-408D-A332-FA5AC838F0DC}">
      <dgm:prSet/>
      <dgm:spPr/>
      <dgm:t>
        <a:bodyPr/>
        <a:lstStyle/>
        <a:p>
          <a:endParaRPr lang="en-AU"/>
        </a:p>
      </dgm:t>
    </dgm:pt>
    <dgm:pt modelId="{D3B83D7E-C10D-4EE8-A42D-220C465F2B8D}">
      <dgm:prSet phldrT="[Text]" custT="1"/>
      <dgm:spPr/>
      <dgm:t>
        <a:bodyPr/>
        <a:lstStyle/>
        <a:p>
          <a:r>
            <a:rPr lang="en-AU" sz="1000"/>
            <a:t>How climate-related risks are managed and monitored</a:t>
          </a:r>
        </a:p>
      </dgm:t>
    </dgm:pt>
    <dgm:pt modelId="{3B65C59B-3F56-4B90-8563-621AE7F1736F}" type="parTrans" cxnId="{4E4A0A7D-B9D6-4469-AFAE-19D61F2678C2}">
      <dgm:prSet/>
      <dgm:spPr/>
      <dgm:t>
        <a:bodyPr/>
        <a:lstStyle/>
        <a:p>
          <a:endParaRPr lang="en-AU"/>
        </a:p>
      </dgm:t>
    </dgm:pt>
    <dgm:pt modelId="{66CCF871-4857-42A0-A20C-367D8A03B421}" type="sibTrans" cxnId="{4E4A0A7D-B9D6-4469-AFAE-19D61F2678C2}">
      <dgm:prSet/>
      <dgm:spPr/>
      <dgm:t>
        <a:bodyPr/>
        <a:lstStyle/>
        <a:p>
          <a:endParaRPr lang="en-AU"/>
        </a:p>
      </dgm:t>
    </dgm:pt>
    <dgm:pt modelId="{A74F586E-FC60-4831-8CD6-31E8286EF90B}">
      <dgm:prSet phldrT="[Text]" custT="1"/>
      <dgm:spPr/>
      <dgm:t>
        <a:bodyPr/>
        <a:lstStyle/>
        <a:p>
          <a:r>
            <a:rPr lang="en-AU" sz="1000"/>
            <a:t>Whether and how the processes used have changed from the previous reporting period</a:t>
          </a:r>
        </a:p>
      </dgm:t>
    </dgm:pt>
    <dgm:pt modelId="{3EF3D5F5-681A-411A-BF3E-5B958A8E25AD}" type="parTrans" cxnId="{45F50CAB-9D6B-46A2-BF2C-3652BFD7B4AC}">
      <dgm:prSet/>
      <dgm:spPr/>
      <dgm:t>
        <a:bodyPr/>
        <a:lstStyle/>
        <a:p>
          <a:endParaRPr lang="en-AU"/>
        </a:p>
      </dgm:t>
    </dgm:pt>
    <dgm:pt modelId="{CCE63FAB-9389-4005-A4E0-19694F30F7CB}" type="sibTrans" cxnId="{45F50CAB-9D6B-46A2-BF2C-3652BFD7B4AC}">
      <dgm:prSet/>
      <dgm:spPr/>
      <dgm:t>
        <a:bodyPr/>
        <a:lstStyle/>
        <a:p>
          <a:endParaRPr lang="en-AU"/>
        </a:p>
      </dgm:t>
    </dgm:pt>
    <dgm:pt modelId="{A38FFD10-2432-477D-BAD6-9C55A6BBCDF6}" type="pres">
      <dgm:prSet presAssocID="{8318C110-304C-44C2-B17C-71E23D84379A}" presName="Name0" presStyleCnt="0">
        <dgm:presLayoutVars>
          <dgm:chMax val="7"/>
          <dgm:chPref val="7"/>
          <dgm:dir/>
        </dgm:presLayoutVars>
      </dgm:prSet>
      <dgm:spPr/>
    </dgm:pt>
    <dgm:pt modelId="{1504E7F1-9375-46F3-8883-850AE5209E98}" type="pres">
      <dgm:prSet presAssocID="{8318C110-304C-44C2-B17C-71E23D84379A}" presName="Name1" presStyleCnt="0"/>
      <dgm:spPr/>
    </dgm:pt>
    <dgm:pt modelId="{DDCC24B3-5333-4955-A575-A5377360380F}" type="pres">
      <dgm:prSet presAssocID="{8318C110-304C-44C2-B17C-71E23D84379A}" presName="cycle" presStyleCnt="0"/>
      <dgm:spPr/>
    </dgm:pt>
    <dgm:pt modelId="{71D7D3C3-B337-40AB-B3B8-B7C5AA2B8C71}" type="pres">
      <dgm:prSet presAssocID="{8318C110-304C-44C2-B17C-71E23D84379A}" presName="srcNode" presStyleLbl="node1" presStyleIdx="0" presStyleCnt="5"/>
      <dgm:spPr/>
    </dgm:pt>
    <dgm:pt modelId="{D444AD0F-9C45-44CF-B5DA-710401A734F7}" type="pres">
      <dgm:prSet presAssocID="{8318C110-304C-44C2-B17C-71E23D84379A}" presName="conn" presStyleLbl="parChTrans1D2" presStyleIdx="0" presStyleCnt="1"/>
      <dgm:spPr/>
    </dgm:pt>
    <dgm:pt modelId="{6B3043C4-D1BD-42EF-8B9F-24BF6918ACC2}" type="pres">
      <dgm:prSet presAssocID="{8318C110-304C-44C2-B17C-71E23D84379A}" presName="extraNode" presStyleLbl="node1" presStyleIdx="0" presStyleCnt="5"/>
      <dgm:spPr/>
    </dgm:pt>
    <dgm:pt modelId="{28EFC981-D797-4DDC-9A35-D0E6C5A72158}" type="pres">
      <dgm:prSet presAssocID="{8318C110-304C-44C2-B17C-71E23D84379A}" presName="dstNode" presStyleLbl="node1" presStyleIdx="0" presStyleCnt="5"/>
      <dgm:spPr/>
    </dgm:pt>
    <dgm:pt modelId="{9C669CAF-C1BD-43D0-8133-84BFD497A3C8}" type="pres">
      <dgm:prSet presAssocID="{C9F2D774-17C5-46A1-841D-B063EEF2C738}" presName="text_1" presStyleLbl="node1" presStyleIdx="0" presStyleCnt="5">
        <dgm:presLayoutVars>
          <dgm:bulletEnabled val="1"/>
        </dgm:presLayoutVars>
      </dgm:prSet>
      <dgm:spPr/>
    </dgm:pt>
    <dgm:pt modelId="{1DBBB220-3606-4F25-9E9A-2E9395DCCD2D}" type="pres">
      <dgm:prSet presAssocID="{C9F2D774-17C5-46A1-841D-B063EEF2C738}" presName="accent_1" presStyleCnt="0"/>
      <dgm:spPr/>
    </dgm:pt>
    <dgm:pt modelId="{7817A334-8D5B-4609-8F2C-48C5BEE31249}" type="pres">
      <dgm:prSet presAssocID="{C9F2D774-17C5-46A1-841D-B063EEF2C738}" presName="accentRepeatNode" presStyleLbl="solidFgAcc1" presStyleIdx="0" presStyleCnt="5"/>
      <dgm:spPr/>
    </dgm:pt>
    <dgm:pt modelId="{F6C9B9B7-6B77-43D8-9153-675A2692E79E}" type="pres">
      <dgm:prSet presAssocID="{E6D120C1-829C-4A94-9FB3-6419AFE4716A}" presName="text_2" presStyleLbl="node1" presStyleIdx="1" presStyleCnt="5">
        <dgm:presLayoutVars>
          <dgm:bulletEnabled val="1"/>
        </dgm:presLayoutVars>
      </dgm:prSet>
      <dgm:spPr/>
    </dgm:pt>
    <dgm:pt modelId="{26F71983-E9E0-4C51-B8E7-89697F077824}" type="pres">
      <dgm:prSet presAssocID="{E6D120C1-829C-4A94-9FB3-6419AFE4716A}" presName="accent_2" presStyleCnt="0"/>
      <dgm:spPr/>
    </dgm:pt>
    <dgm:pt modelId="{E55039C9-89A3-49BA-A9CC-AE986B613233}" type="pres">
      <dgm:prSet presAssocID="{E6D120C1-829C-4A94-9FB3-6419AFE4716A}" presName="accentRepeatNode" presStyleLbl="solidFgAcc1" presStyleIdx="1" presStyleCnt="5"/>
      <dgm:spPr/>
    </dgm:pt>
    <dgm:pt modelId="{802E4135-03E6-4946-BD9E-3AB8A9A8C7D4}" type="pres">
      <dgm:prSet presAssocID="{D664443E-33F5-4BBC-8A78-89BBD3B5E4E6}" presName="text_3" presStyleLbl="node1" presStyleIdx="2" presStyleCnt="5">
        <dgm:presLayoutVars>
          <dgm:bulletEnabled val="1"/>
        </dgm:presLayoutVars>
      </dgm:prSet>
      <dgm:spPr/>
    </dgm:pt>
    <dgm:pt modelId="{E6D2221F-62E5-4EFE-A908-C70927FA38D7}" type="pres">
      <dgm:prSet presAssocID="{D664443E-33F5-4BBC-8A78-89BBD3B5E4E6}" presName="accent_3" presStyleCnt="0"/>
      <dgm:spPr/>
    </dgm:pt>
    <dgm:pt modelId="{8D289BD8-B3C1-4B0E-85A2-9CC5BEBEECB3}" type="pres">
      <dgm:prSet presAssocID="{D664443E-33F5-4BBC-8A78-89BBD3B5E4E6}" presName="accentRepeatNode" presStyleLbl="solidFgAcc1" presStyleIdx="2" presStyleCnt="5"/>
      <dgm:spPr/>
    </dgm:pt>
    <dgm:pt modelId="{BCC5E10F-2145-4391-A4BC-08EB3E1F33C4}" type="pres">
      <dgm:prSet presAssocID="{D3B83D7E-C10D-4EE8-A42D-220C465F2B8D}" presName="text_4" presStyleLbl="node1" presStyleIdx="3" presStyleCnt="5">
        <dgm:presLayoutVars>
          <dgm:bulletEnabled val="1"/>
        </dgm:presLayoutVars>
      </dgm:prSet>
      <dgm:spPr/>
    </dgm:pt>
    <dgm:pt modelId="{1BAC58D8-8E01-4CDB-BB0E-A317F6CACC3D}" type="pres">
      <dgm:prSet presAssocID="{D3B83D7E-C10D-4EE8-A42D-220C465F2B8D}" presName="accent_4" presStyleCnt="0"/>
      <dgm:spPr/>
    </dgm:pt>
    <dgm:pt modelId="{CBCF73C4-CF84-43A5-88D3-D5480E3BAD38}" type="pres">
      <dgm:prSet presAssocID="{D3B83D7E-C10D-4EE8-A42D-220C465F2B8D}" presName="accentRepeatNode" presStyleLbl="solidFgAcc1" presStyleIdx="3" presStyleCnt="5"/>
      <dgm:spPr/>
    </dgm:pt>
    <dgm:pt modelId="{CC572CD0-CFAD-4427-9F1B-E55735C9C0F5}" type="pres">
      <dgm:prSet presAssocID="{A74F586E-FC60-4831-8CD6-31E8286EF90B}" presName="text_5" presStyleLbl="node1" presStyleIdx="4" presStyleCnt="5">
        <dgm:presLayoutVars>
          <dgm:bulletEnabled val="1"/>
        </dgm:presLayoutVars>
      </dgm:prSet>
      <dgm:spPr/>
    </dgm:pt>
    <dgm:pt modelId="{0EB62F0A-E918-46C0-A3AC-35DA60BD9445}" type="pres">
      <dgm:prSet presAssocID="{A74F586E-FC60-4831-8CD6-31E8286EF90B}" presName="accent_5" presStyleCnt="0"/>
      <dgm:spPr/>
    </dgm:pt>
    <dgm:pt modelId="{30036097-8506-4DD3-8A61-7C9760B0697F}" type="pres">
      <dgm:prSet presAssocID="{A74F586E-FC60-4831-8CD6-31E8286EF90B}" presName="accentRepeatNode" presStyleLbl="solidFgAcc1" presStyleIdx="4" presStyleCnt="5"/>
      <dgm:spPr/>
    </dgm:pt>
  </dgm:ptLst>
  <dgm:cxnLst>
    <dgm:cxn modelId="{0670A13C-91B1-493F-83B4-69BC5DA7703C}" type="presOf" srcId="{E0F4E985-FED7-4C2B-9351-B24B74ACC34E}" destId="{D444AD0F-9C45-44CF-B5DA-710401A734F7}" srcOrd="0" destOrd="0" presId="urn:microsoft.com/office/officeart/2008/layout/VerticalCurvedList"/>
    <dgm:cxn modelId="{4D336644-B2C7-4BB5-BE28-542FDB3DD192}" type="presOf" srcId="{C9F2D774-17C5-46A1-841D-B063EEF2C738}" destId="{9C669CAF-C1BD-43D0-8133-84BFD497A3C8}" srcOrd="0" destOrd="0" presId="urn:microsoft.com/office/officeart/2008/layout/VerticalCurvedList"/>
    <dgm:cxn modelId="{6E1E8065-A3A3-4E90-BB80-61889D511AF6}" type="presOf" srcId="{D664443E-33F5-4BBC-8A78-89BBD3B5E4E6}" destId="{802E4135-03E6-4946-BD9E-3AB8A9A8C7D4}" srcOrd="0" destOrd="0" presId="urn:microsoft.com/office/officeart/2008/layout/VerticalCurvedList"/>
    <dgm:cxn modelId="{4E4A0A7D-B9D6-4469-AFAE-19D61F2678C2}" srcId="{8318C110-304C-44C2-B17C-71E23D84379A}" destId="{D3B83D7E-C10D-4EE8-A42D-220C465F2B8D}" srcOrd="3" destOrd="0" parTransId="{3B65C59B-3F56-4B90-8563-621AE7F1736F}" sibTransId="{66CCF871-4857-42A0-A20C-367D8A03B421}"/>
    <dgm:cxn modelId="{E6B8068D-ED38-4093-8E84-E19324D09AAE}" srcId="{8318C110-304C-44C2-B17C-71E23D84379A}" destId="{C9F2D774-17C5-46A1-841D-B063EEF2C738}" srcOrd="0" destOrd="0" parTransId="{9C04D7AC-9937-4114-A29B-EEE1ADD48262}" sibTransId="{E0F4E985-FED7-4C2B-9351-B24B74ACC34E}"/>
    <dgm:cxn modelId="{B44A8A94-6FB0-47B9-BC9B-1CCCDE3E3B20}" srcId="{8318C110-304C-44C2-B17C-71E23D84379A}" destId="{E6D120C1-829C-4A94-9FB3-6419AFE4716A}" srcOrd="1" destOrd="0" parTransId="{A56044C8-F887-4A80-9748-D2F9B74F63DC}" sibTransId="{F53A9B9A-81E6-4DAC-B5C5-7F2D102CEB71}"/>
    <dgm:cxn modelId="{9AE72998-20BA-4065-A598-406494AE2517}" type="presOf" srcId="{E6D120C1-829C-4A94-9FB3-6419AFE4716A}" destId="{F6C9B9B7-6B77-43D8-9153-675A2692E79E}" srcOrd="0" destOrd="0" presId="urn:microsoft.com/office/officeart/2008/layout/VerticalCurvedList"/>
    <dgm:cxn modelId="{0B5B0299-5F45-408D-A332-FA5AC838F0DC}" srcId="{8318C110-304C-44C2-B17C-71E23D84379A}" destId="{D664443E-33F5-4BBC-8A78-89BBD3B5E4E6}" srcOrd="2" destOrd="0" parTransId="{87DA4142-10F0-49C0-9FED-D015D82F6CA3}" sibTransId="{A2F7FB3F-A95F-4CC0-9725-FED6E638EFFA}"/>
    <dgm:cxn modelId="{6BBD3699-E048-4338-856F-7455863E0B6B}" type="presOf" srcId="{A74F586E-FC60-4831-8CD6-31E8286EF90B}" destId="{CC572CD0-CFAD-4427-9F1B-E55735C9C0F5}" srcOrd="0" destOrd="0" presId="urn:microsoft.com/office/officeart/2008/layout/VerticalCurvedList"/>
    <dgm:cxn modelId="{45F50CAB-9D6B-46A2-BF2C-3652BFD7B4AC}" srcId="{8318C110-304C-44C2-B17C-71E23D84379A}" destId="{A74F586E-FC60-4831-8CD6-31E8286EF90B}" srcOrd="4" destOrd="0" parTransId="{3EF3D5F5-681A-411A-BF3E-5B958A8E25AD}" sibTransId="{CCE63FAB-9389-4005-A4E0-19694F30F7CB}"/>
    <dgm:cxn modelId="{CFC796E3-3F9B-4E6E-9B29-ED7BFA84D9D7}" type="presOf" srcId="{8318C110-304C-44C2-B17C-71E23D84379A}" destId="{A38FFD10-2432-477D-BAD6-9C55A6BBCDF6}" srcOrd="0" destOrd="0" presId="urn:microsoft.com/office/officeart/2008/layout/VerticalCurvedList"/>
    <dgm:cxn modelId="{66DA24D1-32EF-40B6-BDDB-D62F2ECEA549}" type="presOf" srcId="{D3B83D7E-C10D-4EE8-A42D-220C465F2B8D}" destId="{BCC5E10F-2145-4391-A4BC-08EB3E1F33C4}" srcOrd="0" destOrd="0" presId="urn:microsoft.com/office/officeart/2008/layout/VerticalCurvedList"/>
    <dgm:cxn modelId="{668C94C1-84B7-487B-B777-7C04CF9C3E5C}" type="presParOf" srcId="{A38FFD10-2432-477D-BAD6-9C55A6BBCDF6}" destId="{1504E7F1-9375-46F3-8883-850AE5209E98}" srcOrd="0" destOrd="0" presId="urn:microsoft.com/office/officeart/2008/layout/VerticalCurvedList"/>
    <dgm:cxn modelId="{87624BC7-8054-4614-BA71-184CB0C4B5F9}" type="presParOf" srcId="{1504E7F1-9375-46F3-8883-850AE5209E98}" destId="{DDCC24B3-5333-4955-A575-A5377360380F}" srcOrd="0" destOrd="0" presId="urn:microsoft.com/office/officeart/2008/layout/VerticalCurvedList"/>
    <dgm:cxn modelId="{A90D3666-52A1-46F3-9FA0-A76035074186}" type="presParOf" srcId="{DDCC24B3-5333-4955-A575-A5377360380F}" destId="{71D7D3C3-B337-40AB-B3B8-B7C5AA2B8C71}" srcOrd="0" destOrd="0" presId="urn:microsoft.com/office/officeart/2008/layout/VerticalCurvedList"/>
    <dgm:cxn modelId="{95B934F6-0F11-450B-8F9F-1A49F5E204EB}" type="presParOf" srcId="{DDCC24B3-5333-4955-A575-A5377360380F}" destId="{D444AD0F-9C45-44CF-B5DA-710401A734F7}" srcOrd="1" destOrd="0" presId="urn:microsoft.com/office/officeart/2008/layout/VerticalCurvedList"/>
    <dgm:cxn modelId="{B5509018-A98B-4CFC-AB36-2C0E94412D39}" type="presParOf" srcId="{DDCC24B3-5333-4955-A575-A5377360380F}" destId="{6B3043C4-D1BD-42EF-8B9F-24BF6918ACC2}" srcOrd="2" destOrd="0" presId="urn:microsoft.com/office/officeart/2008/layout/VerticalCurvedList"/>
    <dgm:cxn modelId="{C02DF1B8-C902-41C2-812F-B15CA5BAB0A3}" type="presParOf" srcId="{DDCC24B3-5333-4955-A575-A5377360380F}" destId="{28EFC981-D797-4DDC-9A35-D0E6C5A72158}" srcOrd="3" destOrd="0" presId="urn:microsoft.com/office/officeart/2008/layout/VerticalCurvedList"/>
    <dgm:cxn modelId="{D7E2D2E7-E3AD-46B2-996D-4C87E7478F54}" type="presParOf" srcId="{1504E7F1-9375-46F3-8883-850AE5209E98}" destId="{9C669CAF-C1BD-43D0-8133-84BFD497A3C8}" srcOrd="1" destOrd="0" presId="urn:microsoft.com/office/officeart/2008/layout/VerticalCurvedList"/>
    <dgm:cxn modelId="{CB958020-7894-45AB-B6CD-08843C1DC25E}" type="presParOf" srcId="{1504E7F1-9375-46F3-8883-850AE5209E98}" destId="{1DBBB220-3606-4F25-9E9A-2E9395DCCD2D}" srcOrd="2" destOrd="0" presId="urn:microsoft.com/office/officeart/2008/layout/VerticalCurvedList"/>
    <dgm:cxn modelId="{94F150B5-BA58-4669-83B7-4647787893A2}" type="presParOf" srcId="{1DBBB220-3606-4F25-9E9A-2E9395DCCD2D}" destId="{7817A334-8D5B-4609-8F2C-48C5BEE31249}" srcOrd="0" destOrd="0" presId="urn:microsoft.com/office/officeart/2008/layout/VerticalCurvedList"/>
    <dgm:cxn modelId="{579023A8-53FF-4803-855B-87B595A9FDF0}" type="presParOf" srcId="{1504E7F1-9375-46F3-8883-850AE5209E98}" destId="{F6C9B9B7-6B77-43D8-9153-675A2692E79E}" srcOrd="3" destOrd="0" presId="urn:microsoft.com/office/officeart/2008/layout/VerticalCurvedList"/>
    <dgm:cxn modelId="{74C77C5A-ED87-480C-84ED-167CCB78BD03}" type="presParOf" srcId="{1504E7F1-9375-46F3-8883-850AE5209E98}" destId="{26F71983-E9E0-4C51-B8E7-89697F077824}" srcOrd="4" destOrd="0" presId="urn:microsoft.com/office/officeart/2008/layout/VerticalCurvedList"/>
    <dgm:cxn modelId="{47BC6445-32F4-402C-985A-ADA38768CE06}" type="presParOf" srcId="{26F71983-E9E0-4C51-B8E7-89697F077824}" destId="{E55039C9-89A3-49BA-A9CC-AE986B613233}" srcOrd="0" destOrd="0" presId="urn:microsoft.com/office/officeart/2008/layout/VerticalCurvedList"/>
    <dgm:cxn modelId="{387D63B2-E1BE-465B-850F-2483218B67E1}" type="presParOf" srcId="{1504E7F1-9375-46F3-8883-850AE5209E98}" destId="{802E4135-03E6-4946-BD9E-3AB8A9A8C7D4}" srcOrd="5" destOrd="0" presId="urn:microsoft.com/office/officeart/2008/layout/VerticalCurvedList"/>
    <dgm:cxn modelId="{6571285B-35F1-480F-B7DD-E64C9DDD1EF7}" type="presParOf" srcId="{1504E7F1-9375-46F3-8883-850AE5209E98}" destId="{E6D2221F-62E5-4EFE-A908-C70927FA38D7}" srcOrd="6" destOrd="0" presId="urn:microsoft.com/office/officeart/2008/layout/VerticalCurvedList"/>
    <dgm:cxn modelId="{BB7F796F-9744-4BAD-A1E3-10FF5FDCBE37}" type="presParOf" srcId="{E6D2221F-62E5-4EFE-A908-C70927FA38D7}" destId="{8D289BD8-B3C1-4B0E-85A2-9CC5BEBEECB3}" srcOrd="0" destOrd="0" presId="urn:microsoft.com/office/officeart/2008/layout/VerticalCurvedList"/>
    <dgm:cxn modelId="{359A36BF-5E65-4DCD-8C5E-8E4BA4D0E80B}" type="presParOf" srcId="{1504E7F1-9375-46F3-8883-850AE5209E98}" destId="{BCC5E10F-2145-4391-A4BC-08EB3E1F33C4}" srcOrd="7" destOrd="0" presId="urn:microsoft.com/office/officeart/2008/layout/VerticalCurvedList"/>
    <dgm:cxn modelId="{94C921D8-BCA3-4442-86E6-C6EEA657786D}" type="presParOf" srcId="{1504E7F1-9375-46F3-8883-850AE5209E98}" destId="{1BAC58D8-8E01-4CDB-BB0E-A317F6CACC3D}" srcOrd="8" destOrd="0" presId="urn:microsoft.com/office/officeart/2008/layout/VerticalCurvedList"/>
    <dgm:cxn modelId="{369D20CC-5945-4D6E-85FA-9DAAE710B38C}" type="presParOf" srcId="{1BAC58D8-8E01-4CDB-BB0E-A317F6CACC3D}" destId="{CBCF73C4-CF84-43A5-88D3-D5480E3BAD38}" srcOrd="0" destOrd="0" presId="urn:microsoft.com/office/officeart/2008/layout/VerticalCurvedList"/>
    <dgm:cxn modelId="{35D584DA-510A-421F-A04C-3E191712E35B}" type="presParOf" srcId="{1504E7F1-9375-46F3-8883-850AE5209E98}" destId="{CC572CD0-CFAD-4427-9F1B-E55735C9C0F5}" srcOrd="9" destOrd="0" presId="urn:microsoft.com/office/officeart/2008/layout/VerticalCurvedList"/>
    <dgm:cxn modelId="{D9F7803F-37E2-4555-9DBC-36AB2A7ACEF4}" type="presParOf" srcId="{1504E7F1-9375-46F3-8883-850AE5209E98}" destId="{0EB62F0A-E918-46C0-A3AC-35DA60BD9445}" srcOrd="10" destOrd="0" presId="urn:microsoft.com/office/officeart/2008/layout/VerticalCurvedList"/>
    <dgm:cxn modelId="{6EAC9B25-8572-40E3-8028-804C8792E516}" type="presParOf" srcId="{0EB62F0A-E918-46C0-A3AC-35DA60BD9445}" destId="{30036097-8506-4DD3-8A61-7C9760B0697F}" srcOrd="0" destOrd="0" presId="urn:microsoft.com/office/officeart/2008/layout/VerticalCurvedLis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5EBCDA-F4CF-4E71-9820-3085C1CCF624}">
      <dsp:nvSpPr>
        <dsp:cNvPr id="0" name=""/>
        <dsp:cNvSpPr/>
      </dsp:nvSpPr>
      <dsp:spPr>
        <a:xfrm>
          <a:off x="0" y="1289689"/>
          <a:ext cx="5977254" cy="42330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t>Whether and how those processes are integrated into the overall risk management framework</a:t>
          </a:r>
        </a:p>
      </dsp:txBody>
      <dsp:txXfrm>
        <a:off x="0" y="1289689"/>
        <a:ext cx="5977254" cy="423304"/>
      </dsp:txXfrm>
    </dsp:sp>
    <dsp:sp modelId="{99C4F926-3E93-455A-8622-EF1AA5401E9F}">
      <dsp:nvSpPr>
        <dsp:cNvPr id="0" name=""/>
        <dsp:cNvSpPr/>
      </dsp:nvSpPr>
      <dsp:spPr>
        <a:xfrm rot="10800000">
          <a:off x="0" y="644996"/>
          <a:ext cx="5977254" cy="651042"/>
        </a:xfrm>
        <a:prstGeom prst="upArrowCallout">
          <a:avLst/>
        </a:prstGeom>
        <a:solidFill>
          <a:schemeClr val="accent2">
            <a:hueOff val="1200913"/>
            <a:satOff val="25238"/>
            <a:lumOff val="-67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t>The processes and related policies used to identify, assess, prioritise, manage and monitor </a:t>
          </a:r>
          <a:br>
            <a:rPr lang="en-AU" sz="1000" kern="1200"/>
          </a:br>
          <a:r>
            <a:rPr lang="en-AU" sz="1000" kern="1200"/>
            <a:t>climate-related opportunities</a:t>
          </a:r>
        </a:p>
      </dsp:txBody>
      <dsp:txXfrm rot="10800000">
        <a:off x="0" y="644996"/>
        <a:ext cx="5977254" cy="423028"/>
      </dsp:txXfrm>
    </dsp:sp>
    <dsp:sp modelId="{36E2B9DB-769D-46C2-8997-E93AE9C641FF}">
      <dsp:nvSpPr>
        <dsp:cNvPr id="0" name=""/>
        <dsp:cNvSpPr/>
      </dsp:nvSpPr>
      <dsp:spPr>
        <a:xfrm rot="10800000">
          <a:off x="0" y="302"/>
          <a:ext cx="5977254" cy="651042"/>
        </a:xfrm>
        <a:prstGeom prst="upArrowCallout">
          <a:avLst/>
        </a:prstGeom>
        <a:solidFill>
          <a:schemeClr val="accent2">
            <a:hueOff val="2401826"/>
            <a:satOff val="50476"/>
            <a:lumOff val="-135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t>The processes and related policies used to identify, assess, prioritise, manage and monitor </a:t>
          </a:r>
          <a:br>
            <a:rPr lang="en-AU" sz="1000" kern="1200"/>
          </a:br>
          <a:r>
            <a:rPr lang="en-AU" sz="1000" kern="1200"/>
            <a:t>climate-related risks</a:t>
          </a:r>
        </a:p>
      </dsp:txBody>
      <dsp:txXfrm rot="10800000">
        <a:off x="0" y="302"/>
        <a:ext cx="5977254" cy="4230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C16645-AE94-4D6C-9B56-0E8840475C41}">
      <dsp:nvSpPr>
        <dsp:cNvPr id="0" name=""/>
        <dsp:cNvSpPr/>
      </dsp:nvSpPr>
      <dsp:spPr>
        <a:xfrm>
          <a:off x="0" y="405574"/>
          <a:ext cx="5957625" cy="540766"/>
        </a:xfrm>
        <a:prstGeom prst="notched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5D4EB3C-0DA1-4D66-A67C-77D47F031C5E}">
      <dsp:nvSpPr>
        <dsp:cNvPr id="0" name=""/>
        <dsp:cNvSpPr/>
      </dsp:nvSpPr>
      <dsp:spPr>
        <a:xfrm>
          <a:off x="1472" y="0"/>
          <a:ext cx="857426" cy="540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Clr>
              <a:srgbClr val="000000"/>
            </a:buClr>
            <a:buSzPts val="1100"/>
            <a:buFont typeface="Arial" panose="020B0604020202020204" pitchFamily="34" charset="0"/>
            <a:buNone/>
          </a:pPr>
          <a:r>
            <a:rPr lang="en-AU" sz="900" kern="1200"/>
            <a:t>1. Scope the assessment</a:t>
          </a:r>
        </a:p>
      </dsp:txBody>
      <dsp:txXfrm>
        <a:off x="1472" y="0"/>
        <a:ext cx="857426" cy="540766"/>
      </dsp:txXfrm>
    </dsp:sp>
    <dsp:sp modelId="{0680DD19-639E-498B-9985-C295A5EDECFA}">
      <dsp:nvSpPr>
        <dsp:cNvPr id="0" name=""/>
        <dsp:cNvSpPr/>
      </dsp:nvSpPr>
      <dsp:spPr>
        <a:xfrm>
          <a:off x="362590" y="608361"/>
          <a:ext cx="135191" cy="135191"/>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A2D4E9-6CA5-4A85-9721-775E1EB40A43}">
      <dsp:nvSpPr>
        <dsp:cNvPr id="0" name=""/>
        <dsp:cNvSpPr/>
      </dsp:nvSpPr>
      <dsp:spPr>
        <a:xfrm>
          <a:off x="901770" y="811149"/>
          <a:ext cx="857426" cy="540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Clr>
              <a:srgbClr val="000000"/>
            </a:buClr>
            <a:buSzPts val="1100"/>
            <a:buFont typeface="Arial" panose="020B0604020202020204" pitchFamily="34" charset="0"/>
            <a:buNone/>
          </a:pPr>
          <a:r>
            <a:rPr lang="en-AU" sz="900" kern="1200"/>
            <a:t>2. Consider current and future state</a:t>
          </a:r>
        </a:p>
      </dsp:txBody>
      <dsp:txXfrm>
        <a:off x="901770" y="811149"/>
        <a:ext cx="857426" cy="540766"/>
      </dsp:txXfrm>
    </dsp:sp>
    <dsp:sp modelId="{00D19972-933D-4F13-9309-129072B2F5BE}">
      <dsp:nvSpPr>
        <dsp:cNvPr id="0" name=""/>
        <dsp:cNvSpPr/>
      </dsp:nvSpPr>
      <dsp:spPr>
        <a:xfrm>
          <a:off x="1262888" y="608361"/>
          <a:ext cx="135191" cy="135191"/>
        </a:xfrm>
        <a:prstGeom prst="ellipse">
          <a:avLst/>
        </a:prstGeom>
        <a:solidFill>
          <a:schemeClr val="accent2">
            <a:hueOff val="480365"/>
            <a:satOff val="10095"/>
            <a:lumOff val="-2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4ADAB33-910C-4E4E-8D15-C8EBEB17F2FD}">
      <dsp:nvSpPr>
        <dsp:cNvPr id="0" name=""/>
        <dsp:cNvSpPr/>
      </dsp:nvSpPr>
      <dsp:spPr>
        <a:xfrm>
          <a:off x="1802068" y="0"/>
          <a:ext cx="857426" cy="540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Clr>
              <a:srgbClr val="000000"/>
            </a:buClr>
            <a:buSzPts val="1100"/>
            <a:buFont typeface="Arial" panose="020B0604020202020204" pitchFamily="34" charset="0"/>
            <a:buNone/>
          </a:pPr>
          <a:r>
            <a:rPr lang="en-AU" sz="900" kern="1200"/>
            <a:t>3. Identify your risks and opportunities</a:t>
          </a:r>
        </a:p>
      </dsp:txBody>
      <dsp:txXfrm>
        <a:off x="1802068" y="0"/>
        <a:ext cx="857426" cy="540766"/>
      </dsp:txXfrm>
    </dsp:sp>
    <dsp:sp modelId="{5B2FFD8E-4DE5-4916-BF35-B6FA0F968637}">
      <dsp:nvSpPr>
        <dsp:cNvPr id="0" name=""/>
        <dsp:cNvSpPr/>
      </dsp:nvSpPr>
      <dsp:spPr>
        <a:xfrm>
          <a:off x="2163186" y="608361"/>
          <a:ext cx="135191" cy="135191"/>
        </a:xfrm>
        <a:prstGeom prst="ellipse">
          <a:avLst/>
        </a:prstGeom>
        <a:solidFill>
          <a:schemeClr val="accent2">
            <a:hueOff val="960730"/>
            <a:satOff val="20190"/>
            <a:lumOff val="-5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0C5C49-503E-4789-BB7A-1791410B9906}">
      <dsp:nvSpPr>
        <dsp:cNvPr id="0" name=""/>
        <dsp:cNvSpPr/>
      </dsp:nvSpPr>
      <dsp:spPr>
        <a:xfrm>
          <a:off x="2702366" y="811149"/>
          <a:ext cx="857426" cy="540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Clr>
              <a:srgbClr val="000000"/>
            </a:buClr>
            <a:buSzPts val="1100"/>
            <a:buFont typeface="Arial" panose="020B0604020202020204" pitchFamily="34" charset="0"/>
            <a:buNone/>
          </a:pPr>
          <a:r>
            <a:rPr lang="en-AU" sz="900" kern="1200"/>
            <a:t>4. Prioritise risks and opportunities</a:t>
          </a:r>
        </a:p>
      </dsp:txBody>
      <dsp:txXfrm>
        <a:off x="2702366" y="811149"/>
        <a:ext cx="857426" cy="540766"/>
      </dsp:txXfrm>
    </dsp:sp>
    <dsp:sp modelId="{1491FF68-6C79-4A4A-BA84-80FDA5F6EF9D}">
      <dsp:nvSpPr>
        <dsp:cNvPr id="0" name=""/>
        <dsp:cNvSpPr/>
      </dsp:nvSpPr>
      <dsp:spPr>
        <a:xfrm>
          <a:off x="3063484" y="608361"/>
          <a:ext cx="135191" cy="135191"/>
        </a:xfrm>
        <a:prstGeom prst="ellipse">
          <a:avLst/>
        </a:prstGeom>
        <a:solidFill>
          <a:schemeClr val="accent2">
            <a:hueOff val="1441095"/>
            <a:satOff val="30286"/>
            <a:lumOff val="-811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BEC738-43B3-4088-948A-50D0F40DEE18}">
      <dsp:nvSpPr>
        <dsp:cNvPr id="0" name=""/>
        <dsp:cNvSpPr/>
      </dsp:nvSpPr>
      <dsp:spPr>
        <a:xfrm>
          <a:off x="3602664" y="0"/>
          <a:ext cx="857426" cy="540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Clr>
              <a:srgbClr val="000000"/>
            </a:buClr>
            <a:buSzPts val="1100"/>
            <a:buFont typeface="Arial" panose="020B0604020202020204" pitchFamily="34" charset="0"/>
            <a:buNone/>
          </a:pPr>
          <a:r>
            <a:rPr lang="en-AU" sz="900" kern="1200"/>
            <a:t>5. Plan and take action</a:t>
          </a:r>
        </a:p>
      </dsp:txBody>
      <dsp:txXfrm>
        <a:off x="3602664" y="0"/>
        <a:ext cx="857426" cy="540766"/>
      </dsp:txXfrm>
    </dsp:sp>
    <dsp:sp modelId="{F169D0C2-E373-41F3-B2F2-F7F961C66C80}">
      <dsp:nvSpPr>
        <dsp:cNvPr id="0" name=""/>
        <dsp:cNvSpPr/>
      </dsp:nvSpPr>
      <dsp:spPr>
        <a:xfrm>
          <a:off x="3963782" y="608361"/>
          <a:ext cx="135191" cy="135191"/>
        </a:xfrm>
        <a:prstGeom prst="ellipse">
          <a:avLst/>
        </a:prstGeom>
        <a:solidFill>
          <a:schemeClr val="accent2">
            <a:hueOff val="1921460"/>
            <a:satOff val="40381"/>
            <a:lumOff val="-1082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81ED88-B49F-4E5F-872D-10811B0CB757}">
      <dsp:nvSpPr>
        <dsp:cNvPr id="0" name=""/>
        <dsp:cNvSpPr/>
      </dsp:nvSpPr>
      <dsp:spPr>
        <a:xfrm>
          <a:off x="4502963" y="811149"/>
          <a:ext cx="857426" cy="540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Clr>
              <a:srgbClr val="000000"/>
            </a:buClr>
            <a:buSzPts val="1100"/>
            <a:buFont typeface="Arial" panose="020B0604020202020204" pitchFamily="34" charset="0"/>
            <a:buNone/>
          </a:pPr>
          <a:r>
            <a:rPr lang="en-AU" sz="900" kern="1200"/>
            <a:t>6. Monitor, evaluate and communicate.</a:t>
          </a:r>
        </a:p>
      </dsp:txBody>
      <dsp:txXfrm>
        <a:off x="4502963" y="811149"/>
        <a:ext cx="857426" cy="540766"/>
      </dsp:txXfrm>
    </dsp:sp>
    <dsp:sp modelId="{6EEE8215-E69B-4834-990E-DA90152B8FE3}">
      <dsp:nvSpPr>
        <dsp:cNvPr id="0" name=""/>
        <dsp:cNvSpPr/>
      </dsp:nvSpPr>
      <dsp:spPr>
        <a:xfrm>
          <a:off x="4864080" y="608361"/>
          <a:ext cx="135191" cy="135191"/>
        </a:xfrm>
        <a:prstGeom prst="ellipse">
          <a:avLst/>
        </a:prstGeom>
        <a:solidFill>
          <a:schemeClr val="accent2">
            <a:hueOff val="2401826"/>
            <a:satOff val="50476"/>
            <a:lumOff val="-135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44AD0F-9C45-44CF-B5DA-710401A734F7}">
      <dsp:nvSpPr>
        <dsp:cNvPr id="0" name=""/>
        <dsp:cNvSpPr/>
      </dsp:nvSpPr>
      <dsp:spPr>
        <a:xfrm>
          <a:off x="-1841579" y="-285916"/>
          <a:ext cx="2202740" cy="2202740"/>
        </a:xfrm>
        <a:prstGeom prst="blockArc">
          <a:avLst>
            <a:gd name="adj1" fmla="val 18900000"/>
            <a:gd name="adj2" fmla="val 2700000"/>
            <a:gd name="adj3" fmla="val 981"/>
          </a:avLst>
        </a:pr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669CAF-C1BD-43D0-8133-84BFD497A3C8}">
      <dsp:nvSpPr>
        <dsp:cNvPr id="0" name=""/>
        <dsp:cNvSpPr/>
      </dsp:nvSpPr>
      <dsp:spPr>
        <a:xfrm>
          <a:off x="159705" y="101899"/>
          <a:ext cx="5790630" cy="20392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1868" tIns="25400" rIns="25400" bIns="25400" numCol="1" spcCol="1270" anchor="ctr" anchorCtr="0">
          <a:noAutofit/>
        </a:bodyPr>
        <a:lstStyle/>
        <a:p>
          <a:pPr marL="0" lvl="0" indent="0" algn="l" defTabSz="444500">
            <a:lnSpc>
              <a:spcPct val="90000"/>
            </a:lnSpc>
            <a:spcBef>
              <a:spcPct val="0"/>
            </a:spcBef>
            <a:spcAft>
              <a:spcPct val="35000"/>
            </a:spcAft>
            <a:buNone/>
          </a:pPr>
          <a:r>
            <a:rPr lang="en-AU" sz="1000" kern="1200"/>
            <a:t>Inputs and parameters used in the climate risk assessment</a:t>
          </a:r>
        </a:p>
      </dsp:txBody>
      <dsp:txXfrm>
        <a:off x="159705" y="101899"/>
        <a:ext cx="5790630" cy="203928"/>
      </dsp:txXfrm>
    </dsp:sp>
    <dsp:sp modelId="{7817A334-8D5B-4609-8F2C-48C5BEE31249}">
      <dsp:nvSpPr>
        <dsp:cNvPr id="0" name=""/>
        <dsp:cNvSpPr/>
      </dsp:nvSpPr>
      <dsp:spPr>
        <a:xfrm>
          <a:off x="32250" y="76408"/>
          <a:ext cx="254910" cy="254910"/>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6C9B9B7-6B77-43D8-9153-675A2692E79E}">
      <dsp:nvSpPr>
        <dsp:cNvPr id="0" name=""/>
        <dsp:cNvSpPr/>
      </dsp:nvSpPr>
      <dsp:spPr>
        <a:xfrm>
          <a:off x="305835" y="407694"/>
          <a:ext cx="5644501" cy="203928"/>
        </a:xfrm>
        <a:prstGeom prst="rect">
          <a:avLst/>
        </a:prstGeom>
        <a:solidFill>
          <a:schemeClr val="accent2">
            <a:hueOff val="600456"/>
            <a:satOff val="12619"/>
            <a:lumOff val="-33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1868" tIns="25400" rIns="25400" bIns="25400" numCol="1" spcCol="1270" anchor="ctr" anchorCtr="0">
          <a:noAutofit/>
        </a:bodyPr>
        <a:lstStyle/>
        <a:p>
          <a:pPr marL="0" lvl="0" indent="0" algn="l" defTabSz="444500">
            <a:lnSpc>
              <a:spcPct val="90000"/>
            </a:lnSpc>
            <a:spcBef>
              <a:spcPct val="0"/>
            </a:spcBef>
            <a:spcAft>
              <a:spcPct val="35000"/>
            </a:spcAft>
            <a:buNone/>
          </a:pPr>
          <a:r>
            <a:rPr lang="en-AU" sz="1000" kern="1200"/>
            <a:t>How the nature, likelihood and magnitude of the effects of the risks are assessed</a:t>
          </a:r>
        </a:p>
      </dsp:txBody>
      <dsp:txXfrm>
        <a:off x="305835" y="407694"/>
        <a:ext cx="5644501" cy="203928"/>
      </dsp:txXfrm>
    </dsp:sp>
    <dsp:sp modelId="{E55039C9-89A3-49BA-A9CC-AE986B613233}">
      <dsp:nvSpPr>
        <dsp:cNvPr id="0" name=""/>
        <dsp:cNvSpPr/>
      </dsp:nvSpPr>
      <dsp:spPr>
        <a:xfrm>
          <a:off x="178379" y="382203"/>
          <a:ext cx="254910" cy="254910"/>
        </a:xfrm>
        <a:prstGeom prst="ellipse">
          <a:avLst/>
        </a:prstGeom>
        <a:solidFill>
          <a:schemeClr val="lt1">
            <a:hueOff val="0"/>
            <a:satOff val="0"/>
            <a:lumOff val="0"/>
            <a:alphaOff val="0"/>
          </a:schemeClr>
        </a:solidFill>
        <a:ln w="12700" cap="flat" cmpd="sng" algn="ctr">
          <a:solidFill>
            <a:schemeClr val="accent2">
              <a:hueOff val="600456"/>
              <a:satOff val="12619"/>
              <a:lumOff val="-3382"/>
              <a:alphaOff val="0"/>
            </a:schemeClr>
          </a:solidFill>
          <a:prstDash val="solid"/>
          <a:miter lim="800000"/>
        </a:ln>
        <a:effectLst/>
      </dsp:spPr>
      <dsp:style>
        <a:lnRef idx="2">
          <a:scrgbClr r="0" g="0" b="0"/>
        </a:lnRef>
        <a:fillRef idx="1">
          <a:scrgbClr r="0" g="0" b="0"/>
        </a:fillRef>
        <a:effectRef idx="0">
          <a:scrgbClr r="0" g="0" b="0"/>
        </a:effectRef>
        <a:fontRef idx="minor"/>
      </dsp:style>
    </dsp:sp>
    <dsp:sp modelId="{802E4135-03E6-4946-BD9E-3AB8A9A8C7D4}">
      <dsp:nvSpPr>
        <dsp:cNvPr id="0" name=""/>
        <dsp:cNvSpPr/>
      </dsp:nvSpPr>
      <dsp:spPr>
        <a:xfrm>
          <a:off x="350685" y="713489"/>
          <a:ext cx="5599651" cy="203928"/>
        </a:xfrm>
        <a:prstGeom prst="rect">
          <a:avLst/>
        </a:prstGeom>
        <a:solidFill>
          <a:schemeClr val="accent2">
            <a:hueOff val="1200913"/>
            <a:satOff val="25238"/>
            <a:lumOff val="-67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1868" tIns="25400" rIns="25400" bIns="25400" numCol="1" spcCol="1270" anchor="ctr" anchorCtr="0">
          <a:noAutofit/>
        </a:bodyPr>
        <a:lstStyle/>
        <a:p>
          <a:pPr marL="0" lvl="0" indent="0" algn="l" defTabSz="444500">
            <a:lnSpc>
              <a:spcPct val="90000"/>
            </a:lnSpc>
            <a:spcBef>
              <a:spcPct val="0"/>
            </a:spcBef>
            <a:spcAft>
              <a:spcPct val="35000"/>
            </a:spcAft>
            <a:buNone/>
          </a:pPr>
          <a:r>
            <a:rPr lang="en-AU" sz="1000" kern="1200"/>
            <a:t>Whether and how climate-related risks are prioritised relative to other types of risk</a:t>
          </a:r>
        </a:p>
      </dsp:txBody>
      <dsp:txXfrm>
        <a:off x="350685" y="713489"/>
        <a:ext cx="5599651" cy="203928"/>
      </dsp:txXfrm>
    </dsp:sp>
    <dsp:sp modelId="{8D289BD8-B3C1-4B0E-85A2-9CC5BEBEECB3}">
      <dsp:nvSpPr>
        <dsp:cNvPr id="0" name=""/>
        <dsp:cNvSpPr/>
      </dsp:nvSpPr>
      <dsp:spPr>
        <a:xfrm>
          <a:off x="223229" y="687998"/>
          <a:ext cx="254910" cy="254910"/>
        </a:xfrm>
        <a:prstGeom prst="ellipse">
          <a:avLst/>
        </a:prstGeom>
        <a:solidFill>
          <a:schemeClr val="lt1">
            <a:hueOff val="0"/>
            <a:satOff val="0"/>
            <a:lumOff val="0"/>
            <a:alphaOff val="0"/>
          </a:schemeClr>
        </a:solidFill>
        <a:ln w="12700" cap="flat" cmpd="sng" algn="ctr">
          <a:solidFill>
            <a:schemeClr val="accent2">
              <a:hueOff val="1200913"/>
              <a:satOff val="25238"/>
              <a:lumOff val="-6764"/>
              <a:alphaOff val="0"/>
            </a:schemeClr>
          </a:solidFill>
          <a:prstDash val="solid"/>
          <a:miter lim="800000"/>
        </a:ln>
        <a:effectLst/>
      </dsp:spPr>
      <dsp:style>
        <a:lnRef idx="2">
          <a:scrgbClr r="0" g="0" b="0"/>
        </a:lnRef>
        <a:fillRef idx="1">
          <a:scrgbClr r="0" g="0" b="0"/>
        </a:fillRef>
        <a:effectRef idx="0">
          <a:scrgbClr r="0" g="0" b="0"/>
        </a:effectRef>
        <a:fontRef idx="minor"/>
      </dsp:style>
    </dsp:sp>
    <dsp:sp modelId="{BCC5E10F-2145-4391-A4BC-08EB3E1F33C4}">
      <dsp:nvSpPr>
        <dsp:cNvPr id="0" name=""/>
        <dsp:cNvSpPr/>
      </dsp:nvSpPr>
      <dsp:spPr>
        <a:xfrm>
          <a:off x="305835" y="1019284"/>
          <a:ext cx="5644501" cy="203928"/>
        </a:xfrm>
        <a:prstGeom prst="rect">
          <a:avLst/>
        </a:prstGeom>
        <a:solidFill>
          <a:schemeClr val="accent2">
            <a:hueOff val="1801369"/>
            <a:satOff val="37857"/>
            <a:lumOff val="-1014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1868" tIns="25400" rIns="25400" bIns="25400" numCol="1" spcCol="1270" anchor="ctr" anchorCtr="0">
          <a:noAutofit/>
        </a:bodyPr>
        <a:lstStyle/>
        <a:p>
          <a:pPr marL="0" lvl="0" indent="0" algn="l" defTabSz="444500">
            <a:lnSpc>
              <a:spcPct val="90000"/>
            </a:lnSpc>
            <a:spcBef>
              <a:spcPct val="0"/>
            </a:spcBef>
            <a:spcAft>
              <a:spcPct val="35000"/>
            </a:spcAft>
            <a:buNone/>
          </a:pPr>
          <a:r>
            <a:rPr lang="en-AU" sz="1000" kern="1200"/>
            <a:t>How climate-related risks are managed and monitored</a:t>
          </a:r>
        </a:p>
      </dsp:txBody>
      <dsp:txXfrm>
        <a:off x="305835" y="1019284"/>
        <a:ext cx="5644501" cy="203928"/>
      </dsp:txXfrm>
    </dsp:sp>
    <dsp:sp modelId="{CBCF73C4-CF84-43A5-88D3-D5480E3BAD38}">
      <dsp:nvSpPr>
        <dsp:cNvPr id="0" name=""/>
        <dsp:cNvSpPr/>
      </dsp:nvSpPr>
      <dsp:spPr>
        <a:xfrm>
          <a:off x="178379" y="993793"/>
          <a:ext cx="254910" cy="254910"/>
        </a:xfrm>
        <a:prstGeom prst="ellipse">
          <a:avLst/>
        </a:prstGeom>
        <a:solidFill>
          <a:schemeClr val="lt1">
            <a:hueOff val="0"/>
            <a:satOff val="0"/>
            <a:lumOff val="0"/>
            <a:alphaOff val="0"/>
          </a:schemeClr>
        </a:solidFill>
        <a:ln w="12700" cap="flat" cmpd="sng" algn="ctr">
          <a:solidFill>
            <a:schemeClr val="accent2">
              <a:hueOff val="1801369"/>
              <a:satOff val="37857"/>
              <a:lumOff val="-10147"/>
              <a:alphaOff val="0"/>
            </a:schemeClr>
          </a:solidFill>
          <a:prstDash val="solid"/>
          <a:miter lim="800000"/>
        </a:ln>
        <a:effectLst/>
      </dsp:spPr>
      <dsp:style>
        <a:lnRef idx="2">
          <a:scrgbClr r="0" g="0" b="0"/>
        </a:lnRef>
        <a:fillRef idx="1">
          <a:scrgbClr r="0" g="0" b="0"/>
        </a:fillRef>
        <a:effectRef idx="0">
          <a:scrgbClr r="0" g="0" b="0"/>
        </a:effectRef>
        <a:fontRef idx="minor"/>
      </dsp:style>
    </dsp:sp>
    <dsp:sp modelId="{CC572CD0-CFAD-4427-9F1B-E55735C9C0F5}">
      <dsp:nvSpPr>
        <dsp:cNvPr id="0" name=""/>
        <dsp:cNvSpPr/>
      </dsp:nvSpPr>
      <dsp:spPr>
        <a:xfrm>
          <a:off x="159705" y="1325080"/>
          <a:ext cx="5790630" cy="203928"/>
        </a:xfrm>
        <a:prstGeom prst="rect">
          <a:avLst/>
        </a:prstGeom>
        <a:solidFill>
          <a:schemeClr val="accent2">
            <a:hueOff val="2401826"/>
            <a:satOff val="50476"/>
            <a:lumOff val="-135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1868" tIns="25400" rIns="25400" bIns="25400" numCol="1" spcCol="1270" anchor="ctr" anchorCtr="0">
          <a:noAutofit/>
        </a:bodyPr>
        <a:lstStyle/>
        <a:p>
          <a:pPr marL="0" lvl="0" indent="0" algn="l" defTabSz="444500">
            <a:lnSpc>
              <a:spcPct val="90000"/>
            </a:lnSpc>
            <a:spcBef>
              <a:spcPct val="0"/>
            </a:spcBef>
            <a:spcAft>
              <a:spcPct val="35000"/>
            </a:spcAft>
            <a:buNone/>
          </a:pPr>
          <a:r>
            <a:rPr lang="en-AU" sz="1000" kern="1200"/>
            <a:t>Whether and how the processes used have changed from the previous reporting period</a:t>
          </a:r>
        </a:p>
      </dsp:txBody>
      <dsp:txXfrm>
        <a:off x="159705" y="1325080"/>
        <a:ext cx="5790630" cy="203928"/>
      </dsp:txXfrm>
    </dsp:sp>
    <dsp:sp modelId="{30036097-8506-4DD3-8A61-7C9760B0697F}">
      <dsp:nvSpPr>
        <dsp:cNvPr id="0" name=""/>
        <dsp:cNvSpPr/>
      </dsp:nvSpPr>
      <dsp:spPr>
        <a:xfrm>
          <a:off x="32250" y="1299589"/>
          <a:ext cx="254910" cy="254910"/>
        </a:xfrm>
        <a:prstGeom prst="ellipse">
          <a:avLst/>
        </a:prstGeom>
        <a:solidFill>
          <a:schemeClr val="lt1">
            <a:hueOff val="0"/>
            <a:satOff val="0"/>
            <a:lumOff val="0"/>
            <a:alphaOff val="0"/>
          </a:schemeClr>
        </a:solidFill>
        <a:ln w="12700" cap="flat" cmpd="sng" algn="ctr">
          <a:solidFill>
            <a:schemeClr val="accent2">
              <a:hueOff val="2401826"/>
              <a:satOff val="50476"/>
              <a:lumOff val="-13529"/>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TPSNZ">
      <a:dk1>
        <a:sysClr val="windowText" lastClr="000000"/>
      </a:dk1>
      <a:lt1>
        <a:sysClr val="window" lastClr="FFFFFF"/>
      </a:lt1>
      <a:dk2>
        <a:srgbClr val="5271FF"/>
      </a:dk2>
      <a:lt2>
        <a:srgbClr val="E7E6E6"/>
      </a:lt2>
      <a:accent1>
        <a:srgbClr val="DFB558"/>
      </a:accent1>
      <a:accent2>
        <a:srgbClr val="359D9A"/>
      </a:accent2>
      <a:accent3>
        <a:srgbClr val="00338D"/>
      </a:accent3>
      <a:accent4>
        <a:srgbClr val="FFFFFF"/>
      </a:accent4>
      <a:accent5>
        <a:srgbClr val="FFFFFF"/>
      </a:accent5>
      <a:accent6>
        <a:srgbClr val="FFFFFF"/>
      </a:accent6>
      <a:hlink>
        <a:srgbClr val="0563C1"/>
      </a:hlink>
      <a:folHlink>
        <a:srgbClr val="954F72"/>
      </a:folHlink>
    </a:clrScheme>
    <a:fontScheme name="APSN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2263</Words>
  <Characters>13559</Characters>
  <Application>Microsoft Office Word</Application>
  <DocSecurity>0</DocSecurity>
  <Lines>225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15734</CharactersWithSpaces>
  <SharedDoc>false</SharedDoc>
  <HLinks>
    <vt:vector size="102" baseType="variant">
      <vt:variant>
        <vt:i4>8060929</vt:i4>
      </vt:variant>
      <vt:variant>
        <vt:i4>48</vt:i4>
      </vt:variant>
      <vt:variant>
        <vt:i4>0</vt:i4>
      </vt:variant>
      <vt:variant>
        <vt:i4>5</vt:i4>
      </vt:variant>
      <vt:variant>
        <vt:lpwstr>mailto:ClimateAction@finance.gov.au</vt:lpwstr>
      </vt:variant>
      <vt:variant>
        <vt:lpwstr/>
      </vt:variant>
      <vt:variant>
        <vt:i4>2949148</vt:i4>
      </vt:variant>
      <vt:variant>
        <vt:i4>45</vt:i4>
      </vt:variant>
      <vt:variant>
        <vt:i4>0</vt:i4>
      </vt:variant>
      <vt:variant>
        <vt:i4>5</vt:i4>
      </vt:variant>
      <vt:variant>
        <vt:lpwstr>https://assets.bbhub.io/company/sites/60/2020/09/2020-TCFD_Guidance-Risk-Management-Integration-and-Disclosure.pdf</vt:lpwstr>
      </vt:variant>
      <vt:variant>
        <vt:lpwstr/>
      </vt:variant>
      <vt:variant>
        <vt:i4>3342451</vt:i4>
      </vt:variant>
      <vt:variant>
        <vt:i4>42</vt:i4>
      </vt:variant>
      <vt:variant>
        <vt:i4>0</vt:i4>
      </vt:variant>
      <vt:variant>
        <vt:i4>5</vt:i4>
      </vt:variant>
      <vt:variant>
        <vt:lpwstr>https://www.dcceew.gov.au/climate-change/publications/climate-risk-opportunity-management-program-resources</vt:lpwstr>
      </vt:variant>
      <vt:variant>
        <vt:lpwstr/>
      </vt:variant>
      <vt:variant>
        <vt:i4>3342451</vt:i4>
      </vt:variant>
      <vt:variant>
        <vt:i4>39</vt:i4>
      </vt:variant>
      <vt:variant>
        <vt:i4>0</vt:i4>
      </vt:variant>
      <vt:variant>
        <vt:i4>5</vt:i4>
      </vt:variant>
      <vt:variant>
        <vt:lpwstr>https://www.dcceew.gov.au/climate-change/publications/climate-risk-opportunity-management-program-resources</vt:lpwstr>
      </vt:variant>
      <vt:variant>
        <vt:lpwstr/>
      </vt:variant>
      <vt:variant>
        <vt:i4>7471207</vt:i4>
      </vt:variant>
      <vt:variant>
        <vt:i4>36</vt:i4>
      </vt:variant>
      <vt:variant>
        <vt:i4>0</vt:i4>
      </vt:variant>
      <vt:variant>
        <vt:i4>5</vt:i4>
      </vt:variant>
      <vt:variant>
        <vt:lpwstr>https://www.dcceew.gov.au/sites/default/files/documents/climate-risk-management.pdf</vt:lpwstr>
      </vt:variant>
      <vt:variant>
        <vt:lpwstr/>
      </vt:variant>
      <vt:variant>
        <vt:i4>5505120</vt:i4>
      </vt:variant>
      <vt:variant>
        <vt:i4>33</vt:i4>
      </vt:variant>
      <vt:variant>
        <vt:i4>0</vt:i4>
      </vt:variant>
      <vt:variant>
        <vt:i4>5</vt:i4>
      </vt:variant>
      <vt:variant>
        <vt:lpwstr>https://www.ipart.nsw.gov.au/sites/default/files/cm9_documents/2024-Pricing-proposal-Sydney-Water-Chapter-3-NSW-Climate-Risk-Ready-Guide.PDF</vt:lpwstr>
      </vt:variant>
      <vt:variant>
        <vt:lpwstr/>
      </vt:variant>
      <vt:variant>
        <vt:i4>3342451</vt:i4>
      </vt:variant>
      <vt:variant>
        <vt:i4>30</vt:i4>
      </vt:variant>
      <vt:variant>
        <vt:i4>0</vt:i4>
      </vt:variant>
      <vt:variant>
        <vt:i4>5</vt:i4>
      </vt:variant>
      <vt:variant>
        <vt:lpwstr>https://www.dcceew.gov.au/climate-change/publications/climate-risk-opportunity-management-program-resources</vt:lpwstr>
      </vt:variant>
      <vt:variant>
        <vt:lpwstr/>
      </vt:variant>
      <vt:variant>
        <vt:i4>3342451</vt:i4>
      </vt:variant>
      <vt:variant>
        <vt:i4>27</vt:i4>
      </vt:variant>
      <vt:variant>
        <vt:i4>0</vt:i4>
      </vt:variant>
      <vt:variant>
        <vt:i4>5</vt:i4>
      </vt:variant>
      <vt:variant>
        <vt:lpwstr>https://www.dcceew.gov.au/climate-change/publications/climate-risk-opportunity-management-program-resources</vt:lpwstr>
      </vt:variant>
      <vt:variant>
        <vt:lpwstr/>
      </vt:variant>
      <vt:variant>
        <vt:i4>6815833</vt:i4>
      </vt:variant>
      <vt:variant>
        <vt:i4>24</vt:i4>
      </vt:variant>
      <vt:variant>
        <vt:i4>0</vt:i4>
      </vt:variant>
      <vt:variant>
        <vt:i4>5</vt:i4>
      </vt:variant>
      <vt:variant>
        <vt:lpwstr>https://www.cefc.com.au/document?file=/media/d3dodzn3/cefc_annualreport2023-24.pdf</vt:lpwstr>
      </vt:variant>
      <vt:variant>
        <vt:lpwstr/>
      </vt:variant>
      <vt:variant>
        <vt:i4>4587615</vt:i4>
      </vt:variant>
      <vt:variant>
        <vt:i4>21</vt:i4>
      </vt:variant>
      <vt:variant>
        <vt:i4>0</vt:i4>
      </vt:variant>
      <vt:variant>
        <vt:i4>5</vt:i4>
      </vt:variant>
      <vt:variant>
        <vt:lpwstr>https://www.dcceew.gov.au/sites/default/files/documents/dcceew-2023-24-annual-report.pdf</vt:lpwstr>
      </vt:variant>
      <vt:variant>
        <vt:lpwstr/>
      </vt:variant>
      <vt:variant>
        <vt:i4>1179719</vt:i4>
      </vt:variant>
      <vt:variant>
        <vt:i4>18</vt:i4>
      </vt:variant>
      <vt:variant>
        <vt:i4>0</vt:i4>
      </vt:variant>
      <vt:variant>
        <vt:i4>5</vt:i4>
      </vt:variant>
      <vt:variant>
        <vt:lpwstr>https://www.defence.gov.au/about/accessing-information/annual-reports</vt:lpwstr>
      </vt:variant>
      <vt:variant>
        <vt:lpwstr/>
      </vt:variant>
      <vt:variant>
        <vt:i4>3342451</vt:i4>
      </vt:variant>
      <vt:variant>
        <vt:i4>15</vt:i4>
      </vt:variant>
      <vt:variant>
        <vt:i4>0</vt:i4>
      </vt:variant>
      <vt:variant>
        <vt:i4>5</vt:i4>
      </vt:variant>
      <vt:variant>
        <vt:lpwstr>https://www.dcceew.gov.au/climate-change/publications/climate-risk-opportunity-management-program-resources</vt:lpwstr>
      </vt:variant>
      <vt:variant>
        <vt:lpwstr/>
      </vt:variant>
      <vt:variant>
        <vt:i4>7667759</vt:i4>
      </vt:variant>
      <vt:variant>
        <vt:i4>12</vt:i4>
      </vt:variant>
      <vt:variant>
        <vt:i4>0</vt:i4>
      </vt:variant>
      <vt:variant>
        <vt:i4>5</vt:i4>
      </vt:variant>
      <vt:variant>
        <vt:lpwstr>https://www.dcceew.gov.au/climate-change/policy/adaptation/climate-risk-opportunity-management-program</vt:lpwstr>
      </vt:variant>
      <vt:variant>
        <vt:lpwstr/>
      </vt:variant>
      <vt:variant>
        <vt:i4>7471207</vt:i4>
      </vt:variant>
      <vt:variant>
        <vt:i4>9</vt:i4>
      </vt:variant>
      <vt:variant>
        <vt:i4>0</vt:i4>
      </vt:variant>
      <vt:variant>
        <vt:i4>5</vt:i4>
      </vt:variant>
      <vt:variant>
        <vt:lpwstr>https://www.dcceew.gov.au/sites/default/files/documents/climate-risk-management.pdf</vt:lpwstr>
      </vt:variant>
      <vt:variant>
        <vt:lpwstr/>
      </vt:variant>
      <vt:variant>
        <vt:i4>1638473</vt:i4>
      </vt:variant>
      <vt:variant>
        <vt:i4>6</vt:i4>
      </vt:variant>
      <vt:variant>
        <vt:i4>0</vt:i4>
      </vt:variant>
      <vt:variant>
        <vt:i4>5</vt:i4>
      </vt:variant>
      <vt:variant>
        <vt:lpwstr>https://www.anao.gov.au/work/annual-report/anao-annual-report-2023-24</vt:lpwstr>
      </vt:variant>
      <vt:variant>
        <vt:lpwstr/>
      </vt:variant>
      <vt:variant>
        <vt:i4>4587615</vt:i4>
      </vt:variant>
      <vt:variant>
        <vt:i4>3</vt:i4>
      </vt:variant>
      <vt:variant>
        <vt:i4>0</vt:i4>
      </vt:variant>
      <vt:variant>
        <vt:i4>5</vt:i4>
      </vt:variant>
      <vt:variant>
        <vt:lpwstr>https://www.dcceew.gov.au/sites/default/files/documents/dcceew-2023-24-annual-report.pdf</vt:lpwstr>
      </vt:variant>
      <vt:variant>
        <vt:lpwstr/>
      </vt:variant>
      <vt:variant>
        <vt:i4>8323120</vt:i4>
      </vt:variant>
      <vt:variant>
        <vt:i4>0</vt:i4>
      </vt:variant>
      <vt:variant>
        <vt:i4>0</vt:i4>
      </vt:variant>
      <vt:variant>
        <vt:i4>5</vt:i4>
      </vt:variant>
      <vt:variant>
        <vt:lpwstr>https://www.finance.gov.au/government/climate-action-government-operations/application-guidance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2025-02-17T03:40:00Z</dcterms:created>
  <dcterms:modified xsi:type="dcterms:W3CDTF">2025-02-17T03:40:00Z</dcterms:modified>
  <cp:category/>
</cp:coreProperties>
</file>