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59A0" w14:textId="27F695AB" w:rsidR="00076742" w:rsidRDefault="004538FB" w:rsidP="00DF1CCA">
      <w:pPr>
        <w:spacing w:before="1200"/>
        <w:ind w:left="0"/>
        <w:rPr>
          <w:color w:val="000000" w:themeColor="text1"/>
          <w:spacing w:val="20"/>
          <w:sz w:val="60"/>
          <w:szCs w:val="60"/>
          <w14:textOutline w14:w="0" w14:cap="flat" w14:cmpd="sng" w14:algn="ctr">
            <w14:noFill/>
            <w14:prstDash w14:val="solid"/>
            <w14:round/>
          </w14:textOutline>
        </w:rPr>
      </w:pPr>
      <w:bookmarkStart w:id="0" w:name="_Hlk172623566"/>
      <w:bookmarkStart w:id="1" w:name="_Toc53573191"/>
      <w:bookmarkStart w:id="2" w:name="_Toc53573619"/>
      <w:r w:rsidRPr="00D910AB">
        <w:rPr>
          <w:noProof/>
          <w:snapToGrid/>
          <w:spacing w:val="20"/>
          <w:sz w:val="40"/>
          <w:szCs w:val="40"/>
        </w:rPr>
        <w:drawing>
          <wp:anchor distT="0" distB="0" distL="114300" distR="114300" simplePos="0" relativeHeight="251658240" behindDoc="1" locked="0" layoutInCell="1" allowOverlap="1" wp14:anchorId="383918FB" wp14:editId="5330C2B4">
            <wp:simplePos x="0" y="0"/>
            <wp:positionH relativeFrom="page">
              <wp:posOffset>9525</wp:posOffset>
            </wp:positionH>
            <wp:positionV relativeFrom="paragraph">
              <wp:posOffset>-2284946</wp:posOffset>
            </wp:positionV>
            <wp:extent cx="7550785" cy="2341880"/>
            <wp:effectExtent l="0" t="0" r="0" b="127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0785" cy="234188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76742" w:rsidRPr="00D910AB">
        <w:rPr>
          <w:color w:val="000000" w:themeColor="text1"/>
          <w:spacing w:val="20"/>
          <w:sz w:val="60"/>
          <w:szCs w:val="60"/>
          <w14:textOutline w14:w="0" w14:cap="flat" w14:cmpd="sng" w14:algn="ctr">
            <w14:noFill/>
            <w14:prstDash w14:val="solid"/>
            <w14:round/>
          </w14:textOutline>
        </w:rPr>
        <w:t>Parliamentary Contributory</w:t>
      </w:r>
      <w:r w:rsidR="00DF1CCA">
        <w:rPr>
          <w:color w:val="000000" w:themeColor="text1"/>
          <w:spacing w:val="20"/>
          <w:sz w:val="60"/>
          <w:szCs w:val="60"/>
          <w14:textOutline w14:w="0" w14:cap="flat" w14:cmpd="sng" w14:algn="ctr">
            <w14:noFill/>
            <w14:prstDash w14:val="solid"/>
            <w14:round/>
          </w14:textOutline>
        </w:rPr>
        <w:br/>
      </w:r>
      <w:r w:rsidR="00076742" w:rsidRPr="00D910AB">
        <w:rPr>
          <w:color w:val="000000" w:themeColor="text1"/>
          <w:spacing w:val="20"/>
          <w:sz w:val="60"/>
          <w:szCs w:val="60"/>
          <w14:textOutline w14:w="0" w14:cap="flat" w14:cmpd="sng" w14:algn="ctr">
            <w14:noFill/>
            <w14:prstDash w14:val="solid"/>
            <w14:round/>
          </w14:textOutline>
        </w:rPr>
        <w:t>Superannuation Scheme</w:t>
      </w:r>
    </w:p>
    <w:p w14:paraId="7DE2DEC6" w14:textId="33979B86" w:rsidR="00412065" w:rsidRPr="00DF1CCA" w:rsidRDefault="002F64AF" w:rsidP="00DF1CCA">
      <w:pPr>
        <w:spacing w:before="400" w:after="0"/>
        <w:ind w:left="0"/>
        <w:rPr>
          <w:color w:val="000000" w:themeColor="text1"/>
          <w:spacing w:val="30"/>
          <w:sz w:val="60"/>
          <w:szCs w:val="60"/>
          <w14:textOutline w14:w="0" w14:cap="flat" w14:cmpd="sng" w14:algn="ctr">
            <w14:noFill/>
            <w14:prstDash w14:val="solid"/>
            <w14:round/>
          </w14:textOutline>
        </w:rPr>
        <w:sectPr w:rsidR="00412065" w:rsidRPr="00DF1CCA" w:rsidSect="00DF1CCA">
          <w:headerReference w:type="even" r:id="rId14"/>
          <w:headerReference w:type="default" r:id="rId15"/>
          <w:footerReference w:type="even" r:id="rId16"/>
          <w:footerReference w:type="default" r:id="rId17"/>
          <w:headerReference w:type="first" r:id="rId18"/>
          <w:footerReference w:type="first" r:id="rId19"/>
          <w:pgSz w:w="11906" w:h="16838" w:code="9"/>
          <w:pgMar w:top="3594"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708"/>
          <w:titlePg/>
          <w:docGrid w:linePitch="360"/>
        </w:sectPr>
      </w:pPr>
      <w:r w:rsidRPr="00DF1CCA">
        <w:rPr>
          <w:snapToGrid/>
          <w:spacing w:val="30"/>
          <w:sz w:val="40"/>
          <w:szCs w:val="40"/>
        </w:rPr>
        <w:t>P</w:t>
      </w:r>
      <w:r w:rsidR="00BC151D" w:rsidRPr="00DF1CCA">
        <w:rPr>
          <w:snapToGrid/>
          <w:spacing w:val="30"/>
          <w:sz w:val="40"/>
          <w:szCs w:val="40"/>
        </w:rPr>
        <w:t>C</w:t>
      </w:r>
      <w:r w:rsidRPr="00DF1CCA">
        <w:rPr>
          <w:snapToGrid/>
          <w:spacing w:val="30"/>
          <w:sz w:val="40"/>
          <w:szCs w:val="40"/>
        </w:rPr>
        <w:t xml:space="preserve">SS </w:t>
      </w:r>
      <w:r w:rsidR="000E7EF1" w:rsidRPr="00DF1CCA">
        <w:rPr>
          <w:snapToGrid/>
          <w:spacing w:val="30"/>
          <w:sz w:val="40"/>
          <w:szCs w:val="40"/>
        </w:rPr>
        <w:t>Handbook</w:t>
      </w:r>
      <w:r w:rsidR="00A94CB0" w:rsidRPr="00DF1CCA">
        <w:rPr>
          <w:snapToGrid/>
          <w:spacing w:val="30"/>
          <w:sz w:val="40"/>
          <w:szCs w:val="40"/>
        </w:rPr>
        <w:t xml:space="preserve"> </w:t>
      </w:r>
      <w:r w:rsidR="000E7EF1" w:rsidRPr="00DF1CCA">
        <w:rPr>
          <w:snapToGrid/>
          <w:spacing w:val="30"/>
          <w:sz w:val="40"/>
          <w:szCs w:val="40"/>
        </w:rPr>
        <w:t>|</w:t>
      </w:r>
      <w:r w:rsidR="00A94CB0" w:rsidRPr="00DF1CCA">
        <w:rPr>
          <w:snapToGrid/>
          <w:spacing w:val="30"/>
          <w:sz w:val="40"/>
          <w:szCs w:val="40"/>
        </w:rPr>
        <w:t xml:space="preserve"> </w:t>
      </w:r>
      <w:r w:rsidR="004E7B38">
        <w:rPr>
          <w:snapToGrid/>
          <w:spacing w:val="30"/>
          <w:sz w:val="40"/>
          <w:szCs w:val="40"/>
        </w:rPr>
        <w:t>December</w:t>
      </w:r>
      <w:r w:rsidR="006F6425" w:rsidRPr="00DF1CCA">
        <w:rPr>
          <w:snapToGrid/>
          <w:spacing w:val="30"/>
          <w:sz w:val="40"/>
          <w:szCs w:val="40"/>
        </w:rPr>
        <w:t xml:space="preserve"> </w:t>
      </w:r>
      <w:r w:rsidR="00082CFB" w:rsidRPr="00DF1CCA">
        <w:rPr>
          <w:snapToGrid/>
          <w:spacing w:val="30"/>
          <w:sz w:val="40"/>
          <w:szCs w:val="40"/>
        </w:rPr>
        <w:t>2024</w:t>
      </w:r>
    </w:p>
    <w:p w14:paraId="0F22D5F2" w14:textId="5D641C7E" w:rsidR="0046451D" w:rsidRPr="00F67188" w:rsidRDefault="0046451D" w:rsidP="00B85640">
      <w:pPr>
        <w:rPr>
          <w:rStyle w:val="Strong"/>
          <w:sz w:val="28"/>
          <w:szCs w:val="28"/>
        </w:rPr>
      </w:pPr>
      <w:r w:rsidRPr="00F67188">
        <w:rPr>
          <w:rStyle w:val="Strong"/>
          <w:sz w:val="28"/>
          <w:szCs w:val="28"/>
        </w:rPr>
        <w:lastRenderedPageBreak/>
        <w:t>Preface</w:t>
      </w:r>
    </w:p>
    <w:p w14:paraId="2C068C2E" w14:textId="21DF650D" w:rsidR="001D2FAB" w:rsidRDefault="0046451D" w:rsidP="00774F4F">
      <w:r w:rsidRPr="00222960">
        <w:t xml:space="preserve">The Department of Finance </w:t>
      </w:r>
      <w:r>
        <w:t xml:space="preserve">(Finance) </w:t>
      </w:r>
      <w:r w:rsidRPr="00222960">
        <w:t xml:space="preserve">provides advice and assistance to the Parliamentary Retiring Allowances Trust (the Trust) and </w:t>
      </w:r>
      <w:r>
        <w:t xml:space="preserve">is responsible for the </w:t>
      </w:r>
      <w:r w:rsidRPr="00222960">
        <w:t>administ</w:t>
      </w:r>
      <w:r>
        <w:t>ration and management of</w:t>
      </w:r>
      <w:r w:rsidRPr="00222960">
        <w:t xml:space="preserve"> the Parliamentary Contributory Superannuation Scheme (PCSS</w:t>
      </w:r>
      <w:r w:rsidR="00AD6880">
        <w:t>/the Scheme</w:t>
      </w:r>
      <w:r w:rsidR="00774F4F" w:rsidRPr="00222960">
        <w:t>).</w:t>
      </w:r>
    </w:p>
    <w:p w14:paraId="47406DF2" w14:textId="2F676125" w:rsidR="0046451D" w:rsidRPr="00222960" w:rsidRDefault="00774F4F" w:rsidP="00774F4F">
      <w:r w:rsidRPr="00222960">
        <w:t>The</w:t>
      </w:r>
      <w:r w:rsidR="0046451D" w:rsidRPr="00222960">
        <w:t xml:space="preserve"> PCSS is established under the </w:t>
      </w:r>
      <w:r w:rsidR="003B311D" w:rsidRPr="00A006FF">
        <w:rPr>
          <w:i/>
          <w:iCs/>
          <w:snapToGrid/>
        </w:rPr>
        <w:t>Parliamentary Contributory Superannuation Act</w:t>
      </w:r>
      <w:r w:rsidR="00DF1CCA">
        <w:rPr>
          <w:i/>
          <w:iCs/>
          <w:snapToGrid/>
        </w:rPr>
        <w:t> </w:t>
      </w:r>
      <w:r w:rsidR="003B311D" w:rsidRPr="00A006FF">
        <w:rPr>
          <w:i/>
          <w:iCs/>
          <w:snapToGrid/>
        </w:rPr>
        <w:t>1948</w:t>
      </w:r>
      <w:r w:rsidR="0046451D" w:rsidRPr="00222960">
        <w:t xml:space="preserve"> (the Act).</w:t>
      </w:r>
      <w:r w:rsidR="0046451D">
        <w:t xml:space="preserve"> </w:t>
      </w:r>
      <w:r w:rsidR="0046451D" w:rsidRPr="00222960">
        <w:t xml:space="preserve">This </w:t>
      </w:r>
      <w:r w:rsidR="00B0676C">
        <w:t>H</w:t>
      </w:r>
      <w:r w:rsidR="00B0676C" w:rsidRPr="00222960">
        <w:t xml:space="preserve">andbook </w:t>
      </w:r>
      <w:r w:rsidR="0046451D" w:rsidRPr="00222960">
        <w:t xml:space="preserve">is intended to provide </w:t>
      </w:r>
      <w:r w:rsidR="00BC151D" w:rsidRPr="00222960">
        <w:t>guida</w:t>
      </w:r>
      <w:r w:rsidR="00BC151D">
        <w:t>nce</w:t>
      </w:r>
      <w:r w:rsidR="0046451D" w:rsidRPr="00222960">
        <w:t xml:space="preserve"> </w:t>
      </w:r>
      <w:r w:rsidR="0046451D">
        <w:t>on</w:t>
      </w:r>
      <w:r w:rsidR="0046451D" w:rsidRPr="00222960">
        <w:t xml:space="preserve"> the main provisions of the Act</w:t>
      </w:r>
      <w:r w:rsidR="0046451D">
        <w:t>,</w:t>
      </w:r>
      <w:r w:rsidR="0046451D" w:rsidRPr="00222960">
        <w:t xml:space="preserve"> a</w:t>
      </w:r>
      <w:r w:rsidR="0046451D">
        <w:t>pplicable</w:t>
      </w:r>
      <w:r w:rsidR="0046451D" w:rsidRPr="00222960">
        <w:t xml:space="preserve"> to members of Parliament </w:t>
      </w:r>
      <w:r w:rsidR="00D93019">
        <w:t xml:space="preserve">who </w:t>
      </w:r>
      <w:r w:rsidR="0046451D">
        <w:t xml:space="preserve">joined the scheme </w:t>
      </w:r>
      <w:r w:rsidR="0046451D" w:rsidRPr="00222960">
        <w:t>before 9</w:t>
      </w:r>
      <w:r w:rsidR="0046451D">
        <w:t> </w:t>
      </w:r>
      <w:r w:rsidR="0046451D" w:rsidRPr="00222960">
        <w:t>October</w:t>
      </w:r>
      <w:r w:rsidR="0046451D">
        <w:t> </w:t>
      </w:r>
      <w:r w:rsidR="0046451D" w:rsidRPr="00222960">
        <w:t>2004.</w:t>
      </w:r>
    </w:p>
    <w:p w14:paraId="0DC6B70E" w14:textId="5C6F1102" w:rsidR="0046451D" w:rsidRDefault="0046451D" w:rsidP="00B85640">
      <w:r w:rsidRPr="00222960">
        <w:t>Th</w:t>
      </w:r>
      <w:r w:rsidR="00825AB8">
        <w:t>e</w:t>
      </w:r>
      <w:r w:rsidRPr="00222960">
        <w:t xml:space="preserve"> </w:t>
      </w:r>
      <w:r w:rsidR="00B0676C">
        <w:t>H</w:t>
      </w:r>
      <w:r w:rsidR="00B0676C" w:rsidRPr="00222960">
        <w:t xml:space="preserve">andbook </w:t>
      </w:r>
      <w:r w:rsidRPr="00222960">
        <w:t xml:space="preserve">is an illustrative guide only and </w:t>
      </w:r>
      <w:r>
        <w:t xml:space="preserve">does not </w:t>
      </w:r>
      <w:r w:rsidRPr="00222960">
        <w:t>cover</w:t>
      </w:r>
      <w:r>
        <w:t xml:space="preserve"> all</w:t>
      </w:r>
      <w:r w:rsidRPr="00222960">
        <w:t xml:space="preserve"> possible situations faced by members of the </w:t>
      </w:r>
      <w:r w:rsidR="002D043B">
        <w:t>Scheme</w:t>
      </w:r>
      <w:r w:rsidRPr="00222960">
        <w:t>.</w:t>
      </w:r>
      <w:r>
        <w:t xml:space="preserve"> </w:t>
      </w:r>
      <w:r w:rsidR="007D074A" w:rsidRPr="007D074A">
        <w:t xml:space="preserve">Accordingly, before taking any action or making any elections in relation to the </w:t>
      </w:r>
      <w:r w:rsidR="00483606">
        <w:t>Scheme</w:t>
      </w:r>
      <w:r w:rsidR="007D074A" w:rsidRPr="007D074A">
        <w:t>, members are strongly advised to seek specific information based on their own individual circumstances from Finance and their own financial advisor. Members are advised not to rely solely on the contents of this Handbook when considering such decisions.</w:t>
      </w:r>
    </w:p>
    <w:p w14:paraId="33DF2EF9" w14:textId="0650331F" w:rsidR="0046451D" w:rsidRDefault="0046451D" w:rsidP="00B85640">
      <w:r w:rsidRPr="00222960">
        <w:t xml:space="preserve">Further information about the </w:t>
      </w:r>
      <w:r w:rsidR="00EC28D7">
        <w:t>Scheme</w:t>
      </w:r>
      <w:r w:rsidRPr="00222960">
        <w:t xml:space="preserve"> may be obtained from</w:t>
      </w:r>
      <w:r>
        <w:t xml:space="preserve"> the Parliamentary Superannuation Team, via</w:t>
      </w:r>
      <w:r w:rsidRPr="00222960">
        <w:t>:</w:t>
      </w:r>
    </w:p>
    <w:p w14:paraId="3E3A86BE" w14:textId="1A810687" w:rsidR="0046451D" w:rsidRDefault="0046451D" w:rsidP="00DF1CCA">
      <w:pPr>
        <w:tabs>
          <w:tab w:val="left" w:pos="1980"/>
        </w:tabs>
      </w:pPr>
      <w:r w:rsidRPr="00F67188">
        <w:t>Mail:</w:t>
      </w:r>
      <w:r w:rsidR="00D93241">
        <w:tab/>
      </w:r>
      <w:r w:rsidRPr="00222960">
        <w:t>Parliamentary Superannuation Team</w:t>
      </w:r>
      <w:r w:rsidRPr="00222960">
        <w:br/>
      </w:r>
      <w:r w:rsidR="00D93241">
        <w:tab/>
      </w:r>
      <w:r>
        <w:t>Electoral</w:t>
      </w:r>
      <w:r w:rsidRPr="00222960">
        <w:t xml:space="preserve"> and Superannuation</w:t>
      </w:r>
      <w:r>
        <w:t xml:space="preserve"> Policy</w:t>
      </w:r>
      <w:r w:rsidRPr="00222960">
        <w:br/>
      </w:r>
      <w:r w:rsidR="00D93241">
        <w:tab/>
      </w:r>
      <w:r w:rsidRPr="00222960">
        <w:t>Department of Finance</w:t>
      </w:r>
      <w:r w:rsidRPr="00222960">
        <w:br/>
      </w:r>
      <w:r w:rsidR="00D93241">
        <w:tab/>
      </w:r>
      <w:r w:rsidRPr="00222960">
        <w:t>One Canberra Avenue</w:t>
      </w:r>
      <w:r w:rsidRPr="00222960">
        <w:br/>
      </w:r>
      <w:r w:rsidR="00D93241">
        <w:tab/>
      </w:r>
      <w:r w:rsidRPr="00222960">
        <w:t>FORREST  ACT  2603</w:t>
      </w:r>
    </w:p>
    <w:p w14:paraId="664FED4E" w14:textId="77777777" w:rsidR="0046451D" w:rsidRPr="00222960" w:rsidRDefault="0046451D" w:rsidP="00DF1CCA">
      <w:pPr>
        <w:tabs>
          <w:tab w:val="left" w:pos="1980"/>
        </w:tabs>
      </w:pPr>
      <w:r>
        <w:t>Telephone:</w:t>
      </w:r>
      <w:r>
        <w:tab/>
        <w:t>02 6215 3676</w:t>
      </w:r>
    </w:p>
    <w:p w14:paraId="234FB1B7" w14:textId="4C54C122" w:rsidR="0046451D" w:rsidRDefault="0046451D" w:rsidP="00DF1CCA">
      <w:pPr>
        <w:tabs>
          <w:tab w:val="left" w:pos="1980"/>
        </w:tabs>
        <w:rPr>
          <w:u w:color="0070C0"/>
        </w:rPr>
      </w:pPr>
      <w:r w:rsidRPr="00F67188">
        <w:t>Email</w:t>
      </w:r>
      <w:r w:rsidRPr="00601CF8">
        <w:rPr>
          <w:rFonts w:cstheme="minorHAnsi"/>
          <w:color w:val="000000"/>
          <w:sz w:val="24"/>
          <w:szCs w:val="24"/>
        </w:rPr>
        <w:t>:</w:t>
      </w:r>
      <w:r w:rsidR="00D93241">
        <w:rPr>
          <w:rFonts w:cstheme="minorHAnsi"/>
          <w:color w:val="000000"/>
          <w:sz w:val="24"/>
          <w:szCs w:val="24"/>
        </w:rPr>
        <w:tab/>
      </w:r>
      <w:hyperlink r:id="rId20" w:history="1">
        <w:r w:rsidRPr="00AD452B">
          <w:rPr>
            <w:rStyle w:val="Hyperlink"/>
          </w:rPr>
          <w:t>ParlSuper@finance.gov.au</w:t>
        </w:r>
      </w:hyperlink>
    </w:p>
    <w:p w14:paraId="0BC322FF" w14:textId="04C790FB" w:rsidR="0046451D" w:rsidRPr="005C4CBF" w:rsidRDefault="0046451D" w:rsidP="00D47029">
      <w:pPr>
        <w:spacing w:before="360"/>
        <w:rPr>
          <w:rStyle w:val="Strong"/>
          <w:sz w:val="28"/>
          <w:szCs w:val="28"/>
        </w:rPr>
      </w:pPr>
      <w:r w:rsidRPr="005C4CBF">
        <w:rPr>
          <w:rStyle w:val="Strong"/>
          <w:sz w:val="28"/>
          <w:szCs w:val="28"/>
        </w:rPr>
        <w:t xml:space="preserve">Privacy </w:t>
      </w:r>
      <w:r w:rsidR="00AD2B34" w:rsidRPr="005C4CBF">
        <w:rPr>
          <w:rStyle w:val="Strong"/>
          <w:sz w:val="28"/>
          <w:szCs w:val="28"/>
        </w:rPr>
        <w:t>n</w:t>
      </w:r>
      <w:r w:rsidRPr="005C4CBF">
        <w:rPr>
          <w:rStyle w:val="Strong"/>
          <w:sz w:val="28"/>
          <w:szCs w:val="28"/>
        </w:rPr>
        <w:t>otice</w:t>
      </w:r>
    </w:p>
    <w:p w14:paraId="58225AD1" w14:textId="4D8E492F" w:rsidR="0046451D" w:rsidRPr="0067766D" w:rsidRDefault="441396B3" w:rsidP="00B85640">
      <w:r w:rsidRPr="0067766D">
        <w:t xml:space="preserve">Finance </w:t>
      </w:r>
      <w:r>
        <w:t xml:space="preserve">values and respects the privacy of the people that we </w:t>
      </w:r>
      <w:r w:rsidR="00B50607">
        <w:t xml:space="preserve">engage </w:t>
      </w:r>
      <w:r>
        <w:t xml:space="preserve">with and is committed to protecting member’s privacy and complying with the </w:t>
      </w:r>
      <w:r w:rsidR="6CB52205" w:rsidRPr="4BBAA418">
        <w:rPr>
          <w:i/>
          <w:iCs/>
        </w:rPr>
        <w:t>Privacy Act 1988</w:t>
      </w:r>
      <w:r w:rsidRPr="00B10341">
        <w:t xml:space="preserve"> (Cth) (Privacy Act) and other applicable privacy laws and regulations.</w:t>
      </w:r>
      <w:r>
        <w:t xml:space="preserve"> In compliance with privacy obligations, Finance must conduct </w:t>
      </w:r>
      <w:r w:rsidRPr="0067766D">
        <w:t>a</w:t>
      </w:r>
      <w:r w:rsidR="006E2FD2">
        <w:t xml:space="preserve"> </w:t>
      </w:r>
      <w:r w:rsidR="00B361D1">
        <w:t>3</w:t>
      </w:r>
      <w:r w:rsidR="006E2FD2">
        <w:noBreakHyphen/>
      </w:r>
      <w:r w:rsidR="4E0E26A8" w:rsidRPr="0067766D">
        <w:t>point</w:t>
      </w:r>
      <w:r w:rsidRPr="0067766D">
        <w:t xml:space="preserve"> identity check and </w:t>
      </w:r>
      <w:r>
        <w:t xml:space="preserve">obtain written </w:t>
      </w:r>
      <w:r w:rsidRPr="0067766D">
        <w:t>third</w:t>
      </w:r>
      <w:r w:rsidR="0031316C">
        <w:noBreakHyphen/>
      </w:r>
      <w:r w:rsidRPr="0067766D">
        <w:t xml:space="preserve">party authorisation (if applicable) </w:t>
      </w:r>
      <w:r>
        <w:t xml:space="preserve">to verify individuals and their eligibility to access or discuss </w:t>
      </w:r>
      <w:r w:rsidRPr="0067766D">
        <w:t>a member’s account details.</w:t>
      </w:r>
    </w:p>
    <w:p w14:paraId="0AE61DF0" w14:textId="1C8D4575" w:rsidR="00D47029" w:rsidRPr="0067766D" w:rsidRDefault="005C4CBF" w:rsidP="00B85640">
      <w:r>
        <w:t>Finance</w:t>
      </w:r>
      <w:r w:rsidRPr="00A50C0E">
        <w:t xml:space="preserve"> </w:t>
      </w:r>
      <w:r w:rsidR="0046451D" w:rsidRPr="00A50C0E">
        <w:t xml:space="preserve">will only share </w:t>
      </w:r>
      <w:r w:rsidR="0046451D">
        <w:t xml:space="preserve">relevant </w:t>
      </w:r>
      <w:r w:rsidR="0046451D" w:rsidRPr="00A50C0E">
        <w:t>personal information</w:t>
      </w:r>
      <w:r w:rsidR="00DD4F8C">
        <w:t>,</w:t>
      </w:r>
      <w:r w:rsidR="0046451D" w:rsidRPr="00A50C0E">
        <w:t xml:space="preserve"> where necessary</w:t>
      </w:r>
      <w:r w:rsidR="00DD4F8C">
        <w:t>,</w:t>
      </w:r>
      <w:r w:rsidR="0046451D">
        <w:t xml:space="preserve"> to other </w:t>
      </w:r>
      <w:r w:rsidR="0046451D" w:rsidRPr="00A50C0E">
        <w:t xml:space="preserve">government or regulatory bodies. </w:t>
      </w:r>
      <w:r w:rsidR="0046451D">
        <w:t xml:space="preserve">Members’ </w:t>
      </w:r>
      <w:r w:rsidR="0046451D" w:rsidRPr="00A50C0E">
        <w:t xml:space="preserve">information will not be otherwise </w:t>
      </w:r>
      <w:r w:rsidR="0046451D">
        <w:t xml:space="preserve">collected, </w:t>
      </w:r>
      <w:r w:rsidR="0046451D" w:rsidRPr="00A50C0E">
        <w:t xml:space="preserve">used or disclosed unless required or permitted </w:t>
      </w:r>
      <w:r w:rsidR="0046451D">
        <w:t>by</w:t>
      </w:r>
      <w:r w:rsidR="0046451D" w:rsidRPr="00A50C0E">
        <w:t xml:space="preserve"> law.</w:t>
      </w:r>
      <w:r w:rsidR="005269CE">
        <w:t xml:space="preserve"> </w:t>
      </w:r>
      <w:r w:rsidR="005269CE" w:rsidRPr="00D910AB">
        <w:t>For more information about how Finance handles your personal information, including information about access to or correction of your personal information, please visit our Privacy Policy at</w:t>
      </w:r>
      <w:r w:rsidR="00D47029">
        <w:t xml:space="preserve"> </w:t>
      </w:r>
      <w:hyperlink r:id="rId21" w:history="1">
        <w:r w:rsidR="00D47029" w:rsidRPr="003E7AD8">
          <w:rPr>
            <w:rStyle w:val="Hyperlink"/>
            <w:rFonts w:cstheme="minorBidi"/>
          </w:rPr>
          <w:t>www.finance.gov.au/publications/policy/department-finance-privacy-policy</w:t>
        </w:r>
      </w:hyperlink>
    </w:p>
    <w:p w14:paraId="3B49259B" w14:textId="0075D8E6" w:rsidR="0046451D" w:rsidRPr="00222960" w:rsidRDefault="0046451D" w:rsidP="00D47029">
      <w:pPr>
        <w:spacing w:before="360"/>
      </w:pPr>
      <w:r w:rsidRPr="00222960">
        <w:t>Department of Finance</w:t>
      </w:r>
      <w:r w:rsidRPr="00222960">
        <w:br/>
      </w:r>
      <w:r w:rsidR="004E7B38">
        <w:t>December</w:t>
      </w:r>
      <w:r w:rsidR="00C54DB0" w:rsidRPr="005C4CBF">
        <w:t xml:space="preserve"> </w:t>
      </w:r>
      <w:r w:rsidRPr="005C4CBF">
        <w:t>202</w:t>
      </w:r>
      <w:r w:rsidR="00A639D8" w:rsidRPr="005C4CBF">
        <w:t>4</w:t>
      </w:r>
    </w:p>
    <w:p w14:paraId="5DAFFE3A" w14:textId="7B6EE129" w:rsidR="00E8465E" w:rsidRPr="00A94CB0" w:rsidRDefault="00E8465E" w:rsidP="00B85640">
      <w:pPr>
        <w:sectPr w:rsidR="00E8465E" w:rsidRPr="00A94CB0" w:rsidSect="00215ACF">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fmt="lowerRoman" w:start="1"/>
          <w:cols w:space="708"/>
          <w:docGrid w:linePitch="360"/>
        </w:sectPr>
      </w:pPr>
    </w:p>
    <w:bookmarkEnd w:id="2" w:displacedByCustomXml="next"/>
    <w:bookmarkEnd w:id="1" w:displacedByCustomXml="next"/>
    <w:bookmarkStart w:id="3" w:name="_Toc53573620" w:displacedByCustomXml="next"/>
    <w:sdt>
      <w:sdtPr>
        <w:rPr>
          <w:rFonts w:asciiTheme="minorHAnsi" w:eastAsiaTheme="minorHAnsi" w:hAnsiTheme="minorHAnsi" w:cstheme="minorHAnsi"/>
          <w:iCs/>
          <w:snapToGrid w:val="0"/>
          <w:color w:val="auto"/>
          <w:sz w:val="20"/>
          <w:szCs w:val="20"/>
          <w:lang w:val="en-AU"/>
        </w:rPr>
        <w:id w:val="1640686772"/>
        <w:docPartObj>
          <w:docPartGallery w:val="Table of Contents"/>
          <w:docPartUnique/>
        </w:docPartObj>
      </w:sdtPr>
      <w:sdtEndPr/>
      <w:sdtContent>
        <w:p w14:paraId="64D14A67" w14:textId="77271180" w:rsidR="00713A4A" w:rsidRDefault="00713A4A" w:rsidP="00D24D5B">
          <w:pPr>
            <w:pStyle w:val="TOCHeading"/>
          </w:pPr>
          <w:r>
            <w:t>Contents</w:t>
          </w:r>
        </w:p>
        <w:p w14:paraId="3FB3A791" w14:textId="4F4E7692" w:rsidR="00DC08F8" w:rsidRDefault="005047EF">
          <w:pPr>
            <w:pStyle w:val="TOC1"/>
            <w:rPr>
              <w:rFonts w:eastAsiaTheme="minorEastAsia" w:cstheme="minorBidi"/>
              <w:b w:val="0"/>
              <w:bCs w:val="0"/>
              <w:noProof/>
              <w:snapToGrid/>
              <w:kern w:val="2"/>
              <w:sz w:val="24"/>
              <w:szCs w:val="24"/>
              <w:lang w:eastAsia="en-AU"/>
              <w14:ligatures w14:val="standardContextual"/>
            </w:rPr>
          </w:pPr>
          <w:r>
            <w:fldChar w:fldCharType="begin"/>
          </w:r>
          <w:r w:rsidR="00506220">
            <w:instrText>TOC \o "1-3" \z \u \h</w:instrText>
          </w:r>
          <w:r>
            <w:fldChar w:fldCharType="separate"/>
          </w:r>
          <w:hyperlink w:anchor="_Toc185937469" w:history="1">
            <w:r w:rsidR="00DC08F8" w:rsidRPr="00383282">
              <w:rPr>
                <w:rStyle w:val="Hyperlink"/>
                <w:noProof/>
              </w:rPr>
              <w:t>Part I — About the PCSS</w:t>
            </w:r>
            <w:r w:rsidR="00DC08F8">
              <w:rPr>
                <w:noProof/>
                <w:webHidden/>
              </w:rPr>
              <w:tab/>
            </w:r>
            <w:r w:rsidR="00DC08F8">
              <w:rPr>
                <w:noProof/>
                <w:webHidden/>
              </w:rPr>
              <w:fldChar w:fldCharType="begin"/>
            </w:r>
            <w:r w:rsidR="00DC08F8">
              <w:rPr>
                <w:noProof/>
                <w:webHidden/>
              </w:rPr>
              <w:instrText xml:space="preserve"> PAGEREF _Toc185937469 \h </w:instrText>
            </w:r>
            <w:r w:rsidR="00DC08F8">
              <w:rPr>
                <w:noProof/>
                <w:webHidden/>
              </w:rPr>
            </w:r>
            <w:r w:rsidR="00DC08F8">
              <w:rPr>
                <w:noProof/>
                <w:webHidden/>
              </w:rPr>
              <w:fldChar w:fldCharType="separate"/>
            </w:r>
            <w:r w:rsidR="00DC08F8">
              <w:rPr>
                <w:noProof/>
                <w:webHidden/>
              </w:rPr>
              <w:t>1</w:t>
            </w:r>
            <w:r w:rsidR="00DC08F8">
              <w:rPr>
                <w:noProof/>
                <w:webHidden/>
              </w:rPr>
              <w:fldChar w:fldCharType="end"/>
            </w:r>
          </w:hyperlink>
        </w:p>
        <w:p w14:paraId="6A3043DC" w14:textId="41312806"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0" w:history="1">
            <w:r w:rsidRPr="00383282">
              <w:rPr>
                <w:rStyle w:val="Hyperlink"/>
                <w:noProof/>
              </w:rPr>
              <w:t>The Scheme</w:t>
            </w:r>
            <w:r>
              <w:rPr>
                <w:noProof/>
                <w:webHidden/>
              </w:rPr>
              <w:tab/>
            </w:r>
            <w:r>
              <w:rPr>
                <w:noProof/>
                <w:webHidden/>
              </w:rPr>
              <w:fldChar w:fldCharType="begin"/>
            </w:r>
            <w:r>
              <w:rPr>
                <w:noProof/>
                <w:webHidden/>
              </w:rPr>
              <w:instrText xml:space="preserve"> PAGEREF _Toc185937470 \h </w:instrText>
            </w:r>
            <w:r>
              <w:rPr>
                <w:noProof/>
                <w:webHidden/>
              </w:rPr>
            </w:r>
            <w:r>
              <w:rPr>
                <w:noProof/>
                <w:webHidden/>
              </w:rPr>
              <w:fldChar w:fldCharType="separate"/>
            </w:r>
            <w:r>
              <w:rPr>
                <w:noProof/>
                <w:webHidden/>
              </w:rPr>
              <w:t>1</w:t>
            </w:r>
            <w:r>
              <w:rPr>
                <w:noProof/>
                <w:webHidden/>
              </w:rPr>
              <w:fldChar w:fldCharType="end"/>
            </w:r>
          </w:hyperlink>
        </w:p>
        <w:p w14:paraId="58A8351F" w14:textId="2489302E"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1" w:history="1">
            <w:r w:rsidRPr="00383282">
              <w:rPr>
                <w:rStyle w:val="Hyperlink"/>
                <w:noProof/>
              </w:rPr>
              <w:t>Membership</w:t>
            </w:r>
            <w:r>
              <w:rPr>
                <w:noProof/>
                <w:webHidden/>
              </w:rPr>
              <w:tab/>
            </w:r>
            <w:r>
              <w:rPr>
                <w:noProof/>
                <w:webHidden/>
              </w:rPr>
              <w:fldChar w:fldCharType="begin"/>
            </w:r>
            <w:r>
              <w:rPr>
                <w:noProof/>
                <w:webHidden/>
              </w:rPr>
              <w:instrText xml:space="preserve"> PAGEREF _Toc185937471 \h </w:instrText>
            </w:r>
            <w:r>
              <w:rPr>
                <w:noProof/>
                <w:webHidden/>
              </w:rPr>
            </w:r>
            <w:r>
              <w:rPr>
                <w:noProof/>
                <w:webHidden/>
              </w:rPr>
              <w:fldChar w:fldCharType="separate"/>
            </w:r>
            <w:r>
              <w:rPr>
                <w:noProof/>
                <w:webHidden/>
              </w:rPr>
              <w:t>1</w:t>
            </w:r>
            <w:r>
              <w:rPr>
                <w:noProof/>
                <w:webHidden/>
              </w:rPr>
              <w:fldChar w:fldCharType="end"/>
            </w:r>
          </w:hyperlink>
        </w:p>
        <w:p w14:paraId="480ADD2C" w14:textId="43F44D67"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2" w:history="1">
            <w:r w:rsidRPr="00383282">
              <w:rPr>
                <w:rStyle w:val="Hyperlink"/>
                <w:noProof/>
              </w:rPr>
              <w:t>Administration</w:t>
            </w:r>
            <w:r>
              <w:rPr>
                <w:noProof/>
                <w:webHidden/>
              </w:rPr>
              <w:tab/>
            </w:r>
            <w:r>
              <w:rPr>
                <w:noProof/>
                <w:webHidden/>
              </w:rPr>
              <w:fldChar w:fldCharType="begin"/>
            </w:r>
            <w:r>
              <w:rPr>
                <w:noProof/>
                <w:webHidden/>
              </w:rPr>
              <w:instrText xml:space="preserve"> PAGEREF _Toc185937472 \h </w:instrText>
            </w:r>
            <w:r>
              <w:rPr>
                <w:noProof/>
                <w:webHidden/>
              </w:rPr>
            </w:r>
            <w:r>
              <w:rPr>
                <w:noProof/>
                <w:webHidden/>
              </w:rPr>
              <w:fldChar w:fldCharType="separate"/>
            </w:r>
            <w:r>
              <w:rPr>
                <w:noProof/>
                <w:webHidden/>
              </w:rPr>
              <w:t>1</w:t>
            </w:r>
            <w:r>
              <w:rPr>
                <w:noProof/>
                <w:webHidden/>
              </w:rPr>
              <w:fldChar w:fldCharType="end"/>
            </w:r>
          </w:hyperlink>
        </w:p>
        <w:p w14:paraId="63D3C4F0" w14:textId="052145C8" w:rsidR="00DC08F8" w:rsidRDefault="00DC08F8">
          <w:pPr>
            <w:pStyle w:val="TOC1"/>
            <w:rPr>
              <w:rFonts w:eastAsiaTheme="minorEastAsia" w:cstheme="minorBidi"/>
              <w:b w:val="0"/>
              <w:bCs w:val="0"/>
              <w:noProof/>
              <w:snapToGrid/>
              <w:kern w:val="2"/>
              <w:sz w:val="24"/>
              <w:szCs w:val="24"/>
              <w:lang w:eastAsia="en-AU"/>
              <w14:ligatures w14:val="standardContextual"/>
            </w:rPr>
          </w:pPr>
          <w:hyperlink w:anchor="_Toc185937473" w:history="1">
            <w:r w:rsidRPr="00383282">
              <w:rPr>
                <w:rStyle w:val="Hyperlink"/>
                <w:noProof/>
              </w:rPr>
              <w:t>Part II — Key components of the PCSS</w:t>
            </w:r>
            <w:r>
              <w:rPr>
                <w:noProof/>
                <w:webHidden/>
              </w:rPr>
              <w:tab/>
            </w:r>
            <w:r>
              <w:rPr>
                <w:noProof/>
                <w:webHidden/>
              </w:rPr>
              <w:fldChar w:fldCharType="begin"/>
            </w:r>
            <w:r>
              <w:rPr>
                <w:noProof/>
                <w:webHidden/>
              </w:rPr>
              <w:instrText xml:space="preserve"> PAGEREF _Toc185937473 \h </w:instrText>
            </w:r>
            <w:r>
              <w:rPr>
                <w:noProof/>
                <w:webHidden/>
              </w:rPr>
            </w:r>
            <w:r>
              <w:rPr>
                <w:noProof/>
                <w:webHidden/>
              </w:rPr>
              <w:fldChar w:fldCharType="separate"/>
            </w:r>
            <w:r>
              <w:rPr>
                <w:noProof/>
                <w:webHidden/>
              </w:rPr>
              <w:t>2</w:t>
            </w:r>
            <w:r>
              <w:rPr>
                <w:noProof/>
                <w:webHidden/>
              </w:rPr>
              <w:fldChar w:fldCharType="end"/>
            </w:r>
          </w:hyperlink>
        </w:p>
        <w:p w14:paraId="4E3710DD" w14:textId="315E3EFF"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4" w:history="1">
            <w:r w:rsidRPr="00383282">
              <w:rPr>
                <w:rStyle w:val="Hyperlink"/>
                <w:noProof/>
              </w:rPr>
              <w:t>Determination of parliamentary salaries</w:t>
            </w:r>
            <w:r>
              <w:rPr>
                <w:noProof/>
                <w:webHidden/>
              </w:rPr>
              <w:tab/>
            </w:r>
            <w:r>
              <w:rPr>
                <w:noProof/>
                <w:webHidden/>
              </w:rPr>
              <w:fldChar w:fldCharType="begin"/>
            </w:r>
            <w:r>
              <w:rPr>
                <w:noProof/>
                <w:webHidden/>
              </w:rPr>
              <w:instrText xml:space="preserve"> PAGEREF _Toc185937474 \h </w:instrText>
            </w:r>
            <w:r>
              <w:rPr>
                <w:noProof/>
                <w:webHidden/>
              </w:rPr>
            </w:r>
            <w:r>
              <w:rPr>
                <w:noProof/>
                <w:webHidden/>
              </w:rPr>
              <w:fldChar w:fldCharType="separate"/>
            </w:r>
            <w:r>
              <w:rPr>
                <w:noProof/>
                <w:webHidden/>
              </w:rPr>
              <w:t>2</w:t>
            </w:r>
            <w:r>
              <w:rPr>
                <w:noProof/>
                <w:webHidden/>
              </w:rPr>
              <w:fldChar w:fldCharType="end"/>
            </w:r>
          </w:hyperlink>
        </w:p>
        <w:p w14:paraId="318EDAC8" w14:textId="491159B6"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5" w:history="1">
            <w:r w:rsidRPr="00383282">
              <w:rPr>
                <w:rStyle w:val="Hyperlink"/>
                <w:noProof/>
              </w:rPr>
              <w:t>Contributions</w:t>
            </w:r>
            <w:r>
              <w:rPr>
                <w:noProof/>
                <w:webHidden/>
              </w:rPr>
              <w:tab/>
            </w:r>
            <w:r>
              <w:rPr>
                <w:noProof/>
                <w:webHidden/>
              </w:rPr>
              <w:fldChar w:fldCharType="begin"/>
            </w:r>
            <w:r>
              <w:rPr>
                <w:noProof/>
                <w:webHidden/>
              </w:rPr>
              <w:instrText xml:space="preserve"> PAGEREF _Toc185937475 \h </w:instrText>
            </w:r>
            <w:r>
              <w:rPr>
                <w:noProof/>
                <w:webHidden/>
              </w:rPr>
            </w:r>
            <w:r>
              <w:rPr>
                <w:noProof/>
                <w:webHidden/>
              </w:rPr>
              <w:fldChar w:fldCharType="separate"/>
            </w:r>
            <w:r>
              <w:rPr>
                <w:noProof/>
                <w:webHidden/>
              </w:rPr>
              <w:t>2</w:t>
            </w:r>
            <w:r>
              <w:rPr>
                <w:noProof/>
                <w:webHidden/>
              </w:rPr>
              <w:fldChar w:fldCharType="end"/>
            </w:r>
          </w:hyperlink>
        </w:p>
        <w:p w14:paraId="506C0518" w14:textId="4EA82E7F" w:rsidR="00DC08F8" w:rsidRDefault="00DC08F8">
          <w:pPr>
            <w:pStyle w:val="TOC3"/>
            <w:rPr>
              <w:rFonts w:eastAsiaTheme="minorEastAsia" w:cstheme="minorBidi"/>
              <w:i w:val="0"/>
              <w:snapToGrid/>
              <w:kern w:val="2"/>
              <w:sz w:val="24"/>
              <w:szCs w:val="24"/>
              <w:lang w:eastAsia="en-AU"/>
              <w14:ligatures w14:val="standardContextual"/>
            </w:rPr>
          </w:pPr>
          <w:hyperlink w:anchor="_Toc185937476" w:history="1">
            <w:r w:rsidRPr="00383282">
              <w:rPr>
                <w:rStyle w:val="Hyperlink"/>
              </w:rPr>
              <w:t>Taxation of contributions</w:t>
            </w:r>
            <w:r>
              <w:rPr>
                <w:webHidden/>
              </w:rPr>
              <w:tab/>
            </w:r>
            <w:r>
              <w:rPr>
                <w:webHidden/>
              </w:rPr>
              <w:fldChar w:fldCharType="begin"/>
            </w:r>
            <w:r>
              <w:rPr>
                <w:webHidden/>
              </w:rPr>
              <w:instrText xml:space="preserve"> PAGEREF _Toc185937476 \h </w:instrText>
            </w:r>
            <w:r>
              <w:rPr>
                <w:webHidden/>
              </w:rPr>
            </w:r>
            <w:r>
              <w:rPr>
                <w:webHidden/>
              </w:rPr>
              <w:fldChar w:fldCharType="separate"/>
            </w:r>
            <w:r>
              <w:rPr>
                <w:webHidden/>
              </w:rPr>
              <w:t>3</w:t>
            </w:r>
            <w:r>
              <w:rPr>
                <w:webHidden/>
              </w:rPr>
              <w:fldChar w:fldCharType="end"/>
            </w:r>
          </w:hyperlink>
        </w:p>
        <w:p w14:paraId="5B0C4CC6" w14:textId="0058563B"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7" w:history="1">
            <w:r w:rsidRPr="00383282">
              <w:rPr>
                <w:rStyle w:val="Hyperlink"/>
                <w:noProof/>
              </w:rPr>
              <w:t>Period of service</w:t>
            </w:r>
            <w:r>
              <w:rPr>
                <w:noProof/>
                <w:webHidden/>
              </w:rPr>
              <w:tab/>
            </w:r>
            <w:r>
              <w:rPr>
                <w:noProof/>
                <w:webHidden/>
              </w:rPr>
              <w:fldChar w:fldCharType="begin"/>
            </w:r>
            <w:r>
              <w:rPr>
                <w:noProof/>
                <w:webHidden/>
              </w:rPr>
              <w:instrText xml:space="preserve"> PAGEREF _Toc185937477 \h </w:instrText>
            </w:r>
            <w:r>
              <w:rPr>
                <w:noProof/>
                <w:webHidden/>
              </w:rPr>
            </w:r>
            <w:r>
              <w:rPr>
                <w:noProof/>
                <w:webHidden/>
              </w:rPr>
              <w:fldChar w:fldCharType="separate"/>
            </w:r>
            <w:r>
              <w:rPr>
                <w:noProof/>
                <w:webHidden/>
              </w:rPr>
              <w:t>3</w:t>
            </w:r>
            <w:r>
              <w:rPr>
                <w:noProof/>
                <w:webHidden/>
              </w:rPr>
              <w:fldChar w:fldCharType="end"/>
            </w:r>
          </w:hyperlink>
        </w:p>
        <w:p w14:paraId="01EA26B8" w14:textId="4C34205C"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8" w:history="1">
            <w:r w:rsidRPr="00383282">
              <w:rPr>
                <w:rStyle w:val="Hyperlink"/>
                <w:noProof/>
              </w:rPr>
              <w:t>Benefit payable to members</w:t>
            </w:r>
            <w:r>
              <w:rPr>
                <w:noProof/>
                <w:webHidden/>
              </w:rPr>
              <w:tab/>
            </w:r>
            <w:r>
              <w:rPr>
                <w:noProof/>
                <w:webHidden/>
              </w:rPr>
              <w:fldChar w:fldCharType="begin"/>
            </w:r>
            <w:r>
              <w:rPr>
                <w:noProof/>
                <w:webHidden/>
              </w:rPr>
              <w:instrText xml:space="preserve"> PAGEREF _Toc185937478 \h </w:instrText>
            </w:r>
            <w:r>
              <w:rPr>
                <w:noProof/>
                <w:webHidden/>
              </w:rPr>
            </w:r>
            <w:r>
              <w:rPr>
                <w:noProof/>
                <w:webHidden/>
              </w:rPr>
              <w:fldChar w:fldCharType="separate"/>
            </w:r>
            <w:r>
              <w:rPr>
                <w:noProof/>
                <w:webHidden/>
              </w:rPr>
              <w:t>4</w:t>
            </w:r>
            <w:r>
              <w:rPr>
                <w:noProof/>
                <w:webHidden/>
              </w:rPr>
              <w:fldChar w:fldCharType="end"/>
            </w:r>
          </w:hyperlink>
        </w:p>
        <w:p w14:paraId="0EDC0BB5" w14:textId="25CE0336"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79" w:history="1">
            <w:r w:rsidRPr="00383282">
              <w:rPr>
                <w:rStyle w:val="Hyperlink"/>
                <w:noProof/>
              </w:rPr>
              <w:t>Benefit payable to members not entitled to a pension</w:t>
            </w:r>
            <w:r>
              <w:rPr>
                <w:noProof/>
                <w:webHidden/>
              </w:rPr>
              <w:tab/>
            </w:r>
            <w:r>
              <w:rPr>
                <w:noProof/>
                <w:webHidden/>
              </w:rPr>
              <w:fldChar w:fldCharType="begin"/>
            </w:r>
            <w:r>
              <w:rPr>
                <w:noProof/>
                <w:webHidden/>
              </w:rPr>
              <w:instrText xml:space="preserve"> PAGEREF _Toc185937479 \h </w:instrText>
            </w:r>
            <w:r>
              <w:rPr>
                <w:noProof/>
                <w:webHidden/>
              </w:rPr>
            </w:r>
            <w:r>
              <w:rPr>
                <w:noProof/>
                <w:webHidden/>
              </w:rPr>
              <w:fldChar w:fldCharType="separate"/>
            </w:r>
            <w:r>
              <w:rPr>
                <w:noProof/>
                <w:webHidden/>
              </w:rPr>
              <w:t>4</w:t>
            </w:r>
            <w:r>
              <w:rPr>
                <w:noProof/>
                <w:webHidden/>
              </w:rPr>
              <w:fldChar w:fldCharType="end"/>
            </w:r>
          </w:hyperlink>
        </w:p>
        <w:p w14:paraId="2AB9CE56" w14:textId="3EFE2B82" w:rsidR="00DC08F8" w:rsidRDefault="00DC08F8">
          <w:pPr>
            <w:pStyle w:val="TOC3"/>
            <w:rPr>
              <w:rFonts w:eastAsiaTheme="minorEastAsia" w:cstheme="minorBidi"/>
              <w:i w:val="0"/>
              <w:snapToGrid/>
              <w:kern w:val="2"/>
              <w:sz w:val="24"/>
              <w:szCs w:val="24"/>
              <w:lang w:eastAsia="en-AU"/>
              <w14:ligatures w14:val="standardContextual"/>
            </w:rPr>
          </w:pPr>
          <w:hyperlink w:anchor="_Toc185937480" w:history="1">
            <w:r w:rsidRPr="00383282">
              <w:rPr>
                <w:rStyle w:val="Hyperlink"/>
              </w:rPr>
              <w:t>Disqualification of benefit</w:t>
            </w:r>
            <w:r>
              <w:rPr>
                <w:webHidden/>
              </w:rPr>
              <w:tab/>
            </w:r>
            <w:r>
              <w:rPr>
                <w:webHidden/>
              </w:rPr>
              <w:fldChar w:fldCharType="begin"/>
            </w:r>
            <w:r>
              <w:rPr>
                <w:webHidden/>
              </w:rPr>
              <w:instrText xml:space="preserve"> PAGEREF _Toc185937480 \h </w:instrText>
            </w:r>
            <w:r>
              <w:rPr>
                <w:webHidden/>
              </w:rPr>
            </w:r>
            <w:r>
              <w:rPr>
                <w:webHidden/>
              </w:rPr>
              <w:fldChar w:fldCharType="separate"/>
            </w:r>
            <w:r>
              <w:rPr>
                <w:webHidden/>
              </w:rPr>
              <w:t>5</w:t>
            </w:r>
            <w:r>
              <w:rPr>
                <w:webHidden/>
              </w:rPr>
              <w:fldChar w:fldCharType="end"/>
            </w:r>
          </w:hyperlink>
        </w:p>
        <w:p w14:paraId="352D90D6" w14:textId="699755F5"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1" w:history="1">
            <w:r w:rsidRPr="00383282">
              <w:rPr>
                <w:rStyle w:val="Hyperlink"/>
                <w:noProof/>
              </w:rPr>
              <w:t>Rates of basic pension</w:t>
            </w:r>
            <w:r>
              <w:rPr>
                <w:noProof/>
                <w:webHidden/>
              </w:rPr>
              <w:tab/>
            </w:r>
            <w:r>
              <w:rPr>
                <w:noProof/>
                <w:webHidden/>
              </w:rPr>
              <w:fldChar w:fldCharType="begin"/>
            </w:r>
            <w:r>
              <w:rPr>
                <w:noProof/>
                <w:webHidden/>
              </w:rPr>
              <w:instrText xml:space="preserve"> PAGEREF _Toc185937481 \h </w:instrText>
            </w:r>
            <w:r>
              <w:rPr>
                <w:noProof/>
                <w:webHidden/>
              </w:rPr>
            </w:r>
            <w:r>
              <w:rPr>
                <w:noProof/>
                <w:webHidden/>
              </w:rPr>
              <w:fldChar w:fldCharType="separate"/>
            </w:r>
            <w:r>
              <w:rPr>
                <w:noProof/>
                <w:webHidden/>
              </w:rPr>
              <w:t>5</w:t>
            </w:r>
            <w:r>
              <w:rPr>
                <w:noProof/>
                <w:webHidden/>
              </w:rPr>
              <w:fldChar w:fldCharType="end"/>
            </w:r>
          </w:hyperlink>
        </w:p>
        <w:p w14:paraId="301A222F" w14:textId="7D385041"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2" w:history="1">
            <w:r w:rsidRPr="00383282">
              <w:rPr>
                <w:rStyle w:val="Hyperlink"/>
                <w:noProof/>
              </w:rPr>
              <w:t>Additional pension for service as a minister or office holder</w:t>
            </w:r>
            <w:r>
              <w:rPr>
                <w:noProof/>
                <w:webHidden/>
              </w:rPr>
              <w:tab/>
            </w:r>
            <w:r>
              <w:rPr>
                <w:noProof/>
                <w:webHidden/>
              </w:rPr>
              <w:fldChar w:fldCharType="begin"/>
            </w:r>
            <w:r>
              <w:rPr>
                <w:noProof/>
                <w:webHidden/>
              </w:rPr>
              <w:instrText xml:space="preserve"> PAGEREF _Toc185937482 \h </w:instrText>
            </w:r>
            <w:r>
              <w:rPr>
                <w:noProof/>
                <w:webHidden/>
              </w:rPr>
            </w:r>
            <w:r>
              <w:rPr>
                <w:noProof/>
                <w:webHidden/>
              </w:rPr>
              <w:fldChar w:fldCharType="separate"/>
            </w:r>
            <w:r>
              <w:rPr>
                <w:noProof/>
                <w:webHidden/>
              </w:rPr>
              <w:t>6</w:t>
            </w:r>
            <w:r>
              <w:rPr>
                <w:noProof/>
                <w:webHidden/>
              </w:rPr>
              <w:fldChar w:fldCharType="end"/>
            </w:r>
          </w:hyperlink>
        </w:p>
        <w:p w14:paraId="759E20A4" w14:textId="7FB17083" w:rsidR="00DC08F8" w:rsidRDefault="00DC08F8">
          <w:pPr>
            <w:pStyle w:val="TOC3"/>
            <w:rPr>
              <w:rFonts w:eastAsiaTheme="minorEastAsia" w:cstheme="minorBidi"/>
              <w:i w:val="0"/>
              <w:snapToGrid/>
              <w:kern w:val="2"/>
              <w:sz w:val="24"/>
              <w:szCs w:val="24"/>
              <w:lang w:eastAsia="en-AU"/>
              <w14:ligatures w14:val="standardContextual"/>
            </w:rPr>
          </w:pPr>
          <w:hyperlink w:anchor="_Toc185937483" w:history="1">
            <w:r w:rsidRPr="00383282">
              <w:rPr>
                <w:rStyle w:val="Hyperlink"/>
              </w:rPr>
              <w:t>Taxation of benefits</w:t>
            </w:r>
            <w:r>
              <w:rPr>
                <w:webHidden/>
              </w:rPr>
              <w:tab/>
            </w:r>
            <w:r>
              <w:rPr>
                <w:webHidden/>
              </w:rPr>
              <w:fldChar w:fldCharType="begin"/>
            </w:r>
            <w:r>
              <w:rPr>
                <w:webHidden/>
              </w:rPr>
              <w:instrText xml:space="preserve"> PAGEREF _Toc185937483 \h </w:instrText>
            </w:r>
            <w:r>
              <w:rPr>
                <w:webHidden/>
              </w:rPr>
            </w:r>
            <w:r>
              <w:rPr>
                <w:webHidden/>
              </w:rPr>
              <w:fldChar w:fldCharType="separate"/>
            </w:r>
            <w:r>
              <w:rPr>
                <w:webHidden/>
              </w:rPr>
              <w:t>7</w:t>
            </w:r>
            <w:r>
              <w:rPr>
                <w:webHidden/>
              </w:rPr>
              <w:fldChar w:fldCharType="end"/>
            </w:r>
          </w:hyperlink>
        </w:p>
        <w:p w14:paraId="4E571CED" w14:textId="77420379" w:rsidR="00DC08F8" w:rsidRDefault="00DC08F8">
          <w:pPr>
            <w:pStyle w:val="TOC3"/>
            <w:rPr>
              <w:rFonts w:eastAsiaTheme="minorEastAsia" w:cstheme="minorBidi"/>
              <w:i w:val="0"/>
              <w:snapToGrid/>
              <w:kern w:val="2"/>
              <w:sz w:val="24"/>
              <w:szCs w:val="24"/>
              <w:lang w:eastAsia="en-AU"/>
              <w14:ligatures w14:val="standardContextual"/>
            </w:rPr>
          </w:pPr>
          <w:hyperlink w:anchor="_Toc185937484" w:history="1">
            <w:r w:rsidRPr="00383282">
              <w:rPr>
                <w:rStyle w:val="Hyperlink"/>
              </w:rPr>
              <w:t>Transfer balance cap</w:t>
            </w:r>
            <w:r>
              <w:rPr>
                <w:webHidden/>
              </w:rPr>
              <w:tab/>
            </w:r>
            <w:r>
              <w:rPr>
                <w:webHidden/>
              </w:rPr>
              <w:fldChar w:fldCharType="begin"/>
            </w:r>
            <w:r>
              <w:rPr>
                <w:webHidden/>
              </w:rPr>
              <w:instrText xml:space="preserve"> PAGEREF _Toc185937484 \h </w:instrText>
            </w:r>
            <w:r>
              <w:rPr>
                <w:webHidden/>
              </w:rPr>
            </w:r>
            <w:r>
              <w:rPr>
                <w:webHidden/>
              </w:rPr>
              <w:fldChar w:fldCharType="separate"/>
            </w:r>
            <w:r>
              <w:rPr>
                <w:webHidden/>
              </w:rPr>
              <w:t>7</w:t>
            </w:r>
            <w:r>
              <w:rPr>
                <w:webHidden/>
              </w:rPr>
              <w:fldChar w:fldCharType="end"/>
            </w:r>
          </w:hyperlink>
        </w:p>
        <w:p w14:paraId="7EFD98EB" w14:textId="6FE26B58"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5" w:history="1">
            <w:r w:rsidRPr="00383282">
              <w:rPr>
                <w:rStyle w:val="Hyperlink"/>
                <w:noProof/>
              </w:rPr>
              <w:t>Superannuation contributions surcharge</w:t>
            </w:r>
            <w:r>
              <w:rPr>
                <w:noProof/>
                <w:webHidden/>
              </w:rPr>
              <w:tab/>
            </w:r>
            <w:r>
              <w:rPr>
                <w:noProof/>
                <w:webHidden/>
              </w:rPr>
              <w:fldChar w:fldCharType="begin"/>
            </w:r>
            <w:r>
              <w:rPr>
                <w:noProof/>
                <w:webHidden/>
              </w:rPr>
              <w:instrText xml:space="preserve"> PAGEREF _Toc185937485 \h </w:instrText>
            </w:r>
            <w:r>
              <w:rPr>
                <w:noProof/>
                <w:webHidden/>
              </w:rPr>
            </w:r>
            <w:r>
              <w:rPr>
                <w:noProof/>
                <w:webHidden/>
              </w:rPr>
              <w:fldChar w:fldCharType="separate"/>
            </w:r>
            <w:r>
              <w:rPr>
                <w:noProof/>
                <w:webHidden/>
              </w:rPr>
              <w:t>7</w:t>
            </w:r>
            <w:r>
              <w:rPr>
                <w:noProof/>
                <w:webHidden/>
              </w:rPr>
              <w:fldChar w:fldCharType="end"/>
            </w:r>
          </w:hyperlink>
        </w:p>
        <w:p w14:paraId="61E073FE" w14:textId="4F006749"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6" w:history="1">
            <w:r w:rsidRPr="00383282">
              <w:rPr>
                <w:rStyle w:val="Hyperlink"/>
                <w:noProof/>
              </w:rPr>
              <w:t>Division 293 tax</w:t>
            </w:r>
            <w:r>
              <w:rPr>
                <w:noProof/>
                <w:webHidden/>
              </w:rPr>
              <w:tab/>
            </w:r>
            <w:r>
              <w:rPr>
                <w:noProof/>
                <w:webHidden/>
              </w:rPr>
              <w:fldChar w:fldCharType="begin"/>
            </w:r>
            <w:r>
              <w:rPr>
                <w:noProof/>
                <w:webHidden/>
              </w:rPr>
              <w:instrText xml:space="preserve"> PAGEREF _Toc185937486 \h </w:instrText>
            </w:r>
            <w:r>
              <w:rPr>
                <w:noProof/>
                <w:webHidden/>
              </w:rPr>
            </w:r>
            <w:r>
              <w:rPr>
                <w:noProof/>
                <w:webHidden/>
              </w:rPr>
              <w:fldChar w:fldCharType="separate"/>
            </w:r>
            <w:r>
              <w:rPr>
                <w:noProof/>
                <w:webHidden/>
              </w:rPr>
              <w:t>8</w:t>
            </w:r>
            <w:r>
              <w:rPr>
                <w:noProof/>
                <w:webHidden/>
              </w:rPr>
              <w:fldChar w:fldCharType="end"/>
            </w:r>
          </w:hyperlink>
        </w:p>
        <w:p w14:paraId="7ACEC497" w14:textId="4EDDFA12"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7" w:history="1">
            <w:r w:rsidRPr="00383282">
              <w:rPr>
                <w:rStyle w:val="Hyperlink"/>
                <w:noProof/>
              </w:rPr>
              <w:t>Conversion to a lump sum</w:t>
            </w:r>
            <w:r>
              <w:rPr>
                <w:noProof/>
                <w:webHidden/>
              </w:rPr>
              <w:tab/>
            </w:r>
            <w:r>
              <w:rPr>
                <w:noProof/>
                <w:webHidden/>
              </w:rPr>
              <w:fldChar w:fldCharType="begin"/>
            </w:r>
            <w:r>
              <w:rPr>
                <w:noProof/>
                <w:webHidden/>
              </w:rPr>
              <w:instrText xml:space="preserve"> PAGEREF _Toc185937487 \h </w:instrText>
            </w:r>
            <w:r>
              <w:rPr>
                <w:noProof/>
                <w:webHidden/>
              </w:rPr>
            </w:r>
            <w:r>
              <w:rPr>
                <w:noProof/>
                <w:webHidden/>
              </w:rPr>
              <w:fldChar w:fldCharType="separate"/>
            </w:r>
            <w:r>
              <w:rPr>
                <w:noProof/>
                <w:webHidden/>
              </w:rPr>
              <w:t>10</w:t>
            </w:r>
            <w:r>
              <w:rPr>
                <w:noProof/>
                <w:webHidden/>
              </w:rPr>
              <w:fldChar w:fldCharType="end"/>
            </w:r>
          </w:hyperlink>
        </w:p>
        <w:p w14:paraId="6958D595" w14:textId="14EDC2D7"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88" w:history="1">
            <w:r w:rsidRPr="00383282">
              <w:rPr>
                <w:rStyle w:val="Hyperlink"/>
                <w:noProof/>
              </w:rPr>
              <w:t>Preservation of lump sum benefits</w:t>
            </w:r>
            <w:r>
              <w:rPr>
                <w:noProof/>
                <w:webHidden/>
              </w:rPr>
              <w:tab/>
            </w:r>
            <w:r>
              <w:rPr>
                <w:noProof/>
                <w:webHidden/>
              </w:rPr>
              <w:fldChar w:fldCharType="begin"/>
            </w:r>
            <w:r>
              <w:rPr>
                <w:noProof/>
                <w:webHidden/>
              </w:rPr>
              <w:instrText xml:space="preserve"> PAGEREF _Toc185937488 \h </w:instrText>
            </w:r>
            <w:r>
              <w:rPr>
                <w:noProof/>
                <w:webHidden/>
              </w:rPr>
            </w:r>
            <w:r>
              <w:rPr>
                <w:noProof/>
                <w:webHidden/>
              </w:rPr>
              <w:fldChar w:fldCharType="separate"/>
            </w:r>
            <w:r>
              <w:rPr>
                <w:noProof/>
                <w:webHidden/>
              </w:rPr>
              <w:t>10</w:t>
            </w:r>
            <w:r>
              <w:rPr>
                <w:noProof/>
                <w:webHidden/>
              </w:rPr>
              <w:fldChar w:fldCharType="end"/>
            </w:r>
          </w:hyperlink>
        </w:p>
        <w:p w14:paraId="1006915E" w14:textId="2119E4CE" w:rsidR="00DC08F8" w:rsidRDefault="00DC08F8">
          <w:pPr>
            <w:pStyle w:val="TOC3"/>
            <w:rPr>
              <w:rFonts w:eastAsiaTheme="minorEastAsia" w:cstheme="minorBidi"/>
              <w:i w:val="0"/>
              <w:snapToGrid/>
              <w:kern w:val="2"/>
              <w:sz w:val="24"/>
              <w:szCs w:val="24"/>
              <w:lang w:eastAsia="en-AU"/>
              <w14:ligatures w14:val="standardContextual"/>
            </w:rPr>
          </w:pPr>
          <w:hyperlink w:anchor="_Toc185937489" w:history="1">
            <w:r w:rsidRPr="00383282">
              <w:rPr>
                <w:rStyle w:val="Hyperlink"/>
              </w:rPr>
              <w:t>Members who retire with a lump sum benefit</w:t>
            </w:r>
            <w:r>
              <w:rPr>
                <w:webHidden/>
              </w:rPr>
              <w:tab/>
            </w:r>
            <w:r>
              <w:rPr>
                <w:webHidden/>
              </w:rPr>
              <w:fldChar w:fldCharType="begin"/>
            </w:r>
            <w:r>
              <w:rPr>
                <w:webHidden/>
              </w:rPr>
              <w:instrText xml:space="preserve"> PAGEREF _Toc185937489 \h </w:instrText>
            </w:r>
            <w:r>
              <w:rPr>
                <w:webHidden/>
              </w:rPr>
            </w:r>
            <w:r>
              <w:rPr>
                <w:webHidden/>
              </w:rPr>
              <w:fldChar w:fldCharType="separate"/>
            </w:r>
            <w:r>
              <w:rPr>
                <w:webHidden/>
              </w:rPr>
              <w:t>11</w:t>
            </w:r>
            <w:r>
              <w:rPr>
                <w:webHidden/>
              </w:rPr>
              <w:fldChar w:fldCharType="end"/>
            </w:r>
          </w:hyperlink>
        </w:p>
        <w:p w14:paraId="67038DA0" w14:textId="1A102869" w:rsidR="00DC08F8" w:rsidRDefault="00DC08F8">
          <w:pPr>
            <w:pStyle w:val="TOC3"/>
            <w:rPr>
              <w:rFonts w:eastAsiaTheme="minorEastAsia" w:cstheme="minorBidi"/>
              <w:i w:val="0"/>
              <w:snapToGrid/>
              <w:kern w:val="2"/>
              <w:sz w:val="24"/>
              <w:szCs w:val="24"/>
              <w:lang w:eastAsia="en-AU"/>
              <w14:ligatures w14:val="standardContextual"/>
            </w:rPr>
          </w:pPr>
          <w:hyperlink w:anchor="_Toc185937490" w:history="1">
            <w:r w:rsidRPr="00383282">
              <w:rPr>
                <w:rStyle w:val="Hyperlink"/>
              </w:rPr>
              <w:t>Members who retire with a pension benefit</w:t>
            </w:r>
            <w:r>
              <w:rPr>
                <w:webHidden/>
              </w:rPr>
              <w:tab/>
            </w:r>
            <w:r>
              <w:rPr>
                <w:webHidden/>
              </w:rPr>
              <w:fldChar w:fldCharType="begin"/>
            </w:r>
            <w:r>
              <w:rPr>
                <w:webHidden/>
              </w:rPr>
              <w:instrText xml:space="preserve"> PAGEREF _Toc185937490 \h </w:instrText>
            </w:r>
            <w:r>
              <w:rPr>
                <w:webHidden/>
              </w:rPr>
            </w:r>
            <w:r>
              <w:rPr>
                <w:webHidden/>
              </w:rPr>
              <w:fldChar w:fldCharType="separate"/>
            </w:r>
            <w:r>
              <w:rPr>
                <w:webHidden/>
              </w:rPr>
              <w:t>11</w:t>
            </w:r>
            <w:r>
              <w:rPr>
                <w:webHidden/>
              </w:rPr>
              <w:fldChar w:fldCharType="end"/>
            </w:r>
          </w:hyperlink>
        </w:p>
        <w:p w14:paraId="0E5D2219" w14:textId="114CFFCA"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1" w:history="1">
            <w:r w:rsidRPr="00383282">
              <w:rPr>
                <w:rStyle w:val="Hyperlink"/>
                <w:noProof/>
              </w:rPr>
              <w:t>Invalidity benefit</w:t>
            </w:r>
            <w:r>
              <w:rPr>
                <w:noProof/>
                <w:webHidden/>
              </w:rPr>
              <w:tab/>
            </w:r>
            <w:r>
              <w:rPr>
                <w:noProof/>
                <w:webHidden/>
              </w:rPr>
              <w:fldChar w:fldCharType="begin"/>
            </w:r>
            <w:r>
              <w:rPr>
                <w:noProof/>
                <w:webHidden/>
              </w:rPr>
              <w:instrText xml:space="preserve"> PAGEREF _Toc185937491 \h </w:instrText>
            </w:r>
            <w:r>
              <w:rPr>
                <w:noProof/>
                <w:webHidden/>
              </w:rPr>
            </w:r>
            <w:r>
              <w:rPr>
                <w:noProof/>
                <w:webHidden/>
              </w:rPr>
              <w:fldChar w:fldCharType="separate"/>
            </w:r>
            <w:r>
              <w:rPr>
                <w:noProof/>
                <w:webHidden/>
              </w:rPr>
              <w:t>11</w:t>
            </w:r>
            <w:r>
              <w:rPr>
                <w:noProof/>
                <w:webHidden/>
              </w:rPr>
              <w:fldChar w:fldCharType="end"/>
            </w:r>
          </w:hyperlink>
        </w:p>
        <w:p w14:paraId="25F1CCEF" w14:textId="6F9BF933"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2" w:history="1">
            <w:r w:rsidRPr="00383282">
              <w:rPr>
                <w:rStyle w:val="Hyperlink"/>
                <w:noProof/>
              </w:rPr>
              <w:t>Deferral of pension to age 55 for certain members</w:t>
            </w:r>
            <w:r>
              <w:rPr>
                <w:noProof/>
                <w:webHidden/>
              </w:rPr>
              <w:tab/>
            </w:r>
            <w:r>
              <w:rPr>
                <w:noProof/>
                <w:webHidden/>
              </w:rPr>
              <w:fldChar w:fldCharType="begin"/>
            </w:r>
            <w:r>
              <w:rPr>
                <w:noProof/>
                <w:webHidden/>
              </w:rPr>
              <w:instrText xml:space="preserve"> PAGEREF _Toc185937492 \h </w:instrText>
            </w:r>
            <w:r>
              <w:rPr>
                <w:noProof/>
                <w:webHidden/>
              </w:rPr>
            </w:r>
            <w:r>
              <w:rPr>
                <w:noProof/>
                <w:webHidden/>
              </w:rPr>
              <w:fldChar w:fldCharType="separate"/>
            </w:r>
            <w:r>
              <w:rPr>
                <w:noProof/>
                <w:webHidden/>
              </w:rPr>
              <w:t>12</w:t>
            </w:r>
            <w:r>
              <w:rPr>
                <w:noProof/>
                <w:webHidden/>
              </w:rPr>
              <w:fldChar w:fldCharType="end"/>
            </w:r>
          </w:hyperlink>
        </w:p>
        <w:p w14:paraId="484FBAF9" w14:textId="6E619558"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3" w:history="1">
            <w:r w:rsidRPr="00383282">
              <w:rPr>
                <w:rStyle w:val="Hyperlink"/>
                <w:noProof/>
              </w:rPr>
              <w:t>Reversionary benefits</w:t>
            </w:r>
            <w:r>
              <w:rPr>
                <w:noProof/>
                <w:webHidden/>
              </w:rPr>
              <w:tab/>
            </w:r>
            <w:r>
              <w:rPr>
                <w:noProof/>
                <w:webHidden/>
              </w:rPr>
              <w:fldChar w:fldCharType="begin"/>
            </w:r>
            <w:r>
              <w:rPr>
                <w:noProof/>
                <w:webHidden/>
              </w:rPr>
              <w:instrText xml:space="preserve"> PAGEREF _Toc185937493 \h </w:instrText>
            </w:r>
            <w:r>
              <w:rPr>
                <w:noProof/>
                <w:webHidden/>
              </w:rPr>
            </w:r>
            <w:r>
              <w:rPr>
                <w:noProof/>
                <w:webHidden/>
              </w:rPr>
              <w:fldChar w:fldCharType="separate"/>
            </w:r>
            <w:r>
              <w:rPr>
                <w:noProof/>
                <w:webHidden/>
              </w:rPr>
              <w:t>13</w:t>
            </w:r>
            <w:r>
              <w:rPr>
                <w:noProof/>
                <w:webHidden/>
              </w:rPr>
              <w:fldChar w:fldCharType="end"/>
            </w:r>
          </w:hyperlink>
        </w:p>
        <w:p w14:paraId="35C4CD9B" w14:textId="5B8E44E2"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4" w:history="1">
            <w:r w:rsidRPr="00383282">
              <w:rPr>
                <w:rStyle w:val="Hyperlink"/>
                <w:noProof/>
              </w:rPr>
              <w:t>Benefit payable to orphan children</w:t>
            </w:r>
            <w:r>
              <w:rPr>
                <w:noProof/>
                <w:webHidden/>
              </w:rPr>
              <w:tab/>
            </w:r>
            <w:r>
              <w:rPr>
                <w:noProof/>
                <w:webHidden/>
              </w:rPr>
              <w:fldChar w:fldCharType="begin"/>
            </w:r>
            <w:r>
              <w:rPr>
                <w:noProof/>
                <w:webHidden/>
              </w:rPr>
              <w:instrText xml:space="preserve"> PAGEREF _Toc185937494 \h </w:instrText>
            </w:r>
            <w:r>
              <w:rPr>
                <w:noProof/>
                <w:webHidden/>
              </w:rPr>
            </w:r>
            <w:r>
              <w:rPr>
                <w:noProof/>
                <w:webHidden/>
              </w:rPr>
              <w:fldChar w:fldCharType="separate"/>
            </w:r>
            <w:r>
              <w:rPr>
                <w:noProof/>
                <w:webHidden/>
              </w:rPr>
              <w:t>14</w:t>
            </w:r>
            <w:r>
              <w:rPr>
                <w:noProof/>
                <w:webHidden/>
              </w:rPr>
              <w:fldChar w:fldCharType="end"/>
            </w:r>
          </w:hyperlink>
        </w:p>
        <w:p w14:paraId="5A108368" w14:textId="39544830"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5" w:history="1">
            <w:r w:rsidRPr="00383282">
              <w:rPr>
                <w:rStyle w:val="Hyperlink"/>
                <w:noProof/>
              </w:rPr>
              <w:t>Benefit payable to a personal representative</w:t>
            </w:r>
            <w:r>
              <w:rPr>
                <w:noProof/>
                <w:webHidden/>
              </w:rPr>
              <w:tab/>
            </w:r>
            <w:r>
              <w:rPr>
                <w:noProof/>
                <w:webHidden/>
              </w:rPr>
              <w:fldChar w:fldCharType="begin"/>
            </w:r>
            <w:r>
              <w:rPr>
                <w:noProof/>
                <w:webHidden/>
              </w:rPr>
              <w:instrText xml:space="preserve"> PAGEREF _Toc185937495 \h </w:instrText>
            </w:r>
            <w:r>
              <w:rPr>
                <w:noProof/>
                <w:webHidden/>
              </w:rPr>
            </w:r>
            <w:r>
              <w:rPr>
                <w:noProof/>
                <w:webHidden/>
              </w:rPr>
              <w:fldChar w:fldCharType="separate"/>
            </w:r>
            <w:r>
              <w:rPr>
                <w:noProof/>
                <w:webHidden/>
              </w:rPr>
              <w:t>15</w:t>
            </w:r>
            <w:r>
              <w:rPr>
                <w:noProof/>
                <w:webHidden/>
              </w:rPr>
              <w:fldChar w:fldCharType="end"/>
            </w:r>
          </w:hyperlink>
        </w:p>
        <w:p w14:paraId="468E0D4A" w14:textId="74FC8AFD"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6" w:history="1">
            <w:r w:rsidRPr="00383282">
              <w:rPr>
                <w:rStyle w:val="Hyperlink"/>
                <w:noProof/>
              </w:rPr>
              <w:t>Family law and superannuation</w:t>
            </w:r>
            <w:r>
              <w:rPr>
                <w:noProof/>
                <w:webHidden/>
              </w:rPr>
              <w:tab/>
            </w:r>
            <w:r>
              <w:rPr>
                <w:noProof/>
                <w:webHidden/>
              </w:rPr>
              <w:fldChar w:fldCharType="begin"/>
            </w:r>
            <w:r>
              <w:rPr>
                <w:noProof/>
                <w:webHidden/>
              </w:rPr>
              <w:instrText xml:space="preserve"> PAGEREF _Toc185937496 \h </w:instrText>
            </w:r>
            <w:r>
              <w:rPr>
                <w:noProof/>
                <w:webHidden/>
              </w:rPr>
            </w:r>
            <w:r>
              <w:rPr>
                <w:noProof/>
                <w:webHidden/>
              </w:rPr>
              <w:fldChar w:fldCharType="separate"/>
            </w:r>
            <w:r>
              <w:rPr>
                <w:noProof/>
                <w:webHidden/>
              </w:rPr>
              <w:t>15</w:t>
            </w:r>
            <w:r>
              <w:rPr>
                <w:noProof/>
                <w:webHidden/>
              </w:rPr>
              <w:fldChar w:fldCharType="end"/>
            </w:r>
          </w:hyperlink>
        </w:p>
        <w:p w14:paraId="52A0A7EC" w14:textId="671864E7"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7" w:history="1">
            <w:r w:rsidRPr="00383282">
              <w:rPr>
                <w:rStyle w:val="Hyperlink"/>
                <w:noProof/>
              </w:rPr>
              <w:t>Increases in pensions</w:t>
            </w:r>
            <w:r>
              <w:rPr>
                <w:noProof/>
                <w:webHidden/>
              </w:rPr>
              <w:tab/>
            </w:r>
            <w:r>
              <w:rPr>
                <w:noProof/>
                <w:webHidden/>
              </w:rPr>
              <w:fldChar w:fldCharType="begin"/>
            </w:r>
            <w:r>
              <w:rPr>
                <w:noProof/>
                <w:webHidden/>
              </w:rPr>
              <w:instrText xml:space="preserve"> PAGEREF _Toc185937497 \h </w:instrText>
            </w:r>
            <w:r>
              <w:rPr>
                <w:noProof/>
                <w:webHidden/>
              </w:rPr>
            </w:r>
            <w:r>
              <w:rPr>
                <w:noProof/>
                <w:webHidden/>
              </w:rPr>
              <w:fldChar w:fldCharType="separate"/>
            </w:r>
            <w:r>
              <w:rPr>
                <w:noProof/>
                <w:webHidden/>
              </w:rPr>
              <w:t>16</w:t>
            </w:r>
            <w:r>
              <w:rPr>
                <w:noProof/>
                <w:webHidden/>
              </w:rPr>
              <w:fldChar w:fldCharType="end"/>
            </w:r>
          </w:hyperlink>
        </w:p>
        <w:p w14:paraId="7856F2FB" w14:textId="0035D27B" w:rsidR="00DC08F8" w:rsidRDefault="00DC08F8">
          <w:pPr>
            <w:pStyle w:val="TOC1"/>
            <w:rPr>
              <w:rFonts w:eastAsiaTheme="minorEastAsia" w:cstheme="minorBidi"/>
              <w:b w:val="0"/>
              <w:bCs w:val="0"/>
              <w:noProof/>
              <w:snapToGrid/>
              <w:kern w:val="2"/>
              <w:sz w:val="24"/>
              <w:szCs w:val="24"/>
              <w:lang w:eastAsia="en-AU"/>
              <w14:ligatures w14:val="standardContextual"/>
            </w:rPr>
          </w:pPr>
          <w:hyperlink w:anchor="_Toc185937498" w:history="1">
            <w:r w:rsidRPr="00383282">
              <w:rPr>
                <w:rStyle w:val="Hyperlink"/>
                <w:noProof/>
              </w:rPr>
              <w:t>Part III — Special provisions</w:t>
            </w:r>
            <w:r>
              <w:rPr>
                <w:noProof/>
                <w:webHidden/>
              </w:rPr>
              <w:tab/>
            </w:r>
            <w:r>
              <w:rPr>
                <w:noProof/>
                <w:webHidden/>
              </w:rPr>
              <w:fldChar w:fldCharType="begin"/>
            </w:r>
            <w:r>
              <w:rPr>
                <w:noProof/>
                <w:webHidden/>
              </w:rPr>
              <w:instrText xml:space="preserve"> PAGEREF _Toc185937498 \h </w:instrText>
            </w:r>
            <w:r>
              <w:rPr>
                <w:noProof/>
                <w:webHidden/>
              </w:rPr>
            </w:r>
            <w:r>
              <w:rPr>
                <w:noProof/>
                <w:webHidden/>
              </w:rPr>
              <w:fldChar w:fldCharType="separate"/>
            </w:r>
            <w:r>
              <w:rPr>
                <w:noProof/>
                <w:webHidden/>
              </w:rPr>
              <w:t>17</w:t>
            </w:r>
            <w:r>
              <w:rPr>
                <w:noProof/>
                <w:webHidden/>
              </w:rPr>
              <w:fldChar w:fldCharType="end"/>
            </w:r>
          </w:hyperlink>
        </w:p>
        <w:p w14:paraId="3AB476C1" w14:textId="005300D1"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499" w:history="1">
            <w:r w:rsidRPr="00383282">
              <w:rPr>
                <w:rStyle w:val="Hyperlink"/>
                <w:noProof/>
              </w:rPr>
              <w:t>Beneficiaries who are re</w:t>
            </w:r>
            <w:r w:rsidRPr="00383282">
              <w:rPr>
                <w:rStyle w:val="Hyperlink"/>
                <w:noProof/>
              </w:rPr>
              <w:noBreakHyphen/>
              <w:t>elected to Parliament</w:t>
            </w:r>
            <w:r>
              <w:rPr>
                <w:noProof/>
                <w:webHidden/>
              </w:rPr>
              <w:tab/>
            </w:r>
            <w:r>
              <w:rPr>
                <w:noProof/>
                <w:webHidden/>
              </w:rPr>
              <w:fldChar w:fldCharType="begin"/>
            </w:r>
            <w:r>
              <w:rPr>
                <w:noProof/>
                <w:webHidden/>
              </w:rPr>
              <w:instrText xml:space="preserve"> PAGEREF _Toc185937499 \h </w:instrText>
            </w:r>
            <w:r>
              <w:rPr>
                <w:noProof/>
                <w:webHidden/>
              </w:rPr>
            </w:r>
            <w:r>
              <w:rPr>
                <w:noProof/>
                <w:webHidden/>
              </w:rPr>
              <w:fldChar w:fldCharType="separate"/>
            </w:r>
            <w:r>
              <w:rPr>
                <w:noProof/>
                <w:webHidden/>
              </w:rPr>
              <w:t>17</w:t>
            </w:r>
            <w:r>
              <w:rPr>
                <w:noProof/>
                <w:webHidden/>
              </w:rPr>
              <w:fldChar w:fldCharType="end"/>
            </w:r>
          </w:hyperlink>
        </w:p>
        <w:p w14:paraId="383C8F6C" w14:textId="083E53DF"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500" w:history="1">
            <w:r w:rsidRPr="00383282">
              <w:rPr>
                <w:rStyle w:val="Hyperlink"/>
                <w:noProof/>
              </w:rPr>
              <w:t>Beneficiaries who are elected to state parliaments</w:t>
            </w:r>
            <w:r>
              <w:rPr>
                <w:noProof/>
                <w:webHidden/>
              </w:rPr>
              <w:tab/>
            </w:r>
            <w:r>
              <w:rPr>
                <w:noProof/>
                <w:webHidden/>
              </w:rPr>
              <w:fldChar w:fldCharType="begin"/>
            </w:r>
            <w:r>
              <w:rPr>
                <w:noProof/>
                <w:webHidden/>
              </w:rPr>
              <w:instrText xml:space="preserve"> PAGEREF _Toc185937500 \h </w:instrText>
            </w:r>
            <w:r>
              <w:rPr>
                <w:noProof/>
                <w:webHidden/>
              </w:rPr>
            </w:r>
            <w:r>
              <w:rPr>
                <w:noProof/>
                <w:webHidden/>
              </w:rPr>
              <w:fldChar w:fldCharType="separate"/>
            </w:r>
            <w:r>
              <w:rPr>
                <w:noProof/>
                <w:webHidden/>
              </w:rPr>
              <w:t>17</w:t>
            </w:r>
            <w:r>
              <w:rPr>
                <w:noProof/>
                <w:webHidden/>
              </w:rPr>
              <w:fldChar w:fldCharType="end"/>
            </w:r>
          </w:hyperlink>
        </w:p>
        <w:p w14:paraId="0656FCC0" w14:textId="137E93B7"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501" w:history="1">
            <w:r w:rsidRPr="00383282">
              <w:rPr>
                <w:rStyle w:val="Hyperlink"/>
                <w:noProof/>
              </w:rPr>
              <w:t>Beneficiaries who take up offices of profit under the Crown</w:t>
            </w:r>
            <w:r>
              <w:rPr>
                <w:noProof/>
                <w:webHidden/>
              </w:rPr>
              <w:tab/>
            </w:r>
            <w:r>
              <w:rPr>
                <w:noProof/>
                <w:webHidden/>
              </w:rPr>
              <w:fldChar w:fldCharType="begin"/>
            </w:r>
            <w:r>
              <w:rPr>
                <w:noProof/>
                <w:webHidden/>
              </w:rPr>
              <w:instrText xml:space="preserve"> PAGEREF _Toc185937501 \h </w:instrText>
            </w:r>
            <w:r>
              <w:rPr>
                <w:noProof/>
                <w:webHidden/>
              </w:rPr>
            </w:r>
            <w:r>
              <w:rPr>
                <w:noProof/>
                <w:webHidden/>
              </w:rPr>
              <w:fldChar w:fldCharType="separate"/>
            </w:r>
            <w:r>
              <w:rPr>
                <w:noProof/>
                <w:webHidden/>
              </w:rPr>
              <w:t>17</w:t>
            </w:r>
            <w:r>
              <w:rPr>
                <w:noProof/>
                <w:webHidden/>
              </w:rPr>
              <w:fldChar w:fldCharType="end"/>
            </w:r>
          </w:hyperlink>
        </w:p>
        <w:p w14:paraId="522B1569" w14:textId="4E4EB6F3" w:rsidR="00DC08F8" w:rsidRDefault="00DC08F8">
          <w:pPr>
            <w:pStyle w:val="TOC1"/>
            <w:rPr>
              <w:rFonts w:eastAsiaTheme="minorEastAsia" w:cstheme="minorBidi"/>
              <w:b w:val="0"/>
              <w:bCs w:val="0"/>
              <w:noProof/>
              <w:snapToGrid/>
              <w:kern w:val="2"/>
              <w:sz w:val="24"/>
              <w:szCs w:val="24"/>
              <w:lang w:eastAsia="en-AU"/>
              <w14:ligatures w14:val="standardContextual"/>
            </w:rPr>
          </w:pPr>
          <w:hyperlink w:anchor="_Toc185937502" w:history="1">
            <w:r w:rsidRPr="00383282">
              <w:rPr>
                <w:rStyle w:val="Hyperlink"/>
                <w:noProof/>
              </w:rPr>
              <w:t>Part IV — General Provisions</w:t>
            </w:r>
            <w:r>
              <w:rPr>
                <w:noProof/>
                <w:webHidden/>
              </w:rPr>
              <w:tab/>
            </w:r>
            <w:r>
              <w:rPr>
                <w:noProof/>
                <w:webHidden/>
              </w:rPr>
              <w:fldChar w:fldCharType="begin"/>
            </w:r>
            <w:r>
              <w:rPr>
                <w:noProof/>
                <w:webHidden/>
              </w:rPr>
              <w:instrText xml:space="preserve"> PAGEREF _Toc185937502 \h </w:instrText>
            </w:r>
            <w:r>
              <w:rPr>
                <w:noProof/>
                <w:webHidden/>
              </w:rPr>
            </w:r>
            <w:r>
              <w:rPr>
                <w:noProof/>
                <w:webHidden/>
              </w:rPr>
              <w:fldChar w:fldCharType="separate"/>
            </w:r>
            <w:r>
              <w:rPr>
                <w:noProof/>
                <w:webHidden/>
              </w:rPr>
              <w:t>19</w:t>
            </w:r>
            <w:r>
              <w:rPr>
                <w:noProof/>
                <w:webHidden/>
              </w:rPr>
              <w:fldChar w:fldCharType="end"/>
            </w:r>
          </w:hyperlink>
        </w:p>
        <w:p w14:paraId="59E137CE" w14:textId="30097C6B"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503" w:history="1">
            <w:r w:rsidRPr="00383282">
              <w:rPr>
                <w:rStyle w:val="Hyperlink"/>
                <w:noProof/>
              </w:rPr>
              <w:t>Payment of benefits</w:t>
            </w:r>
            <w:r>
              <w:rPr>
                <w:noProof/>
                <w:webHidden/>
              </w:rPr>
              <w:tab/>
            </w:r>
            <w:r>
              <w:rPr>
                <w:noProof/>
                <w:webHidden/>
              </w:rPr>
              <w:fldChar w:fldCharType="begin"/>
            </w:r>
            <w:r>
              <w:rPr>
                <w:noProof/>
                <w:webHidden/>
              </w:rPr>
              <w:instrText xml:space="preserve"> PAGEREF _Toc185937503 \h </w:instrText>
            </w:r>
            <w:r>
              <w:rPr>
                <w:noProof/>
                <w:webHidden/>
              </w:rPr>
            </w:r>
            <w:r>
              <w:rPr>
                <w:noProof/>
                <w:webHidden/>
              </w:rPr>
              <w:fldChar w:fldCharType="separate"/>
            </w:r>
            <w:r>
              <w:rPr>
                <w:noProof/>
                <w:webHidden/>
              </w:rPr>
              <w:t>19</w:t>
            </w:r>
            <w:r>
              <w:rPr>
                <w:noProof/>
                <w:webHidden/>
              </w:rPr>
              <w:fldChar w:fldCharType="end"/>
            </w:r>
          </w:hyperlink>
        </w:p>
        <w:p w14:paraId="3026D1CC" w14:textId="57EA32C8"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504" w:history="1">
            <w:r w:rsidRPr="00383282">
              <w:rPr>
                <w:rStyle w:val="Hyperlink"/>
                <w:noProof/>
              </w:rPr>
              <w:t>Elections or options</w:t>
            </w:r>
            <w:r>
              <w:rPr>
                <w:noProof/>
                <w:webHidden/>
              </w:rPr>
              <w:tab/>
            </w:r>
            <w:r>
              <w:rPr>
                <w:noProof/>
                <w:webHidden/>
              </w:rPr>
              <w:fldChar w:fldCharType="begin"/>
            </w:r>
            <w:r>
              <w:rPr>
                <w:noProof/>
                <w:webHidden/>
              </w:rPr>
              <w:instrText xml:space="preserve"> PAGEREF _Toc185937504 \h </w:instrText>
            </w:r>
            <w:r>
              <w:rPr>
                <w:noProof/>
                <w:webHidden/>
              </w:rPr>
            </w:r>
            <w:r>
              <w:rPr>
                <w:noProof/>
                <w:webHidden/>
              </w:rPr>
              <w:fldChar w:fldCharType="separate"/>
            </w:r>
            <w:r>
              <w:rPr>
                <w:noProof/>
                <w:webHidden/>
              </w:rPr>
              <w:t>19</w:t>
            </w:r>
            <w:r>
              <w:rPr>
                <w:noProof/>
                <w:webHidden/>
              </w:rPr>
              <w:fldChar w:fldCharType="end"/>
            </w:r>
          </w:hyperlink>
        </w:p>
        <w:p w14:paraId="5C4B5187" w14:textId="65413277" w:rsidR="00DC08F8" w:rsidRDefault="00DC08F8">
          <w:pPr>
            <w:pStyle w:val="TOC2"/>
            <w:rPr>
              <w:rFonts w:eastAsiaTheme="minorEastAsia" w:cstheme="minorBidi"/>
              <w:iCs w:val="0"/>
              <w:noProof/>
              <w:snapToGrid/>
              <w:kern w:val="2"/>
              <w:sz w:val="24"/>
              <w:szCs w:val="24"/>
              <w:lang w:eastAsia="en-AU"/>
              <w14:ligatures w14:val="standardContextual"/>
            </w:rPr>
          </w:pPr>
          <w:hyperlink w:anchor="_Toc185937505" w:history="1">
            <w:r w:rsidRPr="00383282">
              <w:rPr>
                <w:rStyle w:val="Hyperlink"/>
                <w:noProof/>
              </w:rPr>
              <w:t>Review of decisions</w:t>
            </w:r>
            <w:r>
              <w:rPr>
                <w:noProof/>
                <w:webHidden/>
              </w:rPr>
              <w:tab/>
            </w:r>
            <w:r>
              <w:rPr>
                <w:noProof/>
                <w:webHidden/>
              </w:rPr>
              <w:fldChar w:fldCharType="begin"/>
            </w:r>
            <w:r>
              <w:rPr>
                <w:noProof/>
                <w:webHidden/>
              </w:rPr>
              <w:instrText xml:space="preserve"> PAGEREF _Toc185937505 \h </w:instrText>
            </w:r>
            <w:r>
              <w:rPr>
                <w:noProof/>
                <w:webHidden/>
              </w:rPr>
            </w:r>
            <w:r>
              <w:rPr>
                <w:noProof/>
                <w:webHidden/>
              </w:rPr>
              <w:fldChar w:fldCharType="separate"/>
            </w:r>
            <w:r>
              <w:rPr>
                <w:noProof/>
                <w:webHidden/>
              </w:rPr>
              <w:t>19</w:t>
            </w:r>
            <w:r>
              <w:rPr>
                <w:noProof/>
                <w:webHidden/>
              </w:rPr>
              <w:fldChar w:fldCharType="end"/>
            </w:r>
          </w:hyperlink>
        </w:p>
        <w:p w14:paraId="46B6D38C" w14:textId="5083A0C0" w:rsidR="009237A9" w:rsidRDefault="005047EF" w:rsidP="001C1766">
          <w:pPr>
            <w:pStyle w:val="TOC2"/>
            <w:rPr>
              <w:rStyle w:val="Hyperlink"/>
              <w:noProof/>
              <w:snapToGrid/>
              <w:kern w:val="2"/>
              <w:lang w:eastAsia="en-AU"/>
              <w14:ligatures w14:val="standardContextual"/>
            </w:rPr>
          </w:pPr>
          <w:r>
            <w:fldChar w:fldCharType="end"/>
          </w:r>
        </w:p>
      </w:sdtContent>
    </w:sdt>
    <w:p w14:paraId="1485D079" w14:textId="23FDA426" w:rsidR="001B00C6" w:rsidRDefault="001B00C6" w:rsidP="00B85640">
      <w:pPr>
        <w:sectPr w:rsidR="001B00C6" w:rsidSect="00215ACF">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fmt="lowerRoman"/>
          <w:cols w:space="708"/>
          <w:docGrid w:linePitch="360"/>
        </w:sectPr>
      </w:pPr>
    </w:p>
    <w:p w14:paraId="2F5C460F" w14:textId="05347A18" w:rsidR="00655DB0" w:rsidRPr="004B60FD" w:rsidRDefault="00DE0B8E" w:rsidP="00210F1A">
      <w:pPr>
        <w:pStyle w:val="Heading1"/>
        <w:ind w:left="1560" w:hanging="1560"/>
      </w:pPr>
      <w:bookmarkStart w:id="4" w:name="_Toc149307213"/>
      <w:bookmarkStart w:id="5" w:name="_Toc185937469"/>
      <w:r>
        <w:lastRenderedPageBreak/>
        <w:t xml:space="preserve">Part I </w:t>
      </w:r>
      <w:r w:rsidR="00CC4A2F">
        <w:t>—</w:t>
      </w:r>
      <w:r>
        <w:t xml:space="preserve"> About the </w:t>
      </w:r>
      <w:bookmarkEnd w:id="4"/>
      <w:r w:rsidR="00C074B6">
        <w:t>PCSS</w:t>
      </w:r>
      <w:bookmarkEnd w:id="5"/>
    </w:p>
    <w:p w14:paraId="1211E347" w14:textId="2CF059AB" w:rsidR="00B66190" w:rsidRPr="00AF03B0" w:rsidRDefault="006B724D" w:rsidP="00D47029">
      <w:pPr>
        <w:pStyle w:val="Heading2"/>
      </w:pPr>
      <w:bookmarkStart w:id="6" w:name="_Toc185937470"/>
      <w:bookmarkStart w:id="7" w:name="_Toc112847596"/>
      <w:bookmarkStart w:id="8" w:name="_Toc149307214"/>
      <w:r>
        <w:t>The Scheme</w:t>
      </w:r>
      <w:bookmarkEnd w:id="6"/>
    </w:p>
    <w:p w14:paraId="615D5129" w14:textId="0892121D" w:rsidR="002B2817" w:rsidRDefault="00ED7B5F" w:rsidP="00A15515">
      <w:pPr>
        <w:pStyle w:val="NumberedList1"/>
      </w:pPr>
      <w:r w:rsidRPr="00EB7E17">
        <w:t>The</w:t>
      </w:r>
      <w:r w:rsidRPr="002B2817">
        <w:t xml:space="preserve"> </w:t>
      </w:r>
      <w:r w:rsidR="007E71F0" w:rsidRPr="00B85640">
        <w:rPr>
          <w:i/>
          <w:iCs/>
        </w:rPr>
        <w:t>Parliamentary Contributory Superannuation Act 1948</w:t>
      </w:r>
      <w:r w:rsidRPr="002B2817">
        <w:t xml:space="preserve"> (the Act) established the</w:t>
      </w:r>
      <w:r w:rsidR="00F82E4E" w:rsidRPr="002B2817">
        <w:t xml:space="preserve"> </w:t>
      </w:r>
      <w:r w:rsidRPr="00080354">
        <w:t>Parliamentary</w:t>
      </w:r>
      <w:r w:rsidRPr="002B2817">
        <w:t xml:space="preserve"> Retiring Allowances Trust (the Trust) and </w:t>
      </w:r>
      <w:r w:rsidRPr="00520D0C">
        <w:t>Parliamentary</w:t>
      </w:r>
      <w:r w:rsidRPr="002B2817">
        <w:t xml:space="preserve"> Contributory Superannuation Scheme (PCSS</w:t>
      </w:r>
      <w:r w:rsidR="00D66C34">
        <w:t>/the Scheme</w:t>
      </w:r>
      <w:r w:rsidRPr="002B2817">
        <w:t xml:space="preserve">). </w:t>
      </w:r>
      <w:r w:rsidR="002B2817" w:rsidRPr="002B2817">
        <w:t xml:space="preserve">The PCSS is </w:t>
      </w:r>
      <w:r w:rsidR="00D93019">
        <w:t xml:space="preserve">a </w:t>
      </w:r>
      <w:r w:rsidR="002B2817" w:rsidRPr="002B2817">
        <w:t xml:space="preserve">contributory superannuation scheme under which benefits are paid to former members of Parliament, </w:t>
      </w:r>
      <w:bookmarkStart w:id="9" w:name="_Hlk173232914"/>
      <w:r w:rsidR="002B2817" w:rsidRPr="002B2817">
        <w:t>their spouses and orphan children.</w:t>
      </w:r>
      <w:bookmarkEnd w:id="9"/>
    </w:p>
    <w:p w14:paraId="400245CD" w14:textId="56154368" w:rsidR="00C95A52" w:rsidRPr="00C95A52" w:rsidRDefault="00C95A52" w:rsidP="00D47029">
      <w:pPr>
        <w:pStyle w:val="Heading2"/>
      </w:pPr>
      <w:bookmarkStart w:id="10" w:name="_Toc185937471"/>
      <w:r>
        <w:t>Membership</w:t>
      </w:r>
      <w:bookmarkEnd w:id="10"/>
    </w:p>
    <w:bookmarkEnd w:id="7"/>
    <w:bookmarkEnd w:id="8"/>
    <w:p w14:paraId="7EE3FEB5" w14:textId="3F9E45D6" w:rsidR="005A68A3" w:rsidRPr="00222960" w:rsidRDefault="005A68A3" w:rsidP="00A15515">
      <w:pPr>
        <w:pStyle w:val="NumberedList1"/>
      </w:pPr>
      <w:r w:rsidRPr="00222960">
        <w:t xml:space="preserve">Membership of the PCSS </w:t>
      </w:r>
      <w:r>
        <w:t>was</w:t>
      </w:r>
      <w:r w:rsidRPr="00222960">
        <w:t xml:space="preserve"> compulsory for all persons who entered Parliament prior to </w:t>
      </w:r>
      <w:r>
        <w:t xml:space="preserve">the </w:t>
      </w:r>
      <w:r w:rsidRPr="00222960">
        <w:t xml:space="preserve">closure of the </w:t>
      </w:r>
      <w:r w:rsidR="00D66C34">
        <w:t>Scheme</w:t>
      </w:r>
      <w:r w:rsidR="00D66C34" w:rsidRPr="00222960">
        <w:t xml:space="preserve"> </w:t>
      </w:r>
      <w:r w:rsidRPr="00222960">
        <w:t>to new members from 9 October</w:t>
      </w:r>
      <w:r w:rsidR="004B60FD">
        <w:t> </w:t>
      </w:r>
      <w:r w:rsidRPr="00222960">
        <w:t>2004.</w:t>
      </w:r>
    </w:p>
    <w:p w14:paraId="0BAF6CA1" w14:textId="78487FA8" w:rsidR="005A68A3" w:rsidRPr="00222960" w:rsidRDefault="005A68A3" w:rsidP="00A15515">
      <w:pPr>
        <w:pStyle w:val="NumberedList1"/>
      </w:pPr>
      <w:r w:rsidRPr="00222960">
        <w:t>Persons who enter</w:t>
      </w:r>
      <w:r>
        <w:t>ed</w:t>
      </w:r>
      <w:r w:rsidRPr="00222960">
        <w:t xml:space="preserve"> Parliament after </w:t>
      </w:r>
      <w:r w:rsidR="00015ED3">
        <w:t xml:space="preserve">the </w:t>
      </w:r>
      <w:r w:rsidR="00015ED3" w:rsidRPr="00015ED3">
        <w:t>closure of the Scheme</w:t>
      </w:r>
      <w:r w:rsidRPr="00222960">
        <w:t xml:space="preserve">, including former parliamentarians who return to Parliament and former State parliamentarians who join the </w:t>
      </w:r>
      <w:r>
        <w:t>Commonwealth</w:t>
      </w:r>
      <w:r w:rsidRPr="00222960">
        <w:t xml:space="preserve"> Parliament, are not eligible to join the PCSS.</w:t>
      </w:r>
      <w:r>
        <w:t xml:space="preserve"> </w:t>
      </w:r>
      <w:r w:rsidRPr="00222960">
        <w:t xml:space="preserve">Similarly, sitting parliamentarians who leave Parliament and become entitled to a parliamentary </w:t>
      </w:r>
      <w:r>
        <w:t>pension</w:t>
      </w:r>
      <w:r w:rsidRPr="00222960">
        <w:t xml:space="preserve"> and are re</w:t>
      </w:r>
      <w:r w:rsidR="0091413E">
        <w:noBreakHyphen/>
      </w:r>
      <w:r w:rsidRPr="00222960">
        <w:t>elected to Parliament</w:t>
      </w:r>
      <w:r>
        <w:t>,</w:t>
      </w:r>
      <w:r w:rsidRPr="00222960">
        <w:t xml:space="preserve"> will not be eligible to re</w:t>
      </w:r>
      <w:r w:rsidR="0091413E">
        <w:noBreakHyphen/>
      </w:r>
      <w:r w:rsidRPr="00222960">
        <w:t>join the PCSS except where the circumstances that are describe</w:t>
      </w:r>
      <w:r w:rsidRPr="00EA22D9">
        <w:t xml:space="preserve">d in </w:t>
      </w:r>
      <w:r w:rsidRPr="00BA5271">
        <w:t xml:space="preserve">paragraph </w:t>
      </w:r>
      <w:r w:rsidR="000748FB" w:rsidRPr="00BA5271">
        <w:fldChar w:fldCharType="begin"/>
      </w:r>
      <w:r w:rsidR="000748FB" w:rsidRPr="00BA5271">
        <w:instrText xml:space="preserve"> REF _Ref173245193 \r \h </w:instrText>
      </w:r>
      <w:r w:rsidR="00C0484C" w:rsidRPr="00BA5271">
        <w:instrText xml:space="preserve"> \* MERGEFORMAT </w:instrText>
      </w:r>
      <w:r w:rsidR="000748FB" w:rsidRPr="00BA5271">
        <w:fldChar w:fldCharType="separate"/>
      </w:r>
      <w:r w:rsidR="00DC08F8">
        <w:t>4</w:t>
      </w:r>
      <w:r w:rsidR="000748FB" w:rsidRPr="00BA5271">
        <w:fldChar w:fldCharType="end"/>
      </w:r>
      <w:r w:rsidRPr="00EA22D9">
        <w:t xml:space="preserve"> apply</w:t>
      </w:r>
      <w:r w:rsidRPr="00222960">
        <w:t>.</w:t>
      </w:r>
    </w:p>
    <w:p w14:paraId="63E70E2A" w14:textId="55C556B1" w:rsidR="005A68A3" w:rsidRPr="00222960" w:rsidRDefault="005A68A3" w:rsidP="00A15515">
      <w:pPr>
        <w:pStyle w:val="NumberedList1"/>
      </w:pPr>
      <w:bookmarkStart w:id="11" w:name="_Ref173245193"/>
      <w:r w:rsidRPr="00222960">
        <w:t xml:space="preserve">A serving parliamentarian who ceases to be a member of the House of Representatives on dissolution of the House to stand for the </w:t>
      </w:r>
      <w:r w:rsidR="000748FB" w:rsidRPr="00222960">
        <w:t>Senate or</w:t>
      </w:r>
      <w:r w:rsidRPr="00222960">
        <w:t xml:space="preserve"> resigns from the Senate to stand for election to the House of </w:t>
      </w:r>
      <w:r w:rsidR="008704FB" w:rsidRPr="00222960">
        <w:t>Representatives and</w:t>
      </w:r>
      <w:r w:rsidRPr="00222960">
        <w:t xml:space="preserve"> is elected to th</w:t>
      </w:r>
      <w:r>
        <w:t>e</w:t>
      </w:r>
      <w:r w:rsidRPr="00222960">
        <w:t xml:space="preserve"> other House within three months</w:t>
      </w:r>
      <w:r>
        <w:t>,</w:t>
      </w:r>
      <w:r w:rsidRPr="00222960">
        <w:t xml:space="preserve"> will remain a member of the PCSS.</w:t>
      </w:r>
      <w:r>
        <w:t xml:space="preserve"> </w:t>
      </w:r>
      <w:r w:rsidRPr="00222960">
        <w:t xml:space="preserve">The </w:t>
      </w:r>
      <w:r w:rsidR="0091413E">
        <w:t>3</w:t>
      </w:r>
      <w:r w:rsidR="0091413E">
        <w:noBreakHyphen/>
      </w:r>
      <w:r w:rsidRPr="00222960">
        <w:t>month period is taken from the date of dissolution of the House of Representatives or resignation from the Senate, whichever is appropriate, to the date of the polling day, notwithstanding that the person may not take their place in Parliament until a later time.</w:t>
      </w:r>
      <w:bookmarkEnd w:id="11"/>
    </w:p>
    <w:p w14:paraId="3E391D10" w14:textId="3EE0F0C7" w:rsidR="008533EF" w:rsidRPr="00222960" w:rsidRDefault="008533EF" w:rsidP="00D47029">
      <w:pPr>
        <w:pStyle w:val="Heading2"/>
      </w:pPr>
      <w:bookmarkStart w:id="12" w:name="_Toc185937472"/>
      <w:r>
        <w:t>Administration</w:t>
      </w:r>
      <w:bookmarkEnd w:id="12"/>
    </w:p>
    <w:p w14:paraId="39CE9C0C" w14:textId="5EDE9003" w:rsidR="00117A59" w:rsidRDefault="00657B29" w:rsidP="007918F0">
      <w:pPr>
        <w:pStyle w:val="NumberedList1"/>
        <w:spacing w:after="240"/>
      </w:pPr>
      <w:r>
        <w:t xml:space="preserve">The Department of </w:t>
      </w:r>
      <w:r w:rsidR="00DD77B6" w:rsidRPr="003F5FC0">
        <w:t>Finance</w:t>
      </w:r>
      <w:r w:rsidR="00C73103">
        <w:t xml:space="preserve"> (Finance)</w:t>
      </w:r>
      <w:r w:rsidR="00DD77B6">
        <w:t xml:space="preserve"> </w:t>
      </w:r>
      <w:r w:rsidR="009B514A">
        <w:t>administers the</w:t>
      </w:r>
      <w:r w:rsidR="00C327C0">
        <w:t xml:space="preserve"> PCSS</w:t>
      </w:r>
      <w:r w:rsidR="00BB1C30">
        <w:t xml:space="preserve"> </w:t>
      </w:r>
      <w:r w:rsidR="009302FB">
        <w:t xml:space="preserve">on </w:t>
      </w:r>
      <w:r w:rsidR="00B42D9A" w:rsidRPr="00B85640">
        <w:t>behalf</w:t>
      </w:r>
      <w:r w:rsidR="009302FB">
        <w:t xml:space="preserve"> of the Minister for Finance. The Trust</w:t>
      </w:r>
      <w:r w:rsidR="000B2C88">
        <w:t xml:space="preserve"> </w:t>
      </w:r>
      <w:r w:rsidR="00B42D9A">
        <w:t xml:space="preserve">is </w:t>
      </w:r>
      <w:r w:rsidR="0051774C">
        <w:t>accountable</w:t>
      </w:r>
      <w:r w:rsidR="00B42D9A">
        <w:t xml:space="preserve"> for</w:t>
      </w:r>
      <w:r w:rsidR="00B42D9A" w:rsidRPr="00B42D9A">
        <w:t xml:space="preserve"> matters where discretion has been granted under the Act. It is </w:t>
      </w:r>
      <w:r w:rsidR="00015ED3">
        <w:t>comprised</w:t>
      </w:r>
      <w:r w:rsidR="00015ED3" w:rsidRPr="00B42D9A">
        <w:t xml:space="preserve"> </w:t>
      </w:r>
      <w:r w:rsidR="00B42D9A" w:rsidRPr="00B42D9A">
        <w:t xml:space="preserve">of </w:t>
      </w:r>
      <w:r w:rsidR="00941CB3">
        <w:t>5 </w:t>
      </w:r>
      <w:r w:rsidR="00B42D9A" w:rsidRPr="00B42D9A">
        <w:t>trustees, including the presiding Trustee, the Minister for Finance (or a Minister authori</w:t>
      </w:r>
      <w:r w:rsidR="00047259">
        <w:t>s</w:t>
      </w:r>
      <w:r w:rsidR="00B42D9A" w:rsidRPr="00B42D9A">
        <w:t xml:space="preserve">ed by the Minister for Finance), </w:t>
      </w:r>
      <w:r w:rsidR="00C86768">
        <w:t xml:space="preserve">alongside </w:t>
      </w:r>
      <w:r w:rsidR="008D3007">
        <w:t>2 </w:t>
      </w:r>
      <w:r w:rsidR="00B42D9A" w:rsidRPr="00B42D9A">
        <w:t xml:space="preserve">Senators and </w:t>
      </w:r>
      <w:r w:rsidR="008D3007">
        <w:t>2 </w:t>
      </w:r>
      <w:r w:rsidR="00B42D9A" w:rsidRPr="00B42D9A">
        <w:t>Members of the House of Representatives appointed by their respective Houses</w:t>
      </w:r>
      <w:r w:rsidR="004E6FCF">
        <w:t>.</w:t>
      </w:r>
    </w:p>
    <w:tbl>
      <w:tblPr>
        <w:tblStyle w:val="TableGridLight"/>
        <w:tblW w:w="0" w:type="auto"/>
        <w:tblInd w:w="426" w:type="dxa"/>
        <w:tblBorders>
          <w:top w:val="single" w:sz="4" w:space="0" w:color="64CCC9" w:themeColor="accent5"/>
          <w:left w:val="none" w:sz="0" w:space="0" w:color="auto"/>
          <w:bottom w:val="single" w:sz="4" w:space="0" w:color="64CCC9" w:themeColor="accent5"/>
          <w:right w:val="none" w:sz="0" w:space="0" w:color="auto"/>
          <w:insideH w:val="single" w:sz="4" w:space="0" w:color="64CCC9" w:themeColor="accent5"/>
          <w:insideV w:val="none" w:sz="0" w:space="0" w:color="auto"/>
        </w:tblBorders>
        <w:tblLook w:val="04A0" w:firstRow="1" w:lastRow="0" w:firstColumn="1" w:lastColumn="0" w:noHBand="0" w:noVBand="1"/>
        <w:tblCaption w:val="Trustees of the Scheme"/>
      </w:tblPr>
      <w:tblGrid>
        <w:gridCol w:w="3685"/>
        <w:gridCol w:w="3685"/>
      </w:tblGrid>
      <w:tr w:rsidR="008704FB" w14:paraId="41D5B7EA" w14:textId="77777777" w:rsidTr="007918F0">
        <w:trPr>
          <w:trHeight w:val="510"/>
        </w:trPr>
        <w:tc>
          <w:tcPr>
            <w:tcW w:w="3685" w:type="dxa"/>
            <w:shd w:val="clear" w:color="auto" w:fill="auto"/>
          </w:tcPr>
          <w:p w14:paraId="5813B098" w14:textId="7CDAA057" w:rsidR="00B60784" w:rsidRPr="00A62CAC" w:rsidRDefault="006B724D" w:rsidP="008D3007">
            <w:pPr>
              <w:spacing w:before="60"/>
              <w:ind w:hanging="425"/>
            </w:pPr>
            <w:r w:rsidRPr="00A62CAC">
              <w:t>Minister for Finance</w:t>
            </w:r>
          </w:p>
        </w:tc>
        <w:tc>
          <w:tcPr>
            <w:tcW w:w="3685" w:type="dxa"/>
            <w:shd w:val="clear" w:color="auto" w:fill="auto"/>
          </w:tcPr>
          <w:p w14:paraId="066A94A8" w14:textId="1DBC3A51" w:rsidR="00B60784" w:rsidRPr="00F7278E" w:rsidRDefault="006B724D" w:rsidP="008D3007">
            <w:pPr>
              <w:spacing w:before="60"/>
              <w:ind w:hanging="425"/>
            </w:pPr>
            <w:r w:rsidRPr="00F7278E">
              <w:t>Senator the Hon Katy Gallagher</w:t>
            </w:r>
          </w:p>
        </w:tc>
      </w:tr>
      <w:tr w:rsidR="008704FB" w14:paraId="46C66A20" w14:textId="77777777" w:rsidTr="007918F0">
        <w:trPr>
          <w:trHeight w:val="850"/>
        </w:trPr>
        <w:tc>
          <w:tcPr>
            <w:tcW w:w="3685" w:type="dxa"/>
            <w:shd w:val="clear" w:color="auto" w:fill="auto"/>
          </w:tcPr>
          <w:p w14:paraId="1941D2A1" w14:textId="2FB58A7F" w:rsidR="0030561A" w:rsidRPr="00A62CAC" w:rsidRDefault="006B724D" w:rsidP="008D3007">
            <w:pPr>
              <w:spacing w:before="60"/>
              <w:ind w:hanging="425"/>
            </w:pPr>
            <w:r w:rsidRPr="00A62CAC">
              <w:t>The Senate</w:t>
            </w:r>
          </w:p>
        </w:tc>
        <w:tc>
          <w:tcPr>
            <w:tcW w:w="3685" w:type="dxa"/>
            <w:shd w:val="clear" w:color="auto" w:fill="auto"/>
          </w:tcPr>
          <w:p w14:paraId="0D3A26A9" w14:textId="5261D1EB" w:rsidR="006B724D" w:rsidRPr="00F7278E" w:rsidRDefault="006B724D" w:rsidP="008D3007">
            <w:pPr>
              <w:spacing w:before="60"/>
              <w:ind w:hanging="425"/>
            </w:pPr>
            <w:r w:rsidRPr="00F7278E">
              <w:t xml:space="preserve">Senator the </w:t>
            </w:r>
            <w:r w:rsidR="00885437" w:rsidRPr="00F7278E">
              <w:t xml:space="preserve">Hon </w:t>
            </w:r>
            <w:r w:rsidRPr="00F7278E">
              <w:t>Richard Colbeck</w:t>
            </w:r>
          </w:p>
          <w:p w14:paraId="0AE9CF67" w14:textId="77777777" w:rsidR="006B724D" w:rsidRPr="00F7278E" w:rsidRDefault="006B724D" w:rsidP="008D3007">
            <w:pPr>
              <w:spacing w:before="60"/>
              <w:ind w:hanging="425"/>
            </w:pPr>
            <w:r w:rsidRPr="00F7278E">
              <w:t>Senator Glenn Sterle</w:t>
            </w:r>
          </w:p>
        </w:tc>
      </w:tr>
      <w:tr w:rsidR="008704FB" w14:paraId="6C8E36BF" w14:textId="77777777" w:rsidTr="007918F0">
        <w:trPr>
          <w:trHeight w:val="850"/>
        </w:trPr>
        <w:tc>
          <w:tcPr>
            <w:tcW w:w="3685" w:type="dxa"/>
            <w:shd w:val="clear" w:color="auto" w:fill="auto"/>
          </w:tcPr>
          <w:p w14:paraId="3216BD28" w14:textId="780B139A" w:rsidR="0030561A" w:rsidRPr="00A62CAC" w:rsidRDefault="006B724D" w:rsidP="008D3007">
            <w:pPr>
              <w:spacing w:before="60"/>
              <w:ind w:hanging="425"/>
            </w:pPr>
            <w:r w:rsidRPr="00A62CAC">
              <w:t>The House of Representatives</w:t>
            </w:r>
          </w:p>
        </w:tc>
        <w:tc>
          <w:tcPr>
            <w:tcW w:w="3685" w:type="dxa"/>
            <w:shd w:val="clear" w:color="auto" w:fill="auto"/>
          </w:tcPr>
          <w:p w14:paraId="2D6367D2" w14:textId="4F7C09A9" w:rsidR="006B724D" w:rsidRPr="00F7278E" w:rsidRDefault="006B724D" w:rsidP="008D3007">
            <w:pPr>
              <w:spacing w:before="60"/>
              <w:ind w:hanging="425"/>
            </w:pPr>
            <w:r w:rsidRPr="00D24D5B">
              <w:t xml:space="preserve">The </w:t>
            </w:r>
            <w:r w:rsidR="00885437" w:rsidRPr="00D24D5B">
              <w:t xml:space="preserve">Hon </w:t>
            </w:r>
            <w:r w:rsidRPr="00D24D5B">
              <w:t>Warren Entsch MP</w:t>
            </w:r>
          </w:p>
          <w:p w14:paraId="5992B748" w14:textId="77777777" w:rsidR="006B724D" w:rsidRPr="00F7278E" w:rsidRDefault="006B724D" w:rsidP="008D3007">
            <w:pPr>
              <w:spacing w:before="60"/>
              <w:ind w:hanging="425"/>
            </w:pPr>
            <w:r w:rsidRPr="00F7278E">
              <w:t>Ms Maria Vamvakinou MP</w:t>
            </w:r>
          </w:p>
        </w:tc>
      </w:tr>
    </w:tbl>
    <w:p w14:paraId="6493C909" w14:textId="07C65E35" w:rsidR="008572E0" w:rsidRPr="00EB7E17" w:rsidRDefault="008572E0" w:rsidP="00A15515">
      <w:pPr>
        <w:pStyle w:val="NumberedList1"/>
      </w:pPr>
      <w:r w:rsidRPr="00EB7E17">
        <w:t>The Trustees, with the exception of the Minister for Finance, are appointed, and may be removed, by the House of which they are members.</w:t>
      </w:r>
    </w:p>
    <w:p w14:paraId="76EB6D1E" w14:textId="1FAC8823" w:rsidR="00655DB0" w:rsidRPr="008C16DE" w:rsidRDefault="00CC4A2F" w:rsidP="00D24D5B">
      <w:pPr>
        <w:pStyle w:val="Heading1"/>
      </w:pPr>
      <w:bookmarkStart w:id="13" w:name="_Toc112847598"/>
      <w:bookmarkStart w:id="14" w:name="_Toc149307216"/>
      <w:bookmarkStart w:id="15" w:name="_Toc185937473"/>
      <w:r>
        <w:lastRenderedPageBreak/>
        <w:t xml:space="preserve">Part II — </w:t>
      </w:r>
      <w:r w:rsidR="00C81A3A">
        <w:t>Key</w:t>
      </w:r>
      <w:r w:rsidR="00DD3A99">
        <w:t xml:space="preserve"> </w:t>
      </w:r>
      <w:r w:rsidR="00564C23">
        <w:t xml:space="preserve">components </w:t>
      </w:r>
      <w:r>
        <w:t>of the PCSS</w:t>
      </w:r>
      <w:bookmarkEnd w:id="13"/>
      <w:bookmarkEnd w:id="14"/>
      <w:bookmarkEnd w:id="15"/>
    </w:p>
    <w:p w14:paraId="40C616FA" w14:textId="78731359" w:rsidR="00655DB0" w:rsidRPr="00D47029" w:rsidRDefault="00D47029" w:rsidP="00D47029">
      <w:pPr>
        <w:pStyle w:val="Heading2"/>
      </w:pPr>
      <w:bookmarkStart w:id="16" w:name="_Toc112847599"/>
      <w:bookmarkStart w:id="17" w:name="_Toc149307217"/>
      <w:bookmarkStart w:id="18" w:name="_Toc185937474"/>
      <w:r w:rsidRPr="00D47029">
        <w:t>Determination of parliamentary salaries</w:t>
      </w:r>
      <w:bookmarkEnd w:id="16"/>
      <w:bookmarkEnd w:id="17"/>
      <w:bookmarkEnd w:id="18"/>
    </w:p>
    <w:p w14:paraId="7E185BFD" w14:textId="7E4F9FCC" w:rsidR="00F45DE9" w:rsidRPr="00F45DE9" w:rsidRDefault="00F45DE9" w:rsidP="00A15515">
      <w:pPr>
        <w:pStyle w:val="NumberedList1"/>
      </w:pPr>
      <w:bookmarkStart w:id="19" w:name="_Ref173407825"/>
      <w:bookmarkStart w:id="20" w:name="_Toc112847600"/>
      <w:bookmarkStart w:id="21" w:name="_Toc149307218"/>
      <w:r w:rsidRPr="00F45DE9">
        <w:t xml:space="preserve">The </w:t>
      </w:r>
      <w:r w:rsidRPr="00A15515">
        <w:t>Remuneration</w:t>
      </w:r>
      <w:r w:rsidRPr="00F45DE9">
        <w:t xml:space="preserve"> Tribunal </w:t>
      </w:r>
      <w:r w:rsidR="00D6483F">
        <w:t xml:space="preserve">(the Tribunal) </w:t>
      </w:r>
      <w:r w:rsidRPr="00F45DE9">
        <w:t>has the power to determine a range of allowances and entitlements for parliamentarians including certain components of parliamentary salaries.</w:t>
      </w:r>
      <w:bookmarkEnd w:id="19"/>
    </w:p>
    <w:p w14:paraId="078DEA21" w14:textId="00772522" w:rsidR="00F45DE9" w:rsidRPr="00F45DE9" w:rsidRDefault="00F45DE9" w:rsidP="00A15515">
      <w:pPr>
        <w:pStyle w:val="NumberedList1"/>
      </w:pPr>
      <w:r w:rsidRPr="00F45DE9">
        <w:t xml:space="preserve">The </w:t>
      </w:r>
      <w:r w:rsidR="007E110B" w:rsidRPr="007E110B">
        <w:t xml:space="preserve">Tribunal </w:t>
      </w:r>
      <w:r w:rsidRPr="00F45DE9">
        <w:t xml:space="preserve">also has the power to determine that portions of the parliamentary salaries paid to sitting parliamentarians do not count for contributions and benefits under the PCSS. The salaries paid to sitting parliamentarians and the salaries for superannuation under the PCSS are therefore </w:t>
      </w:r>
      <w:r w:rsidR="00015ED3">
        <w:t>unrelated</w:t>
      </w:r>
      <w:r w:rsidRPr="00F45DE9">
        <w:t>.</w:t>
      </w:r>
    </w:p>
    <w:p w14:paraId="6A5BB925" w14:textId="43B3C037" w:rsidR="00F45DE9" w:rsidRPr="00F45DE9" w:rsidRDefault="00F45DE9" w:rsidP="00A15515">
      <w:pPr>
        <w:pStyle w:val="NumberedList1"/>
      </w:pPr>
      <w:bookmarkStart w:id="22" w:name="_Ref173407833"/>
      <w:r w:rsidRPr="00F45DE9">
        <w:t xml:space="preserve">References to the </w:t>
      </w:r>
      <w:r w:rsidR="00531F03">
        <w:t>“</w:t>
      </w:r>
      <w:r w:rsidRPr="00F45DE9">
        <w:t>parliamentary allowance</w:t>
      </w:r>
      <w:r w:rsidR="00531F03">
        <w:t>”</w:t>
      </w:r>
      <w:r w:rsidRPr="00F45DE9">
        <w:t xml:space="preserve">, </w:t>
      </w:r>
      <w:r w:rsidR="00531F03">
        <w:t>“</w:t>
      </w:r>
      <w:r w:rsidRPr="00F45DE9">
        <w:t>salary for Ministers of State</w:t>
      </w:r>
      <w:r w:rsidR="00531F03">
        <w:t>”</w:t>
      </w:r>
      <w:r w:rsidRPr="00F45DE9">
        <w:t xml:space="preserve"> and </w:t>
      </w:r>
      <w:r w:rsidR="004B2DAD">
        <w:t>“</w:t>
      </w:r>
      <w:r w:rsidRPr="00F45DE9">
        <w:t>allowance by way of salary for office holders</w:t>
      </w:r>
      <w:r w:rsidR="004B2DAD">
        <w:t>”</w:t>
      </w:r>
      <w:r w:rsidRPr="00F45DE9">
        <w:t xml:space="preserve"> (including references to “Ministerial</w:t>
      </w:r>
      <w:r w:rsidR="002C397D">
        <w:t>”</w:t>
      </w:r>
      <w:r w:rsidRPr="00F45DE9">
        <w:t xml:space="preserve"> or </w:t>
      </w:r>
      <w:r w:rsidR="002C397D">
        <w:t>“</w:t>
      </w:r>
      <w:r w:rsidRPr="00F45DE9">
        <w:t xml:space="preserve">office holder salary” or “salary”) in this Handbook should be read as the superannuation salaries applicable to the </w:t>
      </w:r>
      <w:r w:rsidR="00E11317">
        <w:t>PCSS</w:t>
      </w:r>
      <w:r w:rsidR="00E11317" w:rsidRPr="00F45DE9">
        <w:t xml:space="preserve"> </w:t>
      </w:r>
      <w:r w:rsidRPr="00F45DE9">
        <w:t>where relevant.</w:t>
      </w:r>
      <w:bookmarkEnd w:id="22"/>
    </w:p>
    <w:p w14:paraId="5293D377" w14:textId="5AD7AD2D" w:rsidR="00655DB0" w:rsidRPr="00222960" w:rsidRDefault="00041871" w:rsidP="00D47029">
      <w:pPr>
        <w:pStyle w:val="Heading2"/>
      </w:pPr>
      <w:bookmarkStart w:id="23" w:name="_Toc185937475"/>
      <w:r>
        <w:t>Contributions</w:t>
      </w:r>
      <w:bookmarkEnd w:id="20"/>
      <w:bookmarkEnd w:id="21"/>
      <w:bookmarkEnd w:id="23"/>
    </w:p>
    <w:p w14:paraId="6B7660AC" w14:textId="140DD376" w:rsidR="00C42874" w:rsidRPr="00222960" w:rsidRDefault="00655DB0" w:rsidP="005941C0">
      <w:pPr>
        <w:pStyle w:val="NumberedList1"/>
      </w:pPr>
      <w:bookmarkStart w:id="24" w:name="_Ref433532110"/>
      <w:bookmarkStart w:id="25" w:name="_Ref433534511"/>
      <w:r w:rsidRPr="006D6A0C">
        <w:t>Contributions</w:t>
      </w:r>
      <w:r w:rsidRPr="00222960">
        <w:t xml:space="preserve"> </w:t>
      </w:r>
      <w:r w:rsidR="00A82137">
        <w:t xml:space="preserve">constitute </w:t>
      </w:r>
      <w:r w:rsidRPr="00222960">
        <w:t xml:space="preserve">a fixed </w:t>
      </w:r>
      <w:r w:rsidR="005667D3">
        <w:t xml:space="preserve">portion </w:t>
      </w:r>
      <w:r w:rsidRPr="00222960">
        <w:t>of:</w:t>
      </w:r>
      <w:bookmarkEnd w:id="24"/>
      <w:bookmarkEnd w:id="25"/>
    </w:p>
    <w:p w14:paraId="54F34870" w14:textId="5D92DCEA" w:rsidR="00A23D6A" w:rsidRDefault="00655DB0" w:rsidP="00D47029">
      <w:pPr>
        <w:pStyle w:val="NumberedList2"/>
      </w:pPr>
      <w:bookmarkStart w:id="26" w:name="_Ref433530915"/>
      <w:r w:rsidRPr="002C4698">
        <w:t>parliamentary</w:t>
      </w:r>
      <w:r w:rsidRPr="00222960">
        <w:t xml:space="preserve"> </w:t>
      </w:r>
      <w:r w:rsidRPr="00B61E96">
        <w:t>allowance</w:t>
      </w:r>
      <w:bookmarkStart w:id="27" w:name="_Ref172658728"/>
      <w:bookmarkEnd w:id="26"/>
    </w:p>
    <w:p w14:paraId="46FDDAD3" w14:textId="6631E3E2" w:rsidR="00A23D6A" w:rsidRDefault="00655DB0" w:rsidP="00D47029">
      <w:pPr>
        <w:pStyle w:val="NumberedList2"/>
      </w:pPr>
      <w:bookmarkStart w:id="28" w:name="_Ref173245910"/>
      <w:r w:rsidRPr="00222960">
        <w:t>salary for Ministers</w:t>
      </w:r>
      <w:r w:rsidR="006D4037">
        <w:t xml:space="preserve"> of State</w:t>
      </w:r>
      <w:bookmarkStart w:id="29" w:name="_Ref433531025"/>
      <w:bookmarkEnd w:id="27"/>
      <w:bookmarkEnd w:id="28"/>
    </w:p>
    <w:p w14:paraId="6F2F3D2D" w14:textId="3DC80156" w:rsidR="00655DB0" w:rsidRPr="00222960" w:rsidRDefault="00655DB0" w:rsidP="00D47029">
      <w:pPr>
        <w:pStyle w:val="NumberedList2"/>
      </w:pPr>
      <w:bookmarkStart w:id="30" w:name="_Ref173245915"/>
      <w:r w:rsidRPr="00222960">
        <w:t>allowance by way of salary for office holders.</w:t>
      </w:r>
      <w:bookmarkEnd w:id="29"/>
      <w:bookmarkEnd w:id="30"/>
      <w:r w:rsidR="006905B0">
        <w:rPr>
          <w:rStyle w:val="FootnoteReference"/>
        </w:rPr>
        <w:footnoteReference w:id="2"/>
      </w:r>
    </w:p>
    <w:p w14:paraId="0B466491" w14:textId="5B61F355" w:rsidR="00655DB0" w:rsidRPr="00EA22D9" w:rsidRDefault="003E6DC8" w:rsidP="005941C0">
      <w:pPr>
        <w:pStyle w:val="NumberedList1"/>
      </w:pPr>
      <w:r>
        <w:t>R</w:t>
      </w:r>
      <w:r w:rsidR="00150945">
        <w:t>espect</w:t>
      </w:r>
      <w:r w:rsidR="0063214E">
        <w:t>ive</w:t>
      </w:r>
      <w:r w:rsidR="00150945">
        <w:t xml:space="preserve"> </w:t>
      </w:r>
      <w:r w:rsidR="0063214E">
        <w:t xml:space="preserve">of </w:t>
      </w:r>
      <w:r w:rsidR="00150945">
        <w:t xml:space="preserve">the </w:t>
      </w:r>
      <w:r w:rsidR="00655DB0" w:rsidRPr="00222960">
        <w:t>contributions</w:t>
      </w:r>
      <w:r w:rsidR="00D363A4">
        <w:t xml:space="preserve"> under </w:t>
      </w:r>
      <w:r w:rsidR="0086717A" w:rsidRPr="00EA22D9">
        <w:t xml:space="preserve">paragraph </w:t>
      </w:r>
      <w:r w:rsidR="00F01E91" w:rsidRPr="00BA5271">
        <w:fldChar w:fldCharType="begin"/>
      </w:r>
      <w:r w:rsidR="00F01E91" w:rsidRPr="00BA5271">
        <w:instrText xml:space="preserve"> REF _Ref433530915 \r \h </w:instrText>
      </w:r>
      <w:r w:rsidR="007E67C0" w:rsidRPr="00BA5271">
        <w:instrText xml:space="preserve"> \* MERGEFORMAT </w:instrText>
      </w:r>
      <w:r w:rsidR="00F01E91" w:rsidRPr="00BA5271">
        <w:fldChar w:fldCharType="separate"/>
      </w:r>
      <w:r w:rsidR="00DC08F8">
        <w:t>10(a)</w:t>
      </w:r>
      <w:r w:rsidR="00F01E91" w:rsidRPr="00BA5271">
        <w:fldChar w:fldCharType="end"/>
      </w:r>
      <w:r w:rsidR="00542192" w:rsidRPr="00BA5271">
        <w:t>,</w:t>
      </w:r>
      <w:r w:rsidR="00542192" w:rsidRPr="00EA22D9">
        <w:t xml:space="preserve"> members </w:t>
      </w:r>
      <w:r w:rsidR="00D363A4" w:rsidRPr="00EA22D9">
        <w:t xml:space="preserve">whose </w:t>
      </w:r>
      <w:r w:rsidR="00655DB0" w:rsidRPr="00EA22D9">
        <w:t xml:space="preserve">period of parliamentary service is less than </w:t>
      </w:r>
      <w:r w:rsidR="00D47029">
        <w:t>18</w:t>
      </w:r>
      <w:r w:rsidR="00655DB0" w:rsidRPr="00EA22D9">
        <w:t xml:space="preserve">years, the rate of contribution is </w:t>
      </w:r>
      <w:r w:rsidR="00B12E82" w:rsidRPr="00EA22D9">
        <w:t>11.5%</w:t>
      </w:r>
      <w:r w:rsidR="00655DB0" w:rsidRPr="00EA22D9">
        <w:t xml:space="preserve"> of the monthly amount of the parliamentary allowance. Once a member has completed </w:t>
      </w:r>
      <w:r w:rsidR="00D47029">
        <w:t>18</w:t>
      </w:r>
      <w:r w:rsidR="00655DB0" w:rsidRPr="00EA22D9">
        <w:t xml:space="preserve">years of service, the contribution rate reduces to </w:t>
      </w:r>
      <w:r w:rsidR="00FA0763" w:rsidRPr="00EA22D9">
        <w:t>5.75%</w:t>
      </w:r>
      <w:r w:rsidR="00655DB0" w:rsidRPr="00EA22D9">
        <w:t>.</w:t>
      </w:r>
    </w:p>
    <w:p w14:paraId="32DACD31" w14:textId="102CCF68" w:rsidR="0019050C" w:rsidRPr="00EA22D9" w:rsidRDefault="00245606" w:rsidP="005941C0">
      <w:pPr>
        <w:pStyle w:val="NumberedList1"/>
      </w:pPr>
      <w:r w:rsidRPr="00EA22D9">
        <w:t>R</w:t>
      </w:r>
      <w:r w:rsidR="00655DB0" w:rsidRPr="00EA22D9">
        <w:t>espect</w:t>
      </w:r>
      <w:r w:rsidRPr="00EA22D9">
        <w:t>ive</w:t>
      </w:r>
      <w:r w:rsidR="00655DB0" w:rsidRPr="00EA22D9">
        <w:t xml:space="preserve"> of </w:t>
      </w:r>
      <w:bookmarkStart w:id="31" w:name="_Hlt433534557"/>
      <w:r w:rsidR="007070F1" w:rsidRPr="00EA22D9">
        <w:t>contributions under</w:t>
      </w:r>
      <w:r w:rsidR="00A57CE7" w:rsidRPr="00EA22D9">
        <w:t xml:space="preserve"> </w:t>
      </w:r>
      <w:r w:rsidR="003147C7" w:rsidRPr="00EA22D9">
        <w:t xml:space="preserve">paragraphs </w:t>
      </w:r>
      <w:r w:rsidR="00F01E91" w:rsidRPr="00BA5271">
        <w:fldChar w:fldCharType="begin"/>
      </w:r>
      <w:r w:rsidR="00F01E91" w:rsidRPr="00BA5271">
        <w:instrText xml:space="preserve"> REF _Ref173245910 \r \h </w:instrText>
      </w:r>
      <w:r w:rsidR="008A166D" w:rsidRPr="00BA5271">
        <w:instrText xml:space="preserve"> \* MERGEFORMAT </w:instrText>
      </w:r>
      <w:r w:rsidR="00F01E91" w:rsidRPr="00BA5271">
        <w:fldChar w:fldCharType="separate"/>
      </w:r>
      <w:r w:rsidR="00DC08F8">
        <w:t>10(b)</w:t>
      </w:r>
      <w:r w:rsidR="00F01E91" w:rsidRPr="00BA5271">
        <w:fldChar w:fldCharType="end"/>
      </w:r>
      <w:bookmarkStart w:id="32" w:name="_Hlt433534299"/>
      <w:bookmarkEnd w:id="31"/>
      <w:r w:rsidR="00655DB0" w:rsidRPr="00BA5271">
        <w:t xml:space="preserve"> </w:t>
      </w:r>
      <w:r w:rsidR="00655DB0" w:rsidRPr="00EA22D9">
        <w:t>and</w:t>
      </w:r>
      <w:r w:rsidR="00F01E91" w:rsidRPr="00EA22D9">
        <w:t xml:space="preserve"> </w:t>
      </w:r>
      <w:bookmarkEnd w:id="32"/>
      <w:r w:rsidR="00F01E91" w:rsidRPr="00BA5271">
        <w:fldChar w:fldCharType="begin"/>
      </w:r>
      <w:r w:rsidR="00F01E91" w:rsidRPr="00BA5271">
        <w:instrText xml:space="preserve"> REF _Ref173245915 \r \h </w:instrText>
      </w:r>
      <w:r w:rsidR="008A166D" w:rsidRPr="00BA5271">
        <w:instrText xml:space="preserve"> \* MERGEFORMAT </w:instrText>
      </w:r>
      <w:r w:rsidR="00F01E91" w:rsidRPr="00BA5271">
        <w:fldChar w:fldCharType="separate"/>
      </w:r>
      <w:r w:rsidR="00DC08F8">
        <w:t>10(c)</w:t>
      </w:r>
      <w:r w:rsidR="00F01E91" w:rsidRPr="00BA5271">
        <w:fldChar w:fldCharType="end"/>
      </w:r>
      <w:r w:rsidR="0019050C" w:rsidRPr="00BA5271">
        <w:t>:</w:t>
      </w:r>
    </w:p>
    <w:p w14:paraId="7EEAB211" w14:textId="66121EEF" w:rsidR="009D5650" w:rsidRPr="00EA22D9" w:rsidRDefault="00655DB0" w:rsidP="00D47029">
      <w:pPr>
        <w:pStyle w:val="NumberedList2"/>
      </w:pPr>
      <w:r w:rsidRPr="00EA22D9">
        <w:t>members who have not attained their maximum additional pension entitlement (para</w:t>
      </w:r>
      <w:r w:rsidR="00D47029">
        <w:t>graph</w:t>
      </w:r>
      <w:r w:rsidR="0086261C" w:rsidRPr="00EA22D9">
        <w:t xml:space="preserve"> </w:t>
      </w:r>
      <w:r w:rsidR="003007DF" w:rsidRPr="00BA5271">
        <w:fldChar w:fldCharType="begin"/>
      </w:r>
      <w:r w:rsidR="003007DF" w:rsidRPr="00BA5271">
        <w:instrText xml:space="preserve"> REF _Ref173137253 \r \h </w:instrText>
      </w:r>
      <w:r w:rsidR="004E1DEC" w:rsidRPr="00BA5271">
        <w:instrText xml:space="preserve"> \* MERGEFORMAT </w:instrText>
      </w:r>
      <w:r w:rsidR="003007DF" w:rsidRPr="00BA5271">
        <w:fldChar w:fldCharType="separate"/>
      </w:r>
      <w:r w:rsidR="00DC08F8">
        <w:t>31</w:t>
      </w:r>
      <w:r w:rsidR="003007DF" w:rsidRPr="00BA5271">
        <w:fldChar w:fldCharType="end"/>
      </w:r>
      <w:r w:rsidR="006930BF" w:rsidRPr="00EA22D9">
        <w:t>)</w:t>
      </w:r>
      <w:r w:rsidRPr="00EA22D9">
        <w:t xml:space="preserve"> are required to pay contributions, in addition to the contributions under</w:t>
      </w:r>
      <w:r w:rsidR="00B61E96" w:rsidRPr="00EA22D9">
        <w:t xml:space="preserve"> </w:t>
      </w:r>
      <w:r w:rsidR="003147C7" w:rsidRPr="00EA22D9">
        <w:t>paragraph</w:t>
      </w:r>
      <w:r w:rsidR="00A26E10" w:rsidRPr="00EA22D9">
        <w:t xml:space="preserve"> </w:t>
      </w:r>
      <w:r w:rsidR="00FE72D5" w:rsidRPr="00BA5271">
        <w:fldChar w:fldCharType="begin"/>
      </w:r>
      <w:r w:rsidR="00FE72D5" w:rsidRPr="00BA5271">
        <w:instrText xml:space="preserve"> REF  _Ref433530915 \h \r  \* MERGEFORMAT </w:instrText>
      </w:r>
      <w:r w:rsidR="00FE72D5" w:rsidRPr="00BA5271">
        <w:fldChar w:fldCharType="separate"/>
      </w:r>
      <w:r w:rsidR="00DC08F8">
        <w:t>10(a)</w:t>
      </w:r>
      <w:r w:rsidR="00FE72D5" w:rsidRPr="00BA5271">
        <w:fldChar w:fldCharType="end"/>
      </w:r>
      <w:r w:rsidR="00AF0AAA" w:rsidRPr="00EA22D9">
        <w:t>,</w:t>
      </w:r>
      <w:r w:rsidRPr="00EA22D9">
        <w:t xml:space="preserve"> at the rate of </w:t>
      </w:r>
      <w:r w:rsidR="009B2447" w:rsidRPr="00EA22D9">
        <w:t xml:space="preserve">11.5% </w:t>
      </w:r>
      <w:r w:rsidRPr="00EA22D9">
        <w:t xml:space="preserve">of the monthly amount of the </w:t>
      </w:r>
      <w:r w:rsidR="00A50C42" w:rsidRPr="00EA22D9">
        <w:t>m</w:t>
      </w:r>
      <w:r w:rsidRPr="00EA22D9">
        <w:t>inisterial or office holder salary</w:t>
      </w:r>
    </w:p>
    <w:p w14:paraId="268CC647" w14:textId="6ADD46A9" w:rsidR="00655DB0" w:rsidRPr="00222960" w:rsidRDefault="009D5650" w:rsidP="00D47029">
      <w:pPr>
        <w:pStyle w:val="NumberedList2"/>
      </w:pPr>
      <w:r w:rsidRPr="00EA22D9">
        <w:t>m</w:t>
      </w:r>
      <w:r w:rsidR="00655DB0" w:rsidRPr="00EA22D9">
        <w:t xml:space="preserve">embers who have attained their maximum additional pension entitlement have a reduced contribution rate of </w:t>
      </w:r>
      <w:r w:rsidR="006F2043" w:rsidRPr="00EA22D9">
        <w:t xml:space="preserve">5.75% </w:t>
      </w:r>
      <w:r w:rsidR="00655DB0" w:rsidRPr="00EA22D9">
        <w:rPr>
          <w:u w:val="single"/>
        </w:rPr>
        <w:t>while that maximum applies</w:t>
      </w:r>
      <w:r w:rsidR="00655DB0" w:rsidRPr="00EA22D9">
        <w:t xml:space="preserve">. The contributions under </w:t>
      </w:r>
      <w:r w:rsidR="003147C7" w:rsidRPr="00EA22D9">
        <w:t xml:space="preserve">paragraphs </w:t>
      </w:r>
      <w:r w:rsidR="008A166D" w:rsidRPr="00BA5271">
        <w:fldChar w:fldCharType="begin"/>
      </w:r>
      <w:r w:rsidR="008A166D" w:rsidRPr="00BA5271">
        <w:instrText xml:space="preserve"> REF _Ref173245910 \r \h  \* MERGEFORMAT </w:instrText>
      </w:r>
      <w:r w:rsidR="008A166D" w:rsidRPr="00BA5271">
        <w:fldChar w:fldCharType="separate"/>
      </w:r>
      <w:r w:rsidR="00DC08F8">
        <w:t>10(b)</w:t>
      </w:r>
      <w:r w:rsidR="008A166D" w:rsidRPr="00BA5271">
        <w:fldChar w:fldCharType="end"/>
      </w:r>
      <w:r w:rsidR="007E67C0" w:rsidRPr="00BA5271">
        <w:t xml:space="preserve"> </w:t>
      </w:r>
      <w:r w:rsidR="007E67C0" w:rsidRPr="00EA22D9">
        <w:t xml:space="preserve">and </w:t>
      </w:r>
      <w:r w:rsidR="008A166D" w:rsidRPr="00BA5271">
        <w:fldChar w:fldCharType="begin"/>
      </w:r>
      <w:r w:rsidR="008A166D" w:rsidRPr="00BA5271">
        <w:instrText xml:space="preserve"> REF _Ref173245915 \r \h  \* MERGEFORMAT </w:instrText>
      </w:r>
      <w:r w:rsidR="008A166D" w:rsidRPr="00BA5271">
        <w:fldChar w:fldCharType="separate"/>
      </w:r>
      <w:r w:rsidR="00DC08F8">
        <w:t>10(c)</w:t>
      </w:r>
      <w:r w:rsidR="008A166D" w:rsidRPr="00BA5271">
        <w:fldChar w:fldCharType="end"/>
      </w:r>
      <w:r w:rsidR="00655DB0" w:rsidRPr="00222960">
        <w:t xml:space="preserve"> cease to be payable </w:t>
      </w:r>
      <w:r w:rsidR="00FD5B94">
        <w:t>if/</w:t>
      </w:r>
      <w:r w:rsidR="00655DB0" w:rsidRPr="00222960">
        <w:t xml:space="preserve">when the </w:t>
      </w:r>
      <w:r w:rsidR="00176063" w:rsidRPr="00222960">
        <w:t>m</w:t>
      </w:r>
      <w:r w:rsidR="00655DB0" w:rsidRPr="00222960">
        <w:t>inisterial or office holder salary ceases to be received.</w:t>
      </w:r>
    </w:p>
    <w:p w14:paraId="019F53BA" w14:textId="2C69AB09" w:rsidR="00655DB0" w:rsidRDefault="00655DB0" w:rsidP="005941C0">
      <w:pPr>
        <w:pStyle w:val="NumberedList1"/>
      </w:pPr>
      <w:r w:rsidRPr="00222960">
        <w:t xml:space="preserve">Salary sacrifice arrangements are not allowed under the </w:t>
      </w:r>
      <w:r w:rsidR="00BB1C30">
        <w:t>Scheme</w:t>
      </w:r>
      <w:r w:rsidRPr="00222960">
        <w:t>.</w:t>
      </w:r>
    </w:p>
    <w:p w14:paraId="585BA4CD" w14:textId="4CFFBA21" w:rsidR="00655DB0" w:rsidRPr="00041871" w:rsidRDefault="00041871" w:rsidP="00D47029">
      <w:pPr>
        <w:pStyle w:val="Heading3"/>
      </w:pPr>
      <w:bookmarkStart w:id="33" w:name="_Toc185937476"/>
      <w:r w:rsidRPr="7E723D24">
        <w:lastRenderedPageBreak/>
        <w:t>Taxation</w:t>
      </w:r>
      <w:r w:rsidR="00D47029" w:rsidRPr="7E723D24">
        <w:t xml:space="preserve"> of contributions</w:t>
      </w:r>
      <w:bookmarkEnd w:id="33"/>
    </w:p>
    <w:p w14:paraId="4ECE44B2" w14:textId="35F7E502" w:rsidR="00655DB0" w:rsidRPr="00222960" w:rsidRDefault="00655DB0" w:rsidP="00A15515">
      <w:pPr>
        <w:pStyle w:val="NumberedList1"/>
      </w:pPr>
      <w:r>
        <w:t>Since</w:t>
      </w:r>
      <w:r w:rsidRPr="00222960">
        <w:t xml:space="preserve"> 1</w:t>
      </w:r>
      <w:r w:rsidR="000E5781">
        <w:t> </w:t>
      </w:r>
      <w:r w:rsidRPr="00222960">
        <w:t>July</w:t>
      </w:r>
      <w:r w:rsidR="000E5781">
        <w:t> </w:t>
      </w:r>
      <w:r w:rsidRPr="00222960">
        <w:t xml:space="preserve">2017, the value of unfunded employer </w:t>
      </w:r>
      <w:r>
        <w:t xml:space="preserve">defined benefit </w:t>
      </w:r>
      <w:r w:rsidRPr="00222960">
        <w:t xml:space="preserve">contributions in relation to the PCSS </w:t>
      </w:r>
      <w:r>
        <w:t>is</w:t>
      </w:r>
      <w:r w:rsidRPr="00222960">
        <w:t xml:space="preserve"> counted towards the concessional contributions cap, a limit on the amount of contributions that receive concessional tax treatment in a </w:t>
      </w:r>
      <w:r w:rsidR="007A4D75" w:rsidRPr="00222960">
        <w:t>s</w:t>
      </w:r>
      <w:r w:rsidR="00BB1C30" w:rsidRPr="00222960">
        <w:t>cheme</w:t>
      </w:r>
      <w:r w:rsidRPr="00222960">
        <w:t>.</w:t>
      </w:r>
    </w:p>
    <w:p w14:paraId="0625666F" w14:textId="601D9E33" w:rsidR="00A665BA" w:rsidRPr="00EA22D9" w:rsidRDefault="00FC2B11" w:rsidP="00A665BA">
      <w:pPr>
        <w:pStyle w:val="NumberedList1"/>
      </w:pPr>
      <w:r w:rsidRPr="00674EB0">
        <w:t xml:space="preserve">As of 1 July 2024, </w:t>
      </w:r>
      <w:r w:rsidR="00655DB0" w:rsidRPr="00674EB0">
        <w:t xml:space="preserve">the annual </w:t>
      </w:r>
      <w:r w:rsidR="00655DB0" w:rsidRPr="003542CA">
        <w:t xml:space="preserve">concessional </w:t>
      </w:r>
      <w:r w:rsidR="00655DB0" w:rsidRPr="00EA22D9">
        <w:t xml:space="preserve">contributions cap </w:t>
      </w:r>
      <w:r w:rsidR="00655DB0" w:rsidRPr="00BA5271">
        <w:t xml:space="preserve">is </w:t>
      </w:r>
      <w:bookmarkStart w:id="34" w:name="Concessional_contributions_cap"/>
      <w:r w:rsidR="00655DB0" w:rsidRPr="00BA5271">
        <w:t>$</w:t>
      </w:r>
      <w:r w:rsidRPr="00BA5271">
        <w:t>30</w:t>
      </w:r>
      <w:r w:rsidR="00655DB0" w:rsidRPr="00BA5271">
        <w:t>,</w:t>
      </w:r>
      <w:r w:rsidRPr="00BA5271">
        <w:t>0</w:t>
      </w:r>
      <w:r w:rsidR="00655DB0" w:rsidRPr="00BA5271">
        <w:t>00</w:t>
      </w:r>
      <w:bookmarkEnd w:id="34"/>
      <w:r w:rsidR="00655DB0" w:rsidRPr="00EA22D9">
        <w:t>.</w:t>
      </w:r>
      <w:r w:rsidR="00D47029">
        <w:rPr>
          <w:rStyle w:val="FootnoteReference"/>
        </w:rPr>
        <w:footnoteReference w:id="3"/>
      </w:r>
      <w:r w:rsidR="00655DB0" w:rsidRPr="00EA22D9">
        <w:t xml:space="preserve"> </w:t>
      </w:r>
      <w:r w:rsidR="00C47ED6" w:rsidRPr="00EA22D9">
        <w:t>Where</w:t>
      </w:r>
      <w:r w:rsidR="00AB323B" w:rsidRPr="00EA22D9">
        <w:t xml:space="preserve"> the value of</w:t>
      </w:r>
      <w:r w:rsidR="00C47ED6" w:rsidRPr="00EA22D9">
        <w:t xml:space="preserve"> these c</w:t>
      </w:r>
      <w:r w:rsidR="00655DB0" w:rsidRPr="00EA22D9">
        <w:t>ontributions exceed</w:t>
      </w:r>
      <w:r w:rsidR="00025697" w:rsidRPr="00EA22D9">
        <w:t>s</w:t>
      </w:r>
      <w:r w:rsidR="00610C47" w:rsidRPr="00EA22D9">
        <w:t xml:space="preserve"> </w:t>
      </w:r>
      <w:r w:rsidR="00655DB0" w:rsidRPr="00EA22D9">
        <w:t>the cap</w:t>
      </w:r>
      <w:r w:rsidR="00C47ED6" w:rsidRPr="00EA22D9">
        <w:t xml:space="preserve">, they </w:t>
      </w:r>
      <w:r w:rsidR="00655DB0" w:rsidRPr="00EA22D9">
        <w:t>will not be treated as excess concessional contributions</w:t>
      </w:r>
      <w:r w:rsidR="00603BA7" w:rsidRPr="00EA22D9">
        <w:t xml:space="preserve">. </w:t>
      </w:r>
      <w:r w:rsidR="00351C07" w:rsidRPr="00EA22D9">
        <w:t>This is because these employer contributions are unfunded and are subject to taxation when the member’s benefit is paid.</w:t>
      </w:r>
    </w:p>
    <w:p w14:paraId="3BEBA880" w14:textId="7794502B" w:rsidR="00655DB0" w:rsidRPr="00EA22D9" w:rsidRDefault="00A250B1" w:rsidP="00A665BA">
      <w:pPr>
        <w:pStyle w:val="NumberedList1"/>
      </w:pPr>
      <w:r w:rsidRPr="00EA22D9">
        <w:t>M</w:t>
      </w:r>
      <w:r w:rsidR="00655DB0" w:rsidRPr="00EA22D9">
        <w:t>ember</w:t>
      </w:r>
      <w:r w:rsidRPr="00EA22D9">
        <w:t>s</w:t>
      </w:r>
      <w:r w:rsidR="00655DB0" w:rsidRPr="00EA22D9">
        <w:t xml:space="preserve"> </w:t>
      </w:r>
      <w:r w:rsidR="00A4040E" w:rsidRPr="00EA22D9">
        <w:t xml:space="preserve">with </w:t>
      </w:r>
      <w:r w:rsidR="00655DB0" w:rsidRPr="00EA22D9">
        <w:t xml:space="preserve">combined income and annual defined benefit employer contributions of more than </w:t>
      </w:r>
      <w:r w:rsidR="00655DB0" w:rsidRPr="00BA5271">
        <w:t>$250,000</w:t>
      </w:r>
      <w:r w:rsidR="00655DB0" w:rsidRPr="00EA22D9">
        <w:t xml:space="preserve"> in a financial year may have to pay an </w:t>
      </w:r>
      <w:r w:rsidR="002027F6" w:rsidRPr="00EA22D9">
        <w:t xml:space="preserve">additional </w:t>
      </w:r>
      <w:r w:rsidR="00655DB0" w:rsidRPr="00EA22D9">
        <w:t>tax known as</w:t>
      </w:r>
      <w:r w:rsidR="005D069F" w:rsidRPr="00EA22D9">
        <w:t xml:space="preserve"> Division 293 tax</w:t>
      </w:r>
      <w:r w:rsidR="00655DB0" w:rsidRPr="00EA22D9">
        <w:t>.</w:t>
      </w:r>
      <w:r w:rsidR="00EF7018" w:rsidRPr="00EA22D9">
        <w:rPr>
          <w:rStyle w:val="FootnoteReference"/>
        </w:rPr>
        <w:footnoteReference w:id="4"/>
      </w:r>
      <w:r w:rsidR="00655DB0" w:rsidRPr="00EA22D9">
        <w:t xml:space="preserve"> The </w:t>
      </w:r>
      <w:r w:rsidR="00EE1607" w:rsidRPr="00EA22D9">
        <w:t>Division</w:t>
      </w:r>
      <w:r w:rsidR="00A60972" w:rsidRPr="00EA22D9">
        <w:t> </w:t>
      </w:r>
      <w:r w:rsidR="00EE1607" w:rsidRPr="00EA22D9">
        <w:t>293</w:t>
      </w:r>
      <w:r w:rsidR="00A60972" w:rsidRPr="00EA22D9">
        <w:t> </w:t>
      </w:r>
      <w:r w:rsidR="00EE1607" w:rsidRPr="00EA22D9">
        <w:t>tax</w:t>
      </w:r>
      <w:r w:rsidR="00655DB0" w:rsidRPr="00EA22D9">
        <w:t xml:space="preserve"> is assessed by the Australian Taxation Office (ATO)</w:t>
      </w:r>
      <w:r w:rsidR="002027F6" w:rsidRPr="00EA22D9">
        <w:t xml:space="preserve"> and </w:t>
      </w:r>
      <w:r w:rsidR="00655DB0" w:rsidRPr="00EA22D9">
        <w:t>is charged at 15% of an individual’s taxable contributions</w:t>
      </w:r>
      <w:r w:rsidR="00FC28B6" w:rsidRPr="00EA22D9">
        <w:t>;</w:t>
      </w:r>
      <w:r w:rsidR="00655DB0" w:rsidRPr="00EA22D9">
        <w:t xml:space="preserve"> for defined benefit schemes, the repayment of the debt can be deferred until the benefit is claimed.</w:t>
      </w:r>
      <w:r w:rsidR="000C37F3" w:rsidRPr="00EA22D9">
        <w:rPr>
          <w:rStyle w:val="FootnoteReference"/>
        </w:rPr>
        <w:footnoteReference w:id="5"/>
      </w:r>
      <w:r w:rsidR="00655DB0" w:rsidRPr="00EA22D9">
        <w:t xml:space="preserve"> </w:t>
      </w:r>
      <w:r w:rsidR="00472037" w:rsidRPr="00EA22D9">
        <w:t xml:space="preserve">More information </w:t>
      </w:r>
      <w:r w:rsidR="00892166" w:rsidRPr="00EA22D9">
        <w:t xml:space="preserve">about the </w:t>
      </w:r>
      <w:r w:rsidR="008454F8" w:rsidRPr="00EA22D9">
        <w:t>Division </w:t>
      </w:r>
      <w:r w:rsidR="00655DB0" w:rsidRPr="00EA22D9">
        <w:t>293</w:t>
      </w:r>
      <w:r w:rsidR="008454F8" w:rsidRPr="00EA22D9">
        <w:t> </w:t>
      </w:r>
      <w:r w:rsidR="00655DB0" w:rsidRPr="00EA22D9">
        <w:t>tax, including repayment options</w:t>
      </w:r>
      <w:r w:rsidR="00892166" w:rsidRPr="00EA22D9">
        <w:t xml:space="preserve"> </w:t>
      </w:r>
      <w:r w:rsidR="00655DB0" w:rsidRPr="00EA22D9">
        <w:t xml:space="preserve">is </w:t>
      </w:r>
      <w:r w:rsidR="00892166" w:rsidRPr="00EA22D9">
        <w:t xml:space="preserve">covered in this </w:t>
      </w:r>
      <w:r w:rsidR="00B0676C" w:rsidRPr="00EA22D9">
        <w:t>H</w:t>
      </w:r>
      <w:r w:rsidR="00892166" w:rsidRPr="00EA22D9">
        <w:t>andbook</w:t>
      </w:r>
      <w:r w:rsidR="002B7A5E" w:rsidRPr="00EA22D9">
        <w:t xml:space="preserve"> (</w:t>
      </w:r>
      <w:r w:rsidR="00625A96" w:rsidRPr="00EA22D9">
        <w:t>para</w:t>
      </w:r>
      <w:r w:rsidR="00D47029">
        <w:t>graph</w:t>
      </w:r>
      <w:r w:rsidR="00625A96" w:rsidRPr="00EA22D9">
        <w:t xml:space="preserve"> </w:t>
      </w:r>
      <w:r w:rsidR="00142CF6" w:rsidRPr="00BA5271">
        <w:fldChar w:fldCharType="begin"/>
      </w:r>
      <w:r w:rsidR="00142CF6" w:rsidRPr="00BA5271">
        <w:instrText xml:space="preserve"> REF _Ref172725978 \r \h  \* MERGEFORMAT </w:instrText>
      </w:r>
      <w:r w:rsidR="00142CF6" w:rsidRPr="00BA5271">
        <w:fldChar w:fldCharType="separate"/>
      </w:r>
      <w:r w:rsidR="00DC08F8">
        <w:t>47</w:t>
      </w:r>
      <w:r w:rsidR="00142CF6" w:rsidRPr="00BA5271">
        <w:fldChar w:fldCharType="end"/>
      </w:r>
      <w:r w:rsidR="00142CF6" w:rsidRPr="00EA22D9">
        <w:noBreakHyphen/>
      </w:r>
      <w:r w:rsidR="00A3492A" w:rsidRPr="00BA5271">
        <w:fldChar w:fldCharType="begin"/>
      </w:r>
      <w:r w:rsidR="00A3492A" w:rsidRPr="00BA5271">
        <w:instrText xml:space="preserve"> REF _Ref172726011 \w \h </w:instrText>
      </w:r>
      <w:r w:rsidR="00EA22D9">
        <w:instrText xml:space="preserve"> \* MERGEFORMAT </w:instrText>
      </w:r>
      <w:r w:rsidR="00A3492A" w:rsidRPr="00BA5271">
        <w:fldChar w:fldCharType="separate"/>
      </w:r>
      <w:r w:rsidR="00DC08F8">
        <w:t>58</w:t>
      </w:r>
      <w:r w:rsidR="00A3492A" w:rsidRPr="00BA5271">
        <w:fldChar w:fldCharType="end"/>
      </w:r>
      <w:r w:rsidR="00142CF6" w:rsidRPr="00EA22D9">
        <w:t>)</w:t>
      </w:r>
      <w:r w:rsidR="00890C8F" w:rsidRPr="00EA22D9">
        <w:t>.</w:t>
      </w:r>
    </w:p>
    <w:p w14:paraId="77C65691" w14:textId="29281CA3" w:rsidR="00A35FF0" w:rsidRPr="000F23C0" w:rsidRDefault="00A35FF0" w:rsidP="00C074B6">
      <w:pPr>
        <w:pStyle w:val="NumberedList1"/>
      </w:pPr>
      <w:r>
        <w:t>Non</w:t>
      </w:r>
      <w:r w:rsidR="00450DC4" w:rsidDel="00450DC4">
        <w:noBreakHyphen/>
      </w:r>
      <w:r w:rsidRPr="00D632E6">
        <w:t>concessional contributions are personal post</w:t>
      </w:r>
      <w:r w:rsidR="00657E8D" w:rsidDel="00450DC4">
        <w:noBreakHyphen/>
      </w:r>
      <w:r w:rsidRPr="00D632E6">
        <w:t xml:space="preserve">tax member contributions for which a tax </w:t>
      </w:r>
      <w:r w:rsidRPr="00383A8B">
        <w:t>deduction</w:t>
      </w:r>
      <w:r w:rsidRPr="00D632E6">
        <w:t xml:space="preserve"> is not claimed.</w:t>
      </w:r>
      <w:r>
        <w:t xml:space="preserve"> </w:t>
      </w:r>
      <w:r w:rsidRPr="00211538">
        <w:rPr>
          <w:lang w:val="en"/>
        </w:rPr>
        <w:t>The non</w:t>
      </w:r>
      <w:r w:rsidR="00657E8D" w:rsidRPr="00211538">
        <w:rPr>
          <w:lang w:val="en"/>
        </w:rPr>
        <w:noBreakHyphen/>
      </w:r>
      <w:r w:rsidRPr="00211538">
        <w:rPr>
          <w:lang w:val="en"/>
        </w:rPr>
        <w:t>concessional contributions cap</w:t>
      </w:r>
      <w:r w:rsidRPr="00211538">
        <w:rPr>
          <w:bCs/>
        </w:rPr>
        <w:t xml:space="preserve"> </w:t>
      </w:r>
      <w:r w:rsidRPr="00211538">
        <w:rPr>
          <w:lang w:val="en"/>
        </w:rPr>
        <w:t>is a limit on the amount of non</w:t>
      </w:r>
      <w:r w:rsidR="00657E8D" w:rsidRPr="00211538" w:rsidDel="00450DC4">
        <w:rPr>
          <w:lang w:val="en"/>
        </w:rPr>
        <w:noBreakHyphen/>
      </w:r>
      <w:r w:rsidRPr="00211538">
        <w:rPr>
          <w:lang w:val="en"/>
        </w:rPr>
        <w:t>concessional contributions that can be made into a superannuation scheme or fund. The annual non</w:t>
      </w:r>
      <w:r w:rsidR="00657E8D" w:rsidRPr="00211538" w:rsidDel="00450DC4">
        <w:rPr>
          <w:lang w:val="en"/>
        </w:rPr>
        <w:noBreakHyphen/>
      </w:r>
      <w:r w:rsidRPr="00211538">
        <w:rPr>
          <w:lang w:val="en"/>
        </w:rPr>
        <w:t xml:space="preserve">concessional contributions cap is </w:t>
      </w:r>
      <w:bookmarkStart w:id="35" w:name="Cap_multiplied"/>
      <w:r w:rsidR="0002226B" w:rsidRPr="00211538">
        <w:rPr>
          <w:lang w:val="en"/>
        </w:rPr>
        <w:t>4</w:t>
      </w:r>
      <w:bookmarkEnd w:id="35"/>
      <w:r w:rsidR="0002226B" w:rsidRPr="00211538">
        <w:rPr>
          <w:lang w:val="en"/>
        </w:rPr>
        <w:t> </w:t>
      </w:r>
      <w:r w:rsidRPr="00211538">
        <w:rPr>
          <w:lang w:val="en"/>
        </w:rPr>
        <w:t>times the annual concessional contributions cap</w:t>
      </w:r>
      <w:r w:rsidR="00015ED3">
        <w:rPr>
          <w:lang w:val="en"/>
        </w:rPr>
        <w:t xml:space="preserve">, which </w:t>
      </w:r>
      <w:r w:rsidR="000C10A4" w:rsidRPr="00B85640">
        <w:rPr>
          <w:lang w:val="en"/>
        </w:rPr>
        <w:t xml:space="preserve">equates to </w:t>
      </w:r>
      <w:r w:rsidRPr="00B85640">
        <w:rPr>
          <w:lang w:val="en"/>
        </w:rPr>
        <w:t>$</w:t>
      </w:r>
      <w:r w:rsidR="00A26E10" w:rsidRPr="00B85640">
        <w:rPr>
          <w:lang w:val="en"/>
        </w:rPr>
        <w:t>1</w:t>
      </w:r>
      <w:r w:rsidR="00A26E10">
        <w:rPr>
          <w:lang w:val="en"/>
        </w:rPr>
        <w:t>2</w:t>
      </w:r>
      <w:r w:rsidR="00A26E10" w:rsidRPr="00B85640">
        <w:rPr>
          <w:lang w:val="en"/>
        </w:rPr>
        <w:t>0</w:t>
      </w:r>
      <w:r w:rsidRPr="00B85640">
        <w:rPr>
          <w:lang w:val="en"/>
        </w:rPr>
        <w:t>,000</w:t>
      </w:r>
      <w:r w:rsidR="00211538">
        <w:rPr>
          <w:lang w:val="en"/>
        </w:rPr>
        <w:t xml:space="preserve"> </w:t>
      </w:r>
      <w:r w:rsidRPr="00B85640">
        <w:rPr>
          <w:lang w:val="en"/>
        </w:rPr>
        <w:t>(4 </w:t>
      </w:r>
      <w:r w:rsidR="00E42CEF" w:rsidRPr="00E42CEF">
        <w:t>×</w:t>
      </w:r>
      <w:r w:rsidRPr="00B85640">
        <w:rPr>
          <w:lang w:val="en"/>
        </w:rPr>
        <w:t> $</w:t>
      </w:r>
      <w:r w:rsidR="00A26E10">
        <w:rPr>
          <w:lang w:val="en"/>
        </w:rPr>
        <w:t>30</w:t>
      </w:r>
      <w:r w:rsidRPr="00B85640">
        <w:rPr>
          <w:lang w:val="en"/>
        </w:rPr>
        <w:t>,</w:t>
      </w:r>
      <w:r w:rsidR="00A26E10">
        <w:rPr>
          <w:lang w:val="en"/>
        </w:rPr>
        <w:t>0</w:t>
      </w:r>
      <w:r w:rsidRPr="00B85640">
        <w:rPr>
          <w:lang w:val="en"/>
        </w:rPr>
        <w:t>00).</w:t>
      </w:r>
    </w:p>
    <w:p w14:paraId="38244AC5" w14:textId="0C0BF405" w:rsidR="00655DB0" w:rsidRDefault="00655DB0" w:rsidP="00A15515">
      <w:pPr>
        <w:pStyle w:val="NumberedList1"/>
      </w:pPr>
      <w:r>
        <w:t>W</w:t>
      </w:r>
      <w:r w:rsidRPr="00222960">
        <w:t>here an individual has a total superannuation balance of $1.</w:t>
      </w:r>
      <w:r>
        <w:t>9</w:t>
      </w:r>
      <w:r w:rsidR="00733326">
        <w:t> </w:t>
      </w:r>
      <w:r w:rsidRPr="00222960">
        <w:t>million or more as at</w:t>
      </w:r>
      <w:r w:rsidR="00D47029">
        <w:t> </w:t>
      </w:r>
      <w:r w:rsidRPr="00222960">
        <w:t>30</w:t>
      </w:r>
      <w:r w:rsidR="000C10A4">
        <w:t> </w:t>
      </w:r>
      <w:r w:rsidRPr="00222960">
        <w:t>June of the previous financial year (that is 30</w:t>
      </w:r>
      <w:r w:rsidR="00EE5A58">
        <w:t> </w:t>
      </w:r>
      <w:r w:rsidRPr="00222960">
        <w:t>June</w:t>
      </w:r>
      <w:r w:rsidR="00EE5A58">
        <w:t> </w:t>
      </w:r>
      <w:r w:rsidRPr="00222960">
        <w:t>20</w:t>
      </w:r>
      <w:r>
        <w:t>2</w:t>
      </w:r>
      <w:r w:rsidR="004126A6">
        <w:t>4</w:t>
      </w:r>
      <w:r w:rsidR="00386757">
        <w:t xml:space="preserve">, </w:t>
      </w:r>
      <w:r w:rsidRPr="00222960">
        <w:t>respect</w:t>
      </w:r>
      <w:r w:rsidR="00386757">
        <w:t>ive</w:t>
      </w:r>
      <w:r w:rsidRPr="00222960">
        <w:t xml:space="preserve"> of the 20</w:t>
      </w:r>
      <w:r>
        <w:t>23</w:t>
      </w:r>
      <w:r w:rsidR="007A4B49">
        <w:noBreakHyphen/>
      </w:r>
      <w:r>
        <w:t>24</w:t>
      </w:r>
      <w:r w:rsidR="00EE5A58">
        <w:t> </w:t>
      </w:r>
      <w:r w:rsidRPr="00222960">
        <w:t>financial year)</w:t>
      </w:r>
      <w:r w:rsidR="00F25C6F">
        <w:t>,</w:t>
      </w:r>
      <w:r w:rsidRPr="00222960">
        <w:t xml:space="preserve"> the </w:t>
      </w:r>
      <w:r>
        <w:t>non</w:t>
      </w:r>
      <w:r w:rsidR="00EE5A58">
        <w:noBreakHyphen/>
      </w:r>
      <w:r>
        <w:t xml:space="preserve">concessional contributions </w:t>
      </w:r>
      <w:r w:rsidRPr="00222960">
        <w:t>cap is reduced to zero.</w:t>
      </w:r>
    </w:p>
    <w:p w14:paraId="635542D4" w14:textId="0009DD6C" w:rsidR="00655DB0" w:rsidRDefault="00655DB0" w:rsidP="00A15515">
      <w:pPr>
        <w:pStyle w:val="NumberedList1"/>
      </w:pPr>
      <w:r w:rsidRPr="00222960">
        <w:t xml:space="preserve">Member contributions are required to be made to the </w:t>
      </w:r>
      <w:r>
        <w:t>PCSS</w:t>
      </w:r>
      <w:r w:rsidRPr="00222960">
        <w:t>, even if the non</w:t>
      </w:r>
      <w:r w:rsidR="00FC4E5C">
        <w:noBreakHyphen/>
      </w:r>
      <w:r w:rsidRPr="00222960">
        <w:t>concessional contributions cap is zero.</w:t>
      </w:r>
    </w:p>
    <w:p w14:paraId="58F1A1FF" w14:textId="15803501" w:rsidR="00655DB0" w:rsidRPr="001469D9" w:rsidRDefault="00655DB0" w:rsidP="00A15515">
      <w:pPr>
        <w:pStyle w:val="NumberedList1"/>
      </w:pPr>
      <w:r>
        <w:t>The</w:t>
      </w:r>
      <w:r w:rsidRPr="001469D9">
        <w:t xml:space="preserve"> superannuation balance includes an accumulation phase value</w:t>
      </w:r>
      <w:r w:rsidR="0062613D">
        <w:t xml:space="preserve"> (APV)</w:t>
      </w:r>
      <w:r w:rsidRPr="001469D9">
        <w:t xml:space="preserve"> which is reported each year to the ATO by </w:t>
      </w:r>
      <w:r w:rsidR="00FC4E5C">
        <w:t xml:space="preserve">Finance as </w:t>
      </w:r>
      <w:r w:rsidRPr="001469D9">
        <w:t xml:space="preserve">the </w:t>
      </w:r>
      <w:r w:rsidR="00FC4E5C">
        <w:t>Scheme</w:t>
      </w:r>
      <w:r w:rsidR="00FC4E5C" w:rsidRPr="001469D9">
        <w:t xml:space="preserve"> </w:t>
      </w:r>
      <w:r w:rsidRPr="001469D9">
        <w:t>administrator.</w:t>
      </w:r>
      <w:r w:rsidR="00AF364A">
        <w:rPr>
          <w:rStyle w:val="FootnoteReference"/>
        </w:rPr>
        <w:footnoteReference w:id="6"/>
      </w:r>
      <w:r w:rsidRPr="001469D9">
        <w:t xml:space="preserve"> This benefit would become payable under the Act if a person </w:t>
      </w:r>
      <w:r>
        <w:t xml:space="preserve">retired </w:t>
      </w:r>
      <w:r w:rsidRPr="001469D9">
        <w:t xml:space="preserve">voluntarily </w:t>
      </w:r>
      <w:r w:rsidR="002566B7">
        <w:t>on</w:t>
      </w:r>
      <w:r w:rsidRPr="001469D9">
        <w:t xml:space="preserve"> 30 June</w:t>
      </w:r>
      <w:r w:rsidR="0055132A">
        <w:t xml:space="preserve"> of that financial </w:t>
      </w:r>
      <w:r w:rsidR="0011163C">
        <w:t>year</w:t>
      </w:r>
      <w:r w:rsidR="0011163C" w:rsidRPr="001469D9">
        <w:t xml:space="preserve"> and</w:t>
      </w:r>
      <w:r w:rsidRPr="001469D9">
        <w:t xml:space="preserve"> </w:t>
      </w:r>
      <w:r>
        <w:t xml:space="preserve">is </w:t>
      </w:r>
      <w:r w:rsidRPr="001469D9">
        <w:t>not currently in the retirement phase.</w:t>
      </w:r>
    </w:p>
    <w:p w14:paraId="48E08B74" w14:textId="6BDF3544" w:rsidR="00655DB0" w:rsidRPr="00222960" w:rsidRDefault="00041871" w:rsidP="00D47029">
      <w:pPr>
        <w:pStyle w:val="Heading2"/>
      </w:pPr>
      <w:bookmarkStart w:id="36" w:name="_Toc112847601"/>
      <w:bookmarkStart w:id="37" w:name="_Toc149307219"/>
      <w:bookmarkStart w:id="38" w:name="_Toc185937477"/>
      <w:r>
        <w:t xml:space="preserve">Period of </w:t>
      </w:r>
      <w:r w:rsidR="00D47029">
        <w:t>service</w:t>
      </w:r>
      <w:bookmarkEnd w:id="36"/>
      <w:bookmarkEnd w:id="37"/>
      <w:bookmarkEnd w:id="38"/>
    </w:p>
    <w:p w14:paraId="6952B67B" w14:textId="727E26C0" w:rsidR="00655DB0" w:rsidRPr="00222960" w:rsidRDefault="0051769E" w:rsidP="00A15515">
      <w:pPr>
        <w:pStyle w:val="NumberedList1"/>
      </w:pPr>
      <w:r>
        <w:t xml:space="preserve">In </w:t>
      </w:r>
      <w:r w:rsidR="00655DB0" w:rsidRPr="00222960">
        <w:t xml:space="preserve">determining entitlements under the </w:t>
      </w:r>
      <w:r w:rsidR="00655DB0">
        <w:t>PCSS</w:t>
      </w:r>
      <w:r w:rsidR="00655DB0" w:rsidRPr="00222960">
        <w:t>, a member</w:t>
      </w:r>
      <w:r w:rsidR="00655DB0">
        <w:t>’</w:t>
      </w:r>
      <w:r w:rsidR="00655DB0" w:rsidRPr="00222960">
        <w:t xml:space="preserve">s period of service means the period during which </w:t>
      </w:r>
      <w:r w:rsidR="00F97AB5">
        <w:t>they were</w:t>
      </w:r>
      <w:r w:rsidR="00655DB0" w:rsidRPr="00222960">
        <w:t xml:space="preserve"> entitled to receive a parliamentary allowance plus any other allowable service such as previous service</w:t>
      </w:r>
      <w:r w:rsidR="00655DB0">
        <w:t xml:space="preserve"> or</w:t>
      </w:r>
      <w:r w:rsidR="00655DB0" w:rsidRPr="00222960">
        <w:t xml:space="preserve"> </w:t>
      </w:r>
      <w:r w:rsidR="00655DB0">
        <w:t>S</w:t>
      </w:r>
      <w:r w:rsidR="00655DB0" w:rsidRPr="00222960">
        <w:t>tate service</w:t>
      </w:r>
      <w:r w:rsidR="00655DB0">
        <w:t>.</w:t>
      </w:r>
    </w:p>
    <w:p w14:paraId="252F889E" w14:textId="55B86B6F" w:rsidR="00655DB0" w:rsidRPr="00222960" w:rsidRDefault="00041871" w:rsidP="00D47029">
      <w:pPr>
        <w:pStyle w:val="Heading2"/>
      </w:pPr>
      <w:bookmarkStart w:id="39" w:name="_Toc112847602"/>
      <w:bookmarkStart w:id="40" w:name="_Toc149307220"/>
      <w:bookmarkStart w:id="41" w:name="_Toc185937478"/>
      <w:r>
        <w:lastRenderedPageBreak/>
        <w:t xml:space="preserve">Benefit </w:t>
      </w:r>
      <w:r w:rsidR="00D47029">
        <w:t>payable to members</w:t>
      </w:r>
      <w:bookmarkEnd w:id="39"/>
      <w:bookmarkEnd w:id="40"/>
      <w:bookmarkEnd w:id="41"/>
    </w:p>
    <w:p w14:paraId="2B98D983" w14:textId="77777777" w:rsidR="00655DB0" w:rsidRDefault="00655DB0" w:rsidP="00A15515">
      <w:pPr>
        <w:pStyle w:val="NumberedList1"/>
      </w:pPr>
      <w:bookmarkStart w:id="42" w:name="_Ref433531168"/>
      <w:r w:rsidRPr="00222960">
        <w:t>On retirement from Parliament, a member is entitled to a pension if:</w:t>
      </w:r>
      <w:bookmarkEnd w:id="42"/>
    </w:p>
    <w:p w14:paraId="6BC9F7E2" w14:textId="650FF06F" w:rsidR="00B42B8E" w:rsidRPr="00EA22D9" w:rsidRDefault="00B42B8E" w:rsidP="00D47029">
      <w:pPr>
        <w:pStyle w:val="NumberedList2"/>
      </w:pPr>
      <w:r w:rsidRPr="00B42B8E">
        <w:t>12</w:t>
      </w:r>
      <w:r w:rsidR="0007706D">
        <w:t> </w:t>
      </w:r>
      <w:r w:rsidRPr="00B42B8E">
        <w:t>or</w:t>
      </w:r>
      <w:r w:rsidR="0007706D">
        <w:t> </w:t>
      </w:r>
      <w:r w:rsidRPr="002C4698">
        <w:t>more</w:t>
      </w:r>
      <w:r w:rsidRPr="00B42B8E">
        <w:t xml:space="preserve"> </w:t>
      </w:r>
      <w:r w:rsidRPr="00EA22D9">
        <w:t>years of service has been completed</w:t>
      </w:r>
      <w:r w:rsidR="00050F58" w:rsidRPr="00EA22D9">
        <w:t xml:space="preserve">, </w:t>
      </w:r>
      <w:r w:rsidRPr="00EA22D9">
        <w:t>or</w:t>
      </w:r>
    </w:p>
    <w:p w14:paraId="69AEFA2F" w14:textId="3394DF60" w:rsidR="00B42B8E" w:rsidRPr="00EA22D9" w:rsidRDefault="00B42B8E" w:rsidP="00D47029">
      <w:pPr>
        <w:pStyle w:val="NumberedList2"/>
      </w:pPr>
      <w:bookmarkStart w:id="43" w:name="_Ref173247635"/>
      <w:r w:rsidRPr="00EA22D9">
        <w:t xml:space="preserve">the member has on </w:t>
      </w:r>
      <w:r w:rsidR="00CC6F6C" w:rsidRPr="00BA5271">
        <w:t>4</w:t>
      </w:r>
      <w:r w:rsidRPr="00EA22D9">
        <w:t xml:space="preserve"> occasions, ceased to be a member </w:t>
      </w:r>
      <w:r w:rsidR="00173CBA" w:rsidRPr="00EA22D9">
        <w:t xml:space="preserve">due to </w:t>
      </w:r>
      <w:r w:rsidRPr="00EA22D9">
        <w:t xml:space="preserve">the dissolution or expiration of the House </w:t>
      </w:r>
      <w:r w:rsidR="009371C0" w:rsidRPr="00EA22D9">
        <w:t xml:space="preserve">in </w:t>
      </w:r>
      <w:r w:rsidRPr="00EA22D9">
        <w:t xml:space="preserve">which </w:t>
      </w:r>
      <w:r w:rsidR="00F97AB5" w:rsidRPr="00EA22D9">
        <w:t>they</w:t>
      </w:r>
      <w:r w:rsidRPr="00EA22D9">
        <w:t xml:space="preserve"> w</w:t>
      </w:r>
      <w:r w:rsidR="00F97AB5" w:rsidRPr="00EA22D9">
        <w:t>ere</w:t>
      </w:r>
      <w:r w:rsidRPr="00EA22D9">
        <w:t xml:space="preserve"> then a member or on the expiration of a term of office</w:t>
      </w:r>
      <w:r w:rsidR="00050F58" w:rsidRPr="00EA22D9">
        <w:t>,</w:t>
      </w:r>
      <w:r w:rsidRPr="00EA22D9">
        <w:t xml:space="preserve"> or</w:t>
      </w:r>
      <w:bookmarkEnd w:id="43"/>
    </w:p>
    <w:p w14:paraId="398A9552" w14:textId="1C6CAF08" w:rsidR="00B42B8E" w:rsidRPr="00EA22D9" w:rsidRDefault="00B42B8E" w:rsidP="00D47029">
      <w:pPr>
        <w:pStyle w:val="NumberedList2"/>
      </w:pPr>
      <w:bookmarkStart w:id="44" w:name="_Ref173247645"/>
      <w:r w:rsidRPr="00EA22D9">
        <w:t xml:space="preserve">retirement is involuntary and the member has completed no less than </w:t>
      </w:r>
      <w:r w:rsidR="00633BA4" w:rsidRPr="00EA22D9">
        <w:t>8 years of service</w:t>
      </w:r>
      <w:r w:rsidRPr="00EA22D9">
        <w:t xml:space="preserve"> or has on </w:t>
      </w:r>
      <w:r w:rsidR="006D3879" w:rsidRPr="00EA22D9">
        <w:t>3 </w:t>
      </w:r>
      <w:r w:rsidRPr="00EA22D9">
        <w:t xml:space="preserve">occasions, ceased to be a member on the dissolution or expiration of the House of which </w:t>
      </w:r>
      <w:r w:rsidR="00330FFD" w:rsidRPr="00EA22D9">
        <w:t>they</w:t>
      </w:r>
      <w:r w:rsidRPr="00EA22D9">
        <w:t xml:space="preserve"> w</w:t>
      </w:r>
      <w:r w:rsidR="00330FFD" w:rsidRPr="00EA22D9">
        <w:t>ere</w:t>
      </w:r>
      <w:r w:rsidRPr="00EA22D9">
        <w:t xml:space="preserve"> a member or on the expiration of a term of office.</w:t>
      </w:r>
      <w:bookmarkEnd w:id="44"/>
    </w:p>
    <w:p w14:paraId="7C5D317D" w14:textId="7B6ABC42" w:rsidR="00655DB0" w:rsidRPr="00A84385" w:rsidRDefault="00655DB0" w:rsidP="00A84385">
      <w:pPr>
        <w:pStyle w:val="Boxed1Text"/>
      </w:pPr>
      <w:r w:rsidRPr="00A84385">
        <w:t xml:space="preserve">A member with less than </w:t>
      </w:r>
      <w:r w:rsidR="00633BA4" w:rsidRPr="00A84385">
        <w:t>8 </w:t>
      </w:r>
      <w:r w:rsidRPr="00A84385">
        <w:t xml:space="preserve">years of service, who qualifies for a pension </w:t>
      </w:r>
      <w:r w:rsidR="0011179E" w:rsidRPr="00A84385">
        <w:t xml:space="preserve">as defined </w:t>
      </w:r>
      <w:r w:rsidRPr="00A84385">
        <w:t>under</w:t>
      </w:r>
      <w:r w:rsidR="00C411D7" w:rsidRPr="00A84385">
        <w:t xml:space="preserve"> above</w:t>
      </w:r>
      <w:r w:rsidR="003A55A5" w:rsidRPr="00A84385">
        <w:t xml:space="preserve"> </w:t>
      </w:r>
      <w:r w:rsidR="0011179E" w:rsidRPr="00A84385">
        <w:t xml:space="preserve">paragraphs </w:t>
      </w:r>
      <w:r w:rsidR="00AD67F8" w:rsidRPr="00A84385">
        <w:fldChar w:fldCharType="begin"/>
      </w:r>
      <w:r w:rsidR="00AD67F8" w:rsidRPr="00A84385">
        <w:instrText xml:space="preserve"> REF _Ref173247635 \w \h  \* MERGEFORMAT </w:instrText>
      </w:r>
      <w:r w:rsidR="00AD67F8" w:rsidRPr="00A84385">
        <w:fldChar w:fldCharType="separate"/>
      </w:r>
      <w:r w:rsidR="00DC08F8">
        <w:t>22(b)</w:t>
      </w:r>
      <w:r w:rsidR="00AD67F8" w:rsidRPr="00A84385">
        <w:fldChar w:fldCharType="end"/>
      </w:r>
      <w:r w:rsidRPr="00A84385">
        <w:t xml:space="preserve"> or</w:t>
      </w:r>
      <w:r w:rsidR="00DC6C0A" w:rsidRPr="00A84385">
        <w:t xml:space="preserve"> </w:t>
      </w:r>
      <w:r w:rsidR="00AD67F8" w:rsidRPr="00A84385">
        <w:fldChar w:fldCharType="begin"/>
      </w:r>
      <w:r w:rsidR="00AD67F8" w:rsidRPr="00A84385">
        <w:instrText xml:space="preserve"> REF _Ref173247645 \w \h </w:instrText>
      </w:r>
      <w:r w:rsidR="00EA22D9" w:rsidRPr="00A84385">
        <w:instrText xml:space="preserve"> \* MERGEFORMAT </w:instrText>
      </w:r>
      <w:r w:rsidR="00AD67F8" w:rsidRPr="00A84385">
        <w:fldChar w:fldCharType="separate"/>
      </w:r>
      <w:r w:rsidR="00DC08F8">
        <w:t>22(c)</w:t>
      </w:r>
      <w:r w:rsidR="00AD67F8" w:rsidRPr="00A84385">
        <w:fldChar w:fldCharType="end"/>
      </w:r>
      <w:r w:rsidR="00CF739E" w:rsidRPr="00A84385">
        <w:t>,</w:t>
      </w:r>
      <w:r w:rsidRPr="00A84385">
        <w:t xml:space="preserve"> is deemed to have completed </w:t>
      </w:r>
      <w:r w:rsidR="00633BA4" w:rsidRPr="00A84385">
        <w:t>8 years of service</w:t>
      </w:r>
      <w:r w:rsidRPr="00A84385">
        <w:t>.</w:t>
      </w:r>
    </w:p>
    <w:p w14:paraId="1E4071B0" w14:textId="1B4D9B9E" w:rsidR="00655DB0" w:rsidRDefault="00BB66B7" w:rsidP="00A15515">
      <w:pPr>
        <w:pStyle w:val="NumberedList1"/>
      </w:pPr>
      <w:r w:rsidRPr="00222960">
        <w:t>To</w:t>
      </w:r>
      <w:r w:rsidR="00655DB0" w:rsidRPr="00222960">
        <w:t xml:space="preserve"> </w:t>
      </w:r>
      <w:r w:rsidR="00655DB0">
        <w:t>determining the number of</w:t>
      </w:r>
      <w:r w:rsidR="00655DB0" w:rsidRPr="00222960">
        <w:t xml:space="preserve"> </w:t>
      </w:r>
      <w:r w:rsidR="00655DB0">
        <w:t>“</w:t>
      </w:r>
      <w:r w:rsidR="00655DB0" w:rsidRPr="00222960">
        <w:t>occasions</w:t>
      </w:r>
      <w:r w:rsidR="00655DB0">
        <w:t>”</w:t>
      </w:r>
      <w:r w:rsidR="00655DB0" w:rsidRPr="00222960">
        <w:t xml:space="preserve">, a Senator whose term of office was </w:t>
      </w:r>
      <w:r w:rsidR="00D415C9">
        <w:t>6 </w:t>
      </w:r>
      <w:r w:rsidR="00655DB0" w:rsidRPr="00222960">
        <w:t xml:space="preserve">years is regarded as having an </w:t>
      </w:r>
      <w:r w:rsidR="00655DB0">
        <w:t>“</w:t>
      </w:r>
      <w:r w:rsidR="00655DB0" w:rsidRPr="00222960">
        <w:t>occasion</w:t>
      </w:r>
      <w:r w:rsidR="00655DB0">
        <w:t>”</w:t>
      </w:r>
      <w:r w:rsidR="00655DB0" w:rsidRPr="00222960">
        <w:t xml:space="preserve"> after completion of </w:t>
      </w:r>
      <w:r w:rsidR="0099588E">
        <w:t>3 </w:t>
      </w:r>
      <w:r w:rsidR="00655DB0" w:rsidRPr="00222960">
        <w:t xml:space="preserve">years of </w:t>
      </w:r>
      <w:r w:rsidR="00655DB0">
        <w:t>a</w:t>
      </w:r>
      <w:r w:rsidR="00655DB0" w:rsidRPr="00222960">
        <w:t xml:space="preserve"> </w:t>
      </w:r>
      <w:r w:rsidR="00D179DA">
        <w:t>6</w:t>
      </w:r>
      <w:r w:rsidR="0099588E">
        <w:noBreakHyphen/>
      </w:r>
      <w:r w:rsidR="00655DB0" w:rsidRPr="00222960">
        <w:t>yea</w:t>
      </w:r>
      <w:r w:rsidR="00D179DA">
        <w:t>r</w:t>
      </w:r>
      <w:r w:rsidR="0099588E">
        <w:noBreakHyphen/>
      </w:r>
      <w:r w:rsidR="00655DB0" w:rsidRPr="00222960">
        <w:t xml:space="preserve">term, in addition to an occasion on the expiration of that </w:t>
      </w:r>
      <w:r w:rsidR="00207128">
        <w:t>6</w:t>
      </w:r>
      <w:r w:rsidR="00207128">
        <w:noBreakHyphen/>
      </w:r>
      <w:r w:rsidR="00207128" w:rsidRPr="00222960">
        <w:t>yea</w:t>
      </w:r>
      <w:r w:rsidR="00207128">
        <w:t>r</w:t>
      </w:r>
      <w:r w:rsidR="00207128">
        <w:noBreakHyphen/>
      </w:r>
      <w:r w:rsidR="00207128" w:rsidRPr="00222960">
        <w:t>term</w:t>
      </w:r>
      <w:r w:rsidR="00655DB0" w:rsidRPr="00222960">
        <w:t>.</w:t>
      </w:r>
      <w:r w:rsidR="00506349">
        <w:rPr>
          <w:rStyle w:val="FootnoteReference"/>
        </w:rPr>
        <w:footnoteReference w:id="7"/>
      </w:r>
    </w:p>
    <w:p w14:paraId="19499912" w14:textId="76589576" w:rsidR="003F79E1" w:rsidRPr="00222960" w:rsidRDefault="003F79E1" w:rsidP="00D47029">
      <w:pPr>
        <w:pStyle w:val="Heading2"/>
      </w:pPr>
      <w:bookmarkStart w:id="45" w:name="_Toc185937479"/>
      <w:r>
        <w:t xml:space="preserve">Benefit payable to </w:t>
      </w:r>
      <w:r w:rsidR="00D47029">
        <w:t xml:space="preserve">members </w:t>
      </w:r>
      <w:r w:rsidRPr="7E723D24">
        <w:rPr>
          <w:u w:val="single"/>
        </w:rPr>
        <w:t>not</w:t>
      </w:r>
      <w:r>
        <w:t xml:space="preserve"> entitled to a </w:t>
      </w:r>
      <w:r w:rsidR="00D47029">
        <w:t>pension</w:t>
      </w:r>
      <w:bookmarkEnd w:id="45"/>
    </w:p>
    <w:p w14:paraId="4AA01A83" w14:textId="09141B15" w:rsidR="00655DB0" w:rsidRPr="00EA22D9" w:rsidRDefault="00655DB0" w:rsidP="00A15515">
      <w:pPr>
        <w:pStyle w:val="NumberedList1"/>
      </w:pPr>
      <w:r w:rsidRPr="00222960">
        <w:t>A member</w:t>
      </w:r>
      <w:r w:rsidR="000F14C0" w:rsidRPr="000F14C0">
        <w:t xml:space="preserve"> </w:t>
      </w:r>
      <w:r w:rsidR="000F14C0" w:rsidRPr="000F23C0">
        <w:t>who does not qualify for a pension</w:t>
      </w:r>
      <w:r w:rsidRPr="00222960">
        <w:t xml:space="preserve">, </w:t>
      </w:r>
      <w:r w:rsidRPr="00B85640">
        <w:rPr>
          <w:u w:val="single"/>
        </w:rPr>
        <w:t xml:space="preserve">other than a member referred to in </w:t>
      </w:r>
      <w:r w:rsidRPr="00504E8E">
        <w:rPr>
          <w:u w:val="single"/>
        </w:rPr>
        <w:t>para</w:t>
      </w:r>
      <w:r w:rsidR="00780EB9" w:rsidRPr="00504E8E">
        <w:rPr>
          <w:u w:val="single"/>
        </w:rPr>
        <w:t>graph</w:t>
      </w:r>
      <w:r w:rsidR="000F14C0" w:rsidRPr="00504E8E">
        <w:rPr>
          <w:u w:val="single"/>
        </w:rPr>
        <w:t> </w:t>
      </w:r>
      <w:r w:rsidR="00475903" w:rsidRPr="00BA5271">
        <w:rPr>
          <w:u w:val="single"/>
        </w:rPr>
        <w:fldChar w:fldCharType="begin"/>
      </w:r>
      <w:r w:rsidR="00475903" w:rsidRPr="00BA5271">
        <w:rPr>
          <w:u w:val="single"/>
        </w:rPr>
        <w:instrText xml:space="preserve"> REF _Ref172728097 \r \h </w:instrText>
      </w:r>
      <w:r w:rsidR="00EF7A27" w:rsidRPr="00BA5271">
        <w:rPr>
          <w:u w:val="single"/>
        </w:rPr>
        <w:instrText xml:space="preserve"> \* MERGEFORMAT </w:instrText>
      </w:r>
      <w:r w:rsidR="00475903" w:rsidRPr="00BA5271">
        <w:rPr>
          <w:u w:val="single"/>
        </w:rPr>
      </w:r>
      <w:r w:rsidR="00475903" w:rsidRPr="00BA5271">
        <w:rPr>
          <w:u w:val="single"/>
        </w:rPr>
        <w:fldChar w:fldCharType="separate"/>
      </w:r>
      <w:r w:rsidR="00DC08F8">
        <w:rPr>
          <w:u w:val="single"/>
        </w:rPr>
        <w:t>27</w:t>
      </w:r>
      <w:r w:rsidR="00475903" w:rsidRPr="00BA5271">
        <w:rPr>
          <w:u w:val="single"/>
        </w:rPr>
        <w:fldChar w:fldCharType="end"/>
      </w:r>
      <w:r w:rsidRPr="00BA5271">
        <w:t>,</w:t>
      </w:r>
      <w:r w:rsidRPr="00EA22D9">
        <w:t xml:space="preserve"> is entitled to a lump sum payment (para</w:t>
      </w:r>
      <w:r w:rsidR="00D47029">
        <w:t>graph</w:t>
      </w:r>
      <w:r w:rsidRPr="00EA22D9">
        <w:t xml:space="preserve"> </w:t>
      </w:r>
      <w:r w:rsidR="00065AC4" w:rsidRPr="00BA5271">
        <w:fldChar w:fldCharType="begin"/>
      </w:r>
      <w:r w:rsidR="00065AC4" w:rsidRPr="00BA5271">
        <w:instrText xml:space="preserve"> REF _Ref173751781 \w \h </w:instrText>
      </w:r>
      <w:r w:rsidR="00015ED3" w:rsidRPr="00BA5271">
        <w:instrText xml:space="preserve"> \* MERGEFORMAT </w:instrText>
      </w:r>
      <w:r w:rsidR="00065AC4" w:rsidRPr="00BA5271">
        <w:fldChar w:fldCharType="separate"/>
      </w:r>
      <w:r w:rsidR="00DC08F8">
        <w:t>59</w:t>
      </w:r>
      <w:r w:rsidR="00065AC4" w:rsidRPr="00BA5271">
        <w:fldChar w:fldCharType="end"/>
      </w:r>
      <w:r w:rsidR="00D23833" w:rsidRPr="00EA22D9">
        <w:noBreakHyphen/>
      </w:r>
      <w:r w:rsidR="001752A8" w:rsidRPr="00BA5271">
        <w:fldChar w:fldCharType="begin"/>
      </w:r>
      <w:r w:rsidR="001752A8" w:rsidRPr="00BA5271">
        <w:instrText xml:space="preserve"> REF _Ref172724850 \r \h </w:instrText>
      </w:r>
      <w:r w:rsidR="00EF7A27" w:rsidRPr="00BA5271">
        <w:instrText xml:space="preserve"> \* MERGEFORMAT </w:instrText>
      </w:r>
      <w:r w:rsidR="001752A8" w:rsidRPr="00BA5271">
        <w:fldChar w:fldCharType="separate"/>
      </w:r>
      <w:r w:rsidR="00DC08F8">
        <w:t>69</w:t>
      </w:r>
      <w:r w:rsidR="001752A8" w:rsidRPr="00BA5271">
        <w:fldChar w:fldCharType="end"/>
      </w:r>
      <w:r w:rsidRPr="00EA22D9">
        <w:t>). The lump sum comprises a refund of contributions plus a supplement. The amount of the supplement is:</w:t>
      </w:r>
    </w:p>
    <w:p w14:paraId="72F5EEDF" w14:textId="782D5C98" w:rsidR="00666040" w:rsidRDefault="00015ED3" w:rsidP="00D47029">
      <w:pPr>
        <w:pStyle w:val="NumberedList2"/>
      </w:pPr>
      <w:bookmarkStart w:id="46" w:name="_Ref173145217"/>
      <w:r w:rsidRPr="00EA22D9">
        <w:t xml:space="preserve">if </w:t>
      </w:r>
      <w:r w:rsidR="00666040" w:rsidRPr="00EA22D9">
        <w:t xml:space="preserve">the retirement is involuntary, </w:t>
      </w:r>
      <w:r w:rsidR="00050F58" w:rsidRPr="00EA22D9">
        <w:t>two</w:t>
      </w:r>
      <w:r w:rsidR="00535713" w:rsidRPr="00EA22D9">
        <w:t> </w:t>
      </w:r>
      <w:r w:rsidR="00666040" w:rsidRPr="00EA22D9">
        <w:t>and</w:t>
      </w:r>
      <w:r w:rsidR="00535713" w:rsidRPr="00EA22D9">
        <w:t> </w:t>
      </w:r>
      <w:r w:rsidR="00666040" w:rsidRPr="00EA22D9">
        <w:t>one</w:t>
      </w:r>
      <w:r w:rsidR="00535713" w:rsidRPr="00EA22D9">
        <w:noBreakHyphen/>
      </w:r>
      <w:r w:rsidR="00692426" w:rsidRPr="00EA22D9">
        <w:t>third </w:t>
      </w:r>
      <w:r w:rsidR="00666040" w:rsidRPr="00EA22D9">
        <w:t>times the contributions paid by the person during their period of service, or if that period</w:t>
      </w:r>
      <w:r w:rsidR="00666040" w:rsidRPr="00666040">
        <w:t xml:space="preserve"> exceeds </w:t>
      </w:r>
      <w:r w:rsidR="00692426">
        <w:t>8 </w:t>
      </w:r>
      <w:r w:rsidR="00666040" w:rsidRPr="00666040">
        <w:t xml:space="preserve">years, the last </w:t>
      </w:r>
      <w:r w:rsidR="00D47029">
        <w:t>8 </w:t>
      </w:r>
      <w:r w:rsidR="00666040" w:rsidRPr="00666040">
        <w:t>years of service</w:t>
      </w:r>
      <w:r w:rsidR="00C37EDE">
        <w:t>;</w:t>
      </w:r>
      <w:r w:rsidR="00666040" w:rsidRPr="00666040">
        <w:t xml:space="preserve"> or</w:t>
      </w:r>
      <w:bookmarkEnd w:id="46"/>
    </w:p>
    <w:p w14:paraId="55E347C4" w14:textId="28061CAD" w:rsidR="00666040" w:rsidRPr="00666040" w:rsidRDefault="00015ED3" w:rsidP="00D47029">
      <w:pPr>
        <w:pStyle w:val="NumberedList2"/>
      </w:pPr>
      <w:bookmarkStart w:id="47" w:name="_Ref173145227"/>
      <w:r>
        <w:t xml:space="preserve">if </w:t>
      </w:r>
      <w:r w:rsidR="007654EA" w:rsidRPr="007654EA">
        <w:t xml:space="preserve">retirement is deemed to be voluntary, </w:t>
      </w:r>
      <w:r w:rsidR="00015141">
        <w:t>one</w:t>
      </w:r>
      <w:r w:rsidR="008C288C">
        <w:t> </w:t>
      </w:r>
      <w:r w:rsidR="007654EA" w:rsidRPr="007654EA">
        <w:t>and</w:t>
      </w:r>
      <w:r w:rsidR="008C288C">
        <w:t> </w:t>
      </w:r>
      <w:r w:rsidR="007654EA" w:rsidRPr="007654EA">
        <w:t>one</w:t>
      </w:r>
      <w:r w:rsidR="00535713">
        <w:noBreakHyphen/>
      </w:r>
      <w:r w:rsidR="00692426" w:rsidRPr="007654EA">
        <w:t>sixth</w:t>
      </w:r>
      <w:r w:rsidR="00692426">
        <w:t> </w:t>
      </w:r>
      <w:r w:rsidR="007654EA" w:rsidRPr="007654EA">
        <w:t xml:space="preserve">times the contributions paid by the person during the last </w:t>
      </w:r>
      <w:r w:rsidR="00B74182">
        <w:t>8</w:t>
      </w:r>
      <w:r w:rsidR="00692426">
        <w:t> </w:t>
      </w:r>
      <w:r w:rsidR="007654EA" w:rsidRPr="007654EA">
        <w:t>years of service.</w:t>
      </w:r>
      <w:bookmarkEnd w:id="47"/>
    </w:p>
    <w:p w14:paraId="649B8CAA" w14:textId="10743F06" w:rsidR="001B1291" w:rsidRPr="007620D8" w:rsidRDefault="00655DB0" w:rsidP="00BA59FE">
      <w:pPr>
        <w:pStyle w:val="NumberedList1"/>
        <w:keepNext/>
        <w:keepLines/>
      </w:pPr>
      <w:r w:rsidRPr="00222960">
        <w:t xml:space="preserve">Lump </w:t>
      </w:r>
      <w:r w:rsidRPr="00134D77">
        <w:t>sum</w:t>
      </w:r>
      <w:r w:rsidRPr="00222960">
        <w:t xml:space="preserve"> benefits, however, will be increased where the minimum level of superannuation required under the </w:t>
      </w:r>
      <w:r w:rsidR="00B858EF" w:rsidRPr="00B85640">
        <w:rPr>
          <w:i/>
          <w:iCs/>
          <w:u w:color="0070C0"/>
        </w:rPr>
        <w:t>Superannuation Guarantee (Administration) Act 1992</w:t>
      </w:r>
      <w:r w:rsidR="00E50A3A" w:rsidRPr="00E50A3A" w:rsidDel="00E50A3A">
        <w:t xml:space="preserve"> </w:t>
      </w:r>
      <w:r w:rsidR="005A4695">
        <w:t>(</w:t>
      </w:r>
      <w:r w:rsidR="00B8602A">
        <w:t xml:space="preserve">the </w:t>
      </w:r>
      <w:r w:rsidR="005A4695">
        <w:t xml:space="preserve">SGAA Act) </w:t>
      </w:r>
      <w:r w:rsidRPr="00222960">
        <w:t xml:space="preserve">has not been provided by the payment of the lump sums described at </w:t>
      </w:r>
      <w:r w:rsidR="00E04C80">
        <w:t>the</w:t>
      </w:r>
      <w:r w:rsidR="00813244">
        <w:t xml:space="preserve"> </w:t>
      </w:r>
      <w:r w:rsidR="00813244" w:rsidRPr="003934A1">
        <w:t xml:space="preserve">above </w:t>
      </w:r>
      <w:r w:rsidR="00F37953" w:rsidRPr="00EA22D9">
        <w:t>paragraph </w:t>
      </w:r>
      <w:r w:rsidR="00053C28" w:rsidRPr="00BA5271">
        <w:fldChar w:fldCharType="begin"/>
      </w:r>
      <w:r w:rsidR="00053C28" w:rsidRPr="00BA5271">
        <w:instrText xml:space="preserve"> REF _Ref173145217 \w \h </w:instrText>
      </w:r>
      <w:r w:rsidR="00EA22D9">
        <w:instrText xml:space="preserve"> \* MERGEFORMAT </w:instrText>
      </w:r>
      <w:r w:rsidR="00053C28" w:rsidRPr="00BA5271">
        <w:fldChar w:fldCharType="separate"/>
      </w:r>
      <w:r w:rsidR="00DC08F8">
        <w:t>24(a)</w:t>
      </w:r>
      <w:r w:rsidR="00053C28" w:rsidRPr="00BA5271">
        <w:fldChar w:fldCharType="end"/>
      </w:r>
      <w:r w:rsidR="00F37953" w:rsidRPr="00EA22D9">
        <w:t> </w:t>
      </w:r>
      <w:r w:rsidR="006477A8" w:rsidRPr="00EA22D9">
        <w:t>or</w:t>
      </w:r>
      <w:r w:rsidR="00F37953" w:rsidRPr="00EA22D9">
        <w:t> </w:t>
      </w:r>
      <w:r w:rsidR="00053C28" w:rsidRPr="00BA5271">
        <w:fldChar w:fldCharType="begin"/>
      </w:r>
      <w:r w:rsidR="00053C28" w:rsidRPr="00BA5271">
        <w:instrText xml:space="preserve"> REF _Ref173145227 \w \h </w:instrText>
      </w:r>
      <w:r w:rsidR="00EA22D9">
        <w:instrText xml:space="preserve"> \* MERGEFORMAT </w:instrText>
      </w:r>
      <w:r w:rsidR="00053C28" w:rsidRPr="00BA5271">
        <w:fldChar w:fldCharType="separate"/>
      </w:r>
      <w:r w:rsidR="00DC08F8">
        <w:t>24(b)</w:t>
      </w:r>
      <w:r w:rsidR="00053C28" w:rsidRPr="00BA5271">
        <w:fldChar w:fldCharType="end"/>
      </w:r>
      <w:r w:rsidRPr="00BA5271">
        <w:t>.</w:t>
      </w:r>
      <w:r w:rsidRPr="00EA22D9">
        <w:t xml:space="preserve"> The</w:t>
      </w:r>
      <w:r w:rsidRPr="007620D8">
        <w:t xml:space="preserve"> </w:t>
      </w:r>
      <w:r w:rsidR="00A260B1">
        <w:t>s</w:t>
      </w:r>
      <w:r w:rsidR="00A260B1" w:rsidRPr="00A260B1">
        <w:t xml:space="preserve">uperannuation </w:t>
      </w:r>
      <w:r w:rsidR="00A260B1">
        <w:t>g</w:t>
      </w:r>
      <w:r w:rsidR="00A260B1" w:rsidRPr="00A260B1">
        <w:t xml:space="preserve">uarantee </w:t>
      </w:r>
      <w:r w:rsidR="00A260B1">
        <w:t xml:space="preserve">(SG) </w:t>
      </w:r>
      <w:r w:rsidRPr="007620D8">
        <w:t xml:space="preserve">minimum amount is calculated </w:t>
      </w:r>
      <w:r w:rsidR="00BA32F1">
        <w:t>based on</w:t>
      </w:r>
      <w:r w:rsidR="00AC4EA4">
        <w:t xml:space="preserve"> a/the</w:t>
      </w:r>
      <w:r w:rsidRPr="007620D8">
        <w:t>:</w:t>
      </w:r>
    </w:p>
    <w:p w14:paraId="753EC2EA" w14:textId="773CC354" w:rsidR="00655DB0" w:rsidRPr="00FA30B2" w:rsidRDefault="00AC4EA4" w:rsidP="00D47029">
      <w:pPr>
        <w:pStyle w:val="Bullet1"/>
      </w:pPr>
      <w:r w:rsidRPr="001265A0">
        <w:t>m</w:t>
      </w:r>
      <w:r w:rsidR="00655DB0" w:rsidRPr="001265A0">
        <w:t>ember’s</w:t>
      </w:r>
      <w:r w:rsidR="00655DB0" w:rsidRPr="00FA30B2">
        <w:t xml:space="preserve"> </w:t>
      </w:r>
      <w:r w:rsidR="00655DB0" w:rsidRPr="0091356D">
        <w:t>voluntary</w:t>
      </w:r>
      <w:r w:rsidR="00655DB0" w:rsidRPr="00FA30B2">
        <w:t xml:space="preserve"> retirement </w:t>
      </w:r>
      <w:r w:rsidR="005941C0" w:rsidRPr="00FA30B2">
        <w:t>benefits</w:t>
      </w:r>
      <w:r w:rsidR="00655DB0" w:rsidRPr="00FA30B2">
        <w:t xml:space="preserve"> as </w:t>
      </w:r>
      <w:r w:rsidR="00801B66" w:rsidRPr="00FB0480">
        <w:t>at</w:t>
      </w:r>
      <w:r w:rsidR="00801B66" w:rsidRPr="00FA30B2">
        <w:t xml:space="preserve"> </w:t>
      </w:r>
      <w:r w:rsidR="00655DB0" w:rsidRPr="00FA30B2">
        <w:t>30</w:t>
      </w:r>
      <w:r w:rsidR="00801B66" w:rsidRPr="00FA30B2">
        <w:t> </w:t>
      </w:r>
      <w:r w:rsidR="00655DB0" w:rsidRPr="00FA30B2">
        <w:t>June</w:t>
      </w:r>
      <w:r w:rsidR="00801B66" w:rsidRPr="00FA30B2">
        <w:t> </w:t>
      </w:r>
      <w:r w:rsidR="00655DB0" w:rsidRPr="00FA30B2">
        <w:t>1992</w:t>
      </w:r>
      <w:r w:rsidR="00251D9C">
        <w:t>;</w:t>
      </w:r>
      <w:r w:rsidR="00655DB0" w:rsidRPr="00FA30B2">
        <w:t xml:space="preserve"> plus</w:t>
      </w:r>
    </w:p>
    <w:p w14:paraId="03C86FB7" w14:textId="36362B3F" w:rsidR="00655DB0" w:rsidRPr="00FA30B2" w:rsidRDefault="006D2FC3" w:rsidP="00D47029">
      <w:pPr>
        <w:pStyle w:val="Bullet1"/>
      </w:pPr>
      <w:r w:rsidRPr="00FA30B2">
        <w:t>m</w:t>
      </w:r>
      <w:r w:rsidR="00655DB0" w:rsidRPr="00FB0480">
        <w:t>ember’s</w:t>
      </w:r>
      <w:r w:rsidR="00655DB0" w:rsidRPr="00FA30B2">
        <w:t xml:space="preserve"> own contributions </w:t>
      </w:r>
      <w:r w:rsidR="00655DB0" w:rsidRPr="00FB0480">
        <w:t>from</w:t>
      </w:r>
      <w:r w:rsidR="00655DB0" w:rsidRPr="00FA30B2">
        <w:t xml:space="preserve"> </w:t>
      </w:r>
      <w:r w:rsidR="00475903" w:rsidRPr="00FA30B2">
        <w:t>30 </w:t>
      </w:r>
      <w:r w:rsidR="00655DB0" w:rsidRPr="00FA30B2">
        <w:t>June</w:t>
      </w:r>
      <w:r w:rsidR="00475903" w:rsidRPr="00FA30B2">
        <w:t> </w:t>
      </w:r>
      <w:r w:rsidR="00655DB0" w:rsidRPr="00FA30B2">
        <w:t>1992</w:t>
      </w:r>
      <w:r w:rsidR="00251D9C">
        <w:t>;</w:t>
      </w:r>
      <w:r w:rsidR="00655DB0" w:rsidRPr="00FA30B2">
        <w:t xml:space="preserve"> plus</w:t>
      </w:r>
    </w:p>
    <w:p w14:paraId="2432213F" w14:textId="77777777" w:rsidR="00DD1403" w:rsidRPr="00FA30B2" w:rsidRDefault="006D2FC3" w:rsidP="00D47029">
      <w:pPr>
        <w:pStyle w:val="Bullet1"/>
      </w:pPr>
      <w:r w:rsidRPr="00FA30B2">
        <w:lastRenderedPageBreak/>
        <w:t>m</w:t>
      </w:r>
      <w:r w:rsidR="00655DB0" w:rsidRPr="00FA30B2">
        <w:t xml:space="preserve">inimum SG employer contributions </w:t>
      </w:r>
      <w:r w:rsidR="00655DB0" w:rsidRPr="00FB0480">
        <w:t>from</w:t>
      </w:r>
      <w:r w:rsidR="00655DB0" w:rsidRPr="00FA30B2">
        <w:t xml:space="preserve"> </w:t>
      </w:r>
      <w:r w:rsidR="00475903" w:rsidRPr="00FA30B2">
        <w:t>30 June </w:t>
      </w:r>
      <w:r w:rsidR="00655DB0" w:rsidRPr="00FA30B2">
        <w:t>1992.</w:t>
      </w:r>
    </w:p>
    <w:p w14:paraId="20F5293E" w14:textId="62481A9D" w:rsidR="00655DB0" w:rsidRPr="001B1291" w:rsidRDefault="00655DB0" w:rsidP="00D47029">
      <w:pPr>
        <w:pStyle w:val="Bullet1"/>
      </w:pPr>
      <w:r w:rsidRPr="00FA30B2">
        <w:t xml:space="preserve">All </w:t>
      </w:r>
      <w:r w:rsidRPr="001A62B4">
        <w:t>accumulated</w:t>
      </w:r>
      <w:r w:rsidRPr="00222960">
        <w:t xml:space="preserve"> with PSS interest until retirement.</w:t>
      </w:r>
      <w:r w:rsidR="00251D9C" w:rsidRPr="00251D9C">
        <w:rPr>
          <w:rStyle w:val="FootnoteReference"/>
        </w:rPr>
        <w:t xml:space="preserve"> </w:t>
      </w:r>
      <w:r w:rsidR="00251D9C">
        <w:rPr>
          <w:rStyle w:val="FootnoteReference"/>
        </w:rPr>
        <w:footnoteReference w:id="8"/>
      </w:r>
    </w:p>
    <w:p w14:paraId="7F3C7C02" w14:textId="7BA1738A" w:rsidR="00CA174D" w:rsidRDefault="00655DB0" w:rsidP="00A15515">
      <w:pPr>
        <w:pStyle w:val="NumberedList1"/>
      </w:pPr>
      <w:r w:rsidRPr="00222960">
        <w:t>The relevant SG amounts, expressed as a percentage of salary for superannuation purposes are</w:t>
      </w:r>
      <w:r>
        <w:t xml:space="preserve"> specified in the </w:t>
      </w:r>
      <w:r w:rsidR="00D16176" w:rsidRPr="00D16176">
        <w:t>SGAA Act</w:t>
      </w:r>
      <w:r>
        <w:t>.</w:t>
      </w:r>
    </w:p>
    <w:p w14:paraId="7688F8BC" w14:textId="7E87D851" w:rsidR="007E28EB" w:rsidRDefault="007E28EB" w:rsidP="004A09E6">
      <w:pPr>
        <w:pStyle w:val="Caption"/>
      </w:pPr>
      <w:r>
        <w:t xml:space="preserve">Table </w:t>
      </w:r>
      <w:r w:rsidR="00A64C82">
        <w:fldChar w:fldCharType="begin"/>
      </w:r>
      <w:r w:rsidR="00A64C82">
        <w:instrText xml:space="preserve"> SEQ Table \* ARABIC </w:instrText>
      </w:r>
      <w:r w:rsidR="00A64C82">
        <w:fldChar w:fldCharType="separate"/>
      </w:r>
      <w:r w:rsidR="00DC08F8">
        <w:rPr>
          <w:noProof/>
        </w:rPr>
        <w:t>1</w:t>
      </w:r>
      <w:r w:rsidR="00A64C82">
        <w:rPr>
          <w:noProof/>
        </w:rPr>
        <w:fldChar w:fldCharType="end"/>
      </w:r>
      <w:r>
        <w:t xml:space="preserve"> </w:t>
      </w:r>
      <w:r w:rsidR="00B8602A">
        <w:t>–</w:t>
      </w:r>
      <w:r>
        <w:t xml:space="preserve"> </w:t>
      </w:r>
      <w:r w:rsidR="00B26B36" w:rsidRPr="004A09E6">
        <w:t>Superannuation</w:t>
      </w:r>
      <w:r w:rsidR="00B26B36" w:rsidRPr="00B26B36">
        <w:t xml:space="preserve"> </w:t>
      </w:r>
      <w:r w:rsidR="00F61562">
        <w:t>g</w:t>
      </w:r>
      <w:r w:rsidR="00F61562" w:rsidRPr="00B26B36">
        <w:t xml:space="preserve">uarantee </w:t>
      </w:r>
      <w:r w:rsidRPr="0078574E">
        <w:t xml:space="preserve">percentage </w:t>
      </w:r>
      <w:r w:rsidR="00F61562">
        <w:t>(</w:t>
      </w:r>
      <w:r w:rsidR="006C394D">
        <w:t>from 1 </w:t>
      </w:r>
      <w:r w:rsidR="00775BAB">
        <w:t>July </w:t>
      </w:r>
      <w:r w:rsidR="006C394D">
        <w:t>2021 onwards)</w:t>
      </w:r>
    </w:p>
    <w:tbl>
      <w:tblPr>
        <w:tblW w:w="8788" w:type="dxa"/>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4110"/>
        <w:gridCol w:w="2268"/>
        <w:gridCol w:w="2410"/>
      </w:tblGrid>
      <w:tr w:rsidR="003B2E07" w:rsidRPr="005736A0" w14:paraId="3F2D0D3F" w14:textId="77777777" w:rsidTr="004D5882">
        <w:trPr>
          <w:cantSplit/>
          <w:tblHeader/>
        </w:trPr>
        <w:tc>
          <w:tcPr>
            <w:tcW w:w="4110" w:type="dxa"/>
            <w:shd w:val="clear" w:color="auto" w:fill="1C1C1C"/>
            <w:vAlign w:val="center"/>
          </w:tcPr>
          <w:p w14:paraId="496EADED" w14:textId="3330A09F" w:rsidR="00F26F6A" w:rsidRPr="00F26F6A" w:rsidRDefault="004D5882" w:rsidP="004D5882">
            <w:pPr>
              <w:pStyle w:val="TableText"/>
              <w:ind w:hanging="368"/>
              <w:jc w:val="center"/>
              <w:rPr>
                <w:b/>
                <w:bCs/>
              </w:rPr>
            </w:pPr>
            <w:r>
              <w:rPr>
                <w:b/>
                <w:bCs/>
              </w:rPr>
              <w:t>Financial Year</w:t>
            </w:r>
          </w:p>
        </w:tc>
        <w:tc>
          <w:tcPr>
            <w:tcW w:w="2268" w:type="dxa"/>
            <w:shd w:val="clear" w:color="auto" w:fill="1C1C1C"/>
            <w:vAlign w:val="center"/>
          </w:tcPr>
          <w:p w14:paraId="361336A3" w14:textId="371DB150" w:rsidR="00F26F6A" w:rsidRPr="00F26F6A" w:rsidRDefault="005A1C34" w:rsidP="004D5882">
            <w:pPr>
              <w:pStyle w:val="TableText"/>
              <w:ind w:left="-119"/>
              <w:jc w:val="center"/>
              <w:rPr>
                <w:b/>
                <w:bCs/>
              </w:rPr>
            </w:pPr>
            <w:r w:rsidRPr="005A1C34">
              <w:rPr>
                <w:b/>
                <w:bCs/>
              </w:rPr>
              <w:t>General super</w:t>
            </w:r>
            <w:r>
              <w:rPr>
                <w:b/>
                <w:bCs/>
              </w:rPr>
              <w:t xml:space="preserve"> </w:t>
            </w:r>
            <w:r w:rsidRPr="005A1C34">
              <w:rPr>
                <w:b/>
                <w:bCs/>
              </w:rPr>
              <w:t>guarantee (%)</w:t>
            </w:r>
          </w:p>
        </w:tc>
        <w:tc>
          <w:tcPr>
            <w:tcW w:w="2410" w:type="dxa"/>
            <w:shd w:val="clear" w:color="auto" w:fill="1C1C1C"/>
            <w:vAlign w:val="center"/>
          </w:tcPr>
          <w:p w14:paraId="1152DF0B" w14:textId="135632F3" w:rsidR="007E38DC" w:rsidRPr="007E38DC" w:rsidRDefault="007E38DC" w:rsidP="004D5882">
            <w:pPr>
              <w:pStyle w:val="TableText"/>
              <w:ind w:left="-119"/>
              <w:jc w:val="center"/>
              <w:rPr>
                <w:b/>
                <w:bCs/>
              </w:rPr>
            </w:pPr>
            <w:r w:rsidRPr="007E38DC">
              <w:rPr>
                <w:b/>
                <w:bCs/>
              </w:rPr>
              <w:t>Super guarantee (%) for Norfolk Island (transitional rate)</w:t>
            </w:r>
          </w:p>
        </w:tc>
      </w:tr>
      <w:tr w:rsidR="005A1C34" w:rsidRPr="005736A0" w14:paraId="513EE283" w14:textId="77777777" w:rsidTr="00DF1CCA">
        <w:trPr>
          <w:cantSplit/>
        </w:trPr>
        <w:tc>
          <w:tcPr>
            <w:tcW w:w="4110" w:type="dxa"/>
            <w:shd w:val="clear" w:color="auto" w:fill="E2E3E2"/>
            <w:vAlign w:val="bottom"/>
          </w:tcPr>
          <w:p w14:paraId="6E7037BF" w14:textId="5AFBE051" w:rsidR="002439DC" w:rsidRPr="005736A0" w:rsidRDefault="002439DC" w:rsidP="00D910AB">
            <w:pPr>
              <w:pStyle w:val="TableText"/>
              <w:ind w:hanging="368"/>
            </w:pPr>
            <w:r w:rsidRPr="007E28EB">
              <w:t xml:space="preserve">1 July 2021 </w:t>
            </w:r>
            <w:r w:rsidR="00D47029">
              <w:t>–</w:t>
            </w:r>
            <w:r w:rsidRPr="007E28EB">
              <w:t xml:space="preserve"> 30 June 2022</w:t>
            </w:r>
          </w:p>
        </w:tc>
        <w:tc>
          <w:tcPr>
            <w:tcW w:w="2268" w:type="dxa"/>
            <w:shd w:val="clear" w:color="auto" w:fill="auto"/>
            <w:vAlign w:val="bottom"/>
          </w:tcPr>
          <w:p w14:paraId="62178D7A" w14:textId="09F412A8" w:rsidR="002439DC" w:rsidRPr="005736A0" w:rsidRDefault="002439DC" w:rsidP="00DF1CCA">
            <w:pPr>
              <w:pStyle w:val="TableText"/>
              <w:ind w:left="0"/>
              <w:jc w:val="center"/>
            </w:pPr>
            <w:r w:rsidRPr="007E28EB">
              <w:t>10.00</w:t>
            </w:r>
          </w:p>
        </w:tc>
        <w:tc>
          <w:tcPr>
            <w:tcW w:w="2410" w:type="dxa"/>
            <w:vAlign w:val="bottom"/>
          </w:tcPr>
          <w:p w14:paraId="663D2A4B" w14:textId="1767106F" w:rsidR="002439DC" w:rsidRPr="007E28EB" w:rsidRDefault="009B7FBF" w:rsidP="00DF1CCA">
            <w:pPr>
              <w:pStyle w:val="TableText"/>
              <w:ind w:left="0"/>
              <w:jc w:val="center"/>
            </w:pPr>
            <w:r>
              <w:t>6</w:t>
            </w:r>
          </w:p>
        </w:tc>
      </w:tr>
      <w:tr w:rsidR="003B2E07" w:rsidRPr="005736A0" w14:paraId="4C99C542" w14:textId="77777777" w:rsidTr="00DF1CCA">
        <w:trPr>
          <w:cantSplit/>
        </w:trPr>
        <w:tc>
          <w:tcPr>
            <w:tcW w:w="4110" w:type="dxa"/>
            <w:shd w:val="clear" w:color="auto" w:fill="E2E3E2"/>
            <w:vAlign w:val="bottom"/>
          </w:tcPr>
          <w:p w14:paraId="2F050591" w14:textId="2DB081CE" w:rsidR="00F26F6A" w:rsidRPr="005736A0" w:rsidRDefault="00F26F6A" w:rsidP="00D910AB">
            <w:pPr>
              <w:pStyle w:val="TableText"/>
              <w:ind w:hanging="368"/>
            </w:pPr>
            <w:r w:rsidRPr="007E28EB">
              <w:t xml:space="preserve">1 July 2022 </w:t>
            </w:r>
            <w:r w:rsidR="00D47029">
              <w:t>–</w:t>
            </w:r>
            <w:r w:rsidRPr="007E28EB">
              <w:t xml:space="preserve"> 30 June 2023</w:t>
            </w:r>
          </w:p>
        </w:tc>
        <w:tc>
          <w:tcPr>
            <w:tcW w:w="2268" w:type="dxa"/>
            <w:shd w:val="clear" w:color="auto" w:fill="auto"/>
            <w:vAlign w:val="bottom"/>
          </w:tcPr>
          <w:p w14:paraId="6EB36510" w14:textId="5E6A3980" w:rsidR="00F26F6A" w:rsidRPr="005736A0" w:rsidRDefault="00F26F6A" w:rsidP="00DF1CCA">
            <w:pPr>
              <w:pStyle w:val="TableText"/>
              <w:ind w:left="0"/>
              <w:jc w:val="center"/>
            </w:pPr>
            <w:r w:rsidRPr="007E28EB">
              <w:t>10.50</w:t>
            </w:r>
          </w:p>
        </w:tc>
        <w:tc>
          <w:tcPr>
            <w:tcW w:w="2410" w:type="dxa"/>
            <w:shd w:val="clear" w:color="auto" w:fill="auto"/>
            <w:vAlign w:val="bottom"/>
          </w:tcPr>
          <w:p w14:paraId="24D9291B" w14:textId="5520566A" w:rsidR="009B7FBF" w:rsidRDefault="009B7FBF" w:rsidP="00DF1CCA">
            <w:pPr>
              <w:pStyle w:val="TableText"/>
              <w:ind w:left="0"/>
              <w:jc w:val="center"/>
            </w:pPr>
            <w:r>
              <w:t>7</w:t>
            </w:r>
          </w:p>
        </w:tc>
      </w:tr>
      <w:tr w:rsidR="005A1C34" w:rsidRPr="005736A0" w14:paraId="03FBD4B4" w14:textId="77777777" w:rsidTr="00DF1CCA">
        <w:trPr>
          <w:cantSplit/>
        </w:trPr>
        <w:tc>
          <w:tcPr>
            <w:tcW w:w="4110" w:type="dxa"/>
            <w:shd w:val="clear" w:color="auto" w:fill="E2E3E2"/>
            <w:vAlign w:val="bottom"/>
          </w:tcPr>
          <w:p w14:paraId="6E773A2B" w14:textId="65645CEE" w:rsidR="002439DC" w:rsidRPr="005736A0" w:rsidRDefault="002439DC" w:rsidP="00D910AB">
            <w:pPr>
              <w:pStyle w:val="TableText"/>
              <w:ind w:hanging="368"/>
            </w:pPr>
            <w:r w:rsidRPr="007E28EB">
              <w:t xml:space="preserve">1 July 2023 </w:t>
            </w:r>
            <w:r w:rsidR="00D47029">
              <w:t>–</w:t>
            </w:r>
            <w:r w:rsidRPr="007E28EB">
              <w:t xml:space="preserve"> 30 June 2024</w:t>
            </w:r>
          </w:p>
        </w:tc>
        <w:tc>
          <w:tcPr>
            <w:tcW w:w="2268" w:type="dxa"/>
            <w:shd w:val="clear" w:color="auto" w:fill="auto"/>
            <w:vAlign w:val="bottom"/>
          </w:tcPr>
          <w:p w14:paraId="6EFF7609" w14:textId="1900F128" w:rsidR="002439DC" w:rsidRPr="005736A0" w:rsidRDefault="002439DC" w:rsidP="00DF1CCA">
            <w:pPr>
              <w:pStyle w:val="TableText"/>
              <w:ind w:left="0"/>
              <w:jc w:val="center"/>
            </w:pPr>
            <w:r w:rsidRPr="007E28EB">
              <w:t>11.00</w:t>
            </w:r>
          </w:p>
        </w:tc>
        <w:tc>
          <w:tcPr>
            <w:tcW w:w="2410" w:type="dxa"/>
            <w:vAlign w:val="bottom"/>
          </w:tcPr>
          <w:p w14:paraId="3C4AB9E9" w14:textId="607B9939" w:rsidR="002439DC" w:rsidRPr="007E28EB" w:rsidRDefault="009B7FBF" w:rsidP="00DF1CCA">
            <w:pPr>
              <w:pStyle w:val="TableText"/>
              <w:ind w:left="0"/>
              <w:jc w:val="center"/>
            </w:pPr>
            <w:r>
              <w:t>8</w:t>
            </w:r>
          </w:p>
        </w:tc>
      </w:tr>
      <w:tr w:rsidR="005A1C34" w:rsidRPr="005736A0" w14:paraId="0D021384" w14:textId="77777777" w:rsidTr="00DF1CCA">
        <w:trPr>
          <w:cantSplit/>
        </w:trPr>
        <w:tc>
          <w:tcPr>
            <w:tcW w:w="4110" w:type="dxa"/>
            <w:shd w:val="clear" w:color="auto" w:fill="E2E3E2"/>
            <w:vAlign w:val="bottom"/>
          </w:tcPr>
          <w:p w14:paraId="5799989B" w14:textId="0BDC940A" w:rsidR="002439DC" w:rsidRPr="005736A0" w:rsidRDefault="002439DC" w:rsidP="00D910AB">
            <w:pPr>
              <w:pStyle w:val="TableText"/>
              <w:ind w:hanging="368"/>
            </w:pPr>
            <w:r w:rsidRPr="00D415C9">
              <w:t xml:space="preserve">1 July 2024 </w:t>
            </w:r>
            <w:r w:rsidR="00D47029">
              <w:t>–</w:t>
            </w:r>
            <w:r w:rsidRPr="00D415C9">
              <w:t xml:space="preserve"> 30 June 2025</w:t>
            </w:r>
          </w:p>
        </w:tc>
        <w:tc>
          <w:tcPr>
            <w:tcW w:w="2268" w:type="dxa"/>
            <w:shd w:val="clear" w:color="auto" w:fill="auto"/>
            <w:vAlign w:val="bottom"/>
          </w:tcPr>
          <w:p w14:paraId="3A804B2D" w14:textId="7365847F" w:rsidR="002439DC" w:rsidRPr="005736A0" w:rsidRDefault="002439DC" w:rsidP="00DF1CCA">
            <w:pPr>
              <w:pStyle w:val="TableText"/>
              <w:ind w:left="0"/>
              <w:jc w:val="center"/>
            </w:pPr>
            <w:r w:rsidRPr="00D415C9">
              <w:t>11.50</w:t>
            </w:r>
          </w:p>
        </w:tc>
        <w:tc>
          <w:tcPr>
            <w:tcW w:w="2410" w:type="dxa"/>
            <w:vAlign w:val="bottom"/>
          </w:tcPr>
          <w:p w14:paraId="0E9A55CA" w14:textId="4C355FE3" w:rsidR="002439DC" w:rsidRPr="00D415C9" w:rsidRDefault="009B7FBF" w:rsidP="00DF1CCA">
            <w:pPr>
              <w:pStyle w:val="TableText"/>
              <w:ind w:left="0"/>
              <w:jc w:val="center"/>
            </w:pPr>
            <w:r>
              <w:t>9</w:t>
            </w:r>
          </w:p>
        </w:tc>
      </w:tr>
      <w:tr w:rsidR="005A1C34" w:rsidRPr="005736A0" w14:paraId="7F82D072" w14:textId="77777777" w:rsidTr="00DF1CCA">
        <w:trPr>
          <w:cantSplit/>
        </w:trPr>
        <w:tc>
          <w:tcPr>
            <w:tcW w:w="4110" w:type="dxa"/>
            <w:shd w:val="clear" w:color="auto" w:fill="E2E3E2"/>
            <w:vAlign w:val="bottom"/>
          </w:tcPr>
          <w:p w14:paraId="718F0421" w14:textId="1F14CC4C" w:rsidR="002439DC" w:rsidRPr="005736A0" w:rsidRDefault="002439DC" w:rsidP="00D910AB">
            <w:pPr>
              <w:pStyle w:val="TableText"/>
              <w:ind w:hanging="368"/>
            </w:pPr>
            <w:r w:rsidRPr="00D415C9">
              <w:t xml:space="preserve">1 July 2025 </w:t>
            </w:r>
            <w:r w:rsidR="00D47029">
              <w:t>–</w:t>
            </w:r>
            <w:r w:rsidRPr="00D415C9">
              <w:t xml:space="preserve"> 30 June 2026</w:t>
            </w:r>
          </w:p>
        </w:tc>
        <w:tc>
          <w:tcPr>
            <w:tcW w:w="2268" w:type="dxa"/>
            <w:shd w:val="clear" w:color="auto" w:fill="auto"/>
            <w:vAlign w:val="bottom"/>
          </w:tcPr>
          <w:p w14:paraId="169E55B6" w14:textId="5C2104E0" w:rsidR="002439DC" w:rsidRPr="005736A0" w:rsidRDefault="002439DC" w:rsidP="00DF1CCA">
            <w:pPr>
              <w:pStyle w:val="TableText"/>
              <w:ind w:left="0"/>
              <w:jc w:val="center"/>
            </w:pPr>
            <w:r w:rsidRPr="00D415C9">
              <w:t>12.00</w:t>
            </w:r>
          </w:p>
        </w:tc>
        <w:tc>
          <w:tcPr>
            <w:tcW w:w="2410" w:type="dxa"/>
            <w:vAlign w:val="bottom"/>
          </w:tcPr>
          <w:p w14:paraId="68A9126D" w14:textId="2017A853" w:rsidR="002439DC" w:rsidRPr="00D415C9" w:rsidRDefault="009B7FBF" w:rsidP="00DF1CCA">
            <w:pPr>
              <w:pStyle w:val="TableText"/>
              <w:ind w:left="0"/>
              <w:jc w:val="center"/>
            </w:pPr>
            <w:r>
              <w:t>10</w:t>
            </w:r>
          </w:p>
        </w:tc>
      </w:tr>
      <w:tr w:rsidR="005A1C34" w:rsidRPr="005736A0" w14:paraId="58194B16" w14:textId="77777777" w:rsidTr="00DF1CCA">
        <w:trPr>
          <w:cantSplit/>
        </w:trPr>
        <w:tc>
          <w:tcPr>
            <w:tcW w:w="4110" w:type="dxa"/>
            <w:shd w:val="clear" w:color="auto" w:fill="E2E3E2"/>
            <w:vAlign w:val="bottom"/>
          </w:tcPr>
          <w:p w14:paraId="78B3D645" w14:textId="7D165A0E" w:rsidR="002439DC" w:rsidRPr="005736A0" w:rsidRDefault="009B7FBF" w:rsidP="00D910AB">
            <w:pPr>
              <w:pStyle w:val="TableText"/>
              <w:ind w:hanging="368"/>
            </w:pPr>
            <w:r w:rsidRPr="009B7FBF">
              <w:t>1 July 202</w:t>
            </w:r>
            <w:r w:rsidR="00F964A8">
              <w:t>6</w:t>
            </w:r>
            <w:r w:rsidRPr="009B7FBF">
              <w:t xml:space="preserve"> </w:t>
            </w:r>
            <w:r w:rsidR="00D47029">
              <w:t>–</w:t>
            </w:r>
            <w:r w:rsidRPr="009B7FBF">
              <w:t xml:space="preserve"> 30 June 202</w:t>
            </w:r>
            <w:r w:rsidR="00F964A8">
              <w:t>7</w:t>
            </w:r>
          </w:p>
        </w:tc>
        <w:tc>
          <w:tcPr>
            <w:tcW w:w="2268" w:type="dxa"/>
            <w:shd w:val="clear" w:color="auto" w:fill="auto"/>
          </w:tcPr>
          <w:p w14:paraId="262FFFD7" w14:textId="1279091D" w:rsidR="002439DC" w:rsidRPr="005736A0" w:rsidRDefault="002439DC" w:rsidP="00DF1CCA">
            <w:pPr>
              <w:pStyle w:val="TableText"/>
              <w:ind w:left="0"/>
              <w:jc w:val="center"/>
            </w:pPr>
            <w:r w:rsidRPr="00AA2A55">
              <w:t>12.</w:t>
            </w:r>
            <w:r>
              <w:t>0</w:t>
            </w:r>
            <w:r w:rsidRPr="00AA2A55">
              <w:t>0</w:t>
            </w:r>
          </w:p>
        </w:tc>
        <w:tc>
          <w:tcPr>
            <w:tcW w:w="2410" w:type="dxa"/>
            <w:vAlign w:val="bottom"/>
          </w:tcPr>
          <w:p w14:paraId="5D344427" w14:textId="18A07568" w:rsidR="002439DC" w:rsidRPr="00AA2A55" w:rsidRDefault="00B006AC" w:rsidP="00DF1CCA">
            <w:pPr>
              <w:pStyle w:val="TableText"/>
              <w:ind w:left="0"/>
              <w:jc w:val="center"/>
            </w:pPr>
            <w:r>
              <w:t>11</w:t>
            </w:r>
          </w:p>
        </w:tc>
      </w:tr>
      <w:tr w:rsidR="00A62572" w:rsidRPr="005736A0" w14:paraId="63A4D805" w14:textId="77777777" w:rsidTr="00DF1CCA">
        <w:trPr>
          <w:cantSplit/>
        </w:trPr>
        <w:tc>
          <w:tcPr>
            <w:tcW w:w="4110" w:type="dxa"/>
            <w:shd w:val="clear" w:color="auto" w:fill="E2E3E2"/>
            <w:vAlign w:val="bottom"/>
          </w:tcPr>
          <w:p w14:paraId="03C9F651" w14:textId="0B511BBC" w:rsidR="00B006AC" w:rsidRPr="009B7FBF" w:rsidRDefault="00F964A8" w:rsidP="00D910AB">
            <w:pPr>
              <w:pStyle w:val="TableText"/>
              <w:ind w:left="57"/>
            </w:pPr>
            <w:r>
              <w:t>1 July 20</w:t>
            </w:r>
            <w:r w:rsidR="00A62572">
              <w:t xml:space="preserve">27 </w:t>
            </w:r>
            <w:r w:rsidR="00D47029">
              <w:t>–</w:t>
            </w:r>
            <w:r w:rsidR="00A62572">
              <w:t xml:space="preserve"> 30 June 2028 and onwards</w:t>
            </w:r>
          </w:p>
        </w:tc>
        <w:tc>
          <w:tcPr>
            <w:tcW w:w="2268" w:type="dxa"/>
            <w:shd w:val="clear" w:color="auto" w:fill="auto"/>
          </w:tcPr>
          <w:p w14:paraId="75FB31AD" w14:textId="0C243287" w:rsidR="00B006AC" w:rsidRPr="00AA2A55" w:rsidRDefault="00A62572" w:rsidP="00DF1CCA">
            <w:pPr>
              <w:pStyle w:val="TableText"/>
              <w:ind w:left="0"/>
              <w:jc w:val="center"/>
            </w:pPr>
            <w:r>
              <w:t>12.00</w:t>
            </w:r>
          </w:p>
        </w:tc>
        <w:tc>
          <w:tcPr>
            <w:tcW w:w="2410" w:type="dxa"/>
            <w:vAlign w:val="bottom"/>
          </w:tcPr>
          <w:p w14:paraId="40ADB927" w14:textId="376CD0FE" w:rsidR="00B006AC" w:rsidRPr="00AA2A55" w:rsidRDefault="00A62572" w:rsidP="00DF1CCA">
            <w:pPr>
              <w:pStyle w:val="TableText"/>
              <w:ind w:left="0"/>
              <w:jc w:val="center"/>
            </w:pPr>
            <w:r>
              <w:t>12</w:t>
            </w:r>
          </w:p>
        </w:tc>
      </w:tr>
    </w:tbl>
    <w:p w14:paraId="5B67839F" w14:textId="55352314" w:rsidR="00655DB0" w:rsidRPr="00A62CAC" w:rsidRDefault="00E36D14" w:rsidP="00D47029">
      <w:pPr>
        <w:pStyle w:val="Heading3"/>
      </w:pPr>
      <w:bookmarkStart w:id="48" w:name="_Toc185937480"/>
      <w:bookmarkStart w:id="49" w:name="_Ref433531473"/>
      <w:r w:rsidRPr="7E723D24">
        <w:t xml:space="preserve">Disqualification of </w:t>
      </w:r>
      <w:r w:rsidR="001D3885" w:rsidRPr="7E723D24">
        <w:t>benefit</w:t>
      </w:r>
      <w:bookmarkEnd w:id="48"/>
    </w:p>
    <w:p w14:paraId="40DCA227" w14:textId="705C70FC" w:rsidR="003207B1" w:rsidRPr="00A62CAC" w:rsidRDefault="00675661" w:rsidP="00A15515">
      <w:pPr>
        <w:pStyle w:val="NumberedList1"/>
      </w:pPr>
      <w:bookmarkStart w:id="50" w:name="_Ref172806636"/>
      <w:bookmarkStart w:id="51" w:name="_Ref172728097"/>
      <w:r w:rsidRPr="00A62CAC">
        <w:t>Any m</w:t>
      </w:r>
      <w:r w:rsidR="00C42C30" w:rsidRPr="00A62CAC">
        <w:t>ember who</w:t>
      </w:r>
      <w:r w:rsidR="00190FDC" w:rsidRPr="00A62CAC">
        <w:t xml:space="preserve">se </w:t>
      </w:r>
      <w:r w:rsidR="00C27B74" w:rsidRPr="00A62CAC">
        <w:t xml:space="preserve">seat </w:t>
      </w:r>
      <w:r w:rsidR="002876B2" w:rsidRPr="00A62CAC">
        <w:t xml:space="preserve">becomes vacant </w:t>
      </w:r>
      <w:r w:rsidR="00084DB1" w:rsidRPr="00A62CAC">
        <w:t xml:space="preserve">due to </w:t>
      </w:r>
      <w:r w:rsidR="001071EE" w:rsidRPr="00A62CAC">
        <w:t xml:space="preserve">the provisions outlined </w:t>
      </w:r>
      <w:r w:rsidR="00DB0C94" w:rsidRPr="00A62CAC">
        <w:t xml:space="preserve">within </w:t>
      </w:r>
      <w:r w:rsidR="008A5739" w:rsidRPr="00A62CAC">
        <w:t>section</w:t>
      </w:r>
      <w:r w:rsidR="00DB0C94" w:rsidRPr="00A62CAC">
        <w:t xml:space="preserve">s </w:t>
      </w:r>
      <w:r w:rsidR="008A5739" w:rsidRPr="00A62CAC">
        <w:t xml:space="preserve">44 and 45 </w:t>
      </w:r>
      <w:r w:rsidR="00DA1171" w:rsidRPr="00A62CAC">
        <w:t xml:space="preserve">of </w:t>
      </w:r>
      <w:r w:rsidR="001D577E" w:rsidRPr="00A62CAC">
        <w:t xml:space="preserve">the </w:t>
      </w:r>
      <w:r w:rsidR="00B05F49" w:rsidRPr="00B85640">
        <w:rPr>
          <w:i/>
          <w:iCs/>
        </w:rPr>
        <w:t>Commonwealth of Australia Constitution Act</w:t>
      </w:r>
      <w:r w:rsidR="00B6232B" w:rsidRPr="00B85640">
        <w:rPr>
          <w:i/>
          <w:iCs/>
        </w:rPr>
        <w:t xml:space="preserve"> </w:t>
      </w:r>
      <w:r w:rsidR="00B6232B" w:rsidRPr="00A26398">
        <w:t>(the</w:t>
      </w:r>
      <w:r w:rsidR="00B6232B" w:rsidRPr="00B85640">
        <w:rPr>
          <w:i/>
          <w:iCs/>
        </w:rPr>
        <w:t xml:space="preserve"> </w:t>
      </w:r>
      <w:r w:rsidR="00655DB0" w:rsidRPr="00A62CAC">
        <w:t>Constitution</w:t>
      </w:r>
      <w:r w:rsidR="00D84327" w:rsidRPr="00A62CAC">
        <w:t>)</w:t>
      </w:r>
      <w:r w:rsidR="005E63D7" w:rsidRPr="00A62CAC">
        <w:t xml:space="preserve"> </w:t>
      </w:r>
      <w:r w:rsidR="005B19BA" w:rsidRPr="00A62CAC">
        <w:t>is entitled to a refund of contributions only.</w:t>
      </w:r>
      <w:bookmarkEnd w:id="50"/>
    </w:p>
    <w:p w14:paraId="5FF1E66A" w14:textId="709653D0" w:rsidR="005B19BA" w:rsidRPr="00A62CAC" w:rsidRDefault="005B19BA" w:rsidP="00D47029">
      <w:pPr>
        <w:pStyle w:val="Heading2"/>
      </w:pPr>
      <w:bookmarkStart w:id="52" w:name="_Toc185937481"/>
      <w:r>
        <w:t>Rates of basic pension</w:t>
      </w:r>
      <w:bookmarkEnd w:id="52"/>
    </w:p>
    <w:p w14:paraId="2A21A9A6" w14:textId="4598A504" w:rsidR="00655DB0" w:rsidRPr="00A62CAC" w:rsidRDefault="00655DB0" w:rsidP="00257997">
      <w:pPr>
        <w:pStyle w:val="NumberedList1"/>
      </w:pPr>
      <w:bookmarkStart w:id="53" w:name="_Ref433533377"/>
      <w:bookmarkEnd w:id="49"/>
      <w:bookmarkEnd w:id="51"/>
      <w:r w:rsidRPr="00A62CAC">
        <w:t xml:space="preserve">The </w:t>
      </w:r>
      <w:r w:rsidRPr="00FD0DA5">
        <w:t>rates</w:t>
      </w:r>
      <w:r w:rsidRPr="00A62CAC">
        <w:t xml:space="preserve"> of basic pension payable are expressed as a percentage of the parliamentary allowance payable </w:t>
      </w:r>
      <w:r w:rsidR="007963AC" w:rsidRPr="00A62CAC">
        <w:t>on occasions</w:t>
      </w:r>
      <w:r w:rsidRPr="00A62CAC">
        <w:t xml:space="preserve"> to members of Parliament. The rates are as follows:</w:t>
      </w:r>
      <w:bookmarkEnd w:id="53"/>
    </w:p>
    <w:p w14:paraId="19590E28" w14:textId="09D6BED2" w:rsidR="00E17F72" w:rsidRDefault="00E17F72" w:rsidP="004A09E6">
      <w:pPr>
        <w:pStyle w:val="Caption"/>
      </w:pPr>
      <w:r>
        <w:t xml:space="preserve">Table </w:t>
      </w:r>
      <w:r w:rsidR="00A64C82">
        <w:fldChar w:fldCharType="begin"/>
      </w:r>
      <w:r w:rsidR="00A64C82">
        <w:instrText xml:space="preserve"> SEQ Table \* ARABIC </w:instrText>
      </w:r>
      <w:r w:rsidR="00A64C82">
        <w:fldChar w:fldCharType="separate"/>
      </w:r>
      <w:r w:rsidR="00DC08F8">
        <w:rPr>
          <w:noProof/>
        </w:rPr>
        <w:t>2</w:t>
      </w:r>
      <w:r w:rsidR="00A64C82">
        <w:rPr>
          <w:noProof/>
        </w:rPr>
        <w:fldChar w:fldCharType="end"/>
      </w:r>
      <w:r>
        <w:t xml:space="preserve"> – Rates of basic pension</w:t>
      </w:r>
    </w:p>
    <w:tbl>
      <w:tblPr>
        <w:tblW w:w="8788" w:type="dxa"/>
        <w:tblInd w:w="426" w:type="dxa"/>
        <w:tblBorders>
          <w:top w:val="single" w:sz="4" w:space="0" w:color="1C1C1C"/>
          <w:bottom w:val="single" w:sz="4" w:space="0" w:color="1C1C1C"/>
          <w:insideH w:val="single" w:sz="4" w:space="0" w:color="1C1C1C"/>
        </w:tblBorders>
        <w:tblLayout w:type="fixed"/>
        <w:tblCellMar>
          <w:left w:w="85" w:type="dxa"/>
          <w:right w:w="85" w:type="dxa"/>
        </w:tblCellMar>
        <w:tblLook w:val="0660" w:firstRow="1" w:lastRow="1" w:firstColumn="0" w:lastColumn="0" w:noHBand="1" w:noVBand="1"/>
      </w:tblPr>
      <w:tblGrid>
        <w:gridCol w:w="2268"/>
        <w:gridCol w:w="2126"/>
        <w:gridCol w:w="2268"/>
        <w:gridCol w:w="2126"/>
      </w:tblGrid>
      <w:tr w:rsidR="0077411C" w:rsidRPr="005736A0" w14:paraId="35AF36D7" w14:textId="77777777" w:rsidTr="004D5882">
        <w:trPr>
          <w:cantSplit/>
          <w:tblHeader/>
        </w:trPr>
        <w:tc>
          <w:tcPr>
            <w:tcW w:w="2268" w:type="dxa"/>
            <w:shd w:val="clear" w:color="auto" w:fill="1C1C1C"/>
            <w:vAlign w:val="center"/>
          </w:tcPr>
          <w:p w14:paraId="71B9ADA5" w14:textId="2152DE4D" w:rsidR="00C35D93" w:rsidRPr="000B38D5" w:rsidRDefault="00C35D93" w:rsidP="004D5882">
            <w:pPr>
              <w:pStyle w:val="TableText"/>
              <w:ind w:left="0"/>
              <w:jc w:val="center"/>
              <w:rPr>
                <w:b/>
                <w:bCs/>
              </w:rPr>
            </w:pPr>
            <w:r w:rsidRPr="00D910AB">
              <w:rPr>
                <w:b/>
                <w:bCs/>
              </w:rPr>
              <w:t xml:space="preserve">Completed </w:t>
            </w:r>
            <w:r w:rsidR="0077411C">
              <w:rPr>
                <w:b/>
                <w:bCs/>
              </w:rPr>
              <w:t>y</w:t>
            </w:r>
            <w:r w:rsidRPr="00D910AB">
              <w:rPr>
                <w:b/>
                <w:bCs/>
              </w:rPr>
              <w:t xml:space="preserve">ears </w:t>
            </w:r>
            <w:r w:rsidR="001D1826">
              <w:rPr>
                <w:b/>
                <w:bCs/>
              </w:rPr>
              <w:br/>
            </w:r>
            <w:r w:rsidRPr="00D910AB">
              <w:rPr>
                <w:b/>
                <w:bCs/>
              </w:rPr>
              <w:t>of service</w:t>
            </w:r>
          </w:p>
        </w:tc>
        <w:tc>
          <w:tcPr>
            <w:tcW w:w="2126" w:type="dxa"/>
            <w:shd w:val="clear" w:color="auto" w:fill="1C1C1C"/>
            <w:vAlign w:val="center"/>
          </w:tcPr>
          <w:p w14:paraId="7B47753E" w14:textId="5A52892A" w:rsidR="00C35D93" w:rsidRPr="000B38D5" w:rsidRDefault="00C35D93" w:rsidP="004D5882">
            <w:pPr>
              <w:pStyle w:val="TableText"/>
              <w:ind w:left="0"/>
              <w:jc w:val="center"/>
              <w:rPr>
                <w:b/>
                <w:bCs/>
              </w:rPr>
            </w:pPr>
            <w:r w:rsidRPr="00D910AB">
              <w:rPr>
                <w:b/>
                <w:bCs/>
              </w:rPr>
              <w:t>Parliamentary</w:t>
            </w:r>
            <w:r>
              <w:rPr>
                <w:b/>
                <w:bCs/>
              </w:rPr>
              <w:t xml:space="preserve"> allowances (%)</w:t>
            </w:r>
          </w:p>
        </w:tc>
        <w:tc>
          <w:tcPr>
            <w:tcW w:w="2268" w:type="dxa"/>
            <w:shd w:val="clear" w:color="auto" w:fill="1C1C1C"/>
            <w:vAlign w:val="center"/>
          </w:tcPr>
          <w:p w14:paraId="5698A96D" w14:textId="0326E4F3" w:rsidR="00C35D93" w:rsidRPr="008B4FDB" w:rsidRDefault="00C35D93" w:rsidP="004D5882">
            <w:pPr>
              <w:pStyle w:val="TableText"/>
              <w:ind w:left="0"/>
              <w:jc w:val="center"/>
              <w:rPr>
                <w:b/>
                <w:bCs/>
              </w:rPr>
            </w:pPr>
            <w:r w:rsidRPr="00C63847">
              <w:rPr>
                <w:b/>
                <w:bCs/>
              </w:rPr>
              <w:t xml:space="preserve">Completed years </w:t>
            </w:r>
            <w:r w:rsidR="001D1826">
              <w:rPr>
                <w:b/>
                <w:bCs/>
              </w:rPr>
              <w:br/>
            </w:r>
            <w:r w:rsidRPr="00C63847">
              <w:rPr>
                <w:b/>
                <w:bCs/>
              </w:rPr>
              <w:t>of service</w:t>
            </w:r>
          </w:p>
        </w:tc>
        <w:tc>
          <w:tcPr>
            <w:tcW w:w="2126" w:type="dxa"/>
            <w:shd w:val="clear" w:color="auto" w:fill="1C1C1C"/>
            <w:vAlign w:val="center"/>
          </w:tcPr>
          <w:p w14:paraId="582D9060" w14:textId="482AA151" w:rsidR="00C35D93" w:rsidRPr="008B4FDB" w:rsidRDefault="00C35D93" w:rsidP="004D5882">
            <w:pPr>
              <w:pStyle w:val="TableText"/>
              <w:ind w:left="0"/>
              <w:jc w:val="center"/>
              <w:rPr>
                <w:b/>
                <w:bCs/>
              </w:rPr>
            </w:pPr>
            <w:r w:rsidRPr="00C63847">
              <w:rPr>
                <w:b/>
                <w:bCs/>
              </w:rPr>
              <w:t>Parliamentary</w:t>
            </w:r>
            <w:r>
              <w:rPr>
                <w:b/>
                <w:bCs/>
              </w:rPr>
              <w:t xml:space="preserve"> allowances (%)</w:t>
            </w:r>
          </w:p>
        </w:tc>
      </w:tr>
      <w:tr w:rsidR="0077411C" w:rsidRPr="005736A0" w14:paraId="5FCF70B2" w14:textId="77777777" w:rsidTr="00D910AB">
        <w:trPr>
          <w:cantSplit/>
        </w:trPr>
        <w:tc>
          <w:tcPr>
            <w:tcW w:w="2268" w:type="dxa"/>
            <w:shd w:val="clear" w:color="auto" w:fill="E2E3E2"/>
          </w:tcPr>
          <w:p w14:paraId="1A855BA1" w14:textId="4DE63EBC" w:rsidR="00211103" w:rsidRPr="005736A0" w:rsidRDefault="00211103" w:rsidP="00BA5271">
            <w:pPr>
              <w:pStyle w:val="TableText"/>
              <w:ind w:firstLine="483"/>
            </w:pPr>
            <w:r w:rsidRPr="00022CA4">
              <w:t>8</w:t>
            </w:r>
          </w:p>
        </w:tc>
        <w:tc>
          <w:tcPr>
            <w:tcW w:w="2126" w:type="dxa"/>
            <w:shd w:val="clear" w:color="auto" w:fill="auto"/>
          </w:tcPr>
          <w:p w14:paraId="0918E25E" w14:textId="15019881" w:rsidR="00211103" w:rsidRPr="005736A0" w:rsidRDefault="00211103" w:rsidP="00BA5271">
            <w:pPr>
              <w:pStyle w:val="TableText"/>
              <w:ind w:firstLine="344"/>
            </w:pPr>
            <w:r w:rsidRPr="00022CA4">
              <w:t>50.00</w:t>
            </w:r>
          </w:p>
        </w:tc>
        <w:tc>
          <w:tcPr>
            <w:tcW w:w="2268" w:type="dxa"/>
            <w:shd w:val="clear" w:color="auto" w:fill="E2E3E2"/>
          </w:tcPr>
          <w:p w14:paraId="070B8CD1" w14:textId="7753D31C" w:rsidR="00211103" w:rsidRPr="00022CA4" w:rsidRDefault="00211103" w:rsidP="00BA5271">
            <w:pPr>
              <w:pStyle w:val="TableText"/>
              <w:ind w:firstLine="482"/>
            </w:pPr>
            <w:r w:rsidRPr="00022CA4">
              <w:t>14</w:t>
            </w:r>
          </w:p>
        </w:tc>
        <w:tc>
          <w:tcPr>
            <w:tcW w:w="2126" w:type="dxa"/>
          </w:tcPr>
          <w:p w14:paraId="5CCA2FE9" w14:textId="65D6CEA8" w:rsidR="00211103" w:rsidRPr="00022CA4" w:rsidRDefault="00211103" w:rsidP="00BA5271">
            <w:pPr>
              <w:pStyle w:val="TableText"/>
              <w:ind w:firstLine="343"/>
            </w:pPr>
            <w:r w:rsidRPr="00022CA4">
              <w:t>65.00</w:t>
            </w:r>
          </w:p>
        </w:tc>
      </w:tr>
      <w:tr w:rsidR="0077411C" w:rsidRPr="005736A0" w14:paraId="63EE4B92" w14:textId="77777777" w:rsidTr="00D910AB">
        <w:trPr>
          <w:cantSplit/>
        </w:trPr>
        <w:tc>
          <w:tcPr>
            <w:tcW w:w="2268" w:type="dxa"/>
            <w:shd w:val="clear" w:color="auto" w:fill="E2E3E2"/>
          </w:tcPr>
          <w:p w14:paraId="1104CCAF" w14:textId="7944370B" w:rsidR="00211103" w:rsidRPr="005736A0" w:rsidRDefault="00211103" w:rsidP="00BA5271">
            <w:pPr>
              <w:pStyle w:val="TableText"/>
              <w:ind w:firstLine="483"/>
            </w:pPr>
            <w:r w:rsidRPr="00022CA4">
              <w:t>9</w:t>
            </w:r>
          </w:p>
        </w:tc>
        <w:tc>
          <w:tcPr>
            <w:tcW w:w="2126" w:type="dxa"/>
            <w:shd w:val="clear" w:color="auto" w:fill="auto"/>
          </w:tcPr>
          <w:p w14:paraId="002D20CE" w14:textId="4900AB50" w:rsidR="00211103" w:rsidRPr="005736A0" w:rsidRDefault="00211103" w:rsidP="00BA5271">
            <w:pPr>
              <w:pStyle w:val="TableText"/>
              <w:ind w:firstLine="344"/>
            </w:pPr>
            <w:r w:rsidRPr="00022CA4">
              <w:t>52.50</w:t>
            </w:r>
          </w:p>
        </w:tc>
        <w:tc>
          <w:tcPr>
            <w:tcW w:w="2268" w:type="dxa"/>
            <w:shd w:val="clear" w:color="auto" w:fill="E2E3E2"/>
          </w:tcPr>
          <w:p w14:paraId="3F3AD824" w14:textId="7CC2FC09" w:rsidR="00211103" w:rsidRPr="00022CA4" w:rsidRDefault="00211103" w:rsidP="00BA5271">
            <w:pPr>
              <w:pStyle w:val="TableText"/>
              <w:ind w:firstLine="482"/>
            </w:pPr>
            <w:r w:rsidRPr="001D65C8">
              <w:t>15</w:t>
            </w:r>
          </w:p>
        </w:tc>
        <w:tc>
          <w:tcPr>
            <w:tcW w:w="2126" w:type="dxa"/>
          </w:tcPr>
          <w:p w14:paraId="40BF05B9" w14:textId="5F4BF2E2" w:rsidR="00211103" w:rsidRPr="00022CA4" w:rsidRDefault="00211103" w:rsidP="00BA5271">
            <w:pPr>
              <w:pStyle w:val="TableText"/>
              <w:ind w:firstLine="343"/>
            </w:pPr>
            <w:r w:rsidRPr="001D65C8">
              <w:t>67.50</w:t>
            </w:r>
          </w:p>
        </w:tc>
      </w:tr>
      <w:tr w:rsidR="0077411C" w:rsidRPr="005736A0" w14:paraId="697BBECE" w14:textId="77777777" w:rsidTr="00D910AB">
        <w:trPr>
          <w:cantSplit/>
        </w:trPr>
        <w:tc>
          <w:tcPr>
            <w:tcW w:w="2268" w:type="dxa"/>
            <w:shd w:val="clear" w:color="auto" w:fill="E2E3E2"/>
          </w:tcPr>
          <w:p w14:paraId="47C3606C" w14:textId="39B901E4" w:rsidR="00211103" w:rsidRPr="005736A0" w:rsidRDefault="00211103" w:rsidP="00BA5271">
            <w:pPr>
              <w:pStyle w:val="TableText"/>
              <w:ind w:firstLine="483"/>
            </w:pPr>
            <w:r w:rsidRPr="00022CA4">
              <w:t>10</w:t>
            </w:r>
          </w:p>
        </w:tc>
        <w:tc>
          <w:tcPr>
            <w:tcW w:w="2126" w:type="dxa"/>
            <w:shd w:val="clear" w:color="auto" w:fill="auto"/>
          </w:tcPr>
          <w:p w14:paraId="2D56EF85" w14:textId="098A5BE7" w:rsidR="00211103" w:rsidRPr="005736A0" w:rsidRDefault="00211103" w:rsidP="00BA5271">
            <w:pPr>
              <w:pStyle w:val="TableText"/>
              <w:ind w:firstLine="344"/>
            </w:pPr>
            <w:r w:rsidRPr="00022CA4">
              <w:t>55.00</w:t>
            </w:r>
          </w:p>
        </w:tc>
        <w:tc>
          <w:tcPr>
            <w:tcW w:w="2268" w:type="dxa"/>
            <w:shd w:val="clear" w:color="auto" w:fill="E2E3E2"/>
          </w:tcPr>
          <w:p w14:paraId="5CB19EED" w14:textId="7FB1ADA0" w:rsidR="00211103" w:rsidRPr="00022CA4" w:rsidRDefault="00211103" w:rsidP="00BA5271">
            <w:pPr>
              <w:pStyle w:val="TableText"/>
              <w:ind w:firstLine="482"/>
            </w:pPr>
            <w:r w:rsidRPr="001D65C8">
              <w:t>16</w:t>
            </w:r>
          </w:p>
        </w:tc>
        <w:tc>
          <w:tcPr>
            <w:tcW w:w="2126" w:type="dxa"/>
          </w:tcPr>
          <w:p w14:paraId="4BAEB1DD" w14:textId="5E5ED80C" w:rsidR="00211103" w:rsidRPr="00022CA4" w:rsidRDefault="00211103" w:rsidP="00BA5271">
            <w:pPr>
              <w:pStyle w:val="TableText"/>
              <w:ind w:firstLine="343"/>
            </w:pPr>
            <w:r w:rsidRPr="001D65C8">
              <w:t>70.00</w:t>
            </w:r>
          </w:p>
        </w:tc>
      </w:tr>
      <w:tr w:rsidR="0077411C" w:rsidRPr="005736A0" w14:paraId="236B3C70" w14:textId="77777777" w:rsidTr="00D910AB">
        <w:trPr>
          <w:cantSplit/>
        </w:trPr>
        <w:tc>
          <w:tcPr>
            <w:tcW w:w="2268" w:type="dxa"/>
            <w:shd w:val="clear" w:color="auto" w:fill="E2E3E2"/>
          </w:tcPr>
          <w:p w14:paraId="68F92663" w14:textId="1BF458C1" w:rsidR="00211103" w:rsidRPr="005736A0" w:rsidRDefault="00211103" w:rsidP="00BA5271">
            <w:pPr>
              <w:pStyle w:val="TableText"/>
              <w:ind w:firstLine="483"/>
            </w:pPr>
            <w:r w:rsidRPr="00022CA4">
              <w:t>11</w:t>
            </w:r>
          </w:p>
        </w:tc>
        <w:tc>
          <w:tcPr>
            <w:tcW w:w="2126" w:type="dxa"/>
            <w:shd w:val="clear" w:color="auto" w:fill="auto"/>
          </w:tcPr>
          <w:p w14:paraId="3942927C" w14:textId="07FDA18F" w:rsidR="00211103" w:rsidRPr="005736A0" w:rsidRDefault="00211103" w:rsidP="00BA5271">
            <w:pPr>
              <w:pStyle w:val="TableText"/>
              <w:ind w:firstLine="344"/>
            </w:pPr>
            <w:r w:rsidRPr="00022CA4">
              <w:t>57.50</w:t>
            </w:r>
          </w:p>
        </w:tc>
        <w:tc>
          <w:tcPr>
            <w:tcW w:w="2268" w:type="dxa"/>
            <w:shd w:val="clear" w:color="auto" w:fill="E2E3E2"/>
          </w:tcPr>
          <w:p w14:paraId="14141C61" w14:textId="77932730" w:rsidR="00211103" w:rsidRPr="00022CA4" w:rsidRDefault="00211103" w:rsidP="00BA5271">
            <w:pPr>
              <w:pStyle w:val="TableText"/>
              <w:ind w:firstLine="482"/>
            </w:pPr>
            <w:r w:rsidRPr="001D65C8">
              <w:t>17</w:t>
            </w:r>
          </w:p>
        </w:tc>
        <w:tc>
          <w:tcPr>
            <w:tcW w:w="2126" w:type="dxa"/>
          </w:tcPr>
          <w:p w14:paraId="22347807" w14:textId="63534CAE" w:rsidR="00211103" w:rsidRPr="00022CA4" w:rsidRDefault="00211103" w:rsidP="00BA5271">
            <w:pPr>
              <w:pStyle w:val="TableText"/>
              <w:ind w:firstLine="343"/>
            </w:pPr>
            <w:r w:rsidRPr="001D65C8">
              <w:t>72.50</w:t>
            </w:r>
          </w:p>
        </w:tc>
      </w:tr>
      <w:tr w:rsidR="0077411C" w:rsidRPr="005736A0" w14:paraId="7B061004" w14:textId="77777777" w:rsidTr="00D910AB">
        <w:trPr>
          <w:cantSplit/>
        </w:trPr>
        <w:tc>
          <w:tcPr>
            <w:tcW w:w="2268" w:type="dxa"/>
            <w:shd w:val="clear" w:color="auto" w:fill="E2E3E2"/>
          </w:tcPr>
          <w:p w14:paraId="28869371" w14:textId="282B9C54" w:rsidR="00211103" w:rsidRPr="005736A0" w:rsidRDefault="00211103" w:rsidP="00BA5271">
            <w:pPr>
              <w:pStyle w:val="TableText"/>
              <w:ind w:firstLine="483"/>
            </w:pPr>
            <w:r w:rsidRPr="00022CA4">
              <w:t>12</w:t>
            </w:r>
          </w:p>
        </w:tc>
        <w:tc>
          <w:tcPr>
            <w:tcW w:w="2126" w:type="dxa"/>
            <w:shd w:val="clear" w:color="auto" w:fill="auto"/>
          </w:tcPr>
          <w:p w14:paraId="4DD31896" w14:textId="2C1910E4" w:rsidR="00211103" w:rsidRPr="005736A0" w:rsidRDefault="00211103" w:rsidP="00BA5271">
            <w:pPr>
              <w:pStyle w:val="TableText"/>
              <w:ind w:firstLine="344"/>
            </w:pPr>
            <w:r w:rsidRPr="00022CA4">
              <w:t>60.00</w:t>
            </w:r>
          </w:p>
        </w:tc>
        <w:tc>
          <w:tcPr>
            <w:tcW w:w="2268" w:type="dxa"/>
            <w:shd w:val="clear" w:color="auto" w:fill="E2E3E2"/>
          </w:tcPr>
          <w:p w14:paraId="1F221C65" w14:textId="0331F56C" w:rsidR="00211103" w:rsidRPr="00022CA4" w:rsidRDefault="00D47029" w:rsidP="00BA5271">
            <w:pPr>
              <w:pStyle w:val="TableText"/>
              <w:ind w:firstLine="482"/>
            </w:pPr>
            <w:r>
              <w:t>18</w:t>
            </w:r>
            <w:r w:rsidR="00251D9C">
              <w:t xml:space="preserve"> </w:t>
            </w:r>
            <w:r w:rsidR="00211103">
              <w:t>or more</w:t>
            </w:r>
          </w:p>
        </w:tc>
        <w:tc>
          <w:tcPr>
            <w:tcW w:w="2126" w:type="dxa"/>
          </w:tcPr>
          <w:p w14:paraId="42AB741B" w14:textId="6F7902AB" w:rsidR="00211103" w:rsidRPr="00022CA4" w:rsidRDefault="00211103" w:rsidP="00BA5271">
            <w:pPr>
              <w:pStyle w:val="TableText"/>
              <w:ind w:firstLine="343"/>
            </w:pPr>
            <w:r w:rsidRPr="001D65C8">
              <w:t>75.00</w:t>
            </w:r>
          </w:p>
        </w:tc>
      </w:tr>
      <w:tr w:rsidR="0077411C" w:rsidRPr="005736A0" w14:paraId="290B646F" w14:textId="77777777" w:rsidTr="00D910AB">
        <w:trPr>
          <w:cantSplit/>
        </w:trPr>
        <w:tc>
          <w:tcPr>
            <w:tcW w:w="2268" w:type="dxa"/>
            <w:shd w:val="clear" w:color="auto" w:fill="E2E3E2"/>
          </w:tcPr>
          <w:p w14:paraId="4182F517" w14:textId="0EDD72EC" w:rsidR="00257997" w:rsidRPr="00022CA4" w:rsidRDefault="00257997" w:rsidP="00BA5271">
            <w:pPr>
              <w:pStyle w:val="TableText"/>
              <w:ind w:firstLine="483"/>
            </w:pPr>
            <w:r w:rsidRPr="00022CA4">
              <w:t>13</w:t>
            </w:r>
          </w:p>
        </w:tc>
        <w:tc>
          <w:tcPr>
            <w:tcW w:w="2126" w:type="dxa"/>
            <w:shd w:val="clear" w:color="auto" w:fill="auto"/>
          </w:tcPr>
          <w:p w14:paraId="58014C38" w14:textId="608E8ACB" w:rsidR="00257997" w:rsidRPr="00022CA4" w:rsidRDefault="00257997" w:rsidP="00BA5271">
            <w:pPr>
              <w:pStyle w:val="TableText"/>
              <w:ind w:firstLine="344"/>
            </w:pPr>
            <w:r w:rsidRPr="00022CA4">
              <w:t>62.50</w:t>
            </w:r>
          </w:p>
        </w:tc>
        <w:tc>
          <w:tcPr>
            <w:tcW w:w="2268" w:type="dxa"/>
            <w:shd w:val="clear" w:color="auto" w:fill="E2E3E2"/>
          </w:tcPr>
          <w:p w14:paraId="44D5EA84" w14:textId="77777777" w:rsidR="00257997" w:rsidRPr="001D65C8" w:rsidRDefault="00257997" w:rsidP="00BA5271">
            <w:pPr>
              <w:pStyle w:val="TableText"/>
              <w:ind w:firstLine="482"/>
            </w:pPr>
          </w:p>
        </w:tc>
        <w:tc>
          <w:tcPr>
            <w:tcW w:w="2126" w:type="dxa"/>
          </w:tcPr>
          <w:p w14:paraId="5D92B28D" w14:textId="77777777" w:rsidR="00257997" w:rsidRPr="001D65C8" w:rsidRDefault="00257997" w:rsidP="00BA5271">
            <w:pPr>
              <w:pStyle w:val="TableText"/>
              <w:ind w:firstLine="343"/>
            </w:pPr>
          </w:p>
        </w:tc>
      </w:tr>
    </w:tbl>
    <w:p w14:paraId="5F8A2382" w14:textId="4BA45A79" w:rsidR="00AC042F" w:rsidRPr="00A62CAC" w:rsidRDefault="00655DB0" w:rsidP="00D910AB">
      <w:pPr>
        <w:pStyle w:val="NumberedList1"/>
        <w:keepNext/>
        <w:keepLines/>
      </w:pPr>
      <w:bookmarkStart w:id="54" w:name="_Ref173145034"/>
      <w:bookmarkStart w:id="55" w:name="_Ref433533387"/>
      <w:r w:rsidRPr="00A62CAC">
        <w:lastRenderedPageBreak/>
        <w:t>Wh</w:t>
      </w:r>
      <w:bookmarkStart w:id="56" w:name="_Ref173419702"/>
      <w:r w:rsidRPr="00A62CAC">
        <w:t xml:space="preserve">ere a member has served for more than </w:t>
      </w:r>
      <w:r w:rsidR="004D1915" w:rsidRPr="00A62CAC">
        <w:t>8</w:t>
      </w:r>
      <w:r w:rsidRPr="00A62CAC">
        <w:t xml:space="preserve"> years but less than </w:t>
      </w:r>
      <w:r w:rsidR="00D47029">
        <w:t>18</w:t>
      </w:r>
      <w:r w:rsidRPr="00A62CAC">
        <w:t xml:space="preserve">years, and </w:t>
      </w:r>
      <w:r w:rsidR="002252DA" w:rsidRPr="00A62CAC">
        <w:t xml:space="preserve">their </w:t>
      </w:r>
      <w:r w:rsidRPr="00A62CAC">
        <w:t xml:space="preserve">period of service </w:t>
      </w:r>
      <w:r w:rsidR="00187302" w:rsidRPr="00A62CAC">
        <w:t xml:space="preserve">spans </w:t>
      </w:r>
      <w:r w:rsidRPr="00A62CAC">
        <w:t xml:space="preserve">an incomplete year, the percentage </w:t>
      </w:r>
      <w:r w:rsidR="00187302" w:rsidRPr="00A62CAC">
        <w:t xml:space="preserve">shown in </w:t>
      </w:r>
      <w:r w:rsidRPr="00A62CAC">
        <w:t>above table is increased by 0.00685 for each additional day of service.</w:t>
      </w:r>
      <w:bookmarkEnd w:id="54"/>
      <w:bookmarkEnd w:id="56"/>
      <w:r w:rsidR="00994376" w:rsidRPr="00994376">
        <w:t xml:space="preserve"> For example, the percentage applicable to a member who has completed 15 years and 50 days of service is:</w:t>
      </w:r>
    </w:p>
    <w:p w14:paraId="39A217ED" w14:textId="33FF778A" w:rsidR="00655DB0" w:rsidRPr="004701F3" w:rsidRDefault="00655DB0" w:rsidP="00A84385">
      <w:pPr>
        <w:pStyle w:val="Boxed1Text"/>
      </w:pPr>
      <w:r w:rsidRPr="004701F3">
        <w:t>67.50</w:t>
      </w:r>
      <w:r w:rsidR="001E234B" w:rsidRPr="004701F3">
        <w:t>% </w:t>
      </w:r>
      <w:r w:rsidRPr="004701F3">
        <w:t>+</w:t>
      </w:r>
      <w:r w:rsidR="001E234B" w:rsidRPr="004701F3">
        <w:t> </w:t>
      </w:r>
      <w:r w:rsidRPr="004701F3">
        <w:t>0.343%</w:t>
      </w:r>
      <w:r w:rsidR="00653208" w:rsidRPr="004701F3">
        <w:t> = </w:t>
      </w:r>
      <w:r w:rsidRPr="004701F3">
        <w:t>67.843% of the parliamentary allowance.</w:t>
      </w:r>
      <w:bookmarkEnd w:id="55"/>
    </w:p>
    <w:p w14:paraId="1A7CAD40" w14:textId="46DC4A8E" w:rsidR="00655DB0" w:rsidRPr="00222960" w:rsidRDefault="00E36D14" w:rsidP="00D47029">
      <w:pPr>
        <w:pStyle w:val="Heading2"/>
      </w:pPr>
      <w:bookmarkStart w:id="57" w:name="_Toc112847605"/>
      <w:bookmarkStart w:id="58" w:name="_Toc149307223"/>
      <w:bookmarkStart w:id="59" w:name="_Toc185937482"/>
      <w:r>
        <w:t xml:space="preserve">Additional </w:t>
      </w:r>
      <w:r w:rsidR="003F79E1">
        <w:t>pension for service as a minister or office holder</w:t>
      </w:r>
      <w:bookmarkEnd w:id="57"/>
      <w:bookmarkEnd w:id="58"/>
      <w:bookmarkEnd w:id="59"/>
    </w:p>
    <w:p w14:paraId="7A8C9D12" w14:textId="7A334E03" w:rsidR="00655DB0" w:rsidRPr="00E51D3B" w:rsidRDefault="00655DB0" w:rsidP="00A15515">
      <w:pPr>
        <w:pStyle w:val="NumberedList1"/>
      </w:pPr>
      <w:r w:rsidRPr="00222960">
        <w:t>A member</w:t>
      </w:r>
      <w:r w:rsidR="00E51D3B">
        <w:t xml:space="preserve"> </w:t>
      </w:r>
      <w:r w:rsidRPr="00886C78">
        <w:t>who is entitled to a pension</w:t>
      </w:r>
      <w:r w:rsidR="00C4533B">
        <w:t>,</w:t>
      </w:r>
      <w:r w:rsidR="00E51D3B">
        <w:t xml:space="preserve"> </w:t>
      </w:r>
      <w:r w:rsidRPr="00222960">
        <w:t>whose period of service included a period or periods as a Minister or office holder in the</w:t>
      </w:r>
      <w:r>
        <w:t xml:space="preserve"> Commonwealth </w:t>
      </w:r>
      <w:r w:rsidRPr="00222960">
        <w:t xml:space="preserve">Parliament </w:t>
      </w:r>
      <w:r w:rsidR="00EF76C6">
        <w:t xml:space="preserve">where </w:t>
      </w:r>
      <w:r>
        <w:t xml:space="preserve">a </w:t>
      </w:r>
      <w:r w:rsidRPr="00222960">
        <w:t>salary was payable</w:t>
      </w:r>
      <w:r w:rsidR="00EF76C6">
        <w:t xml:space="preserve"> </w:t>
      </w:r>
      <w:r w:rsidRPr="00E51D3B">
        <w:t>is entitled</w:t>
      </w:r>
      <w:r w:rsidR="00996207">
        <w:t xml:space="preserve"> </w:t>
      </w:r>
      <w:r w:rsidRPr="00E51D3B">
        <w:t xml:space="preserve">to an additional pension in respect of </w:t>
      </w:r>
      <w:r w:rsidR="00E83D01">
        <w:t>their</w:t>
      </w:r>
      <w:r w:rsidRPr="00E51D3B">
        <w:t xml:space="preserve"> service in each such office</w:t>
      </w:r>
      <w:r w:rsidR="00EF76C6">
        <w:t xml:space="preserve"> </w:t>
      </w:r>
      <w:r w:rsidR="00EF76C6" w:rsidRPr="00EF76C6">
        <w:t xml:space="preserve">(in addition to the basic pension described in </w:t>
      </w:r>
      <w:r w:rsidR="00EF76C6" w:rsidRPr="001B0B60">
        <w:t xml:space="preserve">paragraphs </w:t>
      </w:r>
      <w:r w:rsidR="009D3D46" w:rsidRPr="00BA5271">
        <w:fldChar w:fldCharType="begin"/>
      </w:r>
      <w:r w:rsidR="009D3D46" w:rsidRPr="00BA5271">
        <w:instrText xml:space="preserve"> REF _Ref433533377 \r \h </w:instrText>
      </w:r>
      <w:r w:rsidR="00837081" w:rsidRPr="00BA5271">
        <w:instrText xml:space="preserve"> \* MERGEFORMAT </w:instrText>
      </w:r>
      <w:r w:rsidR="009D3D46" w:rsidRPr="00BA5271">
        <w:fldChar w:fldCharType="separate"/>
      </w:r>
      <w:r w:rsidR="00DC08F8">
        <w:t>28</w:t>
      </w:r>
      <w:r w:rsidR="009D3D46" w:rsidRPr="00BA5271">
        <w:fldChar w:fldCharType="end"/>
      </w:r>
      <w:r w:rsidR="00EF76C6" w:rsidRPr="001B0B60">
        <w:t xml:space="preserve"> and</w:t>
      </w:r>
      <w:r w:rsidR="009D3D46" w:rsidRPr="001B0B60">
        <w:t xml:space="preserve"> </w:t>
      </w:r>
      <w:r w:rsidR="009D3D46" w:rsidRPr="00BA5271">
        <w:fldChar w:fldCharType="begin"/>
      </w:r>
      <w:r w:rsidR="009D3D46" w:rsidRPr="00BA5271">
        <w:instrText xml:space="preserve"> REF _Ref173419702 \r \h </w:instrText>
      </w:r>
      <w:r w:rsidR="00837081" w:rsidRPr="00BA5271">
        <w:instrText xml:space="preserve"> \* MERGEFORMAT </w:instrText>
      </w:r>
      <w:r w:rsidR="009D3D46" w:rsidRPr="00BA5271">
        <w:fldChar w:fldCharType="separate"/>
      </w:r>
      <w:r w:rsidR="00DC08F8">
        <w:t>29</w:t>
      </w:r>
      <w:r w:rsidR="009D3D46" w:rsidRPr="00BA5271">
        <w:fldChar w:fldCharType="end"/>
      </w:r>
      <w:r w:rsidR="00EF76C6" w:rsidRPr="001B0B60">
        <w:t>)</w:t>
      </w:r>
      <w:r w:rsidRPr="001B0B60">
        <w:t>.</w:t>
      </w:r>
    </w:p>
    <w:p w14:paraId="50B0CF18" w14:textId="60FA8F79" w:rsidR="005B0114" w:rsidRDefault="005B0114" w:rsidP="00D910AB">
      <w:pPr>
        <w:pStyle w:val="NumberedList1"/>
      </w:pPr>
      <w:bookmarkStart w:id="60" w:name="_Ref173137253"/>
      <w:bookmarkStart w:id="61" w:name="_Ref433534411"/>
      <w:r>
        <w:t xml:space="preserve">The </w:t>
      </w:r>
      <w:r w:rsidRPr="005B0114">
        <w:t>additional pension for each office is expressed as a percentage of the Ministerial or office holder salary for that office. The appropriate percentage is obtained by multiplying 6.25 by the number of years the member served in the office. Where a member has served in more than one</w:t>
      </w:r>
      <w:r w:rsidR="00235132">
        <w:t> </w:t>
      </w:r>
      <w:r w:rsidRPr="005B0114">
        <w:t>office, the additional pensions in respect of those offices are aggregated. A parliamentarian’s additional pensions may not total more than 75</w:t>
      </w:r>
      <w:r w:rsidR="002B6F1A">
        <w:t xml:space="preserve">% </w:t>
      </w:r>
      <w:r w:rsidRPr="005B0114">
        <w:t>of the Ministerial or office holder salary for the highest paying office held.</w:t>
      </w:r>
      <w:bookmarkEnd w:id="60"/>
    </w:p>
    <w:bookmarkEnd w:id="61"/>
    <w:p w14:paraId="2B1B1E3F" w14:textId="2F508B90" w:rsidR="00793DDD" w:rsidRDefault="00655DB0" w:rsidP="00D910AB">
      <w:pPr>
        <w:pStyle w:val="NumberedList1"/>
        <w:keepNext/>
        <w:keepLines/>
      </w:pPr>
      <w:r w:rsidRPr="00222960">
        <w:t xml:space="preserve">The </w:t>
      </w:r>
      <w:r w:rsidR="00D1200A">
        <w:t xml:space="preserve">below </w:t>
      </w:r>
      <w:r w:rsidRPr="00222960">
        <w:t xml:space="preserve">example illustrates </w:t>
      </w:r>
      <w:r w:rsidR="00D1200A">
        <w:t xml:space="preserve">the </w:t>
      </w:r>
      <w:r w:rsidR="00792D97" w:rsidRPr="00222960">
        <w:t xml:space="preserve">hypothetical </w:t>
      </w:r>
      <w:r w:rsidRPr="00222960">
        <w:t xml:space="preserve">calculation of the additional pensions for a member who held the office of a Chairman of a Committee for </w:t>
      </w:r>
      <w:r w:rsidR="00792D97">
        <w:t>2</w:t>
      </w:r>
      <w:r w:rsidRPr="00222960">
        <w:t xml:space="preserve"> years, was a Minister in Cabinet for </w:t>
      </w:r>
      <w:r w:rsidR="00BF05CA">
        <w:t>4 </w:t>
      </w:r>
      <w:r w:rsidRPr="00222960">
        <w:t xml:space="preserve">years </w:t>
      </w:r>
      <w:r>
        <w:t xml:space="preserve">and </w:t>
      </w:r>
      <w:r w:rsidRPr="00222960">
        <w:t xml:space="preserve">80 days and </w:t>
      </w:r>
      <w:r>
        <w:t xml:space="preserve">the </w:t>
      </w:r>
      <w:r w:rsidRPr="00222960">
        <w:t>Treasurer for 200 days.</w:t>
      </w:r>
      <w:r>
        <w:t xml:space="preserve"> </w:t>
      </w:r>
      <w:r w:rsidR="003E0F80">
        <w:t>Respectively, t</w:t>
      </w:r>
      <w:r w:rsidRPr="00222960">
        <w:t>he additional pensions</w:t>
      </w:r>
      <w:r w:rsidR="00AA3830">
        <w:t xml:space="preserve"> in respect of </w:t>
      </w:r>
      <w:r w:rsidR="00B222A1">
        <w:t xml:space="preserve">the member’s </w:t>
      </w:r>
      <w:r w:rsidR="00AA3830">
        <w:t xml:space="preserve">service </w:t>
      </w:r>
      <w:r w:rsidRPr="00222960">
        <w:t>would</w:t>
      </w:r>
      <w:r w:rsidR="008C1FD0">
        <w:t xml:space="preserve"> be</w:t>
      </w:r>
      <w:r w:rsidR="00F262F8">
        <w:t xml:space="preserve"> as follows of the current salary</w:t>
      </w:r>
      <w:r w:rsidRPr="00222960">
        <w:t>:</w:t>
      </w:r>
    </w:p>
    <w:p w14:paraId="415718C8" w14:textId="68124B02" w:rsidR="00C941F5" w:rsidRDefault="00CE129A" w:rsidP="00D47029">
      <w:pPr>
        <w:pStyle w:val="Bullet1"/>
      </w:pPr>
      <w:r w:rsidRPr="00521A3C">
        <w:t>respect</w:t>
      </w:r>
      <w:r w:rsidR="00211103">
        <w:t>ive</w:t>
      </w:r>
      <w:r w:rsidRPr="00635320">
        <w:t xml:space="preserve"> of </w:t>
      </w:r>
      <w:r w:rsidRPr="004F1FDF">
        <w:t>service</w:t>
      </w:r>
      <w:r w:rsidRPr="00635320">
        <w:t xml:space="preserve"> as a Chairman of a Committee:</w:t>
      </w:r>
    </w:p>
    <w:p w14:paraId="407329EC" w14:textId="5A4B03ED" w:rsidR="00CE129A" w:rsidRPr="004701F3" w:rsidRDefault="00CE129A" w:rsidP="00A84385">
      <w:pPr>
        <w:pStyle w:val="Boxed1Text"/>
      </w:pPr>
      <w:r w:rsidRPr="004701F3">
        <w:t>6.25</w:t>
      </w:r>
      <w:r w:rsidR="00740F99" w:rsidRPr="004701F3">
        <w:t> × </w:t>
      </w:r>
      <w:r w:rsidRPr="004701F3">
        <w:t>2 years</w:t>
      </w:r>
      <w:r w:rsidR="009B76CA" w:rsidRPr="004701F3">
        <w:t> </w:t>
      </w:r>
      <w:r w:rsidR="00735902" w:rsidRPr="004701F3">
        <w:t>= </w:t>
      </w:r>
      <w:r w:rsidRPr="004701F3">
        <w:t>12.5% of the current salary for a Chairman of a Committee</w:t>
      </w:r>
    </w:p>
    <w:p w14:paraId="2283CBBE" w14:textId="20D484F6" w:rsidR="00C81389" w:rsidRPr="00222960" w:rsidRDefault="00CE129A" w:rsidP="00D47029">
      <w:pPr>
        <w:pStyle w:val="Bullet1"/>
      </w:pPr>
      <w:r w:rsidRPr="00222960">
        <w:t>respect</w:t>
      </w:r>
      <w:r w:rsidR="00211103">
        <w:t>ive</w:t>
      </w:r>
      <w:r w:rsidRPr="00222960">
        <w:t xml:space="preserve"> </w:t>
      </w:r>
      <w:r w:rsidRPr="004F1FDF">
        <w:t>of</w:t>
      </w:r>
      <w:r w:rsidRPr="00222960">
        <w:t xml:space="preserve"> </w:t>
      </w:r>
      <w:r w:rsidRPr="009B76CA">
        <w:t>service</w:t>
      </w:r>
      <w:r w:rsidRPr="00222960">
        <w:t xml:space="preserve"> as a Minister in Cabinet:</w:t>
      </w:r>
    </w:p>
    <w:p w14:paraId="597890F9" w14:textId="46CFB530" w:rsidR="00CE129A" w:rsidRPr="004701F3" w:rsidRDefault="00CE129A" w:rsidP="00A84385">
      <w:pPr>
        <w:pStyle w:val="Boxed1Text"/>
      </w:pPr>
      <w:r w:rsidRPr="004701F3">
        <w:t>6.25</w:t>
      </w:r>
      <w:r w:rsidR="00740F99" w:rsidRPr="004701F3">
        <w:t> × </w:t>
      </w:r>
      <w:r w:rsidRPr="004701F3">
        <w:t>(4</w:t>
      </w:r>
      <w:r w:rsidR="00740F99" w:rsidRPr="004701F3">
        <w:t> </w:t>
      </w:r>
      <w:r w:rsidRPr="004701F3">
        <w:t>years</w:t>
      </w:r>
      <w:r w:rsidR="00740F99" w:rsidRPr="004701F3">
        <w:t> </w:t>
      </w:r>
      <w:r w:rsidR="0010306A" w:rsidRPr="004701F3">
        <w:t>+</w:t>
      </w:r>
      <w:r w:rsidR="00740F99" w:rsidRPr="004701F3">
        <w:t> </w:t>
      </w:r>
      <w:r w:rsidRPr="004701F3">
        <w:t>(80</w:t>
      </w:r>
      <w:r w:rsidR="0010306A" w:rsidRPr="004701F3">
        <w:t> </w:t>
      </w:r>
      <w:r w:rsidRPr="004701F3">
        <w:t>days</w:t>
      </w:r>
      <w:r w:rsidR="0010306A" w:rsidRPr="004701F3">
        <w:t> ÷ </w:t>
      </w:r>
      <w:r w:rsidRPr="004701F3">
        <w:t>365))</w:t>
      </w:r>
      <w:r w:rsidR="006D5D89" w:rsidRPr="004701F3">
        <w:t> = </w:t>
      </w:r>
      <w:r w:rsidRPr="004701F3">
        <w:t>26.37% of the current salary for a Minister in Cabinet</w:t>
      </w:r>
    </w:p>
    <w:p w14:paraId="015E755B" w14:textId="13FDA72A" w:rsidR="00CE129A" w:rsidRPr="00222960" w:rsidRDefault="00CE129A" w:rsidP="00D47029">
      <w:pPr>
        <w:pStyle w:val="Bullet1"/>
      </w:pPr>
      <w:r w:rsidRPr="00222960">
        <w:t>respect</w:t>
      </w:r>
      <w:r w:rsidR="00211103">
        <w:t>ive</w:t>
      </w:r>
      <w:r w:rsidRPr="00222960">
        <w:t xml:space="preserve"> of </w:t>
      </w:r>
      <w:r w:rsidRPr="003129C0">
        <w:t>service</w:t>
      </w:r>
      <w:r w:rsidRPr="00222960">
        <w:t xml:space="preserve"> as </w:t>
      </w:r>
      <w:r>
        <w:t xml:space="preserve">the </w:t>
      </w:r>
      <w:r w:rsidRPr="00222960">
        <w:t>Treasurer:</w:t>
      </w:r>
    </w:p>
    <w:p w14:paraId="1FC8CFD2" w14:textId="1D49ED4F" w:rsidR="00CE129A" w:rsidRPr="004701F3" w:rsidRDefault="00277836" w:rsidP="00A84385">
      <w:pPr>
        <w:pStyle w:val="Boxed1Text"/>
      </w:pPr>
      <w:r w:rsidRPr="004701F3">
        <w:t>6.25 × </w:t>
      </w:r>
      <w:r w:rsidR="00765F29" w:rsidRPr="004701F3">
        <w:t>(200</w:t>
      </w:r>
      <w:r w:rsidR="005E2E22" w:rsidRPr="004701F3">
        <w:t> </w:t>
      </w:r>
      <w:r w:rsidR="00765F29" w:rsidRPr="004701F3">
        <w:t>days</w:t>
      </w:r>
      <w:r w:rsidR="0010306A" w:rsidRPr="004701F3">
        <w:t> ÷ </w:t>
      </w:r>
      <w:r w:rsidR="00765F29" w:rsidRPr="004701F3">
        <w:t>365</w:t>
      </w:r>
      <w:r w:rsidR="00CE129A" w:rsidRPr="004701F3">
        <w:t>)</w:t>
      </w:r>
      <w:r w:rsidR="006D5D89" w:rsidRPr="004701F3">
        <w:t> = </w:t>
      </w:r>
      <w:r w:rsidR="00CE129A" w:rsidRPr="004701F3">
        <w:t>3.425% of the current salary for the Treasurer</w:t>
      </w:r>
    </w:p>
    <w:p w14:paraId="2E12E882" w14:textId="5216C464" w:rsidR="00655DB0" w:rsidRPr="00222960" w:rsidRDefault="00655DB0" w:rsidP="00A15515">
      <w:pPr>
        <w:pStyle w:val="NumberedList1"/>
      </w:pPr>
      <w:r w:rsidRPr="00222960">
        <w:t xml:space="preserve">The member would be entitled to receive the aggregate of the additional pensions in respect of </w:t>
      </w:r>
      <w:r w:rsidR="009F0439">
        <w:t>their</w:t>
      </w:r>
      <w:r w:rsidRPr="00222960">
        <w:t xml:space="preserve"> service as a Minister in Cabinet and the Treasurer, provided this amount does not exceed </w:t>
      </w:r>
      <w:r w:rsidR="004204BD" w:rsidRPr="00222960">
        <w:t>75</w:t>
      </w:r>
      <w:r w:rsidR="002878AE">
        <w:t>%</w:t>
      </w:r>
      <w:r w:rsidRPr="00222960">
        <w:t xml:space="preserve"> of the salary for the Treasurer (the position with the highest salary of the </w:t>
      </w:r>
      <w:r w:rsidR="00DA4C30">
        <w:t>3</w:t>
      </w:r>
      <w:r w:rsidR="00994376">
        <w:t> </w:t>
      </w:r>
      <w:r w:rsidRPr="00222960">
        <w:t>positions).</w:t>
      </w:r>
    </w:p>
    <w:p w14:paraId="266E7F3F" w14:textId="14BC6E75" w:rsidR="00655DB0" w:rsidRPr="00094AA9" w:rsidRDefault="00094AA9" w:rsidP="00D47029">
      <w:pPr>
        <w:pStyle w:val="Heading3"/>
      </w:pPr>
      <w:bookmarkStart w:id="62" w:name="_Toc185937483"/>
      <w:r w:rsidRPr="7E723D24">
        <w:lastRenderedPageBreak/>
        <w:t xml:space="preserve">Taxation of </w:t>
      </w:r>
      <w:r w:rsidR="003F79E1" w:rsidRPr="7E723D24">
        <w:t>benefits</w:t>
      </w:r>
      <w:bookmarkEnd w:id="62"/>
    </w:p>
    <w:p w14:paraId="78145A51" w14:textId="7F5531CE" w:rsidR="00655DB0" w:rsidRPr="00A630AE" w:rsidRDefault="00D1200A" w:rsidP="00A15515">
      <w:pPr>
        <w:pStyle w:val="NumberedList1"/>
      </w:pPr>
      <w:r w:rsidRPr="00A630AE">
        <w:t xml:space="preserve">Members </w:t>
      </w:r>
      <w:r w:rsidR="000C6273" w:rsidRPr="00A630AE">
        <w:t xml:space="preserve">who </w:t>
      </w:r>
      <w:r w:rsidR="00655DB0" w:rsidRPr="00A630AE">
        <w:t>60</w:t>
      </w:r>
      <w:r w:rsidR="00174B1D" w:rsidRPr="00A630AE">
        <w:t> </w:t>
      </w:r>
      <w:r w:rsidR="00655DB0" w:rsidRPr="00A630AE">
        <w:t>years</w:t>
      </w:r>
      <w:r w:rsidR="00174B1D" w:rsidRPr="00A630AE">
        <w:t> </w:t>
      </w:r>
      <w:r w:rsidR="00655DB0" w:rsidRPr="00A630AE">
        <w:t>of</w:t>
      </w:r>
      <w:r w:rsidR="00174B1D" w:rsidRPr="00A630AE">
        <w:t> </w:t>
      </w:r>
      <w:r w:rsidR="00655DB0" w:rsidRPr="00A630AE">
        <w:t>age</w:t>
      </w:r>
      <w:r w:rsidR="00174B1D" w:rsidRPr="00A630AE">
        <w:t xml:space="preserve"> or older</w:t>
      </w:r>
      <w:r w:rsidR="00655DB0" w:rsidRPr="00A630AE">
        <w:t xml:space="preserve"> m</w:t>
      </w:r>
      <w:r w:rsidR="00174B1D" w:rsidRPr="00A630AE">
        <w:t xml:space="preserve">ay qualify </w:t>
      </w:r>
      <w:r w:rsidR="009C3FD2" w:rsidRPr="00A630AE">
        <w:t xml:space="preserve">for a 10% </w:t>
      </w:r>
      <w:r w:rsidR="004C120B" w:rsidRPr="00A630AE">
        <w:t>tax offset relative to the portion of their annual pension</w:t>
      </w:r>
      <w:r w:rsidR="004B145B" w:rsidRPr="00A630AE">
        <w:t xml:space="preserve"> that is belo</w:t>
      </w:r>
      <w:r w:rsidR="00077D35" w:rsidRPr="00A630AE">
        <w:t xml:space="preserve">w </w:t>
      </w:r>
      <w:r w:rsidR="004B145B" w:rsidRPr="00A630AE">
        <w:t xml:space="preserve">the </w:t>
      </w:r>
      <w:r w:rsidR="0096184D" w:rsidRPr="00A630AE">
        <w:t>defined benefit income cap</w:t>
      </w:r>
      <w:r w:rsidR="00655DB0" w:rsidRPr="00A630AE">
        <w:t xml:space="preserve"> </w:t>
      </w:r>
      <w:r w:rsidR="00EE6991" w:rsidRPr="00A630AE">
        <w:t>of</w:t>
      </w:r>
      <w:r w:rsidR="00335A94" w:rsidRPr="00A630AE">
        <w:t xml:space="preserve"> </w:t>
      </w:r>
      <w:r w:rsidR="00655DB0" w:rsidRPr="00A630AE">
        <w:t>$118,750</w:t>
      </w:r>
      <w:r w:rsidR="30398EB6" w:rsidRPr="00A630AE">
        <w:t xml:space="preserve"> as at 1 July 2024</w:t>
      </w:r>
      <w:r w:rsidR="00077D35" w:rsidRPr="00A630AE">
        <w:t>.</w:t>
      </w:r>
      <w:r w:rsidR="00655DB0" w:rsidRPr="00A630AE">
        <w:t xml:space="preserve"> </w:t>
      </w:r>
      <w:r w:rsidR="002B1E05" w:rsidRPr="00A630AE">
        <w:t>However, this tax offset is dependent on the tax</w:t>
      </w:r>
      <w:r w:rsidR="009C48BC" w:rsidRPr="00A630AE">
        <w:noBreakHyphen/>
      </w:r>
      <w:r w:rsidR="002B1E05" w:rsidRPr="00A630AE">
        <w:t>free and untaxed amounts. Any pension amount exceeding this threshold will not be eligible for the 10%</w:t>
      </w:r>
      <w:r w:rsidR="00356B67">
        <w:t> </w:t>
      </w:r>
      <w:r w:rsidR="002B1E05" w:rsidRPr="00A630AE">
        <w:t>tax offset.</w:t>
      </w:r>
    </w:p>
    <w:p w14:paraId="3FD9CBBD" w14:textId="6FBBDDBE" w:rsidR="00655DB0" w:rsidRPr="00A630AE" w:rsidRDefault="00655DB0" w:rsidP="00A15515">
      <w:pPr>
        <w:pStyle w:val="NumberedList1"/>
      </w:pPr>
      <w:r w:rsidRPr="00A630AE">
        <w:t>The threshold reduce</w:t>
      </w:r>
      <w:r w:rsidR="00287AFF" w:rsidRPr="00A630AE">
        <w:t>s</w:t>
      </w:r>
      <w:r w:rsidRPr="00A630AE">
        <w:t xml:space="preserve"> whe</w:t>
      </w:r>
      <w:r w:rsidR="00287AFF" w:rsidRPr="00A630AE">
        <w:t>n</w:t>
      </w:r>
      <w:r w:rsidRPr="00A630AE">
        <w:t xml:space="preserve"> a pension commenc</w:t>
      </w:r>
      <w:r w:rsidR="000B46D3" w:rsidRPr="00A630AE">
        <w:t xml:space="preserve">es </w:t>
      </w:r>
      <w:r w:rsidRPr="00A630AE">
        <w:t>part way through a financial year.</w:t>
      </w:r>
    </w:p>
    <w:p w14:paraId="2169E44F" w14:textId="25E01E27" w:rsidR="00655DB0" w:rsidRPr="00A630AE" w:rsidRDefault="00835E5B" w:rsidP="00A15515">
      <w:pPr>
        <w:pStyle w:val="NumberedList1"/>
      </w:pPr>
      <w:r w:rsidRPr="00A630AE">
        <w:t xml:space="preserve">For </w:t>
      </w:r>
      <w:r w:rsidR="00655DB0" w:rsidRPr="00A630AE">
        <w:t>member</w:t>
      </w:r>
      <w:r w:rsidRPr="00A630AE">
        <w:t>s</w:t>
      </w:r>
      <w:r w:rsidR="00655DB0" w:rsidRPr="00A630AE">
        <w:t xml:space="preserve"> </w:t>
      </w:r>
      <w:r w:rsidRPr="00A630AE">
        <w:t xml:space="preserve">who are </w:t>
      </w:r>
      <w:r w:rsidR="00655DB0" w:rsidRPr="00A630AE">
        <w:t>under 60</w:t>
      </w:r>
      <w:r w:rsidR="003F511D" w:rsidRPr="00A630AE">
        <w:t> </w:t>
      </w:r>
      <w:r w:rsidR="00655DB0" w:rsidRPr="00A630AE">
        <w:t>years</w:t>
      </w:r>
      <w:r w:rsidR="003F511D" w:rsidRPr="00A630AE">
        <w:t> </w:t>
      </w:r>
      <w:r w:rsidR="00655DB0" w:rsidRPr="00A630AE">
        <w:t>of</w:t>
      </w:r>
      <w:r w:rsidR="003F511D" w:rsidRPr="00A630AE">
        <w:t> </w:t>
      </w:r>
      <w:r w:rsidR="00655DB0" w:rsidRPr="00A630AE">
        <w:t>age, the tax</w:t>
      </w:r>
      <w:r w:rsidR="00AA5754" w:rsidRPr="00A630AE">
        <w:noBreakHyphen/>
      </w:r>
      <w:r w:rsidR="00655DB0" w:rsidRPr="00A630AE">
        <w:t>free amount is not assessable income. The untaxed amount of the pension is included as assessable income and taxed at the marginal tax rates. No tax offset is payable.</w:t>
      </w:r>
    </w:p>
    <w:p w14:paraId="76686B96" w14:textId="25ABEF17" w:rsidR="00655DB0" w:rsidRPr="00A630AE" w:rsidRDefault="00655DB0" w:rsidP="00D47029">
      <w:pPr>
        <w:pStyle w:val="Heading3"/>
      </w:pPr>
      <w:bookmarkStart w:id="63" w:name="_Toc185937484"/>
      <w:r w:rsidRPr="00A630AE">
        <w:t>T</w:t>
      </w:r>
      <w:r w:rsidR="00094AA9" w:rsidRPr="00A630AE">
        <w:t xml:space="preserve">ransfer </w:t>
      </w:r>
      <w:r w:rsidR="003F79E1" w:rsidRPr="00A630AE">
        <w:t>balance cap</w:t>
      </w:r>
      <w:bookmarkEnd w:id="63"/>
    </w:p>
    <w:p w14:paraId="1EF43EDF" w14:textId="1581FA0B" w:rsidR="00655DB0" w:rsidRPr="00222960" w:rsidRDefault="00655DB0" w:rsidP="00A15515">
      <w:pPr>
        <w:pStyle w:val="NumberedList1"/>
      </w:pPr>
      <w:r w:rsidRPr="00A630AE">
        <w:t>The transfer balance cap was introduced on 1</w:t>
      </w:r>
      <w:r w:rsidR="003F511D" w:rsidRPr="00A630AE">
        <w:t> </w:t>
      </w:r>
      <w:r w:rsidRPr="00A630AE">
        <w:t>July</w:t>
      </w:r>
      <w:r w:rsidR="003F511D" w:rsidRPr="00A630AE">
        <w:t> </w:t>
      </w:r>
      <w:r w:rsidRPr="00A630AE">
        <w:t xml:space="preserve">2017. It is a lifetime limit on the total amount of superannuation that can be transferred into retirement phase income streams, including most pensions and annuities. PCSS pensions are counted towards </w:t>
      </w:r>
      <w:r w:rsidR="00DE6EC9" w:rsidRPr="00A630AE">
        <w:t>the</w:t>
      </w:r>
      <w:r w:rsidRPr="00A630AE">
        <w:t xml:space="preserve"> transfer balance cap (currently $1.9</w:t>
      </w:r>
      <w:r w:rsidR="003F511D" w:rsidRPr="00A630AE">
        <w:t> </w:t>
      </w:r>
      <w:r w:rsidRPr="00A630AE">
        <w:t>million).</w:t>
      </w:r>
      <w:r w:rsidR="00B457F3" w:rsidRPr="00A630AE">
        <w:rPr>
          <w:rStyle w:val="FootnoteReference"/>
        </w:rPr>
        <w:footnoteReference w:id="9"/>
      </w:r>
      <w:r w:rsidRPr="00A630AE">
        <w:t xml:space="preserve"> Where the value of the pension exceeds the transfer balance cap, there may be tax implications for other superannuation interests a pensioner holds. The transfer balance cap applies to those receiving a pension from the PCSS, or when a pension commences</w:t>
      </w:r>
      <w:r w:rsidRPr="00222960">
        <w:t xml:space="preserve"> to be paid from the </w:t>
      </w:r>
      <w:r>
        <w:t>PCSS</w:t>
      </w:r>
      <w:r w:rsidRPr="00222960">
        <w:t>.</w:t>
      </w:r>
    </w:p>
    <w:p w14:paraId="1B1CC1B6" w14:textId="21EB312C" w:rsidR="00655DB0" w:rsidRPr="00222960" w:rsidRDefault="00655DB0" w:rsidP="00A15515">
      <w:pPr>
        <w:pStyle w:val="NumberedList1"/>
      </w:pPr>
      <w:r w:rsidRPr="00222960">
        <w:t xml:space="preserve">Finance will calculate a value for a pension being paid from the PCSS and report this to the </w:t>
      </w:r>
      <w:r>
        <w:t>ATO</w:t>
      </w:r>
      <w:r w:rsidRPr="00222960">
        <w:t>. A pension will not have a new value calculated each time the pension increases. Generally, only the commencing value (or the value at 30</w:t>
      </w:r>
      <w:r w:rsidR="003F511D">
        <w:t> </w:t>
      </w:r>
      <w:r w:rsidRPr="00222960">
        <w:t>June</w:t>
      </w:r>
      <w:r w:rsidR="003F511D">
        <w:t> </w:t>
      </w:r>
      <w:r w:rsidR="008C1494">
        <w:t>2</w:t>
      </w:r>
      <w:r w:rsidRPr="00222960">
        <w:t>017 for existing pensioners) will be reported ag</w:t>
      </w:r>
      <w:r>
        <w:t>ainst the transfer balance cap.</w:t>
      </w:r>
    </w:p>
    <w:p w14:paraId="39402EA5" w14:textId="4ADDC818" w:rsidR="00655DB0" w:rsidRPr="00222960" w:rsidRDefault="00094AA9" w:rsidP="00D47029">
      <w:pPr>
        <w:pStyle w:val="Heading2"/>
      </w:pPr>
      <w:bookmarkStart w:id="64" w:name="_Toc112847606"/>
      <w:bookmarkStart w:id="65" w:name="_Toc149307224"/>
      <w:bookmarkStart w:id="66" w:name="_Toc185937485"/>
      <w:r>
        <w:t xml:space="preserve">Superannuation </w:t>
      </w:r>
      <w:r w:rsidR="00D47029" w:rsidRPr="00D47029">
        <w:t xml:space="preserve">contributions </w:t>
      </w:r>
      <w:r w:rsidR="002954C2">
        <w:t>surcharge</w:t>
      </w:r>
      <w:bookmarkEnd w:id="64"/>
      <w:bookmarkEnd w:id="65"/>
      <w:bookmarkEnd w:id="66"/>
    </w:p>
    <w:p w14:paraId="1621E1AB" w14:textId="7D71F31D" w:rsidR="00405CDC" w:rsidRPr="00405CDC" w:rsidRDefault="00405CDC" w:rsidP="00A15515">
      <w:pPr>
        <w:pStyle w:val="NumberedList1"/>
      </w:pPr>
      <w:bookmarkStart w:id="67" w:name="_Ref172725916"/>
      <w:r w:rsidRPr="00405CDC">
        <w:t xml:space="preserve">The superannuation surcharge legislation imposed a surcharge on a member’s surchargeable contributions, where the member’s adjusted taxable income, </w:t>
      </w:r>
      <w:r w:rsidR="002E3EDE">
        <w:t xml:space="preserve">that is </w:t>
      </w:r>
      <w:r w:rsidRPr="00405CDC">
        <w:t>adjusted taxable income plus surchargeable contributions is greater than the surcharge threshold. In 1996</w:t>
      </w:r>
      <w:r w:rsidR="007A57D5">
        <w:noBreakHyphen/>
      </w:r>
      <w:r w:rsidRPr="00405CDC">
        <w:t>97 the minimum threshold was $70,000 and had risen to $99,710 for the year 2004</w:t>
      </w:r>
      <w:r w:rsidR="001B7862" w:rsidDel="007A57D5">
        <w:noBreakHyphen/>
      </w:r>
      <w:r w:rsidRPr="00405CDC">
        <w:t>05. For 1996</w:t>
      </w:r>
      <w:r w:rsidR="001B7862" w:rsidDel="007A57D5">
        <w:noBreakHyphen/>
      </w:r>
      <w:r w:rsidRPr="00405CDC">
        <w:t>97, the full 15</w:t>
      </w:r>
      <w:r w:rsidR="001B7862">
        <w:t xml:space="preserve">% </w:t>
      </w:r>
      <w:r w:rsidRPr="00405CDC">
        <w:t>surcharge only applied where the member’s adjusted taxable income was $85,000 or more. The corresponding amount for 2004</w:t>
      </w:r>
      <w:r w:rsidR="001D4E8F" w:rsidDel="007A57D5">
        <w:noBreakHyphen/>
      </w:r>
      <w:r w:rsidRPr="00405CDC">
        <w:t>05 is $121,075.</w:t>
      </w:r>
    </w:p>
    <w:p w14:paraId="2CDB091B" w14:textId="1AC93A65" w:rsidR="00405CDC" w:rsidRPr="00405CDC" w:rsidRDefault="00405CDC" w:rsidP="00A15515">
      <w:pPr>
        <w:pStyle w:val="NumberedList1"/>
      </w:pPr>
      <w:r w:rsidRPr="00405CDC">
        <w:t>The maximum surcharge rates are:</w:t>
      </w:r>
      <w:r w:rsidR="00251D9C">
        <w:rPr>
          <w:rStyle w:val="FootnoteReference"/>
        </w:rPr>
        <w:footnoteReference w:id="10"/>
      </w:r>
    </w:p>
    <w:p w14:paraId="69F91C2F" w14:textId="2E752684" w:rsidR="00405CDC" w:rsidRPr="00405CDC" w:rsidRDefault="00405CDC" w:rsidP="00D47029">
      <w:pPr>
        <w:pStyle w:val="Bullet1"/>
      </w:pPr>
      <w:r w:rsidRPr="00405CDC">
        <w:t xml:space="preserve">15% from </w:t>
      </w:r>
      <w:r w:rsidRPr="009264B2">
        <w:t>1996</w:t>
      </w:r>
      <w:r w:rsidR="001D4E8F" w:rsidDel="00300EF4">
        <w:noBreakHyphen/>
      </w:r>
      <w:r w:rsidRPr="00405CDC">
        <w:t>97 to 2002</w:t>
      </w:r>
      <w:r w:rsidR="001D4E8F" w:rsidDel="00300EF4">
        <w:noBreakHyphen/>
      </w:r>
      <w:r w:rsidRPr="00405CDC">
        <w:t>03</w:t>
      </w:r>
    </w:p>
    <w:p w14:paraId="14BB2CF0" w14:textId="5F53690C" w:rsidR="00405CDC" w:rsidRPr="00405CDC" w:rsidRDefault="00405CDC" w:rsidP="00D47029">
      <w:pPr>
        <w:pStyle w:val="Bullet1"/>
      </w:pPr>
      <w:r w:rsidRPr="00405CDC">
        <w:t>14.5% in 2003</w:t>
      </w:r>
      <w:r w:rsidR="001D4E8F" w:rsidDel="00300EF4">
        <w:noBreakHyphen/>
      </w:r>
      <w:r w:rsidRPr="00405CDC">
        <w:t>04</w:t>
      </w:r>
    </w:p>
    <w:p w14:paraId="6BB7C24F" w14:textId="1DF1DC0F" w:rsidR="00405CDC" w:rsidRPr="00405CDC" w:rsidRDefault="00405CDC" w:rsidP="00D47029">
      <w:pPr>
        <w:pStyle w:val="Bullet1"/>
      </w:pPr>
      <w:r w:rsidRPr="00405CDC">
        <w:t>12.5% in 2004</w:t>
      </w:r>
      <w:r w:rsidR="001D4E8F" w:rsidDel="00300EF4">
        <w:noBreakHyphen/>
      </w:r>
      <w:r w:rsidRPr="00405CDC">
        <w:t>05</w:t>
      </w:r>
      <w:r w:rsidR="00FD67E4">
        <w:t>.</w:t>
      </w:r>
    </w:p>
    <w:p w14:paraId="0BAE9E8A" w14:textId="5D6411F2" w:rsidR="00405CDC" w:rsidRPr="00405CDC" w:rsidRDefault="00405CDC" w:rsidP="00A15515">
      <w:pPr>
        <w:pStyle w:val="NumberedList1"/>
      </w:pPr>
      <w:r w:rsidRPr="00405CDC">
        <w:lastRenderedPageBreak/>
        <w:t>Superannuation accrued during the superannuation surcharge period f</w:t>
      </w:r>
      <w:r w:rsidR="00EB1532">
        <w:t>rom</w:t>
      </w:r>
      <w:r w:rsidRPr="00405CDC">
        <w:t xml:space="preserve"> 20</w:t>
      </w:r>
      <w:r w:rsidR="001D4E8F">
        <w:t> </w:t>
      </w:r>
      <w:r w:rsidRPr="00405CDC">
        <w:t>August</w:t>
      </w:r>
      <w:r w:rsidR="001D4E8F">
        <w:t> </w:t>
      </w:r>
      <w:r w:rsidRPr="00405CDC">
        <w:t>1996 to 30 June 2005 will have surchargeable contributions which may result in an assessment being issued by the ATO.</w:t>
      </w:r>
    </w:p>
    <w:p w14:paraId="4504D912" w14:textId="77777777" w:rsidR="00405CDC" w:rsidRPr="00405CDC" w:rsidRDefault="00405CDC" w:rsidP="00A15515">
      <w:pPr>
        <w:pStyle w:val="NumberedList1"/>
      </w:pPr>
      <w:r w:rsidRPr="00405CDC">
        <w:t>The PCSS, like other defined benefit schemes, applies a Notional Surchargeable Contributions Factor (NSCF) developed by the Scheme’s actuary to derive the surchargeable “employer” contributions. The NSCF represents the cost of “employer financed” benefits accruing in respect of the member.</w:t>
      </w:r>
    </w:p>
    <w:p w14:paraId="66085634" w14:textId="124979DE" w:rsidR="00405CDC" w:rsidRPr="00405CDC" w:rsidRDefault="00405CDC" w:rsidP="00A15515">
      <w:pPr>
        <w:pStyle w:val="NumberedList1"/>
      </w:pPr>
      <w:r w:rsidRPr="00405CDC">
        <w:t xml:space="preserve">Members are identified for surcharge purposes by their </w:t>
      </w:r>
      <w:r w:rsidR="009F7160" w:rsidRPr="00363205">
        <w:t>Tax File Number</w:t>
      </w:r>
      <w:r w:rsidR="0017349A">
        <w:t>. T</w:t>
      </w:r>
      <w:r w:rsidRPr="00405CDC">
        <w:t>he ATO cross</w:t>
      </w:r>
      <w:r w:rsidR="005D3EC6">
        <w:noBreakHyphen/>
      </w:r>
      <w:r w:rsidRPr="00405CDC">
        <w:t xml:space="preserve">matches the information supplied by Finance with tax returns lodged by taxpayers. The ATO </w:t>
      </w:r>
      <w:r w:rsidR="0017349A">
        <w:t xml:space="preserve">then </w:t>
      </w:r>
      <w:r w:rsidRPr="00405CDC">
        <w:t xml:space="preserve">determines the member’s adjusted taxable income, calculates a surcharge (if applicable), advises the member directly and forwards a report to </w:t>
      </w:r>
      <w:r w:rsidR="00840A29">
        <w:t>Finance as the PCSS administrator</w:t>
      </w:r>
      <w:r w:rsidRPr="00405CDC">
        <w:t>.</w:t>
      </w:r>
    </w:p>
    <w:p w14:paraId="68DFEF2A" w14:textId="6C542A4D" w:rsidR="00405CDC" w:rsidRPr="00405CDC" w:rsidRDefault="00405CDC" w:rsidP="00A15515">
      <w:pPr>
        <w:pStyle w:val="NumberedList1"/>
      </w:pPr>
      <w:r w:rsidRPr="00405CDC">
        <w:t xml:space="preserve">Finance maintains a surcharge debt account for each member which accumulates all surcharge assessments during the member’s period of membership. Interest at the </w:t>
      </w:r>
      <w:r w:rsidR="00CA5052">
        <w:t>10</w:t>
      </w:r>
      <w:r w:rsidR="00CA5052">
        <w:noBreakHyphen/>
      </w:r>
      <w:r w:rsidRPr="00405CDC">
        <w:t>year Treasury bond rate is also applied to the balance of this account at the end of each financial year.</w:t>
      </w:r>
    </w:p>
    <w:p w14:paraId="71E71C22" w14:textId="1CCD607A" w:rsidR="00405CDC" w:rsidRPr="00405CDC" w:rsidRDefault="00405CDC" w:rsidP="00A15515">
      <w:pPr>
        <w:pStyle w:val="NumberedList1"/>
      </w:pPr>
      <w:r w:rsidRPr="00405CDC">
        <w:t xml:space="preserve">When a benefit becomes payable, the total amount </w:t>
      </w:r>
      <w:r w:rsidR="008621FA" w:rsidRPr="00405CDC">
        <w:t xml:space="preserve">accrued </w:t>
      </w:r>
      <w:r w:rsidRPr="00405CDC">
        <w:t xml:space="preserve">in the surcharge debt account </w:t>
      </w:r>
      <w:r w:rsidR="001F72C7">
        <w:t>is</w:t>
      </w:r>
      <w:r w:rsidRPr="00405CDC">
        <w:t xml:space="preserve"> paid to the ATO and the member’s benefit reduced, having regard to the accumulated surcharge debt. Alternatively, members may choose to pay any surcharge liability as it accrues, directly to Finance for on</w:t>
      </w:r>
      <w:r w:rsidR="00E41599">
        <w:noBreakHyphen/>
      </w:r>
      <w:r w:rsidRPr="00405CDC">
        <w:t>forwarding to the ATO. In this case, the amount paid will be credited to the member’s surcharge debt account and the member advised of the revised balance of that account.</w:t>
      </w:r>
    </w:p>
    <w:p w14:paraId="4A2F4A8C" w14:textId="0DFAE431" w:rsidR="00405CDC" w:rsidRPr="00405CDC" w:rsidRDefault="00405CDC" w:rsidP="00A15515">
      <w:pPr>
        <w:pStyle w:val="NumberedList1"/>
      </w:pPr>
      <w:r w:rsidRPr="00405CDC">
        <w:t>A member’s benefit must not be reduced by more than the maximum surcharge rate for each financial year, applied to the employer</w:t>
      </w:r>
      <w:r w:rsidR="00EC3F2B">
        <w:noBreakHyphen/>
      </w:r>
      <w:r w:rsidRPr="00405CDC">
        <w:t>financed component of the benefit accrued for that year by the member since 20 </w:t>
      </w:r>
      <w:r w:rsidR="001265A0" w:rsidRPr="00405CDC">
        <w:t>August</w:t>
      </w:r>
      <w:r w:rsidR="001265A0">
        <w:t> </w:t>
      </w:r>
      <w:r w:rsidRPr="00405CDC">
        <w:t xml:space="preserve">1996, </w:t>
      </w:r>
      <w:r w:rsidR="00EC3F2B">
        <w:t xml:space="preserve">respective of </w:t>
      </w:r>
      <w:r w:rsidRPr="00405CDC">
        <w:t xml:space="preserve">the date the superannuation surcharge was introduced. The reduction in benefit will be made in accordance with the methodology agreed by the Trust on the advice of an </w:t>
      </w:r>
      <w:r w:rsidR="00E319C4">
        <w:t>a</w:t>
      </w:r>
      <w:r w:rsidR="00E319C4" w:rsidRPr="00405CDC">
        <w:t>ctuary</w:t>
      </w:r>
      <w:r w:rsidRPr="00405CDC">
        <w:t>.</w:t>
      </w:r>
    </w:p>
    <w:p w14:paraId="569553E2" w14:textId="020CDCE6" w:rsidR="000E0457" w:rsidRPr="00222960" w:rsidRDefault="0076543F" w:rsidP="00D47029">
      <w:pPr>
        <w:pStyle w:val="Heading2"/>
      </w:pPr>
      <w:bookmarkStart w:id="68" w:name="_Ref173250242"/>
      <w:bookmarkStart w:id="69" w:name="_Toc185937486"/>
      <w:r>
        <w:t>Division 293 </w:t>
      </w:r>
      <w:r w:rsidR="000E0457">
        <w:t>tax</w:t>
      </w:r>
      <w:bookmarkEnd w:id="67"/>
      <w:bookmarkEnd w:id="68"/>
      <w:bookmarkEnd w:id="69"/>
    </w:p>
    <w:p w14:paraId="0676F796" w14:textId="6D10E44B" w:rsidR="00655DB0" w:rsidRPr="00222960" w:rsidRDefault="00EE1607" w:rsidP="00A15515">
      <w:pPr>
        <w:pStyle w:val="NumberedList1"/>
      </w:pPr>
      <w:bookmarkStart w:id="70" w:name="_Ref172725978"/>
      <w:r>
        <w:t>Division</w:t>
      </w:r>
      <w:r w:rsidR="001553B5">
        <w:t> </w:t>
      </w:r>
      <w:r>
        <w:t>293</w:t>
      </w:r>
      <w:r w:rsidR="001553B5">
        <w:t> </w:t>
      </w:r>
      <w:r>
        <w:t>tax</w:t>
      </w:r>
      <w:r w:rsidR="00655DB0" w:rsidRPr="00222960">
        <w:t xml:space="preserve"> </w:t>
      </w:r>
      <w:r w:rsidR="005E0E8A">
        <w:t xml:space="preserve">is an additional tax on </w:t>
      </w:r>
      <w:r w:rsidR="00655DB0" w:rsidRPr="00222960">
        <w:t xml:space="preserve">superannuation </w:t>
      </w:r>
      <w:r w:rsidR="005E0E8A">
        <w:t xml:space="preserve">contributions, reducing the </w:t>
      </w:r>
      <w:r w:rsidR="009115F0">
        <w:t xml:space="preserve">tax </w:t>
      </w:r>
      <w:r w:rsidR="00655DB0" w:rsidRPr="00222960">
        <w:t>concession</w:t>
      </w:r>
      <w:r w:rsidR="009115F0">
        <w:t xml:space="preserve"> </w:t>
      </w:r>
      <w:r w:rsidR="00655DB0" w:rsidRPr="00222960">
        <w:t>f</w:t>
      </w:r>
      <w:r w:rsidR="009115F0">
        <w:t>or</w:t>
      </w:r>
      <w:r w:rsidR="00040938">
        <w:t xml:space="preserve"> individuals whose combined </w:t>
      </w:r>
      <w:r w:rsidR="00655DB0" w:rsidRPr="00222960">
        <w:t xml:space="preserve">income </w:t>
      </w:r>
      <w:r w:rsidR="00040938">
        <w:t xml:space="preserve">and </w:t>
      </w:r>
      <w:r w:rsidR="00655DB0" w:rsidRPr="00222960">
        <w:t>concessional contributions</w:t>
      </w:r>
      <w:r w:rsidR="001904CA">
        <w:t xml:space="preserve"> </w:t>
      </w:r>
      <w:r w:rsidR="005151B3">
        <w:t xml:space="preserve">total </w:t>
      </w:r>
      <w:r w:rsidR="001904CA">
        <w:t>more than $250,000</w:t>
      </w:r>
      <w:r w:rsidR="00655DB0">
        <w:t>.</w:t>
      </w:r>
      <w:bookmarkEnd w:id="70"/>
    </w:p>
    <w:p w14:paraId="1D04FB54" w14:textId="54A7500B" w:rsidR="00655DB0" w:rsidRDefault="00655DB0" w:rsidP="00A15515">
      <w:pPr>
        <w:pStyle w:val="NumberedList1"/>
      </w:pPr>
      <w:r w:rsidRPr="00222960">
        <w:t>The concessional superannuation contributions for</w:t>
      </w:r>
      <w:r>
        <w:t xml:space="preserve"> defined benefit schemes such as the PCSS for</w:t>
      </w:r>
      <w:r w:rsidRPr="00222960">
        <w:t xml:space="preserve"> </w:t>
      </w:r>
      <w:r w:rsidR="00487686">
        <w:t xml:space="preserve">Division 293 tax </w:t>
      </w:r>
      <w:r>
        <w:t>purposes</w:t>
      </w:r>
      <w:r w:rsidRPr="00222960">
        <w:t xml:space="preserve"> is the amount of </w:t>
      </w:r>
      <w:r>
        <w:t>‘</w:t>
      </w:r>
      <w:r w:rsidRPr="00222960">
        <w:t>defined benefit contributions</w:t>
      </w:r>
      <w:r>
        <w:t>’</w:t>
      </w:r>
      <w:r w:rsidRPr="00222960">
        <w:t xml:space="preserve"> in the relevant financial year.</w:t>
      </w:r>
      <w:r>
        <w:t xml:space="preserve"> </w:t>
      </w:r>
      <w:r w:rsidRPr="00222960">
        <w:t>The defined benefit contributions</w:t>
      </w:r>
      <w:r>
        <w:t xml:space="preserve"> amount</w:t>
      </w:r>
      <w:r w:rsidRPr="00222960">
        <w:t xml:space="preserve"> is calculated using a methodology set out in regulations and actuarial factors and is reported to the ATO at the end of each financial year.</w:t>
      </w:r>
    </w:p>
    <w:p w14:paraId="632A8414" w14:textId="5E71ED71" w:rsidR="00655DB0" w:rsidRPr="00222960" w:rsidRDefault="00845835" w:rsidP="00D910AB">
      <w:pPr>
        <w:pStyle w:val="NumberedList1"/>
        <w:keepNext/>
        <w:keepLines/>
      </w:pPr>
      <w:r>
        <w:t>Division 293 </w:t>
      </w:r>
      <w:r w:rsidR="006C6F84">
        <w:t>t</w:t>
      </w:r>
      <w:r w:rsidR="00655DB0" w:rsidRPr="00222960">
        <w:t xml:space="preserve">ax is </w:t>
      </w:r>
      <w:r w:rsidR="006C6F84">
        <w:t xml:space="preserve">charged </w:t>
      </w:r>
      <w:r w:rsidR="00655DB0" w:rsidRPr="00222960">
        <w:t>at 15</w:t>
      </w:r>
      <w:r w:rsidR="006C6F84">
        <w:t xml:space="preserve">% </w:t>
      </w:r>
      <w:r w:rsidR="00793065">
        <w:t>for</w:t>
      </w:r>
      <w:r w:rsidR="00655DB0" w:rsidRPr="00222960">
        <w:t xml:space="preserve"> PCSS members whose income and defined benefit contributions </w:t>
      </w:r>
      <w:r w:rsidR="005151B3">
        <w:t xml:space="preserve">total more than </w:t>
      </w:r>
      <w:r w:rsidR="00655DB0" w:rsidRPr="00222960">
        <w:t>$250,000 in a financial year.</w:t>
      </w:r>
      <w:r w:rsidR="00655DB0">
        <w:t xml:space="preserve"> </w:t>
      </w:r>
      <w:r w:rsidR="00655DB0" w:rsidRPr="00222960">
        <w:t>The amount of the</w:t>
      </w:r>
      <w:r w:rsidR="00655DB0">
        <w:t xml:space="preserve"> </w:t>
      </w:r>
      <w:r w:rsidR="00487686">
        <w:t>Division 293 tax</w:t>
      </w:r>
      <w:r w:rsidR="00655DB0" w:rsidRPr="00222960">
        <w:t xml:space="preserve"> which applies to the defined benefit contributions</w:t>
      </w:r>
      <w:r w:rsidR="00655DB0" w:rsidRPr="00222960" w:rsidDel="005E3833">
        <w:t xml:space="preserve"> </w:t>
      </w:r>
      <w:r w:rsidR="00655DB0" w:rsidRPr="00222960">
        <w:t>above the $250,000 threshold is determined by the Commissioner of Taxation following assessment of the individual</w:t>
      </w:r>
      <w:r w:rsidR="00655DB0">
        <w:t>’</w:t>
      </w:r>
      <w:r w:rsidR="00655DB0" w:rsidRPr="00222960">
        <w:t>s tax return.</w:t>
      </w:r>
    </w:p>
    <w:p w14:paraId="7119E6CD" w14:textId="53AEF046" w:rsidR="00655DB0" w:rsidRPr="00222960" w:rsidRDefault="00655DB0" w:rsidP="00A15515">
      <w:pPr>
        <w:pStyle w:val="NumberedList1"/>
      </w:pPr>
      <w:r w:rsidRPr="00222960">
        <w:t>The ATO establishes a debt account for tax assessed on the individual, where their income and defined benefit contributions</w:t>
      </w:r>
      <w:r w:rsidRPr="00222960" w:rsidDel="005E3833">
        <w:t xml:space="preserve"> </w:t>
      </w:r>
      <w:r w:rsidR="00E340D4">
        <w:t xml:space="preserve">total </w:t>
      </w:r>
      <w:r w:rsidR="00D02261">
        <w:t>more than</w:t>
      </w:r>
      <w:r w:rsidR="00E340D4" w:rsidRPr="00222960">
        <w:t xml:space="preserve"> </w:t>
      </w:r>
      <w:r w:rsidRPr="00222960">
        <w:t>$250,000 in a financial year.</w:t>
      </w:r>
    </w:p>
    <w:p w14:paraId="09B84A20" w14:textId="77777777" w:rsidR="00655DB0" w:rsidRDefault="00655DB0" w:rsidP="00A15515">
      <w:pPr>
        <w:pStyle w:val="NumberedList1"/>
      </w:pPr>
      <w:r w:rsidRPr="00222960">
        <w:lastRenderedPageBreak/>
        <w:t>Any outstanding amount in a debt account becomes liable for payment by the individual when a benefit becomes payable.</w:t>
      </w:r>
    </w:p>
    <w:p w14:paraId="7E0066A4" w14:textId="00D289AC" w:rsidR="00655DB0" w:rsidRPr="00222960" w:rsidRDefault="00655DB0" w:rsidP="00A15515">
      <w:pPr>
        <w:pStyle w:val="NumberedList1"/>
      </w:pPr>
      <w:r w:rsidRPr="00222960">
        <w:t xml:space="preserve">Where a </w:t>
      </w:r>
      <w:r w:rsidR="00FF5C90">
        <w:t xml:space="preserve">Division 293 tax </w:t>
      </w:r>
      <w:r w:rsidRPr="00222960">
        <w:t xml:space="preserve">liability </w:t>
      </w:r>
      <w:r>
        <w:t xml:space="preserve">is </w:t>
      </w:r>
      <w:r w:rsidRPr="00222960">
        <w:t xml:space="preserve">assessed </w:t>
      </w:r>
      <w:r w:rsidR="007D08D0">
        <w:t xml:space="preserve">and determined </w:t>
      </w:r>
      <w:r w:rsidRPr="00D910AB">
        <w:rPr>
          <w:bCs/>
          <w:u w:val="single"/>
        </w:rPr>
        <w:t>prior</w:t>
      </w:r>
      <w:r w:rsidRPr="00222960">
        <w:t xml:space="preserve"> to </w:t>
      </w:r>
      <w:r w:rsidR="006929B2">
        <w:t xml:space="preserve">a member’s </w:t>
      </w:r>
      <w:r w:rsidRPr="00222960">
        <w:t xml:space="preserve">retirement, the </w:t>
      </w:r>
      <w:r w:rsidR="006929B2">
        <w:t xml:space="preserve">individual </w:t>
      </w:r>
      <w:r w:rsidR="00FA5856">
        <w:t xml:space="preserve">may elect </w:t>
      </w:r>
      <w:r w:rsidRPr="00222960">
        <w:t>to</w:t>
      </w:r>
      <w:r w:rsidR="001D0C9E">
        <w:t>, either</w:t>
      </w:r>
      <w:r w:rsidRPr="00222960">
        <w:t>:</w:t>
      </w:r>
    </w:p>
    <w:p w14:paraId="3D40C967" w14:textId="2D5F2CE3" w:rsidR="00E85CBE" w:rsidRPr="001265A0" w:rsidRDefault="00655DB0" w:rsidP="00D47029">
      <w:pPr>
        <w:pStyle w:val="Bullet1"/>
      </w:pPr>
      <w:r w:rsidRPr="006738BD">
        <w:t xml:space="preserve">pay </w:t>
      </w:r>
      <w:r w:rsidRPr="003E25A3">
        <w:t>some</w:t>
      </w:r>
      <w:r w:rsidRPr="006738BD">
        <w:t xml:space="preserve"> or </w:t>
      </w:r>
      <w:r w:rsidR="004E7B38" w:rsidRPr="005B19BA">
        <w:t>all</w:t>
      </w:r>
      <w:r w:rsidRPr="006738BD">
        <w:t xml:space="preserve"> the debt to the ATO before their PCSS benefit becomes payable</w:t>
      </w:r>
      <w:r w:rsidR="00606D68">
        <w:t>;</w:t>
      </w:r>
      <w:r w:rsidR="00FD316A">
        <w:t xml:space="preserve"> or</w:t>
      </w:r>
    </w:p>
    <w:p w14:paraId="60919832" w14:textId="79B0F3BE" w:rsidR="00655DB0" w:rsidRPr="000C7940" w:rsidRDefault="007B442B" w:rsidP="00D47029">
      <w:pPr>
        <w:pStyle w:val="Bullet1"/>
      </w:pPr>
      <w:r>
        <w:t>postpone payment</w:t>
      </w:r>
      <w:r w:rsidRPr="00CF11EF">
        <w:t xml:space="preserve"> </w:t>
      </w:r>
      <w:r w:rsidR="00655DB0" w:rsidRPr="00CF11EF">
        <w:t xml:space="preserve">until their PCSS benefit becomes payable to pay their </w:t>
      </w:r>
      <w:r w:rsidR="00655DB0">
        <w:t xml:space="preserve">deferred </w:t>
      </w:r>
      <w:r w:rsidR="001115AD">
        <w:t xml:space="preserve">Division 293 tax </w:t>
      </w:r>
      <w:r w:rsidR="00655DB0" w:rsidRPr="00CF11EF">
        <w:t>debt account.</w:t>
      </w:r>
    </w:p>
    <w:p w14:paraId="4C88A030" w14:textId="58D4A7E5" w:rsidR="00655DB0" w:rsidRPr="00222960" w:rsidRDefault="00655DB0" w:rsidP="00A15515">
      <w:pPr>
        <w:pStyle w:val="NumberedList1"/>
      </w:pPr>
      <w:r w:rsidRPr="00222960">
        <w:t xml:space="preserve">Where a PCSS contributor elects to wait until their </w:t>
      </w:r>
      <w:r w:rsidR="0062246D">
        <w:t>pension</w:t>
      </w:r>
      <w:r w:rsidR="0062246D" w:rsidRPr="00222960">
        <w:t xml:space="preserve"> </w:t>
      </w:r>
      <w:r w:rsidRPr="00222960">
        <w:t xml:space="preserve">benefit becomes payable to pay their </w:t>
      </w:r>
      <w:r w:rsidR="00FF5C90">
        <w:t xml:space="preserve">Division 293 tax </w:t>
      </w:r>
      <w:r w:rsidRPr="00222960">
        <w:t>debt, the member has the option of providing to the PCSS, a</w:t>
      </w:r>
      <w:r>
        <w:t xml:space="preserve"> </w:t>
      </w:r>
      <w:r w:rsidR="00FF5C90">
        <w:t>Division 293 tax</w:t>
      </w:r>
      <w:r w:rsidRPr="00222960">
        <w:t xml:space="preserve"> </w:t>
      </w:r>
      <w:r>
        <w:t>‘</w:t>
      </w:r>
      <w:r w:rsidRPr="00222960">
        <w:t>release authority</w:t>
      </w:r>
      <w:r>
        <w:t>’</w:t>
      </w:r>
      <w:r w:rsidRPr="00222960">
        <w:t xml:space="preserve"> that they have received from the ATO.</w:t>
      </w:r>
      <w:r>
        <w:t xml:space="preserve"> The member must complete the release authority and provide it to </w:t>
      </w:r>
      <w:r w:rsidR="00A8776F">
        <w:t xml:space="preserve">Finance as </w:t>
      </w:r>
      <w:r>
        <w:t xml:space="preserve">the PCSS administrator by the date specified in the release authority form. The release authority will not be processed by the </w:t>
      </w:r>
      <w:r w:rsidR="00A8776F">
        <w:t xml:space="preserve">Finance </w:t>
      </w:r>
      <w:r>
        <w:t>after the due date.</w:t>
      </w:r>
    </w:p>
    <w:p w14:paraId="30762C1A" w14:textId="5EFC38BB" w:rsidR="00655DB0" w:rsidRPr="00222960" w:rsidRDefault="00655DB0" w:rsidP="00A15515">
      <w:pPr>
        <w:pStyle w:val="NumberedList1"/>
      </w:pPr>
      <w:r w:rsidRPr="00222960">
        <w:t>Under a release authority, a lump sum amount is paid to the Commissioner of Taxation in respect of the debt account and there is a corresponding reduction to the PCSS benefit.</w:t>
      </w:r>
    </w:p>
    <w:p w14:paraId="4086B30B" w14:textId="5AE813BD" w:rsidR="00655DB0" w:rsidRPr="00222960" w:rsidRDefault="00655DB0" w:rsidP="00755FB4">
      <w:pPr>
        <w:pStyle w:val="NumberedList1"/>
        <w:keepNext/>
        <w:keepLines/>
      </w:pPr>
      <w:r w:rsidRPr="00222960">
        <w:t>The amount that is paid to the Commissioner of Taxation under a release authority will depend upon the amount of the debt account (</w:t>
      </w:r>
      <w:r w:rsidR="00971FD5">
        <w:t>as</w:t>
      </w:r>
      <w:r w:rsidRPr="00222960">
        <w:t xml:space="preserve"> stated in the release authority), and the amount of PCSS benefit that is available after any other applicable deduction under the PCSS legislation </w:t>
      </w:r>
      <w:r w:rsidR="005B0944">
        <w:t>such as</w:t>
      </w:r>
      <w:r w:rsidRPr="00222960">
        <w:t>, following a surcharge deduction or a family law split.</w:t>
      </w:r>
    </w:p>
    <w:p w14:paraId="0A8F7F6C" w14:textId="77777777" w:rsidR="00655DB0" w:rsidRPr="00222960" w:rsidRDefault="00655DB0" w:rsidP="00A15515">
      <w:pPr>
        <w:pStyle w:val="NumberedList1"/>
      </w:pPr>
      <w:r w:rsidRPr="00222960">
        <w:t>The reduction to a PCSS benefit in respect of a payment under a release authority is permanent and irreversible (including to any reversionary pension to a spouse or child that later becomes payable).</w:t>
      </w:r>
    </w:p>
    <w:p w14:paraId="3E17FE38" w14:textId="4BF4D5B5" w:rsidR="00655DB0" w:rsidRPr="00222960" w:rsidRDefault="005B0944" w:rsidP="00A15515">
      <w:pPr>
        <w:pStyle w:val="NumberedList1"/>
      </w:pPr>
      <w:r>
        <w:t>If a member elects</w:t>
      </w:r>
      <w:r w:rsidR="00655DB0" w:rsidRPr="00222960">
        <w:t xml:space="preserve"> to convert part of their benefit to a lump sum at the time of their retirement, this election must be made before</w:t>
      </w:r>
      <w:r w:rsidR="00655DB0">
        <w:t>,</w:t>
      </w:r>
      <w:r w:rsidR="00655DB0" w:rsidRPr="00222960">
        <w:t xml:space="preserve"> or at the same time as any release authority is received.</w:t>
      </w:r>
      <w:r w:rsidR="00655DB0">
        <w:t xml:space="preserve"> </w:t>
      </w:r>
      <w:r w:rsidR="00A4563A">
        <w:t xml:space="preserve">Once </w:t>
      </w:r>
      <w:r w:rsidR="00655DB0" w:rsidRPr="00222960">
        <w:t>money is paid under a release authority, the member will not be able to elect to commute part of their benefit to a lump sum</w:t>
      </w:r>
      <w:r w:rsidR="00786920">
        <w:t xml:space="preserve"> at a late date</w:t>
      </w:r>
      <w:r w:rsidR="00655DB0" w:rsidRPr="00222960">
        <w:t>.</w:t>
      </w:r>
    </w:p>
    <w:p w14:paraId="398075B9" w14:textId="633F2A8D" w:rsidR="00361400" w:rsidRDefault="00655DB0" w:rsidP="00312AD7">
      <w:pPr>
        <w:pStyle w:val="NumberedList1"/>
      </w:pPr>
      <w:bookmarkStart w:id="71" w:name="_Ref172726011"/>
      <w:r w:rsidRPr="00222960">
        <w:t xml:space="preserve">Calculation of the reduction to the PCSS benefit is undertaken based on a formula set out in the </w:t>
      </w:r>
      <w:r>
        <w:t>PCSS</w:t>
      </w:r>
      <w:r w:rsidRPr="00222960">
        <w:t xml:space="preserve"> legislation and depends upon the amount released and a factor based on the person</w:t>
      </w:r>
      <w:r>
        <w:t>’</w:t>
      </w:r>
      <w:r w:rsidRPr="00222960">
        <w:t>s age and gender.</w:t>
      </w:r>
      <w:r>
        <w:t xml:space="preserve"> If the PCSS pension has already commenced to be paid, the PCSS legislation requires any pension reduction due to </w:t>
      </w:r>
      <w:r w:rsidR="001115AD">
        <w:t xml:space="preserve">Division 293 tax </w:t>
      </w:r>
      <w:r>
        <w:t>purposes to apply retrospectively from the time the member’s PCSS pension commenced. Any resulting overpaid PCSS pension will be recovered from the member.</w:t>
      </w:r>
      <w:bookmarkEnd w:id="71"/>
    </w:p>
    <w:p w14:paraId="103109B6" w14:textId="4A9BF9A8" w:rsidR="00655DB0" w:rsidRPr="005E45C2" w:rsidRDefault="00655DB0" w:rsidP="00D47029">
      <w:pPr>
        <w:pStyle w:val="Heading2"/>
      </w:pPr>
      <w:bookmarkStart w:id="72" w:name="_Toc112847608"/>
      <w:bookmarkStart w:id="73" w:name="_Toc149307226"/>
      <w:bookmarkStart w:id="74" w:name="_Toc185937487"/>
      <w:r>
        <w:lastRenderedPageBreak/>
        <w:t>C</w:t>
      </w:r>
      <w:r w:rsidR="005E45C2">
        <w:t xml:space="preserve">onversion to a </w:t>
      </w:r>
      <w:r w:rsidR="009529C9">
        <w:t>lump sum</w:t>
      </w:r>
      <w:bookmarkEnd w:id="72"/>
      <w:bookmarkEnd w:id="73"/>
      <w:bookmarkEnd w:id="74"/>
    </w:p>
    <w:p w14:paraId="2B455D59" w14:textId="1E18FEB0" w:rsidR="009A57E5" w:rsidRPr="00A630AE" w:rsidRDefault="00655DB0" w:rsidP="00BA353B">
      <w:pPr>
        <w:pStyle w:val="NumberedList1"/>
        <w:keepNext/>
        <w:keepLines/>
      </w:pPr>
      <w:r w:rsidRPr="00222960">
        <w:t>A member</w:t>
      </w:r>
      <w:r>
        <w:t xml:space="preserve"> </w:t>
      </w:r>
      <w:r w:rsidRPr="00222960">
        <w:t xml:space="preserve">entitled to a pension may elect to convert up to </w:t>
      </w:r>
      <w:r w:rsidR="00E85CBE" w:rsidRPr="00222960">
        <w:t>50</w:t>
      </w:r>
      <w:r w:rsidR="008F20C2">
        <w:t>%</w:t>
      </w:r>
      <w:r w:rsidRPr="00222960">
        <w:t xml:space="preserve"> of the</w:t>
      </w:r>
      <w:r w:rsidR="00BE6036">
        <w:t>ir</w:t>
      </w:r>
      <w:r w:rsidRPr="00222960">
        <w:t xml:space="preserve"> pension</w:t>
      </w:r>
      <w:r w:rsidR="005A292E">
        <w:t xml:space="preserve"> </w:t>
      </w:r>
      <w:r w:rsidR="005A292E" w:rsidRPr="00A630AE">
        <w:t>(</w:t>
      </w:r>
      <w:r w:rsidRPr="00A630AE">
        <w:t>including any additional pension</w:t>
      </w:r>
      <w:r w:rsidR="005A292E" w:rsidRPr="00A630AE">
        <w:t>)</w:t>
      </w:r>
      <w:r w:rsidRPr="00A630AE">
        <w:t xml:space="preserve"> to a lump sum </w:t>
      </w:r>
      <w:r w:rsidR="00354171" w:rsidRPr="00A630AE">
        <w:t xml:space="preserve">and </w:t>
      </w:r>
      <w:r w:rsidRPr="00A630AE">
        <w:t xml:space="preserve">may be made no earlier than </w:t>
      </w:r>
      <w:r w:rsidR="00E41599" w:rsidRPr="00A630AE">
        <w:t>3</w:t>
      </w:r>
      <w:r w:rsidRPr="00A630AE">
        <w:t xml:space="preserve"> months before, and no later than </w:t>
      </w:r>
      <w:r w:rsidR="008F20C2" w:rsidRPr="00A630AE">
        <w:t>3 </w:t>
      </w:r>
      <w:r w:rsidRPr="00A630AE">
        <w:t>months after becoming entitled to a pension</w:t>
      </w:r>
      <w:r w:rsidR="0092367C" w:rsidRPr="00A630AE">
        <w:t xml:space="preserve"> </w:t>
      </w:r>
      <w:r w:rsidR="00AF2D44" w:rsidRPr="00A630AE">
        <w:t>(para</w:t>
      </w:r>
      <w:r w:rsidR="00D47029">
        <w:t>graph</w:t>
      </w:r>
      <w:r w:rsidR="00A751C6" w:rsidRPr="00A630AE">
        <w:t> </w:t>
      </w:r>
      <w:r w:rsidR="007E4D7B" w:rsidRPr="00A630AE">
        <w:fldChar w:fldCharType="begin"/>
      </w:r>
      <w:r w:rsidR="007E4D7B" w:rsidRPr="00A630AE">
        <w:instrText xml:space="preserve"> REF _Ref173752370 \w \h </w:instrText>
      </w:r>
      <w:r w:rsidR="00015ED3" w:rsidRPr="00A630AE">
        <w:instrText xml:space="preserve"> \* MERGEFORMAT </w:instrText>
      </w:r>
      <w:r w:rsidR="007E4D7B" w:rsidRPr="00A630AE">
        <w:fldChar w:fldCharType="separate"/>
      </w:r>
      <w:r w:rsidR="00DC08F8">
        <w:t>61</w:t>
      </w:r>
      <w:r w:rsidR="007E4D7B" w:rsidRPr="00A630AE">
        <w:fldChar w:fldCharType="end"/>
      </w:r>
      <w:r w:rsidR="00AF2D44" w:rsidRPr="00A630AE">
        <w:noBreakHyphen/>
      </w:r>
      <w:r w:rsidR="000F078B" w:rsidRPr="00A630AE">
        <w:fldChar w:fldCharType="begin"/>
      </w:r>
      <w:r w:rsidR="000F078B" w:rsidRPr="00A630AE">
        <w:instrText xml:space="preserve"> REF _Ref172724850 \w \h </w:instrText>
      </w:r>
      <w:r w:rsidR="00015ED3" w:rsidRPr="00A630AE">
        <w:instrText xml:space="preserve"> \* MERGEFORMAT </w:instrText>
      </w:r>
      <w:r w:rsidR="000F078B" w:rsidRPr="00A630AE">
        <w:fldChar w:fldCharType="separate"/>
      </w:r>
      <w:r w:rsidR="00DC08F8">
        <w:t>69</w:t>
      </w:r>
      <w:r w:rsidR="000F078B" w:rsidRPr="00A630AE">
        <w:fldChar w:fldCharType="end"/>
      </w:r>
      <w:r w:rsidR="00AF2D44" w:rsidRPr="00A630AE">
        <w:t>)</w:t>
      </w:r>
      <w:r w:rsidRPr="00A630AE">
        <w:t>.</w:t>
      </w:r>
      <w:bookmarkStart w:id="75" w:name="_Ref173751781"/>
    </w:p>
    <w:bookmarkEnd w:id="75"/>
    <w:p w14:paraId="7F3D0366" w14:textId="25AEA946" w:rsidR="009A57E5" w:rsidRDefault="00655DB0" w:rsidP="00D910AB">
      <w:pPr>
        <w:pStyle w:val="NumberedList1"/>
        <w:keepNext/>
        <w:keepLines/>
      </w:pPr>
      <w:r w:rsidRPr="00A630AE">
        <w:t>The lump sum is calculated</w:t>
      </w:r>
      <w:r w:rsidRPr="00222960">
        <w:t xml:space="preserve"> by multiplying the annual amount of the pension </w:t>
      </w:r>
      <w:r w:rsidR="00DB3847">
        <w:t xml:space="preserve">that </w:t>
      </w:r>
      <w:r w:rsidRPr="00222960">
        <w:t xml:space="preserve">the retired PCSS member elects to convert by a factor of </w:t>
      </w:r>
      <w:r w:rsidR="00DB3847">
        <w:t>10</w:t>
      </w:r>
      <w:r w:rsidR="00DB3847" w:rsidRPr="00222960">
        <w:t xml:space="preserve"> </w:t>
      </w:r>
      <w:r w:rsidRPr="00222960">
        <w:t xml:space="preserve">if the </w:t>
      </w:r>
      <w:r w:rsidR="000378D4" w:rsidRPr="00222960">
        <w:t>pe</w:t>
      </w:r>
      <w:r w:rsidR="000378D4">
        <w:t>nsioner</w:t>
      </w:r>
      <w:r w:rsidRPr="00222960">
        <w:t xml:space="preserve"> is </w:t>
      </w:r>
      <w:r>
        <w:t xml:space="preserve">the </w:t>
      </w:r>
      <w:r w:rsidRPr="00222960">
        <w:t>age</w:t>
      </w:r>
      <w:r w:rsidR="00E1353B">
        <w:t> </w:t>
      </w:r>
      <w:r>
        <w:t>of</w:t>
      </w:r>
      <w:r w:rsidRPr="00222960">
        <w:t> 66</w:t>
      </w:r>
      <w:r w:rsidR="00E522A6">
        <w:t xml:space="preserve"> or </w:t>
      </w:r>
      <w:r w:rsidR="00E1353B">
        <w:t>under but</w:t>
      </w:r>
      <w:r w:rsidRPr="00222960">
        <w:t xml:space="preserve"> retires from Parliament at the expiration of the term of office </w:t>
      </w:r>
      <w:r w:rsidR="00B222E8">
        <w:t>when they are of age</w:t>
      </w:r>
      <w:r w:rsidRPr="00222960">
        <w:t>.</w:t>
      </w:r>
      <w:r>
        <w:t xml:space="preserve"> </w:t>
      </w:r>
      <w:r w:rsidRPr="00222960">
        <w:t>In any other case</w:t>
      </w:r>
      <w:r>
        <w:t>,</w:t>
      </w:r>
      <w:r w:rsidRPr="00222960">
        <w:t xml:space="preserve"> the factor of </w:t>
      </w:r>
      <w:r w:rsidR="007C51AE">
        <w:t>10</w:t>
      </w:r>
      <w:r w:rsidRPr="00222960">
        <w:t xml:space="preserve"> is reduced by </w:t>
      </w:r>
      <w:r w:rsidR="00D246BC">
        <w:t>one</w:t>
      </w:r>
      <w:r w:rsidR="00D246BC">
        <w:noBreakHyphen/>
      </w:r>
      <w:r w:rsidRPr="00222960">
        <w:t>twenty</w:t>
      </w:r>
      <w:r w:rsidR="00CE219B">
        <w:noBreakHyphen/>
      </w:r>
      <w:r w:rsidRPr="00222960">
        <w:t>fourth for each whole month by which the parliamentarian</w:t>
      </w:r>
      <w:r>
        <w:t>’</w:t>
      </w:r>
      <w:r w:rsidRPr="00222960">
        <w:t>s age at retirement exceeds 65.</w:t>
      </w:r>
      <w:r>
        <w:t xml:space="preserve"> </w:t>
      </w:r>
      <w:r w:rsidR="00DF607F">
        <w:t>T</w:t>
      </w:r>
      <w:r w:rsidRPr="00222960">
        <w:t xml:space="preserve">he following table </w:t>
      </w:r>
      <w:r w:rsidR="00DF607F">
        <w:t xml:space="preserve">illustrates </w:t>
      </w:r>
      <w:r w:rsidRPr="00222960">
        <w:t>the conversion factors for those who are exactly the ages specified at the time of becoming entitled to a pension</w:t>
      </w:r>
      <w:r w:rsidR="00586F5B">
        <w:t>.</w:t>
      </w:r>
    </w:p>
    <w:p w14:paraId="1FC86177" w14:textId="7DD1F5AC" w:rsidR="002674D2" w:rsidRDefault="002674D2" w:rsidP="004A09E6">
      <w:pPr>
        <w:pStyle w:val="Caption"/>
      </w:pPr>
      <w:r w:rsidRPr="002674D2">
        <w:t>Table</w:t>
      </w:r>
      <w:r>
        <w:t xml:space="preserve"> </w:t>
      </w:r>
      <w:r w:rsidR="00A64C82">
        <w:fldChar w:fldCharType="begin"/>
      </w:r>
      <w:r w:rsidR="00A64C82">
        <w:instrText xml:space="preserve"> SEQ Table \* ARABIC </w:instrText>
      </w:r>
      <w:r w:rsidR="00A64C82">
        <w:fldChar w:fldCharType="separate"/>
      </w:r>
      <w:r w:rsidR="00DC08F8">
        <w:rPr>
          <w:noProof/>
        </w:rPr>
        <w:t>3</w:t>
      </w:r>
      <w:r w:rsidR="00A64C82">
        <w:rPr>
          <w:noProof/>
        </w:rPr>
        <w:fldChar w:fldCharType="end"/>
      </w:r>
      <w:r>
        <w:t xml:space="preserve"> – Ages and factors applicable to PCSS members</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964"/>
        <w:gridCol w:w="964"/>
        <w:gridCol w:w="964"/>
        <w:gridCol w:w="964"/>
        <w:gridCol w:w="964"/>
        <w:gridCol w:w="964"/>
      </w:tblGrid>
      <w:tr w:rsidR="008C6B59" w:rsidRPr="00D47029" w14:paraId="03AB149E" w14:textId="77777777" w:rsidTr="00BA5271">
        <w:trPr>
          <w:cantSplit/>
          <w:tblHeader/>
        </w:trPr>
        <w:tc>
          <w:tcPr>
            <w:tcW w:w="964" w:type="dxa"/>
            <w:shd w:val="clear" w:color="auto" w:fill="1C1C1C"/>
            <w:vAlign w:val="center"/>
          </w:tcPr>
          <w:p w14:paraId="1BECCB3B" w14:textId="2B674306" w:rsidR="003F3ADD" w:rsidRPr="00D47029" w:rsidRDefault="003F3ADD" w:rsidP="00E1353B">
            <w:pPr>
              <w:pStyle w:val="TableText"/>
              <w:keepNext/>
              <w:keepLines/>
              <w:ind w:left="0" w:right="57"/>
              <w:jc w:val="right"/>
              <w:rPr>
                <w:b/>
                <w:bCs/>
                <w:szCs w:val="20"/>
              </w:rPr>
            </w:pPr>
            <w:r w:rsidRPr="00D47029">
              <w:rPr>
                <w:b/>
                <w:bCs/>
                <w:szCs w:val="20"/>
              </w:rPr>
              <w:t>Age</w:t>
            </w:r>
          </w:p>
        </w:tc>
        <w:tc>
          <w:tcPr>
            <w:tcW w:w="964" w:type="dxa"/>
            <w:tcBorders>
              <w:bottom w:val="single" w:sz="4" w:space="0" w:color="1C1C1C"/>
              <w:right w:val="single" w:sz="4" w:space="0" w:color="1C1C1C"/>
            </w:tcBorders>
            <w:shd w:val="clear" w:color="auto" w:fill="1C1C1C"/>
            <w:vAlign w:val="center"/>
          </w:tcPr>
          <w:p w14:paraId="663D5466" w14:textId="3382FC1F" w:rsidR="003F3ADD" w:rsidRPr="00D47029" w:rsidRDefault="003F3ADD" w:rsidP="00E1353B">
            <w:pPr>
              <w:pStyle w:val="TableText"/>
              <w:keepNext/>
              <w:keepLines/>
              <w:ind w:left="0" w:right="57"/>
              <w:jc w:val="right"/>
              <w:rPr>
                <w:b/>
                <w:bCs/>
                <w:szCs w:val="20"/>
              </w:rPr>
            </w:pPr>
            <w:r w:rsidRPr="00D47029">
              <w:rPr>
                <w:b/>
                <w:bCs/>
                <w:szCs w:val="20"/>
              </w:rPr>
              <w:t>Factor</w:t>
            </w:r>
          </w:p>
        </w:tc>
        <w:tc>
          <w:tcPr>
            <w:tcW w:w="964" w:type="dxa"/>
            <w:tcBorders>
              <w:left w:val="single" w:sz="4" w:space="0" w:color="1C1C1C"/>
              <w:bottom w:val="single" w:sz="4" w:space="0" w:color="1C1C1C"/>
            </w:tcBorders>
            <w:shd w:val="clear" w:color="auto" w:fill="1C1C1C"/>
            <w:vAlign w:val="center"/>
          </w:tcPr>
          <w:p w14:paraId="59DBAF36" w14:textId="19794073" w:rsidR="003F3ADD" w:rsidRPr="00D47029" w:rsidRDefault="003F3ADD" w:rsidP="00E1353B">
            <w:pPr>
              <w:pStyle w:val="TableText"/>
              <w:keepNext/>
              <w:keepLines/>
              <w:ind w:left="0" w:right="57"/>
              <w:jc w:val="right"/>
              <w:rPr>
                <w:b/>
                <w:bCs/>
                <w:szCs w:val="20"/>
              </w:rPr>
            </w:pPr>
            <w:r w:rsidRPr="00D47029">
              <w:rPr>
                <w:b/>
                <w:bCs/>
                <w:szCs w:val="20"/>
              </w:rPr>
              <w:t>Age</w:t>
            </w:r>
          </w:p>
        </w:tc>
        <w:tc>
          <w:tcPr>
            <w:tcW w:w="964" w:type="dxa"/>
            <w:tcBorders>
              <w:bottom w:val="single" w:sz="4" w:space="0" w:color="1C1C1C"/>
              <w:right w:val="single" w:sz="4" w:space="0" w:color="1C1C1C"/>
            </w:tcBorders>
            <w:shd w:val="clear" w:color="auto" w:fill="1C1C1C"/>
            <w:vAlign w:val="center"/>
          </w:tcPr>
          <w:p w14:paraId="5BDD8282" w14:textId="5BAA340C" w:rsidR="003F3ADD" w:rsidRPr="00D47029" w:rsidRDefault="003F3ADD" w:rsidP="00E1353B">
            <w:pPr>
              <w:pStyle w:val="TableText"/>
              <w:keepNext/>
              <w:keepLines/>
              <w:ind w:left="0" w:right="57"/>
              <w:jc w:val="right"/>
              <w:rPr>
                <w:b/>
                <w:bCs/>
                <w:szCs w:val="20"/>
              </w:rPr>
            </w:pPr>
            <w:r w:rsidRPr="00D47029">
              <w:rPr>
                <w:b/>
                <w:bCs/>
                <w:szCs w:val="20"/>
              </w:rPr>
              <w:t>Factor</w:t>
            </w:r>
          </w:p>
        </w:tc>
        <w:tc>
          <w:tcPr>
            <w:tcW w:w="964" w:type="dxa"/>
            <w:tcBorders>
              <w:left w:val="single" w:sz="4" w:space="0" w:color="1C1C1C"/>
              <w:bottom w:val="single" w:sz="4" w:space="0" w:color="1C1C1C"/>
            </w:tcBorders>
            <w:shd w:val="clear" w:color="auto" w:fill="1C1C1C"/>
            <w:vAlign w:val="center"/>
          </w:tcPr>
          <w:p w14:paraId="5BE49189" w14:textId="4261C3A8" w:rsidR="003F3ADD" w:rsidRPr="00D47029" w:rsidRDefault="003F3ADD" w:rsidP="00E1353B">
            <w:pPr>
              <w:pStyle w:val="TableText"/>
              <w:keepNext/>
              <w:keepLines/>
              <w:ind w:left="0" w:right="57"/>
              <w:jc w:val="right"/>
              <w:rPr>
                <w:b/>
                <w:bCs/>
                <w:szCs w:val="20"/>
              </w:rPr>
            </w:pPr>
            <w:r w:rsidRPr="00D47029">
              <w:rPr>
                <w:b/>
                <w:bCs/>
                <w:szCs w:val="20"/>
              </w:rPr>
              <w:t>Age</w:t>
            </w:r>
          </w:p>
        </w:tc>
        <w:tc>
          <w:tcPr>
            <w:tcW w:w="964" w:type="dxa"/>
            <w:shd w:val="clear" w:color="auto" w:fill="1C1C1C"/>
            <w:vAlign w:val="center"/>
          </w:tcPr>
          <w:p w14:paraId="6AB02C94" w14:textId="3B9BD22F" w:rsidR="003F3ADD" w:rsidRPr="00D47029" w:rsidRDefault="003F3ADD" w:rsidP="00E1353B">
            <w:pPr>
              <w:pStyle w:val="TableText"/>
              <w:keepNext/>
              <w:keepLines/>
              <w:ind w:left="0" w:right="57"/>
              <w:jc w:val="right"/>
              <w:rPr>
                <w:b/>
                <w:bCs/>
                <w:szCs w:val="20"/>
              </w:rPr>
            </w:pPr>
            <w:r w:rsidRPr="00D47029">
              <w:rPr>
                <w:b/>
                <w:bCs/>
                <w:szCs w:val="20"/>
              </w:rPr>
              <w:t>Factor</w:t>
            </w:r>
          </w:p>
        </w:tc>
      </w:tr>
      <w:tr w:rsidR="00551802" w:rsidRPr="00D47029" w14:paraId="1FC6F3DF" w14:textId="77777777" w:rsidTr="00BA5271">
        <w:trPr>
          <w:cantSplit/>
        </w:trPr>
        <w:tc>
          <w:tcPr>
            <w:tcW w:w="964" w:type="dxa"/>
            <w:shd w:val="clear" w:color="auto" w:fill="E2E3E2"/>
            <w:vAlign w:val="center"/>
          </w:tcPr>
          <w:p w14:paraId="5542A59F" w14:textId="7E99E39A" w:rsidR="00E33F13" w:rsidRPr="00D47029" w:rsidRDefault="00E33F13" w:rsidP="00E1353B">
            <w:pPr>
              <w:pStyle w:val="TableText"/>
              <w:keepNext/>
              <w:keepLines/>
              <w:ind w:left="0" w:right="57"/>
              <w:jc w:val="right"/>
              <w:rPr>
                <w:szCs w:val="20"/>
              </w:rPr>
            </w:pPr>
            <w:r w:rsidRPr="00D47029">
              <w:rPr>
                <w:szCs w:val="20"/>
              </w:rPr>
              <w:t>&lt;65</w:t>
            </w:r>
          </w:p>
        </w:tc>
        <w:tc>
          <w:tcPr>
            <w:tcW w:w="964" w:type="dxa"/>
            <w:tcBorders>
              <w:right w:val="nil"/>
            </w:tcBorders>
            <w:shd w:val="clear" w:color="auto" w:fill="auto"/>
            <w:vAlign w:val="center"/>
          </w:tcPr>
          <w:p w14:paraId="78D8B5C0" w14:textId="70BD97BC" w:rsidR="00E33F13" w:rsidRPr="00D47029" w:rsidRDefault="00E33F13" w:rsidP="00E1353B">
            <w:pPr>
              <w:pStyle w:val="TableText"/>
              <w:keepNext/>
              <w:keepLines/>
              <w:ind w:left="0" w:right="57"/>
              <w:jc w:val="right"/>
              <w:rPr>
                <w:szCs w:val="20"/>
              </w:rPr>
            </w:pPr>
            <w:r w:rsidRPr="00D47029">
              <w:rPr>
                <w:szCs w:val="20"/>
              </w:rPr>
              <w:t>10</w:t>
            </w:r>
          </w:p>
        </w:tc>
        <w:tc>
          <w:tcPr>
            <w:tcW w:w="964" w:type="dxa"/>
            <w:tcBorders>
              <w:left w:val="nil"/>
              <w:right w:val="nil"/>
            </w:tcBorders>
            <w:shd w:val="clear" w:color="auto" w:fill="E2E3E2"/>
            <w:vAlign w:val="center"/>
          </w:tcPr>
          <w:p w14:paraId="2CC183A8" w14:textId="0DEF6826" w:rsidR="00E33F13" w:rsidRPr="00D47029" w:rsidRDefault="00E33F13" w:rsidP="00E1353B">
            <w:pPr>
              <w:pStyle w:val="TableText"/>
              <w:keepNext/>
              <w:keepLines/>
              <w:ind w:left="0" w:right="57"/>
              <w:jc w:val="right"/>
              <w:rPr>
                <w:szCs w:val="20"/>
              </w:rPr>
            </w:pPr>
            <w:r w:rsidRPr="00D47029">
              <w:rPr>
                <w:szCs w:val="20"/>
              </w:rPr>
              <w:t>72</w:t>
            </w:r>
          </w:p>
        </w:tc>
        <w:tc>
          <w:tcPr>
            <w:tcW w:w="964" w:type="dxa"/>
            <w:tcBorders>
              <w:left w:val="nil"/>
              <w:right w:val="nil"/>
            </w:tcBorders>
            <w:shd w:val="clear" w:color="auto" w:fill="auto"/>
            <w:vAlign w:val="center"/>
          </w:tcPr>
          <w:p w14:paraId="16E49615" w14:textId="347B2903" w:rsidR="00E33F13" w:rsidRPr="00D47029" w:rsidRDefault="00E33F13" w:rsidP="00E1353B">
            <w:pPr>
              <w:pStyle w:val="TableText"/>
              <w:keepNext/>
              <w:keepLines/>
              <w:ind w:left="0" w:right="57"/>
              <w:jc w:val="right"/>
              <w:rPr>
                <w:szCs w:val="20"/>
              </w:rPr>
            </w:pPr>
            <w:r w:rsidRPr="00D47029">
              <w:rPr>
                <w:szCs w:val="20"/>
              </w:rPr>
              <w:t>6.5</w:t>
            </w:r>
          </w:p>
        </w:tc>
        <w:tc>
          <w:tcPr>
            <w:tcW w:w="964" w:type="dxa"/>
            <w:tcBorders>
              <w:left w:val="nil"/>
            </w:tcBorders>
            <w:shd w:val="clear" w:color="auto" w:fill="E2E3E2"/>
            <w:vAlign w:val="center"/>
          </w:tcPr>
          <w:p w14:paraId="5A5E5322" w14:textId="5C09906C" w:rsidR="00E33F13" w:rsidRPr="00D47029" w:rsidRDefault="00E33F13" w:rsidP="00E1353B">
            <w:pPr>
              <w:pStyle w:val="TableText"/>
              <w:keepNext/>
              <w:keepLines/>
              <w:ind w:left="0" w:right="57"/>
              <w:jc w:val="right"/>
              <w:rPr>
                <w:szCs w:val="20"/>
              </w:rPr>
            </w:pPr>
            <w:r w:rsidRPr="00D47029">
              <w:rPr>
                <w:szCs w:val="20"/>
              </w:rPr>
              <w:t>79</w:t>
            </w:r>
          </w:p>
        </w:tc>
        <w:tc>
          <w:tcPr>
            <w:tcW w:w="964" w:type="dxa"/>
            <w:shd w:val="clear" w:color="auto" w:fill="auto"/>
            <w:vAlign w:val="center"/>
          </w:tcPr>
          <w:p w14:paraId="6FA81F55" w14:textId="75F675B1" w:rsidR="00E33F13" w:rsidRPr="00D47029" w:rsidRDefault="00E33F13" w:rsidP="00E1353B">
            <w:pPr>
              <w:pStyle w:val="TableText"/>
              <w:keepNext/>
              <w:keepLines/>
              <w:ind w:left="0" w:right="57"/>
              <w:jc w:val="right"/>
              <w:rPr>
                <w:szCs w:val="20"/>
              </w:rPr>
            </w:pPr>
            <w:r w:rsidRPr="00D47029">
              <w:rPr>
                <w:szCs w:val="20"/>
              </w:rPr>
              <w:t>3</w:t>
            </w:r>
          </w:p>
        </w:tc>
      </w:tr>
      <w:tr w:rsidR="00551802" w:rsidRPr="00D47029" w14:paraId="7E1ADFDD" w14:textId="77777777" w:rsidTr="00BA5271">
        <w:trPr>
          <w:cantSplit/>
        </w:trPr>
        <w:tc>
          <w:tcPr>
            <w:tcW w:w="964" w:type="dxa"/>
            <w:shd w:val="clear" w:color="auto" w:fill="E2E3E2"/>
            <w:vAlign w:val="center"/>
          </w:tcPr>
          <w:p w14:paraId="2E866C62" w14:textId="3472ECD3" w:rsidR="00E33F13" w:rsidRPr="00D47029" w:rsidRDefault="00E33F13" w:rsidP="00E1353B">
            <w:pPr>
              <w:pStyle w:val="TableText"/>
              <w:keepNext/>
              <w:keepLines/>
              <w:ind w:left="0" w:right="57"/>
              <w:jc w:val="right"/>
              <w:rPr>
                <w:szCs w:val="20"/>
              </w:rPr>
            </w:pPr>
            <w:r w:rsidRPr="00D47029">
              <w:rPr>
                <w:szCs w:val="20"/>
              </w:rPr>
              <w:t>66</w:t>
            </w:r>
          </w:p>
        </w:tc>
        <w:tc>
          <w:tcPr>
            <w:tcW w:w="964" w:type="dxa"/>
            <w:tcBorders>
              <w:right w:val="nil"/>
            </w:tcBorders>
            <w:shd w:val="clear" w:color="auto" w:fill="auto"/>
            <w:vAlign w:val="center"/>
          </w:tcPr>
          <w:p w14:paraId="75F8B22E" w14:textId="37F4394A" w:rsidR="00E33F13" w:rsidRPr="00D47029" w:rsidRDefault="00E33F13" w:rsidP="00E1353B">
            <w:pPr>
              <w:pStyle w:val="TableText"/>
              <w:keepNext/>
              <w:keepLines/>
              <w:ind w:left="0" w:right="57"/>
              <w:jc w:val="right"/>
              <w:rPr>
                <w:szCs w:val="20"/>
              </w:rPr>
            </w:pPr>
            <w:r w:rsidRPr="00D47029">
              <w:rPr>
                <w:szCs w:val="20"/>
              </w:rPr>
              <w:t>9.5</w:t>
            </w:r>
          </w:p>
        </w:tc>
        <w:tc>
          <w:tcPr>
            <w:tcW w:w="964" w:type="dxa"/>
            <w:tcBorders>
              <w:left w:val="nil"/>
              <w:right w:val="nil"/>
            </w:tcBorders>
            <w:shd w:val="clear" w:color="auto" w:fill="E2E3E2"/>
            <w:vAlign w:val="center"/>
          </w:tcPr>
          <w:p w14:paraId="60D892F5" w14:textId="73E11C32" w:rsidR="00E33F13" w:rsidRPr="00D47029" w:rsidRDefault="00E33F13" w:rsidP="00E1353B">
            <w:pPr>
              <w:pStyle w:val="TableText"/>
              <w:keepNext/>
              <w:keepLines/>
              <w:ind w:left="0" w:right="57"/>
              <w:jc w:val="right"/>
              <w:rPr>
                <w:szCs w:val="20"/>
              </w:rPr>
            </w:pPr>
            <w:r w:rsidRPr="00D47029">
              <w:rPr>
                <w:szCs w:val="20"/>
              </w:rPr>
              <w:t>73</w:t>
            </w:r>
          </w:p>
        </w:tc>
        <w:tc>
          <w:tcPr>
            <w:tcW w:w="964" w:type="dxa"/>
            <w:tcBorders>
              <w:left w:val="nil"/>
              <w:right w:val="nil"/>
            </w:tcBorders>
            <w:shd w:val="clear" w:color="auto" w:fill="auto"/>
            <w:vAlign w:val="center"/>
          </w:tcPr>
          <w:p w14:paraId="6F8AB1C5" w14:textId="4DCF400E" w:rsidR="00E33F13" w:rsidRPr="00D47029" w:rsidRDefault="00E33F13" w:rsidP="00E1353B">
            <w:pPr>
              <w:pStyle w:val="TableText"/>
              <w:keepNext/>
              <w:keepLines/>
              <w:ind w:left="0" w:right="57"/>
              <w:jc w:val="right"/>
              <w:rPr>
                <w:szCs w:val="20"/>
              </w:rPr>
            </w:pPr>
            <w:r w:rsidRPr="00D47029">
              <w:rPr>
                <w:szCs w:val="20"/>
              </w:rPr>
              <w:t>6</w:t>
            </w:r>
          </w:p>
        </w:tc>
        <w:tc>
          <w:tcPr>
            <w:tcW w:w="964" w:type="dxa"/>
            <w:tcBorders>
              <w:left w:val="nil"/>
            </w:tcBorders>
            <w:shd w:val="clear" w:color="auto" w:fill="E2E3E2"/>
            <w:vAlign w:val="center"/>
          </w:tcPr>
          <w:p w14:paraId="36D2BA91" w14:textId="0B0E0E2D" w:rsidR="00E33F13" w:rsidRPr="00D47029" w:rsidRDefault="00E33F13" w:rsidP="00E1353B">
            <w:pPr>
              <w:pStyle w:val="TableText"/>
              <w:keepNext/>
              <w:keepLines/>
              <w:ind w:left="0" w:right="57"/>
              <w:jc w:val="right"/>
              <w:rPr>
                <w:szCs w:val="20"/>
              </w:rPr>
            </w:pPr>
            <w:r w:rsidRPr="00D47029">
              <w:rPr>
                <w:szCs w:val="20"/>
              </w:rPr>
              <w:t>80</w:t>
            </w:r>
          </w:p>
        </w:tc>
        <w:tc>
          <w:tcPr>
            <w:tcW w:w="964" w:type="dxa"/>
            <w:shd w:val="clear" w:color="auto" w:fill="auto"/>
            <w:vAlign w:val="center"/>
          </w:tcPr>
          <w:p w14:paraId="4D4C2B03" w14:textId="35428607" w:rsidR="00E33F13" w:rsidRPr="00D47029" w:rsidRDefault="00E33F13" w:rsidP="00E1353B">
            <w:pPr>
              <w:pStyle w:val="TableText"/>
              <w:keepNext/>
              <w:keepLines/>
              <w:ind w:left="0" w:right="57"/>
              <w:jc w:val="right"/>
              <w:rPr>
                <w:szCs w:val="20"/>
              </w:rPr>
            </w:pPr>
            <w:r w:rsidRPr="00D47029">
              <w:rPr>
                <w:szCs w:val="20"/>
              </w:rPr>
              <w:t>2.5</w:t>
            </w:r>
          </w:p>
        </w:tc>
      </w:tr>
      <w:tr w:rsidR="00551802" w:rsidRPr="00D47029" w14:paraId="29843BF6" w14:textId="77777777" w:rsidTr="00BA5271">
        <w:trPr>
          <w:cantSplit/>
        </w:trPr>
        <w:tc>
          <w:tcPr>
            <w:tcW w:w="964" w:type="dxa"/>
            <w:shd w:val="clear" w:color="auto" w:fill="E2E3E2"/>
            <w:vAlign w:val="center"/>
          </w:tcPr>
          <w:p w14:paraId="680B0FF4" w14:textId="2F468F2B" w:rsidR="00E33F13" w:rsidRPr="00D47029" w:rsidRDefault="00E33F13" w:rsidP="00E1353B">
            <w:pPr>
              <w:pStyle w:val="TableText"/>
              <w:keepNext/>
              <w:keepLines/>
              <w:ind w:left="0" w:right="57"/>
              <w:jc w:val="right"/>
              <w:rPr>
                <w:szCs w:val="20"/>
              </w:rPr>
            </w:pPr>
            <w:r w:rsidRPr="00D47029">
              <w:rPr>
                <w:szCs w:val="20"/>
              </w:rPr>
              <w:t>67</w:t>
            </w:r>
          </w:p>
        </w:tc>
        <w:tc>
          <w:tcPr>
            <w:tcW w:w="964" w:type="dxa"/>
            <w:tcBorders>
              <w:right w:val="nil"/>
            </w:tcBorders>
            <w:shd w:val="clear" w:color="auto" w:fill="auto"/>
            <w:vAlign w:val="center"/>
          </w:tcPr>
          <w:p w14:paraId="0B6FE86C" w14:textId="40EF42CE" w:rsidR="00E33F13" w:rsidRPr="00D47029" w:rsidRDefault="00E33F13" w:rsidP="00E1353B">
            <w:pPr>
              <w:pStyle w:val="TableText"/>
              <w:keepNext/>
              <w:keepLines/>
              <w:ind w:left="0" w:right="57"/>
              <w:jc w:val="right"/>
              <w:rPr>
                <w:szCs w:val="20"/>
              </w:rPr>
            </w:pPr>
            <w:r w:rsidRPr="00D47029">
              <w:rPr>
                <w:szCs w:val="20"/>
              </w:rPr>
              <w:t>9</w:t>
            </w:r>
          </w:p>
        </w:tc>
        <w:tc>
          <w:tcPr>
            <w:tcW w:w="964" w:type="dxa"/>
            <w:tcBorders>
              <w:left w:val="nil"/>
              <w:right w:val="nil"/>
            </w:tcBorders>
            <w:shd w:val="clear" w:color="auto" w:fill="E2E3E2"/>
            <w:vAlign w:val="center"/>
          </w:tcPr>
          <w:p w14:paraId="5F343679" w14:textId="0E4F8274" w:rsidR="00E33F13" w:rsidRPr="00D47029" w:rsidRDefault="00E33F13" w:rsidP="00E1353B">
            <w:pPr>
              <w:pStyle w:val="TableText"/>
              <w:keepNext/>
              <w:keepLines/>
              <w:ind w:left="0" w:right="57"/>
              <w:jc w:val="right"/>
              <w:rPr>
                <w:szCs w:val="20"/>
              </w:rPr>
            </w:pPr>
            <w:r w:rsidRPr="00D47029">
              <w:rPr>
                <w:szCs w:val="20"/>
              </w:rPr>
              <w:t>74</w:t>
            </w:r>
          </w:p>
        </w:tc>
        <w:tc>
          <w:tcPr>
            <w:tcW w:w="964" w:type="dxa"/>
            <w:tcBorders>
              <w:left w:val="nil"/>
              <w:right w:val="nil"/>
            </w:tcBorders>
            <w:shd w:val="clear" w:color="auto" w:fill="auto"/>
            <w:vAlign w:val="center"/>
          </w:tcPr>
          <w:p w14:paraId="711AA57B" w14:textId="1B4C4A73" w:rsidR="00E33F13" w:rsidRPr="00D47029" w:rsidRDefault="00E33F13" w:rsidP="00E1353B">
            <w:pPr>
              <w:pStyle w:val="TableText"/>
              <w:keepNext/>
              <w:keepLines/>
              <w:ind w:left="0" w:right="57"/>
              <w:jc w:val="right"/>
              <w:rPr>
                <w:szCs w:val="20"/>
              </w:rPr>
            </w:pPr>
            <w:r w:rsidRPr="00D47029">
              <w:rPr>
                <w:szCs w:val="20"/>
              </w:rPr>
              <w:t>5.5</w:t>
            </w:r>
          </w:p>
        </w:tc>
        <w:tc>
          <w:tcPr>
            <w:tcW w:w="964" w:type="dxa"/>
            <w:tcBorders>
              <w:left w:val="nil"/>
            </w:tcBorders>
            <w:shd w:val="clear" w:color="auto" w:fill="E2E3E2"/>
            <w:vAlign w:val="center"/>
          </w:tcPr>
          <w:p w14:paraId="264B649C" w14:textId="541C7E6D" w:rsidR="00E33F13" w:rsidRPr="00D47029" w:rsidRDefault="00E33F13" w:rsidP="00E1353B">
            <w:pPr>
              <w:pStyle w:val="TableText"/>
              <w:keepNext/>
              <w:keepLines/>
              <w:ind w:left="0" w:right="57"/>
              <w:jc w:val="right"/>
              <w:rPr>
                <w:szCs w:val="20"/>
              </w:rPr>
            </w:pPr>
            <w:r w:rsidRPr="00D47029">
              <w:rPr>
                <w:szCs w:val="20"/>
              </w:rPr>
              <w:t>81</w:t>
            </w:r>
          </w:p>
        </w:tc>
        <w:tc>
          <w:tcPr>
            <w:tcW w:w="964" w:type="dxa"/>
            <w:shd w:val="clear" w:color="auto" w:fill="auto"/>
            <w:vAlign w:val="center"/>
          </w:tcPr>
          <w:p w14:paraId="355F7124" w14:textId="642B0B2A" w:rsidR="00E33F13" w:rsidRPr="00D47029" w:rsidRDefault="00E33F13" w:rsidP="00E1353B">
            <w:pPr>
              <w:pStyle w:val="TableText"/>
              <w:keepNext/>
              <w:keepLines/>
              <w:ind w:left="0" w:right="57"/>
              <w:jc w:val="right"/>
              <w:rPr>
                <w:szCs w:val="20"/>
              </w:rPr>
            </w:pPr>
            <w:r w:rsidRPr="00D47029">
              <w:rPr>
                <w:szCs w:val="20"/>
              </w:rPr>
              <w:t>2</w:t>
            </w:r>
          </w:p>
        </w:tc>
      </w:tr>
      <w:tr w:rsidR="00551802" w:rsidRPr="00D47029" w14:paraId="39AD0C10" w14:textId="77777777" w:rsidTr="00BA5271">
        <w:trPr>
          <w:cantSplit/>
        </w:trPr>
        <w:tc>
          <w:tcPr>
            <w:tcW w:w="964" w:type="dxa"/>
            <w:shd w:val="clear" w:color="auto" w:fill="E2E3E2"/>
            <w:vAlign w:val="center"/>
          </w:tcPr>
          <w:p w14:paraId="50FD0397" w14:textId="35E2BF0A" w:rsidR="00E33F13" w:rsidRPr="00D47029" w:rsidRDefault="00E33F13" w:rsidP="00E1353B">
            <w:pPr>
              <w:pStyle w:val="TableText"/>
              <w:keepNext/>
              <w:keepLines/>
              <w:ind w:left="0" w:right="57"/>
              <w:jc w:val="right"/>
              <w:rPr>
                <w:szCs w:val="20"/>
              </w:rPr>
            </w:pPr>
            <w:r w:rsidRPr="00D47029">
              <w:rPr>
                <w:szCs w:val="20"/>
              </w:rPr>
              <w:t>68</w:t>
            </w:r>
          </w:p>
        </w:tc>
        <w:tc>
          <w:tcPr>
            <w:tcW w:w="964" w:type="dxa"/>
            <w:tcBorders>
              <w:right w:val="nil"/>
            </w:tcBorders>
            <w:shd w:val="clear" w:color="auto" w:fill="auto"/>
            <w:vAlign w:val="center"/>
          </w:tcPr>
          <w:p w14:paraId="157F8CAD" w14:textId="56C7B32E" w:rsidR="00E33F13" w:rsidRPr="00D47029" w:rsidRDefault="00E33F13" w:rsidP="00E1353B">
            <w:pPr>
              <w:pStyle w:val="TableText"/>
              <w:keepNext/>
              <w:keepLines/>
              <w:ind w:left="0" w:right="57"/>
              <w:jc w:val="right"/>
              <w:rPr>
                <w:szCs w:val="20"/>
              </w:rPr>
            </w:pPr>
            <w:r w:rsidRPr="00D47029">
              <w:rPr>
                <w:szCs w:val="20"/>
              </w:rPr>
              <w:t>8.5</w:t>
            </w:r>
          </w:p>
        </w:tc>
        <w:tc>
          <w:tcPr>
            <w:tcW w:w="964" w:type="dxa"/>
            <w:tcBorders>
              <w:left w:val="nil"/>
              <w:right w:val="nil"/>
            </w:tcBorders>
            <w:shd w:val="clear" w:color="auto" w:fill="E2E3E2"/>
            <w:vAlign w:val="center"/>
          </w:tcPr>
          <w:p w14:paraId="59449400" w14:textId="58D0DAFE" w:rsidR="00E33F13" w:rsidRPr="00D47029" w:rsidRDefault="00E33F13" w:rsidP="00E1353B">
            <w:pPr>
              <w:pStyle w:val="TableText"/>
              <w:keepNext/>
              <w:keepLines/>
              <w:ind w:left="0" w:right="57"/>
              <w:jc w:val="right"/>
              <w:rPr>
                <w:szCs w:val="20"/>
              </w:rPr>
            </w:pPr>
            <w:r w:rsidRPr="00D47029">
              <w:rPr>
                <w:szCs w:val="20"/>
              </w:rPr>
              <w:t>75</w:t>
            </w:r>
          </w:p>
        </w:tc>
        <w:tc>
          <w:tcPr>
            <w:tcW w:w="964" w:type="dxa"/>
            <w:tcBorders>
              <w:left w:val="nil"/>
              <w:right w:val="nil"/>
            </w:tcBorders>
            <w:shd w:val="clear" w:color="auto" w:fill="auto"/>
            <w:vAlign w:val="center"/>
          </w:tcPr>
          <w:p w14:paraId="36EEA4F5" w14:textId="5F6E2B79" w:rsidR="00E33F13" w:rsidRPr="00D47029" w:rsidRDefault="00E33F13" w:rsidP="00E1353B">
            <w:pPr>
              <w:pStyle w:val="TableText"/>
              <w:keepNext/>
              <w:keepLines/>
              <w:ind w:left="0" w:right="57"/>
              <w:jc w:val="right"/>
              <w:rPr>
                <w:szCs w:val="20"/>
              </w:rPr>
            </w:pPr>
            <w:r w:rsidRPr="00D47029">
              <w:rPr>
                <w:szCs w:val="20"/>
              </w:rPr>
              <w:t>5</w:t>
            </w:r>
          </w:p>
        </w:tc>
        <w:tc>
          <w:tcPr>
            <w:tcW w:w="964" w:type="dxa"/>
            <w:tcBorders>
              <w:left w:val="nil"/>
            </w:tcBorders>
            <w:shd w:val="clear" w:color="auto" w:fill="E2E3E2"/>
            <w:vAlign w:val="center"/>
          </w:tcPr>
          <w:p w14:paraId="7C3B267D" w14:textId="625835DA" w:rsidR="00E33F13" w:rsidRPr="00D47029" w:rsidRDefault="00E33F13" w:rsidP="00E1353B">
            <w:pPr>
              <w:pStyle w:val="TableText"/>
              <w:keepNext/>
              <w:keepLines/>
              <w:ind w:left="0" w:right="57"/>
              <w:jc w:val="right"/>
              <w:rPr>
                <w:szCs w:val="20"/>
              </w:rPr>
            </w:pPr>
            <w:r w:rsidRPr="00D47029">
              <w:rPr>
                <w:szCs w:val="20"/>
              </w:rPr>
              <w:t>82</w:t>
            </w:r>
          </w:p>
        </w:tc>
        <w:tc>
          <w:tcPr>
            <w:tcW w:w="964" w:type="dxa"/>
            <w:shd w:val="clear" w:color="auto" w:fill="auto"/>
            <w:vAlign w:val="center"/>
          </w:tcPr>
          <w:p w14:paraId="0440814D" w14:textId="6D16E61A" w:rsidR="00E33F13" w:rsidRPr="00D47029" w:rsidRDefault="00E33F13" w:rsidP="00E1353B">
            <w:pPr>
              <w:pStyle w:val="TableText"/>
              <w:keepNext/>
              <w:keepLines/>
              <w:ind w:left="0" w:right="57"/>
              <w:jc w:val="right"/>
              <w:rPr>
                <w:szCs w:val="20"/>
              </w:rPr>
            </w:pPr>
            <w:r w:rsidRPr="00D47029">
              <w:rPr>
                <w:szCs w:val="20"/>
              </w:rPr>
              <w:t>1.5</w:t>
            </w:r>
          </w:p>
        </w:tc>
      </w:tr>
      <w:tr w:rsidR="00551802" w:rsidRPr="00D47029" w14:paraId="47518E7E" w14:textId="77777777" w:rsidTr="00BA5271">
        <w:trPr>
          <w:cantSplit/>
        </w:trPr>
        <w:tc>
          <w:tcPr>
            <w:tcW w:w="964" w:type="dxa"/>
            <w:shd w:val="clear" w:color="auto" w:fill="E2E3E2"/>
            <w:vAlign w:val="center"/>
          </w:tcPr>
          <w:p w14:paraId="3EB49848" w14:textId="4631CFAA" w:rsidR="00E33F13" w:rsidRPr="00D47029" w:rsidRDefault="00E33F13" w:rsidP="00E1353B">
            <w:pPr>
              <w:pStyle w:val="TableText"/>
              <w:keepNext/>
              <w:keepLines/>
              <w:ind w:left="0" w:right="57"/>
              <w:jc w:val="right"/>
              <w:rPr>
                <w:szCs w:val="20"/>
              </w:rPr>
            </w:pPr>
            <w:r w:rsidRPr="00D47029">
              <w:rPr>
                <w:szCs w:val="20"/>
              </w:rPr>
              <w:t>69</w:t>
            </w:r>
          </w:p>
        </w:tc>
        <w:tc>
          <w:tcPr>
            <w:tcW w:w="964" w:type="dxa"/>
            <w:tcBorders>
              <w:right w:val="nil"/>
            </w:tcBorders>
            <w:shd w:val="clear" w:color="auto" w:fill="auto"/>
            <w:vAlign w:val="center"/>
          </w:tcPr>
          <w:p w14:paraId="3142CD29" w14:textId="7FF8926F" w:rsidR="00E33F13" w:rsidRPr="00D47029" w:rsidRDefault="00E33F13" w:rsidP="00E1353B">
            <w:pPr>
              <w:pStyle w:val="TableText"/>
              <w:keepNext/>
              <w:keepLines/>
              <w:ind w:left="0" w:right="57"/>
              <w:jc w:val="right"/>
              <w:rPr>
                <w:szCs w:val="20"/>
              </w:rPr>
            </w:pPr>
            <w:r w:rsidRPr="00D47029">
              <w:rPr>
                <w:szCs w:val="20"/>
              </w:rPr>
              <w:t>8</w:t>
            </w:r>
          </w:p>
        </w:tc>
        <w:tc>
          <w:tcPr>
            <w:tcW w:w="964" w:type="dxa"/>
            <w:tcBorders>
              <w:left w:val="nil"/>
              <w:right w:val="nil"/>
            </w:tcBorders>
            <w:shd w:val="clear" w:color="auto" w:fill="E2E3E2"/>
            <w:vAlign w:val="center"/>
          </w:tcPr>
          <w:p w14:paraId="6AC570EA" w14:textId="20869BB3" w:rsidR="00E33F13" w:rsidRPr="00D47029" w:rsidRDefault="00E33F13" w:rsidP="00E1353B">
            <w:pPr>
              <w:pStyle w:val="TableText"/>
              <w:keepNext/>
              <w:keepLines/>
              <w:ind w:left="0" w:right="57"/>
              <w:jc w:val="right"/>
              <w:rPr>
                <w:szCs w:val="20"/>
              </w:rPr>
            </w:pPr>
            <w:r w:rsidRPr="00D47029">
              <w:rPr>
                <w:szCs w:val="20"/>
              </w:rPr>
              <w:t>76</w:t>
            </w:r>
          </w:p>
        </w:tc>
        <w:tc>
          <w:tcPr>
            <w:tcW w:w="964" w:type="dxa"/>
            <w:tcBorders>
              <w:left w:val="nil"/>
              <w:right w:val="nil"/>
            </w:tcBorders>
            <w:shd w:val="clear" w:color="auto" w:fill="auto"/>
            <w:vAlign w:val="center"/>
          </w:tcPr>
          <w:p w14:paraId="3389A4BD" w14:textId="670FD43A" w:rsidR="00E33F13" w:rsidRPr="00D47029" w:rsidRDefault="00E33F13" w:rsidP="00E1353B">
            <w:pPr>
              <w:pStyle w:val="TableText"/>
              <w:keepNext/>
              <w:keepLines/>
              <w:ind w:left="0" w:right="57"/>
              <w:jc w:val="right"/>
              <w:rPr>
                <w:szCs w:val="20"/>
              </w:rPr>
            </w:pPr>
            <w:r w:rsidRPr="00D47029">
              <w:rPr>
                <w:szCs w:val="20"/>
              </w:rPr>
              <w:t>4.5</w:t>
            </w:r>
          </w:p>
        </w:tc>
        <w:tc>
          <w:tcPr>
            <w:tcW w:w="964" w:type="dxa"/>
            <w:tcBorders>
              <w:left w:val="nil"/>
            </w:tcBorders>
            <w:shd w:val="clear" w:color="auto" w:fill="E2E3E2"/>
            <w:vAlign w:val="center"/>
          </w:tcPr>
          <w:p w14:paraId="4281B782" w14:textId="22866198" w:rsidR="00E33F13" w:rsidRPr="00D47029" w:rsidRDefault="00E33F13" w:rsidP="00E1353B">
            <w:pPr>
              <w:pStyle w:val="TableText"/>
              <w:keepNext/>
              <w:keepLines/>
              <w:ind w:left="0" w:right="57"/>
              <w:jc w:val="right"/>
              <w:rPr>
                <w:szCs w:val="20"/>
              </w:rPr>
            </w:pPr>
            <w:r w:rsidRPr="00D47029">
              <w:rPr>
                <w:szCs w:val="20"/>
              </w:rPr>
              <w:t>83</w:t>
            </w:r>
          </w:p>
        </w:tc>
        <w:tc>
          <w:tcPr>
            <w:tcW w:w="964" w:type="dxa"/>
            <w:shd w:val="clear" w:color="auto" w:fill="auto"/>
            <w:vAlign w:val="center"/>
          </w:tcPr>
          <w:p w14:paraId="0569CFB2" w14:textId="185AB84C" w:rsidR="00E33F13" w:rsidRPr="00D47029" w:rsidRDefault="00E33F13" w:rsidP="00E1353B">
            <w:pPr>
              <w:pStyle w:val="TableText"/>
              <w:keepNext/>
              <w:keepLines/>
              <w:ind w:left="0" w:right="57"/>
              <w:jc w:val="right"/>
              <w:rPr>
                <w:szCs w:val="20"/>
              </w:rPr>
            </w:pPr>
            <w:r w:rsidRPr="00D47029">
              <w:rPr>
                <w:szCs w:val="20"/>
              </w:rPr>
              <w:t>1</w:t>
            </w:r>
          </w:p>
        </w:tc>
      </w:tr>
      <w:tr w:rsidR="00551802" w:rsidRPr="00D47029" w14:paraId="083D7A21" w14:textId="77777777" w:rsidTr="00BA5271">
        <w:trPr>
          <w:cantSplit/>
        </w:trPr>
        <w:tc>
          <w:tcPr>
            <w:tcW w:w="964" w:type="dxa"/>
            <w:shd w:val="clear" w:color="auto" w:fill="E2E3E2"/>
            <w:vAlign w:val="center"/>
          </w:tcPr>
          <w:p w14:paraId="1ED465C5" w14:textId="7E1698D1" w:rsidR="00E33F13" w:rsidRPr="00D47029" w:rsidRDefault="00E33F13" w:rsidP="00E1353B">
            <w:pPr>
              <w:pStyle w:val="TableText"/>
              <w:keepNext/>
              <w:keepLines/>
              <w:ind w:left="0" w:right="57"/>
              <w:jc w:val="right"/>
              <w:rPr>
                <w:szCs w:val="20"/>
              </w:rPr>
            </w:pPr>
            <w:r w:rsidRPr="00D47029">
              <w:rPr>
                <w:szCs w:val="20"/>
              </w:rPr>
              <w:t>70</w:t>
            </w:r>
          </w:p>
        </w:tc>
        <w:tc>
          <w:tcPr>
            <w:tcW w:w="964" w:type="dxa"/>
            <w:tcBorders>
              <w:right w:val="nil"/>
            </w:tcBorders>
            <w:shd w:val="clear" w:color="auto" w:fill="auto"/>
            <w:vAlign w:val="center"/>
          </w:tcPr>
          <w:p w14:paraId="555102EB" w14:textId="43F18ABA" w:rsidR="00E33F13" w:rsidRPr="00D47029" w:rsidRDefault="00E33F13" w:rsidP="00E1353B">
            <w:pPr>
              <w:pStyle w:val="TableText"/>
              <w:keepNext/>
              <w:keepLines/>
              <w:ind w:left="0" w:right="57"/>
              <w:jc w:val="right"/>
              <w:rPr>
                <w:szCs w:val="20"/>
              </w:rPr>
            </w:pPr>
            <w:r w:rsidRPr="00D47029">
              <w:rPr>
                <w:szCs w:val="20"/>
              </w:rPr>
              <w:t>7.5</w:t>
            </w:r>
          </w:p>
        </w:tc>
        <w:tc>
          <w:tcPr>
            <w:tcW w:w="964" w:type="dxa"/>
            <w:tcBorders>
              <w:left w:val="nil"/>
              <w:right w:val="nil"/>
            </w:tcBorders>
            <w:shd w:val="clear" w:color="auto" w:fill="E2E3E2"/>
            <w:vAlign w:val="center"/>
          </w:tcPr>
          <w:p w14:paraId="1FE9CEBC" w14:textId="654DA9BB" w:rsidR="00E33F13" w:rsidRPr="00D47029" w:rsidRDefault="00E33F13" w:rsidP="00E1353B">
            <w:pPr>
              <w:pStyle w:val="TableText"/>
              <w:keepNext/>
              <w:keepLines/>
              <w:ind w:left="0" w:right="57"/>
              <w:jc w:val="right"/>
              <w:rPr>
                <w:szCs w:val="20"/>
              </w:rPr>
            </w:pPr>
            <w:r w:rsidRPr="00D47029">
              <w:rPr>
                <w:szCs w:val="20"/>
              </w:rPr>
              <w:t>77</w:t>
            </w:r>
          </w:p>
        </w:tc>
        <w:tc>
          <w:tcPr>
            <w:tcW w:w="964" w:type="dxa"/>
            <w:tcBorders>
              <w:left w:val="nil"/>
              <w:right w:val="nil"/>
            </w:tcBorders>
            <w:shd w:val="clear" w:color="auto" w:fill="auto"/>
            <w:vAlign w:val="center"/>
          </w:tcPr>
          <w:p w14:paraId="67ACC235" w14:textId="6F756404" w:rsidR="00E33F13" w:rsidRPr="00D47029" w:rsidRDefault="00E33F13" w:rsidP="00E1353B">
            <w:pPr>
              <w:pStyle w:val="TableText"/>
              <w:keepNext/>
              <w:keepLines/>
              <w:ind w:left="0" w:right="57"/>
              <w:jc w:val="right"/>
              <w:rPr>
                <w:szCs w:val="20"/>
              </w:rPr>
            </w:pPr>
            <w:r w:rsidRPr="00D47029">
              <w:rPr>
                <w:szCs w:val="20"/>
              </w:rPr>
              <w:t>4</w:t>
            </w:r>
          </w:p>
        </w:tc>
        <w:tc>
          <w:tcPr>
            <w:tcW w:w="964" w:type="dxa"/>
            <w:tcBorders>
              <w:left w:val="nil"/>
            </w:tcBorders>
            <w:shd w:val="clear" w:color="auto" w:fill="E2E3E2"/>
            <w:vAlign w:val="center"/>
          </w:tcPr>
          <w:p w14:paraId="69A36922" w14:textId="6B5CF84D" w:rsidR="00E33F13" w:rsidRPr="00D47029" w:rsidRDefault="00E33F13" w:rsidP="00E1353B">
            <w:pPr>
              <w:pStyle w:val="TableText"/>
              <w:keepNext/>
              <w:keepLines/>
              <w:ind w:left="0" w:right="57"/>
              <w:jc w:val="right"/>
              <w:rPr>
                <w:szCs w:val="20"/>
              </w:rPr>
            </w:pPr>
            <w:r w:rsidRPr="00D47029">
              <w:rPr>
                <w:szCs w:val="20"/>
              </w:rPr>
              <w:t>84</w:t>
            </w:r>
          </w:p>
        </w:tc>
        <w:tc>
          <w:tcPr>
            <w:tcW w:w="964" w:type="dxa"/>
            <w:shd w:val="clear" w:color="auto" w:fill="auto"/>
            <w:vAlign w:val="center"/>
          </w:tcPr>
          <w:p w14:paraId="3D051D2F" w14:textId="68AE80C1" w:rsidR="00E33F13" w:rsidRPr="00D47029" w:rsidRDefault="00E33F13" w:rsidP="00E1353B">
            <w:pPr>
              <w:pStyle w:val="TableText"/>
              <w:keepNext/>
              <w:keepLines/>
              <w:ind w:left="0" w:right="57"/>
              <w:jc w:val="right"/>
              <w:rPr>
                <w:szCs w:val="20"/>
              </w:rPr>
            </w:pPr>
            <w:r w:rsidRPr="00D47029">
              <w:rPr>
                <w:szCs w:val="20"/>
              </w:rPr>
              <w:t>0.5</w:t>
            </w:r>
          </w:p>
        </w:tc>
      </w:tr>
      <w:tr w:rsidR="00551802" w:rsidRPr="00D47029" w14:paraId="39329203" w14:textId="77777777" w:rsidTr="00BA5271">
        <w:trPr>
          <w:cantSplit/>
        </w:trPr>
        <w:tc>
          <w:tcPr>
            <w:tcW w:w="964" w:type="dxa"/>
            <w:shd w:val="clear" w:color="auto" w:fill="E2E3E2"/>
            <w:vAlign w:val="center"/>
          </w:tcPr>
          <w:p w14:paraId="3983069A" w14:textId="2463E4B4" w:rsidR="00E33F13" w:rsidRPr="00D47029" w:rsidRDefault="00E33F13" w:rsidP="00E1353B">
            <w:pPr>
              <w:pStyle w:val="TableText"/>
              <w:keepNext/>
              <w:keepLines/>
              <w:ind w:left="0" w:right="57"/>
              <w:jc w:val="right"/>
              <w:rPr>
                <w:szCs w:val="20"/>
              </w:rPr>
            </w:pPr>
            <w:r w:rsidRPr="00D47029">
              <w:rPr>
                <w:szCs w:val="20"/>
              </w:rPr>
              <w:t>71</w:t>
            </w:r>
          </w:p>
        </w:tc>
        <w:tc>
          <w:tcPr>
            <w:tcW w:w="964" w:type="dxa"/>
            <w:tcBorders>
              <w:right w:val="nil"/>
            </w:tcBorders>
            <w:shd w:val="clear" w:color="auto" w:fill="auto"/>
            <w:vAlign w:val="center"/>
          </w:tcPr>
          <w:p w14:paraId="72A107C7" w14:textId="27498CC8" w:rsidR="00E33F13" w:rsidRPr="00D47029" w:rsidRDefault="00E33F13" w:rsidP="00E1353B">
            <w:pPr>
              <w:pStyle w:val="TableText"/>
              <w:keepNext/>
              <w:keepLines/>
              <w:ind w:left="0" w:right="57"/>
              <w:jc w:val="right"/>
              <w:rPr>
                <w:szCs w:val="20"/>
              </w:rPr>
            </w:pPr>
            <w:r w:rsidRPr="00D47029">
              <w:rPr>
                <w:szCs w:val="20"/>
              </w:rPr>
              <w:t>7</w:t>
            </w:r>
          </w:p>
        </w:tc>
        <w:tc>
          <w:tcPr>
            <w:tcW w:w="964" w:type="dxa"/>
            <w:tcBorders>
              <w:left w:val="nil"/>
              <w:right w:val="nil"/>
            </w:tcBorders>
            <w:shd w:val="clear" w:color="auto" w:fill="E2E3E2"/>
            <w:vAlign w:val="center"/>
          </w:tcPr>
          <w:p w14:paraId="26B44239" w14:textId="058ADBAD" w:rsidR="00E33F13" w:rsidRPr="00D47029" w:rsidRDefault="00E33F13" w:rsidP="00E1353B">
            <w:pPr>
              <w:pStyle w:val="TableText"/>
              <w:keepNext/>
              <w:keepLines/>
              <w:ind w:left="0" w:right="57"/>
              <w:jc w:val="right"/>
              <w:rPr>
                <w:szCs w:val="20"/>
              </w:rPr>
            </w:pPr>
            <w:r w:rsidRPr="00D47029">
              <w:rPr>
                <w:szCs w:val="20"/>
              </w:rPr>
              <w:t>78</w:t>
            </w:r>
          </w:p>
        </w:tc>
        <w:tc>
          <w:tcPr>
            <w:tcW w:w="964" w:type="dxa"/>
            <w:tcBorders>
              <w:left w:val="nil"/>
              <w:right w:val="nil"/>
            </w:tcBorders>
            <w:shd w:val="clear" w:color="auto" w:fill="auto"/>
            <w:vAlign w:val="center"/>
          </w:tcPr>
          <w:p w14:paraId="6C5D51F5" w14:textId="3B1A36D1" w:rsidR="00E33F13" w:rsidRPr="00D47029" w:rsidRDefault="00E33F13" w:rsidP="00E1353B">
            <w:pPr>
              <w:pStyle w:val="TableText"/>
              <w:keepNext/>
              <w:keepLines/>
              <w:ind w:left="0" w:right="57"/>
              <w:jc w:val="right"/>
              <w:rPr>
                <w:szCs w:val="20"/>
              </w:rPr>
            </w:pPr>
            <w:r w:rsidRPr="00D47029">
              <w:rPr>
                <w:szCs w:val="20"/>
              </w:rPr>
              <w:t>3.5</w:t>
            </w:r>
          </w:p>
        </w:tc>
        <w:tc>
          <w:tcPr>
            <w:tcW w:w="964" w:type="dxa"/>
            <w:tcBorders>
              <w:left w:val="nil"/>
            </w:tcBorders>
            <w:shd w:val="clear" w:color="auto" w:fill="E2E3E2"/>
            <w:vAlign w:val="center"/>
          </w:tcPr>
          <w:p w14:paraId="531E0842" w14:textId="098E63C7" w:rsidR="00E33F13" w:rsidRPr="00D47029" w:rsidRDefault="00E33F13" w:rsidP="00E1353B">
            <w:pPr>
              <w:pStyle w:val="TableText"/>
              <w:keepNext/>
              <w:keepLines/>
              <w:ind w:left="0" w:right="57"/>
              <w:jc w:val="right"/>
              <w:rPr>
                <w:szCs w:val="20"/>
              </w:rPr>
            </w:pPr>
            <w:r w:rsidRPr="00D47029">
              <w:rPr>
                <w:szCs w:val="20"/>
              </w:rPr>
              <w:t>85</w:t>
            </w:r>
          </w:p>
        </w:tc>
        <w:tc>
          <w:tcPr>
            <w:tcW w:w="964" w:type="dxa"/>
            <w:shd w:val="clear" w:color="auto" w:fill="auto"/>
            <w:vAlign w:val="center"/>
          </w:tcPr>
          <w:p w14:paraId="422FA750" w14:textId="36967FD7" w:rsidR="00E33F13" w:rsidRPr="00D47029" w:rsidRDefault="00E33F13" w:rsidP="00E1353B">
            <w:pPr>
              <w:pStyle w:val="TableText"/>
              <w:keepNext/>
              <w:keepLines/>
              <w:ind w:left="0" w:right="57"/>
              <w:jc w:val="right"/>
              <w:rPr>
                <w:szCs w:val="20"/>
              </w:rPr>
            </w:pPr>
            <w:r w:rsidRPr="00D47029">
              <w:rPr>
                <w:szCs w:val="20"/>
              </w:rPr>
              <w:t>0</w:t>
            </w:r>
          </w:p>
        </w:tc>
      </w:tr>
    </w:tbl>
    <w:p w14:paraId="35AF1E3E" w14:textId="7B2B0124" w:rsidR="00655DB0" w:rsidRPr="005E45C2" w:rsidRDefault="005E45C2" w:rsidP="00D47029">
      <w:pPr>
        <w:pStyle w:val="Heading2"/>
      </w:pPr>
      <w:bookmarkStart w:id="76" w:name="_Toc112847609"/>
      <w:bookmarkStart w:id="77" w:name="_Toc149307227"/>
      <w:bookmarkStart w:id="78" w:name="_Ref172724932"/>
      <w:bookmarkStart w:id="79" w:name="_Toc185937488"/>
      <w:r>
        <w:t xml:space="preserve">Preservation </w:t>
      </w:r>
      <w:r w:rsidR="00D47029">
        <w:t>of lump sum benefits</w:t>
      </w:r>
      <w:bookmarkEnd w:id="76"/>
      <w:bookmarkEnd w:id="77"/>
      <w:bookmarkEnd w:id="78"/>
      <w:bookmarkEnd w:id="79"/>
    </w:p>
    <w:p w14:paraId="45FC2A35" w14:textId="341DCB4A" w:rsidR="009A57E5" w:rsidRDefault="00655DB0" w:rsidP="00091E9A">
      <w:pPr>
        <w:pStyle w:val="NumberedList1"/>
      </w:pPr>
      <w:bookmarkStart w:id="80" w:name="_Ref172724805"/>
      <w:r w:rsidRPr="00222960">
        <w:t>The</w:t>
      </w:r>
      <w:r w:rsidR="00B8409C" w:rsidRPr="009A57E5">
        <w:rPr>
          <w:i/>
          <w:u w:color="0070C0"/>
        </w:rPr>
        <w:t xml:space="preserve"> Superannuation Industry (Supervision) Regulations 1994</w:t>
      </w:r>
      <w:r w:rsidR="00B8409C" w:rsidRPr="009A57E5">
        <w:rPr>
          <w:iCs/>
          <w:u w:color="0070C0"/>
        </w:rPr>
        <w:t xml:space="preserve"> (the SIS Regulations)</w:t>
      </w:r>
      <w:r w:rsidRPr="00222960">
        <w:t xml:space="preserve"> requires that certain lump sum benefits be preserved in a superannuation fund or an approved deposit fund until beneficiaries reach the</w:t>
      </w:r>
      <w:r w:rsidR="007752EF">
        <w:t>ir</w:t>
      </w:r>
      <w:r w:rsidRPr="00222960">
        <w:t xml:space="preserve"> preservation age and retire from the workforce.</w:t>
      </w:r>
      <w:bookmarkStart w:id="81" w:name="_Ref173752370"/>
      <w:bookmarkEnd w:id="80"/>
    </w:p>
    <w:bookmarkEnd w:id="81"/>
    <w:p w14:paraId="77B0CD93" w14:textId="1CF06382" w:rsidR="00361400" w:rsidRPr="00222960" w:rsidRDefault="00361400" w:rsidP="00091E9A">
      <w:pPr>
        <w:pStyle w:val="NumberedList1"/>
      </w:pPr>
      <w:r w:rsidRPr="00361400">
        <w:t xml:space="preserve">Superannuation contributions, including member contributions made from </w:t>
      </w:r>
      <w:r w:rsidR="00CF7856" w:rsidRPr="00361400">
        <w:t>1</w:t>
      </w:r>
      <w:r w:rsidR="00CF7856">
        <w:t> </w:t>
      </w:r>
      <w:r w:rsidRPr="00361400">
        <w:t>July</w:t>
      </w:r>
      <w:r w:rsidR="00CF7856">
        <w:t> </w:t>
      </w:r>
      <w:r w:rsidRPr="00361400">
        <w:t>1999 will be preserved until retirement from the workforce. Once a member reaches</w:t>
      </w:r>
      <w:r>
        <w:t xml:space="preserve"> their</w:t>
      </w:r>
      <w:r w:rsidR="0023222A">
        <w:t xml:space="preserve"> </w:t>
      </w:r>
      <w:r w:rsidRPr="00222960">
        <w:t xml:space="preserve">preservation </w:t>
      </w:r>
      <w:r>
        <w:t>a</w:t>
      </w:r>
      <w:r w:rsidRPr="00222960">
        <w:t xml:space="preserve">ge (generally </w:t>
      </w:r>
      <w:r w:rsidR="00CF7856" w:rsidRPr="00222960">
        <w:t>age</w:t>
      </w:r>
      <w:r w:rsidR="00CF7856">
        <w:t> </w:t>
      </w:r>
      <w:r w:rsidRPr="00222960">
        <w:t>55)</w:t>
      </w:r>
      <w:r>
        <w:rPr>
          <w:rStyle w:val="FootnoteReference"/>
        </w:rPr>
        <w:footnoteReference w:id="11"/>
      </w:r>
      <w:r>
        <w:t>,</w:t>
      </w:r>
      <w:r w:rsidRPr="00361400">
        <w:t xml:space="preserve"> except where the benefit is a complying </w:t>
      </w:r>
      <w:r w:rsidR="00696D74" w:rsidRPr="00361400">
        <w:t>pension,</w:t>
      </w:r>
      <w:r w:rsidR="00CE219B" w:rsidRPr="00361400">
        <w:t xml:space="preserve"> or</w:t>
      </w:r>
      <w:r w:rsidRPr="00361400">
        <w:t xml:space="preserve"> special circumstances apply.</w:t>
      </w:r>
      <w:r w:rsidR="005102D7">
        <w:rPr>
          <w:rStyle w:val="FootnoteReference"/>
        </w:rPr>
        <w:footnoteReference w:id="12"/>
      </w:r>
    </w:p>
    <w:p w14:paraId="2736E11E" w14:textId="49D119B7" w:rsidR="00655DB0" w:rsidRPr="005E45C2" w:rsidRDefault="00655DB0" w:rsidP="00D47029">
      <w:pPr>
        <w:pStyle w:val="Heading3"/>
      </w:pPr>
      <w:bookmarkStart w:id="82" w:name="_Toc112847610"/>
      <w:bookmarkStart w:id="83" w:name="_Toc149307228"/>
      <w:bookmarkStart w:id="84" w:name="_Toc185937489"/>
      <w:r>
        <w:lastRenderedPageBreak/>
        <w:t xml:space="preserve">Members who </w:t>
      </w:r>
      <w:r w:rsidR="002954C2">
        <w:t xml:space="preserve">retire </w:t>
      </w:r>
      <w:r w:rsidR="00AC7B69">
        <w:t>with a lump sum benefit</w:t>
      </w:r>
      <w:bookmarkEnd w:id="82"/>
      <w:bookmarkEnd w:id="83"/>
      <w:bookmarkEnd w:id="84"/>
    </w:p>
    <w:p w14:paraId="7F6707F2" w14:textId="33CE7D3C" w:rsidR="00655DB0" w:rsidRPr="00222960" w:rsidRDefault="00655DB0" w:rsidP="00091E9A">
      <w:pPr>
        <w:pStyle w:val="NumberedList1"/>
      </w:pPr>
      <w:r w:rsidRPr="00222960">
        <w:t>The preservation arrangements mean that all lump sum benefits accru</w:t>
      </w:r>
      <w:r w:rsidR="00F63845">
        <w:t>ed</w:t>
      </w:r>
      <w:r w:rsidRPr="00222960">
        <w:t xml:space="preserve"> </w:t>
      </w:r>
      <w:r w:rsidR="00C05228">
        <w:t xml:space="preserve">on or </w:t>
      </w:r>
      <w:r w:rsidRPr="00222960">
        <w:t>after 1 July 1999, including member contributions, will be preserved until preservation age.</w:t>
      </w:r>
    </w:p>
    <w:p w14:paraId="2EA8DD21" w14:textId="45B6B52B" w:rsidR="00655DB0" w:rsidRPr="00222960" w:rsidRDefault="00655DB0" w:rsidP="00091E9A">
      <w:pPr>
        <w:pStyle w:val="NumberedList1"/>
      </w:pPr>
      <w:r>
        <w:t>T</w:t>
      </w:r>
      <w:r w:rsidRPr="00222960">
        <w:t xml:space="preserve">he amount of the lump sum benefit that exceeds the </w:t>
      </w:r>
      <w:r w:rsidR="002C289D">
        <w:t>30 </w:t>
      </w:r>
      <w:r>
        <w:t>June</w:t>
      </w:r>
      <w:r w:rsidR="002C289D">
        <w:t> </w:t>
      </w:r>
      <w:r>
        <w:t xml:space="preserve">1999 </w:t>
      </w:r>
      <w:r w:rsidRPr="00222960">
        <w:t>amount of benefit</w:t>
      </w:r>
      <w:r w:rsidR="001C2ACD">
        <w:t>,</w:t>
      </w:r>
      <w:r w:rsidR="001C2ACD" w:rsidRPr="00222960">
        <w:t xml:space="preserve"> </w:t>
      </w:r>
      <w:r w:rsidR="001C2ACD">
        <w:t xml:space="preserve">that is </w:t>
      </w:r>
      <w:r w:rsidRPr="00222960">
        <w:t>the non</w:t>
      </w:r>
      <w:r w:rsidR="00D246BC">
        <w:noBreakHyphen/>
      </w:r>
      <w:r w:rsidRPr="00222960">
        <w:t>preserved amount</w:t>
      </w:r>
      <w:r w:rsidR="00045E46">
        <w:t>,</w:t>
      </w:r>
      <w:r w:rsidRPr="00222960">
        <w:t xml:space="preserve"> must be preserved until retirement from the workforce after reaching the preservation age.</w:t>
      </w:r>
      <w:r>
        <w:t xml:space="preserve"> </w:t>
      </w:r>
      <w:r w:rsidRPr="00222960">
        <w:t>The non</w:t>
      </w:r>
      <w:r w:rsidR="00D246BC">
        <w:noBreakHyphen/>
      </w:r>
      <w:r w:rsidRPr="00222960">
        <w:t>preserved amount will not be indexed.</w:t>
      </w:r>
    </w:p>
    <w:p w14:paraId="1F380B8A" w14:textId="6FDAD1FC" w:rsidR="00655DB0" w:rsidRPr="00222960" w:rsidRDefault="00655DB0" w:rsidP="00A15515">
      <w:pPr>
        <w:pStyle w:val="NumberedList1"/>
      </w:pPr>
      <w:r w:rsidRPr="00222960">
        <w:t>New members elected after 1</w:t>
      </w:r>
      <w:r w:rsidR="001C2ACD">
        <w:t> </w:t>
      </w:r>
      <w:r w:rsidRPr="00222960">
        <w:t>July</w:t>
      </w:r>
      <w:r w:rsidR="001C2ACD">
        <w:t> </w:t>
      </w:r>
      <w:r w:rsidRPr="00222960">
        <w:t>1999, and who do not qualify for a pension upon retirement, will be required to preserve all their contributions and the Government supplement until retirement from the workforce after reaching the preservation age.</w:t>
      </w:r>
    </w:p>
    <w:p w14:paraId="441F6AB9" w14:textId="77777777" w:rsidR="00655DB0" w:rsidRPr="00222960" w:rsidRDefault="00655DB0" w:rsidP="00A15515">
      <w:pPr>
        <w:pStyle w:val="NumberedList1"/>
      </w:pPr>
      <w:r w:rsidRPr="00222960">
        <w:t>These preserved amounts will be paid into a rollover fund of the member</w:t>
      </w:r>
      <w:r>
        <w:t>’</w:t>
      </w:r>
      <w:r w:rsidRPr="00222960">
        <w:t>s choice.</w:t>
      </w:r>
    </w:p>
    <w:p w14:paraId="044E20E4" w14:textId="41DA04BE" w:rsidR="00655DB0" w:rsidRPr="00222960" w:rsidRDefault="00655DB0" w:rsidP="00D47029">
      <w:pPr>
        <w:pStyle w:val="Heading3"/>
      </w:pPr>
      <w:bookmarkStart w:id="85" w:name="_Toc112847611"/>
      <w:bookmarkStart w:id="86" w:name="_Toc149307229"/>
      <w:bookmarkStart w:id="87" w:name="_Toc185937490"/>
      <w:r>
        <w:t xml:space="preserve">Members </w:t>
      </w:r>
      <w:r w:rsidR="00AC7B69">
        <w:t>who retire with a pension benefit</w:t>
      </w:r>
      <w:bookmarkEnd w:id="85"/>
      <w:bookmarkEnd w:id="86"/>
      <w:bookmarkEnd w:id="87"/>
    </w:p>
    <w:p w14:paraId="44506A99" w14:textId="77777777" w:rsidR="00655DB0" w:rsidRDefault="00655DB0" w:rsidP="00A15515">
      <w:pPr>
        <w:pStyle w:val="NumberedList1"/>
      </w:pPr>
      <w:r w:rsidRPr="00222960">
        <w:t xml:space="preserve">The same rules apply after 30 June 1999, to lump sums received from the conversion of a portion of </w:t>
      </w:r>
      <w:r>
        <w:t>the</w:t>
      </w:r>
      <w:r w:rsidRPr="00222960">
        <w:t xml:space="preserve"> pension benefit.</w:t>
      </w:r>
    </w:p>
    <w:p w14:paraId="5C164A05" w14:textId="25BA944B" w:rsidR="00655DB0" w:rsidRDefault="00655DB0" w:rsidP="00A15515">
      <w:pPr>
        <w:pStyle w:val="NumberedList1"/>
      </w:pPr>
      <w:r w:rsidRPr="00222960">
        <w:t>Members who retire with a pension entitlement, who wish to convert up to 50</w:t>
      </w:r>
      <w:r w:rsidR="008F20C2">
        <w:t>%</w:t>
      </w:r>
      <w:r w:rsidRPr="00222960">
        <w:t xml:space="preserve"> of the pension to a lump sum will be required to preserve part of that lump sum until the preservation age is reached.</w:t>
      </w:r>
      <w:r>
        <w:t xml:space="preserve"> </w:t>
      </w:r>
      <w:r w:rsidRPr="00222960">
        <w:t>The amount of the lump sum that would be available in cash</w:t>
      </w:r>
      <w:r w:rsidR="001F5338" w:rsidRPr="00A26398">
        <w:t xml:space="preserve">, </w:t>
      </w:r>
      <w:r w:rsidR="001C2ACD">
        <w:t xml:space="preserve">that is </w:t>
      </w:r>
      <w:r w:rsidRPr="00222960">
        <w:t>the non</w:t>
      </w:r>
      <w:r w:rsidR="00D246BC">
        <w:noBreakHyphen/>
      </w:r>
      <w:r w:rsidRPr="00222960">
        <w:t>preserved amount before the preservation age is reached is that part of the lump sum based on the level of pension converted to a lump sum that relates to the pension accrual as at 30</w:t>
      </w:r>
      <w:r w:rsidR="001C2ACD">
        <w:t> </w:t>
      </w:r>
      <w:r w:rsidRPr="00222960">
        <w:t>June</w:t>
      </w:r>
      <w:r w:rsidR="001C2ACD">
        <w:t> </w:t>
      </w:r>
      <w:r w:rsidRPr="00222960">
        <w:t>1999.</w:t>
      </w:r>
    </w:p>
    <w:p w14:paraId="5E2284DF" w14:textId="35D62FCA" w:rsidR="00655DB0" w:rsidRPr="00222960" w:rsidRDefault="00655DB0" w:rsidP="00A15515">
      <w:pPr>
        <w:pStyle w:val="NumberedList1"/>
      </w:pPr>
      <w:bookmarkStart w:id="88" w:name="_Ref172724850"/>
      <w:r>
        <w:t>M</w:t>
      </w:r>
      <w:r w:rsidRPr="00222960">
        <w:t>embers elected on or after 1</w:t>
      </w:r>
      <w:r w:rsidR="001C2ACD">
        <w:t> </w:t>
      </w:r>
      <w:r w:rsidRPr="00222960">
        <w:t>July</w:t>
      </w:r>
      <w:r w:rsidR="001C2ACD">
        <w:t> </w:t>
      </w:r>
      <w:r w:rsidRPr="00222960">
        <w:t>1999 will be required to preserve the whole of their lump sum benefit if they elect to convert part of their pension to a lump sum on retirement before their preservation age.</w:t>
      </w:r>
      <w:bookmarkEnd w:id="88"/>
    </w:p>
    <w:p w14:paraId="6D503DCB" w14:textId="108E3D84" w:rsidR="00655DB0" w:rsidRPr="00222960" w:rsidRDefault="00655DB0" w:rsidP="00D47029">
      <w:pPr>
        <w:pStyle w:val="Heading2"/>
      </w:pPr>
      <w:bookmarkStart w:id="89" w:name="_Toc112847612"/>
      <w:bookmarkStart w:id="90" w:name="_Toc149307230"/>
      <w:bookmarkStart w:id="91" w:name="_Toc185937491"/>
      <w:r>
        <w:t>I</w:t>
      </w:r>
      <w:r w:rsidR="005E45C2">
        <w:t xml:space="preserve">nvalidity </w:t>
      </w:r>
      <w:r w:rsidR="002954C2">
        <w:t>benefit</w:t>
      </w:r>
      <w:bookmarkEnd w:id="89"/>
      <w:bookmarkEnd w:id="90"/>
      <w:bookmarkEnd w:id="91"/>
    </w:p>
    <w:p w14:paraId="3A5F8C55" w14:textId="4FE5A210" w:rsidR="00655DB0" w:rsidRPr="007D4C91" w:rsidRDefault="00655DB0" w:rsidP="00A15515">
      <w:pPr>
        <w:pStyle w:val="NumberedList1"/>
      </w:pPr>
      <w:r w:rsidRPr="00222960">
        <w:t xml:space="preserve">The Trust may determine that the retirement of a member is to be treated as an invalidity retirement, if satisfied that the person is unable to perform the duties of a member because of physical or mental impairment. Where such a determination is made, the retirement is deemed to be involuntary. </w:t>
      </w:r>
      <w:r>
        <w:t>If</w:t>
      </w:r>
      <w:r w:rsidRPr="00222960">
        <w:t xml:space="preserve"> </w:t>
      </w:r>
      <w:r w:rsidR="00512350">
        <w:t>minimum</w:t>
      </w:r>
      <w:r w:rsidR="00512350" w:rsidDel="00C92593">
        <w:t xml:space="preserve"> </w:t>
      </w:r>
      <w:r w:rsidR="00512350">
        <w:t>of</w:t>
      </w:r>
      <w:r w:rsidR="005D494F">
        <w:t xml:space="preserve"> </w:t>
      </w:r>
      <w:r>
        <w:t>8</w:t>
      </w:r>
      <w:r w:rsidR="007E76D4">
        <w:t> </w:t>
      </w:r>
      <w:r>
        <w:t>years of service</w:t>
      </w:r>
      <w:r w:rsidR="007A7AC6">
        <w:t xml:space="preserve"> has been achieved</w:t>
      </w:r>
      <w:r w:rsidRPr="00222960">
        <w:t xml:space="preserve">, </w:t>
      </w:r>
      <w:r>
        <w:t xml:space="preserve">the member would qualify for the standard retirement </w:t>
      </w:r>
      <w:r w:rsidRPr="00222960">
        <w:t xml:space="preserve">benefits under the provisions </w:t>
      </w:r>
      <w:r w:rsidRPr="007D4C91">
        <w:t xml:space="preserve">outlined in </w:t>
      </w:r>
      <w:r w:rsidRPr="001B0B60">
        <w:t>par</w:t>
      </w:r>
      <w:r w:rsidR="00B9266C" w:rsidRPr="001B0B60">
        <w:t>a</w:t>
      </w:r>
      <w:r w:rsidR="00BA59FE" w:rsidRPr="001B0B60">
        <w:t>graph </w:t>
      </w:r>
      <w:r w:rsidR="00213093" w:rsidRPr="00BA5271">
        <w:fldChar w:fldCharType="begin"/>
      </w:r>
      <w:r w:rsidR="00213093" w:rsidRPr="00BA5271">
        <w:instrText xml:space="preserve"> REF _Ref433531168 \w \h </w:instrText>
      </w:r>
      <w:r w:rsidR="004D56AA" w:rsidRPr="00BA5271">
        <w:instrText xml:space="preserve"> \* MERGEFORMAT </w:instrText>
      </w:r>
      <w:r w:rsidR="00213093" w:rsidRPr="00BA5271">
        <w:fldChar w:fldCharType="separate"/>
      </w:r>
      <w:r w:rsidR="00DC08F8">
        <w:t>22</w:t>
      </w:r>
      <w:r w:rsidR="00213093" w:rsidRPr="00BA5271">
        <w:fldChar w:fldCharType="end"/>
      </w:r>
      <w:r w:rsidRPr="001B0B60">
        <w:t>.</w:t>
      </w:r>
    </w:p>
    <w:p w14:paraId="7E976ED1" w14:textId="51849E8A" w:rsidR="00655DB0" w:rsidRDefault="004D56AA" w:rsidP="00D910AB">
      <w:pPr>
        <w:pStyle w:val="NumberedList1"/>
        <w:keepNext/>
        <w:keepLines/>
      </w:pPr>
      <w:r>
        <w:t xml:space="preserve">If </w:t>
      </w:r>
      <w:r w:rsidR="00655DB0" w:rsidRPr="00222960">
        <w:t xml:space="preserve">invalid pensioner dies without eligible dependents and the pension payments have not exceeded the greater of the lump sum of </w:t>
      </w:r>
      <w:r w:rsidR="001E2897">
        <w:t>three</w:t>
      </w:r>
      <w:r>
        <w:t> </w:t>
      </w:r>
      <w:r w:rsidR="00786920" w:rsidRPr="00222960">
        <w:t>and</w:t>
      </w:r>
      <w:r w:rsidR="00786920">
        <w:t> </w:t>
      </w:r>
      <w:r w:rsidR="00786920" w:rsidRPr="00222960">
        <w:t>one</w:t>
      </w:r>
      <w:r w:rsidR="00786920">
        <w:noBreakHyphen/>
      </w:r>
      <w:r w:rsidR="00655DB0" w:rsidRPr="00222960">
        <w:t xml:space="preserve">third times </w:t>
      </w:r>
      <w:r>
        <w:t xml:space="preserve">their </w:t>
      </w:r>
      <w:r w:rsidR="00655DB0" w:rsidRPr="00222960">
        <w:t xml:space="preserve">own contributions over the last </w:t>
      </w:r>
      <w:r w:rsidR="00633BA4">
        <w:t>8 </w:t>
      </w:r>
      <w:r w:rsidR="00633BA4" w:rsidRPr="00222960">
        <w:t xml:space="preserve">years </w:t>
      </w:r>
      <w:r w:rsidR="00633BA4">
        <w:t xml:space="preserve">of </w:t>
      </w:r>
      <w:r w:rsidR="00633BA4" w:rsidRPr="00222960">
        <w:t>service</w:t>
      </w:r>
      <w:r w:rsidR="00633BA4" w:rsidRPr="00222960" w:rsidDel="00633BA4">
        <w:t xml:space="preserve"> </w:t>
      </w:r>
      <w:r w:rsidR="00655DB0" w:rsidRPr="00222960">
        <w:t>and the superannuation guarantee benefit, the balance is payable to the person</w:t>
      </w:r>
      <w:r w:rsidR="00655DB0">
        <w:t>’</w:t>
      </w:r>
      <w:r w:rsidR="00655DB0" w:rsidRPr="00222960">
        <w:t>s estate.</w:t>
      </w:r>
    </w:p>
    <w:p w14:paraId="1283553E" w14:textId="776099DC" w:rsidR="00655DB0" w:rsidRPr="00DC1389" w:rsidRDefault="00655DB0" w:rsidP="00A15515">
      <w:pPr>
        <w:pStyle w:val="NumberedList1"/>
      </w:pPr>
      <w:r w:rsidRPr="00222960">
        <w:t xml:space="preserve">The PCSS does not allow for additional death and invalidity or </w:t>
      </w:r>
      <w:r w:rsidR="00737859" w:rsidRPr="00737859">
        <w:t>total and permanent disability</w:t>
      </w:r>
      <w:r w:rsidR="00737859" w:rsidRPr="00737859" w:rsidDel="00737859">
        <w:t xml:space="preserve"> </w:t>
      </w:r>
      <w:r w:rsidR="00F56AB9">
        <w:t xml:space="preserve">insurance </w:t>
      </w:r>
      <w:r w:rsidRPr="00222960">
        <w:t>cover.</w:t>
      </w:r>
    </w:p>
    <w:p w14:paraId="5369F52D" w14:textId="104AB5EB" w:rsidR="00655DB0" w:rsidRPr="00222960" w:rsidRDefault="005E45C2" w:rsidP="00D47029">
      <w:pPr>
        <w:pStyle w:val="Heading2"/>
      </w:pPr>
      <w:bookmarkStart w:id="92" w:name="_Toc112847613"/>
      <w:bookmarkStart w:id="93" w:name="_Toc149307231"/>
      <w:bookmarkStart w:id="94" w:name="_Toc185937492"/>
      <w:r>
        <w:lastRenderedPageBreak/>
        <w:t xml:space="preserve">Deferral of </w:t>
      </w:r>
      <w:r w:rsidR="002954C2">
        <w:t xml:space="preserve">pension </w:t>
      </w:r>
      <w:r>
        <w:t xml:space="preserve">to age 55 for </w:t>
      </w:r>
      <w:r w:rsidR="002954C2">
        <w:t>certain members</w:t>
      </w:r>
      <w:bookmarkEnd w:id="92"/>
      <w:bookmarkEnd w:id="93"/>
      <w:bookmarkEnd w:id="94"/>
    </w:p>
    <w:p w14:paraId="22EFAE65" w14:textId="0018E579" w:rsidR="00655DB0" w:rsidRDefault="00655DB0" w:rsidP="0042188F">
      <w:pPr>
        <w:pStyle w:val="NumberedList1"/>
        <w:keepNext/>
        <w:keepLines/>
      </w:pPr>
      <w:bookmarkStart w:id="95" w:name="_Ref77668066"/>
      <w:r w:rsidRPr="00222960">
        <w:t xml:space="preserve">Certain categories of PCSS members are </w:t>
      </w:r>
      <w:r w:rsidRPr="00D910AB">
        <w:rPr>
          <w:bCs/>
          <w:u w:val="single"/>
        </w:rPr>
        <w:t>not</w:t>
      </w:r>
      <w:r w:rsidRPr="00222960">
        <w:t xml:space="preserve"> entitled to receive their parliamentary pension before the </w:t>
      </w:r>
      <w:bookmarkStart w:id="96" w:name="_Hlk173145678"/>
      <w:r w:rsidR="009B4561" w:rsidRPr="00222960">
        <w:t>age</w:t>
      </w:r>
      <w:r w:rsidR="009B4561">
        <w:t> </w:t>
      </w:r>
      <w:r w:rsidRPr="00222960">
        <w:t>of</w:t>
      </w:r>
      <w:r w:rsidR="009B4561">
        <w:t> </w:t>
      </w:r>
      <w:r w:rsidRPr="00222960">
        <w:t xml:space="preserve">55 </w:t>
      </w:r>
      <w:bookmarkEnd w:id="96"/>
      <w:r w:rsidRPr="00222960">
        <w:t>(the age 55 restriction). These categories are as follows</w:t>
      </w:r>
      <w:r>
        <w:t>:</w:t>
      </w:r>
    </w:p>
    <w:p w14:paraId="60021382" w14:textId="46855D0E" w:rsidR="00655DB0" w:rsidRPr="00222960" w:rsidRDefault="00655DB0" w:rsidP="00D47029">
      <w:pPr>
        <w:pStyle w:val="Bullet1"/>
      </w:pPr>
      <w:r w:rsidRPr="00D47029">
        <w:t>PCSS</w:t>
      </w:r>
      <w:r w:rsidRPr="00222960">
        <w:t xml:space="preserve"> </w:t>
      </w:r>
      <w:r w:rsidRPr="00050B0D">
        <w:t>members</w:t>
      </w:r>
      <w:r w:rsidRPr="00222960">
        <w:t xml:space="preserve"> who joined the Parliament on or after 10</w:t>
      </w:r>
      <w:r w:rsidR="001C2ACD">
        <w:t> </w:t>
      </w:r>
      <w:r w:rsidRPr="00222960">
        <w:t>November</w:t>
      </w:r>
      <w:r w:rsidR="001C2ACD">
        <w:t> </w:t>
      </w:r>
      <w:r w:rsidRPr="00222960">
        <w:t>2001.</w:t>
      </w:r>
    </w:p>
    <w:p w14:paraId="4AB3529E" w14:textId="4FFB90A5" w:rsidR="00655DB0" w:rsidRDefault="00655DB0" w:rsidP="00D47029">
      <w:pPr>
        <w:pStyle w:val="Bullet2"/>
      </w:pPr>
      <w:r w:rsidRPr="00D47029">
        <w:t>The</w:t>
      </w:r>
      <w:r w:rsidRPr="00222960">
        <w:t xml:space="preserve"> </w:t>
      </w:r>
      <w:r w:rsidRPr="006A637B">
        <w:t>age</w:t>
      </w:r>
      <w:r w:rsidRPr="00222960">
        <w:t xml:space="preserve"> 55 </w:t>
      </w:r>
      <w:r w:rsidRPr="006A637B">
        <w:t>restriction</w:t>
      </w:r>
      <w:r w:rsidRPr="00222960">
        <w:t xml:space="preserve"> does not apply to PCSS members who joined the </w:t>
      </w:r>
      <w:r w:rsidR="00D56939">
        <w:t>S</w:t>
      </w:r>
      <w:r w:rsidR="00D56939" w:rsidRPr="00222960">
        <w:t xml:space="preserve">cheme </w:t>
      </w:r>
      <w:r w:rsidRPr="00D47029">
        <w:rPr>
          <w:u w:val="single"/>
        </w:rPr>
        <w:t>before 2001 and have continuously remained in the Parliament</w:t>
      </w:r>
      <w:r w:rsidRPr="008D1274">
        <w:t xml:space="preserve">. </w:t>
      </w:r>
      <w:r w:rsidRPr="00222960">
        <w:t xml:space="preserve">If they qualify for a </w:t>
      </w:r>
      <w:r w:rsidR="00A14FA4" w:rsidRPr="00222960">
        <w:t>pension,</w:t>
      </w:r>
      <w:r w:rsidRPr="00222960">
        <w:t xml:space="preserve"> they can receive this regardless of age from the time of their retirement.</w:t>
      </w:r>
    </w:p>
    <w:p w14:paraId="7E14251D" w14:textId="19B1D0F3" w:rsidR="000676E3" w:rsidRPr="00222960" w:rsidRDefault="000676E3" w:rsidP="00D47029">
      <w:pPr>
        <w:pStyle w:val="Bullet1"/>
      </w:pPr>
      <w:r w:rsidRPr="000676E3">
        <w:t xml:space="preserve">PCSS </w:t>
      </w:r>
      <w:r w:rsidRPr="00DE5706">
        <w:t>members</w:t>
      </w:r>
      <w:r w:rsidRPr="000676E3">
        <w:t xml:space="preserve"> who were re</w:t>
      </w:r>
      <w:r w:rsidR="00D246BC">
        <w:noBreakHyphen/>
      </w:r>
      <w:r w:rsidRPr="000676E3">
        <w:t xml:space="preserve">elected to Parliament after 2001 and were previously entitled to a pension under the PCSS before </w:t>
      </w:r>
      <w:r w:rsidR="009B4561" w:rsidRPr="00222960">
        <w:t>age</w:t>
      </w:r>
      <w:r w:rsidR="009B4561">
        <w:t> </w:t>
      </w:r>
      <w:r w:rsidR="009B4561" w:rsidRPr="00222960">
        <w:t>55</w:t>
      </w:r>
      <w:r w:rsidRPr="000676E3">
        <w:t>.</w:t>
      </w:r>
    </w:p>
    <w:bookmarkEnd w:id="95"/>
    <w:p w14:paraId="1E60C450" w14:textId="7CAB2D27" w:rsidR="00655DB0" w:rsidRPr="00222960" w:rsidRDefault="00655DB0" w:rsidP="00A15515">
      <w:pPr>
        <w:pStyle w:val="NumberedList1"/>
      </w:pPr>
      <w:r w:rsidRPr="00222960">
        <w:t>When the age</w:t>
      </w:r>
      <w:r w:rsidR="005166FE">
        <w:t> </w:t>
      </w:r>
      <w:r w:rsidRPr="00222960">
        <w:t xml:space="preserve">55 restriction applies, the option to convert part of the pension to a lump sum benefit is also deferred until </w:t>
      </w:r>
      <w:r w:rsidR="00A51170" w:rsidRPr="00222960">
        <w:t>age</w:t>
      </w:r>
      <w:r w:rsidR="00A51170">
        <w:t> </w:t>
      </w:r>
      <w:r w:rsidRPr="00222960">
        <w:t>55. The rate of pension payable at age</w:t>
      </w:r>
      <w:r w:rsidR="00A51170">
        <w:t> </w:t>
      </w:r>
      <w:r w:rsidRPr="00222960">
        <w:t xml:space="preserve">55 will be based on the salaries payable at that time and </w:t>
      </w:r>
      <w:r w:rsidR="00D65566">
        <w:t>occasionally</w:t>
      </w:r>
      <w:r w:rsidRPr="00222960">
        <w:t xml:space="preserve"> thereafter.</w:t>
      </w:r>
    </w:p>
    <w:p w14:paraId="0157FCF8" w14:textId="5A03ADEB" w:rsidR="00655DB0" w:rsidRPr="0009190F" w:rsidRDefault="00655DB0" w:rsidP="00A15515">
      <w:pPr>
        <w:pStyle w:val="NumberedList1"/>
      </w:pPr>
      <w:r w:rsidRPr="001379B4">
        <w:t>The age</w:t>
      </w:r>
      <w:r w:rsidR="006A6D18">
        <w:t> </w:t>
      </w:r>
      <w:r w:rsidRPr="001379B4">
        <w:t>55 restriction</w:t>
      </w:r>
      <w:r w:rsidRPr="0009190F">
        <w:t xml:space="preserve"> does not apply if the member’s retirement is on invalidity grounds, regardless of the age.</w:t>
      </w:r>
    </w:p>
    <w:p w14:paraId="279069A5" w14:textId="22906DEF" w:rsidR="00655DB0" w:rsidRPr="00222960" w:rsidRDefault="00D65566" w:rsidP="00A15515">
      <w:pPr>
        <w:pStyle w:val="NumberedList1"/>
      </w:pPr>
      <w:r>
        <w:t xml:space="preserve">Deferred </w:t>
      </w:r>
      <w:r w:rsidR="00655DB0" w:rsidRPr="00222960">
        <w:t>pension may be paid before age</w:t>
      </w:r>
      <w:r w:rsidR="006A6D18">
        <w:t> </w:t>
      </w:r>
      <w:r w:rsidR="00655DB0" w:rsidRPr="00222960">
        <w:t xml:space="preserve">55 if the Trust considers that, </w:t>
      </w:r>
      <w:r w:rsidR="003A154D">
        <w:t>due</w:t>
      </w:r>
      <w:r w:rsidR="003A154D" w:rsidRPr="00222960">
        <w:t xml:space="preserve"> </w:t>
      </w:r>
      <w:r w:rsidR="00655DB0" w:rsidRPr="00222960">
        <w:t>of ill health, the member is incapable of performing the duties of a parliamentarian.</w:t>
      </w:r>
      <w:r w:rsidR="00655DB0">
        <w:t xml:space="preserve"> </w:t>
      </w:r>
      <w:r w:rsidR="00655DB0" w:rsidRPr="00222960">
        <w:t>Any decision to activate the pension would be subject to review on a regular basis by the Trust.</w:t>
      </w:r>
    </w:p>
    <w:p w14:paraId="6A31B795" w14:textId="0A1A200B" w:rsidR="00655DB0" w:rsidRPr="00B85640" w:rsidRDefault="00655DB0" w:rsidP="00105946">
      <w:pPr>
        <w:pStyle w:val="NumberedList1"/>
        <w:rPr>
          <w:rFonts w:cstheme="minorHAnsi"/>
        </w:rPr>
      </w:pPr>
      <w:r>
        <w:t>T</w:t>
      </w:r>
      <w:r w:rsidRPr="00222960">
        <w:t>he Trust can decide to pay part of the deferred pension early in special circumstances where the former member is in severe financial hardship or on compassionate grounds</w:t>
      </w:r>
      <w:r>
        <w:t xml:space="preserve"> in line with </w:t>
      </w:r>
      <w:r w:rsidR="00D91BA3" w:rsidRPr="00B85640">
        <w:rPr>
          <w:iCs/>
        </w:rPr>
        <w:t>SIS Regulations</w:t>
      </w:r>
      <w:r w:rsidRPr="00222960">
        <w:t>.</w:t>
      </w:r>
      <w:r>
        <w:t xml:space="preserve"> </w:t>
      </w:r>
      <w:r w:rsidRPr="00B85640">
        <w:rPr>
          <w:rFonts w:cstheme="minorHAnsi"/>
        </w:rPr>
        <w:t xml:space="preserve">When the pension becomes payable at </w:t>
      </w:r>
      <w:r w:rsidR="00E55C9B" w:rsidRPr="00B85640">
        <w:rPr>
          <w:rFonts w:cstheme="minorHAnsi"/>
        </w:rPr>
        <w:t>age </w:t>
      </w:r>
      <w:r w:rsidRPr="00B85640">
        <w:rPr>
          <w:rFonts w:cstheme="minorHAnsi"/>
        </w:rPr>
        <w:t>55, it will be reduced to take account of these payments. The reduction to the pension is permanent and irrevocable, including in relation to any future lump sum commutation and reversionary spouse benefit.</w:t>
      </w:r>
    </w:p>
    <w:p w14:paraId="105CAFE7" w14:textId="0CD5FC24" w:rsidR="00655DB0" w:rsidRPr="00222960" w:rsidRDefault="00655DB0" w:rsidP="00105946">
      <w:pPr>
        <w:pStyle w:val="NumberedList1"/>
      </w:pPr>
      <w:bookmarkStart w:id="97" w:name="_Ref77668091"/>
      <w:r w:rsidRPr="00222960">
        <w:t>Reversionary benefits will continue to be available to the eligible spouse or eligible children of all members who die in service.</w:t>
      </w:r>
      <w:r>
        <w:t xml:space="preserve"> </w:t>
      </w:r>
      <w:r w:rsidRPr="00222960">
        <w:t xml:space="preserve">Also, </w:t>
      </w:r>
      <w:r>
        <w:t xml:space="preserve">an </w:t>
      </w:r>
      <w:r w:rsidRPr="00222960">
        <w:t xml:space="preserve">eligible spouse or eligible children will receive a reversionary pension on the death of a former parliamentarian whose pension is deferred before </w:t>
      </w:r>
      <w:r w:rsidR="00A51170" w:rsidRPr="00222960">
        <w:t>age</w:t>
      </w:r>
      <w:r w:rsidR="00A51170">
        <w:t> </w:t>
      </w:r>
      <w:r w:rsidRPr="00222960">
        <w:t>55.</w:t>
      </w:r>
      <w:bookmarkEnd w:id="97"/>
    </w:p>
    <w:p w14:paraId="4ED4E7C4" w14:textId="2D02E33B" w:rsidR="00655DB0" w:rsidRPr="00222960" w:rsidRDefault="005E45C2" w:rsidP="00D47029">
      <w:pPr>
        <w:pStyle w:val="Heading2"/>
      </w:pPr>
      <w:bookmarkStart w:id="98" w:name="_Toc112847614"/>
      <w:bookmarkStart w:id="99" w:name="_Toc149307232"/>
      <w:bookmarkStart w:id="100" w:name="_Toc185937493"/>
      <w:r>
        <w:lastRenderedPageBreak/>
        <w:t xml:space="preserve">Reversionary </w:t>
      </w:r>
      <w:r w:rsidR="002954C2">
        <w:t>benefits</w:t>
      </w:r>
      <w:bookmarkEnd w:id="98"/>
      <w:bookmarkEnd w:id="99"/>
      <w:bookmarkEnd w:id="100"/>
    </w:p>
    <w:p w14:paraId="58CC228B" w14:textId="00E8F05F" w:rsidR="00655DB0" w:rsidRPr="00222960" w:rsidRDefault="00655DB0" w:rsidP="000378D4">
      <w:pPr>
        <w:pStyle w:val="NumberedList1"/>
        <w:keepNext/>
        <w:keepLines/>
      </w:pPr>
      <w:r w:rsidRPr="00222960">
        <w:t xml:space="preserve">Eligible reversionary beneficiaries of the PCSS are set out in the Act and therefore there is no provision for making </w:t>
      </w:r>
      <w:r w:rsidR="00372DE8" w:rsidRPr="00372DE8">
        <w:t>binding death benefit nomination</w:t>
      </w:r>
      <w:r w:rsidRPr="00222960">
        <w:t>s.</w:t>
      </w:r>
      <w:r w:rsidR="006A637B">
        <w:rPr>
          <w:rStyle w:val="FootnoteReference"/>
        </w:rPr>
        <w:footnoteReference w:id="13"/>
      </w:r>
    </w:p>
    <w:p w14:paraId="2A560E42" w14:textId="77777777" w:rsidR="00655DB0" w:rsidRPr="00222960" w:rsidRDefault="00655DB0" w:rsidP="000378D4">
      <w:pPr>
        <w:pStyle w:val="NumberedList1"/>
        <w:keepNext/>
        <w:keepLines/>
      </w:pPr>
      <w:r w:rsidRPr="00222960">
        <w:t>A pension is payable to:</w:t>
      </w:r>
    </w:p>
    <w:p w14:paraId="426DB2B3" w14:textId="47236DFD" w:rsidR="00655DB0" w:rsidRPr="00222960" w:rsidRDefault="00655DB0" w:rsidP="00D47029">
      <w:pPr>
        <w:pStyle w:val="NumberedList2"/>
      </w:pPr>
      <w:r w:rsidRPr="00222960">
        <w:t xml:space="preserve">the </w:t>
      </w:r>
      <w:r w:rsidRPr="007D2D50">
        <w:t>spouse</w:t>
      </w:r>
      <w:r w:rsidRPr="00222960">
        <w:t xml:space="preserve"> of a member who dies while a parliamentarian, irrespective of the length of the deceased person</w:t>
      </w:r>
      <w:r>
        <w:t>’</w:t>
      </w:r>
      <w:r w:rsidRPr="00222960">
        <w:t>s service in Parliament</w:t>
      </w:r>
      <w:r w:rsidR="00787F52">
        <w:t>,</w:t>
      </w:r>
      <w:r>
        <w:t xml:space="preserve"> or</w:t>
      </w:r>
    </w:p>
    <w:p w14:paraId="056D43C3" w14:textId="77777777" w:rsidR="00655DB0" w:rsidRPr="00222960" w:rsidRDefault="00655DB0" w:rsidP="00D47029">
      <w:pPr>
        <w:pStyle w:val="NumberedList2"/>
      </w:pPr>
      <w:r w:rsidRPr="00222960">
        <w:t xml:space="preserve">the spouse of a </w:t>
      </w:r>
      <w:r>
        <w:t>retired member in receipt of a PCSS pension</w:t>
      </w:r>
      <w:r w:rsidRPr="00222960">
        <w:t>, provided that:</w:t>
      </w:r>
    </w:p>
    <w:p w14:paraId="4BCD554C" w14:textId="1ADAF4D0" w:rsidR="00655DB0" w:rsidRPr="00D47029" w:rsidRDefault="00655DB0" w:rsidP="00D47029">
      <w:pPr>
        <w:pStyle w:val="NumberedList3"/>
      </w:pPr>
      <w:bookmarkStart w:id="101" w:name="_Toc112847615"/>
      <w:r w:rsidRPr="00D47029">
        <w:t>the marital or couple relationship commenced before the member’s retirement from Parliament</w:t>
      </w:r>
      <w:r w:rsidR="00DD2AC6">
        <w:t>;</w:t>
      </w:r>
      <w:r w:rsidRPr="00D47029">
        <w:t xml:space="preserve"> or</w:t>
      </w:r>
      <w:bookmarkEnd w:id="101"/>
    </w:p>
    <w:p w14:paraId="1F4E2D10" w14:textId="46FA7339" w:rsidR="00655DB0" w:rsidRPr="00D47029" w:rsidRDefault="00655DB0" w:rsidP="00D47029">
      <w:pPr>
        <w:pStyle w:val="NumberedList3"/>
      </w:pPr>
      <w:bookmarkStart w:id="102" w:name="_Toc112847616"/>
      <w:r w:rsidRPr="00D47029">
        <w:t xml:space="preserve">the marital or couple relationship commenced after the member’s retirement from Parliament before their 60th birthday, and the relationship commenced at least </w:t>
      </w:r>
      <w:r w:rsidR="003A154D" w:rsidRPr="00D47029">
        <w:t>3 </w:t>
      </w:r>
      <w:r w:rsidRPr="00D47029">
        <w:t>years before the retired member’s death</w:t>
      </w:r>
      <w:r w:rsidR="00DD2AC6">
        <w:t>;</w:t>
      </w:r>
      <w:r w:rsidR="0004613F" w:rsidRPr="00D47029">
        <w:t xml:space="preserve"> or</w:t>
      </w:r>
      <w:bookmarkEnd w:id="102"/>
    </w:p>
    <w:p w14:paraId="15237A3C" w14:textId="48E427E2" w:rsidR="00655DB0" w:rsidRPr="00222960" w:rsidRDefault="00655DB0" w:rsidP="00D47029">
      <w:pPr>
        <w:pStyle w:val="NumberedList3"/>
      </w:pPr>
      <w:bookmarkStart w:id="103" w:name="_Toc112847617"/>
      <w:r w:rsidRPr="00D47029">
        <w:t>the marital or couple relationship commenced after the member’s retirement from Pa</w:t>
      </w:r>
      <w:r>
        <w:t xml:space="preserve">rliament but </w:t>
      </w:r>
      <w:r w:rsidRPr="00222960">
        <w:t>after the</w:t>
      </w:r>
      <w:r>
        <w:t>ir</w:t>
      </w:r>
      <w:r w:rsidRPr="00222960">
        <w:t xml:space="preserve"> 60</w:t>
      </w:r>
      <w:r w:rsidRPr="00635320">
        <w:t>th</w:t>
      </w:r>
      <w:r w:rsidRPr="00222960">
        <w:t xml:space="preserve"> birthday</w:t>
      </w:r>
      <w:r>
        <w:t>, and</w:t>
      </w:r>
      <w:r w:rsidRPr="00222960">
        <w:t xml:space="preserve"> the relationship commenced at least </w:t>
      </w:r>
      <w:r w:rsidR="003A154D">
        <w:t>5 </w:t>
      </w:r>
      <w:r w:rsidRPr="00222960">
        <w:t xml:space="preserve">years before </w:t>
      </w:r>
      <w:r>
        <w:t>the retired member’s</w:t>
      </w:r>
      <w:r w:rsidRPr="00222960">
        <w:t xml:space="preserve"> death.</w:t>
      </w:r>
      <w:bookmarkEnd w:id="103"/>
    </w:p>
    <w:p w14:paraId="7A67C362" w14:textId="1292088D" w:rsidR="00655DB0" w:rsidRPr="00B85640" w:rsidRDefault="00C24E18" w:rsidP="0042188F">
      <w:pPr>
        <w:pStyle w:val="NumberedList1"/>
        <w:rPr>
          <w:color w:val="000000"/>
        </w:rPr>
      </w:pPr>
      <w:r w:rsidRPr="00C24E18">
        <w:t>A spouse is anyone you</w:t>
      </w:r>
      <w:r w:rsidR="00010C41">
        <w:t xml:space="preserve"> ha</w:t>
      </w:r>
      <w:r w:rsidRPr="00C24E18">
        <w:t xml:space="preserve">ve lived with in a genuine domestic relationship at any point </w:t>
      </w:r>
      <w:r w:rsidR="001B343F">
        <w:t xml:space="preserve">including </w:t>
      </w:r>
      <w:r w:rsidRPr="00C24E18">
        <w:t>de</w:t>
      </w:r>
      <w:r w:rsidR="001B343F">
        <w:t> </w:t>
      </w:r>
      <w:r w:rsidRPr="00C24E18">
        <w:t xml:space="preserve">facto and </w:t>
      </w:r>
      <w:bookmarkStart w:id="104" w:name="_Hlk182928501"/>
      <w:r w:rsidR="00AC7775">
        <w:t>same-sex</w:t>
      </w:r>
      <w:r w:rsidRPr="00C24E18">
        <w:t xml:space="preserve"> couples</w:t>
      </w:r>
      <w:bookmarkEnd w:id="104"/>
      <w:r w:rsidRPr="00C24E18">
        <w:t xml:space="preserve">. </w:t>
      </w:r>
      <w:r w:rsidR="00655DB0" w:rsidRPr="00222960">
        <w:t xml:space="preserve">The primary criteria for the payment of a reversionary benefit will be that the couple </w:t>
      </w:r>
      <w:r w:rsidR="00655DB0" w:rsidRPr="00B85640">
        <w:rPr>
          <w:u w:val="single"/>
        </w:rPr>
        <w:t>lived together on a permanent and bona fide domestic basis</w:t>
      </w:r>
      <w:r w:rsidR="00655DB0" w:rsidRPr="00222960">
        <w:t xml:space="preserve"> at the time of the death of the member or pensioner.</w:t>
      </w:r>
    </w:p>
    <w:p w14:paraId="79BF7C89" w14:textId="3C4EC513" w:rsidR="00655DB0" w:rsidRPr="00222960" w:rsidRDefault="00655DB0" w:rsidP="0042188F">
      <w:pPr>
        <w:pStyle w:val="NumberedList1"/>
      </w:pPr>
      <w:r>
        <w:t>If a couple are living apart lead</w:t>
      </w:r>
      <w:r w:rsidR="00AD36CD">
        <w:t>ing</w:t>
      </w:r>
      <w:r>
        <w:t xml:space="preserve"> up to, or at the time of death, the Act requires the Trust to be satisfied that the couple </w:t>
      </w:r>
      <w:r w:rsidR="00AD36CD">
        <w:t xml:space="preserve">had </w:t>
      </w:r>
      <w:r>
        <w:t xml:space="preserve">been living together as a couple except for a period of temporary absence (for example, when the couple </w:t>
      </w:r>
      <w:r w:rsidR="00683024">
        <w:t xml:space="preserve">is </w:t>
      </w:r>
      <w:r>
        <w:t xml:space="preserve">separated by work commitments or absence due to illness or infirmity). Under this situation, additional information </w:t>
      </w:r>
      <w:r w:rsidR="001820F0">
        <w:t xml:space="preserve">is </w:t>
      </w:r>
      <w:r>
        <w:t xml:space="preserve">required from the spouse </w:t>
      </w:r>
      <w:r w:rsidR="00683024">
        <w:t xml:space="preserve">or </w:t>
      </w:r>
      <w:r w:rsidR="000F4DB6">
        <w:t>de facto</w:t>
      </w:r>
      <w:r w:rsidR="00683024">
        <w:t xml:space="preserve"> partner </w:t>
      </w:r>
      <w:r>
        <w:t>for the Trust’s consideration, prior to the spouse pension being payable.</w:t>
      </w:r>
    </w:p>
    <w:p w14:paraId="6A2D4D7B" w14:textId="77777777" w:rsidR="002C4C0F" w:rsidRDefault="00655DB0" w:rsidP="0042188F">
      <w:pPr>
        <w:pStyle w:val="NumberedList1"/>
      </w:pPr>
      <w:r w:rsidRPr="00222960">
        <w:t>A relationship will be considered to be permanent and bona fide where the relationship existed for the minimum period or there is other evidence that the relationship is permanent and bona fide, including (but not limited to)</w:t>
      </w:r>
      <w:r w:rsidR="002C4C0F">
        <w:t>:</w:t>
      </w:r>
    </w:p>
    <w:p w14:paraId="0636060C" w14:textId="506FB52B" w:rsidR="002C4C0F" w:rsidRDefault="00655DB0" w:rsidP="00D47029">
      <w:pPr>
        <w:pStyle w:val="NumberedList2"/>
        <w:spacing w:line="260" w:lineRule="atLeast"/>
      </w:pPr>
      <w:r w:rsidRPr="00222960">
        <w:t>the existence of a legal marriage, the relationship was registered under a law of a State</w:t>
      </w:r>
    </w:p>
    <w:p w14:paraId="5C251538" w14:textId="77777777" w:rsidR="002054B1" w:rsidRDefault="00655DB0" w:rsidP="00D47029">
      <w:pPr>
        <w:pStyle w:val="NumberedList2"/>
        <w:spacing w:line="260" w:lineRule="atLeast"/>
      </w:pPr>
      <w:r w:rsidRPr="00222960">
        <w:t>Territory prescribed as a kind of relationship prescribed for the purposes of that section</w:t>
      </w:r>
    </w:p>
    <w:p w14:paraId="60C52A37" w14:textId="1038B78A" w:rsidR="002054B1" w:rsidRDefault="00655DB0" w:rsidP="00D47029">
      <w:pPr>
        <w:pStyle w:val="NumberedList2"/>
        <w:spacing w:line="260" w:lineRule="atLeast"/>
      </w:pPr>
      <w:r w:rsidRPr="00222960">
        <w:t>a child of the relationship</w:t>
      </w:r>
    </w:p>
    <w:p w14:paraId="0B131A34" w14:textId="6A05310D" w:rsidR="002054B1" w:rsidRDefault="00655DB0" w:rsidP="00D47029">
      <w:pPr>
        <w:pStyle w:val="NumberedList2"/>
        <w:spacing w:line="260" w:lineRule="atLeast"/>
      </w:pPr>
      <w:r w:rsidRPr="00222960">
        <w:t>a jointly owned home which is the usual residence of the couple</w:t>
      </w:r>
    </w:p>
    <w:p w14:paraId="42199060" w14:textId="39C035B6" w:rsidR="00655DB0" w:rsidRPr="00222960" w:rsidRDefault="00655DB0" w:rsidP="00D47029">
      <w:pPr>
        <w:pStyle w:val="NumberedList2"/>
        <w:keepNext w:val="0"/>
        <w:keepLines w:val="0"/>
        <w:spacing w:line="260" w:lineRule="atLeast"/>
      </w:pPr>
      <w:r w:rsidRPr="00222960">
        <w:t>or dependency.</w:t>
      </w:r>
    </w:p>
    <w:p w14:paraId="69C48F69" w14:textId="6D1ED161" w:rsidR="00655DB0" w:rsidRPr="00222960" w:rsidRDefault="00655DB0" w:rsidP="00D47029">
      <w:pPr>
        <w:pStyle w:val="NumberedList1"/>
        <w:keepNext/>
        <w:keepLines/>
      </w:pPr>
      <w:r w:rsidRPr="00222960">
        <w:lastRenderedPageBreak/>
        <w:t>A reversionary pension is five</w:t>
      </w:r>
      <w:r w:rsidR="00D246BC">
        <w:noBreakHyphen/>
      </w:r>
      <w:r w:rsidRPr="00222960">
        <w:t>sixths of the rate of the pension and additional pension to which the member would have been entitled.</w:t>
      </w:r>
      <w:r>
        <w:t xml:space="preserve"> </w:t>
      </w:r>
      <w:r w:rsidRPr="00222960">
        <w:t xml:space="preserve">If the member died while a parliamentarian and had not completed </w:t>
      </w:r>
      <w:r w:rsidR="00633BA4">
        <w:t>8 </w:t>
      </w:r>
      <w:r w:rsidR="00633BA4" w:rsidRPr="00222960">
        <w:t xml:space="preserve">years </w:t>
      </w:r>
      <w:r w:rsidR="00633BA4">
        <w:t xml:space="preserve">of </w:t>
      </w:r>
      <w:r w:rsidR="00633BA4" w:rsidRPr="00222960">
        <w:t>service</w:t>
      </w:r>
      <w:r w:rsidRPr="00222960">
        <w:t xml:space="preserve">, </w:t>
      </w:r>
      <w:r w:rsidR="002054B1">
        <w:t xml:space="preserve">they are </w:t>
      </w:r>
      <w:r w:rsidRPr="00222960">
        <w:t xml:space="preserve">deemed to have completed </w:t>
      </w:r>
      <w:r w:rsidR="00633BA4">
        <w:t>8 </w:t>
      </w:r>
      <w:r w:rsidR="00633BA4" w:rsidRPr="00222960">
        <w:t xml:space="preserve">years </w:t>
      </w:r>
      <w:r w:rsidR="00633BA4">
        <w:t xml:space="preserve">of </w:t>
      </w:r>
      <w:r w:rsidR="00633BA4" w:rsidRPr="00222960">
        <w:t>service</w:t>
      </w:r>
      <w:r w:rsidRPr="00222960">
        <w:t xml:space="preserve"> for the purpose of calculating the amount of the pension.</w:t>
      </w:r>
    </w:p>
    <w:p w14:paraId="34BE957F" w14:textId="205E0CC6" w:rsidR="00655DB0" w:rsidRPr="00222960" w:rsidRDefault="00655DB0" w:rsidP="0042188F">
      <w:pPr>
        <w:pStyle w:val="NumberedList1"/>
      </w:pPr>
      <w:bookmarkStart w:id="105" w:name="_Ref433533522"/>
      <w:r w:rsidRPr="00222960">
        <w:t xml:space="preserve">Recognition of </w:t>
      </w:r>
      <w:r w:rsidR="00696F87" w:rsidRPr="00222960">
        <w:t>de</w:t>
      </w:r>
      <w:r w:rsidR="00696F87">
        <w:t> </w:t>
      </w:r>
      <w:r w:rsidRPr="00222960">
        <w:t>facto spouses and relationships could mean that a person has both a legally married spouse and another couple or marital</w:t>
      </w:r>
      <w:r>
        <w:t xml:space="preserve"> type</w:t>
      </w:r>
      <w:r w:rsidRPr="00222960">
        <w:t xml:space="preserve"> relationship.</w:t>
      </w:r>
      <w:r>
        <w:t xml:space="preserve"> </w:t>
      </w:r>
      <w:r w:rsidRPr="00222960">
        <w:t>The Trust will apportion the reversionary benefit, on a needs basis, amongst more than one eligible person.</w:t>
      </w:r>
      <w:r>
        <w:t xml:space="preserve"> </w:t>
      </w:r>
      <w:r w:rsidRPr="00222960">
        <w:t>The Trust will also apportion the benefit amongst spouses and orphans where the member is survived by a spouse or spouses who are not natural or adoptive parents of any surviving eligible children.</w:t>
      </w:r>
      <w:bookmarkEnd w:id="105"/>
    </w:p>
    <w:p w14:paraId="0E7A07A0" w14:textId="7F6551EC" w:rsidR="00655DB0" w:rsidRPr="00222960" w:rsidRDefault="00655DB0" w:rsidP="007467D8">
      <w:pPr>
        <w:pStyle w:val="NumberedList1"/>
      </w:pPr>
      <w:bookmarkStart w:id="106" w:name="_Ref172725036"/>
      <w:r w:rsidRPr="00222960">
        <w:t>A spouse in receipt of a pension will continue to receive that pension if the</w:t>
      </w:r>
      <w:r w:rsidR="00E763DC">
        <w:t>y</w:t>
      </w:r>
      <w:r w:rsidR="00CE2EA1">
        <w:t xml:space="preserve"> </w:t>
      </w:r>
      <w:r w:rsidR="00E763DC">
        <w:t xml:space="preserve">are </w:t>
      </w:r>
      <w:r w:rsidRPr="00222960">
        <w:t>elected to the Commonwealth Parliament.</w:t>
      </w:r>
      <w:r>
        <w:t xml:space="preserve"> </w:t>
      </w:r>
      <w:r w:rsidRPr="00222960">
        <w:t>Similarly, a spouse</w:t>
      </w:r>
      <w:r>
        <w:t>’</w:t>
      </w:r>
      <w:r w:rsidRPr="00222960">
        <w:t>s pension will continue to be paid to a person who is also in receipt of a pension resulting from their own service in the Commonwealth Parliament.</w:t>
      </w:r>
      <w:bookmarkEnd w:id="106"/>
    </w:p>
    <w:p w14:paraId="7A833A78" w14:textId="30BFA058" w:rsidR="00655DB0" w:rsidRPr="00222960" w:rsidRDefault="00655DB0" w:rsidP="0042188F">
      <w:pPr>
        <w:pStyle w:val="NumberedList1"/>
      </w:pPr>
      <w:bookmarkStart w:id="107" w:name="_Ref172715520"/>
      <w:r w:rsidRPr="00222960">
        <w:t>If a person who is in receipt of a spouse</w:t>
      </w:r>
      <w:r>
        <w:t>’</w:t>
      </w:r>
      <w:r w:rsidRPr="00222960">
        <w:t>s pension is elected to a State or Territory Parliament, the pension will be reduced by the salary received by virtue of holding that position.</w:t>
      </w:r>
      <w:bookmarkEnd w:id="107"/>
    </w:p>
    <w:p w14:paraId="17671A63" w14:textId="16951A37" w:rsidR="00655DB0" w:rsidRDefault="00655DB0" w:rsidP="0042188F">
      <w:pPr>
        <w:pStyle w:val="NumberedList1"/>
      </w:pPr>
      <w:r w:rsidRPr="00222960">
        <w:t>A person in receipt of a spouse</w:t>
      </w:r>
      <w:r>
        <w:t>’</w:t>
      </w:r>
      <w:r w:rsidRPr="00222960">
        <w:t>s pension following the death of a person first elected after 1</w:t>
      </w:r>
      <w:r w:rsidR="007B4BD9">
        <w:t> </w:t>
      </w:r>
      <w:r w:rsidRPr="00222960">
        <w:t>July</w:t>
      </w:r>
      <w:r w:rsidR="007B4BD9">
        <w:t> </w:t>
      </w:r>
      <w:r w:rsidRPr="00222960">
        <w:t>1994, will not have that pension reduced in respect of any State or Territory spouse pension payable.</w:t>
      </w:r>
    </w:p>
    <w:p w14:paraId="696C0721" w14:textId="4189FF46" w:rsidR="00655DB0" w:rsidRPr="00222960" w:rsidRDefault="00655DB0" w:rsidP="0042188F">
      <w:pPr>
        <w:pStyle w:val="NumberedList1"/>
      </w:pPr>
      <w:r w:rsidRPr="00222960">
        <w:t xml:space="preserve">A pension continues to be payable </w:t>
      </w:r>
      <w:r w:rsidR="00484CEB">
        <w:t xml:space="preserve">regardless of </w:t>
      </w:r>
      <w:r w:rsidR="009944BC" w:rsidRPr="00222960">
        <w:t>whether</w:t>
      </w:r>
      <w:r w:rsidRPr="00222960">
        <w:t xml:space="preserve"> the spouse commences a new relationship.</w:t>
      </w:r>
    </w:p>
    <w:p w14:paraId="705A5B8C" w14:textId="03642BD7" w:rsidR="00655DB0" w:rsidRPr="00222960" w:rsidRDefault="00655DB0" w:rsidP="00D47029">
      <w:pPr>
        <w:pStyle w:val="Heading2"/>
      </w:pPr>
      <w:bookmarkStart w:id="108" w:name="_Toc112847618"/>
      <w:bookmarkStart w:id="109" w:name="_Toc149307233"/>
      <w:bookmarkStart w:id="110" w:name="_Toc185937494"/>
      <w:r>
        <w:t xml:space="preserve">Benefit </w:t>
      </w:r>
      <w:r w:rsidR="002954C2">
        <w:t xml:space="preserve">payable </w:t>
      </w:r>
      <w:r>
        <w:t xml:space="preserve">to </w:t>
      </w:r>
      <w:r w:rsidR="00D84697">
        <w:t>orphan children</w:t>
      </w:r>
      <w:bookmarkEnd w:id="108"/>
      <w:bookmarkEnd w:id="109"/>
      <w:bookmarkEnd w:id="110"/>
    </w:p>
    <w:p w14:paraId="5576EC8A" w14:textId="413EF036" w:rsidR="00655DB0" w:rsidRDefault="00655DB0" w:rsidP="0042188F">
      <w:pPr>
        <w:pStyle w:val="NumberedList1"/>
      </w:pPr>
      <w:bookmarkStart w:id="111" w:name="_Ref433535306"/>
      <w:r w:rsidRPr="00222960">
        <w:t xml:space="preserve">Subject to the qualifications </w:t>
      </w:r>
      <w:r w:rsidRPr="007D4C91">
        <w:t xml:space="preserve">in </w:t>
      </w:r>
      <w:r w:rsidRPr="001B0B60">
        <w:t xml:space="preserve">paragraphs </w:t>
      </w:r>
      <w:r w:rsidR="00ED7B3B" w:rsidRPr="00BA5271">
        <w:fldChar w:fldCharType="begin"/>
      </w:r>
      <w:r w:rsidR="00ED7B3B" w:rsidRPr="00BA5271">
        <w:instrText xml:space="preserve"> REF _Ref433533522 \r \h </w:instrText>
      </w:r>
      <w:r w:rsidR="005004F0" w:rsidRPr="00BA5271">
        <w:instrText xml:space="preserve"> \* MERGEFORMAT </w:instrText>
      </w:r>
      <w:r w:rsidR="00ED7B3B" w:rsidRPr="00BA5271">
        <w:fldChar w:fldCharType="separate"/>
      </w:r>
      <w:r w:rsidR="00DC08F8">
        <w:t>85</w:t>
      </w:r>
      <w:r w:rsidR="00ED7B3B" w:rsidRPr="00BA5271">
        <w:fldChar w:fldCharType="end"/>
      </w:r>
      <w:r w:rsidR="00563535" w:rsidRPr="001B0B60">
        <w:t>,</w:t>
      </w:r>
      <w:r w:rsidRPr="001B0B60">
        <w:t xml:space="preserve"> </w:t>
      </w:r>
      <w:r w:rsidR="000D3C1B" w:rsidRPr="00BA5271">
        <w:fldChar w:fldCharType="begin"/>
      </w:r>
      <w:r w:rsidR="000D3C1B" w:rsidRPr="00BA5271">
        <w:instrText xml:space="preserve"> REF _Ref433535319 \r \h </w:instrText>
      </w:r>
      <w:r w:rsidR="005004F0" w:rsidRPr="00BA5271">
        <w:instrText xml:space="preserve"> \* MERGEFORMAT </w:instrText>
      </w:r>
      <w:r w:rsidR="000D3C1B" w:rsidRPr="00BA5271">
        <w:fldChar w:fldCharType="separate"/>
      </w:r>
      <w:r w:rsidR="00DC08F8">
        <w:t>91</w:t>
      </w:r>
      <w:r w:rsidR="000D3C1B" w:rsidRPr="00BA5271">
        <w:fldChar w:fldCharType="end"/>
      </w:r>
      <w:r w:rsidRPr="001B0B60">
        <w:t xml:space="preserve"> and </w:t>
      </w:r>
      <w:r w:rsidR="00864371" w:rsidRPr="00BA5271">
        <w:fldChar w:fldCharType="begin"/>
      </w:r>
      <w:r w:rsidR="00864371" w:rsidRPr="00BA5271">
        <w:instrText xml:space="preserve"> REF _Ref464628269 \r \h </w:instrText>
      </w:r>
      <w:r w:rsidR="005004F0" w:rsidRPr="00BA5271">
        <w:instrText xml:space="preserve"> \* MERGEFORMAT </w:instrText>
      </w:r>
      <w:r w:rsidR="00864371" w:rsidRPr="00BA5271">
        <w:fldChar w:fldCharType="separate"/>
      </w:r>
      <w:r w:rsidR="00DC08F8">
        <w:t>92</w:t>
      </w:r>
      <w:r w:rsidR="00864371" w:rsidRPr="00BA5271">
        <w:fldChar w:fldCharType="end"/>
      </w:r>
      <w:r w:rsidRPr="001B0B60">
        <w:t>, pensions</w:t>
      </w:r>
      <w:r w:rsidRPr="00222960">
        <w:t xml:space="preserve"> are payable to any eligible children (including adopted and ex</w:t>
      </w:r>
      <w:r w:rsidR="00D84697">
        <w:noBreakHyphen/>
      </w:r>
      <w:r w:rsidRPr="00222960">
        <w:t>nuptial children) of:</w:t>
      </w:r>
      <w:bookmarkEnd w:id="111"/>
    </w:p>
    <w:p w14:paraId="26CD7E60" w14:textId="6955DC3B" w:rsidR="00CF0830" w:rsidRPr="00CF0830" w:rsidRDefault="00CF0830" w:rsidP="00D47029">
      <w:pPr>
        <w:pStyle w:val="NumberedList2"/>
      </w:pPr>
      <w:r w:rsidRPr="00CF0830">
        <w:t xml:space="preserve">a member who </w:t>
      </w:r>
      <w:r w:rsidRPr="000926A6">
        <w:t>dies</w:t>
      </w:r>
      <w:r w:rsidRPr="00CF0830">
        <w:t xml:space="preserve"> while a parliamentarian</w:t>
      </w:r>
      <w:r w:rsidR="00204490">
        <w:t>;</w:t>
      </w:r>
      <w:r w:rsidRPr="00CF0830">
        <w:t xml:space="preserve"> or</w:t>
      </w:r>
    </w:p>
    <w:p w14:paraId="30A5FAAC" w14:textId="77777777" w:rsidR="00CF0830" w:rsidRPr="00CF0830" w:rsidRDefault="00CF0830" w:rsidP="00D47029">
      <w:pPr>
        <w:pStyle w:val="NumberedList2"/>
      </w:pPr>
      <w:r w:rsidRPr="00CF0830">
        <w:t>a member who dies while entitled to a pension.</w:t>
      </w:r>
    </w:p>
    <w:p w14:paraId="675FE7E9" w14:textId="77777777" w:rsidR="00655DB0" w:rsidRPr="00953EB5" w:rsidRDefault="00655DB0" w:rsidP="00A84385">
      <w:pPr>
        <w:pStyle w:val="Boxed1Text"/>
      </w:pPr>
      <w:r w:rsidRPr="00953EB5">
        <w:t>Provided a member is not survived by a spouse who is the natural or adoptive parent of the child and who is entitled to a pension. A pension is also payable to any eligible children on the death of a spouse who was in receipt of a pension.</w:t>
      </w:r>
    </w:p>
    <w:p w14:paraId="6550CEA7" w14:textId="71C63342" w:rsidR="00655DB0" w:rsidRPr="00222960" w:rsidRDefault="00655DB0" w:rsidP="005B5FF5">
      <w:pPr>
        <w:pStyle w:val="NumberedList1"/>
      </w:pPr>
      <w:bookmarkStart w:id="112" w:name="_Ref433535319"/>
      <w:r w:rsidRPr="00222960">
        <w:t xml:space="preserve">No benefit is payable in respect of a child who was born to or adopted by a member after retirement from Parliament and after the member </w:t>
      </w:r>
      <w:r w:rsidR="00F51398">
        <w:t>reach 60 years of </w:t>
      </w:r>
      <w:r w:rsidRPr="00222960">
        <w:t>age, unless the child is a child of a marital relationship that lasted for five years.</w:t>
      </w:r>
      <w:r>
        <w:t xml:space="preserve"> </w:t>
      </w:r>
      <w:r w:rsidRPr="00222960">
        <w:t xml:space="preserve">No benefit is payable in respect </w:t>
      </w:r>
      <w:r>
        <w:t>to</w:t>
      </w:r>
      <w:r w:rsidRPr="00222960">
        <w:t xml:space="preserve"> a child of the spouse of a deceased member who is born or adopted after the date of death of the member, unless the Trust is of the opinion that the child would have been dependent on the member had </w:t>
      </w:r>
      <w:r w:rsidR="00360D5C">
        <w:t>they</w:t>
      </w:r>
      <w:r w:rsidRPr="00222960">
        <w:t xml:space="preserve"> lived.</w:t>
      </w:r>
      <w:bookmarkEnd w:id="112"/>
    </w:p>
    <w:p w14:paraId="76101885" w14:textId="77777777" w:rsidR="00412D3C" w:rsidRDefault="00655DB0" w:rsidP="00412D3C">
      <w:pPr>
        <w:pStyle w:val="NumberedList1"/>
      </w:pPr>
      <w:bookmarkStart w:id="113" w:name="_Ref464628269"/>
      <w:r w:rsidRPr="00222960">
        <w:t xml:space="preserve">To be eligible for a pension, a child must </w:t>
      </w:r>
      <w:r w:rsidRPr="00770848">
        <w:t xml:space="preserve">be </w:t>
      </w:r>
      <w:r w:rsidR="00AF5D53">
        <w:t>under </w:t>
      </w:r>
      <w:r>
        <w:t>18</w:t>
      </w:r>
      <w:r w:rsidRPr="00186915">
        <w:t>,</w:t>
      </w:r>
      <w:r w:rsidRPr="00222960">
        <w:t xml:space="preserve"> or </w:t>
      </w:r>
      <w:r w:rsidR="009A789A" w:rsidRPr="00222960">
        <w:t>under</w:t>
      </w:r>
      <w:r w:rsidR="009A789A">
        <w:t> </w:t>
      </w:r>
      <w:r w:rsidRPr="00222960">
        <w:t>25 if a full</w:t>
      </w:r>
      <w:r w:rsidR="009A789A">
        <w:noBreakHyphen/>
      </w:r>
      <w:r w:rsidRPr="00222960">
        <w:t xml:space="preserve">time </w:t>
      </w:r>
      <w:r w:rsidR="0089228A" w:rsidRPr="00222960">
        <w:t>student and</w:t>
      </w:r>
      <w:r w:rsidRPr="00222960">
        <w:t xml:space="preserve"> have been dependent on the member at the time of </w:t>
      </w:r>
      <w:r w:rsidR="006C3B1C">
        <w:t>their</w:t>
      </w:r>
      <w:r w:rsidRPr="00222960">
        <w:t xml:space="preserve"> death.</w:t>
      </w:r>
      <w:bookmarkEnd w:id="113"/>
    </w:p>
    <w:p w14:paraId="7FACF3BF" w14:textId="4FD80EA4" w:rsidR="00655DB0" w:rsidRPr="00A630AE" w:rsidRDefault="00655DB0" w:rsidP="00AE75CE">
      <w:pPr>
        <w:pStyle w:val="NumberedList1"/>
        <w:keepNext/>
        <w:keepLines/>
      </w:pPr>
      <w:r w:rsidRPr="00A630AE">
        <w:lastRenderedPageBreak/>
        <w:t>Subject to para</w:t>
      </w:r>
      <w:r w:rsidR="00A758FD" w:rsidRPr="00A630AE">
        <w:t>graph</w:t>
      </w:r>
      <w:r w:rsidRPr="00A630AE">
        <w:t xml:space="preserve"> </w:t>
      </w:r>
      <w:r w:rsidR="003866FD" w:rsidRPr="00A630AE">
        <w:fldChar w:fldCharType="begin"/>
      </w:r>
      <w:r w:rsidR="003866FD" w:rsidRPr="00A630AE">
        <w:instrText xml:space="preserve"> REF _Ref172725036 \n \h </w:instrText>
      </w:r>
      <w:r w:rsidR="00896421" w:rsidRPr="00A630AE">
        <w:instrText xml:space="preserve"> \* MERGEFORMAT </w:instrText>
      </w:r>
      <w:r w:rsidR="003866FD" w:rsidRPr="00A630AE">
        <w:fldChar w:fldCharType="separate"/>
      </w:r>
      <w:r w:rsidR="00DC08F8">
        <w:t>86</w:t>
      </w:r>
      <w:r w:rsidR="003866FD" w:rsidRPr="00A630AE">
        <w:fldChar w:fldCharType="end"/>
      </w:r>
      <w:r w:rsidRPr="00A630AE">
        <w:t>, the rate of pension payable respect</w:t>
      </w:r>
      <w:r w:rsidR="00760DF4" w:rsidRPr="00A630AE">
        <w:t>ive</w:t>
      </w:r>
      <w:r w:rsidRPr="00A630AE">
        <w:t xml:space="preserve"> of a child is an amount calculated by dividing the pension that was or would have been payable to the spouse by </w:t>
      </w:r>
      <w:r w:rsidR="00362186" w:rsidRPr="00A630AE">
        <w:t>4</w:t>
      </w:r>
      <w:r w:rsidRPr="00A630AE">
        <w:t>, or by the number of children in respect of which an annuity is payable if more than</w:t>
      </w:r>
      <w:r w:rsidR="00AE75CE">
        <w:t> </w:t>
      </w:r>
      <w:r w:rsidR="00752C19" w:rsidRPr="00A630AE">
        <w:t>4</w:t>
      </w:r>
      <w:r w:rsidRPr="00A630AE">
        <w:t>.</w:t>
      </w:r>
    </w:p>
    <w:p w14:paraId="290FDD60" w14:textId="7A4B553B" w:rsidR="00655DB0" w:rsidRPr="00A630AE" w:rsidRDefault="00655DB0" w:rsidP="00312AD7">
      <w:pPr>
        <w:pStyle w:val="NumberedList1"/>
      </w:pPr>
      <w:r w:rsidRPr="00A630AE">
        <w:t xml:space="preserve">The pension payable in respect of a child is payable in such manner, to such persons and subject to </w:t>
      </w:r>
      <w:r w:rsidR="006C3B1C" w:rsidRPr="00A630AE">
        <w:t xml:space="preserve">the discretion as </w:t>
      </w:r>
      <w:r w:rsidRPr="00A630AE">
        <w:t>the Trust determines.</w:t>
      </w:r>
    </w:p>
    <w:p w14:paraId="60AC706F" w14:textId="12661F12" w:rsidR="00655DB0" w:rsidRPr="00A630AE" w:rsidRDefault="00655DB0" w:rsidP="00D47029">
      <w:pPr>
        <w:pStyle w:val="Heading2"/>
      </w:pPr>
      <w:bookmarkStart w:id="114" w:name="_Toc112847619"/>
      <w:bookmarkStart w:id="115" w:name="_Toc149307234"/>
      <w:bookmarkStart w:id="116" w:name="_Toc185937495"/>
      <w:r w:rsidRPr="00A630AE">
        <w:t xml:space="preserve">Benefit </w:t>
      </w:r>
      <w:r w:rsidR="002954C2" w:rsidRPr="00A630AE">
        <w:t>payable to a personal representative</w:t>
      </w:r>
      <w:bookmarkEnd w:id="114"/>
      <w:bookmarkEnd w:id="115"/>
      <w:bookmarkEnd w:id="116"/>
    </w:p>
    <w:p w14:paraId="526233E1" w14:textId="72F41A77" w:rsidR="00655DB0" w:rsidRPr="00A630AE" w:rsidRDefault="00655DB0" w:rsidP="0042188F">
      <w:pPr>
        <w:pStyle w:val="NumberedList1"/>
      </w:pPr>
      <w:bookmarkStart w:id="117" w:name="_Ref433533544"/>
      <w:r w:rsidRPr="00A630AE">
        <w:t xml:space="preserve">On the death of a member who is not survived by an eligible spouse or an orphan who is entitled to a pension, a lump sum is payable to the personal representative of the deceased person, to be dispersed in accordance with the terms of </w:t>
      </w:r>
      <w:r w:rsidR="006C3B1C" w:rsidRPr="00A630AE">
        <w:t>their</w:t>
      </w:r>
      <w:r w:rsidRPr="00A630AE">
        <w:t xml:space="preserve"> will. The lump sum consists of:</w:t>
      </w:r>
      <w:bookmarkEnd w:id="117"/>
    </w:p>
    <w:p w14:paraId="1C6D2B9D" w14:textId="045DB028" w:rsidR="00655DB0" w:rsidRPr="00A630AE" w:rsidRDefault="00655DB0" w:rsidP="00D47029">
      <w:pPr>
        <w:pStyle w:val="NumberedList2"/>
      </w:pPr>
      <w:r w:rsidRPr="00A630AE">
        <w:t>a refund of the former member’s contributions plus a supplement equ</w:t>
      </w:r>
      <w:r w:rsidR="00256F09" w:rsidRPr="00A630AE">
        <w:t>ivalent</w:t>
      </w:r>
      <w:r w:rsidRPr="00A630AE">
        <w:t xml:space="preserve"> to </w:t>
      </w:r>
      <w:r w:rsidR="00BA5271" w:rsidRPr="00A630AE">
        <w:t>two </w:t>
      </w:r>
      <w:r w:rsidRPr="00A630AE">
        <w:t>and</w:t>
      </w:r>
      <w:r w:rsidR="00256F09" w:rsidRPr="00A630AE">
        <w:t> </w:t>
      </w:r>
      <w:r w:rsidRPr="00A630AE">
        <w:t>one</w:t>
      </w:r>
      <w:r w:rsidR="00E675E6" w:rsidRPr="00A630AE">
        <w:noBreakHyphen/>
      </w:r>
      <w:r w:rsidRPr="00A630AE">
        <w:t xml:space="preserve">third times the contributions paid during the last </w:t>
      </w:r>
      <w:r w:rsidR="005C12B8" w:rsidRPr="00A630AE">
        <w:t>8</w:t>
      </w:r>
      <w:r w:rsidRPr="00A630AE">
        <w:t> years of service; or the superannuation guarantee safety net amount (whichever is the higher) less the superannuation surcharge deduction amount</w:t>
      </w:r>
      <w:r w:rsidR="0002554D">
        <w:t>;</w:t>
      </w:r>
      <w:r w:rsidRPr="00A630AE">
        <w:t xml:space="preserve"> less</w:t>
      </w:r>
    </w:p>
    <w:p w14:paraId="232ED697" w14:textId="77777777" w:rsidR="00655DB0" w:rsidRPr="00A630AE" w:rsidRDefault="00655DB0" w:rsidP="00D47029">
      <w:pPr>
        <w:pStyle w:val="NumberedList2"/>
      </w:pPr>
      <w:r w:rsidRPr="00A630AE">
        <w:t>the amount of any benefits paid to the member.</w:t>
      </w:r>
    </w:p>
    <w:p w14:paraId="56EB2D4E" w14:textId="2A46F845" w:rsidR="00655DB0" w:rsidRDefault="00655DB0" w:rsidP="00E52F91">
      <w:pPr>
        <w:pStyle w:val="NumberedList1"/>
      </w:pPr>
      <w:r w:rsidRPr="00A630AE">
        <w:t xml:space="preserve">If a reversionary or orphan pension </w:t>
      </w:r>
      <w:r w:rsidR="00EB7F6C" w:rsidRPr="00A630AE">
        <w:t>i</w:t>
      </w:r>
      <w:r w:rsidRPr="00A630AE">
        <w:t xml:space="preserve">s payable on the death of a member but the total amount </w:t>
      </w:r>
      <w:r w:rsidR="006F3EC9" w:rsidRPr="00A630AE">
        <w:t xml:space="preserve">was </w:t>
      </w:r>
      <w:r w:rsidRPr="00A630AE">
        <w:t xml:space="preserve">paid to the member, the spouse or orphan </w:t>
      </w:r>
      <w:r w:rsidR="006F3EC9" w:rsidRPr="00A630AE">
        <w:t xml:space="preserve">would receive </w:t>
      </w:r>
      <w:r w:rsidRPr="00A630AE">
        <w:t xml:space="preserve">less than the amount </w:t>
      </w:r>
      <w:r w:rsidR="0039694A" w:rsidRPr="00A630AE">
        <w:t>specif</w:t>
      </w:r>
      <w:r w:rsidR="00743A26" w:rsidRPr="00A630AE">
        <w:t xml:space="preserve">ied </w:t>
      </w:r>
      <w:r w:rsidRPr="00A630AE">
        <w:t>in para</w:t>
      </w:r>
      <w:r w:rsidR="00D84697" w:rsidRPr="00A630AE">
        <w:t>graph</w:t>
      </w:r>
      <w:r w:rsidRPr="00A630AE">
        <w:t> </w:t>
      </w:r>
      <w:r w:rsidR="003B1C5B" w:rsidRPr="00A630AE">
        <w:fldChar w:fldCharType="begin"/>
      </w:r>
      <w:r w:rsidR="003B1C5B" w:rsidRPr="00A630AE">
        <w:instrText xml:space="preserve"> REF _Ref173139750 \r \h  \* MERGEFORMAT </w:instrText>
      </w:r>
      <w:r w:rsidR="003B1C5B" w:rsidRPr="00A630AE">
        <w:fldChar w:fldCharType="separate"/>
      </w:r>
      <w:r w:rsidR="00DC08F8">
        <w:t>97</w:t>
      </w:r>
      <w:r w:rsidR="003B1C5B" w:rsidRPr="00A630AE">
        <w:fldChar w:fldCharType="end"/>
      </w:r>
      <w:r w:rsidR="00BD6D97" w:rsidRPr="00A630AE">
        <w:t>;</w:t>
      </w:r>
      <w:r w:rsidRPr="00A630AE">
        <w:t xml:space="preserve"> the</w:t>
      </w:r>
      <w:r w:rsidRPr="00222960">
        <w:t xml:space="preserve"> balance is payable to the personal representative of the member.</w:t>
      </w:r>
    </w:p>
    <w:p w14:paraId="1735E9FF" w14:textId="7A23F3B6" w:rsidR="00655DB0" w:rsidRPr="00222960" w:rsidRDefault="005E45C2" w:rsidP="00D47029">
      <w:pPr>
        <w:pStyle w:val="Heading2"/>
      </w:pPr>
      <w:bookmarkStart w:id="118" w:name="_Toc112847620"/>
      <w:bookmarkStart w:id="119" w:name="_Toc149307235"/>
      <w:bookmarkStart w:id="120" w:name="_Toc185937496"/>
      <w:r>
        <w:t xml:space="preserve">Family </w:t>
      </w:r>
      <w:r w:rsidR="007824B1">
        <w:t xml:space="preserve">law </w:t>
      </w:r>
      <w:r>
        <w:t xml:space="preserve">and </w:t>
      </w:r>
      <w:bookmarkEnd w:id="118"/>
      <w:bookmarkEnd w:id="119"/>
      <w:r w:rsidR="00223A27">
        <w:t>superannuation</w:t>
      </w:r>
      <w:bookmarkEnd w:id="120"/>
    </w:p>
    <w:p w14:paraId="0A5E9B41" w14:textId="59ABA5F2" w:rsidR="00655DB0" w:rsidRPr="00222960" w:rsidRDefault="0061165E" w:rsidP="00935B0D">
      <w:pPr>
        <w:pStyle w:val="NumberedList1"/>
      </w:pPr>
      <w:bookmarkStart w:id="121" w:name="_Ref173139750"/>
      <w:r w:rsidRPr="0061165E">
        <w:t xml:space="preserve">Superannuation is treated as property under the </w:t>
      </w:r>
      <w:r w:rsidRPr="002465CE">
        <w:rPr>
          <w:i/>
        </w:rPr>
        <w:t>Family Law Act 1975</w:t>
      </w:r>
      <w:r w:rsidRPr="0061165E">
        <w:t xml:space="preserve"> </w:t>
      </w:r>
      <w:r w:rsidR="00D1390D">
        <w:t>(the Family Law</w:t>
      </w:r>
      <w:r w:rsidR="00A478D1">
        <w:t> </w:t>
      </w:r>
      <w:r w:rsidR="00D1390D">
        <w:t>Act</w:t>
      </w:r>
      <w:r w:rsidR="00B6446B">
        <w:t>),</w:t>
      </w:r>
      <w:r w:rsidR="00D1390D">
        <w:t xml:space="preserve"> </w:t>
      </w:r>
      <w:r w:rsidRPr="0061165E">
        <w:t>but it differs from other types of property because it is held in a trust</w:t>
      </w:r>
      <w:r w:rsidR="00B37BF6">
        <w:t>.</w:t>
      </w:r>
      <w:r w:rsidRPr="0061165E">
        <w:t xml:space="preserve"> </w:t>
      </w:r>
      <w:r w:rsidR="00B51E09">
        <w:t xml:space="preserve">The superannuation law </w:t>
      </w:r>
      <w:r w:rsidR="006C430F">
        <w:t>is</w:t>
      </w:r>
      <w:r w:rsidR="00BD3934">
        <w:t xml:space="preserve"> treat</w:t>
      </w:r>
      <w:r w:rsidR="00AB5709">
        <w:t>ed</w:t>
      </w:r>
      <w:r w:rsidR="00B51E09">
        <w:t xml:space="preserve"> </w:t>
      </w:r>
      <w:r w:rsidR="00655DB0" w:rsidRPr="00222960">
        <w:t xml:space="preserve">superannuation </w:t>
      </w:r>
      <w:r w:rsidR="000700C3">
        <w:t xml:space="preserve">as a different type </w:t>
      </w:r>
      <w:r w:rsidR="00D079E8">
        <w:t xml:space="preserve">of </w:t>
      </w:r>
      <w:r w:rsidR="00655DB0" w:rsidRPr="00222960">
        <w:t>property</w:t>
      </w:r>
      <w:r w:rsidR="00B37BF6">
        <w:t xml:space="preserve"> and</w:t>
      </w:r>
      <w:r w:rsidR="00444E64">
        <w:t xml:space="preserve"> </w:t>
      </w:r>
      <w:r w:rsidR="00F7275A">
        <w:t xml:space="preserve">allows </w:t>
      </w:r>
      <w:r w:rsidR="00990EEB">
        <w:t xml:space="preserve">separating couples </w:t>
      </w:r>
      <w:r w:rsidR="004E6E27">
        <w:t xml:space="preserve">value </w:t>
      </w:r>
      <w:r w:rsidR="003D2399">
        <w:t>their superannuation and superannuation payments</w:t>
      </w:r>
      <w:r w:rsidR="00655DB0" w:rsidRPr="00222960">
        <w:t xml:space="preserve"> </w:t>
      </w:r>
      <w:r w:rsidR="00570822">
        <w:t xml:space="preserve">to </w:t>
      </w:r>
      <w:r w:rsidR="00655DB0" w:rsidRPr="00222960">
        <w:t xml:space="preserve">be divided </w:t>
      </w:r>
      <w:r w:rsidR="00CD0DA4">
        <w:t xml:space="preserve">due to a </w:t>
      </w:r>
      <w:r w:rsidR="00655DB0" w:rsidRPr="00222960">
        <w:t>relationship breakdown.</w:t>
      </w:r>
      <w:bookmarkEnd w:id="121"/>
    </w:p>
    <w:p w14:paraId="6A76C841" w14:textId="6FCC3589" w:rsidR="00655DB0" w:rsidRPr="00222960" w:rsidRDefault="00E812D8" w:rsidP="00E52F91">
      <w:pPr>
        <w:pStyle w:val="NumberedList1"/>
      </w:pPr>
      <w:r>
        <w:t xml:space="preserve">Effective </w:t>
      </w:r>
      <w:r w:rsidR="003E3863">
        <w:t>from </w:t>
      </w:r>
      <w:r w:rsidR="00D47029">
        <w:t>18</w:t>
      </w:r>
      <w:r w:rsidR="003E3863">
        <w:t xml:space="preserve">May 2004, </w:t>
      </w:r>
      <w:r w:rsidR="007E448F">
        <w:t xml:space="preserve">amendments to </w:t>
      </w:r>
      <w:r w:rsidR="003E3863">
        <w:t>t</w:t>
      </w:r>
      <w:r w:rsidR="00655DB0" w:rsidRPr="00222960">
        <w:t xml:space="preserve">he PCSS </w:t>
      </w:r>
      <w:r w:rsidR="00E8796F">
        <w:t>establish</w:t>
      </w:r>
      <w:r w:rsidR="007E448F">
        <w:t>ed</w:t>
      </w:r>
      <w:r w:rsidR="00E8796F" w:rsidRPr="00222960">
        <w:t xml:space="preserve"> </w:t>
      </w:r>
      <w:r w:rsidR="00655DB0" w:rsidRPr="00222960">
        <w:t xml:space="preserve">an approach </w:t>
      </w:r>
      <w:r w:rsidR="00173FD2">
        <w:t xml:space="preserve">to address </w:t>
      </w:r>
      <w:r w:rsidR="00655DB0" w:rsidRPr="00222960">
        <w:t xml:space="preserve">the splitting of superannuation </w:t>
      </w:r>
      <w:r w:rsidR="00AA37A2">
        <w:t xml:space="preserve">after a </w:t>
      </w:r>
      <w:r w:rsidR="00655DB0" w:rsidRPr="00222960">
        <w:t>relationship breakdown under the Family</w:t>
      </w:r>
      <w:r w:rsidR="0029025F">
        <w:t> </w:t>
      </w:r>
      <w:r w:rsidR="00655DB0" w:rsidRPr="00222960">
        <w:t xml:space="preserve">Law </w:t>
      </w:r>
      <w:r w:rsidR="00DF48E5">
        <w:t>Act</w:t>
      </w:r>
      <w:r w:rsidR="00655DB0" w:rsidRPr="00222960">
        <w:t>.</w:t>
      </w:r>
      <w:r w:rsidR="00655DB0">
        <w:t xml:space="preserve"> </w:t>
      </w:r>
      <w:r w:rsidR="00655DB0" w:rsidRPr="00222960">
        <w:t>This</w:t>
      </w:r>
      <w:r w:rsidR="00655DB0" w:rsidRPr="00222960" w:rsidDel="00E800F7">
        <w:t xml:space="preserve"> </w:t>
      </w:r>
      <w:r w:rsidR="00E800F7">
        <w:t>enables</w:t>
      </w:r>
      <w:r w:rsidR="00655DB0" w:rsidRPr="00222960">
        <w:t xml:space="preserve"> the former spouse of a member to become entitled to their own superannuation benefit under the </w:t>
      </w:r>
      <w:r w:rsidR="004B00AB" w:rsidRPr="004B00AB">
        <w:t xml:space="preserve">Family Law </w:t>
      </w:r>
      <w:r w:rsidR="00655DB0" w:rsidRPr="00222960">
        <w:t>Act.</w:t>
      </w:r>
    </w:p>
    <w:p w14:paraId="69ED55EE" w14:textId="04E961C7" w:rsidR="00655DB0" w:rsidRPr="00222960" w:rsidRDefault="00655DB0" w:rsidP="0042188F">
      <w:pPr>
        <w:pStyle w:val="NumberedList1"/>
      </w:pPr>
      <w:r w:rsidRPr="00222960">
        <w:t>Exceptions to this include where the parliamentarian or former parliamentarian</w:t>
      </w:r>
      <w:r>
        <w:t>’</w:t>
      </w:r>
      <w:r w:rsidRPr="00222960">
        <w:t xml:space="preserve">s benefit is not a </w:t>
      </w:r>
      <w:r w:rsidR="00BB7417" w:rsidRPr="00222960">
        <w:t>spli</w:t>
      </w:r>
      <w:r w:rsidR="00BB7417">
        <w:t>t</w:t>
      </w:r>
      <w:r w:rsidR="00BB7417" w:rsidRPr="00222960">
        <w:t>able</w:t>
      </w:r>
      <w:r w:rsidRPr="00222960">
        <w:t xml:space="preserve"> benefit under the Family Law </w:t>
      </w:r>
      <w:r w:rsidR="00E7516A">
        <w:t>Act</w:t>
      </w:r>
      <w:r w:rsidR="002A336B">
        <w:t xml:space="preserve"> </w:t>
      </w:r>
      <w:r w:rsidRPr="00222960">
        <w:t>(for example, an orphan</w:t>
      </w:r>
      <w:r>
        <w:t>’</w:t>
      </w:r>
      <w:r w:rsidRPr="00222960">
        <w:t xml:space="preserve">s pension), where one or both of the parties dies after the agreement or </w:t>
      </w:r>
      <w:r w:rsidR="00E7516A">
        <w:t>c</w:t>
      </w:r>
      <w:r w:rsidR="00E7516A" w:rsidRPr="00222960">
        <w:t xml:space="preserve">ourt </w:t>
      </w:r>
      <w:r w:rsidR="00E7516A">
        <w:t>o</w:t>
      </w:r>
      <w:r w:rsidR="00E7516A" w:rsidRPr="00222960">
        <w:t xml:space="preserve">rder </w:t>
      </w:r>
      <w:r w:rsidRPr="00222960">
        <w:t>is made, but before it takes effect, or where the value of the amount to be transferred to the former spouse</w:t>
      </w:r>
      <w:r>
        <w:t>’</w:t>
      </w:r>
      <w:r w:rsidRPr="00222960">
        <w:t>s account is larger than the value of the amount calculated under the Family</w:t>
      </w:r>
      <w:r w:rsidR="00D47029">
        <w:t> </w:t>
      </w:r>
      <w:r w:rsidRPr="00222960">
        <w:t>Law</w:t>
      </w:r>
      <w:r w:rsidR="00AE75CE">
        <w:t> </w:t>
      </w:r>
      <w:r w:rsidR="00851AB8">
        <w:t>Act</w:t>
      </w:r>
      <w:r w:rsidRPr="00222960">
        <w:t>.</w:t>
      </w:r>
    </w:p>
    <w:p w14:paraId="51067004" w14:textId="6F0528DF" w:rsidR="00655DB0" w:rsidRPr="00222960" w:rsidRDefault="00655DB0" w:rsidP="00E52F91">
      <w:pPr>
        <w:pStyle w:val="NumberedList1"/>
      </w:pPr>
      <w:r w:rsidRPr="00222960">
        <w:t xml:space="preserve">For a binding agreement or </w:t>
      </w:r>
      <w:r w:rsidR="00851AB8" w:rsidRPr="00222960">
        <w:t xml:space="preserve">court order </w:t>
      </w:r>
      <w:r w:rsidRPr="00222960">
        <w:t>to be made regarding a superannuation interest</w:t>
      </w:r>
      <w:r>
        <w:t>,</w:t>
      </w:r>
      <w:r w:rsidRPr="00222960">
        <w:t xml:space="preserve"> it is necessary to value that superannuation.</w:t>
      </w:r>
    </w:p>
    <w:p w14:paraId="7F041A26" w14:textId="16E7C828" w:rsidR="00655DB0" w:rsidRPr="00222960" w:rsidRDefault="00655DB0" w:rsidP="00E52F91">
      <w:pPr>
        <w:pStyle w:val="NumberedList1"/>
        <w:keepNext/>
        <w:keepLines/>
      </w:pPr>
      <w:r w:rsidRPr="00222960">
        <w:lastRenderedPageBreak/>
        <w:t xml:space="preserve">Couples can seek superannuation information from </w:t>
      </w:r>
      <w:r w:rsidR="00634F98">
        <w:t xml:space="preserve">Finance as the </w:t>
      </w:r>
      <w:r w:rsidRPr="00222960">
        <w:t xml:space="preserve">administrator </w:t>
      </w:r>
      <w:r w:rsidR="00634F98">
        <w:t xml:space="preserve">of the </w:t>
      </w:r>
      <w:r w:rsidR="00AC7B69">
        <w:t>Scheme</w:t>
      </w:r>
      <w:r w:rsidRPr="00222960">
        <w:t xml:space="preserve"> to help </w:t>
      </w:r>
      <w:r w:rsidR="00E5375C">
        <w:t>arrange</w:t>
      </w:r>
      <w:r w:rsidRPr="00222960">
        <w:t xml:space="preserve"> binding agreements</w:t>
      </w:r>
      <w:r>
        <w:t xml:space="preserve"> </w:t>
      </w:r>
      <w:r w:rsidR="000509D9">
        <w:t xml:space="preserve">by completing </w:t>
      </w:r>
      <w:r w:rsidR="008532CD">
        <w:t>the</w:t>
      </w:r>
      <w:r>
        <w:t xml:space="preserve"> Form 6 Declaration</w:t>
      </w:r>
      <w:r w:rsidR="008532CD">
        <w:t>,</w:t>
      </w:r>
      <w:r>
        <w:t xml:space="preserve"> and </w:t>
      </w:r>
      <w:r w:rsidR="00A553B0">
        <w:t xml:space="preserve">the </w:t>
      </w:r>
      <w:r>
        <w:t xml:space="preserve">Superannuation </w:t>
      </w:r>
      <w:r w:rsidR="00956659">
        <w:t xml:space="preserve">Information </w:t>
      </w:r>
      <w:r>
        <w:t xml:space="preserve">Request </w:t>
      </w:r>
      <w:r w:rsidR="00DA5AFB">
        <w:t>f</w:t>
      </w:r>
      <w:r>
        <w:t>orm</w:t>
      </w:r>
      <w:r w:rsidRPr="00222960">
        <w:t>.</w:t>
      </w:r>
      <w:r>
        <w:t xml:space="preserve"> </w:t>
      </w:r>
      <w:r w:rsidRPr="00222960">
        <w:t xml:space="preserve">This information can be used by the couple and the Court to </w:t>
      </w:r>
      <w:r w:rsidR="00CA799F">
        <w:t xml:space="preserve">recognise and </w:t>
      </w:r>
      <w:r w:rsidRPr="00222960">
        <w:t xml:space="preserve">value </w:t>
      </w:r>
      <w:r w:rsidR="00A80DB2">
        <w:t xml:space="preserve">their </w:t>
      </w:r>
      <w:r w:rsidRPr="00222960">
        <w:t>superannuation as part of a property settlement.</w:t>
      </w:r>
      <w:r>
        <w:t xml:space="preserve"> </w:t>
      </w:r>
      <w:r w:rsidRPr="00222960">
        <w:t xml:space="preserve">A valuation method specific to the PCSS applies to the valuation of benefits for </w:t>
      </w:r>
      <w:r w:rsidR="003C60AC" w:rsidRPr="00222960">
        <w:t xml:space="preserve">family law </w:t>
      </w:r>
      <w:r w:rsidRPr="00222960">
        <w:t>purposes.</w:t>
      </w:r>
    </w:p>
    <w:p w14:paraId="5B6C15B2" w14:textId="109FF234" w:rsidR="00655DB0" w:rsidRPr="00222960" w:rsidRDefault="003642B1" w:rsidP="00935B0D">
      <w:pPr>
        <w:pStyle w:val="NumberedList1"/>
      </w:pPr>
      <w:bookmarkStart w:id="122" w:name="_Ref77668482"/>
      <w:r>
        <w:t>U</w:t>
      </w:r>
      <w:r w:rsidR="00A44AC6">
        <w:t xml:space="preserve">pon </w:t>
      </w:r>
      <w:r w:rsidR="00F6761C">
        <w:t>receiv</w:t>
      </w:r>
      <w:r w:rsidR="00A44AC6">
        <w:t>ing</w:t>
      </w:r>
      <w:r w:rsidR="00F6761C">
        <w:t xml:space="preserve"> </w:t>
      </w:r>
      <w:r w:rsidR="00C16FE1">
        <w:t xml:space="preserve">an agreement from </w:t>
      </w:r>
      <w:r w:rsidR="000E7BC0">
        <w:t>separating</w:t>
      </w:r>
      <w:r w:rsidR="00C16FE1">
        <w:t xml:space="preserve"> parties </w:t>
      </w:r>
      <w:r w:rsidR="005D078D">
        <w:t>includi</w:t>
      </w:r>
      <w:r w:rsidR="00D31982">
        <w:t xml:space="preserve">ng </w:t>
      </w:r>
      <w:r w:rsidR="00A44AC6">
        <w:t>through</w:t>
      </w:r>
      <w:r w:rsidR="006B68B3">
        <w:t xml:space="preserve"> </w:t>
      </w:r>
      <w:r w:rsidR="00655DB0" w:rsidRPr="00222960">
        <w:t xml:space="preserve">a </w:t>
      </w:r>
      <w:r w:rsidR="007B103D" w:rsidRPr="00222960">
        <w:t>court order</w:t>
      </w:r>
      <w:r w:rsidR="00655DB0" w:rsidRPr="00222960">
        <w:t xml:space="preserve">, </w:t>
      </w:r>
      <w:r w:rsidR="008A3315">
        <w:t xml:space="preserve">Finance </w:t>
      </w:r>
      <w:r>
        <w:t xml:space="preserve">as the administrator of the Scheme </w:t>
      </w:r>
      <w:r w:rsidR="008A3315">
        <w:t xml:space="preserve">will create </w:t>
      </w:r>
      <w:r w:rsidR="00655DB0" w:rsidRPr="00222960">
        <w:t xml:space="preserve">a separate interest </w:t>
      </w:r>
      <w:r w:rsidR="004A14C5">
        <w:t>account</w:t>
      </w:r>
      <w:r w:rsidR="004A14C5" w:rsidRPr="00222960">
        <w:t xml:space="preserve"> </w:t>
      </w:r>
      <w:r w:rsidR="00852244">
        <w:t>for the former spouse</w:t>
      </w:r>
      <w:r w:rsidR="00114ED6">
        <w:t xml:space="preserve">. </w:t>
      </w:r>
      <w:r w:rsidR="00220DD1">
        <w:t>A</w:t>
      </w:r>
      <w:r w:rsidR="00655DB0" w:rsidRPr="00222960">
        <w:t>n amount will</w:t>
      </w:r>
      <w:r w:rsidR="000353AD">
        <w:t xml:space="preserve"> </w:t>
      </w:r>
      <w:r w:rsidR="00655DB0" w:rsidRPr="00222960">
        <w:t>be transferred to the former spouse</w:t>
      </w:r>
      <w:r w:rsidR="00655DB0">
        <w:t>’</w:t>
      </w:r>
      <w:r w:rsidR="00655DB0" w:rsidRPr="00222960">
        <w:t xml:space="preserve">s account to </w:t>
      </w:r>
      <w:r w:rsidR="00645260">
        <w:t>confirm</w:t>
      </w:r>
      <w:r w:rsidR="00406025">
        <w:t xml:space="preserve"> </w:t>
      </w:r>
      <w:r w:rsidR="00655DB0" w:rsidRPr="00222960">
        <w:t xml:space="preserve">the agreement or </w:t>
      </w:r>
      <w:bookmarkEnd w:id="122"/>
      <w:r w:rsidR="007B103D" w:rsidRPr="00222960">
        <w:t>court order</w:t>
      </w:r>
      <w:r w:rsidR="00DE275A">
        <w:t xml:space="preserve">, </w:t>
      </w:r>
      <w:r w:rsidR="00AE1D07">
        <w:t xml:space="preserve">leading </w:t>
      </w:r>
      <w:r w:rsidR="00E8035E">
        <w:t>to a decrease</w:t>
      </w:r>
      <w:r w:rsidR="00DE275A">
        <w:t xml:space="preserve"> </w:t>
      </w:r>
      <w:r w:rsidR="0045136F">
        <w:t xml:space="preserve">in </w:t>
      </w:r>
      <w:r w:rsidR="004A6849">
        <w:t>t</w:t>
      </w:r>
      <w:r w:rsidR="0031066F">
        <w:t>he</w:t>
      </w:r>
      <w:r w:rsidR="00655DB0" w:rsidRPr="00222960">
        <w:t xml:space="preserve"> pension benefit </w:t>
      </w:r>
      <w:r w:rsidR="00FC6A13">
        <w:t>for the member receiving the pension</w:t>
      </w:r>
      <w:r w:rsidR="00655DB0" w:rsidRPr="00222960">
        <w:t>.</w:t>
      </w:r>
    </w:p>
    <w:p w14:paraId="5C892B19" w14:textId="77777777" w:rsidR="00655DB0" w:rsidRDefault="00655DB0" w:rsidP="00935B0D">
      <w:pPr>
        <w:pStyle w:val="NumberedList1"/>
      </w:pPr>
      <w:r w:rsidRPr="00222960">
        <w:t>Where the relationship breakdown occurs before the member becomes entitled to a benefit, an amount is transferred from the member</w:t>
      </w:r>
      <w:r>
        <w:t>’</w:t>
      </w:r>
      <w:r w:rsidRPr="00222960">
        <w:t>s account to an account in the name of the former spouse and will be indexed until it becomes payable.</w:t>
      </w:r>
      <w:r>
        <w:t xml:space="preserve"> </w:t>
      </w:r>
      <w:r w:rsidRPr="00222960">
        <w:t>The member</w:t>
      </w:r>
      <w:r>
        <w:t>’</w:t>
      </w:r>
      <w:r w:rsidRPr="00222960">
        <w:t>s final benefit is reduced to take account of this transfer.</w:t>
      </w:r>
    </w:p>
    <w:p w14:paraId="15474B55" w14:textId="128C3B21" w:rsidR="00655DB0" w:rsidRPr="00222960" w:rsidRDefault="00655DB0" w:rsidP="00935B0D">
      <w:pPr>
        <w:pStyle w:val="NumberedList1"/>
      </w:pPr>
      <w:r w:rsidRPr="00222960">
        <w:t>The former spouse</w:t>
      </w:r>
      <w:r>
        <w:t>’</w:t>
      </w:r>
      <w:r w:rsidRPr="00222960">
        <w:t>s benefit may become payable from age</w:t>
      </w:r>
      <w:r w:rsidR="009C3273">
        <w:t> </w:t>
      </w:r>
      <w:r w:rsidRPr="00222960">
        <w:t xml:space="preserve">55 on request and subject to the general rules governing the preservation of superannuation benefits </w:t>
      </w:r>
      <w:r w:rsidR="00A80787">
        <w:t>should</w:t>
      </w:r>
      <w:r w:rsidRPr="00222960">
        <w:t xml:space="preserve"> the </w:t>
      </w:r>
      <w:r w:rsidR="00D01DED">
        <w:t>t</w:t>
      </w:r>
      <w:r w:rsidRPr="00222960">
        <w:t>rust</w:t>
      </w:r>
      <w:r w:rsidR="00D01DED">
        <w:t>ees</w:t>
      </w:r>
      <w:r w:rsidRPr="00222960">
        <w:t xml:space="preserve"> decide that the non</w:t>
      </w:r>
      <w:r w:rsidR="007327F0">
        <w:noBreakHyphen/>
      </w:r>
      <w:r w:rsidRPr="00222960">
        <w:t>member is permanently incapacitated at age</w:t>
      </w:r>
      <w:r w:rsidR="009C3273">
        <w:t> </w:t>
      </w:r>
      <w:r w:rsidRPr="00222960">
        <w:t>65</w:t>
      </w:r>
      <w:r>
        <w:t>,</w:t>
      </w:r>
      <w:r w:rsidRPr="00222960">
        <w:t xml:space="preserve"> or to a </w:t>
      </w:r>
      <w:r>
        <w:t xml:space="preserve">personal </w:t>
      </w:r>
      <w:r w:rsidRPr="00222960">
        <w:t>legal</w:t>
      </w:r>
      <w:r>
        <w:t xml:space="preserve"> </w:t>
      </w:r>
      <w:r w:rsidRPr="00222960">
        <w:t>representative on death.</w:t>
      </w:r>
    </w:p>
    <w:p w14:paraId="0559D2DB" w14:textId="47782A83" w:rsidR="00655DB0" w:rsidRPr="00B85640" w:rsidRDefault="00655DB0" w:rsidP="00935B0D">
      <w:pPr>
        <w:pStyle w:val="NumberedList1"/>
        <w:rPr>
          <w:color w:val="000000"/>
        </w:rPr>
      </w:pPr>
      <w:r w:rsidRPr="00222960">
        <w:t>Where the former spouse</w:t>
      </w:r>
      <w:r>
        <w:t>’</w:t>
      </w:r>
      <w:r w:rsidRPr="00222960">
        <w:t>s account is created after the member has become entitled to a pension, the former spouse</w:t>
      </w:r>
      <w:r>
        <w:t>’</w:t>
      </w:r>
      <w:r w:rsidRPr="00222960">
        <w:t>s benefit becomes payable immediately and the member</w:t>
      </w:r>
      <w:r>
        <w:t>’</w:t>
      </w:r>
      <w:r w:rsidRPr="00222960">
        <w:t>s pension will be reduced.</w:t>
      </w:r>
      <w:r>
        <w:t xml:space="preserve"> </w:t>
      </w:r>
      <w:r w:rsidRPr="00222960">
        <w:t>The former spouse</w:t>
      </w:r>
      <w:r>
        <w:t>’</w:t>
      </w:r>
      <w:r w:rsidRPr="00222960">
        <w:t>s benefit is payable for life and is indexed in the same way and at the same time as the member</w:t>
      </w:r>
      <w:r>
        <w:t>’</w:t>
      </w:r>
      <w:r w:rsidRPr="00222960">
        <w:t>s benefit.</w:t>
      </w:r>
      <w:r>
        <w:t xml:space="preserve"> The former spouse’s benefit is not able to be converted to a lump sum benefit.</w:t>
      </w:r>
    </w:p>
    <w:p w14:paraId="61FAD7B9" w14:textId="066FBB72" w:rsidR="00655DB0" w:rsidRPr="00222960" w:rsidRDefault="005E45C2" w:rsidP="00D47029">
      <w:pPr>
        <w:pStyle w:val="Heading2"/>
      </w:pPr>
      <w:bookmarkStart w:id="123" w:name="_Toc112847621"/>
      <w:bookmarkStart w:id="124" w:name="_Toc149307236"/>
      <w:bookmarkStart w:id="125" w:name="_Toc185937497"/>
      <w:r>
        <w:t xml:space="preserve">Increases in </w:t>
      </w:r>
      <w:r w:rsidR="002954C2">
        <w:t>pensions</w:t>
      </w:r>
      <w:bookmarkEnd w:id="123"/>
      <w:bookmarkEnd w:id="124"/>
      <w:bookmarkEnd w:id="125"/>
    </w:p>
    <w:p w14:paraId="6F32CEF0" w14:textId="6DCA9BED" w:rsidR="00655DB0" w:rsidRPr="00222960" w:rsidRDefault="00655DB0" w:rsidP="00441A57">
      <w:pPr>
        <w:pStyle w:val="NumberedList1"/>
      </w:pPr>
      <w:r w:rsidRPr="00222960">
        <w:t>Because pensions and additional pension entitlements are expressed as a percentage of salaries as determined from time</w:t>
      </w:r>
      <w:r w:rsidR="007327F0">
        <w:noBreakHyphen/>
      </w:r>
      <w:r w:rsidRPr="00222960">
        <w:t>to</w:t>
      </w:r>
      <w:r w:rsidR="007327F0">
        <w:noBreakHyphen/>
      </w:r>
      <w:r w:rsidRPr="00222960">
        <w:t xml:space="preserve">time, the actual amount of the pension or additional pension will increase each time salaries are </w:t>
      </w:r>
      <w:r w:rsidRPr="007D4C91">
        <w:t xml:space="preserve">increased </w:t>
      </w:r>
      <w:r w:rsidRPr="00222960">
        <w:t xml:space="preserve">as to the salaries applicable to the </w:t>
      </w:r>
      <w:r w:rsidRPr="00BA5271">
        <w:t>PCSS</w:t>
      </w:r>
      <w:r w:rsidR="008D3523" w:rsidRPr="00BA5271">
        <w:t xml:space="preserve"> (para</w:t>
      </w:r>
      <w:r w:rsidR="00D47029">
        <w:t>graph</w:t>
      </w:r>
      <w:r w:rsidR="008D3523" w:rsidRPr="00BA5271">
        <w:t xml:space="preserve"> </w:t>
      </w:r>
      <w:r w:rsidR="008D3523" w:rsidRPr="00BA5271">
        <w:fldChar w:fldCharType="begin"/>
      </w:r>
      <w:r w:rsidR="008D3523" w:rsidRPr="00BA5271">
        <w:instrText xml:space="preserve"> REF _Ref173407825 \w \h </w:instrText>
      </w:r>
      <w:r w:rsidR="00BA5271">
        <w:instrText xml:space="preserve"> \* MERGEFORMAT </w:instrText>
      </w:r>
      <w:r w:rsidR="008D3523" w:rsidRPr="00BA5271">
        <w:fldChar w:fldCharType="separate"/>
      </w:r>
      <w:r w:rsidR="00DC08F8">
        <w:t>7</w:t>
      </w:r>
      <w:r w:rsidR="008D3523" w:rsidRPr="00BA5271">
        <w:fldChar w:fldCharType="end"/>
      </w:r>
      <w:r w:rsidR="008D3523" w:rsidRPr="00BA5271">
        <w:noBreakHyphen/>
      </w:r>
      <w:r w:rsidR="008D3523" w:rsidRPr="00BA5271">
        <w:fldChar w:fldCharType="begin"/>
      </w:r>
      <w:r w:rsidR="008D3523" w:rsidRPr="00BA5271">
        <w:instrText xml:space="preserve"> REF _Ref173407833 \w \h </w:instrText>
      </w:r>
      <w:r w:rsidR="00BA5271">
        <w:instrText xml:space="preserve"> \* MERGEFORMAT </w:instrText>
      </w:r>
      <w:r w:rsidR="008D3523" w:rsidRPr="00BA5271">
        <w:fldChar w:fldCharType="separate"/>
      </w:r>
      <w:r w:rsidR="00DC08F8">
        <w:t>9</w:t>
      </w:r>
      <w:r w:rsidR="008D3523" w:rsidRPr="00BA5271">
        <w:fldChar w:fldCharType="end"/>
      </w:r>
      <w:r w:rsidR="008D3523" w:rsidRPr="00BA5271">
        <w:t>)</w:t>
      </w:r>
      <w:r w:rsidRPr="00BA5271">
        <w:t>.</w:t>
      </w:r>
    </w:p>
    <w:p w14:paraId="45E86AB8" w14:textId="0FD1FFC3" w:rsidR="00655DB0" w:rsidRPr="002338EF" w:rsidRDefault="00655DB0" w:rsidP="00D910AB">
      <w:pPr>
        <w:pStyle w:val="NumberedList1"/>
      </w:pPr>
      <w:r w:rsidRPr="00222960">
        <w:t>The pension being paid to a spouse will also be increased by five</w:t>
      </w:r>
      <w:r w:rsidR="001677E3">
        <w:noBreakHyphen/>
      </w:r>
      <w:r w:rsidRPr="00222960">
        <w:t>sixths of the increase that would have applied to the deceased person</w:t>
      </w:r>
      <w:r>
        <w:t>’</w:t>
      </w:r>
      <w:r w:rsidRPr="00222960">
        <w:t xml:space="preserve">s pension or additional pensions had </w:t>
      </w:r>
      <w:r w:rsidR="009918A6">
        <w:t xml:space="preserve">they </w:t>
      </w:r>
      <w:r w:rsidRPr="00222960">
        <w:t>lived.</w:t>
      </w:r>
      <w:r w:rsidR="00CB6A32">
        <w:t xml:space="preserve"> </w:t>
      </w:r>
      <w:r w:rsidRPr="00222960">
        <w:t xml:space="preserve">A corresponding adjustment will </w:t>
      </w:r>
      <w:r w:rsidR="00CB6A32">
        <w:t xml:space="preserve">also </w:t>
      </w:r>
      <w:r w:rsidRPr="00222960">
        <w:t>apply to orphans</w:t>
      </w:r>
      <w:r>
        <w:t>’</w:t>
      </w:r>
      <w:r w:rsidRPr="00222960">
        <w:t xml:space="preserve"> pensions.</w:t>
      </w:r>
    </w:p>
    <w:p w14:paraId="0052F761" w14:textId="692D3681" w:rsidR="00655DB0" w:rsidRPr="008C16DE" w:rsidRDefault="00B902A6" w:rsidP="00D910AB">
      <w:pPr>
        <w:pStyle w:val="Heading1"/>
        <w:widowControl/>
      </w:pPr>
      <w:bookmarkStart w:id="126" w:name="_Toc112847622"/>
      <w:bookmarkStart w:id="127" w:name="_Toc149307237"/>
      <w:bookmarkStart w:id="128" w:name="_Toc185937498"/>
      <w:r>
        <w:lastRenderedPageBreak/>
        <w:t xml:space="preserve">Part III — Special </w:t>
      </w:r>
      <w:r w:rsidR="00C7794E">
        <w:t>provisions</w:t>
      </w:r>
      <w:bookmarkEnd w:id="126"/>
      <w:bookmarkEnd w:id="127"/>
      <w:bookmarkEnd w:id="128"/>
    </w:p>
    <w:p w14:paraId="09E8F23F" w14:textId="063DE685" w:rsidR="00655DB0" w:rsidRPr="00222960" w:rsidRDefault="00B902A6" w:rsidP="00D47029">
      <w:pPr>
        <w:pStyle w:val="Heading2"/>
      </w:pPr>
      <w:bookmarkStart w:id="129" w:name="_Toc112847623"/>
      <w:bookmarkStart w:id="130" w:name="_Toc149307238"/>
      <w:bookmarkStart w:id="131" w:name="_Toc185937499"/>
      <w:r>
        <w:t>Beneficiaries who are re</w:t>
      </w:r>
      <w:r w:rsidR="008D3523">
        <w:noBreakHyphen/>
      </w:r>
      <w:r>
        <w:t xml:space="preserve">elected to </w:t>
      </w:r>
      <w:r w:rsidR="00CD26A0">
        <w:t>Parliament</w:t>
      </w:r>
      <w:bookmarkEnd w:id="129"/>
      <w:bookmarkEnd w:id="130"/>
      <w:bookmarkEnd w:id="131"/>
    </w:p>
    <w:p w14:paraId="48A22298" w14:textId="74DAA86C" w:rsidR="00655DB0" w:rsidRPr="00222960" w:rsidRDefault="00655DB0" w:rsidP="00935B0D">
      <w:pPr>
        <w:pStyle w:val="NumberedList1"/>
      </w:pPr>
      <w:r w:rsidRPr="00222960">
        <w:t>Where a member who is entitled to a pension is re</w:t>
      </w:r>
      <w:r w:rsidR="001346A9">
        <w:noBreakHyphen/>
      </w:r>
      <w:r w:rsidRPr="00222960">
        <w:t>elected, the pension is suspended while the person is a sitting parliamentarian.</w:t>
      </w:r>
      <w:r>
        <w:t xml:space="preserve"> </w:t>
      </w:r>
      <w:r w:rsidRPr="00222960">
        <w:t xml:space="preserve">The person will not be entitled to further accrual of benefits under the </w:t>
      </w:r>
      <w:r w:rsidR="00AC7B69">
        <w:t>Scheme</w:t>
      </w:r>
      <w:r w:rsidRPr="00222960">
        <w:t>.</w:t>
      </w:r>
    </w:p>
    <w:p w14:paraId="0F1602EB" w14:textId="2C121168" w:rsidR="00655DB0" w:rsidRPr="00222960" w:rsidRDefault="00655DB0" w:rsidP="00935B0D">
      <w:pPr>
        <w:pStyle w:val="NumberedList1"/>
      </w:pPr>
      <w:r w:rsidRPr="00222960">
        <w:t xml:space="preserve">The pension will </w:t>
      </w:r>
      <w:r>
        <w:t>once again r</w:t>
      </w:r>
      <w:r w:rsidRPr="00222960">
        <w:t xml:space="preserve">ecommence </w:t>
      </w:r>
      <w:r>
        <w:t>on</w:t>
      </w:r>
      <w:r w:rsidRPr="00222960">
        <w:t xml:space="preserve"> retire</w:t>
      </w:r>
      <w:r>
        <w:t>ment</w:t>
      </w:r>
      <w:r w:rsidRPr="00222960">
        <w:t xml:space="preserve"> from the Parliament and </w:t>
      </w:r>
      <w:r>
        <w:t xml:space="preserve">on </w:t>
      </w:r>
      <w:r w:rsidRPr="00222960">
        <w:t>reach</w:t>
      </w:r>
      <w:r>
        <w:t>ing</w:t>
      </w:r>
      <w:r w:rsidRPr="00222960">
        <w:t xml:space="preserve"> </w:t>
      </w:r>
      <w:r w:rsidR="006E2432" w:rsidRPr="00222960">
        <w:t>age</w:t>
      </w:r>
      <w:r w:rsidR="006E2432">
        <w:t> </w:t>
      </w:r>
      <w:r w:rsidRPr="00222960">
        <w:t>55 at the same rate as when the pension was suspended but based on the salaries at time of payment.</w:t>
      </w:r>
    </w:p>
    <w:p w14:paraId="5A7AB687" w14:textId="632FCDB3" w:rsidR="00655DB0" w:rsidRPr="00222960" w:rsidRDefault="00B902A6" w:rsidP="00D47029">
      <w:pPr>
        <w:pStyle w:val="Heading2"/>
      </w:pPr>
      <w:bookmarkStart w:id="132" w:name="_Toc112847624"/>
      <w:bookmarkStart w:id="133" w:name="_Toc149307239"/>
      <w:bookmarkStart w:id="134" w:name="_Toc185937500"/>
      <w:r>
        <w:t xml:space="preserve">Beneficiaries who are elected to state </w:t>
      </w:r>
      <w:r w:rsidR="002954C2">
        <w:t>parliaments</w:t>
      </w:r>
      <w:bookmarkEnd w:id="132"/>
      <w:bookmarkEnd w:id="133"/>
      <w:bookmarkEnd w:id="134"/>
    </w:p>
    <w:p w14:paraId="30B94BFC" w14:textId="40DB7FBD" w:rsidR="00655DB0" w:rsidRPr="00222960" w:rsidRDefault="00655DB0" w:rsidP="00935B0D">
      <w:pPr>
        <w:pStyle w:val="NumberedList1"/>
      </w:pPr>
      <w:r w:rsidRPr="00222960">
        <w:t xml:space="preserve">Where a beneficiary who is in receipt of a pension becomes a member of, or a Minister in, a State Parliament or the Northern Territory Legislative Assembly or the Australian Capital Territory Assembly, the pension is reduced by the rate of salary, or allowance </w:t>
      </w:r>
      <w:r w:rsidR="00180A67" w:rsidRPr="00222960">
        <w:t>in salary</w:t>
      </w:r>
      <w:r w:rsidRPr="00222960">
        <w:t>, received in respect of that State or T</w:t>
      </w:r>
      <w:r>
        <w:t>erritory parliamentary service.</w:t>
      </w:r>
    </w:p>
    <w:p w14:paraId="4FA4CE73" w14:textId="1607BFE1" w:rsidR="00655DB0" w:rsidRPr="00222960" w:rsidRDefault="00B902A6" w:rsidP="00D47029">
      <w:pPr>
        <w:pStyle w:val="Heading2"/>
      </w:pPr>
      <w:bookmarkStart w:id="135" w:name="_Toc112847625"/>
      <w:bookmarkStart w:id="136" w:name="_Toc149307240"/>
      <w:bookmarkStart w:id="137" w:name="_Toc185937501"/>
      <w:r>
        <w:t xml:space="preserve">Beneficiaries who take up </w:t>
      </w:r>
      <w:r w:rsidR="00C7794E">
        <w:t xml:space="preserve">offices </w:t>
      </w:r>
      <w:r>
        <w:t xml:space="preserve">of </w:t>
      </w:r>
      <w:r w:rsidR="00DD1277">
        <w:t xml:space="preserve">profit </w:t>
      </w:r>
      <w:r>
        <w:t xml:space="preserve">under the </w:t>
      </w:r>
      <w:r w:rsidR="00CD26A0">
        <w:t>Crown</w:t>
      </w:r>
      <w:bookmarkEnd w:id="135"/>
      <w:bookmarkEnd w:id="136"/>
      <w:bookmarkEnd w:id="137"/>
    </w:p>
    <w:p w14:paraId="0090EBB2" w14:textId="6685BC20" w:rsidR="00655DB0" w:rsidRPr="00222960" w:rsidRDefault="00655DB0" w:rsidP="00935B0D">
      <w:pPr>
        <w:pStyle w:val="NumberedList1"/>
      </w:pPr>
      <w:r w:rsidRPr="00222960">
        <w:t xml:space="preserve">Where a beneficiary who is entitled to a pension holds an office of profit under the Crown, the pension may be reduced on a fortnightly basis depending on the amount of the remuneration received for the holding of such office(s). The Act specifies a range of State and Commonwealth Government positions that constitute an office of profit (see the definitions of </w:t>
      </w:r>
      <w:r>
        <w:t>“</w:t>
      </w:r>
      <w:r w:rsidRPr="00222960">
        <w:t>holder of an office of profit under a State</w:t>
      </w:r>
      <w:r>
        <w:t>”</w:t>
      </w:r>
      <w:r w:rsidRPr="00222960">
        <w:t xml:space="preserve"> and </w:t>
      </w:r>
      <w:r>
        <w:t>“</w:t>
      </w:r>
      <w:r w:rsidRPr="00222960">
        <w:t>holder of an office of profit under the Commonwealth</w:t>
      </w:r>
      <w:r>
        <w:t>”</w:t>
      </w:r>
      <w:r w:rsidRPr="00222960">
        <w:t xml:space="preserve"> in section 21B of the Act).</w:t>
      </w:r>
    </w:p>
    <w:p w14:paraId="52AEBDF1" w14:textId="05BE4BC2" w:rsidR="00655DB0" w:rsidRPr="00044BDC" w:rsidRDefault="00655DB0" w:rsidP="00935B0D">
      <w:pPr>
        <w:pStyle w:val="NumberedList1"/>
      </w:pPr>
      <w:r w:rsidRPr="00BA5271">
        <w:t>There is no reduction in the pension unless the remuneration from the office of profit exceeds 20</w:t>
      </w:r>
      <w:r w:rsidR="002361FB" w:rsidRPr="00BA5271">
        <w:t xml:space="preserve">% </w:t>
      </w:r>
      <w:r w:rsidRPr="00BA5271">
        <w:t>of the fortnightly rate of the parliamentary allowance (</w:t>
      </w:r>
      <w:r w:rsidR="00C57914" w:rsidRPr="00BA5271">
        <w:t xml:space="preserve">the </w:t>
      </w:r>
      <w:r w:rsidRPr="00BA5271">
        <w:t>current threshold is $</w:t>
      </w:r>
      <w:r w:rsidR="009A207A" w:rsidRPr="00BA5271">
        <w:t>1,418.</w:t>
      </w:r>
      <w:r w:rsidR="00D47029">
        <w:t>18</w:t>
      </w:r>
      <w:r w:rsidR="00546271" w:rsidRPr="00BA5271">
        <w:t>per </w:t>
      </w:r>
      <w:r w:rsidRPr="00BA5271">
        <w:t>fortnight).</w:t>
      </w:r>
      <w:r w:rsidRPr="00044BDC">
        <w:t xml:space="preserve"> For every dollar the office of profit remuneration exceeds this threshold, the pension is reduced by </w:t>
      </w:r>
      <w:r w:rsidR="00546271" w:rsidRPr="00044BDC">
        <w:t>50</w:t>
      </w:r>
      <w:r w:rsidR="00546271">
        <w:t> </w:t>
      </w:r>
      <w:r w:rsidRPr="00044BDC">
        <w:t>cents. The maximum amount by which the pension can be reduced is 50</w:t>
      </w:r>
      <w:r w:rsidR="00E13847">
        <w:t xml:space="preserve">% </w:t>
      </w:r>
      <w:r w:rsidRPr="00044BDC">
        <w:t>of the pension entitlement before any decision to convert a portion to a lump sum.</w:t>
      </w:r>
    </w:p>
    <w:p w14:paraId="02E3E0B8" w14:textId="73F7AB5C" w:rsidR="006B015E" w:rsidRDefault="00655DB0" w:rsidP="00204490">
      <w:pPr>
        <w:pStyle w:val="NumberedList1"/>
        <w:keepNext/>
        <w:keepLines/>
      </w:pPr>
      <w:r w:rsidRPr="00D173EC">
        <w:lastRenderedPageBreak/>
        <w:t xml:space="preserve">The following example illustrates pension </w:t>
      </w:r>
      <w:r w:rsidR="00EA0F31">
        <w:t xml:space="preserve">reductions </w:t>
      </w:r>
      <w:r w:rsidRPr="00D173EC">
        <w:t xml:space="preserve">that would occur </w:t>
      </w:r>
      <w:r w:rsidR="00D84D79">
        <w:t xml:space="preserve">based on the varying </w:t>
      </w:r>
      <w:r w:rsidRPr="00D173EC">
        <w:t>levels of salary from an office of profit. In this example, the varying pension reductions are shown for a PCSS pension entitlement of $90,</w:t>
      </w:r>
      <w:r w:rsidR="00546271" w:rsidRPr="00D173EC">
        <w:t>000</w:t>
      </w:r>
      <w:r w:rsidR="00546271">
        <w:t> </w:t>
      </w:r>
      <w:r w:rsidR="00546271" w:rsidRPr="00D173EC">
        <w:t>per</w:t>
      </w:r>
      <w:r w:rsidR="00546271">
        <w:t> </w:t>
      </w:r>
      <w:r w:rsidRPr="00D173EC">
        <w:t xml:space="preserve">annum </w:t>
      </w:r>
      <w:r w:rsidRPr="00E4015D">
        <w:t>($3,452.05</w:t>
      </w:r>
      <w:r w:rsidR="001F67E1" w:rsidRPr="00E4015D">
        <w:t> </w:t>
      </w:r>
      <w:r w:rsidRPr="00E4015D">
        <w:t>per</w:t>
      </w:r>
      <w:r w:rsidR="001F67E1" w:rsidRPr="00E4015D">
        <w:t> </w:t>
      </w:r>
      <w:r w:rsidRPr="00E4015D">
        <w:t>fortnight).</w:t>
      </w:r>
      <w:r w:rsidRPr="00D173EC">
        <w:t xml:space="preserve"> In this example, the maximum reduction that can be made to the PCSS pension is </w:t>
      </w:r>
      <w:r>
        <w:t>$</w:t>
      </w:r>
      <w:r w:rsidRPr="00D173EC">
        <w:t>1</w:t>
      </w:r>
      <w:r>
        <w:t>,</w:t>
      </w:r>
      <w:r w:rsidRPr="00D173EC">
        <w:t>726.03</w:t>
      </w:r>
      <w:r w:rsidR="001F67E1">
        <w:t> </w:t>
      </w:r>
      <w:r>
        <w:t>per</w:t>
      </w:r>
      <w:r w:rsidR="001F67E1">
        <w:t> </w:t>
      </w:r>
      <w:r>
        <w:t xml:space="preserve">fortnight (50% of the fortnightly payment of </w:t>
      </w:r>
      <w:r w:rsidRPr="00D173EC">
        <w:t>$3,452.05</w:t>
      </w:r>
      <w:r>
        <w:t>).</w:t>
      </w:r>
    </w:p>
    <w:p w14:paraId="517FAD3C" w14:textId="0C54256D" w:rsidR="009A207A" w:rsidRDefault="009A207A" w:rsidP="004A09E6">
      <w:pPr>
        <w:pStyle w:val="Caption"/>
      </w:pPr>
      <w:r>
        <w:t xml:space="preserve">Table </w:t>
      </w:r>
      <w:r w:rsidR="00A64C82">
        <w:fldChar w:fldCharType="begin"/>
      </w:r>
      <w:r w:rsidR="00A64C82">
        <w:instrText xml:space="preserve"> SEQ Table \* ARABIC </w:instrText>
      </w:r>
      <w:r w:rsidR="00A64C82">
        <w:fldChar w:fldCharType="separate"/>
      </w:r>
      <w:r w:rsidR="00DC08F8">
        <w:rPr>
          <w:noProof/>
        </w:rPr>
        <w:t>4</w:t>
      </w:r>
      <w:r w:rsidR="00A64C82">
        <w:rPr>
          <w:noProof/>
        </w:rPr>
        <w:fldChar w:fldCharType="end"/>
      </w:r>
      <w:r>
        <w:t xml:space="preserve"> – Pension reduction</w:t>
      </w:r>
    </w:p>
    <w:tbl>
      <w:tblPr>
        <w:tblW w:w="0" w:type="auto"/>
        <w:tblInd w:w="567"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268"/>
        <w:gridCol w:w="2268"/>
        <w:gridCol w:w="1985"/>
        <w:gridCol w:w="1984"/>
      </w:tblGrid>
      <w:tr w:rsidR="00D86B7F" w:rsidRPr="005736A0" w14:paraId="0F02E9AD" w14:textId="77777777" w:rsidTr="00C37EDE">
        <w:trPr>
          <w:cantSplit/>
          <w:tblHeader/>
        </w:trPr>
        <w:tc>
          <w:tcPr>
            <w:tcW w:w="2268" w:type="dxa"/>
            <w:shd w:val="clear" w:color="auto" w:fill="1C1C1C"/>
            <w:vAlign w:val="center"/>
          </w:tcPr>
          <w:p w14:paraId="35A5578B" w14:textId="04E0A55D" w:rsidR="00E82631" w:rsidRPr="00EB6B70" w:rsidRDefault="00E82631" w:rsidP="00C37EDE">
            <w:pPr>
              <w:pStyle w:val="TableText"/>
              <w:keepNext/>
              <w:keepLines/>
              <w:ind w:left="0"/>
              <w:jc w:val="center"/>
              <w:rPr>
                <w:rFonts w:ascii="Arial" w:eastAsia="Arial" w:hAnsi="Arial" w:cs="Times New Roman"/>
                <w:b/>
                <w:bCs/>
              </w:rPr>
            </w:pPr>
            <w:r w:rsidRPr="00EB6B70">
              <w:rPr>
                <w:b/>
                <w:bCs/>
              </w:rPr>
              <w:t>Office of Profit Salary</w:t>
            </w:r>
          </w:p>
        </w:tc>
        <w:tc>
          <w:tcPr>
            <w:tcW w:w="2268" w:type="dxa"/>
            <w:shd w:val="clear" w:color="auto" w:fill="1C1C1C"/>
            <w:vAlign w:val="center"/>
          </w:tcPr>
          <w:p w14:paraId="231C491D" w14:textId="2F48959C" w:rsidR="00E82631" w:rsidRPr="00EB6B70" w:rsidRDefault="00E82631" w:rsidP="00C37EDE">
            <w:pPr>
              <w:pStyle w:val="TableText"/>
              <w:keepNext/>
              <w:keepLines/>
              <w:ind w:left="0"/>
              <w:jc w:val="center"/>
              <w:rPr>
                <w:rFonts w:ascii="Arial" w:eastAsia="Arial" w:hAnsi="Arial" w:cs="Times New Roman"/>
                <w:b/>
                <w:bCs/>
              </w:rPr>
            </w:pPr>
            <w:r w:rsidRPr="00EB6B70">
              <w:rPr>
                <w:b/>
                <w:bCs/>
              </w:rPr>
              <w:t>Office of Profit Salary</w:t>
            </w:r>
          </w:p>
        </w:tc>
        <w:tc>
          <w:tcPr>
            <w:tcW w:w="1985" w:type="dxa"/>
            <w:shd w:val="clear" w:color="auto" w:fill="1C1C1C"/>
            <w:vAlign w:val="center"/>
          </w:tcPr>
          <w:p w14:paraId="0F2D9A4E" w14:textId="3879270C" w:rsidR="00E82631" w:rsidRPr="00EB6B70" w:rsidRDefault="00E82631" w:rsidP="00C37EDE">
            <w:pPr>
              <w:pStyle w:val="TableText"/>
              <w:keepNext/>
              <w:keepLines/>
              <w:ind w:left="0"/>
              <w:jc w:val="center"/>
              <w:rPr>
                <w:rFonts w:ascii="Arial" w:eastAsia="Arial" w:hAnsi="Arial" w:cs="Times New Roman"/>
                <w:b/>
                <w:bCs/>
              </w:rPr>
            </w:pPr>
            <w:r w:rsidRPr="00EB6B70">
              <w:rPr>
                <w:b/>
                <w:bCs/>
              </w:rPr>
              <w:t>Threshold</w:t>
            </w:r>
          </w:p>
        </w:tc>
        <w:tc>
          <w:tcPr>
            <w:tcW w:w="1984" w:type="dxa"/>
            <w:shd w:val="clear" w:color="auto" w:fill="1C1C1C"/>
            <w:vAlign w:val="center"/>
          </w:tcPr>
          <w:p w14:paraId="638561B9" w14:textId="7345D187" w:rsidR="00E82631" w:rsidRPr="00EB6B70" w:rsidRDefault="002B1729" w:rsidP="00C37EDE">
            <w:pPr>
              <w:pStyle w:val="TableText"/>
              <w:keepNext/>
              <w:keepLines/>
              <w:ind w:left="0"/>
              <w:jc w:val="center"/>
              <w:rPr>
                <w:rFonts w:ascii="Arial" w:eastAsia="Arial" w:hAnsi="Arial" w:cs="Times New Roman"/>
                <w:b/>
                <w:bCs/>
              </w:rPr>
            </w:pPr>
            <w:r w:rsidRPr="00EB6B70">
              <w:rPr>
                <w:b/>
                <w:bCs/>
              </w:rPr>
              <w:t>Pension Reduction</w:t>
            </w:r>
          </w:p>
        </w:tc>
      </w:tr>
      <w:tr w:rsidR="00D86B7F" w:rsidRPr="005736A0" w14:paraId="6ECE0BE0" w14:textId="77777777" w:rsidTr="00C37EDE">
        <w:trPr>
          <w:cantSplit/>
        </w:trPr>
        <w:tc>
          <w:tcPr>
            <w:tcW w:w="2268" w:type="dxa"/>
            <w:shd w:val="clear" w:color="auto" w:fill="E2E3E2"/>
            <w:vAlign w:val="center"/>
          </w:tcPr>
          <w:p w14:paraId="7DCB41CC" w14:textId="3F8242E1" w:rsidR="00E82631" w:rsidRPr="00B12D6C" w:rsidRDefault="00E82631" w:rsidP="00C37EDE">
            <w:pPr>
              <w:pStyle w:val="TableText"/>
              <w:keepNext/>
              <w:keepLines/>
              <w:ind w:left="0"/>
              <w:jc w:val="center"/>
              <w:rPr>
                <w:i/>
                <w:iCs/>
              </w:rPr>
            </w:pPr>
            <w:r w:rsidRPr="00B12D6C">
              <w:rPr>
                <w:i/>
                <w:iCs/>
              </w:rPr>
              <w:t>$Per annum</w:t>
            </w:r>
          </w:p>
        </w:tc>
        <w:tc>
          <w:tcPr>
            <w:tcW w:w="2268" w:type="dxa"/>
            <w:shd w:val="clear" w:color="auto" w:fill="E2E3E2"/>
            <w:vAlign w:val="center"/>
          </w:tcPr>
          <w:p w14:paraId="79A838E6" w14:textId="034C75C7" w:rsidR="00E82631" w:rsidRPr="00B12D6C" w:rsidRDefault="00E82631" w:rsidP="00C37EDE">
            <w:pPr>
              <w:pStyle w:val="TableText"/>
              <w:keepNext/>
              <w:keepLines/>
              <w:ind w:left="0"/>
              <w:jc w:val="center"/>
              <w:rPr>
                <w:rFonts w:ascii="Arial" w:eastAsia="Arial" w:hAnsi="Arial" w:cs="Times New Roman"/>
                <w:i/>
                <w:iCs/>
              </w:rPr>
            </w:pPr>
            <w:r w:rsidRPr="00B12D6C">
              <w:rPr>
                <w:i/>
                <w:iCs/>
              </w:rPr>
              <w:t>$Per fortnight</w:t>
            </w:r>
          </w:p>
        </w:tc>
        <w:tc>
          <w:tcPr>
            <w:tcW w:w="1985" w:type="dxa"/>
            <w:shd w:val="clear" w:color="auto" w:fill="E2E3E2"/>
            <w:vAlign w:val="center"/>
          </w:tcPr>
          <w:p w14:paraId="459BD141" w14:textId="274F0413" w:rsidR="00E82631" w:rsidRPr="00B12D6C" w:rsidRDefault="00E82631" w:rsidP="00C37EDE">
            <w:pPr>
              <w:pStyle w:val="TableText"/>
              <w:keepNext/>
              <w:keepLines/>
              <w:ind w:left="0"/>
              <w:jc w:val="center"/>
              <w:rPr>
                <w:rFonts w:ascii="Arial" w:eastAsia="Arial" w:hAnsi="Arial" w:cs="Times New Roman"/>
                <w:i/>
                <w:iCs/>
              </w:rPr>
            </w:pPr>
            <w:r w:rsidRPr="00B12D6C">
              <w:rPr>
                <w:i/>
                <w:iCs/>
              </w:rPr>
              <w:t>$Per fortnight</w:t>
            </w:r>
          </w:p>
        </w:tc>
        <w:tc>
          <w:tcPr>
            <w:tcW w:w="1984" w:type="dxa"/>
            <w:shd w:val="clear" w:color="auto" w:fill="E2E3E2"/>
            <w:vAlign w:val="center"/>
          </w:tcPr>
          <w:p w14:paraId="05B794A4" w14:textId="1D5C09E6" w:rsidR="00E82631" w:rsidRPr="00B12D6C" w:rsidRDefault="00E82631" w:rsidP="00C37EDE">
            <w:pPr>
              <w:pStyle w:val="TableText"/>
              <w:keepNext/>
              <w:keepLines/>
              <w:ind w:left="0"/>
              <w:jc w:val="center"/>
              <w:rPr>
                <w:rFonts w:ascii="Arial" w:eastAsia="Arial" w:hAnsi="Arial" w:cs="Times New Roman"/>
                <w:i/>
                <w:iCs/>
              </w:rPr>
            </w:pPr>
            <w:r w:rsidRPr="00B12D6C">
              <w:rPr>
                <w:i/>
                <w:iCs/>
              </w:rPr>
              <w:t>$Per fortnight</w:t>
            </w:r>
          </w:p>
        </w:tc>
      </w:tr>
      <w:tr w:rsidR="005B5FF5" w:rsidRPr="005736A0" w14:paraId="61B61307" w14:textId="77777777" w:rsidTr="00C37EDE">
        <w:trPr>
          <w:cantSplit/>
        </w:trPr>
        <w:tc>
          <w:tcPr>
            <w:tcW w:w="2268" w:type="dxa"/>
            <w:shd w:val="clear" w:color="auto" w:fill="FFFFFF"/>
            <w:vAlign w:val="center"/>
          </w:tcPr>
          <w:p w14:paraId="71AA8855" w14:textId="630B213F" w:rsidR="008874B8" w:rsidRPr="00D910AB" w:rsidRDefault="008874B8" w:rsidP="00C37EDE">
            <w:pPr>
              <w:pStyle w:val="TableText"/>
              <w:keepNext/>
              <w:keepLines/>
              <w:ind w:left="0"/>
              <w:jc w:val="center"/>
              <w:rPr>
                <w:rFonts w:ascii="Arial" w:eastAsia="Arial" w:hAnsi="Arial" w:cs="Times New Roman"/>
                <w:highlight w:val="yellow"/>
              </w:rPr>
            </w:pPr>
            <w:r w:rsidRPr="00694256">
              <w:t>60,000.0</w:t>
            </w:r>
            <w:r w:rsidR="00D47029">
              <w:t>0</w:t>
            </w:r>
          </w:p>
        </w:tc>
        <w:tc>
          <w:tcPr>
            <w:tcW w:w="2268" w:type="dxa"/>
            <w:shd w:val="clear" w:color="auto" w:fill="FFFFFF"/>
            <w:vAlign w:val="center"/>
          </w:tcPr>
          <w:p w14:paraId="363D1DBD" w14:textId="0A8A8FD8" w:rsidR="008874B8" w:rsidRPr="00D910AB" w:rsidRDefault="008874B8" w:rsidP="00C37EDE">
            <w:pPr>
              <w:pStyle w:val="TableText"/>
              <w:keepNext/>
              <w:keepLines/>
              <w:ind w:left="0"/>
              <w:jc w:val="center"/>
              <w:rPr>
                <w:rFonts w:ascii="Arial" w:eastAsia="Arial" w:hAnsi="Arial" w:cs="Times New Roman"/>
                <w:highlight w:val="yellow"/>
              </w:rPr>
            </w:pPr>
            <w:r w:rsidRPr="009E3350">
              <w:t>2,300.32</w:t>
            </w:r>
          </w:p>
        </w:tc>
        <w:tc>
          <w:tcPr>
            <w:tcW w:w="1985" w:type="dxa"/>
            <w:shd w:val="clear" w:color="auto" w:fill="FFFFFF"/>
            <w:vAlign w:val="center"/>
          </w:tcPr>
          <w:p w14:paraId="61AAB50C" w14:textId="2CCF03C7"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FFFFFF"/>
            <w:vAlign w:val="center"/>
          </w:tcPr>
          <w:p w14:paraId="6CF081F2" w14:textId="5C0C9418" w:rsidR="008874B8" w:rsidRPr="00D910AB" w:rsidRDefault="008874B8" w:rsidP="00C37EDE">
            <w:pPr>
              <w:pStyle w:val="TableText"/>
              <w:keepNext/>
              <w:keepLines/>
              <w:ind w:left="0"/>
              <w:jc w:val="center"/>
              <w:rPr>
                <w:rFonts w:ascii="Arial" w:eastAsia="Arial" w:hAnsi="Arial" w:cs="Times New Roman"/>
                <w:highlight w:val="yellow"/>
              </w:rPr>
            </w:pPr>
            <w:r w:rsidRPr="00B66F06">
              <w:t>441.0</w:t>
            </w:r>
            <w:r w:rsidR="00D47029">
              <w:t>0</w:t>
            </w:r>
          </w:p>
        </w:tc>
      </w:tr>
      <w:tr w:rsidR="005B5FF5" w:rsidRPr="005736A0" w14:paraId="0F365ABD" w14:textId="77777777" w:rsidTr="00C37EDE">
        <w:trPr>
          <w:cantSplit/>
        </w:trPr>
        <w:tc>
          <w:tcPr>
            <w:tcW w:w="2268" w:type="dxa"/>
            <w:shd w:val="clear" w:color="auto" w:fill="auto"/>
            <w:vAlign w:val="center"/>
          </w:tcPr>
          <w:p w14:paraId="2104E5F6" w14:textId="5D70AF01" w:rsidR="008874B8" w:rsidRPr="00D910AB" w:rsidRDefault="008874B8" w:rsidP="00C37EDE">
            <w:pPr>
              <w:pStyle w:val="TableText"/>
              <w:keepNext/>
              <w:keepLines/>
              <w:ind w:left="0"/>
              <w:jc w:val="center"/>
              <w:rPr>
                <w:rFonts w:ascii="Arial" w:eastAsia="Arial" w:hAnsi="Arial" w:cs="Times New Roman"/>
                <w:highlight w:val="yellow"/>
              </w:rPr>
            </w:pPr>
            <w:r w:rsidRPr="00694256">
              <w:t>70,000.0</w:t>
            </w:r>
            <w:r w:rsidR="00D47029">
              <w:t>0</w:t>
            </w:r>
          </w:p>
        </w:tc>
        <w:tc>
          <w:tcPr>
            <w:tcW w:w="2268" w:type="dxa"/>
            <w:shd w:val="clear" w:color="auto" w:fill="auto"/>
            <w:vAlign w:val="center"/>
          </w:tcPr>
          <w:p w14:paraId="53F6CFDB" w14:textId="00BD11FC" w:rsidR="008874B8" w:rsidRPr="00D910AB" w:rsidRDefault="008874B8" w:rsidP="00C37EDE">
            <w:pPr>
              <w:pStyle w:val="TableText"/>
              <w:keepNext/>
              <w:keepLines/>
              <w:ind w:left="0"/>
              <w:jc w:val="center"/>
              <w:rPr>
                <w:rFonts w:ascii="Arial" w:eastAsia="Arial" w:hAnsi="Arial" w:cs="Times New Roman"/>
                <w:highlight w:val="yellow"/>
              </w:rPr>
            </w:pPr>
            <w:r w:rsidRPr="009E3350">
              <w:t>2,683.71</w:t>
            </w:r>
          </w:p>
        </w:tc>
        <w:tc>
          <w:tcPr>
            <w:tcW w:w="1985" w:type="dxa"/>
            <w:shd w:val="clear" w:color="auto" w:fill="auto"/>
            <w:vAlign w:val="center"/>
          </w:tcPr>
          <w:p w14:paraId="3E90D4F5" w14:textId="0D795C72"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auto"/>
            <w:vAlign w:val="center"/>
          </w:tcPr>
          <w:p w14:paraId="55469105" w14:textId="015C6B4F" w:rsidR="008874B8" w:rsidRPr="00D910AB" w:rsidRDefault="008874B8" w:rsidP="00C37EDE">
            <w:pPr>
              <w:pStyle w:val="TableText"/>
              <w:keepNext/>
              <w:keepLines/>
              <w:ind w:left="0"/>
              <w:jc w:val="center"/>
              <w:rPr>
                <w:rFonts w:ascii="Arial" w:eastAsia="Arial" w:hAnsi="Arial" w:cs="Times New Roman"/>
                <w:highlight w:val="yellow"/>
              </w:rPr>
            </w:pPr>
            <w:r w:rsidRPr="00B66F06">
              <w:t>632.5</w:t>
            </w:r>
            <w:r w:rsidR="00D47029">
              <w:t>0</w:t>
            </w:r>
          </w:p>
        </w:tc>
      </w:tr>
      <w:tr w:rsidR="005B5FF5" w:rsidRPr="005736A0" w14:paraId="47BCC976" w14:textId="77777777" w:rsidTr="00C37EDE">
        <w:trPr>
          <w:cantSplit/>
        </w:trPr>
        <w:tc>
          <w:tcPr>
            <w:tcW w:w="2268" w:type="dxa"/>
            <w:shd w:val="clear" w:color="auto" w:fill="auto"/>
            <w:vAlign w:val="center"/>
          </w:tcPr>
          <w:p w14:paraId="3343CA0B" w14:textId="3A8703D2" w:rsidR="008874B8" w:rsidRPr="00D910AB" w:rsidRDefault="008874B8" w:rsidP="00C37EDE">
            <w:pPr>
              <w:pStyle w:val="TableText"/>
              <w:keepNext/>
              <w:keepLines/>
              <w:ind w:left="0"/>
              <w:jc w:val="center"/>
              <w:rPr>
                <w:rFonts w:ascii="Arial" w:eastAsia="Arial" w:hAnsi="Arial" w:cs="Times New Roman"/>
                <w:highlight w:val="yellow"/>
              </w:rPr>
            </w:pPr>
            <w:r w:rsidRPr="00694256">
              <w:t>80,000.0</w:t>
            </w:r>
            <w:r w:rsidR="00D47029">
              <w:t>0</w:t>
            </w:r>
          </w:p>
        </w:tc>
        <w:tc>
          <w:tcPr>
            <w:tcW w:w="2268" w:type="dxa"/>
            <w:shd w:val="clear" w:color="auto" w:fill="auto"/>
            <w:vAlign w:val="center"/>
          </w:tcPr>
          <w:p w14:paraId="4AAAE97A" w14:textId="7067B315" w:rsidR="008874B8" w:rsidRPr="00D910AB" w:rsidRDefault="008874B8" w:rsidP="00C37EDE">
            <w:pPr>
              <w:pStyle w:val="TableText"/>
              <w:keepNext/>
              <w:keepLines/>
              <w:ind w:left="0"/>
              <w:jc w:val="center"/>
              <w:rPr>
                <w:rFonts w:ascii="Arial" w:eastAsia="Arial" w:hAnsi="Arial" w:cs="Times New Roman"/>
                <w:highlight w:val="yellow"/>
              </w:rPr>
            </w:pPr>
            <w:r w:rsidRPr="009E3350">
              <w:t>3,067.09</w:t>
            </w:r>
          </w:p>
        </w:tc>
        <w:tc>
          <w:tcPr>
            <w:tcW w:w="1985" w:type="dxa"/>
            <w:shd w:val="clear" w:color="auto" w:fill="auto"/>
            <w:vAlign w:val="center"/>
          </w:tcPr>
          <w:p w14:paraId="19CBD33A" w14:textId="30873047"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auto"/>
            <w:vAlign w:val="center"/>
          </w:tcPr>
          <w:p w14:paraId="3B730CBF" w14:textId="6C8FE8A8" w:rsidR="008874B8" w:rsidRPr="00D910AB" w:rsidRDefault="008874B8" w:rsidP="00C37EDE">
            <w:pPr>
              <w:pStyle w:val="TableText"/>
              <w:keepNext/>
              <w:keepLines/>
              <w:ind w:left="0"/>
              <w:jc w:val="center"/>
              <w:rPr>
                <w:rFonts w:ascii="Arial" w:eastAsia="Arial" w:hAnsi="Arial" w:cs="Times New Roman"/>
                <w:highlight w:val="yellow"/>
              </w:rPr>
            </w:pPr>
            <w:r w:rsidRPr="00B66F06">
              <w:t>824.0</w:t>
            </w:r>
            <w:r w:rsidR="00D47029">
              <w:t>0</w:t>
            </w:r>
          </w:p>
        </w:tc>
      </w:tr>
      <w:tr w:rsidR="005B5FF5" w:rsidRPr="005736A0" w14:paraId="06F42D02" w14:textId="77777777" w:rsidTr="00C37EDE">
        <w:trPr>
          <w:cantSplit/>
        </w:trPr>
        <w:tc>
          <w:tcPr>
            <w:tcW w:w="2268" w:type="dxa"/>
            <w:shd w:val="clear" w:color="auto" w:fill="auto"/>
            <w:vAlign w:val="center"/>
          </w:tcPr>
          <w:p w14:paraId="0EF3B17B" w14:textId="35D61152" w:rsidR="008874B8" w:rsidRPr="00BA5271" w:rsidRDefault="008874B8" w:rsidP="00C37EDE">
            <w:pPr>
              <w:pStyle w:val="TableText"/>
              <w:keepNext/>
              <w:keepLines/>
              <w:ind w:left="0"/>
              <w:jc w:val="center"/>
              <w:rPr>
                <w:rFonts w:ascii="Arial" w:eastAsia="Arial" w:hAnsi="Arial" w:cs="Times New Roman"/>
              </w:rPr>
            </w:pPr>
            <w:r w:rsidRPr="00BA5271">
              <w:t>90,000.0</w:t>
            </w:r>
            <w:r w:rsidR="00D47029">
              <w:t>0</w:t>
            </w:r>
          </w:p>
        </w:tc>
        <w:tc>
          <w:tcPr>
            <w:tcW w:w="2268" w:type="dxa"/>
            <w:shd w:val="clear" w:color="auto" w:fill="auto"/>
            <w:vAlign w:val="center"/>
          </w:tcPr>
          <w:p w14:paraId="35EC7A1A" w14:textId="554E11DB" w:rsidR="008874B8" w:rsidRPr="00BA5271" w:rsidRDefault="008874B8" w:rsidP="00C37EDE">
            <w:pPr>
              <w:pStyle w:val="TableText"/>
              <w:keepNext/>
              <w:keepLines/>
              <w:ind w:left="0"/>
              <w:jc w:val="center"/>
              <w:rPr>
                <w:rFonts w:ascii="Arial" w:eastAsia="Arial" w:hAnsi="Arial" w:cs="Times New Roman"/>
              </w:rPr>
            </w:pPr>
            <w:r w:rsidRPr="00BA5271">
              <w:t>3,450.48</w:t>
            </w:r>
          </w:p>
        </w:tc>
        <w:tc>
          <w:tcPr>
            <w:tcW w:w="1985" w:type="dxa"/>
            <w:shd w:val="clear" w:color="auto" w:fill="auto"/>
            <w:vAlign w:val="center"/>
          </w:tcPr>
          <w:p w14:paraId="4C14F6AF" w14:textId="285A2B51" w:rsidR="008874B8" w:rsidRPr="00BA5271" w:rsidRDefault="008874B8" w:rsidP="00C37EDE">
            <w:pPr>
              <w:pStyle w:val="TableText"/>
              <w:keepNext/>
              <w:keepLines/>
              <w:ind w:left="0"/>
              <w:jc w:val="center"/>
              <w:rPr>
                <w:rFonts w:ascii="Arial" w:eastAsia="Arial" w:hAnsi="Arial" w:cs="Times New Roman"/>
              </w:rPr>
            </w:pPr>
            <w:r w:rsidRPr="00BA5271">
              <w:t>1,418.</w:t>
            </w:r>
            <w:r w:rsidR="00D47029">
              <w:t>18</w:t>
            </w:r>
          </w:p>
        </w:tc>
        <w:tc>
          <w:tcPr>
            <w:tcW w:w="1984" w:type="dxa"/>
            <w:shd w:val="clear" w:color="auto" w:fill="auto"/>
            <w:vAlign w:val="center"/>
          </w:tcPr>
          <w:p w14:paraId="5B487D1A" w14:textId="2C07EE73" w:rsidR="008874B8" w:rsidRPr="00BA5271" w:rsidRDefault="008874B8" w:rsidP="00C37EDE">
            <w:pPr>
              <w:pStyle w:val="TableText"/>
              <w:keepNext/>
              <w:keepLines/>
              <w:ind w:left="0"/>
              <w:jc w:val="center"/>
              <w:rPr>
                <w:rFonts w:ascii="Arial" w:eastAsia="Arial" w:hAnsi="Arial" w:cs="Times New Roman"/>
              </w:rPr>
            </w:pPr>
            <w:r w:rsidRPr="00BA5271">
              <w:t>1,016.0</w:t>
            </w:r>
            <w:r w:rsidR="00D47029">
              <w:t>0</w:t>
            </w:r>
          </w:p>
        </w:tc>
      </w:tr>
      <w:tr w:rsidR="005B5FF5" w:rsidRPr="005736A0" w14:paraId="113BAA46" w14:textId="77777777" w:rsidTr="00C37EDE">
        <w:trPr>
          <w:cantSplit/>
        </w:trPr>
        <w:tc>
          <w:tcPr>
            <w:tcW w:w="2268" w:type="dxa"/>
            <w:shd w:val="clear" w:color="auto" w:fill="auto"/>
            <w:vAlign w:val="center"/>
          </w:tcPr>
          <w:p w14:paraId="56C353B1" w14:textId="667FB35A" w:rsidR="008874B8" w:rsidRPr="00BA5271" w:rsidRDefault="008874B8" w:rsidP="00C37EDE">
            <w:pPr>
              <w:pStyle w:val="TableText"/>
              <w:keepNext/>
              <w:keepLines/>
              <w:ind w:left="0"/>
              <w:jc w:val="center"/>
              <w:rPr>
                <w:rFonts w:ascii="Arial" w:eastAsia="Arial" w:hAnsi="Arial" w:cs="Times New Roman"/>
              </w:rPr>
            </w:pPr>
            <w:r w:rsidRPr="00BA5271">
              <w:t>100,000.0</w:t>
            </w:r>
            <w:r w:rsidR="00D47029">
              <w:t>0</w:t>
            </w:r>
          </w:p>
        </w:tc>
        <w:tc>
          <w:tcPr>
            <w:tcW w:w="2268" w:type="dxa"/>
            <w:shd w:val="clear" w:color="auto" w:fill="auto"/>
            <w:vAlign w:val="center"/>
          </w:tcPr>
          <w:p w14:paraId="1E6E911C" w14:textId="2F0FF339" w:rsidR="008874B8" w:rsidRPr="00BA5271" w:rsidRDefault="008874B8" w:rsidP="00C37EDE">
            <w:pPr>
              <w:pStyle w:val="TableText"/>
              <w:keepNext/>
              <w:keepLines/>
              <w:ind w:left="0"/>
              <w:jc w:val="center"/>
              <w:rPr>
                <w:rFonts w:ascii="Arial" w:eastAsia="Arial" w:hAnsi="Arial" w:cs="Times New Roman"/>
              </w:rPr>
            </w:pPr>
            <w:r w:rsidRPr="00BA5271">
              <w:t>3,833.87</w:t>
            </w:r>
          </w:p>
        </w:tc>
        <w:tc>
          <w:tcPr>
            <w:tcW w:w="1985" w:type="dxa"/>
            <w:shd w:val="clear" w:color="auto" w:fill="auto"/>
            <w:vAlign w:val="center"/>
          </w:tcPr>
          <w:p w14:paraId="12C1908D" w14:textId="7D4C797E" w:rsidR="008874B8" w:rsidRPr="00BA5271" w:rsidRDefault="008874B8" w:rsidP="00C37EDE">
            <w:pPr>
              <w:pStyle w:val="TableText"/>
              <w:keepNext/>
              <w:keepLines/>
              <w:ind w:left="0"/>
              <w:jc w:val="center"/>
              <w:rPr>
                <w:rFonts w:ascii="Arial" w:eastAsia="Arial" w:hAnsi="Arial" w:cs="Times New Roman"/>
              </w:rPr>
            </w:pPr>
            <w:r w:rsidRPr="00BA5271">
              <w:t>1,418.</w:t>
            </w:r>
            <w:r w:rsidR="00D47029">
              <w:t>18</w:t>
            </w:r>
          </w:p>
        </w:tc>
        <w:tc>
          <w:tcPr>
            <w:tcW w:w="1984" w:type="dxa"/>
            <w:shd w:val="clear" w:color="auto" w:fill="auto"/>
            <w:vAlign w:val="center"/>
          </w:tcPr>
          <w:p w14:paraId="26D33F99" w14:textId="2C4B5226" w:rsidR="008874B8" w:rsidRPr="00BA5271" w:rsidRDefault="008874B8" w:rsidP="00C37EDE">
            <w:pPr>
              <w:pStyle w:val="TableText"/>
              <w:keepNext/>
              <w:keepLines/>
              <w:ind w:left="0"/>
              <w:jc w:val="center"/>
              <w:rPr>
                <w:rFonts w:ascii="Arial" w:eastAsia="Arial" w:hAnsi="Arial" w:cs="Times New Roman"/>
              </w:rPr>
            </w:pPr>
            <w:r w:rsidRPr="00BA5271">
              <w:t>1,207.5</w:t>
            </w:r>
            <w:r w:rsidR="00D47029">
              <w:t>0</w:t>
            </w:r>
          </w:p>
        </w:tc>
      </w:tr>
      <w:tr w:rsidR="005B5FF5" w:rsidRPr="005736A0" w14:paraId="6D62D233" w14:textId="77777777" w:rsidTr="00C37EDE">
        <w:trPr>
          <w:cantSplit/>
        </w:trPr>
        <w:tc>
          <w:tcPr>
            <w:tcW w:w="2268" w:type="dxa"/>
            <w:shd w:val="clear" w:color="auto" w:fill="auto"/>
            <w:vAlign w:val="center"/>
          </w:tcPr>
          <w:p w14:paraId="535B852D" w14:textId="3F0C90D3" w:rsidR="008874B8" w:rsidRPr="00D910AB" w:rsidRDefault="008874B8" w:rsidP="00C37EDE">
            <w:pPr>
              <w:pStyle w:val="TableText"/>
              <w:keepNext/>
              <w:keepLines/>
              <w:ind w:left="0"/>
              <w:jc w:val="center"/>
              <w:rPr>
                <w:rFonts w:ascii="Arial" w:eastAsia="Arial" w:hAnsi="Arial" w:cs="Times New Roman"/>
                <w:highlight w:val="yellow"/>
              </w:rPr>
            </w:pPr>
            <w:r w:rsidRPr="00694256">
              <w:t>110,000.0</w:t>
            </w:r>
            <w:r w:rsidR="00D47029">
              <w:t>0</w:t>
            </w:r>
          </w:p>
        </w:tc>
        <w:tc>
          <w:tcPr>
            <w:tcW w:w="2268" w:type="dxa"/>
            <w:shd w:val="clear" w:color="auto" w:fill="auto"/>
            <w:vAlign w:val="center"/>
          </w:tcPr>
          <w:p w14:paraId="7910EC7B" w14:textId="11F2A46E" w:rsidR="008874B8" w:rsidRPr="00D910AB" w:rsidRDefault="008874B8" w:rsidP="00C37EDE">
            <w:pPr>
              <w:pStyle w:val="TableText"/>
              <w:keepNext/>
              <w:keepLines/>
              <w:ind w:left="0"/>
              <w:jc w:val="center"/>
              <w:rPr>
                <w:rFonts w:ascii="Arial" w:eastAsia="Arial" w:hAnsi="Arial" w:cs="Times New Roman"/>
                <w:highlight w:val="yellow"/>
              </w:rPr>
            </w:pPr>
            <w:r w:rsidRPr="009E3350">
              <w:t>4,217.25</w:t>
            </w:r>
          </w:p>
        </w:tc>
        <w:tc>
          <w:tcPr>
            <w:tcW w:w="1985" w:type="dxa"/>
            <w:shd w:val="clear" w:color="auto" w:fill="auto"/>
            <w:vAlign w:val="center"/>
          </w:tcPr>
          <w:p w14:paraId="194D226C" w14:textId="4FDA7791"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auto"/>
            <w:vAlign w:val="center"/>
          </w:tcPr>
          <w:p w14:paraId="3F2E46E7" w14:textId="4BA6170C" w:rsidR="008874B8" w:rsidRPr="00D910AB" w:rsidRDefault="008874B8" w:rsidP="00C37EDE">
            <w:pPr>
              <w:pStyle w:val="TableText"/>
              <w:keepNext/>
              <w:keepLines/>
              <w:ind w:left="0"/>
              <w:jc w:val="center"/>
              <w:rPr>
                <w:rFonts w:ascii="Arial" w:eastAsia="Arial" w:hAnsi="Arial" w:cs="Times New Roman"/>
                <w:highlight w:val="yellow"/>
              </w:rPr>
            </w:pPr>
            <w:r w:rsidRPr="00B66F06">
              <w:t>1,399.5</w:t>
            </w:r>
            <w:r w:rsidR="00D47029">
              <w:t>0</w:t>
            </w:r>
          </w:p>
        </w:tc>
      </w:tr>
      <w:tr w:rsidR="005B5FF5" w:rsidRPr="005736A0" w14:paraId="75BB0C64" w14:textId="77777777" w:rsidTr="00C37EDE">
        <w:trPr>
          <w:cantSplit/>
        </w:trPr>
        <w:tc>
          <w:tcPr>
            <w:tcW w:w="2268" w:type="dxa"/>
            <w:shd w:val="clear" w:color="auto" w:fill="auto"/>
            <w:vAlign w:val="center"/>
          </w:tcPr>
          <w:p w14:paraId="64FD5783" w14:textId="4B5C3CF4" w:rsidR="008874B8" w:rsidRPr="00D910AB" w:rsidRDefault="008874B8" w:rsidP="00C37EDE">
            <w:pPr>
              <w:pStyle w:val="TableText"/>
              <w:keepNext/>
              <w:keepLines/>
              <w:ind w:left="0"/>
              <w:jc w:val="center"/>
              <w:rPr>
                <w:rFonts w:ascii="Arial" w:eastAsia="Arial" w:hAnsi="Arial" w:cs="Times New Roman"/>
                <w:highlight w:val="yellow"/>
              </w:rPr>
            </w:pPr>
            <w:r w:rsidRPr="00694256">
              <w:t>120,000.0</w:t>
            </w:r>
            <w:r w:rsidR="00D47029">
              <w:t>0</w:t>
            </w:r>
          </w:p>
        </w:tc>
        <w:tc>
          <w:tcPr>
            <w:tcW w:w="2268" w:type="dxa"/>
            <w:shd w:val="clear" w:color="auto" w:fill="auto"/>
            <w:vAlign w:val="center"/>
          </w:tcPr>
          <w:p w14:paraId="6613227E" w14:textId="249AD7D2" w:rsidR="008874B8" w:rsidRPr="00D910AB" w:rsidRDefault="008874B8" w:rsidP="00C37EDE">
            <w:pPr>
              <w:pStyle w:val="TableText"/>
              <w:keepNext/>
              <w:keepLines/>
              <w:ind w:left="0"/>
              <w:jc w:val="center"/>
              <w:rPr>
                <w:rFonts w:ascii="Arial" w:eastAsia="Arial" w:hAnsi="Arial" w:cs="Times New Roman"/>
                <w:highlight w:val="yellow"/>
              </w:rPr>
            </w:pPr>
            <w:r w:rsidRPr="009E3350">
              <w:t>4,600.64</w:t>
            </w:r>
          </w:p>
        </w:tc>
        <w:tc>
          <w:tcPr>
            <w:tcW w:w="1985" w:type="dxa"/>
            <w:shd w:val="clear" w:color="auto" w:fill="auto"/>
            <w:vAlign w:val="center"/>
          </w:tcPr>
          <w:p w14:paraId="071F16D1" w14:textId="5C615FC4"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auto"/>
            <w:vAlign w:val="center"/>
          </w:tcPr>
          <w:p w14:paraId="4EBAF7A3" w14:textId="5C76FC78" w:rsidR="008874B8" w:rsidRPr="00D910AB" w:rsidRDefault="008874B8" w:rsidP="00C37EDE">
            <w:pPr>
              <w:pStyle w:val="TableText"/>
              <w:keepNext/>
              <w:keepLines/>
              <w:ind w:left="0"/>
              <w:jc w:val="center"/>
              <w:rPr>
                <w:rFonts w:ascii="Arial" w:eastAsia="Arial" w:hAnsi="Arial" w:cs="Times New Roman"/>
                <w:highlight w:val="yellow"/>
              </w:rPr>
            </w:pPr>
            <w:r w:rsidRPr="00B66F06">
              <w:t>1,591.0</w:t>
            </w:r>
            <w:r w:rsidR="00D47029">
              <w:t>0</w:t>
            </w:r>
          </w:p>
        </w:tc>
      </w:tr>
      <w:tr w:rsidR="005B5FF5" w:rsidRPr="005736A0" w14:paraId="473CDF31" w14:textId="77777777" w:rsidTr="00C37EDE">
        <w:trPr>
          <w:cantSplit/>
        </w:trPr>
        <w:tc>
          <w:tcPr>
            <w:tcW w:w="2268" w:type="dxa"/>
            <w:shd w:val="clear" w:color="auto" w:fill="auto"/>
            <w:vAlign w:val="center"/>
          </w:tcPr>
          <w:p w14:paraId="2BA3350E" w14:textId="03407922" w:rsidR="008874B8" w:rsidRPr="00D910AB" w:rsidRDefault="008874B8" w:rsidP="00C37EDE">
            <w:pPr>
              <w:pStyle w:val="TableText"/>
              <w:keepNext/>
              <w:keepLines/>
              <w:ind w:left="0"/>
              <w:jc w:val="center"/>
              <w:rPr>
                <w:rFonts w:ascii="Arial" w:eastAsia="Arial" w:hAnsi="Arial" w:cs="Times New Roman"/>
                <w:highlight w:val="yellow"/>
              </w:rPr>
            </w:pPr>
            <w:r w:rsidRPr="00694256">
              <w:t>130,000.0</w:t>
            </w:r>
            <w:r w:rsidR="00D47029">
              <w:t>0</w:t>
            </w:r>
          </w:p>
        </w:tc>
        <w:tc>
          <w:tcPr>
            <w:tcW w:w="2268" w:type="dxa"/>
            <w:shd w:val="clear" w:color="auto" w:fill="auto"/>
            <w:vAlign w:val="center"/>
          </w:tcPr>
          <w:p w14:paraId="2F3730EE" w14:textId="63564E2E" w:rsidR="008874B8" w:rsidRPr="00D910AB" w:rsidRDefault="008874B8" w:rsidP="00C37EDE">
            <w:pPr>
              <w:pStyle w:val="TableText"/>
              <w:keepNext/>
              <w:keepLines/>
              <w:ind w:left="0"/>
              <w:jc w:val="center"/>
              <w:rPr>
                <w:rFonts w:ascii="Arial" w:eastAsia="Arial" w:hAnsi="Arial" w:cs="Times New Roman"/>
                <w:highlight w:val="yellow"/>
              </w:rPr>
            </w:pPr>
            <w:r w:rsidRPr="009E3350">
              <w:t>4,984.03</w:t>
            </w:r>
          </w:p>
        </w:tc>
        <w:tc>
          <w:tcPr>
            <w:tcW w:w="1985" w:type="dxa"/>
            <w:shd w:val="clear" w:color="auto" w:fill="auto"/>
            <w:vAlign w:val="center"/>
          </w:tcPr>
          <w:p w14:paraId="735CE1F1" w14:textId="09CB0B2C" w:rsidR="008874B8" w:rsidRPr="00D910AB" w:rsidRDefault="008874B8" w:rsidP="00C37EDE">
            <w:pPr>
              <w:pStyle w:val="TableText"/>
              <w:keepNext/>
              <w:keepLines/>
              <w:ind w:left="0"/>
              <w:jc w:val="center"/>
              <w:rPr>
                <w:rFonts w:ascii="Arial" w:eastAsia="Arial" w:hAnsi="Arial" w:cs="Times New Roman"/>
                <w:highlight w:val="yellow"/>
              </w:rPr>
            </w:pPr>
            <w:r w:rsidRPr="00124930">
              <w:t>1,418.</w:t>
            </w:r>
            <w:r w:rsidR="00D47029">
              <w:t>18</w:t>
            </w:r>
          </w:p>
        </w:tc>
        <w:tc>
          <w:tcPr>
            <w:tcW w:w="1984" w:type="dxa"/>
            <w:shd w:val="clear" w:color="auto" w:fill="auto"/>
            <w:vAlign w:val="center"/>
          </w:tcPr>
          <w:p w14:paraId="4D54BF54" w14:textId="7F462AA7" w:rsidR="008874B8" w:rsidRPr="00D910AB" w:rsidRDefault="008874B8" w:rsidP="00C37EDE">
            <w:pPr>
              <w:pStyle w:val="TableText"/>
              <w:keepNext/>
              <w:keepLines/>
              <w:ind w:left="0"/>
              <w:jc w:val="center"/>
              <w:rPr>
                <w:rFonts w:ascii="Arial" w:eastAsia="Arial" w:hAnsi="Arial" w:cs="Times New Roman"/>
                <w:highlight w:val="yellow"/>
              </w:rPr>
            </w:pPr>
            <w:r w:rsidRPr="00B66F06">
              <w:t>1,726.0</w:t>
            </w:r>
            <w:r w:rsidR="001F5A80">
              <w:t>3</w:t>
            </w:r>
          </w:p>
        </w:tc>
      </w:tr>
    </w:tbl>
    <w:p w14:paraId="67DE5972" w14:textId="1C96BAD7" w:rsidR="00655DB0" w:rsidRDefault="00655DB0" w:rsidP="005B5FF5">
      <w:pPr>
        <w:pStyle w:val="NumberedList1"/>
      </w:pPr>
      <w:r>
        <w:t xml:space="preserve">The reduction to a PCSS pension due to an office of profit salary </w:t>
      </w:r>
      <w:r w:rsidR="00AD5D40">
        <w:t>is</w:t>
      </w:r>
      <w:r>
        <w:t xml:space="preserve"> calculated each fortnightly pay </w:t>
      </w:r>
      <w:r w:rsidR="00664AE7">
        <w:t>period and</w:t>
      </w:r>
      <w:r>
        <w:t xml:space="preserve"> backdated to the commencement of the office of profit position</w:t>
      </w:r>
      <w:r w:rsidR="00AD5D40">
        <w:t xml:space="preserve"> (as applicable)</w:t>
      </w:r>
      <w:r>
        <w:t>.</w:t>
      </w:r>
    </w:p>
    <w:p w14:paraId="581A55A3" w14:textId="14C33B2B" w:rsidR="00655DB0" w:rsidRDefault="00655DB0" w:rsidP="00A15515">
      <w:pPr>
        <w:pStyle w:val="NumberedList1"/>
      </w:pPr>
      <w:r w:rsidRPr="00222960">
        <w:t>Any tax</w:t>
      </w:r>
      <w:r w:rsidR="00375D79">
        <w:noBreakHyphen/>
      </w:r>
      <w:r w:rsidRPr="00222960">
        <w:t>free salaries will be grossed up to a pre</w:t>
      </w:r>
      <w:r w:rsidR="00375D79">
        <w:noBreakHyphen/>
      </w:r>
      <w:r w:rsidRPr="00222960">
        <w:t xml:space="preserve">tax equivalent before application of the </w:t>
      </w:r>
      <w:r>
        <w:t>“</w:t>
      </w:r>
      <w:r w:rsidRPr="00222960">
        <w:t>Office of Profit</w:t>
      </w:r>
      <w:r>
        <w:t>”</w:t>
      </w:r>
      <w:r w:rsidRPr="00222960">
        <w:t xml:space="preserve"> provisions.</w:t>
      </w:r>
      <w:r>
        <w:t xml:space="preserve"> </w:t>
      </w:r>
      <w:r w:rsidRPr="00222960">
        <w:t>This provision would apply to a person holding the office of Governor</w:t>
      </w:r>
      <w:r w:rsidR="00375D79">
        <w:noBreakHyphen/>
      </w:r>
      <w:r w:rsidRPr="00222960">
        <w:t>General or involved in the administration of Norfolk Island.</w:t>
      </w:r>
    </w:p>
    <w:p w14:paraId="05542549" w14:textId="77777777" w:rsidR="00655DB0" w:rsidRPr="00222960" w:rsidRDefault="00655DB0" w:rsidP="00A15515">
      <w:pPr>
        <w:pStyle w:val="NumberedList1"/>
      </w:pPr>
      <w:r w:rsidRPr="00222960">
        <w:t>There will be no reduction to the pension for any</w:t>
      </w:r>
      <w:r w:rsidRPr="00B85640">
        <w:rPr>
          <w:i/>
          <w:iCs/>
        </w:rPr>
        <w:t xml:space="preserve"> </w:t>
      </w:r>
      <w:r w:rsidRPr="00B85640">
        <w:rPr>
          <w:iCs/>
        </w:rPr>
        <w:t>pension</w:t>
      </w:r>
      <w:r w:rsidRPr="00222960">
        <w:t xml:space="preserve"> payments derived from the holding of an office of profit.</w:t>
      </w:r>
    </w:p>
    <w:p w14:paraId="5EBF07E9" w14:textId="032B8226" w:rsidR="00655DB0" w:rsidRPr="006A637B" w:rsidRDefault="00AB325D" w:rsidP="00A84385">
      <w:pPr>
        <w:pStyle w:val="Boxed1Text"/>
        <w:rPr>
          <w:highlight w:val="yellow"/>
        </w:rPr>
      </w:pPr>
      <w:r w:rsidRPr="006A637B">
        <w:t xml:space="preserve">In accordance with this provision, </w:t>
      </w:r>
      <w:r w:rsidR="00655DB0" w:rsidRPr="006A637B">
        <w:t xml:space="preserve">a beneficiary </w:t>
      </w:r>
      <w:r w:rsidR="00F20BDA" w:rsidRPr="006A637B">
        <w:t xml:space="preserve">must </w:t>
      </w:r>
      <w:r w:rsidR="00655DB0" w:rsidRPr="006A637B">
        <w:t xml:space="preserve">notify Finance in writing of </w:t>
      </w:r>
      <w:r w:rsidR="00F20BDA" w:rsidRPr="006A637B">
        <w:t xml:space="preserve">their </w:t>
      </w:r>
      <w:r w:rsidR="00655DB0" w:rsidRPr="006A637B">
        <w:t xml:space="preserve">appointment </w:t>
      </w:r>
      <w:r w:rsidR="00F20BDA" w:rsidRPr="006A637B">
        <w:t xml:space="preserve">to an office for profit </w:t>
      </w:r>
      <w:r w:rsidR="00655DB0" w:rsidRPr="006A637B">
        <w:t xml:space="preserve">within </w:t>
      </w:r>
      <w:r w:rsidR="00CE2F47" w:rsidRPr="006A637B">
        <w:t>14 </w:t>
      </w:r>
      <w:r w:rsidR="00655DB0" w:rsidRPr="006A637B">
        <w:t>days</w:t>
      </w:r>
      <w:r w:rsidR="000A66A7" w:rsidRPr="006A637B">
        <w:t xml:space="preserve">, regardless </w:t>
      </w:r>
      <w:r w:rsidR="00655DB0" w:rsidRPr="006A637B">
        <w:t xml:space="preserve">of the salary </w:t>
      </w:r>
      <w:r w:rsidR="000A66A7" w:rsidRPr="006A637B">
        <w:t>level.</w:t>
      </w:r>
      <w:r w:rsidR="00655DB0" w:rsidRPr="006A637B">
        <w:t xml:space="preserve"> </w:t>
      </w:r>
      <w:r w:rsidR="006F744D" w:rsidRPr="006A637B">
        <w:t xml:space="preserve">Failure to do so may result </w:t>
      </w:r>
      <w:r w:rsidR="000242CD" w:rsidRPr="006A637B">
        <w:t xml:space="preserve">in a </w:t>
      </w:r>
      <w:r w:rsidR="00655DB0" w:rsidRPr="006A637B">
        <w:t>penalty is prescribed in the Act</w:t>
      </w:r>
      <w:r w:rsidR="008C7EF0" w:rsidRPr="006A637B">
        <w:t>.</w:t>
      </w:r>
    </w:p>
    <w:p w14:paraId="619F5C5F" w14:textId="336A0D8C" w:rsidR="00655DB0" w:rsidRPr="00A62CAC" w:rsidRDefault="00B902A6" w:rsidP="00D24D5B">
      <w:pPr>
        <w:pStyle w:val="Heading1"/>
      </w:pPr>
      <w:bookmarkStart w:id="138" w:name="_Toc112847626"/>
      <w:bookmarkStart w:id="139" w:name="_Toc149307241"/>
      <w:bookmarkStart w:id="140" w:name="_Toc185937502"/>
      <w:r>
        <w:lastRenderedPageBreak/>
        <w:t xml:space="preserve">Part IV — General </w:t>
      </w:r>
      <w:r w:rsidR="00CD26A0">
        <w:t>Provisions</w:t>
      </w:r>
      <w:bookmarkEnd w:id="138"/>
      <w:bookmarkEnd w:id="139"/>
      <w:bookmarkEnd w:id="140"/>
    </w:p>
    <w:p w14:paraId="39A7837A" w14:textId="5B47CD59" w:rsidR="00655DB0" w:rsidRPr="00A62CAC" w:rsidRDefault="00B902A6" w:rsidP="00D47029">
      <w:pPr>
        <w:pStyle w:val="Heading2"/>
      </w:pPr>
      <w:bookmarkStart w:id="141" w:name="_Toc112847627"/>
      <w:bookmarkStart w:id="142" w:name="_Toc149307242"/>
      <w:bookmarkStart w:id="143" w:name="_Toc185937503"/>
      <w:r>
        <w:t xml:space="preserve">Payment of </w:t>
      </w:r>
      <w:r w:rsidR="00C7794E">
        <w:t>benefits</w:t>
      </w:r>
      <w:bookmarkEnd w:id="141"/>
      <w:bookmarkEnd w:id="142"/>
      <w:bookmarkEnd w:id="143"/>
    </w:p>
    <w:p w14:paraId="6A6BA66D" w14:textId="4C301E93" w:rsidR="00655DB0" w:rsidRPr="00D47029" w:rsidRDefault="00655DB0" w:rsidP="00A15515">
      <w:pPr>
        <w:pStyle w:val="NumberedList1"/>
      </w:pPr>
      <w:r w:rsidRPr="00D47029">
        <w:t xml:space="preserve">Benefits are paid from the </w:t>
      </w:r>
      <w:r w:rsidR="00A265C7" w:rsidRPr="00D47029">
        <w:t xml:space="preserve">Consolidated Revenue Fund </w:t>
      </w:r>
      <w:r w:rsidR="00085533" w:rsidRPr="00D47029">
        <w:t xml:space="preserve">and </w:t>
      </w:r>
      <w:r w:rsidRPr="00D47029">
        <w:t xml:space="preserve">are </w:t>
      </w:r>
      <w:r w:rsidR="00A265C7" w:rsidRPr="00D47029">
        <w:t xml:space="preserve">administered </w:t>
      </w:r>
      <w:r w:rsidRPr="00D47029">
        <w:t>by the Department of Finance</w:t>
      </w:r>
      <w:r w:rsidR="00100186" w:rsidRPr="00D47029">
        <w:t>.</w:t>
      </w:r>
    </w:p>
    <w:p w14:paraId="3EDC8BE6" w14:textId="6A9A1175" w:rsidR="00655DB0" w:rsidRPr="00A62CAC" w:rsidRDefault="00D40886" w:rsidP="00A15515">
      <w:pPr>
        <w:pStyle w:val="NumberedList1"/>
      </w:pPr>
      <w:r w:rsidRPr="00A265C7">
        <w:t>Benefits</w:t>
      </w:r>
      <w:r w:rsidR="00655DB0" w:rsidRPr="00A62CAC">
        <w:t xml:space="preserve"> are paid fortnightly and are subject to income tax.</w:t>
      </w:r>
      <w:r w:rsidR="002950EC" w:rsidRPr="00A265C7">
        <w:t xml:space="preserve"> Should an </w:t>
      </w:r>
      <w:r w:rsidR="00655DB0" w:rsidRPr="00A62CAC">
        <w:t>overpayment occur</w:t>
      </w:r>
      <w:r w:rsidR="007901AC" w:rsidRPr="00A62CAC">
        <w:t>s</w:t>
      </w:r>
      <w:r w:rsidR="00655DB0" w:rsidRPr="00A62CAC">
        <w:t xml:space="preserve">, it may be deducted from future payments. A Payment Summary is provided after the end of </w:t>
      </w:r>
      <w:r w:rsidR="003E1E9B" w:rsidRPr="00A62CAC">
        <w:t xml:space="preserve">the </w:t>
      </w:r>
      <w:r w:rsidR="00655DB0" w:rsidRPr="00A62CAC">
        <w:t>financial year.</w:t>
      </w:r>
    </w:p>
    <w:p w14:paraId="2DEFCA67" w14:textId="1AC35728" w:rsidR="00655DB0" w:rsidRPr="00A62CAC" w:rsidRDefault="00287378" w:rsidP="00A15515">
      <w:pPr>
        <w:pStyle w:val="NumberedList1"/>
      </w:pPr>
      <w:r>
        <w:t>Benefit p</w:t>
      </w:r>
      <w:r w:rsidR="00655DB0" w:rsidRPr="00A62CAC">
        <w:t xml:space="preserve">ayments </w:t>
      </w:r>
      <w:r>
        <w:t xml:space="preserve">are </w:t>
      </w:r>
      <w:r w:rsidR="00655DB0" w:rsidRPr="00A62CAC">
        <w:t>credited to an Australian bank, building society or credit union account in the name of the recipient.</w:t>
      </w:r>
    </w:p>
    <w:p w14:paraId="63348EB5" w14:textId="031A7365" w:rsidR="00655DB0" w:rsidRPr="00A62CAC" w:rsidRDefault="00BE2867" w:rsidP="00A15515">
      <w:pPr>
        <w:pStyle w:val="NumberedList1"/>
      </w:pPr>
      <w:r w:rsidRPr="00A62CAC">
        <w:t xml:space="preserve">The </w:t>
      </w:r>
      <w:r w:rsidR="00655DB0" w:rsidRPr="00A62CAC">
        <w:t xml:space="preserve">Act </w:t>
      </w:r>
      <w:r w:rsidR="00241F93" w:rsidRPr="00A62CAC">
        <w:t xml:space="preserve">stipulates that benefits </w:t>
      </w:r>
      <w:r w:rsidR="00655DB0" w:rsidRPr="00A62CAC">
        <w:t>are non-transferable</w:t>
      </w:r>
      <w:r w:rsidR="00241F93" w:rsidRPr="00A62CAC">
        <w:t xml:space="preserve"> to another party</w:t>
      </w:r>
      <w:r w:rsidR="00655DB0" w:rsidRPr="00A62CAC">
        <w:t xml:space="preserve">. </w:t>
      </w:r>
      <w:r w:rsidR="00197E82" w:rsidRPr="00A62CAC">
        <w:t>However, i</w:t>
      </w:r>
      <w:r w:rsidR="00655DB0" w:rsidRPr="00A62CAC">
        <w:t xml:space="preserve">n </w:t>
      </w:r>
      <w:r w:rsidR="00197E82" w:rsidRPr="00A62CAC">
        <w:t xml:space="preserve">exceptional </w:t>
      </w:r>
      <w:r w:rsidR="00655DB0" w:rsidRPr="00A62CAC">
        <w:t>circumstances</w:t>
      </w:r>
      <w:r w:rsidR="00197E82" w:rsidRPr="00A62CAC">
        <w:t xml:space="preserve">, such as when </w:t>
      </w:r>
      <w:r w:rsidR="00655DB0" w:rsidRPr="00A62CAC">
        <w:t xml:space="preserve">the entitled </w:t>
      </w:r>
      <w:r w:rsidR="00197E82" w:rsidRPr="00A62CAC">
        <w:t xml:space="preserve">person </w:t>
      </w:r>
      <w:r w:rsidR="00655DB0" w:rsidRPr="00A62CAC">
        <w:t xml:space="preserve">is incapacitated, the Trust </w:t>
      </w:r>
      <w:r w:rsidR="0046022C" w:rsidRPr="00A62CAC">
        <w:t xml:space="preserve">has the discretion </w:t>
      </w:r>
      <w:r w:rsidR="002A2A5F">
        <w:t xml:space="preserve">and delegation </w:t>
      </w:r>
      <w:r w:rsidR="0046022C" w:rsidRPr="00A62CAC">
        <w:t xml:space="preserve">to </w:t>
      </w:r>
      <w:r w:rsidR="004B3D9C" w:rsidRPr="00A62CAC">
        <w:t xml:space="preserve">transfer </w:t>
      </w:r>
      <w:r w:rsidR="00655DB0" w:rsidRPr="00A62CAC">
        <w:t>the benefit to another person for the entitled</w:t>
      </w:r>
      <w:r w:rsidR="00D56C14" w:rsidRPr="00A62CAC">
        <w:t xml:space="preserve"> person</w:t>
      </w:r>
      <w:r w:rsidR="00655DB0" w:rsidRPr="00A62CAC">
        <w:t>.</w:t>
      </w:r>
    </w:p>
    <w:p w14:paraId="7253A5EB" w14:textId="50EE9572" w:rsidR="00655DB0" w:rsidRPr="00A62CAC" w:rsidRDefault="00B902A6" w:rsidP="00D47029">
      <w:pPr>
        <w:pStyle w:val="Heading2"/>
      </w:pPr>
      <w:bookmarkStart w:id="144" w:name="_Toc112847628"/>
      <w:bookmarkStart w:id="145" w:name="_Toc149307243"/>
      <w:bookmarkStart w:id="146" w:name="_Toc185937504"/>
      <w:r>
        <w:t xml:space="preserve">Elections or </w:t>
      </w:r>
      <w:r w:rsidR="00C7794E">
        <w:t>options</w:t>
      </w:r>
      <w:bookmarkEnd w:id="144"/>
      <w:bookmarkEnd w:id="145"/>
      <w:bookmarkEnd w:id="146"/>
    </w:p>
    <w:p w14:paraId="0E11255B" w14:textId="48E01C57" w:rsidR="00655DB0" w:rsidRPr="00A62CAC" w:rsidRDefault="00944CC3" w:rsidP="00A15515">
      <w:pPr>
        <w:pStyle w:val="NumberedList1"/>
      </w:pPr>
      <w:r w:rsidRPr="00A62CAC">
        <w:t>Revocation of a</w:t>
      </w:r>
      <w:r w:rsidR="00655DB0" w:rsidRPr="00A62CAC">
        <w:t>n election, or the exercise of an option</w:t>
      </w:r>
      <w:r w:rsidR="00B06217" w:rsidRPr="00A62CAC">
        <w:t xml:space="preserve"> is permissible </w:t>
      </w:r>
      <w:r w:rsidR="00655DB0" w:rsidRPr="00A62CAC">
        <w:t>before a</w:t>
      </w:r>
      <w:r w:rsidR="00B06217" w:rsidRPr="00A62CAC">
        <w:t>ny</w:t>
      </w:r>
      <w:r w:rsidR="00655DB0" w:rsidRPr="00A62CAC">
        <w:t xml:space="preserve"> payment </w:t>
      </w:r>
      <w:r w:rsidR="00B06217" w:rsidRPr="00A62CAC">
        <w:t>i</w:t>
      </w:r>
      <w:r w:rsidR="00655DB0" w:rsidRPr="00A62CAC">
        <w:t xml:space="preserve">s made in accordance with the election or option. However, once a </w:t>
      </w:r>
      <w:r w:rsidR="00E24658">
        <w:t xml:space="preserve">benefit </w:t>
      </w:r>
      <w:r w:rsidR="00655DB0" w:rsidRPr="00A62CAC">
        <w:t>payment has been made</w:t>
      </w:r>
      <w:r w:rsidR="00225926" w:rsidRPr="00A62CAC">
        <w:t xml:space="preserve">, </w:t>
      </w:r>
      <w:r w:rsidR="00655DB0" w:rsidRPr="00A62CAC">
        <w:t>the election is irrevocable</w:t>
      </w:r>
      <w:r w:rsidR="001F65A0" w:rsidRPr="00A62CAC">
        <w:t xml:space="preserve"> and therefore cannot be revoked</w:t>
      </w:r>
      <w:r w:rsidR="00655DB0" w:rsidRPr="00A62CAC">
        <w:t>.</w:t>
      </w:r>
    </w:p>
    <w:p w14:paraId="42D2C6A3" w14:textId="0A008714" w:rsidR="00655DB0" w:rsidRPr="00A62CAC" w:rsidRDefault="00B902A6" w:rsidP="00D47029">
      <w:pPr>
        <w:pStyle w:val="Heading2"/>
      </w:pPr>
      <w:bookmarkStart w:id="147" w:name="_Toc112847629"/>
      <w:bookmarkStart w:id="148" w:name="_Toc149307244"/>
      <w:bookmarkStart w:id="149" w:name="_Toc185937505"/>
      <w:r>
        <w:t xml:space="preserve">Review of </w:t>
      </w:r>
      <w:r w:rsidR="00C7794E">
        <w:t>decisions</w:t>
      </w:r>
      <w:bookmarkEnd w:id="147"/>
      <w:bookmarkEnd w:id="148"/>
      <w:bookmarkEnd w:id="149"/>
    </w:p>
    <w:p w14:paraId="10578ED6" w14:textId="0052325F" w:rsidR="001B00C6" w:rsidRPr="006D291A" w:rsidRDefault="009F6084" w:rsidP="00A15515">
      <w:pPr>
        <w:pStyle w:val="NumberedList1"/>
      </w:pPr>
      <w:r w:rsidRPr="00A62CAC">
        <w:t xml:space="preserve">If </w:t>
      </w:r>
      <w:r w:rsidR="00D439A4">
        <w:t>a member</w:t>
      </w:r>
      <w:r w:rsidRPr="00A62CAC">
        <w:t xml:space="preserve"> </w:t>
      </w:r>
      <w:r w:rsidR="00655DB0" w:rsidRPr="00A62CAC">
        <w:t xml:space="preserve">is affected by a decision </w:t>
      </w:r>
      <w:r w:rsidR="00634986" w:rsidRPr="00A62CAC">
        <w:t xml:space="preserve">made by </w:t>
      </w:r>
      <w:r w:rsidR="00655DB0" w:rsidRPr="00A62CAC">
        <w:t xml:space="preserve">the Trust and is dissatisfied with the </w:t>
      </w:r>
      <w:r w:rsidR="00EA6E2D" w:rsidRPr="00A62CAC">
        <w:t>outcome</w:t>
      </w:r>
      <w:r w:rsidR="00655DB0" w:rsidRPr="00A62CAC">
        <w:t xml:space="preserve">, </w:t>
      </w:r>
      <w:r w:rsidR="00EA6E2D" w:rsidRPr="00A62CAC">
        <w:t xml:space="preserve">they </w:t>
      </w:r>
      <w:r w:rsidR="00655DB0" w:rsidRPr="00A62CAC">
        <w:t xml:space="preserve">may request </w:t>
      </w:r>
      <w:r w:rsidR="00EA6E2D" w:rsidRPr="00A62CAC">
        <w:t xml:space="preserve">a reconsideration </w:t>
      </w:r>
      <w:r w:rsidR="00655DB0" w:rsidRPr="00A62CAC">
        <w:t>within 3</w:t>
      </w:r>
      <w:r w:rsidR="00D47029">
        <w:t>0</w:t>
      </w:r>
      <w:r w:rsidR="00655DB0" w:rsidRPr="00A62CAC">
        <w:t>days of being notified of the decision</w:t>
      </w:r>
      <w:r w:rsidR="00183567" w:rsidRPr="00A62CAC">
        <w:t>,</w:t>
      </w:r>
      <w:r w:rsidR="00655DB0" w:rsidRPr="00A62CAC">
        <w:t xml:space="preserve"> or </w:t>
      </w:r>
      <w:r w:rsidR="00183567" w:rsidRPr="00A62CAC">
        <w:t xml:space="preserve">within a </w:t>
      </w:r>
      <w:r w:rsidR="00655DB0" w:rsidRPr="00A62CAC">
        <w:t xml:space="preserve">longer period as </w:t>
      </w:r>
      <w:r w:rsidR="008D7577" w:rsidRPr="00A62CAC">
        <w:t xml:space="preserve">permitted by </w:t>
      </w:r>
      <w:r w:rsidR="00655DB0" w:rsidRPr="00A62CAC">
        <w:t>the Trust</w:t>
      </w:r>
      <w:r w:rsidR="008D7577" w:rsidRPr="00A62CAC">
        <w:t>.</w:t>
      </w:r>
      <w:r w:rsidR="00655DB0" w:rsidRPr="00A62CAC">
        <w:t xml:space="preserve"> </w:t>
      </w:r>
      <w:r w:rsidR="008D7577" w:rsidRPr="00A62CAC">
        <w:t xml:space="preserve">Once </w:t>
      </w:r>
      <w:r w:rsidR="00655DB0" w:rsidRPr="00A62CAC">
        <w:t>the request</w:t>
      </w:r>
      <w:r w:rsidR="00C90FF6" w:rsidRPr="00A62CAC">
        <w:t xml:space="preserve"> is received</w:t>
      </w:r>
      <w:r w:rsidR="00655DB0" w:rsidRPr="00A62CAC">
        <w:t xml:space="preserve">, the Trust will review its decision and may </w:t>
      </w:r>
      <w:r w:rsidR="00C90FF6" w:rsidRPr="00A62CAC">
        <w:t>choose to uphold</w:t>
      </w:r>
      <w:r w:rsidR="00655DB0" w:rsidRPr="00A62CAC">
        <w:t xml:space="preserve">, </w:t>
      </w:r>
      <w:r w:rsidR="00D439A4">
        <w:t xml:space="preserve">vary or </w:t>
      </w:r>
      <w:r w:rsidR="00655DB0" w:rsidRPr="00A62CAC">
        <w:t xml:space="preserve">revoke </w:t>
      </w:r>
      <w:r w:rsidR="009C516A">
        <w:t xml:space="preserve">the </w:t>
      </w:r>
      <w:r w:rsidR="00B76B6B" w:rsidRPr="00A62CAC">
        <w:t xml:space="preserve">initial </w:t>
      </w:r>
      <w:r w:rsidR="00655DB0" w:rsidRPr="00A62CAC">
        <w:t>decision. If</w:t>
      </w:r>
      <w:r w:rsidR="00B76B6B" w:rsidRPr="00A62CAC">
        <w:t xml:space="preserve"> the </w:t>
      </w:r>
      <w:r w:rsidR="009C516A">
        <w:t>member</w:t>
      </w:r>
      <w:r w:rsidR="00B76B6B" w:rsidRPr="00A62CAC">
        <w:t xml:space="preserve"> remains </w:t>
      </w:r>
      <w:r w:rsidR="00655DB0" w:rsidRPr="00A62CAC">
        <w:t>dissatisfied</w:t>
      </w:r>
      <w:r w:rsidR="00682214" w:rsidRPr="00A62CAC">
        <w:t xml:space="preserve"> following </w:t>
      </w:r>
      <w:r w:rsidR="00655DB0" w:rsidRPr="00A62CAC">
        <w:t>th</w:t>
      </w:r>
      <w:r w:rsidR="00682214" w:rsidRPr="00A62CAC">
        <w:t xml:space="preserve">is reassessment, they have </w:t>
      </w:r>
      <w:r w:rsidR="00875AB1" w:rsidRPr="00A62CAC">
        <w:t>the right to seek further review of the Trust’s decision by apply</w:t>
      </w:r>
      <w:r w:rsidR="00C45643" w:rsidRPr="00A62CAC">
        <w:t xml:space="preserve">ing to the </w:t>
      </w:r>
      <w:r w:rsidR="00655DB0" w:rsidRPr="00A62CAC">
        <w:t>Administrative Appeals Tribunal.</w:t>
      </w:r>
      <w:bookmarkEnd w:id="3"/>
    </w:p>
    <w:sectPr w:rsidR="001B00C6" w:rsidRPr="006D291A" w:rsidSect="00543092">
      <w:footerReference w:type="default" r:id="rId22"/>
      <w:pgSz w:w="11908" w:h="16833" w:code="9"/>
      <w:pgMar w:top="1276" w:right="1418" w:bottom="1276" w:left="1418" w:header="567" w:footer="567" w:gutter="0"/>
      <w:pgBorders w:offsetFrom="page">
        <w:top w:val="none" w:sz="0" w:space="0" w:color="000000"/>
        <w:left w:val="none" w:sz="0" w:space="0" w:color="000000"/>
        <w:bottom w:val="none" w:sz="0" w:space="0" w:color="000000"/>
        <w:right w:val="none" w:sz="0" w:space="0" w:color="000000"/>
      </w:pgBorders>
      <w:pgNumType w:start="1"/>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3EB8" w14:textId="77777777" w:rsidR="00D202F8" w:rsidRDefault="00D202F8" w:rsidP="00B85640">
      <w:r>
        <w:separator/>
      </w:r>
    </w:p>
    <w:p w14:paraId="2263E772" w14:textId="77777777" w:rsidR="00D202F8" w:rsidRDefault="00D202F8" w:rsidP="00B85640"/>
    <w:p w14:paraId="6DB2C8A4" w14:textId="77777777" w:rsidR="00D202F8" w:rsidRDefault="00D202F8" w:rsidP="00B85640"/>
  </w:endnote>
  <w:endnote w:type="continuationSeparator" w:id="0">
    <w:p w14:paraId="633FB2AD" w14:textId="77777777" w:rsidR="00D202F8" w:rsidRDefault="00D202F8" w:rsidP="00B85640">
      <w:r>
        <w:continuationSeparator/>
      </w:r>
    </w:p>
    <w:p w14:paraId="1DB6872B" w14:textId="77777777" w:rsidR="00D202F8" w:rsidRDefault="00D202F8" w:rsidP="00B85640"/>
    <w:p w14:paraId="7E6C3ACF" w14:textId="77777777" w:rsidR="00D202F8" w:rsidRDefault="00D202F8" w:rsidP="00B85640"/>
  </w:endnote>
  <w:endnote w:type="continuationNotice" w:id="1">
    <w:p w14:paraId="7144EBF1" w14:textId="77777777" w:rsidR="00D202F8" w:rsidRDefault="00D202F8" w:rsidP="00B85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25DA" w14:textId="77777777" w:rsidR="00D96888" w:rsidRDefault="00D9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0F9B" w14:textId="2529CE5E" w:rsidR="00D96888" w:rsidRDefault="00D96888">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EC8F" w14:textId="77777777" w:rsidR="00D96888" w:rsidRDefault="00D9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97562" w14:textId="4BA587F2" w:rsidR="00D7771A" w:rsidRPr="001D1A55" w:rsidRDefault="00A44893" w:rsidP="001D1A5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E1C0" w14:textId="77777777" w:rsidR="00D202F8" w:rsidRDefault="00D202F8" w:rsidP="00B85640">
      <w:r>
        <w:continuationSeparator/>
      </w:r>
    </w:p>
  </w:footnote>
  <w:footnote w:type="continuationSeparator" w:id="0">
    <w:p w14:paraId="0A104003" w14:textId="77777777" w:rsidR="00D202F8" w:rsidRDefault="00D202F8" w:rsidP="00B85640">
      <w:r>
        <w:continuationSeparator/>
      </w:r>
    </w:p>
  </w:footnote>
  <w:footnote w:type="continuationNotice" w:id="1">
    <w:p w14:paraId="0678F268" w14:textId="77777777" w:rsidR="00D202F8" w:rsidRDefault="00D202F8" w:rsidP="00B85640"/>
  </w:footnote>
  <w:footnote w:id="2">
    <w:p w14:paraId="3CE80853" w14:textId="766926B5" w:rsidR="006905B0" w:rsidRDefault="006905B0">
      <w:pPr>
        <w:pStyle w:val="FootnoteText"/>
      </w:pPr>
      <w:r>
        <w:rPr>
          <w:rStyle w:val="FootnoteReference"/>
        </w:rPr>
        <w:footnoteRef/>
      </w:r>
      <w:r>
        <w:t xml:space="preserve"> </w:t>
      </w:r>
      <w:r w:rsidR="0009338B" w:rsidRPr="0009338B">
        <w:t>Contributions are paid to the Consolidated Revenue Fund (CRF).</w:t>
      </w:r>
    </w:p>
  </w:footnote>
  <w:footnote w:id="3">
    <w:p w14:paraId="6BE11D42" w14:textId="77777777" w:rsidR="00D47029" w:rsidRDefault="00D47029" w:rsidP="00D47029">
      <w:pPr>
        <w:pStyle w:val="FootnoteText"/>
      </w:pPr>
      <w:r>
        <w:rPr>
          <w:rStyle w:val="FootnoteReference"/>
        </w:rPr>
        <w:footnoteRef/>
      </w:r>
      <w:r>
        <w:t xml:space="preserve"> </w:t>
      </w:r>
      <w:r w:rsidRPr="00D47029">
        <w:t>The concessional contributions cap is determined by the Australian Taxation Office (ATO).</w:t>
      </w:r>
    </w:p>
  </w:footnote>
  <w:footnote w:id="4">
    <w:p w14:paraId="23FE2297" w14:textId="5CC32AB6" w:rsidR="00EF7018" w:rsidRDefault="00EF7018">
      <w:pPr>
        <w:pStyle w:val="FootnoteText"/>
      </w:pPr>
      <w:r>
        <w:rPr>
          <w:rStyle w:val="FootnoteReference"/>
        </w:rPr>
        <w:footnoteRef/>
      </w:r>
      <w:r>
        <w:t xml:space="preserve"> </w:t>
      </w:r>
      <w:r w:rsidR="000A628A" w:rsidRPr="000A628A">
        <w:t>Division 293 tax may reduce the tax concession on super contributions for individuals</w:t>
      </w:r>
      <w:r w:rsidR="004126A6">
        <w:t>.</w:t>
      </w:r>
    </w:p>
  </w:footnote>
  <w:footnote w:id="5">
    <w:p w14:paraId="02E872D4" w14:textId="1AA91058" w:rsidR="000C37F3" w:rsidRDefault="000C37F3">
      <w:pPr>
        <w:pStyle w:val="FootnoteText"/>
      </w:pPr>
      <w:r>
        <w:rPr>
          <w:rStyle w:val="FootnoteReference"/>
        </w:rPr>
        <w:footnoteRef/>
      </w:r>
      <w:r>
        <w:t xml:space="preserve"> </w:t>
      </w:r>
      <w:r w:rsidRPr="000C37F3">
        <w:t>An individual's income is added to certain super contributions and compared to the Division 293 threshold. Division 293 tax is payable on the excess over the threshold, or on the super contributions, whichever is less. The rate of Division 293 tax is 15%</w:t>
      </w:r>
      <w:r w:rsidR="00002F10">
        <w:t>.</w:t>
      </w:r>
    </w:p>
  </w:footnote>
  <w:footnote w:id="6">
    <w:p w14:paraId="43E9786E" w14:textId="659B2215" w:rsidR="00AF364A" w:rsidRDefault="00AF364A">
      <w:pPr>
        <w:pStyle w:val="FootnoteText"/>
      </w:pPr>
      <w:r>
        <w:rPr>
          <w:rStyle w:val="FootnoteReference"/>
        </w:rPr>
        <w:footnoteRef/>
      </w:r>
      <w:r>
        <w:t xml:space="preserve"> </w:t>
      </w:r>
      <w:r w:rsidR="00F96779" w:rsidRPr="00F96779">
        <w:t>The accumulation phase value (APV) of your super interests is the total amount of super benefits that would be payable if you chose to cease all of your super interests by, for example, closing all of your super accounts</w:t>
      </w:r>
      <w:r w:rsidR="00F96779">
        <w:t>.</w:t>
      </w:r>
    </w:p>
  </w:footnote>
  <w:footnote w:id="7">
    <w:p w14:paraId="0B57BF03" w14:textId="54B33D3E" w:rsidR="00506349" w:rsidRDefault="00506349">
      <w:pPr>
        <w:pStyle w:val="FootnoteText"/>
      </w:pPr>
      <w:r>
        <w:rPr>
          <w:rStyle w:val="FootnoteReference"/>
        </w:rPr>
        <w:footnoteRef/>
      </w:r>
      <w:r>
        <w:t xml:space="preserve"> </w:t>
      </w:r>
      <w:r w:rsidRPr="00506349">
        <w:t xml:space="preserve">A member is considered to have ceased to be a member on the dissolution of the House of which they were a member or on the expiration of a term of office on the day on which they </w:t>
      </w:r>
      <w:r w:rsidR="005941C0" w:rsidRPr="00506349">
        <w:t>cease</w:t>
      </w:r>
      <w:r w:rsidRPr="00506349">
        <w:t xml:space="preserve"> to receive </w:t>
      </w:r>
      <w:r w:rsidR="00015ED3">
        <w:t xml:space="preserve">their </w:t>
      </w:r>
      <w:r w:rsidRPr="00506349">
        <w:t>parliamentary allowance in respect of that term.</w:t>
      </w:r>
    </w:p>
  </w:footnote>
  <w:footnote w:id="8">
    <w:p w14:paraId="3E085F98" w14:textId="77777777" w:rsidR="00251D9C" w:rsidRDefault="00251D9C" w:rsidP="00251D9C">
      <w:pPr>
        <w:pStyle w:val="FootnoteText"/>
      </w:pPr>
      <w:r>
        <w:rPr>
          <w:rStyle w:val="FootnoteReference"/>
        </w:rPr>
        <w:footnoteRef/>
      </w:r>
      <w:r>
        <w:t xml:space="preserve"> </w:t>
      </w:r>
      <w:r w:rsidRPr="004B06A1">
        <w:t>Relevant interest rates are the same as those applied to member contributions in the Public Sector Superannuation (PSS) scheme. Interest rates are used to accumulate lump sum benefits with interest, as required by SG</w:t>
      </w:r>
      <w:r>
        <w:t>GA Act</w:t>
      </w:r>
      <w:r w:rsidRPr="004B06A1">
        <w:t>.</w:t>
      </w:r>
    </w:p>
  </w:footnote>
  <w:footnote w:id="9">
    <w:p w14:paraId="50AA8CE4" w14:textId="4369C10F" w:rsidR="00B457F3" w:rsidRDefault="00B457F3">
      <w:pPr>
        <w:pStyle w:val="FootnoteText"/>
      </w:pPr>
      <w:r>
        <w:rPr>
          <w:rStyle w:val="FootnoteReference"/>
        </w:rPr>
        <w:footnoteRef/>
      </w:r>
      <w:r>
        <w:t xml:space="preserve"> </w:t>
      </w:r>
      <w:r w:rsidR="00A82F22" w:rsidRPr="00A82F22">
        <w:t>The </w:t>
      </w:r>
      <w:hyperlink r:id="rId1" w:history="1">
        <w:r w:rsidR="00A82F22" w:rsidRPr="00A82F22">
          <w:rPr>
            <w:rStyle w:val="Hyperlink"/>
            <w:rFonts w:cstheme="minorBidi"/>
          </w:rPr>
          <w:t>transfer balance cap</w:t>
        </w:r>
      </w:hyperlink>
      <w:r w:rsidR="00A82F22" w:rsidRPr="00A82F22">
        <w:t> applies from 1 July 2017. It is a limit on the total amount of superannuation that can be transferred into the retirement phase. All your super account balances (regardless of how many you have) will be included to calculate this amount</w:t>
      </w:r>
      <w:r w:rsidR="00793550">
        <w:t>.</w:t>
      </w:r>
    </w:p>
  </w:footnote>
  <w:footnote w:id="10">
    <w:p w14:paraId="45133055" w14:textId="77777777" w:rsidR="00251D9C" w:rsidRDefault="00251D9C" w:rsidP="00251D9C">
      <w:pPr>
        <w:pStyle w:val="FootnoteText"/>
      </w:pPr>
      <w:r>
        <w:rPr>
          <w:rStyle w:val="FootnoteReference"/>
        </w:rPr>
        <w:footnoteRef/>
      </w:r>
      <w:r>
        <w:t xml:space="preserve"> </w:t>
      </w:r>
      <w:r w:rsidRPr="00452278">
        <w:t>The surcharge was abolished for superannuation accruing after 1 July 2005.</w:t>
      </w:r>
    </w:p>
  </w:footnote>
  <w:footnote w:id="11">
    <w:p w14:paraId="35C6D7B7" w14:textId="77777777" w:rsidR="00361400" w:rsidRDefault="00361400" w:rsidP="00B85640">
      <w:pPr>
        <w:pStyle w:val="FootnoteText"/>
      </w:pPr>
      <w:r>
        <w:rPr>
          <w:rStyle w:val="FootnoteReference"/>
        </w:rPr>
        <w:footnoteRef/>
      </w:r>
      <w:r>
        <w:t xml:space="preserve"> </w:t>
      </w:r>
      <w:r w:rsidRPr="00FB0480">
        <w:t>A phased increase in the preservation age from 55 to 60 applies between the years 2015 and 2025. This will mean that, for someone born before 1 July 1960, the preservation age will remain at 55 years, while for someone born after 30 June 1964 the preservation age will rise to 60.</w:t>
      </w:r>
    </w:p>
  </w:footnote>
  <w:footnote w:id="12">
    <w:p w14:paraId="7E2554C7" w14:textId="3B10A1A7" w:rsidR="005102D7" w:rsidRDefault="005102D7" w:rsidP="005102D7">
      <w:pPr>
        <w:pStyle w:val="FootnoteText"/>
      </w:pPr>
      <w:r>
        <w:rPr>
          <w:rStyle w:val="FootnoteReference"/>
        </w:rPr>
        <w:footnoteRef/>
      </w:r>
      <w:r>
        <w:t xml:space="preserve"> </w:t>
      </w:r>
      <w:r w:rsidRPr="000A5804">
        <w:t xml:space="preserve">The preservation rules do not apply to pension benefits payable from any superannuation scheme, provided the pension is a complying pension under the Superannuation Industry Supervision (SIS) regulations dealing with preservation. The pension paid by the PCSS is a complying pension for the purposes of the SIS preservation arrangements. However, for new members elected on or after the 2001 general election, see the section on </w:t>
      </w:r>
      <w:r>
        <w:t>‘d</w:t>
      </w:r>
      <w:r w:rsidRPr="000A5804">
        <w:t xml:space="preserve">eferral of </w:t>
      </w:r>
      <w:r>
        <w:t>p</w:t>
      </w:r>
      <w:r w:rsidRPr="000A5804">
        <w:t xml:space="preserve">ension to </w:t>
      </w:r>
      <w:r>
        <w:t>a</w:t>
      </w:r>
      <w:r w:rsidRPr="000A5804">
        <w:t>ge 55</w:t>
      </w:r>
      <w:r>
        <w:t xml:space="preserve"> for certain </w:t>
      </w:r>
      <w:r w:rsidR="00F770A6">
        <w:t>members</w:t>
      </w:r>
      <w:r w:rsidRPr="000A5804">
        <w:t>.</w:t>
      </w:r>
    </w:p>
  </w:footnote>
  <w:footnote w:id="13">
    <w:p w14:paraId="1DA28A0B" w14:textId="5A782814" w:rsidR="006A637B" w:rsidRDefault="006A637B">
      <w:pPr>
        <w:pStyle w:val="FootnoteText"/>
      </w:pPr>
      <w:r>
        <w:rPr>
          <w:rStyle w:val="FootnoteReference"/>
        </w:rPr>
        <w:footnoteRef/>
      </w:r>
      <w:r>
        <w:t xml:space="preserve"> </w:t>
      </w:r>
      <w:r w:rsidRPr="006A637B">
        <w:t>When a person dies, in most cases their super fund pays their remaining super to their nominated beneficiary. Super paid after a person's death is called a 'super death benefit'.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E684" w14:textId="77777777" w:rsidR="00D96888" w:rsidRDefault="00D96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33A7" w14:textId="77777777" w:rsidR="00D96888" w:rsidRDefault="00D96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4517" w14:textId="77777777" w:rsidR="00D96888" w:rsidRDefault="00D96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B80"/>
    <w:multiLevelType w:val="multilevel"/>
    <w:tmpl w:val="81C4D872"/>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pStyle w:val="NumberedList2"/>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D84E26"/>
    <w:multiLevelType w:val="hybridMultilevel"/>
    <w:tmpl w:val="673CE886"/>
    <w:lvl w:ilvl="0" w:tplc="DEAC28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A1505"/>
    <w:multiLevelType w:val="singleLevel"/>
    <w:tmpl w:val="AD82E874"/>
    <w:lvl w:ilvl="0">
      <w:start w:val="1"/>
      <w:numFmt w:val="decimal"/>
      <w:pStyle w:val="NumberedPara"/>
      <w:lvlText w:val="%1."/>
      <w:lvlJc w:val="left"/>
      <w:pPr>
        <w:tabs>
          <w:tab w:val="num" w:pos="360"/>
        </w:tabs>
      </w:pPr>
      <w:rPr>
        <w:rFonts w:ascii="Calibri" w:hAnsi="Calibri" w:cs="Times New Roman" w:hint="default"/>
        <w:b w:val="0"/>
        <w:i w:val="0"/>
        <w:color w:val="auto"/>
        <w:sz w:val="22"/>
        <w:szCs w:val="22"/>
        <w:u w:val="none"/>
      </w:rPr>
    </w:lvl>
  </w:abstractNum>
  <w:abstractNum w:abstractNumId="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31F7AD3"/>
    <w:multiLevelType w:val="hybridMultilevel"/>
    <w:tmpl w:val="812CD3F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360C3048"/>
    <w:multiLevelType w:val="multilevel"/>
    <w:tmpl w:val="81C4D872"/>
    <w:numStyleLink w:val="Numberedlist"/>
  </w:abstractNum>
  <w:abstractNum w:abstractNumId="6" w15:restartNumberingAfterBreak="0">
    <w:nsid w:val="3AA504D0"/>
    <w:multiLevelType w:val="hybridMultilevel"/>
    <w:tmpl w:val="28FA51DE"/>
    <w:lvl w:ilvl="0" w:tplc="3DF69B4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B0850B6"/>
    <w:multiLevelType w:val="hybridMultilevel"/>
    <w:tmpl w:val="73A858F4"/>
    <w:lvl w:ilvl="0" w:tplc="DCEE42FE">
      <w:start w:val="1"/>
      <w:numFmt w:val="lowerRoman"/>
      <w:pStyle w:val="NumberedList3"/>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595A16A1"/>
    <w:multiLevelType w:val="singleLevel"/>
    <w:tmpl w:val="BB706BB2"/>
    <w:lvl w:ilvl="0">
      <w:start w:val="1"/>
      <w:numFmt w:val="lowerLetter"/>
      <w:pStyle w:val="SubPara"/>
      <w:lvlText w:val="%1)"/>
      <w:lvlJc w:val="left"/>
      <w:pPr>
        <w:tabs>
          <w:tab w:val="num" w:pos="360"/>
        </w:tabs>
        <w:ind w:left="360" w:hanging="360"/>
      </w:pPr>
      <w:rPr>
        <w:rFonts w:cs="Times New Roman" w:hint="default"/>
        <w:sz w:val="22"/>
        <w:szCs w:val="22"/>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C9FC5B7C"/>
    <w:styleLink w:val="BulletsList"/>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B0B3336"/>
    <w:multiLevelType w:val="hybridMultilevel"/>
    <w:tmpl w:val="20BE7822"/>
    <w:lvl w:ilvl="0" w:tplc="17FA2E3A">
      <w:start w:val="1"/>
      <w:numFmt w:val="bullet"/>
      <w:pStyle w:val="Bullet1"/>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16cid:durableId="693920473">
    <w:abstractNumId w:val="11"/>
    <w:lvlOverride w:ilvl="1">
      <w:lvl w:ilvl="1">
        <w:start w:val="1"/>
        <w:numFmt w:val="bullet"/>
        <w:pStyle w:val="Bullet2"/>
        <w:lvlText w:val="–"/>
        <w:lvlJc w:val="left"/>
        <w:pPr>
          <w:ind w:left="568" w:hanging="284"/>
        </w:pPr>
        <w:rPr>
          <w:rFonts w:ascii="Arial" w:hAnsi="Arial" w:hint="default"/>
        </w:rPr>
      </w:lvl>
    </w:lvlOverride>
  </w:num>
  <w:num w:numId="2" w16cid:durableId="339426707">
    <w:abstractNumId w:val="3"/>
  </w:num>
  <w:num w:numId="3" w16cid:durableId="1677415759">
    <w:abstractNumId w:val="9"/>
  </w:num>
  <w:num w:numId="4" w16cid:durableId="2098282934">
    <w:abstractNumId w:val="10"/>
  </w:num>
  <w:num w:numId="5" w16cid:durableId="410926639">
    <w:abstractNumId w:val="8"/>
  </w:num>
  <w:num w:numId="6" w16cid:durableId="1163621594">
    <w:abstractNumId w:val="2"/>
  </w:num>
  <w:num w:numId="7" w16cid:durableId="970867970">
    <w:abstractNumId w:val="0"/>
  </w:num>
  <w:num w:numId="8" w16cid:durableId="1704280409">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9" w16cid:durableId="1855533819">
    <w:abstractNumId w:val="1"/>
  </w:num>
  <w:num w:numId="10" w16cid:durableId="778180486">
    <w:abstractNumId w:val="4"/>
  </w:num>
  <w:num w:numId="11" w16cid:durableId="1639529136">
    <w:abstractNumId w:val="6"/>
  </w:num>
  <w:num w:numId="12" w16cid:durableId="369694128">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3" w16cid:durableId="2044286367">
    <w:abstractNumId w:val="5"/>
    <w:lvlOverride w:ilvl="0">
      <w:lvl w:ilvl="0">
        <w:start w:val="1"/>
        <w:numFmt w:val="decimal"/>
        <w:pStyle w:val="NumberedList1"/>
        <w:lvlText w:val="%1."/>
        <w:lvlJc w:val="left"/>
        <w:pPr>
          <w:ind w:left="2268" w:hanging="284"/>
        </w:pPr>
      </w:lvl>
    </w:lvlOverride>
    <w:lvlOverride w:ilvl="4">
      <w:lvl w:ilvl="4">
        <w:start w:val="1"/>
        <w:numFmt w:val="lowerLetter"/>
        <w:pStyle w:val="NumberedList2"/>
        <w:lvlText w:val="(%5)"/>
        <w:lvlJc w:val="left"/>
        <w:pPr>
          <w:ind w:left="1420" w:hanging="284"/>
        </w:pPr>
        <w:rPr>
          <w:rFonts w:hint="default"/>
        </w:rPr>
      </w:lvl>
    </w:lvlOverride>
  </w:num>
  <w:num w:numId="14" w16cid:durableId="399253089">
    <w:abstractNumId w:val="11"/>
  </w:num>
  <w:num w:numId="15" w16cid:durableId="313488964">
    <w:abstractNumId w:val="6"/>
  </w:num>
  <w:num w:numId="16" w16cid:durableId="1030570251">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301421226">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70794746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544222155">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79675354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929457174">
    <w:abstractNumId w:val="7"/>
  </w:num>
  <w:num w:numId="22" w16cid:durableId="1039477381">
    <w:abstractNumId w:val="7"/>
  </w:num>
  <w:num w:numId="23" w16cid:durableId="261451265">
    <w:abstractNumId w:val="7"/>
  </w:num>
  <w:num w:numId="24" w16cid:durableId="1909461126">
    <w:abstractNumId w:val="7"/>
  </w:num>
  <w:num w:numId="25" w16cid:durableId="1770812129">
    <w:abstractNumId w:val="12"/>
  </w:num>
  <w:num w:numId="26" w16cid:durableId="2059501537">
    <w:abstractNumId w:val="12"/>
  </w:num>
  <w:num w:numId="27" w16cid:durableId="1455103205">
    <w:abstractNumId w:val="12"/>
  </w:num>
  <w:num w:numId="28" w16cid:durableId="194591515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 w16cid:durableId="1666274504">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 w16cid:durableId="1198735128">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16cid:durableId="1099332297">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16cid:durableId="202138682">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265892813">
    <w:abstractNumId w:val="5"/>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pStyle w:val="NumberedList2"/>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16cid:durableId="2097049215">
    <w:abstractNumId w:val="12"/>
  </w:num>
  <w:num w:numId="35" w16cid:durableId="791241956">
    <w:abstractNumId w:val="12"/>
  </w:num>
  <w:num w:numId="36" w16cid:durableId="481653645">
    <w:abstractNumId w:val="12"/>
  </w:num>
  <w:num w:numId="37" w16cid:durableId="105022947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92D"/>
    <w:rsid w:val="00000C53"/>
    <w:rsid w:val="00000D48"/>
    <w:rsid w:val="00001D69"/>
    <w:rsid w:val="00002333"/>
    <w:rsid w:val="00002464"/>
    <w:rsid w:val="00002F10"/>
    <w:rsid w:val="00003B85"/>
    <w:rsid w:val="00003CD6"/>
    <w:rsid w:val="0000487A"/>
    <w:rsid w:val="0000489C"/>
    <w:rsid w:val="00004B95"/>
    <w:rsid w:val="00005081"/>
    <w:rsid w:val="0000544C"/>
    <w:rsid w:val="000058FC"/>
    <w:rsid w:val="0000593C"/>
    <w:rsid w:val="00006695"/>
    <w:rsid w:val="000074CF"/>
    <w:rsid w:val="000100A1"/>
    <w:rsid w:val="00010598"/>
    <w:rsid w:val="00010C41"/>
    <w:rsid w:val="00011B05"/>
    <w:rsid w:val="00013E31"/>
    <w:rsid w:val="00013EEF"/>
    <w:rsid w:val="0001435B"/>
    <w:rsid w:val="00014394"/>
    <w:rsid w:val="00014397"/>
    <w:rsid w:val="00015141"/>
    <w:rsid w:val="00015ED3"/>
    <w:rsid w:val="00016607"/>
    <w:rsid w:val="000167B3"/>
    <w:rsid w:val="00017697"/>
    <w:rsid w:val="000215CA"/>
    <w:rsid w:val="0002161D"/>
    <w:rsid w:val="0002226B"/>
    <w:rsid w:val="000234AF"/>
    <w:rsid w:val="000242CD"/>
    <w:rsid w:val="00024715"/>
    <w:rsid w:val="000252F3"/>
    <w:rsid w:val="00025326"/>
    <w:rsid w:val="0002554D"/>
    <w:rsid w:val="00025697"/>
    <w:rsid w:val="00025B90"/>
    <w:rsid w:val="000269BE"/>
    <w:rsid w:val="00026B85"/>
    <w:rsid w:val="000271DB"/>
    <w:rsid w:val="000275BF"/>
    <w:rsid w:val="0002782F"/>
    <w:rsid w:val="00027F32"/>
    <w:rsid w:val="00032D24"/>
    <w:rsid w:val="000353AD"/>
    <w:rsid w:val="00035618"/>
    <w:rsid w:val="000361CC"/>
    <w:rsid w:val="00036A9C"/>
    <w:rsid w:val="000378B7"/>
    <w:rsid w:val="000378D4"/>
    <w:rsid w:val="00040938"/>
    <w:rsid w:val="00040EF0"/>
    <w:rsid w:val="000410D0"/>
    <w:rsid w:val="00041871"/>
    <w:rsid w:val="00041914"/>
    <w:rsid w:val="00042301"/>
    <w:rsid w:val="00045171"/>
    <w:rsid w:val="00045AE4"/>
    <w:rsid w:val="00045E46"/>
    <w:rsid w:val="0004613F"/>
    <w:rsid w:val="000462BF"/>
    <w:rsid w:val="0004671E"/>
    <w:rsid w:val="00046C25"/>
    <w:rsid w:val="00047259"/>
    <w:rsid w:val="00047AEB"/>
    <w:rsid w:val="00050337"/>
    <w:rsid w:val="000509D9"/>
    <w:rsid w:val="00050B0D"/>
    <w:rsid w:val="00050F58"/>
    <w:rsid w:val="000517B8"/>
    <w:rsid w:val="00051A9F"/>
    <w:rsid w:val="00051ED0"/>
    <w:rsid w:val="000527C5"/>
    <w:rsid w:val="00053C28"/>
    <w:rsid w:val="00054232"/>
    <w:rsid w:val="000543D5"/>
    <w:rsid w:val="00054E4D"/>
    <w:rsid w:val="000552C8"/>
    <w:rsid w:val="00056547"/>
    <w:rsid w:val="000571DB"/>
    <w:rsid w:val="00057981"/>
    <w:rsid w:val="00060073"/>
    <w:rsid w:val="000603C7"/>
    <w:rsid w:val="00062875"/>
    <w:rsid w:val="00062A7C"/>
    <w:rsid w:val="00063B07"/>
    <w:rsid w:val="00063C79"/>
    <w:rsid w:val="0006411F"/>
    <w:rsid w:val="00064C2D"/>
    <w:rsid w:val="00065AC4"/>
    <w:rsid w:val="000660A3"/>
    <w:rsid w:val="000676E3"/>
    <w:rsid w:val="00067EB4"/>
    <w:rsid w:val="000700BD"/>
    <w:rsid w:val="000700C3"/>
    <w:rsid w:val="00070504"/>
    <w:rsid w:val="000708F4"/>
    <w:rsid w:val="00071060"/>
    <w:rsid w:val="00071939"/>
    <w:rsid w:val="000726D9"/>
    <w:rsid w:val="000729E8"/>
    <w:rsid w:val="00072A5B"/>
    <w:rsid w:val="00073A78"/>
    <w:rsid w:val="00073ECC"/>
    <w:rsid w:val="000748FB"/>
    <w:rsid w:val="00075131"/>
    <w:rsid w:val="0007517F"/>
    <w:rsid w:val="000753D5"/>
    <w:rsid w:val="000764CD"/>
    <w:rsid w:val="00076742"/>
    <w:rsid w:val="0007706D"/>
    <w:rsid w:val="000773FC"/>
    <w:rsid w:val="00077570"/>
    <w:rsid w:val="000776C4"/>
    <w:rsid w:val="00077D35"/>
    <w:rsid w:val="00077D85"/>
    <w:rsid w:val="000801EF"/>
    <w:rsid w:val="00080354"/>
    <w:rsid w:val="00080FBA"/>
    <w:rsid w:val="0008158A"/>
    <w:rsid w:val="0008198C"/>
    <w:rsid w:val="000829F4"/>
    <w:rsid w:val="00082CFB"/>
    <w:rsid w:val="00083CC0"/>
    <w:rsid w:val="00084DB1"/>
    <w:rsid w:val="00085533"/>
    <w:rsid w:val="0008661B"/>
    <w:rsid w:val="00086C4E"/>
    <w:rsid w:val="00086D4C"/>
    <w:rsid w:val="00087A7E"/>
    <w:rsid w:val="00087DB3"/>
    <w:rsid w:val="00091E9A"/>
    <w:rsid w:val="00091EB6"/>
    <w:rsid w:val="00092373"/>
    <w:rsid w:val="000926A6"/>
    <w:rsid w:val="0009338B"/>
    <w:rsid w:val="00093AF5"/>
    <w:rsid w:val="00093B4D"/>
    <w:rsid w:val="00093C55"/>
    <w:rsid w:val="00094AA9"/>
    <w:rsid w:val="00094BCC"/>
    <w:rsid w:val="00095277"/>
    <w:rsid w:val="00095699"/>
    <w:rsid w:val="00095B49"/>
    <w:rsid w:val="00095DB0"/>
    <w:rsid w:val="00096048"/>
    <w:rsid w:val="0009761B"/>
    <w:rsid w:val="00097A36"/>
    <w:rsid w:val="00097D96"/>
    <w:rsid w:val="000A190F"/>
    <w:rsid w:val="000A1C81"/>
    <w:rsid w:val="000A1E9B"/>
    <w:rsid w:val="000A2262"/>
    <w:rsid w:val="000A2598"/>
    <w:rsid w:val="000A2F0A"/>
    <w:rsid w:val="000A3059"/>
    <w:rsid w:val="000A4B30"/>
    <w:rsid w:val="000A4E22"/>
    <w:rsid w:val="000A5804"/>
    <w:rsid w:val="000A585E"/>
    <w:rsid w:val="000A5895"/>
    <w:rsid w:val="000A5EB7"/>
    <w:rsid w:val="000A628A"/>
    <w:rsid w:val="000A66A7"/>
    <w:rsid w:val="000A6A8B"/>
    <w:rsid w:val="000A7383"/>
    <w:rsid w:val="000A7CA4"/>
    <w:rsid w:val="000A7DF9"/>
    <w:rsid w:val="000B0654"/>
    <w:rsid w:val="000B23E0"/>
    <w:rsid w:val="000B275E"/>
    <w:rsid w:val="000B29C2"/>
    <w:rsid w:val="000B2C88"/>
    <w:rsid w:val="000B38D5"/>
    <w:rsid w:val="000B4199"/>
    <w:rsid w:val="000B46D3"/>
    <w:rsid w:val="000B46DD"/>
    <w:rsid w:val="000B49C2"/>
    <w:rsid w:val="000B4A7B"/>
    <w:rsid w:val="000B4E34"/>
    <w:rsid w:val="000B4FD0"/>
    <w:rsid w:val="000B4FE4"/>
    <w:rsid w:val="000B639A"/>
    <w:rsid w:val="000B791D"/>
    <w:rsid w:val="000C0FA6"/>
    <w:rsid w:val="000C10A4"/>
    <w:rsid w:val="000C11F7"/>
    <w:rsid w:val="000C2A48"/>
    <w:rsid w:val="000C309E"/>
    <w:rsid w:val="000C37F3"/>
    <w:rsid w:val="000C4849"/>
    <w:rsid w:val="000C58C9"/>
    <w:rsid w:val="000C5F19"/>
    <w:rsid w:val="000C5F75"/>
    <w:rsid w:val="000C6135"/>
    <w:rsid w:val="000C6273"/>
    <w:rsid w:val="000C64EC"/>
    <w:rsid w:val="000C662B"/>
    <w:rsid w:val="000C6965"/>
    <w:rsid w:val="000C7338"/>
    <w:rsid w:val="000C7A4A"/>
    <w:rsid w:val="000D01AE"/>
    <w:rsid w:val="000D06B1"/>
    <w:rsid w:val="000D28B0"/>
    <w:rsid w:val="000D3809"/>
    <w:rsid w:val="000D3C1B"/>
    <w:rsid w:val="000D4A4D"/>
    <w:rsid w:val="000D4BBA"/>
    <w:rsid w:val="000D53E4"/>
    <w:rsid w:val="000D5D96"/>
    <w:rsid w:val="000D60B1"/>
    <w:rsid w:val="000D6828"/>
    <w:rsid w:val="000D7613"/>
    <w:rsid w:val="000D7CA2"/>
    <w:rsid w:val="000D7CF2"/>
    <w:rsid w:val="000D7E37"/>
    <w:rsid w:val="000D7FAA"/>
    <w:rsid w:val="000E0316"/>
    <w:rsid w:val="000E0457"/>
    <w:rsid w:val="000E19F4"/>
    <w:rsid w:val="000E2D5C"/>
    <w:rsid w:val="000E2EEB"/>
    <w:rsid w:val="000E3E32"/>
    <w:rsid w:val="000E400A"/>
    <w:rsid w:val="000E4793"/>
    <w:rsid w:val="000E4CCC"/>
    <w:rsid w:val="000E51FF"/>
    <w:rsid w:val="000E5781"/>
    <w:rsid w:val="000E5A18"/>
    <w:rsid w:val="000E5DDF"/>
    <w:rsid w:val="000E5DF5"/>
    <w:rsid w:val="000E6D08"/>
    <w:rsid w:val="000E7BC0"/>
    <w:rsid w:val="000E7EF1"/>
    <w:rsid w:val="000F021F"/>
    <w:rsid w:val="000F078B"/>
    <w:rsid w:val="000F14C0"/>
    <w:rsid w:val="000F1794"/>
    <w:rsid w:val="000F2168"/>
    <w:rsid w:val="000F2AC6"/>
    <w:rsid w:val="000F400D"/>
    <w:rsid w:val="000F46FF"/>
    <w:rsid w:val="000F4DB6"/>
    <w:rsid w:val="000F4F00"/>
    <w:rsid w:val="000F5055"/>
    <w:rsid w:val="000F54DA"/>
    <w:rsid w:val="000F6267"/>
    <w:rsid w:val="000F69C3"/>
    <w:rsid w:val="000F7124"/>
    <w:rsid w:val="000F7994"/>
    <w:rsid w:val="000F7EE8"/>
    <w:rsid w:val="00100123"/>
    <w:rsid w:val="00100186"/>
    <w:rsid w:val="001016A9"/>
    <w:rsid w:val="00101F45"/>
    <w:rsid w:val="00102898"/>
    <w:rsid w:val="00102AD2"/>
    <w:rsid w:val="00102C82"/>
    <w:rsid w:val="0010306A"/>
    <w:rsid w:val="0010316A"/>
    <w:rsid w:val="00104522"/>
    <w:rsid w:val="00104D5E"/>
    <w:rsid w:val="00105946"/>
    <w:rsid w:val="00106058"/>
    <w:rsid w:val="001068FC"/>
    <w:rsid w:val="001071EE"/>
    <w:rsid w:val="00107725"/>
    <w:rsid w:val="00110590"/>
    <w:rsid w:val="0011064B"/>
    <w:rsid w:val="001115AD"/>
    <w:rsid w:val="0011163C"/>
    <w:rsid w:val="0011179E"/>
    <w:rsid w:val="00111FEF"/>
    <w:rsid w:val="00112168"/>
    <w:rsid w:val="001121F4"/>
    <w:rsid w:val="001124BB"/>
    <w:rsid w:val="0011424F"/>
    <w:rsid w:val="00114ED6"/>
    <w:rsid w:val="0011509F"/>
    <w:rsid w:val="00115169"/>
    <w:rsid w:val="00115545"/>
    <w:rsid w:val="001158DE"/>
    <w:rsid w:val="001168A3"/>
    <w:rsid w:val="00117A59"/>
    <w:rsid w:val="001207ED"/>
    <w:rsid w:val="001217B7"/>
    <w:rsid w:val="00121FE1"/>
    <w:rsid w:val="001224DD"/>
    <w:rsid w:val="0012270A"/>
    <w:rsid w:val="00123573"/>
    <w:rsid w:val="00123C1A"/>
    <w:rsid w:val="00123C63"/>
    <w:rsid w:val="00125FDF"/>
    <w:rsid w:val="001260AE"/>
    <w:rsid w:val="0012622C"/>
    <w:rsid w:val="001264AC"/>
    <w:rsid w:val="001265A0"/>
    <w:rsid w:val="00127134"/>
    <w:rsid w:val="0012720B"/>
    <w:rsid w:val="001274EE"/>
    <w:rsid w:val="00127FE7"/>
    <w:rsid w:val="00130CC0"/>
    <w:rsid w:val="00131883"/>
    <w:rsid w:val="00131CAF"/>
    <w:rsid w:val="0013227E"/>
    <w:rsid w:val="001327A0"/>
    <w:rsid w:val="00132CDB"/>
    <w:rsid w:val="00132DA6"/>
    <w:rsid w:val="001335FF"/>
    <w:rsid w:val="001342C2"/>
    <w:rsid w:val="001346A9"/>
    <w:rsid w:val="00134B95"/>
    <w:rsid w:val="00134D77"/>
    <w:rsid w:val="00134DB0"/>
    <w:rsid w:val="00135D70"/>
    <w:rsid w:val="00136530"/>
    <w:rsid w:val="0014014B"/>
    <w:rsid w:val="001409E7"/>
    <w:rsid w:val="00141E62"/>
    <w:rsid w:val="00141F01"/>
    <w:rsid w:val="001422D9"/>
    <w:rsid w:val="00142CF6"/>
    <w:rsid w:val="00142E1B"/>
    <w:rsid w:val="00144A35"/>
    <w:rsid w:val="00145B65"/>
    <w:rsid w:val="001469DE"/>
    <w:rsid w:val="001471D1"/>
    <w:rsid w:val="00150945"/>
    <w:rsid w:val="00150D35"/>
    <w:rsid w:val="00150F33"/>
    <w:rsid w:val="001510DF"/>
    <w:rsid w:val="0015117F"/>
    <w:rsid w:val="001520CF"/>
    <w:rsid w:val="001533B2"/>
    <w:rsid w:val="001537D6"/>
    <w:rsid w:val="001541EA"/>
    <w:rsid w:val="001548A9"/>
    <w:rsid w:val="00154C90"/>
    <w:rsid w:val="001553B5"/>
    <w:rsid w:val="001557FB"/>
    <w:rsid w:val="001562CA"/>
    <w:rsid w:val="001569D0"/>
    <w:rsid w:val="00157E77"/>
    <w:rsid w:val="0016084C"/>
    <w:rsid w:val="00160984"/>
    <w:rsid w:val="001612A4"/>
    <w:rsid w:val="00161B44"/>
    <w:rsid w:val="001622C7"/>
    <w:rsid w:val="00162522"/>
    <w:rsid w:val="00162941"/>
    <w:rsid w:val="00162C2E"/>
    <w:rsid w:val="001642F8"/>
    <w:rsid w:val="00164D07"/>
    <w:rsid w:val="00165679"/>
    <w:rsid w:val="00166757"/>
    <w:rsid w:val="00166B26"/>
    <w:rsid w:val="001676F2"/>
    <w:rsid w:val="001677E3"/>
    <w:rsid w:val="001678F1"/>
    <w:rsid w:val="00167C07"/>
    <w:rsid w:val="00171A93"/>
    <w:rsid w:val="001723A9"/>
    <w:rsid w:val="00172433"/>
    <w:rsid w:val="001724B8"/>
    <w:rsid w:val="001731A0"/>
    <w:rsid w:val="0017349A"/>
    <w:rsid w:val="00173CBA"/>
    <w:rsid w:val="00173FD2"/>
    <w:rsid w:val="001741C5"/>
    <w:rsid w:val="00174250"/>
    <w:rsid w:val="00174ABF"/>
    <w:rsid w:val="00174ADE"/>
    <w:rsid w:val="00174B1D"/>
    <w:rsid w:val="001752A8"/>
    <w:rsid w:val="001752FC"/>
    <w:rsid w:val="0017571C"/>
    <w:rsid w:val="00175756"/>
    <w:rsid w:val="00175A99"/>
    <w:rsid w:val="00176063"/>
    <w:rsid w:val="001764C3"/>
    <w:rsid w:val="00176828"/>
    <w:rsid w:val="001770AB"/>
    <w:rsid w:val="00180A67"/>
    <w:rsid w:val="00180E06"/>
    <w:rsid w:val="00181859"/>
    <w:rsid w:val="00181B6F"/>
    <w:rsid w:val="001820F0"/>
    <w:rsid w:val="001823BC"/>
    <w:rsid w:val="0018242E"/>
    <w:rsid w:val="00183088"/>
    <w:rsid w:val="0018332F"/>
    <w:rsid w:val="00183567"/>
    <w:rsid w:val="0018391B"/>
    <w:rsid w:val="001842CF"/>
    <w:rsid w:val="00184745"/>
    <w:rsid w:val="0018492D"/>
    <w:rsid w:val="00184C3E"/>
    <w:rsid w:val="0018525D"/>
    <w:rsid w:val="00185482"/>
    <w:rsid w:val="00185708"/>
    <w:rsid w:val="00185DD8"/>
    <w:rsid w:val="00187115"/>
    <w:rsid w:val="00187302"/>
    <w:rsid w:val="00187AA5"/>
    <w:rsid w:val="00187AF3"/>
    <w:rsid w:val="00187B44"/>
    <w:rsid w:val="0019045F"/>
    <w:rsid w:val="001904CA"/>
    <w:rsid w:val="0019050C"/>
    <w:rsid w:val="00190C09"/>
    <w:rsid w:val="00190FDC"/>
    <w:rsid w:val="00191990"/>
    <w:rsid w:val="00191F51"/>
    <w:rsid w:val="00192612"/>
    <w:rsid w:val="0019267B"/>
    <w:rsid w:val="00194A3A"/>
    <w:rsid w:val="00194E8D"/>
    <w:rsid w:val="001955C2"/>
    <w:rsid w:val="001955F1"/>
    <w:rsid w:val="00195803"/>
    <w:rsid w:val="001958CB"/>
    <w:rsid w:val="00197E82"/>
    <w:rsid w:val="001A0008"/>
    <w:rsid w:val="001A021F"/>
    <w:rsid w:val="001A0610"/>
    <w:rsid w:val="001A0841"/>
    <w:rsid w:val="001A11EA"/>
    <w:rsid w:val="001A16BC"/>
    <w:rsid w:val="001A1DF8"/>
    <w:rsid w:val="001A27D1"/>
    <w:rsid w:val="001A2B7B"/>
    <w:rsid w:val="001A37E4"/>
    <w:rsid w:val="001A3B65"/>
    <w:rsid w:val="001A3F3C"/>
    <w:rsid w:val="001A4527"/>
    <w:rsid w:val="001A5215"/>
    <w:rsid w:val="001A53E0"/>
    <w:rsid w:val="001A62B4"/>
    <w:rsid w:val="001A66FE"/>
    <w:rsid w:val="001B00C6"/>
    <w:rsid w:val="001B021B"/>
    <w:rsid w:val="001B0B60"/>
    <w:rsid w:val="001B0E0A"/>
    <w:rsid w:val="001B1291"/>
    <w:rsid w:val="001B1940"/>
    <w:rsid w:val="001B2D50"/>
    <w:rsid w:val="001B2F8C"/>
    <w:rsid w:val="001B343F"/>
    <w:rsid w:val="001B5467"/>
    <w:rsid w:val="001B759E"/>
    <w:rsid w:val="001B7862"/>
    <w:rsid w:val="001B78D7"/>
    <w:rsid w:val="001C03DD"/>
    <w:rsid w:val="001C05D6"/>
    <w:rsid w:val="001C0C14"/>
    <w:rsid w:val="001C0FA1"/>
    <w:rsid w:val="001C1766"/>
    <w:rsid w:val="001C1F44"/>
    <w:rsid w:val="001C25C2"/>
    <w:rsid w:val="001C2ACD"/>
    <w:rsid w:val="001C3092"/>
    <w:rsid w:val="001C4603"/>
    <w:rsid w:val="001C524D"/>
    <w:rsid w:val="001C61C1"/>
    <w:rsid w:val="001C6A36"/>
    <w:rsid w:val="001C7548"/>
    <w:rsid w:val="001D0012"/>
    <w:rsid w:val="001D0751"/>
    <w:rsid w:val="001D0ABF"/>
    <w:rsid w:val="001D0C9E"/>
    <w:rsid w:val="001D0F81"/>
    <w:rsid w:val="001D13A0"/>
    <w:rsid w:val="001D1735"/>
    <w:rsid w:val="001D1786"/>
    <w:rsid w:val="001D1826"/>
    <w:rsid w:val="001D1A55"/>
    <w:rsid w:val="001D27E1"/>
    <w:rsid w:val="001D2EB5"/>
    <w:rsid w:val="001D2FAB"/>
    <w:rsid w:val="001D3885"/>
    <w:rsid w:val="001D4E8F"/>
    <w:rsid w:val="001D54FC"/>
    <w:rsid w:val="001D577E"/>
    <w:rsid w:val="001D76D9"/>
    <w:rsid w:val="001D7791"/>
    <w:rsid w:val="001D78A5"/>
    <w:rsid w:val="001D7EB4"/>
    <w:rsid w:val="001E040C"/>
    <w:rsid w:val="001E0C65"/>
    <w:rsid w:val="001E1DC0"/>
    <w:rsid w:val="001E1F15"/>
    <w:rsid w:val="001E234B"/>
    <w:rsid w:val="001E2897"/>
    <w:rsid w:val="001E2B16"/>
    <w:rsid w:val="001E332E"/>
    <w:rsid w:val="001E3CF5"/>
    <w:rsid w:val="001E3E7C"/>
    <w:rsid w:val="001E469F"/>
    <w:rsid w:val="001E4E9E"/>
    <w:rsid w:val="001E5800"/>
    <w:rsid w:val="001E5DA2"/>
    <w:rsid w:val="001E62CE"/>
    <w:rsid w:val="001E63C8"/>
    <w:rsid w:val="001E74EB"/>
    <w:rsid w:val="001F25B9"/>
    <w:rsid w:val="001F261C"/>
    <w:rsid w:val="001F2632"/>
    <w:rsid w:val="001F2AFE"/>
    <w:rsid w:val="001F30A4"/>
    <w:rsid w:val="001F3470"/>
    <w:rsid w:val="001F371D"/>
    <w:rsid w:val="001F372D"/>
    <w:rsid w:val="001F4089"/>
    <w:rsid w:val="001F4BEA"/>
    <w:rsid w:val="001F5338"/>
    <w:rsid w:val="001F545E"/>
    <w:rsid w:val="001F54D0"/>
    <w:rsid w:val="001F5A80"/>
    <w:rsid w:val="001F65A0"/>
    <w:rsid w:val="001F67E1"/>
    <w:rsid w:val="001F72C7"/>
    <w:rsid w:val="001F7DB8"/>
    <w:rsid w:val="002003A2"/>
    <w:rsid w:val="0020055F"/>
    <w:rsid w:val="00200FBF"/>
    <w:rsid w:val="0020122A"/>
    <w:rsid w:val="00201614"/>
    <w:rsid w:val="002027F6"/>
    <w:rsid w:val="00203369"/>
    <w:rsid w:val="00203621"/>
    <w:rsid w:val="00204490"/>
    <w:rsid w:val="002046CE"/>
    <w:rsid w:val="002054B1"/>
    <w:rsid w:val="002055E9"/>
    <w:rsid w:val="002058E6"/>
    <w:rsid w:val="00205FDD"/>
    <w:rsid w:val="0020612D"/>
    <w:rsid w:val="0020691D"/>
    <w:rsid w:val="00207128"/>
    <w:rsid w:val="002071AE"/>
    <w:rsid w:val="002109B4"/>
    <w:rsid w:val="00210BAA"/>
    <w:rsid w:val="00210DA0"/>
    <w:rsid w:val="00210F1A"/>
    <w:rsid w:val="00211103"/>
    <w:rsid w:val="00211538"/>
    <w:rsid w:val="00211A28"/>
    <w:rsid w:val="0021283E"/>
    <w:rsid w:val="00213093"/>
    <w:rsid w:val="002136CA"/>
    <w:rsid w:val="002137FC"/>
    <w:rsid w:val="00213911"/>
    <w:rsid w:val="002145C4"/>
    <w:rsid w:val="002146F5"/>
    <w:rsid w:val="002146F8"/>
    <w:rsid w:val="00215153"/>
    <w:rsid w:val="00215ACF"/>
    <w:rsid w:val="0021676B"/>
    <w:rsid w:val="00216B06"/>
    <w:rsid w:val="002171AC"/>
    <w:rsid w:val="00220C0B"/>
    <w:rsid w:val="00220CD5"/>
    <w:rsid w:val="00220DD1"/>
    <w:rsid w:val="00220DF9"/>
    <w:rsid w:val="00221568"/>
    <w:rsid w:val="002217D1"/>
    <w:rsid w:val="00222601"/>
    <w:rsid w:val="00223772"/>
    <w:rsid w:val="00223A27"/>
    <w:rsid w:val="00223FBC"/>
    <w:rsid w:val="002247C2"/>
    <w:rsid w:val="002252DA"/>
    <w:rsid w:val="00225491"/>
    <w:rsid w:val="002257C5"/>
    <w:rsid w:val="00225926"/>
    <w:rsid w:val="00225972"/>
    <w:rsid w:val="002264C6"/>
    <w:rsid w:val="00226899"/>
    <w:rsid w:val="00232200"/>
    <w:rsid w:val="0023222A"/>
    <w:rsid w:val="0023231C"/>
    <w:rsid w:val="002325F5"/>
    <w:rsid w:val="00232DB2"/>
    <w:rsid w:val="00233200"/>
    <w:rsid w:val="002338EF"/>
    <w:rsid w:val="002340FB"/>
    <w:rsid w:val="0023474D"/>
    <w:rsid w:val="0023502B"/>
    <w:rsid w:val="00235132"/>
    <w:rsid w:val="002353EE"/>
    <w:rsid w:val="002361FB"/>
    <w:rsid w:val="00237C8A"/>
    <w:rsid w:val="00241F93"/>
    <w:rsid w:val="002439DC"/>
    <w:rsid w:val="00243C5D"/>
    <w:rsid w:val="00244739"/>
    <w:rsid w:val="0024486E"/>
    <w:rsid w:val="00244C0F"/>
    <w:rsid w:val="00245606"/>
    <w:rsid w:val="00245D2C"/>
    <w:rsid w:val="002465CE"/>
    <w:rsid w:val="00246685"/>
    <w:rsid w:val="002468AA"/>
    <w:rsid w:val="00247336"/>
    <w:rsid w:val="00247341"/>
    <w:rsid w:val="00251435"/>
    <w:rsid w:val="00251D9C"/>
    <w:rsid w:val="00252132"/>
    <w:rsid w:val="002526F7"/>
    <w:rsid w:val="00252CEF"/>
    <w:rsid w:val="002537A8"/>
    <w:rsid w:val="0025383F"/>
    <w:rsid w:val="00254236"/>
    <w:rsid w:val="002549E2"/>
    <w:rsid w:val="00254B3B"/>
    <w:rsid w:val="0025624E"/>
    <w:rsid w:val="002566B7"/>
    <w:rsid w:val="00256F09"/>
    <w:rsid w:val="00257997"/>
    <w:rsid w:val="00257A11"/>
    <w:rsid w:val="00260505"/>
    <w:rsid w:val="0026057E"/>
    <w:rsid w:val="00260B9E"/>
    <w:rsid w:val="00260CFF"/>
    <w:rsid w:val="0026139A"/>
    <w:rsid w:val="00261615"/>
    <w:rsid w:val="0026259D"/>
    <w:rsid w:val="00263C04"/>
    <w:rsid w:val="00263E47"/>
    <w:rsid w:val="00263F1B"/>
    <w:rsid w:val="00265871"/>
    <w:rsid w:val="00265A9D"/>
    <w:rsid w:val="00266A39"/>
    <w:rsid w:val="002674D2"/>
    <w:rsid w:val="00267C7A"/>
    <w:rsid w:val="00267F92"/>
    <w:rsid w:val="00271078"/>
    <w:rsid w:val="00272452"/>
    <w:rsid w:val="00272BE9"/>
    <w:rsid w:val="0027303A"/>
    <w:rsid w:val="00273280"/>
    <w:rsid w:val="002733D1"/>
    <w:rsid w:val="00273793"/>
    <w:rsid w:val="00273802"/>
    <w:rsid w:val="00273D76"/>
    <w:rsid w:val="002753F6"/>
    <w:rsid w:val="00275AF6"/>
    <w:rsid w:val="00276DB2"/>
    <w:rsid w:val="00277836"/>
    <w:rsid w:val="00280134"/>
    <w:rsid w:val="00281B7B"/>
    <w:rsid w:val="00282C91"/>
    <w:rsid w:val="00284CDA"/>
    <w:rsid w:val="0028527D"/>
    <w:rsid w:val="0028602A"/>
    <w:rsid w:val="002866A1"/>
    <w:rsid w:val="002871A6"/>
    <w:rsid w:val="00287378"/>
    <w:rsid w:val="002876B2"/>
    <w:rsid w:val="002878AE"/>
    <w:rsid w:val="00287AFF"/>
    <w:rsid w:val="0029025F"/>
    <w:rsid w:val="0029066C"/>
    <w:rsid w:val="0029153E"/>
    <w:rsid w:val="002916F4"/>
    <w:rsid w:val="00292187"/>
    <w:rsid w:val="0029263A"/>
    <w:rsid w:val="002926D8"/>
    <w:rsid w:val="00292A41"/>
    <w:rsid w:val="00292B37"/>
    <w:rsid w:val="00292D86"/>
    <w:rsid w:val="00292ED7"/>
    <w:rsid w:val="00293324"/>
    <w:rsid w:val="00293BBD"/>
    <w:rsid w:val="00294387"/>
    <w:rsid w:val="002950EC"/>
    <w:rsid w:val="002953D0"/>
    <w:rsid w:val="002954C2"/>
    <w:rsid w:val="00295727"/>
    <w:rsid w:val="002967F0"/>
    <w:rsid w:val="00296AD9"/>
    <w:rsid w:val="002971D9"/>
    <w:rsid w:val="002A08EF"/>
    <w:rsid w:val="002A0A61"/>
    <w:rsid w:val="002A2111"/>
    <w:rsid w:val="002A2A5F"/>
    <w:rsid w:val="002A2DA3"/>
    <w:rsid w:val="002A2DD9"/>
    <w:rsid w:val="002A336B"/>
    <w:rsid w:val="002A36EA"/>
    <w:rsid w:val="002A3CE3"/>
    <w:rsid w:val="002A4A8F"/>
    <w:rsid w:val="002A542C"/>
    <w:rsid w:val="002A61D3"/>
    <w:rsid w:val="002A74D5"/>
    <w:rsid w:val="002B0C26"/>
    <w:rsid w:val="002B1729"/>
    <w:rsid w:val="002B1D63"/>
    <w:rsid w:val="002B1E05"/>
    <w:rsid w:val="002B2817"/>
    <w:rsid w:val="002B3033"/>
    <w:rsid w:val="002B3482"/>
    <w:rsid w:val="002B36F4"/>
    <w:rsid w:val="002B422D"/>
    <w:rsid w:val="002B52BA"/>
    <w:rsid w:val="002B5931"/>
    <w:rsid w:val="002B6380"/>
    <w:rsid w:val="002B6E23"/>
    <w:rsid w:val="002B6F1A"/>
    <w:rsid w:val="002B7029"/>
    <w:rsid w:val="002B7879"/>
    <w:rsid w:val="002B7A5E"/>
    <w:rsid w:val="002C070D"/>
    <w:rsid w:val="002C0C12"/>
    <w:rsid w:val="002C1264"/>
    <w:rsid w:val="002C1478"/>
    <w:rsid w:val="002C18C1"/>
    <w:rsid w:val="002C1985"/>
    <w:rsid w:val="002C27A9"/>
    <w:rsid w:val="002C27F7"/>
    <w:rsid w:val="002C289D"/>
    <w:rsid w:val="002C397D"/>
    <w:rsid w:val="002C4698"/>
    <w:rsid w:val="002C48D6"/>
    <w:rsid w:val="002C4C0F"/>
    <w:rsid w:val="002C4E35"/>
    <w:rsid w:val="002C50CA"/>
    <w:rsid w:val="002C57FD"/>
    <w:rsid w:val="002C5E90"/>
    <w:rsid w:val="002C66FC"/>
    <w:rsid w:val="002C6B96"/>
    <w:rsid w:val="002D043B"/>
    <w:rsid w:val="002D1F59"/>
    <w:rsid w:val="002D30E4"/>
    <w:rsid w:val="002D4992"/>
    <w:rsid w:val="002D5142"/>
    <w:rsid w:val="002D5583"/>
    <w:rsid w:val="002D664D"/>
    <w:rsid w:val="002D7713"/>
    <w:rsid w:val="002E01F3"/>
    <w:rsid w:val="002E0A8F"/>
    <w:rsid w:val="002E0C7A"/>
    <w:rsid w:val="002E1274"/>
    <w:rsid w:val="002E14CF"/>
    <w:rsid w:val="002E15E3"/>
    <w:rsid w:val="002E1795"/>
    <w:rsid w:val="002E22A4"/>
    <w:rsid w:val="002E3388"/>
    <w:rsid w:val="002E3746"/>
    <w:rsid w:val="002E3ABA"/>
    <w:rsid w:val="002E3EDE"/>
    <w:rsid w:val="002E6345"/>
    <w:rsid w:val="002E73BC"/>
    <w:rsid w:val="002E76D7"/>
    <w:rsid w:val="002F26B2"/>
    <w:rsid w:val="002F28B8"/>
    <w:rsid w:val="002F2AC0"/>
    <w:rsid w:val="002F2C93"/>
    <w:rsid w:val="002F2FDF"/>
    <w:rsid w:val="002F43EA"/>
    <w:rsid w:val="002F4969"/>
    <w:rsid w:val="002F4FFA"/>
    <w:rsid w:val="002F5017"/>
    <w:rsid w:val="002F64AF"/>
    <w:rsid w:val="002F64F4"/>
    <w:rsid w:val="002F65B8"/>
    <w:rsid w:val="002F663A"/>
    <w:rsid w:val="002F77BB"/>
    <w:rsid w:val="003007DF"/>
    <w:rsid w:val="00300EF4"/>
    <w:rsid w:val="00301144"/>
    <w:rsid w:val="00301401"/>
    <w:rsid w:val="00301A2B"/>
    <w:rsid w:val="00301C3F"/>
    <w:rsid w:val="003023BD"/>
    <w:rsid w:val="003046E6"/>
    <w:rsid w:val="00304780"/>
    <w:rsid w:val="0030478A"/>
    <w:rsid w:val="00304E2C"/>
    <w:rsid w:val="0030514B"/>
    <w:rsid w:val="003054F4"/>
    <w:rsid w:val="0030561A"/>
    <w:rsid w:val="0031066F"/>
    <w:rsid w:val="003119D4"/>
    <w:rsid w:val="003124C3"/>
    <w:rsid w:val="003129C0"/>
    <w:rsid w:val="00312AD7"/>
    <w:rsid w:val="00312C9D"/>
    <w:rsid w:val="0031316C"/>
    <w:rsid w:val="00314550"/>
    <w:rsid w:val="0031476C"/>
    <w:rsid w:val="003147C7"/>
    <w:rsid w:val="003148B7"/>
    <w:rsid w:val="0031496F"/>
    <w:rsid w:val="00314EA8"/>
    <w:rsid w:val="00315464"/>
    <w:rsid w:val="003158C3"/>
    <w:rsid w:val="00315AD8"/>
    <w:rsid w:val="00315DC2"/>
    <w:rsid w:val="003163F8"/>
    <w:rsid w:val="00317168"/>
    <w:rsid w:val="00317879"/>
    <w:rsid w:val="003200A3"/>
    <w:rsid w:val="003207B1"/>
    <w:rsid w:val="0032094E"/>
    <w:rsid w:val="00320F77"/>
    <w:rsid w:val="00320FB8"/>
    <w:rsid w:val="00321410"/>
    <w:rsid w:val="003216CE"/>
    <w:rsid w:val="00321D25"/>
    <w:rsid w:val="003221C4"/>
    <w:rsid w:val="00322FC1"/>
    <w:rsid w:val="00323650"/>
    <w:rsid w:val="00323D96"/>
    <w:rsid w:val="00324B89"/>
    <w:rsid w:val="0032559C"/>
    <w:rsid w:val="0032578A"/>
    <w:rsid w:val="00325DBD"/>
    <w:rsid w:val="00325E11"/>
    <w:rsid w:val="0032619E"/>
    <w:rsid w:val="003264E0"/>
    <w:rsid w:val="0032671A"/>
    <w:rsid w:val="0032733A"/>
    <w:rsid w:val="003274CD"/>
    <w:rsid w:val="00327796"/>
    <w:rsid w:val="00327AE5"/>
    <w:rsid w:val="0033028F"/>
    <w:rsid w:val="00330FFD"/>
    <w:rsid w:val="00331F77"/>
    <w:rsid w:val="00332594"/>
    <w:rsid w:val="003329B1"/>
    <w:rsid w:val="0033372C"/>
    <w:rsid w:val="00333A5A"/>
    <w:rsid w:val="00334E2A"/>
    <w:rsid w:val="00335237"/>
    <w:rsid w:val="00335914"/>
    <w:rsid w:val="00335A94"/>
    <w:rsid w:val="00335C25"/>
    <w:rsid w:val="003369E2"/>
    <w:rsid w:val="00336A2C"/>
    <w:rsid w:val="00337475"/>
    <w:rsid w:val="00337862"/>
    <w:rsid w:val="00337FE1"/>
    <w:rsid w:val="003404E4"/>
    <w:rsid w:val="003413D8"/>
    <w:rsid w:val="00341CCC"/>
    <w:rsid w:val="00344025"/>
    <w:rsid w:val="003449B4"/>
    <w:rsid w:val="00344A13"/>
    <w:rsid w:val="0034524C"/>
    <w:rsid w:val="003452C8"/>
    <w:rsid w:val="003452D2"/>
    <w:rsid w:val="003453D9"/>
    <w:rsid w:val="0034558F"/>
    <w:rsid w:val="003457B9"/>
    <w:rsid w:val="00345D1D"/>
    <w:rsid w:val="00345DA8"/>
    <w:rsid w:val="003466ED"/>
    <w:rsid w:val="00347BA8"/>
    <w:rsid w:val="00350635"/>
    <w:rsid w:val="00350FC0"/>
    <w:rsid w:val="0035119D"/>
    <w:rsid w:val="00351C07"/>
    <w:rsid w:val="00351CBA"/>
    <w:rsid w:val="0035291B"/>
    <w:rsid w:val="00352A6F"/>
    <w:rsid w:val="00352F9B"/>
    <w:rsid w:val="00354171"/>
    <w:rsid w:val="003542CA"/>
    <w:rsid w:val="003548AD"/>
    <w:rsid w:val="003549EB"/>
    <w:rsid w:val="00354C04"/>
    <w:rsid w:val="00356B67"/>
    <w:rsid w:val="00360D5C"/>
    <w:rsid w:val="00361400"/>
    <w:rsid w:val="00361D80"/>
    <w:rsid w:val="00362186"/>
    <w:rsid w:val="003627C4"/>
    <w:rsid w:val="00362D30"/>
    <w:rsid w:val="00363205"/>
    <w:rsid w:val="0036333E"/>
    <w:rsid w:val="003642B1"/>
    <w:rsid w:val="003642E9"/>
    <w:rsid w:val="003648E0"/>
    <w:rsid w:val="003652CE"/>
    <w:rsid w:val="003664D2"/>
    <w:rsid w:val="003666BD"/>
    <w:rsid w:val="003679D3"/>
    <w:rsid w:val="00371939"/>
    <w:rsid w:val="0037273A"/>
    <w:rsid w:val="00372820"/>
    <w:rsid w:val="00372DE8"/>
    <w:rsid w:val="00373393"/>
    <w:rsid w:val="00373AA3"/>
    <w:rsid w:val="00373F16"/>
    <w:rsid w:val="003748A6"/>
    <w:rsid w:val="0037511C"/>
    <w:rsid w:val="00375922"/>
    <w:rsid w:val="00375D79"/>
    <w:rsid w:val="00375E0A"/>
    <w:rsid w:val="0037651A"/>
    <w:rsid w:val="00376653"/>
    <w:rsid w:val="00376BC0"/>
    <w:rsid w:val="0037787A"/>
    <w:rsid w:val="003801AE"/>
    <w:rsid w:val="00380438"/>
    <w:rsid w:val="003808A3"/>
    <w:rsid w:val="00381474"/>
    <w:rsid w:val="00381785"/>
    <w:rsid w:val="00382622"/>
    <w:rsid w:val="0038350E"/>
    <w:rsid w:val="00383A8B"/>
    <w:rsid w:val="00385E00"/>
    <w:rsid w:val="003866FD"/>
    <w:rsid w:val="00386757"/>
    <w:rsid w:val="0038705F"/>
    <w:rsid w:val="00390303"/>
    <w:rsid w:val="00390E6F"/>
    <w:rsid w:val="003934A1"/>
    <w:rsid w:val="00393613"/>
    <w:rsid w:val="00393C19"/>
    <w:rsid w:val="00394514"/>
    <w:rsid w:val="00395887"/>
    <w:rsid w:val="00396922"/>
    <w:rsid w:val="0039694A"/>
    <w:rsid w:val="0039707A"/>
    <w:rsid w:val="00397DD4"/>
    <w:rsid w:val="003A11C6"/>
    <w:rsid w:val="003A1409"/>
    <w:rsid w:val="003A154D"/>
    <w:rsid w:val="003A3912"/>
    <w:rsid w:val="003A474D"/>
    <w:rsid w:val="003A55A5"/>
    <w:rsid w:val="003A5CB3"/>
    <w:rsid w:val="003A61C4"/>
    <w:rsid w:val="003A71C5"/>
    <w:rsid w:val="003A723D"/>
    <w:rsid w:val="003A76C7"/>
    <w:rsid w:val="003A7DA1"/>
    <w:rsid w:val="003B0B24"/>
    <w:rsid w:val="003B1593"/>
    <w:rsid w:val="003B1C5B"/>
    <w:rsid w:val="003B1EDE"/>
    <w:rsid w:val="003B2E07"/>
    <w:rsid w:val="003B2E9A"/>
    <w:rsid w:val="003B311D"/>
    <w:rsid w:val="003B3501"/>
    <w:rsid w:val="003B35ED"/>
    <w:rsid w:val="003B37B6"/>
    <w:rsid w:val="003B3D50"/>
    <w:rsid w:val="003B3E41"/>
    <w:rsid w:val="003B3F3A"/>
    <w:rsid w:val="003B45A7"/>
    <w:rsid w:val="003B4963"/>
    <w:rsid w:val="003B4F12"/>
    <w:rsid w:val="003B5537"/>
    <w:rsid w:val="003B5A69"/>
    <w:rsid w:val="003B5B44"/>
    <w:rsid w:val="003B65E9"/>
    <w:rsid w:val="003B776B"/>
    <w:rsid w:val="003C0B64"/>
    <w:rsid w:val="003C0DFD"/>
    <w:rsid w:val="003C0E5E"/>
    <w:rsid w:val="003C10BA"/>
    <w:rsid w:val="003C149D"/>
    <w:rsid w:val="003C1918"/>
    <w:rsid w:val="003C257B"/>
    <w:rsid w:val="003C2FE1"/>
    <w:rsid w:val="003C323A"/>
    <w:rsid w:val="003C3408"/>
    <w:rsid w:val="003C3643"/>
    <w:rsid w:val="003C3AF4"/>
    <w:rsid w:val="003C50E5"/>
    <w:rsid w:val="003C5EF8"/>
    <w:rsid w:val="003C60AC"/>
    <w:rsid w:val="003D1111"/>
    <w:rsid w:val="003D1CEE"/>
    <w:rsid w:val="003D2399"/>
    <w:rsid w:val="003D36B5"/>
    <w:rsid w:val="003D4B49"/>
    <w:rsid w:val="003D572B"/>
    <w:rsid w:val="003D5757"/>
    <w:rsid w:val="003D6702"/>
    <w:rsid w:val="003D6D7F"/>
    <w:rsid w:val="003D7A05"/>
    <w:rsid w:val="003E0613"/>
    <w:rsid w:val="003E0F80"/>
    <w:rsid w:val="003E1E9B"/>
    <w:rsid w:val="003E22EF"/>
    <w:rsid w:val="003E25A3"/>
    <w:rsid w:val="003E261C"/>
    <w:rsid w:val="003E2A00"/>
    <w:rsid w:val="003E3863"/>
    <w:rsid w:val="003E39B4"/>
    <w:rsid w:val="003E3DAF"/>
    <w:rsid w:val="003E4128"/>
    <w:rsid w:val="003E4594"/>
    <w:rsid w:val="003E4702"/>
    <w:rsid w:val="003E4A39"/>
    <w:rsid w:val="003E5C71"/>
    <w:rsid w:val="003E6DC8"/>
    <w:rsid w:val="003E6FEE"/>
    <w:rsid w:val="003F0200"/>
    <w:rsid w:val="003F0AB3"/>
    <w:rsid w:val="003F2412"/>
    <w:rsid w:val="003F3445"/>
    <w:rsid w:val="003F3ADD"/>
    <w:rsid w:val="003F4294"/>
    <w:rsid w:val="003F511D"/>
    <w:rsid w:val="003F5A06"/>
    <w:rsid w:val="003F5FC0"/>
    <w:rsid w:val="003F6A3A"/>
    <w:rsid w:val="003F6D6B"/>
    <w:rsid w:val="003F6F08"/>
    <w:rsid w:val="003F79C0"/>
    <w:rsid w:val="003F79E1"/>
    <w:rsid w:val="003F7D13"/>
    <w:rsid w:val="003F7E20"/>
    <w:rsid w:val="003F7EA5"/>
    <w:rsid w:val="004010C4"/>
    <w:rsid w:val="00402401"/>
    <w:rsid w:val="00402875"/>
    <w:rsid w:val="00403063"/>
    <w:rsid w:val="004040DF"/>
    <w:rsid w:val="00405211"/>
    <w:rsid w:val="00405CDC"/>
    <w:rsid w:val="00406025"/>
    <w:rsid w:val="00406137"/>
    <w:rsid w:val="00406185"/>
    <w:rsid w:val="00406DDF"/>
    <w:rsid w:val="00407682"/>
    <w:rsid w:val="004105F1"/>
    <w:rsid w:val="00411F19"/>
    <w:rsid w:val="00411F90"/>
    <w:rsid w:val="00412065"/>
    <w:rsid w:val="00412120"/>
    <w:rsid w:val="00412577"/>
    <w:rsid w:val="004126A6"/>
    <w:rsid w:val="00412D3C"/>
    <w:rsid w:val="004138C0"/>
    <w:rsid w:val="00414707"/>
    <w:rsid w:val="00414DAD"/>
    <w:rsid w:val="00415697"/>
    <w:rsid w:val="004163E4"/>
    <w:rsid w:val="00416618"/>
    <w:rsid w:val="004178FA"/>
    <w:rsid w:val="00417B78"/>
    <w:rsid w:val="00420092"/>
    <w:rsid w:val="004204BD"/>
    <w:rsid w:val="004208ED"/>
    <w:rsid w:val="0042097C"/>
    <w:rsid w:val="00420CAE"/>
    <w:rsid w:val="0042188F"/>
    <w:rsid w:val="00421F30"/>
    <w:rsid w:val="004225DA"/>
    <w:rsid w:val="00423049"/>
    <w:rsid w:val="00423631"/>
    <w:rsid w:val="00423F31"/>
    <w:rsid w:val="00425E5A"/>
    <w:rsid w:val="00425F10"/>
    <w:rsid w:val="004262F8"/>
    <w:rsid w:val="0042702E"/>
    <w:rsid w:val="00427AA5"/>
    <w:rsid w:val="00431109"/>
    <w:rsid w:val="00431586"/>
    <w:rsid w:val="00431899"/>
    <w:rsid w:val="0043201F"/>
    <w:rsid w:val="004325BE"/>
    <w:rsid w:val="004326F5"/>
    <w:rsid w:val="0043277A"/>
    <w:rsid w:val="0043360D"/>
    <w:rsid w:val="00433845"/>
    <w:rsid w:val="004343F4"/>
    <w:rsid w:val="004345BB"/>
    <w:rsid w:val="00434CD8"/>
    <w:rsid w:val="0043579A"/>
    <w:rsid w:val="0043712B"/>
    <w:rsid w:val="0043774C"/>
    <w:rsid w:val="00437E87"/>
    <w:rsid w:val="00440355"/>
    <w:rsid w:val="004405A0"/>
    <w:rsid w:val="004409C3"/>
    <w:rsid w:val="0044152E"/>
    <w:rsid w:val="00441A57"/>
    <w:rsid w:val="00441A7D"/>
    <w:rsid w:val="004424D7"/>
    <w:rsid w:val="00442600"/>
    <w:rsid w:val="00442B24"/>
    <w:rsid w:val="0044464E"/>
    <w:rsid w:val="00444E64"/>
    <w:rsid w:val="00444FC8"/>
    <w:rsid w:val="00445092"/>
    <w:rsid w:val="00445278"/>
    <w:rsid w:val="00445FD8"/>
    <w:rsid w:val="00446083"/>
    <w:rsid w:val="004460E4"/>
    <w:rsid w:val="00446350"/>
    <w:rsid w:val="0044745A"/>
    <w:rsid w:val="0044757D"/>
    <w:rsid w:val="00450206"/>
    <w:rsid w:val="00450DC4"/>
    <w:rsid w:val="0045136F"/>
    <w:rsid w:val="00452278"/>
    <w:rsid w:val="00453257"/>
    <w:rsid w:val="00453567"/>
    <w:rsid w:val="0045383A"/>
    <w:rsid w:val="004538FB"/>
    <w:rsid w:val="00453A71"/>
    <w:rsid w:val="0045466F"/>
    <w:rsid w:val="004549E9"/>
    <w:rsid w:val="00454EA3"/>
    <w:rsid w:val="0045536D"/>
    <w:rsid w:val="00455473"/>
    <w:rsid w:val="00455B5A"/>
    <w:rsid w:val="004560BC"/>
    <w:rsid w:val="00456989"/>
    <w:rsid w:val="0045705D"/>
    <w:rsid w:val="00457C01"/>
    <w:rsid w:val="0046022C"/>
    <w:rsid w:val="00460A73"/>
    <w:rsid w:val="00461037"/>
    <w:rsid w:val="0046122B"/>
    <w:rsid w:val="00461AC7"/>
    <w:rsid w:val="00461CD2"/>
    <w:rsid w:val="00461F83"/>
    <w:rsid w:val="004620F5"/>
    <w:rsid w:val="004625A1"/>
    <w:rsid w:val="00463341"/>
    <w:rsid w:val="00463458"/>
    <w:rsid w:val="00463869"/>
    <w:rsid w:val="00463A21"/>
    <w:rsid w:val="004642DB"/>
    <w:rsid w:val="00464392"/>
    <w:rsid w:val="0046451D"/>
    <w:rsid w:val="00464761"/>
    <w:rsid w:val="0046501E"/>
    <w:rsid w:val="00465584"/>
    <w:rsid w:val="0046564F"/>
    <w:rsid w:val="00465A38"/>
    <w:rsid w:val="00466540"/>
    <w:rsid w:val="00466585"/>
    <w:rsid w:val="00466713"/>
    <w:rsid w:val="00466861"/>
    <w:rsid w:val="00466D57"/>
    <w:rsid w:val="004701F3"/>
    <w:rsid w:val="004705B9"/>
    <w:rsid w:val="0047105E"/>
    <w:rsid w:val="004710AA"/>
    <w:rsid w:val="004712E6"/>
    <w:rsid w:val="004714C8"/>
    <w:rsid w:val="00472037"/>
    <w:rsid w:val="00473698"/>
    <w:rsid w:val="00475006"/>
    <w:rsid w:val="00475903"/>
    <w:rsid w:val="00475D5F"/>
    <w:rsid w:val="00476EA4"/>
    <w:rsid w:val="00476EC3"/>
    <w:rsid w:val="00477476"/>
    <w:rsid w:val="0047792B"/>
    <w:rsid w:val="00477EE9"/>
    <w:rsid w:val="0048149B"/>
    <w:rsid w:val="0048204C"/>
    <w:rsid w:val="0048254B"/>
    <w:rsid w:val="004825CC"/>
    <w:rsid w:val="00483606"/>
    <w:rsid w:val="00483BE5"/>
    <w:rsid w:val="0048462E"/>
    <w:rsid w:val="00484CEB"/>
    <w:rsid w:val="00486804"/>
    <w:rsid w:val="00486B24"/>
    <w:rsid w:val="00486CCF"/>
    <w:rsid w:val="00487686"/>
    <w:rsid w:val="0048785E"/>
    <w:rsid w:val="00487BA7"/>
    <w:rsid w:val="00490DDC"/>
    <w:rsid w:val="00491E6B"/>
    <w:rsid w:val="00493223"/>
    <w:rsid w:val="004935E2"/>
    <w:rsid w:val="004941F1"/>
    <w:rsid w:val="00497C01"/>
    <w:rsid w:val="00497C55"/>
    <w:rsid w:val="004A0260"/>
    <w:rsid w:val="004A09E6"/>
    <w:rsid w:val="004A110E"/>
    <w:rsid w:val="004A14C5"/>
    <w:rsid w:val="004A1617"/>
    <w:rsid w:val="004A1722"/>
    <w:rsid w:val="004A3208"/>
    <w:rsid w:val="004A5099"/>
    <w:rsid w:val="004A50D1"/>
    <w:rsid w:val="004A532B"/>
    <w:rsid w:val="004A60CA"/>
    <w:rsid w:val="004A6849"/>
    <w:rsid w:val="004A70F5"/>
    <w:rsid w:val="004A71EA"/>
    <w:rsid w:val="004A7962"/>
    <w:rsid w:val="004A7BFE"/>
    <w:rsid w:val="004B00AB"/>
    <w:rsid w:val="004B00F0"/>
    <w:rsid w:val="004B04C8"/>
    <w:rsid w:val="004B06A1"/>
    <w:rsid w:val="004B06BF"/>
    <w:rsid w:val="004B145B"/>
    <w:rsid w:val="004B1BD7"/>
    <w:rsid w:val="004B2280"/>
    <w:rsid w:val="004B2B7F"/>
    <w:rsid w:val="004B2DAD"/>
    <w:rsid w:val="004B32CD"/>
    <w:rsid w:val="004B3775"/>
    <w:rsid w:val="004B3B84"/>
    <w:rsid w:val="004B3D9C"/>
    <w:rsid w:val="004B3F22"/>
    <w:rsid w:val="004B4BA7"/>
    <w:rsid w:val="004B60FD"/>
    <w:rsid w:val="004C0FF3"/>
    <w:rsid w:val="004C0FF7"/>
    <w:rsid w:val="004C11B1"/>
    <w:rsid w:val="004C120B"/>
    <w:rsid w:val="004C1F83"/>
    <w:rsid w:val="004C200D"/>
    <w:rsid w:val="004C2594"/>
    <w:rsid w:val="004C2613"/>
    <w:rsid w:val="004C2A06"/>
    <w:rsid w:val="004C312F"/>
    <w:rsid w:val="004C4373"/>
    <w:rsid w:val="004C4480"/>
    <w:rsid w:val="004C69E5"/>
    <w:rsid w:val="004C6DD7"/>
    <w:rsid w:val="004D0439"/>
    <w:rsid w:val="004D05DB"/>
    <w:rsid w:val="004D0D74"/>
    <w:rsid w:val="004D0E9D"/>
    <w:rsid w:val="004D15FA"/>
    <w:rsid w:val="004D1915"/>
    <w:rsid w:val="004D1D21"/>
    <w:rsid w:val="004D1FC1"/>
    <w:rsid w:val="004D202E"/>
    <w:rsid w:val="004D2202"/>
    <w:rsid w:val="004D243D"/>
    <w:rsid w:val="004D2911"/>
    <w:rsid w:val="004D2A52"/>
    <w:rsid w:val="004D2A83"/>
    <w:rsid w:val="004D2C23"/>
    <w:rsid w:val="004D3E45"/>
    <w:rsid w:val="004D4C65"/>
    <w:rsid w:val="004D56AA"/>
    <w:rsid w:val="004D5882"/>
    <w:rsid w:val="004D59F3"/>
    <w:rsid w:val="004D5CCE"/>
    <w:rsid w:val="004D5F62"/>
    <w:rsid w:val="004D60F7"/>
    <w:rsid w:val="004D681C"/>
    <w:rsid w:val="004D773D"/>
    <w:rsid w:val="004D7C2A"/>
    <w:rsid w:val="004D7DA4"/>
    <w:rsid w:val="004D7EEE"/>
    <w:rsid w:val="004E058F"/>
    <w:rsid w:val="004E0E59"/>
    <w:rsid w:val="004E0EAC"/>
    <w:rsid w:val="004E14FC"/>
    <w:rsid w:val="004E1DEC"/>
    <w:rsid w:val="004E25D3"/>
    <w:rsid w:val="004E3B87"/>
    <w:rsid w:val="004E49F1"/>
    <w:rsid w:val="004E52C3"/>
    <w:rsid w:val="004E53F6"/>
    <w:rsid w:val="004E5ABC"/>
    <w:rsid w:val="004E6E27"/>
    <w:rsid w:val="004E6FCF"/>
    <w:rsid w:val="004E7130"/>
    <w:rsid w:val="004E71A2"/>
    <w:rsid w:val="004E7255"/>
    <w:rsid w:val="004E747A"/>
    <w:rsid w:val="004E7848"/>
    <w:rsid w:val="004E7B38"/>
    <w:rsid w:val="004F1FDF"/>
    <w:rsid w:val="004F2370"/>
    <w:rsid w:val="004F3915"/>
    <w:rsid w:val="004F45DC"/>
    <w:rsid w:val="004F5197"/>
    <w:rsid w:val="004F594D"/>
    <w:rsid w:val="004F76EF"/>
    <w:rsid w:val="004F7D50"/>
    <w:rsid w:val="004F7E7B"/>
    <w:rsid w:val="0050009A"/>
    <w:rsid w:val="005004F0"/>
    <w:rsid w:val="00501513"/>
    <w:rsid w:val="00501F57"/>
    <w:rsid w:val="00502BBF"/>
    <w:rsid w:val="00502DA2"/>
    <w:rsid w:val="005035F5"/>
    <w:rsid w:val="00503D24"/>
    <w:rsid w:val="00504418"/>
    <w:rsid w:val="005047EF"/>
    <w:rsid w:val="00504DD5"/>
    <w:rsid w:val="00504E8E"/>
    <w:rsid w:val="005050CB"/>
    <w:rsid w:val="00506220"/>
    <w:rsid w:val="00506349"/>
    <w:rsid w:val="00506403"/>
    <w:rsid w:val="005066D8"/>
    <w:rsid w:val="00506A68"/>
    <w:rsid w:val="00507332"/>
    <w:rsid w:val="0050788E"/>
    <w:rsid w:val="005102D7"/>
    <w:rsid w:val="00510921"/>
    <w:rsid w:val="00510AD3"/>
    <w:rsid w:val="00512350"/>
    <w:rsid w:val="00512588"/>
    <w:rsid w:val="005127BA"/>
    <w:rsid w:val="00512AA1"/>
    <w:rsid w:val="00513348"/>
    <w:rsid w:val="00513D2F"/>
    <w:rsid w:val="00513E1E"/>
    <w:rsid w:val="00514C32"/>
    <w:rsid w:val="00514CE6"/>
    <w:rsid w:val="005151B3"/>
    <w:rsid w:val="005152CD"/>
    <w:rsid w:val="0051553B"/>
    <w:rsid w:val="00515FF1"/>
    <w:rsid w:val="0051655F"/>
    <w:rsid w:val="005166FE"/>
    <w:rsid w:val="00516952"/>
    <w:rsid w:val="0051700B"/>
    <w:rsid w:val="00517208"/>
    <w:rsid w:val="0051769E"/>
    <w:rsid w:val="0051774C"/>
    <w:rsid w:val="0051794F"/>
    <w:rsid w:val="00517E99"/>
    <w:rsid w:val="00520628"/>
    <w:rsid w:val="00520D0C"/>
    <w:rsid w:val="00521A3C"/>
    <w:rsid w:val="00521A72"/>
    <w:rsid w:val="005226BD"/>
    <w:rsid w:val="005230DB"/>
    <w:rsid w:val="005239D2"/>
    <w:rsid w:val="00523D34"/>
    <w:rsid w:val="00523D44"/>
    <w:rsid w:val="00525AAD"/>
    <w:rsid w:val="00525CEB"/>
    <w:rsid w:val="00526246"/>
    <w:rsid w:val="0052658D"/>
    <w:rsid w:val="00526853"/>
    <w:rsid w:val="005269CE"/>
    <w:rsid w:val="005269D5"/>
    <w:rsid w:val="00526B92"/>
    <w:rsid w:val="0053007E"/>
    <w:rsid w:val="005300AE"/>
    <w:rsid w:val="00530180"/>
    <w:rsid w:val="00531F03"/>
    <w:rsid w:val="00532151"/>
    <w:rsid w:val="00532CD9"/>
    <w:rsid w:val="00533404"/>
    <w:rsid w:val="00533B5D"/>
    <w:rsid w:val="00534243"/>
    <w:rsid w:val="00534424"/>
    <w:rsid w:val="0053450A"/>
    <w:rsid w:val="005345CE"/>
    <w:rsid w:val="005349E4"/>
    <w:rsid w:val="00535664"/>
    <w:rsid w:val="00535713"/>
    <w:rsid w:val="00536025"/>
    <w:rsid w:val="00536C23"/>
    <w:rsid w:val="00536C9D"/>
    <w:rsid w:val="00537D48"/>
    <w:rsid w:val="00537D9B"/>
    <w:rsid w:val="00537F9B"/>
    <w:rsid w:val="00540289"/>
    <w:rsid w:val="005406BE"/>
    <w:rsid w:val="00540E58"/>
    <w:rsid w:val="005416E7"/>
    <w:rsid w:val="00541C7D"/>
    <w:rsid w:val="00542192"/>
    <w:rsid w:val="00542DA0"/>
    <w:rsid w:val="00543092"/>
    <w:rsid w:val="00545280"/>
    <w:rsid w:val="00545516"/>
    <w:rsid w:val="00546021"/>
    <w:rsid w:val="0054624D"/>
    <w:rsid w:val="00546271"/>
    <w:rsid w:val="00546573"/>
    <w:rsid w:val="00546A23"/>
    <w:rsid w:val="0054716A"/>
    <w:rsid w:val="005472E4"/>
    <w:rsid w:val="0054749C"/>
    <w:rsid w:val="00547B38"/>
    <w:rsid w:val="00550693"/>
    <w:rsid w:val="005509AB"/>
    <w:rsid w:val="005509C9"/>
    <w:rsid w:val="00551219"/>
    <w:rsid w:val="0055132A"/>
    <w:rsid w:val="00551802"/>
    <w:rsid w:val="00552D92"/>
    <w:rsid w:val="00553143"/>
    <w:rsid w:val="0055390B"/>
    <w:rsid w:val="00554D2A"/>
    <w:rsid w:val="00555CC4"/>
    <w:rsid w:val="0055706F"/>
    <w:rsid w:val="005570E8"/>
    <w:rsid w:val="00557E90"/>
    <w:rsid w:val="00557ED3"/>
    <w:rsid w:val="00560017"/>
    <w:rsid w:val="0056021D"/>
    <w:rsid w:val="00561494"/>
    <w:rsid w:val="005618B6"/>
    <w:rsid w:val="005622EE"/>
    <w:rsid w:val="0056331C"/>
    <w:rsid w:val="00563535"/>
    <w:rsid w:val="00563E5A"/>
    <w:rsid w:val="00564C23"/>
    <w:rsid w:val="005655FC"/>
    <w:rsid w:val="005659ED"/>
    <w:rsid w:val="00565FD1"/>
    <w:rsid w:val="00566442"/>
    <w:rsid w:val="0056657D"/>
    <w:rsid w:val="005667D3"/>
    <w:rsid w:val="00566D83"/>
    <w:rsid w:val="00567280"/>
    <w:rsid w:val="0057014B"/>
    <w:rsid w:val="005702D3"/>
    <w:rsid w:val="005705B8"/>
    <w:rsid w:val="00570822"/>
    <w:rsid w:val="00570CE2"/>
    <w:rsid w:val="005714DD"/>
    <w:rsid w:val="00571D76"/>
    <w:rsid w:val="005728FE"/>
    <w:rsid w:val="00572A17"/>
    <w:rsid w:val="00573989"/>
    <w:rsid w:val="00574363"/>
    <w:rsid w:val="005743BF"/>
    <w:rsid w:val="00574F09"/>
    <w:rsid w:val="005756D2"/>
    <w:rsid w:val="00576566"/>
    <w:rsid w:val="00577B4F"/>
    <w:rsid w:val="00577E90"/>
    <w:rsid w:val="00577FB2"/>
    <w:rsid w:val="00580348"/>
    <w:rsid w:val="0058151B"/>
    <w:rsid w:val="00581EA1"/>
    <w:rsid w:val="0058215F"/>
    <w:rsid w:val="005835CE"/>
    <w:rsid w:val="005839FC"/>
    <w:rsid w:val="005844A9"/>
    <w:rsid w:val="0058495A"/>
    <w:rsid w:val="00586605"/>
    <w:rsid w:val="00586BE5"/>
    <w:rsid w:val="00586F5B"/>
    <w:rsid w:val="00590F59"/>
    <w:rsid w:val="0059142D"/>
    <w:rsid w:val="0059178D"/>
    <w:rsid w:val="00591DFF"/>
    <w:rsid w:val="00592515"/>
    <w:rsid w:val="00592C8A"/>
    <w:rsid w:val="00593311"/>
    <w:rsid w:val="00593493"/>
    <w:rsid w:val="00593E0D"/>
    <w:rsid w:val="005941C0"/>
    <w:rsid w:val="0059431A"/>
    <w:rsid w:val="00594660"/>
    <w:rsid w:val="00595E48"/>
    <w:rsid w:val="00596025"/>
    <w:rsid w:val="00596646"/>
    <w:rsid w:val="005970EA"/>
    <w:rsid w:val="005974D1"/>
    <w:rsid w:val="005A0789"/>
    <w:rsid w:val="005A1278"/>
    <w:rsid w:val="005A155F"/>
    <w:rsid w:val="005A1C34"/>
    <w:rsid w:val="005A24EE"/>
    <w:rsid w:val="005A2504"/>
    <w:rsid w:val="005A292E"/>
    <w:rsid w:val="005A3DEB"/>
    <w:rsid w:val="005A3EC6"/>
    <w:rsid w:val="005A3F65"/>
    <w:rsid w:val="005A4695"/>
    <w:rsid w:val="005A53E8"/>
    <w:rsid w:val="005A59A6"/>
    <w:rsid w:val="005A5C4D"/>
    <w:rsid w:val="005A6182"/>
    <w:rsid w:val="005A68A3"/>
    <w:rsid w:val="005A77F1"/>
    <w:rsid w:val="005B0114"/>
    <w:rsid w:val="005B0944"/>
    <w:rsid w:val="005B0D68"/>
    <w:rsid w:val="005B1256"/>
    <w:rsid w:val="005B19BA"/>
    <w:rsid w:val="005B1BB5"/>
    <w:rsid w:val="005B1D2D"/>
    <w:rsid w:val="005B21F3"/>
    <w:rsid w:val="005B2369"/>
    <w:rsid w:val="005B260A"/>
    <w:rsid w:val="005B338A"/>
    <w:rsid w:val="005B4FF5"/>
    <w:rsid w:val="005B59E9"/>
    <w:rsid w:val="005B5FF5"/>
    <w:rsid w:val="005B6936"/>
    <w:rsid w:val="005C0448"/>
    <w:rsid w:val="005C0986"/>
    <w:rsid w:val="005C12B8"/>
    <w:rsid w:val="005C1857"/>
    <w:rsid w:val="005C20D1"/>
    <w:rsid w:val="005C2997"/>
    <w:rsid w:val="005C30A0"/>
    <w:rsid w:val="005C337E"/>
    <w:rsid w:val="005C33BA"/>
    <w:rsid w:val="005C37F0"/>
    <w:rsid w:val="005C471A"/>
    <w:rsid w:val="005C4CBF"/>
    <w:rsid w:val="005C4CFF"/>
    <w:rsid w:val="005C5061"/>
    <w:rsid w:val="005C5827"/>
    <w:rsid w:val="005C5EE3"/>
    <w:rsid w:val="005C6E29"/>
    <w:rsid w:val="005C73AD"/>
    <w:rsid w:val="005D01A6"/>
    <w:rsid w:val="005D069F"/>
    <w:rsid w:val="005D078D"/>
    <w:rsid w:val="005D0F02"/>
    <w:rsid w:val="005D1426"/>
    <w:rsid w:val="005D164F"/>
    <w:rsid w:val="005D1888"/>
    <w:rsid w:val="005D2606"/>
    <w:rsid w:val="005D2D36"/>
    <w:rsid w:val="005D3E0C"/>
    <w:rsid w:val="005D3EC6"/>
    <w:rsid w:val="005D3FA8"/>
    <w:rsid w:val="005D494F"/>
    <w:rsid w:val="005D587B"/>
    <w:rsid w:val="005D65A4"/>
    <w:rsid w:val="005D6975"/>
    <w:rsid w:val="005D725C"/>
    <w:rsid w:val="005D7A62"/>
    <w:rsid w:val="005E0747"/>
    <w:rsid w:val="005E0D15"/>
    <w:rsid w:val="005E0E8A"/>
    <w:rsid w:val="005E2E22"/>
    <w:rsid w:val="005E3610"/>
    <w:rsid w:val="005E4417"/>
    <w:rsid w:val="005E45C2"/>
    <w:rsid w:val="005E4802"/>
    <w:rsid w:val="005E4BB8"/>
    <w:rsid w:val="005E503C"/>
    <w:rsid w:val="005E53D1"/>
    <w:rsid w:val="005E60B0"/>
    <w:rsid w:val="005E63D7"/>
    <w:rsid w:val="005E6B4B"/>
    <w:rsid w:val="005E7F16"/>
    <w:rsid w:val="005F07B8"/>
    <w:rsid w:val="005F0D89"/>
    <w:rsid w:val="005F17EB"/>
    <w:rsid w:val="005F1D6B"/>
    <w:rsid w:val="005F24C2"/>
    <w:rsid w:val="005F2829"/>
    <w:rsid w:val="005F2B0C"/>
    <w:rsid w:val="005F30B5"/>
    <w:rsid w:val="005F3E5F"/>
    <w:rsid w:val="005F42E2"/>
    <w:rsid w:val="005F6CD2"/>
    <w:rsid w:val="005F71FA"/>
    <w:rsid w:val="005F75EB"/>
    <w:rsid w:val="00600269"/>
    <w:rsid w:val="006003DF"/>
    <w:rsid w:val="00600578"/>
    <w:rsid w:val="00600608"/>
    <w:rsid w:val="00600B3B"/>
    <w:rsid w:val="006011FB"/>
    <w:rsid w:val="00601AF5"/>
    <w:rsid w:val="00601D3E"/>
    <w:rsid w:val="00602758"/>
    <w:rsid w:val="00603157"/>
    <w:rsid w:val="00603BA7"/>
    <w:rsid w:val="00603CAE"/>
    <w:rsid w:val="00604474"/>
    <w:rsid w:val="00604CB5"/>
    <w:rsid w:val="0060502B"/>
    <w:rsid w:val="006057D0"/>
    <w:rsid w:val="00606A2B"/>
    <w:rsid w:val="00606D68"/>
    <w:rsid w:val="00606F49"/>
    <w:rsid w:val="00607665"/>
    <w:rsid w:val="00610C47"/>
    <w:rsid w:val="006111D7"/>
    <w:rsid w:val="0061165E"/>
    <w:rsid w:val="006119FD"/>
    <w:rsid w:val="00612150"/>
    <w:rsid w:val="006121D8"/>
    <w:rsid w:val="00612385"/>
    <w:rsid w:val="00612873"/>
    <w:rsid w:val="00612E9C"/>
    <w:rsid w:val="0061303C"/>
    <w:rsid w:val="00613D4F"/>
    <w:rsid w:val="0061404C"/>
    <w:rsid w:val="00614B13"/>
    <w:rsid w:val="00614F56"/>
    <w:rsid w:val="0061671B"/>
    <w:rsid w:val="00616FA4"/>
    <w:rsid w:val="00620A4E"/>
    <w:rsid w:val="00620AE6"/>
    <w:rsid w:val="0062173C"/>
    <w:rsid w:val="00621919"/>
    <w:rsid w:val="00621BCD"/>
    <w:rsid w:val="00621C52"/>
    <w:rsid w:val="0062246D"/>
    <w:rsid w:val="00622917"/>
    <w:rsid w:val="006238C9"/>
    <w:rsid w:val="00623BA1"/>
    <w:rsid w:val="00624F59"/>
    <w:rsid w:val="006259D0"/>
    <w:rsid w:val="00625A96"/>
    <w:rsid w:val="00625F43"/>
    <w:rsid w:val="00626115"/>
    <w:rsid w:val="0062613D"/>
    <w:rsid w:val="0062647F"/>
    <w:rsid w:val="006264C6"/>
    <w:rsid w:val="006265FE"/>
    <w:rsid w:val="00627560"/>
    <w:rsid w:val="006301F0"/>
    <w:rsid w:val="00630398"/>
    <w:rsid w:val="00631072"/>
    <w:rsid w:val="006315B8"/>
    <w:rsid w:val="00631CB9"/>
    <w:rsid w:val="0063214E"/>
    <w:rsid w:val="0063309E"/>
    <w:rsid w:val="0063361A"/>
    <w:rsid w:val="0063398B"/>
    <w:rsid w:val="00633BA4"/>
    <w:rsid w:val="00634440"/>
    <w:rsid w:val="006346BC"/>
    <w:rsid w:val="00634986"/>
    <w:rsid w:val="00634F98"/>
    <w:rsid w:val="00635076"/>
    <w:rsid w:val="00635A47"/>
    <w:rsid w:val="0063631F"/>
    <w:rsid w:val="0063680E"/>
    <w:rsid w:val="0063729A"/>
    <w:rsid w:val="00637DAD"/>
    <w:rsid w:val="00637DC8"/>
    <w:rsid w:val="00637DED"/>
    <w:rsid w:val="00640A1A"/>
    <w:rsid w:val="00641B3E"/>
    <w:rsid w:val="00641BCB"/>
    <w:rsid w:val="0064506C"/>
    <w:rsid w:val="00645260"/>
    <w:rsid w:val="00645297"/>
    <w:rsid w:val="00645300"/>
    <w:rsid w:val="006457B4"/>
    <w:rsid w:val="006464DF"/>
    <w:rsid w:val="00646E00"/>
    <w:rsid w:val="006476A4"/>
    <w:rsid w:val="006477A8"/>
    <w:rsid w:val="00647983"/>
    <w:rsid w:val="006479EA"/>
    <w:rsid w:val="00647BA0"/>
    <w:rsid w:val="006504C1"/>
    <w:rsid w:val="0065062D"/>
    <w:rsid w:val="006507DC"/>
    <w:rsid w:val="00650D43"/>
    <w:rsid w:val="0065223F"/>
    <w:rsid w:val="006526AE"/>
    <w:rsid w:val="006529E3"/>
    <w:rsid w:val="006531D1"/>
    <w:rsid w:val="00653208"/>
    <w:rsid w:val="0065414D"/>
    <w:rsid w:val="0065435C"/>
    <w:rsid w:val="00654491"/>
    <w:rsid w:val="006545C2"/>
    <w:rsid w:val="006547A8"/>
    <w:rsid w:val="006557C3"/>
    <w:rsid w:val="00655B60"/>
    <w:rsid w:val="00655DB0"/>
    <w:rsid w:val="00655F08"/>
    <w:rsid w:val="00656406"/>
    <w:rsid w:val="00657271"/>
    <w:rsid w:val="00657B29"/>
    <w:rsid w:val="00657E8D"/>
    <w:rsid w:val="0066063B"/>
    <w:rsid w:val="00660833"/>
    <w:rsid w:val="00660F10"/>
    <w:rsid w:val="0066143C"/>
    <w:rsid w:val="00661F7A"/>
    <w:rsid w:val="00662627"/>
    <w:rsid w:val="0066282D"/>
    <w:rsid w:val="006636D1"/>
    <w:rsid w:val="00664A13"/>
    <w:rsid w:val="00664AC7"/>
    <w:rsid w:val="00664AE7"/>
    <w:rsid w:val="00665389"/>
    <w:rsid w:val="006654D5"/>
    <w:rsid w:val="00666040"/>
    <w:rsid w:val="00666291"/>
    <w:rsid w:val="0066634C"/>
    <w:rsid w:val="0066652A"/>
    <w:rsid w:val="00667AE3"/>
    <w:rsid w:val="00671353"/>
    <w:rsid w:val="00671787"/>
    <w:rsid w:val="00671DE2"/>
    <w:rsid w:val="0067202A"/>
    <w:rsid w:val="00672AE1"/>
    <w:rsid w:val="00674EB0"/>
    <w:rsid w:val="00675661"/>
    <w:rsid w:val="00675793"/>
    <w:rsid w:val="006758A7"/>
    <w:rsid w:val="00676080"/>
    <w:rsid w:val="00676B30"/>
    <w:rsid w:val="00676B8E"/>
    <w:rsid w:val="00677696"/>
    <w:rsid w:val="006801F2"/>
    <w:rsid w:val="006808D7"/>
    <w:rsid w:val="00680ABB"/>
    <w:rsid w:val="00681865"/>
    <w:rsid w:val="00681DE6"/>
    <w:rsid w:val="00681EA6"/>
    <w:rsid w:val="00681EDA"/>
    <w:rsid w:val="006820A5"/>
    <w:rsid w:val="00682167"/>
    <w:rsid w:val="00682214"/>
    <w:rsid w:val="006823A4"/>
    <w:rsid w:val="00682CFF"/>
    <w:rsid w:val="00683024"/>
    <w:rsid w:val="006834FF"/>
    <w:rsid w:val="0068359C"/>
    <w:rsid w:val="00683CA6"/>
    <w:rsid w:val="00684D4A"/>
    <w:rsid w:val="00685971"/>
    <w:rsid w:val="00685B04"/>
    <w:rsid w:val="00685DBE"/>
    <w:rsid w:val="00685FD2"/>
    <w:rsid w:val="006860F6"/>
    <w:rsid w:val="006866B6"/>
    <w:rsid w:val="00686DAB"/>
    <w:rsid w:val="00687300"/>
    <w:rsid w:val="00687525"/>
    <w:rsid w:val="00690203"/>
    <w:rsid w:val="006904C3"/>
    <w:rsid w:val="006905B0"/>
    <w:rsid w:val="006919F1"/>
    <w:rsid w:val="00691DC7"/>
    <w:rsid w:val="00692426"/>
    <w:rsid w:val="006929B2"/>
    <w:rsid w:val="006930BF"/>
    <w:rsid w:val="006940B6"/>
    <w:rsid w:val="00694E77"/>
    <w:rsid w:val="00696A32"/>
    <w:rsid w:val="00696D74"/>
    <w:rsid w:val="00696F87"/>
    <w:rsid w:val="00697D89"/>
    <w:rsid w:val="00697D9F"/>
    <w:rsid w:val="006A0F83"/>
    <w:rsid w:val="006A17A1"/>
    <w:rsid w:val="006A1AFD"/>
    <w:rsid w:val="006A2A0D"/>
    <w:rsid w:val="006A2FE6"/>
    <w:rsid w:val="006A46E2"/>
    <w:rsid w:val="006A5C87"/>
    <w:rsid w:val="006A637B"/>
    <w:rsid w:val="006A6479"/>
    <w:rsid w:val="006A64FA"/>
    <w:rsid w:val="006A670C"/>
    <w:rsid w:val="006A6B37"/>
    <w:rsid w:val="006A6D18"/>
    <w:rsid w:val="006A6ECD"/>
    <w:rsid w:val="006B015E"/>
    <w:rsid w:val="006B073D"/>
    <w:rsid w:val="006B0B53"/>
    <w:rsid w:val="006B1375"/>
    <w:rsid w:val="006B2A93"/>
    <w:rsid w:val="006B2C5E"/>
    <w:rsid w:val="006B39A3"/>
    <w:rsid w:val="006B516E"/>
    <w:rsid w:val="006B57FF"/>
    <w:rsid w:val="006B5D99"/>
    <w:rsid w:val="006B68B3"/>
    <w:rsid w:val="006B6AA2"/>
    <w:rsid w:val="006B6C39"/>
    <w:rsid w:val="006B6E59"/>
    <w:rsid w:val="006B724D"/>
    <w:rsid w:val="006C02F1"/>
    <w:rsid w:val="006C0329"/>
    <w:rsid w:val="006C0E29"/>
    <w:rsid w:val="006C113C"/>
    <w:rsid w:val="006C1687"/>
    <w:rsid w:val="006C1BC6"/>
    <w:rsid w:val="006C2622"/>
    <w:rsid w:val="006C30E3"/>
    <w:rsid w:val="006C394D"/>
    <w:rsid w:val="006C3B1C"/>
    <w:rsid w:val="006C42AF"/>
    <w:rsid w:val="006C430F"/>
    <w:rsid w:val="006C45A1"/>
    <w:rsid w:val="006C489C"/>
    <w:rsid w:val="006C4DD1"/>
    <w:rsid w:val="006C4E8B"/>
    <w:rsid w:val="006C549C"/>
    <w:rsid w:val="006C6E6F"/>
    <w:rsid w:val="006C6F84"/>
    <w:rsid w:val="006C742B"/>
    <w:rsid w:val="006C7CD9"/>
    <w:rsid w:val="006D0A58"/>
    <w:rsid w:val="006D2093"/>
    <w:rsid w:val="006D22AD"/>
    <w:rsid w:val="006D291A"/>
    <w:rsid w:val="006D2FC3"/>
    <w:rsid w:val="006D3449"/>
    <w:rsid w:val="006D37DF"/>
    <w:rsid w:val="006D3879"/>
    <w:rsid w:val="006D4037"/>
    <w:rsid w:val="006D490A"/>
    <w:rsid w:val="006D4B2F"/>
    <w:rsid w:val="006D5065"/>
    <w:rsid w:val="006D5AB0"/>
    <w:rsid w:val="006D5D89"/>
    <w:rsid w:val="006D6407"/>
    <w:rsid w:val="006D6A0C"/>
    <w:rsid w:val="006D74DF"/>
    <w:rsid w:val="006D78FC"/>
    <w:rsid w:val="006D7A9A"/>
    <w:rsid w:val="006D7B1B"/>
    <w:rsid w:val="006D7B27"/>
    <w:rsid w:val="006E02AB"/>
    <w:rsid w:val="006E0F1D"/>
    <w:rsid w:val="006E1804"/>
    <w:rsid w:val="006E1BE8"/>
    <w:rsid w:val="006E2329"/>
    <w:rsid w:val="006E2432"/>
    <w:rsid w:val="006E2FD2"/>
    <w:rsid w:val="006E3098"/>
    <w:rsid w:val="006E347C"/>
    <w:rsid w:val="006E34BA"/>
    <w:rsid w:val="006E3C8F"/>
    <w:rsid w:val="006E3EFB"/>
    <w:rsid w:val="006E4961"/>
    <w:rsid w:val="006E6826"/>
    <w:rsid w:val="006E6FF0"/>
    <w:rsid w:val="006E76DE"/>
    <w:rsid w:val="006E7DF1"/>
    <w:rsid w:val="006F164A"/>
    <w:rsid w:val="006F1D2D"/>
    <w:rsid w:val="006F2043"/>
    <w:rsid w:val="006F2229"/>
    <w:rsid w:val="006F27C1"/>
    <w:rsid w:val="006F39E1"/>
    <w:rsid w:val="006F3CA4"/>
    <w:rsid w:val="006F3EC9"/>
    <w:rsid w:val="006F44E9"/>
    <w:rsid w:val="006F5169"/>
    <w:rsid w:val="006F5A10"/>
    <w:rsid w:val="006F601D"/>
    <w:rsid w:val="006F6425"/>
    <w:rsid w:val="006F744D"/>
    <w:rsid w:val="006F7961"/>
    <w:rsid w:val="006F7DC1"/>
    <w:rsid w:val="00700274"/>
    <w:rsid w:val="007014B0"/>
    <w:rsid w:val="00702461"/>
    <w:rsid w:val="00702D28"/>
    <w:rsid w:val="0070338B"/>
    <w:rsid w:val="0070373C"/>
    <w:rsid w:val="007037B0"/>
    <w:rsid w:val="00704173"/>
    <w:rsid w:val="00704D5A"/>
    <w:rsid w:val="00705C36"/>
    <w:rsid w:val="007066C2"/>
    <w:rsid w:val="007066C7"/>
    <w:rsid w:val="00706A6E"/>
    <w:rsid w:val="007070F1"/>
    <w:rsid w:val="0070761F"/>
    <w:rsid w:val="00707795"/>
    <w:rsid w:val="00707AC8"/>
    <w:rsid w:val="00711D8E"/>
    <w:rsid w:val="00712672"/>
    <w:rsid w:val="0071321A"/>
    <w:rsid w:val="00713A4A"/>
    <w:rsid w:val="007149D3"/>
    <w:rsid w:val="00715100"/>
    <w:rsid w:val="00715A9A"/>
    <w:rsid w:val="007160C8"/>
    <w:rsid w:val="007164C6"/>
    <w:rsid w:val="00717317"/>
    <w:rsid w:val="00717AC3"/>
    <w:rsid w:val="00721598"/>
    <w:rsid w:val="007225EF"/>
    <w:rsid w:val="00722D59"/>
    <w:rsid w:val="00722DC5"/>
    <w:rsid w:val="00722EDA"/>
    <w:rsid w:val="00725202"/>
    <w:rsid w:val="00725A67"/>
    <w:rsid w:val="007269D7"/>
    <w:rsid w:val="00727FFA"/>
    <w:rsid w:val="00730294"/>
    <w:rsid w:val="00730CAC"/>
    <w:rsid w:val="007316C2"/>
    <w:rsid w:val="007327F0"/>
    <w:rsid w:val="00732E44"/>
    <w:rsid w:val="00733326"/>
    <w:rsid w:val="007333BF"/>
    <w:rsid w:val="007336C5"/>
    <w:rsid w:val="00733A97"/>
    <w:rsid w:val="00733B33"/>
    <w:rsid w:val="00733DDC"/>
    <w:rsid w:val="007340A9"/>
    <w:rsid w:val="00734123"/>
    <w:rsid w:val="00734AF5"/>
    <w:rsid w:val="00734DE9"/>
    <w:rsid w:val="00734E3F"/>
    <w:rsid w:val="0073506B"/>
    <w:rsid w:val="00735264"/>
    <w:rsid w:val="00735902"/>
    <w:rsid w:val="00736379"/>
    <w:rsid w:val="00736985"/>
    <w:rsid w:val="00736FC8"/>
    <w:rsid w:val="00737268"/>
    <w:rsid w:val="00737409"/>
    <w:rsid w:val="00737859"/>
    <w:rsid w:val="00737A13"/>
    <w:rsid w:val="00740B9A"/>
    <w:rsid w:val="00740F99"/>
    <w:rsid w:val="007414DB"/>
    <w:rsid w:val="00741B1C"/>
    <w:rsid w:val="00742550"/>
    <w:rsid w:val="007428C0"/>
    <w:rsid w:val="0074364E"/>
    <w:rsid w:val="00743722"/>
    <w:rsid w:val="00743A26"/>
    <w:rsid w:val="00746453"/>
    <w:rsid w:val="007467D8"/>
    <w:rsid w:val="00747159"/>
    <w:rsid w:val="00747A8F"/>
    <w:rsid w:val="00750402"/>
    <w:rsid w:val="00750569"/>
    <w:rsid w:val="007518BA"/>
    <w:rsid w:val="00751A2F"/>
    <w:rsid w:val="00752C19"/>
    <w:rsid w:val="00754BF1"/>
    <w:rsid w:val="00755521"/>
    <w:rsid w:val="00755B70"/>
    <w:rsid w:val="00755F7D"/>
    <w:rsid w:val="00755FB4"/>
    <w:rsid w:val="00756B76"/>
    <w:rsid w:val="007579CB"/>
    <w:rsid w:val="00760DF4"/>
    <w:rsid w:val="00760FE1"/>
    <w:rsid w:val="007613D7"/>
    <w:rsid w:val="00762551"/>
    <w:rsid w:val="00763ADA"/>
    <w:rsid w:val="007640E5"/>
    <w:rsid w:val="00764344"/>
    <w:rsid w:val="007649E7"/>
    <w:rsid w:val="0076543F"/>
    <w:rsid w:val="007654EA"/>
    <w:rsid w:val="00765C24"/>
    <w:rsid w:val="00765E52"/>
    <w:rsid w:val="00765F29"/>
    <w:rsid w:val="0076611C"/>
    <w:rsid w:val="00766F4F"/>
    <w:rsid w:val="007670BA"/>
    <w:rsid w:val="0076731A"/>
    <w:rsid w:val="00767E84"/>
    <w:rsid w:val="00767F77"/>
    <w:rsid w:val="007707D3"/>
    <w:rsid w:val="00771229"/>
    <w:rsid w:val="007735DA"/>
    <w:rsid w:val="0077411C"/>
    <w:rsid w:val="00774628"/>
    <w:rsid w:val="00774F4F"/>
    <w:rsid w:val="007752EF"/>
    <w:rsid w:val="007754D1"/>
    <w:rsid w:val="00775BAB"/>
    <w:rsid w:val="00776660"/>
    <w:rsid w:val="00776C9D"/>
    <w:rsid w:val="00776CE7"/>
    <w:rsid w:val="00776F0E"/>
    <w:rsid w:val="007774CB"/>
    <w:rsid w:val="00777757"/>
    <w:rsid w:val="00780E91"/>
    <w:rsid w:val="00780EB9"/>
    <w:rsid w:val="007812B4"/>
    <w:rsid w:val="00781862"/>
    <w:rsid w:val="00781A84"/>
    <w:rsid w:val="007824B1"/>
    <w:rsid w:val="00782668"/>
    <w:rsid w:val="0078281F"/>
    <w:rsid w:val="0078425A"/>
    <w:rsid w:val="00784320"/>
    <w:rsid w:val="007862E6"/>
    <w:rsid w:val="00786484"/>
    <w:rsid w:val="00786920"/>
    <w:rsid w:val="00787BB7"/>
    <w:rsid w:val="00787EF4"/>
    <w:rsid w:val="00787F52"/>
    <w:rsid w:val="007901AC"/>
    <w:rsid w:val="00790C65"/>
    <w:rsid w:val="007918F0"/>
    <w:rsid w:val="00792D97"/>
    <w:rsid w:val="00793065"/>
    <w:rsid w:val="00793080"/>
    <w:rsid w:val="007934B8"/>
    <w:rsid w:val="00793550"/>
    <w:rsid w:val="00793DDD"/>
    <w:rsid w:val="00793EBD"/>
    <w:rsid w:val="00794B62"/>
    <w:rsid w:val="00794F0D"/>
    <w:rsid w:val="00795563"/>
    <w:rsid w:val="007963AC"/>
    <w:rsid w:val="00796737"/>
    <w:rsid w:val="00796F19"/>
    <w:rsid w:val="007A04BB"/>
    <w:rsid w:val="007A0C46"/>
    <w:rsid w:val="007A0EFC"/>
    <w:rsid w:val="007A222C"/>
    <w:rsid w:val="007A27E4"/>
    <w:rsid w:val="007A2EA7"/>
    <w:rsid w:val="007A3C95"/>
    <w:rsid w:val="007A42E0"/>
    <w:rsid w:val="007A4773"/>
    <w:rsid w:val="007A4B49"/>
    <w:rsid w:val="007A4D75"/>
    <w:rsid w:val="007A5212"/>
    <w:rsid w:val="007A57D5"/>
    <w:rsid w:val="007A6259"/>
    <w:rsid w:val="007A68AB"/>
    <w:rsid w:val="007A6B5B"/>
    <w:rsid w:val="007A753A"/>
    <w:rsid w:val="007A768C"/>
    <w:rsid w:val="007A7AC6"/>
    <w:rsid w:val="007A7B32"/>
    <w:rsid w:val="007B02AE"/>
    <w:rsid w:val="007B0516"/>
    <w:rsid w:val="007B0544"/>
    <w:rsid w:val="007B064B"/>
    <w:rsid w:val="007B103D"/>
    <w:rsid w:val="007B121D"/>
    <w:rsid w:val="007B1709"/>
    <w:rsid w:val="007B3658"/>
    <w:rsid w:val="007B442B"/>
    <w:rsid w:val="007B4BD9"/>
    <w:rsid w:val="007B4C58"/>
    <w:rsid w:val="007B5174"/>
    <w:rsid w:val="007B5D5D"/>
    <w:rsid w:val="007B6200"/>
    <w:rsid w:val="007B67B0"/>
    <w:rsid w:val="007B7666"/>
    <w:rsid w:val="007C0E27"/>
    <w:rsid w:val="007C11C1"/>
    <w:rsid w:val="007C2868"/>
    <w:rsid w:val="007C3766"/>
    <w:rsid w:val="007C51AE"/>
    <w:rsid w:val="007C5BB2"/>
    <w:rsid w:val="007C605D"/>
    <w:rsid w:val="007C6E02"/>
    <w:rsid w:val="007D0560"/>
    <w:rsid w:val="007D0699"/>
    <w:rsid w:val="007D074A"/>
    <w:rsid w:val="007D07CA"/>
    <w:rsid w:val="007D08D0"/>
    <w:rsid w:val="007D0A51"/>
    <w:rsid w:val="007D1299"/>
    <w:rsid w:val="007D14BE"/>
    <w:rsid w:val="007D1E29"/>
    <w:rsid w:val="007D1EE6"/>
    <w:rsid w:val="007D29D9"/>
    <w:rsid w:val="007D2D50"/>
    <w:rsid w:val="007D2F7D"/>
    <w:rsid w:val="007D3297"/>
    <w:rsid w:val="007D32BE"/>
    <w:rsid w:val="007D4827"/>
    <w:rsid w:val="007D58BC"/>
    <w:rsid w:val="007D593F"/>
    <w:rsid w:val="007D6589"/>
    <w:rsid w:val="007D6802"/>
    <w:rsid w:val="007D76E2"/>
    <w:rsid w:val="007E096D"/>
    <w:rsid w:val="007E110B"/>
    <w:rsid w:val="007E220F"/>
    <w:rsid w:val="007E23DD"/>
    <w:rsid w:val="007E28EB"/>
    <w:rsid w:val="007E2A55"/>
    <w:rsid w:val="007E323E"/>
    <w:rsid w:val="007E3763"/>
    <w:rsid w:val="007E3824"/>
    <w:rsid w:val="007E38DC"/>
    <w:rsid w:val="007E41AC"/>
    <w:rsid w:val="007E4384"/>
    <w:rsid w:val="007E448F"/>
    <w:rsid w:val="007E4AEE"/>
    <w:rsid w:val="007E4C0F"/>
    <w:rsid w:val="007E4D7B"/>
    <w:rsid w:val="007E502F"/>
    <w:rsid w:val="007E54F9"/>
    <w:rsid w:val="007E560A"/>
    <w:rsid w:val="007E5908"/>
    <w:rsid w:val="007E67C0"/>
    <w:rsid w:val="007E715D"/>
    <w:rsid w:val="007E71F0"/>
    <w:rsid w:val="007E76D4"/>
    <w:rsid w:val="007E781C"/>
    <w:rsid w:val="007E7DD6"/>
    <w:rsid w:val="007F1480"/>
    <w:rsid w:val="007F23D8"/>
    <w:rsid w:val="007F2865"/>
    <w:rsid w:val="007F2EEA"/>
    <w:rsid w:val="007F2FF5"/>
    <w:rsid w:val="007F3172"/>
    <w:rsid w:val="007F3320"/>
    <w:rsid w:val="007F3D48"/>
    <w:rsid w:val="007F46C8"/>
    <w:rsid w:val="007F5719"/>
    <w:rsid w:val="007F58F0"/>
    <w:rsid w:val="007F6397"/>
    <w:rsid w:val="007F6E44"/>
    <w:rsid w:val="007F7120"/>
    <w:rsid w:val="008009AE"/>
    <w:rsid w:val="00801B66"/>
    <w:rsid w:val="00801B9F"/>
    <w:rsid w:val="008024BB"/>
    <w:rsid w:val="00802952"/>
    <w:rsid w:val="00803684"/>
    <w:rsid w:val="00803E63"/>
    <w:rsid w:val="00804094"/>
    <w:rsid w:val="008042BD"/>
    <w:rsid w:val="0080442A"/>
    <w:rsid w:val="0080479B"/>
    <w:rsid w:val="00804D9F"/>
    <w:rsid w:val="00804EDA"/>
    <w:rsid w:val="008050A3"/>
    <w:rsid w:val="00805475"/>
    <w:rsid w:val="00805E8C"/>
    <w:rsid w:val="008060C5"/>
    <w:rsid w:val="00806AD3"/>
    <w:rsid w:val="00807C16"/>
    <w:rsid w:val="00807E60"/>
    <w:rsid w:val="00810F1E"/>
    <w:rsid w:val="008114DA"/>
    <w:rsid w:val="0081153E"/>
    <w:rsid w:val="00811FB1"/>
    <w:rsid w:val="00813244"/>
    <w:rsid w:val="0081324F"/>
    <w:rsid w:val="008136B5"/>
    <w:rsid w:val="008139A8"/>
    <w:rsid w:val="00813D5B"/>
    <w:rsid w:val="00814149"/>
    <w:rsid w:val="0081448C"/>
    <w:rsid w:val="008153BE"/>
    <w:rsid w:val="00815745"/>
    <w:rsid w:val="008176A9"/>
    <w:rsid w:val="00817C4F"/>
    <w:rsid w:val="00820BE2"/>
    <w:rsid w:val="00821C2A"/>
    <w:rsid w:val="00822996"/>
    <w:rsid w:val="00822C7D"/>
    <w:rsid w:val="00822F73"/>
    <w:rsid w:val="008235BA"/>
    <w:rsid w:val="00824124"/>
    <w:rsid w:val="00824704"/>
    <w:rsid w:val="00824743"/>
    <w:rsid w:val="008248F5"/>
    <w:rsid w:val="00824E42"/>
    <w:rsid w:val="0082589D"/>
    <w:rsid w:val="00825AB8"/>
    <w:rsid w:val="00825C30"/>
    <w:rsid w:val="008265B3"/>
    <w:rsid w:val="00827160"/>
    <w:rsid w:val="00827805"/>
    <w:rsid w:val="008279D9"/>
    <w:rsid w:val="00827AB9"/>
    <w:rsid w:val="00830473"/>
    <w:rsid w:val="008311A3"/>
    <w:rsid w:val="00831D0D"/>
    <w:rsid w:val="0083316D"/>
    <w:rsid w:val="00833A04"/>
    <w:rsid w:val="00833F61"/>
    <w:rsid w:val="00834FBD"/>
    <w:rsid w:val="008351FF"/>
    <w:rsid w:val="00835591"/>
    <w:rsid w:val="00835C17"/>
    <w:rsid w:val="00835E5B"/>
    <w:rsid w:val="00836188"/>
    <w:rsid w:val="008365CD"/>
    <w:rsid w:val="008368F0"/>
    <w:rsid w:val="00836E6B"/>
    <w:rsid w:val="00837081"/>
    <w:rsid w:val="008400C9"/>
    <w:rsid w:val="008409E1"/>
    <w:rsid w:val="00840A29"/>
    <w:rsid w:val="00840D03"/>
    <w:rsid w:val="0084237A"/>
    <w:rsid w:val="00842E63"/>
    <w:rsid w:val="008433C2"/>
    <w:rsid w:val="0084387C"/>
    <w:rsid w:val="00843F67"/>
    <w:rsid w:val="0084405D"/>
    <w:rsid w:val="008442CB"/>
    <w:rsid w:val="008442E2"/>
    <w:rsid w:val="008454F8"/>
    <w:rsid w:val="00845567"/>
    <w:rsid w:val="00845835"/>
    <w:rsid w:val="00845A2A"/>
    <w:rsid w:val="0084739B"/>
    <w:rsid w:val="0085039B"/>
    <w:rsid w:val="0085044C"/>
    <w:rsid w:val="008506A1"/>
    <w:rsid w:val="008514BE"/>
    <w:rsid w:val="00851768"/>
    <w:rsid w:val="00851AB8"/>
    <w:rsid w:val="008521B2"/>
    <w:rsid w:val="00852244"/>
    <w:rsid w:val="008526DC"/>
    <w:rsid w:val="008528D7"/>
    <w:rsid w:val="008532CD"/>
    <w:rsid w:val="008533EF"/>
    <w:rsid w:val="00853F58"/>
    <w:rsid w:val="008542C4"/>
    <w:rsid w:val="008571A0"/>
    <w:rsid w:val="008572E0"/>
    <w:rsid w:val="008579B7"/>
    <w:rsid w:val="00860AA3"/>
    <w:rsid w:val="008621FA"/>
    <w:rsid w:val="0086261C"/>
    <w:rsid w:val="008632F9"/>
    <w:rsid w:val="00863318"/>
    <w:rsid w:val="00863CE1"/>
    <w:rsid w:val="00863F59"/>
    <w:rsid w:val="00864371"/>
    <w:rsid w:val="00865F2C"/>
    <w:rsid w:val="0086717A"/>
    <w:rsid w:val="008704FB"/>
    <w:rsid w:val="00870ED5"/>
    <w:rsid w:val="008713DB"/>
    <w:rsid w:val="0087259E"/>
    <w:rsid w:val="00873400"/>
    <w:rsid w:val="008743F3"/>
    <w:rsid w:val="00874632"/>
    <w:rsid w:val="00874AD2"/>
    <w:rsid w:val="0087590A"/>
    <w:rsid w:val="00875AB1"/>
    <w:rsid w:val="00875F78"/>
    <w:rsid w:val="008763C3"/>
    <w:rsid w:val="00877902"/>
    <w:rsid w:val="00877C95"/>
    <w:rsid w:val="00880403"/>
    <w:rsid w:val="0088049E"/>
    <w:rsid w:val="00880B3F"/>
    <w:rsid w:val="00880D53"/>
    <w:rsid w:val="00880EE0"/>
    <w:rsid w:val="00880F0C"/>
    <w:rsid w:val="0088214E"/>
    <w:rsid w:val="008822DA"/>
    <w:rsid w:val="00884A42"/>
    <w:rsid w:val="00884BB8"/>
    <w:rsid w:val="00885437"/>
    <w:rsid w:val="00885485"/>
    <w:rsid w:val="008869BD"/>
    <w:rsid w:val="00886C78"/>
    <w:rsid w:val="008874B8"/>
    <w:rsid w:val="00890898"/>
    <w:rsid w:val="00890ACF"/>
    <w:rsid w:val="00890C8F"/>
    <w:rsid w:val="008910B7"/>
    <w:rsid w:val="0089159F"/>
    <w:rsid w:val="00892166"/>
    <w:rsid w:val="0089228A"/>
    <w:rsid w:val="00892A5B"/>
    <w:rsid w:val="0089424C"/>
    <w:rsid w:val="00894508"/>
    <w:rsid w:val="008948DA"/>
    <w:rsid w:val="00894952"/>
    <w:rsid w:val="00896421"/>
    <w:rsid w:val="008969F1"/>
    <w:rsid w:val="008975A7"/>
    <w:rsid w:val="008978DA"/>
    <w:rsid w:val="00897D49"/>
    <w:rsid w:val="00897EC6"/>
    <w:rsid w:val="008A0CA4"/>
    <w:rsid w:val="008A166D"/>
    <w:rsid w:val="008A1CD4"/>
    <w:rsid w:val="008A2AC9"/>
    <w:rsid w:val="008A2CE3"/>
    <w:rsid w:val="008A3028"/>
    <w:rsid w:val="008A309D"/>
    <w:rsid w:val="008A3315"/>
    <w:rsid w:val="008A392C"/>
    <w:rsid w:val="008A3B82"/>
    <w:rsid w:val="008A3CAA"/>
    <w:rsid w:val="008A4243"/>
    <w:rsid w:val="008A4F3F"/>
    <w:rsid w:val="008A5329"/>
    <w:rsid w:val="008A5739"/>
    <w:rsid w:val="008A6194"/>
    <w:rsid w:val="008A61D3"/>
    <w:rsid w:val="008A75D8"/>
    <w:rsid w:val="008A7989"/>
    <w:rsid w:val="008A79E0"/>
    <w:rsid w:val="008A7F44"/>
    <w:rsid w:val="008B0917"/>
    <w:rsid w:val="008B19CD"/>
    <w:rsid w:val="008B325E"/>
    <w:rsid w:val="008B36A5"/>
    <w:rsid w:val="008B41AD"/>
    <w:rsid w:val="008B4FDB"/>
    <w:rsid w:val="008B571B"/>
    <w:rsid w:val="008B5A3E"/>
    <w:rsid w:val="008B62C7"/>
    <w:rsid w:val="008B6587"/>
    <w:rsid w:val="008B6987"/>
    <w:rsid w:val="008B70F2"/>
    <w:rsid w:val="008B7E10"/>
    <w:rsid w:val="008C04D7"/>
    <w:rsid w:val="008C09A5"/>
    <w:rsid w:val="008C111E"/>
    <w:rsid w:val="008C1494"/>
    <w:rsid w:val="008C16DE"/>
    <w:rsid w:val="008C18C1"/>
    <w:rsid w:val="008C1FD0"/>
    <w:rsid w:val="008C288C"/>
    <w:rsid w:val="008C317E"/>
    <w:rsid w:val="008C370E"/>
    <w:rsid w:val="008C631F"/>
    <w:rsid w:val="008C676A"/>
    <w:rsid w:val="008C6B59"/>
    <w:rsid w:val="008C74C0"/>
    <w:rsid w:val="008C7908"/>
    <w:rsid w:val="008C7B5E"/>
    <w:rsid w:val="008C7EF0"/>
    <w:rsid w:val="008D0837"/>
    <w:rsid w:val="008D1262"/>
    <w:rsid w:val="008D19A1"/>
    <w:rsid w:val="008D20EF"/>
    <w:rsid w:val="008D2961"/>
    <w:rsid w:val="008D2D10"/>
    <w:rsid w:val="008D2F60"/>
    <w:rsid w:val="008D3007"/>
    <w:rsid w:val="008D3523"/>
    <w:rsid w:val="008D3AFF"/>
    <w:rsid w:val="008D42DA"/>
    <w:rsid w:val="008D48B3"/>
    <w:rsid w:val="008D4A99"/>
    <w:rsid w:val="008D55F1"/>
    <w:rsid w:val="008D704F"/>
    <w:rsid w:val="008D7439"/>
    <w:rsid w:val="008D7577"/>
    <w:rsid w:val="008D7C8E"/>
    <w:rsid w:val="008E040D"/>
    <w:rsid w:val="008E09AF"/>
    <w:rsid w:val="008E15B4"/>
    <w:rsid w:val="008E15BB"/>
    <w:rsid w:val="008E1C1A"/>
    <w:rsid w:val="008E3410"/>
    <w:rsid w:val="008E39A4"/>
    <w:rsid w:val="008E55AF"/>
    <w:rsid w:val="008E55FF"/>
    <w:rsid w:val="008E5D86"/>
    <w:rsid w:val="008E6B24"/>
    <w:rsid w:val="008E6E65"/>
    <w:rsid w:val="008E728C"/>
    <w:rsid w:val="008E7C7F"/>
    <w:rsid w:val="008E7DD5"/>
    <w:rsid w:val="008F0F2F"/>
    <w:rsid w:val="008F1E1E"/>
    <w:rsid w:val="008F20C2"/>
    <w:rsid w:val="008F2229"/>
    <w:rsid w:val="008F2702"/>
    <w:rsid w:val="008F2959"/>
    <w:rsid w:val="008F3394"/>
    <w:rsid w:val="008F4FD5"/>
    <w:rsid w:val="008F5E1E"/>
    <w:rsid w:val="008F633E"/>
    <w:rsid w:val="008F6686"/>
    <w:rsid w:val="008F68D4"/>
    <w:rsid w:val="008F68D6"/>
    <w:rsid w:val="00900C4E"/>
    <w:rsid w:val="00901B59"/>
    <w:rsid w:val="00901F60"/>
    <w:rsid w:val="00902530"/>
    <w:rsid w:val="00902A0B"/>
    <w:rsid w:val="00902A8F"/>
    <w:rsid w:val="0090309A"/>
    <w:rsid w:val="009038B7"/>
    <w:rsid w:val="0090418F"/>
    <w:rsid w:val="00905EBA"/>
    <w:rsid w:val="009060E9"/>
    <w:rsid w:val="00906C88"/>
    <w:rsid w:val="00907A3E"/>
    <w:rsid w:val="00910400"/>
    <w:rsid w:val="009105A7"/>
    <w:rsid w:val="00910823"/>
    <w:rsid w:val="0091132F"/>
    <w:rsid w:val="009115F0"/>
    <w:rsid w:val="009117DB"/>
    <w:rsid w:val="009118CC"/>
    <w:rsid w:val="009128B0"/>
    <w:rsid w:val="00912A82"/>
    <w:rsid w:val="00912FBE"/>
    <w:rsid w:val="009133F1"/>
    <w:rsid w:val="0091356D"/>
    <w:rsid w:val="0091413E"/>
    <w:rsid w:val="00915110"/>
    <w:rsid w:val="00915419"/>
    <w:rsid w:val="00916948"/>
    <w:rsid w:val="00916A89"/>
    <w:rsid w:val="00916D83"/>
    <w:rsid w:val="00917F4F"/>
    <w:rsid w:val="00921112"/>
    <w:rsid w:val="00921F24"/>
    <w:rsid w:val="00922DA7"/>
    <w:rsid w:val="00923381"/>
    <w:rsid w:val="0092367C"/>
    <w:rsid w:val="009237A9"/>
    <w:rsid w:val="00923ABA"/>
    <w:rsid w:val="00924643"/>
    <w:rsid w:val="00924943"/>
    <w:rsid w:val="00924A87"/>
    <w:rsid w:val="00925364"/>
    <w:rsid w:val="0092546F"/>
    <w:rsid w:val="00925925"/>
    <w:rsid w:val="009264B2"/>
    <w:rsid w:val="00926618"/>
    <w:rsid w:val="00926DD9"/>
    <w:rsid w:val="009279FD"/>
    <w:rsid w:val="00927B5B"/>
    <w:rsid w:val="009302FB"/>
    <w:rsid w:val="00930D80"/>
    <w:rsid w:val="009312B7"/>
    <w:rsid w:val="00931894"/>
    <w:rsid w:val="00932657"/>
    <w:rsid w:val="00932A78"/>
    <w:rsid w:val="009333F4"/>
    <w:rsid w:val="00933C43"/>
    <w:rsid w:val="00934298"/>
    <w:rsid w:val="009343D9"/>
    <w:rsid w:val="00934BCB"/>
    <w:rsid w:val="00935B0D"/>
    <w:rsid w:val="00935EC2"/>
    <w:rsid w:val="0093648A"/>
    <w:rsid w:val="00936CC2"/>
    <w:rsid w:val="009371C0"/>
    <w:rsid w:val="009379BC"/>
    <w:rsid w:val="00940337"/>
    <w:rsid w:val="009404CE"/>
    <w:rsid w:val="00941CB3"/>
    <w:rsid w:val="00941FBD"/>
    <w:rsid w:val="0094222E"/>
    <w:rsid w:val="00943822"/>
    <w:rsid w:val="00944B9D"/>
    <w:rsid w:val="00944CC3"/>
    <w:rsid w:val="00944D3F"/>
    <w:rsid w:val="009457E1"/>
    <w:rsid w:val="00945A85"/>
    <w:rsid w:val="00946488"/>
    <w:rsid w:val="00946BD7"/>
    <w:rsid w:val="00946C41"/>
    <w:rsid w:val="0094711C"/>
    <w:rsid w:val="00947AA8"/>
    <w:rsid w:val="00947AAC"/>
    <w:rsid w:val="00950B38"/>
    <w:rsid w:val="00950FC6"/>
    <w:rsid w:val="00951145"/>
    <w:rsid w:val="00951DC9"/>
    <w:rsid w:val="009529C9"/>
    <w:rsid w:val="00953EB5"/>
    <w:rsid w:val="00954147"/>
    <w:rsid w:val="00954470"/>
    <w:rsid w:val="009546F5"/>
    <w:rsid w:val="00954939"/>
    <w:rsid w:val="00954B6C"/>
    <w:rsid w:val="00954DDA"/>
    <w:rsid w:val="009560D9"/>
    <w:rsid w:val="00956659"/>
    <w:rsid w:val="00956D0D"/>
    <w:rsid w:val="009604EF"/>
    <w:rsid w:val="0096067B"/>
    <w:rsid w:val="00961016"/>
    <w:rsid w:val="0096184D"/>
    <w:rsid w:val="009621B3"/>
    <w:rsid w:val="00962881"/>
    <w:rsid w:val="00963A1D"/>
    <w:rsid w:val="00963DAF"/>
    <w:rsid w:val="00964252"/>
    <w:rsid w:val="009656EA"/>
    <w:rsid w:val="009663F6"/>
    <w:rsid w:val="00966B8C"/>
    <w:rsid w:val="00967EBA"/>
    <w:rsid w:val="0097043C"/>
    <w:rsid w:val="009704AA"/>
    <w:rsid w:val="00970737"/>
    <w:rsid w:val="009709B6"/>
    <w:rsid w:val="00970A1B"/>
    <w:rsid w:val="00970B70"/>
    <w:rsid w:val="00970B7F"/>
    <w:rsid w:val="00971550"/>
    <w:rsid w:val="009716C8"/>
    <w:rsid w:val="00971C86"/>
    <w:rsid w:val="00971EDA"/>
    <w:rsid w:val="00971FD5"/>
    <w:rsid w:val="00972722"/>
    <w:rsid w:val="0097287A"/>
    <w:rsid w:val="009732CE"/>
    <w:rsid w:val="00974046"/>
    <w:rsid w:val="0097612C"/>
    <w:rsid w:val="00976FBB"/>
    <w:rsid w:val="009778E7"/>
    <w:rsid w:val="00977B34"/>
    <w:rsid w:val="00981289"/>
    <w:rsid w:val="009816F9"/>
    <w:rsid w:val="00982B42"/>
    <w:rsid w:val="009833DC"/>
    <w:rsid w:val="009833E6"/>
    <w:rsid w:val="00984838"/>
    <w:rsid w:val="00984B25"/>
    <w:rsid w:val="00984FC1"/>
    <w:rsid w:val="00985529"/>
    <w:rsid w:val="00985E44"/>
    <w:rsid w:val="0098650D"/>
    <w:rsid w:val="0098653F"/>
    <w:rsid w:val="00987D31"/>
    <w:rsid w:val="00987F11"/>
    <w:rsid w:val="009903AC"/>
    <w:rsid w:val="0099071E"/>
    <w:rsid w:val="00990BAA"/>
    <w:rsid w:val="00990EEB"/>
    <w:rsid w:val="00991462"/>
    <w:rsid w:val="009918A6"/>
    <w:rsid w:val="009919B1"/>
    <w:rsid w:val="0099350B"/>
    <w:rsid w:val="00994376"/>
    <w:rsid w:val="009944BC"/>
    <w:rsid w:val="00994C81"/>
    <w:rsid w:val="00994FF9"/>
    <w:rsid w:val="0099588E"/>
    <w:rsid w:val="00995C61"/>
    <w:rsid w:val="00996207"/>
    <w:rsid w:val="00996BCA"/>
    <w:rsid w:val="00997C02"/>
    <w:rsid w:val="00997DD5"/>
    <w:rsid w:val="009A02FC"/>
    <w:rsid w:val="009A034E"/>
    <w:rsid w:val="009A145C"/>
    <w:rsid w:val="009A173C"/>
    <w:rsid w:val="009A207A"/>
    <w:rsid w:val="009A27A3"/>
    <w:rsid w:val="009A2DA7"/>
    <w:rsid w:val="009A37D4"/>
    <w:rsid w:val="009A3832"/>
    <w:rsid w:val="009A493E"/>
    <w:rsid w:val="009A513B"/>
    <w:rsid w:val="009A57D5"/>
    <w:rsid w:val="009A57E5"/>
    <w:rsid w:val="009A5BA8"/>
    <w:rsid w:val="009A5DDB"/>
    <w:rsid w:val="009A65B4"/>
    <w:rsid w:val="009A789A"/>
    <w:rsid w:val="009B0077"/>
    <w:rsid w:val="009B0C7C"/>
    <w:rsid w:val="009B1643"/>
    <w:rsid w:val="009B22AE"/>
    <w:rsid w:val="009B2447"/>
    <w:rsid w:val="009B4561"/>
    <w:rsid w:val="009B4D3B"/>
    <w:rsid w:val="009B4DC2"/>
    <w:rsid w:val="009B514A"/>
    <w:rsid w:val="009B5CE3"/>
    <w:rsid w:val="009B6A58"/>
    <w:rsid w:val="009B727E"/>
    <w:rsid w:val="009B7309"/>
    <w:rsid w:val="009B76CA"/>
    <w:rsid w:val="009B7F59"/>
    <w:rsid w:val="009B7FBF"/>
    <w:rsid w:val="009C0C78"/>
    <w:rsid w:val="009C1158"/>
    <w:rsid w:val="009C2646"/>
    <w:rsid w:val="009C3273"/>
    <w:rsid w:val="009C3B9A"/>
    <w:rsid w:val="009C3DDC"/>
    <w:rsid w:val="009C3FD2"/>
    <w:rsid w:val="009C48BC"/>
    <w:rsid w:val="009C4AA8"/>
    <w:rsid w:val="009C4E49"/>
    <w:rsid w:val="009C516A"/>
    <w:rsid w:val="009C63A0"/>
    <w:rsid w:val="009C732B"/>
    <w:rsid w:val="009C797B"/>
    <w:rsid w:val="009C7F73"/>
    <w:rsid w:val="009D055A"/>
    <w:rsid w:val="009D0683"/>
    <w:rsid w:val="009D0931"/>
    <w:rsid w:val="009D1760"/>
    <w:rsid w:val="009D1977"/>
    <w:rsid w:val="009D1C57"/>
    <w:rsid w:val="009D291D"/>
    <w:rsid w:val="009D2AA7"/>
    <w:rsid w:val="009D30AB"/>
    <w:rsid w:val="009D35C8"/>
    <w:rsid w:val="009D3D46"/>
    <w:rsid w:val="009D45AE"/>
    <w:rsid w:val="009D480D"/>
    <w:rsid w:val="009D4A8B"/>
    <w:rsid w:val="009D53CB"/>
    <w:rsid w:val="009D5547"/>
    <w:rsid w:val="009D5650"/>
    <w:rsid w:val="009D6BF4"/>
    <w:rsid w:val="009D6DB5"/>
    <w:rsid w:val="009D6F71"/>
    <w:rsid w:val="009D7240"/>
    <w:rsid w:val="009D7407"/>
    <w:rsid w:val="009D7A98"/>
    <w:rsid w:val="009E07CD"/>
    <w:rsid w:val="009E0866"/>
    <w:rsid w:val="009E0DA1"/>
    <w:rsid w:val="009E0EE2"/>
    <w:rsid w:val="009E0FC8"/>
    <w:rsid w:val="009E237A"/>
    <w:rsid w:val="009E25A3"/>
    <w:rsid w:val="009E2D99"/>
    <w:rsid w:val="009E3597"/>
    <w:rsid w:val="009E4CB4"/>
    <w:rsid w:val="009E55D4"/>
    <w:rsid w:val="009E7452"/>
    <w:rsid w:val="009E7866"/>
    <w:rsid w:val="009E7DB5"/>
    <w:rsid w:val="009E7FF3"/>
    <w:rsid w:val="009F006D"/>
    <w:rsid w:val="009F03B2"/>
    <w:rsid w:val="009F0439"/>
    <w:rsid w:val="009F335E"/>
    <w:rsid w:val="009F6045"/>
    <w:rsid w:val="009F6084"/>
    <w:rsid w:val="009F6307"/>
    <w:rsid w:val="009F6CE0"/>
    <w:rsid w:val="009F7160"/>
    <w:rsid w:val="00A00056"/>
    <w:rsid w:val="00A006FF"/>
    <w:rsid w:val="00A00B67"/>
    <w:rsid w:val="00A00EB9"/>
    <w:rsid w:val="00A016F7"/>
    <w:rsid w:val="00A01948"/>
    <w:rsid w:val="00A01E23"/>
    <w:rsid w:val="00A01F40"/>
    <w:rsid w:val="00A02619"/>
    <w:rsid w:val="00A02634"/>
    <w:rsid w:val="00A02F44"/>
    <w:rsid w:val="00A03141"/>
    <w:rsid w:val="00A031B3"/>
    <w:rsid w:val="00A031E0"/>
    <w:rsid w:val="00A03D92"/>
    <w:rsid w:val="00A04526"/>
    <w:rsid w:val="00A04587"/>
    <w:rsid w:val="00A05136"/>
    <w:rsid w:val="00A0533E"/>
    <w:rsid w:val="00A0534C"/>
    <w:rsid w:val="00A07947"/>
    <w:rsid w:val="00A115F2"/>
    <w:rsid w:val="00A125B0"/>
    <w:rsid w:val="00A1355D"/>
    <w:rsid w:val="00A1384D"/>
    <w:rsid w:val="00A13EF1"/>
    <w:rsid w:val="00A146B9"/>
    <w:rsid w:val="00A14FA4"/>
    <w:rsid w:val="00A15120"/>
    <w:rsid w:val="00A15187"/>
    <w:rsid w:val="00A1533C"/>
    <w:rsid w:val="00A154F1"/>
    <w:rsid w:val="00A15515"/>
    <w:rsid w:val="00A164BA"/>
    <w:rsid w:val="00A16618"/>
    <w:rsid w:val="00A16C17"/>
    <w:rsid w:val="00A17302"/>
    <w:rsid w:val="00A17AD0"/>
    <w:rsid w:val="00A203BE"/>
    <w:rsid w:val="00A20E8E"/>
    <w:rsid w:val="00A211AC"/>
    <w:rsid w:val="00A21974"/>
    <w:rsid w:val="00A22002"/>
    <w:rsid w:val="00A22829"/>
    <w:rsid w:val="00A22E10"/>
    <w:rsid w:val="00A22F9C"/>
    <w:rsid w:val="00A2333F"/>
    <w:rsid w:val="00A23437"/>
    <w:rsid w:val="00A23AE9"/>
    <w:rsid w:val="00A23D6A"/>
    <w:rsid w:val="00A24A62"/>
    <w:rsid w:val="00A250B1"/>
    <w:rsid w:val="00A258F0"/>
    <w:rsid w:val="00A25D81"/>
    <w:rsid w:val="00A260B1"/>
    <w:rsid w:val="00A261D5"/>
    <w:rsid w:val="00A26398"/>
    <w:rsid w:val="00A265C7"/>
    <w:rsid w:val="00A2679A"/>
    <w:rsid w:val="00A26BEF"/>
    <w:rsid w:val="00A26DE9"/>
    <w:rsid w:val="00A26E10"/>
    <w:rsid w:val="00A27302"/>
    <w:rsid w:val="00A27685"/>
    <w:rsid w:val="00A27A97"/>
    <w:rsid w:val="00A30399"/>
    <w:rsid w:val="00A30B17"/>
    <w:rsid w:val="00A30B34"/>
    <w:rsid w:val="00A31A8C"/>
    <w:rsid w:val="00A31C9F"/>
    <w:rsid w:val="00A31DAD"/>
    <w:rsid w:val="00A329C9"/>
    <w:rsid w:val="00A33B32"/>
    <w:rsid w:val="00A344A8"/>
    <w:rsid w:val="00A3492A"/>
    <w:rsid w:val="00A3575E"/>
    <w:rsid w:val="00A3586A"/>
    <w:rsid w:val="00A35E56"/>
    <w:rsid w:val="00A35FF0"/>
    <w:rsid w:val="00A36E2F"/>
    <w:rsid w:val="00A370E0"/>
    <w:rsid w:val="00A37985"/>
    <w:rsid w:val="00A379C2"/>
    <w:rsid w:val="00A37C89"/>
    <w:rsid w:val="00A4040E"/>
    <w:rsid w:val="00A4083E"/>
    <w:rsid w:val="00A41E9C"/>
    <w:rsid w:val="00A42000"/>
    <w:rsid w:val="00A421F6"/>
    <w:rsid w:val="00A42BF2"/>
    <w:rsid w:val="00A43281"/>
    <w:rsid w:val="00A446CA"/>
    <w:rsid w:val="00A44893"/>
    <w:rsid w:val="00A44AC6"/>
    <w:rsid w:val="00A44AF7"/>
    <w:rsid w:val="00A4563A"/>
    <w:rsid w:val="00A45E37"/>
    <w:rsid w:val="00A45EF4"/>
    <w:rsid w:val="00A474F1"/>
    <w:rsid w:val="00A478D1"/>
    <w:rsid w:val="00A47CCF"/>
    <w:rsid w:val="00A50737"/>
    <w:rsid w:val="00A50B3A"/>
    <w:rsid w:val="00A50C42"/>
    <w:rsid w:val="00A51170"/>
    <w:rsid w:val="00A52305"/>
    <w:rsid w:val="00A5308B"/>
    <w:rsid w:val="00A548F8"/>
    <w:rsid w:val="00A54BCD"/>
    <w:rsid w:val="00A5505E"/>
    <w:rsid w:val="00A553B0"/>
    <w:rsid w:val="00A55D22"/>
    <w:rsid w:val="00A56735"/>
    <w:rsid w:val="00A578A3"/>
    <w:rsid w:val="00A57A97"/>
    <w:rsid w:val="00A57CE7"/>
    <w:rsid w:val="00A60175"/>
    <w:rsid w:val="00A601A4"/>
    <w:rsid w:val="00A60972"/>
    <w:rsid w:val="00A612A8"/>
    <w:rsid w:val="00A61736"/>
    <w:rsid w:val="00A62572"/>
    <w:rsid w:val="00A626F0"/>
    <w:rsid w:val="00A62CAC"/>
    <w:rsid w:val="00A630AE"/>
    <w:rsid w:val="00A639D8"/>
    <w:rsid w:val="00A63D82"/>
    <w:rsid w:val="00A63DA3"/>
    <w:rsid w:val="00A64C82"/>
    <w:rsid w:val="00A64CD2"/>
    <w:rsid w:val="00A65ABF"/>
    <w:rsid w:val="00A65BDF"/>
    <w:rsid w:val="00A665BA"/>
    <w:rsid w:val="00A67415"/>
    <w:rsid w:val="00A67C6A"/>
    <w:rsid w:val="00A700F3"/>
    <w:rsid w:val="00A70149"/>
    <w:rsid w:val="00A70AAE"/>
    <w:rsid w:val="00A71390"/>
    <w:rsid w:val="00A72242"/>
    <w:rsid w:val="00A724C1"/>
    <w:rsid w:val="00A731F2"/>
    <w:rsid w:val="00A739C0"/>
    <w:rsid w:val="00A74B4C"/>
    <w:rsid w:val="00A74D78"/>
    <w:rsid w:val="00A75040"/>
    <w:rsid w:val="00A751B8"/>
    <w:rsid w:val="00A751C6"/>
    <w:rsid w:val="00A758FD"/>
    <w:rsid w:val="00A7605A"/>
    <w:rsid w:val="00A76337"/>
    <w:rsid w:val="00A77760"/>
    <w:rsid w:val="00A77DEE"/>
    <w:rsid w:val="00A80013"/>
    <w:rsid w:val="00A803CC"/>
    <w:rsid w:val="00A80787"/>
    <w:rsid w:val="00A80CD0"/>
    <w:rsid w:val="00A80DB2"/>
    <w:rsid w:val="00A82137"/>
    <w:rsid w:val="00A8255A"/>
    <w:rsid w:val="00A82F22"/>
    <w:rsid w:val="00A842F4"/>
    <w:rsid w:val="00A84385"/>
    <w:rsid w:val="00A84A52"/>
    <w:rsid w:val="00A84D9B"/>
    <w:rsid w:val="00A85259"/>
    <w:rsid w:val="00A8589A"/>
    <w:rsid w:val="00A859B6"/>
    <w:rsid w:val="00A86AE5"/>
    <w:rsid w:val="00A87163"/>
    <w:rsid w:val="00A8721C"/>
    <w:rsid w:val="00A8776F"/>
    <w:rsid w:val="00A87C02"/>
    <w:rsid w:val="00A901B7"/>
    <w:rsid w:val="00A90711"/>
    <w:rsid w:val="00A90E60"/>
    <w:rsid w:val="00A91990"/>
    <w:rsid w:val="00A92393"/>
    <w:rsid w:val="00A92532"/>
    <w:rsid w:val="00A92A5C"/>
    <w:rsid w:val="00A92DCE"/>
    <w:rsid w:val="00A940EF"/>
    <w:rsid w:val="00A94AEA"/>
    <w:rsid w:val="00A94CB0"/>
    <w:rsid w:val="00A969C8"/>
    <w:rsid w:val="00AA0B60"/>
    <w:rsid w:val="00AA109A"/>
    <w:rsid w:val="00AA1F26"/>
    <w:rsid w:val="00AA2A55"/>
    <w:rsid w:val="00AA30A6"/>
    <w:rsid w:val="00AA34C7"/>
    <w:rsid w:val="00AA37A2"/>
    <w:rsid w:val="00AA3830"/>
    <w:rsid w:val="00AA3D61"/>
    <w:rsid w:val="00AA5754"/>
    <w:rsid w:val="00AA6451"/>
    <w:rsid w:val="00AA7ADB"/>
    <w:rsid w:val="00AB0AC2"/>
    <w:rsid w:val="00AB0BCC"/>
    <w:rsid w:val="00AB116E"/>
    <w:rsid w:val="00AB19CF"/>
    <w:rsid w:val="00AB210D"/>
    <w:rsid w:val="00AB245D"/>
    <w:rsid w:val="00AB2E2E"/>
    <w:rsid w:val="00AB323B"/>
    <w:rsid w:val="00AB325D"/>
    <w:rsid w:val="00AB53F0"/>
    <w:rsid w:val="00AB5709"/>
    <w:rsid w:val="00AB5DB9"/>
    <w:rsid w:val="00AB5E6A"/>
    <w:rsid w:val="00AB6126"/>
    <w:rsid w:val="00AB64AA"/>
    <w:rsid w:val="00AB77B0"/>
    <w:rsid w:val="00AB7B89"/>
    <w:rsid w:val="00AB7DD1"/>
    <w:rsid w:val="00AB7F2B"/>
    <w:rsid w:val="00AB7F7D"/>
    <w:rsid w:val="00AC042F"/>
    <w:rsid w:val="00AC066E"/>
    <w:rsid w:val="00AC09CB"/>
    <w:rsid w:val="00AC159D"/>
    <w:rsid w:val="00AC164A"/>
    <w:rsid w:val="00AC16D5"/>
    <w:rsid w:val="00AC2443"/>
    <w:rsid w:val="00AC24A1"/>
    <w:rsid w:val="00AC49A7"/>
    <w:rsid w:val="00AC4D9B"/>
    <w:rsid w:val="00AC4EA4"/>
    <w:rsid w:val="00AC54A9"/>
    <w:rsid w:val="00AC60FB"/>
    <w:rsid w:val="00AC688E"/>
    <w:rsid w:val="00AC6DA6"/>
    <w:rsid w:val="00AC76F4"/>
    <w:rsid w:val="00AC7775"/>
    <w:rsid w:val="00AC7900"/>
    <w:rsid w:val="00AC7B69"/>
    <w:rsid w:val="00AC7E71"/>
    <w:rsid w:val="00AD0CE7"/>
    <w:rsid w:val="00AD17C3"/>
    <w:rsid w:val="00AD2181"/>
    <w:rsid w:val="00AD2506"/>
    <w:rsid w:val="00AD2B34"/>
    <w:rsid w:val="00AD36CD"/>
    <w:rsid w:val="00AD3D3E"/>
    <w:rsid w:val="00AD3FF1"/>
    <w:rsid w:val="00AD452B"/>
    <w:rsid w:val="00AD4925"/>
    <w:rsid w:val="00AD4D83"/>
    <w:rsid w:val="00AD59D2"/>
    <w:rsid w:val="00AD5D40"/>
    <w:rsid w:val="00AD617C"/>
    <w:rsid w:val="00AD6519"/>
    <w:rsid w:val="00AD67F8"/>
    <w:rsid w:val="00AD6880"/>
    <w:rsid w:val="00AD6ACF"/>
    <w:rsid w:val="00AD708C"/>
    <w:rsid w:val="00AE02E1"/>
    <w:rsid w:val="00AE1111"/>
    <w:rsid w:val="00AE13A2"/>
    <w:rsid w:val="00AE14D0"/>
    <w:rsid w:val="00AE1D07"/>
    <w:rsid w:val="00AE266E"/>
    <w:rsid w:val="00AE2822"/>
    <w:rsid w:val="00AE2940"/>
    <w:rsid w:val="00AE39CD"/>
    <w:rsid w:val="00AE3FD0"/>
    <w:rsid w:val="00AE46DB"/>
    <w:rsid w:val="00AE4C48"/>
    <w:rsid w:val="00AE5A6C"/>
    <w:rsid w:val="00AE5D92"/>
    <w:rsid w:val="00AE5EEE"/>
    <w:rsid w:val="00AE643F"/>
    <w:rsid w:val="00AE65FD"/>
    <w:rsid w:val="00AE7323"/>
    <w:rsid w:val="00AE75CE"/>
    <w:rsid w:val="00AE7EA1"/>
    <w:rsid w:val="00AF03B0"/>
    <w:rsid w:val="00AF0AAA"/>
    <w:rsid w:val="00AF0AB8"/>
    <w:rsid w:val="00AF147B"/>
    <w:rsid w:val="00AF2050"/>
    <w:rsid w:val="00AF214B"/>
    <w:rsid w:val="00AF2569"/>
    <w:rsid w:val="00AF2D44"/>
    <w:rsid w:val="00AF364A"/>
    <w:rsid w:val="00AF3C5B"/>
    <w:rsid w:val="00AF40A0"/>
    <w:rsid w:val="00AF4956"/>
    <w:rsid w:val="00AF5D53"/>
    <w:rsid w:val="00AF661C"/>
    <w:rsid w:val="00AF7268"/>
    <w:rsid w:val="00AF7366"/>
    <w:rsid w:val="00AF75FC"/>
    <w:rsid w:val="00AF7C7D"/>
    <w:rsid w:val="00B006AC"/>
    <w:rsid w:val="00B00740"/>
    <w:rsid w:val="00B00B93"/>
    <w:rsid w:val="00B01E86"/>
    <w:rsid w:val="00B02FA3"/>
    <w:rsid w:val="00B03296"/>
    <w:rsid w:val="00B0362A"/>
    <w:rsid w:val="00B05972"/>
    <w:rsid w:val="00B05AB9"/>
    <w:rsid w:val="00B05B53"/>
    <w:rsid w:val="00B05F49"/>
    <w:rsid w:val="00B06217"/>
    <w:rsid w:val="00B0676C"/>
    <w:rsid w:val="00B0683E"/>
    <w:rsid w:val="00B07B5B"/>
    <w:rsid w:val="00B100FA"/>
    <w:rsid w:val="00B10341"/>
    <w:rsid w:val="00B11AFB"/>
    <w:rsid w:val="00B124E4"/>
    <w:rsid w:val="00B12570"/>
    <w:rsid w:val="00B12BB5"/>
    <w:rsid w:val="00B12D6C"/>
    <w:rsid w:val="00B12E82"/>
    <w:rsid w:val="00B145AE"/>
    <w:rsid w:val="00B154B4"/>
    <w:rsid w:val="00B15955"/>
    <w:rsid w:val="00B15E81"/>
    <w:rsid w:val="00B161C0"/>
    <w:rsid w:val="00B1639F"/>
    <w:rsid w:val="00B17C35"/>
    <w:rsid w:val="00B17E1C"/>
    <w:rsid w:val="00B201CD"/>
    <w:rsid w:val="00B21A2A"/>
    <w:rsid w:val="00B21DC0"/>
    <w:rsid w:val="00B21FDE"/>
    <w:rsid w:val="00B222A1"/>
    <w:rsid w:val="00B222E8"/>
    <w:rsid w:val="00B22517"/>
    <w:rsid w:val="00B22C44"/>
    <w:rsid w:val="00B24245"/>
    <w:rsid w:val="00B24522"/>
    <w:rsid w:val="00B246CA"/>
    <w:rsid w:val="00B24D43"/>
    <w:rsid w:val="00B252FF"/>
    <w:rsid w:val="00B2573F"/>
    <w:rsid w:val="00B25831"/>
    <w:rsid w:val="00B2611D"/>
    <w:rsid w:val="00B26412"/>
    <w:rsid w:val="00B26B36"/>
    <w:rsid w:val="00B30764"/>
    <w:rsid w:val="00B30867"/>
    <w:rsid w:val="00B30898"/>
    <w:rsid w:val="00B31493"/>
    <w:rsid w:val="00B315D6"/>
    <w:rsid w:val="00B316F4"/>
    <w:rsid w:val="00B321A7"/>
    <w:rsid w:val="00B32E56"/>
    <w:rsid w:val="00B32F11"/>
    <w:rsid w:val="00B3319D"/>
    <w:rsid w:val="00B3386F"/>
    <w:rsid w:val="00B33976"/>
    <w:rsid w:val="00B33B34"/>
    <w:rsid w:val="00B34E26"/>
    <w:rsid w:val="00B358F8"/>
    <w:rsid w:val="00B35AA8"/>
    <w:rsid w:val="00B35E41"/>
    <w:rsid w:val="00B35E45"/>
    <w:rsid w:val="00B361D1"/>
    <w:rsid w:val="00B362B6"/>
    <w:rsid w:val="00B363C6"/>
    <w:rsid w:val="00B378E8"/>
    <w:rsid w:val="00B37BF6"/>
    <w:rsid w:val="00B37E0E"/>
    <w:rsid w:val="00B37EE2"/>
    <w:rsid w:val="00B41B4F"/>
    <w:rsid w:val="00B41C64"/>
    <w:rsid w:val="00B42B8E"/>
    <w:rsid w:val="00B42D9A"/>
    <w:rsid w:val="00B433A7"/>
    <w:rsid w:val="00B43B78"/>
    <w:rsid w:val="00B44AE7"/>
    <w:rsid w:val="00B450E0"/>
    <w:rsid w:val="00B45110"/>
    <w:rsid w:val="00B457F3"/>
    <w:rsid w:val="00B467D6"/>
    <w:rsid w:val="00B47614"/>
    <w:rsid w:val="00B47C49"/>
    <w:rsid w:val="00B47DF7"/>
    <w:rsid w:val="00B505E3"/>
    <w:rsid w:val="00B50607"/>
    <w:rsid w:val="00B506CC"/>
    <w:rsid w:val="00B50720"/>
    <w:rsid w:val="00B507C2"/>
    <w:rsid w:val="00B5092F"/>
    <w:rsid w:val="00B51633"/>
    <w:rsid w:val="00B51A6B"/>
    <w:rsid w:val="00B51E09"/>
    <w:rsid w:val="00B531D0"/>
    <w:rsid w:val="00B532CD"/>
    <w:rsid w:val="00B54C24"/>
    <w:rsid w:val="00B54F70"/>
    <w:rsid w:val="00B551C9"/>
    <w:rsid w:val="00B55AE3"/>
    <w:rsid w:val="00B562D8"/>
    <w:rsid w:val="00B572A6"/>
    <w:rsid w:val="00B5766D"/>
    <w:rsid w:val="00B57960"/>
    <w:rsid w:val="00B57A35"/>
    <w:rsid w:val="00B57A47"/>
    <w:rsid w:val="00B57ED2"/>
    <w:rsid w:val="00B57F5E"/>
    <w:rsid w:val="00B60352"/>
    <w:rsid w:val="00B60784"/>
    <w:rsid w:val="00B60E6C"/>
    <w:rsid w:val="00B61105"/>
    <w:rsid w:val="00B611BF"/>
    <w:rsid w:val="00B61B7A"/>
    <w:rsid w:val="00B61E96"/>
    <w:rsid w:val="00B6232B"/>
    <w:rsid w:val="00B62F28"/>
    <w:rsid w:val="00B63621"/>
    <w:rsid w:val="00B63C73"/>
    <w:rsid w:val="00B642A1"/>
    <w:rsid w:val="00B6446B"/>
    <w:rsid w:val="00B648C8"/>
    <w:rsid w:val="00B648E0"/>
    <w:rsid w:val="00B64A36"/>
    <w:rsid w:val="00B65D97"/>
    <w:rsid w:val="00B66190"/>
    <w:rsid w:val="00B6638F"/>
    <w:rsid w:val="00B665D5"/>
    <w:rsid w:val="00B66750"/>
    <w:rsid w:val="00B66AE4"/>
    <w:rsid w:val="00B66BC8"/>
    <w:rsid w:val="00B676AC"/>
    <w:rsid w:val="00B67930"/>
    <w:rsid w:val="00B67C59"/>
    <w:rsid w:val="00B71391"/>
    <w:rsid w:val="00B71539"/>
    <w:rsid w:val="00B71582"/>
    <w:rsid w:val="00B71673"/>
    <w:rsid w:val="00B72438"/>
    <w:rsid w:val="00B72CBB"/>
    <w:rsid w:val="00B73BEF"/>
    <w:rsid w:val="00B74182"/>
    <w:rsid w:val="00B7427E"/>
    <w:rsid w:val="00B74570"/>
    <w:rsid w:val="00B75741"/>
    <w:rsid w:val="00B75A53"/>
    <w:rsid w:val="00B76133"/>
    <w:rsid w:val="00B76369"/>
    <w:rsid w:val="00B76A5A"/>
    <w:rsid w:val="00B76B6B"/>
    <w:rsid w:val="00B770C4"/>
    <w:rsid w:val="00B777CF"/>
    <w:rsid w:val="00B77DC1"/>
    <w:rsid w:val="00B800AA"/>
    <w:rsid w:val="00B80357"/>
    <w:rsid w:val="00B81080"/>
    <w:rsid w:val="00B82C65"/>
    <w:rsid w:val="00B82E01"/>
    <w:rsid w:val="00B832D8"/>
    <w:rsid w:val="00B83985"/>
    <w:rsid w:val="00B8409C"/>
    <w:rsid w:val="00B843C3"/>
    <w:rsid w:val="00B846BB"/>
    <w:rsid w:val="00B8510F"/>
    <w:rsid w:val="00B85640"/>
    <w:rsid w:val="00B858EF"/>
    <w:rsid w:val="00B8602A"/>
    <w:rsid w:val="00B902A6"/>
    <w:rsid w:val="00B90E85"/>
    <w:rsid w:val="00B9266C"/>
    <w:rsid w:val="00B93B5B"/>
    <w:rsid w:val="00B94097"/>
    <w:rsid w:val="00B96C52"/>
    <w:rsid w:val="00B97D48"/>
    <w:rsid w:val="00BA076D"/>
    <w:rsid w:val="00BA18F1"/>
    <w:rsid w:val="00BA1E34"/>
    <w:rsid w:val="00BA2F80"/>
    <w:rsid w:val="00BA30E4"/>
    <w:rsid w:val="00BA32F1"/>
    <w:rsid w:val="00BA353B"/>
    <w:rsid w:val="00BA3ACB"/>
    <w:rsid w:val="00BA3E57"/>
    <w:rsid w:val="00BA4B7A"/>
    <w:rsid w:val="00BA5271"/>
    <w:rsid w:val="00BA59FE"/>
    <w:rsid w:val="00BA5DAB"/>
    <w:rsid w:val="00BA6036"/>
    <w:rsid w:val="00BA67C2"/>
    <w:rsid w:val="00BA6E22"/>
    <w:rsid w:val="00BA6EC0"/>
    <w:rsid w:val="00BA76EB"/>
    <w:rsid w:val="00BA7A92"/>
    <w:rsid w:val="00BB14C5"/>
    <w:rsid w:val="00BB173E"/>
    <w:rsid w:val="00BB1C30"/>
    <w:rsid w:val="00BB26C5"/>
    <w:rsid w:val="00BB3640"/>
    <w:rsid w:val="00BB3720"/>
    <w:rsid w:val="00BB4AF0"/>
    <w:rsid w:val="00BB6053"/>
    <w:rsid w:val="00BB66B7"/>
    <w:rsid w:val="00BB69A7"/>
    <w:rsid w:val="00BB6AEC"/>
    <w:rsid w:val="00BB7417"/>
    <w:rsid w:val="00BB7522"/>
    <w:rsid w:val="00BB754B"/>
    <w:rsid w:val="00BC0871"/>
    <w:rsid w:val="00BC0AB0"/>
    <w:rsid w:val="00BC1191"/>
    <w:rsid w:val="00BC1308"/>
    <w:rsid w:val="00BC151D"/>
    <w:rsid w:val="00BC1B6D"/>
    <w:rsid w:val="00BC2B86"/>
    <w:rsid w:val="00BC3021"/>
    <w:rsid w:val="00BC32BF"/>
    <w:rsid w:val="00BC4136"/>
    <w:rsid w:val="00BC4947"/>
    <w:rsid w:val="00BC6CAC"/>
    <w:rsid w:val="00BC717B"/>
    <w:rsid w:val="00BC72AE"/>
    <w:rsid w:val="00BC79D2"/>
    <w:rsid w:val="00BC7EAA"/>
    <w:rsid w:val="00BD0D03"/>
    <w:rsid w:val="00BD1B42"/>
    <w:rsid w:val="00BD1BC9"/>
    <w:rsid w:val="00BD22F1"/>
    <w:rsid w:val="00BD2C44"/>
    <w:rsid w:val="00BD3934"/>
    <w:rsid w:val="00BD3965"/>
    <w:rsid w:val="00BD5027"/>
    <w:rsid w:val="00BD5175"/>
    <w:rsid w:val="00BD534D"/>
    <w:rsid w:val="00BD5B2F"/>
    <w:rsid w:val="00BD6D97"/>
    <w:rsid w:val="00BD70C7"/>
    <w:rsid w:val="00BE04FA"/>
    <w:rsid w:val="00BE2867"/>
    <w:rsid w:val="00BE2926"/>
    <w:rsid w:val="00BE29B2"/>
    <w:rsid w:val="00BE399C"/>
    <w:rsid w:val="00BE3C3E"/>
    <w:rsid w:val="00BE3E59"/>
    <w:rsid w:val="00BE428E"/>
    <w:rsid w:val="00BE4A07"/>
    <w:rsid w:val="00BE566D"/>
    <w:rsid w:val="00BE6036"/>
    <w:rsid w:val="00BE6792"/>
    <w:rsid w:val="00BE67F0"/>
    <w:rsid w:val="00BE7439"/>
    <w:rsid w:val="00BE7A6C"/>
    <w:rsid w:val="00BF047A"/>
    <w:rsid w:val="00BF05CA"/>
    <w:rsid w:val="00BF117A"/>
    <w:rsid w:val="00BF2370"/>
    <w:rsid w:val="00BF299B"/>
    <w:rsid w:val="00BF31A0"/>
    <w:rsid w:val="00BF3A19"/>
    <w:rsid w:val="00BF49E5"/>
    <w:rsid w:val="00BF4DE6"/>
    <w:rsid w:val="00BF5185"/>
    <w:rsid w:val="00BF53DB"/>
    <w:rsid w:val="00BF55CB"/>
    <w:rsid w:val="00C00B21"/>
    <w:rsid w:val="00C00E7E"/>
    <w:rsid w:val="00C01955"/>
    <w:rsid w:val="00C020AB"/>
    <w:rsid w:val="00C02542"/>
    <w:rsid w:val="00C02E16"/>
    <w:rsid w:val="00C034E0"/>
    <w:rsid w:val="00C037B9"/>
    <w:rsid w:val="00C0484C"/>
    <w:rsid w:val="00C05228"/>
    <w:rsid w:val="00C0597B"/>
    <w:rsid w:val="00C06FF2"/>
    <w:rsid w:val="00C07108"/>
    <w:rsid w:val="00C074B6"/>
    <w:rsid w:val="00C07692"/>
    <w:rsid w:val="00C0779D"/>
    <w:rsid w:val="00C07A6B"/>
    <w:rsid w:val="00C106F9"/>
    <w:rsid w:val="00C10C5C"/>
    <w:rsid w:val="00C1345C"/>
    <w:rsid w:val="00C139C6"/>
    <w:rsid w:val="00C154B8"/>
    <w:rsid w:val="00C1572F"/>
    <w:rsid w:val="00C15F7A"/>
    <w:rsid w:val="00C16167"/>
    <w:rsid w:val="00C16352"/>
    <w:rsid w:val="00C16FE1"/>
    <w:rsid w:val="00C202CD"/>
    <w:rsid w:val="00C20748"/>
    <w:rsid w:val="00C22274"/>
    <w:rsid w:val="00C22D60"/>
    <w:rsid w:val="00C22F3C"/>
    <w:rsid w:val="00C230EC"/>
    <w:rsid w:val="00C233DF"/>
    <w:rsid w:val="00C24E18"/>
    <w:rsid w:val="00C25B91"/>
    <w:rsid w:val="00C262EB"/>
    <w:rsid w:val="00C27225"/>
    <w:rsid w:val="00C27965"/>
    <w:rsid w:val="00C27B74"/>
    <w:rsid w:val="00C27BD3"/>
    <w:rsid w:val="00C30D9C"/>
    <w:rsid w:val="00C30FBD"/>
    <w:rsid w:val="00C327C0"/>
    <w:rsid w:val="00C327D7"/>
    <w:rsid w:val="00C351EE"/>
    <w:rsid w:val="00C357AD"/>
    <w:rsid w:val="00C35D93"/>
    <w:rsid w:val="00C36868"/>
    <w:rsid w:val="00C369A6"/>
    <w:rsid w:val="00C37EDE"/>
    <w:rsid w:val="00C411D7"/>
    <w:rsid w:val="00C42874"/>
    <w:rsid w:val="00C4288F"/>
    <w:rsid w:val="00C42B7E"/>
    <w:rsid w:val="00C42C30"/>
    <w:rsid w:val="00C42CDE"/>
    <w:rsid w:val="00C42E89"/>
    <w:rsid w:val="00C4431F"/>
    <w:rsid w:val="00C44A9F"/>
    <w:rsid w:val="00C44FA1"/>
    <w:rsid w:val="00C45237"/>
    <w:rsid w:val="00C4533B"/>
    <w:rsid w:val="00C45643"/>
    <w:rsid w:val="00C45A23"/>
    <w:rsid w:val="00C45F6F"/>
    <w:rsid w:val="00C4612D"/>
    <w:rsid w:val="00C4623F"/>
    <w:rsid w:val="00C474A5"/>
    <w:rsid w:val="00C4792D"/>
    <w:rsid w:val="00C47974"/>
    <w:rsid w:val="00C47ED6"/>
    <w:rsid w:val="00C50A4E"/>
    <w:rsid w:val="00C50B6D"/>
    <w:rsid w:val="00C51179"/>
    <w:rsid w:val="00C5180C"/>
    <w:rsid w:val="00C5220B"/>
    <w:rsid w:val="00C5368A"/>
    <w:rsid w:val="00C53B6C"/>
    <w:rsid w:val="00C53FA9"/>
    <w:rsid w:val="00C54560"/>
    <w:rsid w:val="00C54CF2"/>
    <w:rsid w:val="00C54DB0"/>
    <w:rsid w:val="00C555F3"/>
    <w:rsid w:val="00C56066"/>
    <w:rsid w:val="00C57914"/>
    <w:rsid w:val="00C6110A"/>
    <w:rsid w:val="00C61F0E"/>
    <w:rsid w:val="00C62B24"/>
    <w:rsid w:val="00C62DE3"/>
    <w:rsid w:val="00C6413F"/>
    <w:rsid w:val="00C64FDB"/>
    <w:rsid w:val="00C65691"/>
    <w:rsid w:val="00C65BF7"/>
    <w:rsid w:val="00C66B09"/>
    <w:rsid w:val="00C67EDD"/>
    <w:rsid w:val="00C7001D"/>
    <w:rsid w:val="00C70391"/>
    <w:rsid w:val="00C703B7"/>
    <w:rsid w:val="00C710A9"/>
    <w:rsid w:val="00C71E8A"/>
    <w:rsid w:val="00C72D03"/>
    <w:rsid w:val="00C73103"/>
    <w:rsid w:val="00C7484B"/>
    <w:rsid w:val="00C74FB1"/>
    <w:rsid w:val="00C756C2"/>
    <w:rsid w:val="00C75881"/>
    <w:rsid w:val="00C75E2B"/>
    <w:rsid w:val="00C76B06"/>
    <w:rsid w:val="00C7794E"/>
    <w:rsid w:val="00C804C5"/>
    <w:rsid w:val="00C8079D"/>
    <w:rsid w:val="00C80B1C"/>
    <w:rsid w:val="00C81389"/>
    <w:rsid w:val="00C81568"/>
    <w:rsid w:val="00C819A1"/>
    <w:rsid w:val="00C81A3A"/>
    <w:rsid w:val="00C81C40"/>
    <w:rsid w:val="00C828D2"/>
    <w:rsid w:val="00C82CA7"/>
    <w:rsid w:val="00C83702"/>
    <w:rsid w:val="00C85058"/>
    <w:rsid w:val="00C86768"/>
    <w:rsid w:val="00C86D21"/>
    <w:rsid w:val="00C8722A"/>
    <w:rsid w:val="00C87C79"/>
    <w:rsid w:val="00C906F1"/>
    <w:rsid w:val="00C90EEA"/>
    <w:rsid w:val="00C90FF6"/>
    <w:rsid w:val="00C9194A"/>
    <w:rsid w:val="00C91C54"/>
    <w:rsid w:val="00C92593"/>
    <w:rsid w:val="00C9265C"/>
    <w:rsid w:val="00C9312A"/>
    <w:rsid w:val="00C939F9"/>
    <w:rsid w:val="00C93DD9"/>
    <w:rsid w:val="00C93F00"/>
    <w:rsid w:val="00C941F5"/>
    <w:rsid w:val="00C9421C"/>
    <w:rsid w:val="00C95742"/>
    <w:rsid w:val="00C95753"/>
    <w:rsid w:val="00C95A52"/>
    <w:rsid w:val="00C95A68"/>
    <w:rsid w:val="00C95AD5"/>
    <w:rsid w:val="00C95DD5"/>
    <w:rsid w:val="00C96005"/>
    <w:rsid w:val="00C96076"/>
    <w:rsid w:val="00C960E7"/>
    <w:rsid w:val="00C96719"/>
    <w:rsid w:val="00C97A49"/>
    <w:rsid w:val="00CA0391"/>
    <w:rsid w:val="00CA0614"/>
    <w:rsid w:val="00CA0652"/>
    <w:rsid w:val="00CA07EA"/>
    <w:rsid w:val="00CA0FF7"/>
    <w:rsid w:val="00CA174D"/>
    <w:rsid w:val="00CA1A68"/>
    <w:rsid w:val="00CA36E2"/>
    <w:rsid w:val="00CA37B1"/>
    <w:rsid w:val="00CA4840"/>
    <w:rsid w:val="00CA5052"/>
    <w:rsid w:val="00CA529A"/>
    <w:rsid w:val="00CA58F5"/>
    <w:rsid w:val="00CA5A94"/>
    <w:rsid w:val="00CA5C47"/>
    <w:rsid w:val="00CA6379"/>
    <w:rsid w:val="00CA6D73"/>
    <w:rsid w:val="00CA6F12"/>
    <w:rsid w:val="00CA6F18"/>
    <w:rsid w:val="00CA799F"/>
    <w:rsid w:val="00CB0210"/>
    <w:rsid w:val="00CB0584"/>
    <w:rsid w:val="00CB08EA"/>
    <w:rsid w:val="00CB0A6F"/>
    <w:rsid w:val="00CB0BCF"/>
    <w:rsid w:val="00CB1959"/>
    <w:rsid w:val="00CB62CA"/>
    <w:rsid w:val="00CB67DD"/>
    <w:rsid w:val="00CB6A32"/>
    <w:rsid w:val="00CB7150"/>
    <w:rsid w:val="00CB790A"/>
    <w:rsid w:val="00CB7993"/>
    <w:rsid w:val="00CB7F80"/>
    <w:rsid w:val="00CC0ADB"/>
    <w:rsid w:val="00CC1ABA"/>
    <w:rsid w:val="00CC1B94"/>
    <w:rsid w:val="00CC1EFC"/>
    <w:rsid w:val="00CC3229"/>
    <w:rsid w:val="00CC3838"/>
    <w:rsid w:val="00CC49B2"/>
    <w:rsid w:val="00CC4A2F"/>
    <w:rsid w:val="00CC5C3A"/>
    <w:rsid w:val="00CC601A"/>
    <w:rsid w:val="00CC65C6"/>
    <w:rsid w:val="00CC6B70"/>
    <w:rsid w:val="00CC6F6C"/>
    <w:rsid w:val="00CC7E1F"/>
    <w:rsid w:val="00CD0DA4"/>
    <w:rsid w:val="00CD0F86"/>
    <w:rsid w:val="00CD14AC"/>
    <w:rsid w:val="00CD1FBE"/>
    <w:rsid w:val="00CD26A0"/>
    <w:rsid w:val="00CD28EE"/>
    <w:rsid w:val="00CD2D48"/>
    <w:rsid w:val="00CD3596"/>
    <w:rsid w:val="00CD41E2"/>
    <w:rsid w:val="00CD4ECA"/>
    <w:rsid w:val="00CD545C"/>
    <w:rsid w:val="00CE00FF"/>
    <w:rsid w:val="00CE0528"/>
    <w:rsid w:val="00CE0FFC"/>
    <w:rsid w:val="00CE129A"/>
    <w:rsid w:val="00CE178E"/>
    <w:rsid w:val="00CE1EA6"/>
    <w:rsid w:val="00CE219B"/>
    <w:rsid w:val="00CE2E58"/>
    <w:rsid w:val="00CE2EA1"/>
    <w:rsid w:val="00CE2F47"/>
    <w:rsid w:val="00CE507E"/>
    <w:rsid w:val="00CE5595"/>
    <w:rsid w:val="00CE7017"/>
    <w:rsid w:val="00CE7D84"/>
    <w:rsid w:val="00CF0830"/>
    <w:rsid w:val="00CF0855"/>
    <w:rsid w:val="00CF0ABA"/>
    <w:rsid w:val="00CF10BD"/>
    <w:rsid w:val="00CF3BAC"/>
    <w:rsid w:val="00CF45A8"/>
    <w:rsid w:val="00CF49AE"/>
    <w:rsid w:val="00CF4B8D"/>
    <w:rsid w:val="00CF5472"/>
    <w:rsid w:val="00CF688C"/>
    <w:rsid w:val="00CF6D8A"/>
    <w:rsid w:val="00CF739E"/>
    <w:rsid w:val="00CF7785"/>
    <w:rsid w:val="00CF7856"/>
    <w:rsid w:val="00D00D8A"/>
    <w:rsid w:val="00D01015"/>
    <w:rsid w:val="00D01776"/>
    <w:rsid w:val="00D0183B"/>
    <w:rsid w:val="00D01A97"/>
    <w:rsid w:val="00D01DED"/>
    <w:rsid w:val="00D020C6"/>
    <w:rsid w:val="00D02261"/>
    <w:rsid w:val="00D02325"/>
    <w:rsid w:val="00D0296C"/>
    <w:rsid w:val="00D034EC"/>
    <w:rsid w:val="00D04861"/>
    <w:rsid w:val="00D04C4F"/>
    <w:rsid w:val="00D05199"/>
    <w:rsid w:val="00D051E3"/>
    <w:rsid w:val="00D05773"/>
    <w:rsid w:val="00D0743E"/>
    <w:rsid w:val="00D079E8"/>
    <w:rsid w:val="00D102F1"/>
    <w:rsid w:val="00D10BD4"/>
    <w:rsid w:val="00D11162"/>
    <w:rsid w:val="00D1131A"/>
    <w:rsid w:val="00D11941"/>
    <w:rsid w:val="00D1200A"/>
    <w:rsid w:val="00D126DB"/>
    <w:rsid w:val="00D12A50"/>
    <w:rsid w:val="00D1361F"/>
    <w:rsid w:val="00D13840"/>
    <w:rsid w:val="00D1390D"/>
    <w:rsid w:val="00D13FCD"/>
    <w:rsid w:val="00D143F4"/>
    <w:rsid w:val="00D147A1"/>
    <w:rsid w:val="00D14841"/>
    <w:rsid w:val="00D156E0"/>
    <w:rsid w:val="00D1576E"/>
    <w:rsid w:val="00D16176"/>
    <w:rsid w:val="00D164DB"/>
    <w:rsid w:val="00D16D32"/>
    <w:rsid w:val="00D16DF3"/>
    <w:rsid w:val="00D179DA"/>
    <w:rsid w:val="00D17A0B"/>
    <w:rsid w:val="00D20143"/>
    <w:rsid w:val="00D202F8"/>
    <w:rsid w:val="00D20D02"/>
    <w:rsid w:val="00D21EB5"/>
    <w:rsid w:val="00D2253C"/>
    <w:rsid w:val="00D22869"/>
    <w:rsid w:val="00D23833"/>
    <w:rsid w:val="00D2442E"/>
    <w:rsid w:val="00D246BC"/>
    <w:rsid w:val="00D24808"/>
    <w:rsid w:val="00D24D5B"/>
    <w:rsid w:val="00D25037"/>
    <w:rsid w:val="00D25660"/>
    <w:rsid w:val="00D263E1"/>
    <w:rsid w:val="00D265A3"/>
    <w:rsid w:val="00D27196"/>
    <w:rsid w:val="00D274DA"/>
    <w:rsid w:val="00D277DA"/>
    <w:rsid w:val="00D30565"/>
    <w:rsid w:val="00D30A1D"/>
    <w:rsid w:val="00D31159"/>
    <w:rsid w:val="00D3132A"/>
    <w:rsid w:val="00D31982"/>
    <w:rsid w:val="00D33656"/>
    <w:rsid w:val="00D3378D"/>
    <w:rsid w:val="00D33BE1"/>
    <w:rsid w:val="00D342C1"/>
    <w:rsid w:val="00D3454A"/>
    <w:rsid w:val="00D363A4"/>
    <w:rsid w:val="00D36BA9"/>
    <w:rsid w:val="00D37ED4"/>
    <w:rsid w:val="00D40886"/>
    <w:rsid w:val="00D4098C"/>
    <w:rsid w:val="00D40A4D"/>
    <w:rsid w:val="00D40DA5"/>
    <w:rsid w:val="00D415C9"/>
    <w:rsid w:val="00D41D2E"/>
    <w:rsid w:val="00D4216D"/>
    <w:rsid w:val="00D42E5F"/>
    <w:rsid w:val="00D439A4"/>
    <w:rsid w:val="00D43CF2"/>
    <w:rsid w:val="00D444A6"/>
    <w:rsid w:val="00D45112"/>
    <w:rsid w:val="00D468AA"/>
    <w:rsid w:val="00D46D82"/>
    <w:rsid w:val="00D46D97"/>
    <w:rsid w:val="00D46F23"/>
    <w:rsid w:val="00D47029"/>
    <w:rsid w:val="00D5030C"/>
    <w:rsid w:val="00D50DA3"/>
    <w:rsid w:val="00D51153"/>
    <w:rsid w:val="00D5117F"/>
    <w:rsid w:val="00D513BE"/>
    <w:rsid w:val="00D5238B"/>
    <w:rsid w:val="00D53C8E"/>
    <w:rsid w:val="00D53E70"/>
    <w:rsid w:val="00D554A4"/>
    <w:rsid w:val="00D56939"/>
    <w:rsid w:val="00D56C14"/>
    <w:rsid w:val="00D6197D"/>
    <w:rsid w:val="00D62B13"/>
    <w:rsid w:val="00D6483F"/>
    <w:rsid w:val="00D648DC"/>
    <w:rsid w:val="00D65566"/>
    <w:rsid w:val="00D65D8A"/>
    <w:rsid w:val="00D65E68"/>
    <w:rsid w:val="00D66C34"/>
    <w:rsid w:val="00D70B0C"/>
    <w:rsid w:val="00D72052"/>
    <w:rsid w:val="00D74231"/>
    <w:rsid w:val="00D74D20"/>
    <w:rsid w:val="00D75761"/>
    <w:rsid w:val="00D75D32"/>
    <w:rsid w:val="00D764CB"/>
    <w:rsid w:val="00D7771A"/>
    <w:rsid w:val="00D77DC9"/>
    <w:rsid w:val="00D80EF7"/>
    <w:rsid w:val="00D816AE"/>
    <w:rsid w:val="00D83227"/>
    <w:rsid w:val="00D837DB"/>
    <w:rsid w:val="00D83CCA"/>
    <w:rsid w:val="00D841B6"/>
    <w:rsid w:val="00D84327"/>
    <w:rsid w:val="00D84697"/>
    <w:rsid w:val="00D846E9"/>
    <w:rsid w:val="00D84BD4"/>
    <w:rsid w:val="00D84D79"/>
    <w:rsid w:val="00D85AD9"/>
    <w:rsid w:val="00D86B7F"/>
    <w:rsid w:val="00D87046"/>
    <w:rsid w:val="00D8794C"/>
    <w:rsid w:val="00D90E9D"/>
    <w:rsid w:val="00D90F03"/>
    <w:rsid w:val="00D910AB"/>
    <w:rsid w:val="00D91BA3"/>
    <w:rsid w:val="00D91E11"/>
    <w:rsid w:val="00D924EE"/>
    <w:rsid w:val="00D92929"/>
    <w:rsid w:val="00D93019"/>
    <w:rsid w:val="00D93241"/>
    <w:rsid w:val="00D939AC"/>
    <w:rsid w:val="00D940E4"/>
    <w:rsid w:val="00D943D3"/>
    <w:rsid w:val="00D948AC"/>
    <w:rsid w:val="00D95CB7"/>
    <w:rsid w:val="00D95E5A"/>
    <w:rsid w:val="00D95EC6"/>
    <w:rsid w:val="00D96888"/>
    <w:rsid w:val="00D974E0"/>
    <w:rsid w:val="00D975E9"/>
    <w:rsid w:val="00D978C4"/>
    <w:rsid w:val="00D97A8B"/>
    <w:rsid w:val="00DA1171"/>
    <w:rsid w:val="00DA131D"/>
    <w:rsid w:val="00DA1F07"/>
    <w:rsid w:val="00DA316C"/>
    <w:rsid w:val="00DA3553"/>
    <w:rsid w:val="00DA4C30"/>
    <w:rsid w:val="00DA5370"/>
    <w:rsid w:val="00DA53F1"/>
    <w:rsid w:val="00DA5767"/>
    <w:rsid w:val="00DA5AB2"/>
    <w:rsid w:val="00DA5AFB"/>
    <w:rsid w:val="00DA6561"/>
    <w:rsid w:val="00DA696B"/>
    <w:rsid w:val="00DA7A34"/>
    <w:rsid w:val="00DB0699"/>
    <w:rsid w:val="00DB0890"/>
    <w:rsid w:val="00DB0C94"/>
    <w:rsid w:val="00DB2208"/>
    <w:rsid w:val="00DB262A"/>
    <w:rsid w:val="00DB30DE"/>
    <w:rsid w:val="00DB34BF"/>
    <w:rsid w:val="00DB3650"/>
    <w:rsid w:val="00DB3847"/>
    <w:rsid w:val="00DB4303"/>
    <w:rsid w:val="00DB50FC"/>
    <w:rsid w:val="00DB6350"/>
    <w:rsid w:val="00DB6D69"/>
    <w:rsid w:val="00DB7CA5"/>
    <w:rsid w:val="00DC03BF"/>
    <w:rsid w:val="00DC08F8"/>
    <w:rsid w:val="00DC0BC8"/>
    <w:rsid w:val="00DC0FF5"/>
    <w:rsid w:val="00DC1239"/>
    <w:rsid w:val="00DC2615"/>
    <w:rsid w:val="00DC2A5B"/>
    <w:rsid w:val="00DC2C1A"/>
    <w:rsid w:val="00DC2CB3"/>
    <w:rsid w:val="00DC3D9D"/>
    <w:rsid w:val="00DC430B"/>
    <w:rsid w:val="00DC46F5"/>
    <w:rsid w:val="00DC51EE"/>
    <w:rsid w:val="00DC64A9"/>
    <w:rsid w:val="00DC65DA"/>
    <w:rsid w:val="00DC6660"/>
    <w:rsid w:val="00DC6C0A"/>
    <w:rsid w:val="00DC7286"/>
    <w:rsid w:val="00DC7536"/>
    <w:rsid w:val="00DC7573"/>
    <w:rsid w:val="00DD025C"/>
    <w:rsid w:val="00DD1277"/>
    <w:rsid w:val="00DD12EA"/>
    <w:rsid w:val="00DD1345"/>
    <w:rsid w:val="00DD1403"/>
    <w:rsid w:val="00DD2811"/>
    <w:rsid w:val="00DD2AC6"/>
    <w:rsid w:val="00DD3A99"/>
    <w:rsid w:val="00DD4B0C"/>
    <w:rsid w:val="00DD4F8C"/>
    <w:rsid w:val="00DD5059"/>
    <w:rsid w:val="00DD509F"/>
    <w:rsid w:val="00DD519B"/>
    <w:rsid w:val="00DD5313"/>
    <w:rsid w:val="00DD5773"/>
    <w:rsid w:val="00DD6961"/>
    <w:rsid w:val="00DD6C81"/>
    <w:rsid w:val="00DD6DA8"/>
    <w:rsid w:val="00DD73C1"/>
    <w:rsid w:val="00DD774D"/>
    <w:rsid w:val="00DD77B6"/>
    <w:rsid w:val="00DD7896"/>
    <w:rsid w:val="00DD79E7"/>
    <w:rsid w:val="00DE0B8E"/>
    <w:rsid w:val="00DE0D93"/>
    <w:rsid w:val="00DE1DC4"/>
    <w:rsid w:val="00DE1E61"/>
    <w:rsid w:val="00DE2326"/>
    <w:rsid w:val="00DE23EB"/>
    <w:rsid w:val="00DE275A"/>
    <w:rsid w:val="00DE2E42"/>
    <w:rsid w:val="00DE336D"/>
    <w:rsid w:val="00DE3571"/>
    <w:rsid w:val="00DE3A1F"/>
    <w:rsid w:val="00DE432B"/>
    <w:rsid w:val="00DE49EE"/>
    <w:rsid w:val="00DE5522"/>
    <w:rsid w:val="00DE5706"/>
    <w:rsid w:val="00DE57B8"/>
    <w:rsid w:val="00DE58E9"/>
    <w:rsid w:val="00DE58F9"/>
    <w:rsid w:val="00DE5EF2"/>
    <w:rsid w:val="00DE68AB"/>
    <w:rsid w:val="00DE6DF6"/>
    <w:rsid w:val="00DE6EC9"/>
    <w:rsid w:val="00DF0215"/>
    <w:rsid w:val="00DF03C6"/>
    <w:rsid w:val="00DF0882"/>
    <w:rsid w:val="00DF09A1"/>
    <w:rsid w:val="00DF13A6"/>
    <w:rsid w:val="00DF1A2E"/>
    <w:rsid w:val="00DF1CCA"/>
    <w:rsid w:val="00DF25F7"/>
    <w:rsid w:val="00DF2652"/>
    <w:rsid w:val="00DF2692"/>
    <w:rsid w:val="00DF3519"/>
    <w:rsid w:val="00DF353D"/>
    <w:rsid w:val="00DF36F8"/>
    <w:rsid w:val="00DF44D1"/>
    <w:rsid w:val="00DF45F5"/>
    <w:rsid w:val="00DF48E5"/>
    <w:rsid w:val="00DF52FA"/>
    <w:rsid w:val="00DF607F"/>
    <w:rsid w:val="00E000E4"/>
    <w:rsid w:val="00E01950"/>
    <w:rsid w:val="00E019DC"/>
    <w:rsid w:val="00E021A9"/>
    <w:rsid w:val="00E0237E"/>
    <w:rsid w:val="00E02F90"/>
    <w:rsid w:val="00E0383D"/>
    <w:rsid w:val="00E04BDF"/>
    <w:rsid w:val="00E04C80"/>
    <w:rsid w:val="00E051B5"/>
    <w:rsid w:val="00E05741"/>
    <w:rsid w:val="00E06047"/>
    <w:rsid w:val="00E06F6C"/>
    <w:rsid w:val="00E079FD"/>
    <w:rsid w:val="00E07F97"/>
    <w:rsid w:val="00E10403"/>
    <w:rsid w:val="00E10533"/>
    <w:rsid w:val="00E11317"/>
    <w:rsid w:val="00E11D2C"/>
    <w:rsid w:val="00E122C5"/>
    <w:rsid w:val="00E12633"/>
    <w:rsid w:val="00E1304F"/>
    <w:rsid w:val="00E13115"/>
    <w:rsid w:val="00E131C2"/>
    <w:rsid w:val="00E133CB"/>
    <w:rsid w:val="00E13496"/>
    <w:rsid w:val="00E134EE"/>
    <w:rsid w:val="00E1353B"/>
    <w:rsid w:val="00E13847"/>
    <w:rsid w:val="00E13BCA"/>
    <w:rsid w:val="00E13E83"/>
    <w:rsid w:val="00E1684C"/>
    <w:rsid w:val="00E17694"/>
    <w:rsid w:val="00E17723"/>
    <w:rsid w:val="00E17F12"/>
    <w:rsid w:val="00E17F72"/>
    <w:rsid w:val="00E20DFD"/>
    <w:rsid w:val="00E225A5"/>
    <w:rsid w:val="00E2299A"/>
    <w:rsid w:val="00E23026"/>
    <w:rsid w:val="00E2378B"/>
    <w:rsid w:val="00E239E3"/>
    <w:rsid w:val="00E23B16"/>
    <w:rsid w:val="00E240BC"/>
    <w:rsid w:val="00E242F8"/>
    <w:rsid w:val="00E244DD"/>
    <w:rsid w:val="00E24658"/>
    <w:rsid w:val="00E255BB"/>
    <w:rsid w:val="00E26024"/>
    <w:rsid w:val="00E261D1"/>
    <w:rsid w:val="00E26C2B"/>
    <w:rsid w:val="00E309C1"/>
    <w:rsid w:val="00E31079"/>
    <w:rsid w:val="00E31130"/>
    <w:rsid w:val="00E3154D"/>
    <w:rsid w:val="00E319C4"/>
    <w:rsid w:val="00E3206A"/>
    <w:rsid w:val="00E321BD"/>
    <w:rsid w:val="00E33421"/>
    <w:rsid w:val="00E33592"/>
    <w:rsid w:val="00E338A4"/>
    <w:rsid w:val="00E33F13"/>
    <w:rsid w:val="00E340D4"/>
    <w:rsid w:val="00E34161"/>
    <w:rsid w:val="00E346AB"/>
    <w:rsid w:val="00E34A50"/>
    <w:rsid w:val="00E34C78"/>
    <w:rsid w:val="00E34F96"/>
    <w:rsid w:val="00E357B7"/>
    <w:rsid w:val="00E35FF4"/>
    <w:rsid w:val="00E36219"/>
    <w:rsid w:val="00E36D14"/>
    <w:rsid w:val="00E4015D"/>
    <w:rsid w:val="00E406CC"/>
    <w:rsid w:val="00E41599"/>
    <w:rsid w:val="00E41A5D"/>
    <w:rsid w:val="00E4251F"/>
    <w:rsid w:val="00E42666"/>
    <w:rsid w:val="00E42CEF"/>
    <w:rsid w:val="00E431F4"/>
    <w:rsid w:val="00E438B4"/>
    <w:rsid w:val="00E44595"/>
    <w:rsid w:val="00E44715"/>
    <w:rsid w:val="00E44D53"/>
    <w:rsid w:val="00E44E23"/>
    <w:rsid w:val="00E45FB0"/>
    <w:rsid w:val="00E46A99"/>
    <w:rsid w:val="00E47136"/>
    <w:rsid w:val="00E47D22"/>
    <w:rsid w:val="00E5038C"/>
    <w:rsid w:val="00E508B5"/>
    <w:rsid w:val="00E50A3A"/>
    <w:rsid w:val="00E50B20"/>
    <w:rsid w:val="00E50D94"/>
    <w:rsid w:val="00E50D9D"/>
    <w:rsid w:val="00E517D9"/>
    <w:rsid w:val="00E51D3B"/>
    <w:rsid w:val="00E522A6"/>
    <w:rsid w:val="00E528F3"/>
    <w:rsid w:val="00E52F91"/>
    <w:rsid w:val="00E536EC"/>
    <w:rsid w:val="00E5375C"/>
    <w:rsid w:val="00E53800"/>
    <w:rsid w:val="00E54044"/>
    <w:rsid w:val="00E54145"/>
    <w:rsid w:val="00E54242"/>
    <w:rsid w:val="00E547A7"/>
    <w:rsid w:val="00E55C9B"/>
    <w:rsid w:val="00E56046"/>
    <w:rsid w:val="00E56815"/>
    <w:rsid w:val="00E56B12"/>
    <w:rsid w:val="00E57080"/>
    <w:rsid w:val="00E578F8"/>
    <w:rsid w:val="00E57D6C"/>
    <w:rsid w:val="00E602EE"/>
    <w:rsid w:val="00E60676"/>
    <w:rsid w:val="00E606CD"/>
    <w:rsid w:val="00E6081F"/>
    <w:rsid w:val="00E613BF"/>
    <w:rsid w:val="00E61980"/>
    <w:rsid w:val="00E62962"/>
    <w:rsid w:val="00E6348F"/>
    <w:rsid w:val="00E634E7"/>
    <w:rsid w:val="00E6464F"/>
    <w:rsid w:val="00E665CE"/>
    <w:rsid w:val="00E675E6"/>
    <w:rsid w:val="00E679CC"/>
    <w:rsid w:val="00E706ED"/>
    <w:rsid w:val="00E708DE"/>
    <w:rsid w:val="00E70D75"/>
    <w:rsid w:val="00E71121"/>
    <w:rsid w:val="00E7150D"/>
    <w:rsid w:val="00E71D24"/>
    <w:rsid w:val="00E72312"/>
    <w:rsid w:val="00E728B7"/>
    <w:rsid w:val="00E74669"/>
    <w:rsid w:val="00E74DB5"/>
    <w:rsid w:val="00E7516A"/>
    <w:rsid w:val="00E75763"/>
    <w:rsid w:val="00E763DC"/>
    <w:rsid w:val="00E76CE6"/>
    <w:rsid w:val="00E771DD"/>
    <w:rsid w:val="00E77546"/>
    <w:rsid w:val="00E77DFC"/>
    <w:rsid w:val="00E800F7"/>
    <w:rsid w:val="00E8035E"/>
    <w:rsid w:val="00E806A8"/>
    <w:rsid w:val="00E806EB"/>
    <w:rsid w:val="00E80DE6"/>
    <w:rsid w:val="00E812D8"/>
    <w:rsid w:val="00E8211C"/>
    <w:rsid w:val="00E82631"/>
    <w:rsid w:val="00E8281B"/>
    <w:rsid w:val="00E833A6"/>
    <w:rsid w:val="00E83D01"/>
    <w:rsid w:val="00E8465E"/>
    <w:rsid w:val="00E84B3C"/>
    <w:rsid w:val="00E84C4D"/>
    <w:rsid w:val="00E854BF"/>
    <w:rsid w:val="00E857AF"/>
    <w:rsid w:val="00E85996"/>
    <w:rsid w:val="00E85CBE"/>
    <w:rsid w:val="00E86174"/>
    <w:rsid w:val="00E86F4B"/>
    <w:rsid w:val="00E875B1"/>
    <w:rsid w:val="00E87853"/>
    <w:rsid w:val="00E8796F"/>
    <w:rsid w:val="00E879EE"/>
    <w:rsid w:val="00E909FC"/>
    <w:rsid w:val="00E90A36"/>
    <w:rsid w:val="00E90B54"/>
    <w:rsid w:val="00E91D03"/>
    <w:rsid w:val="00E93389"/>
    <w:rsid w:val="00E939D1"/>
    <w:rsid w:val="00E93B4E"/>
    <w:rsid w:val="00E941A3"/>
    <w:rsid w:val="00E958DA"/>
    <w:rsid w:val="00E95E7D"/>
    <w:rsid w:val="00E96A10"/>
    <w:rsid w:val="00EA048B"/>
    <w:rsid w:val="00EA04B2"/>
    <w:rsid w:val="00EA0B43"/>
    <w:rsid w:val="00EA0F31"/>
    <w:rsid w:val="00EA11C4"/>
    <w:rsid w:val="00EA193E"/>
    <w:rsid w:val="00EA1CA9"/>
    <w:rsid w:val="00EA1CE5"/>
    <w:rsid w:val="00EA20F3"/>
    <w:rsid w:val="00EA22D9"/>
    <w:rsid w:val="00EA2A4F"/>
    <w:rsid w:val="00EA3641"/>
    <w:rsid w:val="00EA36AD"/>
    <w:rsid w:val="00EA3997"/>
    <w:rsid w:val="00EA406D"/>
    <w:rsid w:val="00EA4FA4"/>
    <w:rsid w:val="00EA543A"/>
    <w:rsid w:val="00EA564E"/>
    <w:rsid w:val="00EA61A0"/>
    <w:rsid w:val="00EA6B3F"/>
    <w:rsid w:val="00EA6D42"/>
    <w:rsid w:val="00EA6E2D"/>
    <w:rsid w:val="00EB0F2E"/>
    <w:rsid w:val="00EB13D8"/>
    <w:rsid w:val="00EB1532"/>
    <w:rsid w:val="00EB1673"/>
    <w:rsid w:val="00EB1DB5"/>
    <w:rsid w:val="00EB2292"/>
    <w:rsid w:val="00EB2983"/>
    <w:rsid w:val="00EB2CBC"/>
    <w:rsid w:val="00EB2D6A"/>
    <w:rsid w:val="00EB360E"/>
    <w:rsid w:val="00EB3D32"/>
    <w:rsid w:val="00EB3FB2"/>
    <w:rsid w:val="00EB46F2"/>
    <w:rsid w:val="00EB4AB8"/>
    <w:rsid w:val="00EB4F40"/>
    <w:rsid w:val="00EB52B1"/>
    <w:rsid w:val="00EB61DC"/>
    <w:rsid w:val="00EB689A"/>
    <w:rsid w:val="00EB6B70"/>
    <w:rsid w:val="00EB77B2"/>
    <w:rsid w:val="00EB7E17"/>
    <w:rsid w:val="00EB7F6C"/>
    <w:rsid w:val="00EC0CA7"/>
    <w:rsid w:val="00EC0EBD"/>
    <w:rsid w:val="00EC181F"/>
    <w:rsid w:val="00EC1E18"/>
    <w:rsid w:val="00EC20AC"/>
    <w:rsid w:val="00EC28D7"/>
    <w:rsid w:val="00EC3E5A"/>
    <w:rsid w:val="00EC3F2B"/>
    <w:rsid w:val="00EC438C"/>
    <w:rsid w:val="00EC475A"/>
    <w:rsid w:val="00EC5DC2"/>
    <w:rsid w:val="00EC5FFD"/>
    <w:rsid w:val="00EC62F5"/>
    <w:rsid w:val="00EC7360"/>
    <w:rsid w:val="00EC7932"/>
    <w:rsid w:val="00ED1675"/>
    <w:rsid w:val="00ED1DEC"/>
    <w:rsid w:val="00ED1EB6"/>
    <w:rsid w:val="00ED20AF"/>
    <w:rsid w:val="00ED230C"/>
    <w:rsid w:val="00ED2ABC"/>
    <w:rsid w:val="00ED3AA9"/>
    <w:rsid w:val="00ED43D1"/>
    <w:rsid w:val="00ED53D4"/>
    <w:rsid w:val="00ED5BDC"/>
    <w:rsid w:val="00ED62D7"/>
    <w:rsid w:val="00ED671B"/>
    <w:rsid w:val="00ED717B"/>
    <w:rsid w:val="00ED760B"/>
    <w:rsid w:val="00ED7B3B"/>
    <w:rsid w:val="00ED7B5F"/>
    <w:rsid w:val="00EE1250"/>
    <w:rsid w:val="00EE1607"/>
    <w:rsid w:val="00EE3900"/>
    <w:rsid w:val="00EE397C"/>
    <w:rsid w:val="00EE40CA"/>
    <w:rsid w:val="00EE41F8"/>
    <w:rsid w:val="00EE4C13"/>
    <w:rsid w:val="00EE4C96"/>
    <w:rsid w:val="00EE4EE1"/>
    <w:rsid w:val="00EE5A58"/>
    <w:rsid w:val="00EE5DDB"/>
    <w:rsid w:val="00EE6113"/>
    <w:rsid w:val="00EE6552"/>
    <w:rsid w:val="00EE6991"/>
    <w:rsid w:val="00EE76C9"/>
    <w:rsid w:val="00EE7B76"/>
    <w:rsid w:val="00EE7C29"/>
    <w:rsid w:val="00EF02CF"/>
    <w:rsid w:val="00EF0551"/>
    <w:rsid w:val="00EF0E9A"/>
    <w:rsid w:val="00EF0FAE"/>
    <w:rsid w:val="00EF1143"/>
    <w:rsid w:val="00EF1C74"/>
    <w:rsid w:val="00EF260A"/>
    <w:rsid w:val="00EF2C1D"/>
    <w:rsid w:val="00EF3B38"/>
    <w:rsid w:val="00EF3F12"/>
    <w:rsid w:val="00EF4439"/>
    <w:rsid w:val="00EF4574"/>
    <w:rsid w:val="00EF5642"/>
    <w:rsid w:val="00EF59E2"/>
    <w:rsid w:val="00EF5BED"/>
    <w:rsid w:val="00EF5E16"/>
    <w:rsid w:val="00EF68F4"/>
    <w:rsid w:val="00EF6DFC"/>
    <w:rsid w:val="00EF7018"/>
    <w:rsid w:val="00EF7028"/>
    <w:rsid w:val="00EF745F"/>
    <w:rsid w:val="00EF76C6"/>
    <w:rsid w:val="00EF7A27"/>
    <w:rsid w:val="00EF7DD9"/>
    <w:rsid w:val="00F011CF"/>
    <w:rsid w:val="00F01C25"/>
    <w:rsid w:val="00F01E91"/>
    <w:rsid w:val="00F02074"/>
    <w:rsid w:val="00F02EE1"/>
    <w:rsid w:val="00F036C5"/>
    <w:rsid w:val="00F037A4"/>
    <w:rsid w:val="00F03EDC"/>
    <w:rsid w:val="00F04DBE"/>
    <w:rsid w:val="00F05578"/>
    <w:rsid w:val="00F058D3"/>
    <w:rsid w:val="00F06A42"/>
    <w:rsid w:val="00F06BB8"/>
    <w:rsid w:val="00F07F10"/>
    <w:rsid w:val="00F11CD9"/>
    <w:rsid w:val="00F13C6D"/>
    <w:rsid w:val="00F14827"/>
    <w:rsid w:val="00F20A58"/>
    <w:rsid w:val="00F20BDA"/>
    <w:rsid w:val="00F20D74"/>
    <w:rsid w:val="00F21206"/>
    <w:rsid w:val="00F21EED"/>
    <w:rsid w:val="00F2208E"/>
    <w:rsid w:val="00F22805"/>
    <w:rsid w:val="00F24347"/>
    <w:rsid w:val="00F25C6F"/>
    <w:rsid w:val="00F262F8"/>
    <w:rsid w:val="00F2684E"/>
    <w:rsid w:val="00F269E2"/>
    <w:rsid w:val="00F26F6A"/>
    <w:rsid w:val="00F305A0"/>
    <w:rsid w:val="00F309A2"/>
    <w:rsid w:val="00F316DD"/>
    <w:rsid w:val="00F319F5"/>
    <w:rsid w:val="00F31AD0"/>
    <w:rsid w:val="00F327D5"/>
    <w:rsid w:val="00F3315E"/>
    <w:rsid w:val="00F338A5"/>
    <w:rsid w:val="00F33992"/>
    <w:rsid w:val="00F33B03"/>
    <w:rsid w:val="00F343C3"/>
    <w:rsid w:val="00F34D3B"/>
    <w:rsid w:val="00F34EF8"/>
    <w:rsid w:val="00F35499"/>
    <w:rsid w:val="00F36176"/>
    <w:rsid w:val="00F367A5"/>
    <w:rsid w:val="00F36FF7"/>
    <w:rsid w:val="00F37953"/>
    <w:rsid w:val="00F37C88"/>
    <w:rsid w:val="00F40B3C"/>
    <w:rsid w:val="00F40DC2"/>
    <w:rsid w:val="00F41691"/>
    <w:rsid w:val="00F41BB2"/>
    <w:rsid w:val="00F42312"/>
    <w:rsid w:val="00F438AF"/>
    <w:rsid w:val="00F43D9C"/>
    <w:rsid w:val="00F45DE9"/>
    <w:rsid w:val="00F463A2"/>
    <w:rsid w:val="00F46B77"/>
    <w:rsid w:val="00F46C24"/>
    <w:rsid w:val="00F470ED"/>
    <w:rsid w:val="00F471E8"/>
    <w:rsid w:val="00F47617"/>
    <w:rsid w:val="00F50077"/>
    <w:rsid w:val="00F50682"/>
    <w:rsid w:val="00F5114F"/>
    <w:rsid w:val="00F51398"/>
    <w:rsid w:val="00F528A6"/>
    <w:rsid w:val="00F52F0F"/>
    <w:rsid w:val="00F55C3B"/>
    <w:rsid w:val="00F56A67"/>
    <w:rsid w:val="00F56AB9"/>
    <w:rsid w:val="00F60662"/>
    <w:rsid w:val="00F60DB4"/>
    <w:rsid w:val="00F61038"/>
    <w:rsid w:val="00F61562"/>
    <w:rsid w:val="00F619AF"/>
    <w:rsid w:val="00F61B6D"/>
    <w:rsid w:val="00F62089"/>
    <w:rsid w:val="00F634AF"/>
    <w:rsid w:val="00F63845"/>
    <w:rsid w:val="00F64851"/>
    <w:rsid w:val="00F64B0C"/>
    <w:rsid w:val="00F64EDF"/>
    <w:rsid w:val="00F66A6D"/>
    <w:rsid w:val="00F66AE5"/>
    <w:rsid w:val="00F66C16"/>
    <w:rsid w:val="00F66F08"/>
    <w:rsid w:val="00F6761C"/>
    <w:rsid w:val="00F67E53"/>
    <w:rsid w:val="00F71425"/>
    <w:rsid w:val="00F718CE"/>
    <w:rsid w:val="00F7275A"/>
    <w:rsid w:val="00F7278D"/>
    <w:rsid w:val="00F7278E"/>
    <w:rsid w:val="00F729EF"/>
    <w:rsid w:val="00F747D7"/>
    <w:rsid w:val="00F7577F"/>
    <w:rsid w:val="00F766E3"/>
    <w:rsid w:val="00F770A6"/>
    <w:rsid w:val="00F77CAE"/>
    <w:rsid w:val="00F80D3B"/>
    <w:rsid w:val="00F80DFF"/>
    <w:rsid w:val="00F8167C"/>
    <w:rsid w:val="00F8191E"/>
    <w:rsid w:val="00F81C95"/>
    <w:rsid w:val="00F82E4E"/>
    <w:rsid w:val="00F83BF7"/>
    <w:rsid w:val="00F83CD8"/>
    <w:rsid w:val="00F83EED"/>
    <w:rsid w:val="00F86498"/>
    <w:rsid w:val="00F86E11"/>
    <w:rsid w:val="00F86F7F"/>
    <w:rsid w:val="00F8757F"/>
    <w:rsid w:val="00F876C2"/>
    <w:rsid w:val="00F90129"/>
    <w:rsid w:val="00F90197"/>
    <w:rsid w:val="00F906F8"/>
    <w:rsid w:val="00F91609"/>
    <w:rsid w:val="00F917F0"/>
    <w:rsid w:val="00F921BC"/>
    <w:rsid w:val="00F93BE1"/>
    <w:rsid w:val="00F955B0"/>
    <w:rsid w:val="00F9568C"/>
    <w:rsid w:val="00F9586E"/>
    <w:rsid w:val="00F95ABC"/>
    <w:rsid w:val="00F95D9A"/>
    <w:rsid w:val="00F964A8"/>
    <w:rsid w:val="00F966D1"/>
    <w:rsid w:val="00F96779"/>
    <w:rsid w:val="00F96A07"/>
    <w:rsid w:val="00F96BB9"/>
    <w:rsid w:val="00F970D7"/>
    <w:rsid w:val="00F97292"/>
    <w:rsid w:val="00F979B0"/>
    <w:rsid w:val="00F97A15"/>
    <w:rsid w:val="00F97AAD"/>
    <w:rsid w:val="00F97AB5"/>
    <w:rsid w:val="00F97CA2"/>
    <w:rsid w:val="00FA01EC"/>
    <w:rsid w:val="00FA0763"/>
    <w:rsid w:val="00FA0D48"/>
    <w:rsid w:val="00FA0E27"/>
    <w:rsid w:val="00FA1192"/>
    <w:rsid w:val="00FA11C8"/>
    <w:rsid w:val="00FA26CF"/>
    <w:rsid w:val="00FA30B2"/>
    <w:rsid w:val="00FA40FB"/>
    <w:rsid w:val="00FA4268"/>
    <w:rsid w:val="00FA5856"/>
    <w:rsid w:val="00FA5B2F"/>
    <w:rsid w:val="00FA5F70"/>
    <w:rsid w:val="00FA5FB8"/>
    <w:rsid w:val="00FA6D17"/>
    <w:rsid w:val="00FA71C5"/>
    <w:rsid w:val="00FA71CF"/>
    <w:rsid w:val="00FA7B31"/>
    <w:rsid w:val="00FB040A"/>
    <w:rsid w:val="00FB0480"/>
    <w:rsid w:val="00FB04FA"/>
    <w:rsid w:val="00FB1263"/>
    <w:rsid w:val="00FB1B5C"/>
    <w:rsid w:val="00FB21BE"/>
    <w:rsid w:val="00FB227B"/>
    <w:rsid w:val="00FB2418"/>
    <w:rsid w:val="00FB32AD"/>
    <w:rsid w:val="00FB3B3D"/>
    <w:rsid w:val="00FB3BD6"/>
    <w:rsid w:val="00FB407F"/>
    <w:rsid w:val="00FB44AA"/>
    <w:rsid w:val="00FB59B2"/>
    <w:rsid w:val="00FB60B8"/>
    <w:rsid w:val="00FB6CE1"/>
    <w:rsid w:val="00FB7889"/>
    <w:rsid w:val="00FB79FA"/>
    <w:rsid w:val="00FC0051"/>
    <w:rsid w:val="00FC0305"/>
    <w:rsid w:val="00FC080A"/>
    <w:rsid w:val="00FC0D55"/>
    <w:rsid w:val="00FC0F22"/>
    <w:rsid w:val="00FC11CD"/>
    <w:rsid w:val="00FC26E5"/>
    <w:rsid w:val="00FC28B6"/>
    <w:rsid w:val="00FC2B11"/>
    <w:rsid w:val="00FC43B8"/>
    <w:rsid w:val="00FC4DEA"/>
    <w:rsid w:val="00FC4E5C"/>
    <w:rsid w:val="00FC53F0"/>
    <w:rsid w:val="00FC5819"/>
    <w:rsid w:val="00FC62C1"/>
    <w:rsid w:val="00FC682F"/>
    <w:rsid w:val="00FC69D5"/>
    <w:rsid w:val="00FC6A13"/>
    <w:rsid w:val="00FC7BF6"/>
    <w:rsid w:val="00FC7D8C"/>
    <w:rsid w:val="00FD07A9"/>
    <w:rsid w:val="00FD0901"/>
    <w:rsid w:val="00FD0B55"/>
    <w:rsid w:val="00FD0BD7"/>
    <w:rsid w:val="00FD0DA5"/>
    <w:rsid w:val="00FD1CF1"/>
    <w:rsid w:val="00FD2B6B"/>
    <w:rsid w:val="00FD2F0F"/>
    <w:rsid w:val="00FD316A"/>
    <w:rsid w:val="00FD3581"/>
    <w:rsid w:val="00FD42D0"/>
    <w:rsid w:val="00FD4DF3"/>
    <w:rsid w:val="00FD4F05"/>
    <w:rsid w:val="00FD509E"/>
    <w:rsid w:val="00FD5B21"/>
    <w:rsid w:val="00FD5B94"/>
    <w:rsid w:val="00FD5C15"/>
    <w:rsid w:val="00FD5C53"/>
    <w:rsid w:val="00FD5F51"/>
    <w:rsid w:val="00FD611B"/>
    <w:rsid w:val="00FD6159"/>
    <w:rsid w:val="00FD67E4"/>
    <w:rsid w:val="00FD6F7D"/>
    <w:rsid w:val="00FE0517"/>
    <w:rsid w:val="00FE08DD"/>
    <w:rsid w:val="00FE1922"/>
    <w:rsid w:val="00FE1E86"/>
    <w:rsid w:val="00FE1F96"/>
    <w:rsid w:val="00FE3282"/>
    <w:rsid w:val="00FE3311"/>
    <w:rsid w:val="00FE4567"/>
    <w:rsid w:val="00FE5B32"/>
    <w:rsid w:val="00FE6D51"/>
    <w:rsid w:val="00FE715D"/>
    <w:rsid w:val="00FE72D5"/>
    <w:rsid w:val="00FE7554"/>
    <w:rsid w:val="00FF0238"/>
    <w:rsid w:val="00FF0386"/>
    <w:rsid w:val="00FF0EB2"/>
    <w:rsid w:val="00FF1124"/>
    <w:rsid w:val="00FF12EE"/>
    <w:rsid w:val="00FF1533"/>
    <w:rsid w:val="00FF1709"/>
    <w:rsid w:val="00FF1C2D"/>
    <w:rsid w:val="00FF1D9A"/>
    <w:rsid w:val="00FF285A"/>
    <w:rsid w:val="00FF51C6"/>
    <w:rsid w:val="00FF5C90"/>
    <w:rsid w:val="00FF668F"/>
    <w:rsid w:val="00FF778C"/>
    <w:rsid w:val="00FF77BB"/>
    <w:rsid w:val="0B06CCA0"/>
    <w:rsid w:val="0BAFB037"/>
    <w:rsid w:val="0BE722BC"/>
    <w:rsid w:val="13B91EDA"/>
    <w:rsid w:val="17702165"/>
    <w:rsid w:val="30398EB6"/>
    <w:rsid w:val="3B66E7A8"/>
    <w:rsid w:val="3EFF1953"/>
    <w:rsid w:val="43D1750E"/>
    <w:rsid w:val="441396B3"/>
    <w:rsid w:val="4BBAA418"/>
    <w:rsid w:val="4D6F9459"/>
    <w:rsid w:val="4E0E26A8"/>
    <w:rsid w:val="4E7C0D2E"/>
    <w:rsid w:val="534C8414"/>
    <w:rsid w:val="5CBC81A5"/>
    <w:rsid w:val="65DA8579"/>
    <w:rsid w:val="6CB52205"/>
    <w:rsid w:val="6EA64D42"/>
    <w:rsid w:val="6F311AC8"/>
    <w:rsid w:val="71C279AF"/>
    <w:rsid w:val="78274F50"/>
    <w:rsid w:val="7863CF7F"/>
    <w:rsid w:val="7E723D24"/>
    <w:rsid w:val="7F378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640"/>
    <w:pPr>
      <w:suppressAutoHyphens/>
      <w:spacing w:before="180" w:after="60" w:line="280" w:lineRule="atLeast"/>
      <w:ind w:left="425"/>
    </w:pPr>
    <w:rPr>
      <w:snapToGrid w:val="0"/>
    </w:rPr>
  </w:style>
  <w:style w:type="paragraph" w:styleId="Heading1">
    <w:name w:val="heading 1"/>
    <w:basedOn w:val="Normal"/>
    <w:next w:val="Normal"/>
    <w:link w:val="Heading1Char"/>
    <w:uiPriority w:val="9"/>
    <w:qFormat/>
    <w:rsid w:val="00D24D5B"/>
    <w:pPr>
      <w:pageBreakBefore/>
      <w:widowControl w:val="0"/>
      <w:spacing w:before="240" w:after="120" w:line="460" w:lineRule="atLeast"/>
      <w:ind w:hanging="425"/>
      <w:outlineLvl w:val="0"/>
    </w:pPr>
    <w:rPr>
      <w:rFonts w:asciiTheme="majorHAnsi" w:eastAsiaTheme="majorEastAsia" w:hAnsiTheme="majorHAnsi" w:cstheme="majorBidi"/>
      <w:bCs/>
      <w:snapToGrid/>
      <w:color w:val="1C1C1C" w:themeColor="text2"/>
      <w:sz w:val="40"/>
      <w:szCs w:val="28"/>
    </w:rPr>
  </w:style>
  <w:style w:type="paragraph" w:styleId="Heading2">
    <w:name w:val="heading 2"/>
    <w:basedOn w:val="Heading1"/>
    <w:next w:val="Normal"/>
    <w:link w:val="Heading2Char"/>
    <w:uiPriority w:val="9"/>
    <w:unhideWhenUsed/>
    <w:qFormat/>
    <w:rsid w:val="00D47029"/>
    <w:pPr>
      <w:keepNext/>
      <w:pageBreakBefore w:val="0"/>
      <w:widowControl/>
      <w:spacing w:before="360" w:line="400" w:lineRule="atLeast"/>
      <w:outlineLvl w:val="1"/>
    </w:pPr>
    <w:rPr>
      <w:rFonts w:asciiTheme="minorHAnsi" w:hAnsiTheme="minorHAnsi"/>
      <w:bCs w:val="0"/>
      <w:snapToGrid w:val="0"/>
      <w:sz w:val="34"/>
      <w:szCs w:val="26"/>
    </w:rPr>
  </w:style>
  <w:style w:type="paragraph" w:styleId="Heading3">
    <w:name w:val="heading 3"/>
    <w:basedOn w:val="Heading2"/>
    <w:next w:val="Normal"/>
    <w:link w:val="Heading3Char"/>
    <w:uiPriority w:val="9"/>
    <w:unhideWhenUsed/>
    <w:qFormat/>
    <w:rsid w:val="005E45C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5B"/>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D47029"/>
    <w:rPr>
      <w:rFonts w:eastAsiaTheme="majorEastAsia" w:cstheme="majorBidi"/>
      <w:snapToGrid w:val="0"/>
      <w:color w:val="1C1C1C" w:themeColor="text2"/>
      <w:sz w:val="34"/>
      <w:szCs w:val="26"/>
    </w:rPr>
  </w:style>
  <w:style w:type="character" w:customStyle="1" w:styleId="Heading3Char">
    <w:name w:val="Heading 3 Char"/>
    <w:basedOn w:val="DefaultParagraphFont"/>
    <w:link w:val="Heading3"/>
    <w:uiPriority w:val="9"/>
    <w:rsid w:val="005E45C2"/>
    <w:rPr>
      <w:rFonts w:eastAsiaTheme="majorEastAsia"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645300"/>
    <w:pPr>
      <w:spacing w:before="720"/>
    </w:pPr>
  </w:style>
  <w:style w:type="character" w:customStyle="1" w:styleId="TitleChar">
    <w:name w:val="Title Char"/>
    <w:basedOn w:val="DefaultParagraphFont"/>
    <w:link w:val="Title"/>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ind w:left="425" w:hanging="425"/>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umberedList1"/>
    <w:autoRedefine/>
    <w:qFormat/>
    <w:rsid w:val="00D47029"/>
    <w:pPr>
      <w:numPr>
        <w:numId w:val="25"/>
      </w:numPr>
      <w:ind w:left="1021" w:hanging="454"/>
    </w:pPr>
  </w:style>
  <w:style w:type="paragraph" w:customStyle="1" w:styleId="Bullet2">
    <w:name w:val="Bullet 2"/>
    <w:basedOn w:val="Bullet1"/>
    <w:autoRedefine/>
    <w:qFormat/>
    <w:rsid w:val="00D47029"/>
    <w:pPr>
      <w:numPr>
        <w:ilvl w:val="1"/>
        <w:numId w:val="1"/>
      </w:numPr>
      <w:ind w:left="1305" w:hanging="454"/>
    </w:pPr>
  </w:style>
  <w:style w:type="paragraph" w:customStyle="1" w:styleId="Bullet3">
    <w:name w:val="Bullet 3"/>
    <w:basedOn w:val="Bullet2"/>
    <w:qFormat/>
    <w:rsid w:val="00F2684E"/>
    <w:pPr>
      <w:numPr>
        <w:ilvl w:val="2"/>
      </w:numPr>
    </w:pPr>
  </w:style>
  <w:style w:type="paragraph" w:customStyle="1" w:styleId="NumberedList1">
    <w:name w:val="Numbered List 1"/>
    <w:basedOn w:val="ListParagraph"/>
    <w:qFormat/>
    <w:rsid w:val="00CB08EA"/>
    <w:pPr>
      <w:numPr>
        <w:numId w:val="8"/>
      </w:numPr>
      <w:ind w:left="454" w:hanging="454"/>
      <w:contextualSpacing w:val="0"/>
    </w:pPr>
  </w:style>
  <w:style w:type="paragraph" w:customStyle="1" w:styleId="NumberedList2">
    <w:name w:val="Numbered List 2"/>
    <w:basedOn w:val="NumberedList1"/>
    <w:autoRedefine/>
    <w:qFormat/>
    <w:rsid w:val="00D47029"/>
    <w:pPr>
      <w:keepNext/>
      <w:keepLines/>
      <w:numPr>
        <w:ilvl w:val="4"/>
      </w:numPr>
      <w:ind w:left="1021" w:hanging="454"/>
    </w:pPr>
  </w:style>
  <w:style w:type="paragraph" w:customStyle="1" w:styleId="NumberedList3">
    <w:name w:val="Numbered List 3"/>
    <w:basedOn w:val="NumberedList2"/>
    <w:qFormat/>
    <w:rsid w:val="00D47029"/>
    <w:pPr>
      <w:numPr>
        <w:ilvl w:val="0"/>
        <w:numId w:val="21"/>
      </w:numPr>
      <w:ind w:left="1588" w:hanging="454"/>
    </w:pPr>
  </w:style>
  <w:style w:type="paragraph" w:customStyle="1" w:styleId="Heading1Numbered">
    <w:name w:val="Heading 1 Numbered"/>
    <w:basedOn w:val="Heading1"/>
    <w:next w:val="Normal"/>
    <w:qFormat/>
    <w:rsid w:val="001E1DC0"/>
    <w:pPr>
      <w:numPr>
        <w:numId w:val="2"/>
      </w:numPr>
    </w:pPr>
  </w:style>
  <w:style w:type="paragraph" w:customStyle="1" w:styleId="Heading2Numbered">
    <w:name w:val="Heading 2 Numbered"/>
    <w:basedOn w:val="Heading2"/>
    <w:next w:val="Normal"/>
    <w:qFormat/>
    <w:rsid w:val="0082589D"/>
    <w:pPr>
      <w:numPr>
        <w:ilvl w:val="1"/>
        <w:numId w:val="2"/>
      </w:numPr>
      <w:ind w:left="851" w:hanging="851"/>
    </w:pPr>
    <w:rPr>
      <w:bCs/>
    </w:rPr>
  </w:style>
  <w:style w:type="paragraph" w:customStyle="1" w:styleId="Heading3Numbered">
    <w:name w:val="Heading 3 Numbered"/>
    <w:basedOn w:val="Heading3"/>
    <w:next w:val="Normal"/>
    <w:qFormat/>
    <w:rsid w:val="001D7EB4"/>
    <w:pPr>
      <w:numPr>
        <w:ilvl w:val="2"/>
        <w:numId w:val="2"/>
      </w:numPr>
    </w:pPr>
    <w:rPr>
      <w:szCs w:val="22"/>
    </w:rPr>
  </w:style>
  <w:style w:type="numbering" w:customStyle="1" w:styleId="BulletsList">
    <w:name w:val="Bullets List"/>
    <w:uiPriority w:val="99"/>
    <w:rsid w:val="00F2684E"/>
    <w:pPr>
      <w:numPr>
        <w:numId w:val="14"/>
      </w:numPr>
    </w:pPr>
  </w:style>
  <w:style w:type="numbering" w:customStyle="1" w:styleId="Numberedlist">
    <w:name w:val="Numbered list"/>
    <w:uiPriority w:val="99"/>
    <w:rsid w:val="00F2684E"/>
    <w:pPr>
      <w:numPr>
        <w:numId w:val="7"/>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outlineLvl w:val="9"/>
    </w:pPr>
    <w:rPr>
      <w:bCs w:val="0"/>
      <w:szCs w:val="32"/>
      <w:lang w:val="en-US"/>
    </w:rPr>
  </w:style>
  <w:style w:type="character" w:customStyle="1" w:styleId="Heading4Char">
    <w:name w:val="Heading 4 Char"/>
    <w:basedOn w:val="DefaultParagraphFont"/>
    <w:link w:val="Heading4"/>
    <w:uiPriority w:val="9"/>
    <w:rsid w:val="00D46D82"/>
    <w:rPr>
      <w:rFonts w:eastAsiaTheme="majorEastAsia" w:cstheme="majorBidi"/>
      <w:bCs/>
      <w:iCs/>
      <w:snapToGrid w:val="0"/>
      <w:color w:val="1C1C1C" w:themeColor="text2"/>
      <w:sz w:val="26"/>
      <w:szCs w:val="26"/>
    </w:rPr>
  </w:style>
  <w:style w:type="paragraph" w:styleId="TOC1">
    <w:name w:val="toc 1"/>
    <w:basedOn w:val="Normal"/>
    <w:next w:val="Normal"/>
    <w:autoRedefine/>
    <w:uiPriority w:val="39"/>
    <w:unhideWhenUsed/>
    <w:rsid w:val="00D47029"/>
    <w:pPr>
      <w:tabs>
        <w:tab w:val="right" w:leader="dot" w:pos="9060"/>
      </w:tabs>
      <w:spacing w:before="120" w:after="120"/>
      <w:ind w:hanging="283"/>
    </w:pPr>
    <w:rPr>
      <w:rFonts w:cstheme="minorHAnsi"/>
      <w:b/>
      <w:bCs/>
      <w:sz w:val="20"/>
      <w:szCs w:val="20"/>
    </w:rPr>
  </w:style>
  <w:style w:type="paragraph" w:styleId="TOC2">
    <w:name w:val="toc 2"/>
    <w:basedOn w:val="Normal"/>
    <w:next w:val="Normal"/>
    <w:autoRedefine/>
    <w:uiPriority w:val="39"/>
    <w:unhideWhenUsed/>
    <w:rsid w:val="0063631F"/>
    <w:pPr>
      <w:tabs>
        <w:tab w:val="right" w:leader="dot" w:pos="9060"/>
      </w:tabs>
      <w:spacing w:before="120" w:after="120"/>
      <w:ind w:left="170"/>
    </w:pPr>
    <w:rPr>
      <w:rFonts w:cstheme="minorHAnsi"/>
      <w:iCs/>
      <w:sz w:val="20"/>
      <w:szCs w:val="20"/>
    </w:rPr>
  </w:style>
  <w:style w:type="paragraph" w:styleId="TOC3">
    <w:name w:val="toc 3"/>
    <w:basedOn w:val="Normal"/>
    <w:next w:val="Normal"/>
    <w:autoRedefine/>
    <w:uiPriority w:val="39"/>
    <w:unhideWhenUsed/>
    <w:rsid w:val="009A37D4"/>
    <w:pPr>
      <w:tabs>
        <w:tab w:val="right" w:leader="dot" w:pos="9060"/>
      </w:tabs>
      <w:spacing w:before="120" w:after="120"/>
      <w:ind w:left="454"/>
    </w:pPr>
    <w:rPr>
      <w:rFonts w:eastAsia="Calibri" w:cstheme="minorHAnsi"/>
      <w:i/>
      <w:noProof/>
      <w:sz w:val="20"/>
      <w:szCs w:val="20"/>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pacing w:before="0" w:after="0"/>
      <w:ind w:left="660"/>
    </w:pPr>
    <w:rPr>
      <w:rFonts w:cstheme="minorHAnsi"/>
      <w:sz w:val="20"/>
      <w:szCs w:val="20"/>
    </w:rPr>
  </w:style>
  <w:style w:type="paragraph" w:styleId="TOC5">
    <w:name w:val="toc 5"/>
    <w:basedOn w:val="Normal"/>
    <w:next w:val="Normal"/>
    <w:autoRedefine/>
    <w:uiPriority w:val="39"/>
    <w:unhideWhenUsed/>
    <w:rsid w:val="0035119D"/>
    <w:pPr>
      <w:spacing w:before="0" w:after="0"/>
      <w:ind w:left="880"/>
    </w:pPr>
    <w:rPr>
      <w:rFonts w:cstheme="minorHAnsi"/>
      <w:sz w:val="20"/>
      <w:szCs w:val="20"/>
    </w:rPr>
  </w:style>
  <w:style w:type="paragraph" w:styleId="TOC6">
    <w:name w:val="toc 6"/>
    <w:basedOn w:val="Normal"/>
    <w:next w:val="Normal"/>
    <w:autoRedefine/>
    <w:uiPriority w:val="39"/>
    <w:unhideWhenUsed/>
    <w:rsid w:val="0035119D"/>
    <w:pPr>
      <w:spacing w:before="0" w:after="0"/>
      <w:ind w:left="1100"/>
    </w:pPr>
    <w:rPr>
      <w:rFonts w:cstheme="minorHAnsi"/>
      <w:sz w:val="20"/>
      <w:szCs w:val="20"/>
    </w:rPr>
  </w:style>
  <w:style w:type="paragraph" w:styleId="TOC7">
    <w:name w:val="toc 7"/>
    <w:basedOn w:val="Normal"/>
    <w:next w:val="Normal"/>
    <w:autoRedefine/>
    <w:uiPriority w:val="39"/>
    <w:unhideWhenUsed/>
    <w:rsid w:val="0035119D"/>
    <w:pPr>
      <w:spacing w:before="0" w:after="0"/>
      <w:ind w:left="1320"/>
    </w:pPr>
    <w:rPr>
      <w:rFonts w:cstheme="minorHAnsi"/>
      <w:sz w:val="20"/>
      <w:szCs w:val="20"/>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pacing w:before="0" w:after="0"/>
      <w:ind w:left="1540"/>
    </w:pPr>
    <w:rPr>
      <w:rFonts w:cstheme="minorHAnsi"/>
      <w:sz w:val="20"/>
      <w:szCs w:val="20"/>
    </w:rPr>
  </w:style>
  <w:style w:type="paragraph" w:styleId="TOC9">
    <w:name w:val="toc 9"/>
    <w:basedOn w:val="Normal"/>
    <w:next w:val="Normal"/>
    <w:autoRedefine/>
    <w:uiPriority w:val="39"/>
    <w:unhideWhenUsed/>
    <w:rsid w:val="0035119D"/>
    <w:pPr>
      <w:spacing w:before="0" w:after="0"/>
      <w:ind w:left="1760"/>
    </w:pPr>
    <w:rPr>
      <w:rFonts w:cstheme="minorHAnsi"/>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4A09E6"/>
    <w:pPr>
      <w:keepNext/>
      <w:keepLines/>
      <w:spacing w:before="200" w:after="120"/>
      <w:ind w:left="567" w:hanging="141"/>
    </w:pPr>
    <w:rPr>
      <w:b/>
      <w:iCs/>
      <w:color w:val="000000" w:themeColor="text1"/>
      <w:szCs w:val="18"/>
    </w:rPr>
  </w:style>
  <w:style w:type="paragraph" w:styleId="Footer">
    <w:name w:val="footer"/>
    <w:basedOn w:val="Normal"/>
    <w:link w:val="FooterChar"/>
    <w:autoRedefine/>
    <w:uiPriority w:val="99"/>
    <w:unhideWhenUsed/>
    <w:rsid w:val="00BA67C2"/>
    <w:pPr>
      <w:spacing w:before="120" w:after="0" w:line="180" w:lineRule="atLeast"/>
      <w:jc w:val="center"/>
    </w:pPr>
    <w:rPr>
      <w:sz w:val="20"/>
    </w:rPr>
  </w:style>
  <w:style w:type="character" w:customStyle="1" w:styleId="FooterChar">
    <w:name w:val="Footer Char"/>
    <w:basedOn w:val="DefaultParagraphFont"/>
    <w:link w:val="Footer"/>
    <w:uiPriority w:val="99"/>
    <w:rsid w:val="00BA67C2"/>
    <w:rPr>
      <w:snapToGrid w:val="0"/>
      <w:sz w:val="20"/>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84385"/>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spacing w:before="120"/>
      <w:ind w:left="567" w:right="170"/>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16176"/>
    <w:pPr>
      <w:spacing w:before="60"/>
    </w:pPr>
    <w:rPr>
      <w:sz w:val="20"/>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autoRedefine/>
    <w:unhideWhenUsed/>
    <w:rsid w:val="008136B5"/>
    <w:pPr>
      <w:spacing w:before="120" w:after="120" w:line="200" w:lineRule="atLeast"/>
    </w:pPr>
    <w:rPr>
      <w:sz w:val="18"/>
      <w:szCs w:val="20"/>
    </w:rPr>
  </w:style>
  <w:style w:type="character" w:customStyle="1" w:styleId="FootnoteTextChar">
    <w:name w:val="Footnote Text Char"/>
    <w:basedOn w:val="DefaultParagraphFont"/>
    <w:link w:val="FootnoteText"/>
    <w:rsid w:val="008136B5"/>
    <w:rPr>
      <w:snapToGrid w:val="0"/>
      <w:sz w:val="18"/>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99"/>
    <w:qFormat/>
    <w:rsid w:val="0082589D"/>
    <w:pPr>
      <w:ind w:left="720"/>
      <w:contextualSpacing/>
    </w:pPr>
  </w:style>
  <w:style w:type="paragraph" w:styleId="NormalWeb">
    <w:name w:val="Normal (Web)"/>
    <w:basedOn w:val="Normal"/>
    <w:uiPriority w:val="99"/>
    <w:rsid w:val="006D291A"/>
    <w:pPr>
      <w:suppressAutoHyphens w:val="0"/>
      <w:spacing w:before="100" w:beforeAutospacing="1" w:after="100" w:afterAutospacing="1" w:line="240" w:lineRule="auto"/>
    </w:pPr>
    <w:rPr>
      <w:rFonts w:ascii="Times New Roman" w:eastAsia="Arial Unicode MS" w:hAnsi="Times New Roman" w:cs="Arial Unicode MS"/>
      <w:sz w:val="24"/>
      <w:szCs w:val="24"/>
    </w:rPr>
  </w:style>
  <w:style w:type="character" w:styleId="EndnoteReference">
    <w:name w:val="endnote reference"/>
    <w:basedOn w:val="DefaultParagraphFont"/>
    <w:uiPriority w:val="99"/>
    <w:semiHidden/>
    <w:rsid w:val="00655DB0"/>
    <w:rPr>
      <w:rFonts w:cs="Times New Roman"/>
      <w:vertAlign w:val="superscript"/>
    </w:rPr>
  </w:style>
  <w:style w:type="paragraph" w:styleId="BodyText">
    <w:name w:val="Body Text"/>
    <w:basedOn w:val="Normal"/>
    <w:link w:val="BodyTex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655DB0"/>
    <w:rPr>
      <w:rFonts w:ascii="Times New Roman" w:eastAsia="Times New Roman" w:hAnsi="Times New Roman" w:cs="Times New Roman"/>
      <w:color w:val="000000"/>
    </w:rPr>
  </w:style>
  <w:style w:type="paragraph" w:customStyle="1" w:styleId="NumberedPara">
    <w:name w:val="Numbered Para"/>
    <w:basedOn w:val="Normal"/>
    <w:rsid w:val="00655DB0"/>
    <w:pPr>
      <w:widowControl w:val="0"/>
      <w:numPr>
        <w:numId w:val="6"/>
      </w:numPr>
      <w:tabs>
        <w:tab w:val="left" w:pos="576"/>
        <w:tab w:val="left" w:pos="1296"/>
        <w:tab w:val="left" w:pos="2016"/>
        <w:tab w:val="center" w:pos="4176"/>
        <w:tab w:val="left" w:pos="5616"/>
        <w:tab w:val="left" w:pos="7632"/>
      </w:tabs>
      <w:suppressAutoHyphens w:val="0"/>
      <w:autoSpaceDE w:val="0"/>
      <w:autoSpaceDN w:val="0"/>
      <w:spacing w:before="0" w:after="226" w:line="240" w:lineRule="exact"/>
    </w:pPr>
    <w:rPr>
      <w:rFonts w:ascii="Times New Roman" w:eastAsia="Times New Roman" w:hAnsi="Times New Roman" w:cs="Times New Roman"/>
      <w:color w:val="000000"/>
    </w:rPr>
  </w:style>
  <w:style w:type="paragraph" w:customStyle="1" w:styleId="SubPara">
    <w:name w:val="Sub Para"/>
    <w:basedOn w:val="NumberedPara"/>
    <w:rsid w:val="00655DB0"/>
    <w:pPr>
      <w:numPr>
        <w:numId w:val="5"/>
      </w:numPr>
    </w:pPr>
  </w:style>
  <w:style w:type="paragraph" w:customStyle="1" w:styleId="iPara">
    <w:name w:val="(i) Para"/>
    <w:basedOn w:val="SubPara"/>
    <w:rsid w:val="00655DB0"/>
    <w:pPr>
      <w:numPr>
        <w:numId w:val="0"/>
      </w:numPr>
      <w:ind w:left="567"/>
    </w:pPr>
  </w:style>
  <w:style w:type="paragraph" w:styleId="BodyTextIndent">
    <w:name w:val="Body Text Indent"/>
    <w:basedOn w:val="Normal"/>
    <w:link w:val="BodyTextInden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jc w:val="both"/>
    </w:pPr>
    <w:rPr>
      <w:rFonts w:ascii="Times New Roman" w:eastAsia="Times New Roman" w:hAnsi="Times New Roman" w:cs="Times New Roman"/>
      <w:color w:val="000000"/>
    </w:rPr>
  </w:style>
  <w:style w:type="character" w:customStyle="1" w:styleId="BodyTextIndentChar">
    <w:name w:val="Body Text Indent Char"/>
    <w:basedOn w:val="DefaultParagraphFont"/>
    <w:link w:val="BodyTextIndent"/>
    <w:uiPriority w:val="99"/>
    <w:rsid w:val="00655DB0"/>
    <w:rPr>
      <w:rFonts w:ascii="Times New Roman" w:eastAsia="Times New Roman" w:hAnsi="Times New Roman" w:cs="Times New Roman"/>
      <w:color w:val="000000"/>
    </w:rPr>
  </w:style>
  <w:style w:type="paragraph" w:styleId="DocumentMap">
    <w:name w:val="Document Map"/>
    <w:basedOn w:val="Normal"/>
    <w:link w:val="DocumentMapChar"/>
    <w:uiPriority w:val="99"/>
    <w:semiHidden/>
    <w:rsid w:val="00655DB0"/>
    <w:pPr>
      <w:shd w:val="clear" w:color="auto" w:fill="000080"/>
      <w:suppressAutoHyphens w:val="0"/>
      <w:autoSpaceDE w:val="0"/>
      <w:autoSpaceDN w:val="0"/>
      <w:spacing w:before="0"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uiPriority w:val="99"/>
    <w:semiHidden/>
    <w:rsid w:val="00655DB0"/>
    <w:rPr>
      <w:rFonts w:ascii="Tahoma" w:eastAsia="Times New Roman" w:hAnsi="Tahoma" w:cs="Tahoma"/>
      <w:szCs w:val="20"/>
      <w:shd w:val="clear" w:color="auto" w:fill="000080"/>
    </w:rPr>
  </w:style>
  <w:style w:type="paragraph" w:customStyle="1" w:styleId="Indent">
    <w:name w:val="Indent"/>
    <w:basedOn w:val="Normal"/>
    <w:rsid w:val="00655DB0"/>
    <w:pPr>
      <w:suppressAutoHyphens w:val="0"/>
      <w:autoSpaceDE w:val="0"/>
      <w:autoSpaceDN w:val="0"/>
      <w:spacing w:before="0" w:after="200" w:line="240" w:lineRule="auto"/>
      <w:ind w:left="567"/>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55DB0"/>
    <w:pPr>
      <w:suppressAutoHyphens w:val="0"/>
      <w:autoSpaceDE w:val="0"/>
      <w:autoSpaceDN w:val="0"/>
      <w:spacing w:before="0"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uiPriority w:val="99"/>
    <w:rsid w:val="00655DB0"/>
    <w:rPr>
      <w:rFonts w:ascii="Arial" w:eastAsia="Times New Roman" w:hAnsi="Arial" w:cs="Arial"/>
      <w:b/>
      <w:bCs/>
      <w:szCs w:val="20"/>
    </w:rPr>
  </w:style>
  <w:style w:type="paragraph" w:customStyle="1" w:styleId="subheading">
    <w:name w:val="sub heading"/>
    <w:rsid w:val="00655DB0"/>
    <w:pPr>
      <w:widowControl w:val="0"/>
      <w:overflowPunct w:val="0"/>
      <w:autoSpaceDE w:val="0"/>
      <w:autoSpaceDN w:val="0"/>
      <w:adjustRightInd w:val="0"/>
      <w:spacing w:line="240" w:lineRule="auto"/>
    </w:pPr>
    <w:rPr>
      <w:rFonts w:ascii="Times New Roman" w:eastAsia="Times New Roman" w:hAnsi="Times New Roman" w:cs="Times New Roman"/>
      <w:color w:val="000099"/>
      <w:kern w:val="28"/>
      <w:sz w:val="28"/>
      <w:szCs w:val="28"/>
      <w:lang w:val="en-US"/>
    </w:rPr>
  </w:style>
  <w:style w:type="character" w:styleId="FollowedHyperlink">
    <w:name w:val="FollowedHyperlink"/>
    <w:basedOn w:val="DefaultParagraphFont"/>
    <w:uiPriority w:val="99"/>
    <w:rsid w:val="00655DB0"/>
    <w:rPr>
      <w:rFonts w:cs="Times New Roman"/>
      <w:color w:val="800080"/>
      <w:u w:val="single"/>
    </w:rPr>
  </w:style>
  <w:style w:type="paragraph" w:styleId="BalloonText">
    <w:name w:val="Balloon Text"/>
    <w:basedOn w:val="Normal"/>
    <w:link w:val="BalloonTextChar"/>
    <w:uiPriority w:val="99"/>
    <w:semiHidden/>
    <w:rsid w:val="00655DB0"/>
    <w:pPr>
      <w:suppressAutoHyphens w:val="0"/>
      <w:autoSpaceDE w:val="0"/>
      <w:autoSpaceDN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5DB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DB0"/>
    <w:rPr>
      <w:sz w:val="16"/>
      <w:szCs w:val="16"/>
    </w:rPr>
  </w:style>
  <w:style w:type="paragraph" w:styleId="CommentText">
    <w:name w:val="annotation text"/>
    <w:basedOn w:val="Normal"/>
    <w:link w:val="CommentTextChar"/>
    <w:uiPriority w:val="99"/>
    <w:unhideWhenUsed/>
    <w:rsid w:val="00655DB0"/>
    <w:pPr>
      <w:suppressAutoHyphens w:val="0"/>
      <w:autoSpaceDE w:val="0"/>
      <w:autoSpaceDN w:val="0"/>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55D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55DB0"/>
    <w:rPr>
      <w:b/>
      <w:bCs/>
    </w:rPr>
  </w:style>
  <w:style w:type="character" w:customStyle="1" w:styleId="CommentSubjectChar">
    <w:name w:val="Comment Subject Char"/>
    <w:basedOn w:val="CommentTextChar"/>
    <w:link w:val="CommentSubject"/>
    <w:semiHidden/>
    <w:rsid w:val="00655DB0"/>
    <w:rPr>
      <w:rFonts w:ascii="Times New Roman" w:eastAsia="Times New Roman" w:hAnsi="Times New Roman" w:cs="Times New Roman"/>
      <w:b/>
      <w:bCs/>
      <w:sz w:val="20"/>
      <w:szCs w:val="20"/>
    </w:rPr>
  </w:style>
  <w:style w:type="paragraph" w:styleId="Revision">
    <w:name w:val="Revision"/>
    <w:hidden/>
    <w:uiPriority w:val="99"/>
    <w:semiHidden/>
    <w:rsid w:val="00655DB0"/>
    <w:pPr>
      <w:spacing w:after="0" w:line="240" w:lineRule="auto"/>
    </w:pPr>
    <w:rPr>
      <w:rFonts w:ascii="Times New Roman" w:eastAsia="Times New Roman" w:hAnsi="Times New Roman" w:cs="Times New Roman"/>
      <w:szCs w:val="20"/>
    </w:rPr>
  </w:style>
  <w:style w:type="table" w:styleId="LightList-Accent3">
    <w:name w:val="Light List Accent 3"/>
    <w:basedOn w:val="TableNormal"/>
    <w:uiPriority w:val="61"/>
    <w:rsid w:val="00655DB0"/>
    <w:pPr>
      <w:spacing w:after="0" w:line="240" w:lineRule="auto"/>
    </w:pPr>
    <w:rPr>
      <w:rFonts w:eastAsiaTheme="minorEastAsia"/>
      <w:lang w:val="en-US"/>
    </w:rPr>
    <w:tblPr>
      <w:tblStyleRowBandSize w:val="1"/>
      <w:tblStyleColBandSize w:val="1"/>
      <w:tblBorders>
        <w:top w:val="single" w:sz="8" w:space="0" w:color="ECBAA8" w:themeColor="accent3"/>
        <w:left w:val="single" w:sz="8" w:space="0" w:color="ECBAA8" w:themeColor="accent3"/>
        <w:bottom w:val="single" w:sz="8" w:space="0" w:color="ECBAA8" w:themeColor="accent3"/>
        <w:right w:val="single" w:sz="8" w:space="0" w:color="ECBAA8" w:themeColor="accent3"/>
      </w:tblBorders>
    </w:tblPr>
    <w:tblStylePr w:type="firstRow">
      <w:pPr>
        <w:spacing w:before="0" w:after="0" w:line="240" w:lineRule="auto"/>
      </w:pPr>
      <w:rPr>
        <w:b/>
        <w:bCs/>
        <w:color w:val="FFFFFF" w:themeColor="background1"/>
      </w:rPr>
      <w:tblPr/>
      <w:tcPr>
        <w:shd w:val="clear" w:color="auto" w:fill="ECBAA8" w:themeFill="accent3"/>
      </w:tcPr>
    </w:tblStylePr>
    <w:tblStylePr w:type="lastRow">
      <w:pPr>
        <w:spacing w:before="0" w:after="0" w:line="240" w:lineRule="auto"/>
      </w:pPr>
      <w:rPr>
        <w:b/>
        <w:bCs/>
      </w:rPr>
      <w:tblPr/>
      <w:tcPr>
        <w:tcBorders>
          <w:top w:val="double" w:sz="6" w:space="0" w:color="ECBAA8" w:themeColor="accent3"/>
          <w:left w:val="single" w:sz="8" w:space="0" w:color="ECBAA8" w:themeColor="accent3"/>
          <w:bottom w:val="single" w:sz="8" w:space="0" w:color="ECBAA8" w:themeColor="accent3"/>
          <w:right w:val="single" w:sz="8" w:space="0" w:color="ECBAA8" w:themeColor="accent3"/>
        </w:tcBorders>
      </w:tcPr>
    </w:tblStylePr>
    <w:tblStylePr w:type="firstCol">
      <w:rPr>
        <w:b/>
        <w:bCs/>
      </w:rPr>
    </w:tblStylePr>
    <w:tblStylePr w:type="lastCol">
      <w:rPr>
        <w:b/>
        <w:bCs/>
      </w:rPr>
    </w:tblStylePr>
    <w:tblStylePr w:type="band1Vert">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tblStylePr w:type="band1Horz">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style>
  <w:style w:type="character" w:styleId="UnresolvedMention">
    <w:name w:val="Unresolved Mention"/>
    <w:basedOn w:val="DefaultParagraphFont"/>
    <w:uiPriority w:val="99"/>
    <w:semiHidden/>
    <w:unhideWhenUsed/>
    <w:rsid w:val="00655DB0"/>
    <w:rPr>
      <w:color w:val="605E5C"/>
      <w:shd w:val="clear" w:color="auto" w:fill="E1DFDD"/>
    </w:rPr>
  </w:style>
  <w:style w:type="paragraph" w:styleId="Quote">
    <w:name w:val="Quote"/>
    <w:basedOn w:val="Normal"/>
    <w:next w:val="Normal"/>
    <w:link w:val="QuoteChar"/>
    <w:uiPriority w:val="29"/>
    <w:qFormat/>
    <w:rsid w:val="00953EB5"/>
    <w:pPr>
      <w:spacing w:before="200" w:after="160"/>
      <w:ind w:left="567" w:right="864"/>
    </w:pPr>
    <w:rPr>
      <w:i/>
      <w:iCs/>
      <w:snapToGrid/>
      <w:color w:val="404040" w:themeColor="text1" w:themeTint="BF"/>
      <w:sz w:val="20"/>
      <w:szCs w:val="20"/>
    </w:rPr>
  </w:style>
  <w:style w:type="character" w:customStyle="1" w:styleId="QuoteChar">
    <w:name w:val="Quote Char"/>
    <w:basedOn w:val="DefaultParagraphFont"/>
    <w:link w:val="Quote"/>
    <w:uiPriority w:val="29"/>
    <w:rsid w:val="00953EB5"/>
    <w:rPr>
      <w:i/>
      <w:iCs/>
      <w:color w:val="404040" w:themeColor="text1" w:themeTint="BF"/>
      <w:sz w:val="20"/>
      <w:szCs w:val="20"/>
    </w:rPr>
  </w:style>
  <w:style w:type="table" w:styleId="ListTable3-Accent1">
    <w:name w:val="List Table 3 Accent 1"/>
    <w:basedOn w:val="TableNormal"/>
    <w:uiPriority w:val="48"/>
    <w:rsid w:val="00DD5773"/>
    <w:pPr>
      <w:spacing w:after="0" w:line="240" w:lineRule="auto"/>
    </w:pPr>
    <w:tblPr>
      <w:tblStyleRowBandSize w:val="1"/>
      <w:tblStyleColBandSize w:val="1"/>
      <w:tblBorders>
        <w:top w:val="single" w:sz="4" w:space="0" w:color="9CDBD9" w:themeColor="accent1"/>
        <w:left w:val="single" w:sz="4" w:space="0" w:color="9CDBD9" w:themeColor="accent1"/>
        <w:bottom w:val="single" w:sz="4" w:space="0" w:color="9CDBD9" w:themeColor="accent1"/>
        <w:right w:val="single" w:sz="4" w:space="0" w:color="9CDBD9" w:themeColor="accent1"/>
      </w:tblBorders>
    </w:tblPr>
    <w:tblStylePr w:type="firstRow">
      <w:rPr>
        <w:b/>
        <w:bCs/>
        <w:color w:val="FFFFFF" w:themeColor="background1"/>
      </w:rPr>
      <w:tblPr/>
      <w:tcPr>
        <w:shd w:val="clear" w:color="auto" w:fill="9CDBD9" w:themeFill="accent1"/>
      </w:tcPr>
    </w:tblStylePr>
    <w:tblStylePr w:type="lastRow">
      <w:rPr>
        <w:b/>
        <w:bCs/>
      </w:rPr>
      <w:tblPr/>
      <w:tcPr>
        <w:tcBorders>
          <w:top w:val="double" w:sz="4" w:space="0" w:color="9CDB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1"/>
          <w:right w:val="single" w:sz="4" w:space="0" w:color="9CDBD9" w:themeColor="accent1"/>
        </w:tcBorders>
      </w:tcPr>
    </w:tblStylePr>
    <w:tblStylePr w:type="band1Horz">
      <w:tblPr/>
      <w:tcPr>
        <w:tcBorders>
          <w:top w:val="single" w:sz="4" w:space="0" w:color="9CDBD9" w:themeColor="accent1"/>
          <w:bottom w:val="single" w:sz="4" w:space="0" w:color="9CDB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1"/>
          <w:left w:val="nil"/>
        </w:tcBorders>
      </w:tcPr>
    </w:tblStylePr>
    <w:tblStylePr w:type="swCell">
      <w:tblPr/>
      <w:tcPr>
        <w:tcBorders>
          <w:top w:val="double" w:sz="4" w:space="0" w:color="9CDBD9" w:themeColor="accent1"/>
          <w:right w:val="nil"/>
        </w:tcBorders>
      </w:tcPr>
    </w:tblStylePr>
  </w:style>
  <w:style w:type="table" w:styleId="GridTable5Dark-Accent1">
    <w:name w:val="Grid Table 5 Dark Accent 1"/>
    <w:basedOn w:val="TableNormal"/>
    <w:uiPriority w:val="50"/>
    <w:rsid w:val="00B745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paragraph" w:styleId="EndnoteText">
    <w:name w:val="endnote text"/>
    <w:basedOn w:val="Normal"/>
    <w:link w:val="EndnoteTextChar"/>
    <w:uiPriority w:val="99"/>
    <w:unhideWhenUsed/>
    <w:rsid w:val="0088214E"/>
    <w:pPr>
      <w:spacing w:before="0" w:after="0" w:line="240" w:lineRule="auto"/>
    </w:pPr>
    <w:rPr>
      <w:sz w:val="20"/>
      <w:szCs w:val="20"/>
    </w:rPr>
  </w:style>
  <w:style w:type="character" w:customStyle="1" w:styleId="EndnoteTextChar">
    <w:name w:val="Endnote Text Char"/>
    <w:basedOn w:val="DefaultParagraphFont"/>
    <w:link w:val="EndnoteText"/>
    <w:uiPriority w:val="99"/>
    <w:rsid w:val="0088214E"/>
    <w:rPr>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finance.gov.au/publications/policy/department-finance-privacy-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arlSuper@financ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individuals-and-families/super-for-individuals-and-families/super/withdrawing-and-using-your-super/retirement-withdrawal-lump-sum-or-income-stream"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FIN33893-1607612766-7462</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Flow_SignoffStatus xmlns="59c0318b-7ee0-4808-830f-fcf1e11bd8a2" xsi:nil="true"/>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59c0318b-7ee0-4808-830f-fcf1e11bd8a2">
      <Terms xmlns="http://schemas.microsoft.com/office/infopath/2007/PartnerControls"/>
    </lcf76f155ced4ddcb4097134ff3c332f>
    <TaxCatchAll xmlns="a334ba3b-e131-42d3-95f3-2728f5a41884">
      <Value>50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https://financegovau.sharepoint.com/sites/M365_DoF_50033893/_layouts/15/DocIdRedir.aspx?ID=FIN33893-1607612766-7462</Url>
      <Description>FIN33893-1607612766-7462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6B1566C2AAA2A48B85E22A3461D6C38" ma:contentTypeVersion="37" ma:contentTypeDescription="Create a new document." ma:contentTypeScope="" ma:versionID="bd8e7bfb6d02f18fcaad3a21ae8c0780">
  <xsd:schema xmlns:xsd="http://www.w3.org/2001/XMLSchema" xmlns:xs="http://www.w3.org/2001/XMLSchema" xmlns:p="http://schemas.microsoft.com/office/2006/metadata/properties" xmlns:ns2="a334ba3b-e131-42d3-95f3-2728f5a41884" xmlns:ns3="59c0318b-7ee0-4808-830f-fcf1e11bd8a2" xmlns:ns4="6a7e9632-768a-49bf-85ac-c69233ab2a52" targetNamespace="http://schemas.microsoft.com/office/2006/metadata/properties" ma:root="true" ma:fieldsID="9a7bfe431de67047cc9dfd6218d61f09" ns2:_="" ns3:_="" ns4:_="">
    <xsd:import namespace="a334ba3b-e131-42d3-95f3-2728f5a41884"/>
    <xsd:import namespace="59c0318b-7ee0-4808-830f-fcf1e11bd8a2"/>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0318b-7ee0-4808-830f-fcf1e11bd8a2"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Flow_SignoffStatus" ma:index="3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5473-1044-4038-805C-C9A42D02E91C}">
  <ds:schemaRefs>
    <ds:schemaRef ds:uri="http://schemas.microsoft.com/office/2006/metadata/properties"/>
    <ds:schemaRef ds:uri="http://schemas.microsoft.com/office/infopath/2007/PartnerControls"/>
    <ds:schemaRef ds:uri="a334ba3b-e131-42d3-95f3-2728f5a41884"/>
    <ds:schemaRef ds:uri="6a7e9632-768a-49bf-85ac-c69233ab2a52"/>
    <ds:schemaRef ds:uri="59c0318b-7ee0-4808-830f-fcf1e11bd8a2"/>
  </ds:schemaRefs>
</ds:datastoreItem>
</file>

<file path=customXml/itemProps2.xml><?xml version="1.0" encoding="utf-8"?>
<ds:datastoreItem xmlns:ds="http://schemas.openxmlformats.org/officeDocument/2006/customXml" ds:itemID="{1E9E15DA-37D9-4A5E-94B6-A98E57E0E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59c0318b-7ee0-4808-830f-fcf1e11bd8a2"/>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A7D44-8283-4915-AB93-61FC6C2C52DF}">
  <ds:schemaRefs>
    <ds:schemaRef ds:uri="Microsoft.SharePoint.Taxonomy.ContentTypeSync"/>
  </ds:schemaRefs>
</ds:datastoreItem>
</file>

<file path=customXml/itemProps4.xml><?xml version="1.0" encoding="utf-8"?>
<ds:datastoreItem xmlns:ds="http://schemas.openxmlformats.org/officeDocument/2006/customXml" ds:itemID="{EA34BA46-AB4B-480B-B28B-0C16E3C6D909}">
  <ds:schemaRefs>
    <ds:schemaRef ds:uri="http://schemas.microsoft.com/sharepoint/events"/>
  </ds:schemaRefs>
</ds:datastoreItem>
</file>

<file path=customXml/itemProps5.xml><?xml version="1.0" encoding="utf-8"?>
<ds:datastoreItem xmlns:ds="http://schemas.openxmlformats.org/officeDocument/2006/customXml" ds:itemID="{5AAD3E40-5BF2-42B6-858B-92E00B5B45F7}">
  <ds:schemaRefs>
    <ds:schemaRef ds:uri="http://schemas.microsoft.com/sharepoint/v3/contenttype/forms"/>
  </ds:schemaRefs>
</ds:datastoreItem>
</file>

<file path=customXml/itemProps6.xml><?xml version="1.0" encoding="utf-8"?>
<ds:datastoreItem xmlns:ds="http://schemas.openxmlformats.org/officeDocument/2006/customXml" ds:itemID="{0922BD5E-9FA7-40D4-BE45-850E1CC9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7562</Words>
  <Characters>38414</Characters>
  <Application>Microsoft Office Word</Application>
  <DocSecurity>0</DocSecurity>
  <Lines>822</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Links>
    <vt:vector size="246" baseType="variant">
      <vt:variant>
        <vt:i4>6422547</vt:i4>
      </vt:variant>
      <vt:variant>
        <vt:i4>237</vt:i4>
      </vt:variant>
      <vt:variant>
        <vt:i4>0</vt:i4>
      </vt:variant>
      <vt:variant>
        <vt:i4>5</vt:i4>
      </vt:variant>
      <vt:variant>
        <vt:lpwstr>mailto:Parlsuper@finance.gov.au</vt:lpwstr>
      </vt:variant>
      <vt:variant>
        <vt:lpwstr/>
      </vt:variant>
      <vt:variant>
        <vt:i4>1048630</vt:i4>
      </vt:variant>
      <vt:variant>
        <vt:i4>224</vt:i4>
      </vt:variant>
      <vt:variant>
        <vt:i4>0</vt:i4>
      </vt:variant>
      <vt:variant>
        <vt:i4>5</vt:i4>
      </vt:variant>
      <vt:variant>
        <vt:lpwstr/>
      </vt:variant>
      <vt:variant>
        <vt:lpwstr>_Toc185843649</vt:lpwstr>
      </vt:variant>
      <vt:variant>
        <vt:i4>1048630</vt:i4>
      </vt:variant>
      <vt:variant>
        <vt:i4>218</vt:i4>
      </vt:variant>
      <vt:variant>
        <vt:i4>0</vt:i4>
      </vt:variant>
      <vt:variant>
        <vt:i4>5</vt:i4>
      </vt:variant>
      <vt:variant>
        <vt:lpwstr/>
      </vt:variant>
      <vt:variant>
        <vt:lpwstr>_Toc185843648</vt:lpwstr>
      </vt:variant>
      <vt:variant>
        <vt:i4>1048630</vt:i4>
      </vt:variant>
      <vt:variant>
        <vt:i4>212</vt:i4>
      </vt:variant>
      <vt:variant>
        <vt:i4>0</vt:i4>
      </vt:variant>
      <vt:variant>
        <vt:i4>5</vt:i4>
      </vt:variant>
      <vt:variant>
        <vt:lpwstr/>
      </vt:variant>
      <vt:variant>
        <vt:lpwstr>_Toc185843647</vt:lpwstr>
      </vt:variant>
      <vt:variant>
        <vt:i4>1048630</vt:i4>
      </vt:variant>
      <vt:variant>
        <vt:i4>206</vt:i4>
      </vt:variant>
      <vt:variant>
        <vt:i4>0</vt:i4>
      </vt:variant>
      <vt:variant>
        <vt:i4>5</vt:i4>
      </vt:variant>
      <vt:variant>
        <vt:lpwstr/>
      </vt:variant>
      <vt:variant>
        <vt:lpwstr>_Toc185843646</vt:lpwstr>
      </vt:variant>
      <vt:variant>
        <vt:i4>1048630</vt:i4>
      </vt:variant>
      <vt:variant>
        <vt:i4>200</vt:i4>
      </vt:variant>
      <vt:variant>
        <vt:i4>0</vt:i4>
      </vt:variant>
      <vt:variant>
        <vt:i4>5</vt:i4>
      </vt:variant>
      <vt:variant>
        <vt:lpwstr/>
      </vt:variant>
      <vt:variant>
        <vt:lpwstr>_Toc185843645</vt:lpwstr>
      </vt:variant>
      <vt:variant>
        <vt:i4>1048630</vt:i4>
      </vt:variant>
      <vt:variant>
        <vt:i4>194</vt:i4>
      </vt:variant>
      <vt:variant>
        <vt:i4>0</vt:i4>
      </vt:variant>
      <vt:variant>
        <vt:i4>5</vt:i4>
      </vt:variant>
      <vt:variant>
        <vt:lpwstr/>
      </vt:variant>
      <vt:variant>
        <vt:lpwstr>_Toc185843644</vt:lpwstr>
      </vt:variant>
      <vt:variant>
        <vt:i4>1048630</vt:i4>
      </vt:variant>
      <vt:variant>
        <vt:i4>188</vt:i4>
      </vt:variant>
      <vt:variant>
        <vt:i4>0</vt:i4>
      </vt:variant>
      <vt:variant>
        <vt:i4>5</vt:i4>
      </vt:variant>
      <vt:variant>
        <vt:lpwstr/>
      </vt:variant>
      <vt:variant>
        <vt:lpwstr>_Toc185843643</vt:lpwstr>
      </vt:variant>
      <vt:variant>
        <vt:i4>1048630</vt:i4>
      </vt:variant>
      <vt:variant>
        <vt:i4>182</vt:i4>
      </vt:variant>
      <vt:variant>
        <vt:i4>0</vt:i4>
      </vt:variant>
      <vt:variant>
        <vt:i4>5</vt:i4>
      </vt:variant>
      <vt:variant>
        <vt:lpwstr/>
      </vt:variant>
      <vt:variant>
        <vt:lpwstr>_Toc185843642</vt:lpwstr>
      </vt:variant>
      <vt:variant>
        <vt:i4>1048630</vt:i4>
      </vt:variant>
      <vt:variant>
        <vt:i4>176</vt:i4>
      </vt:variant>
      <vt:variant>
        <vt:i4>0</vt:i4>
      </vt:variant>
      <vt:variant>
        <vt:i4>5</vt:i4>
      </vt:variant>
      <vt:variant>
        <vt:lpwstr/>
      </vt:variant>
      <vt:variant>
        <vt:lpwstr>_Toc185843641</vt:lpwstr>
      </vt:variant>
      <vt:variant>
        <vt:i4>1048630</vt:i4>
      </vt:variant>
      <vt:variant>
        <vt:i4>170</vt:i4>
      </vt:variant>
      <vt:variant>
        <vt:i4>0</vt:i4>
      </vt:variant>
      <vt:variant>
        <vt:i4>5</vt:i4>
      </vt:variant>
      <vt:variant>
        <vt:lpwstr/>
      </vt:variant>
      <vt:variant>
        <vt:lpwstr>_Toc185843640</vt:lpwstr>
      </vt:variant>
      <vt:variant>
        <vt:i4>1507382</vt:i4>
      </vt:variant>
      <vt:variant>
        <vt:i4>164</vt:i4>
      </vt:variant>
      <vt:variant>
        <vt:i4>0</vt:i4>
      </vt:variant>
      <vt:variant>
        <vt:i4>5</vt:i4>
      </vt:variant>
      <vt:variant>
        <vt:lpwstr/>
      </vt:variant>
      <vt:variant>
        <vt:lpwstr>_Toc185843639</vt:lpwstr>
      </vt:variant>
      <vt:variant>
        <vt:i4>1507382</vt:i4>
      </vt:variant>
      <vt:variant>
        <vt:i4>158</vt:i4>
      </vt:variant>
      <vt:variant>
        <vt:i4>0</vt:i4>
      </vt:variant>
      <vt:variant>
        <vt:i4>5</vt:i4>
      </vt:variant>
      <vt:variant>
        <vt:lpwstr/>
      </vt:variant>
      <vt:variant>
        <vt:lpwstr>_Toc185843638</vt:lpwstr>
      </vt:variant>
      <vt:variant>
        <vt:i4>1507382</vt:i4>
      </vt:variant>
      <vt:variant>
        <vt:i4>152</vt:i4>
      </vt:variant>
      <vt:variant>
        <vt:i4>0</vt:i4>
      </vt:variant>
      <vt:variant>
        <vt:i4>5</vt:i4>
      </vt:variant>
      <vt:variant>
        <vt:lpwstr/>
      </vt:variant>
      <vt:variant>
        <vt:lpwstr>_Toc185843637</vt:lpwstr>
      </vt:variant>
      <vt:variant>
        <vt:i4>1507382</vt:i4>
      </vt:variant>
      <vt:variant>
        <vt:i4>146</vt:i4>
      </vt:variant>
      <vt:variant>
        <vt:i4>0</vt:i4>
      </vt:variant>
      <vt:variant>
        <vt:i4>5</vt:i4>
      </vt:variant>
      <vt:variant>
        <vt:lpwstr/>
      </vt:variant>
      <vt:variant>
        <vt:lpwstr>_Toc185843636</vt:lpwstr>
      </vt:variant>
      <vt:variant>
        <vt:i4>1507382</vt:i4>
      </vt:variant>
      <vt:variant>
        <vt:i4>140</vt:i4>
      </vt:variant>
      <vt:variant>
        <vt:i4>0</vt:i4>
      </vt:variant>
      <vt:variant>
        <vt:i4>5</vt:i4>
      </vt:variant>
      <vt:variant>
        <vt:lpwstr/>
      </vt:variant>
      <vt:variant>
        <vt:lpwstr>_Toc185843635</vt:lpwstr>
      </vt:variant>
      <vt:variant>
        <vt:i4>1507382</vt:i4>
      </vt:variant>
      <vt:variant>
        <vt:i4>134</vt:i4>
      </vt:variant>
      <vt:variant>
        <vt:i4>0</vt:i4>
      </vt:variant>
      <vt:variant>
        <vt:i4>5</vt:i4>
      </vt:variant>
      <vt:variant>
        <vt:lpwstr/>
      </vt:variant>
      <vt:variant>
        <vt:lpwstr>_Toc185843634</vt:lpwstr>
      </vt:variant>
      <vt:variant>
        <vt:i4>1507382</vt:i4>
      </vt:variant>
      <vt:variant>
        <vt:i4>128</vt:i4>
      </vt:variant>
      <vt:variant>
        <vt:i4>0</vt:i4>
      </vt:variant>
      <vt:variant>
        <vt:i4>5</vt:i4>
      </vt:variant>
      <vt:variant>
        <vt:lpwstr/>
      </vt:variant>
      <vt:variant>
        <vt:lpwstr>_Toc185843633</vt:lpwstr>
      </vt:variant>
      <vt:variant>
        <vt:i4>1507382</vt:i4>
      </vt:variant>
      <vt:variant>
        <vt:i4>122</vt:i4>
      </vt:variant>
      <vt:variant>
        <vt:i4>0</vt:i4>
      </vt:variant>
      <vt:variant>
        <vt:i4>5</vt:i4>
      </vt:variant>
      <vt:variant>
        <vt:lpwstr/>
      </vt:variant>
      <vt:variant>
        <vt:lpwstr>_Toc185843632</vt:lpwstr>
      </vt:variant>
      <vt:variant>
        <vt:i4>1507382</vt:i4>
      </vt:variant>
      <vt:variant>
        <vt:i4>116</vt:i4>
      </vt:variant>
      <vt:variant>
        <vt:i4>0</vt:i4>
      </vt:variant>
      <vt:variant>
        <vt:i4>5</vt:i4>
      </vt:variant>
      <vt:variant>
        <vt:lpwstr/>
      </vt:variant>
      <vt:variant>
        <vt:lpwstr>_Toc185843631</vt:lpwstr>
      </vt:variant>
      <vt:variant>
        <vt:i4>1507382</vt:i4>
      </vt:variant>
      <vt:variant>
        <vt:i4>110</vt:i4>
      </vt:variant>
      <vt:variant>
        <vt:i4>0</vt:i4>
      </vt:variant>
      <vt:variant>
        <vt:i4>5</vt:i4>
      </vt:variant>
      <vt:variant>
        <vt:lpwstr/>
      </vt:variant>
      <vt:variant>
        <vt:lpwstr>_Toc185843630</vt:lpwstr>
      </vt:variant>
      <vt:variant>
        <vt:i4>1441846</vt:i4>
      </vt:variant>
      <vt:variant>
        <vt:i4>104</vt:i4>
      </vt:variant>
      <vt:variant>
        <vt:i4>0</vt:i4>
      </vt:variant>
      <vt:variant>
        <vt:i4>5</vt:i4>
      </vt:variant>
      <vt:variant>
        <vt:lpwstr/>
      </vt:variant>
      <vt:variant>
        <vt:lpwstr>_Toc185843629</vt:lpwstr>
      </vt:variant>
      <vt:variant>
        <vt:i4>1441846</vt:i4>
      </vt:variant>
      <vt:variant>
        <vt:i4>98</vt:i4>
      </vt:variant>
      <vt:variant>
        <vt:i4>0</vt:i4>
      </vt:variant>
      <vt:variant>
        <vt:i4>5</vt:i4>
      </vt:variant>
      <vt:variant>
        <vt:lpwstr/>
      </vt:variant>
      <vt:variant>
        <vt:lpwstr>_Toc185843628</vt:lpwstr>
      </vt:variant>
      <vt:variant>
        <vt:i4>1441846</vt:i4>
      </vt:variant>
      <vt:variant>
        <vt:i4>92</vt:i4>
      </vt:variant>
      <vt:variant>
        <vt:i4>0</vt:i4>
      </vt:variant>
      <vt:variant>
        <vt:i4>5</vt:i4>
      </vt:variant>
      <vt:variant>
        <vt:lpwstr/>
      </vt:variant>
      <vt:variant>
        <vt:lpwstr>_Toc185843627</vt:lpwstr>
      </vt:variant>
      <vt:variant>
        <vt:i4>1441846</vt:i4>
      </vt:variant>
      <vt:variant>
        <vt:i4>86</vt:i4>
      </vt:variant>
      <vt:variant>
        <vt:i4>0</vt:i4>
      </vt:variant>
      <vt:variant>
        <vt:i4>5</vt:i4>
      </vt:variant>
      <vt:variant>
        <vt:lpwstr/>
      </vt:variant>
      <vt:variant>
        <vt:lpwstr>_Toc185843626</vt:lpwstr>
      </vt:variant>
      <vt:variant>
        <vt:i4>1441846</vt:i4>
      </vt:variant>
      <vt:variant>
        <vt:i4>80</vt:i4>
      </vt:variant>
      <vt:variant>
        <vt:i4>0</vt:i4>
      </vt:variant>
      <vt:variant>
        <vt:i4>5</vt:i4>
      </vt:variant>
      <vt:variant>
        <vt:lpwstr/>
      </vt:variant>
      <vt:variant>
        <vt:lpwstr>_Toc185843625</vt:lpwstr>
      </vt:variant>
      <vt:variant>
        <vt:i4>1441846</vt:i4>
      </vt:variant>
      <vt:variant>
        <vt:i4>74</vt:i4>
      </vt:variant>
      <vt:variant>
        <vt:i4>0</vt:i4>
      </vt:variant>
      <vt:variant>
        <vt:i4>5</vt:i4>
      </vt:variant>
      <vt:variant>
        <vt:lpwstr/>
      </vt:variant>
      <vt:variant>
        <vt:lpwstr>_Toc185843624</vt:lpwstr>
      </vt:variant>
      <vt:variant>
        <vt:i4>1441846</vt:i4>
      </vt:variant>
      <vt:variant>
        <vt:i4>68</vt:i4>
      </vt:variant>
      <vt:variant>
        <vt:i4>0</vt:i4>
      </vt:variant>
      <vt:variant>
        <vt:i4>5</vt:i4>
      </vt:variant>
      <vt:variant>
        <vt:lpwstr/>
      </vt:variant>
      <vt:variant>
        <vt:lpwstr>_Toc185843623</vt:lpwstr>
      </vt:variant>
      <vt:variant>
        <vt:i4>1441846</vt:i4>
      </vt:variant>
      <vt:variant>
        <vt:i4>62</vt:i4>
      </vt:variant>
      <vt:variant>
        <vt:i4>0</vt:i4>
      </vt:variant>
      <vt:variant>
        <vt:i4>5</vt:i4>
      </vt:variant>
      <vt:variant>
        <vt:lpwstr/>
      </vt:variant>
      <vt:variant>
        <vt:lpwstr>_Toc185843622</vt:lpwstr>
      </vt:variant>
      <vt:variant>
        <vt:i4>1441846</vt:i4>
      </vt:variant>
      <vt:variant>
        <vt:i4>56</vt:i4>
      </vt:variant>
      <vt:variant>
        <vt:i4>0</vt:i4>
      </vt:variant>
      <vt:variant>
        <vt:i4>5</vt:i4>
      </vt:variant>
      <vt:variant>
        <vt:lpwstr/>
      </vt:variant>
      <vt:variant>
        <vt:lpwstr>_Toc185843621</vt:lpwstr>
      </vt:variant>
      <vt:variant>
        <vt:i4>1441846</vt:i4>
      </vt:variant>
      <vt:variant>
        <vt:i4>50</vt:i4>
      </vt:variant>
      <vt:variant>
        <vt:i4>0</vt:i4>
      </vt:variant>
      <vt:variant>
        <vt:i4>5</vt:i4>
      </vt:variant>
      <vt:variant>
        <vt:lpwstr/>
      </vt:variant>
      <vt:variant>
        <vt:lpwstr>_Toc185843620</vt:lpwstr>
      </vt:variant>
      <vt:variant>
        <vt:i4>1376310</vt:i4>
      </vt:variant>
      <vt:variant>
        <vt:i4>44</vt:i4>
      </vt:variant>
      <vt:variant>
        <vt:i4>0</vt:i4>
      </vt:variant>
      <vt:variant>
        <vt:i4>5</vt:i4>
      </vt:variant>
      <vt:variant>
        <vt:lpwstr/>
      </vt:variant>
      <vt:variant>
        <vt:lpwstr>_Toc185843619</vt:lpwstr>
      </vt:variant>
      <vt:variant>
        <vt:i4>1376310</vt:i4>
      </vt:variant>
      <vt:variant>
        <vt:i4>38</vt:i4>
      </vt:variant>
      <vt:variant>
        <vt:i4>0</vt:i4>
      </vt:variant>
      <vt:variant>
        <vt:i4>5</vt:i4>
      </vt:variant>
      <vt:variant>
        <vt:lpwstr/>
      </vt:variant>
      <vt:variant>
        <vt:lpwstr>_Toc185843618</vt:lpwstr>
      </vt:variant>
      <vt:variant>
        <vt:i4>1376310</vt:i4>
      </vt:variant>
      <vt:variant>
        <vt:i4>32</vt:i4>
      </vt:variant>
      <vt:variant>
        <vt:i4>0</vt:i4>
      </vt:variant>
      <vt:variant>
        <vt:i4>5</vt:i4>
      </vt:variant>
      <vt:variant>
        <vt:lpwstr/>
      </vt:variant>
      <vt:variant>
        <vt:lpwstr>_Toc185843617</vt:lpwstr>
      </vt:variant>
      <vt:variant>
        <vt:i4>1376310</vt:i4>
      </vt:variant>
      <vt:variant>
        <vt:i4>26</vt:i4>
      </vt:variant>
      <vt:variant>
        <vt:i4>0</vt:i4>
      </vt:variant>
      <vt:variant>
        <vt:i4>5</vt:i4>
      </vt:variant>
      <vt:variant>
        <vt:lpwstr/>
      </vt:variant>
      <vt:variant>
        <vt:lpwstr>_Toc185843616</vt:lpwstr>
      </vt:variant>
      <vt:variant>
        <vt:i4>1376310</vt:i4>
      </vt:variant>
      <vt:variant>
        <vt:i4>20</vt:i4>
      </vt:variant>
      <vt:variant>
        <vt:i4>0</vt:i4>
      </vt:variant>
      <vt:variant>
        <vt:i4>5</vt:i4>
      </vt:variant>
      <vt:variant>
        <vt:lpwstr/>
      </vt:variant>
      <vt:variant>
        <vt:lpwstr>_Toc185843615</vt:lpwstr>
      </vt:variant>
      <vt:variant>
        <vt:i4>1376310</vt:i4>
      </vt:variant>
      <vt:variant>
        <vt:i4>14</vt:i4>
      </vt:variant>
      <vt:variant>
        <vt:i4>0</vt:i4>
      </vt:variant>
      <vt:variant>
        <vt:i4>5</vt:i4>
      </vt:variant>
      <vt:variant>
        <vt:lpwstr/>
      </vt:variant>
      <vt:variant>
        <vt:lpwstr>_Toc185843614</vt:lpwstr>
      </vt:variant>
      <vt:variant>
        <vt:i4>1376310</vt:i4>
      </vt:variant>
      <vt:variant>
        <vt:i4>8</vt:i4>
      </vt:variant>
      <vt:variant>
        <vt:i4>0</vt:i4>
      </vt:variant>
      <vt:variant>
        <vt:i4>5</vt:i4>
      </vt:variant>
      <vt:variant>
        <vt:lpwstr/>
      </vt:variant>
      <vt:variant>
        <vt:lpwstr>_Toc185843613</vt:lpwstr>
      </vt:variant>
      <vt:variant>
        <vt:i4>2687022</vt:i4>
      </vt:variant>
      <vt:variant>
        <vt:i4>3</vt:i4>
      </vt:variant>
      <vt:variant>
        <vt:i4>0</vt:i4>
      </vt:variant>
      <vt:variant>
        <vt:i4>5</vt:i4>
      </vt:variant>
      <vt:variant>
        <vt:lpwstr>http://www.finance.gov.au/publications/policy/department-finance-privacy-policy</vt:lpwstr>
      </vt:variant>
      <vt:variant>
        <vt:lpwstr/>
      </vt:variant>
      <vt:variant>
        <vt:i4>6422547</vt:i4>
      </vt:variant>
      <vt:variant>
        <vt:i4>0</vt:i4>
      </vt:variant>
      <vt:variant>
        <vt:i4>0</vt:i4>
      </vt:variant>
      <vt:variant>
        <vt:i4>5</vt:i4>
      </vt:variant>
      <vt:variant>
        <vt:lpwstr>mailto:ParlSuper@finance.gov.au</vt:lpwstr>
      </vt:variant>
      <vt:variant>
        <vt:lpwstr/>
      </vt:variant>
      <vt:variant>
        <vt:i4>65618</vt:i4>
      </vt:variant>
      <vt:variant>
        <vt:i4>0</vt:i4>
      </vt:variant>
      <vt:variant>
        <vt:i4>0</vt:i4>
      </vt:variant>
      <vt:variant>
        <vt:i4>5</vt:i4>
      </vt:variant>
      <vt:variant>
        <vt:lpwstr>https://www.ato.gov.au/individuals-and-families/super-for-individuals-and-families/super/withdrawing-and-using-your-super/retirement-withdrawal-lump-sum-or-income-stream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2024-12-24T01:56:00Z</dcterms:created>
  <dcterms:modified xsi:type="dcterms:W3CDTF">2024-12-24T02:20:00Z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DB477773D4CF691F65CBEB03D99203ED04B69B31</vt:lpwstr>
  </property>
  <property fmtid="{D5CDD505-2E9C-101B-9397-08002B2CF9AE}" pid="3" name="PMUuid">
    <vt:lpwstr>v=2022.2;d=gov.au;g=46DD6D7C-8107-577B-BC6E-F348953B2E44</vt:lpwstr>
  </property>
  <property fmtid="{D5CDD505-2E9C-101B-9397-08002B2CF9AE}" pid="4" name="MSIP_Label_87d6481e-ccdd-4ab6-8b26-05a0df5699e7_SiteId">
    <vt:lpwstr>08954cee-4782-4ff6-9ad5-1997dccef4b0</vt:lpwstr>
  </property>
  <property fmtid="{D5CDD505-2E9C-101B-9397-08002B2CF9AE}" pid="5" name="PM_OriginatorDomainName_SHA256">
    <vt:lpwstr>325440F6CA31C4C3BCE4433552DC42928CAAD3E2731ABE35FDE729ECEB763AF0</vt:lpwstr>
  </property>
  <property fmtid="{D5CDD505-2E9C-101B-9397-08002B2CF9AE}" pid="6" name="PM_ProtectiveMarkingImage_Header">
    <vt:lpwstr>C:\Program Files\Common Files\janusNET Shared\janusSEAL\Images\DocumentSlashBlue.png</vt:lpwstr>
  </property>
  <property fmtid="{D5CDD505-2E9C-101B-9397-08002B2CF9AE}" pid="7" name="PM_Note">
    <vt:lpwstr/>
  </property>
  <property fmtid="{D5CDD505-2E9C-101B-9397-08002B2CF9AE}" pid="8" name="PM_ProtectiveMarkingImage_Footer">
    <vt:lpwstr>C:\Program Files\Common Files\janusNET Shared\janusSEAL\Images\DocumentSlashBlue.png</vt:lpwstr>
  </property>
  <property fmtid="{D5CDD505-2E9C-101B-9397-08002B2CF9AE}" pid="9" name="PM_Markers">
    <vt:lpwstr/>
  </property>
  <property fmtid="{D5CDD505-2E9C-101B-9397-08002B2CF9AE}" pid="10" name="PM_SecurityClassification_Prev">
    <vt:lpwstr>OFFICIAL</vt:lpwstr>
  </property>
  <property fmtid="{D5CDD505-2E9C-101B-9397-08002B2CF9AE}" pid="11" name="MSIP_Label_87d6481e-ccdd-4ab6-8b26-05a0df5699e7_Method">
    <vt:lpwstr>Privileged</vt:lpwstr>
  </property>
  <property fmtid="{D5CDD505-2E9C-101B-9397-08002B2CF9AE}" pid="12" name="PM_Qualifier_Prev">
    <vt:lpwstr/>
  </property>
  <property fmtid="{D5CDD505-2E9C-101B-9397-08002B2CF9AE}" pid="13" name="PM_ProtectiveMarkingValue_Footer">
    <vt:lpwstr>OFFICIAL</vt:lpwstr>
  </property>
  <property fmtid="{D5CDD505-2E9C-101B-9397-08002B2CF9AE}" pid="14" name="PM_Originating_FileId">
    <vt:lpwstr>C5D07F5CC9B74BD1AD3812F94CCB42D6</vt:lpwstr>
  </property>
  <property fmtid="{D5CDD505-2E9C-101B-9397-08002B2CF9AE}" pid="15" name="PM_Hash_Salt_Prev">
    <vt:lpwstr>BAF1E2A3B6AC662C5D96014093C204B5</vt:lpwstr>
  </property>
  <property fmtid="{D5CDD505-2E9C-101B-9397-08002B2CF9AE}" pid="16" name="PM_Version">
    <vt:lpwstr>2018.4</vt:lpwstr>
  </property>
  <property fmtid="{D5CDD505-2E9C-101B-9397-08002B2CF9AE}" pid="17" name="MSIP_Label_87d6481e-ccdd-4ab6-8b26-05a0df5699e7_SetDate">
    <vt:lpwstr>2024-07-23T00:37:22Z</vt:lpwstr>
  </property>
  <property fmtid="{D5CDD505-2E9C-101B-9397-08002B2CF9AE}" pid="18" name="PM_OriginatorUserAccountName_SHA256">
    <vt:lpwstr>20D2E93140A6E220A9131E405D99C7F4980C61417D08C877423AD70F86A78510</vt:lpwstr>
  </property>
  <property fmtid="{D5CDD505-2E9C-101B-9397-08002B2CF9AE}" pid="19" name="PM_InsertionValue">
    <vt:lpwstr>OFFICIAL</vt:lpwstr>
  </property>
  <property fmtid="{D5CDD505-2E9C-101B-9397-08002B2CF9AE}" pid="20" name="MSIP_Label_87d6481e-ccdd-4ab6-8b26-05a0df5699e7_Enabled">
    <vt:lpwstr>true</vt:lpwstr>
  </property>
  <property fmtid="{D5CDD505-2E9C-101B-9397-08002B2CF9AE}" pid="21" name="PM_ProtectiveMarkingValue_Header">
    <vt:lpwstr>OFFICIAL</vt:lpwstr>
  </property>
  <property fmtid="{D5CDD505-2E9C-101B-9397-08002B2CF9AE}" pid="22" name="PM_OriginationTimeStamp">
    <vt:lpwstr>2024-07-23T00:37:22Z</vt:lpwstr>
  </property>
  <property fmtid="{D5CDD505-2E9C-101B-9397-08002B2CF9AE}" pid="23" name="PM_Hash_Salt">
    <vt:lpwstr>004C350D254606C70499F3CD734BC570</vt:lpwstr>
  </property>
  <property fmtid="{D5CDD505-2E9C-101B-9397-08002B2CF9AE}" pid="24" name="PM_SecurityClassification">
    <vt:lpwstr>OFFICIAL</vt:lpwstr>
  </property>
  <property fmtid="{D5CDD505-2E9C-101B-9397-08002B2CF9AE}" pid="25" name="MSIP_Label_87d6481e-ccdd-4ab6-8b26-05a0df5699e7_ContentBits">
    <vt:lpwstr>0</vt:lpwstr>
  </property>
  <property fmtid="{D5CDD505-2E9C-101B-9397-08002B2CF9AE}" pid="26" name="PM_Namespace">
    <vt:lpwstr>gov.au</vt:lpwstr>
  </property>
  <property fmtid="{D5CDD505-2E9C-101B-9397-08002B2CF9AE}" pid="27" name="MSIP_Label_87d6481e-ccdd-4ab6-8b26-05a0df5699e7_Name">
    <vt:lpwstr>OFFICIAL</vt:lpwstr>
  </property>
  <property fmtid="{D5CDD505-2E9C-101B-9397-08002B2CF9AE}" pid="28" name="MSIP_Label_87d6481e-ccdd-4ab6-8b26-05a0df5699e7_ActionId">
    <vt:lpwstr>9caaf84cf2914350b3a0f6a82f44fa2a</vt:lpwstr>
  </property>
  <property fmtid="{D5CDD505-2E9C-101B-9397-08002B2CF9AE}" pid="29" name="PM_DisplayValueSecClassificationWithQualifier">
    <vt:lpwstr>OFFICIAL</vt:lpwstr>
  </property>
  <property fmtid="{D5CDD505-2E9C-101B-9397-08002B2CF9AE}" pid="30" name="PM_Hash_Version">
    <vt:lpwstr>2022.1</vt:lpwstr>
  </property>
  <property fmtid="{D5CDD505-2E9C-101B-9397-08002B2CF9AE}" pid="31" name="PM_Hash_SHA1">
    <vt:lpwstr>C4883AA41DD72065F42765D29C6913565EC036D9</vt:lpwstr>
  </property>
  <property fmtid="{D5CDD505-2E9C-101B-9397-08002B2CF9AE}" pid="32" name="PM_Display">
    <vt:lpwstr>OFFICIAL</vt:lpwstr>
  </property>
  <property fmtid="{D5CDD505-2E9C-101B-9397-08002B2CF9AE}" pid="33" name="PMHMAC">
    <vt:lpwstr>v=2022.1;a=SHA256;h=3E8BD34778FA659F78EFE7A47061EDC571C7CCCED728272FB88BD054C5DAABAB</vt:lpwstr>
  </property>
  <property fmtid="{D5CDD505-2E9C-101B-9397-08002B2CF9AE}" pid="34" name="PM_Qualifier">
    <vt:lpwstr/>
  </property>
  <property fmtid="{D5CDD505-2E9C-101B-9397-08002B2CF9AE}" pid="35" name="PM_Caveats_Count">
    <vt:lpwstr>0</vt:lpwstr>
  </property>
  <property fmtid="{D5CDD505-2E9C-101B-9397-08002B2CF9AE}" pid="36" name="TaxKeyword">
    <vt:lpwstr>50;#[SEC=OFFICIAL]|07351cc0-de73-4913-be2f-56f124cbf8bb</vt:lpwstr>
  </property>
  <property fmtid="{D5CDD505-2E9C-101B-9397-08002B2CF9AE}" pid="37" name="Organisation_x0020_Unit">
    <vt:lpwstr>2;#Parliamentary and Judicial|3973db82-d58d-4359-ab05-944014ba7b4e</vt:lpwstr>
  </property>
  <property fmtid="{D5CDD505-2E9C-101B-9397-08002B2CF9AE}" pid="38" name="MediaServiceImageTags">
    <vt:lpwstr/>
  </property>
  <property fmtid="{D5CDD505-2E9C-101B-9397-08002B2CF9AE}" pid="39" name="About_x0020_Entity">
    <vt:lpwstr>1;#Department of Finance|fd660e8f-8f31-49bd-92a3-d31d4da31afe</vt:lpwstr>
  </property>
  <property fmtid="{D5CDD505-2E9C-101B-9397-08002B2CF9AE}" pid="40" name="ContentTypeId">
    <vt:lpwstr>0x010100B7B479F47583304BA8B631462CC772D700A6B1566C2AAA2A48B85E22A3461D6C38</vt:lpwstr>
  </property>
  <property fmtid="{D5CDD505-2E9C-101B-9397-08002B2CF9AE}" pid="41" name="Organisation Unit">
    <vt:lpwstr>2;#Parliamentary and Judicial|3973db82-d58d-4359-ab05-944014ba7b4e</vt:lpwstr>
  </property>
  <property fmtid="{D5CDD505-2E9C-101B-9397-08002B2CF9AE}" pid="42" name="Function_x0020_and_x0020_Activity">
    <vt:lpwstr/>
  </property>
  <property fmtid="{D5CDD505-2E9C-101B-9397-08002B2CF9AE}" pid="43" name="_dlc_DocIdItemGuid">
    <vt:lpwstr>c70726df-4da5-40bd-ae55-dc0119ca0d17</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Initiating_x0020_Entity">
    <vt:lpwstr>1;#Department of Finance|fd660e8f-8f31-49bd-92a3-d31d4da31afe</vt:lpwstr>
  </property>
</Properties>
</file>