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658E" w14:textId="226E4AD9" w:rsidR="0006109B" w:rsidRPr="007E4411" w:rsidRDefault="0006109B" w:rsidP="009A7A1B">
      <w:pPr>
        <w:pStyle w:val="Heading1"/>
        <w:rPr>
          <w:rFonts w:ascii="Arial" w:hAnsi="Arial" w:cs="Arial"/>
          <w:b/>
          <w:bCs/>
          <w:color w:val="auto"/>
        </w:rPr>
      </w:pPr>
      <w:r w:rsidRPr="007E4411">
        <w:rPr>
          <w:rFonts w:ascii="Arial" w:hAnsi="Arial" w:cs="Arial"/>
          <w:b/>
          <w:bCs/>
          <w:color w:val="auto"/>
        </w:rPr>
        <w:t>Commonwealth Climate Disclosure</w:t>
      </w:r>
      <w:r w:rsidR="00FA686C">
        <w:rPr>
          <w:rFonts w:ascii="Arial" w:hAnsi="Arial" w:cs="Arial"/>
          <w:b/>
          <w:bCs/>
          <w:color w:val="auto"/>
        </w:rPr>
        <w:t xml:space="preserve"> </w:t>
      </w:r>
      <w:r w:rsidR="00FA686C" w:rsidRPr="007E4411">
        <w:rPr>
          <w:rFonts w:ascii="Arial" w:hAnsi="Arial" w:cs="Arial"/>
          <w:b/>
          <w:bCs/>
          <w:color w:val="auto"/>
        </w:rPr>
        <w:t>Pilot</w:t>
      </w:r>
      <w:r w:rsidRPr="007E4411">
        <w:rPr>
          <w:rFonts w:ascii="Arial" w:hAnsi="Arial" w:cs="Arial"/>
          <w:b/>
          <w:bCs/>
          <w:color w:val="auto"/>
        </w:rPr>
        <w:t xml:space="preserve"> Index</w:t>
      </w:r>
    </w:p>
    <w:p w14:paraId="7ECEAAB3" w14:textId="69F032B0" w:rsidR="008F75B1" w:rsidRPr="007E4411" w:rsidRDefault="008F75B1" w:rsidP="007B0EC3">
      <w:pPr>
        <w:pStyle w:val="BodyText1"/>
        <w:rPr>
          <w:rFonts w:ascii="Arial" w:hAnsi="Arial" w:cs="Arial"/>
        </w:rPr>
      </w:pPr>
      <w:r w:rsidRPr="007E4411">
        <w:rPr>
          <w:rFonts w:ascii="Arial" w:hAnsi="Arial" w:cs="Arial"/>
        </w:rPr>
        <w:t>This index provides a way for Pilot participants to ensure they have included the required guiding principles and criteria in their annual reports. As there is no requirement for climate disclosure information to be included in a single chapter, this index can also be used to direct readers to where they can find certain Pilot criteria throughout the annual report.</w:t>
      </w:r>
    </w:p>
    <w:p w14:paraId="57015C90" w14:textId="685E256D" w:rsidR="009A7A1B" w:rsidRPr="007E4411" w:rsidRDefault="009A7A1B" w:rsidP="00D83C7F">
      <w:pPr>
        <w:pStyle w:val="Tableheading"/>
        <w:rPr>
          <w:rFonts w:ascii="Arial" w:hAnsi="Arial" w:cs="Arial"/>
        </w:rPr>
      </w:pPr>
      <w:r w:rsidRPr="007E4411">
        <w:rPr>
          <w:rFonts w:ascii="Arial" w:hAnsi="Arial" w:cs="Arial"/>
        </w:rPr>
        <w:t>Guiding Principle</w:t>
      </w:r>
      <w:r w:rsidR="00B00FB4" w:rsidRPr="007E4411">
        <w:rPr>
          <w:rFonts w:ascii="Arial" w:hAnsi="Arial" w:cs="Arial"/>
        </w:rPr>
        <w:t>s</w:t>
      </w:r>
      <w:r w:rsidRPr="007E4411">
        <w:rPr>
          <w:rFonts w:ascii="Arial" w:hAnsi="Arial" w:cs="Arial"/>
        </w:rPr>
        <w:t xml:space="preserve"> Checklist</w:t>
      </w:r>
    </w:p>
    <w:tbl>
      <w:tblPr>
        <w:tblStyle w:val="GridTable1Light"/>
        <w:tblW w:w="5000" w:type="pct"/>
        <w:tblLook w:val="04A0" w:firstRow="1" w:lastRow="0" w:firstColumn="1" w:lastColumn="0" w:noHBand="0" w:noVBand="1"/>
      </w:tblPr>
      <w:tblGrid>
        <w:gridCol w:w="1195"/>
        <w:gridCol w:w="7821"/>
      </w:tblGrid>
      <w:tr w:rsidR="009A7A1B" w:rsidRPr="007E4411" w14:paraId="2B348923" w14:textId="77777777" w:rsidTr="00D83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14:paraId="6A48F520" w14:textId="77777777" w:rsidR="009A7A1B" w:rsidRPr="007E4411" w:rsidRDefault="009A7A1B" w:rsidP="00D83C7F">
            <w:pPr>
              <w:pStyle w:val="Tableheading"/>
              <w:rPr>
                <w:rFonts w:ascii="Arial" w:hAnsi="Arial" w:cs="Arial"/>
              </w:rPr>
            </w:pPr>
            <w:r w:rsidRPr="007E4411">
              <w:rPr>
                <w:rFonts w:ascii="Arial" w:hAnsi="Arial" w:cs="Arial"/>
              </w:rPr>
              <w:t>Achieved</w:t>
            </w:r>
          </w:p>
        </w:tc>
        <w:tc>
          <w:tcPr>
            <w:tcW w:w="4431" w:type="pct"/>
          </w:tcPr>
          <w:p w14:paraId="0BF0AD49" w14:textId="77777777" w:rsidR="009A7A1B" w:rsidRPr="007E4411" w:rsidRDefault="009A7A1B" w:rsidP="00D83C7F">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Guiding Principles</w:t>
            </w:r>
          </w:p>
        </w:tc>
      </w:tr>
      <w:tr w:rsidR="009A7A1B" w:rsidRPr="007E4411" w14:paraId="4052A56E" w14:textId="77777777" w:rsidTr="00D83C7F">
        <w:sdt>
          <w:sdtPr>
            <w:rPr>
              <w:rFonts w:ascii="Arial" w:hAnsi="Arial" w:cs="Arial"/>
            </w:rPr>
            <w:id w:val="-14049716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9" w:type="pct"/>
              </w:tcPr>
              <w:p w14:paraId="197DBF5C" w14:textId="69280B1C" w:rsidR="009A7A1B" w:rsidRPr="007E4411" w:rsidRDefault="009A7A1B" w:rsidP="006B3650">
                <w:pPr>
                  <w:pStyle w:val="Tablebodytext"/>
                  <w:rPr>
                    <w:rFonts w:ascii="Arial" w:hAnsi="Arial" w:cs="Arial"/>
                  </w:rPr>
                </w:pPr>
                <w:r w:rsidRPr="007E4411">
                  <w:rPr>
                    <w:rFonts w:ascii="Segoe UI Symbol" w:eastAsia="MS Gothic" w:hAnsi="Segoe UI Symbol" w:cs="Segoe UI Symbol"/>
                  </w:rPr>
                  <w:t>☐</w:t>
                </w:r>
              </w:p>
            </w:tc>
          </w:sdtContent>
        </w:sdt>
        <w:tc>
          <w:tcPr>
            <w:tcW w:w="4431" w:type="pct"/>
          </w:tcPr>
          <w:p w14:paraId="0822F661" w14:textId="11AF85FF" w:rsidR="009A7A1B" w:rsidRPr="007E4411" w:rsidRDefault="0000000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 w:anchor="page=12" w:history="1">
              <w:r w:rsidR="009A7A1B" w:rsidRPr="007E4411">
                <w:rPr>
                  <w:rStyle w:val="Hyperlink"/>
                  <w:rFonts w:ascii="Arial" w:hAnsi="Arial" w:cs="Arial"/>
                  <w:b/>
                  <w:bCs/>
                  <w:sz w:val="18"/>
                </w:rPr>
                <w:t>Comprehensibility and accuracy</w:t>
              </w:r>
            </w:hyperlink>
            <w:r w:rsidR="009A7A1B" w:rsidRPr="007E4411">
              <w:rPr>
                <w:rFonts w:ascii="Arial" w:hAnsi="Arial" w:cs="Arial"/>
                <w:b/>
                <w:bCs/>
              </w:rPr>
              <w:t>:</w:t>
            </w:r>
            <w:r w:rsidR="009A7A1B" w:rsidRPr="007E4411">
              <w:rPr>
                <w:rFonts w:ascii="Arial" w:hAnsi="Arial" w:cs="Arial"/>
              </w:rPr>
              <w:t xml:space="preserve"> the disclosure is sufficiently detailed and clear to enable it to be widely understood by annual report users, including the Australian public, businesses, investors, </w:t>
            </w:r>
            <w:proofErr w:type="gramStart"/>
            <w:r w:rsidR="009A7A1B" w:rsidRPr="007E4411">
              <w:rPr>
                <w:rFonts w:ascii="Arial" w:hAnsi="Arial" w:cs="Arial"/>
              </w:rPr>
              <w:t>parliamentarians</w:t>
            </w:r>
            <w:proofErr w:type="gramEnd"/>
            <w:r w:rsidR="009A7A1B" w:rsidRPr="007E4411">
              <w:rPr>
                <w:rFonts w:ascii="Arial" w:hAnsi="Arial" w:cs="Arial"/>
              </w:rPr>
              <w:t xml:space="preserve"> and other stakeholders.</w:t>
            </w:r>
          </w:p>
        </w:tc>
      </w:tr>
      <w:tr w:rsidR="009A7A1B" w:rsidRPr="007E4411" w14:paraId="111F062C" w14:textId="77777777" w:rsidTr="00D83C7F">
        <w:sdt>
          <w:sdtPr>
            <w:rPr>
              <w:rFonts w:ascii="Arial" w:hAnsi="Arial" w:cs="Arial"/>
            </w:rPr>
            <w:id w:val="-13614270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9" w:type="pct"/>
              </w:tcPr>
              <w:p w14:paraId="3DA13DA9" w14:textId="600192D3" w:rsidR="009A7A1B" w:rsidRPr="007E4411" w:rsidRDefault="009A7A1B" w:rsidP="006B3650">
                <w:pPr>
                  <w:pStyle w:val="Tablebodytext"/>
                  <w:rPr>
                    <w:rFonts w:ascii="Arial" w:hAnsi="Arial" w:cs="Arial"/>
                  </w:rPr>
                </w:pPr>
                <w:r w:rsidRPr="007E4411">
                  <w:rPr>
                    <w:rFonts w:ascii="Segoe UI Symbol" w:eastAsia="MS Gothic" w:hAnsi="Segoe UI Symbol" w:cs="Segoe UI Symbol"/>
                  </w:rPr>
                  <w:t>☐</w:t>
                </w:r>
              </w:p>
            </w:tc>
          </w:sdtContent>
        </w:sdt>
        <w:tc>
          <w:tcPr>
            <w:tcW w:w="4431" w:type="pct"/>
          </w:tcPr>
          <w:p w14:paraId="6DC747EB" w14:textId="6DB2CDBD" w:rsidR="009A7A1B" w:rsidRPr="007E4411" w:rsidRDefault="0000000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3" w:anchor="page=12" w:history="1">
              <w:r w:rsidR="009A7A1B" w:rsidRPr="007E4411">
                <w:rPr>
                  <w:rStyle w:val="Hyperlink"/>
                  <w:rFonts w:ascii="Arial" w:hAnsi="Arial" w:cs="Arial"/>
                  <w:b/>
                  <w:bCs/>
                  <w:sz w:val="18"/>
                </w:rPr>
                <w:t>Accountability</w:t>
              </w:r>
            </w:hyperlink>
            <w:r w:rsidR="009A7A1B" w:rsidRPr="007E4411">
              <w:rPr>
                <w:rFonts w:ascii="Arial" w:hAnsi="Arial" w:cs="Arial"/>
                <w:b/>
                <w:bCs/>
              </w:rPr>
              <w:t>:</w:t>
            </w:r>
            <w:r w:rsidR="009A7A1B" w:rsidRPr="007E4411">
              <w:rPr>
                <w:rFonts w:ascii="Arial" w:hAnsi="Arial" w:cs="Arial"/>
              </w:rPr>
              <w:t xml:space="preserve"> the accountable authority, responsible for ensuring climate-related risks and opportunities are appropriately identified, prioritised, managed, </w:t>
            </w:r>
            <w:proofErr w:type="gramStart"/>
            <w:r w:rsidR="009A7A1B" w:rsidRPr="007E4411">
              <w:rPr>
                <w:rFonts w:ascii="Arial" w:hAnsi="Arial" w:cs="Arial"/>
              </w:rPr>
              <w:t>monitored</w:t>
            </w:r>
            <w:proofErr w:type="gramEnd"/>
            <w:r w:rsidR="009A7A1B" w:rsidRPr="007E4411">
              <w:rPr>
                <w:rFonts w:ascii="Arial" w:hAnsi="Arial" w:cs="Arial"/>
              </w:rPr>
              <w:t xml:space="preserve"> and disclosed, is clearly identified.</w:t>
            </w:r>
          </w:p>
        </w:tc>
      </w:tr>
      <w:tr w:rsidR="009A7A1B" w:rsidRPr="007E4411" w14:paraId="7589943E" w14:textId="77777777" w:rsidTr="00D83C7F">
        <w:sdt>
          <w:sdtPr>
            <w:rPr>
              <w:rFonts w:ascii="Arial" w:hAnsi="Arial" w:cs="Arial"/>
            </w:rPr>
            <w:id w:val="-11308544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9" w:type="pct"/>
              </w:tcPr>
              <w:p w14:paraId="6E3C8CF0" w14:textId="4DA80129" w:rsidR="009A7A1B" w:rsidRPr="007E4411" w:rsidRDefault="009A7A1B" w:rsidP="006B3650">
                <w:pPr>
                  <w:pStyle w:val="Tablebodytext"/>
                  <w:rPr>
                    <w:rFonts w:ascii="Arial" w:hAnsi="Arial" w:cs="Arial"/>
                  </w:rPr>
                </w:pPr>
                <w:r w:rsidRPr="007E4411">
                  <w:rPr>
                    <w:rFonts w:ascii="Segoe UI Symbol" w:eastAsia="MS Gothic" w:hAnsi="Segoe UI Symbol" w:cs="Segoe UI Symbol"/>
                  </w:rPr>
                  <w:t>☐</w:t>
                </w:r>
              </w:p>
            </w:tc>
          </w:sdtContent>
        </w:sdt>
        <w:tc>
          <w:tcPr>
            <w:tcW w:w="4431" w:type="pct"/>
          </w:tcPr>
          <w:p w14:paraId="23F7D3EB" w14:textId="519607A0" w:rsidR="009A7A1B" w:rsidRPr="007E4411" w:rsidRDefault="0000000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anchor="page=12" w:history="1">
              <w:r w:rsidR="009A7A1B" w:rsidRPr="007E4411">
                <w:rPr>
                  <w:rStyle w:val="Hyperlink"/>
                  <w:rFonts w:ascii="Arial" w:hAnsi="Arial" w:cs="Arial"/>
                  <w:b/>
                  <w:bCs/>
                  <w:sz w:val="18"/>
                </w:rPr>
                <w:t>Completeness</w:t>
              </w:r>
            </w:hyperlink>
            <w:r w:rsidR="009A7A1B" w:rsidRPr="007E4411">
              <w:rPr>
                <w:rFonts w:ascii="Arial" w:hAnsi="Arial" w:cs="Arial"/>
                <w:b/>
                <w:bCs/>
              </w:rPr>
              <w:t>:</w:t>
            </w:r>
            <w:r w:rsidR="009A7A1B" w:rsidRPr="007E4411">
              <w:rPr>
                <w:rFonts w:ascii="Arial" w:hAnsi="Arial" w:cs="Arial"/>
              </w:rPr>
              <w:t xml:space="preserve"> the disclosure provides a fair presentation of the department’s climate-related activities against the Pilot Guidance. All criteria are addressed, or an explanation and steps being undertaken to fulfill the criteria in the future are included.</w:t>
            </w:r>
          </w:p>
        </w:tc>
      </w:tr>
      <w:tr w:rsidR="009A7A1B" w:rsidRPr="007E4411" w14:paraId="67396311" w14:textId="77777777" w:rsidTr="00D83C7F">
        <w:sdt>
          <w:sdtPr>
            <w:rPr>
              <w:rFonts w:ascii="Arial" w:hAnsi="Arial" w:cs="Arial"/>
            </w:rPr>
            <w:id w:val="15111741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9" w:type="pct"/>
              </w:tcPr>
              <w:p w14:paraId="3A08FF5E" w14:textId="52156A62" w:rsidR="009A7A1B" w:rsidRPr="007E4411" w:rsidRDefault="009A7A1B" w:rsidP="006B3650">
                <w:pPr>
                  <w:pStyle w:val="Tablebodytext"/>
                  <w:rPr>
                    <w:rFonts w:ascii="Arial" w:hAnsi="Arial" w:cs="Arial"/>
                  </w:rPr>
                </w:pPr>
                <w:r w:rsidRPr="007E4411">
                  <w:rPr>
                    <w:rFonts w:ascii="Segoe UI Symbol" w:eastAsia="MS Gothic" w:hAnsi="Segoe UI Symbol" w:cs="Segoe UI Symbol"/>
                  </w:rPr>
                  <w:t>☐</w:t>
                </w:r>
              </w:p>
            </w:tc>
          </w:sdtContent>
        </w:sdt>
        <w:tc>
          <w:tcPr>
            <w:tcW w:w="4431" w:type="pct"/>
          </w:tcPr>
          <w:p w14:paraId="063981E8" w14:textId="6257928E" w:rsidR="009A7A1B" w:rsidRPr="007E4411" w:rsidRDefault="0000000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5" w:anchor="page=12" w:history="1">
              <w:r w:rsidR="009A7A1B" w:rsidRPr="007E4411">
                <w:rPr>
                  <w:rStyle w:val="Hyperlink"/>
                  <w:rFonts w:ascii="Arial" w:hAnsi="Arial" w:cs="Arial"/>
                  <w:b/>
                  <w:bCs/>
                  <w:sz w:val="18"/>
                </w:rPr>
                <w:t>Maturity</w:t>
              </w:r>
            </w:hyperlink>
            <w:r w:rsidR="009A7A1B" w:rsidRPr="007E4411">
              <w:rPr>
                <w:rFonts w:ascii="Arial" w:hAnsi="Arial" w:cs="Arial"/>
                <w:b/>
                <w:bCs/>
              </w:rPr>
              <w:t>:</w:t>
            </w:r>
            <w:r w:rsidR="009A7A1B" w:rsidRPr="007E4411">
              <w:rPr>
                <w:rFonts w:ascii="Arial" w:hAnsi="Arial" w:cs="Arial"/>
              </w:rPr>
              <w:t xml:space="preserve"> the disclosure reflects the maturity of the entity in climate risk and opportunity management. Disclosures will become increasingly detailed and comprehensive as maturity develops, and as the Commonwealth Climate Disclosure Requirements are brought into full effect from 2024-25 onwards.</w:t>
            </w:r>
          </w:p>
        </w:tc>
      </w:tr>
      <w:tr w:rsidR="009A7A1B" w:rsidRPr="007E4411" w14:paraId="0E594A1F" w14:textId="77777777" w:rsidTr="00D83C7F">
        <w:sdt>
          <w:sdtPr>
            <w:rPr>
              <w:rFonts w:ascii="Arial" w:hAnsi="Arial" w:cs="Arial"/>
            </w:rPr>
            <w:id w:val="2935647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9" w:type="pct"/>
              </w:tcPr>
              <w:p w14:paraId="1F9A6F73" w14:textId="3BCE0286" w:rsidR="009A7A1B" w:rsidRPr="007E4411" w:rsidRDefault="000110CB" w:rsidP="006B3650">
                <w:pPr>
                  <w:pStyle w:val="Tablebodytext"/>
                  <w:rPr>
                    <w:rFonts w:ascii="Arial" w:hAnsi="Arial" w:cs="Arial"/>
                  </w:rPr>
                </w:pPr>
                <w:r w:rsidRPr="007E4411">
                  <w:rPr>
                    <w:rFonts w:ascii="Segoe UI Symbol" w:eastAsia="MS Gothic" w:hAnsi="Segoe UI Symbol" w:cs="Segoe UI Symbol"/>
                  </w:rPr>
                  <w:t>☐</w:t>
                </w:r>
              </w:p>
            </w:tc>
          </w:sdtContent>
        </w:sdt>
        <w:tc>
          <w:tcPr>
            <w:tcW w:w="4431" w:type="pct"/>
          </w:tcPr>
          <w:p w14:paraId="02B25451" w14:textId="5CD22E3A" w:rsidR="009A7A1B" w:rsidRPr="007E4411" w:rsidRDefault="0000000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6" w:anchor="page=12" w:history="1">
              <w:r w:rsidR="009A7A1B" w:rsidRPr="007E4411">
                <w:rPr>
                  <w:rStyle w:val="Hyperlink"/>
                  <w:rFonts w:ascii="Arial" w:hAnsi="Arial" w:cs="Arial"/>
                  <w:b/>
                  <w:bCs/>
                  <w:sz w:val="18"/>
                </w:rPr>
                <w:t>Forward-looking</w:t>
              </w:r>
            </w:hyperlink>
            <w:r w:rsidR="009A7A1B" w:rsidRPr="007E4411">
              <w:rPr>
                <w:rFonts w:ascii="Arial" w:hAnsi="Arial" w:cs="Arial"/>
                <w:b/>
                <w:bCs/>
              </w:rPr>
              <w:t>:</w:t>
            </w:r>
            <w:r w:rsidR="009A7A1B" w:rsidRPr="007E4411">
              <w:rPr>
                <w:rFonts w:ascii="Arial" w:hAnsi="Arial" w:cs="Arial"/>
              </w:rPr>
              <w:t xml:space="preserve"> where only partial implementation has been achieved, the disclosure outlines implementation status, </w:t>
            </w:r>
            <w:proofErr w:type="gramStart"/>
            <w:r w:rsidR="009A7A1B" w:rsidRPr="007E4411">
              <w:rPr>
                <w:rFonts w:ascii="Arial" w:hAnsi="Arial" w:cs="Arial"/>
              </w:rPr>
              <w:t>timeframes</w:t>
            </w:r>
            <w:proofErr w:type="gramEnd"/>
            <w:r w:rsidR="009A7A1B" w:rsidRPr="007E4411">
              <w:rPr>
                <w:rFonts w:ascii="Arial" w:hAnsi="Arial" w:cs="Arial"/>
              </w:rPr>
              <w:t xml:space="preserve"> and future steps to completion.</w:t>
            </w:r>
          </w:p>
        </w:tc>
      </w:tr>
      <w:tr w:rsidR="000110CB" w:rsidRPr="007E4411" w14:paraId="3DC7071F" w14:textId="77777777" w:rsidTr="102D73C5">
        <w:tc>
          <w:tcPr>
            <w:cnfStyle w:val="001000000000" w:firstRow="0" w:lastRow="0" w:firstColumn="1" w:lastColumn="0" w:oddVBand="0" w:evenVBand="0" w:oddHBand="0" w:evenHBand="0" w:firstRowFirstColumn="0" w:firstRowLastColumn="0" w:lastRowFirstColumn="0" w:lastRowLastColumn="0"/>
            <w:tcW w:w="469" w:type="pct"/>
          </w:tcPr>
          <w:p w14:paraId="79500F68" w14:textId="77B5525A" w:rsidR="000110CB" w:rsidRPr="007E4411" w:rsidRDefault="000110CB" w:rsidP="102D73C5">
            <w:pPr>
              <w:pStyle w:val="Tablebodytext"/>
              <w:rPr>
                <w:rFonts w:ascii="Arial" w:eastAsia="MS Gothic" w:hAnsi="Arial" w:cs="Arial"/>
              </w:rPr>
            </w:pPr>
          </w:p>
        </w:tc>
        <w:tc>
          <w:tcPr>
            <w:tcW w:w="4531" w:type="pct"/>
          </w:tcPr>
          <w:p w14:paraId="0F6C034B" w14:textId="51861C52" w:rsidR="000110CB" w:rsidRPr="007E4411" w:rsidRDefault="000110C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6F72DFDC" w14:textId="0F655D62" w:rsidR="009A7A1B" w:rsidRPr="007E4411" w:rsidRDefault="006B3650" w:rsidP="00D83C7F">
      <w:pPr>
        <w:pStyle w:val="Tableheading"/>
        <w:rPr>
          <w:rFonts w:ascii="Arial" w:hAnsi="Arial" w:cs="Arial"/>
        </w:rPr>
      </w:pPr>
      <w:r w:rsidRPr="007E4411">
        <w:rPr>
          <w:rFonts w:ascii="Arial" w:hAnsi="Arial" w:cs="Arial"/>
        </w:rPr>
        <w:t>Pilot criteria checklist</w:t>
      </w:r>
    </w:p>
    <w:tbl>
      <w:tblPr>
        <w:tblStyle w:val="GridTable1Light"/>
        <w:tblW w:w="9016" w:type="dxa"/>
        <w:tblLook w:val="04A0" w:firstRow="1" w:lastRow="0" w:firstColumn="1" w:lastColumn="0" w:noHBand="0" w:noVBand="1"/>
      </w:tblPr>
      <w:tblGrid>
        <w:gridCol w:w="975"/>
        <w:gridCol w:w="3569"/>
        <w:gridCol w:w="4472"/>
      </w:tblGrid>
      <w:tr w:rsidR="0006109B" w:rsidRPr="007E4411" w14:paraId="4312E8B4" w14:textId="77777777" w:rsidTr="68D40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14:paraId="2A9E0162" w14:textId="77777777" w:rsidR="0006109B" w:rsidRPr="007E4411" w:rsidRDefault="0006109B" w:rsidP="00D83C7F">
            <w:pPr>
              <w:pStyle w:val="Tableheading"/>
              <w:rPr>
                <w:rFonts w:ascii="Arial" w:hAnsi="Arial" w:cs="Arial"/>
              </w:rPr>
            </w:pPr>
            <w:r w:rsidRPr="007E4411">
              <w:rPr>
                <w:rFonts w:ascii="Arial" w:hAnsi="Arial" w:cs="Arial"/>
              </w:rPr>
              <w:t>#</w:t>
            </w:r>
          </w:p>
        </w:tc>
        <w:tc>
          <w:tcPr>
            <w:tcW w:w="3569" w:type="dxa"/>
          </w:tcPr>
          <w:p w14:paraId="0AA7C57A" w14:textId="77777777" w:rsidR="0006109B" w:rsidRPr="007E4411" w:rsidRDefault="0006109B" w:rsidP="00D83C7F">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Requirement summary</w:t>
            </w:r>
          </w:p>
        </w:tc>
        <w:tc>
          <w:tcPr>
            <w:tcW w:w="4472" w:type="dxa"/>
          </w:tcPr>
          <w:p w14:paraId="614F87A0" w14:textId="77777777" w:rsidR="0006109B" w:rsidRPr="007E4411" w:rsidRDefault="0006109B" w:rsidP="00D83C7F">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Location</w:t>
            </w:r>
          </w:p>
        </w:tc>
      </w:tr>
      <w:tr w:rsidR="0006109B" w:rsidRPr="007E4411" w14:paraId="5A7F1551"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47762A97" w14:textId="77777777" w:rsidR="0006109B" w:rsidRPr="007E4411" w:rsidRDefault="0006109B" w:rsidP="006B3650">
            <w:pPr>
              <w:pStyle w:val="Tablebodytext"/>
              <w:rPr>
                <w:rFonts w:ascii="Arial" w:hAnsi="Arial" w:cs="Arial"/>
              </w:rPr>
            </w:pPr>
            <w:r w:rsidRPr="007E4411">
              <w:rPr>
                <w:rFonts w:ascii="Arial" w:hAnsi="Arial" w:cs="Arial"/>
              </w:rPr>
              <w:t>G1</w:t>
            </w:r>
          </w:p>
        </w:tc>
        <w:tc>
          <w:tcPr>
            <w:tcW w:w="3569" w:type="dxa"/>
          </w:tcPr>
          <w:p w14:paraId="1B4CBD99"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Identification of the accountable authority</w:t>
            </w:r>
          </w:p>
        </w:tc>
        <w:tc>
          <w:tcPr>
            <w:tcW w:w="4472" w:type="dxa"/>
          </w:tcPr>
          <w:p w14:paraId="6A1248C8" w14:textId="2AD686C9"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5515177B" w14:textId="77777777" w:rsidTr="68D4051A">
        <w:tc>
          <w:tcPr>
            <w:cnfStyle w:val="001000000000" w:firstRow="0" w:lastRow="0" w:firstColumn="1" w:lastColumn="0" w:oddVBand="0" w:evenVBand="0" w:oddHBand="0" w:evenHBand="0" w:firstRowFirstColumn="0" w:firstRowLastColumn="0" w:lastRowFirstColumn="0" w:lastRowLastColumn="0"/>
            <w:tcW w:w="975" w:type="dxa"/>
            <w:vMerge w:val="restart"/>
          </w:tcPr>
          <w:p w14:paraId="5861BD82" w14:textId="77777777" w:rsidR="0006109B" w:rsidRPr="007E4411" w:rsidRDefault="0006109B" w:rsidP="006B3650">
            <w:pPr>
              <w:pStyle w:val="Tablebodytext"/>
              <w:rPr>
                <w:rFonts w:ascii="Arial" w:hAnsi="Arial" w:cs="Arial"/>
              </w:rPr>
            </w:pPr>
            <w:r w:rsidRPr="007E4411">
              <w:rPr>
                <w:rFonts w:ascii="Arial" w:hAnsi="Arial" w:cs="Arial"/>
              </w:rPr>
              <w:t>G2</w:t>
            </w:r>
          </w:p>
        </w:tc>
        <w:tc>
          <w:tcPr>
            <w:tcW w:w="3569" w:type="dxa"/>
          </w:tcPr>
          <w:p w14:paraId="38B01272"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How the accountable authority executes their role in overseeing climate-related risks and opportunities.</w:t>
            </w:r>
          </w:p>
        </w:tc>
        <w:tc>
          <w:tcPr>
            <w:tcW w:w="4472" w:type="dxa"/>
          </w:tcPr>
          <w:p w14:paraId="55C080AC" w14:textId="02FDA238"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0451D1EC"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2532B116" w14:textId="77777777" w:rsidR="0006109B" w:rsidRPr="007E4411" w:rsidRDefault="0006109B" w:rsidP="006B3650">
            <w:pPr>
              <w:pStyle w:val="Tablebodytext"/>
              <w:rPr>
                <w:rFonts w:ascii="Arial" w:hAnsi="Arial" w:cs="Arial"/>
              </w:rPr>
            </w:pPr>
          </w:p>
        </w:tc>
        <w:tc>
          <w:tcPr>
            <w:tcW w:w="3569" w:type="dxa"/>
          </w:tcPr>
          <w:p w14:paraId="24C065F2" w14:textId="0E48299E" w:rsidR="0006109B" w:rsidRPr="007E4411" w:rsidRDefault="006B3650"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a)</w:t>
            </w:r>
            <w:r w:rsidR="0006109B" w:rsidRPr="007E4411">
              <w:rPr>
                <w:rFonts w:ascii="Arial" w:hAnsi="Arial" w:cs="Arial"/>
              </w:rPr>
              <w:t xml:space="preserve"> the responsibilities for climate-related risks and opportunities;</w:t>
            </w:r>
          </w:p>
        </w:tc>
        <w:tc>
          <w:tcPr>
            <w:tcW w:w="4472" w:type="dxa"/>
          </w:tcPr>
          <w:p w14:paraId="0413BD4C" w14:textId="5744DF9C"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52A3347B"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51EEFEE2" w14:textId="77777777" w:rsidR="0006109B" w:rsidRPr="007E4411" w:rsidRDefault="0006109B" w:rsidP="006B3650">
            <w:pPr>
              <w:pStyle w:val="Tablebodytext"/>
              <w:rPr>
                <w:rFonts w:ascii="Arial" w:hAnsi="Arial" w:cs="Arial"/>
              </w:rPr>
            </w:pPr>
          </w:p>
        </w:tc>
        <w:tc>
          <w:tcPr>
            <w:tcW w:w="3569" w:type="dxa"/>
          </w:tcPr>
          <w:p w14:paraId="58B50E20"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b) determining appropriate skills and competencies;</w:t>
            </w:r>
          </w:p>
        </w:tc>
        <w:tc>
          <w:tcPr>
            <w:tcW w:w="4472" w:type="dxa"/>
          </w:tcPr>
          <w:p w14:paraId="34EBBC4A" w14:textId="08435665"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378AC625"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5A21251A" w14:textId="77777777" w:rsidR="0006109B" w:rsidRPr="007E4411" w:rsidRDefault="0006109B" w:rsidP="006B3650">
            <w:pPr>
              <w:pStyle w:val="Tablebodytext"/>
              <w:rPr>
                <w:rFonts w:ascii="Arial" w:hAnsi="Arial" w:cs="Arial"/>
              </w:rPr>
            </w:pPr>
          </w:p>
        </w:tc>
        <w:tc>
          <w:tcPr>
            <w:tcW w:w="3569" w:type="dxa"/>
          </w:tcPr>
          <w:p w14:paraId="44994F28"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c) how the accountable authority is informed about climate-related risks and opportunities;</w:t>
            </w:r>
          </w:p>
        </w:tc>
        <w:tc>
          <w:tcPr>
            <w:tcW w:w="4472" w:type="dxa"/>
          </w:tcPr>
          <w:p w14:paraId="487E7CE9" w14:textId="1A560855"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6327B674"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61E04890" w14:textId="77777777" w:rsidR="0006109B" w:rsidRPr="007E4411" w:rsidRDefault="0006109B" w:rsidP="006B3650">
            <w:pPr>
              <w:pStyle w:val="Tablebodytext"/>
              <w:rPr>
                <w:rFonts w:ascii="Arial" w:hAnsi="Arial" w:cs="Arial"/>
              </w:rPr>
            </w:pPr>
          </w:p>
        </w:tc>
        <w:tc>
          <w:tcPr>
            <w:tcW w:w="3569" w:type="dxa"/>
          </w:tcPr>
          <w:p w14:paraId="744CB552"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d) oversight of the entity’s strategy and risk management processes and related policies;</w:t>
            </w:r>
          </w:p>
        </w:tc>
        <w:tc>
          <w:tcPr>
            <w:tcW w:w="4472" w:type="dxa"/>
          </w:tcPr>
          <w:p w14:paraId="2D564F2A" w14:textId="718A5BB9" w:rsidR="0006109B" w:rsidRPr="007E4411" w:rsidRDefault="0006109B" w:rsidP="00185296">
            <w:pPr>
              <w:cnfStyle w:val="000000000000" w:firstRow="0" w:lastRow="0" w:firstColumn="0" w:lastColumn="0" w:oddVBand="0" w:evenVBand="0" w:oddHBand="0" w:evenHBand="0" w:firstRowFirstColumn="0" w:firstRowLastColumn="0" w:lastRowFirstColumn="0" w:lastRowLastColumn="0"/>
              <w:rPr>
                <w:rFonts w:cs="Arial"/>
              </w:rPr>
            </w:pPr>
          </w:p>
        </w:tc>
      </w:tr>
      <w:tr w:rsidR="0006109B" w:rsidRPr="007E4411" w14:paraId="2A940729"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058F62D3" w14:textId="77777777" w:rsidR="0006109B" w:rsidRPr="007E4411" w:rsidRDefault="0006109B" w:rsidP="006B3650">
            <w:pPr>
              <w:pStyle w:val="Tablebodytext"/>
              <w:rPr>
                <w:rFonts w:ascii="Arial" w:hAnsi="Arial" w:cs="Arial"/>
              </w:rPr>
            </w:pPr>
          </w:p>
        </w:tc>
        <w:tc>
          <w:tcPr>
            <w:tcW w:w="3569" w:type="dxa"/>
          </w:tcPr>
          <w:p w14:paraId="68CEF498"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e) target setting and monitoring related to climate</w:t>
            </w:r>
            <w:r w:rsidRPr="007E4411">
              <w:rPr>
                <w:rFonts w:ascii="Arial" w:hAnsi="Arial" w:cs="Arial"/>
              </w:rPr>
              <w:noBreakHyphen/>
              <w:t>related risks and opportunities;</w:t>
            </w:r>
          </w:p>
        </w:tc>
        <w:tc>
          <w:tcPr>
            <w:tcW w:w="4472" w:type="dxa"/>
          </w:tcPr>
          <w:p w14:paraId="63540D6D" w14:textId="63EDC6E9"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46E38C55"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0BE36D57" w14:textId="77777777" w:rsidR="0006109B" w:rsidRPr="007E4411" w:rsidRDefault="0006109B" w:rsidP="006B3650">
            <w:pPr>
              <w:pStyle w:val="Tablebodytext"/>
              <w:rPr>
                <w:rFonts w:ascii="Arial" w:hAnsi="Arial" w:cs="Arial"/>
              </w:rPr>
            </w:pPr>
          </w:p>
        </w:tc>
        <w:tc>
          <w:tcPr>
            <w:tcW w:w="3569" w:type="dxa"/>
          </w:tcPr>
          <w:p w14:paraId="2EE653FC"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f) how risk oversight is deputised to a specific management</w:t>
            </w:r>
            <w:r w:rsidRPr="007E4411">
              <w:rPr>
                <w:rFonts w:ascii="Arial" w:hAnsi="Arial" w:cs="Arial"/>
              </w:rPr>
              <w:noBreakHyphen/>
              <w:t>level position or management level committee.</w:t>
            </w:r>
          </w:p>
        </w:tc>
        <w:tc>
          <w:tcPr>
            <w:tcW w:w="4472" w:type="dxa"/>
          </w:tcPr>
          <w:p w14:paraId="49330F6C" w14:textId="33F4B87B"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13AC7D4C" w14:textId="77777777" w:rsidTr="68D4051A">
        <w:tc>
          <w:tcPr>
            <w:cnfStyle w:val="001000000000" w:firstRow="0" w:lastRow="0" w:firstColumn="1" w:lastColumn="0" w:oddVBand="0" w:evenVBand="0" w:oddHBand="0" w:evenHBand="0" w:firstRowFirstColumn="0" w:firstRowLastColumn="0" w:lastRowFirstColumn="0" w:lastRowLastColumn="0"/>
            <w:tcW w:w="975" w:type="dxa"/>
            <w:vMerge w:val="restart"/>
          </w:tcPr>
          <w:p w14:paraId="228B7A83" w14:textId="77777777" w:rsidR="0006109B" w:rsidRPr="007E4411" w:rsidRDefault="0006109B" w:rsidP="006B3650">
            <w:pPr>
              <w:pStyle w:val="Tablebodytext"/>
              <w:rPr>
                <w:rFonts w:ascii="Arial" w:hAnsi="Arial" w:cs="Arial"/>
              </w:rPr>
            </w:pPr>
            <w:r w:rsidRPr="007E4411">
              <w:rPr>
                <w:rFonts w:ascii="Arial" w:hAnsi="Arial" w:cs="Arial"/>
              </w:rPr>
              <w:t>G3</w:t>
            </w:r>
          </w:p>
        </w:tc>
        <w:tc>
          <w:tcPr>
            <w:tcW w:w="3569" w:type="dxa"/>
          </w:tcPr>
          <w:p w14:paraId="5BE7C110"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Oversight and administration of governance processes, controls and procedures including:</w:t>
            </w:r>
          </w:p>
        </w:tc>
        <w:tc>
          <w:tcPr>
            <w:tcW w:w="4472" w:type="dxa"/>
            <w:vMerge w:val="restart"/>
          </w:tcPr>
          <w:p w14:paraId="792ECE47" w14:textId="4E56065F"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638AD551" w14:textId="77777777" w:rsidTr="68D4051A">
        <w:tc>
          <w:tcPr>
            <w:cnfStyle w:val="001000000000" w:firstRow="0" w:lastRow="0" w:firstColumn="1" w:lastColumn="0" w:oddVBand="0" w:evenVBand="0" w:oddHBand="0" w:evenHBand="0" w:firstRowFirstColumn="0" w:firstRowLastColumn="0" w:lastRowFirstColumn="0" w:lastRowLastColumn="0"/>
            <w:tcW w:w="975" w:type="dxa"/>
            <w:vMerge/>
          </w:tcPr>
          <w:p w14:paraId="5B4F77B1" w14:textId="77777777" w:rsidR="0006109B" w:rsidRPr="007E4411" w:rsidRDefault="0006109B" w:rsidP="006B3650">
            <w:pPr>
              <w:pStyle w:val="Tablebodytext"/>
              <w:rPr>
                <w:rFonts w:ascii="Arial" w:hAnsi="Arial" w:cs="Arial"/>
              </w:rPr>
            </w:pPr>
          </w:p>
        </w:tc>
        <w:tc>
          <w:tcPr>
            <w:tcW w:w="3569" w:type="dxa"/>
          </w:tcPr>
          <w:p w14:paraId="12AFAC27"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a) controls and procedures to support the oversight and management of climate-related risks and opportunities.</w:t>
            </w:r>
          </w:p>
        </w:tc>
        <w:tc>
          <w:tcPr>
            <w:tcW w:w="4472" w:type="dxa"/>
            <w:vMerge/>
          </w:tcPr>
          <w:p w14:paraId="786C0864" w14:textId="77777777" w:rsidR="0006109B" w:rsidRPr="007E4411" w:rsidRDefault="0006109B" w:rsidP="00185296">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06109B" w:rsidRPr="007E4411" w14:paraId="1A20D1D3"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60268154" w14:textId="77777777" w:rsidR="0006109B" w:rsidRPr="007E4411" w:rsidRDefault="0006109B" w:rsidP="006B3650">
            <w:pPr>
              <w:pStyle w:val="Tablebodytext"/>
              <w:rPr>
                <w:rFonts w:ascii="Arial" w:hAnsi="Arial" w:cs="Arial"/>
              </w:rPr>
            </w:pPr>
            <w:r w:rsidRPr="007E4411">
              <w:rPr>
                <w:rFonts w:ascii="Arial" w:hAnsi="Arial" w:cs="Arial"/>
              </w:rPr>
              <w:t>RM1</w:t>
            </w:r>
          </w:p>
        </w:tc>
        <w:tc>
          <w:tcPr>
            <w:tcW w:w="3569" w:type="dxa"/>
          </w:tcPr>
          <w:p w14:paraId="403C6BDA"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Progress in completing its organisation-wide climate risk and opportunity assessment.</w:t>
            </w:r>
          </w:p>
        </w:tc>
        <w:tc>
          <w:tcPr>
            <w:tcW w:w="4472" w:type="dxa"/>
          </w:tcPr>
          <w:p w14:paraId="69025918" w14:textId="553F537C" w:rsidR="0006109B" w:rsidRPr="007E4411" w:rsidRDefault="0006109B" w:rsidP="006B3650">
            <w:pPr>
              <w:pStyle w:val="Tablebody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6109B" w:rsidRPr="007E4411" w14:paraId="2DBA5A5B"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781E58E6" w14:textId="77777777" w:rsidR="0006109B" w:rsidRPr="007E4411" w:rsidRDefault="0006109B" w:rsidP="006B3650">
            <w:pPr>
              <w:pStyle w:val="Tablebodytext"/>
              <w:rPr>
                <w:rFonts w:ascii="Arial" w:hAnsi="Arial" w:cs="Arial"/>
              </w:rPr>
            </w:pPr>
            <w:r w:rsidRPr="007E4411">
              <w:rPr>
                <w:rFonts w:ascii="Arial" w:hAnsi="Arial" w:cs="Arial"/>
              </w:rPr>
              <w:t>MT1</w:t>
            </w:r>
          </w:p>
        </w:tc>
        <w:tc>
          <w:tcPr>
            <w:tcW w:w="3569" w:type="dxa"/>
          </w:tcPr>
          <w:p w14:paraId="3F457A2C"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The annual greenhouse gas emissions produced by the department.</w:t>
            </w:r>
          </w:p>
        </w:tc>
        <w:tc>
          <w:tcPr>
            <w:tcW w:w="4472" w:type="dxa"/>
          </w:tcPr>
          <w:p w14:paraId="52DAC4BD" w14:textId="7972A83D" w:rsidR="0006109B" w:rsidRPr="007E4411" w:rsidRDefault="0006109B" w:rsidP="00185296">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06109B" w:rsidRPr="007E4411" w14:paraId="7803DD2C"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61292AC6" w14:textId="77777777" w:rsidR="0006109B" w:rsidRPr="007E4411" w:rsidRDefault="0006109B" w:rsidP="006B3650">
            <w:pPr>
              <w:pStyle w:val="Tablebodytext"/>
              <w:rPr>
                <w:rFonts w:ascii="Arial" w:hAnsi="Arial" w:cs="Arial"/>
              </w:rPr>
            </w:pPr>
            <w:r w:rsidRPr="007E4411">
              <w:rPr>
                <w:rFonts w:ascii="Arial" w:hAnsi="Arial" w:cs="Arial"/>
              </w:rPr>
              <w:t>MT2</w:t>
            </w:r>
          </w:p>
        </w:tc>
        <w:tc>
          <w:tcPr>
            <w:tcW w:w="3569" w:type="dxa"/>
          </w:tcPr>
          <w:p w14:paraId="035AE658" w14:textId="77777777" w:rsidR="0006109B" w:rsidRPr="007E4411" w:rsidRDefault="0006109B" w:rsidP="006B3650">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The approach used to measure greenhouse gas emissions.</w:t>
            </w:r>
          </w:p>
        </w:tc>
        <w:tc>
          <w:tcPr>
            <w:tcW w:w="4472" w:type="dxa"/>
          </w:tcPr>
          <w:p w14:paraId="22CB9AF1" w14:textId="3EAD3774" w:rsidR="0006109B" w:rsidRPr="007E4411" w:rsidRDefault="0006109B" w:rsidP="00185296">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91608" w:rsidRPr="007E4411" w14:paraId="7FD6532F"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7F5C09DB" w14:textId="0485C84F" w:rsidR="00D91608" w:rsidRPr="007E4411" w:rsidRDefault="00D91608" w:rsidP="006B3650">
            <w:pPr>
              <w:pStyle w:val="Tablebodytext"/>
              <w:rPr>
                <w:rFonts w:ascii="Arial" w:hAnsi="Arial" w:cs="Arial"/>
              </w:rPr>
            </w:pPr>
            <w:r w:rsidRPr="007E4411">
              <w:rPr>
                <w:rFonts w:ascii="Arial" w:hAnsi="Arial" w:cs="Arial"/>
              </w:rPr>
              <w:t>MT3</w:t>
            </w:r>
          </w:p>
        </w:tc>
        <w:tc>
          <w:tcPr>
            <w:tcW w:w="3569" w:type="dxa"/>
          </w:tcPr>
          <w:p w14:paraId="08F308D4" w14:textId="62096FC5" w:rsidR="00D91608" w:rsidRPr="007E4411" w:rsidRDefault="007F6CB2" w:rsidP="007F6CB2">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Summary of the entities Emissions Reduction Plan.</w:t>
            </w:r>
          </w:p>
        </w:tc>
        <w:tc>
          <w:tcPr>
            <w:tcW w:w="4472" w:type="dxa"/>
          </w:tcPr>
          <w:p w14:paraId="6EA660A4" w14:textId="77777777" w:rsidR="00D91608" w:rsidRPr="007E4411" w:rsidRDefault="00D91608" w:rsidP="00185296">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91608" w:rsidRPr="007E4411" w14:paraId="339E7293" w14:textId="77777777" w:rsidTr="68D4051A">
        <w:tc>
          <w:tcPr>
            <w:cnfStyle w:val="001000000000" w:firstRow="0" w:lastRow="0" w:firstColumn="1" w:lastColumn="0" w:oddVBand="0" w:evenVBand="0" w:oddHBand="0" w:evenHBand="0" w:firstRowFirstColumn="0" w:firstRowLastColumn="0" w:lastRowFirstColumn="0" w:lastRowLastColumn="0"/>
            <w:tcW w:w="975" w:type="dxa"/>
          </w:tcPr>
          <w:p w14:paraId="0EF6C183" w14:textId="6AE8F6E6" w:rsidR="00D91608" w:rsidRPr="007E4411" w:rsidRDefault="00D91608" w:rsidP="006B3650">
            <w:pPr>
              <w:pStyle w:val="Tablebodytext"/>
              <w:rPr>
                <w:rFonts w:ascii="Arial" w:hAnsi="Arial" w:cs="Arial"/>
              </w:rPr>
            </w:pPr>
            <w:r w:rsidRPr="007E4411">
              <w:rPr>
                <w:rFonts w:ascii="Arial" w:hAnsi="Arial" w:cs="Arial"/>
              </w:rPr>
              <w:t>MT4</w:t>
            </w:r>
          </w:p>
        </w:tc>
        <w:tc>
          <w:tcPr>
            <w:tcW w:w="3569" w:type="dxa"/>
          </w:tcPr>
          <w:p w14:paraId="2B6A64CE" w14:textId="5C812E99" w:rsidR="00D91608" w:rsidRPr="007E4411" w:rsidRDefault="00CD14BD" w:rsidP="00CD14BD">
            <w:pPr>
              <w:pStyle w:val="Tablebody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4411">
              <w:rPr>
                <w:rFonts w:ascii="Arial" w:hAnsi="Arial" w:cs="Arial"/>
              </w:rPr>
              <w:t>Information on the APS Net Zero by 2030 target.</w:t>
            </w:r>
          </w:p>
        </w:tc>
        <w:tc>
          <w:tcPr>
            <w:tcW w:w="4472" w:type="dxa"/>
          </w:tcPr>
          <w:p w14:paraId="2BA9FEBD" w14:textId="77777777" w:rsidR="00D91608" w:rsidRPr="007E4411" w:rsidRDefault="00D91608" w:rsidP="00185296">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5D80CB20" w14:textId="77777777" w:rsidR="00D824AE" w:rsidRPr="007E4411" w:rsidRDefault="00D824AE">
      <w:pPr>
        <w:rPr>
          <w:rFonts w:cs="Arial"/>
        </w:rPr>
      </w:pPr>
    </w:p>
    <w:sectPr w:rsidR="00D824AE" w:rsidRPr="007E44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C652" w14:textId="77777777" w:rsidR="00444CC7" w:rsidRDefault="00444CC7" w:rsidP="0006109B">
      <w:pPr>
        <w:spacing w:before="0" w:after="0"/>
      </w:pPr>
      <w:r>
        <w:separator/>
      </w:r>
    </w:p>
  </w:endnote>
  <w:endnote w:type="continuationSeparator" w:id="0">
    <w:p w14:paraId="79A7108F" w14:textId="77777777" w:rsidR="00444CC7" w:rsidRDefault="00444CC7" w:rsidP="0006109B">
      <w:pPr>
        <w:spacing w:before="0" w:after="0"/>
      </w:pPr>
      <w:r>
        <w:continuationSeparator/>
      </w:r>
    </w:p>
  </w:endnote>
  <w:endnote w:type="continuationNotice" w:id="1">
    <w:p w14:paraId="5E06AE5C" w14:textId="77777777" w:rsidR="00444CC7" w:rsidRDefault="00444C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3E97" w14:textId="77777777" w:rsidR="00444CC7" w:rsidRDefault="00444CC7" w:rsidP="0006109B">
      <w:pPr>
        <w:spacing w:before="0" w:after="0"/>
      </w:pPr>
      <w:r>
        <w:separator/>
      </w:r>
    </w:p>
  </w:footnote>
  <w:footnote w:type="continuationSeparator" w:id="0">
    <w:p w14:paraId="5A1552C5" w14:textId="77777777" w:rsidR="00444CC7" w:rsidRDefault="00444CC7" w:rsidP="0006109B">
      <w:pPr>
        <w:spacing w:before="0" w:after="0"/>
      </w:pPr>
      <w:r>
        <w:continuationSeparator/>
      </w:r>
    </w:p>
  </w:footnote>
  <w:footnote w:type="continuationNotice" w:id="1">
    <w:p w14:paraId="69A8CF0A" w14:textId="77777777" w:rsidR="00444CC7" w:rsidRDefault="00444CC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C078C"/>
    <w:multiLevelType w:val="multilevel"/>
    <w:tmpl w:val="0C09001D"/>
    <w:styleLink w:val="Style1"/>
    <w:lvl w:ilvl="0">
      <w:start w:val="1"/>
      <w:numFmt w:val="lowerLetter"/>
      <w:lvlText w:val="%1)"/>
      <w:lvlJc w:val="left"/>
      <w:pPr>
        <w:ind w:left="360" w:hanging="360"/>
      </w:pPr>
      <w:rPr>
        <w:rFonts w:asciiTheme="minorHAnsi" w:eastAsiaTheme="minorEastAsia" w:hAnsiTheme="minorHAnsi" w:cstheme="minorHAnsi"/>
      </w:rPr>
    </w:lvl>
    <w:lvl w:ilvl="1">
      <w:start w:val="1"/>
      <w:numFmt w:val="lowerRoman"/>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heme="minorHAnsi" w:eastAsiaTheme="minorEastAsia" w:hAnsiTheme="minorHAnsi" w:cstheme="minorHAnsi"/>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953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9B"/>
    <w:rsid w:val="000006DF"/>
    <w:rsid w:val="000110CB"/>
    <w:rsid w:val="0001238E"/>
    <w:rsid w:val="00017087"/>
    <w:rsid w:val="00036ED1"/>
    <w:rsid w:val="00044D8C"/>
    <w:rsid w:val="0006109B"/>
    <w:rsid w:val="00063572"/>
    <w:rsid w:val="000878B9"/>
    <w:rsid w:val="000C3835"/>
    <w:rsid w:val="00101DA2"/>
    <w:rsid w:val="0013622A"/>
    <w:rsid w:val="001407B6"/>
    <w:rsid w:val="00185296"/>
    <w:rsid w:val="001B10B6"/>
    <w:rsid w:val="001F1036"/>
    <w:rsid w:val="001F4662"/>
    <w:rsid w:val="001F6279"/>
    <w:rsid w:val="002338C0"/>
    <w:rsid w:val="002A058E"/>
    <w:rsid w:val="00326800"/>
    <w:rsid w:val="00340A3E"/>
    <w:rsid w:val="0039171D"/>
    <w:rsid w:val="003A4F11"/>
    <w:rsid w:val="00444CC7"/>
    <w:rsid w:val="00473B96"/>
    <w:rsid w:val="004D7BBD"/>
    <w:rsid w:val="004E1273"/>
    <w:rsid w:val="005006BF"/>
    <w:rsid w:val="00522177"/>
    <w:rsid w:val="005752E5"/>
    <w:rsid w:val="005D1BB4"/>
    <w:rsid w:val="00600CD9"/>
    <w:rsid w:val="00612A36"/>
    <w:rsid w:val="00642550"/>
    <w:rsid w:val="006B3650"/>
    <w:rsid w:val="006D018C"/>
    <w:rsid w:val="006D7E0B"/>
    <w:rsid w:val="00753073"/>
    <w:rsid w:val="007B0EC3"/>
    <w:rsid w:val="007E4411"/>
    <w:rsid w:val="007E537B"/>
    <w:rsid w:val="007F59F6"/>
    <w:rsid w:val="007F6CB2"/>
    <w:rsid w:val="00844333"/>
    <w:rsid w:val="008602AA"/>
    <w:rsid w:val="00886708"/>
    <w:rsid w:val="008B6E7A"/>
    <w:rsid w:val="008D037E"/>
    <w:rsid w:val="008F75B1"/>
    <w:rsid w:val="00906CA6"/>
    <w:rsid w:val="009176C4"/>
    <w:rsid w:val="0093189E"/>
    <w:rsid w:val="009608AC"/>
    <w:rsid w:val="00984CEB"/>
    <w:rsid w:val="009A7A1B"/>
    <w:rsid w:val="009E1402"/>
    <w:rsid w:val="009E6F5A"/>
    <w:rsid w:val="00A177FE"/>
    <w:rsid w:val="00A476FA"/>
    <w:rsid w:val="00A91115"/>
    <w:rsid w:val="00A92A15"/>
    <w:rsid w:val="00AF53D1"/>
    <w:rsid w:val="00B00FB4"/>
    <w:rsid w:val="00B55E45"/>
    <w:rsid w:val="00BB4BD4"/>
    <w:rsid w:val="00BF4E40"/>
    <w:rsid w:val="00CB56B5"/>
    <w:rsid w:val="00CD14BD"/>
    <w:rsid w:val="00CE2387"/>
    <w:rsid w:val="00D11E33"/>
    <w:rsid w:val="00D824AE"/>
    <w:rsid w:val="00D83C7F"/>
    <w:rsid w:val="00D91608"/>
    <w:rsid w:val="00DD6C21"/>
    <w:rsid w:val="00DE2378"/>
    <w:rsid w:val="00DF7A8B"/>
    <w:rsid w:val="00E21B3F"/>
    <w:rsid w:val="00E463F8"/>
    <w:rsid w:val="00E62FB8"/>
    <w:rsid w:val="00E87A30"/>
    <w:rsid w:val="00E9220A"/>
    <w:rsid w:val="00F23171"/>
    <w:rsid w:val="00F50A32"/>
    <w:rsid w:val="00F7421A"/>
    <w:rsid w:val="00FA686C"/>
    <w:rsid w:val="00FF0B6E"/>
    <w:rsid w:val="102D73C5"/>
    <w:rsid w:val="373F4CA9"/>
    <w:rsid w:val="4D688BE4"/>
    <w:rsid w:val="68D40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E9E7"/>
  <w15:chartTrackingRefBased/>
  <w15:docId w15:val="{989FBE45-353D-413D-8E05-38CC2F2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6109B"/>
    <w:pPr>
      <w:spacing w:before="120" w:after="120" w:line="240" w:lineRule="auto"/>
    </w:pPr>
    <w:rPr>
      <w:rFonts w:ascii="Arial" w:hAnsi="Arial"/>
      <w:kern w:val="0"/>
      <w:sz w:val="20"/>
      <w14:ligatures w14:val="none"/>
    </w:rPr>
  </w:style>
  <w:style w:type="paragraph" w:styleId="Heading1">
    <w:name w:val="heading 1"/>
    <w:basedOn w:val="Normal"/>
    <w:next w:val="Normal"/>
    <w:link w:val="Heading1Char"/>
    <w:uiPriority w:val="9"/>
    <w:qFormat/>
    <w:rsid w:val="009A7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7A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9A7A1B"/>
    <w:pPr>
      <w:keepNext/>
      <w:keepLines/>
      <w:spacing w:before="240" w:after="240"/>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E2387"/>
    <w:pPr>
      <w:numPr>
        <w:numId w:val="1"/>
      </w:numPr>
    </w:pPr>
  </w:style>
  <w:style w:type="paragraph" w:customStyle="1" w:styleId="BodyText1">
    <w:name w:val="Body Text 1"/>
    <w:autoRedefine/>
    <w:uiPriority w:val="2"/>
    <w:qFormat/>
    <w:rsid w:val="008B6E7A"/>
    <w:pPr>
      <w:spacing w:before="120" w:after="120" w:line="276" w:lineRule="auto"/>
    </w:pPr>
    <w:rPr>
      <w:kern w:val="0"/>
      <w14:ligatures w14:val="none"/>
    </w:rPr>
  </w:style>
  <w:style w:type="table" w:styleId="TableGrid">
    <w:name w:val="Table Grid"/>
    <w:basedOn w:val="TableNormal"/>
    <w:uiPriority w:val="39"/>
    <w:rsid w:val="000610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6109B"/>
    <w:rPr>
      <w:rFonts w:asciiTheme="minorHAnsi" w:hAnsiTheme="minorHAnsi"/>
      <w:color w:val="0070C0"/>
      <w:sz w:val="22"/>
      <w:u w:val="single"/>
    </w:rPr>
  </w:style>
  <w:style w:type="paragraph" w:customStyle="1" w:styleId="Tableheading">
    <w:name w:val="Table heading"/>
    <w:next w:val="Normal"/>
    <w:link w:val="TableheadingChar"/>
    <w:autoRedefine/>
    <w:uiPriority w:val="11"/>
    <w:qFormat/>
    <w:rsid w:val="00D83C7F"/>
    <w:pPr>
      <w:spacing w:before="120" w:after="120" w:line="240" w:lineRule="auto"/>
    </w:pPr>
    <w:rPr>
      <w:rFonts w:asciiTheme="majorHAnsi" w:hAnsiTheme="majorHAnsi"/>
      <w:bCs/>
      <w:color w:val="000000" w:themeColor="text1"/>
      <w:kern w:val="0"/>
      <w14:ligatures w14:val="none"/>
    </w:rPr>
  </w:style>
  <w:style w:type="paragraph" w:customStyle="1" w:styleId="Tablebodytext">
    <w:name w:val="Table body text"/>
    <w:autoRedefine/>
    <w:uiPriority w:val="12"/>
    <w:qFormat/>
    <w:rsid w:val="006B3650"/>
    <w:pPr>
      <w:spacing w:before="60" w:after="60" w:line="240" w:lineRule="auto"/>
      <w:jc w:val="center"/>
    </w:pPr>
    <w:rPr>
      <w:color w:val="000000" w:themeColor="text1"/>
      <w:kern w:val="0"/>
      <w:sz w:val="18"/>
      <w14:ligatures w14:val="none"/>
    </w:rPr>
  </w:style>
  <w:style w:type="character" w:customStyle="1" w:styleId="TableheadingChar">
    <w:name w:val="Table heading Char"/>
    <w:basedOn w:val="DefaultParagraphFont"/>
    <w:link w:val="Tableheading"/>
    <w:uiPriority w:val="11"/>
    <w:rsid w:val="00D83C7F"/>
    <w:rPr>
      <w:rFonts w:asciiTheme="majorHAnsi" w:hAnsiTheme="majorHAnsi"/>
      <w:bCs/>
      <w:color w:val="000000" w:themeColor="text1"/>
      <w:kern w:val="0"/>
      <w14:ligatures w14:val="none"/>
    </w:rPr>
  </w:style>
  <w:style w:type="character" w:styleId="CommentReference">
    <w:name w:val="annotation reference"/>
    <w:basedOn w:val="DefaultParagraphFont"/>
    <w:uiPriority w:val="99"/>
    <w:semiHidden/>
    <w:unhideWhenUsed/>
    <w:rsid w:val="0006109B"/>
    <w:rPr>
      <w:sz w:val="16"/>
      <w:szCs w:val="16"/>
    </w:rPr>
  </w:style>
  <w:style w:type="paragraph" w:styleId="CommentText">
    <w:name w:val="annotation text"/>
    <w:basedOn w:val="Normal"/>
    <w:link w:val="CommentTextChar"/>
    <w:uiPriority w:val="99"/>
    <w:unhideWhenUsed/>
    <w:rsid w:val="0006109B"/>
    <w:rPr>
      <w:szCs w:val="20"/>
    </w:rPr>
  </w:style>
  <w:style w:type="character" w:customStyle="1" w:styleId="CommentTextChar">
    <w:name w:val="Comment Text Char"/>
    <w:basedOn w:val="DefaultParagraphFont"/>
    <w:link w:val="CommentText"/>
    <w:uiPriority w:val="99"/>
    <w:rsid w:val="0006109B"/>
    <w:rPr>
      <w:rFonts w:ascii="Arial" w:hAnsi="Arial"/>
      <w:kern w:val="0"/>
      <w:sz w:val="20"/>
      <w:szCs w:val="20"/>
      <w14:ligatures w14:val="none"/>
    </w:rPr>
  </w:style>
  <w:style w:type="table" w:styleId="GridTable5Dark-Accent1">
    <w:name w:val="Grid Table 5 Dark Accent 1"/>
    <w:basedOn w:val="TableNormal"/>
    <w:uiPriority w:val="50"/>
    <w:rsid w:val="000610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5">
    <w:name w:val="List Table 3 Accent 5"/>
    <w:basedOn w:val="TableNormal"/>
    <w:uiPriority w:val="48"/>
    <w:rsid w:val="0006109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
    <w:name w:val="List Table 3"/>
    <w:basedOn w:val="TableNormal"/>
    <w:uiPriority w:val="48"/>
    <w:rsid w:val="0006109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0610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06109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09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6109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6109B"/>
    <w:rPr>
      <w:rFonts w:eastAsiaTheme="minorEastAsia"/>
      <w:color w:val="5A5A5A" w:themeColor="text1" w:themeTint="A5"/>
      <w:spacing w:val="15"/>
      <w:kern w:val="0"/>
      <w14:ligatures w14:val="none"/>
    </w:rPr>
  </w:style>
  <w:style w:type="paragraph" w:styleId="CommentSubject">
    <w:name w:val="annotation subject"/>
    <w:basedOn w:val="CommentText"/>
    <w:next w:val="CommentText"/>
    <w:link w:val="CommentSubjectChar"/>
    <w:uiPriority w:val="99"/>
    <w:semiHidden/>
    <w:unhideWhenUsed/>
    <w:rsid w:val="00D91608"/>
    <w:rPr>
      <w:b/>
      <w:bCs/>
    </w:rPr>
  </w:style>
  <w:style w:type="character" w:customStyle="1" w:styleId="CommentSubjectChar">
    <w:name w:val="Comment Subject Char"/>
    <w:basedOn w:val="CommentTextChar"/>
    <w:link w:val="CommentSubject"/>
    <w:uiPriority w:val="99"/>
    <w:semiHidden/>
    <w:rsid w:val="00D91608"/>
    <w:rPr>
      <w:rFonts w:ascii="Arial" w:hAnsi="Arial"/>
      <w:b/>
      <w:bCs/>
      <w:kern w:val="0"/>
      <w:sz w:val="20"/>
      <w:szCs w:val="20"/>
      <w14:ligatures w14:val="none"/>
    </w:rPr>
  </w:style>
  <w:style w:type="character" w:customStyle="1" w:styleId="Heading3Char">
    <w:name w:val="Heading 3 Char"/>
    <w:basedOn w:val="DefaultParagraphFont"/>
    <w:link w:val="Heading3"/>
    <w:rsid w:val="009A7A1B"/>
    <w:rPr>
      <w:rFonts w:eastAsiaTheme="majorEastAsia" w:cstheme="majorBidi"/>
      <w:b/>
      <w:kern w:val="0"/>
      <w:sz w:val="24"/>
      <w:szCs w:val="24"/>
      <w14:ligatures w14:val="none"/>
    </w:rPr>
  </w:style>
  <w:style w:type="character" w:customStyle="1" w:styleId="Heading1Char">
    <w:name w:val="Heading 1 Char"/>
    <w:basedOn w:val="DefaultParagraphFont"/>
    <w:link w:val="Heading1"/>
    <w:uiPriority w:val="9"/>
    <w:rsid w:val="009A7A1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A7A1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semiHidden/>
    <w:unhideWhenUsed/>
    <w:rsid w:val="00E87A30"/>
    <w:pPr>
      <w:tabs>
        <w:tab w:val="center" w:pos="4513"/>
        <w:tab w:val="right" w:pos="9026"/>
      </w:tabs>
      <w:spacing w:before="0" w:after="0"/>
    </w:pPr>
  </w:style>
  <w:style w:type="character" w:customStyle="1" w:styleId="HeaderChar">
    <w:name w:val="Header Char"/>
    <w:basedOn w:val="DefaultParagraphFont"/>
    <w:link w:val="Header"/>
    <w:uiPriority w:val="99"/>
    <w:semiHidden/>
    <w:rsid w:val="00E87A30"/>
    <w:rPr>
      <w:rFonts w:ascii="Arial" w:hAnsi="Arial"/>
      <w:kern w:val="0"/>
      <w:sz w:val="20"/>
      <w14:ligatures w14:val="none"/>
    </w:rPr>
  </w:style>
  <w:style w:type="paragraph" w:styleId="Footer">
    <w:name w:val="footer"/>
    <w:basedOn w:val="Normal"/>
    <w:link w:val="FooterChar"/>
    <w:uiPriority w:val="99"/>
    <w:semiHidden/>
    <w:unhideWhenUsed/>
    <w:rsid w:val="00E87A30"/>
    <w:pPr>
      <w:tabs>
        <w:tab w:val="center" w:pos="4513"/>
        <w:tab w:val="right" w:pos="9026"/>
      </w:tabs>
      <w:spacing w:before="0" w:after="0"/>
    </w:pPr>
  </w:style>
  <w:style w:type="character" w:customStyle="1" w:styleId="FooterChar">
    <w:name w:val="Footer Char"/>
    <w:basedOn w:val="DefaultParagraphFont"/>
    <w:link w:val="Footer"/>
    <w:uiPriority w:val="99"/>
    <w:semiHidden/>
    <w:rsid w:val="00E87A30"/>
    <w:rPr>
      <w:rFonts w:ascii="Arial" w:hAnsi="Arial"/>
      <w:kern w:val="0"/>
      <w:sz w:val="20"/>
      <w14:ligatures w14:val="none"/>
    </w:rPr>
  </w:style>
  <w:style w:type="paragraph" w:styleId="Revision">
    <w:name w:val="Revision"/>
    <w:hidden/>
    <w:uiPriority w:val="99"/>
    <w:semiHidden/>
    <w:rsid w:val="008F75B1"/>
    <w:pPr>
      <w:spacing w:after="0" w:line="240" w:lineRule="auto"/>
    </w:pPr>
    <w:rPr>
      <w:rFonts w:ascii="Arial" w:hAnsi="Arial"/>
      <w:kern w:val="0"/>
      <w:sz w:val="20"/>
      <w14:ligatures w14:val="none"/>
    </w:rPr>
  </w:style>
  <w:style w:type="character" w:styleId="UnresolvedMention">
    <w:name w:val="Unresolved Mention"/>
    <w:basedOn w:val="DefaultParagraphFont"/>
    <w:uiPriority w:val="99"/>
    <w:semiHidden/>
    <w:unhideWhenUsed/>
    <w:rsid w:val="00600CD9"/>
    <w:rPr>
      <w:color w:val="605E5C"/>
      <w:shd w:val="clear" w:color="auto" w:fill="E1DFDD"/>
    </w:rPr>
  </w:style>
  <w:style w:type="character" w:styleId="FollowedHyperlink">
    <w:name w:val="FollowedHyperlink"/>
    <w:basedOn w:val="DefaultParagraphFont"/>
    <w:uiPriority w:val="99"/>
    <w:semiHidden/>
    <w:unhideWhenUsed/>
    <w:rsid w:val="00600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2024-04/commonwealth-climate-disclosure-pilot-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ance.gov.au/sites/default/files/2024-04/commonwealth-climate-disclosure-pilot-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sites/default/files/2024-04/commonwealth-climate-disclosure-pilot-guidan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nance.gov.au/sites/default/files/2024-04/commonwealth-climate-disclosure-pilot-guidance.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gov.au/sites/default/files/2024-04/commonwealth-climate-disclosure-pilot-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48" ma:contentTypeDescription="Create a new document." ma:contentTypeScope="" ma:versionID="675c83f1a232631505a62147eca410bb">
  <xsd:schema xmlns:xsd="http://www.w3.org/2001/XMLSchema" xmlns:xs="http://www.w3.org/2001/XMLSchema" xmlns:p="http://schemas.microsoft.com/office/2006/metadata/properties" xmlns:ns2="a334ba3b-e131-42d3-95f3-2728f5a41884" xmlns:ns3="be197717-4ab4-4766-95be-e743bd2101d5" xmlns:ns4="bc0ad435-d67a-4fe2-9b47-ae50c5996250" xmlns:ns5="6a7e9632-768a-49bf-85ac-c69233ab2a52" targetNamespace="http://schemas.microsoft.com/office/2006/metadata/properties" ma:root="true" ma:fieldsID="5e0324725c93f14b62086321a292dc1b" ns2:_="" ns3:_="" ns4:_="" ns5:_="">
    <xsd:import namespace="a334ba3b-e131-42d3-95f3-2728f5a41884"/>
    <xsd:import namespace="be197717-4ab4-4766-95be-e743bd2101d5"/>
    <xsd:import namespace="bc0ad435-d67a-4fe2-9b47-ae50c5996250"/>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3:MediaLengthInSeconds" minOccurs="0"/>
                <xsd:element ref="ns5:_dlc_DocId" minOccurs="0"/>
                <xsd:element ref="ns5:_dlc_DocIdUrl" minOccurs="0"/>
                <xsd:element ref="ns5:_dlc_DocIdPersistId" minOccurs="0"/>
                <xsd:element ref="ns3:MediaServiceDateTaken"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_Flow_SignoffStatu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38;#APS Net Zero Unit|3a7b3834-5ac8-43b7-9496-8f951dc2a7fa"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29</Value>
      <Value>38</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APS Net Zero Unit</TermName>
          <TermId xmlns="http://schemas.microsoft.com/office/infopath/2007/PartnerControls">3a7b3834-5ac8-43b7-9496-8f951dc2a7fa</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_dlc_DocId xmlns="6a7e9632-768a-49bf-85ac-c69233ab2a52">FIN11911-160868515-20293</_dlc_DocId>
    <_dlc_DocIdUrl xmlns="6a7e9632-768a-49bf-85ac-c69233ab2a52">
      <Url>https://financegovau.sharepoint.com/sites/M365_DoF_51011911/_layouts/15/DocIdRedir.aspx?ID=FIN11911-160868515-20293</Url>
      <Description>FIN11911-160868515-20293</Description>
    </_dlc_DocIdUrl>
  </documentManagement>
</p:properties>
</file>

<file path=customXml/itemProps1.xml><?xml version="1.0" encoding="utf-8"?>
<ds:datastoreItem xmlns:ds="http://schemas.openxmlformats.org/officeDocument/2006/customXml" ds:itemID="{7DA0DB76-949F-4F62-897A-40469CF719D1}">
  <ds:schemaRefs>
    <ds:schemaRef ds:uri="Microsoft.SharePoint.Taxonomy.ContentTypeSync"/>
  </ds:schemaRefs>
</ds:datastoreItem>
</file>

<file path=customXml/itemProps2.xml><?xml version="1.0" encoding="utf-8"?>
<ds:datastoreItem xmlns:ds="http://schemas.openxmlformats.org/officeDocument/2006/customXml" ds:itemID="{5D6A7894-2F74-42AE-B3CA-1EAC9CF5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be197717-4ab4-4766-95be-e743bd2101d5"/>
    <ds:schemaRef ds:uri="bc0ad435-d67a-4fe2-9b47-ae50c5996250"/>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AF98-99CC-4B0A-A3CC-416BDEAB4D47}">
  <ds:schemaRefs>
    <ds:schemaRef ds:uri="http://schemas.microsoft.com/sharepoint/events"/>
  </ds:schemaRefs>
</ds:datastoreItem>
</file>

<file path=customXml/itemProps4.xml><?xml version="1.0" encoding="utf-8"?>
<ds:datastoreItem xmlns:ds="http://schemas.openxmlformats.org/officeDocument/2006/customXml" ds:itemID="{1F457071-6F87-4046-9284-A2724A45D92B}">
  <ds:schemaRefs>
    <ds:schemaRef ds:uri="http://schemas.microsoft.com/sharepoint/v3/contenttype/forms"/>
  </ds:schemaRefs>
</ds:datastoreItem>
</file>

<file path=customXml/itemProps5.xml><?xml version="1.0" encoding="utf-8"?>
<ds:datastoreItem xmlns:ds="http://schemas.openxmlformats.org/officeDocument/2006/customXml" ds:itemID="{40AF8F73-D7E9-493F-A73F-F6AC5AD6E28D}">
  <ds:schemaRefs>
    <ds:schemaRef ds:uri="http://schemas.microsoft.com/office/2006/metadata/properties"/>
    <ds:schemaRef ds:uri="http://schemas.microsoft.com/office/infopath/2007/PartnerControls"/>
    <ds:schemaRef ds:uri="a334ba3b-e131-42d3-95f3-2728f5a41884"/>
    <ds:schemaRef ds:uri="be197717-4ab4-4766-95be-e743bd2101d5"/>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2484</Characters>
  <Application>Microsoft Office Word</Application>
  <DocSecurity>0</DocSecurity>
  <Lines>100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Climate Disclosure Pilot Index</dc:title>
  <dc:subject/>
  <dc:creator>Department of Finance</dc:creator>
  <cp:keywords>[SEC=OFFICIAL]</cp:keywords>
  <dc:description/>
  <cp:lastModifiedBy>Truong, Minh</cp:lastModifiedBy>
  <cp:revision>5</cp:revision>
  <dcterms:created xsi:type="dcterms:W3CDTF">2024-05-13T03:15:00Z</dcterms:created>
  <dcterms:modified xsi:type="dcterms:W3CDTF">2024-05-14T03:50:00Z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v=2022.1;a=SHA256;h=21DF05DFC6BDA58BDDFE44BE9D007F5F5F5A99427ED7B9307E9E0D1516EEF61F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2024-03-27T02:33:53Z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3F9C3930C95A80FE14E5E569A96906FECB80D374DD6F0E6814A1821B290CD60B</vt:lpwstr>
  </property>
  <property fmtid="{D5CDD505-2E9C-101B-9397-08002B2CF9AE}" pid="16" name="MSIP_Label_87d6481e-ccdd-4ab6-8b26-05a0df5699e7_SetDate">
    <vt:lpwstr>2024-03-27T02:33:53Z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3eafb3252cbe4d51b55555f55dd9e8fc</vt:lpwstr>
  </property>
  <property fmtid="{D5CDD505-2E9C-101B-9397-08002B2CF9AE}" pid="20" name="PM_InsertionValue">
    <vt:lpwstr>OFFICIAL</vt:lpwstr>
  </property>
  <property fmtid="{D5CDD505-2E9C-101B-9397-08002B2CF9AE}" pid="21" name="PM_Originator_Hash_SHA1">
    <vt:lpwstr>C4E8576B6510B1FB5DEF9BBC04AB3A64E004CBD8</vt:lpwstr>
  </property>
  <property fmtid="{D5CDD505-2E9C-101B-9397-08002B2CF9AE}" pid="22" name="PM_DisplayValueSecClassificationWithQualifier">
    <vt:lpwstr>OFFICIAL</vt:lpwstr>
  </property>
  <property fmtid="{D5CDD505-2E9C-101B-9397-08002B2CF9AE}" pid="23" name="PM_Originating_FileId">
    <vt:lpwstr>28CDB58EE10641EE9E90D1009FD01CB3</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9539E418B29086048F1EFFAF7C7D2E07</vt:lpwstr>
  </property>
  <property fmtid="{D5CDD505-2E9C-101B-9397-08002B2CF9AE}" pid="32" name="PM_Hash_Salt">
    <vt:lpwstr>C34973AA422F81CEA2038BC65F0E3AB7</vt:lpwstr>
  </property>
  <property fmtid="{D5CDD505-2E9C-101B-9397-08002B2CF9AE}" pid="33" name="PM_Hash_SHA1">
    <vt:lpwstr>FCFF1C4E79E0B1151245A5C30F7EC9B813763CC8</vt:lpwstr>
  </property>
  <property fmtid="{D5CDD505-2E9C-101B-9397-08002B2CF9AE}" pid="34" name="ContentTypeId">
    <vt:lpwstr>0x010100B7B479F47583304BA8B631462CC772D700067E51C991F65340AC36B9604578C197</vt:lpwstr>
  </property>
  <property fmtid="{D5CDD505-2E9C-101B-9397-08002B2CF9AE}" pid="35" name="TaxKeyword">
    <vt:lpwstr>29;#[SEC=OFFICIAL]|07351cc0-de73-4913-be2f-56f124cbf8bb</vt:lpwstr>
  </property>
  <property fmtid="{D5CDD505-2E9C-101B-9397-08002B2CF9AE}" pid="36" name="_dlc_DocIdItemGuid">
    <vt:lpwstr>7d665a8f-72b7-4c72-9d28-bc5f4ee2f00b</vt:lpwstr>
  </property>
  <property fmtid="{D5CDD505-2E9C-101B-9397-08002B2CF9AE}" pid="37" name="About Entity">
    <vt:lpwstr>1;#Department of Finance|fd660e8f-8f31-49bd-92a3-d31d4da31afe</vt:lpwstr>
  </property>
  <property fmtid="{D5CDD505-2E9C-101B-9397-08002B2CF9AE}" pid="38" name="Initiating Entity">
    <vt:lpwstr>1;#Department of Finance|fd660e8f-8f31-49bd-92a3-d31d4da31afe</vt:lpwstr>
  </property>
  <property fmtid="{D5CDD505-2E9C-101B-9397-08002B2CF9AE}" pid="39" name="Organisation Unit">
    <vt:lpwstr>38;#APS Net Zero Unit|3a7b3834-5ac8-43b7-9496-8f951dc2a7fa</vt:lpwstr>
  </property>
  <property fmtid="{D5CDD505-2E9C-101B-9397-08002B2CF9AE}" pid="40" name="MediaServiceImageTags">
    <vt:lpwstr/>
  </property>
  <property fmtid="{D5CDD505-2E9C-101B-9397-08002B2CF9AE}" pid="41" name="Function and Activity">
    <vt:lpwstr/>
  </property>
  <property fmtid="{D5CDD505-2E9C-101B-9397-08002B2CF9AE}" pid="42" name="PM_SecurityClassification_Prev">
    <vt:lpwstr>OFFICIAL</vt:lpwstr>
  </property>
  <property fmtid="{D5CDD505-2E9C-101B-9397-08002B2CF9AE}" pid="43" name="PM_Qualifier_Prev">
    <vt:lpwstr/>
  </property>
</Properties>
</file>