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D30E" w14:textId="77777777" w:rsidR="002B3FB4" w:rsidRDefault="002B3FB4" w:rsidP="002B3FB4">
      <w:pPr>
        <w:pStyle w:val="PartHeading"/>
      </w:pPr>
    </w:p>
    <w:p w14:paraId="3D7082F3" w14:textId="77777777" w:rsidR="002B3FB4" w:rsidRDefault="002B3FB4" w:rsidP="002B3FB4">
      <w:pPr>
        <w:pStyle w:val="PartHeading"/>
      </w:pPr>
    </w:p>
    <w:p w14:paraId="1D3AEB45" w14:textId="77777777" w:rsidR="002B3FB4" w:rsidRDefault="002B3FB4" w:rsidP="002B3FB4">
      <w:pPr>
        <w:pStyle w:val="PartHeading"/>
      </w:pPr>
    </w:p>
    <w:p w14:paraId="79BBB44A" w14:textId="7E97B656" w:rsidR="002B3FB4" w:rsidRPr="005A7C0B" w:rsidRDefault="002B3FB4" w:rsidP="002B3FB4">
      <w:pPr>
        <w:pStyle w:val="PartHeading"/>
      </w:pPr>
      <w:r w:rsidRPr="00831D45">
        <w:t>Independent Parliamentary Expenses Authority</w:t>
      </w:r>
    </w:p>
    <w:p w14:paraId="310069DA" w14:textId="77777777" w:rsidR="002B3FB4" w:rsidRDefault="002B3FB4" w:rsidP="002B3FB4">
      <w:pPr>
        <w:pStyle w:val="PartHeading"/>
      </w:pPr>
    </w:p>
    <w:p w14:paraId="77E9AA7B" w14:textId="77777777" w:rsidR="002B3FB4" w:rsidRDefault="002B3FB4" w:rsidP="002B3FB4">
      <w:pPr>
        <w:pStyle w:val="PartHeading-TOC"/>
      </w:pPr>
      <w:bookmarkStart w:id="0" w:name="_Toc165925543"/>
      <w:bookmarkStart w:id="1" w:name="_Toc166152818"/>
      <w:bookmarkStart w:id="2" w:name="_Toc166155124"/>
      <w:r>
        <w:t>Entity resources and planned performance</w:t>
      </w:r>
      <w:bookmarkEnd w:id="0"/>
      <w:bookmarkEnd w:id="1"/>
      <w:bookmarkEnd w:id="2"/>
    </w:p>
    <w:p w14:paraId="73677728" w14:textId="77777777" w:rsidR="006E137E" w:rsidRDefault="006E137E" w:rsidP="006E137E">
      <w:pPr>
        <w:pStyle w:val="ContentsHeading"/>
        <w:sectPr w:rsidR="006E137E" w:rsidSect="002003E0">
          <w:headerReference w:type="even" r:id="rId14"/>
          <w:headerReference w:type="default" r:id="rId15"/>
          <w:footerReference w:type="even" r:id="rId16"/>
          <w:footerReference w:type="default" r:id="rId17"/>
          <w:footerReference w:type="first" r:id="rId18"/>
          <w:type w:val="oddPage"/>
          <w:pgSz w:w="11906" w:h="16838" w:code="9"/>
          <w:pgMar w:top="2835" w:right="2098" w:bottom="2127" w:left="2098" w:header="1814" w:footer="1814" w:gutter="0"/>
          <w:cols w:space="708"/>
          <w:titlePg/>
          <w:docGrid w:linePitch="360"/>
        </w:sectPr>
      </w:pPr>
    </w:p>
    <w:p w14:paraId="04974C90" w14:textId="77777777" w:rsidR="006E137E" w:rsidRPr="00E36F77" w:rsidRDefault="006E137E" w:rsidP="006E137E">
      <w:pPr>
        <w:pStyle w:val="ContentsHeading"/>
      </w:pPr>
      <w:r w:rsidRPr="00831D45">
        <w:lastRenderedPageBreak/>
        <w:t>Independent Parliamentary Expenses Authority</w:t>
      </w:r>
    </w:p>
    <w:p w14:paraId="11A1D4AC" w14:textId="0CB6D783" w:rsidR="00814CED" w:rsidRDefault="006E137E" w:rsidP="00814CED">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\h \z \t "Heading 2,1,Heading 3,2" </w:instrText>
      </w:r>
      <w:r>
        <w:fldChar w:fldCharType="separate"/>
      </w:r>
    </w:p>
    <w:p w14:paraId="086880BC" w14:textId="4A46BCC2" w:rsidR="00814CED" w:rsidRDefault="008109D7">
      <w:pPr>
        <w:pStyle w:val="TOC1"/>
        <w:rPr>
          <w:rFonts w:asciiTheme="minorHAnsi" w:eastAsiaTheme="minorEastAsia" w:hAnsiTheme="minorHAnsi" w:cstheme="minorBidi"/>
          <w:b w:val="0"/>
          <w:noProof/>
          <w:kern w:val="2"/>
          <w:sz w:val="22"/>
          <w:szCs w:val="22"/>
          <w14:ligatures w14:val="standardContextual"/>
        </w:rPr>
      </w:pPr>
      <w:hyperlink w:anchor="_Toc166354894" w:history="1">
        <w:r w:rsidR="00814CED" w:rsidRPr="000E538A">
          <w:rPr>
            <w:rStyle w:val="Hyperlink"/>
            <w:noProof/>
          </w:rPr>
          <w:t>Section 1: Entity overview and resources</w:t>
        </w:r>
        <w:r w:rsidR="00814CED">
          <w:rPr>
            <w:noProof/>
            <w:webHidden/>
          </w:rPr>
          <w:tab/>
        </w:r>
        <w:r w:rsidR="00814CED">
          <w:rPr>
            <w:noProof/>
            <w:webHidden/>
          </w:rPr>
          <w:fldChar w:fldCharType="begin"/>
        </w:r>
        <w:r w:rsidR="00814CED">
          <w:rPr>
            <w:noProof/>
            <w:webHidden/>
          </w:rPr>
          <w:instrText xml:space="preserve"> PAGEREF _Toc166354894 \h </w:instrText>
        </w:r>
        <w:r w:rsidR="00814CED">
          <w:rPr>
            <w:noProof/>
            <w:webHidden/>
          </w:rPr>
        </w:r>
        <w:r w:rsidR="00814CED">
          <w:rPr>
            <w:noProof/>
            <w:webHidden/>
          </w:rPr>
          <w:fldChar w:fldCharType="separate"/>
        </w:r>
        <w:r w:rsidR="00DF55B8">
          <w:rPr>
            <w:noProof/>
            <w:webHidden/>
          </w:rPr>
          <w:t>181</w:t>
        </w:r>
        <w:r w:rsidR="00814CED">
          <w:rPr>
            <w:noProof/>
            <w:webHidden/>
          </w:rPr>
          <w:fldChar w:fldCharType="end"/>
        </w:r>
      </w:hyperlink>
    </w:p>
    <w:p w14:paraId="2C1F7341" w14:textId="02BF556F"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895" w:history="1">
        <w:r w:rsidR="00814CED" w:rsidRPr="000E538A">
          <w:rPr>
            <w:rStyle w:val="Hyperlink"/>
            <w:noProof/>
          </w:rPr>
          <w:t>1.1</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noProof/>
          </w:rPr>
          <w:t>Strategic direction statement</w:t>
        </w:r>
        <w:r w:rsidR="00814CED">
          <w:rPr>
            <w:noProof/>
            <w:webHidden/>
          </w:rPr>
          <w:tab/>
        </w:r>
        <w:r w:rsidR="00814CED">
          <w:rPr>
            <w:noProof/>
            <w:webHidden/>
          </w:rPr>
          <w:fldChar w:fldCharType="begin"/>
        </w:r>
        <w:r w:rsidR="00814CED">
          <w:rPr>
            <w:noProof/>
            <w:webHidden/>
          </w:rPr>
          <w:instrText xml:space="preserve"> PAGEREF _Toc166354895 \h </w:instrText>
        </w:r>
        <w:r w:rsidR="00814CED">
          <w:rPr>
            <w:noProof/>
            <w:webHidden/>
          </w:rPr>
        </w:r>
        <w:r w:rsidR="00814CED">
          <w:rPr>
            <w:noProof/>
            <w:webHidden/>
          </w:rPr>
          <w:fldChar w:fldCharType="separate"/>
        </w:r>
        <w:r w:rsidR="00DF55B8">
          <w:rPr>
            <w:noProof/>
            <w:webHidden/>
          </w:rPr>
          <w:t>181</w:t>
        </w:r>
        <w:r w:rsidR="00814CED">
          <w:rPr>
            <w:noProof/>
            <w:webHidden/>
          </w:rPr>
          <w:fldChar w:fldCharType="end"/>
        </w:r>
      </w:hyperlink>
    </w:p>
    <w:p w14:paraId="4D955EFA" w14:textId="2651F24B"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896" w:history="1">
        <w:r w:rsidR="00814CED" w:rsidRPr="000E538A">
          <w:rPr>
            <w:rStyle w:val="Hyperlink"/>
            <w:noProof/>
          </w:rPr>
          <w:t>1.2</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noProof/>
          </w:rPr>
          <w:t>Entity resource statement</w:t>
        </w:r>
        <w:r w:rsidR="00814CED">
          <w:rPr>
            <w:noProof/>
            <w:webHidden/>
          </w:rPr>
          <w:tab/>
        </w:r>
        <w:r w:rsidR="00814CED">
          <w:rPr>
            <w:noProof/>
            <w:webHidden/>
          </w:rPr>
          <w:fldChar w:fldCharType="begin"/>
        </w:r>
        <w:r w:rsidR="00814CED">
          <w:rPr>
            <w:noProof/>
            <w:webHidden/>
          </w:rPr>
          <w:instrText xml:space="preserve"> PAGEREF _Toc166354896 \h </w:instrText>
        </w:r>
        <w:r w:rsidR="00814CED">
          <w:rPr>
            <w:noProof/>
            <w:webHidden/>
          </w:rPr>
        </w:r>
        <w:r w:rsidR="00814CED">
          <w:rPr>
            <w:noProof/>
            <w:webHidden/>
          </w:rPr>
          <w:fldChar w:fldCharType="separate"/>
        </w:r>
        <w:r w:rsidR="00DF55B8">
          <w:rPr>
            <w:noProof/>
            <w:webHidden/>
          </w:rPr>
          <w:t>182</w:t>
        </w:r>
        <w:r w:rsidR="00814CED">
          <w:rPr>
            <w:noProof/>
            <w:webHidden/>
          </w:rPr>
          <w:fldChar w:fldCharType="end"/>
        </w:r>
      </w:hyperlink>
    </w:p>
    <w:p w14:paraId="766978E7" w14:textId="26F9A6AA"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897" w:history="1">
        <w:r w:rsidR="00814CED" w:rsidRPr="000E538A">
          <w:rPr>
            <w:rStyle w:val="Hyperlink"/>
            <w:noProof/>
          </w:rPr>
          <w:t>1.3</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noProof/>
          </w:rPr>
          <w:t>Budget measures</w:t>
        </w:r>
        <w:r w:rsidR="00814CED">
          <w:rPr>
            <w:noProof/>
            <w:webHidden/>
          </w:rPr>
          <w:tab/>
        </w:r>
        <w:r w:rsidR="00814CED">
          <w:rPr>
            <w:noProof/>
            <w:webHidden/>
          </w:rPr>
          <w:fldChar w:fldCharType="begin"/>
        </w:r>
        <w:r w:rsidR="00814CED">
          <w:rPr>
            <w:noProof/>
            <w:webHidden/>
          </w:rPr>
          <w:instrText xml:space="preserve"> PAGEREF _Toc166354897 \h </w:instrText>
        </w:r>
        <w:r w:rsidR="00814CED">
          <w:rPr>
            <w:noProof/>
            <w:webHidden/>
          </w:rPr>
        </w:r>
        <w:r w:rsidR="00814CED">
          <w:rPr>
            <w:noProof/>
            <w:webHidden/>
          </w:rPr>
          <w:fldChar w:fldCharType="separate"/>
        </w:r>
        <w:r w:rsidR="00DF55B8">
          <w:rPr>
            <w:noProof/>
            <w:webHidden/>
          </w:rPr>
          <w:t>184</w:t>
        </w:r>
        <w:r w:rsidR="00814CED">
          <w:rPr>
            <w:noProof/>
            <w:webHidden/>
          </w:rPr>
          <w:fldChar w:fldCharType="end"/>
        </w:r>
      </w:hyperlink>
    </w:p>
    <w:p w14:paraId="47503F30" w14:textId="67881F24" w:rsidR="00814CED" w:rsidRDefault="008109D7">
      <w:pPr>
        <w:pStyle w:val="TOC1"/>
        <w:rPr>
          <w:rFonts w:asciiTheme="minorHAnsi" w:eastAsiaTheme="minorEastAsia" w:hAnsiTheme="minorHAnsi" w:cstheme="minorBidi"/>
          <w:b w:val="0"/>
          <w:noProof/>
          <w:kern w:val="2"/>
          <w:sz w:val="22"/>
          <w:szCs w:val="22"/>
          <w14:ligatures w14:val="standardContextual"/>
        </w:rPr>
      </w:pPr>
      <w:hyperlink w:anchor="_Toc166354898" w:history="1">
        <w:r w:rsidR="00814CED" w:rsidRPr="000E538A">
          <w:rPr>
            <w:rStyle w:val="Hyperlink"/>
            <w:noProof/>
          </w:rPr>
          <w:t>Section 2: Outcomes and planned performance</w:t>
        </w:r>
        <w:r w:rsidR="00814CED">
          <w:rPr>
            <w:noProof/>
            <w:webHidden/>
          </w:rPr>
          <w:tab/>
        </w:r>
        <w:r w:rsidR="00814CED">
          <w:rPr>
            <w:noProof/>
            <w:webHidden/>
          </w:rPr>
          <w:fldChar w:fldCharType="begin"/>
        </w:r>
        <w:r w:rsidR="00814CED">
          <w:rPr>
            <w:noProof/>
            <w:webHidden/>
          </w:rPr>
          <w:instrText xml:space="preserve"> PAGEREF _Toc166354898 \h </w:instrText>
        </w:r>
        <w:r w:rsidR="00814CED">
          <w:rPr>
            <w:noProof/>
            <w:webHidden/>
          </w:rPr>
        </w:r>
        <w:r w:rsidR="00814CED">
          <w:rPr>
            <w:noProof/>
            <w:webHidden/>
          </w:rPr>
          <w:fldChar w:fldCharType="separate"/>
        </w:r>
        <w:r w:rsidR="00DF55B8">
          <w:rPr>
            <w:noProof/>
            <w:webHidden/>
          </w:rPr>
          <w:t>185</w:t>
        </w:r>
        <w:r w:rsidR="00814CED">
          <w:rPr>
            <w:noProof/>
            <w:webHidden/>
          </w:rPr>
          <w:fldChar w:fldCharType="end"/>
        </w:r>
      </w:hyperlink>
    </w:p>
    <w:p w14:paraId="6C94E548" w14:textId="142613BD"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899" w:history="1">
        <w:r w:rsidR="00814CED" w:rsidRPr="000E538A">
          <w:rPr>
            <w:rStyle w:val="Hyperlink"/>
            <w:noProof/>
          </w:rPr>
          <w:t xml:space="preserve">2.1 </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noProof/>
          </w:rPr>
          <w:t>Budgeted expenses and performance for Outcome 1</w:t>
        </w:r>
        <w:r w:rsidR="00814CED">
          <w:rPr>
            <w:noProof/>
            <w:webHidden/>
          </w:rPr>
          <w:tab/>
        </w:r>
        <w:r w:rsidR="00814CED">
          <w:rPr>
            <w:noProof/>
            <w:webHidden/>
          </w:rPr>
          <w:fldChar w:fldCharType="begin"/>
        </w:r>
        <w:r w:rsidR="00814CED">
          <w:rPr>
            <w:noProof/>
            <w:webHidden/>
          </w:rPr>
          <w:instrText xml:space="preserve"> PAGEREF _Toc166354899 \h </w:instrText>
        </w:r>
        <w:r w:rsidR="00814CED">
          <w:rPr>
            <w:noProof/>
            <w:webHidden/>
          </w:rPr>
        </w:r>
        <w:r w:rsidR="00814CED">
          <w:rPr>
            <w:noProof/>
            <w:webHidden/>
          </w:rPr>
          <w:fldChar w:fldCharType="separate"/>
        </w:r>
        <w:r w:rsidR="00DF55B8">
          <w:rPr>
            <w:noProof/>
            <w:webHidden/>
          </w:rPr>
          <w:t>186</w:t>
        </w:r>
        <w:r w:rsidR="00814CED">
          <w:rPr>
            <w:noProof/>
            <w:webHidden/>
          </w:rPr>
          <w:fldChar w:fldCharType="end"/>
        </w:r>
      </w:hyperlink>
    </w:p>
    <w:p w14:paraId="272CFAFC" w14:textId="2BF41BF0" w:rsidR="00814CED" w:rsidRDefault="008109D7">
      <w:pPr>
        <w:pStyle w:val="TOC1"/>
        <w:rPr>
          <w:rFonts w:asciiTheme="minorHAnsi" w:eastAsiaTheme="minorEastAsia" w:hAnsiTheme="minorHAnsi" w:cstheme="minorBidi"/>
          <w:b w:val="0"/>
          <w:noProof/>
          <w:kern w:val="2"/>
          <w:sz w:val="22"/>
          <w:szCs w:val="22"/>
          <w14:ligatures w14:val="standardContextual"/>
        </w:rPr>
      </w:pPr>
      <w:hyperlink w:anchor="_Toc166354900" w:history="1">
        <w:r w:rsidR="00814CED" w:rsidRPr="000E538A">
          <w:rPr>
            <w:rStyle w:val="Hyperlink"/>
            <w:noProof/>
          </w:rPr>
          <w:t>Section 3: Budgeted financial statements</w:t>
        </w:r>
        <w:r w:rsidR="00814CED">
          <w:rPr>
            <w:noProof/>
            <w:webHidden/>
          </w:rPr>
          <w:tab/>
        </w:r>
        <w:r w:rsidR="00814CED">
          <w:rPr>
            <w:noProof/>
            <w:webHidden/>
          </w:rPr>
          <w:fldChar w:fldCharType="begin"/>
        </w:r>
        <w:r w:rsidR="00814CED">
          <w:rPr>
            <w:noProof/>
            <w:webHidden/>
          </w:rPr>
          <w:instrText xml:space="preserve"> PAGEREF _Toc166354900 \h </w:instrText>
        </w:r>
        <w:r w:rsidR="00814CED">
          <w:rPr>
            <w:noProof/>
            <w:webHidden/>
          </w:rPr>
        </w:r>
        <w:r w:rsidR="00814CED">
          <w:rPr>
            <w:noProof/>
            <w:webHidden/>
          </w:rPr>
          <w:fldChar w:fldCharType="separate"/>
        </w:r>
        <w:r w:rsidR="00DF55B8">
          <w:rPr>
            <w:noProof/>
            <w:webHidden/>
          </w:rPr>
          <w:t>190</w:t>
        </w:r>
        <w:r w:rsidR="00814CED">
          <w:rPr>
            <w:noProof/>
            <w:webHidden/>
          </w:rPr>
          <w:fldChar w:fldCharType="end"/>
        </w:r>
      </w:hyperlink>
    </w:p>
    <w:p w14:paraId="03A56AE5" w14:textId="1959CA60"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901" w:history="1">
        <w:r w:rsidR="00814CED" w:rsidRPr="000E538A">
          <w:rPr>
            <w:rStyle w:val="Hyperlink"/>
            <w:noProof/>
          </w:rPr>
          <w:t>3.1</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noProof/>
          </w:rPr>
          <w:t>Budgeted financial statements</w:t>
        </w:r>
        <w:r w:rsidR="00814CED">
          <w:rPr>
            <w:noProof/>
            <w:webHidden/>
          </w:rPr>
          <w:tab/>
        </w:r>
        <w:r w:rsidR="00814CED">
          <w:rPr>
            <w:noProof/>
            <w:webHidden/>
          </w:rPr>
          <w:fldChar w:fldCharType="begin"/>
        </w:r>
        <w:r w:rsidR="00814CED">
          <w:rPr>
            <w:noProof/>
            <w:webHidden/>
          </w:rPr>
          <w:instrText xml:space="preserve"> PAGEREF _Toc166354901 \h </w:instrText>
        </w:r>
        <w:r w:rsidR="00814CED">
          <w:rPr>
            <w:noProof/>
            <w:webHidden/>
          </w:rPr>
        </w:r>
        <w:r w:rsidR="00814CED">
          <w:rPr>
            <w:noProof/>
            <w:webHidden/>
          </w:rPr>
          <w:fldChar w:fldCharType="separate"/>
        </w:r>
        <w:r w:rsidR="00DF55B8">
          <w:rPr>
            <w:noProof/>
            <w:webHidden/>
          </w:rPr>
          <w:t>190</w:t>
        </w:r>
        <w:r w:rsidR="00814CED">
          <w:rPr>
            <w:noProof/>
            <w:webHidden/>
          </w:rPr>
          <w:fldChar w:fldCharType="end"/>
        </w:r>
      </w:hyperlink>
    </w:p>
    <w:p w14:paraId="7C028265" w14:textId="615560AD" w:rsidR="00814CED" w:rsidRDefault="008109D7">
      <w:pPr>
        <w:pStyle w:val="TOC2"/>
        <w:rPr>
          <w:rFonts w:asciiTheme="minorHAnsi" w:eastAsiaTheme="minorEastAsia" w:hAnsiTheme="minorHAnsi" w:cstheme="minorBidi"/>
          <w:noProof/>
          <w:kern w:val="2"/>
          <w:sz w:val="22"/>
          <w:szCs w:val="22"/>
          <w14:ligatures w14:val="standardContextual"/>
        </w:rPr>
      </w:pPr>
      <w:hyperlink w:anchor="_Toc166354902" w:history="1">
        <w:r w:rsidR="00814CED" w:rsidRPr="000E538A">
          <w:rPr>
            <w:rStyle w:val="Hyperlink"/>
            <w:bCs/>
            <w:noProof/>
          </w:rPr>
          <w:t>3.2.</w:t>
        </w:r>
        <w:r w:rsidR="00814CED">
          <w:rPr>
            <w:rFonts w:asciiTheme="minorHAnsi" w:eastAsiaTheme="minorEastAsia" w:hAnsiTheme="minorHAnsi" w:cstheme="minorBidi"/>
            <w:noProof/>
            <w:kern w:val="2"/>
            <w:sz w:val="22"/>
            <w:szCs w:val="22"/>
            <w14:ligatures w14:val="standardContextual"/>
          </w:rPr>
          <w:tab/>
        </w:r>
        <w:r w:rsidR="00814CED" w:rsidRPr="000E538A">
          <w:rPr>
            <w:rStyle w:val="Hyperlink"/>
            <w:bCs/>
            <w:noProof/>
          </w:rPr>
          <w:t>Budgeted financial statements tables</w:t>
        </w:r>
        <w:r w:rsidR="00814CED">
          <w:rPr>
            <w:noProof/>
            <w:webHidden/>
          </w:rPr>
          <w:tab/>
        </w:r>
        <w:r w:rsidR="00814CED">
          <w:rPr>
            <w:noProof/>
            <w:webHidden/>
          </w:rPr>
          <w:fldChar w:fldCharType="begin"/>
        </w:r>
        <w:r w:rsidR="00814CED">
          <w:rPr>
            <w:noProof/>
            <w:webHidden/>
          </w:rPr>
          <w:instrText xml:space="preserve"> PAGEREF _Toc166354902 \h </w:instrText>
        </w:r>
        <w:r w:rsidR="00814CED">
          <w:rPr>
            <w:noProof/>
            <w:webHidden/>
          </w:rPr>
        </w:r>
        <w:r w:rsidR="00814CED">
          <w:rPr>
            <w:noProof/>
            <w:webHidden/>
          </w:rPr>
          <w:fldChar w:fldCharType="separate"/>
        </w:r>
        <w:r w:rsidR="00DF55B8">
          <w:rPr>
            <w:noProof/>
            <w:webHidden/>
          </w:rPr>
          <w:t>191</w:t>
        </w:r>
        <w:r w:rsidR="00814CED">
          <w:rPr>
            <w:noProof/>
            <w:webHidden/>
          </w:rPr>
          <w:fldChar w:fldCharType="end"/>
        </w:r>
      </w:hyperlink>
    </w:p>
    <w:p w14:paraId="5814FF63" w14:textId="50C879B4" w:rsidR="008F0013" w:rsidRPr="000C3B86" w:rsidRDefault="006E137E" w:rsidP="006E137E">
      <w:pPr>
        <w:pStyle w:val="TableHeading"/>
        <w:keepNext w:val="0"/>
        <w:spacing w:after="0" w:line="260" w:lineRule="exact"/>
        <w:jc w:val="both"/>
      </w:pPr>
      <w:r>
        <w:fldChar w:fldCharType="end"/>
      </w:r>
    </w:p>
    <w:p w14:paraId="632152F6" w14:textId="77777777" w:rsidR="00A06D81" w:rsidRDefault="00A06D81" w:rsidP="007343A1">
      <w:pPr>
        <w:pStyle w:val="Heading1"/>
        <w:sectPr w:rsidR="00A06D81" w:rsidSect="002003E0">
          <w:type w:val="oddPage"/>
          <w:pgSz w:w="11906" w:h="16838" w:code="9"/>
          <w:pgMar w:top="2835" w:right="2098" w:bottom="2127" w:left="2098" w:header="1814" w:footer="1814" w:gutter="0"/>
          <w:cols w:space="708"/>
          <w:titlePg/>
          <w:docGrid w:linePitch="360"/>
        </w:sectPr>
      </w:pPr>
      <w:bookmarkStart w:id="3" w:name="_Toc190766151"/>
      <w:bookmarkStart w:id="4" w:name="_Toc444523519"/>
    </w:p>
    <w:p w14:paraId="3F72A4E6" w14:textId="5B257A19" w:rsidR="008E7AF0" w:rsidRDefault="008E7AF0" w:rsidP="008E7AF0">
      <w:pPr>
        <w:pStyle w:val="Heading1"/>
      </w:pPr>
      <w:bookmarkStart w:id="5" w:name="_Toc166155125"/>
      <w:r w:rsidRPr="003D61DB">
        <w:lastRenderedPageBreak/>
        <w:t>Independent Parliamentary Expenses Authority</w:t>
      </w:r>
      <w:bookmarkEnd w:id="5"/>
    </w:p>
    <w:p w14:paraId="2C2CEA57" w14:textId="77777777" w:rsidR="008E7AF0" w:rsidRPr="002C4D41" w:rsidRDefault="008E7AF0" w:rsidP="008E7AF0">
      <w:pPr>
        <w:pStyle w:val="Heading2"/>
      </w:pPr>
      <w:bookmarkStart w:id="6" w:name="_Toc165890075"/>
      <w:bookmarkStart w:id="7" w:name="_Toc165895968"/>
      <w:bookmarkStart w:id="8" w:name="_Toc165896051"/>
      <w:bookmarkStart w:id="9" w:name="_Toc165896287"/>
      <w:bookmarkStart w:id="10" w:name="_Toc165905037"/>
      <w:bookmarkStart w:id="11" w:name="_Toc165905226"/>
      <w:bookmarkStart w:id="12" w:name="_Toc165922962"/>
      <w:bookmarkStart w:id="13" w:name="_Toc166354208"/>
      <w:bookmarkStart w:id="14" w:name="_Toc166354327"/>
      <w:bookmarkStart w:id="15" w:name="_Toc166354401"/>
      <w:bookmarkStart w:id="16" w:name="_Toc166354829"/>
      <w:bookmarkStart w:id="17" w:name="_Toc166354894"/>
      <w:bookmarkStart w:id="18" w:name="_Toc166354959"/>
      <w:bookmarkStart w:id="19" w:name="_Toc166355027"/>
      <w:bookmarkStart w:id="20" w:name="_Toc166355092"/>
      <w:bookmarkStart w:id="21" w:name="_Toc166355157"/>
      <w:r w:rsidRPr="002C4D41">
        <w:t xml:space="preserve">Section 1: Entity overview and </w:t>
      </w:r>
      <w:r>
        <w:t>reso</w:t>
      </w:r>
      <w:r w:rsidRPr="002C4D41">
        <w:t>urces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226DCD4" w14:textId="77777777" w:rsidR="008E7AF0" w:rsidRDefault="008E7AF0" w:rsidP="008E7AF0">
      <w:pPr>
        <w:pStyle w:val="Heading3"/>
      </w:pPr>
      <w:bookmarkStart w:id="22" w:name="_Toc165890076"/>
      <w:bookmarkStart w:id="23" w:name="_Toc165895969"/>
      <w:bookmarkStart w:id="24" w:name="_Toc165896052"/>
      <w:bookmarkStart w:id="25" w:name="_Toc165896288"/>
      <w:bookmarkStart w:id="26" w:name="_Toc165905038"/>
      <w:bookmarkStart w:id="27" w:name="_Toc165905227"/>
      <w:bookmarkStart w:id="28" w:name="_Toc165922963"/>
      <w:bookmarkStart w:id="29" w:name="_Toc166354209"/>
      <w:bookmarkStart w:id="30" w:name="_Toc166354328"/>
      <w:bookmarkStart w:id="31" w:name="_Toc166354402"/>
      <w:bookmarkStart w:id="32" w:name="_Toc166354830"/>
      <w:bookmarkStart w:id="33" w:name="_Toc166354895"/>
      <w:bookmarkStart w:id="34" w:name="_Toc166354960"/>
      <w:bookmarkStart w:id="35" w:name="_Toc166355028"/>
      <w:bookmarkStart w:id="36" w:name="_Toc166355093"/>
      <w:bookmarkStart w:id="37" w:name="_Toc166355158"/>
      <w:r>
        <w:t>1.1</w:t>
      </w:r>
      <w:r>
        <w:tab/>
        <w:t>Strategic direction statement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7F286F6" w14:textId="77777777" w:rsidR="008E7AF0" w:rsidRPr="00A36AB9" w:rsidRDefault="008E7AF0" w:rsidP="008E7AF0">
      <w:r w:rsidRPr="00A36AB9">
        <w:t xml:space="preserve">The Independent Parliamentary Expenses Authority (IPEA) was established by the </w:t>
      </w:r>
      <w:r w:rsidRPr="00A36AB9">
        <w:rPr>
          <w:i/>
          <w:iCs/>
        </w:rPr>
        <w:t>Independent Parliamentary Expenses Authority Act 2017</w:t>
      </w:r>
      <w:r w:rsidRPr="00A36AB9">
        <w:t xml:space="preserve"> (IPEA Act).</w:t>
      </w:r>
    </w:p>
    <w:p w14:paraId="6E304BF4" w14:textId="77777777" w:rsidR="008E7AF0" w:rsidRDefault="008E7AF0" w:rsidP="00DA11EC">
      <w:r>
        <w:t xml:space="preserve">IPEA’s purpose is to foster trust in the use of public resources through independent advice, administration, reporting and assurance of work resources for parliamentarians and travel resources for their staff. </w:t>
      </w:r>
    </w:p>
    <w:p w14:paraId="4DDEBF82" w14:textId="77777777" w:rsidR="008E7AF0" w:rsidRPr="00A36AB9" w:rsidRDefault="008E7AF0" w:rsidP="008E7AF0">
      <w:r w:rsidRPr="00A36AB9">
        <w:t>As an organisation, IPEA strives to achieve its purpose by delivering its primary functions, which relate to advice, education reporting and assurance. These functions include:</w:t>
      </w:r>
    </w:p>
    <w:p w14:paraId="7565BF68"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 xml:space="preserve">providing personal advice to members of parliament (parliamentarians) on their work resources </w:t>
      </w:r>
    </w:p>
    <w:p w14:paraId="5B6CE92C" w14:textId="1683AC1C"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 xml:space="preserve">providing personal advice to persons employed under the Members of Parliament (Staff) Act 1984 (MOP(S) staff) on their travel </w:t>
      </w:r>
      <w:proofErr w:type="gramStart"/>
      <w:r w:rsidRPr="00A36AB9">
        <w:rPr>
          <w:rFonts w:ascii="Book Antiqua" w:eastAsia="Times New Roman" w:hAnsi="Book Antiqua"/>
          <w:sz w:val="19"/>
          <w:szCs w:val="20"/>
          <w:lang w:val="en-AU" w:eastAsia="en-AU"/>
        </w:rPr>
        <w:t>resources</w:t>
      </w:r>
      <w:proofErr w:type="gramEnd"/>
    </w:p>
    <w:p w14:paraId="7C3A2881"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 xml:space="preserve">monitoring parliamentarians’ and MOP(S) staff travel expenses and allowances and other related </w:t>
      </w:r>
      <w:proofErr w:type="gramStart"/>
      <w:r w:rsidRPr="00A36AB9">
        <w:rPr>
          <w:rFonts w:ascii="Book Antiqua" w:eastAsia="Times New Roman" w:hAnsi="Book Antiqua"/>
          <w:sz w:val="19"/>
          <w:szCs w:val="20"/>
          <w:lang w:val="en-AU" w:eastAsia="en-AU"/>
        </w:rPr>
        <w:t>expenditure</w:t>
      </w:r>
      <w:proofErr w:type="gramEnd"/>
      <w:r w:rsidRPr="00A36AB9">
        <w:rPr>
          <w:rFonts w:ascii="Book Antiqua" w:eastAsia="Times New Roman" w:hAnsi="Book Antiqua"/>
          <w:sz w:val="19"/>
          <w:szCs w:val="20"/>
          <w:lang w:val="en-AU" w:eastAsia="en-AU"/>
        </w:rPr>
        <w:t xml:space="preserve"> </w:t>
      </w:r>
    </w:p>
    <w:p w14:paraId="5E30CFCD"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administering travel expenses and allowances, and other related expenditure, including the processing of these claims</w:t>
      </w:r>
    </w:p>
    <w:p w14:paraId="11A0DDE4"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reporting publicly on work expenses</w:t>
      </w:r>
    </w:p>
    <w:p w14:paraId="636D3550"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conducting assurance activities, including audits, on work expenses claims.</w:t>
      </w:r>
    </w:p>
    <w:p w14:paraId="6FA334D2" w14:textId="77777777" w:rsidR="008E7AF0" w:rsidRPr="00A36AB9" w:rsidRDefault="008E7AF0" w:rsidP="008E7AF0">
      <w:r w:rsidRPr="00A36AB9">
        <w:t>Consistent with its primary functions, IPEA’s activities seek to:</w:t>
      </w:r>
    </w:p>
    <w:p w14:paraId="632E58AB"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 xml:space="preserve">deliver services relating to the administration of travel resources, which includes providing advice, education and claims processing in respect of travel expenses and </w:t>
      </w:r>
      <w:proofErr w:type="gramStart"/>
      <w:r w:rsidRPr="00A36AB9">
        <w:rPr>
          <w:rFonts w:ascii="Book Antiqua" w:eastAsia="Times New Roman" w:hAnsi="Book Antiqua"/>
          <w:sz w:val="19"/>
          <w:szCs w:val="20"/>
          <w:lang w:val="en-AU" w:eastAsia="en-AU"/>
        </w:rPr>
        <w:t>allowances</w:t>
      </w:r>
      <w:proofErr w:type="gramEnd"/>
    </w:p>
    <w:p w14:paraId="040C860B" w14:textId="77777777" w:rsidR="008E7AF0" w:rsidRPr="00A36AB9" w:rsidRDefault="008E7AF0" w:rsidP="003F0BC9">
      <w:pPr>
        <w:pStyle w:val="ListParagraph"/>
        <w:numPr>
          <w:ilvl w:val="0"/>
          <w:numId w:val="50"/>
        </w:numPr>
        <w:rPr>
          <w:rFonts w:ascii="Book Antiqua" w:eastAsia="Times New Roman" w:hAnsi="Book Antiqua"/>
          <w:sz w:val="19"/>
          <w:szCs w:val="20"/>
          <w:lang w:val="en-AU" w:eastAsia="en-AU"/>
        </w:rPr>
      </w:pPr>
      <w:r w:rsidRPr="00A36AB9">
        <w:rPr>
          <w:rFonts w:ascii="Book Antiqua" w:eastAsia="Times New Roman" w:hAnsi="Book Antiqua"/>
          <w:sz w:val="19"/>
          <w:szCs w:val="20"/>
          <w:lang w:val="en-AU" w:eastAsia="en-AU"/>
        </w:rPr>
        <w:t>provide independent reporting and assurance in respect of parliamentarians’ work resources and the travel resources of their staff.</w:t>
      </w:r>
    </w:p>
    <w:p w14:paraId="6F7F1961" w14:textId="77777777" w:rsidR="008E7AF0" w:rsidRDefault="008E7AF0" w:rsidP="008E7AF0">
      <w:pPr>
        <w:spacing w:before="120" w:after="120" w:line="240" w:lineRule="auto"/>
        <w:rPr>
          <w:sz w:val="20"/>
          <w:vertAlign w:val="superscript"/>
        </w:rPr>
      </w:pPr>
    </w:p>
    <w:p w14:paraId="651D726F" w14:textId="77777777" w:rsidR="008E7AF0" w:rsidRDefault="008E7AF0" w:rsidP="008E7AF0">
      <w:pPr>
        <w:pStyle w:val="Heading3"/>
      </w:pPr>
      <w:r w:rsidRPr="00D50D55">
        <w:br w:type="page"/>
      </w:r>
      <w:bookmarkStart w:id="38" w:name="_Toc165890078"/>
      <w:bookmarkStart w:id="39" w:name="_Toc165895970"/>
      <w:bookmarkStart w:id="40" w:name="_Toc165896053"/>
      <w:bookmarkStart w:id="41" w:name="_Toc165896289"/>
      <w:bookmarkStart w:id="42" w:name="_Toc165905039"/>
      <w:bookmarkStart w:id="43" w:name="_Toc165905228"/>
      <w:bookmarkStart w:id="44" w:name="_Toc165922964"/>
      <w:bookmarkStart w:id="45" w:name="_Toc166354210"/>
      <w:bookmarkStart w:id="46" w:name="_Toc166354329"/>
      <w:bookmarkStart w:id="47" w:name="_Toc166354403"/>
      <w:bookmarkStart w:id="48" w:name="_Toc166354831"/>
      <w:bookmarkStart w:id="49" w:name="_Toc166354896"/>
      <w:bookmarkStart w:id="50" w:name="_Toc166354961"/>
      <w:bookmarkStart w:id="51" w:name="_Toc166355029"/>
      <w:bookmarkStart w:id="52" w:name="_Toc166355094"/>
      <w:bookmarkStart w:id="53" w:name="_Toc166355159"/>
      <w:r>
        <w:lastRenderedPageBreak/>
        <w:t>1.2</w:t>
      </w:r>
      <w:r>
        <w:tab/>
        <w:t>Entity resource statement</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5BBECC2" w14:textId="617AEC9A" w:rsidR="008E7AF0" w:rsidRDefault="008E7AF0" w:rsidP="008E7AF0">
      <w:r>
        <w:t xml:space="preserve">Table 1.1 shows the total resourcing from all sources available to the entity for its operations and to deliver programs and services on behalf of the </w:t>
      </w:r>
      <w:r w:rsidR="00C11241">
        <w:t>g</w:t>
      </w:r>
      <w:r>
        <w:t>overnment.</w:t>
      </w:r>
    </w:p>
    <w:p w14:paraId="05769F8E" w14:textId="062C0379" w:rsidR="008E7AF0" w:rsidRDefault="008E7AF0" w:rsidP="008E7AF0">
      <w:r>
        <w:t xml:space="preserve">The table summarises how resources will be applied by outcome (government strategic policy objectives) and by administered (on behalf of the </w:t>
      </w:r>
      <w:r w:rsidR="00C11241">
        <w:t>g</w:t>
      </w:r>
      <w:r>
        <w:t>overnment or the public) and departmental (for the entity’s operations) classification.</w:t>
      </w:r>
    </w:p>
    <w:p w14:paraId="32D3AC3B" w14:textId="77777777" w:rsidR="008E7AF0" w:rsidRDefault="008E7AF0" w:rsidP="008E7AF0">
      <w:r>
        <w:t xml:space="preserve">For more detailed information on special accounts and special appropriations, please refer to the </w:t>
      </w:r>
      <w:r w:rsidRPr="00412C0B">
        <w:rPr>
          <w:i/>
        </w:rPr>
        <w:t>Budget Paper No. 4 – Agency Resourcing</w:t>
      </w:r>
      <w:r>
        <w:t xml:space="preserve">. </w:t>
      </w:r>
    </w:p>
    <w:p w14:paraId="7D831C43" w14:textId="77777777" w:rsidR="008E7AF0" w:rsidRDefault="008E7AF0" w:rsidP="008E7AF0">
      <w:r>
        <w:t xml:space="preserve">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 </w:t>
      </w:r>
    </w:p>
    <w:p w14:paraId="2C1AC9EE" w14:textId="61550187" w:rsidR="00C85AD2" w:rsidRDefault="00C85AD2">
      <w:pPr>
        <w:spacing w:before="0" w:after="0" w:line="240" w:lineRule="auto"/>
      </w:pPr>
      <w:r>
        <w:br w:type="page"/>
      </w:r>
    </w:p>
    <w:p w14:paraId="1709E1BB" w14:textId="6B97C7C5" w:rsidR="008E7AF0" w:rsidRPr="00EF462F" w:rsidRDefault="008E7AF0" w:rsidP="00095935">
      <w:pPr>
        <w:spacing w:after="0"/>
        <w:rPr>
          <w:rFonts w:ascii="Arial Bold" w:hAnsi="Arial Bold"/>
          <w:b/>
          <w:sz w:val="20"/>
        </w:rPr>
      </w:pPr>
      <w:r>
        <w:rPr>
          <w:rFonts w:ascii="Arial Bold" w:hAnsi="Arial Bold"/>
          <w:b/>
          <w:sz w:val="20"/>
        </w:rPr>
        <w:lastRenderedPageBreak/>
        <w:t xml:space="preserve">Table </w:t>
      </w:r>
      <w:r w:rsidRPr="00455FBF">
        <w:rPr>
          <w:rFonts w:ascii="Arial Bold" w:hAnsi="Arial Bold"/>
          <w:b/>
          <w:sz w:val="20"/>
        </w:rPr>
        <w:t>1.1: Independent Parliamentary Expenses Authority resource statement – Budget estimates for 2024</w:t>
      </w:r>
      <w:r w:rsidR="003677BF">
        <w:rPr>
          <w:rFonts w:ascii="Arial Bold" w:hAnsi="Arial Bold"/>
          <w:b/>
          <w:sz w:val="20"/>
        </w:rPr>
        <w:t>-</w:t>
      </w:r>
      <w:r w:rsidRPr="00455FBF">
        <w:rPr>
          <w:rFonts w:ascii="Arial Bold" w:hAnsi="Arial Bold"/>
          <w:b/>
          <w:sz w:val="20"/>
        </w:rPr>
        <w:t>25 as at Budget May 2024</w:t>
      </w:r>
    </w:p>
    <w:p w14:paraId="71258FCF" w14:textId="4DDAFAF5" w:rsidR="008E7AF0" w:rsidRPr="00D07609" w:rsidRDefault="000E32D2" w:rsidP="008E7AF0">
      <w:pPr>
        <w:pStyle w:val="TableGraphic"/>
      </w:pPr>
      <w:r w:rsidRPr="000E32D2">
        <w:rPr>
          <w:noProof/>
        </w:rPr>
        <w:drawing>
          <wp:inline distT="0" distB="0" distL="0" distR="0" wp14:anchorId="7D26941E" wp14:editId="239CB510">
            <wp:extent cx="4779010" cy="3166110"/>
            <wp:effectExtent l="0" t="0" r="2540" b="0"/>
            <wp:docPr id="15215976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010" cy="3166110"/>
                    </a:xfrm>
                    <a:prstGeom prst="rect">
                      <a:avLst/>
                    </a:prstGeom>
                    <a:noFill/>
                    <a:ln>
                      <a:noFill/>
                    </a:ln>
                  </pic:spPr>
                </pic:pic>
              </a:graphicData>
            </a:graphic>
          </wp:inline>
        </w:drawing>
      </w:r>
    </w:p>
    <w:p w14:paraId="616D3B24" w14:textId="15B34CD3" w:rsidR="002D4973" w:rsidRPr="003D621D" w:rsidRDefault="002D4973" w:rsidP="00E8330B">
      <w:pPr>
        <w:pStyle w:val="TableGraphic"/>
        <w:rPr>
          <w:rFonts w:ascii="Arial" w:hAnsi="Arial" w:cs="Arial"/>
          <w:sz w:val="16"/>
          <w:szCs w:val="16"/>
        </w:rPr>
      </w:pPr>
      <w:r w:rsidRPr="003D621D">
        <w:rPr>
          <w:rFonts w:ascii="Arial" w:hAnsi="Arial" w:cs="Arial"/>
          <w:sz w:val="16"/>
          <w:szCs w:val="16"/>
        </w:rPr>
        <w:t>Prepared on a resourcing (i.e. appropriations available) basis.</w:t>
      </w:r>
    </w:p>
    <w:p w14:paraId="3682C932" w14:textId="6F64F410" w:rsidR="002D4973" w:rsidRPr="00E8330B" w:rsidRDefault="002D4973" w:rsidP="00710C76">
      <w:pPr>
        <w:spacing w:before="0" w:after="0"/>
        <w:rPr>
          <w:rFonts w:ascii="Arial" w:hAnsi="Arial" w:cs="Arial"/>
          <w:sz w:val="16"/>
          <w:szCs w:val="16"/>
        </w:rPr>
      </w:pPr>
      <w:r w:rsidRPr="00E8330B">
        <w:rPr>
          <w:rFonts w:ascii="Arial" w:hAnsi="Arial" w:cs="Arial"/>
          <w:sz w:val="16"/>
          <w:szCs w:val="16"/>
        </w:rPr>
        <w:t>All figures shown above are GST exclusive - these may not match figures in the cash flow statement.</w:t>
      </w:r>
    </w:p>
    <w:p w14:paraId="55A43AD0" w14:textId="24B40DB1" w:rsidR="008E7AF0" w:rsidRPr="00E8330B" w:rsidRDefault="002D4973" w:rsidP="00710C76">
      <w:pPr>
        <w:spacing w:before="0" w:after="0"/>
        <w:rPr>
          <w:rFonts w:ascii="Arial" w:hAnsi="Arial" w:cs="Arial"/>
          <w:sz w:val="16"/>
          <w:szCs w:val="16"/>
        </w:rPr>
      </w:pPr>
      <w:r w:rsidRPr="00E8330B">
        <w:rPr>
          <w:rFonts w:ascii="Arial" w:hAnsi="Arial" w:cs="Arial"/>
          <w:sz w:val="16"/>
          <w:szCs w:val="16"/>
        </w:rPr>
        <w:t xml:space="preserve">(a) Appropriation Bill (No. 1) </w:t>
      </w:r>
      <w:r w:rsidR="005A7A11">
        <w:rPr>
          <w:rFonts w:ascii="Arial" w:hAnsi="Arial" w:cs="Arial"/>
          <w:sz w:val="16"/>
          <w:szCs w:val="16"/>
        </w:rPr>
        <w:t>2024-</w:t>
      </w:r>
      <w:r w:rsidR="00095935">
        <w:rPr>
          <w:rFonts w:ascii="Arial" w:hAnsi="Arial" w:cs="Arial"/>
          <w:sz w:val="16"/>
          <w:szCs w:val="16"/>
        </w:rPr>
        <w:t>20</w:t>
      </w:r>
      <w:r w:rsidR="005A7A11">
        <w:rPr>
          <w:rFonts w:ascii="Arial" w:hAnsi="Arial" w:cs="Arial"/>
          <w:sz w:val="16"/>
          <w:szCs w:val="16"/>
        </w:rPr>
        <w:t>25</w:t>
      </w:r>
    </w:p>
    <w:p w14:paraId="685B7CE7" w14:textId="66E1A6E7" w:rsidR="00C85AD2" w:rsidRDefault="00C85AD2">
      <w:pPr>
        <w:spacing w:before="0" w:after="0" w:line="240" w:lineRule="auto"/>
      </w:pPr>
      <w:r>
        <w:br w:type="page"/>
      </w:r>
    </w:p>
    <w:p w14:paraId="1871269D" w14:textId="77777777" w:rsidR="008E7AF0" w:rsidRPr="005A7C0B" w:rsidRDefault="008E7AF0" w:rsidP="008E7AF0">
      <w:pPr>
        <w:pStyle w:val="Heading3"/>
        <w:spacing w:before="0"/>
      </w:pPr>
      <w:bookmarkStart w:id="54" w:name="_Toc165890079"/>
      <w:bookmarkStart w:id="55" w:name="_Toc165895971"/>
      <w:bookmarkStart w:id="56" w:name="_Toc165896054"/>
      <w:bookmarkStart w:id="57" w:name="_Toc165896290"/>
      <w:bookmarkStart w:id="58" w:name="_Toc165905040"/>
      <w:bookmarkStart w:id="59" w:name="_Toc165905229"/>
      <w:bookmarkStart w:id="60" w:name="_Toc165922965"/>
      <w:bookmarkStart w:id="61" w:name="_Toc166354211"/>
      <w:bookmarkStart w:id="62" w:name="_Toc166354330"/>
      <w:bookmarkStart w:id="63" w:name="_Toc166354404"/>
      <w:bookmarkStart w:id="64" w:name="_Toc166354832"/>
      <w:bookmarkStart w:id="65" w:name="_Toc166354897"/>
      <w:bookmarkStart w:id="66" w:name="_Toc166354962"/>
      <w:bookmarkStart w:id="67" w:name="_Toc166355030"/>
      <w:bookmarkStart w:id="68" w:name="_Toc166355095"/>
      <w:bookmarkStart w:id="69" w:name="_Toc166355160"/>
      <w:r w:rsidRPr="005A7C0B">
        <w:lastRenderedPageBreak/>
        <w:t>1.3</w:t>
      </w:r>
      <w:r w:rsidRPr="005A7C0B">
        <w:tab/>
        <w:t>Budget measures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7E321D6" w14:textId="28683D5E" w:rsidR="008E7AF0" w:rsidRDefault="008E7AF0" w:rsidP="008E7AF0">
      <w:r w:rsidRPr="00541551">
        <w:t xml:space="preserve">Budget measures in Part 1 relating to </w:t>
      </w:r>
      <w:r>
        <w:t>IPEA</w:t>
      </w:r>
      <w:r w:rsidRPr="00541551">
        <w:t xml:space="preserve"> are detailed in the Budget Paper No. 2 and are summarised below.</w:t>
      </w:r>
      <w:r>
        <w:t xml:space="preserve"> </w:t>
      </w:r>
    </w:p>
    <w:p w14:paraId="6F95EF8C" w14:textId="3EBD0D35" w:rsidR="008E7AF0" w:rsidRPr="009A40DD" w:rsidRDefault="008E7AF0" w:rsidP="008E7AF0">
      <w:pPr>
        <w:pStyle w:val="TableHeading"/>
      </w:pPr>
      <w:r w:rsidRPr="009A40DD">
        <w:t xml:space="preserve">Table 1.2: </w:t>
      </w:r>
      <w:r w:rsidR="005D19BF" w:rsidRPr="00455FBF">
        <w:rPr>
          <w:rFonts w:ascii="Arial Bold" w:hAnsi="Arial Bold"/>
        </w:rPr>
        <w:t>Independent Parliamentary Expenses Authority</w:t>
      </w:r>
      <w:r>
        <w:t xml:space="preserve"> 2024</w:t>
      </w:r>
      <w:r w:rsidR="003677BF">
        <w:t>-</w:t>
      </w:r>
      <w:r>
        <w:t xml:space="preserve">25 </w:t>
      </w:r>
      <w:r w:rsidRPr="009A40DD">
        <w:t>Budget measures</w:t>
      </w:r>
    </w:p>
    <w:p w14:paraId="6613C1C5" w14:textId="4E5A229D" w:rsidR="008E7AF0" w:rsidRDefault="008E7AF0" w:rsidP="00D00B32">
      <w:pPr>
        <w:spacing w:before="0" w:after="0"/>
        <w:rPr>
          <w:rFonts w:ascii="Arial Bold" w:hAnsi="Arial Bold"/>
          <w:b/>
          <w:bCs/>
        </w:rPr>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2023</w:t>
      </w:r>
      <w:r w:rsidR="003677BF">
        <w:rPr>
          <w:rFonts w:ascii="Arial Bold" w:hAnsi="Arial Bold"/>
          <w:b/>
        </w:rPr>
        <w:t>-</w:t>
      </w:r>
      <w:r>
        <w:rPr>
          <w:rFonts w:ascii="Arial Bold" w:hAnsi="Arial Bold"/>
          <w:b/>
        </w:rPr>
        <w:t>24 Mid-Year Economic and Fiscal Outlook (MYEFO)</w:t>
      </w:r>
    </w:p>
    <w:p w14:paraId="61877611" w14:textId="7160CE30" w:rsidR="008E7AF0" w:rsidRPr="00704BB6" w:rsidRDefault="003424E0" w:rsidP="008E7AF0">
      <w:pPr>
        <w:pStyle w:val="ChartandTableFootnote"/>
      </w:pPr>
      <w:r w:rsidRPr="003424E0">
        <w:rPr>
          <w:noProof/>
        </w:rPr>
        <w:drawing>
          <wp:inline distT="0" distB="0" distL="0" distR="0" wp14:anchorId="6B6B5297" wp14:editId="3BAAE4A8">
            <wp:extent cx="4895850" cy="1577975"/>
            <wp:effectExtent l="0" t="0" r="0" b="3175"/>
            <wp:docPr id="299340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1577975"/>
                    </a:xfrm>
                    <a:prstGeom prst="rect">
                      <a:avLst/>
                    </a:prstGeom>
                    <a:noFill/>
                    <a:ln>
                      <a:noFill/>
                    </a:ln>
                  </pic:spPr>
                </pic:pic>
              </a:graphicData>
            </a:graphic>
          </wp:inline>
        </w:drawing>
      </w:r>
      <w:r w:rsidR="008E7AF0" w:rsidRPr="00704BB6">
        <w:t>Prepared on a Government Finance Statistics (Underlying Cash) basis. Figures displayed as a negative (</w:t>
      </w:r>
      <w:r w:rsidR="008E7AF0">
        <w:noBreakHyphen/>
      </w:r>
      <w:r w:rsidR="008E7AF0" w:rsidRPr="00704BB6">
        <w:t>)</w:t>
      </w:r>
      <w:r w:rsidR="00437488">
        <w:t xml:space="preserve"> </w:t>
      </w:r>
      <w:r w:rsidR="008E7AF0" w:rsidRPr="00704BB6">
        <w:t xml:space="preserve">represent a </w:t>
      </w:r>
      <w:r w:rsidR="008E7AF0" w:rsidRPr="00116C76">
        <w:t>decrease</w:t>
      </w:r>
      <w:r w:rsidR="008E7AF0" w:rsidRPr="00704BB6">
        <w:t xml:space="preserve"> in funds and a positive (+) represent an increase in funds.</w:t>
      </w:r>
    </w:p>
    <w:p w14:paraId="73B4B28B" w14:textId="57F9DDB3" w:rsidR="00C20B61" w:rsidRDefault="00256E01" w:rsidP="003F0BC9">
      <w:pPr>
        <w:pStyle w:val="ChartandTableFootnoteAlpha"/>
        <w:numPr>
          <w:ilvl w:val="0"/>
          <w:numId w:val="58"/>
        </w:numPr>
      </w:pPr>
      <w:r w:rsidRPr="00256E01">
        <w:t xml:space="preserve">The lead entity for measure </w:t>
      </w:r>
      <w:r w:rsidR="00095935">
        <w:t xml:space="preserve">titled </w:t>
      </w:r>
      <w:r w:rsidR="005443FF" w:rsidRPr="005D2C37">
        <w:rPr>
          <w:i/>
          <w:iCs/>
        </w:rPr>
        <w:t>Finance Portfolio - additional resourcing</w:t>
      </w:r>
      <w:r w:rsidR="005443FF" w:rsidRPr="005443FF">
        <w:t xml:space="preserve"> is the Department</w:t>
      </w:r>
      <w:r w:rsidRPr="00256E01">
        <w:t xml:space="preserve"> of </w:t>
      </w:r>
      <w:r w:rsidR="005443FF" w:rsidRPr="005443FF">
        <w:t>Finance.</w:t>
      </w:r>
      <w:r w:rsidRPr="00256E01">
        <w:t xml:space="preserve"> The full measure description and package details appear in the Budget Paper No. 2 under the Finance portfolio.</w:t>
      </w:r>
    </w:p>
    <w:p w14:paraId="49239389" w14:textId="51CEFDF6" w:rsidR="001510EB" w:rsidRPr="00C20B61" w:rsidRDefault="003424E0" w:rsidP="003424E0">
      <w:pPr>
        <w:pStyle w:val="ChartandTableFootnoteAlpha"/>
        <w:numPr>
          <w:ilvl w:val="0"/>
          <w:numId w:val="58"/>
        </w:numPr>
      </w:pPr>
      <w:r w:rsidRPr="003424E0">
        <w:t xml:space="preserve">The measure </w:t>
      </w:r>
      <w:r w:rsidR="00095935">
        <w:t xml:space="preserve">titled </w:t>
      </w:r>
      <w:r w:rsidRPr="0009151D">
        <w:rPr>
          <w:i/>
        </w:rPr>
        <w:t>Savings from external labour - extension</w:t>
      </w:r>
      <w:r w:rsidRPr="003424E0">
        <w:t xml:space="preserve"> is Cross Portfolio. The full measure description and package details appear in Budget Paper No. 2 under Cross Portfolio.</w:t>
      </w:r>
    </w:p>
    <w:p w14:paraId="361FCA8D" w14:textId="487B9C2F" w:rsidR="008E7AF0" w:rsidRDefault="001510EB" w:rsidP="008E7AF0">
      <w:pPr>
        <w:spacing w:before="0" w:after="0" w:line="240" w:lineRule="auto"/>
        <w:rPr>
          <w:rFonts w:ascii="Arial Bold" w:hAnsi="Arial Bold"/>
          <w:b/>
          <w:sz w:val="26"/>
        </w:rPr>
      </w:pPr>
      <w:r>
        <w:t xml:space="preserve"> </w:t>
      </w:r>
      <w:r w:rsidR="008E7AF0">
        <w:br w:type="page"/>
      </w:r>
    </w:p>
    <w:p w14:paraId="7CAA5172" w14:textId="77777777" w:rsidR="008E7AF0" w:rsidRPr="00810C6A" w:rsidRDefault="008E7AF0" w:rsidP="008E7AF0">
      <w:pPr>
        <w:pStyle w:val="Heading2"/>
      </w:pPr>
      <w:bookmarkStart w:id="70" w:name="_Toc165890080"/>
      <w:bookmarkStart w:id="71" w:name="_Toc165895972"/>
      <w:bookmarkStart w:id="72" w:name="_Toc165896055"/>
      <w:bookmarkStart w:id="73" w:name="_Toc165896291"/>
      <w:bookmarkStart w:id="74" w:name="_Toc165905041"/>
      <w:bookmarkStart w:id="75" w:name="_Toc165905230"/>
      <w:bookmarkStart w:id="76" w:name="_Toc165922966"/>
      <w:bookmarkStart w:id="77" w:name="_Toc166354212"/>
      <w:bookmarkStart w:id="78" w:name="_Toc166354331"/>
      <w:bookmarkStart w:id="79" w:name="_Toc166354405"/>
      <w:bookmarkStart w:id="80" w:name="_Toc166354833"/>
      <w:bookmarkStart w:id="81" w:name="_Toc166354898"/>
      <w:bookmarkStart w:id="82" w:name="_Toc166354963"/>
      <w:bookmarkStart w:id="83" w:name="_Toc166355031"/>
      <w:bookmarkStart w:id="84" w:name="_Toc166355096"/>
      <w:bookmarkStart w:id="85" w:name="_Toc166355161"/>
      <w:r w:rsidRPr="00810C6A">
        <w:lastRenderedPageBreak/>
        <w:t>Section 2: Outcomes and planned performance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D037488" w14:textId="325CF184" w:rsidR="008E7AF0" w:rsidRPr="005E6F2B" w:rsidRDefault="008E7AF0" w:rsidP="008E7AF0">
      <w:r w:rsidRPr="005E6F2B">
        <w:t xml:space="preserve">Government outcomes are the intended results, impacts or consequences of actions by the </w:t>
      </w:r>
      <w:r w:rsidR="00C11241">
        <w:t>g</w:t>
      </w:r>
      <w:r w:rsidRPr="005E6F2B">
        <w:t>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789A5175" w14:textId="77777777" w:rsidR="008E7AF0" w:rsidRDefault="008E7AF0" w:rsidP="008E7AF0">
      <w:pPr>
        <w:rPr>
          <w:i/>
          <w:color w:val="FF0000"/>
        </w:rPr>
      </w:pPr>
      <w:r w:rsidRPr="005E6F2B">
        <w:t>Each outcome is described below together with its related programs. The following provides detailed information on expenses for each outcome and program, further broken down by funding source.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8E7AF0" w:rsidRPr="001C6402" w14:paraId="1B22EFF4" w14:textId="77777777">
        <w:tc>
          <w:tcPr>
            <w:tcW w:w="7700" w:type="dxa"/>
            <w:shd w:val="clear" w:color="auto" w:fill="auto"/>
          </w:tcPr>
          <w:p w14:paraId="5333DD5B" w14:textId="77777777" w:rsidR="008E7AF0" w:rsidRPr="001C6402" w:rsidRDefault="008E7AF0">
            <w:pPr>
              <w:spacing w:before="120" w:after="120" w:line="240" w:lineRule="auto"/>
              <w:jc w:val="both"/>
              <w:rPr>
                <w:b/>
              </w:rPr>
            </w:pPr>
            <w:r w:rsidRPr="001C6402">
              <w:rPr>
                <w:b/>
              </w:rPr>
              <w:t>Note:</w:t>
            </w:r>
          </w:p>
          <w:p w14:paraId="07BFBC9C" w14:textId="77777777" w:rsidR="008E7AF0" w:rsidRPr="001C6402" w:rsidRDefault="008E7AF0">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61B36A43" w14:textId="77777777" w:rsidR="008E7AF0" w:rsidRPr="001C6402" w:rsidRDefault="008E7AF0">
            <w:pPr>
              <w:jc w:val="both"/>
            </w:pPr>
            <w:r w:rsidRPr="001C6402">
              <w:t xml:space="preserve">The most recent corporate plan for </w:t>
            </w:r>
            <w:r>
              <w:t xml:space="preserve">the Independent Parliamentary Expenses Authority </w:t>
            </w:r>
            <w:r w:rsidRPr="001C6402">
              <w:t xml:space="preserve">can be found at: </w:t>
            </w:r>
            <w:hyperlink r:id="rId21" w:history="1">
              <w:r>
                <w:rPr>
                  <w:rStyle w:val="Hyperlink"/>
                </w:rPr>
                <w:t>Publications | Independent Parliamentary Expenses Authority (ipea.gov.au)</w:t>
              </w:r>
            </w:hyperlink>
            <w:r w:rsidRPr="001C6402">
              <w:t>.</w:t>
            </w:r>
          </w:p>
          <w:p w14:paraId="3B007205" w14:textId="77777777" w:rsidR="008E7AF0" w:rsidRPr="001C6402" w:rsidRDefault="008E7AF0">
            <w:pPr>
              <w:jc w:val="both"/>
            </w:pPr>
            <w:r w:rsidRPr="001C6402">
              <w:t xml:space="preserve">The most recent annual performance statement can be found at: </w:t>
            </w:r>
            <w:hyperlink r:id="rId22" w:history="1">
              <w:r>
                <w:rPr>
                  <w:rStyle w:val="Hyperlink"/>
                </w:rPr>
                <w:t>Publications | Independent Parliamentary Expenses Authority (ipea.gov.au)</w:t>
              </w:r>
            </w:hyperlink>
            <w:r>
              <w:t xml:space="preserve"> in IPEA’s Annual Report</w:t>
            </w:r>
          </w:p>
        </w:tc>
      </w:tr>
    </w:tbl>
    <w:p w14:paraId="265C17B8" w14:textId="77777777" w:rsidR="008E7AF0" w:rsidRDefault="008E7AF0" w:rsidP="008E7AF0">
      <w:pPr>
        <w:rPr>
          <w:highlight w:val="yellow"/>
        </w:rPr>
      </w:pPr>
    </w:p>
    <w:p w14:paraId="1E73E29B" w14:textId="77777777" w:rsidR="00E31428" w:rsidRDefault="00E31428">
      <w:pPr>
        <w:spacing w:before="0" w:after="0" w:line="240" w:lineRule="auto"/>
        <w:rPr>
          <w:rFonts w:ascii="Arial Bold" w:hAnsi="Arial Bold"/>
          <w:b/>
          <w:sz w:val="22"/>
        </w:rPr>
      </w:pPr>
      <w:bookmarkStart w:id="86" w:name="_Toc165890081"/>
      <w:bookmarkStart w:id="87" w:name="_Toc165895973"/>
      <w:bookmarkStart w:id="88" w:name="_Toc165896056"/>
      <w:bookmarkStart w:id="89" w:name="_Toc165896292"/>
      <w:bookmarkStart w:id="90" w:name="_Toc165905042"/>
      <w:bookmarkStart w:id="91" w:name="_Toc165905231"/>
      <w:bookmarkStart w:id="92" w:name="_Toc165922967"/>
      <w:bookmarkStart w:id="93" w:name="_Toc166354213"/>
      <w:bookmarkStart w:id="94" w:name="_Toc166354332"/>
      <w:bookmarkStart w:id="95" w:name="_Toc166354406"/>
      <w:bookmarkStart w:id="96" w:name="_Toc166354834"/>
      <w:bookmarkStart w:id="97" w:name="_Toc166354899"/>
      <w:bookmarkStart w:id="98" w:name="_Toc166354964"/>
      <w:bookmarkStart w:id="99" w:name="_Toc166355032"/>
      <w:bookmarkStart w:id="100" w:name="_Toc166355097"/>
      <w:bookmarkStart w:id="101" w:name="_Toc166355162"/>
      <w:r>
        <w:br w:type="page"/>
      </w:r>
    </w:p>
    <w:p w14:paraId="38C9288E" w14:textId="77777777" w:rsidR="008E7AF0" w:rsidRPr="00F743D8" w:rsidRDefault="008E7AF0" w:rsidP="008E7AF0">
      <w:pPr>
        <w:pStyle w:val="Heading3"/>
      </w:pPr>
      <w:r>
        <w:lastRenderedPageBreak/>
        <w:t>2.1</w:t>
      </w:r>
      <w:r w:rsidRPr="00F743D8">
        <w:t xml:space="preserve"> </w:t>
      </w:r>
      <w:r w:rsidRPr="00F743D8">
        <w:tab/>
        <w:t xml:space="preserve">Budgeted expenses and performance for Outcome </w:t>
      </w:r>
      <w:r>
        <w:t>1</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8E7AF0" w:rsidRPr="001C6402" w14:paraId="7696FB24" w14:textId="77777777">
        <w:tc>
          <w:tcPr>
            <w:tcW w:w="7704" w:type="dxa"/>
            <w:shd w:val="clear" w:color="auto" w:fill="E6E6E6"/>
          </w:tcPr>
          <w:p w14:paraId="1825A0D0" w14:textId="77777777" w:rsidR="008E7AF0" w:rsidRPr="005E6F2B" w:rsidRDefault="008E7AF0">
            <w:pPr>
              <w:pStyle w:val="TableColumnHeadingLeft"/>
            </w:pPr>
            <w:r w:rsidRPr="00007093">
              <w:t xml:space="preserve">Outcome 1: </w:t>
            </w:r>
            <w:r w:rsidRPr="00007093">
              <w:rPr>
                <w:rFonts w:cs="Arial"/>
              </w:rPr>
              <w:t>Support for current and former parliamentarians and others as required by the Australian Government through the delivery of, independent oversight and advice on, work resources and travel resources.</w:t>
            </w:r>
          </w:p>
        </w:tc>
      </w:tr>
    </w:tbl>
    <w:p w14:paraId="192D7B08" w14:textId="77777777" w:rsidR="008E7AF0" w:rsidRPr="005E6F2B" w:rsidRDefault="008E7AF0" w:rsidP="008E7AF0">
      <w:pPr>
        <w:pStyle w:val="NoSpacing"/>
      </w:pPr>
    </w:p>
    <w:p w14:paraId="00D5AB91" w14:textId="77777777" w:rsidR="008E7AF0" w:rsidRPr="005E6F2B" w:rsidRDefault="008E7AF0" w:rsidP="008E7AF0">
      <w:pPr>
        <w:pStyle w:val="Heading4"/>
      </w:pPr>
      <w:r w:rsidRPr="005E6F2B">
        <w:t xml:space="preserve">Linked </w:t>
      </w:r>
      <w:proofErr w:type="gramStart"/>
      <w:r w:rsidRPr="005E6F2B">
        <w:t>programs</w:t>
      </w:r>
      <w:proofErr w:type="gramEnd"/>
      <w:r w:rsidRPr="005E6F2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0"/>
      </w:tblGrid>
      <w:tr w:rsidR="008E7AF0" w:rsidRPr="001C6402" w14:paraId="0C58A076" w14:textId="77777777">
        <w:trPr>
          <w:trHeight w:val="113"/>
          <w:tblHeader/>
        </w:trPr>
        <w:tc>
          <w:tcPr>
            <w:tcW w:w="7700" w:type="dxa"/>
            <w:tcBorders>
              <w:bottom w:val="dotted" w:sz="4" w:space="0" w:color="auto"/>
            </w:tcBorders>
          </w:tcPr>
          <w:p w14:paraId="20237BFF" w14:textId="77777777" w:rsidR="008E7AF0" w:rsidRPr="00CA47FB" w:rsidRDefault="008E7AF0">
            <w:pPr>
              <w:pStyle w:val="BoxHeading"/>
            </w:pPr>
            <w:r w:rsidRPr="00007093">
              <w:rPr>
                <w:bCs/>
              </w:rPr>
              <w:t>Department of Finance</w:t>
            </w:r>
          </w:p>
        </w:tc>
      </w:tr>
      <w:tr w:rsidR="008E7AF0" w:rsidRPr="001C6402" w14:paraId="3CDD134B" w14:textId="77777777">
        <w:trPr>
          <w:trHeight w:val="113"/>
        </w:trPr>
        <w:tc>
          <w:tcPr>
            <w:tcW w:w="7700" w:type="dxa"/>
            <w:tcBorders>
              <w:top w:val="dotted" w:sz="4" w:space="0" w:color="auto"/>
              <w:bottom w:val="single" w:sz="4" w:space="0" w:color="auto"/>
            </w:tcBorders>
          </w:tcPr>
          <w:p w14:paraId="3F107E09" w14:textId="77777777" w:rsidR="008E7AF0" w:rsidRPr="00434130" w:rsidRDefault="008E7AF0">
            <w:pPr>
              <w:pStyle w:val="BoxText"/>
              <w:rPr>
                <w:rStyle w:val="ExampletextCharChar"/>
                <w:b/>
                <w:bCs/>
                <w:i w:val="0"/>
                <w:color w:val="auto"/>
              </w:rPr>
            </w:pPr>
            <w:r w:rsidRPr="001C6402">
              <w:rPr>
                <w:b/>
                <w:bCs/>
              </w:rPr>
              <w:t>Programs</w:t>
            </w:r>
          </w:p>
          <w:p w14:paraId="76BFF313" w14:textId="77777777" w:rsidR="008E7AF0" w:rsidRPr="001C6402" w:rsidRDefault="008E7AF0">
            <w:pPr>
              <w:pStyle w:val="BoxBullet"/>
            </w:pPr>
            <w:r w:rsidRPr="00007093">
              <w:t>Program 3.1 – Ministerial and Parliamentary Services</w:t>
            </w:r>
          </w:p>
        </w:tc>
      </w:tr>
      <w:tr w:rsidR="008E7AF0" w:rsidRPr="001C6402" w14:paraId="4DDB6174" w14:textId="77777777">
        <w:trPr>
          <w:trHeight w:val="113"/>
        </w:trPr>
        <w:tc>
          <w:tcPr>
            <w:tcW w:w="7700" w:type="dxa"/>
            <w:tcBorders>
              <w:bottom w:val="single" w:sz="4" w:space="0" w:color="auto"/>
            </w:tcBorders>
          </w:tcPr>
          <w:p w14:paraId="0839F399" w14:textId="77777777" w:rsidR="008E7AF0" w:rsidRPr="001C6402" w:rsidRDefault="008E7AF0">
            <w:pPr>
              <w:pStyle w:val="BoxText"/>
            </w:pPr>
            <w:r w:rsidRPr="001C6402">
              <w:t xml:space="preserve">Contribution to Outcome </w:t>
            </w:r>
            <w:r>
              <w:t>1</w:t>
            </w:r>
            <w:r w:rsidRPr="001C6402">
              <w:t xml:space="preserve"> made by linked </w:t>
            </w:r>
            <w:proofErr w:type="gramStart"/>
            <w:r w:rsidRPr="001C6402">
              <w:t>programs</w:t>
            </w:r>
            <w:proofErr w:type="gramEnd"/>
          </w:p>
          <w:p w14:paraId="3242F5C5" w14:textId="77777777" w:rsidR="008E7AF0" w:rsidRPr="001C6402" w:rsidRDefault="008E7AF0">
            <w:pPr>
              <w:spacing w:before="120" w:after="120" w:line="240" w:lineRule="auto"/>
            </w:pPr>
            <w:r w:rsidRPr="00007093">
              <w:t xml:space="preserve">IPEA administers and advises on travel related work </w:t>
            </w:r>
            <w:proofErr w:type="gramStart"/>
            <w:r w:rsidRPr="00007093">
              <w:t>expenses, and</w:t>
            </w:r>
            <w:proofErr w:type="gramEnd"/>
            <w:r w:rsidRPr="00007093">
              <w:t xml:space="preserve"> provides independent oversight of the work expenses administered by the Department of Finance for current and former parliamentarians and their staff.</w:t>
            </w:r>
          </w:p>
        </w:tc>
      </w:tr>
    </w:tbl>
    <w:p w14:paraId="743685A4" w14:textId="77777777" w:rsidR="008E7AF0" w:rsidRPr="00B3104B" w:rsidRDefault="008E7AF0" w:rsidP="008E7AF0">
      <w:pPr>
        <w:pStyle w:val="SingleParagraph"/>
      </w:pPr>
    </w:p>
    <w:p w14:paraId="5E48AD1D" w14:textId="77777777" w:rsidR="0047294C" w:rsidRDefault="0047294C" w:rsidP="008E7AF0">
      <w:pPr>
        <w:pStyle w:val="Heading5"/>
      </w:pPr>
    </w:p>
    <w:p w14:paraId="260AD645" w14:textId="77777777" w:rsidR="0047294C" w:rsidRDefault="0047294C" w:rsidP="008E7AF0">
      <w:pPr>
        <w:pStyle w:val="Heading5"/>
      </w:pPr>
    </w:p>
    <w:p w14:paraId="2A35B50C" w14:textId="77777777" w:rsidR="0047294C" w:rsidRDefault="0047294C" w:rsidP="008E7AF0">
      <w:pPr>
        <w:pStyle w:val="Heading5"/>
      </w:pPr>
    </w:p>
    <w:p w14:paraId="6AB1D0FF" w14:textId="77777777" w:rsidR="008E7AF0" w:rsidRPr="00446612" w:rsidRDefault="008E7AF0" w:rsidP="008E7AF0">
      <w:pPr>
        <w:pStyle w:val="Heading5"/>
      </w:pPr>
      <w:r w:rsidRPr="0047294C">
        <w:br w:type="page"/>
      </w:r>
      <w:r w:rsidRPr="00446612">
        <w:lastRenderedPageBreak/>
        <w:t xml:space="preserve">Budgeted expenses for Outcome </w:t>
      </w:r>
      <w:r>
        <w:t>1</w:t>
      </w:r>
    </w:p>
    <w:p w14:paraId="42ABC08C" w14:textId="77777777" w:rsidR="008E7AF0" w:rsidRDefault="008E7AF0" w:rsidP="008E7AF0">
      <w:r w:rsidRPr="00950281">
        <w:t>This table shows how much the entity intends to spend (on an accrual basis) on achieving the outcome, broken down by program, as well as by Administered an</w:t>
      </w:r>
      <w:r>
        <w:t>d Departmental funding sources.</w:t>
      </w:r>
    </w:p>
    <w:p w14:paraId="520682A4" w14:textId="77777777" w:rsidR="008E7AF0" w:rsidRDefault="008E7AF0" w:rsidP="008E7AF0">
      <w:pPr>
        <w:pStyle w:val="TableHeading"/>
      </w:pPr>
      <w:r w:rsidRPr="006E4DF1">
        <w:t>Table 2.</w:t>
      </w:r>
      <w:r>
        <w:t>1</w:t>
      </w:r>
      <w:r w:rsidRPr="006E4DF1">
        <w:t xml:space="preserve">.1: Budgeted expenses for Outcome </w:t>
      </w:r>
      <w:r>
        <w:t>1</w:t>
      </w:r>
    </w:p>
    <w:p w14:paraId="390AC4C5" w14:textId="43691567" w:rsidR="008E7AF0" w:rsidRDefault="00580B29" w:rsidP="008E7AF0">
      <w:pPr>
        <w:pStyle w:val="TableGraphic"/>
      </w:pPr>
      <w:r w:rsidRPr="00580B29">
        <w:rPr>
          <w:noProof/>
        </w:rPr>
        <w:drawing>
          <wp:inline distT="0" distB="0" distL="0" distR="0" wp14:anchorId="4E5E4BA3" wp14:editId="14731104">
            <wp:extent cx="4895850" cy="5273040"/>
            <wp:effectExtent l="0" t="0" r="0" b="3810"/>
            <wp:docPr id="84211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5273040"/>
                    </a:xfrm>
                    <a:prstGeom prst="rect">
                      <a:avLst/>
                    </a:prstGeom>
                    <a:noFill/>
                    <a:ln>
                      <a:noFill/>
                    </a:ln>
                  </pic:spPr>
                </pic:pic>
              </a:graphicData>
            </a:graphic>
          </wp:inline>
        </w:drawing>
      </w:r>
    </w:p>
    <w:p w14:paraId="6D2B7A3A" w14:textId="1C7CAE05" w:rsidR="008E7AF0" w:rsidRPr="002C24DE" w:rsidRDefault="008E7AF0" w:rsidP="00BA0D0C">
      <w:pPr>
        <w:pStyle w:val="TableGraphic"/>
        <w:rPr>
          <w:rFonts w:ascii="Arial" w:hAnsi="Arial" w:cs="Arial"/>
          <w:sz w:val="16"/>
          <w:szCs w:val="16"/>
        </w:rPr>
      </w:pPr>
      <w:r w:rsidRPr="002C24DE">
        <w:rPr>
          <w:rFonts w:ascii="Arial" w:hAnsi="Arial" w:cs="Arial"/>
          <w:sz w:val="16"/>
          <w:szCs w:val="16"/>
        </w:rPr>
        <w:t xml:space="preserve">Table continues on next </w:t>
      </w:r>
      <w:proofErr w:type="gramStart"/>
      <w:r w:rsidRPr="002C24DE">
        <w:rPr>
          <w:rFonts w:ascii="Arial" w:hAnsi="Arial" w:cs="Arial"/>
          <w:sz w:val="16"/>
          <w:szCs w:val="16"/>
        </w:rPr>
        <w:t>page</w:t>
      </w:r>
      <w:proofErr w:type="gramEnd"/>
    </w:p>
    <w:p w14:paraId="34ABBAD4" w14:textId="77777777" w:rsidR="00BA0D0C" w:rsidRDefault="002E3BE3" w:rsidP="003F0BC9">
      <w:pPr>
        <w:pStyle w:val="ChartandTableFootnoteAlpha"/>
        <w:numPr>
          <w:ilvl w:val="0"/>
          <w:numId w:val="59"/>
        </w:numPr>
        <w:rPr>
          <w:noProof/>
        </w:rPr>
      </w:pPr>
      <w:r>
        <w:t>Expenses</w:t>
      </w:r>
      <w:r>
        <w:rPr>
          <w:noProof/>
        </w:rPr>
        <w:t xml:space="preserve"> not requiring appropriation in the Budget year are made up of audit fees.</w:t>
      </w:r>
    </w:p>
    <w:p w14:paraId="37FCF9E8" w14:textId="75EB8A70" w:rsidR="008E7AF0" w:rsidRDefault="002E3BE3" w:rsidP="00BA0D0C">
      <w:pPr>
        <w:pStyle w:val="ChartandTableFootnoteAlpha"/>
        <w:numPr>
          <w:ilvl w:val="0"/>
          <w:numId w:val="0"/>
        </w:numPr>
        <w:rPr>
          <w:noProof/>
        </w:rPr>
      </w:pPr>
      <w:r>
        <w:rPr>
          <w:noProof/>
        </w:rPr>
        <w:t>Note: Departmental appropriation splits and totals are indicative estimates and may change in the course of the budget year as government priorities change.</w:t>
      </w:r>
    </w:p>
    <w:p w14:paraId="32D991A7" w14:textId="77777777" w:rsidR="008E7AF0" w:rsidRPr="00F71634" w:rsidRDefault="008E7AF0" w:rsidP="008E7AF0">
      <w:pPr>
        <w:pStyle w:val="TableHeading"/>
      </w:pPr>
      <w:r w:rsidRPr="00F71634">
        <w:lastRenderedPageBreak/>
        <w:t>Table 2.</w:t>
      </w:r>
      <w:r>
        <w:t>1</w:t>
      </w:r>
      <w:r w:rsidRPr="00F71634">
        <w:t xml:space="preserve">.3: Performance </w:t>
      </w:r>
      <w:r>
        <w:t>measures</w:t>
      </w:r>
      <w:r w:rsidRPr="00F71634">
        <w:t xml:space="preserve"> for Outcome </w:t>
      </w:r>
      <w:r>
        <w:t>1</w:t>
      </w:r>
    </w:p>
    <w:p w14:paraId="5FB58749" w14:textId="5DD53555" w:rsidR="008E7AF0" w:rsidRPr="00F71634" w:rsidRDefault="008E7AF0" w:rsidP="008E7AF0">
      <w:pPr>
        <w:rPr>
          <w:i/>
          <w:color w:val="FF0000"/>
        </w:rPr>
      </w:pPr>
      <w:r w:rsidRPr="001B2F81">
        <w:t>Table 2.</w:t>
      </w:r>
      <w:r>
        <w:t>1</w:t>
      </w:r>
      <w:r w:rsidRPr="001B2F81">
        <w:t>.</w:t>
      </w:r>
      <w:r>
        <w:t>3</w:t>
      </w:r>
      <w:r w:rsidRPr="001B2F81">
        <w:t xml:space="preserve"> details the performance measures for each program associated with Outcome </w:t>
      </w:r>
      <w:r>
        <w:t>1</w:t>
      </w:r>
      <w:r w:rsidRPr="001B2F81">
        <w:t xml:space="preserve">. </w:t>
      </w:r>
      <w:r>
        <w:t xml:space="preserve">It is used by entities to describe the results they plan to achieve and </w:t>
      </w:r>
      <w:r w:rsidRPr="001B2F81">
        <w:t>the related key activities</w:t>
      </w:r>
      <w:r>
        <w:t>,</w:t>
      </w:r>
      <w:r w:rsidRPr="001B2F81">
        <w:t xml:space="preserve"> as </w:t>
      </w:r>
      <w:r>
        <w:t xml:space="preserve">detailed </w:t>
      </w:r>
      <w:r w:rsidRPr="001B2F81">
        <w:t>in the current corporate plan</w:t>
      </w:r>
      <w:r>
        <w:t>,</w:t>
      </w:r>
      <w:r w:rsidRPr="001B2F81">
        <w:t xml:space="preserve"> the context in which these activities are delivered</w:t>
      </w:r>
      <w:r>
        <w:t>,</w:t>
      </w:r>
      <w:r w:rsidRPr="001B2F81">
        <w:t xml:space="preserve"> and how the performance of these activities will be measured. Where relevant, details of </w:t>
      </w:r>
      <w:r>
        <w:t xml:space="preserve">the </w:t>
      </w:r>
      <w:r w:rsidRPr="001B2F81">
        <w:t>202</w:t>
      </w:r>
      <w:r>
        <w:t>4</w:t>
      </w:r>
      <w:r w:rsidR="003677BF">
        <w:t>-</w:t>
      </w:r>
      <w:r>
        <w:t>25</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0445A" w:rsidRPr="00210F65" w14:paraId="62034D04" w14:textId="77777777">
        <w:trPr>
          <w:trHeight w:val="569"/>
          <w:tblHeader/>
        </w:trPr>
        <w:tc>
          <w:tcPr>
            <w:tcW w:w="7796" w:type="dxa"/>
            <w:gridSpan w:val="3"/>
            <w:shd w:val="clear" w:color="auto" w:fill="F2F2F2" w:themeFill="background1" w:themeFillShade="F2"/>
          </w:tcPr>
          <w:p w14:paraId="5213F0A2" w14:textId="77777777" w:rsidR="008E7AF0" w:rsidRPr="00312CB7" w:rsidRDefault="008E7AF0">
            <w:pPr>
              <w:pStyle w:val="TableColumnHeadingLeft"/>
              <w:rPr>
                <w:rFonts w:asciiTheme="minorHAnsi" w:hAnsiTheme="minorHAnsi" w:cstheme="minorHAnsi"/>
              </w:rPr>
            </w:pPr>
            <w:r w:rsidRPr="00312CB7">
              <w:rPr>
                <w:rFonts w:asciiTheme="minorHAnsi" w:hAnsiTheme="minorHAnsi" w:cstheme="minorHAnsi"/>
              </w:rPr>
              <w:t>Outcome 1 – Support for current and former parliamentarians and others as required by the Australian Government through the delivery of, independent oversight and advice on, work resources and travel resources.</w:t>
            </w:r>
          </w:p>
        </w:tc>
      </w:tr>
      <w:tr w:rsidR="0010445A" w:rsidRPr="00210F65" w14:paraId="038FBD20" w14:textId="77777777">
        <w:trPr>
          <w:trHeight w:val="522"/>
          <w:tblHeader/>
        </w:trPr>
        <w:tc>
          <w:tcPr>
            <w:tcW w:w="7796" w:type="dxa"/>
            <w:gridSpan w:val="3"/>
            <w:shd w:val="clear" w:color="auto" w:fill="F2F2F2" w:themeFill="background1" w:themeFillShade="F2"/>
          </w:tcPr>
          <w:p w14:paraId="33AE8E50" w14:textId="77777777" w:rsidR="008E7AF0" w:rsidRPr="00312CB7" w:rsidRDefault="008E7AF0">
            <w:pPr>
              <w:pStyle w:val="TableTextLeft"/>
              <w:rPr>
                <w:rFonts w:asciiTheme="minorHAnsi" w:hAnsiTheme="minorHAnsi" w:cstheme="minorHAnsi"/>
              </w:rPr>
            </w:pPr>
            <w:r w:rsidRPr="00312CB7">
              <w:rPr>
                <w:rFonts w:asciiTheme="minorHAnsi" w:hAnsiTheme="minorHAnsi" w:cstheme="minorHAnsi"/>
                <w:b/>
              </w:rPr>
              <w:t>Program 1.1 – Independent Parliamentary Expenses Authority – Travel Oversight and Reporting.</w:t>
            </w:r>
          </w:p>
          <w:p w14:paraId="4A965034" w14:textId="77777777" w:rsidR="008E7AF0" w:rsidRPr="00312CB7" w:rsidRDefault="008E7AF0">
            <w:pPr>
              <w:pStyle w:val="TableTextLeft"/>
              <w:rPr>
                <w:rFonts w:asciiTheme="minorHAnsi" w:hAnsiTheme="minorHAnsi" w:cstheme="minorHAnsi"/>
              </w:rPr>
            </w:pPr>
            <w:r w:rsidRPr="00312CB7">
              <w:rPr>
                <w:rFonts w:asciiTheme="minorHAnsi" w:hAnsiTheme="minorHAnsi" w:cstheme="minorHAnsi"/>
              </w:rPr>
              <w:t>IPEA provides services to parliamentarians and their staff and publicly reports on their expenditure.</w:t>
            </w:r>
          </w:p>
        </w:tc>
      </w:tr>
      <w:tr w:rsidR="006228D5" w:rsidRPr="00210F65" w14:paraId="30F6DFA6" w14:textId="77777777">
        <w:trPr>
          <w:trHeight w:val="694"/>
        </w:trPr>
        <w:tc>
          <w:tcPr>
            <w:tcW w:w="1560" w:type="dxa"/>
            <w:tcBorders>
              <w:bottom w:val="double" w:sz="4" w:space="0" w:color="auto"/>
            </w:tcBorders>
          </w:tcPr>
          <w:p w14:paraId="3C572D1F" w14:textId="77777777" w:rsidR="008E7AF0" w:rsidRPr="00312CB7" w:rsidRDefault="008E7AF0">
            <w:pPr>
              <w:pStyle w:val="TableColumnHeadingLeft"/>
              <w:rPr>
                <w:rFonts w:asciiTheme="minorHAnsi" w:hAnsiTheme="minorHAnsi" w:cstheme="minorHAnsi"/>
              </w:rPr>
            </w:pPr>
            <w:r w:rsidRPr="00312CB7">
              <w:rPr>
                <w:rFonts w:asciiTheme="minorHAnsi" w:hAnsiTheme="minorHAnsi" w:cstheme="minorHAnsi"/>
              </w:rPr>
              <w:t>Key Activities</w:t>
            </w:r>
          </w:p>
        </w:tc>
        <w:tc>
          <w:tcPr>
            <w:tcW w:w="6236" w:type="dxa"/>
            <w:gridSpan w:val="2"/>
            <w:tcBorders>
              <w:bottom w:val="double" w:sz="4" w:space="0" w:color="auto"/>
            </w:tcBorders>
          </w:tcPr>
          <w:p w14:paraId="776AD673"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For current and former parliamentarians and their staff:</w:t>
            </w:r>
          </w:p>
          <w:p w14:paraId="58B1F1F6" w14:textId="77777777" w:rsidR="008E7AF0" w:rsidRPr="00312CB7" w:rsidRDefault="008E7AF0" w:rsidP="003F0BC9">
            <w:pPr>
              <w:pStyle w:val="TableTextBase"/>
              <w:numPr>
                <w:ilvl w:val="0"/>
                <w:numId w:val="51"/>
              </w:numPr>
              <w:rPr>
                <w:rFonts w:asciiTheme="minorHAnsi" w:hAnsiTheme="minorHAnsi" w:cstheme="minorHAnsi"/>
                <w:szCs w:val="16"/>
              </w:rPr>
            </w:pPr>
            <w:r w:rsidRPr="00312CB7">
              <w:rPr>
                <w:rFonts w:asciiTheme="minorHAnsi" w:hAnsiTheme="minorHAnsi" w:cstheme="minorHAnsi"/>
                <w:szCs w:val="16"/>
                <w14:ligatures w14:val="standardContextual"/>
              </w:rPr>
              <w:t>Deliver services relating to the administration of travel resources. This includes providing advice and claims processing in respect of travel expenses and allowances.</w:t>
            </w:r>
          </w:p>
          <w:p w14:paraId="3D9C51B2" w14:textId="77777777" w:rsidR="008E7AF0" w:rsidRPr="00312CB7" w:rsidRDefault="008E7AF0" w:rsidP="003F0BC9">
            <w:pPr>
              <w:pStyle w:val="TableTextBase"/>
              <w:numPr>
                <w:ilvl w:val="0"/>
                <w:numId w:val="51"/>
              </w:numPr>
              <w:rPr>
                <w:rFonts w:asciiTheme="minorHAnsi" w:hAnsiTheme="minorHAnsi" w:cstheme="minorHAnsi"/>
                <w:szCs w:val="16"/>
              </w:rPr>
            </w:pPr>
            <w:r w:rsidRPr="00312CB7">
              <w:rPr>
                <w:rFonts w:asciiTheme="minorHAnsi" w:hAnsiTheme="minorHAnsi" w:cstheme="minorHAnsi"/>
                <w:szCs w:val="16"/>
                <w14:ligatures w14:val="standardContextual"/>
              </w:rPr>
              <w:t>Provide independent reporting and assurance in respect of parliamentarians’ work resources</w:t>
            </w:r>
            <w:r w:rsidRPr="00312CB7">
              <w:rPr>
                <w:rFonts w:asciiTheme="minorHAnsi" w:hAnsiTheme="minorHAnsi" w:cstheme="minorHAnsi"/>
                <w:szCs w:val="16"/>
                <w:vertAlign w:val="superscript"/>
                <w14:ligatures w14:val="standardContextual"/>
              </w:rPr>
              <w:t>*</w:t>
            </w:r>
            <w:r w:rsidRPr="00312CB7">
              <w:rPr>
                <w:rFonts w:asciiTheme="minorHAnsi" w:hAnsiTheme="minorHAnsi" w:cstheme="minorHAnsi"/>
                <w:szCs w:val="16"/>
                <w14:ligatures w14:val="standardContextual"/>
              </w:rPr>
              <w:t xml:space="preserve"> and the travel resources of their staff.</w:t>
            </w:r>
          </w:p>
        </w:tc>
      </w:tr>
      <w:tr w:rsidR="00C26D38" w:rsidRPr="00210F65" w14:paraId="620B113B" w14:textId="77777777">
        <w:trPr>
          <w:trHeight w:val="258"/>
        </w:trPr>
        <w:tc>
          <w:tcPr>
            <w:tcW w:w="1560" w:type="dxa"/>
            <w:tcBorders>
              <w:top w:val="double" w:sz="4" w:space="0" w:color="auto"/>
              <w:bottom w:val="single" w:sz="4" w:space="0" w:color="auto"/>
              <w:right w:val="single" w:sz="4" w:space="0" w:color="auto"/>
            </w:tcBorders>
          </w:tcPr>
          <w:p w14:paraId="09EEAFCF" w14:textId="77777777" w:rsidR="008E7AF0" w:rsidRPr="00312CB7" w:rsidRDefault="008E7AF0">
            <w:pPr>
              <w:pStyle w:val="TableColumnHeadingLeft"/>
              <w:rPr>
                <w:rFonts w:asciiTheme="minorHAnsi" w:hAnsiTheme="minorHAnsi" w:cstheme="minorHAnsi"/>
              </w:rPr>
            </w:pPr>
            <w:r w:rsidRPr="00312CB7">
              <w:rPr>
                <w:rFonts w:asciiTheme="minorHAnsi" w:hAnsiTheme="minorHAnsi" w:cstheme="minorHAnsi"/>
              </w:rPr>
              <w:t>Year</w:t>
            </w:r>
          </w:p>
        </w:tc>
        <w:tc>
          <w:tcPr>
            <w:tcW w:w="3118" w:type="dxa"/>
            <w:tcBorders>
              <w:top w:val="double" w:sz="4" w:space="0" w:color="auto"/>
              <w:left w:val="single" w:sz="4" w:space="0" w:color="auto"/>
              <w:bottom w:val="single" w:sz="4" w:space="0" w:color="auto"/>
              <w:right w:val="single" w:sz="4" w:space="0" w:color="auto"/>
            </w:tcBorders>
          </w:tcPr>
          <w:p w14:paraId="24DB5D23" w14:textId="77777777" w:rsidR="008E7AF0" w:rsidRPr="00312CB7" w:rsidRDefault="008E7AF0">
            <w:pPr>
              <w:pStyle w:val="TableColumnHeadingLeft"/>
              <w:rPr>
                <w:rFonts w:asciiTheme="minorHAnsi" w:hAnsiTheme="minorHAnsi" w:cstheme="minorHAnsi"/>
              </w:rPr>
            </w:pPr>
            <w:r w:rsidRPr="00312CB7">
              <w:rPr>
                <w:rFonts w:asciiTheme="minorHAnsi" w:hAnsiTheme="minorHAnsi" w:cstheme="minorHAnsi"/>
              </w:rPr>
              <w:t>Performance measures</w:t>
            </w:r>
          </w:p>
        </w:tc>
        <w:tc>
          <w:tcPr>
            <w:tcW w:w="3118" w:type="dxa"/>
            <w:tcBorders>
              <w:top w:val="double" w:sz="4" w:space="0" w:color="auto"/>
              <w:left w:val="single" w:sz="4" w:space="0" w:color="auto"/>
              <w:bottom w:val="single" w:sz="4" w:space="0" w:color="auto"/>
            </w:tcBorders>
          </w:tcPr>
          <w:p w14:paraId="0E90BF64" w14:textId="77777777" w:rsidR="008E7AF0" w:rsidRPr="00312CB7" w:rsidRDefault="008E7AF0">
            <w:pPr>
              <w:pStyle w:val="TableColumnHeadingLeft"/>
              <w:rPr>
                <w:rFonts w:asciiTheme="minorHAnsi" w:hAnsiTheme="minorHAnsi" w:cstheme="minorHAnsi"/>
              </w:rPr>
            </w:pPr>
            <w:r w:rsidRPr="00312CB7">
              <w:rPr>
                <w:rFonts w:asciiTheme="minorHAnsi" w:hAnsiTheme="minorHAnsi" w:cstheme="minorHAnsi"/>
              </w:rPr>
              <w:t>Expected Performance Results</w:t>
            </w:r>
          </w:p>
        </w:tc>
      </w:tr>
      <w:tr w:rsidR="00C26D38" w:rsidRPr="00210F65" w14:paraId="1195136E" w14:textId="77777777">
        <w:trPr>
          <w:trHeight w:val="642"/>
        </w:trPr>
        <w:tc>
          <w:tcPr>
            <w:tcW w:w="1560" w:type="dxa"/>
            <w:tcBorders>
              <w:top w:val="single" w:sz="4" w:space="0" w:color="auto"/>
              <w:bottom w:val="dotted" w:sz="4" w:space="0" w:color="auto"/>
              <w:right w:val="single" w:sz="4" w:space="0" w:color="auto"/>
            </w:tcBorders>
          </w:tcPr>
          <w:p w14:paraId="5DA0DD39" w14:textId="77777777" w:rsidR="008E7AF0" w:rsidRPr="00312CB7" w:rsidRDefault="008E7AF0">
            <w:pPr>
              <w:pStyle w:val="TableTextBase"/>
              <w:spacing w:before="60" w:after="60"/>
              <w:rPr>
                <w:rFonts w:asciiTheme="minorHAnsi" w:hAnsiTheme="minorHAnsi" w:cstheme="minorHAnsi"/>
              </w:rPr>
            </w:pPr>
            <w:r w:rsidRPr="00312CB7">
              <w:rPr>
                <w:rFonts w:asciiTheme="minorHAnsi" w:hAnsiTheme="minorHAnsi" w:cstheme="minorHAnsi"/>
              </w:rPr>
              <w:t>Current Year</w:t>
            </w:r>
          </w:p>
          <w:p w14:paraId="7F53B6E9" w14:textId="77777777" w:rsidR="008E7AF0" w:rsidRPr="00312CB7" w:rsidRDefault="008E7AF0">
            <w:pPr>
              <w:pStyle w:val="TableTextLeft"/>
              <w:spacing w:before="60" w:after="60"/>
              <w:rPr>
                <w:rFonts w:asciiTheme="minorHAnsi" w:hAnsiTheme="minorHAnsi" w:cstheme="minorHAnsi"/>
              </w:rPr>
            </w:pPr>
            <w:r w:rsidRPr="00312CB7">
              <w:rPr>
                <w:rFonts w:asciiTheme="minorHAnsi" w:hAnsiTheme="minorHAnsi" w:cstheme="minorHAnsi"/>
              </w:rPr>
              <w:t>2023</w:t>
            </w:r>
            <w:r w:rsidRPr="00312CB7">
              <w:rPr>
                <w:rFonts w:asciiTheme="minorHAnsi" w:hAnsiTheme="minorHAnsi" w:cstheme="minorHAnsi"/>
              </w:rPr>
              <w:noBreakHyphen/>
              <w:t>24</w:t>
            </w:r>
          </w:p>
        </w:tc>
        <w:tc>
          <w:tcPr>
            <w:tcW w:w="3118" w:type="dxa"/>
            <w:tcBorders>
              <w:top w:val="single" w:sz="4" w:space="0" w:color="auto"/>
              <w:left w:val="single" w:sz="4" w:space="0" w:color="auto"/>
              <w:bottom w:val="dotted" w:sz="4" w:space="0" w:color="auto"/>
              <w:right w:val="single" w:sz="4" w:space="0" w:color="auto"/>
            </w:tcBorders>
          </w:tcPr>
          <w:p w14:paraId="499CF55D" w14:textId="77777777" w:rsidR="008E7AF0" w:rsidRPr="00312CB7" w:rsidRDefault="008E7AF0">
            <w:pPr>
              <w:pStyle w:val="TableTextBase"/>
              <w:spacing w:after="80"/>
              <w:rPr>
                <w:rFonts w:asciiTheme="minorHAnsi" w:hAnsiTheme="minorHAnsi" w:cstheme="minorHAnsi"/>
              </w:rPr>
            </w:pPr>
            <w:r w:rsidRPr="00312CB7">
              <w:rPr>
                <w:rFonts w:asciiTheme="minorHAnsi" w:hAnsiTheme="minorHAnsi" w:cstheme="minorHAnsi"/>
              </w:rPr>
              <w:t>Travel — Advice</w:t>
            </w:r>
          </w:p>
          <w:p w14:paraId="257DE035"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 xml:space="preserve">Provide accurate and timely advice to </w:t>
            </w:r>
          </w:p>
          <w:p w14:paraId="690F088C"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 xml:space="preserve">parliamentarians and MOP(S) staff on travel and related expenses. </w:t>
            </w:r>
            <w:r w:rsidRPr="00312CB7">
              <w:rPr>
                <w:rFonts w:asciiTheme="minorHAnsi" w:hAnsiTheme="minorHAnsi" w:cstheme="minorHAnsi"/>
              </w:rPr>
              <w:br/>
            </w:r>
          </w:p>
          <w:p w14:paraId="00C7E504" w14:textId="77777777" w:rsidR="008E7AF0" w:rsidRPr="00312CB7" w:rsidRDefault="008E7AF0">
            <w:pPr>
              <w:pStyle w:val="TableTextBase"/>
              <w:spacing w:before="80" w:after="80"/>
              <w:rPr>
                <w:rFonts w:asciiTheme="minorHAnsi" w:hAnsiTheme="minorHAnsi" w:cstheme="minorHAnsi"/>
              </w:rPr>
            </w:pPr>
            <w:r w:rsidRPr="00312CB7">
              <w:rPr>
                <w:rFonts w:asciiTheme="minorHAnsi" w:hAnsiTheme="minorHAnsi" w:cstheme="minorHAnsi"/>
              </w:rPr>
              <w:t>Travel — Education</w:t>
            </w:r>
          </w:p>
          <w:p w14:paraId="0FA96B20"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 xml:space="preserve">Provide education sessions to </w:t>
            </w:r>
          </w:p>
          <w:p w14:paraId="717F6598"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parliamentarians and MOP(S) staff on travel and related expenses.</w:t>
            </w:r>
          </w:p>
          <w:p w14:paraId="3F695BB0" w14:textId="77777777" w:rsidR="008E7AF0" w:rsidRPr="00312CB7" w:rsidRDefault="008E7AF0">
            <w:pPr>
              <w:pStyle w:val="TableTextBase"/>
              <w:spacing w:before="80" w:after="80"/>
              <w:rPr>
                <w:rFonts w:asciiTheme="minorHAnsi" w:hAnsiTheme="minorHAnsi" w:cstheme="minorHAnsi"/>
              </w:rPr>
            </w:pPr>
            <w:r w:rsidRPr="00312CB7">
              <w:rPr>
                <w:rFonts w:asciiTheme="minorHAnsi" w:hAnsiTheme="minorHAnsi" w:cstheme="minorHAnsi"/>
              </w:rPr>
              <w:t>Travel — Claims</w:t>
            </w:r>
          </w:p>
          <w:p w14:paraId="47EF3A8A" w14:textId="0FE0702D" w:rsidR="008E7AF0" w:rsidRPr="00312CB7" w:rsidRDefault="008E7AF0">
            <w:pPr>
              <w:pStyle w:val="TableTextBase"/>
              <w:spacing w:before="80" w:after="80"/>
              <w:rPr>
                <w:rFonts w:asciiTheme="minorHAnsi" w:hAnsiTheme="minorHAnsi" w:cstheme="minorHAnsi"/>
              </w:rPr>
            </w:pPr>
            <w:r w:rsidRPr="00312CB7">
              <w:rPr>
                <w:rFonts w:asciiTheme="minorHAnsi" w:hAnsiTheme="minorHAnsi" w:cstheme="minorHAnsi"/>
              </w:rPr>
              <w:t>Accurate and timely processing of claims for travel expenses and allowances relating to parliamentarians and MOP(S) staff.</w:t>
            </w:r>
            <w:r w:rsidRPr="00312CB7">
              <w:rPr>
                <w:rFonts w:asciiTheme="minorHAnsi" w:hAnsiTheme="minorHAnsi" w:cstheme="minorHAnsi"/>
              </w:rPr>
              <w:br/>
            </w:r>
            <w:r w:rsidRPr="00312CB7">
              <w:rPr>
                <w:rFonts w:asciiTheme="minorHAnsi" w:hAnsiTheme="minorHAnsi" w:cstheme="minorHAnsi"/>
              </w:rPr>
              <w:br/>
            </w:r>
            <w:r w:rsidRPr="00312CB7">
              <w:rPr>
                <w:rFonts w:asciiTheme="minorHAnsi" w:hAnsiTheme="minorHAnsi" w:cstheme="minorHAnsi"/>
              </w:rPr>
              <w:br/>
            </w:r>
          </w:p>
          <w:p w14:paraId="3FA5A489" w14:textId="77777777" w:rsidR="008E7AF0" w:rsidRPr="00312CB7" w:rsidRDefault="008E7AF0">
            <w:pPr>
              <w:pStyle w:val="TableTextBase"/>
              <w:spacing w:before="80" w:after="80"/>
              <w:rPr>
                <w:rFonts w:asciiTheme="minorHAnsi" w:hAnsiTheme="minorHAnsi" w:cstheme="minorHAnsi"/>
              </w:rPr>
            </w:pPr>
            <w:r w:rsidRPr="00312CB7">
              <w:rPr>
                <w:rFonts w:asciiTheme="minorHAnsi" w:hAnsiTheme="minorHAnsi" w:cstheme="minorHAnsi"/>
              </w:rPr>
              <w:t>Data and Reporting</w:t>
            </w:r>
          </w:p>
          <w:p w14:paraId="50A604E5" w14:textId="77777777" w:rsidR="008E7AF0" w:rsidRPr="00312CB7" w:rsidRDefault="008E7AF0">
            <w:pPr>
              <w:pStyle w:val="TableTextBase"/>
              <w:spacing w:before="0" w:after="0"/>
              <w:rPr>
                <w:rFonts w:asciiTheme="minorHAnsi" w:hAnsiTheme="minorHAnsi" w:cstheme="minorHAnsi"/>
              </w:rPr>
            </w:pPr>
            <w:r w:rsidRPr="00312CB7">
              <w:rPr>
                <w:rFonts w:asciiTheme="minorHAnsi" w:hAnsiTheme="minorHAnsi" w:cstheme="minorHAnsi"/>
              </w:rPr>
              <w:t xml:space="preserve">Increasing transparency through the </w:t>
            </w:r>
          </w:p>
          <w:p w14:paraId="0C1698F7" w14:textId="77777777" w:rsidR="008E7AF0" w:rsidRPr="00312CB7" w:rsidRDefault="008E7AF0">
            <w:pPr>
              <w:pStyle w:val="TableTextBase"/>
              <w:spacing w:before="0" w:after="0"/>
              <w:rPr>
                <w:rFonts w:asciiTheme="minorHAnsi" w:hAnsiTheme="minorHAnsi" w:cstheme="minorHAnsi"/>
              </w:rPr>
            </w:pPr>
            <w:r w:rsidRPr="00312CB7">
              <w:rPr>
                <w:rFonts w:asciiTheme="minorHAnsi" w:hAnsiTheme="minorHAnsi" w:cstheme="minorHAnsi"/>
              </w:rPr>
              <w:t>compilation of reports detailing the</w:t>
            </w:r>
          </w:p>
          <w:p w14:paraId="59F6F20D" w14:textId="77777777" w:rsidR="008E7AF0" w:rsidRPr="00312CB7" w:rsidRDefault="008E7AF0">
            <w:pPr>
              <w:pStyle w:val="TableTextBase"/>
              <w:spacing w:before="0" w:after="0"/>
              <w:rPr>
                <w:rFonts w:asciiTheme="minorHAnsi" w:hAnsiTheme="minorHAnsi" w:cstheme="minorHAnsi"/>
              </w:rPr>
            </w:pPr>
            <w:r w:rsidRPr="00312CB7">
              <w:rPr>
                <w:rFonts w:asciiTheme="minorHAnsi" w:hAnsiTheme="minorHAnsi" w:cstheme="minorHAnsi"/>
              </w:rPr>
              <w:t xml:space="preserve">work resources of current and former </w:t>
            </w:r>
          </w:p>
          <w:p w14:paraId="24E4376B" w14:textId="09E2E589" w:rsidR="008E7AF0" w:rsidRPr="00312CB7" w:rsidRDefault="008E7AF0" w:rsidP="00053B06">
            <w:pPr>
              <w:pStyle w:val="TableTextBase"/>
              <w:spacing w:before="0" w:after="0"/>
              <w:rPr>
                <w:rFonts w:asciiTheme="minorHAnsi" w:hAnsiTheme="minorHAnsi" w:cstheme="minorHAnsi"/>
                <w:szCs w:val="16"/>
              </w:rPr>
            </w:pPr>
            <w:r w:rsidRPr="00312CB7">
              <w:rPr>
                <w:rFonts w:asciiTheme="minorHAnsi" w:hAnsiTheme="minorHAnsi" w:cstheme="minorHAnsi"/>
              </w:rPr>
              <w:t>parliamentarians and the travel resources of MOP(S) staff.</w:t>
            </w:r>
            <w:r w:rsidRPr="00312CB7">
              <w:rPr>
                <w:rFonts w:asciiTheme="minorHAnsi" w:hAnsiTheme="minorHAnsi" w:cstheme="minorHAnsi"/>
              </w:rPr>
              <w:br/>
            </w:r>
          </w:p>
        </w:tc>
        <w:tc>
          <w:tcPr>
            <w:tcW w:w="3118" w:type="dxa"/>
            <w:tcBorders>
              <w:top w:val="single" w:sz="4" w:space="0" w:color="auto"/>
              <w:left w:val="single" w:sz="4" w:space="0" w:color="auto"/>
              <w:bottom w:val="dotted" w:sz="4" w:space="0" w:color="auto"/>
            </w:tcBorders>
          </w:tcPr>
          <w:p w14:paraId="622EC3DC"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b/>
              </w:rPr>
              <w:t>Met</w:t>
            </w:r>
            <w:r w:rsidRPr="00312CB7">
              <w:rPr>
                <w:rFonts w:asciiTheme="minorHAnsi" w:hAnsiTheme="minorHAnsi" w:cstheme="minorHAnsi"/>
              </w:rPr>
              <w:t xml:space="preserve"> – Advice is provided in accordance with IPEA’s published service level standards, which include measurements for quality and timeliness.</w:t>
            </w:r>
          </w:p>
          <w:p w14:paraId="371CAD68" w14:textId="77777777" w:rsidR="008E7AF0" w:rsidRPr="00312CB7" w:rsidRDefault="008E7AF0">
            <w:pPr>
              <w:pStyle w:val="TableTextBase"/>
              <w:spacing w:before="80" w:after="80"/>
              <w:rPr>
                <w:rFonts w:asciiTheme="minorHAnsi" w:hAnsiTheme="minorHAnsi" w:cstheme="minorHAnsi"/>
              </w:rPr>
            </w:pPr>
          </w:p>
          <w:p w14:paraId="62354A7E"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b/>
              </w:rPr>
              <w:t>Met</w:t>
            </w:r>
            <w:r w:rsidRPr="00312CB7">
              <w:rPr>
                <w:rFonts w:asciiTheme="minorHAnsi" w:hAnsiTheme="minorHAnsi" w:cstheme="minorHAnsi"/>
              </w:rPr>
              <w:t xml:space="preserve"> – Education sessions are provided in accordance with the published </w:t>
            </w:r>
            <w:proofErr w:type="gramStart"/>
            <w:r w:rsidRPr="00312CB7">
              <w:rPr>
                <w:rFonts w:asciiTheme="minorHAnsi" w:hAnsiTheme="minorHAnsi" w:cstheme="minorHAnsi"/>
              </w:rPr>
              <w:t>service</w:t>
            </w:r>
            <w:proofErr w:type="gramEnd"/>
          </w:p>
          <w:p w14:paraId="3177AA34"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level standards.</w:t>
            </w:r>
          </w:p>
          <w:p w14:paraId="56C94BFB" w14:textId="77777777" w:rsidR="008E7AF0" w:rsidRPr="00312CB7" w:rsidRDefault="008E7AF0">
            <w:pPr>
              <w:pStyle w:val="TableTextBase"/>
              <w:spacing w:before="80" w:after="80"/>
              <w:rPr>
                <w:rFonts w:asciiTheme="minorHAnsi" w:hAnsiTheme="minorHAnsi" w:cstheme="minorHAnsi"/>
              </w:rPr>
            </w:pPr>
          </w:p>
          <w:p w14:paraId="0374B3C7" w14:textId="77777777" w:rsidR="008E7AF0" w:rsidRPr="00312CB7" w:rsidRDefault="008E7AF0">
            <w:pPr>
              <w:pStyle w:val="TableTextBase"/>
              <w:spacing w:before="80" w:after="80"/>
              <w:rPr>
                <w:rFonts w:asciiTheme="minorHAnsi" w:hAnsiTheme="minorHAnsi" w:cstheme="minorHAnsi"/>
              </w:rPr>
            </w:pPr>
            <w:r w:rsidRPr="00312CB7">
              <w:rPr>
                <w:rFonts w:asciiTheme="minorHAnsi" w:hAnsiTheme="minorHAnsi" w:cstheme="minorHAnsi"/>
                <w:b/>
              </w:rPr>
              <w:t>Partially met</w:t>
            </w:r>
            <w:r w:rsidRPr="00312CB7">
              <w:rPr>
                <w:rFonts w:asciiTheme="minorHAnsi" w:hAnsiTheme="minorHAnsi" w:cstheme="minorHAnsi"/>
              </w:rPr>
              <w:t xml:space="preserve"> – IPEA’s ability to meet its service level standards, and fully measure and report on its travel claims performance, has been impacted by Parliamentary Expenses Management Systems’ (PEMS) functionality limitations and technical issues.</w:t>
            </w:r>
          </w:p>
          <w:p w14:paraId="37137CDE" w14:textId="77777777" w:rsidR="008E7AF0" w:rsidRPr="00312CB7" w:rsidRDefault="008E7AF0">
            <w:pPr>
              <w:pStyle w:val="TableTextBase"/>
              <w:rPr>
                <w:rFonts w:asciiTheme="minorHAnsi" w:hAnsiTheme="minorHAnsi" w:cstheme="minorHAnsi"/>
                <w:b/>
              </w:rPr>
            </w:pPr>
          </w:p>
          <w:p w14:paraId="01AA13A3"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b/>
              </w:rPr>
              <w:t>Met</w:t>
            </w:r>
            <w:r w:rsidRPr="00312CB7">
              <w:rPr>
                <w:rFonts w:asciiTheme="minorHAnsi" w:hAnsiTheme="minorHAnsi" w:cstheme="minorHAnsi"/>
              </w:rPr>
              <w:t xml:space="preserve"> – Reports relating to work expenses for parliamentarians and their staff </w:t>
            </w:r>
            <w:proofErr w:type="gramStart"/>
            <w:r w:rsidRPr="00312CB7">
              <w:rPr>
                <w:rFonts w:asciiTheme="minorHAnsi" w:hAnsiTheme="minorHAnsi" w:cstheme="minorHAnsi"/>
              </w:rPr>
              <w:t>are</w:t>
            </w:r>
            <w:proofErr w:type="gramEnd"/>
          </w:p>
          <w:p w14:paraId="74C01686" w14:textId="77777777" w:rsidR="008E7AF0" w:rsidRPr="00312CB7" w:rsidRDefault="008E7AF0">
            <w:pPr>
              <w:pStyle w:val="TableTextBase"/>
              <w:rPr>
                <w:rFonts w:asciiTheme="minorHAnsi" w:hAnsiTheme="minorHAnsi" w:cstheme="minorHAnsi"/>
              </w:rPr>
            </w:pPr>
            <w:r w:rsidRPr="00312CB7">
              <w:rPr>
                <w:rFonts w:asciiTheme="minorHAnsi" w:hAnsiTheme="minorHAnsi" w:cstheme="minorHAnsi"/>
              </w:rPr>
              <w:t xml:space="preserve">prepared and provided as per </w:t>
            </w:r>
            <w:proofErr w:type="gramStart"/>
            <w:r w:rsidRPr="00312CB7">
              <w:rPr>
                <w:rFonts w:asciiTheme="minorHAnsi" w:hAnsiTheme="minorHAnsi" w:cstheme="minorHAnsi"/>
              </w:rPr>
              <w:t>IPEA’s</w:t>
            </w:r>
            <w:proofErr w:type="gramEnd"/>
          </w:p>
          <w:p w14:paraId="55935E4A" w14:textId="49EA9568" w:rsidR="008E7AF0" w:rsidRPr="00312CB7" w:rsidRDefault="008E7AF0" w:rsidP="00053B06">
            <w:pPr>
              <w:pStyle w:val="TableTextBase"/>
              <w:rPr>
                <w:rFonts w:asciiTheme="minorHAnsi" w:hAnsiTheme="minorHAnsi" w:cstheme="minorHAnsi"/>
              </w:rPr>
            </w:pPr>
            <w:r w:rsidRPr="00312CB7">
              <w:rPr>
                <w:rFonts w:asciiTheme="minorHAnsi" w:hAnsiTheme="minorHAnsi" w:cstheme="minorHAnsi"/>
              </w:rPr>
              <w:t>published service level standards.</w:t>
            </w:r>
            <w:r w:rsidRPr="00312CB7">
              <w:rPr>
                <w:rFonts w:asciiTheme="minorHAnsi" w:hAnsiTheme="minorHAnsi" w:cstheme="minorHAnsi"/>
              </w:rPr>
              <w:br/>
            </w:r>
          </w:p>
        </w:tc>
      </w:tr>
    </w:tbl>
    <w:p w14:paraId="22FB36A5" w14:textId="77777777" w:rsidR="00053B06" w:rsidRDefault="00053B06" w:rsidP="00053B06">
      <w:pPr>
        <w:spacing w:before="0"/>
      </w:pPr>
      <w:r w:rsidRPr="003B6DE1">
        <w:rPr>
          <w:rFonts w:ascii="Arial" w:hAnsi="Arial" w:cs="Arial"/>
          <w:sz w:val="16"/>
          <w:szCs w:val="16"/>
        </w:rPr>
        <w:t xml:space="preserve">Table continues on next </w:t>
      </w:r>
      <w:proofErr w:type="gramStart"/>
      <w:r w:rsidRPr="003B6DE1">
        <w:rPr>
          <w:rFonts w:ascii="Arial" w:hAnsi="Arial" w:cs="Arial"/>
          <w:sz w:val="16"/>
          <w:szCs w:val="16"/>
        </w:rPr>
        <w:t>page</w:t>
      </w:r>
      <w:proofErr w:type="gramEnd"/>
    </w:p>
    <w:p w14:paraId="29353D39" w14:textId="77777777" w:rsidR="00053B06" w:rsidRDefault="00053B06" w:rsidP="000542F3">
      <w:pPr>
        <w:spacing w:before="120" w:after="360" w:line="240" w:lineRule="auto"/>
        <w:rPr>
          <w:i/>
          <w:iCs/>
          <w:sz w:val="16"/>
          <w:szCs w:val="16"/>
          <w:vertAlign w:val="superscript"/>
        </w:rPr>
      </w:pPr>
    </w:p>
    <w:p w14:paraId="07CA0FBD" w14:textId="77777777" w:rsidR="00BA0D0C" w:rsidRPr="00BA0D0C" w:rsidRDefault="00BA0D0C" w:rsidP="00BA0D0C">
      <w:pPr>
        <w:rPr>
          <w:sz w:val="16"/>
          <w:szCs w:val="16"/>
        </w:rPr>
      </w:pPr>
    </w:p>
    <w:p w14:paraId="5AF1D4FC" w14:textId="23C6F52C" w:rsidR="00046B11" w:rsidRPr="004E1A5E" w:rsidRDefault="004E1A5E" w:rsidP="004E1A5E">
      <w:pPr>
        <w:pStyle w:val="TableHeading"/>
      </w:pPr>
      <w:r w:rsidRPr="00741404">
        <w:lastRenderedPageBreak/>
        <w:t>Table 2.1.</w:t>
      </w:r>
      <w:r>
        <w:t>3</w:t>
      </w:r>
      <w:r w:rsidRPr="00741404">
        <w:t>: Performance measures for Outcome 1</w:t>
      </w:r>
      <w:r>
        <w:t xml:space="preserve"> (continued)</w:t>
      </w:r>
    </w:p>
    <w:tbl>
      <w:tblPr>
        <w:tblpPr w:leftFromText="180" w:rightFromText="180" w:vertAnchor="page" w:horzAnchor="margin" w:tblpY="3121"/>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2517BD" w:rsidRPr="00210F65" w14:paraId="029408F2" w14:textId="77777777" w:rsidTr="002517BD">
        <w:trPr>
          <w:trHeight w:val="522"/>
          <w:tblHeader/>
        </w:trPr>
        <w:tc>
          <w:tcPr>
            <w:tcW w:w="7796" w:type="dxa"/>
            <w:gridSpan w:val="3"/>
            <w:shd w:val="clear" w:color="auto" w:fill="F2F2F2" w:themeFill="background1" w:themeFillShade="F2"/>
          </w:tcPr>
          <w:p w14:paraId="23C561DF" w14:textId="77777777" w:rsidR="002517BD" w:rsidRPr="00312CB7" w:rsidRDefault="002517BD" w:rsidP="002517BD">
            <w:pPr>
              <w:pStyle w:val="TableTextLeft"/>
              <w:rPr>
                <w:rFonts w:asciiTheme="minorHAnsi" w:hAnsiTheme="minorHAnsi" w:cstheme="minorHAnsi"/>
                <w:szCs w:val="16"/>
              </w:rPr>
            </w:pPr>
            <w:r w:rsidRPr="00312CB7">
              <w:rPr>
                <w:rFonts w:asciiTheme="minorHAnsi" w:hAnsiTheme="minorHAnsi" w:cstheme="minorHAnsi"/>
                <w:b/>
                <w:szCs w:val="16"/>
              </w:rPr>
              <w:t>Program 1.1 – Independent Parliamentary Expenses Authority – Travel Oversight and Reporting.</w:t>
            </w:r>
          </w:p>
          <w:p w14:paraId="66486693" w14:textId="77777777" w:rsidR="002517BD" w:rsidRPr="00312CB7" w:rsidRDefault="002517BD" w:rsidP="002517BD">
            <w:pPr>
              <w:pStyle w:val="TableTextLeft"/>
              <w:rPr>
                <w:rFonts w:asciiTheme="minorHAnsi" w:hAnsiTheme="minorHAnsi" w:cstheme="minorHAnsi"/>
                <w:szCs w:val="16"/>
              </w:rPr>
            </w:pPr>
            <w:r w:rsidRPr="00312CB7">
              <w:rPr>
                <w:rFonts w:asciiTheme="minorHAnsi" w:hAnsiTheme="minorHAnsi" w:cstheme="minorHAnsi"/>
                <w:szCs w:val="16"/>
              </w:rPr>
              <w:t>IPEA provides services to parliamentarians and their staff and publicly reports on their expenditure.</w:t>
            </w:r>
          </w:p>
        </w:tc>
      </w:tr>
      <w:tr w:rsidR="002517BD" w:rsidRPr="00210F65" w14:paraId="7C0F3E31" w14:textId="77777777" w:rsidTr="002517BD">
        <w:trPr>
          <w:trHeight w:val="258"/>
        </w:trPr>
        <w:tc>
          <w:tcPr>
            <w:tcW w:w="1560" w:type="dxa"/>
            <w:tcBorders>
              <w:top w:val="double" w:sz="4" w:space="0" w:color="auto"/>
              <w:bottom w:val="single" w:sz="4" w:space="0" w:color="auto"/>
              <w:right w:val="single" w:sz="4" w:space="0" w:color="auto"/>
            </w:tcBorders>
          </w:tcPr>
          <w:p w14:paraId="0427E2D7"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Year</w:t>
            </w:r>
          </w:p>
        </w:tc>
        <w:tc>
          <w:tcPr>
            <w:tcW w:w="3118" w:type="dxa"/>
            <w:tcBorders>
              <w:top w:val="double" w:sz="4" w:space="0" w:color="auto"/>
              <w:left w:val="single" w:sz="4" w:space="0" w:color="auto"/>
              <w:bottom w:val="single" w:sz="4" w:space="0" w:color="auto"/>
              <w:right w:val="single" w:sz="4" w:space="0" w:color="auto"/>
            </w:tcBorders>
          </w:tcPr>
          <w:p w14:paraId="09360B0F"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Performance measures</w:t>
            </w:r>
          </w:p>
        </w:tc>
        <w:tc>
          <w:tcPr>
            <w:tcW w:w="3118" w:type="dxa"/>
            <w:tcBorders>
              <w:top w:val="double" w:sz="4" w:space="0" w:color="auto"/>
              <w:left w:val="single" w:sz="4" w:space="0" w:color="auto"/>
              <w:bottom w:val="single" w:sz="4" w:space="0" w:color="auto"/>
            </w:tcBorders>
          </w:tcPr>
          <w:p w14:paraId="7952E45A"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Expected Performance Results</w:t>
            </w:r>
          </w:p>
        </w:tc>
      </w:tr>
      <w:tr w:rsidR="002517BD" w:rsidRPr="00210F65" w14:paraId="23F65292" w14:textId="77777777" w:rsidTr="002517BD">
        <w:trPr>
          <w:trHeight w:val="642"/>
        </w:trPr>
        <w:tc>
          <w:tcPr>
            <w:tcW w:w="1560" w:type="dxa"/>
            <w:tcBorders>
              <w:top w:val="single" w:sz="4" w:space="0" w:color="auto"/>
              <w:bottom w:val="dotted" w:sz="4" w:space="0" w:color="auto"/>
              <w:right w:val="single" w:sz="4" w:space="0" w:color="auto"/>
            </w:tcBorders>
          </w:tcPr>
          <w:p w14:paraId="6FD1CD84" w14:textId="77777777" w:rsidR="002517BD" w:rsidRPr="00312CB7" w:rsidRDefault="002517BD" w:rsidP="002517BD">
            <w:pPr>
              <w:pStyle w:val="TableTextBase"/>
              <w:spacing w:before="60" w:after="60"/>
              <w:rPr>
                <w:rFonts w:asciiTheme="minorHAnsi" w:hAnsiTheme="minorHAnsi" w:cstheme="minorHAnsi"/>
                <w:szCs w:val="16"/>
              </w:rPr>
            </w:pPr>
            <w:r w:rsidRPr="00312CB7">
              <w:rPr>
                <w:rFonts w:asciiTheme="minorHAnsi" w:hAnsiTheme="minorHAnsi" w:cstheme="minorHAnsi"/>
                <w:szCs w:val="16"/>
              </w:rPr>
              <w:t>Current Year</w:t>
            </w:r>
          </w:p>
          <w:p w14:paraId="5EC63A8F" w14:textId="77777777" w:rsidR="002517BD" w:rsidRPr="00312CB7" w:rsidRDefault="002517BD" w:rsidP="002517BD">
            <w:pPr>
              <w:pStyle w:val="TableTextLeft"/>
              <w:spacing w:before="60" w:after="60"/>
              <w:rPr>
                <w:rFonts w:asciiTheme="minorHAnsi" w:hAnsiTheme="minorHAnsi" w:cstheme="minorHAnsi"/>
                <w:szCs w:val="16"/>
              </w:rPr>
            </w:pPr>
            <w:r w:rsidRPr="00312CB7">
              <w:rPr>
                <w:rFonts w:asciiTheme="minorHAnsi" w:hAnsiTheme="minorHAnsi" w:cstheme="minorHAnsi"/>
                <w:szCs w:val="16"/>
              </w:rPr>
              <w:t>2023</w:t>
            </w:r>
            <w:r w:rsidRPr="00312CB7">
              <w:rPr>
                <w:rFonts w:asciiTheme="minorHAnsi" w:hAnsiTheme="minorHAnsi" w:cstheme="minorHAnsi"/>
                <w:szCs w:val="16"/>
              </w:rPr>
              <w:noBreakHyphen/>
              <w:t>24</w:t>
            </w:r>
          </w:p>
        </w:tc>
        <w:tc>
          <w:tcPr>
            <w:tcW w:w="3118" w:type="dxa"/>
            <w:tcBorders>
              <w:top w:val="single" w:sz="4" w:space="0" w:color="auto"/>
              <w:left w:val="single" w:sz="4" w:space="0" w:color="auto"/>
              <w:bottom w:val="dotted" w:sz="4" w:space="0" w:color="auto"/>
              <w:right w:val="single" w:sz="4" w:space="0" w:color="auto"/>
            </w:tcBorders>
          </w:tcPr>
          <w:p w14:paraId="75C178A8" w14:textId="77777777" w:rsidR="002517BD" w:rsidRPr="00312CB7" w:rsidRDefault="002517BD" w:rsidP="002517BD">
            <w:pPr>
              <w:pStyle w:val="TableTextBase"/>
              <w:spacing w:before="120" w:after="0"/>
              <w:rPr>
                <w:rFonts w:asciiTheme="minorHAnsi" w:hAnsiTheme="minorHAnsi" w:cstheme="minorHAnsi"/>
                <w:szCs w:val="16"/>
              </w:rPr>
            </w:pPr>
            <w:r w:rsidRPr="00312CB7">
              <w:rPr>
                <w:rFonts w:asciiTheme="minorHAnsi" w:hAnsiTheme="minorHAnsi" w:cstheme="minorHAnsi"/>
                <w:szCs w:val="16"/>
              </w:rPr>
              <w:t>Audit and Assurance</w:t>
            </w:r>
          </w:p>
          <w:p w14:paraId="1A3EB6C6" w14:textId="77777777" w:rsidR="002517BD" w:rsidRPr="00312CB7" w:rsidRDefault="002517BD" w:rsidP="002517BD">
            <w:pPr>
              <w:pStyle w:val="TableTextBase"/>
              <w:spacing w:before="80" w:after="80"/>
              <w:rPr>
                <w:rFonts w:asciiTheme="minorHAnsi" w:hAnsiTheme="minorHAnsi" w:cstheme="minorHAnsi"/>
                <w:szCs w:val="16"/>
              </w:rPr>
            </w:pPr>
            <w:r w:rsidRPr="00312CB7">
              <w:rPr>
                <w:rFonts w:asciiTheme="minorHAnsi" w:hAnsiTheme="minorHAnsi" w:cstheme="minorHAnsi"/>
                <w:szCs w:val="16"/>
              </w:rPr>
              <w:t>Conducting assurance activities on the work resources of parliamentarians and the travel resources of MOP(S) staff.</w:t>
            </w:r>
          </w:p>
          <w:p w14:paraId="72F69993" w14:textId="77777777" w:rsidR="002517BD" w:rsidRPr="00312CB7" w:rsidRDefault="002517BD" w:rsidP="002517BD">
            <w:pPr>
              <w:pStyle w:val="TableTextBase"/>
              <w:rPr>
                <w:rFonts w:asciiTheme="minorHAnsi" w:hAnsiTheme="minorHAnsi" w:cstheme="minorHAnsi"/>
                <w:szCs w:val="16"/>
              </w:rPr>
            </w:pPr>
          </w:p>
        </w:tc>
        <w:tc>
          <w:tcPr>
            <w:tcW w:w="3118" w:type="dxa"/>
            <w:tcBorders>
              <w:top w:val="single" w:sz="4" w:space="0" w:color="auto"/>
              <w:left w:val="single" w:sz="4" w:space="0" w:color="auto"/>
              <w:bottom w:val="dotted" w:sz="4" w:space="0" w:color="auto"/>
            </w:tcBorders>
          </w:tcPr>
          <w:p w14:paraId="796E9FD3" w14:textId="77777777" w:rsidR="002517BD" w:rsidRPr="00312CB7" w:rsidRDefault="002517BD" w:rsidP="002517BD">
            <w:pPr>
              <w:pStyle w:val="TableTextBase"/>
              <w:spacing w:before="120" w:after="120"/>
              <w:rPr>
                <w:rFonts w:asciiTheme="minorHAnsi" w:hAnsiTheme="minorHAnsi" w:cstheme="minorHAnsi"/>
                <w:szCs w:val="16"/>
              </w:rPr>
            </w:pPr>
            <w:r w:rsidRPr="00312CB7">
              <w:rPr>
                <w:rFonts w:asciiTheme="minorHAnsi" w:hAnsiTheme="minorHAnsi" w:cstheme="minorHAnsi"/>
                <w:b/>
                <w:szCs w:val="16"/>
              </w:rPr>
              <w:t>Met</w:t>
            </w:r>
            <w:r w:rsidRPr="00312CB7">
              <w:rPr>
                <w:rFonts w:asciiTheme="minorHAnsi" w:hAnsiTheme="minorHAnsi" w:cstheme="minorHAnsi"/>
                <w:szCs w:val="16"/>
              </w:rPr>
              <w:t xml:space="preserve"> – All parliamentarians’ offices are subject to one or more forms of assurance activity during the financial year in accordance with IPEA’s published service level standards and procedures (protocols and factsheets).</w:t>
            </w:r>
          </w:p>
        </w:tc>
      </w:tr>
      <w:tr w:rsidR="002517BD" w:rsidRPr="00210F65" w14:paraId="09DA006C" w14:textId="77777777" w:rsidTr="002517BD">
        <w:trPr>
          <w:trHeight w:val="100"/>
        </w:trPr>
        <w:tc>
          <w:tcPr>
            <w:tcW w:w="1560" w:type="dxa"/>
            <w:tcBorders>
              <w:top w:val="single" w:sz="4" w:space="0" w:color="auto"/>
              <w:bottom w:val="dotted" w:sz="4" w:space="0" w:color="auto"/>
              <w:right w:val="single" w:sz="4" w:space="0" w:color="auto"/>
            </w:tcBorders>
          </w:tcPr>
          <w:p w14:paraId="3BCA7AB0"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Year</w:t>
            </w:r>
          </w:p>
        </w:tc>
        <w:tc>
          <w:tcPr>
            <w:tcW w:w="3118" w:type="dxa"/>
            <w:tcBorders>
              <w:top w:val="single" w:sz="4" w:space="0" w:color="auto"/>
              <w:left w:val="single" w:sz="4" w:space="0" w:color="auto"/>
              <w:bottom w:val="dotted" w:sz="4" w:space="0" w:color="auto"/>
              <w:right w:val="single" w:sz="4" w:space="0" w:color="auto"/>
            </w:tcBorders>
          </w:tcPr>
          <w:p w14:paraId="61D18EFF"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Performance measures</w:t>
            </w:r>
          </w:p>
        </w:tc>
        <w:tc>
          <w:tcPr>
            <w:tcW w:w="3118" w:type="dxa"/>
            <w:tcBorders>
              <w:top w:val="single" w:sz="4" w:space="0" w:color="auto"/>
              <w:left w:val="single" w:sz="4" w:space="0" w:color="auto"/>
              <w:bottom w:val="dotted" w:sz="4" w:space="0" w:color="auto"/>
            </w:tcBorders>
          </w:tcPr>
          <w:p w14:paraId="3F67BD67" w14:textId="77777777" w:rsidR="002517BD" w:rsidRPr="00312CB7" w:rsidRDefault="002517BD" w:rsidP="002517BD">
            <w:pPr>
              <w:pStyle w:val="TableColumnHeadingLeft"/>
              <w:rPr>
                <w:rFonts w:asciiTheme="minorHAnsi" w:hAnsiTheme="minorHAnsi" w:cstheme="minorHAnsi"/>
                <w:szCs w:val="16"/>
              </w:rPr>
            </w:pPr>
            <w:r w:rsidRPr="00312CB7">
              <w:rPr>
                <w:rFonts w:asciiTheme="minorHAnsi" w:hAnsiTheme="minorHAnsi" w:cstheme="minorHAnsi"/>
                <w:szCs w:val="16"/>
              </w:rPr>
              <w:t>Planned Performance Results</w:t>
            </w:r>
          </w:p>
        </w:tc>
      </w:tr>
      <w:tr w:rsidR="002517BD" w:rsidRPr="00210F65" w14:paraId="44003A0E" w14:textId="77777777" w:rsidTr="002517BD">
        <w:trPr>
          <w:trHeight w:val="100"/>
        </w:trPr>
        <w:tc>
          <w:tcPr>
            <w:tcW w:w="1560" w:type="dxa"/>
            <w:tcBorders>
              <w:top w:val="single" w:sz="4" w:space="0" w:color="auto"/>
              <w:bottom w:val="dotted" w:sz="4" w:space="0" w:color="auto"/>
              <w:right w:val="single" w:sz="4" w:space="0" w:color="auto"/>
            </w:tcBorders>
          </w:tcPr>
          <w:p w14:paraId="0B4EE736" w14:textId="77777777" w:rsidR="002517BD" w:rsidRPr="00312CB7" w:rsidRDefault="002517BD" w:rsidP="002517BD">
            <w:pPr>
              <w:pStyle w:val="TableTextLeft"/>
              <w:spacing w:before="60" w:after="60"/>
              <w:rPr>
                <w:rFonts w:asciiTheme="minorHAnsi" w:hAnsiTheme="minorHAnsi" w:cstheme="minorHAnsi"/>
                <w:szCs w:val="16"/>
              </w:rPr>
            </w:pPr>
            <w:r w:rsidRPr="00312CB7">
              <w:rPr>
                <w:rFonts w:asciiTheme="minorHAnsi" w:hAnsiTheme="minorHAnsi" w:cstheme="minorHAnsi"/>
                <w:szCs w:val="16"/>
              </w:rPr>
              <w:t xml:space="preserve">Budget Year </w:t>
            </w:r>
          </w:p>
          <w:p w14:paraId="6D08AA07" w14:textId="77777777" w:rsidR="002517BD" w:rsidRPr="00312CB7" w:rsidRDefault="002517BD" w:rsidP="002517BD">
            <w:pPr>
              <w:pStyle w:val="TableTextLeft"/>
              <w:spacing w:before="60" w:after="60"/>
              <w:rPr>
                <w:rFonts w:asciiTheme="minorHAnsi" w:hAnsiTheme="minorHAnsi" w:cstheme="minorHAnsi"/>
                <w:szCs w:val="16"/>
              </w:rPr>
            </w:pPr>
            <w:r w:rsidRPr="00312CB7">
              <w:rPr>
                <w:rFonts w:asciiTheme="minorHAnsi" w:hAnsiTheme="minorHAnsi" w:cstheme="minorHAnsi"/>
                <w:szCs w:val="16"/>
              </w:rPr>
              <w:t>2024</w:t>
            </w:r>
            <w:r w:rsidRPr="00312CB7">
              <w:rPr>
                <w:rFonts w:asciiTheme="minorHAnsi" w:hAnsiTheme="minorHAnsi" w:cstheme="minorHAnsi"/>
                <w:szCs w:val="16"/>
              </w:rPr>
              <w:noBreakHyphen/>
              <w:t>25</w:t>
            </w:r>
          </w:p>
        </w:tc>
        <w:tc>
          <w:tcPr>
            <w:tcW w:w="3118" w:type="dxa"/>
            <w:tcBorders>
              <w:top w:val="single" w:sz="4" w:space="0" w:color="auto"/>
              <w:left w:val="single" w:sz="4" w:space="0" w:color="auto"/>
              <w:bottom w:val="dotted" w:sz="4" w:space="0" w:color="auto"/>
              <w:right w:val="single" w:sz="4" w:space="0" w:color="auto"/>
            </w:tcBorders>
          </w:tcPr>
          <w:p w14:paraId="006FBD37" w14:textId="77777777" w:rsidR="002517BD" w:rsidRPr="00312CB7" w:rsidRDefault="002517BD" w:rsidP="002517BD">
            <w:pPr>
              <w:pStyle w:val="TableTextBase"/>
              <w:spacing w:before="0" w:after="0"/>
              <w:rPr>
                <w:rFonts w:asciiTheme="minorHAnsi" w:hAnsiTheme="minorHAnsi" w:cstheme="minorHAnsi"/>
                <w:szCs w:val="16"/>
              </w:rPr>
            </w:pPr>
          </w:p>
          <w:p w14:paraId="59BAA565"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Provision and delivery of independent advice, administration, reporting on, and assurance of, work resources</w:t>
            </w:r>
            <w:r w:rsidRPr="00312CB7">
              <w:rPr>
                <w:rFonts w:asciiTheme="minorHAnsi" w:hAnsiTheme="minorHAnsi" w:cstheme="minorHAnsi"/>
                <w:szCs w:val="16"/>
                <w:vertAlign w:val="superscript"/>
              </w:rPr>
              <w:t>*</w:t>
            </w:r>
            <w:r w:rsidRPr="00312CB7">
              <w:rPr>
                <w:rFonts w:asciiTheme="minorHAnsi" w:hAnsiTheme="minorHAnsi" w:cstheme="minorHAnsi"/>
                <w:szCs w:val="16"/>
              </w:rPr>
              <w:t xml:space="preserve"> for parliamentarians and travel resources for their staff.</w:t>
            </w:r>
          </w:p>
          <w:p w14:paraId="6867F94B" w14:textId="77777777" w:rsidR="002517BD" w:rsidRPr="00312CB7" w:rsidRDefault="002517BD" w:rsidP="002517BD">
            <w:pPr>
              <w:pStyle w:val="TableTextBase"/>
              <w:spacing w:before="0" w:after="0"/>
              <w:rPr>
                <w:rFonts w:asciiTheme="minorHAnsi" w:hAnsiTheme="minorHAnsi" w:cstheme="minorHAnsi"/>
                <w:szCs w:val="16"/>
              </w:rPr>
            </w:pPr>
          </w:p>
          <w:p w14:paraId="77D3A33C"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 xml:space="preserve">Advice  </w:t>
            </w:r>
          </w:p>
          <w:p w14:paraId="0D2A31B5"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 xml:space="preserve">Provide accurate and timely advice to parliamentarians and their staff on travel resources. </w:t>
            </w:r>
          </w:p>
          <w:p w14:paraId="26C19870" w14:textId="77777777" w:rsidR="002517BD" w:rsidRPr="00312CB7" w:rsidRDefault="002517BD" w:rsidP="002517BD">
            <w:pPr>
              <w:pStyle w:val="TableTextBase"/>
              <w:spacing w:before="0" w:after="120"/>
              <w:rPr>
                <w:rFonts w:asciiTheme="minorHAnsi" w:hAnsiTheme="minorHAnsi" w:cstheme="minorHAnsi"/>
                <w:szCs w:val="16"/>
              </w:rPr>
            </w:pPr>
          </w:p>
          <w:p w14:paraId="6C01D68E"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 xml:space="preserve">Education  </w:t>
            </w:r>
          </w:p>
          <w:p w14:paraId="1D90E592"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Educate parliamentarians and their staff on travel resources.</w:t>
            </w:r>
          </w:p>
          <w:p w14:paraId="5AC3DFBD" w14:textId="77777777" w:rsidR="002517BD" w:rsidRPr="00312CB7" w:rsidRDefault="002517BD" w:rsidP="002517BD">
            <w:pPr>
              <w:pStyle w:val="TableTextBase"/>
              <w:spacing w:before="0" w:after="0"/>
              <w:rPr>
                <w:rFonts w:asciiTheme="minorHAnsi" w:hAnsiTheme="minorHAnsi" w:cstheme="minorHAnsi"/>
                <w:szCs w:val="16"/>
              </w:rPr>
            </w:pPr>
          </w:p>
          <w:p w14:paraId="276B3D5D" w14:textId="77777777" w:rsidR="002517BD" w:rsidRPr="00312CB7" w:rsidRDefault="002517BD" w:rsidP="002517BD">
            <w:pPr>
              <w:pStyle w:val="TableTextBase"/>
              <w:spacing w:before="0" w:after="0"/>
              <w:rPr>
                <w:rFonts w:asciiTheme="minorHAnsi" w:hAnsiTheme="minorHAnsi" w:cstheme="minorHAnsi"/>
                <w:szCs w:val="16"/>
              </w:rPr>
            </w:pPr>
          </w:p>
          <w:p w14:paraId="581DDB3F"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 xml:space="preserve">Claims Administration  </w:t>
            </w:r>
          </w:p>
          <w:p w14:paraId="0C70DE26"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Administer accurately and in a timely manner the processing of parliamentarians’ and their staff claims for travel resources.</w:t>
            </w:r>
          </w:p>
          <w:p w14:paraId="61071E9C" w14:textId="77777777" w:rsidR="002517BD" w:rsidRPr="00312CB7" w:rsidRDefault="002517BD" w:rsidP="002517BD">
            <w:pPr>
              <w:pStyle w:val="TableTextBase"/>
              <w:spacing w:before="0" w:after="120"/>
              <w:rPr>
                <w:rFonts w:asciiTheme="minorHAnsi" w:hAnsiTheme="minorHAnsi" w:cstheme="minorHAnsi"/>
                <w:szCs w:val="16"/>
              </w:rPr>
            </w:pPr>
          </w:p>
          <w:p w14:paraId="692E3976"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 xml:space="preserve">Reporting  </w:t>
            </w:r>
          </w:p>
          <w:p w14:paraId="2D5F4833"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Increase transparency through the compilation of reports on parliamentarians’ work resources and the travel resources of their staff.</w:t>
            </w:r>
          </w:p>
          <w:p w14:paraId="3B618852" w14:textId="77777777" w:rsidR="002517BD" w:rsidRPr="00312CB7" w:rsidRDefault="002517BD" w:rsidP="002517BD">
            <w:pPr>
              <w:pStyle w:val="TableTextBase"/>
              <w:spacing w:before="0" w:after="0"/>
              <w:rPr>
                <w:rFonts w:asciiTheme="minorHAnsi" w:hAnsiTheme="minorHAnsi" w:cstheme="minorHAnsi"/>
                <w:szCs w:val="16"/>
              </w:rPr>
            </w:pPr>
          </w:p>
          <w:p w14:paraId="27B789AF" w14:textId="77777777" w:rsidR="002517BD" w:rsidRPr="00312CB7" w:rsidRDefault="002517BD" w:rsidP="002517BD">
            <w:pPr>
              <w:pStyle w:val="TableTextBase"/>
              <w:spacing w:before="0" w:after="120"/>
              <w:rPr>
                <w:rFonts w:asciiTheme="minorHAnsi" w:hAnsiTheme="minorHAnsi" w:cstheme="minorHAnsi"/>
                <w:szCs w:val="16"/>
              </w:rPr>
            </w:pPr>
            <w:r w:rsidRPr="00312CB7">
              <w:rPr>
                <w:rFonts w:asciiTheme="minorHAnsi" w:hAnsiTheme="minorHAnsi" w:cstheme="minorHAnsi"/>
                <w:szCs w:val="16"/>
              </w:rPr>
              <w:t>Assurance &amp; Audit</w:t>
            </w:r>
          </w:p>
          <w:p w14:paraId="4729B486"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Conduct assurance activities on parliamentarians’ work resources and the travel resources of their staff.</w:t>
            </w:r>
          </w:p>
        </w:tc>
        <w:tc>
          <w:tcPr>
            <w:tcW w:w="3118" w:type="dxa"/>
            <w:tcBorders>
              <w:top w:val="single" w:sz="4" w:space="0" w:color="auto"/>
              <w:left w:val="single" w:sz="4" w:space="0" w:color="auto"/>
              <w:bottom w:val="dotted" w:sz="4" w:space="0" w:color="auto"/>
            </w:tcBorders>
          </w:tcPr>
          <w:p w14:paraId="25FF4A21" w14:textId="77777777" w:rsidR="002517BD" w:rsidRPr="00312CB7" w:rsidRDefault="002517BD" w:rsidP="002517BD">
            <w:pPr>
              <w:pStyle w:val="TableTextBase"/>
              <w:spacing w:before="0" w:after="0"/>
              <w:rPr>
                <w:rFonts w:asciiTheme="minorHAnsi" w:hAnsiTheme="minorHAnsi" w:cstheme="minorHAnsi"/>
                <w:szCs w:val="16"/>
              </w:rPr>
            </w:pPr>
          </w:p>
          <w:p w14:paraId="4DCB9879" w14:textId="77777777" w:rsidR="002517BD" w:rsidRPr="00312CB7" w:rsidRDefault="002517BD" w:rsidP="002517BD">
            <w:pPr>
              <w:pStyle w:val="TableTextBase"/>
              <w:rPr>
                <w:rFonts w:asciiTheme="minorHAnsi" w:hAnsiTheme="minorHAnsi" w:cstheme="minorHAnsi"/>
                <w:szCs w:val="16"/>
              </w:rPr>
            </w:pPr>
            <w:r w:rsidRPr="00312CB7">
              <w:rPr>
                <w:rFonts w:asciiTheme="minorHAnsi" w:hAnsiTheme="minorHAnsi" w:cstheme="minorHAnsi"/>
                <w:szCs w:val="16"/>
              </w:rPr>
              <w:t>IPEA achieves 80% of targets in respect of its performance measures.</w:t>
            </w:r>
          </w:p>
          <w:p w14:paraId="16A5348C" w14:textId="77777777" w:rsidR="002517BD" w:rsidRPr="00312CB7" w:rsidRDefault="002517BD" w:rsidP="002517BD">
            <w:pPr>
              <w:pStyle w:val="TableTextBase"/>
              <w:rPr>
                <w:rFonts w:asciiTheme="minorHAnsi" w:hAnsiTheme="minorHAnsi" w:cstheme="minorHAnsi"/>
                <w:szCs w:val="16"/>
              </w:rPr>
            </w:pPr>
          </w:p>
          <w:p w14:paraId="5ADDA97D" w14:textId="77777777" w:rsidR="002517BD" w:rsidRPr="00312CB7" w:rsidRDefault="002517BD" w:rsidP="002517BD">
            <w:pPr>
              <w:pStyle w:val="TableTextBase"/>
              <w:rPr>
                <w:rFonts w:asciiTheme="minorHAnsi" w:hAnsiTheme="minorHAnsi" w:cstheme="minorHAnsi"/>
                <w:szCs w:val="16"/>
              </w:rPr>
            </w:pPr>
          </w:p>
          <w:p w14:paraId="04BBF6F5" w14:textId="77777777" w:rsidR="002517BD" w:rsidRPr="00312CB7" w:rsidRDefault="002517BD" w:rsidP="002517BD">
            <w:pPr>
              <w:pStyle w:val="TableTextBase"/>
              <w:rPr>
                <w:rFonts w:asciiTheme="minorHAnsi" w:hAnsiTheme="minorHAnsi" w:cstheme="minorHAnsi"/>
                <w:szCs w:val="16"/>
              </w:rPr>
            </w:pPr>
          </w:p>
          <w:p w14:paraId="39FDC09D" w14:textId="77777777" w:rsidR="002517BD" w:rsidRPr="00312CB7" w:rsidRDefault="002517BD" w:rsidP="002517BD">
            <w:pPr>
              <w:pStyle w:val="TableTextBase"/>
              <w:spacing w:after="0"/>
              <w:rPr>
                <w:rFonts w:asciiTheme="minorHAnsi" w:hAnsiTheme="minorHAnsi" w:cstheme="minorHAnsi"/>
                <w:szCs w:val="16"/>
              </w:rPr>
            </w:pPr>
          </w:p>
          <w:p w14:paraId="56D315EF"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Advice is provided in accordance with its service level standards, and performance targets in respect of advice are achieved.</w:t>
            </w:r>
            <w:r w:rsidRPr="00312CB7">
              <w:rPr>
                <w:rFonts w:asciiTheme="minorHAnsi" w:hAnsiTheme="minorHAnsi" w:cstheme="minorHAnsi"/>
                <w:szCs w:val="16"/>
              </w:rPr>
              <w:br/>
            </w:r>
          </w:p>
          <w:p w14:paraId="7AFD55ED" w14:textId="77777777" w:rsidR="002517BD" w:rsidRPr="00312CB7" w:rsidRDefault="002517BD" w:rsidP="002517BD">
            <w:pPr>
              <w:pStyle w:val="TableTextBase"/>
              <w:spacing w:before="0" w:after="0"/>
              <w:rPr>
                <w:rFonts w:asciiTheme="minorHAnsi" w:hAnsiTheme="minorHAnsi" w:cstheme="minorHAnsi"/>
                <w:szCs w:val="16"/>
              </w:rPr>
            </w:pPr>
          </w:p>
          <w:p w14:paraId="63D658B6"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Education is provided in accordance with its service level standards, and performance targets in respect of education are achieved.</w:t>
            </w:r>
          </w:p>
          <w:p w14:paraId="31162273" w14:textId="77777777" w:rsidR="002517BD" w:rsidRPr="00312CB7" w:rsidRDefault="002517BD" w:rsidP="002517BD">
            <w:pPr>
              <w:pStyle w:val="TableTextBase"/>
              <w:rPr>
                <w:rFonts w:asciiTheme="minorHAnsi" w:hAnsiTheme="minorHAnsi" w:cstheme="minorHAnsi"/>
                <w:szCs w:val="16"/>
              </w:rPr>
            </w:pPr>
          </w:p>
          <w:p w14:paraId="39345192" w14:textId="77777777" w:rsidR="002517BD" w:rsidRPr="00312CB7" w:rsidRDefault="002517BD" w:rsidP="002517BD">
            <w:pPr>
              <w:pStyle w:val="TableTextBase"/>
              <w:spacing w:before="80" w:after="40"/>
              <w:rPr>
                <w:rFonts w:asciiTheme="minorHAnsi" w:hAnsiTheme="minorHAnsi" w:cstheme="minorHAnsi"/>
                <w:szCs w:val="16"/>
              </w:rPr>
            </w:pPr>
            <w:r w:rsidRPr="00312CB7">
              <w:rPr>
                <w:rFonts w:asciiTheme="minorHAnsi" w:hAnsiTheme="minorHAnsi" w:cstheme="minorHAnsi"/>
                <w:szCs w:val="16"/>
              </w:rPr>
              <w:t>Claims for travel expenses and allowances are processed in accordance with their service level standards, and performance targets in respect of claims processing are achieved.</w:t>
            </w:r>
          </w:p>
          <w:p w14:paraId="272A25EF" w14:textId="77777777" w:rsidR="002517BD" w:rsidRPr="00312CB7" w:rsidRDefault="002517BD" w:rsidP="002517BD">
            <w:pPr>
              <w:pStyle w:val="TableTextBase"/>
              <w:spacing w:before="0" w:after="120"/>
              <w:rPr>
                <w:rFonts w:asciiTheme="minorHAnsi" w:hAnsiTheme="minorHAnsi" w:cstheme="minorHAnsi"/>
                <w:szCs w:val="16"/>
              </w:rPr>
            </w:pPr>
          </w:p>
          <w:p w14:paraId="16FDF7C7" w14:textId="77777777" w:rsidR="002517BD" w:rsidRPr="00312CB7" w:rsidRDefault="002517BD" w:rsidP="002517BD">
            <w:pPr>
              <w:pStyle w:val="TableTextBase"/>
              <w:rPr>
                <w:rFonts w:asciiTheme="minorHAnsi" w:hAnsiTheme="minorHAnsi" w:cstheme="minorHAnsi"/>
                <w:szCs w:val="16"/>
              </w:rPr>
            </w:pPr>
          </w:p>
          <w:p w14:paraId="28173861" w14:textId="77777777" w:rsidR="002517BD" w:rsidRPr="00312CB7" w:rsidRDefault="002517BD" w:rsidP="002517BD">
            <w:pPr>
              <w:pStyle w:val="TableTextBase"/>
              <w:rPr>
                <w:rFonts w:asciiTheme="minorHAnsi" w:hAnsiTheme="minorHAnsi" w:cstheme="minorHAnsi"/>
                <w:szCs w:val="16"/>
              </w:rPr>
            </w:pPr>
            <w:r w:rsidRPr="00312CB7">
              <w:rPr>
                <w:rFonts w:asciiTheme="minorHAnsi" w:hAnsiTheme="minorHAnsi" w:cstheme="minorHAnsi"/>
                <w:szCs w:val="16"/>
              </w:rPr>
              <w:t>Performance targets for reporting on work and travel resources are achieved.</w:t>
            </w:r>
          </w:p>
          <w:p w14:paraId="1DDAA5BA" w14:textId="77777777" w:rsidR="002517BD" w:rsidRPr="00312CB7" w:rsidRDefault="002517BD" w:rsidP="002517BD">
            <w:pPr>
              <w:pStyle w:val="TableTextBase"/>
              <w:rPr>
                <w:rFonts w:asciiTheme="minorHAnsi" w:hAnsiTheme="minorHAnsi" w:cstheme="minorHAnsi"/>
                <w:szCs w:val="16"/>
              </w:rPr>
            </w:pPr>
          </w:p>
          <w:p w14:paraId="681484CB" w14:textId="77777777" w:rsidR="002517BD" w:rsidRPr="00312CB7" w:rsidRDefault="002517BD" w:rsidP="002517BD">
            <w:pPr>
              <w:pStyle w:val="TableTextBase"/>
              <w:rPr>
                <w:rFonts w:asciiTheme="minorHAnsi" w:hAnsiTheme="minorHAnsi" w:cstheme="minorHAnsi"/>
                <w:szCs w:val="16"/>
              </w:rPr>
            </w:pPr>
          </w:p>
          <w:p w14:paraId="763750BC" w14:textId="77777777" w:rsidR="002517BD" w:rsidRPr="00312CB7" w:rsidRDefault="002517BD" w:rsidP="002517BD">
            <w:pPr>
              <w:pStyle w:val="TableTextBase"/>
              <w:rPr>
                <w:rFonts w:asciiTheme="minorHAnsi" w:hAnsiTheme="minorHAnsi" w:cstheme="minorHAnsi"/>
                <w:szCs w:val="16"/>
              </w:rPr>
            </w:pPr>
          </w:p>
          <w:p w14:paraId="43213934" w14:textId="77777777" w:rsidR="002517BD" w:rsidRPr="00312CB7" w:rsidRDefault="002517BD" w:rsidP="002517BD">
            <w:pPr>
              <w:pStyle w:val="TableTextBase"/>
              <w:spacing w:before="80" w:after="0"/>
              <w:rPr>
                <w:rFonts w:asciiTheme="minorHAnsi" w:hAnsiTheme="minorHAnsi" w:cstheme="minorHAnsi"/>
                <w:szCs w:val="16"/>
              </w:rPr>
            </w:pPr>
          </w:p>
          <w:p w14:paraId="6C9C51EF" w14:textId="77777777" w:rsidR="002517BD" w:rsidRPr="00312CB7" w:rsidRDefault="002517BD" w:rsidP="002517BD">
            <w:pPr>
              <w:pStyle w:val="TableTextBase"/>
              <w:spacing w:before="80" w:after="0"/>
              <w:rPr>
                <w:rFonts w:asciiTheme="minorHAnsi" w:hAnsiTheme="minorHAnsi" w:cstheme="minorHAnsi"/>
                <w:szCs w:val="16"/>
              </w:rPr>
            </w:pPr>
            <w:r w:rsidRPr="00312CB7">
              <w:rPr>
                <w:rFonts w:asciiTheme="minorHAnsi" w:hAnsiTheme="minorHAnsi" w:cstheme="minorHAnsi"/>
                <w:szCs w:val="16"/>
              </w:rPr>
              <w:t>All parliamentarians’ offices are the subject of at least one assurance activity in the reporting period.</w:t>
            </w:r>
          </w:p>
        </w:tc>
      </w:tr>
      <w:tr w:rsidR="002517BD" w:rsidRPr="00210F65" w14:paraId="7EFD3A20" w14:textId="77777777" w:rsidTr="002517BD">
        <w:trPr>
          <w:trHeight w:val="491"/>
        </w:trPr>
        <w:tc>
          <w:tcPr>
            <w:tcW w:w="1560" w:type="dxa"/>
            <w:tcBorders>
              <w:top w:val="dotted" w:sz="4" w:space="0" w:color="auto"/>
              <w:bottom w:val="dotted" w:sz="4" w:space="0" w:color="auto"/>
              <w:right w:val="single" w:sz="4" w:space="0" w:color="auto"/>
            </w:tcBorders>
          </w:tcPr>
          <w:p w14:paraId="57C00B38" w14:textId="77777777" w:rsidR="002517BD" w:rsidRPr="00312CB7" w:rsidRDefault="002517BD" w:rsidP="002517BD">
            <w:pPr>
              <w:pStyle w:val="TableTextLeft"/>
              <w:spacing w:before="60" w:after="60"/>
              <w:rPr>
                <w:rFonts w:asciiTheme="minorHAnsi" w:hAnsiTheme="minorHAnsi" w:cstheme="minorHAnsi"/>
                <w:szCs w:val="16"/>
              </w:rPr>
            </w:pPr>
            <w:r w:rsidRPr="00312CB7">
              <w:rPr>
                <w:rFonts w:asciiTheme="minorHAnsi" w:hAnsiTheme="minorHAnsi" w:cstheme="minorHAnsi"/>
                <w:szCs w:val="16"/>
              </w:rPr>
              <w:t xml:space="preserve">Forward Estimates </w:t>
            </w:r>
          </w:p>
          <w:p w14:paraId="7D7B3EE7" w14:textId="77777777" w:rsidR="002517BD" w:rsidRPr="00312CB7" w:rsidRDefault="002517BD" w:rsidP="002517BD">
            <w:pPr>
              <w:pStyle w:val="TableTextLeft"/>
              <w:spacing w:before="60" w:after="60"/>
              <w:rPr>
                <w:rFonts w:asciiTheme="minorHAnsi" w:hAnsiTheme="minorHAnsi" w:cstheme="minorHAnsi"/>
                <w:szCs w:val="16"/>
              </w:rPr>
            </w:pPr>
            <w:r w:rsidRPr="00312CB7">
              <w:rPr>
                <w:rFonts w:asciiTheme="minorHAnsi" w:hAnsiTheme="minorHAnsi" w:cstheme="minorHAnsi"/>
                <w:szCs w:val="16"/>
              </w:rPr>
              <w:t>2025</w:t>
            </w:r>
            <w:r w:rsidRPr="00312CB7">
              <w:rPr>
                <w:rFonts w:asciiTheme="minorHAnsi" w:hAnsiTheme="minorHAnsi" w:cstheme="minorHAnsi"/>
                <w:szCs w:val="16"/>
              </w:rPr>
              <w:noBreakHyphen/>
              <w:t>28</w:t>
            </w:r>
          </w:p>
        </w:tc>
        <w:tc>
          <w:tcPr>
            <w:tcW w:w="3118" w:type="dxa"/>
            <w:tcBorders>
              <w:top w:val="dotted" w:sz="4" w:space="0" w:color="auto"/>
              <w:left w:val="single" w:sz="4" w:space="0" w:color="auto"/>
              <w:bottom w:val="dotted" w:sz="4" w:space="0" w:color="auto"/>
              <w:right w:val="single" w:sz="4" w:space="0" w:color="auto"/>
            </w:tcBorders>
            <w:vAlign w:val="center"/>
          </w:tcPr>
          <w:p w14:paraId="7C2922C5" w14:textId="77777777" w:rsidR="002517BD" w:rsidRPr="00312CB7" w:rsidRDefault="002517BD" w:rsidP="002517BD">
            <w:pPr>
              <w:pStyle w:val="TableTextBase"/>
              <w:spacing w:before="0" w:after="0"/>
              <w:rPr>
                <w:rFonts w:asciiTheme="minorHAnsi" w:hAnsiTheme="minorHAnsi" w:cstheme="minorHAnsi"/>
                <w:b/>
                <w:color w:val="0070C0"/>
                <w:szCs w:val="16"/>
              </w:rPr>
            </w:pPr>
            <w:r w:rsidRPr="00312CB7">
              <w:rPr>
                <w:rFonts w:asciiTheme="minorHAnsi" w:hAnsiTheme="minorHAnsi" w:cstheme="minorHAnsi"/>
                <w:szCs w:val="16"/>
              </w:rPr>
              <w:t xml:space="preserve"> As per 2024</w:t>
            </w:r>
            <w:r w:rsidRPr="00312CB7">
              <w:rPr>
                <w:rFonts w:asciiTheme="minorHAnsi" w:hAnsiTheme="minorHAnsi" w:cstheme="minorHAnsi"/>
                <w:szCs w:val="16"/>
              </w:rPr>
              <w:noBreakHyphen/>
              <w:t>25</w:t>
            </w:r>
          </w:p>
        </w:tc>
        <w:tc>
          <w:tcPr>
            <w:tcW w:w="3118" w:type="dxa"/>
            <w:tcBorders>
              <w:top w:val="dotted" w:sz="4" w:space="0" w:color="auto"/>
              <w:left w:val="single" w:sz="4" w:space="0" w:color="auto"/>
              <w:bottom w:val="dotted" w:sz="4" w:space="0" w:color="auto"/>
            </w:tcBorders>
            <w:vAlign w:val="center"/>
          </w:tcPr>
          <w:p w14:paraId="5127CD56" w14:textId="77777777" w:rsidR="002517BD" w:rsidRPr="00312CB7" w:rsidRDefault="002517BD" w:rsidP="002517BD">
            <w:pPr>
              <w:pStyle w:val="TableTextBase"/>
              <w:spacing w:before="0" w:after="0"/>
              <w:rPr>
                <w:rFonts w:asciiTheme="minorHAnsi" w:hAnsiTheme="minorHAnsi" w:cstheme="minorHAnsi"/>
                <w:szCs w:val="16"/>
              </w:rPr>
            </w:pPr>
            <w:r w:rsidRPr="00312CB7">
              <w:rPr>
                <w:rFonts w:asciiTheme="minorHAnsi" w:hAnsiTheme="minorHAnsi" w:cstheme="minorHAnsi"/>
                <w:szCs w:val="16"/>
              </w:rPr>
              <w:t>As per 2024-25</w:t>
            </w:r>
          </w:p>
        </w:tc>
      </w:tr>
      <w:tr w:rsidR="002517BD" w:rsidRPr="00210F65" w14:paraId="0116DA76" w14:textId="77777777" w:rsidTr="002517BD">
        <w:trPr>
          <w:trHeight w:val="291"/>
        </w:trPr>
        <w:tc>
          <w:tcPr>
            <w:tcW w:w="7796" w:type="dxa"/>
            <w:gridSpan w:val="3"/>
          </w:tcPr>
          <w:p w14:paraId="53ABCE51" w14:textId="77777777" w:rsidR="002517BD" w:rsidRPr="00312CB7" w:rsidRDefault="002517BD" w:rsidP="002517BD">
            <w:pPr>
              <w:pStyle w:val="TableTextLeft"/>
              <w:rPr>
                <w:rFonts w:asciiTheme="minorHAnsi" w:eastAsia="Cambria" w:hAnsiTheme="minorHAnsi" w:cstheme="minorHAnsi"/>
                <w:szCs w:val="16"/>
              </w:rPr>
            </w:pPr>
            <w:r w:rsidRPr="00312CB7">
              <w:rPr>
                <w:rFonts w:asciiTheme="minorHAnsi" w:hAnsiTheme="minorHAnsi" w:cstheme="minorHAnsi"/>
                <w:szCs w:val="16"/>
              </w:rPr>
              <w:t>Material changes to Program 1.1 resulting from 2024</w:t>
            </w:r>
            <w:r w:rsidRPr="00312CB7">
              <w:rPr>
                <w:rFonts w:asciiTheme="minorHAnsi" w:hAnsiTheme="minorHAnsi" w:cstheme="minorHAnsi"/>
                <w:szCs w:val="16"/>
              </w:rPr>
              <w:noBreakHyphen/>
              <w:t>25 Budget Measures:</w:t>
            </w:r>
            <w:r w:rsidRPr="00312CB7">
              <w:rPr>
                <w:rFonts w:asciiTheme="minorHAnsi" w:hAnsiTheme="minorHAnsi" w:cstheme="minorHAnsi"/>
                <w:spacing w:val="-6"/>
                <w:szCs w:val="16"/>
              </w:rPr>
              <w:t xml:space="preserve"> Nil</w:t>
            </w:r>
          </w:p>
        </w:tc>
      </w:tr>
    </w:tbl>
    <w:p w14:paraId="486470A8" w14:textId="57F48727" w:rsidR="00D721E3" w:rsidRPr="00D721E3" w:rsidRDefault="008E7AF0" w:rsidP="00D721E3">
      <w:pPr>
        <w:spacing w:before="0"/>
        <w:rPr>
          <w:rFonts w:ascii="Arial" w:hAnsi="Arial" w:cs="Arial"/>
          <w:sz w:val="16"/>
          <w:szCs w:val="16"/>
        </w:rPr>
      </w:pPr>
      <w:r w:rsidRPr="00D721E3">
        <w:rPr>
          <w:rFonts w:ascii="Arial" w:hAnsi="Arial" w:cs="Arial"/>
          <w:sz w:val="16"/>
          <w:szCs w:val="16"/>
        </w:rPr>
        <w:t>Parliamentarians’ “work resources” include the resources provided to them under the Parliamentary Business Resources legislative framework including their travel resources.</w:t>
      </w:r>
    </w:p>
    <w:p w14:paraId="16CCD5C9" w14:textId="56DF1CE5" w:rsidR="008E7AF0" w:rsidRPr="006913EB" w:rsidRDefault="008E7AF0" w:rsidP="008E7AF0">
      <w:pPr>
        <w:pStyle w:val="Heading2"/>
      </w:pPr>
      <w:bookmarkStart w:id="102" w:name="_Toc165890082"/>
      <w:bookmarkStart w:id="103" w:name="_Toc165895974"/>
      <w:bookmarkStart w:id="104" w:name="_Toc165896057"/>
      <w:bookmarkStart w:id="105" w:name="_Toc165896293"/>
      <w:bookmarkStart w:id="106" w:name="_Toc165905043"/>
      <w:bookmarkStart w:id="107" w:name="_Toc165905232"/>
      <w:bookmarkStart w:id="108" w:name="_Toc165922968"/>
      <w:bookmarkStart w:id="109" w:name="_Toc166354214"/>
      <w:bookmarkStart w:id="110" w:name="_Toc166354333"/>
      <w:bookmarkStart w:id="111" w:name="_Toc166354407"/>
      <w:bookmarkStart w:id="112" w:name="_Toc166354835"/>
      <w:bookmarkStart w:id="113" w:name="_Toc166354900"/>
      <w:bookmarkStart w:id="114" w:name="_Toc166354965"/>
      <w:bookmarkStart w:id="115" w:name="_Toc166355033"/>
      <w:bookmarkStart w:id="116" w:name="_Toc166355098"/>
      <w:bookmarkStart w:id="117" w:name="_Toc166355163"/>
      <w:r w:rsidRPr="006913EB">
        <w:lastRenderedPageBreak/>
        <w:t>Section 3: Budgeted financial statements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B323AB0" w14:textId="2BE67E26" w:rsidR="008E7AF0" w:rsidRDefault="008E7AF0" w:rsidP="008E7AF0">
      <w:r>
        <w:t>Section 3 presents budgeted financial statements which provide a comprehensive snapshot of entity finances for the 2024</w:t>
      </w:r>
      <w:r w:rsidR="003677BF">
        <w:t>-</w:t>
      </w:r>
      <w:r>
        <w:t>25</w:t>
      </w:r>
      <w:r>
        <w:rPr>
          <w:color w:val="00B050"/>
        </w:rPr>
        <w:t xml:space="preserve"> </w:t>
      </w:r>
      <w:r>
        <w:t>budget year, including the impact of budget measures and resourcing on financial statements.</w:t>
      </w:r>
    </w:p>
    <w:p w14:paraId="61025464" w14:textId="77777777" w:rsidR="008E7AF0" w:rsidRPr="005328A9" w:rsidRDefault="008E7AF0" w:rsidP="008E7AF0">
      <w:pPr>
        <w:pStyle w:val="Heading3"/>
      </w:pPr>
      <w:bookmarkStart w:id="118" w:name="_Toc165890083"/>
      <w:bookmarkStart w:id="119" w:name="_Toc165895975"/>
      <w:bookmarkStart w:id="120" w:name="_Toc165896058"/>
      <w:bookmarkStart w:id="121" w:name="_Toc165896294"/>
      <w:bookmarkStart w:id="122" w:name="_Toc165905044"/>
      <w:bookmarkStart w:id="123" w:name="_Toc165905233"/>
      <w:bookmarkStart w:id="124" w:name="_Toc165922969"/>
      <w:bookmarkStart w:id="125" w:name="_Toc166354215"/>
      <w:bookmarkStart w:id="126" w:name="_Toc166354334"/>
      <w:bookmarkStart w:id="127" w:name="_Toc166354408"/>
      <w:bookmarkStart w:id="128" w:name="_Toc166354836"/>
      <w:bookmarkStart w:id="129" w:name="_Toc166354901"/>
      <w:bookmarkStart w:id="130" w:name="_Toc166354966"/>
      <w:bookmarkStart w:id="131" w:name="_Toc166355034"/>
      <w:bookmarkStart w:id="132" w:name="_Toc166355099"/>
      <w:bookmarkStart w:id="133" w:name="_Toc166355164"/>
      <w:r w:rsidRPr="005328A9">
        <w:t>3.1</w:t>
      </w:r>
      <w:r w:rsidRPr="005328A9">
        <w:tab/>
        <w:t>Budgeted financial statements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316C7418" w14:textId="77777777" w:rsidR="008E7AF0" w:rsidRDefault="008E7AF0" w:rsidP="008E7AF0">
      <w:pPr>
        <w:pStyle w:val="Heading4"/>
      </w:pPr>
      <w:r>
        <w:t>3.1.1</w:t>
      </w:r>
      <w:r>
        <w:tab/>
        <w:t xml:space="preserve">Differences between entity resourcing and financial </w:t>
      </w:r>
      <w:proofErr w:type="gramStart"/>
      <w:r>
        <w:t>statements</w:t>
      </w:r>
      <w:proofErr w:type="gramEnd"/>
    </w:p>
    <w:p w14:paraId="28AE888C" w14:textId="77777777" w:rsidR="008E7AF0" w:rsidRPr="00210F65" w:rsidRDefault="008E7AF0" w:rsidP="008E7AF0">
      <w:pPr>
        <w:pStyle w:val="ExampleText0"/>
        <w:spacing w:after="160"/>
        <w:rPr>
          <w:i w:val="0"/>
          <w:color w:val="auto"/>
        </w:rPr>
      </w:pPr>
      <w:r w:rsidRPr="00210F65">
        <w:rPr>
          <w:i w:val="0"/>
          <w:color w:val="auto"/>
        </w:rPr>
        <w:t>No material differences exist between entity resourcing and the financial statements.</w:t>
      </w:r>
    </w:p>
    <w:p w14:paraId="4AB935CE" w14:textId="77777777" w:rsidR="008E7AF0" w:rsidRDefault="008E7AF0" w:rsidP="008E7AF0">
      <w:pPr>
        <w:pStyle w:val="Heading4"/>
      </w:pPr>
      <w:r>
        <w:t>3.1.2</w:t>
      </w:r>
      <w:r>
        <w:tab/>
        <w:t>Explanatory notes and analysis of budgeted financial statements</w:t>
      </w:r>
    </w:p>
    <w:p w14:paraId="3E51FC99" w14:textId="77777777" w:rsidR="008E7AF0" w:rsidRPr="00210F65" w:rsidRDefault="008E7AF0" w:rsidP="008E7AF0">
      <w:pPr>
        <w:pStyle w:val="ExampleText0"/>
        <w:spacing w:after="160"/>
        <w:rPr>
          <w:i w:val="0"/>
          <w:color w:val="auto"/>
        </w:rPr>
      </w:pPr>
      <w:r w:rsidRPr="00210F65">
        <w:rPr>
          <w:i w:val="0"/>
          <w:color w:val="auto"/>
        </w:rPr>
        <w:t>Departmental</w:t>
      </w:r>
    </w:p>
    <w:p w14:paraId="6A544E79" w14:textId="77777777" w:rsidR="008E7AF0" w:rsidRPr="005F6C79" w:rsidRDefault="008E7AF0" w:rsidP="008E7AF0">
      <w:pPr>
        <w:pStyle w:val="ExampleText0"/>
        <w:spacing w:after="160"/>
        <w:rPr>
          <w:i w:val="0"/>
          <w:color w:val="auto"/>
        </w:rPr>
      </w:pPr>
      <w:r w:rsidRPr="005F6C79">
        <w:rPr>
          <w:i w:val="0"/>
          <w:color w:val="auto"/>
        </w:rPr>
        <w:t>IPEA is budgeting for a break-even result for 2024-25 and across the forward estimates.</w:t>
      </w:r>
      <w:r>
        <w:rPr>
          <w:i w:val="0"/>
          <w:color w:val="auto"/>
        </w:rPr>
        <w:t xml:space="preserve"> The expected actual operating result in 2023-24</w:t>
      </w:r>
      <w:r w:rsidRPr="005F6C79">
        <w:rPr>
          <w:i w:val="0"/>
          <w:color w:val="auto"/>
        </w:rPr>
        <w:t xml:space="preserve"> </w:t>
      </w:r>
      <w:r>
        <w:rPr>
          <w:i w:val="0"/>
          <w:color w:val="auto"/>
        </w:rPr>
        <w:t>is</w:t>
      </w:r>
      <w:r w:rsidRPr="005F6C79">
        <w:rPr>
          <w:i w:val="0"/>
          <w:color w:val="auto"/>
        </w:rPr>
        <w:t xml:space="preserve"> a</w:t>
      </w:r>
      <w:r>
        <w:rPr>
          <w:i w:val="0"/>
          <w:color w:val="auto"/>
        </w:rPr>
        <w:t>n</w:t>
      </w:r>
      <w:r w:rsidRPr="005F6C79">
        <w:rPr>
          <w:i w:val="0"/>
          <w:color w:val="auto"/>
        </w:rPr>
        <w:t xml:space="preserve"> operating deficit of $0.95 million due to additional costs </w:t>
      </w:r>
      <w:r>
        <w:rPr>
          <w:i w:val="0"/>
          <w:color w:val="auto"/>
        </w:rPr>
        <w:t xml:space="preserve">and </w:t>
      </w:r>
      <w:r w:rsidRPr="005F6C79">
        <w:rPr>
          <w:i w:val="0"/>
          <w:color w:val="auto"/>
        </w:rPr>
        <w:t>anticipated savings</w:t>
      </w:r>
      <w:r>
        <w:rPr>
          <w:i w:val="0"/>
          <w:color w:val="auto"/>
        </w:rPr>
        <w:t xml:space="preserve"> yet to be realised</w:t>
      </w:r>
      <w:r w:rsidRPr="005F6C79">
        <w:rPr>
          <w:i w:val="0"/>
          <w:color w:val="auto"/>
        </w:rPr>
        <w:t xml:space="preserve"> </w:t>
      </w:r>
      <w:r>
        <w:rPr>
          <w:i w:val="0"/>
          <w:color w:val="auto"/>
        </w:rPr>
        <w:t>from the</w:t>
      </w:r>
      <w:r w:rsidRPr="005F6C79">
        <w:rPr>
          <w:i w:val="0"/>
          <w:color w:val="auto"/>
        </w:rPr>
        <w:t xml:space="preserve"> implementation of the Parliamentary Expense Management System (PEMS). </w:t>
      </w:r>
    </w:p>
    <w:p w14:paraId="3F537071" w14:textId="77777777" w:rsidR="008E7AF0" w:rsidRPr="00210F65" w:rsidRDefault="008E7AF0" w:rsidP="008E7AF0">
      <w:pPr>
        <w:pStyle w:val="ExampleText0"/>
        <w:spacing w:after="160"/>
        <w:rPr>
          <w:i w:val="0"/>
          <w:color w:val="auto"/>
        </w:rPr>
      </w:pPr>
      <w:r w:rsidRPr="005F6C79">
        <w:rPr>
          <w:i w:val="0"/>
          <w:color w:val="auto"/>
        </w:rPr>
        <w:t>Expenses and revenue from government decrease in 202</w:t>
      </w:r>
      <w:r>
        <w:rPr>
          <w:i w:val="0"/>
          <w:color w:val="auto"/>
        </w:rPr>
        <w:t>5</w:t>
      </w:r>
      <w:r w:rsidRPr="005F6C79">
        <w:rPr>
          <w:i w:val="0"/>
          <w:color w:val="auto"/>
        </w:rPr>
        <w:t>-2</w:t>
      </w:r>
      <w:r>
        <w:rPr>
          <w:i w:val="0"/>
          <w:color w:val="auto"/>
        </w:rPr>
        <w:t>6</w:t>
      </w:r>
      <w:r w:rsidRPr="005F6C79">
        <w:rPr>
          <w:i w:val="0"/>
          <w:color w:val="auto"/>
        </w:rPr>
        <w:t xml:space="preserve"> and beyond reflecting the effect of anticipated savings from the Parliamentary Expenses Management System (PEMS) measure published in the 2017-18 Portfolio Additional Estimates Statements (PAES).</w:t>
      </w:r>
    </w:p>
    <w:p w14:paraId="7F0D7BE2" w14:textId="77777777" w:rsidR="008E7AF0" w:rsidRPr="00210F65" w:rsidRDefault="008E7AF0" w:rsidP="008E7AF0">
      <w:pPr>
        <w:pStyle w:val="ExampleText0"/>
        <w:spacing w:after="160"/>
        <w:rPr>
          <w:i w:val="0"/>
          <w:color w:val="auto"/>
        </w:rPr>
      </w:pPr>
      <w:r w:rsidRPr="00210F65">
        <w:rPr>
          <w:i w:val="0"/>
          <w:color w:val="auto"/>
        </w:rPr>
        <w:t>Administered</w:t>
      </w:r>
    </w:p>
    <w:p w14:paraId="43568F54" w14:textId="77777777" w:rsidR="008E7AF0" w:rsidRPr="00210F65" w:rsidRDefault="008E7AF0" w:rsidP="008E7AF0">
      <w:pPr>
        <w:pStyle w:val="ExampleText0"/>
        <w:spacing w:after="160"/>
        <w:rPr>
          <w:i w:val="0"/>
          <w:color w:val="auto"/>
        </w:rPr>
      </w:pPr>
      <w:r w:rsidRPr="00210F65">
        <w:rPr>
          <w:i w:val="0"/>
          <w:color w:val="auto"/>
        </w:rPr>
        <w:t>In the schedule of budgeted income and expenses, the administered supplier expenses reflect estimated work and travel expenses for current and former parliamentarians and MOP(S) staff.</w:t>
      </w:r>
    </w:p>
    <w:p w14:paraId="6AC557AA" w14:textId="77777777" w:rsidR="008E7AF0" w:rsidRPr="00E36F77" w:rsidRDefault="008E7AF0" w:rsidP="00814CED">
      <w:pPr>
        <w:pStyle w:val="Heading3"/>
        <w:rPr>
          <w:rStyle w:val="TableHeadingChar"/>
          <w:rFonts w:ascii="Arial Bold" w:hAnsi="Arial Bold"/>
          <w:b/>
          <w:bCs/>
        </w:rPr>
      </w:pPr>
      <w:r>
        <w:br w:type="page"/>
      </w:r>
      <w:bookmarkStart w:id="134" w:name="_Toc166354837"/>
      <w:bookmarkStart w:id="135" w:name="_Toc166354902"/>
      <w:bookmarkStart w:id="136" w:name="_Toc166354967"/>
      <w:bookmarkStart w:id="137" w:name="_Toc166355035"/>
      <w:bookmarkStart w:id="138" w:name="_Toc166355100"/>
      <w:bookmarkStart w:id="139" w:name="_Toc166355165"/>
      <w:r w:rsidRPr="029FCC3C">
        <w:rPr>
          <w:rStyle w:val="TableHeadingChar"/>
          <w:rFonts w:ascii="Arial Bold" w:hAnsi="Arial Bold"/>
          <w:b/>
          <w:bCs/>
        </w:rPr>
        <w:lastRenderedPageBreak/>
        <w:t>3.2.</w:t>
      </w:r>
      <w:r>
        <w:tab/>
      </w:r>
      <w:r w:rsidRPr="029FCC3C">
        <w:rPr>
          <w:rStyle w:val="TableHeadingChar"/>
          <w:rFonts w:ascii="Arial Bold" w:hAnsi="Arial Bold"/>
          <w:b/>
          <w:bCs/>
        </w:rPr>
        <w:t xml:space="preserve">Budgeted financial statements </w:t>
      </w:r>
      <w:proofErr w:type="gramStart"/>
      <w:r w:rsidRPr="029FCC3C">
        <w:rPr>
          <w:rStyle w:val="TableHeadingChar"/>
          <w:rFonts w:ascii="Arial Bold" w:hAnsi="Arial Bold"/>
          <w:b/>
          <w:bCs/>
        </w:rPr>
        <w:t>tables</w:t>
      </w:r>
      <w:bookmarkEnd w:id="134"/>
      <w:bookmarkEnd w:id="135"/>
      <w:bookmarkEnd w:id="136"/>
      <w:bookmarkEnd w:id="137"/>
      <w:bookmarkEnd w:id="138"/>
      <w:bookmarkEnd w:id="139"/>
      <w:proofErr w:type="gramEnd"/>
    </w:p>
    <w:p w14:paraId="472D247D" w14:textId="6802C645" w:rsidR="008E7AF0" w:rsidRPr="000E1CB8" w:rsidRDefault="008E7AF0" w:rsidP="000E1CB8">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0E1CB8">
        <w:rPr>
          <w:noProof/>
          <w:snapToGrid w:val="0"/>
        </w:rPr>
        <w:drawing>
          <wp:inline distT="0" distB="0" distL="0" distR="0" wp14:anchorId="103D4D8B" wp14:editId="5BF9F818">
            <wp:extent cx="4822190" cy="3578860"/>
            <wp:effectExtent l="0" t="0" r="0" b="2540"/>
            <wp:docPr id="11503406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2190" cy="3578860"/>
                    </a:xfrm>
                    <a:prstGeom prst="rect">
                      <a:avLst/>
                    </a:prstGeom>
                    <a:noFill/>
                  </pic:spPr>
                </pic:pic>
              </a:graphicData>
            </a:graphic>
          </wp:inline>
        </w:drawing>
      </w:r>
    </w:p>
    <w:p w14:paraId="29DD9F36" w14:textId="77777777" w:rsidR="008E7AF0" w:rsidRDefault="008E7AF0" w:rsidP="008E7AF0">
      <w:pPr>
        <w:pStyle w:val="TableGraphic"/>
        <w:rPr>
          <w:rFonts w:ascii="Arial" w:hAnsi="Arial" w:cs="Arial"/>
          <w:sz w:val="16"/>
          <w:szCs w:val="16"/>
        </w:rPr>
      </w:pPr>
      <w:r w:rsidRPr="004D0136">
        <w:rPr>
          <w:rFonts w:ascii="Arial" w:hAnsi="Arial" w:cs="Arial"/>
          <w:noProof/>
          <w:sz w:val="16"/>
          <w:szCs w:val="16"/>
        </w:rPr>
        <w:t xml:space="preserve"> </w:t>
      </w:r>
      <w:r w:rsidRPr="004D0136">
        <w:rPr>
          <w:rFonts w:ascii="Arial" w:hAnsi="Arial" w:cs="Arial"/>
          <w:sz w:val="16"/>
          <w:szCs w:val="16"/>
        </w:rPr>
        <w:t>Prepared on Australian Accounting Standards basis.</w:t>
      </w:r>
    </w:p>
    <w:p w14:paraId="1657A31E" w14:textId="77777777" w:rsidR="00A71E2C" w:rsidRDefault="00A71E2C" w:rsidP="00A71E2C">
      <w:pPr>
        <w:spacing w:before="0" w:after="0" w:line="240" w:lineRule="auto"/>
        <w:rPr>
          <w:rFonts w:ascii="Arial" w:hAnsi="Arial" w:cs="Arial"/>
          <w:b/>
          <w:bCs/>
          <w:color w:val="000000"/>
          <w:sz w:val="16"/>
          <w:szCs w:val="16"/>
        </w:rPr>
      </w:pPr>
    </w:p>
    <w:p w14:paraId="37FDC701" w14:textId="77777777" w:rsidR="000E1CB8" w:rsidRDefault="000E1CB8" w:rsidP="00A71E2C">
      <w:pPr>
        <w:spacing w:before="0" w:after="0" w:line="240" w:lineRule="auto"/>
        <w:rPr>
          <w:rFonts w:ascii="Arial" w:hAnsi="Arial" w:cs="Arial"/>
          <w:b/>
          <w:bCs/>
          <w:color w:val="000000"/>
          <w:sz w:val="16"/>
          <w:szCs w:val="16"/>
        </w:rPr>
      </w:pPr>
    </w:p>
    <w:p w14:paraId="41EB530E" w14:textId="3573E04D" w:rsidR="00A71E2C" w:rsidRPr="00A71E2C" w:rsidRDefault="00A71E2C" w:rsidP="00A71E2C">
      <w:pPr>
        <w:spacing w:before="0" w:after="0" w:line="240" w:lineRule="auto"/>
        <w:rPr>
          <w:rFonts w:ascii="Arial" w:hAnsi="Arial" w:cs="Arial"/>
          <w:b/>
          <w:bCs/>
          <w:color w:val="000000"/>
          <w:sz w:val="16"/>
          <w:szCs w:val="16"/>
        </w:rPr>
      </w:pPr>
      <w:r w:rsidRPr="00A71E2C">
        <w:rPr>
          <w:rFonts w:ascii="Arial" w:hAnsi="Arial" w:cs="Arial"/>
          <w:b/>
          <w:bCs/>
          <w:color w:val="000000"/>
          <w:sz w:val="16"/>
          <w:szCs w:val="16"/>
        </w:rPr>
        <w:t>N</w:t>
      </w:r>
      <w:r w:rsidRPr="00A71E2C">
        <w:rPr>
          <w:rFonts w:ascii="Arial" w:hAnsi="Arial"/>
          <w:b/>
          <w:snapToGrid w:val="0"/>
          <w:sz w:val="20"/>
        </w:rPr>
        <w:t>ote: Impact of net cash appropriation arrangements</w:t>
      </w:r>
      <w:r w:rsidR="000E1CB8" w:rsidRPr="000E1CB8">
        <w:rPr>
          <w:noProof/>
        </w:rPr>
        <w:drawing>
          <wp:inline distT="0" distB="0" distL="0" distR="0" wp14:anchorId="460A2720" wp14:editId="0F70BBCC">
            <wp:extent cx="4895850" cy="1087755"/>
            <wp:effectExtent l="0" t="0" r="0" b="0"/>
            <wp:docPr id="6393040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1087755"/>
                    </a:xfrm>
                    <a:prstGeom prst="rect">
                      <a:avLst/>
                    </a:prstGeom>
                    <a:noFill/>
                    <a:ln>
                      <a:noFill/>
                    </a:ln>
                  </pic:spPr>
                </pic:pic>
              </a:graphicData>
            </a:graphic>
          </wp:inline>
        </w:drawing>
      </w:r>
    </w:p>
    <w:p w14:paraId="0C86490F" w14:textId="77777777" w:rsidR="009037FD" w:rsidRPr="009037FD" w:rsidRDefault="009037FD" w:rsidP="009037FD"/>
    <w:p w14:paraId="36319F41" w14:textId="77777777" w:rsidR="008E7AF0" w:rsidRDefault="008E7AF0" w:rsidP="008E7AF0">
      <w:pPr>
        <w:pStyle w:val="TableHeading"/>
      </w:pPr>
    </w:p>
    <w:p w14:paraId="28B742C7" w14:textId="77777777" w:rsidR="008E7AF0" w:rsidRDefault="008E7AF0" w:rsidP="008E7AF0">
      <w:pPr>
        <w:spacing w:before="0" w:after="0" w:line="240" w:lineRule="auto"/>
        <w:rPr>
          <w:rFonts w:ascii="Arial" w:hAnsi="Arial"/>
          <w:b/>
          <w:sz w:val="20"/>
        </w:rPr>
      </w:pPr>
      <w:r>
        <w:br w:type="page"/>
      </w:r>
    </w:p>
    <w:p w14:paraId="67005114" w14:textId="77777777" w:rsidR="00843A5B" w:rsidRDefault="008E7AF0" w:rsidP="000D5631">
      <w:pPr>
        <w:pStyle w:val="TableHeading"/>
        <w:spacing w:before="0"/>
        <w:rPr>
          <w:b w:val="0"/>
        </w:rPr>
      </w:pPr>
      <w:r w:rsidRPr="00E4582E">
        <w:lastRenderedPageBreak/>
        <w:t>Table</w:t>
      </w:r>
      <w:r>
        <w:t xml:space="preserve"> 3.</w:t>
      </w:r>
      <w:r w:rsidRPr="00E4582E">
        <w:t>2: Budg</w:t>
      </w:r>
      <w:r>
        <w:t xml:space="preserve">eted departmental balance sheet </w:t>
      </w:r>
      <w:r w:rsidRPr="00E4582E">
        <w:t xml:space="preserve">(as </w:t>
      </w:r>
      <w:proofErr w:type="gramStart"/>
      <w:r w:rsidRPr="00E4582E">
        <w:t>at</w:t>
      </w:r>
      <w:proofErr w:type="gramEnd"/>
      <w:r w:rsidRPr="00E4582E">
        <w:t xml:space="preserve"> 30 June)</w:t>
      </w:r>
      <w:r w:rsidRPr="00BD252D">
        <w:rPr>
          <w:b w:val="0"/>
        </w:rPr>
        <w:t xml:space="preserve"> </w:t>
      </w:r>
    </w:p>
    <w:p w14:paraId="19898EAF" w14:textId="1B6883B8" w:rsidR="008E7AF0" w:rsidRDefault="00A93F1A" w:rsidP="000D5631">
      <w:pPr>
        <w:pStyle w:val="TableHeading"/>
        <w:spacing w:before="0"/>
        <w:rPr>
          <w:b w:val="0"/>
        </w:rPr>
      </w:pPr>
      <w:r w:rsidRPr="00A93F1A">
        <w:rPr>
          <w:noProof/>
        </w:rPr>
        <w:drawing>
          <wp:inline distT="0" distB="0" distL="0" distR="0" wp14:anchorId="3963E82C" wp14:editId="5EA41413">
            <wp:extent cx="4895850" cy="4010025"/>
            <wp:effectExtent l="0" t="0" r="0" b="9525"/>
            <wp:docPr id="38044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4010025"/>
                    </a:xfrm>
                    <a:prstGeom prst="rect">
                      <a:avLst/>
                    </a:prstGeom>
                    <a:noFill/>
                    <a:ln>
                      <a:noFill/>
                    </a:ln>
                  </pic:spPr>
                </pic:pic>
              </a:graphicData>
            </a:graphic>
          </wp:inline>
        </w:drawing>
      </w:r>
    </w:p>
    <w:p w14:paraId="5D5FFACC" w14:textId="77777777" w:rsidR="008E7AF0" w:rsidRPr="00132F9E" w:rsidRDefault="008E7AF0" w:rsidP="008E7AF0">
      <w:pPr>
        <w:pStyle w:val="ChartandTableFootnote"/>
      </w:pPr>
      <w:r w:rsidRPr="00132F9E">
        <w:t xml:space="preserve">Prepared on </w:t>
      </w:r>
      <w:r w:rsidRPr="00446EE2">
        <w:rPr>
          <w:rStyle w:val="ChartandTableFootnoteChar"/>
        </w:rPr>
        <w:t>Australian</w:t>
      </w:r>
      <w:r w:rsidRPr="00132F9E">
        <w:t xml:space="preserve"> Accounting Standards basis.</w:t>
      </w:r>
    </w:p>
    <w:p w14:paraId="46254BF6" w14:textId="77777777" w:rsidR="008E7AF0" w:rsidRPr="00132F9E" w:rsidRDefault="008E7AF0" w:rsidP="008E7AF0">
      <w:pPr>
        <w:pStyle w:val="ChartandTableFootnote"/>
        <w:rPr>
          <w:rFonts w:cs="Arial"/>
        </w:rPr>
      </w:pPr>
      <w:r w:rsidRPr="00132F9E">
        <w:rPr>
          <w:rFonts w:cs="Arial"/>
        </w:rPr>
        <w:t>*</w:t>
      </w:r>
      <w:r>
        <w:rPr>
          <w:rFonts w:cs="Arial"/>
        </w:rPr>
        <w:t>’</w:t>
      </w:r>
      <w:r w:rsidRPr="00132F9E">
        <w:rPr>
          <w:rFonts w:cs="Arial"/>
        </w:rPr>
        <w:t>Equity</w:t>
      </w:r>
      <w:r>
        <w:rPr>
          <w:rFonts w:cs="Arial"/>
        </w:rPr>
        <w:t>’</w:t>
      </w:r>
      <w:r w:rsidRPr="00132F9E">
        <w:rPr>
          <w:rFonts w:cs="Arial"/>
        </w:rPr>
        <w:t xml:space="preserve"> is the residual interest in assets after deduction of liabilities.</w:t>
      </w:r>
    </w:p>
    <w:p w14:paraId="74516C94" w14:textId="77777777" w:rsidR="00510F3D" w:rsidRDefault="008E7AF0" w:rsidP="008E7AF0">
      <w:pPr>
        <w:pStyle w:val="TableHeading"/>
        <w:rPr>
          <w:b w:val="0"/>
        </w:rPr>
      </w:pPr>
      <w:r>
        <w:br w:type="page"/>
      </w:r>
      <w:r w:rsidRPr="00AD42E2">
        <w:lastRenderedPageBreak/>
        <w:t>Table 3.3: Departmental statement of changes in equity</w:t>
      </w:r>
      <w:r>
        <w:t xml:space="preserve"> – </w:t>
      </w:r>
      <w:r w:rsidRPr="00AD42E2">
        <w:t>summary of</w:t>
      </w:r>
      <w:r>
        <w:t xml:space="preserve"> movement (Budget year 2024</w:t>
      </w:r>
      <w:r w:rsidR="003677BF">
        <w:t>-</w:t>
      </w:r>
      <w:r>
        <w:t>25</w:t>
      </w:r>
      <w:r w:rsidRPr="00D30CBA">
        <w:t>)</w:t>
      </w:r>
      <w:r w:rsidRPr="00BD252D">
        <w:rPr>
          <w:b w:val="0"/>
        </w:rPr>
        <w:t xml:space="preserve"> </w:t>
      </w:r>
    </w:p>
    <w:p w14:paraId="2954DF44" w14:textId="2D0A872D" w:rsidR="008E7AF0" w:rsidRPr="00510F3D" w:rsidRDefault="00F20FF7" w:rsidP="000A2684">
      <w:pPr>
        <w:pStyle w:val="TableHeading"/>
        <w:spacing w:before="0"/>
        <w:rPr>
          <w:b w:val="0"/>
        </w:rPr>
      </w:pPr>
      <w:r w:rsidRPr="00F20FF7">
        <w:rPr>
          <w:noProof/>
        </w:rPr>
        <w:drawing>
          <wp:inline distT="0" distB="0" distL="0" distR="0" wp14:anchorId="581CC098" wp14:editId="677F8FA5">
            <wp:extent cx="4895850" cy="1461135"/>
            <wp:effectExtent l="0" t="0" r="0" b="5715"/>
            <wp:docPr id="1212400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1461135"/>
                    </a:xfrm>
                    <a:prstGeom prst="rect">
                      <a:avLst/>
                    </a:prstGeom>
                    <a:noFill/>
                    <a:ln>
                      <a:noFill/>
                    </a:ln>
                  </pic:spPr>
                </pic:pic>
              </a:graphicData>
            </a:graphic>
          </wp:inline>
        </w:drawing>
      </w:r>
      <w:r w:rsidR="008E7AF0" w:rsidRPr="00614AA3">
        <w:fldChar w:fldCharType="begin" w:fldLock="1"/>
      </w:r>
      <w:r w:rsidR="008E7AF0" w:rsidRPr="00614AA3">
        <w:instrText xml:space="preserve"> LINK Excel.Sheet.12 "\\\\romulus\\csg_h$\\MCD\\Publishing\\Graphic Design Services Team\\Projects\\2021\\Budget 2021\\03 PBS\\PBS templates\\Attachment B - 2021-22 PBS Excel Tables.xlsx" "Table 3.3!R3C1:R34C6" \a \f 4 \h  \* MERGEFORMAT </w:instrText>
      </w:r>
      <w:r w:rsidR="008E7AF0" w:rsidRPr="00614AA3">
        <w:fldChar w:fldCharType="separate"/>
      </w:r>
    </w:p>
    <w:p w14:paraId="3805F92A" w14:textId="77777777" w:rsidR="008E7AF0" w:rsidRPr="004D0136" w:rsidRDefault="008E7AF0" w:rsidP="008E7AF0">
      <w:pPr>
        <w:pStyle w:val="TableGraphic"/>
        <w:rPr>
          <w:rFonts w:ascii="Arial" w:hAnsi="Arial" w:cs="Arial"/>
          <w:sz w:val="16"/>
          <w:szCs w:val="16"/>
        </w:rPr>
      </w:pPr>
      <w:r w:rsidRPr="00614AA3">
        <w:fldChar w:fldCharType="end"/>
      </w:r>
      <w:r w:rsidRPr="004D0136">
        <w:rPr>
          <w:rFonts w:ascii="Arial" w:hAnsi="Arial" w:cs="Arial"/>
          <w:sz w:val="16"/>
          <w:szCs w:val="16"/>
        </w:rPr>
        <w:t>Prepared on Australian Accounting Standards basis</w:t>
      </w:r>
      <w:r>
        <w:rPr>
          <w:rFonts w:ascii="Arial" w:hAnsi="Arial" w:cs="Arial"/>
          <w:sz w:val="16"/>
          <w:szCs w:val="16"/>
        </w:rPr>
        <w:t>.</w:t>
      </w:r>
    </w:p>
    <w:p w14:paraId="58348258" w14:textId="77777777" w:rsidR="008E7AF0" w:rsidRDefault="008E7AF0" w:rsidP="008E7AF0">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71794BBF" w14:textId="319FD0DF" w:rsidR="008E7AF0" w:rsidRPr="00210F65" w:rsidRDefault="00B051D2" w:rsidP="008E7AF0">
      <w:pPr>
        <w:pStyle w:val="TableGraphic"/>
      </w:pPr>
      <w:r w:rsidRPr="00B051D2">
        <w:rPr>
          <w:noProof/>
        </w:rPr>
        <w:drawing>
          <wp:inline distT="0" distB="0" distL="0" distR="0" wp14:anchorId="1DB3C291" wp14:editId="6EEBD4CA">
            <wp:extent cx="4895850" cy="2817495"/>
            <wp:effectExtent l="0" t="0" r="0" b="1905"/>
            <wp:docPr id="2012565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2817495"/>
                    </a:xfrm>
                    <a:prstGeom prst="rect">
                      <a:avLst/>
                    </a:prstGeom>
                    <a:noFill/>
                    <a:ln>
                      <a:noFill/>
                    </a:ln>
                  </pic:spPr>
                </pic:pic>
              </a:graphicData>
            </a:graphic>
          </wp:inline>
        </w:drawing>
      </w:r>
    </w:p>
    <w:p w14:paraId="40B375D0" w14:textId="608EA0A8" w:rsidR="008E7AF0" w:rsidRPr="009125DA" w:rsidRDefault="008E7AF0" w:rsidP="009125DA">
      <w:pPr>
        <w:pStyle w:val="TableGraphic"/>
        <w:rPr>
          <w:rFonts w:ascii="Arial" w:hAnsi="Arial" w:cs="Arial"/>
          <w:sz w:val="16"/>
          <w:szCs w:val="16"/>
        </w:rPr>
      </w:pPr>
      <w:r w:rsidRPr="00BD252D">
        <w:t xml:space="preserve"> </w:t>
      </w:r>
      <w:r w:rsidRPr="009125DA">
        <w:rPr>
          <w:rFonts w:ascii="Arial" w:hAnsi="Arial" w:cs="Arial"/>
          <w:sz w:val="16"/>
          <w:szCs w:val="16"/>
        </w:rPr>
        <w:t>Prepared on Australian Accounting Standards basis.</w:t>
      </w:r>
    </w:p>
    <w:p w14:paraId="3FBB7C23" w14:textId="77777777" w:rsidR="008E7AF0" w:rsidRPr="00AA6A77" w:rsidRDefault="008E7AF0" w:rsidP="008E7AF0">
      <w:pPr>
        <w:pStyle w:val="TableHeading"/>
      </w:pPr>
      <w:r>
        <w:br w:type="page"/>
      </w:r>
      <w:r w:rsidRPr="00D30CBA">
        <w:lastRenderedPageBreak/>
        <w:t>Table</w:t>
      </w:r>
      <w:r>
        <w:t xml:space="preserve"> 3.5</w:t>
      </w:r>
      <w:r w:rsidRPr="00D30CBA">
        <w:t xml:space="preserve">: </w:t>
      </w:r>
      <w:r>
        <w:t>Departmental capital budget statement (for the period ended 30 June)</w:t>
      </w:r>
    </w:p>
    <w:p w14:paraId="169620CF" w14:textId="77777777" w:rsidR="008E7AF0" w:rsidRPr="0043795A" w:rsidRDefault="008E7AF0" w:rsidP="008E7AF0">
      <w:pPr>
        <w:pStyle w:val="TableGraphic"/>
      </w:pPr>
    </w:p>
    <w:p w14:paraId="187573BA" w14:textId="5051DC6C" w:rsidR="008E7AF0" w:rsidRDefault="008E7AF0" w:rsidP="008E7AF0">
      <w:pPr>
        <w:pStyle w:val="TableGraphic"/>
      </w:pPr>
      <w:r w:rsidRPr="0072247D">
        <w:t xml:space="preserve">IPEA </w:t>
      </w:r>
      <w:r w:rsidR="00787B21">
        <w:t xml:space="preserve">has no </w:t>
      </w:r>
      <w:r w:rsidRPr="0072247D">
        <w:t>budgeted capital expenditure.</w:t>
      </w:r>
    </w:p>
    <w:p w14:paraId="6CE567D5" w14:textId="77777777" w:rsidR="008E7AF0" w:rsidRDefault="008E7AF0" w:rsidP="003370A5">
      <w:pPr>
        <w:pStyle w:val="TableGraphic"/>
      </w:pPr>
    </w:p>
    <w:p w14:paraId="37CD383C" w14:textId="13885813" w:rsidR="008E7AF0" w:rsidRPr="006943D1" w:rsidRDefault="008E7AF0" w:rsidP="008E7AF0">
      <w:pPr>
        <w:pStyle w:val="TableHeading"/>
      </w:pPr>
      <w:r w:rsidRPr="00D30CBA">
        <w:t>Table</w:t>
      </w:r>
      <w:r>
        <w:t xml:space="preserve"> 3.6</w:t>
      </w:r>
      <w:r w:rsidRPr="00D30CBA">
        <w:t xml:space="preserve">: </w:t>
      </w:r>
      <w:r>
        <w:t>Statement of departmental asset movements (Budget year 2024</w:t>
      </w:r>
      <w:r w:rsidR="003677BF">
        <w:t>-</w:t>
      </w:r>
      <w:r>
        <w:t>25)</w:t>
      </w:r>
    </w:p>
    <w:p w14:paraId="56F33854" w14:textId="33DB3D16" w:rsidR="008E7AF0" w:rsidRPr="0072247D" w:rsidRDefault="008E7AF0" w:rsidP="008E7AF0">
      <w:pPr>
        <w:pStyle w:val="ExampleText0"/>
        <w:rPr>
          <w:i w:val="0"/>
          <w:iCs/>
          <w:color w:val="auto"/>
        </w:rPr>
      </w:pPr>
      <w:r w:rsidRPr="0072247D">
        <w:rPr>
          <w:i w:val="0"/>
          <w:iCs/>
          <w:color w:val="auto"/>
        </w:rPr>
        <w:t xml:space="preserve">IPEA </w:t>
      </w:r>
      <w:r w:rsidR="00921DA0">
        <w:rPr>
          <w:i w:val="0"/>
          <w:iCs/>
          <w:color w:val="auto"/>
        </w:rPr>
        <w:t>has no</w:t>
      </w:r>
      <w:r w:rsidRPr="0072247D">
        <w:rPr>
          <w:i w:val="0"/>
          <w:iCs/>
          <w:color w:val="auto"/>
        </w:rPr>
        <w:t xml:space="preserve"> budgeted non-financial asset.</w:t>
      </w:r>
    </w:p>
    <w:p w14:paraId="4BC4C2E2" w14:textId="77777777" w:rsidR="008E7AF0" w:rsidRPr="00525870" w:rsidRDefault="008E7AF0" w:rsidP="008E7AF0"/>
    <w:p w14:paraId="5675462C" w14:textId="77777777" w:rsidR="008E7AF0" w:rsidRPr="0043795A" w:rsidRDefault="008E7AF0" w:rsidP="008E7AF0">
      <w:pPr>
        <w:pStyle w:val="TableGraphic"/>
      </w:pPr>
    </w:p>
    <w:p w14:paraId="251F5F3D" w14:textId="77777777" w:rsidR="008D4F60" w:rsidRDefault="008D4F60" w:rsidP="001A5B81">
      <w:pPr>
        <w:pStyle w:val="TableHeading"/>
      </w:pPr>
      <w:r>
        <w:br w:type="page"/>
      </w:r>
    </w:p>
    <w:p w14:paraId="059B1422" w14:textId="7B4BC707" w:rsidR="008E7AF0" w:rsidRPr="001A5B81" w:rsidRDefault="008E7AF0" w:rsidP="001A5B81">
      <w:pPr>
        <w:pStyle w:val="TableHeading"/>
        <w:rPr>
          <w:b w:val="0"/>
        </w:rPr>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p>
    <w:p w14:paraId="296010F4" w14:textId="77777777" w:rsidR="008E7AF0" w:rsidRDefault="008E7AF0" w:rsidP="008E7AF0">
      <w:pPr>
        <w:pStyle w:val="TableGraphic"/>
      </w:pPr>
      <w:r w:rsidRPr="004D0136">
        <w:rPr>
          <w:noProof/>
        </w:rPr>
        <w:drawing>
          <wp:inline distT="0" distB="0" distL="0" distR="0" wp14:anchorId="0622BA83" wp14:editId="7D59F6CC">
            <wp:extent cx="4819015" cy="3155315"/>
            <wp:effectExtent l="0" t="0" r="635" b="6985"/>
            <wp:docPr id="902958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9015" cy="3155315"/>
                    </a:xfrm>
                    <a:prstGeom prst="rect">
                      <a:avLst/>
                    </a:prstGeom>
                    <a:noFill/>
                    <a:ln>
                      <a:noFill/>
                    </a:ln>
                  </pic:spPr>
                </pic:pic>
              </a:graphicData>
            </a:graphic>
          </wp:inline>
        </w:drawing>
      </w:r>
    </w:p>
    <w:p w14:paraId="657727BF" w14:textId="77777777" w:rsidR="008E7AF0" w:rsidRPr="00933A7D" w:rsidRDefault="008E7AF0" w:rsidP="008E7AF0">
      <w:pPr>
        <w:pStyle w:val="ChartandTableFootnote"/>
      </w:pPr>
      <w:r w:rsidRPr="00E4582E">
        <w:t>Prepared on Australian Accounting Standards basis</w:t>
      </w:r>
      <w:r>
        <w:t>.</w:t>
      </w:r>
    </w:p>
    <w:p w14:paraId="4312066C" w14:textId="77777777" w:rsidR="004465B7" w:rsidRDefault="004465B7" w:rsidP="001A5B81">
      <w:pPr>
        <w:pStyle w:val="TableHeading"/>
      </w:pPr>
    </w:p>
    <w:p w14:paraId="33CBF97E" w14:textId="77777777" w:rsidR="004465B7" w:rsidRPr="004465B7" w:rsidRDefault="004465B7" w:rsidP="004465B7"/>
    <w:p w14:paraId="31B6E7BF" w14:textId="77777777" w:rsidR="004465B7" w:rsidRPr="004465B7" w:rsidRDefault="004465B7" w:rsidP="004465B7"/>
    <w:p w14:paraId="09EFA602" w14:textId="77777777" w:rsidR="004465B7" w:rsidRPr="004465B7" w:rsidRDefault="004465B7" w:rsidP="004465B7"/>
    <w:p w14:paraId="6F9688CE" w14:textId="77777777" w:rsidR="004465B7" w:rsidRPr="004465B7" w:rsidRDefault="004465B7" w:rsidP="004465B7"/>
    <w:p w14:paraId="7644088C" w14:textId="77777777" w:rsidR="004465B7" w:rsidRPr="004465B7" w:rsidRDefault="004465B7" w:rsidP="004465B7">
      <w:pPr>
        <w:jc w:val="center"/>
      </w:pPr>
    </w:p>
    <w:p w14:paraId="5E9FDDC8" w14:textId="43FE470E" w:rsidR="008E7AF0" w:rsidRPr="001A5B81" w:rsidRDefault="008E7AF0" w:rsidP="001A5B81">
      <w:pPr>
        <w:pStyle w:val="TableHeading"/>
        <w:rPr>
          <w:b w:val="0"/>
        </w:rPr>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 xml:space="preserve">overnment (as </w:t>
      </w:r>
      <w:proofErr w:type="gramStart"/>
      <w:r w:rsidRPr="00D30CBA">
        <w:t>at</w:t>
      </w:r>
      <w:proofErr w:type="gramEnd"/>
      <w:r w:rsidRPr="00D30CBA">
        <w:t xml:space="preserve"> 30 June)</w:t>
      </w:r>
      <w:r w:rsidRPr="00BD252D">
        <w:rPr>
          <w:b w:val="0"/>
        </w:rPr>
        <w:t xml:space="preserve"> </w:t>
      </w:r>
    </w:p>
    <w:p w14:paraId="360C2550" w14:textId="1C9C952D" w:rsidR="008E7AF0" w:rsidRDefault="00461E2A" w:rsidP="008E7AF0">
      <w:pPr>
        <w:pStyle w:val="TableGraphic"/>
      </w:pPr>
      <w:r w:rsidRPr="00461E2A">
        <w:rPr>
          <w:noProof/>
        </w:rPr>
        <w:drawing>
          <wp:inline distT="0" distB="0" distL="0" distR="0" wp14:anchorId="6DB4A3E5" wp14:editId="3E8C3EC0">
            <wp:extent cx="4895850" cy="3873500"/>
            <wp:effectExtent l="0" t="0" r="0" b="0"/>
            <wp:docPr id="91342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3873500"/>
                    </a:xfrm>
                    <a:prstGeom prst="rect">
                      <a:avLst/>
                    </a:prstGeom>
                    <a:noFill/>
                    <a:ln>
                      <a:noFill/>
                    </a:ln>
                  </pic:spPr>
                </pic:pic>
              </a:graphicData>
            </a:graphic>
          </wp:inline>
        </w:drawing>
      </w:r>
    </w:p>
    <w:p w14:paraId="0B0037DF" w14:textId="77777777" w:rsidR="008E7AF0" w:rsidRPr="00B7521F" w:rsidRDefault="008E7AF0" w:rsidP="008E7AF0">
      <w:pPr>
        <w:pStyle w:val="ChartandTableFootnote"/>
      </w:pPr>
      <w:r w:rsidRPr="00B7521F">
        <w:t>Prepared on Australian Accounting Standards basis.</w:t>
      </w:r>
    </w:p>
    <w:p w14:paraId="226C1645" w14:textId="77777777" w:rsidR="008E7AF0" w:rsidRPr="00B7521F" w:rsidRDefault="008E7AF0" w:rsidP="008E7AF0">
      <w:pPr>
        <w:pStyle w:val="SingleParagraph"/>
        <w:rPr>
          <w:rFonts w:ascii="Arial" w:hAnsi="Arial" w:cs="Arial"/>
          <w:sz w:val="16"/>
          <w:szCs w:val="16"/>
        </w:rPr>
      </w:pPr>
    </w:p>
    <w:p w14:paraId="1AF50FB9" w14:textId="02940306" w:rsidR="008E7AF0" w:rsidRPr="003538C7" w:rsidRDefault="008E7AF0" w:rsidP="003538C7">
      <w:pPr>
        <w:pStyle w:val="TableHeading"/>
        <w:rPr>
          <w:b w:val="0"/>
        </w:rPr>
      </w:pPr>
      <w:bookmarkStart w:id="140" w:name="OLE_LINK1"/>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p>
    <w:p w14:paraId="4668EA53" w14:textId="77777777" w:rsidR="008E7AF0" w:rsidRDefault="008E7AF0" w:rsidP="008E7AF0">
      <w:pPr>
        <w:pStyle w:val="TableGraphic"/>
        <w:rPr>
          <w:rFonts w:ascii="Arial" w:hAnsi="Arial"/>
          <w:color w:val="000000"/>
          <w:sz w:val="16"/>
        </w:rPr>
      </w:pPr>
      <w:r w:rsidRPr="004D0136">
        <w:rPr>
          <w:noProof/>
        </w:rPr>
        <w:drawing>
          <wp:inline distT="0" distB="0" distL="0" distR="0" wp14:anchorId="7910D196" wp14:editId="154555F0">
            <wp:extent cx="4819015" cy="2981960"/>
            <wp:effectExtent l="0" t="0" r="635" b="8890"/>
            <wp:docPr id="886865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015" cy="2981960"/>
                    </a:xfrm>
                    <a:prstGeom prst="rect">
                      <a:avLst/>
                    </a:prstGeom>
                    <a:noFill/>
                    <a:ln>
                      <a:noFill/>
                    </a:ln>
                  </pic:spPr>
                </pic:pic>
              </a:graphicData>
            </a:graphic>
          </wp:inline>
        </w:drawing>
      </w:r>
      <w:bookmarkEnd w:id="140"/>
    </w:p>
    <w:p w14:paraId="41F23BE2" w14:textId="77777777" w:rsidR="008E7AF0" w:rsidRPr="000053CF" w:rsidRDefault="008E7AF0" w:rsidP="008E7AF0">
      <w:pPr>
        <w:pStyle w:val="ChartandTableFootnote"/>
      </w:pPr>
      <w:r>
        <w:t>Prepared on Australian Accounting Standards basis.</w:t>
      </w:r>
      <w:r>
        <w:br w:type="page"/>
      </w:r>
      <w:r w:rsidRPr="000053CF">
        <w:rPr>
          <w:rFonts w:ascii="Arial Bold" w:hAnsi="Arial Bold"/>
          <w:b/>
          <w:bCs/>
          <w:color w:val="auto"/>
          <w:sz w:val="20"/>
        </w:rPr>
        <w:lastRenderedPageBreak/>
        <w:t>Table 3.10: Schedule of administered capital budget statement (for the period ended 30 June)</w:t>
      </w:r>
      <w:r w:rsidRPr="00BD252D">
        <w:rPr>
          <w:rFonts w:ascii="Arial Bold" w:hAnsi="Arial Bold"/>
          <w:b/>
          <w:bCs/>
          <w:sz w:val="20"/>
        </w:rPr>
        <w:t xml:space="preserve"> </w:t>
      </w:r>
    </w:p>
    <w:p w14:paraId="04F01CC1" w14:textId="77777777" w:rsidR="008E7AF0" w:rsidRDefault="008E7AF0" w:rsidP="008E7AF0">
      <w:pPr>
        <w:pStyle w:val="TableGraphic"/>
      </w:pPr>
    </w:p>
    <w:p w14:paraId="0A8BCED1" w14:textId="1AD52C75" w:rsidR="008E7AF0" w:rsidRDefault="008E7AF0" w:rsidP="008E7AF0">
      <w:pPr>
        <w:pStyle w:val="TableGraphic"/>
      </w:pPr>
      <w:r w:rsidRPr="0072247D">
        <w:t xml:space="preserve">IPEA has no budgeted capital expenditure on behalf of </w:t>
      </w:r>
      <w:r w:rsidR="00C11241">
        <w:t>g</w:t>
      </w:r>
      <w:r w:rsidRPr="0072247D">
        <w:t>overnment.</w:t>
      </w:r>
    </w:p>
    <w:p w14:paraId="3089CBF8" w14:textId="77777777" w:rsidR="008E7AF0" w:rsidRDefault="008E7AF0" w:rsidP="008E7AF0"/>
    <w:p w14:paraId="3162AABB" w14:textId="77777777" w:rsidR="008E7AF0" w:rsidRPr="00C17B32" w:rsidRDefault="008E7AF0" w:rsidP="008E7AF0">
      <w:pPr>
        <w:pStyle w:val="TableHeading"/>
        <w:keepNext w:val="0"/>
        <w:spacing w:after="0" w:line="260" w:lineRule="exact"/>
        <w:jc w:val="both"/>
      </w:pPr>
      <w:r>
        <w:t>Table 3.11: Statement of administered asset movements (</w:t>
      </w:r>
      <w:r w:rsidRPr="000053CF">
        <w:rPr>
          <w:rFonts w:ascii="Arial Bold" w:hAnsi="Arial Bold"/>
          <w:bCs/>
        </w:rPr>
        <w:t>for the period ended 30 June)</w:t>
      </w:r>
    </w:p>
    <w:p w14:paraId="313CA645" w14:textId="2B497EC0" w:rsidR="008E7AF0" w:rsidRPr="0072247D" w:rsidRDefault="008E7AF0" w:rsidP="008E7AF0">
      <w:r w:rsidRPr="0072247D">
        <w:t xml:space="preserve">IPEA has no budgeted non-financial assets administered on behalf of </w:t>
      </w:r>
      <w:r w:rsidR="00C11241">
        <w:t>g</w:t>
      </w:r>
      <w:r w:rsidRPr="0072247D">
        <w:t>overnment.</w:t>
      </w:r>
    </w:p>
    <w:p w14:paraId="7EC372D7" w14:textId="77777777" w:rsidR="008E7AF0" w:rsidRDefault="008E7AF0" w:rsidP="008E7AF0"/>
    <w:p w14:paraId="2B1990C7" w14:textId="77777777" w:rsidR="008E7AF0" w:rsidRDefault="008E7AF0" w:rsidP="008E7AF0"/>
    <w:bookmarkEnd w:id="3"/>
    <w:bookmarkEnd w:id="4"/>
    <w:p w14:paraId="7D2BA5DB" w14:textId="77777777" w:rsidR="000C3B86" w:rsidRPr="000C3B86" w:rsidRDefault="000C3B86" w:rsidP="008D4F60">
      <w:pPr>
        <w:pStyle w:val="Heading1"/>
      </w:pPr>
    </w:p>
    <w:sectPr w:rsidR="000C3B86" w:rsidRPr="000C3B86" w:rsidSect="006307D9">
      <w:headerReference w:type="even" r:id="rId32"/>
      <w:headerReference w:type="default" r:id="rId33"/>
      <w:footerReference w:type="even" r:id="rId34"/>
      <w:headerReference w:type="first" r:id="rId35"/>
      <w:footerReference w:type="first" r:id="rId36"/>
      <w:type w:val="oddPage"/>
      <w:pgSz w:w="11906" w:h="16838" w:code="9"/>
      <w:pgMar w:top="2835" w:right="2098" w:bottom="2466" w:left="2098" w:header="1814" w:footer="1814" w:gutter="0"/>
      <w:pgNumType w:start="1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8B44" w14:textId="77777777" w:rsidR="002003E0" w:rsidRDefault="002003E0" w:rsidP="00C07DEC">
      <w:r>
        <w:separator/>
      </w:r>
    </w:p>
  </w:endnote>
  <w:endnote w:type="continuationSeparator" w:id="0">
    <w:p w14:paraId="7DFA3446" w14:textId="77777777" w:rsidR="002003E0" w:rsidRDefault="002003E0" w:rsidP="00C07DEC">
      <w:r>
        <w:continuationSeparator/>
      </w:r>
    </w:p>
  </w:endnote>
  <w:endnote w:type="continuationNotice" w:id="1">
    <w:p w14:paraId="5CECF75A" w14:textId="77777777" w:rsidR="002003E0" w:rsidRDefault="0020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87738AF-954E-45B8-8D6A-20C140CDD9A1}"/>
  </w:font>
  <w:font w:name="Times New Roman">
    <w:panose1 w:val="02020603050405020304"/>
    <w:charset w:val="00"/>
    <w:family w:val="roman"/>
    <w:pitch w:val="variable"/>
    <w:sig w:usb0="E0002EFF" w:usb1="C000785B" w:usb2="00000009" w:usb3="00000000" w:csb0="000001FF" w:csb1="00000000"/>
    <w:embedRegular r:id="rId2" w:fontKey="{83399E0F-257F-4710-BFA0-B686C5E04854}"/>
    <w:embedBold r:id="rId3" w:fontKey="{60AE8342-5A03-48B0-81E8-5936A0858095}"/>
    <w:embedItalic r:id="rId4" w:fontKey="{46EC5580-E9DC-4ECB-B357-EC85FDF69A80}"/>
    <w:embedBoldItalic r:id="rId5" w:fontKey="{0AF934C1-56D6-4289-9674-4D50F2C6956B}"/>
  </w:font>
  <w:font w:name="Courier New">
    <w:panose1 w:val="02070309020205020404"/>
    <w:charset w:val="00"/>
    <w:family w:val="modern"/>
    <w:pitch w:val="fixed"/>
    <w:sig w:usb0="E0002EFF" w:usb1="C0007843" w:usb2="00000009" w:usb3="00000000" w:csb0="000001FF" w:csb1="00000000"/>
    <w:embedRegular r:id="rId6" w:fontKey="{67D77784-5BFD-487B-A62B-3554C9EFBE74}"/>
  </w:font>
  <w:font w:name="Wingdings">
    <w:panose1 w:val="05000000000000000000"/>
    <w:charset w:val="02"/>
    <w:family w:val="auto"/>
    <w:pitch w:val="variable"/>
    <w:sig w:usb0="00000000" w:usb1="10000000" w:usb2="00000000" w:usb3="00000000" w:csb0="80000000" w:csb1="00000000"/>
    <w:embedRegular r:id="rId7" w:fontKey="{EEA87FFE-B80C-4E76-84E8-7017857BB5E1}"/>
  </w:font>
  <w:font w:name="Book Antiqua">
    <w:panose1 w:val="02040602050305030304"/>
    <w:charset w:val="00"/>
    <w:family w:val="roman"/>
    <w:pitch w:val="variable"/>
    <w:sig w:usb0="00000287" w:usb1="00000000" w:usb2="00000000" w:usb3="00000000" w:csb0="0000009F" w:csb1="00000000"/>
    <w:embedRegular r:id="rId8" w:fontKey="{1C6CD9BE-EBA6-4D3C-85B0-3EC4DD9B2E7C}"/>
    <w:embedBold r:id="rId9" w:fontKey="{7E53665C-8FB1-4D9B-A58A-C54238DA5C04}"/>
    <w:embedItalic r:id="rId10" w:fontKey="{7DE187B1-1A86-4624-9368-97896D65F3DF}"/>
  </w:font>
  <w:font w:name="Arial">
    <w:panose1 w:val="020B0604020202020204"/>
    <w:charset w:val="00"/>
    <w:family w:val="swiss"/>
    <w:pitch w:val="variable"/>
    <w:sig w:usb0="E0002EFF" w:usb1="C000785B" w:usb2="00000009" w:usb3="00000000" w:csb0="000001FF" w:csb1="00000000"/>
    <w:embedRegular r:id="rId11" w:fontKey="{5B39BBC3-5D56-40EA-B066-C1B136F1FA59}"/>
    <w:embedBold r:id="rId12" w:fontKey="{0A6832AF-69CF-43FF-9788-33E63DF0A9EE}"/>
    <w:embedItalic r:id="rId13" w:fontKey="{9F6FDEE8-15C1-4999-8AD8-08C317C80DBA}"/>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F08ABDFF-FA5B-4D1F-8267-64191ED7A160}"/>
  </w:font>
  <w:font w:name="Tahoma">
    <w:panose1 w:val="020B0604030504040204"/>
    <w:charset w:val="00"/>
    <w:family w:val="swiss"/>
    <w:pitch w:val="variable"/>
    <w:sig w:usb0="E1002EFF" w:usb1="C000605B" w:usb2="00000029" w:usb3="00000000" w:csb0="000101FF" w:csb1="00000000"/>
    <w:embedRegular r:id="rId15" w:fontKey="{C15890C5-B41D-40B5-9916-B0C7C832854A}"/>
  </w:font>
  <w:font w:name="Helvetica">
    <w:panose1 w:val="020B0604020202020204"/>
    <w:charset w:val="00"/>
    <w:family w:val="swiss"/>
    <w:pitch w:val="variable"/>
    <w:sig w:usb0="E0002EFF" w:usb1="C000785B" w:usb2="00000009" w:usb3="00000000" w:csb0="000001FF" w:csb1="00000000"/>
    <w:embedBold r:id="rId16" w:fontKey="{95DDFDAC-7149-4743-A993-091E1B7815C8}"/>
  </w:font>
  <w:font w:name="Calibri">
    <w:panose1 w:val="020F0502020204030204"/>
    <w:charset w:val="00"/>
    <w:family w:val="swiss"/>
    <w:pitch w:val="variable"/>
    <w:sig w:usb0="E4002EFF" w:usb1="C000247B" w:usb2="00000009" w:usb3="00000000" w:csb0="000001FF" w:csb1="00000000"/>
    <w:embedRegular r:id="rId17" w:fontKey="{B8D22AE8-46D9-4CF7-93D3-8F982FCADED7}"/>
    <w:embedBold r:id="rId18" w:fontKey="{A111B9CF-169E-4927-9C41-19D9E6593184}"/>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6CC48CD7-1346-49E7-B072-0B40C727C1E2}"/>
    <w:embedItalic r:id="rId20" w:fontKey="{74B00273-50E0-47B2-8AED-C0CE9E66A817}"/>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E9A7C" w14:textId="45FA8CC4" w:rsidR="008D4F60" w:rsidRPr="00B57576" w:rsidRDefault="00B57576" w:rsidP="00B57576">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color w:val="000000"/>
      </w:rPr>
      <w:t>198</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0321AB">
      <w:rPr>
        <w:rStyle w:val="PageNumber"/>
        <w:rFonts w:cs="Times New Roman"/>
        <w:noProof/>
        <w:color w:val="000000"/>
      </w:rPr>
      <w:t>Independent Parliamentary Expenses Authority</w:t>
    </w:r>
    <w:r w:rsidRPr="001C6402">
      <w:rPr>
        <w:rStyle w:val="PageNumber"/>
        <w:rFonts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39C2" w14:textId="58ED6EAA" w:rsidR="008D4F60" w:rsidRPr="008D4F60" w:rsidRDefault="002C51FF" w:rsidP="008D4F60">
    <w:pPr>
      <w:pStyle w:val="FooterOdd"/>
      <w:rPr>
        <w:b/>
        <w:bCs/>
        <w:color w:val="auto"/>
      </w:rPr>
    </w:pPr>
    <w:r>
      <w:rPr>
        <w:rStyle w:val="PageNumber"/>
      </w:rPr>
      <w:t>Indepen</w:t>
    </w:r>
    <w:r w:rsidR="00E12746">
      <w:rPr>
        <w:rStyle w:val="PageNumber"/>
      </w:rPr>
      <w:t xml:space="preserve">dent </w:t>
    </w:r>
    <w:r w:rsidR="00175589">
      <w:rPr>
        <w:rStyle w:val="PageNumber"/>
      </w:rPr>
      <w:t>Parliamentary</w:t>
    </w:r>
    <w:r w:rsidR="007A3400">
      <w:rPr>
        <w:rStyle w:val="PageNumber"/>
      </w:rPr>
      <w:t xml:space="preserve"> E</w:t>
    </w:r>
    <w:r w:rsidR="00175589">
      <w:rPr>
        <w:rStyle w:val="PageNumber"/>
      </w:rPr>
      <w:t>xpenses Authority</w:t>
    </w:r>
    <w:r w:rsidR="008D4F60">
      <w:rPr>
        <w:rStyle w:val="PageNumber"/>
      </w:rPr>
      <w:t xml:space="preserve"> </w:t>
    </w:r>
    <w:proofErr w:type="gramStart"/>
    <w:r w:rsidR="008D4F60" w:rsidRPr="00B628E8">
      <w:rPr>
        <w:rStyle w:val="PageNumber"/>
      </w:rPr>
      <w:t>|</w:t>
    </w:r>
    <w:r w:rsidR="008D4F60">
      <w:rPr>
        <w:rStyle w:val="PageNumber"/>
      </w:rPr>
      <w:t xml:space="preserve"> </w:t>
    </w:r>
    <w:r w:rsidR="008D4F60" w:rsidRPr="00B628E8">
      <w:rPr>
        <w:rStyle w:val="PageNumber"/>
      </w:rPr>
      <w:t xml:space="preserve"> </w:t>
    </w:r>
    <w:r w:rsidR="008D4F60" w:rsidRPr="00B628E8">
      <w:rPr>
        <w:rStyle w:val="PageNumber"/>
        <w:b/>
      </w:rPr>
      <w:t>Page</w:t>
    </w:r>
    <w:proofErr w:type="gramEnd"/>
    <w:r w:rsidR="008D4F60" w:rsidRPr="00B628E8">
      <w:rPr>
        <w:rStyle w:val="PageNumber"/>
        <w:b/>
      </w:rPr>
      <w:t xml:space="preserve"> </w:t>
    </w:r>
    <w:r w:rsidR="008D4F60" w:rsidRPr="00B628E8">
      <w:rPr>
        <w:rStyle w:val="PageNumber"/>
        <w:rFonts w:cs="Times New Roman"/>
        <w:b/>
        <w:bCs/>
      </w:rPr>
      <w:fldChar w:fldCharType="begin"/>
    </w:r>
    <w:r w:rsidR="008D4F60" w:rsidRPr="00B628E8">
      <w:rPr>
        <w:rStyle w:val="PageNumber"/>
        <w:rFonts w:cs="Times New Roman"/>
        <w:b/>
        <w:bCs/>
      </w:rPr>
      <w:instrText xml:space="preserve"> PAGE  \* Arabic </w:instrText>
    </w:r>
    <w:r w:rsidR="008D4F60" w:rsidRPr="00B628E8">
      <w:rPr>
        <w:rStyle w:val="PageNumber"/>
        <w:rFonts w:cs="Times New Roman"/>
        <w:b/>
        <w:bCs/>
      </w:rPr>
      <w:fldChar w:fldCharType="separate"/>
    </w:r>
    <w:r w:rsidR="008D4F60">
      <w:rPr>
        <w:rStyle w:val="PageNumber"/>
        <w:rFonts w:cs="Times New Roman"/>
        <w:b/>
        <w:bCs/>
      </w:rPr>
      <w:t>183</w:t>
    </w:r>
    <w:r w:rsidR="008D4F60"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C6A0" w14:textId="2B83099A" w:rsidR="002B3FB4" w:rsidRPr="00B628E8" w:rsidRDefault="002B3FB4" w:rsidP="00996343">
    <w:pPr>
      <w:pStyle w:val="FooterOdd"/>
      <w:pBdr>
        <w:top w:val="none" w:sz="0" w:space="0" w:color="auto"/>
      </w:pBdr>
      <w:jc w:val="left"/>
      <w:rPr>
        <w:rStyle w:val="PageNumbe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A433" w14:textId="177D9A07" w:rsidR="00B57576" w:rsidRPr="00B57576" w:rsidRDefault="00B57576" w:rsidP="00B57576">
    <w:pPr>
      <w:pStyle w:val="FooterEven"/>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color w:val="000000"/>
      </w:rPr>
      <w:t>192</w:t>
    </w:r>
    <w:r w:rsidRPr="001C6402">
      <w:rPr>
        <w:rStyle w:val="PageNumber"/>
        <w:rFonts w:cs="Times New Roman"/>
        <w:b/>
        <w:bCs/>
        <w:color w:val="000000"/>
      </w:rPr>
      <w:fldChar w:fldCharType="end"/>
    </w:r>
    <w:r w:rsidRPr="001C6402">
      <w:rPr>
        <w:rStyle w:val="PageNumber"/>
        <w:rFonts w:cs="Times New Roman"/>
        <w:color w:val="000000"/>
      </w:rPr>
      <w:t xml:space="preserve">  | </w:t>
    </w:r>
    <w:r>
      <w:rPr>
        <w:rStyle w:val="PageNumber"/>
        <w:rFonts w:cs="Times New Roman"/>
        <w:color w:val="000000"/>
      </w:rPr>
      <w:t xml:space="preserve"> Independent Parliamentary Expenses Authority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3F23EEFB" w:rsidR="00B03653" w:rsidRPr="006307D9" w:rsidRDefault="006307D9" w:rsidP="006307D9">
    <w:pPr>
      <w:pStyle w:val="FooterOdd"/>
      <w:rPr>
        <w:b/>
        <w:bCs/>
        <w:color w:val="auto"/>
      </w:rPr>
    </w:pPr>
    <w:r>
      <w:rPr>
        <w:rStyle w:val="PageNumber"/>
      </w:rPr>
      <w:fldChar w:fldCharType="begin"/>
    </w:r>
    <w:r>
      <w:rPr>
        <w:rStyle w:val="PageNumber"/>
      </w:rPr>
      <w:instrText xml:space="preserve"> STYLEREF  "Heading 1"  \* MERGEFORMAT </w:instrText>
    </w:r>
    <w:r w:rsidR="008109D7">
      <w:rPr>
        <w:rStyle w:val="PageNumber"/>
      </w:rPr>
      <w:fldChar w:fldCharType="separate"/>
    </w:r>
    <w:r w:rsidR="008109D7">
      <w:rPr>
        <w:rStyle w:val="PageNumber"/>
        <w:noProof/>
      </w:rPr>
      <w:t>Independent Parliamentary Expenses Authority</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181</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D2644" w14:textId="77777777" w:rsidR="002003E0" w:rsidRDefault="002003E0" w:rsidP="00C07DEC">
      <w:r>
        <w:separator/>
      </w:r>
    </w:p>
  </w:footnote>
  <w:footnote w:type="continuationSeparator" w:id="0">
    <w:p w14:paraId="51DAB046" w14:textId="77777777" w:rsidR="002003E0" w:rsidRDefault="002003E0" w:rsidP="00C07DEC">
      <w:r>
        <w:continuationSeparator/>
      </w:r>
    </w:p>
  </w:footnote>
  <w:footnote w:type="continuationNotice" w:id="1">
    <w:p w14:paraId="724DF1AB" w14:textId="77777777" w:rsidR="002003E0" w:rsidRDefault="00200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1D35" w14:textId="528B22CE" w:rsidR="008D4F60" w:rsidRDefault="008D4F60" w:rsidP="008D4F60">
    <w:pPr>
      <w:pStyle w:val="HeaderEven"/>
    </w:pPr>
    <w:r w:rsidRPr="00D47C6E">
      <w:rPr>
        <w:noProof/>
        <w:position w:val="-6"/>
      </w:rPr>
      <w:drawing>
        <wp:inline distT="0" distB="0" distL="0" distR="0" wp14:anchorId="0217F860" wp14:editId="6CA02894">
          <wp:extent cx="919093" cy="131299"/>
          <wp:effectExtent l="0" t="0" r="0" b="2540"/>
          <wp:docPr id="1714460739" name="Picture 1714460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D4F60" w14:paraId="7F8BDED0" w14:textId="77777777" w:rsidTr="00175589">
      <w:trPr>
        <w:trHeight w:hRule="exact" w:val="340"/>
      </w:trPr>
      <w:tc>
        <w:tcPr>
          <w:tcW w:w="7797" w:type="dxa"/>
        </w:tcPr>
        <w:p w14:paraId="4F3D58FE" w14:textId="77777777" w:rsidR="008D4F60" w:rsidRDefault="008D4F60" w:rsidP="008D4F60">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33EFC9E6" wp14:editId="11214B9B">
                <wp:extent cx="919093" cy="131299"/>
                <wp:effectExtent l="0" t="0" r="0" b="2540"/>
                <wp:docPr id="432599872" name="Picture 432599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4EF3DEED" w14:textId="77777777" w:rsidR="008D4F60" w:rsidRDefault="008D4F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E529" w14:textId="21CAC238" w:rsidR="00B03653" w:rsidRDefault="00A93F1A" w:rsidP="00361259">
    <w:pPr>
      <w:pStyle w:val="HeaderEven"/>
    </w:pPr>
    <w:r w:rsidRPr="00D47C6E">
      <w:rPr>
        <w:noProof/>
        <w:position w:val="-6"/>
      </w:rPr>
      <w:drawing>
        <wp:inline distT="0" distB="0" distL="0" distR="0" wp14:anchorId="7A899E1B" wp14:editId="0C8361C1">
          <wp:extent cx="919093" cy="131299"/>
          <wp:effectExtent l="0" t="0" r="0" b="2540"/>
          <wp:docPr id="156801518" name="Picture 15680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55C5" w14:textId="77777777" w:rsidR="00A93F1A" w:rsidRDefault="00A93F1A" w:rsidP="00A93F1A">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28A443A1" wp14:editId="40C341E4">
          <wp:extent cx="919093" cy="131299"/>
          <wp:effectExtent l="0" t="0" r="0" b="2540"/>
          <wp:docPr id="109735186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p w14:paraId="40EB4766" w14:textId="7BC94DED" w:rsidR="00B03653" w:rsidRPr="00A93F1A" w:rsidRDefault="00B03653" w:rsidP="00A93F1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199C" w14:textId="4071B8D3" w:rsidR="00B03653" w:rsidRPr="00970E65" w:rsidRDefault="00A93F1A" w:rsidP="008D4F60">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70917813" wp14:editId="17B859BB">
          <wp:extent cx="919093" cy="131299"/>
          <wp:effectExtent l="0" t="0" r="0" b="2540"/>
          <wp:docPr id="8670450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E86"/>
    <w:multiLevelType w:val="hybridMultilevel"/>
    <w:tmpl w:val="D6A0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D7CA0"/>
    <w:multiLevelType w:val="hybridMultilevel"/>
    <w:tmpl w:val="B3368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437"/>
        </w:tabs>
        <w:ind w:left="-437" w:hanging="283"/>
      </w:pPr>
      <w:rPr>
        <w:rFonts w:ascii="Times New Roman" w:hAnsi="Times New Roman" w:cs="Times New Roman"/>
        <w:b w:val="0"/>
        <w:i w:val="0"/>
      </w:rPr>
    </w:lvl>
    <w:lvl w:ilvl="1">
      <w:start w:val="1"/>
      <w:numFmt w:val="bullet"/>
      <w:pStyle w:val="Dash"/>
      <w:lvlText w:val="–"/>
      <w:lvlJc w:val="left"/>
      <w:pPr>
        <w:tabs>
          <w:tab w:val="num" w:pos="-153"/>
        </w:tabs>
        <w:ind w:left="-153" w:hanging="284"/>
      </w:pPr>
      <w:rPr>
        <w:rFonts w:ascii="Times New Roman" w:hAnsi="Times New Roman" w:cs="Times New Roman"/>
        <w:b w:val="0"/>
        <w:i w:val="0"/>
      </w:rPr>
    </w:lvl>
    <w:lvl w:ilvl="2">
      <w:start w:val="1"/>
      <w:numFmt w:val="bullet"/>
      <w:pStyle w:val="DoubleDot"/>
      <w:lvlText w:val=":"/>
      <w:lvlJc w:val="left"/>
      <w:pPr>
        <w:tabs>
          <w:tab w:val="num" w:pos="130"/>
        </w:tabs>
        <w:ind w:left="130" w:hanging="283"/>
      </w:pPr>
      <w:rPr>
        <w:rFonts w:ascii="Times New Roman" w:hAnsi="Times New Roman" w:cs="Times New Roman"/>
        <w:b w:val="0"/>
        <w:i w:val="0"/>
      </w:rPr>
    </w:lvl>
    <w:lvl w:ilvl="3">
      <w:start w:val="1"/>
      <w:numFmt w:val="decimal"/>
      <w:lvlText w:val="(%4)"/>
      <w:lvlJc w:val="left"/>
      <w:pPr>
        <w:tabs>
          <w:tab w:val="num" w:pos="720"/>
        </w:tabs>
        <w:ind w:left="720" w:hanging="360"/>
      </w:pPr>
      <w:rPr>
        <w:b w:val="0"/>
        <w:i w:val="0"/>
      </w:rPr>
    </w:lvl>
    <w:lvl w:ilvl="4">
      <w:start w:val="1"/>
      <w:numFmt w:val="lowerLetter"/>
      <w:lvlText w:val="(%5)"/>
      <w:lvlJc w:val="left"/>
      <w:pPr>
        <w:tabs>
          <w:tab w:val="num" w:pos="1080"/>
        </w:tabs>
        <w:ind w:left="1080" w:hanging="360"/>
      </w:pPr>
      <w:rPr>
        <w:b w:val="0"/>
        <w:i w:val="0"/>
      </w:rPr>
    </w:lvl>
    <w:lvl w:ilvl="5">
      <w:start w:val="1"/>
      <w:numFmt w:val="lowerRoman"/>
      <w:lvlText w:val="(%6)"/>
      <w:lvlJc w:val="left"/>
      <w:pPr>
        <w:tabs>
          <w:tab w:val="num" w:pos="1440"/>
        </w:tabs>
        <w:ind w:left="1440" w:hanging="360"/>
      </w:pPr>
      <w:rPr>
        <w:b w:val="0"/>
        <w:i w:val="0"/>
      </w:rPr>
    </w:lvl>
    <w:lvl w:ilvl="6">
      <w:start w:val="1"/>
      <w:numFmt w:val="decimal"/>
      <w:lvlText w:val="%7."/>
      <w:lvlJc w:val="left"/>
      <w:pPr>
        <w:tabs>
          <w:tab w:val="num" w:pos="1800"/>
        </w:tabs>
        <w:ind w:left="1800" w:hanging="360"/>
      </w:pPr>
      <w:rPr>
        <w:b w:val="0"/>
        <w:i w:val="0"/>
      </w:rPr>
    </w:lvl>
    <w:lvl w:ilvl="7">
      <w:start w:val="1"/>
      <w:numFmt w:val="lowerLetter"/>
      <w:lvlText w:val="%8."/>
      <w:lvlJc w:val="left"/>
      <w:pPr>
        <w:tabs>
          <w:tab w:val="num" w:pos="2160"/>
        </w:tabs>
        <w:ind w:left="2160" w:hanging="360"/>
      </w:pPr>
      <w:rPr>
        <w:b w:val="0"/>
        <w:i w:val="0"/>
      </w:rPr>
    </w:lvl>
    <w:lvl w:ilvl="8">
      <w:start w:val="1"/>
      <w:numFmt w:val="lowerRoman"/>
      <w:lvlText w:val="%9."/>
      <w:lvlJc w:val="left"/>
      <w:pPr>
        <w:tabs>
          <w:tab w:val="num" w:pos="2520"/>
        </w:tabs>
        <w:ind w:left="252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3A971AF"/>
    <w:multiLevelType w:val="hybridMultilevel"/>
    <w:tmpl w:val="3358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 w15:restartNumberingAfterBreak="0">
    <w:nsid w:val="1D185843"/>
    <w:multiLevelType w:val="multilevel"/>
    <w:tmpl w:val="0EAC3C9E"/>
    <w:lvl w:ilvl="0">
      <w:start w:val="1"/>
      <w:numFmt w:val="lowerLetter"/>
      <w:pStyle w:val="ChartandTableFootnoteAlpha"/>
      <w:lvlText w:val="(%1)"/>
      <w:lvlJc w:val="left"/>
      <w:pPr>
        <w:ind w:left="284" w:hanging="284"/>
      </w:pPr>
      <w:rPr>
        <w:rFonts w:ascii="Arial" w:hAnsi="Arial" w:hint="default"/>
        <w:b w:val="0"/>
        <w:bCs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30B26B64"/>
    <w:multiLevelType w:val="hybridMultilevel"/>
    <w:tmpl w:val="A40E33D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AA3C27"/>
    <w:multiLevelType w:val="hybridMultilevel"/>
    <w:tmpl w:val="F43C5888"/>
    <w:lvl w:ilvl="0" w:tplc="F1E6CB66">
      <w:start w:val="1"/>
      <w:numFmt w:val="bullet"/>
      <w:lvlText w:val=""/>
      <w:lvlJc w:val="left"/>
      <w:pPr>
        <w:ind w:left="502" w:hanging="360"/>
      </w:pPr>
      <w:rPr>
        <w:rFonts w:ascii="Symbol" w:hAnsi="Symbol" w:hint="default"/>
        <w:color w:val="000000"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17" w15:restartNumberingAfterBreak="0">
    <w:nsid w:val="385B6995"/>
    <w:multiLevelType w:val="hybridMultilevel"/>
    <w:tmpl w:val="FFFFFFFF"/>
    <w:lvl w:ilvl="0" w:tplc="8B3290D4">
      <w:start w:val="1"/>
      <w:numFmt w:val="lowerLetter"/>
      <w:lvlText w:val="(%1)"/>
      <w:lvlJc w:val="left"/>
      <w:pPr>
        <w:ind w:left="360" w:hanging="360"/>
      </w:pPr>
    </w:lvl>
    <w:lvl w:ilvl="1" w:tplc="C1FEC69E">
      <w:start w:val="1"/>
      <w:numFmt w:val="lowerLetter"/>
      <w:lvlText w:val="%2."/>
      <w:lvlJc w:val="left"/>
      <w:pPr>
        <w:ind w:left="1080" w:hanging="360"/>
      </w:pPr>
    </w:lvl>
    <w:lvl w:ilvl="2" w:tplc="4EF80A56">
      <w:start w:val="1"/>
      <w:numFmt w:val="lowerRoman"/>
      <w:lvlText w:val="%3."/>
      <w:lvlJc w:val="right"/>
      <w:pPr>
        <w:ind w:left="1800" w:hanging="180"/>
      </w:pPr>
    </w:lvl>
    <w:lvl w:ilvl="3" w:tplc="06EE26F4">
      <w:start w:val="1"/>
      <w:numFmt w:val="decimal"/>
      <w:lvlText w:val="%4."/>
      <w:lvlJc w:val="left"/>
      <w:pPr>
        <w:ind w:left="2520" w:hanging="360"/>
      </w:pPr>
    </w:lvl>
    <w:lvl w:ilvl="4" w:tplc="BFA82358">
      <w:start w:val="1"/>
      <w:numFmt w:val="lowerLetter"/>
      <w:lvlText w:val="%5."/>
      <w:lvlJc w:val="left"/>
      <w:pPr>
        <w:ind w:left="3240" w:hanging="360"/>
      </w:pPr>
    </w:lvl>
    <w:lvl w:ilvl="5" w:tplc="60180582">
      <w:start w:val="1"/>
      <w:numFmt w:val="lowerRoman"/>
      <w:lvlText w:val="%6."/>
      <w:lvlJc w:val="right"/>
      <w:pPr>
        <w:ind w:left="3960" w:hanging="180"/>
      </w:pPr>
    </w:lvl>
    <w:lvl w:ilvl="6" w:tplc="9D1823E6">
      <w:start w:val="1"/>
      <w:numFmt w:val="decimal"/>
      <w:lvlText w:val="%7."/>
      <w:lvlJc w:val="left"/>
      <w:pPr>
        <w:ind w:left="4680" w:hanging="360"/>
      </w:pPr>
    </w:lvl>
    <w:lvl w:ilvl="7" w:tplc="82B002A6">
      <w:start w:val="1"/>
      <w:numFmt w:val="lowerLetter"/>
      <w:lvlText w:val="%8."/>
      <w:lvlJc w:val="left"/>
      <w:pPr>
        <w:ind w:left="5400" w:hanging="360"/>
      </w:pPr>
    </w:lvl>
    <w:lvl w:ilvl="8" w:tplc="1368CE56">
      <w:start w:val="1"/>
      <w:numFmt w:val="lowerRoman"/>
      <w:lvlText w:val="%9."/>
      <w:lvlJc w:val="right"/>
      <w:pPr>
        <w:ind w:left="6120" w:hanging="180"/>
      </w:pPr>
    </w:lvl>
  </w:abstractNum>
  <w:abstractNum w:abstractNumId="18" w15:restartNumberingAfterBreak="0">
    <w:nsid w:val="39B06064"/>
    <w:multiLevelType w:val="hybridMultilevel"/>
    <w:tmpl w:val="47F630BC"/>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FD5AED"/>
    <w:multiLevelType w:val="hybridMultilevel"/>
    <w:tmpl w:val="E0128E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71CD3"/>
    <w:multiLevelType w:val="hybridMultilevel"/>
    <w:tmpl w:val="833AC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4" w15:restartNumberingAfterBreak="0">
    <w:nsid w:val="4C9B0AF0"/>
    <w:multiLevelType w:val="hybridMultilevel"/>
    <w:tmpl w:val="7CDCA194"/>
    <w:lvl w:ilvl="0" w:tplc="696847E4">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AD0E50"/>
    <w:multiLevelType w:val="hybridMultilevel"/>
    <w:tmpl w:val="6BC85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D7823"/>
    <w:multiLevelType w:val="hybridMultilevel"/>
    <w:tmpl w:val="8B409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B9D57E4"/>
    <w:multiLevelType w:val="hybridMultilevel"/>
    <w:tmpl w:val="C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1"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6BCD5337"/>
    <w:multiLevelType w:val="multilevel"/>
    <w:tmpl w:val="468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1135100">
    <w:abstractNumId w:val="23"/>
  </w:num>
  <w:num w:numId="2" w16cid:durableId="501941600">
    <w:abstractNumId w:val="2"/>
  </w:num>
  <w:num w:numId="3" w16cid:durableId="696123860">
    <w:abstractNumId w:val="34"/>
  </w:num>
  <w:num w:numId="4" w16cid:durableId="1487671259">
    <w:abstractNumId w:val="11"/>
  </w:num>
  <w:num w:numId="5" w16cid:durableId="2125268740">
    <w:abstractNumId w:val="27"/>
  </w:num>
  <w:num w:numId="6" w16cid:durableId="1597788870">
    <w:abstractNumId w:val="7"/>
    <w:lvlOverride w:ilvl="0">
      <w:startOverride w:val="1"/>
    </w:lvlOverride>
  </w:num>
  <w:num w:numId="7" w16cid:durableId="472261932">
    <w:abstractNumId w:val="10"/>
  </w:num>
  <w:num w:numId="8" w16cid:durableId="1585072013">
    <w:abstractNumId w:val="3"/>
  </w:num>
  <w:num w:numId="9" w16cid:durableId="1814254371">
    <w:abstractNumId w:val="15"/>
  </w:num>
  <w:num w:numId="10" w16cid:durableId="317879628">
    <w:abstractNumId w:val="18"/>
  </w:num>
  <w:num w:numId="11" w16cid:durableId="57291180">
    <w:abstractNumId w:val="24"/>
  </w:num>
  <w:num w:numId="12" w16cid:durableId="473111128">
    <w:abstractNumId w:val="12"/>
  </w:num>
  <w:num w:numId="13" w16cid:durableId="188303607">
    <w:abstractNumId w:val="33"/>
  </w:num>
  <w:num w:numId="14" w16cid:durableId="380062409">
    <w:abstractNumId w:val="22"/>
  </w:num>
  <w:num w:numId="15" w16cid:durableId="1079137195">
    <w:abstractNumId w:val="5"/>
  </w:num>
  <w:num w:numId="16" w16cid:durableId="797794287">
    <w:abstractNumId w:val="19"/>
  </w:num>
  <w:num w:numId="17" w16cid:durableId="1525052624">
    <w:abstractNumId w:val="30"/>
  </w:num>
  <w:num w:numId="18" w16cid:durableId="704332731">
    <w:abstractNumId w:val="6"/>
  </w:num>
  <w:num w:numId="19" w16cid:durableId="33346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7272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65867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350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3619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010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57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7696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81415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6040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366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778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2083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1596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118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62069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183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9698851">
    <w:abstractNumId w:val="8"/>
  </w:num>
  <w:num w:numId="37" w16cid:durableId="122971185">
    <w:abstractNumId w:val="1"/>
  </w:num>
  <w:num w:numId="38" w16cid:durableId="1081099701">
    <w:abstractNumId w:val="32"/>
  </w:num>
  <w:num w:numId="39" w16cid:durableId="993026232">
    <w:abstractNumId w:val="21"/>
  </w:num>
  <w:num w:numId="40" w16cid:durableId="936987774">
    <w:abstractNumId w:val="28"/>
  </w:num>
  <w:num w:numId="41" w16cid:durableId="9832436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1176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4444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6955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6986">
    <w:abstractNumId w:val="9"/>
  </w:num>
  <w:num w:numId="46" w16cid:durableId="58402480">
    <w:abstractNumId w:val="29"/>
  </w:num>
  <w:num w:numId="47" w16cid:durableId="1777827138">
    <w:abstractNumId w:val="13"/>
  </w:num>
  <w:num w:numId="48" w16cid:durableId="1300500469">
    <w:abstractNumId w:val="16"/>
  </w:num>
  <w:num w:numId="49" w16cid:durableId="135419109">
    <w:abstractNumId w:val="26"/>
  </w:num>
  <w:num w:numId="50" w16cid:durableId="1474522148">
    <w:abstractNumId w:val="35"/>
  </w:num>
  <w:num w:numId="51" w16cid:durableId="310328867">
    <w:abstractNumId w:val="0"/>
  </w:num>
  <w:num w:numId="52" w16cid:durableId="1260985348">
    <w:abstractNumId w:val="20"/>
  </w:num>
  <w:num w:numId="53" w16cid:durableId="942885977">
    <w:abstractNumId w:val="4"/>
  </w:num>
  <w:num w:numId="54" w16cid:durableId="1487092828">
    <w:abstractNumId w:val="25"/>
  </w:num>
  <w:num w:numId="55" w16cid:durableId="2028172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9549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09135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8609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6658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9520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72156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66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7595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356788">
    <w:abstractNumId w:val="17"/>
  </w:num>
  <w:num w:numId="65" w16cid:durableId="546071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10391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91848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17738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596666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1443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04764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6269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88380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13198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8118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69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2402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7127505">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1EF"/>
    <w:rsid w:val="000003A0"/>
    <w:rsid w:val="00000E17"/>
    <w:rsid w:val="00001E26"/>
    <w:rsid w:val="00001E57"/>
    <w:rsid w:val="00002097"/>
    <w:rsid w:val="000026E7"/>
    <w:rsid w:val="0000358C"/>
    <w:rsid w:val="00003AC4"/>
    <w:rsid w:val="00003CA0"/>
    <w:rsid w:val="00003E3D"/>
    <w:rsid w:val="00003FFA"/>
    <w:rsid w:val="000040F2"/>
    <w:rsid w:val="000051F6"/>
    <w:rsid w:val="000053CF"/>
    <w:rsid w:val="00005432"/>
    <w:rsid w:val="00005F4A"/>
    <w:rsid w:val="000066D6"/>
    <w:rsid w:val="0000678C"/>
    <w:rsid w:val="000067DF"/>
    <w:rsid w:val="00006A4D"/>
    <w:rsid w:val="00006AE4"/>
    <w:rsid w:val="00006B50"/>
    <w:rsid w:val="0000711B"/>
    <w:rsid w:val="000074BA"/>
    <w:rsid w:val="00010059"/>
    <w:rsid w:val="00010446"/>
    <w:rsid w:val="00010BBE"/>
    <w:rsid w:val="00010E6D"/>
    <w:rsid w:val="0001150F"/>
    <w:rsid w:val="00011BD0"/>
    <w:rsid w:val="00011C23"/>
    <w:rsid w:val="00011C50"/>
    <w:rsid w:val="00012625"/>
    <w:rsid w:val="000128FA"/>
    <w:rsid w:val="0001294C"/>
    <w:rsid w:val="00012BB0"/>
    <w:rsid w:val="000133EE"/>
    <w:rsid w:val="00013512"/>
    <w:rsid w:val="000136CE"/>
    <w:rsid w:val="00013A0E"/>
    <w:rsid w:val="00013CD3"/>
    <w:rsid w:val="00013D25"/>
    <w:rsid w:val="00013D54"/>
    <w:rsid w:val="00013D57"/>
    <w:rsid w:val="00013F8A"/>
    <w:rsid w:val="00014299"/>
    <w:rsid w:val="0001438C"/>
    <w:rsid w:val="00014BA6"/>
    <w:rsid w:val="00015BFB"/>
    <w:rsid w:val="00016147"/>
    <w:rsid w:val="0001615A"/>
    <w:rsid w:val="00016325"/>
    <w:rsid w:val="00016673"/>
    <w:rsid w:val="00016A52"/>
    <w:rsid w:val="00016A99"/>
    <w:rsid w:val="00016B77"/>
    <w:rsid w:val="00016D95"/>
    <w:rsid w:val="000173BE"/>
    <w:rsid w:val="00017619"/>
    <w:rsid w:val="00017665"/>
    <w:rsid w:val="00017840"/>
    <w:rsid w:val="0001786D"/>
    <w:rsid w:val="00020073"/>
    <w:rsid w:val="000201CB"/>
    <w:rsid w:val="00020217"/>
    <w:rsid w:val="00020573"/>
    <w:rsid w:val="00020B3F"/>
    <w:rsid w:val="000214C1"/>
    <w:rsid w:val="000216BF"/>
    <w:rsid w:val="00021DA6"/>
    <w:rsid w:val="00021DDF"/>
    <w:rsid w:val="00021DEE"/>
    <w:rsid w:val="00021EDB"/>
    <w:rsid w:val="000220B0"/>
    <w:rsid w:val="0002231E"/>
    <w:rsid w:val="00022751"/>
    <w:rsid w:val="00022838"/>
    <w:rsid w:val="000228DC"/>
    <w:rsid w:val="00022A33"/>
    <w:rsid w:val="00022C3E"/>
    <w:rsid w:val="00023708"/>
    <w:rsid w:val="00023738"/>
    <w:rsid w:val="00023CED"/>
    <w:rsid w:val="00023D71"/>
    <w:rsid w:val="00023F6F"/>
    <w:rsid w:val="00024F1A"/>
    <w:rsid w:val="00025478"/>
    <w:rsid w:val="00025CB2"/>
    <w:rsid w:val="0002693F"/>
    <w:rsid w:val="00026FF3"/>
    <w:rsid w:val="00027018"/>
    <w:rsid w:val="00027173"/>
    <w:rsid w:val="0002752E"/>
    <w:rsid w:val="00027CC7"/>
    <w:rsid w:val="00027E54"/>
    <w:rsid w:val="000300D7"/>
    <w:rsid w:val="000300F5"/>
    <w:rsid w:val="000304F9"/>
    <w:rsid w:val="000304FC"/>
    <w:rsid w:val="0003071B"/>
    <w:rsid w:val="00030FDA"/>
    <w:rsid w:val="000310B1"/>
    <w:rsid w:val="00031119"/>
    <w:rsid w:val="000312C5"/>
    <w:rsid w:val="000315C9"/>
    <w:rsid w:val="00031C95"/>
    <w:rsid w:val="000321AB"/>
    <w:rsid w:val="00032222"/>
    <w:rsid w:val="000322D7"/>
    <w:rsid w:val="000323CC"/>
    <w:rsid w:val="0003283A"/>
    <w:rsid w:val="000329C5"/>
    <w:rsid w:val="00032B87"/>
    <w:rsid w:val="0003355F"/>
    <w:rsid w:val="0003384E"/>
    <w:rsid w:val="00033F08"/>
    <w:rsid w:val="00034C41"/>
    <w:rsid w:val="0003503B"/>
    <w:rsid w:val="0003514D"/>
    <w:rsid w:val="000353A9"/>
    <w:rsid w:val="00035728"/>
    <w:rsid w:val="00035A06"/>
    <w:rsid w:val="00036095"/>
    <w:rsid w:val="000364F3"/>
    <w:rsid w:val="000366AE"/>
    <w:rsid w:val="000366F2"/>
    <w:rsid w:val="000369AC"/>
    <w:rsid w:val="0003724F"/>
    <w:rsid w:val="0003728B"/>
    <w:rsid w:val="000373CD"/>
    <w:rsid w:val="000374C4"/>
    <w:rsid w:val="00037AC3"/>
    <w:rsid w:val="00037B10"/>
    <w:rsid w:val="00037B32"/>
    <w:rsid w:val="00037BA1"/>
    <w:rsid w:val="00037D3F"/>
    <w:rsid w:val="00040859"/>
    <w:rsid w:val="00040C97"/>
    <w:rsid w:val="00040EEF"/>
    <w:rsid w:val="000410EC"/>
    <w:rsid w:val="00041311"/>
    <w:rsid w:val="000413A8"/>
    <w:rsid w:val="000413D4"/>
    <w:rsid w:val="0004198B"/>
    <w:rsid w:val="00042A1D"/>
    <w:rsid w:val="00042AFE"/>
    <w:rsid w:val="00042F2D"/>
    <w:rsid w:val="00042FDD"/>
    <w:rsid w:val="0004363E"/>
    <w:rsid w:val="00043785"/>
    <w:rsid w:val="000437A1"/>
    <w:rsid w:val="00043925"/>
    <w:rsid w:val="00043A08"/>
    <w:rsid w:val="0004414B"/>
    <w:rsid w:val="00044264"/>
    <w:rsid w:val="0004484D"/>
    <w:rsid w:val="00044C02"/>
    <w:rsid w:val="00044CF1"/>
    <w:rsid w:val="0004509D"/>
    <w:rsid w:val="00045667"/>
    <w:rsid w:val="0004567C"/>
    <w:rsid w:val="000465B8"/>
    <w:rsid w:val="00046B11"/>
    <w:rsid w:val="00046C2C"/>
    <w:rsid w:val="00046CA6"/>
    <w:rsid w:val="00046FCE"/>
    <w:rsid w:val="000476D8"/>
    <w:rsid w:val="000500FC"/>
    <w:rsid w:val="0005019A"/>
    <w:rsid w:val="0005030D"/>
    <w:rsid w:val="00050813"/>
    <w:rsid w:val="00050A1A"/>
    <w:rsid w:val="00050A97"/>
    <w:rsid w:val="000513BB"/>
    <w:rsid w:val="00051549"/>
    <w:rsid w:val="0005155B"/>
    <w:rsid w:val="0005170C"/>
    <w:rsid w:val="00052299"/>
    <w:rsid w:val="000525C8"/>
    <w:rsid w:val="000532F4"/>
    <w:rsid w:val="000533C6"/>
    <w:rsid w:val="00053B06"/>
    <w:rsid w:val="00053D21"/>
    <w:rsid w:val="000542F3"/>
    <w:rsid w:val="00054A04"/>
    <w:rsid w:val="00054CC3"/>
    <w:rsid w:val="000556DC"/>
    <w:rsid w:val="000559FE"/>
    <w:rsid w:val="00055A39"/>
    <w:rsid w:val="0005600E"/>
    <w:rsid w:val="0005612F"/>
    <w:rsid w:val="00056260"/>
    <w:rsid w:val="00056650"/>
    <w:rsid w:val="00056EFE"/>
    <w:rsid w:val="00057120"/>
    <w:rsid w:val="0005713A"/>
    <w:rsid w:val="0005713B"/>
    <w:rsid w:val="0005722F"/>
    <w:rsid w:val="00057BB8"/>
    <w:rsid w:val="00057C99"/>
    <w:rsid w:val="000606CB"/>
    <w:rsid w:val="00060890"/>
    <w:rsid w:val="00060CBA"/>
    <w:rsid w:val="00060D8E"/>
    <w:rsid w:val="000612DD"/>
    <w:rsid w:val="000613BC"/>
    <w:rsid w:val="00061415"/>
    <w:rsid w:val="00061841"/>
    <w:rsid w:val="00061851"/>
    <w:rsid w:val="00061959"/>
    <w:rsid w:val="00061982"/>
    <w:rsid w:val="0006199A"/>
    <w:rsid w:val="00061C8B"/>
    <w:rsid w:val="00061FD8"/>
    <w:rsid w:val="0006231C"/>
    <w:rsid w:val="00062375"/>
    <w:rsid w:val="0006273B"/>
    <w:rsid w:val="00062D5F"/>
    <w:rsid w:val="0006371C"/>
    <w:rsid w:val="0006383A"/>
    <w:rsid w:val="00063907"/>
    <w:rsid w:val="00063C44"/>
    <w:rsid w:val="00063CE1"/>
    <w:rsid w:val="00063D1E"/>
    <w:rsid w:val="00063DDE"/>
    <w:rsid w:val="00063E67"/>
    <w:rsid w:val="000641DA"/>
    <w:rsid w:val="00064A38"/>
    <w:rsid w:val="00065053"/>
    <w:rsid w:val="00065573"/>
    <w:rsid w:val="000655E4"/>
    <w:rsid w:val="000656AD"/>
    <w:rsid w:val="00065926"/>
    <w:rsid w:val="00065C71"/>
    <w:rsid w:val="0006640B"/>
    <w:rsid w:val="000664E1"/>
    <w:rsid w:val="00066879"/>
    <w:rsid w:val="00066BBA"/>
    <w:rsid w:val="000671B7"/>
    <w:rsid w:val="0006724A"/>
    <w:rsid w:val="00067B6F"/>
    <w:rsid w:val="00067E1D"/>
    <w:rsid w:val="00067F15"/>
    <w:rsid w:val="0007029C"/>
    <w:rsid w:val="0007064C"/>
    <w:rsid w:val="00071051"/>
    <w:rsid w:val="000712EE"/>
    <w:rsid w:val="00071794"/>
    <w:rsid w:val="00071CBB"/>
    <w:rsid w:val="00072019"/>
    <w:rsid w:val="000725C0"/>
    <w:rsid w:val="00072721"/>
    <w:rsid w:val="000728CD"/>
    <w:rsid w:val="00072D45"/>
    <w:rsid w:val="00072F19"/>
    <w:rsid w:val="0007391F"/>
    <w:rsid w:val="0007393A"/>
    <w:rsid w:val="00073D1A"/>
    <w:rsid w:val="000742A2"/>
    <w:rsid w:val="0007460F"/>
    <w:rsid w:val="000746EE"/>
    <w:rsid w:val="00074CE6"/>
    <w:rsid w:val="00074DFF"/>
    <w:rsid w:val="00075BE5"/>
    <w:rsid w:val="0007664E"/>
    <w:rsid w:val="000768A5"/>
    <w:rsid w:val="00076E51"/>
    <w:rsid w:val="00077277"/>
    <w:rsid w:val="0007743A"/>
    <w:rsid w:val="000774B0"/>
    <w:rsid w:val="000774F4"/>
    <w:rsid w:val="00077FC9"/>
    <w:rsid w:val="00080069"/>
    <w:rsid w:val="00080125"/>
    <w:rsid w:val="000803B4"/>
    <w:rsid w:val="000804C9"/>
    <w:rsid w:val="0008056F"/>
    <w:rsid w:val="000809F9"/>
    <w:rsid w:val="00080F3A"/>
    <w:rsid w:val="00080F4F"/>
    <w:rsid w:val="000810C0"/>
    <w:rsid w:val="00081424"/>
    <w:rsid w:val="000818DE"/>
    <w:rsid w:val="00081C56"/>
    <w:rsid w:val="00081CBC"/>
    <w:rsid w:val="00082159"/>
    <w:rsid w:val="000824E2"/>
    <w:rsid w:val="0008355E"/>
    <w:rsid w:val="00083724"/>
    <w:rsid w:val="00083736"/>
    <w:rsid w:val="00083E5D"/>
    <w:rsid w:val="000843E1"/>
    <w:rsid w:val="0008442E"/>
    <w:rsid w:val="0008449F"/>
    <w:rsid w:val="000846ED"/>
    <w:rsid w:val="000847AF"/>
    <w:rsid w:val="000848D3"/>
    <w:rsid w:val="00084994"/>
    <w:rsid w:val="0008499D"/>
    <w:rsid w:val="00084C6B"/>
    <w:rsid w:val="00084DEF"/>
    <w:rsid w:val="00084E89"/>
    <w:rsid w:val="000860D9"/>
    <w:rsid w:val="0008650C"/>
    <w:rsid w:val="0008652E"/>
    <w:rsid w:val="0008686B"/>
    <w:rsid w:val="00086E68"/>
    <w:rsid w:val="000872EE"/>
    <w:rsid w:val="00087C25"/>
    <w:rsid w:val="0009013D"/>
    <w:rsid w:val="000902FB"/>
    <w:rsid w:val="00090491"/>
    <w:rsid w:val="00090681"/>
    <w:rsid w:val="0009068F"/>
    <w:rsid w:val="00090856"/>
    <w:rsid w:val="0009088B"/>
    <w:rsid w:val="00090DA5"/>
    <w:rsid w:val="0009120B"/>
    <w:rsid w:val="00091285"/>
    <w:rsid w:val="0009151D"/>
    <w:rsid w:val="00091B05"/>
    <w:rsid w:val="00091BC3"/>
    <w:rsid w:val="000924A7"/>
    <w:rsid w:val="00092573"/>
    <w:rsid w:val="00093090"/>
    <w:rsid w:val="000932A5"/>
    <w:rsid w:val="00093452"/>
    <w:rsid w:val="00093D79"/>
    <w:rsid w:val="0009438F"/>
    <w:rsid w:val="00094B28"/>
    <w:rsid w:val="00094B9A"/>
    <w:rsid w:val="00094FDD"/>
    <w:rsid w:val="0009505B"/>
    <w:rsid w:val="000952B3"/>
    <w:rsid w:val="00095842"/>
    <w:rsid w:val="00095935"/>
    <w:rsid w:val="00096568"/>
    <w:rsid w:val="000967A4"/>
    <w:rsid w:val="00096DEE"/>
    <w:rsid w:val="00097063"/>
    <w:rsid w:val="00097336"/>
    <w:rsid w:val="000973AD"/>
    <w:rsid w:val="0009744D"/>
    <w:rsid w:val="000975DA"/>
    <w:rsid w:val="00097F74"/>
    <w:rsid w:val="00097F93"/>
    <w:rsid w:val="000A001C"/>
    <w:rsid w:val="000A047D"/>
    <w:rsid w:val="000A07A5"/>
    <w:rsid w:val="000A0891"/>
    <w:rsid w:val="000A117E"/>
    <w:rsid w:val="000A142D"/>
    <w:rsid w:val="000A1920"/>
    <w:rsid w:val="000A1A89"/>
    <w:rsid w:val="000A1AF4"/>
    <w:rsid w:val="000A1BE7"/>
    <w:rsid w:val="000A1C91"/>
    <w:rsid w:val="000A1E11"/>
    <w:rsid w:val="000A1FD1"/>
    <w:rsid w:val="000A24C4"/>
    <w:rsid w:val="000A2684"/>
    <w:rsid w:val="000A2B47"/>
    <w:rsid w:val="000A2D4B"/>
    <w:rsid w:val="000A2E3A"/>
    <w:rsid w:val="000A345B"/>
    <w:rsid w:val="000A372A"/>
    <w:rsid w:val="000A395D"/>
    <w:rsid w:val="000A4236"/>
    <w:rsid w:val="000A4278"/>
    <w:rsid w:val="000A4F78"/>
    <w:rsid w:val="000A532C"/>
    <w:rsid w:val="000A554D"/>
    <w:rsid w:val="000A5630"/>
    <w:rsid w:val="000A56A5"/>
    <w:rsid w:val="000A5C86"/>
    <w:rsid w:val="000A5FA6"/>
    <w:rsid w:val="000A62E0"/>
    <w:rsid w:val="000A62FB"/>
    <w:rsid w:val="000A6573"/>
    <w:rsid w:val="000A6841"/>
    <w:rsid w:val="000A6897"/>
    <w:rsid w:val="000A6B13"/>
    <w:rsid w:val="000A6CBD"/>
    <w:rsid w:val="000A6DBE"/>
    <w:rsid w:val="000A6E18"/>
    <w:rsid w:val="000A710C"/>
    <w:rsid w:val="000A75E2"/>
    <w:rsid w:val="000A75E3"/>
    <w:rsid w:val="000A7B26"/>
    <w:rsid w:val="000A7B7C"/>
    <w:rsid w:val="000A7C6F"/>
    <w:rsid w:val="000A7E1F"/>
    <w:rsid w:val="000B0ACA"/>
    <w:rsid w:val="000B0B26"/>
    <w:rsid w:val="000B0D82"/>
    <w:rsid w:val="000B141B"/>
    <w:rsid w:val="000B1691"/>
    <w:rsid w:val="000B1FC4"/>
    <w:rsid w:val="000B2154"/>
    <w:rsid w:val="000B21D6"/>
    <w:rsid w:val="000B2404"/>
    <w:rsid w:val="000B24B4"/>
    <w:rsid w:val="000B28B5"/>
    <w:rsid w:val="000B29EF"/>
    <w:rsid w:val="000B2FCE"/>
    <w:rsid w:val="000B3697"/>
    <w:rsid w:val="000B36D8"/>
    <w:rsid w:val="000B392E"/>
    <w:rsid w:val="000B3984"/>
    <w:rsid w:val="000B3B7D"/>
    <w:rsid w:val="000B3DA1"/>
    <w:rsid w:val="000B3E5E"/>
    <w:rsid w:val="000B400B"/>
    <w:rsid w:val="000B413E"/>
    <w:rsid w:val="000B4213"/>
    <w:rsid w:val="000B4DC7"/>
    <w:rsid w:val="000B4E07"/>
    <w:rsid w:val="000B507F"/>
    <w:rsid w:val="000B5456"/>
    <w:rsid w:val="000B611C"/>
    <w:rsid w:val="000B6673"/>
    <w:rsid w:val="000B6D59"/>
    <w:rsid w:val="000B6E38"/>
    <w:rsid w:val="000B7636"/>
    <w:rsid w:val="000C056F"/>
    <w:rsid w:val="000C0AAB"/>
    <w:rsid w:val="000C0D81"/>
    <w:rsid w:val="000C0F2E"/>
    <w:rsid w:val="000C1442"/>
    <w:rsid w:val="000C15EC"/>
    <w:rsid w:val="000C1928"/>
    <w:rsid w:val="000C19B3"/>
    <w:rsid w:val="000C19EF"/>
    <w:rsid w:val="000C1E44"/>
    <w:rsid w:val="000C213D"/>
    <w:rsid w:val="000C2330"/>
    <w:rsid w:val="000C276E"/>
    <w:rsid w:val="000C2D7D"/>
    <w:rsid w:val="000C3151"/>
    <w:rsid w:val="000C3B86"/>
    <w:rsid w:val="000C3C75"/>
    <w:rsid w:val="000C3F3A"/>
    <w:rsid w:val="000C403E"/>
    <w:rsid w:val="000C4A46"/>
    <w:rsid w:val="000C4F54"/>
    <w:rsid w:val="000C55A6"/>
    <w:rsid w:val="000C575D"/>
    <w:rsid w:val="000C6A39"/>
    <w:rsid w:val="000C6CD9"/>
    <w:rsid w:val="000C6FB8"/>
    <w:rsid w:val="000C7A2C"/>
    <w:rsid w:val="000D0281"/>
    <w:rsid w:val="000D034D"/>
    <w:rsid w:val="000D0547"/>
    <w:rsid w:val="000D0670"/>
    <w:rsid w:val="000D09C6"/>
    <w:rsid w:val="000D11BD"/>
    <w:rsid w:val="000D13E5"/>
    <w:rsid w:val="000D1555"/>
    <w:rsid w:val="000D17B5"/>
    <w:rsid w:val="000D1CCC"/>
    <w:rsid w:val="000D1D35"/>
    <w:rsid w:val="000D1FFB"/>
    <w:rsid w:val="000D254F"/>
    <w:rsid w:val="000D2590"/>
    <w:rsid w:val="000D274F"/>
    <w:rsid w:val="000D28EB"/>
    <w:rsid w:val="000D29A7"/>
    <w:rsid w:val="000D308C"/>
    <w:rsid w:val="000D3A3B"/>
    <w:rsid w:val="000D3A70"/>
    <w:rsid w:val="000D3EE3"/>
    <w:rsid w:val="000D3F02"/>
    <w:rsid w:val="000D4262"/>
    <w:rsid w:val="000D43DE"/>
    <w:rsid w:val="000D4A0E"/>
    <w:rsid w:val="000D4B39"/>
    <w:rsid w:val="000D4D80"/>
    <w:rsid w:val="000D55B5"/>
    <w:rsid w:val="000D5631"/>
    <w:rsid w:val="000D58A1"/>
    <w:rsid w:val="000D6318"/>
    <w:rsid w:val="000D71FA"/>
    <w:rsid w:val="000D7D39"/>
    <w:rsid w:val="000D7E54"/>
    <w:rsid w:val="000E04C6"/>
    <w:rsid w:val="000E058F"/>
    <w:rsid w:val="000E0A5A"/>
    <w:rsid w:val="000E0A85"/>
    <w:rsid w:val="000E0EEA"/>
    <w:rsid w:val="000E11FA"/>
    <w:rsid w:val="000E1562"/>
    <w:rsid w:val="000E1CB8"/>
    <w:rsid w:val="000E1E71"/>
    <w:rsid w:val="000E20C5"/>
    <w:rsid w:val="000E2319"/>
    <w:rsid w:val="000E2416"/>
    <w:rsid w:val="000E2E54"/>
    <w:rsid w:val="000E2E8A"/>
    <w:rsid w:val="000E2F5F"/>
    <w:rsid w:val="000E2F71"/>
    <w:rsid w:val="000E310C"/>
    <w:rsid w:val="000E32D2"/>
    <w:rsid w:val="000E3361"/>
    <w:rsid w:val="000E4540"/>
    <w:rsid w:val="000E49B7"/>
    <w:rsid w:val="000E4B23"/>
    <w:rsid w:val="000E55FC"/>
    <w:rsid w:val="000E5856"/>
    <w:rsid w:val="000E58AD"/>
    <w:rsid w:val="000E5D33"/>
    <w:rsid w:val="000E63FD"/>
    <w:rsid w:val="000E670F"/>
    <w:rsid w:val="000E68E3"/>
    <w:rsid w:val="000E6DDB"/>
    <w:rsid w:val="000E6E76"/>
    <w:rsid w:val="000E6F68"/>
    <w:rsid w:val="000E6FF4"/>
    <w:rsid w:val="000E72AB"/>
    <w:rsid w:val="000E74A6"/>
    <w:rsid w:val="000E7E96"/>
    <w:rsid w:val="000F0209"/>
    <w:rsid w:val="000F03B1"/>
    <w:rsid w:val="000F08AE"/>
    <w:rsid w:val="000F09DA"/>
    <w:rsid w:val="000F0DA6"/>
    <w:rsid w:val="000F11A9"/>
    <w:rsid w:val="000F1AAB"/>
    <w:rsid w:val="000F2CEE"/>
    <w:rsid w:val="000F2D33"/>
    <w:rsid w:val="000F2F7E"/>
    <w:rsid w:val="000F30F9"/>
    <w:rsid w:val="000F318B"/>
    <w:rsid w:val="000F3417"/>
    <w:rsid w:val="000F3B69"/>
    <w:rsid w:val="000F3E22"/>
    <w:rsid w:val="000F424A"/>
    <w:rsid w:val="000F43F4"/>
    <w:rsid w:val="000F440E"/>
    <w:rsid w:val="000F44C8"/>
    <w:rsid w:val="000F4F68"/>
    <w:rsid w:val="000F5867"/>
    <w:rsid w:val="000F5B51"/>
    <w:rsid w:val="000F6647"/>
    <w:rsid w:val="000F6E4A"/>
    <w:rsid w:val="000F6F69"/>
    <w:rsid w:val="000F73B7"/>
    <w:rsid w:val="000F76D9"/>
    <w:rsid w:val="000F794F"/>
    <w:rsid w:val="000F7BA1"/>
    <w:rsid w:val="000F7E7B"/>
    <w:rsid w:val="0010026E"/>
    <w:rsid w:val="001002F8"/>
    <w:rsid w:val="00100D2F"/>
    <w:rsid w:val="00100D97"/>
    <w:rsid w:val="001010CF"/>
    <w:rsid w:val="00101139"/>
    <w:rsid w:val="00101293"/>
    <w:rsid w:val="001016F9"/>
    <w:rsid w:val="00101A74"/>
    <w:rsid w:val="00101C7E"/>
    <w:rsid w:val="0010205E"/>
    <w:rsid w:val="00102303"/>
    <w:rsid w:val="00102654"/>
    <w:rsid w:val="0010281A"/>
    <w:rsid w:val="001028CC"/>
    <w:rsid w:val="00102AEA"/>
    <w:rsid w:val="00102F57"/>
    <w:rsid w:val="00103735"/>
    <w:rsid w:val="00103DB0"/>
    <w:rsid w:val="00103E87"/>
    <w:rsid w:val="0010445A"/>
    <w:rsid w:val="001044BB"/>
    <w:rsid w:val="001045F9"/>
    <w:rsid w:val="0010472B"/>
    <w:rsid w:val="00104878"/>
    <w:rsid w:val="00104A91"/>
    <w:rsid w:val="00104F95"/>
    <w:rsid w:val="001056C6"/>
    <w:rsid w:val="0010657F"/>
    <w:rsid w:val="00106F1D"/>
    <w:rsid w:val="001072D6"/>
    <w:rsid w:val="00107616"/>
    <w:rsid w:val="001077B8"/>
    <w:rsid w:val="001078E6"/>
    <w:rsid w:val="00107B0A"/>
    <w:rsid w:val="00107F8C"/>
    <w:rsid w:val="00111159"/>
    <w:rsid w:val="00111BE3"/>
    <w:rsid w:val="001121DE"/>
    <w:rsid w:val="0011221E"/>
    <w:rsid w:val="00112329"/>
    <w:rsid w:val="00112538"/>
    <w:rsid w:val="00112671"/>
    <w:rsid w:val="001126D8"/>
    <w:rsid w:val="00112D0F"/>
    <w:rsid w:val="001133E0"/>
    <w:rsid w:val="0011371C"/>
    <w:rsid w:val="0011382F"/>
    <w:rsid w:val="00113CAB"/>
    <w:rsid w:val="0011405F"/>
    <w:rsid w:val="00114289"/>
    <w:rsid w:val="001144A2"/>
    <w:rsid w:val="00114969"/>
    <w:rsid w:val="00114CDC"/>
    <w:rsid w:val="00115054"/>
    <w:rsid w:val="001150E5"/>
    <w:rsid w:val="00115A6A"/>
    <w:rsid w:val="00115DE5"/>
    <w:rsid w:val="00116339"/>
    <w:rsid w:val="001163C4"/>
    <w:rsid w:val="001163D6"/>
    <w:rsid w:val="00116769"/>
    <w:rsid w:val="00116985"/>
    <w:rsid w:val="001169A8"/>
    <w:rsid w:val="00116C76"/>
    <w:rsid w:val="00117039"/>
    <w:rsid w:val="001171FF"/>
    <w:rsid w:val="0011726A"/>
    <w:rsid w:val="00117416"/>
    <w:rsid w:val="00117434"/>
    <w:rsid w:val="00117CB9"/>
    <w:rsid w:val="00117E62"/>
    <w:rsid w:val="0012022D"/>
    <w:rsid w:val="00120447"/>
    <w:rsid w:val="00120B5E"/>
    <w:rsid w:val="0012108F"/>
    <w:rsid w:val="00121AE4"/>
    <w:rsid w:val="00121CF1"/>
    <w:rsid w:val="00121DE9"/>
    <w:rsid w:val="00121EB0"/>
    <w:rsid w:val="00122120"/>
    <w:rsid w:val="0012228D"/>
    <w:rsid w:val="001227DF"/>
    <w:rsid w:val="00122865"/>
    <w:rsid w:val="0012299F"/>
    <w:rsid w:val="00122A98"/>
    <w:rsid w:val="00122FA1"/>
    <w:rsid w:val="00123218"/>
    <w:rsid w:val="001237BA"/>
    <w:rsid w:val="001238E8"/>
    <w:rsid w:val="00123925"/>
    <w:rsid w:val="001244D1"/>
    <w:rsid w:val="001249F7"/>
    <w:rsid w:val="00124FAA"/>
    <w:rsid w:val="00124FFC"/>
    <w:rsid w:val="0012514E"/>
    <w:rsid w:val="0012529F"/>
    <w:rsid w:val="00125988"/>
    <w:rsid w:val="00125B55"/>
    <w:rsid w:val="00126641"/>
    <w:rsid w:val="00126954"/>
    <w:rsid w:val="0012697A"/>
    <w:rsid w:val="001269B8"/>
    <w:rsid w:val="00127B8E"/>
    <w:rsid w:val="00127BD0"/>
    <w:rsid w:val="001300D0"/>
    <w:rsid w:val="00130392"/>
    <w:rsid w:val="00130E02"/>
    <w:rsid w:val="00130EF9"/>
    <w:rsid w:val="00131149"/>
    <w:rsid w:val="0013120D"/>
    <w:rsid w:val="00131851"/>
    <w:rsid w:val="00131B67"/>
    <w:rsid w:val="001327D2"/>
    <w:rsid w:val="00132C99"/>
    <w:rsid w:val="00132DD1"/>
    <w:rsid w:val="00132F9E"/>
    <w:rsid w:val="001331B2"/>
    <w:rsid w:val="00133AF6"/>
    <w:rsid w:val="00133C70"/>
    <w:rsid w:val="00133D3A"/>
    <w:rsid w:val="001340E4"/>
    <w:rsid w:val="0013421E"/>
    <w:rsid w:val="00134313"/>
    <w:rsid w:val="00134568"/>
    <w:rsid w:val="001346BF"/>
    <w:rsid w:val="001348F5"/>
    <w:rsid w:val="001349B9"/>
    <w:rsid w:val="00135083"/>
    <w:rsid w:val="0013524B"/>
    <w:rsid w:val="001352EE"/>
    <w:rsid w:val="00135505"/>
    <w:rsid w:val="00135769"/>
    <w:rsid w:val="00135A26"/>
    <w:rsid w:val="00135DAB"/>
    <w:rsid w:val="00135E16"/>
    <w:rsid w:val="00135ECB"/>
    <w:rsid w:val="00135FF4"/>
    <w:rsid w:val="001364A7"/>
    <w:rsid w:val="001364F9"/>
    <w:rsid w:val="001367F6"/>
    <w:rsid w:val="00136827"/>
    <w:rsid w:val="00136934"/>
    <w:rsid w:val="00136E9D"/>
    <w:rsid w:val="00136F1B"/>
    <w:rsid w:val="00137062"/>
    <w:rsid w:val="001375D4"/>
    <w:rsid w:val="00137B75"/>
    <w:rsid w:val="00137E55"/>
    <w:rsid w:val="00141006"/>
    <w:rsid w:val="00141094"/>
    <w:rsid w:val="00141154"/>
    <w:rsid w:val="001415FC"/>
    <w:rsid w:val="001418E1"/>
    <w:rsid w:val="00141C3D"/>
    <w:rsid w:val="00141ECD"/>
    <w:rsid w:val="001426AF"/>
    <w:rsid w:val="0014290A"/>
    <w:rsid w:val="00142ED6"/>
    <w:rsid w:val="00143304"/>
    <w:rsid w:val="00143750"/>
    <w:rsid w:val="00143AF9"/>
    <w:rsid w:val="00143B9D"/>
    <w:rsid w:val="00143E5A"/>
    <w:rsid w:val="00143E88"/>
    <w:rsid w:val="00144016"/>
    <w:rsid w:val="0014405B"/>
    <w:rsid w:val="0014419E"/>
    <w:rsid w:val="00144276"/>
    <w:rsid w:val="00144321"/>
    <w:rsid w:val="00144A7B"/>
    <w:rsid w:val="00144BA8"/>
    <w:rsid w:val="00144F15"/>
    <w:rsid w:val="001455D8"/>
    <w:rsid w:val="0014574B"/>
    <w:rsid w:val="00145C17"/>
    <w:rsid w:val="001463A6"/>
    <w:rsid w:val="001465DC"/>
    <w:rsid w:val="001465E9"/>
    <w:rsid w:val="00146B5E"/>
    <w:rsid w:val="00146E88"/>
    <w:rsid w:val="00147447"/>
    <w:rsid w:val="0014746A"/>
    <w:rsid w:val="00147557"/>
    <w:rsid w:val="001478F7"/>
    <w:rsid w:val="0014790A"/>
    <w:rsid w:val="00150631"/>
    <w:rsid w:val="00150AC2"/>
    <w:rsid w:val="00150E34"/>
    <w:rsid w:val="00150E70"/>
    <w:rsid w:val="001510EB"/>
    <w:rsid w:val="00151609"/>
    <w:rsid w:val="00151975"/>
    <w:rsid w:val="00151A7C"/>
    <w:rsid w:val="00151ABB"/>
    <w:rsid w:val="00151B82"/>
    <w:rsid w:val="00152172"/>
    <w:rsid w:val="00152413"/>
    <w:rsid w:val="001526CA"/>
    <w:rsid w:val="001528A5"/>
    <w:rsid w:val="00152A55"/>
    <w:rsid w:val="00152B2B"/>
    <w:rsid w:val="00152D10"/>
    <w:rsid w:val="00153006"/>
    <w:rsid w:val="00153AD3"/>
    <w:rsid w:val="00154447"/>
    <w:rsid w:val="001544AE"/>
    <w:rsid w:val="001545D0"/>
    <w:rsid w:val="001549BE"/>
    <w:rsid w:val="00154B9F"/>
    <w:rsid w:val="00154CDE"/>
    <w:rsid w:val="00154F5B"/>
    <w:rsid w:val="00155644"/>
    <w:rsid w:val="001567E5"/>
    <w:rsid w:val="00156CEF"/>
    <w:rsid w:val="0015722A"/>
    <w:rsid w:val="00157781"/>
    <w:rsid w:val="001578BD"/>
    <w:rsid w:val="0016058D"/>
    <w:rsid w:val="00160C23"/>
    <w:rsid w:val="00161159"/>
    <w:rsid w:val="00161B30"/>
    <w:rsid w:val="00161DAC"/>
    <w:rsid w:val="001629B7"/>
    <w:rsid w:val="00162B55"/>
    <w:rsid w:val="00162D8B"/>
    <w:rsid w:val="00162F7F"/>
    <w:rsid w:val="00163101"/>
    <w:rsid w:val="001638E9"/>
    <w:rsid w:val="00163F64"/>
    <w:rsid w:val="00164CDA"/>
    <w:rsid w:val="00165824"/>
    <w:rsid w:val="00165CAC"/>
    <w:rsid w:val="0016611C"/>
    <w:rsid w:val="00166395"/>
    <w:rsid w:val="00166406"/>
    <w:rsid w:val="00166473"/>
    <w:rsid w:val="00166644"/>
    <w:rsid w:val="001666EA"/>
    <w:rsid w:val="00166759"/>
    <w:rsid w:val="001668D8"/>
    <w:rsid w:val="001668E3"/>
    <w:rsid w:val="00167406"/>
    <w:rsid w:val="001675E1"/>
    <w:rsid w:val="001678EB"/>
    <w:rsid w:val="00167CD8"/>
    <w:rsid w:val="00167D9D"/>
    <w:rsid w:val="00170AD7"/>
    <w:rsid w:val="00170B30"/>
    <w:rsid w:val="0017111A"/>
    <w:rsid w:val="00171A85"/>
    <w:rsid w:val="00171E17"/>
    <w:rsid w:val="001722A7"/>
    <w:rsid w:val="001724E7"/>
    <w:rsid w:val="0017252B"/>
    <w:rsid w:val="001734A1"/>
    <w:rsid w:val="00173F2C"/>
    <w:rsid w:val="00173F5C"/>
    <w:rsid w:val="00174186"/>
    <w:rsid w:val="00174484"/>
    <w:rsid w:val="00174565"/>
    <w:rsid w:val="00174647"/>
    <w:rsid w:val="00174792"/>
    <w:rsid w:val="00174EC9"/>
    <w:rsid w:val="001750C8"/>
    <w:rsid w:val="001753F7"/>
    <w:rsid w:val="00175589"/>
    <w:rsid w:val="00175800"/>
    <w:rsid w:val="0017583E"/>
    <w:rsid w:val="00175BB3"/>
    <w:rsid w:val="00175FE2"/>
    <w:rsid w:val="001763B8"/>
    <w:rsid w:val="00176739"/>
    <w:rsid w:val="0017694C"/>
    <w:rsid w:val="00177067"/>
    <w:rsid w:val="0017712A"/>
    <w:rsid w:val="0017755E"/>
    <w:rsid w:val="0017768E"/>
    <w:rsid w:val="00177A48"/>
    <w:rsid w:val="00177A9A"/>
    <w:rsid w:val="00180032"/>
    <w:rsid w:val="00180372"/>
    <w:rsid w:val="001808A4"/>
    <w:rsid w:val="00180C9B"/>
    <w:rsid w:val="00180E98"/>
    <w:rsid w:val="00180FF3"/>
    <w:rsid w:val="00181038"/>
    <w:rsid w:val="001813DC"/>
    <w:rsid w:val="001815A5"/>
    <w:rsid w:val="00181B1B"/>
    <w:rsid w:val="00181D1C"/>
    <w:rsid w:val="00181E9C"/>
    <w:rsid w:val="00181F30"/>
    <w:rsid w:val="00181FF5"/>
    <w:rsid w:val="001821C6"/>
    <w:rsid w:val="00182295"/>
    <w:rsid w:val="00182740"/>
    <w:rsid w:val="00182B72"/>
    <w:rsid w:val="00182BBA"/>
    <w:rsid w:val="0018300D"/>
    <w:rsid w:val="00183362"/>
    <w:rsid w:val="00183391"/>
    <w:rsid w:val="00184071"/>
    <w:rsid w:val="00184854"/>
    <w:rsid w:val="001852C5"/>
    <w:rsid w:val="00185330"/>
    <w:rsid w:val="00185377"/>
    <w:rsid w:val="001858F4"/>
    <w:rsid w:val="00185A3B"/>
    <w:rsid w:val="00185CD7"/>
    <w:rsid w:val="00185D3A"/>
    <w:rsid w:val="00186007"/>
    <w:rsid w:val="0018615B"/>
    <w:rsid w:val="00186626"/>
    <w:rsid w:val="00186682"/>
    <w:rsid w:val="00186834"/>
    <w:rsid w:val="00186850"/>
    <w:rsid w:val="00186A80"/>
    <w:rsid w:val="00186CB2"/>
    <w:rsid w:val="00187AF6"/>
    <w:rsid w:val="00187EF9"/>
    <w:rsid w:val="001900FF"/>
    <w:rsid w:val="001904A5"/>
    <w:rsid w:val="001905B4"/>
    <w:rsid w:val="00190A19"/>
    <w:rsid w:val="00190C66"/>
    <w:rsid w:val="00190FD8"/>
    <w:rsid w:val="00191894"/>
    <w:rsid w:val="00192171"/>
    <w:rsid w:val="001923C8"/>
    <w:rsid w:val="001930EA"/>
    <w:rsid w:val="0019327F"/>
    <w:rsid w:val="00193604"/>
    <w:rsid w:val="001939FF"/>
    <w:rsid w:val="00193AB5"/>
    <w:rsid w:val="00193E56"/>
    <w:rsid w:val="00193EC4"/>
    <w:rsid w:val="00193ECF"/>
    <w:rsid w:val="00194107"/>
    <w:rsid w:val="00194368"/>
    <w:rsid w:val="00194AE8"/>
    <w:rsid w:val="00194BD3"/>
    <w:rsid w:val="00194DE8"/>
    <w:rsid w:val="001953AC"/>
    <w:rsid w:val="00195994"/>
    <w:rsid w:val="001960C7"/>
    <w:rsid w:val="0019612F"/>
    <w:rsid w:val="00196482"/>
    <w:rsid w:val="00196B72"/>
    <w:rsid w:val="00196C28"/>
    <w:rsid w:val="00196F6C"/>
    <w:rsid w:val="001975ED"/>
    <w:rsid w:val="00197990"/>
    <w:rsid w:val="00197A01"/>
    <w:rsid w:val="001A0106"/>
    <w:rsid w:val="001A01CF"/>
    <w:rsid w:val="001A02CB"/>
    <w:rsid w:val="001A02FD"/>
    <w:rsid w:val="001A0F17"/>
    <w:rsid w:val="001A108B"/>
    <w:rsid w:val="001A11DB"/>
    <w:rsid w:val="001A17E7"/>
    <w:rsid w:val="001A1A25"/>
    <w:rsid w:val="001A1AEC"/>
    <w:rsid w:val="001A1DAD"/>
    <w:rsid w:val="001A2C9C"/>
    <w:rsid w:val="001A31CF"/>
    <w:rsid w:val="001A33F4"/>
    <w:rsid w:val="001A3B57"/>
    <w:rsid w:val="001A3DCA"/>
    <w:rsid w:val="001A45EC"/>
    <w:rsid w:val="001A4B51"/>
    <w:rsid w:val="001A4CFC"/>
    <w:rsid w:val="001A4DF0"/>
    <w:rsid w:val="001A50DE"/>
    <w:rsid w:val="001A53AE"/>
    <w:rsid w:val="001A55BF"/>
    <w:rsid w:val="001A5941"/>
    <w:rsid w:val="001A5B81"/>
    <w:rsid w:val="001A60C2"/>
    <w:rsid w:val="001A6256"/>
    <w:rsid w:val="001A6B33"/>
    <w:rsid w:val="001A6F29"/>
    <w:rsid w:val="001A7152"/>
    <w:rsid w:val="001A71FE"/>
    <w:rsid w:val="001A72BB"/>
    <w:rsid w:val="001A789B"/>
    <w:rsid w:val="001A79B2"/>
    <w:rsid w:val="001A7B43"/>
    <w:rsid w:val="001A7E64"/>
    <w:rsid w:val="001B02E3"/>
    <w:rsid w:val="001B0367"/>
    <w:rsid w:val="001B03CC"/>
    <w:rsid w:val="001B0A4D"/>
    <w:rsid w:val="001B0C75"/>
    <w:rsid w:val="001B0D45"/>
    <w:rsid w:val="001B14DB"/>
    <w:rsid w:val="001B1D9E"/>
    <w:rsid w:val="001B1ECD"/>
    <w:rsid w:val="001B2010"/>
    <w:rsid w:val="001B25D8"/>
    <w:rsid w:val="001B2933"/>
    <w:rsid w:val="001B2A29"/>
    <w:rsid w:val="001B2DEE"/>
    <w:rsid w:val="001B368E"/>
    <w:rsid w:val="001B37C7"/>
    <w:rsid w:val="001B3B6E"/>
    <w:rsid w:val="001B44C2"/>
    <w:rsid w:val="001B4C3D"/>
    <w:rsid w:val="001B4D6B"/>
    <w:rsid w:val="001B4EC1"/>
    <w:rsid w:val="001B5669"/>
    <w:rsid w:val="001B56CD"/>
    <w:rsid w:val="001B5C55"/>
    <w:rsid w:val="001B5D23"/>
    <w:rsid w:val="001B61AE"/>
    <w:rsid w:val="001B659F"/>
    <w:rsid w:val="001B6790"/>
    <w:rsid w:val="001B71C4"/>
    <w:rsid w:val="001B7393"/>
    <w:rsid w:val="001B7399"/>
    <w:rsid w:val="001B7655"/>
    <w:rsid w:val="001B7BAD"/>
    <w:rsid w:val="001B7E56"/>
    <w:rsid w:val="001B7F09"/>
    <w:rsid w:val="001C0212"/>
    <w:rsid w:val="001C05A8"/>
    <w:rsid w:val="001C0D87"/>
    <w:rsid w:val="001C1166"/>
    <w:rsid w:val="001C15CF"/>
    <w:rsid w:val="001C21AB"/>
    <w:rsid w:val="001C261E"/>
    <w:rsid w:val="001C2831"/>
    <w:rsid w:val="001C29CA"/>
    <w:rsid w:val="001C2B1D"/>
    <w:rsid w:val="001C39DB"/>
    <w:rsid w:val="001C3AC7"/>
    <w:rsid w:val="001C3CFD"/>
    <w:rsid w:val="001C41FD"/>
    <w:rsid w:val="001C42D0"/>
    <w:rsid w:val="001C4391"/>
    <w:rsid w:val="001C4542"/>
    <w:rsid w:val="001C47A6"/>
    <w:rsid w:val="001C47DB"/>
    <w:rsid w:val="001C48FE"/>
    <w:rsid w:val="001C4EA8"/>
    <w:rsid w:val="001C4FD5"/>
    <w:rsid w:val="001C5162"/>
    <w:rsid w:val="001C571A"/>
    <w:rsid w:val="001C5C04"/>
    <w:rsid w:val="001C61E7"/>
    <w:rsid w:val="001C62B8"/>
    <w:rsid w:val="001C6402"/>
    <w:rsid w:val="001C6940"/>
    <w:rsid w:val="001C6B05"/>
    <w:rsid w:val="001C6E5E"/>
    <w:rsid w:val="001C756A"/>
    <w:rsid w:val="001C75AD"/>
    <w:rsid w:val="001C7A86"/>
    <w:rsid w:val="001C7B78"/>
    <w:rsid w:val="001C7FB4"/>
    <w:rsid w:val="001D01B2"/>
    <w:rsid w:val="001D0A25"/>
    <w:rsid w:val="001D0B44"/>
    <w:rsid w:val="001D0BA6"/>
    <w:rsid w:val="001D1354"/>
    <w:rsid w:val="001D1689"/>
    <w:rsid w:val="001D1745"/>
    <w:rsid w:val="001D1786"/>
    <w:rsid w:val="001D1903"/>
    <w:rsid w:val="001D1942"/>
    <w:rsid w:val="001D1C08"/>
    <w:rsid w:val="001D1C61"/>
    <w:rsid w:val="001D1D2A"/>
    <w:rsid w:val="001D1DDB"/>
    <w:rsid w:val="001D2208"/>
    <w:rsid w:val="001D2720"/>
    <w:rsid w:val="001D28DC"/>
    <w:rsid w:val="001D2EF1"/>
    <w:rsid w:val="001D3280"/>
    <w:rsid w:val="001D3AB3"/>
    <w:rsid w:val="001D4733"/>
    <w:rsid w:val="001D4B6D"/>
    <w:rsid w:val="001D4C1A"/>
    <w:rsid w:val="001D4FB2"/>
    <w:rsid w:val="001D523D"/>
    <w:rsid w:val="001D53EA"/>
    <w:rsid w:val="001D5BC7"/>
    <w:rsid w:val="001D5F19"/>
    <w:rsid w:val="001D6926"/>
    <w:rsid w:val="001D6CCC"/>
    <w:rsid w:val="001D6F7C"/>
    <w:rsid w:val="001D7224"/>
    <w:rsid w:val="001D7240"/>
    <w:rsid w:val="001D7428"/>
    <w:rsid w:val="001D792E"/>
    <w:rsid w:val="001D7DFB"/>
    <w:rsid w:val="001D7E21"/>
    <w:rsid w:val="001D7E4A"/>
    <w:rsid w:val="001D7E63"/>
    <w:rsid w:val="001E0156"/>
    <w:rsid w:val="001E030D"/>
    <w:rsid w:val="001E05B7"/>
    <w:rsid w:val="001E0854"/>
    <w:rsid w:val="001E0AC0"/>
    <w:rsid w:val="001E10D7"/>
    <w:rsid w:val="001E12A5"/>
    <w:rsid w:val="001E1349"/>
    <w:rsid w:val="001E1BF9"/>
    <w:rsid w:val="001E1EDB"/>
    <w:rsid w:val="001E24BD"/>
    <w:rsid w:val="001E24C6"/>
    <w:rsid w:val="001E2539"/>
    <w:rsid w:val="001E31B7"/>
    <w:rsid w:val="001E32AF"/>
    <w:rsid w:val="001E35E4"/>
    <w:rsid w:val="001E3A18"/>
    <w:rsid w:val="001E3B06"/>
    <w:rsid w:val="001E3D87"/>
    <w:rsid w:val="001E42A3"/>
    <w:rsid w:val="001E443F"/>
    <w:rsid w:val="001E4517"/>
    <w:rsid w:val="001E4987"/>
    <w:rsid w:val="001E4A00"/>
    <w:rsid w:val="001E4ECA"/>
    <w:rsid w:val="001E4F3D"/>
    <w:rsid w:val="001E5227"/>
    <w:rsid w:val="001E58BD"/>
    <w:rsid w:val="001E58CE"/>
    <w:rsid w:val="001E5E17"/>
    <w:rsid w:val="001E5F94"/>
    <w:rsid w:val="001E6B99"/>
    <w:rsid w:val="001E6CC6"/>
    <w:rsid w:val="001E6D47"/>
    <w:rsid w:val="001E6F88"/>
    <w:rsid w:val="001E7093"/>
    <w:rsid w:val="001E717D"/>
    <w:rsid w:val="001E71F5"/>
    <w:rsid w:val="001E79E2"/>
    <w:rsid w:val="001E7D86"/>
    <w:rsid w:val="001E7FCB"/>
    <w:rsid w:val="001F1111"/>
    <w:rsid w:val="001F248F"/>
    <w:rsid w:val="001F2903"/>
    <w:rsid w:val="001F2B70"/>
    <w:rsid w:val="001F2F2C"/>
    <w:rsid w:val="001F3624"/>
    <w:rsid w:val="001F377B"/>
    <w:rsid w:val="001F3CF9"/>
    <w:rsid w:val="001F3DE0"/>
    <w:rsid w:val="001F42F5"/>
    <w:rsid w:val="001F4676"/>
    <w:rsid w:val="001F4829"/>
    <w:rsid w:val="001F54CB"/>
    <w:rsid w:val="001F5555"/>
    <w:rsid w:val="001F55E5"/>
    <w:rsid w:val="001F5CB9"/>
    <w:rsid w:val="001F5FF6"/>
    <w:rsid w:val="001F66A9"/>
    <w:rsid w:val="001F69E5"/>
    <w:rsid w:val="001F6CB8"/>
    <w:rsid w:val="001F79FC"/>
    <w:rsid w:val="001F7C9F"/>
    <w:rsid w:val="001F7D7F"/>
    <w:rsid w:val="002003A1"/>
    <w:rsid w:val="002003E0"/>
    <w:rsid w:val="00200A48"/>
    <w:rsid w:val="00200C77"/>
    <w:rsid w:val="00200DC3"/>
    <w:rsid w:val="00200FA9"/>
    <w:rsid w:val="002011E2"/>
    <w:rsid w:val="002017FE"/>
    <w:rsid w:val="0020199C"/>
    <w:rsid w:val="00201BB9"/>
    <w:rsid w:val="00201D46"/>
    <w:rsid w:val="00201FAF"/>
    <w:rsid w:val="00202123"/>
    <w:rsid w:val="00202772"/>
    <w:rsid w:val="00202925"/>
    <w:rsid w:val="00202C70"/>
    <w:rsid w:val="00202F1C"/>
    <w:rsid w:val="00203FE8"/>
    <w:rsid w:val="002050B0"/>
    <w:rsid w:val="0020550C"/>
    <w:rsid w:val="00205D80"/>
    <w:rsid w:val="00205E00"/>
    <w:rsid w:val="00206149"/>
    <w:rsid w:val="0020632D"/>
    <w:rsid w:val="00206401"/>
    <w:rsid w:val="00207380"/>
    <w:rsid w:val="00207A2B"/>
    <w:rsid w:val="00207CAF"/>
    <w:rsid w:val="00207E69"/>
    <w:rsid w:val="0021005A"/>
    <w:rsid w:val="0021011C"/>
    <w:rsid w:val="00210874"/>
    <w:rsid w:val="0021093F"/>
    <w:rsid w:val="002114A8"/>
    <w:rsid w:val="002117F6"/>
    <w:rsid w:val="002117F7"/>
    <w:rsid w:val="00211C0C"/>
    <w:rsid w:val="00211E37"/>
    <w:rsid w:val="00212767"/>
    <w:rsid w:val="00213143"/>
    <w:rsid w:val="002133CA"/>
    <w:rsid w:val="00213592"/>
    <w:rsid w:val="00213793"/>
    <w:rsid w:val="002146B5"/>
    <w:rsid w:val="00214BB2"/>
    <w:rsid w:val="00214DCF"/>
    <w:rsid w:val="00214FA2"/>
    <w:rsid w:val="00215311"/>
    <w:rsid w:val="00215666"/>
    <w:rsid w:val="002156A8"/>
    <w:rsid w:val="00215783"/>
    <w:rsid w:val="002157A5"/>
    <w:rsid w:val="00215CCF"/>
    <w:rsid w:val="0021613F"/>
    <w:rsid w:val="0021644B"/>
    <w:rsid w:val="00216489"/>
    <w:rsid w:val="002167C9"/>
    <w:rsid w:val="00216A72"/>
    <w:rsid w:val="00216DC9"/>
    <w:rsid w:val="00217CA0"/>
    <w:rsid w:val="00220003"/>
    <w:rsid w:val="0022017E"/>
    <w:rsid w:val="002202EB"/>
    <w:rsid w:val="00220FCF"/>
    <w:rsid w:val="00221091"/>
    <w:rsid w:val="00221528"/>
    <w:rsid w:val="00221690"/>
    <w:rsid w:val="00221705"/>
    <w:rsid w:val="0022170E"/>
    <w:rsid w:val="00221972"/>
    <w:rsid w:val="00221D80"/>
    <w:rsid w:val="0022282A"/>
    <w:rsid w:val="00222C22"/>
    <w:rsid w:val="002231C8"/>
    <w:rsid w:val="002234AC"/>
    <w:rsid w:val="002237FA"/>
    <w:rsid w:val="00223B7C"/>
    <w:rsid w:val="00223CED"/>
    <w:rsid w:val="00223E94"/>
    <w:rsid w:val="00224154"/>
    <w:rsid w:val="00224375"/>
    <w:rsid w:val="002245DF"/>
    <w:rsid w:val="00224929"/>
    <w:rsid w:val="00225593"/>
    <w:rsid w:val="00225966"/>
    <w:rsid w:val="00225EAA"/>
    <w:rsid w:val="0022609A"/>
    <w:rsid w:val="002264EB"/>
    <w:rsid w:val="002269C2"/>
    <w:rsid w:val="002273FD"/>
    <w:rsid w:val="00227B77"/>
    <w:rsid w:val="00230194"/>
    <w:rsid w:val="002301ED"/>
    <w:rsid w:val="00230288"/>
    <w:rsid w:val="0023065B"/>
    <w:rsid w:val="00231177"/>
    <w:rsid w:val="002311E6"/>
    <w:rsid w:val="002313E0"/>
    <w:rsid w:val="0023158D"/>
    <w:rsid w:val="00231780"/>
    <w:rsid w:val="00231923"/>
    <w:rsid w:val="00231BEC"/>
    <w:rsid w:val="00231C35"/>
    <w:rsid w:val="0023203A"/>
    <w:rsid w:val="00232364"/>
    <w:rsid w:val="0023245D"/>
    <w:rsid w:val="00232974"/>
    <w:rsid w:val="002329C3"/>
    <w:rsid w:val="00232A75"/>
    <w:rsid w:val="00232B42"/>
    <w:rsid w:val="002330CC"/>
    <w:rsid w:val="002332AE"/>
    <w:rsid w:val="002333C2"/>
    <w:rsid w:val="0023346B"/>
    <w:rsid w:val="00233825"/>
    <w:rsid w:val="002339F7"/>
    <w:rsid w:val="00233CC5"/>
    <w:rsid w:val="00233F2D"/>
    <w:rsid w:val="00234040"/>
    <w:rsid w:val="002344C7"/>
    <w:rsid w:val="00234A0C"/>
    <w:rsid w:val="0023500B"/>
    <w:rsid w:val="00235785"/>
    <w:rsid w:val="0023596B"/>
    <w:rsid w:val="00235A66"/>
    <w:rsid w:val="00235BF2"/>
    <w:rsid w:val="00235D67"/>
    <w:rsid w:val="0023626B"/>
    <w:rsid w:val="00236384"/>
    <w:rsid w:val="00236987"/>
    <w:rsid w:val="00236A54"/>
    <w:rsid w:val="002376AD"/>
    <w:rsid w:val="0023782B"/>
    <w:rsid w:val="002401A9"/>
    <w:rsid w:val="00240A19"/>
    <w:rsid w:val="00240A70"/>
    <w:rsid w:val="00240AEA"/>
    <w:rsid w:val="00240D63"/>
    <w:rsid w:val="0024114B"/>
    <w:rsid w:val="002411F9"/>
    <w:rsid w:val="0024152D"/>
    <w:rsid w:val="00241A4C"/>
    <w:rsid w:val="00241E3B"/>
    <w:rsid w:val="002422D2"/>
    <w:rsid w:val="002424AB"/>
    <w:rsid w:val="002427B0"/>
    <w:rsid w:val="00242F07"/>
    <w:rsid w:val="00243020"/>
    <w:rsid w:val="002432FD"/>
    <w:rsid w:val="00243429"/>
    <w:rsid w:val="00243BCA"/>
    <w:rsid w:val="00243C43"/>
    <w:rsid w:val="0024420B"/>
    <w:rsid w:val="002442E8"/>
    <w:rsid w:val="00244742"/>
    <w:rsid w:val="00244D22"/>
    <w:rsid w:val="00245177"/>
    <w:rsid w:val="00245877"/>
    <w:rsid w:val="002458E3"/>
    <w:rsid w:val="002464F8"/>
    <w:rsid w:val="00246519"/>
    <w:rsid w:val="00246520"/>
    <w:rsid w:val="00246B60"/>
    <w:rsid w:val="00246C09"/>
    <w:rsid w:val="002470E4"/>
    <w:rsid w:val="00247183"/>
    <w:rsid w:val="00247229"/>
    <w:rsid w:val="00247262"/>
    <w:rsid w:val="00247457"/>
    <w:rsid w:val="00247924"/>
    <w:rsid w:val="00247E03"/>
    <w:rsid w:val="002503DE"/>
    <w:rsid w:val="00251242"/>
    <w:rsid w:val="0025144C"/>
    <w:rsid w:val="002517BD"/>
    <w:rsid w:val="00251FDA"/>
    <w:rsid w:val="002521EC"/>
    <w:rsid w:val="00252292"/>
    <w:rsid w:val="00252575"/>
    <w:rsid w:val="002527C5"/>
    <w:rsid w:val="00252BFD"/>
    <w:rsid w:val="002530FC"/>
    <w:rsid w:val="0025365D"/>
    <w:rsid w:val="0025393A"/>
    <w:rsid w:val="00253987"/>
    <w:rsid w:val="00253EAD"/>
    <w:rsid w:val="0025431F"/>
    <w:rsid w:val="0025468D"/>
    <w:rsid w:val="00254A9F"/>
    <w:rsid w:val="002552F5"/>
    <w:rsid w:val="0025571D"/>
    <w:rsid w:val="002557A3"/>
    <w:rsid w:val="0025580E"/>
    <w:rsid w:val="00255844"/>
    <w:rsid w:val="002559C5"/>
    <w:rsid w:val="00255A3C"/>
    <w:rsid w:val="00255A9F"/>
    <w:rsid w:val="00256101"/>
    <w:rsid w:val="0025612F"/>
    <w:rsid w:val="0025616B"/>
    <w:rsid w:val="00256CCE"/>
    <w:rsid w:val="00256E01"/>
    <w:rsid w:val="00257285"/>
    <w:rsid w:val="0025758F"/>
    <w:rsid w:val="00257B30"/>
    <w:rsid w:val="00257D05"/>
    <w:rsid w:val="00257FF4"/>
    <w:rsid w:val="002608CE"/>
    <w:rsid w:val="00260E21"/>
    <w:rsid w:val="00261406"/>
    <w:rsid w:val="00261660"/>
    <w:rsid w:val="0026179F"/>
    <w:rsid w:val="00262245"/>
    <w:rsid w:val="00262277"/>
    <w:rsid w:val="0026234B"/>
    <w:rsid w:val="0026279C"/>
    <w:rsid w:val="00262CD3"/>
    <w:rsid w:val="00263010"/>
    <w:rsid w:val="002633EF"/>
    <w:rsid w:val="0026379F"/>
    <w:rsid w:val="00263BB1"/>
    <w:rsid w:val="00263DD8"/>
    <w:rsid w:val="00264181"/>
    <w:rsid w:val="002648AB"/>
    <w:rsid w:val="00264BB2"/>
    <w:rsid w:val="00264C67"/>
    <w:rsid w:val="00264DBE"/>
    <w:rsid w:val="00264F8B"/>
    <w:rsid w:val="002650C3"/>
    <w:rsid w:val="00265248"/>
    <w:rsid w:val="00265289"/>
    <w:rsid w:val="00265565"/>
    <w:rsid w:val="00265AEA"/>
    <w:rsid w:val="00265DA0"/>
    <w:rsid w:val="0026615D"/>
    <w:rsid w:val="00266613"/>
    <w:rsid w:val="00266655"/>
    <w:rsid w:val="00266DEB"/>
    <w:rsid w:val="00266FE9"/>
    <w:rsid w:val="00267A4E"/>
    <w:rsid w:val="00267B98"/>
    <w:rsid w:val="00267D41"/>
    <w:rsid w:val="0027021A"/>
    <w:rsid w:val="0027046E"/>
    <w:rsid w:val="002704F5"/>
    <w:rsid w:val="0027070A"/>
    <w:rsid w:val="00271ACA"/>
    <w:rsid w:val="00271B3F"/>
    <w:rsid w:val="00272232"/>
    <w:rsid w:val="002722FA"/>
    <w:rsid w:val="00272396"/>
    <w:rsid w:val="00272768"/>
    <w:rsid w:val="002737B2"/>
    <w:rsid w:val="00273D98"/>
    <w:rsid w:val="0027466D"/>
    <w:rsid w:val="00274C7E"/>
    <w:rsid w:val="0027510E"/>
    <w:rsid w:val="0027512F"/>
    <w:rsid w:val="002753B6"/>
    <w:rsid w:val="0027550F"/>
    <w:rsid w:val="0027564B"/>
    <w:rsid w:val="00275A4E"/>
    <w:rsid w:val="00275C43"/>
    <w:rsid w:val="0027614D"/>
    <w:rsid w:val="0027620E"/>
    <w:rsid w:val="0027649D"/>
    <w:rsid w:val="0027651A"/>
    <w:rsid w:val="00276D30"/>
    <w:rsid w:val="00276DE9"/>
    <w:rsid w:val="00276EBE"/>
    <w:rsid w:val="002770A1"/>
    <w:rsid w:val="002777A9"/>
    <w:rsid w:val="002777C2"/>
    <w:rsid w:val="00277932"/>
    <w:rsid w:val="0027793D"/>
    <w:rsid w:val="0028001E"/>
    <w:rsid w:val="002801C0"/>
    <w:rsid w:val="002809FF"/>
    <w:rsid w:val="00280D53"/>
    <w:rsid w:val="00280FE3"/>
    <w:rsid w:val="0028128A"/>
    <w:rsid w:val="00281726"/>
    <w:rsid w:val="00281739"/>
    <w:rsid w:val="00281A11"/>
    <w:rsid w:val="00281CF6"/>
    <w:rsid w:val="00281F8B"/>
    <w:rsid w:val="002828F1"/>
    <w:rsid w:val="002833CC"/>
    <w:rsid w:val="00283423"/>
    <w:rsid w:val="0028359B"/>
    <w:rsid w:val="0028371C"/>
    <w:rsid w:val="002843E3"/>
    <w:rsid w:val="00284441"/>
    <w:rsid w:val="00284933"/>
    <w:rsid w:val="00284B17"/>
    <w:rsid w:val="00284C9C"/>
    <w:rsid w:val="002857FE"/>
    <w:rsid w:val="0028581E"/>
    <w:rsid w:val="00285A3A"/>
    <w:rsid w:val="00285E18"/>
    <w:rsid w:val="00286741"/>
    <w:rsid w:val="002868E1"/>
    <w:rsid w:val="00286CED"/>
    <w:rsid w:val="002870F0"/>
    <w:rsid w:val="0028728E"/>
    <w:rsid w:val="002872A3"/>
    <w:rsid w:val="00287388"/>
    <w:rsid w:val="002873A4"/>
    <w:rsid w:val="00290326"/>
    <w:rsid w:val="002907DC"/>
    <w:rsid w:val="00290933"/>
    <w:rsid w:val="0029106B"/>
    <w:rsid w:val="0029107B"/>
    <w:rsid w:val="00291096"/>
    <w:rsid w:val="002914B1"/>
    <w:rsid w:val="00291638"/>
    <w:rsid w:val="00291E57"/>
    <w:rsid w:val="00291F46"/>
    <w:rsid w:val="00292D6A"/>
    <w:rsid w:val="00292D75"/>
    <w:rsid w:val="00292DD1"/>
    <w:rsid w:val="00292E4C"/>
    <w:rsid w:val="00292F52"/>
    <w:rsid w:val="0029312A"/>
    <w:rsid w:val="0029325C"/>
    <w:rsid w:val="00293B2D"/>
    <w:rsid w:val="00293B46"/>
    <w:rsid w:val="00293BB4"/>
    <w:rsid w:val="00293E5B"/>
    <w:rsid w:val="00293E8E"/>
    <w:rsid w:val="00293EDD"/>
    <w:rsid w:val="00294754"/>
    <w:rsid w:val="00294E5F"/>
    <w:rsid w:val="00295456"/>
    <w:rsid w:val="00295548"/>
    <w:rsid w:val="002957A8"/>
    <w:rsid w:val="00295BC5"/>
    <w:rsid w:val="00296064"/>
    <w:rsid w:val="002960B7"/>
    <w:rsid w:val="00296A35"/>
    <w:rsid w:val="00296CC3"/>
    <w:rsid w:val="0029712A"/>
    <w:rsid w:val="002972DD"/>
    <w:rsid w:val="002973EC"/>
    <w:rsid w:val="00297603"/>
    <w:rsid w:val="00297643"/>
    <w:rsid w:val="002977C0"/>
    <w:rsid w:val="00297824"/>
    <w:rsid w:val="00297942"/>
    <w:rsid w:val="00297FC8"/>
    <w:rsid w:val="002A03BD"/>
    <w:rsid w:val="002A06FF"/>
    <w:rsid w:val="002A0C0A"/>
    <w:rsid w:val="002A0F2E"/>
    <w:rsid w:val="002A1097"/>
    <w:rsid w:val="002A153F"/>
    <w:rsid w:val="002A1CB1"/>
    <w:rsid w:val="002A1CC2"/>
    <w:rsid w:val="002A1E43"/>
    <w:rsid w:val="002A1F62"/>
    <w:rsid w:val="002A1FB5"/>
    <w:rsid w:val="002A2AB5"/>
    <w:rsid w:val="002A2C89"/>
    <w:rsid w:val="002A31B2"/>
    <w:rsid w:val="002A32A0"/>
    <w:rsid w:val="002A32FD"/>
    <w:rsid w:val="002A37BB"/>
    <w:rsid w:val="002A3849"/>
    <w:rsid w:val="002A38C0"/>
    <w:rsid w:val="002A3DBB"/>
    <w:rsid w:val="002A40DC"/>
    <w:rsid w:val="002A4270"/>
    <w:rsid w:val="002A4534"/>
    <w:rsid w:val="002A4711"/>
    <w:rsid w:val="002A5329"/>
    <w:rsid w:val="002A552B"/>
    <w:rsid w:val="002A5532"/>
    <w:rsid w:val="002A5C2D"/>
    <w:rsid w:val="002A5CB3"/>
    <w:rsid w:val="002A5E9B"/>
    <w:rsid w:val="002A61E5"/>
    <w:rsid w:val="002A6742"/>
    <w:rsid w:val="002A698C"/>
    <w:rsid w:val="002A6D51"/>
    <w:rsid w:val="002A7259"/>
    <w:rsid w:val="002A74DD"/>
    <w:rsid w:val="002A7989"/>
    <w:rsid w:val="002A7FC8"/>
    <w:rsid w:val="002B0A81"/>
    <w:rsid w:val="002B0B55"/>
    <w:rsid w:val="002B1CE7"/>
    <w:rsid w:val="002B1D49"/>
    <w:rsid w:val="002B1E61"/>
    <w:rsid w:val="002B24E4"/>
    <w:rsid w:val="002B2904"/>
    <w:rsid w:val="002B2A8B"/>
    <w:rsid w:val="002B2F0F"/>
    <w:rsid w:val="002B3487"/>
    <w:rsid w:val="002B3FB4"/>
    <w:rsid w:val="002B40FA"/>
    <w:rsid w:val="002B47DA"/>
    <w:rsid w:val="002B4992"/>
    <w:rsid w:val="002B4E92"/>
    <w:rsid w:val="002B569D"/>
    <w:rsid w:val="002B56BE"/>
    <w:rsid w:val="002B5956"/>
    <w:rsid w:val="002B595D"/>
    <w:rsid w:val="002B5CAB"/>
    <w:rsid w:val="002B5F6A"/>
    <w:rsid w:val="002B6320"/>
    <w:rsid w:val="002B69A1"/>
    <w:rsid w:val="002B6A93"/>
    <w:rsid w:val="002B6C04"/>
    <w:rsid w:val="002B769E"/>
    <w:rsid w:val="002B779E"/>
    <w:rsid w:val="002B7B59"/>
    <w:rsid w:val="002B7D6F"/>
    <w:rsid w:val="002B7D78"/>
    <w:rsid w:val="002C0552"/>
    <w:rsid w:val="002C086C"/>
    <w:rsid w:val="002C0961"/>
    <w:rsid w:val="002C0F43"/>
    <w:rsid w:val="002C1CF7"/>
    <w:rsid w:val="002C1D11"/>
    <w:rsid w:val="002C22F3"/>
    <w:rsid w:val="002C25D0"/>
    <w:rsid w:val="002C280B"/>
    <w:rsid w:val="002C2DB0"/>
    <w:rsid w:val="002C2F15"/>
    <w:rsid w:val="002C3407"/>
    <w:rsid w:val="002C43EE"/>
    <w:rsid w:val="002C46CD"/>
    <w:rsid w:val="002C4B6D"/>
    <w:rsid w:val="002C4D41"/>
    <w:rsid w:val="002C51EC"/>
    <w:rsid w:val="002C51FF"/>
    <w:rsid w:val="002C536C"/>
    <w:rsid w:val="002C5773"/>
    <w:rsid w:val="002C5781"/>
    <w:rsid w:val="002C5E27"/>
    <w:rsid w:val="002C61FA"/>
    <w:rsid w:val="002C62D9"/>
    <w:rsid w:val="002C6305"/>
    <w:rsid w:val="002C6AFC"/>
    <w:rsid w:val="002C75B0"/>
    <w:rsid w:val="002C7703"/>
    <w:rsid w:val="002C7A63"/>
    <w:rsid w:val="002C7E40"/>
    <w:rsid w:val="002D0153"/>
    <w:rsid w:val="002D0610"/>
    <w:rsid w:val="002D0893"/>
    <w:rsid w:val="002D0985"/>
    <w:rsid w:val="002D09FE"/>
    <w:rsid w:val="002D0B7F"/>
    <w:rsid w:val="002D0DE7"/>
    <w:rsid w:val="002D12A2"/>
    <w:rsid w:val="002D1997"/>
    <w:rsid w:val="002D1E7E"/>
    <w:rsid w:val="002D327C"/>
    <w:rsid w:val="002D36DC"/>
    <w:rsid w:val="002D384A"/>
    <w:rsid w:val="002D403A"/>
    <w:rsid w:val="002D4262"/>
    <w:rsid w:val="002D42D2"/>
    <w:rsid w:val="002D46B7"/>
    <w:rsid w:val="002D4973"/>
    <w:rsid w:val="002D4E00"/>
    <w:rsid w:val="002D5110"/>
    <w:rsid w:val="002D51D1"/>
    <w:rsid w:val="002D528E"/>
    <w:rsid w:val="002D54EB"/>
    <w:rsid w:val="002D558E"/>
    <w:rsid w:val="002D58A5"/>
    <w:rsid w:val="002D5B66"/>
    <w:rsid w:val="002D6163"/>
    <w:rsid w:val="002D65FB"/>
    <w:rsid w:val="002D6F81"/>
    <w:rsid w:val="002D70CC"/>
    <w:rsid w:val="002D71CC"/>
    <w:rsid w:val="002D7256"/>
    <w:rsid w:val="002D7BEE"/>
    <w:rsid w:val="002D7CFE"/>
    <w:rsid w:val="002D7E83"/>
    <w:rsid w:val="002D7EF5"/>
    <w:rsid w:val="002E0585"/>
    <w:rsid w:val="002E06AC"/>
    <w:rsid w:val="002E1064"/>
    <w:rsid w:val="002E15B0"/>
    <w:rsid w:val="002E1898"/>
    <w:rsid w:val="002E1934"/>
    <w:rsid w:val="002E196B"/>
    <w:rsid w:val="002E1D24"/>
    <w:rsid w:val="002E2385"/>
    <w:rsid w:val="002E2551"/>
    <w:rsid w:val="002E2B6B"/>
    <w:rsid w:val="002E2CC7"/>
    <w:rsid w:val="002E323F"/>
    <w:rsid w:val="002E3BE3"/>
    <w:rsid w:val="002E3FA2"/>
    <w:rsid w:val="002E402E"/>
    <w:rsid w:val="002E48D7"/>
    <w:rsid w:val="002E4AAE"/>
    <w:rsid w:val="002E4B76"/>
    <w:rsid w:val="002E5055"/>
    <w:rsid w:val="002E53A2"/>
    <w:rsid w:val="002E5554"/>
    <w:rsid w:val="002E59C4"/>
    <w:rsid w:val="002E5CB7"/>
    <w:rsid w:val="002E5D24"/>
    <w:rsid w:val="002E63D4"/>
    <w:rsid w:val="002E648E"/>
    <w:rsid w:val="002E6DB1"/>
    <w:rsid w:val="002E6EC8"/>
    <w:rsid w:val="002E6FA0"/>
    <w:rsid w:val="002E707C"/>
    <w:rsid w:val="002E7343"/>
    <w:rsid w:val="002E7676"/>
    <w:rsid w:val="002E7708"/>
    <w:rsid w:val="002E794D"/>
    <w:rsid w:val="002F08F5"/>
    <w:rsid w:val="002F0A6B"/>
    <w:rsid w:val="002F0B81"/>
    <w:rsid w:val="002F117E"/>
    <w:rsid w:val="002F16CC"/>
    <w:rsid w:val="002F1700"/>
    <w:rsid w:val="002F1B12"/>
    <w:rsid w:val="002F2256"/>
    <w:rsid w:val="002F26C9"/>
    <w:rsid w:val="002F2FD3"/>
    <w:rsid w:val="002F30AC"/>
    <w:rsid w:val="002F30B5"/>
    <w:rsid w:val="002F347B"/>
    <w:rsid w:val="002F35D9"/>
    <w:rsid w:val="002F3733"/>
    <w:rsid w:val="002F3B41"/>
    <w:rsid w:val="002F4C85"/>
    <w:rsid w:val="002F530C"/>
    <w:rsid w:val="002F5553"/>
    <w:rsid w:val="002F591B"/>
    <w:rsid w:val="002F5B82"/>
    <w:rsid w:val="002F5C70"/>
    <w:rsid w:val="002F5CF3"/>
    <w:rsid w:val="002F6575"/>
    <w:rsid w:val="002F6A72"/>
    <w:rsid w:val="002F7B47"/>
    <w:rsid w:val="00300013"/>
    <w:rsid w:val="0030012C"/>
    <w:rsid w:val="0030032D"/>
    <w:rsid w:val="003006F8"/>
    <w:rsid w:val="00300AF5"/>
    <w:rsid w:val="00300BF2"/>
    <w:rsid w:val="00301B4D"/>
    <w:rsid w:val="00302037"/>
    <w:rsid w:val="0030232A"/>
    <w:rsid w:val="00302525"/>
    <w:rsid w:val="0030266F"/>
    <w:rsid w:val="003027AF"/>
    <w:rsid w:val="003027C1"/>
    <w:rsid w:val="00302A25"/>
    <w:rsid w:val="00302FD3"/>
    <w:rsid w:val="0030319D"/>
    <w:rsid w:val="003032BD"/>
    <w:rsid w:val="00303309"/>
    <w:rsid w:val="00303B91"/>
    <w:rsid w:val="00303C72"/>
    <w:rsid w:val="00304900"/>
    <w:rsid w:val="00304954"/>
    <w:rsid w:val="00304C13"/>
    <w:rsid w:val="00304D42"/>
    <w:rsid w:val="00304FFC"/>
    <w:rsid w:val="003050DE"/>
    <w:rsid w:val="003051CE"/>
    <w:rsid w:val="00305718"/>
    <w:rsid w:val="00305BE6"/>
    <w:rsid w:val="00305EC5"/>
    <w:rsid w:val="0030609D"/>
    <w:rsid w:val="00306107"/>
    <w:rsid w:val="003064C5"/>
    <w:rsid w:val="00306607"/>
    <w:rsid w:val="00306C85"/>
    <w:rsid w:val="0030705D"/>
    <w:rsid w:val="003075FE"/>
    <w:rsid w:val="00307666"/>
    <w:rsid w:val="003077B8"/>
    <w:rsid w:val="003077F9"/>
    <w:rsid w:val="00307C6C"/>
    <w:rsid w:val="0031059C"/>
    <w:rsid w:val="00310962"/>
    <w:rsid w:val="00311056"/>
    <w:rsid w:val="003111F8"/>
    <w:rsid w:val="00311A71"/>
    <w:rsid w:val="00311C27"/>
    <w:rsid w:val="00311DE2"/>
    <w:rsid w:val="0031204A"/>
    <w:rsid w:val="0031272B"/>
    <w:rsid w:val="00312948"/>
    <w:rsid w:val="00312CB7"/>
    <w:rsid w:val="00312E3C"/>
    <w:rsid w:val="00312EE4"/>
    <w:rsid w:val="003136F3"/>
    <w:rsid w:val="00313A14"/>
    <w:rsid w:val="003143A1"/>
    <w:rsid w:val="00314D59"/>
    <w:rsid w:val="00314F1E"/>
    <w:rsid w:val="00315435"/>
    <w:rsid w:val="0031598B"/>
    <w:rsid w:val="00315C42"/>
    <w:rsid w:val="00315C5F"/>
    <w:rsid w:val="003161A1"/>
    <w:rsid w:val="00316759"/>
    <w:rsid w:val="00317132"/>
    <w:rsid w:val="00317A6A"/>
    <w:rsid w:val="00317BD0"/>
    <w:rsid w:val="00317BF9"/>
    <w:rsid w:val="00320340"/>
    <w:rsid w:val="0032038A"/>
    <w:rsid w:val="0032038C"/>
    <w:rsid w:val="00320439"/>
    <w:rsid w:val="0032082B"/>
    <w:rsid w:val="003209AD"/>
    <w:rsid w:val="00321889"/>
    <w:rsid w:val="00321DDD"/>
    <w:rsid w:val="00321DEB"/>
    <w:rsid w:val="00321F1A"/>
    <w:rsid w:val="00322530"/>
    <w:rsid w:val="00322843"/>
    <w:rsid w:val="00322A5F"/>
    <w:rsid w:val="003235DA"/>
    <w:rsid w:val="003242A3"/>
    <w:rsid w:val="00324978"/>
    <w:rsid w:val="00324CD3"/>
    <w:rsid w:val="003256C8"/>
    <w:rsid w:val="00325C5E"/>
    <w:rsid w:val="00325D1F"/>
    <w:rsid w:val="00325E05"/>
    <w:rsid w:val="00325F03"/>
    <w:rsid w:val="00326EB5"/>
    <w:rsid w:val="00326FA9"/>
    <w:rsid w:val="00326FB7"/>
    <w:rsid w:val="0032738E"/>
    <w:rsid w:val="00327852"/>
    <w:rsid w:val="003279AE"/>
    <w:rsid w:val="00327C24"/>
    <w:rsid w:val="00327D8C"/>
    <w:rsid w:val="00327F87"/>
    <w:rsid w:val="003304EB"/>
    <w:rsid w:val="00330D6C"/>
    <w:rsid w:val="00330D6F"/>
    <w:rsid w:val="00331B40"/>
    <w:rsid w:val="00331B9F"/>
    <w:rsid w:val="00331C5F"/>
    <w:rsid w:val="0033214D"/>
    <w:rsid w:val="003321AA"/>
    <w:rsid w:val="003325B9"/>
    <w:rsid w:val="00332A8E"/>
    <w:rsid w:val="00332E95"/>
    <w:rsid w:val="00333074"/>
    <w:rsid w:val="00333223"/>
    <w:rsid w:val="00333289"/>
    <w:rsid w:val="003338BA"/>
    <w:rsid w:val="00333A10"/>
    <w:rsid w:val="00333A43"/>
    <w:rsid w:val="00333E0F"/>
    <w:rsid w:val="00333EC5"/>
    <w:rsid w:val="00334724"/>
    <w:rsid w:val="00334C55"/>
    <w:rsid w:val="00334F7E"/>
    <w:rsid w:val="003359F4"/>
    <w:rsid w:val="003364C1"/>
    <w:rsid w:val="0033679A"/>
    <w:rsid w:val="003367CA"/>
    <w:rsid w:val="00336A2C"/>
    <w:rsid w:val="00336C07"/>
    <w:rsid w:val="00336E38"/>
    <w:rsid w:val="003370A5"/>
    <w:rsid w:val="00337242"/>
    <w:rsid w:val="00337BD2"/>
    <w:rsid w:val="00337F82"/>
    <w:rsid w:val="003401FA"/>
    <w:rsid w:val="00340640"/>
    <w:rsid w:val="003406B8"/>
    <w:rsid w:val="00340810"/>
    <w:rsid w:val="003409F2"/>
    <w:rsid w:val="00340AAE"/>
    <w:rsid w:val="00341023"/>
    <w:rsid w:val="003410BD"/>
    <w:rsid w:val="003416D6"/>
    <w:rsid w:val="003419CC"/>
    <w:rsid w:val="003419F8"/>
    <w:rsid w:val="00341D67"/>
    <w:rsid w:val="00342187"/>
    <w:rsid w:val="00342467"/>
    <w:rsid w:val="003424E0"/>
    <w:rsid w:val="00342836"/>
    <w:rsid w:val="00342A9C"/>
    <w:rsid w:val="003435D6"/>
    <w:rsid w:val="003436A9"/>
    <w:rsid w:val="00343A2B"/>
    <w:rsid w:val="00343E9B"/>
    <w:rsid w:val="003449B8"/>
    <w:rsid w:val="00344F02"/>
    <w:rsid w:val="003451D7"/>
    <w:rsid w:val="003458E0"/>
    <w:rsid w:val="00345A28"/>
    <w:rsid w:val="00345CCD"/>
    <w:rsid w:val="0034631B"/>
    <w:rsid w:val="00346430"/>
    <w:rsid w:val="00346A2E"/>
    <w:rsid w:val="00346E39"/>
    <w:rsid w:val="00346EE1"/>
    <w:rsid w:val="003470F5"/>
    <w:rsid w:val="003471EF"/>
    <w:rsid w:val="003472CD"/>
    <w:rsid w:val="00347CCC"/>
    <w:rsid w:val="00347D79"/>
    <w:rsid w:val="00347FB6"/>
    <w:rsid w:val="0035003E"/>
    <w:rsid w:val="0035024D"/>
    <w:rsid w:val="003507AA"/>
    <w:rsid w:val="003511CE"/>
    <w:rsid w:val="00351624"/>
    <w:rsid w:val="00351909"/>
    <w:rsid w:val="0035208E"/>
    <w:rsid w:val="00352218"/>
    <w:rsid w:val="003524CB"/>
    <w:rsid w:val="003529E0"/>
    <w:rsid w:val="003529E8"/>
    <w:rsid w:val="00352BE0"/>
    <w:rsid w:val="00353268"/>
    <w:rsid w:val="0035333E"/>
    <w:rsid w:val="003538C7"/>
    <w:rsid w:val="003538F0"/>
    <w:rsid w:val="00353A76"/>
    <w:rsid w:val="003540BD"/>
    <w:rsid w:val="003543B0"/>
    <w:rsid w:val="00354804"/>
    <w:rsid w:val="00354CD5"/>
    <w:rsid w:val="00354E4D"/>
    <w:rsid w:val="00355294"/>
    <w:rsid w:val="003552F0"/>
    <w:rsid w:val="00355AC7"/>
    <w:rsid w:val="00356116"/>
    <w:rsid w:val="00356352"/>
    <w:rsid w:val="00356649"/>
    <w:rsid w:val="003566DD"/>
    <w:rsid w:val="00356CC0"/>
    <w:rsid w:val="00356DE0"/>
    <w:rsid w:val="00356EC2"/>
    <w:rsid w:val="00356F7B"/>
    <w:rsid w:val="00357049"/>
    <w:rsid w:val="0035726B"/>
    <w:rsid w:val="003572F9"/>
    <w:rsid w:val="0035735E"/>
    <w:rsid w:val="00357497"/>
    <w:rsid w:val="00357793"/>
    <w:rsid w:val="00357B42"/>
    <w:rsid w:val="00357BFF"/>
    <w:rsid w:val="00357C51"/>
    <w:rsid w:val="00357DAE"/>
    <w:rsid w:val="00357EF7"/>
    <w:rsid w:val="00360249"/>
    <w:rsid w:val="003602A5"/>
    <w:rsid w:val="00360472"/>
    <w:rsid w:val="00360888"/>
    <w:rsid w:val="00360EAF"/>
    <w:rsid w:val="00361259"/>
    <w:rsid w:val="00361429"/>
    <w:rsid w:val="003614BF"/>
    <w:rsid w:val="003624C9"/>
    <w:rsid w:val="00362873"/>
    <w:rsid w:val="00362AA7"/>
    <w:rsid w:val="00363067"/>
    <w:rsid w:val="0036337B"/>
    <w:rsid w:val="00363587"/>
    <w:rsid w:val="0036392D"/>
    <w:rsid w:val="00363B11"/>
    <w:rsid w:val="00363E74"/>
    <w:rsid w:val="00364581"/>
    <w:rsid w:val="00364E7F"/>
    <w:rsid w:val="00365195"/>
    <w:rsid w:val="00365201"/>
    <w:rsid w:val="00365784"/>
    <w:rsid w:val="00365934"/>
    <w:rsid w:val="00365A08"/>
    <w:rsid w:val="00365D20"/>
    <w:rsid w:val="003662D6"/>
    <w:rsid w:val="00366385"/>
    <w:rsid w:val="003666D5"/>
    <w:rsid w:val="0036703E"/>
    <w:rsid w:val="003672D6"/>
    <w:rsid w:val="003677BF"/>
    <w:rsid w:val="00367A90"/>
    <w:rsid w:val="00367CD9"/>
    <w:rsid w:val="00367D28"/>
    <w:rsid w:val="003705BF"/>
    <w:rsid w:val="00370935"/>
    <w:rsid w:val="00370FB0"/>
    <w:rsid w:val="0037181C"/>
    <w:rsid w:val="003718DD"/>
    <w:rsid w:val="00371C1A"/>
    <w:rsid w:val="00371F73"/>
    <w:rsid w:val="00372226"/>
    <w:rsid w:val="00372338"/>
    <w:rsid w:val="00372975"/>
    <w:rsid w:val="00372C94"/>
    <w:rsid w:val="003734AF"/>
    <w:rsid w:val="00373808"/>
    <w:rsid w:val="00374017"/>
    <w:rsid w:val="003740A6"/>
    <w:rsid w:val="003744B7"/>
    <w:rsid w:val="003751CA"/>
    <w:rsid w:val="0037527E"/>
    <w:rsid w:val="0037547C"/>
    <w:rsid w:val="003757D4"/>
    <w:rsid w:val="00375B82"/>
    <w:rsid w:val="00375E52"/>
    <w:rsid w:val="00375FA2"/>
    <w:rsid w:val="00376BC3"/>
    <w:rsid w:val="00376F84"/>
    <w:rsid w:val="00377234"/>
    <w:rsid w:val="00377411"/>
    <w:rsid w:val="0037782D"/>
    <w:rsid w:val="0037799B"/>
    <w:rsid w:val="00377C28"/>
    <w:rsid w:val="00380888"/>
    <w:rsid w:val="00380D9F"/>
    <w:rsid w:val="00381171"/>
    <w:rsid w:val="0038131F"/>
    <w:rsid w:val="003813F8"/>
    <w:rsid w:val="003818C7"/>
    <w:rsid w:val="003819E1"/>
    <w:rsid w:val="00381E2D"/>
    <w:rsid w:val="00382234"/>
    <w:rsid w:val="00382563"/>
    <w:rsid w:val="0038256D"/>
    <w:rsid w:val="00382692"/>
    <w:rsid w:val="003835E1"/>
    <w:rsid w:val="00383824"/>
    <w:rsid w:val="00383967"/>
    <w:rsid w:val="00383A68"/>
    <w:rsid w:val="00383FB0"/>
    <w:rsid w:val="003842E5"/>
    <w:rsid w:val="003843E0"/>
    <w:rsid w:val="00384A64"/>
    <w:rsid w:val="003852C0"/>
    <w:rsid w:val="003852E9"/>
    <w:rsid w:val="00385994"/>
    <w:rsid w:val="00385A6A"/>
    <w:rsid w:val="0038638D"/>
    <w:rsid w:val="0038652B"/>
    <w:rsid w:val="0038672F"/>
    <w:rsid w:val="00386BC9"/>
    <w:rsid w:val="00386E54"/>
    <w:rsid w:val="00386EBA"/>
    <w:rsid w:val="00386F24"/>
    <w:rsid w:val="00386F4B"/>
    <w:rsid w:val="0038700F"/>
    <w:rsid w:val="003876AB"/>
    <w:rsid w:val="003876B0"/>
    <w:rsid w:val="003877B0"/>
    <w:rsid w:val="00387957"/>
    <w:rsid w:val="003900B9"/>
    <w:rsid w:val="003902E3"/>
    <w:rsid w:val="003904D4"/>
    <w:rsid w:val="0039053D"/>
    <w:rsid w:val="00390711"/>
    <w:rsid w:val="00390C8F"/>
    <w:rsid w:val="00390E80"/>
    <w:rsid w:val="00391235"/>
    <w:rsid w:val="00391849"/>
    <w:rsid w:val="00391A53"/>
    <w:rsid w:val="00391BF1"/>
    <w:rsid w:val="00391C7E"/>
    <w:rsid w:val="003927AB"/>
    <w:rsid w:val="00392A76"/>
    <w:rsid w:val="00392B8A"/>
    <w:rsid w:val="00392BF3"/>
    <w:rsid w:val="00392DD1"/>
    <w:rsid w:val="0039412A"/>
    <w:rsid w:val="003943FE"/>
    <w:rsid w:val="00394410"/>
    <w:rsid w:val="00394441"/>
    <w:rsid w:val="0039449C"/>
    <w:rsid w:val="003948C5"/>
    <w:rsid w:val="00395087"/>
    <w:rsid w:val="0039543A"/>
    <w:rsid w:val="00395B58"/>
    <w:rsid w:val="00395B9F"/>
    <w:rsid w:val="00395BA4"/>
    <w:rsid w:val="00395C20"/>
    <w:rsid w:val="00395E02"/>
    <w:rsid w:val="003960E1"/>
    <w:rsid w:val="0039684C"/>
    <w:rsid w:val="00396B0C"/>
    <w:rsid w:val="00396B37"/>
    <w:rsid w:val="00396E29"/>
    <w:rsid w:val="00396E8A"/>
    <w:rsid w:val="00396F25"/>
    <w:rsid w:val="0039710A"/>
    <w:rsid w:val="00397F47"/>
    <w:rsid w:val="003A009D"/>
    <w:rsid w:val="003A0290"/>
    <w:rsid w:val="003A0343"/>
    <w:rsid w:val="003A05D1"/>
    <w:rsid w:val="003A0779"/>
    <w:rsid w:val="003A0970"/>
    <w:rsid w:val="003A09D8"/>
    <w:rsid w:val="003A1032"/>
    <w:rsid w:val="003A12F4"/>
    <w:rsid w:val="003A1C03"/>
    <w:rsid w:val="003A23AE"/>
    <w:rsid w:val="003A25BB"/>
    <w:rsid w:val="003A2865"/>
    <w:rsid w:val="003A2EB8"/>
    <w:rsid w:val="003A2EBF"/>
    <w:rsid w:val="003A2F61"/>
    <w:rsid w:val="003A300D"/>
    <w:rsid w:val="003A3199"/>
    <w:rsid w:val="003A3E7B"/>
    <w:rsid w:val="003A422E"/>
    <w:rsid w:val="003A4393"/>
    <w:rsid w:val="003A4566"/>
    <w:rsid w:val="003A495E"/>
    <w:rsid w:val="003A4B8E"/>
    <w:rsid w:val="003A5C1B"/>
    <w:rsid w:val="003A5D53"/>
    <w:rsid w:val="003A5DBE"/>
    <w:rsid w:val="003A6055"/>
    <w:rsid w:val="003A616E"/>
    <w:rsid w:val="003A6457"/>
    <w:rsid w:val="003A7067"/>
    <w:rsid w:val="003A7A81"/>
    <w:rsid w:val="003B0828"/>
    <w:rsid w:val="003B09F6"/>
    <w:rsid w:val="003B0D03"/>
    <w:rsid w:val="003B10D6"/>
    <w:rsid w:val="003B1173"/>
    <w:rsid w:val="003B1BB6"/>
    <w:rsid w:val="003B1EC8"/>
    <w:rsid w:val="003B1F0A"/>
    <w:rsid w:val="003B24BD"/>
    <w:rsid w:val="003B2C1F"/>
    <w:rsid w:val="003B30B9"/>
    <w:rsid w:val="003B329D"/>
    <w:rsid w:val="003B3457"/>
    <w:rsid w:val="003B3684"/>
    <w:rsid w:val="003B3AF7"/>
    <w:rsid w:val="003B4103"/>
    <w:rsid w:val="003B41B4"/>
    <w:rsid w:val="003B41F4"/>
    <w:rsid w:val="003B48C4"/>
    <w:rsid w:val="003B48F8"/>
    <w:rsid w:val="003B49DE"/>
    <w:rsid w:val="003B4AF7"/>
    <w:rsid w:val="003B4BA2"/>
    <w:rsid w:val="003B4D47"/>
    <w:rsid w:val="003B4D4F"/>
    <w:rsid w:val="003B5145"/>
    <w:rsid w:val="003B5533"/>
    <w:rsid w:val="003B5A85"/>
    <w:rsid w:val="003B5B6B"/>
    <w:rsid w:val="003B6063"/>
    <w:rsid w:val="003B6184"/>
    <w:rsid w:val="003B67FA"/>
    <w:rsid w:val="003B6C9B"/>
    <w:rsid w:val="003B71EE"/>
    <w:rsid w:val="003B728F"/>
    <w:rsid w:val="003B7621"/>
    <w:rsid w:val="003B7C64"/>
    <w:rsid w:val="003B7F5F"/>
    <w:rsid w:val="003C002D"/>
    <w:rsid w:val="003C0253"/>
    <w:rsid w:val="003C0593"/>
    <w:rsid w:val="003C0B94"/>
    <w:rsid w:val="003C0BB3"/>
    <w:rsid w:val="003C117E"/>
    <w:rsid w:val="003C13A6"/>
    <w:rsid w:val="003C1615"/>
    <w:rsid w:val="003C1784"/>
    <w:rsid w:val="003C180D"/>
    <w:rsid w:val="003C1988"/>
    <w:rsid w:val="003C1EB4"/>
    <w:rsid w:val="003C2133"/>
    <w:rsid w:val="003C2164"/>
    <w:rsid w:val="003C21B0"/>
    <w:rsid w:val="003C233B"/>
    <w:rsid w:val="003C2623"/>
    <w:rsid w:val="003C2A44"/>
    <w:rsid w:val="003C2B28"/>
    <w:rsid w:val="003C3299"/>
    <w:rsid w:val="003C3C32"/>
    <w:rsid w:val="003C3D1C"/>
    <w:rsid w:val="003C3F11"/>
    <w:rsid w:val="003C4151"/>
    <w:rsid w:val="003C43AC"/>
    <w:rsid w:val="003C4475"/>
    <w:rsid w:val="003C4E3A"/>
    <w:rsid w:val="003C509E"/>
    <w:rsid w:val="003C5C28"/>
    <w:rsid w:val="003C5C65"/>
    <w:rsid w:val="003C5E11"/>
    <w:rsid w:val="003C5E83"/>
    <w:rsid w:val="003C605E"/>
    <w:rsid w:val="003C606D"/>
    <w:rsid w:val="003C65BD"/>
    <w:rsid w:val="003C65D3"/>
    <w:rsid w:val="003C6B5B"/>
    <w:rsid w:val="003C70DE"/>
    <w:rsid w:val="003C7486"/>
    <w:rsid w:val="003C7865"/>
    <w:rsid w:val="003C78BD"/>
    <w:rsid w:val="003C7F45"/>
    <w:rsid w:val="003D0196"/>
    <w:rsid w:val="003D0BB7"/>
    <w:rsid w:val="003D0D34"/>
    <w:rsid w:val="003D0E1C"/>
    <w:rsid w:val="003D0E58"/>
    <w:rsid w:val="003D1214"/>
    <w:rsid w:val="003D1218"/>
    <w:rsid w:val="003D1B19"/>
    <w:rsid w:val="003D1E47"/>
    <w:rsid w:val="003D211D"/>
    <w:rsid w:val="003D267B"/>
    <w:rsid w:val="003D2E2A"/>
    <w:rsid w:val="003D2E31"/>
    <w:rsid w:val="003D308D"/>
    <w:rsid w:val="003D362B"/>
    <w:rsid w:val="003D3662"/>
    <w:rsid w:val="003D3C14"/>
    <w:rsid w:val="003D4080"/>
    <w:rsid w:val="003D4188"/>
    <w:rsid w:val="003D4557"/>
    <w:rsid w:val="003D48BD"/>
    <w:rsid w:val="003D543D"/>
    <w:rsid w:val="003D59FD"/>
    <w:rsid w:val="003D6124"/>
    <w:rsid w:val="003D6213"/>
    <w:rsid w:val="003D621D"/>
    <w:rsid w:val="003D64BC"/>
    <w:rsid w:val="003D6ADA"/>
    <w:rsid w:val="003D6B15"/>
    <w:rsid w:val="003D7E51"/>
    <w:rsid w:val="003E06A8"/>
    <w:rsid w:val="003E0D91"/>
    <w:rsid w:val="003E0DD8"/>
    <w:rsid w:val="003E10B8"/>
    <w:rsid w:val="003E122D"/>
    <w:rsid w:val="003E13F5"/>
    <w:rsid w:val="003E1978"/>
    <w:rsid w:val="003E2282"/>
    <w:rsid w:val="003E2606"/>
    <w:rsid w:val="003E26A9"/>
    <w:rsid w:val="003E2886"/>
    <w:rsid w:val="003E294B"/>
    <w:rsid w:val="003E2965"/>
    <w:rsid w:val="003E2A3F"/>
    <w:rsid w:val="003E2B5E"/>
    <w:rsid w:val="003E324F"/>
    <w:rsid w:val="003E3736"/>
    <w:rsid w:val="003E3FF4"/>
    <w:rsid w:val="003E44A3"/>
    <w:rsid w:val="003E44F2"/>
    <w:rsid w:val="003E461D"/>
    <w:rsid w:val="003E4CAA"/>
    <w:rsid w:val="003E4E15"/>
    <w:rsid w:val="003E4FB3"/>
    <w:rsid w:val="003E53E8"/>
    <w:rsid w:val="003E5912"/>
    <w:rsid w:val="003E5AE8"/>
    <w:rsid w:val="003E5B2E"/>
    <w:rsid w:val="003E6284"/>
    <w:rsid w:val="003E6422"/>
    <w:rsid w:val="003E6486"/>
    <w:rsid w:val="003E658E"/>
    <w:rsid w:val="003E68C4"/>
    <w:rsid w:val="003E6C44"/>
    <w:rsid w:val="003E74D9"/>
    <w:rsid w:val="003E7687"/>
    <w:rsid w:val="003E7BBE"/>
    <w:rsid w:val="003F04B4"/>
    <w:rsid w:val="003F07EE"/>
    <w:rsid w:val="003F09B3"/>
    <w:rsid w:val="003F0BC9"/>
    <w:rsid w:val="003F0C8B"/>
    <w:rsid w:val="003F126D"/>
    <w:rsid w:val="003F1431"/>
    <w:rsid w:val="003F159B"/>
    <w:rsid w:val="003F1607"/>
    <w:rsid w:val="003F195F"/>
    <w:rsid w:val="003F1BFE"/>
    <w:rsid w:val="003F1C68"/>
    <w:rsid w:val="003F1CA4"/>
    <w:rsid w:val="003F1F79"/>
    <w:rsid w:val="003F2801"/>
    <w:rsid w:val="003F29F2"/>
    <w:rsid w:val="003F31EC"/>
    <w:rsid w:val="003F3855"/>
    <w:rsid w:val="003F3C77"/>
    <w:rsid w:val="003F3E23"/>
    <w:rsid w:val="003F4352"/>
    <w:rsid w:val="003F458D"/>
    <w:rsid w:val="003F47DF"/>
    <w:rsid w:val="003F4DE5"/>
    <w:rsid w:val="003F4F40"/>
    <w:rsid w:val="003F531C"/>
    <w:rsid w:val="003F614C"/>
    <w:rsid w:val="003F6209"/>
    <w:rsid w:val="003F6E1D"/>
    <w:rsid w:val="003F7C22"/>
    <w:rsid w:val="003F7C66"/>
    <w:rsid w:val="00400330"/>
    <w:rsid w:val="004005F9"/>
    <w:rsid w:val="00400872"/>
    <w:rsid w:val="00400A8B"/>
    <w:rsid w:val="004010D4"/>
    <w:rsid w:val="00401515"/>
    <w:rsid w:val="004017DF"/>
    <w:rsid w:val="00401831"/>
    <w:rsid w:val="00401D23"/>
    <w:rsid w:val="00402603"/>
    <w:rsid w:val="00402A2F"/>
    <w:rsid w:val="00402CD7"/>
    <w:rsid w:val="0040314A"/>
    <w:rsid w:val="0040355D"/>
    <w:rsid w:val="00403D66"/>
    <w:rsid w:val="00403F45"/>
    <w:rsid w:val="004040CD"/>
    <w:rsid w:val="00404389"/>
    <w:rsid w:val="0040473A"/>
    <w:rsid w:val="004048D8"/>
    <w:rsid w:val="00404932"/>
    <w:rsid w:val="00404EB0"/>
    <w:rsid w:val="00404F59"/>
    <w:rsid w:val="00405448"/>
    <w:rsid w:val="00405524"/>
    <w:rsid w:val="00405C39"/>
    <w:rsid w:val="00405DAB"/>
    <w:rsid w:val="00405E90"/>
    <w:rsid w:val="0040629D"/>
    <w:rsid w:val="004065CE"/>
    <w:rsid w:val="00406802"/>
    <w:rsid w:val="00406910"/>
    <w:rsid w:val="0040695E"/>
    <w:rsid w:val="00406A9F"/>
    <w:rsid w:val="00406AFC"/>
    <w:rsid w:val="004073F4"/>
    <w:rsid w:val="00407A61"/>
    <w:rsid w:val="00407B10"/>
    <w:rsid w:val="00407E78"/>
    <w:rsid w:val="00410589"/>
    <w:rsid w:val="004105DD"/>
    <w:rsid w:val="00410681"/>
    <w:rsid w:val="0041087E"/>
    <w:rsid w:val="00410A9B"/>
    <w:rsid w:val="00410DCE"/>
    <w:rsid w:val="00410DF9"/>
    <w:rsid w:val="00410E1D"/>
    <w:rsid w:val="00411103"/>
    <w:rsid w:val="00411155"/>
    <w:rsid w:val="00411AA6"/>
    <w:rsid w:val="00411AAC"/>
    <w:rsid w:val="00411C59"/>
    <w:rsid w:val="004121D5"/>
    <w:rsid w:val="004127E3"/>
    <w:rsid w:val="00412C0B"/>
    <w:rsid w:val="0041308B"/>
    <w:rsid w:val="00413426"/>
    <w:rsid w:val="00413735"/>
    <w:rsid w:val="004137F8"/>
    <w:rsid w:val="00413945"/>
    <w:rsid w:val="00413A15"/>
    <w:rsid w:val="00413BCB"/>
    <w:rsid w:val="00413D99"/>
    <w:rsid w:val="0041404E"/>
    <w:rsid w:val="0041429D"/>
    <w:rsid w:val="004142A3"/>
    <w:rsid w:val="0041464D"/>
    <w:rsid w:val="00414776"/>
    <w:rsid w:val="004147D0"/>
    <w:rsid w:val="00414B43"/>
    <w:rsid w:val="00414C08"/>
    <w:rsid w:val="00414E1F"/>
    <w:rsid w:val="00414E57"/>
    <w:rsid w:val="00415003"/>
    <w:rsid w:val="0041502E"/>
    <w:rsid w:val="0041530A"/>
    <w:rsid w:val="00415786"/>
    <w:rsid w:val="004157B1"/>
    <w:rsid w:val="0041581E"/>
    <w:rsid w:val="00415AA0"/>
    <w:rsid w:val="00415B62"/>
    <w:rsid w:val="004160B9"/>
    <w:rsid w:val="004161BA"/>
    <w:rsid w:val="004161E5"/>
    <w:rsid w:val="00416A96"/>
    <w:rsid w:val="00416CF4"/>
    <w:rsid w:val="00416E05"/>
    <w:rsid w:val="00417433"/>
    <w:rsid w:val="004175FF"/>
    <w:rsid w:val="0041765C"/>
    <w:rsid w:val="00417E6A"/>
    <w:rsid w:val="00420796"/>
    <w:rsid w:val="0042079C"/>
    <w:rsid w:val="004207F7"/>
    <w:rsid w:val="00420837"/>
    <w:rsid w:val="00420863"/>
    <w:rsid w:val="004211E7"/>
    <w:rsid w:val="00421C67"/>
    <w:rsid w:val="00421E12"/>
    <w:rsid w:val="00421EEC"/>
    <w:rsid w:val="004221BE"/>
    <w:rsid w:val="0042242D"/>
    <w:rsid w:val="00422933"/>
    <w:rsid w:val="00422B40"/>
    <w:rsid w:val="00422BED"/>
    <w:rsid w:val="00422CAB"/>
    <w:rsid w:val="00422EB5"/>
    <w:rsid w:val="00422F4B"/>
    <w:rsid w:val="00423003"/>
    <w:rsid w:val="004232FE"/>
    <w:rsid w:val="004233B0"/>
    <w:rsid w:val="004244BB"/>
    <w:rsid w:val="00424764"/>
    <w:rsid w:val="004248B4"/>
    <w:rsid w:val="00424A13"/>
    <w:rsid w:val="00424C66"/>
    <w:rsid w:val="0042526D"/>
    <w:rsid w:val="004254A2"/>
    <w:rsid w:val="004258F5"/>
    <w:rsid w:val="00425E1C"/>
    <w:rsid w:val="00426266"/>
    <w:rsid w:val="004264AE"/>
    <w:rsid w:val="00426C9B"/>
    <w:rsid w:val="00426D71"/>
    <w:rsid w:val="0042715E"/>
    <w:rsid w:val="00427535"/>
    <w:rsid w:val="0042766E"/>
    <w:rsid w:val="00430037"/>
    <w:rsid w:val="00430256"/>
    <w:rsid w:val="004303E5"/>
    <w:rsid w:val="00430903"/>
    <w:rsid w:val="00430948"/>
    <w:rsid w:val="00430E3D"/>
    <w:rsid w:val="00431309"/>
    <w:rsid w:val="00431750"/>
    <w:rsid w:val="004318AF"/>
    <w:rsid w:val="0043194D"/>
    <w:rsid w:val="004319E8"/>
    <w:rsid w:val="00431AA5"/>
    <w:rsid w:val="00431B2B"/>
    <w:rsid w:val="00431B44"/>
    <w:rsid w:val="00431BF1"/>
    <w:rsid w:val="004320C6"/>
    <w:rsid w:val="00432381"/>
    <w:rsid w:val="00432F83"/>
    <w:rsid w:val="004330CF"/>
    <w:rsid w:val="004330F6"/>
    <w:rsid w:val="0043349B"/>
    <w:rsid w:val="00433812"/>
    <w:rsid w:val="00433D22"/>
    <w:rsid w:val="00434000"/>
    <w:rsid w:val="00434130"/>
    <w:rsid w:val="00434238"/>
    <w:rsid w:val="004342F8"/>
    <w:rsid w:val="004346D4"/>
    <w:rsid w:val="00434A2F"/>
    <w:rsid w:val="00434B63"/>
    <w:rsid w:val="00434E76"/>
    <w:rsid w:val="004352B4"/>
    <w:rsid w:val="004355DC"/>
    <w:rsid w:val="00435F4C"/>
    <w:rsid w:val="00437488"/>
    <w:rsid w:val="00437694"/>
    <w:rsid w:val="004377A8"/>
    <w:rsid w:val="0043795A"/>
    <w:rsid w:val="0044030D"/>
    <w:rsid w:val="0044083A"/>
    <w:rsid w:val="004408FA"/>
    <w:rsid w:val="00440989"/>
    <w:rsid w:val="00440CCC"/>
    <w:rsid w:val="00440D6B"/>
    <w:rsid w:val="00441119"/>
    <w:rsid w:val="00441135"/>
    <w:rsid w:val="00441ABC"/>
    <w:rsid w:val="00441D4E"/>
    <w:rsid w:val="00441FC7"/>
    <w:rsid w:val="00442077"/>
    <w:rsid w:val="00442AE3"/>
    <w:rsid w:val="00442DAE"/>
    <w:rsid w:val="0044392F"/>
    <w:rsid w:val="00443C48"/>
    <w:rsid w:val="00443DD5"/>
    <w:rsid w:val="00444245"/>
    <w:rsid w:val="004443E5"/>
    <w:rsid w:val="004445EE"/>
    <w:rsid w:val="004448C1"/>
    <w:rsid w:val="004451FD"/>
    <w:rsid w:val="004452C3"/>
    <w:rsid w:val="0044552A"/>
    <w:rsid w:val="00445663"/>
    <w:rsid w:val="004461A4"/>
    <w:rsid w:val="004465B7"/>
    <w:rsid w:val="00446612"/>
    <w:rsid w:val="00446760"/>
    <w:rsid w:val="004467E9"/>
    <w:rsid w:val="00446BB6"/>
    <w:rsid w:val="00446C48"/>
    <w:rsid w:val="00446EE2"/>
    <w:rsid w:val="00446F36"/>
    <w:rsid w:val="0044715F"/>
    <w:rsid w:val="00447D85"/>
    <w:rsid w:val="00447F0B"/>
    <w:rsid w:val="004502A0"/>
    <w:rsid w:val="004502A5"/>
    <w:rsid w:val="00450E44"/>
    <w:rsid w:val="004510BF"/>
    <w:rsid w:val="004514C2"/>
    <w:rsid w:val="00451501"/>
    <w:rsid w:val="00451829"/>
    <w:rsid w:val="00451AD3"/>
    <w:rsid w:val="00451CD2"/>
    <w:rsid w:val="0045204B"/>
    <w:rsid w:val="004521E9"/>
    <w:rsid w:val="00452501"/>
    <w:rsid w:val="004525C3"/>
    <w:rsid w:val="004526D7"/>
    <w:rsid w:val="004528D0"/>
    <w:rsid w:val="00452E3A"/>
    <w:rsid w:val="00452E54"/>
    <w:rsid w:val="004534A1"/>
    <w:rsid w:val="00453786"/>
    <w:rsid w:val="00453C86"/>
    <w:rsid w:val="00453FEB"/>
    <w:rsid w:val="004544A0"/>
    <w:rsid w:val="004544B9"/>
    <w:rsid w:val="00454564"/>
    <w:rsid w:val="00454CB1"/>
    <w:rsid w:val="00454EC9"/>
    <w:rsid w:val="004555D1"/>
    <w:rsid w:val="0045581E"/>
    <w:rsid w:val="00455C10"/>
    <w:rsid w:val="00455C14"/>
    <w:rsid w:val="00455C64"/>
    <w:rsid w:val="00455F31"/>
    <w:rsid w:val="004560CE"/>
    <w:rsid w:val="004562E5"/>
    <w:rsid w:val="0045638B"/>
    <w:rsid w:val="004564EB"/>
    <w:rsid w:val="00456E1D"/>
    <w:rsid w:val="00457071"/>
    <w:rsid w:val="0045773D"/>
    <w:rsid w:val="00457B76"/>
    <w:rsid w:val="00457BC3"/>
    <w:rsid w:val="0046034D"/>
    <w:rsid w:val="0046091E"/>
    <w:rsid w:val="0046113D"/>
    <w:rsid w:val="00461801"/>
    <w:rsid w:val="00461E2A"/>
    <w:rsid w:val="00462272"/>
    <w:rsid w:val="00462B68"/>
    <w:rsid w:val="004632C9"/>
    <w:rsid w:val="0046390C"/>
    <w:rsid w:val="00464569"/>
    <w:rsid w:val="0046474D"/>
    <w:rsid w:val="004647D7"/>
    <w:rsid w:val="00464A5E"/>
    <w:rsid w:val="004650FD"/>
    <w:rsid w:val="00465100"/>
    <w:rsid w:val="0046521E"/>
    <w:rsid w:val="00465D4E"/>
    <w:rsid w:val="00465DA2"/>
    <w:rsid w:val="00466381"/>
    <w:rsid w:val="0046652D"/>
    <w:rsid w:val="004668B2"/>
    <w:rsid w:val="00466901"/>
    <w:rsid w:val="00466C5A"/>
    <w:rsid w:val="00466DD5"/>
    <w:rsid w:val="00466ECC"/>
    <w:rsid w:val="00466EDC"/>
    <w:rsid w:val="00467265"/>
    <w:rsid w:val="00467393"/>
    <w:rsid w:val="004675BE"/>
    <w:rsid w:val="00467B6F"/>
    <w:rsid w:val="00467BDD"/>
    <w:rsid w:val="00467D6E"/>
    <w:rsid w:val="00467E08"/>
    <w:rsid w:val="00470045"/>
    <w:rsid w:val="00470A06"/>
    <w:rsid w:val="00470FC0"/>
    <w:rsid w:val="00470FDE"/>
    <w:rsid w:val="0047114E"/>
    <w:rsid w:val="004717F6"/>
    <w:rsid w:val="00471AC0"/>
    <w:rsid w:val="00471EB9"/>
    <w:rsid w:val="00472007"/>
    <w:rsid w:val="0047229C"/>
    <w:rsid w:val="0047257E"/>
    <w:rsid w:val="0047294C"/>
    <w:rsid w:val="004731D2"/>
    <w:rsid w:val="0047364D"/>
    <w:rsid w:val="00473BC5"/>
    <w:rsid w:val="00473C1F"/>
    <w:rsid w:val="00474173"/>
    <w:rsid w:val="00474247"/>
    <w:rsid w:val="004742AC"/>
    <w:rsid w:val="0047481E"/>
    <w:rsid w:val="00474918"/>
    <w:rsid w:val="00474A64"/>
    <w:rsid w:val="00474F91"/>
    <w:rsid w:val="00474FA2"/>
    <w:rsid w:val="00475193"/>
    <w:rsid w:val="004752AC"/>
    <w:rsid w:val="0047530C"/>
    <w:rsid w:val="00475C65"/>
    <w:rsid w:val="00475EAF"/>
    <w:rsid w:val="00476222"/>
    <w:rsid w:val="0047681C"/>
    <w:rsid w:val="00476A3A"/>
    <w:rsid w:val="00476D78"/>
    <w:rsid w:val="00477393"/>
    <w:rsid w:val="004773DD"/>
    <w:rsid w:val="00477BE6"/>
    <w:rsid w:val="004802AB"/>
    <w:rsid w:val="00480382"/>
    <w:rsid w:val="0048043F"/>
    <w:rsid w:val="00480891"/>
    <w:rsid w:val="00480EA1"/>
    <w:rsid w:val="00481530"/>
    <w:rsid w:val="004815F8"/>
    <w:rsid w:val="004817C3"/>
    <w:rsid w:val="00481BAD"/>
    <w:rsid w:val="00481E32"/>
    <w:rsid w:val="00482591"/>
    <w:rsid w:val="00482797"/>
    <w:rsid w:val="00482B80"/>
    <w:rsid w:val="004831ED"/>
    <w:rsid w:val="004831FC"/>
    <w:rsid w:val="004836A7"/>
    <w:rsid w:val="0048389D"/>
    <w:rsid w:val="00483DD9"/>
    <w:rsid w:val="00484213"/>
    <w:rsid w:val="004842CD"/>
    <w:rsid w:val="00484586"/>
    <w:rsid w:val="004847B4"/>
    <w:rsid w:val="00484921"/>
    <w:rsid w:val="00484FEE"/>
    <w:rsid w:val="00484FF2"/>
    <w:rsid w:val="004851C0"/>
    <w:rsid w:val="0048551B"/>
    <w:rsid w:val="0048552F"/>
    <w:rsid w:val="0048559B"/>
    <w:rsid w:val="0048572F"/>
    <w:rsid w:val="00486614"/>
    <w:rsid w:val="0048675C"/>
    <w:rsid w:val="00486B98"/>
    <w:rsid w:val="00486CFE"/>
    <w:rsid w:val="00486E2C"/>
    <w:rsid w:val="00486F2D"/>
    <w:rsid w:val="00487288"/>
    <w:rsid w:val="00487955"/>
    <w:rsid w:val="00487D59"/>
    <w:rsid w:val="00487DE2"/>
    <w:rsid w:val="00487E11"/>
    <w:rsid w:val="00487FB8"/>
    <w:rsid w:val="004900C2"/>
    <w:rsid w:val="004900FE"/>
    <w:rsid w:val="004911F4"/>
    <w:rsid w:val="00491608"/>
    <w:rsid w:val="004919D4"/>
    <w:rsid w:val="00491FB2"/>
    <w:rsid w:val="0049200C"/>
    <w:rsid w:val="0049212C"/>
    <w:rsid w:val="00493300"/>
    <w:rsid w:val="00493D2F"/>
    <w:rsid w:val="00493EAB"/>
    <w:rsid w:val="0049415A"/>
    <w:rsid w:val="004944E7"/>
    <w:rsid w:val="004945B7"/>
    <w:rsid w:val="004949EA"/>
    <w:rsid w:val="00494C58"/>
    <w:rsid w:val="004950F6"/>
    <w:rsid w:val="00495857"/>
    <w:rsid w:val="00495959"/>
    <w:rsid w:val="00495C39"/>
    <w:rsid w:val="004961E1"/>
    <w:rsid w:val="00497561"/>
    <w:rsid w:val="004975DB"/>
    <w:rsid w:val="00497BF7"/>
    <w:rsid w:val="004A028D"/>
    <w:rsid w:val="004A06DA"/>
    <w:rsid w:val="004A07EF"/>
    <w:rsid w:val="004A0E93"/>
    <w:rsid w:val="004A1224"/>
    <w:rsid w:val="004A13B6"/>
    <w:rsid w:val="004A1ABD"/>
    <w:rsid w:val="004A1F32"/>
    <w:rsid w:val="004A203A"/>
    <w:rsid w:val="004A21BC"/>
    <w:rsid w:val="004A2414"/>
    <w:rsid w:val="004A247B"/>
    <w:rsid w:val="004A28C5"/>
    <w:rsid w:val="004A28CF"/>
    <w:rsid w:val="004A2AD1"/>
    <w:rsid w:val="004A2AE7"/>
    <w:rsid w:val="004A2F59"/>
    <w:rsid w:val="004A2FF4"/>
    <w:rsid w:val="004A35CB"/>
    <w:rsid w:val="004A3865"/>
    <w:rsid w:val="004A3D69"/>
    <w:rsid w:val="004A3EE5"/>
    <w:rsid w:val="004A4040"/>
    <w:rsid w:val="004A4B20"/>
    <w:rsid w:val="004A4D46"/>
    <w:rsid w:val="004A5B8F"/>
    <w:rsid w:val="004A5E53"/>
    <w:rsid w:val="004A64B4"/>
    <w:rsid w:val="004A64B8"/>
    <w:rsid w:val="004A660C"/>
    <w:rsid w:val="004A668E"/>
    <w:rsid w:val="004A6B44"/>
    <w:rsid w:val="004A6BF6"/>
    <w:rsid w:val="004A6C29"/>
    <w:rsid w:val="004A6E0E"/>
    <w:rsid w:val="004A6F50"/>
    <w:rsid w:val="004A6FD7"/>
    <w:rsid w:val="004A73A9"/>
    <w:rsid w:val="004A751B"/>
    <w:rsid w:val="004A760D"/>
    <w:rsid w:val="004A7CA0"/>
    <w:rsid w:val="004A7CB5"/>
    <w:rsid w:val="004A7CDE"/>
    <w:rsid w:val="004A7D43"/>
    <w:rsid w:val="004A7FFA"/>
    <w:rsid w:val="004B0589"/>
    <w:rsid w:val="004B0707"/>
    <w:rsid w:val="004B0866"/>
    <w:rsid w:val="004B0AF7"/>
    <w:rsid w:val="004B0B19"/>
    <w:rsid w:val="004B0DC7"/>
    <w:rsid w:val="004B1304"/>
    <w:rsid w:val="004B160C"/>
    <w:rsid w:val="004B1E81"/>
    <w:rsid w:val="004B3072"/>
    <w:rsid w:val="004B316C"/>
    <w:rsid w:val="004B35F0"/>
    <w:rsid w:val="004B37A7"/>
    <w:rsid w:val="004B388A"/>
    <w:rsid w:val="004B3FDA"/>
    <w:rsid w:val="004B4393"/>
    <w:rsid w:val="004B4426"/>
    <w:rsid w:val="004B44E1"/>
    <w:rsid w:val="004B47AD"/>
    <w:rsid w:val="004B4800"/>
    <w:rsid w:val="004B4966"/>
    <w:rsid w:val="004B4978"/>
    <w:rsid w:val="004B4C72"/>
    <w:rsid w:val="004B5580"/>
    <w:rsid w:val="004B55A5"/>
    <w:rsid w:val="004B5F2A"/>
    <w:rsid w:val="004B61A9"/>
    <w:rsid w:val="004B62BD"/>
    <w:rsid w:val="004B6324"/>
    <w:rsid w:val="004B668A"/>
    <w:rsid w:val="004B689F"/>
    <w:rsid w:val="004B6D67"/>
    <w:rsid w:val="004B74B2"/>
    <w:rsid w:val="004B7514"/>
    <w:rsid w:val="004B777D"/>
    <w:rsid w:val="004B7F9B"/>
    <w:rsid w:val="004C103D"/>
    <w:rsid w:val="004C1108"/>
    <w:rsid w:val="004C1303"/>
    <w:rsid w:val="004C1399"/>
    <w:rsid w:val="004C16ED"/>
    <w:rsid w:val="004C1BE9"/>
    <w:rsid w:val="004C1C09"/>
    <w:rsid w:val="004C1C39"/>
    <w:rsid w:val="004C238C"/>
    <w:rsid w:val="004C266A"/>
    <w:rsid w:val="004C2A17"/>
    <w:rsid w:val="004C2B0E"/>
    <w:rsid w:val="004C2F13"/>
    <w:rsid w:val="004C320B"/>
    <w:rsid w:val="004C3576"/>
    <w:rsid w:val="004C3833"/>
    <w:rsid w:val="004C3A33"/>
    <w:rsid w:val="004C45F5"/>
    <w:rsid w:val="004C4D2F"/>
    <w:rsid w:val="004C4DCF"/>
    <w:rsid w:val="004C53D4"/>
    <w:rsid w:val="004C5507"/>
    <w:rsid w:val="004C6CB8"/>
    <w:rsid w:val="004C6E45"/>
    <w:rsid w:val="004C6E8B"/>
    <w:rsid w:val="004C6F97"/>
    <w:rsid w:val="004D09EA"/>
    <w:rsid w:val="004D0D6B"/>
    <w:rsid w:val="004D1267"/>
    <w:rsid w:val="004D1E1A"/>
    <w:rsid w:val="004D1EFF"/>
    <w:rsid w:val="004D1F56"/>
    <w:rsid w:val="004D1FC4"/>
    <w:rsid w:val="004D217E"/>
    <w:rsid w:val="004D23A9"/>
    <w:rsid w:val="004D23E8"/>
    <w:rsid w:val="004D2683"/>
    <w:rsid w:val="004D29F5"/>
    <w:rsid w:val="004D2F90"/>
    <w:rsid w:val="004D3122"/>
    <w:rsid w:val="004D3302"/>
    <w:rsid w:val="004D39BA"/>
    <w:rsid w:val="004D3BBC"/>
    <w:rsid w:val="004D3DC3"/>
    <w:rsid w:val="004D3F65"/>
    <w:rsid w:val="004D4525"/>
    <w:rsid w:val="004D4991"/>
    <w:rsid w:val="004D52D1"/>
    <w:rsid w:val="004D538B"/>
    <w:rsid w:val="004D54D9"/>
    <w:rsid w:val="004D5752"/>
    <w:rsid w:val="004D59BF"/>
    <w:rsid w:val="004D5ACD"/>
    <w:rsid w:val="004D660D"/>
    <w:rsid w:val="004D6C02"/>
    <w:rsid w:val="004D6E68"/>
    <w:rsid w:val="004D7804"/>
    <w:rsid w:val="004D7CF5"/>
    <w:rsid w:val="004E004F"/>
    <w:rsid w:val="004E0308"/>
    <w:rsid w:val="004E0F4A"/>
    <w:rsid w:val="004E104C"/>
    <w:rsid w:val="004E13B7"/>
    <w:rsid w:val="004E1A1F"/>
    <w:rsid w:val="004E1A5E"/>
    <w:rsid w:val="004E1F2B"/>
    <w:rsid w:val="004E23A0"/>
    <w:rsid w:val="004E243C"/>
    <w:rsid w:val="004E2825"/>
    <w:rsid w:val="004E2905"/>
    <w:rsid w:val="004E29EB"/>
    <w:rsid w:val="004E2B65"/>
    <w:rsid w:val="004E3079"/>
    <w:rsid w:val="004E30DA"/>
    <w:rsid w:val="004E3276"/>
    <w:rsid w:val="004E3825"/>
    <w:rsid w:val="004E3836"/>
    <w:rsid w:val="004E3B3F"/>
    <w:rsid w:val="004E3C07"/>
    <w:rsid w:val="004E3D01"/>
    <w:rsid w:val="004E427C"/>
    <w:rsid w:val="004E4397"/>
    <w:rsid w:val="004E43A3"/>
    <w:rsid w:val="004E4AFC"/>
    <w:rsid w:val="004E4BAB"/>
    <w:rsid w:val="004E4DB0"/>
    <w:rsid w:val="004E55DC"/>
    <w:rsid w:val="004E62E4"/>
    <w:rsid w:val="004E65E1"/>
    <w:rsid w:val="004E6780"/>
    <w:rsid w:val="004E67B6"/>
    <w:rsid w:val="004E68BC"/>
    <w:rsid w:val="004E6ABC"/>
    <w:rsid w:val="004E7610"/>
    <w:rsid w:val="004E7C41"/>
    <w:rsid w:val="004F0687"/>
    <w:rsid w:val="004F0BF1"/>
    <w:rsid w:val="004F0E90"/>
    <w:rsid w:val="004F0F5B"/>
    <w:rsid w:val="004F0FCA"/>
    <w:rsid w:val="004F1212"/>
    <w:rsid w:val="004F12CE"/>
    <w:rsid w:val="004F133D"/>
    <w:rsid w:val="004F1602"/>
    <w:rsid w:val="004F1BA7"/>
    <w:rsid w:val="004F22B8"/>
    <w:rsid w:val="004F235D"/>
    <w:rsid w:val="004F2437"/>
    <w:rsid w:val="004F2680"/>
    <w:rsid w:val="004F2A10"/>
    <w:rsid w:val="004F2A84"/>
    <w:rsid w:val="004F2FC3"/>
    <w:rsid w:val="004F38E1"/>
    <w:rsid w:val="004F3C8D"/>
    <w:rsid w:val="004F3E3E"/>
    <w:rsid w:val="004F3FCE"/>
    <w:rsid w:val="004F4624"/>
    <w:rsid w:val="004F4B06"/>
    <w:rsid w:val="004F4C7B"/>
    <w:rsid w:val="004F4E67"/>
    <w:rsid w:val="004F5573"/>
    <w:rsid w:val="004F5D8B"/>
    <w:rsid w:val="004F5F4E"/>
    <w:rsid w:val="004F634F"/>
    <w:rsid w:val="004F6D2F"/>
    <w:rsid w:val="004F6F04"/>
    <w:rsid w:val="004F7556"/>
    <w:rsid w:val="004F7705"/>
    <w:rsid w:val="004F78BF"/>
    <w:rsid w:val="004F7D1B"/>
    <w:rsid w:val="004F7DAC"/>
    <w:rsid w:val="00500200"/>
    <w:rsid w:val="005006F3"/>
    <w:rsid w:val="00500700"/>
    <w:rsid w:val="00500929"/>
    <w:rsid w:val="005009C1"/>
    <w:rsid w:val="0050118C"/>
    <w:rsid w:val="0050141B"/>
    <w:rsid w:val="00501464"/>
    <w:rsid w:val="00501841"/>
    <w:rsid w:val="00502245"/>
    <w:rsid w:val="00502590"/>
    <w:rsid w:val="00502638"/>
    <w:rsid w:val="005026AE"/>
    <w:rsid w:val="00502929"/>
    <w:rsid w:val="005029BC"/>
    <w:rsid w:val="005029D9"/>
    <w:rsid w:val="00502B87"/>
    <w:rsid w:val="00502C71"/>
    <w:rsid w:val="00502CE9"/>
    <w:rsid w:val="00503439"/>
    <w:rsid w:val="0050346A"/>
    <w:rsid w:val="00503A2C"/>
    <w:rsid w:val="00503FD8"/>
    <w:rsid w:val="005042C8"/>
    <w:rsid w:val="0050438E"/>
    <w:rsid w:val="00504472"/>
    <w:rsid w:val="005045BF"/>
    <w:rsid w:val="00504623"/>
    <w:rsid w:val="005048E3"/>
    <w:rsid w:val="00505492"/>
    <w:rsid w:val="00505A77"/>
    <w:rsid w:val="00505CB3"/>
    <w:rsid w:val="00505E16"/>
    <w:rsid w:val="005060BD"/>
    <w:rsid w:val="005060BF"/>
    <w:rsid w:val="005067C7"/>
    <w:rsid w:val="00506A3F"/>
    <w:rsid w:val="00506EB0"/>
    <w:rsid w:val="00507937"/>
    <w:rsid w:val="0050798C"/>
    <w:rsid w:val="00510AAA"/>
    <w:rsid w:val="00510F3D"/>
    <w:rsid w:val="0051103E"/>
    <w:rsid w:val="0051112F"/>
    <w:rsid w:val="0051207B"/>
    <w:rsid w:val="005122C5"/>
    <w:rsid w:val="005125DD"/>
    <w:rsid w:val="00512706"/>
    <w:rsid w:val="00512911"/>
    <w:rsid w:val="00512A1F"/>
    <w:rsid w:val="00512AB7"/>
    <w:rsid w:val="00512B97"/>
    <w:rsid w:val="00513581"/>
    <w:rsid w:val="005135F0"/>
    <w:rsid w:val="005136CD"/>
    <w:rsid w:val="005138D6"/>
    <w:rsid w:val="005146B7"/>
    <w:rsid w:val="0051498D"/>
    <w:rsid w:val="00514AB2"/>
    <w:rsid w:val="00514B1A"/>
    <w:rsid w:val="00514E2B"/>
    <w:rsid w:val="005150C5"/>
    <w:rsid w:val="00515103"/>
    <w:rsid w:val="00515DF0"/>
    <w:rsid w:val="00516415"/>
    <w:rsid w:val="00516D2C"/>
    <w:rsid w:val="00517351"/>
    <w:rsid w:val="005175BC"/>
    <w:rsid w:val="00517B04"/>
    <w:rsid w:val="00517F41"/>
    <w:rsid w:val="005201FC"/>
    <w:rsid w:val="005205DC"/>
    <w:rsid w:val="005208F8"/>
    <w:rsid w:val="005211FE"/>
    <w:rsid w:val="00521860"/>
    <w:rsid w:val="00521A04"/>
    <w:rsid w:val="00521D74"/>
    <w:rsid w:val="005222CC"/>
    <w:rsid w:val="00522622"/>
    <w:rsid w:val="00523281"/>
    <w:rsid w:val="00523443"/>
    <w:rsid w:val="00523B5E"/>
    <w:rsid w:val="00523BD4"/>
    <w:rsid w:val="00523DE3"/>
    <w:rsid w:val="00524275"/>
    <w:rsid w:val="00524369"/>
    <w:rsid w:val="005248BC"/>
    <w:rsid w:val="00524928"/>
    <w:rsid w:val="00524B7F"/>
    <w:rsid w:val="00524F2D"/>
    <w:rsid w:val="005250EE"/>
    <w:rsid w:val="005251D2"/>
    <w:rsid w:val="005257E8"/>
    <w:rsid w:val="00525A62"/>
    <w:rsid w:val="00525AB1"/>
    <w:rsid w:val="00525BF0"/>
    <w:rsid w:val="00525D0F"/>
    <w:rsid w:val="005260F2"/>
    <w:rsid w:val="00526B01"/>
    <w:rsid w:val="00526C61"/>
    <w:rsid w:val="00527492"/>
    <w:rsid w:val="005277F5"/>
    <w:rsid w:val="00527E01"/>
    <w:rsid w:val="00530043"/>
    <w:rsid w:val="005300A4"/>
    <w:rsid w:val="0053051A"/>
    <w:rsid w:val="00530847"/>
    <w:rsid w:val="0053093B"/>
    <w:rsid w:val="00530A6D"/>
    <w:rsid w:val="005310C1"/>
    <w:rsid w:val="005314A8"/>
    <w:rsid w:val="00531934"/>
    <w:rsid w:val="005321AF"/>
    <w:rsid w:val="005325F8"/>
    <w:rsid w:val="005327B3"/>
    <w:rsid w:val="005328A9"/>
    <w:rsid w:val="00532994"/>
    <w:rsid w:val="005329BE"/>
    <w:rsid w:val="00532F42"/>
    <w:rsid w:val="00533515"/>
    <w:rsid w:val="00533733"/>
    <w:rsid w:val="00534067"/>
    <w:rsid w:val="005342DE"/>
    <w:rsid w:val="005347DF"/>
    <w:rsid w:val="005349D1"/>
    <w:rsid w:val="00534AC0"/>
    <w:rsid w:val="00534DFD"/>
    <w:rsid w:val="00535557"/>
    <w:rsid w:val="0053595A"/>
    <w:rsid w:val="00535976"/>
    <w:rsid w:val="00535D88"/>
    <w:rsid w:val="00535FEA"/>
    <w:rsid w:val="0053606A"/>
    <w:rsid w:val="005362C1"/>
    <w:rsid w:val="00536648"/>
    <w:rsid w:val="00536876"/>
    <w:rsid w:val="005369C0"/>
    <w:rsid w:val="00536B92"/>
    <w:rsid w:val="00536C08"/>
    <w:rsid w:val="0053737D"/>
    <w:rsid w:val="005374C5"/>
    <w:rsid w:val="00537E44"/>
    <w:rsid w:val="005405F0"/>
    <w:rsid w:val="00540811"/>
    <w:rsid w:val="00540B25"/>
    <w:rsid w:val="00540C04"/>
    <w:rsid w:val="00540C88"/>
    <w:rsid w:val="00540CA7"/>
    <w:rsid w:val="00540CD4"/>
    <w:rsid w:val="00540D82"/>
    <w:rsid w:val="00541028"/>
    <w:rsid w:val="00541254"/>
    <w:rsid w:val="00541D27"/>
    <w:rsid w:val="005421CC"/>
    <w:rsid w:val="005426A2"/>
    <w:rsid w:val="00542A86"/>
    <w:rsid w:val="00542BA5"/>
    <w:rsid w:val="00542D31"/>
    <w:rsid w:val="00542F3C"/>
    <w:rsid w:val="00542F8B"/>
    <w:rsid w:val="00543820"/>
    <w:rsid w:val="00543F11"/>
    <w:rsid w:val="005443FF"/>
    <w:rsid w:val="00544841"/>
    <w:rsid w:val="00544869"/>
    <w:rsid w:val="00544907"/>
    <w:rsid w:val="0054490C"/>
    <w:rsid w:val="005451D6"/>
    <w:rsid w:val="00547058"/>
    <w:rsid w:val="005470C7"/>
    <w:rsid w:val="00547632"/>
    <w:rsid w:val="00547CD4"/>
    <w:rsid w:val="00547E21"/>
    <w:rsid w:val="00547E34"/>
    <w:rsid w:val="00547EB7"/>
    <w:rsid w:val="00547EB8"/>
    <w:rsid w:val="0055033D"/>
    <w:rsid w:val="0055065D"/>
    <w:rsid w:val="00550B1E"/>
    <w:rsid w:val="005510D8"/>
    <w:rsid w:val="00551496"/>
    <w:rsid w:val="0055160B"/>
    <w:rsid w:val="00551AB2"/>
    <w:rsid w:val="00551C3D"/>
    <w:rsid w:val="00551ED1"/>
    <w:rsid w:val="00552447"/>
    <w:rsid w:val="00552DBF"/>
    <w:rsid w:val="00552FC2"/>
    <w:rsid w:val="005536BB"/>
    <w:rsid w:val="00553BC4"/>
    <w:rsid w:val="00553DA2"/>
    <w:rsid w:val="00553DA8"/>
    <w:rsid w:val="005543FB"/>
    <w:rsid w:val="00554CF2"/>
    <w:rsid w:val="00555121"/>
    <w:rsid w:val="0055538C"/>
    <w:rsid w:val="00555623"/>
    <w:rsid w:val="00556221"/>
    <w:rsid w:val="00556289"/>
    <w:rsid w:val="00556290"/>
    <w:rsid w:val="005562DC"/>
    <w:rsid w:val="00556725"/>
    <w:rsid w:val="00556BFD"/>
    <w:rsid w:val="00556E5A"/>
    <w:rsid w:val="00556E86"/>
    <w:rsid w:val="0055707D"/>
    <w:rsid w:val="0055711D"/>
    <w:rsid w:val="00557788"/>
    <w:rsid w:val="005578D2"/>
    <w:rsid w:val="00557A85"/>
    <w:rsid w:val="005602EF"/>
    <w:rsid w:val="0056036E"/>
    <w:rsid w:val="00560691"/>
    <w:rsid w:val="005606B5"/>
    <w:rsid w:val="00560B3F"/>
    <w:rsid w:val="00560E18"/>
    <w:rsid w:val="00560E2D"/>
    <w:rsid w:val="00561192"/>
    <w:rsid w:val="00561498"/>
    <w:rsid w:val="00561B4C"/>
    <w:rsid w:val="00561D74"/>
    <w:rsid w:val="00561E9E"/>
    <w:rsid w:val="00562030"/>
    <w:rsid w:val="00562B12"/>
    <w:rsid w:val="00562BAD"/>
    <w:rsid w:val="0056306C"/>
    <w:rsid w:val="0056365E"/>
    <w:rsid w:val="00563A06"/>
    <w:rsid w:val="00563DE0"/>
    <w:rsid w:val="00563ECF"/>
    <w:rsid w:val="00563F6D"/>
    <w:rsid w:val="00564383"/>
    <w:rsid w:val="00564891"/>
    <w:rsid w:val="005657B6"/>
    <w:rsid w:val="00565A95"/>
    <w:rsid w:val="00565C77"/>
    <w:rsid w:val="00566181"/>
    <w:rsid w:val="005663E8"/>
    <w:rsid w:val="005667C7"/>
    <w:rsid w:val="00566960"/>
    <w:rsid w:val="00566B94"/>
    <w:rsid w:val="00567011"/>
    <w:rsid w:val="005674B6"/>
    <w:rsid w:val="00567558"/>
    <w:rsid w:val="0056756F"/>
    <w:rsid w:val="0056779B"/>
    <w:rsid w:val="00567843"/>
    <w:rsid w:val="00567868"/>
    <w:rsid w:val="00567CB4"/>
    <w:rsid w:val="00567F8F"/>
    <w:rsid w:val="00570146"/>
    <w:rsid w:val="00570170"/>
    <w:rsid w:val="005703CD"/>
    <w:rsid w:val="005705A8"/>
    <w:rsid w:val="0057074C"/>
    <w:rsid w:val="005707BF"/>
    <w:rsid w:val="005708BD"/>
    <w:rsid w:val="00570B05"/>
    <w:rsid w:val="00570E24"/>
    <w:rsid w:val="0057101B"/>
    <w:rsid w:val="00571774"/>
    <w:rsid w:val="00571F06"/>
    <w:rsid w:val="005723F3"/>
    <w:rsid w:val="00573005"/>
    <w:rsid w:val="0057317E"/>
    <w:rsid w:val="005731D3"/>
    <w:rsid w:val="0057334B"/>
    <w:rsid w:val="0057382E"/>
    <w:rsid w:val="00573C7D"/>
    <w:rsid w:val="00573D62"/>
    <w:rsid w:val="00573DE0"/>
    <w:rsid w:val="00573ED1"/>
    <w:rsid w:val="0057413A"/>
    <w:rsid w:val="00574536"/>
    <w:rsid w:val="00574906"/>
    <w:rsid w:val="00574A4A"/>
    <w:rsid w:val="00574B7A"/>
    <w:rsid w:val="00574DFD"/>
    <w:rsid w:val="00574E91"/>
    <w:rsid w:val="00574E9E"/>
    <w:rsid w:val="00574FC6"/>
    <w:rsid w:val="005752BC"/>
    <w:rsid w:val="00575BF3"/>
    <w:rsid w:val="0057622F"/>
    <w:rsid w:val="00576350"/>
    <w:rsid w:val="00576EAB"/>
    <w:rsid w:val="0057713C"/>
    <w:rsid w:val="005774A4"/>
    <w:rsid w:val="00577772"/>
    <w:rsid w:val="00577977"/>
    <w:rsid w:val="00577D13"/>
    <w:rsid w:val="00577D36"/>
    <w:rsid w:val="00577DFB"/>
    <w:rsid w:val="00580B29"/>
    <w:rsid w:val="00581719"/>
    <w:rsid w:val="00581ADE"/>
    <w:rsid w:val="00581AF7"/>
    <w:rsid w:val="00581D30"/>
    <w:rsid w:val="0058224F"/>
    <w:rsid w:val="0058230D"/>
    <w:rsid w:val="0058259C"/>
    <w:rsid w:val="00582624"/>
    <w:rsid w:val="00583362"/>
    <w:rsid w:val="005833DE"/>
    <w:rsid w:val="00583DFA"/>
    <w:rsid w:val="00584245"/>
    <w:rsid w:val="0058424D"/>
    <w:rsid w:val="005845A5"/>
    <w:rsid w:val="00584C2D"/>
    <w:rsid w:val="00584C73"/>
    <w:rsid w:val="00584D80"/>
    <w:rsid w:val="0058550F"/>
    <w:rsid w:val="00585696"/>
    <w:rsid w:val="00585815"/>
    <w:rsid w:val="00585871"/>
    <w:rsid w:val="00585905"/>
    <w:rsid w:val="00585A6C"/>
    <w:rsid w:val="00585BCF"/>
    <w:rsid w:val="00585CE3"/>
    <w:rsid w:val="0058643D"/>
    <w:rsid w:val="00586535"/>
    <w:rsid w:val="005865CD"/>
    <w:rsid w:val="005868A8"/>
    <w:rsid w:val="00586B3E"/>
    <w:rsid w:val="00586BB5"/>
    <w:rsid w:val="00586D72"/>
    <w:rsid w:val="00586DEE"/>
    <w:rsid w:val="00586DFB"/>
    <w:rsid w:val="00586F13"/>
    <w:rsid w:val="0058779F"/>
    <w:rsid w:val="00587C83"/>
    <w:rsid w:val="00590024"/>
    <w:rsid w:val="0059003F"/>
    <w:rsid w:val="005900EC"/>
    <w:rsid w:val="005905BC"/>
    <w:rsid w:val="005909CB"/>
    <w:rsid w:val="00590B75"/>
    <w:rsid w:val="00590DAA"/>
    <w:rsid w:val="00590EF9"/>
    <w:rsid w:val="005919E0"/>
    <w:rsid w:val="00591B98"/>
    <w:rsid w:val="00591CF4"/>
    <w:rsid w:val="0059205C"/>
    <w:rsid w:val="005921BB"/>
    <w:rsid w:val="00592349"/>
    <w:rsid w:val="005923B5"/>
    <w:rsid w:val="00592C20"/>
    <w:rsid w:val="00592D49"/>
    <w:rsid w:val="00593716"/>
    <w:rsid w:val="00593873"/>
    <w:rsid w:val="00593FFC"/>
    <w:rsid w:val="0059465C"/>
    <w:rsid w:val="00594D31"/>
    <w:rsid w:val="005955BA"/>
    <w:rsid w:val="0059597A"/>
    <w:rsid w:val="00595BC8"/>
    <w:rsid w:val="00595C54"/>
    <w:rsid w:val="00596263"/>
    <w:rsid w:val="0059631D"/>
    <w:rsid w:val="005963A7"/>
    <w:rsid w:val="00596676"/>
    <w:rsid w:val="005968ED"/>
    <w:rsid w:val="00596F3F"/>
    <w:rsid w:val="00596F9B"/>
    <w:rsid w:val="005972B7"/>
    <w:rsid w:val="00597603"/>
    <w:rsid w:val="00597A76"/>
    <w:rsid w:val="00597C4E"/>
    <w:rsid w:val="00597DDD"/>
    <w:rsid w:val="00597E9F"/>
    <w:rsid w:val="00597EEF"/>
    <w:rsid w:val="005A00D4"/>
    <w:rsid w:val="005A0125"/>
    <w:rsid w:val="005A02CB"/>
    <w:rsid w:val="005A09F5"/>
    <w:rsid w:val="005A0BC3"/>
    <w:rsid w:val="005A0F6B"/>
    <w:rsid w:val="005A11C7"/>
    <w:rsid w:val="005A16BB"/>
    <w:rsid w:val="005A1C4E"/>
    <w:rsid w:val="005A1C60"/>
    <w:rsid w:val="005A217A"/>
    <w:rsid w:val="005A23C0"/>
    <w:rsid w:val="005A256D"/>
    <w:rsid w:val="005A2631"/>
    <w:rsid w:val="005A2BC6"/>
    <w:rsid w:val="005A2E0C"/>
    <w:rsid w:val="005A3678"/>
    <w:rsid w:val="005A39E0"/>
    <w:rsid w:val="005A3DAF"/>
    <w:rsid w:val="005A4251"/>
    <w:rsid w:val="005A4A1A"/>
    <w:rsid w:val="005A53B8"/>
    <w:rsid w:val="005A5976"/>
    <w:rsid w:val="005A5C0F"/>
    <w:rsid w:val="005A61C8"/>
    <w:rsid w:val="005A61D3"/>
    <w:rsid w:val="005A635D"/>
    <w:rsid w:val="005A6651"/>
    <w:rsid w:val="005A6D23"/>
    <w:rsid w:val="005A6E3D"/>
    <w:rsid w:val="005A75EF"/>
    <w:rsid w:val="005A7736"/>
    <w:rsid w:val="005A7A11"/>
    <w:rsid w:val="005A7B66"/>
    <w:rsid w:val="005A7C0B"/>
    <w:rsid w:val="005A7E33"/>
    <w:rsid w:val="005A7E70"/>
    <w:rsid w:val="005A7F2C"/>
    <w:rsid w:val="005B01AE"/>
    <w:rsid w:val="005B098E"/>
    <w:rsid w:val="005B164C"/>
    <w:rsid w:val="005B1A53"/>
    <w:rsid w:val="005B1E8F"/>
    <w:rsid w:val="005B1FFF"/>
    <w:rsid w:val="005B2128"/>
    <w:rsid w:val="005B2165"/>
    <w:rsid w:val="005B2416"/>
    <w:rsid w:val="005B2AF7"/>
    <w:rsid w:val="005B2BDA"/>
    <w:rsid w:val="005B2FAD"/>
    <w:rsid w:val="005B33FF"/>
    <w:rsid w:val="005B37BF"/>
    <w:rsid w:val="005B37C3"/>
    <w:rsid w:val="005B37F7"/>
    <w:rsid w:val="005B3A76"/>
    <w:rsid w:val="005B3D17"/>
    <w:rsid w:val="005B40E8"/>
    <w:rsid w:val="005B46E7"/>
    <w:rsid w:val="005B4896"/>
    <w:rsid w:val="005B4B34"/>
    <w:rsid w:val="005B4DE3"/>
    <w:rsid w:val="005B5449"/>
    <w:rsid w:val="005B589D"/>
    <w:rsid w:val="005B5922"/>
    <w:rsid w:val="005B5B5A"/>
    <w:rsid w:val="005B5D2A"/>
    <w:rsid w:val="005B5EB6"/>
    <w:rsid w:val="005B5F50"/>
    <w:rsid w:val="005B6049"/>
    <w:rsid w:val="005B626E"/>
    <w:rsid w:val="005B6481"/>
    <w:rsid w:val="005B68AD"/>
    <w:rsid w:val="005B69BD"/>
    <w:rsid w:val="005B6A94"/>
    <w:rsid w:val="005B6DAA"/>
    <w:rsid w:val="005B6F49"/>
    <w:rsid w:val="005B72DC"/>
    <w:rsid w:val="005B7314"/>
    <w:rsid w:val="005B7853"/>
    <w:rsid w:val="005B79CE"/>
    <w:rsid w:val="005B7ACB"/>
    <w:rsid w:val="005B7C27"/>
    <w:rsid w:val="005B7CF4"/>
    <w:rsid w:val="005B7D57"/>
    <w:rsid w:val="005B7D8B"/>
    <w:rsid w:val="005B7DB7"/>
    <w:rsid w:val="005C00AA"/>
    <w:rsid w:val="005C03F6"/>
    <w:rsid w:val="005C0475"/>
    <w:rsid w:val="005C057D"/>
    <w:rsid w:val="005C1569"/>
    <w:rsid w:val="005C20F8"/>
    <w:rsid w:val="005C224F"/>
    <w:rsid w:val="005C2532"/>
    <w:rsid w:val="005C2767"/>
    <w:rsid w:val="005C2808"/>
    <w:rsid w:val="005C2AF9"/>
    <w:rsid w:val="005C2D12"/>
    <w:rsid w:val="005C33D7"/>
    <w:rsid w:val="005C33DC"/>
    <w:rsid w:val="005C346A"/>
    <w:rsid w:val="005C348A"/>
    <w:rsid w:val="005C34FA"/>
    <w:rsid w:val="005C3715"/>
    <w:rsid w:val="005C3C1A"/>
    <w:rsid w:val="005C4131"/>
    <w:rsid w:val="005C422C"/>
    <w:rsid w:val="005C44EB"/>
    <w:rsid w:val="005C4604"/>
    <w:rsid w:val="005C460E"/>
    <w:rsid w:val="005C46D8"/>
    <w:rsid w:val="005C476A"/>
    <w:rsid w:val="005C4B02"/>
    <w:rsid w:val="005C4BEE"/>
    <w:rsid w:val="005C4C30"/>
    <w:rsid w:val="005C570B"/>
    <w:rsid w:val="005C58B8"/>
    <w:rsid w:val="005C5A71"/>
    <w:rsid w:val="005C66E9"/>
    <w:rsid w:val="005C679A"/>
    <w:rsid w:val="005C6E41"/>
    <w:rsid w:val="005C6E74"/>
    <w:rsid w:val="005C721A"/>
    <w:rsid w:val="005C732E"/>
    <w:rsid w:val="005C781C"/>
    <w:rsid w:val="005C7ACD"/>
    <w:rsid w:val="005D06C7"/>
    <w:rsid w:val="005D13ED"/>
    <w:rsid w:val="005D181E"/>
    <w:rsid w:val="005D19BF"/>
    <w:rsid w:val="005D1A50"/>
    <w:rsid w:val="005D1E16"/>
    <w:rsid w:val="005D2185"/>
    <w:rsid w:val="005D21B7"/>
    <w:rsid w:val="005D2612"/>
    <w:rsid w:val="005D2C37"/>
    <w:rsid w:val="005D330E"/>
    <w:rsid w:val="005D3620"/>
    <w:rsid w:val="005D3E3E"/>
    <w:rsid w:val="005D464B"/>
    <w:rsid w:val="005D492B"/>
    <w:rsid w:val="005D4949"/>
    <w:rsid w:val="005D4959"/>
    <w:rsid w:val="005D497E"/>
    <w:rsid w:val="005D520F"/>
    <w:rsid w:val="005D5BED"/>
    <w:rsid w:val="005D645A"/>
    <w:rsid w:val="005D6D01"/>
    <w:rsid w:val="005D6E07"/>
    <w:rsid w:val="005D72A2"/>
    <w:rsid w:val="005D73D4"/>
    <w:rsid w:val="005D7A35"/>
    <w:rsid w:val="005D7E20"/>
    <w:rsid w:val="005E034F"/>
    <w:rsid w:val="005E03CB"/>
    <w:rsid w:val="005E04F8"/>
    <w:rsid w:val="005E0803"/>
    <w:rsid w:val="005E09A7"/>
    <w:rsid w:val="005E0EFF"/>
    <w:rsid w:val="005E130A"/>
    <w:rsid w:val="005E198B"/>
    <w:rsid w:val="005E19D9"/>
    <w:rsid w:val="005E1AED"/>
    <w:rsid w:val="005E1B34"/>
    <w:rsid w:val="005E1D35"/>
    <w:rsid w:val="005E1D6B"/>
    <w:rsid w:val="005E1DFF"/>
    <w:rsid w:val="005E2213"/>
    <w:rsid w:val="005E2846"/>
    <w:rsid w:val="005E2904"/>
    <w:rsid w:val="005E29A3"/>
    <w:rsid w:val="005E2A31"/>
    <w:rsid w:val="005E2DF9"/>
    <w:rsid w:val="005E3056"/>
    <w:rsid w:val="005E31D0"/>
    <w:rsid w:val="005E349A"/>
    <w:rsid w:val="005E38AC"/>
    <w:rsid w:val="005E3C44"/>
    <w:rsid w:val="005E3D2F"/>
    <w:rsid w:val="005E3E1D"/>
    <w:rsid w:val="005E3EF6"/>
    <w:rsid w:val="005E442F"/>
    <w:rsid w:val="005E4AED"/>
    <w:rsid w:val="005E54A3"/>
    <w:rsid w:val="005E5625"/>
    <w:rsid w:val="005E59B0"/>
    <w:rsid w:val="005E5E0E"/>
    <w:rsid w:val="005E5FCB"/>
    <w:rsid w:val="005E6102"/>
    <w:rsid w:val="005E61D8"/>
    <w:rsid w:val="005E6571"/>
    <w:rsid w:val="005E687E"/>
    <w:rsid w:val="005E6F2B"/>
    <w:rsid w:val="005E7084"/>
    <w:rsid w:val="005E72AF"/>
    <w:rsid w:val="005E7430"/>
    <w:rsid w:val="005E7E2C"/>
    <w:rsid w:val="005F00C8"/>
    <w:rsid w:val="005F06DD"/>
    <w:rsid w:val="005F15BB"/>
    <w:rsid w:val="005F1760"/>
    <w:rsid w:val="005F1ADE"/>
    <w:rsid w:val="005F29CD"/>
    <w:rsid w:val="005F2AF4"/>
    <w:rsid w:val="005F2BFE"/>
    <w:rsid w:val="005F3175"/>
    <w:rsid w:val="005F3436"/>
    <w:rsid w:val="005F3506"/>
    <w:rsid w:val="005F3564"/>
    <w:rsid w:val="005F399B"/>
    <w:rsid w:val="005F3ECF"/>
    <w:rsid w:val="005F413A"/>
    <w:rsid w:val="005F41D8"/>
    <w:rsid w:val="005F46D7"/>
    <w:rsid w:val="005F4739"/>
    <w:rsid w:val="005F4A7A"/>
    <w:rsid w:val="005F4D05"/>
    <w:rsid w:val="005F4EAC"/>
    <w:rsid w:val="005F5030"/>
    <w:rsid w:val="005F54DC"/>
    <w:rsid w:val="005F6228"/>
    <w:rsid w:val="005F642B"/>
    <w:rsid w:val="005F67FC"/>
    <w:rsid w:val="005F68B2"/>
    <w:rsid w:val="005F696B"/>
    <w:rsid w:val="005F6D3A"/>
    <w:rsid w:val="005F6E70"/>
    <w:rsid w:val="006006CD"/>
    <w:rsid w:val="00600E6D"/>
    <w:rsid w:val="00601211"/>
    <w:rsid w:val="00601630"/>
    <w:rsid w:val="00601A28"/>
    <w:rsid w:val="00601E31"/>
    <w:rsid w:val="0060234B"/>
    <w:rsid w:val="006026E1"/>
    <w:rsid w:val="006027A0"/>
    <w:rsid w:val="00602EEA"/>
    <w:rsid w:val="00602F9E"/>
    <w:rsid w:val="00603371"/>
    <w:rsid w:val="006035AA"/>
    <w:rsid w:val="00603A90"/>
    <w:rsid w:val="00603D85"/>
    <w:rsid w:val="00604856"/>
    <w:rsid w:val="00604A53"/>
    <w:rsid w:val="00604C1C"/>
    <w:rsid w:val="00604DA5"/>
    <w:rsid w:val="00605163"/>
    <w:rsid w:val="0060517D"/>
    <w:rsid w:val="00605570"/>
    <w:rsid w:val="00605CE1"/>
    <w:rsid w:val="0060604A"/>
    <w:rsid w:val="006065BF"/>
    <w:rsid w:val="00606F5E"/>
    <w:rsid w:val="006070EA"/>
    <w:rsid w:val="00607ABE"/>
    <w:rsid w:val="00607B0D"/>
    <w:rsid w:val="00607F53"/>
    <w:rsid w:val="006103D0"/>
    <w:rsid w:val="006104F7"/>
    <w:rsid w:val="006105FF"/>
    <w:rsid w:val="00610A1D"/>
    <w:rsid w:val="00610B00"/>
    <w:rsid w:val="0061103A"/>
    <w:rsid w:val="006112CF"/>
    <w:rsid w:val="00611704"/>
    <w:rsid w:val="006118E8"/>
    <w:rsid w:val="00611927"/>
    <w:rsid w:val="00611C0B"/>
    <w:rsid w:val="00611EAE"/>
    <w:rsid w:val="00612F42"/>
    <w:rsid w:val="006132B0"/>
    <w:rsid w:val="0061364A"/>
    <w:rsid w:val="00613723"/>
    <w:rsid w:val="00613BEA"/>
    <w:rsid w:val="00613EA8"/>
    <w:rsid w:val="00613FC7"/>
    <w:rsid w:val="0061402C"/>
    <w:rsid w:val="00614126"/>
    <w:rsid w:val="006141CC"/>
    <w:rsid w:val="00614296"/>
    <w:rsid w:val="00614515"/>
    <w:rsid w:val="00614AA3"/>
    <w:rsid w:val="00614D5C"/>
    <w:rsid w:val="00614E04"/>
    <w:rsid w:val="006150C6"/>
    <w:rsid w:val="0061527B"/>
    <w:rsid w:val="0061595F"/>
    <w:rsid w:val="00615A79"/>
    <w:rsid w:val="00615FAC"/>
    <w:rsid w:val="00616179"/>
    <w:rsid w:val="00616343"/>
    <w:rsid w:val="0061675B"/>
    <w:rsid w:val="00616AE7"/>
    <w:rsid w:val="00617134"/>
    <w:rsid w:val="006176CC"/>
    <w:rsid w:val="00617AC2"/>
    <w:rsid w:val="00617BAF"/>
    <w:rsid w:val="00617E77"/>
    <w:rsid w:val="00617F42"/>
    <w:rsid w:val="00620438"/>
    <w:rsid w:val="0062052B"/>
    <w:rsid w:val="006205D2"/>
    <w:rsid w:val="00620797"/>
    <w:rsid w:val="00620BB9"/>
    <w:rsid w:val="00620D3B"/>
    <w:rsid w:val="00620F8F"/>
    <w:rsid w:val="0062112F"/>
    <w:rsid w:val="006212C1"/>
    <w:rsid w:val="006215D4"/>
    <w:rsid w:val="00621A86"/>
    <w:rsid w:val="00621E09"/>
    <w:rsid w:val="00622009"/>
    <w:rsid w:val="006228D5"/>
    <w:rsid w:val="00622DBE"/>
    <w:rsid w:val="00622E21"/>
    <w:rsid w:val="00623401"/>
    <w:rsid w:val="00623791"/>
    <w:rsid w:val="00623B2B"/>
    <w:rsid w:val="00623DFA"/>
    <w:rsid w:val="00623E86"/>
    <w:rsid w:val="0062438A"/>
    <w:rsid w:val="006246F7"/>
    <w:rsid w:val="006248A1"/>
    <w:rsid w:val="0062511D"/>
    <w:rsid w:val="00625377"/>
    <w:rsid w:val="0062537F"/>
    <w:rsid w:val="00625865"/>
    <w:rsid w:val="006258B8"/>
    <w:rsid w:val="00625C40"/>
    <w:rsid w:val="00625E01"/>
    <w:rsid w:val="00626225"/>
    <w:rsid w:val="0062640F"/>
    <w:rsid w:val="00626482"/>
    <w:rsid w:val="0062706E"/>
    <w:rsid w:val="006270B8"/>
    <w:rsid w:val="0062742A"/>
    <w:rsid w:val="006278ED"/>
    <w:rsid w:val="00627BE1"/>
    <w:rsid w:val="00627E46"/>
    <w:rsid w:val="00627E7C"/>
    <w:rsid w:val="00627F5A"/>
    <w:rsid w:val="00627F6E"/>
    <w:rsid w:val="006302E8"/>
    <w:rsid w:val="006307D9"/>
    <w:rsid w:val="00630CFF"/>
    <w:rsid w:val="00630D49"/>
    <w:rsid w:val="00630DEA"/>
    <w:rsid w:val="00630E8B"/>
    <w:rsid w:val="00630F8F"/>
    <w:rsid w:val="00631369"/>
    <w:rsid w:val="0063167C"/>
    <w:rsid w:val="00631968"/>
    <w:rsid w:val="00631C78"/>
    <w:rsid w:val="00631E06"/>
    <w:rsid w:val="00632481"/>
    <w:rsid w:val="006325A2"/>
    <w:rsid w:val="0063262D"/>
    <w:rsid w:val="0063268B"/>
    <w:rsid w:val="00632AB2"/>
    <w:rsid w:val="00632E87"/>
    <w:rsid w:val="00633732"/>
    <w:rsid w:val="0063380B"/>
    <w:rsid w:val="0063390E"/>
    <w:rsid w:val="00633C4E"/>
    <w:rsid w:val="00634673"/>
    <w:rsid w:val="00634CC0"/>
    <w:rsid w:val="00635476"/>
    <w:rsid w:val="00635594"/>
    <w:rsid w:val="006355DD"/>
    <w:rsid w:val="006357D5"/>
    <w:rsid w:val="00635AF3"/>
    <w:rsid w:val="00635D52"/>
    <w:rsid w:val="00635D94"/>
    <w:rsid w:val="00635E4B"/>
    <w:rsid w:val="00636087"/>
    <w:rsid w:val="006360DD"/>
    <w:rsid w:val="00636D7E"/>
    <w:rsid w:val="00636E1E"/>
    <w:rsid w:val="0063746C"/>
    <w:rsid w:val="00637607"/>
    <w:rsid w:val="00637990"/>
    <w:rsid w:val="00637BAF"/>
    <w:rsid w:val="00637BBD"/>
    <w:rsid w:val="00637C5F"/>
    <w:rsid w:val="00637F72"/>
    <w:rsid w:val="00640B76"/>
    <w:rsid w:val="00640D17"/>
    <w:rsid w:val="00640E47"/>
    <w:rsid w:val="00641415"/>
    <w:rsid w:val="00641841"/>
    <w:rsid w:val="00641A99"/>
    <w:rsid w:val="00641CAA"/>
    <w:rsid w:val="00641CCA"/>
    <w:rsid w:val="00642468"/>
    <w:rsid w:val="0064270B"/>
    <w:rsid w:val="00642768"/>
    <w:rsid w:val="00642832"/>
    <w:rsid w:val="006428FB"/>
    <w:rsid w:val="006429E7"/>
    <w:rsid w:val="00642A84"/>
    <w:rsid w:val="0064310D"/>
    <w:rsid w:val="00643430"/>
    <w:rsid w:val="00643B25"/>
    <w:rsid w:val="00643E45"/>
    <w:rsid w:val="00644031"/>
    <w:rsid w:val="0064411F"/>
    <w:rsid w:val="006441DA"/>
    <w:rsid w:val="006442BA"/>
    <w:rsid w:val="00644448"/>
    <w:rsid w:val="006447BF"/>
    <w:rsid w:val="006449BE"/>
    <w:rsid w:val="00644B6B"/>
    <w:rsid w:val="00644E56"/>
    <w:rsid w:val="006454F1"/>
    <w:rsid w:val="00645A7F"/>
    <w:rsid w:val="00645D93"/>
    <w:rsid w:val="00645E69"/>
    <w:rsid w:val="00646098"/>
    <w:rsid w:val="00646130"/>
    <w:rsid w:val="0064674F"/>
    <w:rsid w:val="0064678A"/>
    <w:rsid w:val="00646ACE"/>
    <w:rsid w:val="006474C0"/>
    <w:rsid w:val="006475FF"/>
    <w:rsid w:val="00647927"/>
    <w:rsid w:val="00647C48"/>
    <w:rsid w:val="00647E29"/>
    <w:rsid w:val="0065065F"/>
    <w:rsid w:val="00650B2D"/>
    <w:rsid w:val="0065134A"/>
    <w:rsid w:val="00651455"/>
    <w:rsid w:val="006516F0"/>
    <w:rsid w:val="00651AA2"/>
    <w:rsid w:val="00652973"/>
    <w:rsid w:val="00652B9B"/>
    <w:rsid w:val="00652BB9"/>
    <w:rsid w:val="00652C65"/>
    <w:rsid w:val="00652EDE"/>
    <w:rsid w:val="00652EF8"/>
    <w:rsid w:val="00652F78"/>
    <w:rsid w:val="0065301F"/>
    <w:rsid w:val="00653452"/>
    <w:rsid w:val="00653743"/>
    <w:rsid w:val="00653BFF"/>
    <w:rsid w:val="00653CB8"/>
    <w:rsid w:val="00653DD9"/>
    <w:rsid w:val="00654119"/>
    <w:rsid w:val="006546FF"/>
    <w:rsid w:val="0065484E"/>
    <w:rsid w:val="00654943"/>
    <w:rsid w:val="00654C43"/>
    <w:rsid w:val="00654E6A"/>
    <w:rsid w:val="00654EC2"/>
    <w:rsid w:val="006551FC"/>
    <w:rsid w:val="006552B1"/>
    <w:rsid w:val="00655A03"/>
    <w:rsid w:val="00656403"/>
    <w:rsid w:val="006564ED"/>
    <w:rsid w:val="00656AEB"/>
    <w:rsid w:val="00657099"/>
    <w:rsid w:val="006575F3"/>
    <w:rsid w:val="00657F58"/>
    <w:rsid w:val="0066038B"/>
    <w:rsid w:val="0066073F"/>
    <w:rsid w:val="00660871"/>
    <w:rsid w:val="0066097E"/>
    <w:rsid w:val="00661017"/>
    <w:rsid w:val="0066176D"/>
    <w:rsid w:val="006618AF"/>
    <w:rsid w:val="00662657"/>
    <w:rsid w:val="006626DA"/>
    <w:rsid w:val="0066271B"/>
    <w:rsid w:val="00662800"/>
    <w:rsid w:val="00662809"/>
    <w:rsid w:val="006632CB"/>
    <w:rsid w:val="00663823"/>
    <w:rsid w:val="0066417B"/>
    <w:rsid w:val="0066423D"/>
    <w:rsid w:val="006642C9"/>
    <w:rsid w:val="006643ED"/>
    <w:rsid w:val="00664592"/>
    <w:rsid w:val="00664837"/>
    <w:rsid w:val="00664D7F"/>
    <w:rsid w:val="00664E08"/>
    <w:rsid w:val="00664EDB"/>
    <w:rsid w:val="006650D0"/>
    <w:rsid w:val="00666313"/>
    <w:rsid w:val="0066648F"/>
    <w:rsid w:val="00667270"/>
    <w:rsid w:val="006674D4"/>
    <w:rsid w:val="0066774D"/>
    <w:rsid w:val="0066790B"/>
    <w:rsid w:val="006679CB"/>
    <w:rsid w:val="00667F42"/>
    <w:rsid w:val="00670333"/>
    <w:rsid w:val="006706D7"/>
    <w:rsid w:val="0067110D"/>
    <w:rsid w:val="00671284"/>
    <w:rsid w:val="006712A3"/>
    <w:rsid w:val="006713E4"/>
    <w:rsid w:val="00671640"/>
    <w:rsid w:val="006719D9"/>
    <w:rsid w:val="00671CE9"/>
    <w:rsid w:val="00671D12"/>
    <w:rsid w:val="0067245A"/>
    <w:rsid w:val="00672535"/>
    <w:rsid w:val="00672711"/>
    <w:rsid w:val="006727FC"/>
    <w:rsid w:val="006728FF"/>
    <w:rsid w:val="0067302D"/>
    <w:rsid w:val="006730C9"/>
    <w:rsid w:val="006732A1"/>
    <w:rsid w:val="00673888"/>
    <w:rsid w:val="00673906"/>
    <w:rsid w:val="0067391F"/>
    <w:rsid w:val="00673A83"/>
    <w:rsid w:val="00673DC7"/>
    <w:rsid w:val="00673F3E"/>
    <w:rsid w:val="00673FD2"/>
    <w:rsid w:val="0067410D"/>
    <w:rsid w:val="0067491A"/>
    <w:rsid w:val="006750DE"/>
    <w:rsid w:val="006756CD"/>
    <w:rsid w:val="00675B2A"/>
    <w:rsid w:val="00675DD8"/>
    <w:rsid w:val="00675F49"/>
    <w:rsid w:val="0067626A"/>
    <w:rsid w:val="00676E5B"/>
    <w:rsid w:val="00677101"/>
    <w:rsid w:val="006771FF"/>
    <w:rsid w:val="00677700"/>
    <w:rsid w:val="00677B88"/>
    <w:rsid w:val="00677D6B"/>
    <w:rsid w:val="006806CC"/>
    <w:rsid w:val="00680795"/>
    <w:rsid w:val="00680B42"/>
    <w:rsid w:val="00680C4A"/>
    <w:rsid w:val="006814D8"/>
    <w:rsid w:val="00681523"/>
    <w:rsid w:val="006819A2"/>
    <w:rsid w:val="0068262E"/>
    <w:rsid w:val="00682713"/>
    <w:rsid w:val="00682747"/>
    <w:rsid w:val="006829F2"/>
    <w:rsid w:val="00682BB1"/>
    <w:rsid w:val="00682C51"/>
    <w:rsid w:val="00682D2A"/>
    <w:rsid w:val="00682F90"/>
    <w:rsid w:val="00683451"/>
    <w:rsid w:val="00683579"/>
    <w:rsid w:val="006837BC"/>
    <w:rsid w:val="00683F42"/>
    <w:rsid w:val="00683F4F"/>
    <w:rsid w:val="006843F4"/>
    <w:rsid w:val="00684598"/>
    <w:rsid w:val="006849B6"/>
    <w:rsid w:val="00684A81"/>
    <w:rsid w:val="00684CCB"/>
    <w:rsid w:val="00684D29"/>
    <w:rsid w:val="00684FFA"/>
    <w:rsid w:val="00685284"/>
    <w:rsid w:val="006854CE"/>
    <w:rsid w:val="006855B2"/>
    <w:rsid w:val="00685991"/>
    <w:rsid w:val="00685994"/>
    <w:rsid w:val="00685F29"/>
    <w:rsid w:val="0068640C"/>
    <w:rsid w:val="00686B47"/>
    <w:rsid w:val="0068768D"/>
    <w:rsid w:val="0068790B"/>
    <w:rsid w:val="00687AD9"/>
    <w:rsid w:val="00687CFC"/>
    <w:rsid w:val="00687D0B"/>
    <w:rsid w:val="00687FF8"/>
    <w:rsid w:val="00690137"/>
    <w:rsid w:val="006902A8"/>
    <w:rsid w:val="006903B6"/>
    <w:rsid w:val="006906E4"/>
    <w:rsid w:val="00690E32"/>
    <w:rsid w:val="00690F3D"/>
    <w:rsid w:val="00691236"/>
    <w:rsid w:val="006913EB"/>
    <w:rsid w:val="00691C54"/>
    <w:rsid w:val="00691E49"/>
    <w:rsid w:val="006922DC"/>
    <w:rsid w:val="00692453"/>
    <w:rsid w:val="006926AE"/>
    <w:rsid w:val="006928CE"/>
    <w:rsid w:val="006928E4"/>
    <w:rsid w:val="006933C9"/>
    <w:rsid w:val="00693470"/>
    <w:rsid w:val="006939FE"/>
    <w:rsid w:val="00693A1E"/>
    <w:rsid w:val="00693DEC"/>
    <w:rsid w:val="006941DD"/>
    <w:rsid w:val="00694278"/>
    <w:rsid w:val="00694359"/>
    <w:rsid w:val="006943CA"/>
    <w:rsid w:val="006943D1"/>
    <w:rsid w:val="0069459A"/>
    <w:rsid w:val="0069466B"/>
    <w:rsid w:val="00694795"/>
    <w:rsid w:val="00694900"/>
    <w:rsid w:val="00695014"/>
    <w:rsid w:val="0069528E"/>
    <w:rsid w:val="006955D9"/>
    <w:rsid w:val="00695DC6"/>
    <w:rsid w:val="006966AE"/>
    <w:rsid w:val="00696AA8"/>
    <w:rsid w:val="00696BB9"/>
    <w:rsid w:val="00696C7B"/>
    <w:rsid w:val="006972C6"/>
    <w:rsid w:val="00697CB1"/>
    <w:rsid w:val="006A00AA"/>
    <w:rsid w:val="006A027F"/>
    <w:rsid w:val="006A04FC"/>
    <w:rsid w:val="006A0820"/>
    <w:rsid w:val="006A0881"/>
    <w:rsid w:val="006A0C56"/>
    <w:rsid w:val="006A1762"/>
    <w:rsid w:val="006A1DAC"/>
    <w:rsid w:val="006A20B8"/>
    <w:rsid w:val="006A257C"/>
    <w:rsid w:val="006A2615"/>
    <w:rsid w:val="006A292D"/>
    <w:rsid w:val="006A2E66"/>
    <w:rsid w:val="006A335E"/>
    <w:rsid w:val="006A3C7C"/>
    <w:rsid w:val="006A4158"/>
    <w:rsid w:val="006A447C"/>
    <w:rsid w:val="006A462D"/>
    <w:rsid w:val="006A49C7"/>
    <w:rsid w:val="006A4AA7"/>
    <w:rsid w:val="006A4D8E"/>
    <w:rsid w:val="006A4E15"/>
    <w:rsid w:val="006A4F7D"/>
    <w:rsid w:val="006A531F"/>
    <w:rsid w:val="006A578C"/>
    <w:rsid w:val="006A57F1"/>
    <w:rsid w:val="006A5866"/>
    <w:rsid w:val="006A58B1"/>
    <w:rsid w:val="006A5E4F"/>
    <w:rsid w:val="006A6411"/>
    <w:rsid w:val="006A643C"/>
    <w:rsid w:val="006A682E"/>
    <w:rsid w:val="006A6C9E"/>
    <w:rsid w:val="006A76A9"/>
    <w:rsid w:val="006A7A61"/>
    <w:rsid w:val="006A7EA7"/>
    <w:rsid w:val="006B0B38"/>
    <w:rsid w:val="006B0F54"/>
    <w:rsid w:val="006B12C6"/>
    <w:rsid w:val="006B16A8"/>
    <w:rsid w:val="006B181C"/>
    <w:rsid w:val="006B1849"/>
    <w:rsid w:val="006B2586"/>
    <w:rsid w:val="006B2E70"/>
    <w:rsid w:val="006B3004"/>
    <w:rsid w:val="006B304B"/>
    <w:rsid w:val="006B35DE"/>
    <w:rsid w:val="006B3628"/>
    <w:rsid w:val="006B391D"/>
    <w:rsid w:val="006B3DED"/>
    <w:rsid w:val="006B3DFB"/>
    <w:rsid w:val="006B415B"/>
    <w:rsid w:val="006B444B"/>
    <w:rsid w:val="006B47C1"/>
    <w:rsid w:val="006B4C95"/>
    <w:rsid w:val="006B4CBA"/>
    <w:rsid w:val="006B5999"/>
    <w:rsid w:val="006B59AD"/>
    <w:rsid w:val="006B6039"/>
    <w:rsid w:val="006B6167"/>
    <w:rsid w:val="006B6676"/>
    <w:rsid w:val="006B6C8E"/>
    <w:rsid w:val="006B6D4D"/>
    <w:rsid w:val="006B6FEB"/>
    <w:rsid w:val="006B7542"/>
    <w:rsid w:val="006B7EBC"/>
    <w:rsid w:val="006C00FD"/>
    <w:rsid w:val="006C030E"/>
    <w:rsid w:val="006C0A59"/>
    <w:rsid w:val="006C0AD2"/>
    <w:rsid w:val="006C12D6"/>
    <w:rsid w:val="006C14ED"/>
    <w:rsid w:val="006C16FB"/>
    <w:rsid w:val="006C190E"/>
    <w:rsid w:val="006C19EE"/>
    <w:rsid w:val="006C1B5A"/>
    <w:rsid w:val="006C20EB"/>
    <w:rsid w:val="006C2E46"/>
    <w:rsid w:val="006C3085"/>
    <w:rsid w:val="006C30AA"/>
    <w:rsid w:val="006C3452"/>
    <w:rsid w:val="006C3730"/>
    <w:rsid w:val="006C3B05"/>
    <w:rsid w:val="006C3BF2"/>
    <w:rsid w:val="006C3C55"/>
    <w:rsid w:val="006C3FCA"/>
    <w:rsid w:val="006C410F"/>
    <w:rsid w:val="006C4141"/>
    <w:rsid w:val="006C43CA"/>
    <w:rsid w:val="006C44A3"/>
    <w:rsid w:val="006C4706"/>
    <w:rsid w:val="006C4BB6"/>
    <w:rsid w:val="006C4DD5"/>
    <w:rsid w:val="006C4E45"/>
    <w:rsid w:val="006C4FA9"/>
    <w:rsid w:val="006C5722"/>
    <w:rsid w:val="006C5AF7"/>
    <w:rsid w:val="006C5E0D"/>
    <w:rsid w:val="006C5EE1"/>
    <w:rsid w:val="006C5F90"/>
    <w:rsid w:val="006C61B1"/>
    <w:rsid w:val="006C61BD"/>
    <w:rsid w:val="006C6524"/>
    <w:rsid w:val="006C6734"/>
    <w:rsid w:val="006C6B5A"/>
    <w:rsid w:val="006C6DB8"/>
    <w:rsid w:val="006C726C"/>
    <w:rsid w:val="006C748D"/>
    <w:rsid w:val="006C7E90"/>
    <w:rsid w:val="006D013D"/>
    <w:rsid w:val="006D0669"/>
    <w:rsid w:val="006D072E"/>
    <w:rsid w:val="006D0A52"/>
    <w:rsid w:val="006D10E9"/>
    <w:rsid w:val="006D1390"/>
    <w:rsid w:val="006D15EF"/>
    <w:rsid w:val="006D19B8"/>
    <w:rsid w:val="006D1D4E"/>
    <w:rsid w:val="006D2036"/>
    <w:rsid w:val="006D235E"/>
    <w:rsid w:val="006D2993"/>
    <w:rsid w:val="006D2C8F"/>
    <w:rsid w:val="006D3129"/>
    <w:rsid w:val="006D33C1"/>
    <w:rsid w:val="006D3771"/>
    <w:rsid w:val="006D3B72"/>
    <w:rsid w:val="006D3C86"/>
    <w:rsid w:val="006D3E2C"/>
    <w:rsid w:val="006D3E98"/>
    <w:rsid w:val="006D4015"/>
    <w:rsid w:val="006D40A9"/>
    <w:rsid w:val="006D415D"/>
    <w:rsid w:val="006D4284"/>
    <w:rsid w:val="006D440A"/>
    <w:rsid w:val="006D443C"/>
    <w:rsid w:val="006D4881"/>
    <w:rsid w:val="006D4994"/>
    <w:rsid w:val="006D4DCA"/>
    <w:rsid w:val="006D5599"/>
    <w:rsid w:val="006D55AE"/>
    <w:rsid w:val="006D592F"/>
    <w:rsid w:val="006D5A03"/>
    <w:rsid w:val="006D5B90"/>
    <w:rsid w:val="006D5E74"/>
    <w:rsid w:val="006D61E9"/>
    <w:rsid w:val="006D62BE"/>
    <w:rsid w:val="006D67C6"/>
    <w:rsid w:val="006D67FF"/>
    <w:rsid w:val="006D687A"/>
    <w:rsid w:val="006D7902"/>
    <w:rsid w:val="006D7B71"/>
    <w:rsid w:val="006D7F3D"/>
    <w:rsid w:val="006E0006"/>
    <w:rsid w:val="006E0117"/>
    <w:rsid w:val="006E01BB"/>
    <w:rsid w:val="006E02D7"/>
    <w:rsid w:val="006E0DF6"/>
    <w:rsid w:val="006E0E96"/>
    <w:rsid w:val="006E0FEF"/>
    <w:rsid w:val="006E137E"/>
    <w:rsid w:val="006E14B6"/>
    <w:rsid w:val="006E1559"/>
    <w:rsid w:val="006E17A5"/>
    <w:rsid w:val="006E1BDE"/>
    <w:rsid w:val="006E2279"/>
    <w:rsid w:val="006E243A"/>
    <w:rsid w:val="006E336C"/>
    <w:rsid w:val="006E35A9"/>
    <w:rsid w:val="006E381D"/>
    <w:rsid w:val="006E3B9E"/>
    <w:rsid w:val="006E3D1F"/>
    <w:rsid w:val="006E4779"/>
    <w:rsid w:val="006E4A27"/>
    <w:rsid w:val="006E4DF1"/>
    <w:rsid w:val="006E4FF2"/>
    <w:rsid w:val="006E52CA"/>
    <w:rsid w:val="006E533B"/>
    <w:rsid w:val="006E542B"/>
    <w:rsid w:val="006E544D"/>
    <w:rsid w:val="006E54D3"/>
    <w:rsid w:val="006E5772"/>
    <w:rsid w:val="006E5828"/>
    <w:rsid w:val="006E5C59"/>
    <w:rsid w:val="006E5DF8"/>
    <w:rsid w:val="006E6344"/>
    <w:rsid w:val="006E6B72"/>
    <w:rsid w:val="006E6BB9"/>
    <w:rsid w:val="006E6EAD"/>
    <w:rsid w:val="006E7669"/>
    <w:rsid w:val="006E77C8"/>
    <w:rsid w:val="006E784F"/>
    <w:rsid w:val="006E7B6F"/>
    <w:rsid w:val="006F06D2"/>
    <w:rsid w:val="006F0B4F"/>
    <w:rsid w:val="006F0E97"/>
    <w:rsid w:val="006F110B"/>
    <w:rsid w:val="006F154C"/>
    <w:rsid w:val="006F1592"/>
    <w:rsid w:val="006F2DF3"/>
    <w:rsid w:val="006F2DF9"/>
    <w:rsid w:val="006F2FC4"/>
    <w:rsid w:val="006F32CF"/>
    <w:rsid w:val="006F33DD"/>
    <w:rsid w:val="006F36D7"/>
    <w:rsid w:val="006F3C6F"/>
    <w:rsid w:val="006F3EDA"/>
    <w:rsid w:val="006F41C6"/>
    <w:rsid w:val="006F46CF"/>
    <w:rsid w:val="006F4D01"/>
    <w:rsid w:val="006F5078"/>
    <w:rsid w:val="006F5854"/>
    <w:rsid w:val="006F5AF9"/>
    <w:rsid w:val="006F5DD9"/>
    <w:rsid w:val="006F61D2"/>
    <w:rsid w:val="006F6D6D"/>
    <w:rsid w:val="006F6FA2"/>
    <w:rsid w:val="006F70B3"/>
    <w:rsid w:val="006F7100"/>
    <w:rsid w:val="006F72D4"/>
    <w:rsid w:val="006F78A1"/>
    <w:rsid w:val="006F7A08"/>
    <w:rsid w:val="006F7E53"/>
    <w:rsid w:val="00700126"/>
    <w:rsid w:val="007001D0"/>
    <w:rsid w:val="007005AB"/>
    <w:rsid w:val="0070061D"/>
    <w:rsid w:val="00700C8A"/>
    <w:rsid w:val="00700CE3"/>
    <w:rsid w:val="00701498"/>
    <w:rsid w:val="00701A19"/>
    <w:rsid w:val="00701AB8"/>
    <w:rsid w:val="00701CFB"/>
    <w:rsid w:val="00701E70"/>
    <w:rsid w:val="00702292"/>
    <w:rsid w:val="00702634"/>
    <w:rsid w:val="00702CA3"/>
    <w:rsid w:val="00702E26"/>
    <w:rsid w:val="00703498"/>
    <w:rsid w:val="00703538"/>
    <w:rsid w:val="00703CB4"/>
    <w:rsid w:val="00703E16"/>
    <w:rsid w:val="007044B0"/>
    <w:rsid w:val="00704554"/>
    <w:rsid w:val="00704629"/>
    <w:rsid w:val="00704A63"/>
    <w:rsid w:val="00704BB6"/>
    <w:rsid w:val="00704F47"/>
    <w:rsid w:val="00705001"/>
    <w:rsid w:val="00705177"/>
    <w:rsid w:val="00705413"/>
    <w:rsid w:val="00705619"/>
    <w:rsid w:val="00705BC0"/>
    <w:rsid w:val="0070653E"/>
    <w:rsid w:val="007067AF"/>
    <w:rsid w:val="00706FCC"/>
    <w:rsid w:val="007072C2"/>
    <w:rsid w:val="007073E3"/>
    <w:rsid w:val="0070746B"/>
    <w:rsid w:val="007075CA"/>
    <w:rsid w:val="00710BA7"/>
    <w:rsid w:val="00710C02"/>
    <w:rsid w:val="00710C76"/>
    <w:rsid w:val="00710F2F"/>
    <w:rsid w:val="00710F6F"/>
    <w:rsid w:val="0071151E"/>
    <w:rsid w:val="00711660"/>
    <w:rsid w:val="007117F8"/>
    <w:rsid w:val="007118AC"/>
    <w:rsid w:val="00711BB6"/>
    <w:rsid w:val="00711C93"/>
    <w:rsid w:val="00711FC7"/>
    <w:rsid w:val="0071202B"/>
    <w:rsid w:val="00712437"/>
    <w:rsid w:val="0071247D"/>
    <w:rsid w:val="00712AE1"/>
    <w:rsid w:val="00713E90"/>
    <w:rsid w:val="0071416A"/>
    <w:rsid w:val="0071418A"/>
    <w:rsid w:val="0071470B"/>
    <w:rsid w:val="0071482B"/>
    <w:rsid w:val="00714BD1"/>
    <w:rsid w:val="00714C47"/>
    <w:rsid w:val="00714C8F"/>
    <w:rsid w:val="00714DB7"/>
    <w:rsid w:val="007151F4"/>
    <w:rsid w:val="00715959"/>
    <w:rsid w:val="00715A32"/>
    <w:rsid w:val="00715B8B"/>
    <w:rsid w:val="00716A85"/>
    <w:rsid w:val="00716C53"/>
    <w:rsid w:val="00716CCB"/>
    <w:rsid w:val="00716F57"/>
    <w:rsid w:val="007170A5"/>
    <w:rsid w:val="0071772B"/>
    <w:rsid w:val="00717797"/>
    <w:rsid w:val="00717A2A"/>
    <w:rsid w:val="00717A74"/>
    <w:rsid w:val="00717D49"/>
    <w:rsid w:val="00717E2C"/>
    <w:rsid w:val="00720493"/>
    <w:rsid w:val="00720787"/>
    <w:rsid w:val="00720DD9"/>
    <w:rsid w:val="00720EA2"/>
    <w:rsid w:val="00721409"/>
    <w:rsid w:val="00721CE0"/>
    <w:rsid w:val="007221A2"/>
    <w:rsid w:val="007221D2"/>
    <w:rsid w:val="007223D1"/>
    <w:rsid w:val="00722695"/>
    <w:rsid w:val="00722935"/>
    <w:rsid w:val="00722F50"/>
    <w:rsid w:val="00723155"/>
    <w:rsid w:val="007235CB"/>
    <w:rsid w:val="00723689"/>
    <w:rsid w:val="00723BA8"/>
    <w:rsid w:val="00723D12"/>
    <w:rsid w:val="00723E08"/>
    <w:rsid w:val="00724257"/>
    <w:rsid w:val="007243D2"/>
    <w:rsid w:val="0072447F"/>
    <w:rsid w:val="0072568C"/>
    <w:rsid w:val="0072587E"/>
    <w:rsid w:val="00725AC4"/>
    <w:rsid w:val="00725D0A"/>
    <w:rsid w:val="00725F9A"/>
    <w:rsid w:val="0072625D"/>
    <w:rsid w:val="00726A80"/>
    <w:rsid w:val="00726C8A"/>
    <w:rsid w:val="00726FDE"/>
    <w:rsid w:val="0072735F"/>
    <w:rsid w:val="007276C7"/>
    <w:rsid w:val="00727815"/>
    <w:rsid w:val="007279E9"/>
    <w:rsid w:val="00727A6E"/>
    <w:rsid w:val="007301A3"/>
    <w:rsid w:val="007301A7"/>
    <w:rsid w:val="00730562"/>
    <w:rsid w:val="00730992"/>
    <w:rsid w:val="00730E31"/>
    <w:rsid w:val="007310E8"/>
    <w:rsid w:val="007313A4"/>
    <w:rsid w:val="00731B3C"/>
    <w:rsid w:val="00732185"/>
    <w:rsid w:val="007328D2"/>
    <w:rsid w:val="00732D19"/>
    <w:rsid w:val="00732FD4"/>
    <w:rsid w:val="007336F0"/>
    <w:rsid w:val="00733792"/>
    <w:rsid w:val="007343A1"/>
    <w:rsid w:val="00734485"/>
    <w:rsid w:val="007345DF"/>
    <w:rsid w:val="00734619"/>
    <w:rsid w:val="007346F8"/>
    <w:rsid w:val="00734778"/>
    <w:rsid w:val="00734D66"/>
    <w:rsid w:val="00734D6B"/>
    <w:rsid w:val="00734E06"/>
    <w:rsid w:val="00734F01"/>
    <w:rsid w:val="00734F78"/>
    <w:rsid w:val="00734FDC"/>
    <w:rsid w:val="00735130"/>
    <w:rsid w:val="00735547"/>
    <w:rsid w:val="007355C9"/>
    <w:rsid w:val="00735A5F"/>
    <w:rsid w:val="00735C98"/>
    <w:rsid w:val="007361ED"/>
    <w:rsid w:val="00736904"/>
    <w:rsid w:val="007369B6"/>
    <w:rsid w:val="00736A74"/>
    <w:rsid w:val="00736E9D"/>
    <w:rsid w:val="00736F70"/>
    <w:rsid w:val="007370B4"/>
    <w:rsid w:val="00737254"/>
    <w:rsid w:val="00737279"/>
    <w:rsid w:val="007373AD"/>
    <w:rsid w:val="007373FA"/>
    <w:rsid w:val="00737585"/>
    <w:rsid w:val="00737E44"/>
    <w:rsid w:val="00737E7D"/>
    <w:rsid w:val="00737EEA"/>
    <w:rsid w:val="007403EB"/>
    <w:rsid w:val="0074063F"/>
    <w:rsid w:val="007409D3"/>
    <w:rsid w:val="00740E73"/>
    <w:rsid w:val="00740EF1"/>
    <w:rsid w:val="007412F2"/>
    <w:rsid w:val="00741404"/>
    <w:rsid w:val="007419F0"/>
    <w:rsid w:val="00741BF8"/>
    <w:rsid w:val="00741D20"/>
    <w:rsid w:val="007422B9"/>
    <w:rsid w:val="0074250E"/>
    <w:rsid w:val="00742B1E"/>
    <w:rsid w:val="00742F55"/>
    <w:rsid w:val="007432CE"/>
    <w:rsid w:val="007434BA"/>
    <w:rsid w:val="007437B0"/>
    <w:rsid w:val="007437BA"/>
    <w:rsid w:val="007444E7"/>
    <w:rsid w:val="00744A8B"/>
    <w:rsid w:val="00744DBD"/>
    <w:rsid w:val="00745398"/>
    <w:rsid w:val="007456E0"/>
    <w:rsid w:val="0074577E"/>
    <w:rsid w:val="00745A05"/>
    <w:rsid w:val="00746681"/>
    <w:rsid w:val="00746F48"/>
    <w:rsid w:val="00746FC3"/>
    <w:rsid w:val="007476BA"/>
    <w:rsid w:val="007477E3"/>
    <w:rsid w:val="00747B90"/>
    <w:rsid w:val="00747BF0"/>
    <w:rsid w:val="00747DDF"/>
    <w:rsid w:val="00747E1D"/>
    <w:rsid w:val="00750221"/>
    <w:rsid w:val="00750252"/>
    <w:rsid w:val="00750F12"/>
    <w:rsid w:val="00751152"/>
    <w:rsid w:val="0075141A"/>
    <w:rsid w:val="00751974"/>
    <w:rsid w:val="00751B44"/>
    <w:rsid w:val="0075211A"/>
    <w:rsid w:val="007521B7"/>
    <w:rsid w:val="00752AC9"/>
    <w:rsid w:val="00752DD1"/>
    <w:rsid w:val="007537FD"/>
    <w:rsid w:val="00753F7D"/>
    <w:rsid w:val="0075418D"/>
    <w:rsid w:val="007541E0"/>
    <w:rsid w:val="0075436D"/>
    <w:rsid w:val="007544AA"/>
    <w:rsid w:val="00754795"/>
    <w:rsid w:val="007547F5"/>
    <w:rsid w:val="00754870"/>
    <w:rsid w:val="0075492C"/>
    <w:rsid w:val="00754C8D"/>
    <w:rsid w:val="007552DF"/>
    <w:rsid w:val="007559E0"/>
    <w:rsid w:val="00755B4B"/>
    <w:rsid w:val="007561F0"/>
    <w:rsid w:val="007565CC"/>
    <w:rsid w:val="00756632"/>
    <w:rsid w:val="007568E5"/>
    <w:rsid w:val="00756F2F"/>
    <w:rsid w:val="00757483"/>
    <w:rsid w:val="0075754A"/>
    <w:rsid w:val="007575A6"/>
    <w:rsid w:val="0075782A"/>
    <w:rsid w:val="007578D5"/>
    <w:rsid w:val="0076029D"/>
    <w:rsid w:val="00760375"/>
    <w:rsid w:val="00760554"/>
    <w:rsid w:val="0076057B"/>
    <w:rsid w:val="0076083D"/>
    <w:rsid w:val="007613EB"/>
    <w:rsid w:val="007616DD"/>
    <w:rsid w:val="00761DC2"/>
    <w:rsid w:val="007623E5"/>
    <w:rsid w:val="007629C5"/>
    <w:rsid w:val="00762B1E"/>
    <w:rsid w:val="00763547"/>
    <w:rsid w:val="00764092"/>
    <w:rsid w:val="007641DC"/>
    <w:rsid w:val="007643C5"/>
    <w:rsid w:val="007643FF"/>
    <w:rsid w:val="00764970"/>
    <w:rsid w:val="00764AC2"/>
    <w:rsid w:val="00764B94"/>
    <w:rsid w:val="007652E2"/>
    <w:rsid w:val="00765490"/>
    <w:rsid w:val="007659BE"/>
    <w:rsid w:val="00765A82"/>
    <w:rsid w:val="00765F3F"/>
    <w:rsid w:val="0076616B"/>
    <w:rsid w:val="00766434"/>
    <w:rsid w:val="0076646B"/>
    <w:rsid w:val="0076653E"/>
    <w:rsid w:val="0076718C"/>
    <w:rsid w:val="00770E10"/>
    <w:rsid w:val="0077158B"/>
    <w:rsid w:val="00771E5C"/>
    <w:rsid w:val="0077204B"/>
    <w:rsid w:val="00772107"/>
    <w:rsid w:val="00772467"/>
    <w:rsid w:val="007725AC"/>
    <w:rsid w:val="007729EE"/>
    <w:rsid w:val="00772A04"/>
    <w:rsid w:val="00772A9B"/>
    <w:rsid w:val="00772B46"/>
    <w:rsid w:val="00772BA7"/>
    <w:rsid w:val="00772D44"/>
    <w:rsid w:val="0077336C"/>
    <w:rsid w:val="00773563"/>
    <w:rsid w:val="00773ADF"/>
    <w:rsid w:val="00773E30"/>
    <w:rsid w:val="007740D3"/>
    <w:rsid w:val="007742FF"/>
    <w:rsid w:val="007743E1"/>
    <w:rsid w:val="007745F6"/>
    <w:rsid w:val="00774660"/>
    <w:rsid w:val="00774A83"/>
    <w:rsid w:val="00774CB5"/>
    <w:rsid w:val="00775146"/>
    <w:rsid w:val="0077566D"/>
    <w:rsid w:val="00775960"/>
    <w:rsid w:val="00776097"/>
    <w:rsid w:val="00776327"/>
    <w:rsid w:val="007766A5"/>
    <w:rsid w:val="00776CCB"/>
    <w:rsid w:val="00776E39"/>
    <w:rsid w:val="00776EB0"/>
    <w:rsid w:val="0077763C"/>
    <w:rsid w:val="00777667"/>
    <w:rsid w:val="00777827"/>
    <w:rsid w:val="00777907"/>
    <w:rsid w:val="00777BB4"/>
    <w:rsid w:val="00777BD0"/>
    <w:rsid w:val="0078016D"/>
    <w:rsid w:val="00780939"/>
    <w:rsid w:val="007809D6"/>
    <w:rsid w:val="00781638"/>
    <w:rsid w:val="00781778"/>
    <w:rsid w:val="00781873"/>
    <w:rsid w:val="00781C9D"/>
    <w:rsid w:val="00782098"/>
    <w:rsid w:val="00782467"/>
    <w:rsid w:val="0078297A"/>
    <w:rsid w:val="0078324A"/>
    <w:rsid w:val="00783D75"/>
    <w:rsid w:val="0078426C"/>
    <w:rsid w:val="00784601"/>
    <w:rsid w:val="007846E7"/>
    <w:rsid w:val="00784821"/>
    <w:rsid w:val="00784AB7"/>
    <w:rsid w:val="00784C24"/>
    <w:rsid w:val="00784E55"/>
    <w:rsid w:val="00785236"/>
    <w:rsid w:val="007857E3"/>
    <w:rsid w:val="00785B6E"/>
    <w:rsid w:val="00785F05"/>
    <w:rsid w:val="007860E8"/>
    <w:rsid w:val="007860F4"/>
    <w:rsid w:val="00786231"/>
    <w:rsid w:val="00786343"/>
    <w:rsid w:val="007863EB"/>
    <w:rsid w:val="00786BFB"/>
    <w:rsid w:val="00787414"/>
    <w:rsid w:val="0078791C"/>
    <w:rsid w:val="00787B21"/>
    <w:rsid w:val="0079000B"/>
    <w:rsid w:val="007900CB"/>
    <w:rsid w:val="007905B2"/>
    <w:rsid w:val="007905BA"/>
    <w:rsid w:val="007909F9"/>
    <w:rsid w:val="00790E14"/>
    <w:rsid w:val="00790E9B"/>
    <w:rsid w:val="007917E7"/>
    <w:rsid w:val="00791866"/>
    <w:rsid w:val="00791A82"/>
    <w:rsid w:val="00791B49"/>
    <w:rsid w:val="00791C60"/>
    <w:rsid w:val="00791EDE"/>
    <w:rsid w:val="007925A8"/>
    <w:rsid w:val="0079267A"/>
    <w:rsid w:val="007927C6"/>
    <w:rsid w:val="00792C98"/>
    <w:rsid w:val="007930F2"/>
    <w:rsid w:val="0079348E"/>
    <w:rsid w:val="007934A6"/>
    <w:rsid w:val="00793AF5"/>
    <w:rsid w:val="00793CB3"/>
    <w:rsid w:val="00793DE6"/>
    <w:rsid w:val="00793EEB"/>
    <w:rsid w:val="0079405B"/>
    <w:rsid w:val="007940A1"/>
    <w:rsid w:val="007942AC"/>
    <w:rsid w:val="007944C8"/>
    <w:rsid w:val="00794D81"/>
    <w:rsid w:val="00794FC4"/>
    <w:rsid w:val="007950DB"/>
    <w:rsid w:val="0079512D"/>
    <w:rsid w:val="00795679"/>
    <w:rsid w:val="0079581D"/>
    <w:rsid w:val="007958BC"/>
    <w:rsid w:val="00795A51"/>
    <w:rsid w:val="00795CE7"/>
    <w:rsid w:val="007962E2"/>
    <w:rsid w:val="007969FD"/>
    <w:rsid w:val="007977FD"/>
    <w:rsid w:val="0079797F"/>
    <w:rsid w:val="00797D8A"/>
    <w:rsid w:val="00797D9D"/>
    <w:rsid w:val="00797F86"/>
    <w:rsid w:val="00797FA1"/>
    <w:rsid w:val="007A026D"/>
    <w:rsid w:val="007A05F4"/>
    <w:rsid w:val="007A0BB9"/>
    <w:rsid w:val="007A0E6C"/>
    <w:rsid w:val="007A1000"/>
    <w:rsid w:val="007A14E8"/>
    <w:rsid w:val="007A1D73"/>
    <w:rsid w:val="007A1F2D"/>
    <w:rsid w:val="007A2429"/>
    <w:rsid w:val="007A2484"/>
    <w:rsid w:val="007A2D3E"/>
    <w:rsid w:val="007A2EA6"/>
    <w:rsid w:val="007A3400"/>
    <w:rsid w:val="007A3622"/>
    <w:rsid w:val="007A3FD7"/>
    <w:rsid w:val="007A4023"/>
    <w:rsid w:val="007A467A"/>
    <w:rsid w:val="007A4C91"/>
    <w:rsid w:val="007A52DE"/>
    <w:rsid w:val="007A5445"/>
    <w:rsid w:val="007A546F"/>
    <w:rsid w:val="007A59C8"/>
    <w:rsid w:val="007A5A94"/>
    <w:rsid w:val="007A5BF9"/>
    <w:rsid w:val="007A5E11"/>
    <w:rsid w:val="007A5E22"/>
    <w:rsid w:val="007A5ECA"/>
    <w:rsid w:val="007A61BF"/>
    <w:rsid w:val="007A62CF"/>
    <w:rsid w:val="007A68B8"/>
    <w:rsid w:val="007A69B4"/>
    <w:rsid w:val="007A6A47"/>
    <w:rsid w:val="007A6C47"/>
    <w:rsid w:val="007A7884"/>
    <w:rsid w:val="007A788E"/>
    <w:rsid w:val="007A7CD4"/>
    <w:rsid w:val="007B0010"/>
    <w:rsid w:val="007B018C"/>
    <w:rsid w:val="007B07A2"/>
    <w:rsid w:val="007B07E9"/>
    <w:rsid w:val="007B0883"/>
    <w:rsid w:val="007B0E4B"/>
    <w:rsid w:val="007B0FFF"/>
    <w:rsid w:val="007B104F"/>
    <w:rsid w:val="007B143B"/>
    <w:rsid w:val="007B161E"/>
    <w:rsid w:val="007B264E"/>
    <w:rsid w:val="007B2D16"/>
    <w:rsid w:val="007B302A"/>
    <w:rsid w:val="007B31F7"/>
    <w:rsid w:val="007B336D"/>
    <w:rsid w:val="007B347F"/>
    <w:rsid w:val="007B39F6"/>
    <w:rsid w:val="007B3F2C"/>
    <w:rsid w:val="007B3F49"/>
    <w:rsid w:val="007B4481"/>
    <w:rsid w:val="007B4831"/>
    <w:rsid w:val="007B4847"/>
    <w:rsid w:val="007B4D6E"/>
    <w:rsid w:val="007B4EFE"/>
    <w:rsid w:val="007B547B"/>
    <w:rsid w:val="007B56A4"/>
    <w:rsid w:val="007B58A3"/>
    <w:rsid w:val="007B5A4B"/>
    <w:rsid w:val="007B5A98"/>
    <w:rsid w:val="007B5E30"/>
    <w:rsid w:val="007B5E45"/>
    <w:rsid w:val="007B615B"/>
    <w:rsid w:val="007B76BA"/>
    <w:rsid w:val="007B7839"/>
    <w:rsid w:val="007B7C8D"/>
    <w:rsid w:val="007C03FC"/>
    <w:rsid w:val="007C0A88"/>
    <w:rsid w:val="007C0BF7"/>
    <w:rsid w:val="007C13B7"/>
    <w:rsid w:val="007C1560"/>
    <w:rsid w:val="007C15A9"/>
    <w:rsid w:val="007C184A"/>
    <w:rsid w:val="007C1DB0"/>
    <w:rsid w:val="007C207D"/>
    <w:rsid w:val="007C2270"/>
    <w:rsid w:val="007C2273"/>
    <w:rsid w:val="007C24D3"/>
    <w:rsid w:val="007C27D4"/>
    <w:rsid w:val="007C27E8"/>
    <w:rsid w:val="007C2BA1"/>
    <w:rsid w:val="007C2CC4"/>
    <w:rsid w:val="007C32B3"/>
    <w:rsid w:val="007C4097"/>
    <w:rsid w:val="007C4163"/>
    <w:rsid w:val="007C4666"/>
    <w:rsid w:val="007C4720"/>
    <w:rsid w:val="007C4BD8"/>
    <w:rsid w:val="007C4CCE"/>
    <w:rsid w:val="007C50D4"/>
    <w:rsid w:val="007C5166"/>
    <w:rsid w:val="007C5482"/>
    <w:rsid w:val="007C55DE"/>
    <w:rsid w:val="007C570A"/>
    <w:rsid w:val="007C59ED"/>
    <w:rsid w:val="007C5D4E"/>
    <w:rsid w:val="007C5F79"/>
    <w:rsid w:val="007C6AA3"/>
    <w:rsid w:val="007C6CB8"/>
    <w:rsid w:val="007C7076"/>
    <w:rsid w:val="007C70BC"/>
    <w:rsid w:val="007C72FF"/>
    <w:rsid w:val="007C775A"/>
    <w:rsid w:val="007C78C8"/>
    <w:rsid w:val="007C7BCC"/>
    <w:rsid w:val="007C7D49"/>
    <w:rsid w:val="007C7D93"/>
    <w:rsid w:val="007C7DE5"/>
    <w:rsid w:val="007D0204"/>
    <w:rsid w:val="007D0CF9"/>
    <w:rsid w:val="007D0EEB"/>
    <w:rsid w:val="007D11DC"/>
    <w:rsid w:val="007D1D33"/>
    <w:rsid w:val="007D1D39"/>
    <w:rsid w:val="007D1D99"/>
    <w:rsid w:val="007D2014"/>
    <w:rsid w:val="007D245B"/>
    <w:rsid w:val="007D28B5"/>
    <w:rsid w:val="007D297D"/>
    <w:rsid w:val="007D2E0C"/>
    <w:rsid w:val="007D2E6F"/>
    <w:rsid w:val="007D2FFF"/>
    <w:rsid w:val="007D3A7A"/>
    <w:rsid w:val="007D3BCB"/>
    <w:rsid w:val="007D3C13"/>
    <w:rsid w:val="007D3D42"/>
    <w:rsid w:val="007D4103"/>
    <w:rsid w:val="007D463F"/>
    <w:rsid w:val="007D4B64"/>
    <w:rsid w:val="007D4B72"/>
    <w:rsid w:val="007D4C94"/>
    <w:rsid w:val="007D4D2A"/>
    <w:rsid w:val="007D50E8"/>
    <w:rsid w:val="007D51BA"/>
    <w:rsid w:val="007D5388"/>
    <w:rsid w:val="007D58E7"/>
    <w:rsid w:val="007D5B26"/>
    <w:rsid w:val="007D5C28"/>
    <w:rsid w:val="007D5E52"/>
    <w:rsid w:val="007D64F6"/>
    <w:rsid w:val="007D6741"/>
    <w:rsid w:val="007D6A11"/>
    <w:rsid w:val="007D763D"/>
    <w:rsid w:val="007D76F4"/>
    <w:rsid w:val="007D774C"/>
    <w:rsid w:val="007D77A3"/>
    <w:rsid w:val="007D7F35"/>
    <w:rsid w:val="007E00B1"/>
    <w:rsid w:val="007E0749"/>
    <w:rsid w:val="007E13A2"/>
    <w:rsid w:val="007E16A6"/>
    <w:rsid w:val="007E1841"/>
    <w:rsid w:val="007E1E07"/>
    <w:rsid w:val="007E1F6A"/>
    <w:rsid w:val="007E2053"/>
    <w:rsid w:val="007E23B0"/>
    <w:rsid w:val="007E2545"/>
    <w:rsid w:val="007E2F87"/>
    <w:rsid w:val="007E3210"/>
    <w:rsid w:val="007E334F"/>
    <w:rsid w:val="007E3AC7"/>
    <w:rsid w:val="007E3EAE"/>
    <w:rsid w:val="007E40DC"/>
    <w:rsid w:val="007E4155"/>
    <w:rsid w:val="007E4234"/>
    <w:rsid w:val="007E493F"/>
    <w:rsid w:val="007E57A3"/>
    <w:rsid w:val="007E57B5"/>
    <w:rsid w:val="007E5941"/>
    <w:rsid w:val="007E5B75"/>
    <w:rsid w:val="007E5D39"/>
    <w:rsid w:val="007E5D7F"/>
    <w:rsid w:val="007E5FF3"/>
    <w:rsid w:val="007E66C8"/>
    <w:rsid w:val="007E67BD"/>
    <w:rsid w:val="007E6BBD"/>
    <w:rsid w:val="007E77E3"/>
    <w:rsid w:val="007E7910"/>
    <w:rsid w:val="007E7F63"/>
    <w:rsid w:val="007F06E1"/>
    <w:rsid w:val="007F06FA"/>
    <w:rsid w:val="007F0C09"/>
    <w:rsid w:val="007F0C0D"/>
    <w:rsid w:val="007F0F69"/>
    <w:rsid w:val="007F1193"/>
    <w:rsid w:val="007F1C83"/>
    <w:rsid w:val="007F202B"/>
    <w:rsid w:val="007F215E"/>
    <w:rsid w:val="007F2A0F"/>
    <w:rsid w:val="007F2A49"/>
    <w:rsid w:val="007F2DA5"/>
    <w:rsid w:val="007F32AF"/>
    <w:rsid w:val="007F33BE"/>
    <w:rsid w:val="007F35C0"/>
    <w:rsid w:val="007F35FD"/>
    <w:rsid w:val="007F361A"/>
    <w:rsid w:val="007F37CE"/>
    <w:rsid w:val="007F3923"/>
    <w:rsid w:val="007F3AE3"/>
    <w:rsid w:val="007F3D8A"/>
    <w:rsid w:val="007F3E5F"/>
    <w:rsid w:val="007F3E75"/>
    <w:rsid w:val="007F44AF"/>
    <w:rsid w:val="007F47A2"/>
    <w:rsid w:val="007F486E"/>
    <w:rsid w:val="007F4DD4"/>
    <w:rsid w:val="007F5179"/>
    <w:rsid w:val="007F517F"/>
    <w:rsid w:val="007F559E"/>
    <w:rsid w:val="007F568E"/>
    <w:rsid w:val="007F56F7"/>
    <w:rsid w:val="007F58B8"/>
    <w:rsid w:val="007F5B34"/>
    <w:rsid w:val="007F5E39"/>
    <w:rsid w:val="007F5F45"/>
    <w:rsid w:val="007F6391"/>
    <w:rsid w:val="007F67F3"/>
    <w:rsid w:val="007F6CAD"/>
    <w:rsid w:val="007F6E99"/>
    <w:rsid w:val="007F6FB8"/>
    <w:rsid w:val="007F7051"/>
    <w:rsid w:val="007F70CD"/>
    <w:rsid w:val="007F7481"/>
    <w:rsid w:val="007F76FF"/>
    <w:rsid w:val="007F775F"/>
    <w:rsid w:val="007F7885"/>
    <w:rsid w:val="007F78EB"/>
    <w:rsid w:val="007F7ADC"/>
    <w:rsid w:val="007F7E83"/>
    <w:rsid w:val="0080081F"/>
    <w:rsid w:val="008009AD"/>
    <w:rsid w:val="00801491"/>
    <w:rsid w:val="008015A7"/>
    <w:rsid w:val="00801B8F"/>
    <w:rsid w:val="00801EF6"/>
    <w:rsid w:val="008024F7"/>
    <w:rsid w:val="00802AEC"/>
    <w:rsid w:val="00802EC7"/>
    <w:rsid w:val="00803099"/>
    <w:rsid w:val="0080349B"/>
    <w:rsid w:val="00803BAE"/>
    <w:rsid w:val="0080406C"/>
    <w:rsid w:val="00804396"/>
    <w:rsid w:val="00804C45"/>
    <w:rsid w:val="0080536F"/>
    <w:rsid w:val="0080562C"/>
    <w:rsid w:val="008056FD"/>
    <w:rsid w:val="008058CC"/>
    <w:rsid w:val="00805D99"/>
    <w:rsid w:val="00806012"/>
    <w:rsid w:val="00806E9F"/>
    <w:rsid w:val="008070A7"/>
    <w:rsid w:val="008071D0"/>
    <w:rsid w:val="00807C78"/>
    <w:rsid w:val="00807F19"/>
    <w:rsid w:val="0081004B"/>
    <w:rsid w:val="0081037F"/>
    <w:rsid w:val="0081066B"/>
    <w:rsid w:val="00810809"/>
    <w:rsid w:val="008109D7"/>
    <w:rsid w:val="00810C6A"/>
    <w:rsid w:val="00810C86"/>
    <w:rsid w:val="00811576"/>
    <w:rsid w:val="00811FF4"/>
    <w:rsid w:val="00812062"/>
    <w:rsid w:val="00812350"/>
    <w:rsid w:val="00812369"/>
    <w:rsid w:val="00812741"/>
    <w:rsid w:val="008128E3"/>
    <w:rsid w:val="00812B12"/>
    <w:rsid w:val="00812DB2"/>
    <w:rsid w:val="00813076"/>
    <w:rsid w:val="0081362C"/>
    <w:rsid w:val="00813A7D"/>
    <w:rsid w:val="00813E14"/>
    <w:rsid w:val="00814CED"/>
    <w:rsid w:val="00814D5A"/>
    <w:rsid w:val="008150B3"/>
    <w:rsid w:val="008156DF"/>
    <w:rsid w:val="00815871"/>
    <w:rsid w:val="00815B59"/>
    <w:rsid w:val="008161B1"/>
    <w:rsid w:val="00816A4D"/>
    <w:rsid w:val="00816C08"/>
    <w:rsid w:val="008177B8"/>
    <w:rsid w:val="008177FB"/>
    <w:rsid w:val="00817A2A"/>
    <w:rsid w:val="00817F2E"/>
    <w:rsid w:val="0082052D"/>
    <w:rsid w:val="00820B18"/>
    <w:rsid w:val="00820CAE"/>
    <w:rsid w:val="00820DEC"/>
    <w:rsid w:val="00821319"/>
    <w:rsid w:val="0082152F"/>
    <w:rsid w:val="00821789"/>
    <w:rsid w:val="008217D1"/>
    <w:rsid w:val="0082180B"/>
    <w:rsid w:val="0082191A"/>
    <w:rsid w:val="00821BC9"/>
    <w:rsid w:val="008228E2"/>
    <w:rsid w:val="0082377F"/>
    <w:rsid w:val="008242CF"/>
    <w:rsid w:val="0082503D"/>
    <w:rsid w:val="00825147"/>
    <w:rsid w:val="00825340"/>
    <w:rsid w:val="008257DE"/>
    <w:rsid w:val="0082589E"/>
    <w:rsid w:val="0082591A"/>
    <w:rsid w:val="00825A1F"/>
    <w:rsid w:val="00825D4F"/>
    <w:rsid w:val="00826442"/>
    <w:rsid w:val="00827034"/>
    <w:rsid w:val="00827CBF"/>
    <w:rsid w:val="00830017"/>
    <w:rsid w:val="00830787"/>
    <w:rsid w:val="008308B0"/>
    <w:rsid w:val="00830955"/>
    <w:rsid w:val="00830DC9"/>
    <w:rsid w:val="00831489"/>
    <w:rsid w:val="0083199B"/>
    <w:rsid w:val="00831FB2"/>
    <w:rsid w:val="008322C3"/>
    <w:rsid w:val="0083234D"/>
    <w:rsid w:val="0083237F"/>
    <w:rsid w:val="008331AE"/>
    <w:rsid w:val="008336FD"/>
    <w:rsid w:val="00833A6A"/>
    <w:rsid w:val="00833AC0"/>
    <w:rsid w:val="00833AF6"/>
    <w:rsid w:val="00833C4D"/>
    <w:rsid w:val="00833E2F"/>
    <w:rsid w:val="0083423B"/>
    <w:rsid w:val="00834240"/>
    <w:rsid w:val="0083433A"/>
    <w:rsid w:val="00834AFD"/>
    <w:rsid w:val="00834F9A"/>
    <w:rsid w:val="00835504"/>
    <w:rsid w:val="008364E3"/>
    <w:rsid w:val="008368F3"/>
    <w:rsid w:val="00836B3B"/>
    <w:rsid w:val="0083744B"/>
    <w:rsid w:val="00837523"/>
    <w:rsid w:val="0083763C"/>
    <w:rsid w:val="008400A8"/>
    <w:rsid w:val="008400DB"/>
    <w:rsid w:val="00840340"/>
    <w:rsid w:val="008404D7"/>
    <w:rsid w:val="0084063A"/>
    <w:rsid w:val="00840948"/>
    <w:rsid w:val="008409D1"/>
    <w:rsid w:val="00840AE1"/>
    <w:rsid w:val="00840CE9"/>
    <w:rsid w:val="0084156A"/>
    <w:rsid w:val="00841810"/>
    <w:rsid w:val="008418EA"/>
    <w:rsid w:val="008423C6"/>
    <w:rsid w:val="008424E7"/>
    <w:rsid w:val="008425BD"/>
    <w:rsid w:val="008427B1"/>
    <w:rsid w:val="008429E8"/>
    <w:rsid w:val="00842A60"/>
    <w:rsid w:val="00843529"/>
    <w:rsid w:val="00843543"/>
    <w:rsid w:val="00843812"/>
    <w:rsid w:val="008439E8"/>
    <w:rsid w:val="00843A5B"/>
    <w:rsid w:val="00843A72"/>
    <w:rsid w:val="00843C6A"/>
    <w:rsid w:val="00844206"/>
    <w:rsid w:val="008442D5"/>
    <w:rsid w:val="008449FF"/>
    <w:rsid w:val="00844A6C"/>
    <w:rsid w:val="00844C9D"/>
    <w:rsid w:val="00845C79"/>
    <w:rsid w:val="00845D79"/>
    <w:rsid w:val="00845D83"/>
    <w:rsid w:val="00845E77"/>
    <w:rsid w:val="0084601D"/>
    <w:rsid w:val="008462FB"/>
    <w:rsid w:val="008468AE"/>
    <w:rsid w:val="00846BCC"/>
    <w:rsid w:val="00846C73"/>
    <w:rsid w:val="00846EE5"/>
    <w:rsid w:val="0084701E"/>
    <w:rsid w:val="0084738A"/>
    <w:rsid w:val="008473A1"/>
    <w:rsid w:val="008500CD"/>
    <w:rsid w:val="00850462"/>
    <w:rsid w:val="00850525"/>
    <w:rsid w:val="0085057B"/>
    <w:rsid w:val="00850591"/>
    <w:rsid w:val="008506C4"/>
    <w:rsid w:val="00850FCA"/>
    <w:rsid w:val="008515AF"/>
    <w:rsid w:val="0085161D"/>
    <w:rsid w:val="008516EE"/>
    <w:rsid w:val="00851CED"/>
    <w:rsid w:val="00851F5F"/>
    <w:rsid w:val="00851FDD"/>
    <w:rsid w:val="00852036"/>
    <w:rsid w:val="00852EEF"/>
    <w:rsid w:val="00853347"/>
    <w:rsid w:val="008536BE"/>
    <w:rsid w:val="00853841"/>
    <w:rsid w:val="00853970"/>
    <w:rsid w:val="00853DB2"/>
    <w:rsid w:val="00854515"/>
    <w:rsid w:val="00854623"/>
    <w:rsid w:val="008549AE"/>
    <w:rsid w:val="00854D78"/>
    <w:rsid w:val="00855597"/>
    <w:rsid w:val="008555F7"/>
    <w:rsid w:val="00855780"/>
    <w:rsid w:val="008557AA"/>
    <w:rsid w:val="00855DE1"/>
    <w:rsid w:val="00855F89"/>
    <w:rsid w:val="00856178"/>
    <w:rsid w:val="008567C0"/>
    <w:rsid w:val="00856C69"/>
    <w:rsid w:val="008570AB"/>
    <w:rsid w:val="00857CDC"/>
    <w:rsid w:val="00857E2C"/>
    <w:rsid w:val="00857FB4"/>
    <w:rsid w:val="008601AF"/>
    <w:rsid w:val="00860B6D"/>
    <w:rsid w:val="00861037"/>
    <w:rsid w:val="00862222"/>
    <w:rsid w:val="00862545"/>
    <w:rsid w:val="0086260C"/>
    <w:rsid w:val="008629FC"/>
    <w:rsid w:val="00862BA9"/>
    <w:rsid w:val="00862D62"/>
    <w:rsid w:val="00862DEE"/>
    <w:rsid w:val="00863348"/>
    <w:rsid w:val="00863356"/>
    <w:rsid w:val="00863437"/>
    <w:rsid w:val="00863BD8"/>
    <w:rsid w:val="008640B0"/>
    <w:rsid w:val="008641EC"/>
    <w:rsid w:val="0086428A"/>
    <w:rsid w:val="00864386"/>
    <w:rsid w:val="0086438E"/>
    <w:rsid w:val="00864544"/>
    <w:rsid w:val="0086458F"/>
    <w:rsid w:val="008653B5"/>
    <w:rsid w:val="00865436"/>
    <w:rsid w:val="00865584"/>
    <w:rsid w:val="00865956"/>
    <w:rsid w:val="008659DD"/>
    <w:rsid w:val="00865A76"/>
    <w:rsid w:val="008663D7"/>
    <w:rsid w:val="00866639"/>
    <w:rsid w:val="00866830"/>
    <w:rsid w:val="00866D16"/>
    <w:rsid w:val="00866EF3"/>
    <w:rsid w:val="00866F24"/>
    <w:rsid w:val="00866F41"/>
    <w:rsid w:val="00866F97"/>
    <w:rsid w:val="0086730B"/>
    <w:rsid w:val="00867331"/>
    <w:rsid w:val="008674DC"/>
    <w:rsid w:val="008679E6"/>
    <w:rsid w:val="00867A0F"/>
    <w:rsid w:val="00867C61"/>
    <w:rsid w:val="008703FA"/>
    <w:rsid w:val="008707DC"/>
    <w:rsid w:val="0087081F"/>
    <w:rsid w:val="0087086B"/>
    <w:rsid w:val="00870C1D"/>
    <w:rsid w:val="008710B5"/>
    <w:rsid w:val="008711D9"/>
    <w:rsid w:val="008717F5"/>
    <w:rsid w:val="00871811"/>
    <w:rsid w:val="0087187A"/>
    <w:rsid w:val="00871889"/>
    <w:rsid w:val="00871D28"/>
    <w:rsid w:val="008724AB"/>
    <w:rsid w:val="00872CF0"/>
    <w:rsid w:val="00872D24"/>
    <w:rsid w:val="00872E1F"/>
    <w:rsid w:val="00872E87"/>
    <w:rsid w:val="008733D4"/>
    <w:rsid w:val="008736F3"/>
    <w:rsid w:val="008737E2"/>
    <w:rsid w:val="00873942"/>
    <w:rsid w:val="0087400E"/>
    <w:rsid w:val="0087427C"/>
    <w:rsid w:val="008745A0"/>
    <w:rsid w:val="008745B1"/>
    <w:rsid w:val="008749CD"/>
    <w:rsid w:val="00874B37"/>
    <w:rsid w:val="00875220"/>
    <w:rsid w:val="00875524"/>
    <w:rsid w:val="00875BFD"/>
    <w:rsid w:val="008760F6"/>
    <w:rsid w:val="008761AC"/>
    <w:rsid w:val="00876694"/>
    <w:rsid w:val="008768B1"/>
    <w:rsid w:val="00877330"/>
    <w:rsid w:val="008773C1"/>
    <w:rsid w:val="00877E04"/>
    <w:rsid w:val="00880558"/>
    <w:rsid w:val="00880A44"/>
    <w:rsid w:val="00880A6C"/>
    <w:rsid w:val="00880C76"/>
    <w:rsid w:val="0088139E"/>
    <w:rsid w:val="008818A8"/>
    <w:rsid w:val="00881ACF"/>
    <w:rsid w:val="00881CDD"/>
    <w:rsid w:val="00881DD6"/>
    <w:rsid w:val="00882330"/>
    <w:rsid w:val="008826ED"/>
    <w:rsid w:val="00882A15"/>
    <w:rsid w:val="00882ED0"/>
    <w:rsid w:val="008837A4"/>
    <w:rsid w:val="00883867"/>
    <w:rsid w:val="00883894"/>
    <w:rsid w:val="00883B77"/>
    <w:rsid w:val="008840B3"/>
    <w:rsid w:val="00884686"/>
    <w:rsid w:val="008846D7"/>
    <w:rsid w:val="00884B89"/>
    <w:rsid w:val="00885DA2"/>
    <w:rsid w:val="00885E17"/>
    <w:rsid w:val="00886342"/>
    <w:rsid w:val="0088683E"/>
    <w:rsid w:val="0088685B"/>
    <w:rsid w:val="00886A7F"/>
    <w:rsid w:val="00886B41"/>
    <w:rsid w:val="00886EF7"/>
    <w:rsid w:val="00886F24"/>
    <w:rsid w:val="0088738B"/>
    <w:rsid w:val="008873A5"/>
    <w:rsid w:val="008875DE"/>
    <w:rsid w:val="00887992"/>
    <w:rsid w:val="00887B53"/>
    <w:rsid w:val="00887C97"/>
    <w:rsid w:val="00890098"/>
    <w:rsid w:val="0089066E"/>
    <w:rsid w:val="0089074D"/>
    <w:rsid w:val="0089092F"/>
    <w:rsid w:val="00890C6F"/>
    <w:rsid w:val="0089101E"/>
    <w:rsid w:val="0089144D"/>
    <w:rsid w:val="008917EB"/>
    <w:rsid w:val="0089251E"/>
    <w:rsid w:val="00892961"/>
    <w:rsid w:val="00892B91"/>
    <w:rsid w:val="00892DF1"/>
    <w:rsid w:val="00893578"/>
    <w:rsid w:val="00893594"/>
    <w:rsid w:val="00893749"/>
    <w:rsid w:val="008941E3"/>
    <w:rsid w:val="008943FD"/>
    <w:rsid w:val="00894414"/>
    <w:rsid w:val="00894575"/>
    <w:rsid w:val="00894633"/>
    <w:rsid w:val="008947EA"/>
    <w:rsid w:val="00894ABF"/>
    <w:rsid w:val="00894D9C"/>
    <w:rsid w:val="00894F44"/>
    <w:rsid w:val="008953DC"/>
    <w:rsid w:val="00895F32"/>
    <w:rsid w:val="00895F4B"/>
    <w:rsid w:val="00895FFF"/>
    <w:rsid w:val="00896292"/>
    <w:rsid w:val="008962E2"/>
    <w:rsid w:val="0089648C"/>
    <w:rsid w:val="00896FF4"/>
    <w:rsid w:val="0089725A"/>
    <w:rsid w:val="0089740E"/>
    <w:rsid w:val="00897A98"/>
    <w:rsid w:val="00897F13"/>
    <w:rsid w:val="008A0220"/>
    <w:rsid w:val="008A0C7D"/>
    <w:rsid w:val="008A0DF0"/>
    <w:rsid w:val="008A0E33"/>
    <w:rsid w:val="008A0E85"/>
    <w:rsid w:val="008A15CB"/>
    <w:rsid w:val="008A16F4"/>
    <w:rsid w:val="008A1968"/>
    <w:rsid w:val="008A1A96"/>
    <w:rsid w:val="008A1AC8"/>
    <w:rsid w:val="008A1DDE"/>
    <w:rsid w:val="008A2261"/>
    <w:rsid w:val="008A2544"/>
    <w:rsid w:val="008A2FF3"/>
    <w:rsid w:val="008A34CE"/>
    <w:rsid w:val="008A371D"/>
    <w:rsid w:val="008A3981"/>
    <w:rsid w:val="008A3BEC"/>
    <w:rsid w:val="008A3DCD"/>
    <w:rsid w:val="008A3DD4"/>
    <w:rsid w:val="008A40A7"/>
    <w:rsid w:val="008A4401"/>
    <w:rsid w:val="008A48CB"/>
    <w:rsid w:val="008A4B37"/>
    <w:rsid w:val="008A5143"/>
    <w:rsid w:val="008A5443"/>
    <w:rsid w:val="008A55A8"/>
    <w:rsid w:val="008A5754"/>
    <w:rsid w:val="008A5990"/>
    <w:rsid w:val="008A5B0A"/>
    <w:rsid w:val="008A5BDB"/>
    <w:rsid w:val="008A5C62"/>
    <w:rsid w:val="008A5DAC"/>
    <w:rsid w:val="008A5F01"/>
    <w:rsid w:val="008A6126"/>
    <w:rsid w:val="008A619A"/>
    <w:rsid w:val="008A6B66"/>
    <w:rsid w:val="008A6C24"/>
    <w:rsid w:val="008A7078"/>
    <w:rsid w:val="008A7357"/>
    <w:rsid w:val="008A76FE"/>
    <w:rsid w:val="008B035D"/>
    <w:rsid w:val="008B036D"/>
    <w:rsid w:val="008B0468"/>
    <w:rsid w:val="008B0969"/>
    <w:rsid w:val="008B0ADB"/>
    <w:rsid w:val="008B0B5E"/>
    <w:rsid w:val="008B11D0"/>
    <w:rsid w:val="008B15F7"/>
    <w:rsid w:val="008B19AB"/>
    <w:rsid w:val="008B1B48"/>
    <w:rsid w:val="008B2B3F"/>
    <w:rsid w:val="008B2CFD"/>
    <w:rsid w:val="008B3042"/>
    <w:rsid w:val="008B32B6"/>
    <w:rsid w:val="008B374B"/>
    <w:rsid w:val="008B381C"/>
    <w:rsid w:val="008B3993"/>
    <w:rsid w:val="008B3D0E"/>
    <w:rsid w:val="008B4307"/>
    <w:rsid w:val="008B4464"/>
    <w:rsid w:val="008B44E7"/>
    <w:rsid w:val="008B4795"/>
    <w:rsid w:val="008B47A8"/>
    <w:rsid w:val="008B4B86"/>
    <w:rsid w:val="008B4BF2"/>
    <w:rsid w:val="008B5442"/>
    <w:rsid w:val="008B56E5"/>
    <w:rsid w:val="008B576A"/>
    <w:rsid w:val="008B579C"/>
    <w:rsid w:val="008B5AFD"/>
    <w:rsid w:val="008B6650"/>
    <w:rsid w:val="008B669B"/>
    <w:rsid w:val="008B6753"/>
    <w:rsid w:val="008B6D22"/>
    <w:rsid w:val="008B729C"/>
    <w:rsid w:val="008B741B"/>
    <w:rsid w:val="008B7A4E"/>
    <w:rsid w:val="008C0A09"/>
    <w:rsid w:val="008C0A7D"/>
    <w:rsid w:val="008C0B03"/>
    <w:rsid w:val="008C0F4C"/>
    <w:rsid w:val="008C115A"/>
    <w:rsid w:val="008C1506"/>
    <w:rsid w:val="008C185C"/>
    <w:rsid w:val="008C201F"/>
    <w:rsid w:val="008C20A7"/>
    <w:rsid w:val="008C2669"/>
    <w:rsid w:val="008C277A"/>
    <w:rsid w:val="008C299B"/>
    <w:rsid w:val="008C2D30"/>
    <w:rsid w:val="008C2DF1"/>
    <w:rsid w:val="008C31A8"/>
    <w:rsid w:val="008C3351"/>
    <w:rsid w:val="008C33F2"/>
    <w:rsid w:val="008C3884"/>
    <w:rsid w:val="008C444D"/>
    <w:rsid w:val="008C5315"/>
    <w:rsid w:val="008C5366"/>
    <w:rsid w:val="008C5B37"/>
    <w:rsid w:val="008C5CAD"/>
    <w:rsid w:val="008C6119"/>
    <w:rsid w:val="008C633E"/>
    <w:rsid w:val="008C644E"/>
    <w:rsid w:val="008C675C"/>
    <w:rsid w:val="008C6C92"/>
    <w:rsid w:val="008C7420"/>
    <w:rsid w:val="008C7778"/>
    <w:rsid w:val="008C77F7"/>
    <w:rsid w:val="008C7CEB"/>
    <w:rsid w:val="008C7FAB"/>
    <w:rsid w:val="008D00D2"/>
    <w:rsid w:val="008D0262"/>
    <w:rsid w:val="008D04B6"/>
    <w:rsid w:val="008D0AE4"/>
    <w:rsid w:val="008D122C"/>
    <w:rsid w:val="008D19AC"/>
    <w:rsid w:val="008D1B0D"/>
    <w:rsid w:val="008D20E6"/>
    <w:rsid w:val="008D213F"/>
    <w:rsid w:val="008D2187"/>
    <w:rsid w:val="008D219B"/>
    <w:rsid w:val="008D2529"/>
    <w:rsid w:val="008D290F"/>
    <w:rsid w:val="008D2F52"/>
    <w:rsid w:val="008D2F5B"/>
    <w:rsid w:val="008D34A9"/>
    <w:rsid w:val="008D374A"/>
    <w:rsid w:val="008D3833"/>
    <w:rsid w:val="008D3A51"/>
    <w:rsid w:val="008D3E19"/>
    <w:rsid w:val="008D441A"/>
    <w:rsid w:val="008D46CC"/>
    <w:rsid w:val="008D4D7D"/>
    <w:rsid w:val="008D4F60"/>
    <w:rsid w:val="008D4F61"/>
    <w:rsid w:val="008D5339"/>
    <w:rsid w:val="008D5462"/>
    <w:rsid w:val="008D57A4"/>
    <w:rsid w:val="008D57D0"/>
    <w:rsid w:val="008D58E4"/>
    <w:rsid w:val="008D5F06"/>
    <w:rsid w:val="008D63ED"/>
    <w:rsid w:val="008D69F2"/>
    <w:rsid w:val="008D6B57"/>
    <w:rsid w:val="008D727C"/>
    <w:rsid w:val="008D7458"/>
    <w:rsid w:val="008D74C3"/>
    <w:rsid w:val="008D77E3"/>
    <w:rsid w:val="008D7A02"/>
    <w:rsid w:val="008D7B6B"/>
    <w:rsid w:val="008D7DFC"/>
    <w:rsid w:val="008D7F26"/>
    <w:rsid w:val="008D7F82"/>
    <w:rsid w:val="008E00FD"/>
    <w:rsid w:val="008E021E"/>
    <w:rsid w:val="008E0267"/>
    <w:rsid w:val="008E046C"/>
    <w:rsid w:val="008E07C6"/>
    <w:rsid w:val="008E07FD"/>
    <w:rsid w:val="008E0E77"/>
    <w:rsid w:val="008E0FE3"/>
    <w:rsid w:val="008E152D"/>
    <w:rsid w:val="008E16E0"/>
    <w:rsid w:val="008E1840"/>
    <w:rsid w:val="008E1CA7"/>
    <w:rsid w:val="008E2F9B"/>
    <w:rsid w:val="008E3214"/>
    <w:rsid w:val="008E33EA"/>
    <w:rsid w:val="008E3D99"/>
    <w:rsid w:val="008E4180"/>
    <w:rsid w:val="008E46BB"/>
    <w:rsid w:val="008E4C17"/>
    <w:rsid w:val="008E4ECE"/>
    <w:rsid w:val="008E560B"/>
    <w:rsid w:val="008E5AED"/>
    <w:rsid w:val="008E5BB7"/>
    <w:rsid w:val="008E5D58"/>
    <w:rsid w:val="008E5F84"/>
    <w:rsid w:val="008E6086"/>
    <w:rsid w:val="008E663A"/>
    <w:rsid w:val="008E682A"/>
    <w:rsid w:val="008E6A1B"/>
    <w:rsid w:val="008E6CBF"/>
    <w:rsid w:val="008E6FAD"/>
    <w:rsid w:val="008E6FF6"/>
    <w:rsid w:val="008E7246"/>
    <w:rsid w:val="008E72E5"/>
    <w:rsid w:val="008E799E"/>
    <w:rsid w:val="008E79F9"/>
    <w:rsid w:val="008E7AF0"/>
    <w:rsid w:val="008E7DCC"/>
    <w:rsid w:val="008F0013"/>
    <w:rsid w:val="008F028B"/>
    <w:rsid w:val="008F03C9"/>
    <w:rsid w:val="008F0EA9"/>
    <w:rsid w:val="008F0FAC"/>
    <w:rsid w:val="008F121E"/>
    <w:rsid w:val="008F1267"/>
    <w:rsid w:val="008F1B1E"/>
    <w:rsid w:val="008F1B26"/>
    <w:rsid w:val="008F1B6B"/>
    <w:rsid w:val="008F1D28"/>
    <w:rsid w:val="008F1F2E"/>
    <w:rsid w:val="008F1FC2"/>
    <w:rsid w:val="008F20E8"/>
    <w:rsid w:val="008F23C8"/>
    <w:rsid w:val="008F258A"/>
    <w:rsid w:val="008F25B8"/>
    <w:rsid w:val="008F262E"/>
    <w:rsid w:val="008F2874"/>
    <w:rsid w:val="008F2B7E"/>
    <w:rsid w:val="008F318B"/>
    <w:rsid w:val="008F31DF"/>
    <w:rsid w:val="008F38F6"/>
    <w:rsid w:val="008F3A01"/>
    <w:rsid w:val="008F3AB2"/>
    <w:rsid w:val="008F411D"/>
    <w:rsid w:val="008F4D31"/>
    <w:rsid w:val="008F4E75"/>
    <w:rsid w:val="008F5263"/>
    <w:rsid w:val="008F53F5"/>
    <w:rsid w:val="008F54E6"/>
    <w:rsid w:val="008F5652"/>
    <w:rsid w:val="008F56A2"/>
    <w:rsid w:val="008F58B0"/>
    <w:rsid w:val="008F59F1"/>
    <w:rsid w:val="008F5B96"/>
    <w:rsid w:val="008F5DFA"/>
    <w:rsid w:val="008F5F90"/>
    <w:rsid w:val="008F5FF0"/>
    <w:rsid w:val="008F61F2"/>
    <w:rsid w:val="008F63BC"/>
    <w:rsid w:val="008F6485"/>
    <w:rsid w:val="008F66C2"/>
    <w:rsid w:val="008F70AA"/>
    <w:rsid w:val="008F710C"/>
    <w:rsid w:val="008F743D"/>
    <w:rsid w:val="008F7567"/>
    <w:rsid w:val="008F7B17"/>
    <w:rsid w:val="008F7C08"/>
    <w:rsid w:val="008F7F08"/>
    <w:rsid w:val="008F7F78"/>
    <w:rsid w:val="00900191"/>
    <w:rsid w:val="00900316"/>
    <w:rsid w:val="00900B60"/>
    <w:rsid w:val="009010BF"/>
    <w:rsid w:val="009010D0"/>
    <w:rsid w:val="0090122A"/>
    <w:rsid w:val="009014EB"/>
    <w:rsid w:val="00901567"/>
    <w:rsid w:val="00901801"/>
    <w:rsid w:val="00901F27"/>
    <w:rsid w:val="00901F73"/>
    <w:rsid w:val="009021D7"/>
    <w:rsid w:val="009025E9"/>
    <w:rsid w:val="00902790"/>
    <w:rsid w:val="00902A45"/>
    <w:rsid w:val="00902B23"/>
    <w:rsid w:val="00902C31"/>
    <w:rsid w:val="00903465"/>
    <w:rsid w:val="00903659"/>
    <w:rsid w:val="009037FD"/>
    <w:rsid w:val="00903866"/>
    <w:rsid w:val="00903910"/>
    <w:rsid w:val="0090394F"/>
    <w:rsid w:val="00903F6D"/>
    <w:rsid w:val="00903FD3"/>
    <w:rsid w:val="00904F56"/>
    <w:rsid w:val="009050DE"/>
    <w:rsid w:val="009054D3"/>
    <w:rsid w:val="00905587"/>
    <w:rsid w:val="009057D3"/>
    <w:rsid w:val="00905B2E"/>
    <w:rsid w:val="00905E11"/>
    <w:rsid w:val="00906683"/>
    <w:rsid w:val="00906805"/>
    <w:rsid w:val="009070B3"/>
    <w:rsid w:val="0090730D"/>
    <w:rsid w:val="00907744"/>
    <w:rsid w:val="00907787"/>
    <w:rsid w:val="00907918"/>
    <w:rsid w:val="00907B9D"/>
    <w:rsid w:val="00907D69"/>
    <w:rsid w:val="00910855"/>
    <w:rsid w:val="0091099A"/>
    <w:rsid w:val="00910C23"/>
    <w:rsid w:val="00910CFA"/>
    <w:rsid w:val="00910DE5"/>
    <w:rsid w:val="0091113B"/>
    <w:rsid w:val="0091125F"/>
    <w:rsid w:val="009123F3"/>
    <w:rsid w:val="00912567"/>
    <w:rsid w:val="009125D2"/>
    <w:rsid w:val="009125DA"/>
    <w:rsid w:val="00912B42"/>
    <w:rsid w:val="00912C14"/>
    <w:rsid w:val="00912CE2"/>
    <w:rsid w:val="00912D16"/>
    <w:rsid w:val="00912D8A"/>
    <w:rsid w:val="00912E82"/>
    <w:rsid w:val="00913783"/>
    <w:rsid w:val="00914007"/>
    <w:rsid w:val="009145B6"/>
    <w:rsid w:val="009146D6"/>
    <w:rsid w:val="00914835"/>
    <w:rsid w:val="009148C6"/>
    <w:rsid w:val="009148DB"/>
    <w:rsid w:val="009149EA"/>
    <w:rsid w:val="00914D84"/>
    <w:rsid w:val="0091527D"/>
    <w:rsid w:val="009153FC"/>
    <w:rsid w:val="00915ACE"/>
    <w:rsid w:val="00915AFE"/>
    <w:rsid w:val="00915E3F"/>
    <w:rsid w:val="00915F49"/>
    <w:rsid w:val="00915F97"/>
    <w:rsid w:val="009165E8"/>
    <w:rsid w:val="00916B30"/>
    <w:rsid w:val="009170AB"/>
    <w:rsid w:val="009173CD"/>
    <w:rsid w:val="00917555"/>
    <w:rsid w:val="009179EB"/>
    <w:rsid w:val="00921047"/>
    <w:rsid w:val="009210F5"/>
    <w:rsid w:val="00921361"/>
    <w:rsid w:val="00921497"/>
    <w:rsid w:val="00921810"/>
    <w:rsid w:val="00921D51"/>
    <w:rsid w:val="00921DA0"/>
    <w:rsid w:val="0092273F"/>
    <w:rsid w:val="0092275E"/>
    <w:rsid w:val="00922A36"/>
    <w:rsid w:val="00922B4E"/>
    <w:rsid w:val="00922FA4"/>
    <w:rsid w:val="00923009"/>
    <w:rsid w:val="009231E7"/>
    <w:rsid w:val="009235B5"/>
    <w:rsid w:val="0092381A"/>
    <w:rsid w:val="009238F1"/>
    <w:rsid w:val="009248E1"/>
    <w:rsid w:val="009249B4"/>
    <w:rsid w:val="00924CC7"/>
    <w:rsid w:val="0092580D"/>
    <w:rsid w:val="00926716"/>
    <w:rsid w:val="00926DD3"/>
    <w:rsid w:val="00926FE7"/>
    <w:rsid w:val="00927053"/>
    <w:rsid w:val="009270DB"/>
    <w:rsid w:val="00927AE7"/>
    <w:rsid w:val="009300FD"/>
    <w:rsid w:val="00930803"/>
    <w:rsid w:val="00930B6A"/>
    <w:rsid w:val="00930BEB"/>
    <w:rsid w:val="00930ECD"/>
    <w:rsid w:val="00930ED7"/>
    <w:rsid w:val="009314E2"/>
    <w:rsid w:val="0093183E"/>
    <w:rsid w:val="009318C3"/>
    <w:rsid w:val="00931CC1"/>
    <w:rsid w:val="00931CF4"/>
    <w:rsid w:val="00931F1D"/>
    <w:rsid w:val="0093207D"/>
    <w:rsid w:val="009323DF"/>
    <w:rsid w:val="00932425"/>
    <w:rsid w:val="009327C7"/>
    <w:rsid w:val="0093280D"/>
    <w:rsid w:val="00932979"/>
    <w:rsid w:val="00932AFC"/>
    <w:rsid w:val="00932E4E"/>
    <w:rsid w:val="009334B1"/>
    <w:rsid w:val="0093389C"/>
    <w:rsid w:val="00933933"/>
    <w:rsid w:val="00933A7D"/>
    <w:rsid w:val="00933CB2"/>
    <w:rsid w:val="00933D2F"/>
    <w:rsid w:val="00933DA9"/>
    <w:rsid w:val="00933E61"/>
    <w:rsid w:val="009342D0"/>
    <w:rsid w:val="0093452F"/>
    <w:rsid w:val="0093491F"/>
    <w:rsid w:val="00934958"/>
    <w:rsid w:val="009354C2"/>
    <w:rsid w:val="00935A5B"/>
    <w:rsid w:val="00935E14"/>
    <w:rsid w:val="00936012"/>
    <w:rsid w:val="0093615C"/>
    <w:rsid w:val="009363B4"/>
    <w:rsid w:val="0093643A"/>
    <w:rsid w:val="00936844"/>
    <w:rsid w:val="00936989"/>
    <w:rsid w:val="00936B4F"/>
    <w:rsid w:val="00936CE9"/>
    <w:rsid w:val="009373B3"/>
    <w:rsid w:val="00937703"/>
    <w:rsid w:val="0093786A"/>
    <w:rsid w:val="00940C3A"/>
    <w:rsid w:val="00940E2D"/>
    <w:rsid w:val="00941824"/>
    <w:rsid w:val="009418BC"/>
    <w:rsid w:val="00941C05"/>
    <w:rsid w:val="00941E4F"/>
    <w:rsid w:val="00942403"/>
    <w:rsid w:val="00942454"/>
    <w:rsid w:val="00942456"/>
    <w:rsid w:val="009428A1"/>
    <w:rsid w:val="00942D78"/>
    <w:rsid w:val="0094434F"/>
    <w:rsid w:val="00944492"/>
    <w:rsid w:val="0094480E"/>
    <w:rsid w:val="00944A92"/>
    <w:rsid w:val="00944C80"/>
    <w:rsid w:val="00945539"/>
    <w:rsid w:val="00945940"/>
    <w:rsid w:val="00945C98"/>
    <w:rsid w:val="00946159"/>
    <w:rsid w:val="009461D4"/>
    <w:rsid w:val="0094640E"/>
    <w:rsid w:val="0094644C"/>
    <w:rsid w:val="00946E7A"/>
    <w:rsid w:val="0094706C"/>
    <w:rsid w:val="00947626"/>
    <w:rsid w:val="0094791E"/>
    <w:rsid w:val="00947B5B"/>
    <w:rsid w:val="00947BDF"/>
    <w:rsid w:val="00947F9A"/>
    <w:rsid w:val="00950281"/>
    <w:rsid w:val="00950C89"/>
    <w:rsid w:val="009510AF"/>
    <w:rsid w:val="00951229"/>
    <w:rsid w:val="009512C7"/>
    <w:rsid w:val="00951B4A"/>
    <w:rsid w:val="00951BD3"/>
    <w:rsid w:val="00951F2B"/>
    <w:rsid w:val="00952042"/>
    <w:rsid w:val="009520ED"/>
    <w:rsid w:val="00952159"/>
    <w:rsid w:val="00952734"/>
    <w:rsid w:val="009529FD"/>
    <w:rsid w:val="00952B8F"/>
    <w:rsid w:val="00952C76"/>
    <w:rsid w:val="0095327D"/>
    <w:rsid w:val="00953675"/>
    <w:rsid w:val="00953AE8"/>
    <w:rsid w:val="00953B57"/>
    <w:rsid w:val="00953C33"/>
    <w:rsid w:val="00954231"/>
    <w:rsid w:val="0095427D"/>
    <w:rsid w:val="00954719"/>
    <w:rsid w:val="00954958"/>
    <w:rsid w:val="0095496C"/>
    <w:rsid w:val="00954E2D"/>
    <w:rsid w:val="00954FF8"/>
    <w:rsid w:val="0095569B"/>
    <w:rsid w:val="009556BF"/>
    <w:rsid w:val="0095570D"/>
    <w:rsid w:val="00955980"/>
    <w:rsid w:val="009559F2"/>
    <w:rsid w:val="009562CC"/>
    <w:rsid w:val="009563E3"/>
    <w:rsid w:val="0095695E"/>
    <w:rsid w:val="009570B1"/>
    <w:rsid w:val="00957310"/>
    <w:rsid w:val="0095750D"/>
    <w:rsid w:val="00957609"/>
    <w:rsid w:val="009577A1"/>
    <w:rsid w:val="00957DB1"/>
    <w:rsid w:val="00957DF1"/>
    <w:rsid w:val="00960353"/>
    <w:rsid w:val="00960B83"/>
    <w:rsid w:val="00960EC5"/>
    <w:rsid w:val="009610BD"/>
    <w:rsid w:val="009613EA"/>
    <w:rsid w:val="009615ED"/>
    <w:rsid w:val="009616B8"/>
    <w:rsid w:val="00961CDA"/>
    <w:rsid w:val="00961EF9"/>
    <w:rsid w:val="00961F03"/>
    <w:rsid w:val="00961F4B"/>
    <w:rsid w:val="00962353"/>
    <w:rsid w:val="00962B8F"/>
    <w:rsid w:val="00962BB7"/>
    <w:rsid w:val="00962C58"/>
    <w:rsid w:val="0096312F"/>
    <w:rsid w:val="00963209"/>
    <w:rsid w:val="009636D2"/>
    <w:rsid w:val="009637E4"/>
    <w:rsid w:val="009638FC"/>
    <w:rsid w:val="009641F4"/>
    <w:rsid w:val="0096427C"/>
    <w:rsid w:val="00964464"/>
    <w:rsid w:val="00964BC5"/>
    <w:rsid w:val="00964C1E"/>
    <w:rsid w:val="00964DAF"/>
    <w:rsid w:val="00965665"/>
    <w:rsid w:val="0096572E"/>
    <w:rsid w:val="00965918"/>
    <w:rsid w:val="0096632E"/>
    <w:rsid w:val="009665D3"/>
    <w:rsid w:val="009666B2"/>
    <w:rsid w:val="00966813"/>
    <w:rsid w:val="00966D4F"/>
    <w:rsid w:val="00967807"/>
    <w:rsid w:val="00967906"/>
    <w:rsid w:val="00967B09"/>
    <w:rsid w:val="009700F2"/>
    <w:rsid w:val="0097061B"/>
    <w:rsid w:val="009706C4"/>
    <w:rsid w:val="009706FE"/>
    <w:rsid w:val="009707DA"/>
    <w:rsid w:val="00970E65"/>
    <w:rsid w:val="0097102C"/>
    <w:rsid w:val="00971136"/>
    <w:rsid w:val="0097133A"/>
    <w:rsid w:val="0097147D"/>
    <w:rsid w:val="009715C3"/>
    <w:rsid w:val="00971CBF"/>
    <w:rsid w:val="00971F52"/>
    <w:rsid w:val="0097202E"/>
    <w:rsid w:val="00972067"/>
    <w:rsid w:val="009725A9"/>
    <w:rsid w:val="0097261C"/>
    <w:rsid w:val="009726F5"/>
    <w:rsid w:val="00972929"/>
    <w:rsid w:val="00972AC6"/>
    <w:rsid w:val="00972CBD"/>
    <w:rsid w:val="00972D1B"/>
    <w:rsid w:val="00972E0B"/>
    <w:rsid w:val="00972EC9"/>
    <w:rsid w:val="00973B8D"/>
    <w:rsid w:val="009741EE"/>
    <w:rsid w:val="009742E0"/>
    <w:rsid w:val="00974331"/>
    <w:rsid w:val="0097453B"/>
    <w:rsid w:val="0097462D"/>
    <w:rsid w:val="009748F0"/>
    <w:rsid w:val="00974A7C"/>
    <w:rsid w:val="00974EFD"/>
    <w:rsid w:val="00975030"/>
    <w:rsid w:val="009754E2"/>
    <w:rsid w:val="0097587B"/>
    <w:rsid w:val="009763C1"/>
    <w:rsid w:val="009765E1"/>
    <w:rsid w:val="009766FE"/>
    <w:rsid w:val="009768A7"/>
    <w:rsid w:val="00976C96"/>
    <w:rsid w:val="00977715"/>
    <w:rsid w:val="009778F8"/>
    <w:rsid w:val="00977B16"/>
    <w:rsid w:val="0098032F"/>
    <w:rsid w:val="00980439"/>
    <w:rsid w:val="00980551"/>
    <w:rsid w:val="009809FE"/>
    <w:rsid w:val="00980A4E"/>
    <w:rsid w:val="0098181C"/>
    <w:rsid w:val="0098235E"/>
    <w:rsid w:val="00982444"/>
    <w:rsid w:val="009824BD"/>
    <w:rsid w:val="00982671"/>
    <w:rsid w:val="009828D0"/>
    <w:rsid w:val="00982BA7"/>
    <w:rsid w:val="00982D92"/>
    <w:rsid w:val="00982F10"/>
    <w:rsid w:val="009834A0"/>
    <w:rsid w:val="00983516"/>
    <w:rsid w:val="009835C7"/>
    <w:rsid w:val="0098370C"/>
    <w:rsid w:val="0098420B"/>
    <w:rsid w:val="009843A8"/>
    <w:rsid w:val="009845DE"/>
    <w:rsid w:val="00984615"/>
    <w:rsid w:val="00984993"/>
    <w:rsid w:val="00984BAD"/>
    <w:rsid w:val="00984CA2"/>
    <w:rsid w:val="00985331"/>
    <w:rsid w:val="009854F1"/>
    <w:rsid w:val="00985A27"/>
    <w:rsid w:val="00985DEB"/>
    <w:rsid w:val="009860FD"/>
    <w:rsid w:val="00986216"/>
    <w:rsid w:val="00986358"/>
    <w:rsid w:val="009864E2"/>
    <w:rsid w:val="009867E6"/>
    <w:rsid w:val="0098714A"/>
    <w:rsid w:val="009877E3"/>
    <w:rsid w:val="00987894"/>
    <w:rsid w:val="00990428"/>
    <w:rsid w:val="00990592"/>
    <w:rsid w:val="0099118C"/>
    <w:rsid w:val="00991286"/>
    <w:rsid w:val="00991391"/>
    <w:rsid w:val="0099173D"/>
    <w:rsid w:val="00991B0B"/>
    <w:rsid w:val="009925F5"/>
    <w:rsid w:val="009926AA"/>
    <w:rsid w:val="00992D23"/>
    <w:rsid w:val="009937F8"/>
    <w:rsid w:val="00993A0A"/>
    <w:rsid w:val="00993EA1"/>
    <w:rsid w:val="009941A9"/>
    <w:rsid w:val="0099471C"/>
    <w:rsid w:val="009947D4"/>
    <w:rsid w:val="0099496C"/>
    <w:rsid w:val="00994DDD"/>
    <w:rsid w:val="009951D2"/>
    <w:rsid w:val="009952C0"/>
    <w:rsid w:val="00995582"/>
    <w:rsid w:val="009955F9"/>
    <w:rsid w:val="00995CD6"/>
    <w:rsid w:val="00996002"/>
    <w:rsid w:val="009960D0"/>
    <w:rsid w:val="00996343"/>
    <w:rsid w:val="00996569"/>
    <w:rsid w:val="00996858"/>
    <w:rsid w:val="009977C2"/>
    <w:rsid w:val="009A057B"/>
    <w:rsid w:val="009A0600"/>
    <w:rsid w:val="009A06F0"/>
    <w:rsid w:val="009A088E"/>
    <w:rsid w:val="009A0FF3"/>
    <w:rsid w:val="009A14DE"/>
    <w:rsid w:val="009A18F4"/>
    <w:rsid w:val="009A201F"/>
    <w:rsid w:val="009A2294"/>
    <w:rsid w:val="009A2539"/>
    <w:rsid w:val="009A2841"/>
    <w:rsid w:val="009A2870"/>
    <w:rsid w:val="009A2A3C"/>
    <w:rsid w:val="009A2B31"/>
    <w:rsid w:val="009A2F09"/>
    <w:rsid w:val="009A368F"/>
    <w:rsid w:val="009A3B41"/>
    <w:rsid w:val="009A40DD"/>
    <w:rsid w:val="009A43CC"/>
    <w:rsid w:val="009A5F36"/>
    <w:rsid w:val="009A66B2"/>
    <w:rsid w:val="009A6B3A"/>
    <w:rsid w:val="009A6DED"/>
    <w:rsid w:val="009A71D9"/>
    <w:rsid w:val="009A72B5"/>
    <w:rsid w:val="009A75E8"/>
    <w:rsid w:val="009A7AFB"/>
    <w:rsid w:val="009A7BC2"/>
    <w:rsid w:val="009A7CB2"/>
    <w:rsid w:val="009A7D0E"/>
    <w:rsid w:val="009B011E"/>
    <w:rsid w:val="009B050C"/>
    <w:rsid w:val="009B0A3E"/>
    <w:rsid w:val="009B0DE4"/>
    <w:rsid w:val="009B1789"/>
    <w:rsid w:val="009B180F"/>
    <w:rsid w:val="009B1856"/>
    <w:rsid w:val="009B1897"/>
    <w:rsid w:val="009B1BB7"/>
    <w:rsid w:val="009B1C51"/>
    <w:rsid w:val="009B1C97"/>
    <w:rsid w:val="009B1FF4"/>
    <w:rsid w:val="009B2030"/>
    <w:rsid w:val="009B2435"/>
    <w:rsid w:val="009B26B6"/>
    <w:rsid w:val="009B273E"/>
    <w:rsid w:val="009B2BD0"/>
    <w:rsid w:val="009B2E91"/>
    <w:rsid w:val="009B31C4"/>
    <w:rsid w:val="009B37A7"/>
    <w:rsid w:val="009B3A9F"/>
    <w:rsid w:val="009B40CF"/>
    <w:rsid w:val="009B4878"/>
    <w:rsid w:val="009B48D4"/>
    <w:rsid w:val="009B4ADB"/>
    <w:rsid w:val="009B4B42"/>
    <w:rsid w:val="009B4D9B"/>
    <w:rsid w:val="009B550B"/>
    <w:rsid w:val="009B5985"/>
    <w:rsid w:val="009B5BFC"/>
    <w:rsid w:val="009B5D18"/>
    <w:rsid w:val="009B738D"/>
    <w:rsid w:val="009B7396"/>
    <w:rsid w:val="009B751B"/>
    <w:rsid w:val="009B7CCC"/>
    <w:rsid w:val="009B7FE6"/>
    <w:rsid w:val="009C031A"/>
    <w:rsid w:val="009C0616"/>
    <w:rsid w:val="009C0992"/>
    <w:rsid w:val="009C0A49"/>
    <w:rsid w:val="009C0C48"/>
    <w:rsid w:val="009C0D3C"/>
    <w:rsid w:val="009C0EFD"/>
    <w:rsid w:val="009C1830"/>
    <w:rsid w:val="009C18D4"/>
    <w:rsid w:val="009C2364"/>
    <w:rsid w:val="009C23DA"/>
    <w:rsid w:val="009C24B3"/>
    <w:rsid w:val="009C2C09"/>
    <w:rsid w:val="009C2E31"/>
    <w:rsid w:val="009C2E5A"/>
    <w:rsid w:val="009C2ED0"/>
    <w:rsid w:val="009C2FA2"/>
    <w:rsid w:val="009C4625"/>
    <w:rsid w:val="009C4CCF"/>
    <w:rsid w:val="009C4D05"/>
    <w:rsid w:val="009C585B"/>
    <w:rsid w:val="009C6214"/>
    <w:rsid w:val="009C645A"/>
    <w:rsid w:val="009C65F6"/>
    <w:rsid w:val="009C672A"/>
    <w:rsid w:val="009C703A"/>
    <w:rsid w:val="009C7B18"/>
    <w:rsid w:val="009C7C46"/>
    <w:rsid w:val="009C7D55"/>
    <w:rsid w:val="009C7F52"/>
    <w:rsid w:val="009D00F7"/>
    <w:rsid w:val="009D07F2"/>
    <w:rsid w:val="009D0A25"/>
    <w:rsid w:val="009D0B93"/>
    <w:rsid w:val="009D122F"/>
    <w:rsid w:val="009D162B"/>
    <w:rsid w:val="009D1884"/>
    <w:rsid w:val="009D1BD3"/>
    <w:rsid w:val="009D1BF8"/>
    <w:rsid w:val="009D24A3"/>
    <w:rsid w:val="009D262D"/>
    <w:rsid w:val="009D2BFD"/>
    <w:rsid w:val="009D2FD6"/>
    <w:rsid w:val="009D3202"/>
    <w:rsid w:val="009D3295"/>
    <w:rsid w:val="009D3665"/>
    <w:rsid w:val="009D3C84"/>
    <w:rsid w:val="009D40A1"/>
    <w:rsid w:val="009D40C6"/>
    <w:rsid w:val="009D4780"/>
    <w:rsid w:val="009D4AA2"/>
    <w:rsid w:val="009D507C"/>
    <w:rsid w:val="009D54F3"/>
    <w:rsid w:val="009D5B58"/>
    <w:rsid w:val="009D5CEE"/>
    <w:rsid w:val="009D5DA3"/>
    <w:rsid w:val="009D5F7D"/>
    <w:rsid w:val="009D6065"/>
    <w:rsid w:val="009D6515"/>
    <w:rsid w:val="009D6777"/>
    <w:rsid w:val="009D6969"/>
    <w:rsid w:val="009D6BD1"/>
    <w:rsid w:val="009D6BF3"/>
    <w:rsid w:val="009D6E11"/>
    <w:rsid w:val="009D713B"/>
    <w:rsid w:val="009D7470"/>
    <w:rsid w:val="009D7A58"/>
    <w:rsid w:val="009E0638"/>
    <w:rsid w:val="009E0828"/>
    <w:rsid w:val="009E096D"/>
    <w:rsid w:val="009E0A75"/>
    <w:rsid w:val="009E0C94"/>
    <w:rsid w:val="009E0CED"/>
    <w:rsid w:val="009E0E1F"/>
    <w:rsid w:val="009E177E"/>
    <w:rsid w:val="009E17A2"/>
    <w:rsid w:val="009E19F2"/>
    <w:rsid w:val="009E1A60"/>
    <w:rsid w:val="009E1EE0"/>
    <w:rsid w:val="009E214E"/>
    <w:rsid w:val="009E2926"/>
    <w:rsid w:val="009E2D23"/>
    <w:rsid w:val="009E2F0F"/>
    <w:rsid w:val="009E3337"/>
    <w:rsid w:val="009E35D4"/>
    <w:rsid w:val="009E36DC"/>
    <w:rsid w:val="009E4043"/>
    <w:rsid w:val="009E43C1"/>
    <w:rsid w:val="009E4426"/>
    <w:rsid w:val="009E45E2"/>
    <w:rsid w:val="009E4989"/>
    <w:rsid w:val="009E4A1C"/>
    <w:rsid w:val="009E5021"/>
    <w:rsid w:val="009E54AE"/>
    <w:rsid w:val="009E56D4"/>
    <w:rsid w:val="009E59AB"/>
    <w:rsid w:val="009E5FC3"/>
    <w:rsid w:val="009E6244"/>
    <w:rsid w:val="009E6692"/>
    <w:rsid w:val="009E6999"/>
    <w:rsid w:val="009E69CA"/>
    <w:rsid w:val="009E69E2"/>
    <w:rsid w:val="009E6DF1"/>
    <w:rsid w:val="009E6E3C"/>
    <w:rsid w:val="009E783C"/>
    <w:rsid w:val="009F039A"/>
    <w:rsid w:val="009F0564"/>
    <w:rsid w:val="009F08EB"/>
    <w:rsid w:val="009F115F"/>
    <w:rsid w:val="009F1DEC"/>
    <w:rsid w:val="009F1FF8"/>
    <w:rsid w:val="009F209B"/>
    <w:rsid w:val="009F260A"/>
    <w:rsid w:val="009F2BD7"/>
    <w:rsid w:val="009F2E5C"/>
    <w:rsid w:val="009F3302"/>
    <w:rsid w:val="009F3532"/>
    <w:rsid w:val="009F396C"/>
    <w:rsid w:val="009F3ABF"/>
    <w:rsid w:val="009F3AC4"/>
    <w:rsid w:val="009F3AE2"/>
    <w:rsid w:val="009F3BA0"/>
    <w:rsid w:val="009F3CC9"/>
    <w:rsid w:val="009F3EDD"/>
    <w:rsid w:val="009F3F5D"/>
    <w:rsid w:val="009F43CB"/>
    <w:rsid w:val="009F46B3"/>
    <w:rsid w:val="009F4CB9"/>
    <w:rsid w:val="009F51B8"/>
    <w:rsid w:val="009F522C"/>
    <w:rsid w:val="009F54A4"/>
    <w:rsid w:val="009F55E2"/>
    <w:rsid w:val="009F5B73"/>
    <w:rsid w:val="009F630A"/>
    <w:rsid w:val="009F6413"/>
    <w:rsid w:val="009F6781"/>
    <w:rsid w:val="009F72E7"/>
    <w:rsid w:val="00A00283"/>
    <w:rsid w:val="00A00790"/>
    <w:rsid w:val="00A00A44"/>
    <w:rsid w:val="00A00E0F"/>
    <w:rsid w:val="00A00ED7"/>
    <w:rsid w:val="00A00FEC"/>
    <w:rsid w:val="00A0113D"/>
    <w:rsid w:val="00A01199"/>
    <w:rsid w:val="00A012BE"/>
    <w:rsid w:val="00A01781"/>
    <w:rsid w:val="00A01C02"/>
    <w:rsid w:val="00A01F38"/>
    <w:rsid w:val="00A0205A"/>
    <w:rsid w:val="00A026BE"/>
    <w:rsid w:val="00A02787"/>
    <w:rsid w:val="00A029F7"/>
    <w:rsid w:val="00A02D24"/>
    <w:rsid w:val="00A02E16"/>
    <w:rsid w:val="00A031F6"/>
    <w:rsid w:val="00A031F8"/>
    <w:rsid w:val="00A03518"/>
    <w:rsid w:val="00A03C52"/>
    <w:rsid w:val="00A04425"/>
    <w:rsid w:val="00A044CA"/>
    <w:rsid w:val="00A04612"/>
    <w:rsid w:val="00A047D6"/>
    <w:rsid w:val="00A05113"/>
    <w:rsid w:val="00A054DC"/>
    <w:rsid w:val="00A055AC"/>
    <w:rsid w:val="00A0566C"/>
    <w:rsid w:val="00A05A30"/>
    <w:rsid w:val="00A05DFE"/>
    <w:rsid w:val="00A05EAD"/>
    <w:rsid w:val="00A05F23"/>
    <w:rsid w:val="00A05F41"/>
    <w:rsid w:val="00A069AE"/>
    <w:rsid w:val="00A069BF"/>
    <w:rsid w:val="00A06A75"/>
    <w:rsid w:val="00A06D81"/>
    <w:rsid w:val="00A06E01"/>
    <w:rsid w:val="00A06E69"/>
    <w:rsid w:val="00A07419"/>
    <w:rsid w:val="00A07EC4"/>
    <w:rsid w:val="00A10171"/>
    <w:rsid w:val="00A10389"/>
    <w:rsid w:val="00A10796"/>
    <w:rsid w:val="00A10C8E"/>
    <w:rsid w:val="00A1133E"/>
    <w:rsid w:val="00A116BE"/>
    <w:rsid w:val="00A11888"/>
    <w:rsid w:val="00A11B5A"/>
    <w:rsid w:val="00A11CA2"/>
    <w:rsid w:val="00A11E62"/>
    <w:rsid w:val="00A11E8F"/>
    <w:rsid w:val="00A122CF"/>
    <w:rsid w:val="00A12369"/>
    <w:rsid w:val="00A123D3"/>
    <w:rsid w:val="00A13336"/>
    <w:rsid w:val="00A134D0"/>
    <w:rsid w:val="00A13522"/>
    <w:rsid w:val="00A13FB8"/>
    <w:rsid w:val="00A14357"/>
    <w:rsid w:val="00A14B95"/>
    <w:rsid w:val="00A15196"/>
    <w:rsid w:val="00A1524F"/>
    <w:rsid w:val="00A1541B"/>
    <w:rsid w:val="00A154FF"/>
    <w:rsid w:val="00A15509"/>
    <w:rsid w:val="00A1570C"/>
    <w:rsid w:val="00A15B7D"/>
    <w:rsid w:val="00A15D18"/>
    <w:rsid w:val="00A15E63"/>
    <w:rsid w:val="00A167D9"/>
    <w:rsid w:val="00A16DB9"/>
    <w:rsid w:val="00A16E4D"/>
    <w:rsid w:val="00A17333"/>
    <w:rsid w:val="00A17672"/>
    <w:rsid w:val="00A17D12"/>
    <w:rsid w:val="00A17D1E"/>
    <w:rsid w:val="00A20745"/>
    <w:rsid w:val="00A20A6B"/>
    <w:rsid w:val="00A20C5D"/>
    <w:rsid w:val="00A2209E"/>
    <w:rsid w:val="00A222CA"/>
    <w:rsid w:val="00A224E2"/>
    <w:rsid w:val="00A225E3"/>
    <w:rsid w:val="00A225FA"/>
    <w:rsid w:val="00A227B8"/>
    <w:rsid w:val="00A228F8"/>
    <w:rsid w:val="00A23551"/>
    <w:rsid w:val="00A2371A"/>
    <w:rsid w:val="00A239CC"/>
    <w:rsid w:val="00A23A4E"/>
    <w:rsid w:val="00A23A8C"/>
    <w:rsid w:val="00A23BC2"/>
    <w:rsid w:val="00A24699"/>
    <w:rsid w:val="00A248C9"/>
    <w:rsid w:val="00A24AD8"/>
    <w:rsid w:val="00A24B13"/>
    <w:rsid w:val="00A2510F"/>
    <w:rsid w:val="00A25167"/>
    <w:rsid w:val="00A251AE"/>
    <w:rsid w:val="00A25454"/>
    <w:rsid w:val="00A25567"/>
    <w:rsid w:val="00A25635"/>
    <w:rsid w:val="00A2591E"/>
    <w:rsid w:val="00A25955"/>
    <w:rsid w:val="00A25966"/>
    <w:rsid w:val="00A261CB"/>
    <w:rsid w:val="00A26BEC"/>
    <w:rsid w:val="00A26F01"/>
    <w:rsid w:val="00A279AC"/>
    <w:rsid w:val="00A279E1"/>
    <w:rsid w:val="00A27A30"/>
    <w:rsid w:val="00A27DC6"/>
    <w:rsid w:val="00A27FEC"/>
    <w:rsid w:val="00A300CB"/>
    <w:rsid w:val="00A3012A"/>
    <w:rsid w:val="00A30134"/>
    <w:rsid w:val="00A309DE"/>
    <w:rsid w:val="00A30C5D"/>
    <w:rsid w:val="00A310F1"/>
    <w:rsid w:val="00A311C4"/>
    <w:rsid w:val="00A311D7"/>
    <w:rsid w:val="00A315CD"/>
    <w:rsid w:val="00A31B0F"/>
    <w:rsid w:val="00A31C68"/>
    <w:rsid w:val="00A31FDE"/>
    <w:rsid w:val="00A31FFF"/>
    <w:rsid w:val="00A32208"/>
    <w:rsid w:val="00A325AE"/>
    <w:rsid w:val="00A326A6"/>
    <w:rsid w:val="00A333C1"/>
    <w:rsid w:val="00A3351C"/>
    <w:rsid w:val="00A3364E"/>
    <w:rsid w:val="00A33C33"/>
    <w:rsid w:val="00A342D9"/>
    <w:rsid w:val="00A3461C"/>
    <w:rsid w:val="00A3463A"/>
    <w:rsid w:val="00A35A1E"/>
    <w:rsid w:val="00A35CA2"/>
    <w:rsid w:val="00A35E30"/>
    <w:rsid w:val="00A35E9F"/>
    <w:rsid w:val="00A35FAA"/>
    <w:rsid w:val="00A3601B"/>
    <w:rsid w:val="00A36755"/>
    <w:rsid w:val="00A367FD"/>
    <w:rsid w:val="00A368E8"/>
    <w:rsid w:val="00A371D1"/>
    <w:rsid w:val="00A372FF"/>
    <w:rsid w:val="00A37371"/>
    <w:rsid w:val="00A37D11"/>
    <w:rsid w:val="00A40163"/>
    <w:rsid w:val="00A4096B"/>
    <w:rsid w:val="00A409BC"/>
    <w:rsid w:val="00A40FC3"/>
    <w:rsid w:val="00A41084"/>
    <w:rsid w:val="00A41295"/>
    <w:rsid w:val="00A41D7C"/>
    <w:rsid w:val="00A41DDA"/>
    <w:rsid w:val="00A4205D"/>
    <w:rsid w:val="00A4222E"/>
    <w:rsid w:val="00A4258A"/>
    <w:rsid w:val="00A42A1D"/>
    <w:rsid w:val="00A42F6D"/>
    <w:rsid w:val="00A43A55"/>
    <w:rsid w:val="00A43C9A"/>
    <w:rsid w:val="00A44612"/>
    <w:rsid w:val="00A44720"/>
    <w:rsid w:val="00A44AC7"/>
    <w:rsid w:val="00A44CA2"/>
    <w:rsid w:val="00A44E0F"/>
    <w:rsid w:val="00A44F25"/>
    <w:rsid w:val="00A45032"/>
    <w:rsid w:val="00A450D8"/>
    <w:rsid w:val="00A456D7"/>
    <w:rsid w:val="00A4571D"/>
    <w:rsid w:val="00A4575C"/>
    <w:rsid w:val="00A45D11"/>
    <w:rsid w:val="00A46164"/>
    <w:rsid w:val="00A46420"/>
    <w:rsid w:val="00A46A8E"/>
    <w:rsid w:val="00A46E89"/>
    <w:rsid w:val="00A47D45"/>
    <w:rsid w:val="00A47E8D"/>
    <w:rsid w:val="00A47F27"/>
    <w:rsid w:val="00A50065"/>
    <w:rsid w:val="00A501FC"/>
    <w:rsid w:val="00A50362"/>
    <w:rsid w:val="00A51337"/>
    <w:rsid w:val="00A5177C"/>
    <w:rsid w:val="00A51C76"/>
    <w:rsid w:val="00A5208C"/>
    <w:rsid w:val="00A520B7"/>
    <w:rsid w:val="00A522F4"/>
    <w:rsid w:val="00A525F6"/>
    <w:rsid w:val="00A52678"/>
    <w:rsid w:val="00A527FA"/>
    <w:rsid w:val="00A52B00"/>
    <w:rsid w:val="00A537E5"/>
    <w:rsid w:val="00A538E4"/>
    <w:rsid w:val="00A53BDE"/>
    <w:rsid w:val="00A53D69"/>
    <w:rsid w:val="00A540A5"/>
    <w:rsid w:val="00A54248"/>
    <w:rsid w:val="00A54484"/>
    <w:rsid w:val="00A547DD"/>
    <w:rsid w:val="00A54991"/>
    <w:rsid w:val="00A54C38"/>
    <w:rsid w:val="00A550B6"/>
    <w:rsid w:val="00A55853"/>
    <w:rsid w:val="00A55B6F"/>
    <w:rsid w:val="00A55EAD"/>
    <w:rsid w:val="00A5666B"/>
    <w:rsid w:val="00A569DF"/>
    <w:rsid w:val="00A56F28"/>
    <w:rsid w:val="00A57042"/>
    <w:rsid w:val="00A57221"/>
    <w:rsid w:val="00A57328"/>
    <w:rsid w:val="00A57446"/>
    <w:rsid w:val="00A600A2"/>
    <w:rsid w:val="00A609E0"/>
    <w:rsid w:val="00A60C71"/>
    <w:rsid w:val="00A61744"/>
    <w:rsid w:val="00A61B3C"/>
    <w:rsid w:val="00A61BD0"/>
    <w:rsid w:val="00A627F5"/>
    <w:rsid w:val="00A62D7F"/>
    <w:rsid w:val="00A62E7B"/>
    <w:rsid w:val="00A63206"/>
    <w:rsid w:val="00A6388E"/>
    <w:rsid w:val="00A643A0"/>
    <w:rsid w:val="00A64437"/>
    <w:rsid w:val="00A645B3"/>
    <w:rsid w:val="00A64BC6"/>
    <w:rsid w:val="00A64FD7"/>
    <w:rsid w:val="00A6523A"/>
    <w:rsid w:val="00A659CB"/>
    <w:rsid w:val="00A65C37"/>
    <w:rsid w:val="00A65D90"/>
    <w:rsid w:val="00A65E47"/>
    <w:rsid w:val="00A6630D"/>
    <w:rsid w:val="00A6650B"/>
    <w:rsid w:val="00A66666"/>
    <w:rsid w:val="00A66830"/>
    <w:rsid w:val="00A66B77"/>
    <w:rsid w:val="00A66D8A"/>
    <w:rsid w:val="00A66DC9"/>
    <w:rsid w:val="00A66E87"/>
    <w:rsid w:val="00A67435"/>
    <w:rsid w:val="00A675EC"/>
    <w:rsid w:val="00A67B3F"/>
    <w:rsid w:val="00A70398"/>
    <w:rsid w:val="00A709AD"/>
    <w:rsid w:val="00A70C97"/>
    <w:rsid w:val="00A70D03"/>
    <w:rsid w:val="00A70D6C"/>
    <w:rsid w:val="00A712B4"/>
    <w:rsid w:val="00A71441"/>
    <w:rsid w:val="00A71849"/>
    <w:rsid w:val="00A71E2C"/>
    <w:rsid w:val="00A721F1"/>
    <w:rsid w:val="00A72247"/>
    <w:rsid w:val="00A72880"/>
    <w:rsid w:val="00A72D31"/>
    <w:rsid w:val="00A72DA9"/>
    <w:rsid w:val="00A733CB"/>
    <w:rsid w:val="00A736A2"/>
    <w:rsid w:val="00A738B2"/>
    <w:rsid w:val="00A739DF"/>
    <w:rsid w:val="00A73EB4"/>
    <w:rsid w:val="00A740A0"/>
    <w:rsid w:val="00A745EF"/>
    <w:rsid w:val="00A746EB"/>
    <w:rsid w:val="00A74819"/>
    <w:rsid w:val="00A74CD4"/>
    <w:rsid w:val="00A751AD"/>
    <w:rsid w:val="00A75A95"/>
    <w:rsid w:val="00A75B6E"/>
    <w:rsid w:val="00A75DA5"/>
    <w:rsid w:val="00A75E4C"/>
    <w:rsid w:val="00A76045"/>
    <w:rsid w:val="00A762C8"/>
    <w:rsid w:val="00A76CC8"/>
    <w:rsid w:val="00A773CD"/>
    <w:rsid w:val="00A775B5"/>
    <w:rsid w:val="00A775CF"/>
    <w:rsid w:val="00A77853"/>
    <w:rsid w:val="00A77FAF"/>
    <w:rsid w:val="00A80172"/>
    <w:rsid w:val="00A803F0"/>
    <w:rsid w:val="00A804F2"/>
    <w:rsid w:val="00A805EB"/>
    <w:rsid w:val="00A806DB"/>
    <w:rsid w:val="00A80C87"/>
    <w:rsid w:val="00A80D2E"/>
    <w:rsid w:val="00A81292"/>
    <w:rsid w:val="00A81730"/>
    <w:rsid w:val="00A81940"/>
    <w:rsid w:val="00A81EED"/>
    <w:rsid w:val="00A82009"/>
    <w:rsid w:val="00A8205B"/>
    <w:rsid w:val="00A8218A"/>
    <w:rsid w:val="00A82612"/>
    <w:rsid w:val="00A82E47"/>
    <w:rsid w:val="00A84503"/>
    <w:rsid w:val="00A847CF"/>
    <w:rsid w:val="00A84E04"/>
    <w:rsid w:val="00A84E35"/>
    <w:rsid w:val="00A851D0"/>
    <w:rsid w:val="00A856DA"/>
    <w:rsid w:val="00A85A95"/>
    <w:rsid w:val="00A861BA"/>
    <w:rsid w:val="00A86218"/>
    <w:rsid w:val="00A867DA"/>
    <w:rsid w:val="00A872F7"/>
    <w:rsid w:val="00A8782F"/>
    <w:rsid w:val="00A87E9B"/>
    <w:rsid w:val="00A9002B"/>
    <w:rsid w:val="00A901B9"/>
    <w:rsid w:val="00A90BA3"/>
    <w:rsid w:val="00A90C93"/>
    <w:rsid w:val="00A9135C"/>
    <w:rsid w:val="00A9167D"/>
    <w:rsid w:val="00A91856"/>
    <w:rsid w:val="00A91893"/>
    <w:rsid w:val="00A91895"/>
    <w:rsid w:val="00A92034"/>
    <w:rsid w:val="00A9204C"/>
    <w:rsid w:val="00A92911"/>
    <w:rsid w:val="00A92C19"/>
    <w:rsid w:val="00A92D25"/>
    <w:rsid w:val="00A92EF4"/>
    <w:rsid w:val="00A93A0B"/>
    <w:rsid w:val="00A93B0D"/>
    <w:rsid w:val="00A93C07"/>
    <w:rsid w:val="00A93F1A"/>
    <w:rsid w:val="00A93F5F"/>
    <w:rsid w:val="00A9401F"/>
    <w:rsid w:val="00A9433B"/>
    <w:rsid w:val="00A94689"/>
    <w:rsid w:val="00A94801"/>
    <w:rsid w:val="00A94C90"/>
    <w:rsid w:val="00A94DDB"/>
    <w:rsid w:val="00A94F82"/>
    <w:rsid w:val="00A950A1"/>
    <w:rsid w:val="00A952CA"/>
    <w:rsid w:val="00A955B7"/>
    <w:rsid w:val="00A95787"/>
    <w:rsid w:val="00A95CBF"/>
    <w:rsid w:val="00A95DB7"/>
    <w:rsid w:val="00A9618B"/>
    <w:rsid w:val="00A962C6"/>
    <w:rsid w:val="00A96538"/>
    <w:rsid w:val="00A965CD"/>
    <w:rsid w:val="00A96970"/>
    <w:rsid w:val="00A96D13"/>
    <w:rsid w:val="00A96DF6"/>
    <w:rsid w:val="00A9736F"/>
    <w:rsid w:val="00AA0071"/>
    <w:rsid w:val="00AA064A"/>
    <w:rsid w:val="00AA09DE"/>
    <w:rsid w:val="00AA0D1F"/>
    <w:rsid w:val="00AA1194"/>
    <w:rsid w:val="00AA1798"/>
    <w:rsid w:val="00AA1BEC"/>
    <w:rsid w:val="00AA1C11"/>
    <w:rsid w:val="00AA22C6"/>
    <w:rsid w:val="00AA24D8"/>
    <w:rsid w:val="00AA256F"/>
    <w:rsid w:val="00AA26FF"/>
    <w:rsid w:val="00AA275E"/>
    <w:rsid w:val="00AA27AA"/>
    <w:rsid w:val="00AA29F6"/>
    <w:rsid w:val="00AA2A1A"/>
    <w:rsid w:val="00AA2DF3"/>
    <w:rsid w:val="00AA2F12"/>
    <w:rsid w:val="00AA3062"/>
    <w:rsid w:val="00AA3121"/>
    <w:rsid w:val="00AA396C"/>
    <w:rsid w:val="00AA3EBF"/>
    <w:rsid w:val="00AA4761"/>
    <w:rsid w:val="00AA483C"/>
    <w:rsid w:val="00AA4E90"/>
    <w:rsid w:val="00AA50BC"/>
    <w:rsid w:val="00AA524F"/>
    <w:rsid w:val="00AA54F2"/>
    <w:rsid w:val="00AA5E97"/>
    <w:rsid w:val="00AA6A77"/>
    <w:rsid w:val="00AA6AE4"/>
    <w:rsid w:val="00AA78AD"/>
    <w:rsid w:val="00AA78B9"/>
    <w:rsid w:val="00AA794B"/>
    <w:rsid w:val="00AA7B8A"/>
    <w:rsid w:val="00AB0BD8"/>
    <w:rsid w:val="00AB0C76"/>
    <w:rsid w:val="00AB1097"/>
    <w:rsid w:val="00AB13A9"/>
    <w:rsid w:val="00AB14C1"/>
    <w:rsid w:val="00AB171A"/>
    <w:rsid w:val="00AB1F4D"/>
    <w:rsid w:val="00AB1F63"/>
    <w:rsid w:val="00AB22B4"/>
    <w:rsid w:val="00AB24E7"/>
    <w:rsid w:val="00AB2E2C"/>
    <w:rsid w:val="00AB3237"/>
    <w:rsid w:val="00AB343F"/>
    <w:rsid w:val="00AB3699"/>
    <w:rsid w:val="00AB3917"/>
    <w:rsid w:val="00AB3A2D"/>
    <w:rsid w:val="00AB3D53"/>
    <w:rsid w:val="00AB3ECA"/>
    <w:rsid w:val="00AB40BC"/>
    <w:rsid w:val="00AB4AC8"/>
    <w:rsid w:val="00AB4DE2"/>
    <w:rsid w:val="00AB4FBC"/>
    <w:rsid w:val="00AB5148"/>
    <w:rsid w:val="00AB57B8"/>
    <w:rsid w:val="00AB5E21"/>
    <w:rsid w:val="00AB6464"/>
    <w:rsid w:val="00AB6AD4"/>
    <w:rsid w:val="00AB6DBD"/>
    <w:rsid w:val="00AB6FDD"/>
    <w:rsid w:val="00AB7159"/>
    <w:rsid w:val="00AB734E"/>
    <w:rsid w:val="00AB739E"/>
    <w:rsid w:val="00AB75AE"/>
    <w:rsid w:val="00AB76EC"/>
    <w:rsid w:val="00AB7933"/>
    <w:rsid w:val="00AB7947"/>
    <w:rsid w:val="00AB7A7B"/>
    <w:rsid w:val="00AC087E"/>
    <w:rsid w:val="00AC132B"/>
    <w:rsid w:val="00AC13C9"/>
    <w:rsid w:val="00AC158A"/>
    <w:rsid w:val="00AC19E2"/>
    <w:rsid w:val="00AC1C2C"/>
    <w:rsid w:val="00AC1D03"/>
    <w:rsid w:val="00AC1DC4"/>
    <w:rsid w:val="00AC201F"/>
    <w:rsid w:val="00AC22E0"/>
    <w:rsid w:val="00AC24CD"/>
    <w:rsid w:val="00AC26CD"/>
    <w:rsid w:val="00AC279F"/>
    <w:rsid w:val="00AC3071"/>
    <w:rsid w:val="00AC3248"/>
    <w:rsid w:val="00AC347B"/>
    <w:rsid w:val="00AC358F"/>
    <w:rsid w:val="00AC3911"/>
    <w:rsid w:val="00AC3A08"/>
    <w:rsid w:val="00AC3C55"/>
    <w:rsid w:val="00AC3D18"/>
    <w:rsid w:val="00AC3ED1"/>
    <w:rsid w:val="00AC42FE"/>
    <w:rsid w:val="00AC4D9F"/>
    <w:rsid w:val="00AC50FA"/>
    <w:rsid w:val="00AC54D2"/>
    <w:rsid w:val="00AC5598"/>
    <w:rsid w:val="00AC56DD"/>
    <w:rsid w:val="00AC5991"/>
    <w:rsid w:val="00AC5B02"/>
    <w:rsid w:val="00AC6300"/>
    <w:rsid w:val="00AC6332"/>
    <w:rsid w:val="00AC6799"/>
    <w:rsid w:val="00AC6CD2"/>
    <w:rsid w:val="00AC77A0"/>
    <w:rsid w:val="00AC7946"/>
    <w:rsid w:val="00AC7992"/>
    <w:rsid w:val="00AC7B30"/>
    <w:rsid w:val="00AD0BCA"/>
    <w:rsid w:val="00AD0C2E"/>
    <w:rsid w:val="00AD0DE8"/>
    <w:rsid w:val="00AD10CF"/>
    <w:rsid w:val="00AD13C6"/>
    <w:rsid w:val="00AD1E0C"/>
    <w:rsid w:val="00AD1F0B"/>
    <w:rsid w:val="00AD2358"/>
    <w:rsid w:val="00AD245C"/>
    <w:rsid w:val="00AD2BBE"/>
    <w:rsid w:val="00AD2F90"/>
    <w:rsid w:val="00AD2FC0"/>
    <w:rsid w:val="00AD30F8"/>
    <w:rsid w:val="00AD31AA"/>
    <w:rsid w:val="00AD34B2"/>
    <w:rsid w:val="00AD351B"/>
    <w:rsid w:val="00AD3581"/>
    <w:rsid w:val="00AD35EA"/>
    <w:rsid w:val="00AD3B57"/>
    <w:rsid w:val="00AD3BC7"/>
    <w:rsid w:val="00AD40A7"/>
    <w:rsid w:val="00AD42E2"/>
    <w:rsid w:val="00AD432A"/>
    <w:rsid w:val="00AD456C"/>
    <w:rsid w:val="00AD470C"/>
    <w:rsid w:val="00AD4967"/>
    <w:rsid w:val="00AD4A92"/>
    <w:rsid w:val="00AD4F06"/>
    <w:rsid w:val="00AD4F5B"/>
    <w:rsid w:val="00AD5192"/>
    <w:rsid w:val="00AD562E"/>
    <w:rsid w:val="00AD5994"/>
    <w:rsid w:val="00AD5A37"/>
    <w:rsid w:val="00AD5B1B"/>
    <w:rsid w:val="00AD5D85"/>
    <w:rsid w:val="00AD600C"/>
    <w:rsid w:val="00AD6218"/>
    <w:rsid w:val="00AD6373"/>
    <w:rsid w:val="00AD662D"/>
    <w:rsid w:val="00AD66BE"/>
    <w:rsid w:val="00AD68BD"/>
    <w:rsid w:val="00AD6DA4"/>
    <w:rsid w:val="00AD6DB9"/>
    <w:rsid w:val="00AD70C0"/>
    <w:rsid w:val="00AD743A"/>
    <w:rsid w:val="00AD764D"/>
    <w:rsid w:val="00AE07A7"/>
    <w:rsid w:val="00AE08AD"/>
    <w:rsid w:val="00AE12A9"/>
    <w:rsid w:val="00AE2459"/>
    <w:rsid w:val="00AE2640"/>
    <w:rsid w:val="00AE2731"/>
    <w:rsid w:val="00AE29C2"/>
    <w:rsid w:val="00AE2C24"/>
    <w:rsid w:val="00AE2ED7"/>
    <w:rsid w:val="00AE34BC"/>
    <w:rsid w:val="00AE3815"/>
    <w:rsid w:val="00AE3D23"/>
    <w:rsid w:val="00AE4237"/>
    <w:rsid w:val="00AE42F1"/>
    <w:rsid w:val="00AE4436"/>
    <w:rsid w:val="00AE443E"/>
    <w:rsid w:val="00AE44E0"/>
    <w:rsid w:val="00AE4592"/>
    <w:rsid w:val="00AE4649"/>
    <w:rsid w:val="00AE472E"/>
    <w:rsid w:val="00AE4CEC"/>
    <w:rsid w:val="00AE4EC8"/>
    <w:rsid w:val="00AE517C"/>
    <w:rsid w:val="00AE520F"/>
    <w:rsid w:val="00AE52A4"/>
    <w:rsid w:val="00AE5602"/>
    <w:rsid w:val="00AE570B"/>
    <w:rsid w:val="00AE5736"/>
    <w:rsid w:val="00AE599E"/>
    <w:rsid w:val="00AE5C25"/>
    <w:rsid w:val="00AE5D4B"/>
    <w:rsid w:val="00AE5D9F"/>
    <w:rsid w:val="00AE5F15"/>
    <w:rsid w:val="00AE61C0"/>
    <w:rsid w:val="00AE6737"/>
    <w:rsid w:val="00AE68E0"/>
    <w:rsid w:val="00AE6A0F"/>
    <w:rsid w:val="00AE6CEC"/>
    <w:rsid w:val="00AE6F13"/>
    <w:rsid w:val="00AE6FC4"/>
    <w:rsid w:val="00AE719D"/>
    <w:rsid w:val="00AE72C2"/>
    <w:rsid w:val="00AE76C9"/>
    <w:rsid w:val="00AE7C6B"/>
    <w:rsid w:val="00AF05D5"/>
    <w:rsid w:val="00AF06B4"/>
    <w:rsid w:val="00AF0C7E"/>
    <w:rsid w:val="00AF0E41"/>
    <w:rsid w:val="00AF0EB2"/>
    <w:rsid w:val="00AF110A"/>
    <w:rsid w:val="00AF1362"/>
    <w:rsid w:val="00AF1C74"/>
    <w:rsid w:val="00AF213C"/>
    <w:rsid w:val="00AF2651"/>
    <w:rsid w:val="00AF2791"/>
    <w:rsid w:val="00AF2925"/>
    <w:rsid w:val="00AF2EF5"/>
    <w:rsid w:val="00AF30FB"/>
    <w:rsid w:val="00AF3117"/>
    <w:rsid w:val="00AF326B"/>
    <w:rsid w:val="00AF32F0"/>
    <w:rsid w:val="00AF3811"/>
    <w:rsid w:val="00AF38DD"/>
    <w:rsid w:val="00AF39C1"/>
    <w:rsid w:val="00AF418D"/>
    <w:rsid w:val="00AF4667"/>
    <w:rsid w:val="00AF467A"/>
    <w:rsid w:val="00AF560E"/>
    <w:rsid w:val="00AF5DEC"/>
    <w:rsid w:val="00AF6220"/>
    <w:rsid w:val="00AF62CC"/>
    <w:rsid w:val="00AF6B2A"/>
    <w:rsid w:val="00AF6F8B"/>
    <w:rsid w:val="00AF70EE"/>
    <w:rsid w:val="00AF751F"/>
    <w:rsid w:val="00AF7618"/>
    <w:rsid w:val="00B003A1"/>
    <w:rsid w:val="00B00414"/>
    <w:rsid w:val="00B00449"/>
    <w:rsid w:val="00B00B01"/>
    <w:rsid w:val="00B00C3B"/>
    <w:rsid w:val="00B00D66"/>
    <w:rsid w:val="00B01538"/>
    <w:rsid w:val="00B024C2"/>
    <w:rsid w:val="00B02E05"/>
    <w:rsid w:val="00B030B3"/>
    <w:rsid w:val="00B03472"/>
    <w:rsid w:val="00B03573"/>
    <w:rsid w:val="00B03653"/>
    <w:rsid w:val="00B04187"/>
    <w:rsid w:val="00B04550"/>
    <w:rsid w:val="00B045DE"/>
    <w:rsid w:val="00B047B2"/>
    <w:rsid w:val="00B04814"/>
    <w:rsid w:val="00B04964"/>
    <w:rsid w:val="00B04C25"/>
    <w:rsid w:val="00B04CBD"/>
    <w:rsid w:val="00B051D2"/>
    <w:rsid w:val="00B05332"/>
    <w:rsid w:val="00B05355"/>
    <w:rsid w:val="00B05B99"/>
    <w:rsid w:val="00B05BA1"/>
    <w:rsid w:val="00B05C96"/>
    <w:rsid w:val="00B05D4C"/>
    <w:rsid w:val="00B061B9"/>
    <w:rsid w:val="00B061C4"/>
    <w:rsid w:val="00B063FA"/>
    <w:rsid w:val="00B067C0"/>
    <w:rsid w:val="00B07840"/>
    <w:rsid w:val="00B07965"/>
    <w:rsid w:val="00B079DD"/>
    <w:rsid w:val="00B07D68"/>
    <w:rsid w:val="00B07E61"/>
    <w:rsid w:val="00B07E75"/>
    <w:rsid w:val="00B101FF"/>
    <w:rsid w:val="00B10281"/>
    <w:rsid w:val="00B10330"/>
    <w:rsid w:val="00B10605"/>
    <w:rsid w:val="00B10629"/>
    <w:rsid w:val="00B10AC8"/>
    <w:rsid w:val="00B10F95"/>
    <w:rsid w:val="00B111A0"/>
    <w:rsid w:val="00B11B0A"/>
    <w:rsid w:val="00B12169"/>
    <w:rsid w:val="00B12197"/>
    <w:rsid w:val="00B12253"/>
    <w:rsid w:val="00B12331"/>
    <w:rsid w:val="00B124AD"/>
    <w:rsid w:val="00B12A76"/>
    <w:rsid w:val="00B12ADD"/>
    <w:rsid w:val="00B1340F"/>
    <w:rsid w:val="00B137BD"/>
    <w:rsid w:val="00B13D17"/>
    <w:rsid w:val="00B13D23"/>
    <w:rsid w:val="00B140A3"/>
    <w:rsid w:val="00B1473C"/>
    <w:rsid w:val="00B14DB0"/>
    <w:rsid w:val="00B14ECB"/>
    <w:rsid w:val="00B15339"/>
    <w:rsid w:val="00B154B3"/>
    <w:rsid w:val="00B156F2"/>
    <w:rsid w:val="00B15870"/>
    <w:rsid w:val="00B15943"/>
    <w:rsid w:val="00B15B71"/>
    <w:rsid w:val="00B15D75"/>
    <w:rsid w:val="00B15F13"/>
    <w:rsid w:val="00B15FD7"/>
    <w:rsid w:val="00B16085"/>
    <w:rsid w:val="00B164EC"/>
    <w:rsid w:val="00B166C6"/>
    <w:rsid w:val="00B1682C"/>
    <w:rsid w:val="00B1687A"/>
    <w:rsid w:val="00B1713D"/>
    <w:rsid w:val="00B17202"/>
    <w:rsid w:val="00B17413"/>
    <w:rsid w:val="00B1780F"/>
    <w:rsid w:val="00B17911"/>
    <w:rsid w:val="00B17B71"/>
    <w:rsid w:val="00B205B6"/>
    <w:rsid w:val="00B211D7"/>
    <w:rsid w:val="00B21517"/>
    <w:rsid w:val="00B21941"/>
    <w:rsid w:val="00B21EB4"/>
    <w:rsid w:val="00B2267F"/>
    <w:rsid w:val="00B22A5B"/>
    <w:rsid w:val="00B2301F"/>
    <w:rsid w:val="00B23684"/>
    <w:rsid w:val="00B237F0"/>
    <w:rsid w:val="00B23804"/>
    <w:rsid w:val="00B239CF"/>
    <w:rsid w:val="00B23DC6"/>
    <w:rsid w:val="00B24224"/>
    <w:rsid w:val="00B243EF"/>
    <w:rsid w:val="00B2454B"/>
    <w:rsid w:val="00B24819"/>
    <w:rsid w:val="00B2481F"/>
    <w:rsid w:val="00B24936"/>
    <w:rsid w:val="00B250AA"/>
    <w:rsid w:val="00B254F0"/>
    <w:rsid w:val="00B25595"/>
    <w:rsid w:val="00B25ECE"/>
    <w:rsid w:val="00B26137"/>
    <w:rsid w:val="00B2621A"/>
    <w:rsid w:val="00B26286"/>
    <w:rsid w:val="00B2655B"/>
    <w:rsid w:val="00B266DC"/>
    <w:rsid w:val="00B26887"/>
    <w:rsid w:val="00B268CA"/>
    <w:rsid w:val="00B2691D"/>
    <w:rsid w:val="00B26C44"/>
    <w:rsid w:val="00B27820"/>
    <w:rsid w:val="00B278F4"/>
    <w:rsid w:val="00B278FE"/>
    <w:rsid w:val="00B2799C"/>
    <w:rsid w:val="00B279BB"/>
    <w:rsid w:val="00B27BD3"/>
    <w:rsid w:val="00B30297"/>
    <w:rsid w:val="00B306A8"/>
    <w:rsid w:val="00B306EA"/>
    <w:rsid w:val="00B30944"/>
    <w:rsid w:val="00B30F6F"/>
    <w:rsid w:val="00B3104B"/>
    <w:rsid w:val="00B3111F"/>
    <w:rsid w:val="00B31156"/>
    <w:rsid w:val="00B31412"/>
    <w:rsid w:val="00B31A8D"/>
    <w:rsid w:val="00B31FC7"/>
    <w:rsid w:val="00B324F6"/>
    <w:rsid w:val="00B329BF"/>
    <w:rsid w:val="00B329FE"/>
    <w:rsid w:val="00B32AAC"/>
    <w:rsid w:val="00B32B01"/>
    <w:rsid w:val="00B32B29"/>
    <w:rsid w:val="00B33279"/>
    <w:rsid w:val="00B33F3D"/>
    <w:rsid w:val="00B33F4D"/>
    <w:rsid w:val="00B33F68"/>
    <w:rsid w:val="00B3432E"/>
    <w:rsid w:val="00B3466E"/>
    <w:rsid w:val="00B3492F"/>
    <w:rsid w:val="00B34E9C"/>
    <w:rsid w:val="00B3501F"/>
    <w:rsid w:val="00B353AF"/>
    <w:rsid w:val="00B3657E"/>
    <w:rsid w:val="00B36CA1"/>
    <w:rsid w:val="00B36CFC"/>
    <w:rsid w:val="00B37148"/>
    <w:rsid w:val="00B37996"/>
    <w:rsid w:val="00B37AFC"/>
    <w:rsid w:val="00B40488"/>
    <w:rsid w:val="00B4059E"/>
    <w:rsid w:val="00B40802"/>
    <w:rsid w:val="00B4084B"/>
    <w:rsid w:val="00B40945"/>
    <w:rsid w:val="00B410F0"/>
    <w:rsid w:val="00B411F4"/>
    <w:rsid w:val="00B41232"/>
    <w:rsid w:val="00B412EF"/>
    <w:rsid w:val="00B42ACE"/>
    <w:rsid w:val="00B42B56"/>
    <w:rsid w:val="00B43594"/>
    <w:rsid w:val="00B43EC4"/>
    <w:rsid w:val="00B443A7"/>
    <w:rsid w:val="00B44987"/>
    <w:rsid w:val="00B44A03"/>
    <w:rsid w:val="00B44BEC"/>
    <w:rsid w:val="00B44C1E"/>
    <w:rsid w:val="00B45864"/>
    <w:rsid w:val="00B45B18"/>
    <w:rsid w:val="00B45BA7"/>
    <w:rsid w:val="00B460B5"/>
    <w:rsid w:val="00B46BD1"/>
    <w:rsid w:val="00B46E11"/>
    <w:rsid w:val="00B4725B"/>
    <w:rsid w:val="00B478B1"/>
    <w:rsid w:val="00B47998"/>
    <w:rsid w:val="00B47A26"/>
    <w:rsid w:val="00B47BD4"/>
    <w:rsid w:val="00B47F08"/>
    <w:rsid w:val="00B47F4C"/>
    <w:rsid w:val="00B47FD7"/>
    <w:rsid w:val="00B50032"/>
    <w:rsid w:val="00B5029D"/>
    <w:rsid w:val="00B50589"/>
    <w:rsid w:val="00B50958"/>
    <w:rsid w:val="00B50ACE"/>
    <w:rsid w:val="00B50C97"/>
    <w:rsid w:val="00B51526"/>
    <w:rsid w:val="00B51934"/>
    <w:rsid w:val="00B519D0"/>
    <w:rsid w:val="00B5206E"/>
    <w:rsid w:val="00B522E2"/>
    <w:rsid w:val="00B5279A"/>
    <w:rsid w:val="00B52A30"/>
    <w:rsid w:val="00B533A3"/>
    <w:rsid w:val="00B540F3"/>
    <w:rsid w:val="00B542AF"/>
    <w:rsid w:val="00B54728"/>
    <w:rsid w:val="00B54DA8"/>
    <w:rsid w:val="00B54F08"/>
    <w:rsid w:val="00B54F52"/>
    <w:rsid w:val="00B54FFC"/>
    <w:rsid w:val="00B55843"/>
    <w:rsid w:val="00B55C36"/>
    <w:rsid w:val="00B56123"/>
    <w:rsid w:val="00B5613B"/>
    <w:rsid w:val="00B563CF"/>
    <w:rsid w:val="00B567D8"/>
    <w:rsid w:val="00B56B5D"/>
    <w:rsid w:val="00B56F49"/>
    <w:rsid w:val="00B570BE"/>
    <w:rsid w:val="00B572B1"/>
    <w:rsid w:val="00B57576"/>
    <w:rsid w:val="00B6098C"/>
    <w:rsid w:val="00B60C6E"/>
    <w:rsid w:val="00B60F6F"/>
    <w:rsid w:val="00B61915"/>
    <w:rsid w:val="00B61961"/>
    <w:rsid w:val="00B61A52"/>
    <w:rsid w:val="00B61CDE"/>
    <w:rsid w:val="00B61D3E"/>
    <w:rsid w:val="00B6230B"/>
    <w:rsid w:val="00B628E8"/>
    <w:rsid w:val="00B62C02"/>
    <w:rsid w:val="00B633F7"/>
    <w:rsid w:val="00B6350B"/>
    <w:rsid w:val="00B63906"/>
    <w:rsid w:val="00B63C3C"/>
    <w:rsid w:val="00B63F3F"/>
    <w:rsid w:val="00B64293"/>
    <w:rsid w:val="00B645C8"/>
    <w:rsid w:val="00B64B23"/>
    <w:rsid w:val="00B64DE4"/>
    <w:rsid w:val="00B652B5"/>
    <w:rsid w:val="00B6553E"/>
    <w:rsid w:val="00B65561"/>
    <w:rsid w:val="00B65B09"/>
    <w:rsid w:val="00B6642F"/>
    <w:rsid w:val="00B6646B"/>
    <w:rsid w:val="00B66EAF"/>
    <w:rsid w:val="00B66EC8"/>
    <w:rsid w:val="00B66F96"/>
    <w:rsid w:val="00B6752B"/>
    <w:rsid w:val="00B676B8"/>
    <w:rsid w:val="00B67F05"/>
    <w:rsid w:val="00B70250"/>
    <w:rsid w:val="00B703C4"/>
    <w:rsid w:val="00B7050C"/>
    <w:rsid w:val="00B70C9E"/>
    <w:rsid w:val="00B70DDE"/>
    <w:rsid w:val="00B70F19"/>
    <w:rsid w:val="00B70F85"/>
    <w:rsid w:val="00B71222"/>
    <w:rsid w:val="00B71658"/>
    <w:rsid w:val="00B7174A"/>
    <w:rsid w:val="00B71D6E"/>
    <w:rsid w:val="00B720A8"/>
    <w:rsid w:val="00B72B0A"/>
    <w:rsid w:val="00B72DC7"/>
    <w:rsid w:val="00B730BC"/>
    <w:rsid w:val="00B7358B"/>
    <w:rsid w:val="00B7360C"/>
    <w:rsid w:val="00B73854"/>
    <w:rsid w:val="00B7388C"/>
    <w:rsid w:val="00B73E0D"/>
    <w:rsid w:val="00B73FCE"/>
    <w:rsid w:val="00B73FDC"/>
    <w:rsid w:val="00B74527"/>
    <w:rsid w:val="00B74867"/>
    <w:rsid w:val="00B74F39"/>
    <w:rsid w:val="00B7514C"/>
    <w:rsid w:val="00B7521F"/>
    <w:rsid w:val="00B7561C"/>
    <w:rsid w:val="00B7567F"/>
    <w:rsid w:val="00B758A6"/>
    <w:rsid w:val="00B7593E"/>
    <w:rsid w:val="00B75E0C"/>
    <w:rsid w:val="00B75EC7"/>
    <w:rsid w:val="00B760E1"/>
    <w:rsid w:val="00B76CFF"/>
    <w:rsid w:val="00B800C2"/>
    <w:rsid w:val="00B80466"/>
    <w:rsid w:val="00B80484"/>
    <w:rsid w:val="00B80639"/>
    <w:rsid w:val="00B80CC4"/>
    <w:rsid w:val="00B80D5E"/>
    <w:rsid w:val="00B81007"/>
    <w:rsid w:val="00B8115A"/>
    <w:rsid w:val="00B817ED"/>
    <w:rsid w:val="00B81ECE"/>
    <w:rsid w:val="00B81F55"/>
    <w:rsid w:val="00B82564"/>
    <w:rsid w:val="00B8261E"/>
    <w:rsid w:val="00B82901"/>
    <w:rsid w:val="00B8301E"/>
    <w:rsid w:val="00B830A1"/>
    <w:rsid w:val="00B83160"/>
    <w:rsid w:val="00B8365B"/>
    <w:rsid w:val="00B83705"/>
    <w:rsid w:val="00B838FE"/>
    <w:rsid w:val="00B83A2A"/>
    <w:rsid w:val="00B83B20"/>
    <w:rsid w:val="00B83CA0"/>
    <w:rsid w:val="00B83D29"/>
    <w:rsid w:val="00B83D97"/>
    <w:rsid w:val="00B83E5C"/>
    <w:rsid w:val="00B84243"/>
    <w:rsid w:val="00B84F1D"/>
    <w:rsid w:val="00B85092"/>
    <w:rsid w:val="00B85C34"/>
    <w:rsid w:val="00B861F5"/>
    <w:rsid w:val="00B8637B"/>
    <w:rsid w:val="00B865D6"/>
    <w:rsid w:val="00B865F3"/>
    <w:rsid w:val="00B86C1F"/>
    <w:rsid w:val="00B86CCD"/>
    <w:rsid w:val="00B876B9"/>
    <w:rsid w:val="00B876C0"/>
    <w:rsid w:val="00B8775C"/>
    <w:rsid w:val="00B87806"/>
    <w:rsid w:val="00B87DF9"/>
    <w:rsid w:val="00B87FF5"/>
    <w:rsid w:val="00B90D48"/>
    <w:rsid w:val="00B90D93"/>
    <w:rsid w:val="00B911F7"/>
    <w:rsid w:val="00B918C1"/>
    <w:rsid w:val="00B91F95"/>
    <w:rsid w:val="00B92407"/>
    <w:rsid w:val="00B92685"/>
    <w:rsid w:val="00B9277C"/>
    <w:rsid w:val="00B92B09"/>
    <w:rsid w:val="00B92FED"/>
    <w:rsid w:val="00B93265"/>
    <w:rsid w:val="00B93679"/>
    <w:rsid w:val="00B93847"/>
    <w:rsid w:val="00B93884"/>
    <w:rsid w:val="00B93D53"/>
    <w:rsid w:val="00B93EB2"/>
    <w:rsid w:val="00B941C6"/>
    <w:rsid w:val="00B94405"/>
    <w:rsid w:val="00B946E5"/>
    <w:rsid w:val="00B9491C"/>
    <w:rsid w:val="00B94A65"/>
    <w:rsid w:val="00B94ADF"/>
    <w:rsid w:val="00B94BB6"/>
    <w:rsid w:val="00B94D1A"/>
    <w:rsid w:val="00B94FB4"/>
    <w:rsid w:val="00B95441"/>
    <w:rsid w:val="00B95886"/>
    <w:rsid w:val="00B95D2D"/>
    <w:rsid w:val="00B95EF1"/>
    <w:rsid w:val="00B9607C"/>
    <w:rsid w:val="00B9612E"/>
    <w:rsid w:val="00B9631B"/>
    <w:rsid w:val="00B9676C"/>
    <w:rsid w:val="00B970B4"/>
    <w:rsid w:val="00B97150"/>
    <w:rsid w:val="00B97B35"/>
    <w:rsid w:val="00B97DEF"/>
    <w:rsid w:val="00B97FD1"/>
    <w:rsid w:val="00BA010D"/>
    <w:rsid w:val="00BA0380"/>
    <w:rsid w:val="00BA0966"/>
    <w:rsid w:val="00BA0AAA"/>
    <w:rsid w:val="00BA0BAF"/>
    <w:rsid w:val="00BA0D0C"/>
    <w:rsid w:val="00BA0F2F"/>
    <w:rsid w:val="00BA0FCB"/>
    <w:rsid w:val="00BA1B47"/>
    <w:rsid w:val="00BA1CDF"/>
    <w:rsid w:val="00BA1D46"/>
    <w:rsid w:val="00BA1ED7"/>
    <w:rsid w:val="00BA23C3"/>
    <w:rsid w:val="00BA24A3"/>
    <w:rsid w:val="00BA28F3"/>
    <w:rsid w:val="00BA302A"/>
    <w:rsid w:val="00BA31AD"/>
    <w:rsid w:val="00BA379F"/>
    <w:rsid w:val="00BA3C1B"/>
    <w:rsid w:val="00BA3C68"/>
    <w:rsid w:val="00BA3DD9"/>
    <w:rsid w:val="00BA3F45"/>
    <w:rsid w:val="00BA3F85"/>
    <w:rsid w:val="00BA4398"/>
    <w:rsid w:val="00BA4578"/>
    <w:rsid w:val="00BA4B46"/>
    <w:rsid w:val="00BA4C99"/>
    <w:rsid w:val="00BA511D"/>
    <w:rsid w:val="00BA5353"/>
    <w:rsid w:val="00BA5598"/>
    <w:rsid w:val="00BA5A63"/>
    <w:rsid w:val="00BA5FB0"/>
    <w:rsid w:val="00BA64DD"/>
    <w:rsid w:val="00BA6738"/>
    <w:rsid w:val="00BA6777"/>
    <w:rsid w:val="00BA71A6"/>
    <w:rsid w:val="00BA74BB"/>
    <w:rsid w:val="00BA77FE"/>
    <w:rsid w:val="00BA7D2F"/>
    <w:rsid w:val="00BB00B4"/>
    <w:rsid w:val="00BB029D"/>
    <w:rsid w:val="00BB0483"/>
    <w:rsid w:val="00BB0568"/>
    <w:rsid w:val="00BB0BB6"/>
    <w:rsid w:val="00BB0CF8"/>
    <w:rsid w:val="00BB0FFF"/>
    <w:rsid w:val="00BB1319"/>
    <w:rsid w:val="00BB1A32"/>
    <w:rsid w:val="00BB1B3E"/>
    <w:rsid w:val="00BB1C8B"/>
    <w:rsid w:val="00BB224B"/>
    <w:rsid w:val="00BB2284"/>
    <w:rsid w:val="00BB2A8B"/>
    <w:rsid w:val="00BB2A98"/>
    <w:rsid w:val="00BB2C93"/>
    <w:rsid w:val="00BB2D12"/>
    <w:rsid w:val="00BB3AB5"/>
    <w:rsid w:val="00BB3DA8"/>
    <w:rsid w:val="00BB3E16"/>
    <w:rsid w:val="00BB3E41"/>
    <w:rsid w:val="00BB498B"/>
    <w:rsid w:val="00BB4B67"/>
    <w:rsid w:val="00BB5A52"/>
    <w:rsid w:val="00BB5A84"/>
    <w:rsid w:val="00BB603A"/>
    <w:rsid w:val="00BB61C1"/>
    <w:rsid w:val="00BB6D23"/>
    <w:rsid w:val="00BB7022"/>
    <w:rsid w:val="00BB721D"/>
    <w:rsid w:val="00BB7398"/>
    <w:rsid w:val="00BB7455"/>
    <w:rsid w:val="00BB7986"/>
    <w:rsid w:val="00BB7C90"/>
    <w:rsid w:val="00BC10A6"/>
    <w:rsid w:val="00BC1185"/>
    <w:rsid w:val="00BC12C2"/>
    <w:rsid w:val="00BC1600"/>
    <w:rsid w:val="00BC194A"/>
    <w:rsid w:val="00BC1F30"/>
    <w:rsid w:val="00BC20DC"/>
    <w:rsid w:val="00BC288F"/>
    <w:rsid w:val="00BC2C65"/>
    <w:rsid w:val="00BC3028"/>
    <w:rsid w:val="00BC31B7"/>
    <w:rsid w:val="00BC3472"/>
    <w:rsid w:val="00BC367E"/>
    <w:rsid w:val="00BC3B7C"/>
    <w:rsid w:val="00BC3CAB"/>
    <w:rsid w:val="00BC3F11"/>
    <w:rsid w:val="00BC3FC9"/>
    <w:rsid w:val="00BC42CE"/>
    <w:rsid w:val="00BC472C"/>
    <w:rsid w:val="00BC4D9E"/>
    <w:rsid w:val="00BC5268"/>
    <w:rsid w:val="00BC55D0"/>
    <w:rsid w:val="00BC5B8C"/>
    <w:rsid w:val="00BC6427"/>
    <w:rsid w:val="00BC6623"/>
    <w:rsid w:val="00BC6702"/>
    <w:rsid w:val="00BC6CFE"/>
    <w:rsid w:val="00BC70DE"/>
    <w:rsid w:val="00BC76B4"/>
    <w:rsid w:val="00BC76D9"/>
    <w:rsid w:val="00BC77D3"/>
    <w:rsid w:val="00BC78A5"/>
    <w:rsid w:val="00BC7C31"/>
    <w:rsid w:val="00BD01C2"/>
    <w:rsid w:val="00BD210E"/>
    <w:rsid w:val="00BD252D"/>
    <w:rsid w:val="00BD2603"/>
    <w:rsid w:val="00BD2CB2"/>
    <w:rsid w:val="00BD2D4B"/>
    <w:rsid w:val="00BD34C3"/>
    <w:rsid w:val="00BD3520"/>
    <w:rsid w:val="00BD3E3E"/>
    <w:rsid w:val="00BD3EDB"/>
    <w:rsid w:val="00BD40CB"/>
    <w:rsid w:val="00BD419B"/>
    <w:rsid w:val="00BD44A2"/>
    <w:rsid w:val="00BD46BB"/>
    <w:rsid w:val="00BD487B"/>
    <w:rsid w:val="00BD4954"/>
    <w:rsid w:val="00BD5511"/>
    <w:rsid w:val="00BD6020"/>
    <w:rsid w:val="00BD60C7"/>
    <w:rsid w:val="00BD683D"/>
    <w:rsid w:val="00BD6945"/>
    <w:rsid w:val="00BD6E9B"/>
    <w:rsid w:val="00BD71BD"/>
    <w:rsid w:val="00BD77C6"/>
    <w:rsid w:val="00BD78D5"/>
    <w:rsid w:val="00BD7A6A"/>
    <w:rsid w:val="00BE0659"/>
    <w:rsid w:val="00BE098E"/>
    <w:rsid w:val="00BE0A68"/>
    <w:rsid w:val="00BE1843"/>
    <w:rsid w:val="00BE1A99"/>
    <w:rsid w:val="00BE1DB7"/>
    <w:rsid w:val="00BE2B56"/>
    <w:rsid w:val="00BE2C75"/>
    <w:rsid w:val="00BE2E19"/>
    <w:rsid w:val="00BE34DD"/>
    <w:rsid w:val="00BE3DB0"/>
    <w:rsid w:val="00BE3FB0"/>
    <w:rsid w:val="00BE4473"/>
    <w:rsid w:val="00BE4945"/>
    <w:rsid w:val="00BE49FD"/>
    <w:rsid w:val="00BE51FC"/>
    <w:rsid w:val="00BE527D"/>
    <w:rsid w:val="00BE537C"/>
    <w:rsid w:val="00BE5503"/>
    <w:rsid w:val="00BE5917"/>
    <w:rsid w:val="00BE6D85"/>
    <w:rsid w:val="00BE6EAE"/>
    <w:rsid w:val="00BE6EB6"/>
    <w:rsid w:val="00BE6F0B"/>
    <w:rsid w:val="00BE70B3"/>
    <w:rsid w:val="00BE7279"/>
    <w:rsid w:val="00BE7326"/>
    <w:rsid w:val="00BE7D58"/>
    <w:rsid w:val="00BF0008"/>
    <w:rsid w:val="00BF0270"/>
    <w:rsid w:val="00BF0901"/>
    <w:rsid w:val="00BF0CB3"/>
    <w:rsid w:val="00BF0E14"/>
    <w:rsid w:val="00BF1071"/>
    <w:rsid w:val="00BF164E"/>
    <w:rsid w:val="00BF1852"/>
    <w:rsid w:val="00BF1A33"/>
    <w:rsid w:val="00BF23C3"/>
    <w:rsid w:val="00BF26AC"/>
    <w:rsid w:val="00BF274C"/>
    <w:rsid w:val="00BF27CF"/>
    <w:rsid w:val="00BF28E4"/>
    <w:rsid w:val="00BF2D94"/>
    <w:rsid w:val="00BF3D35"/>
    <w:rsid w:val="00BF3F7E"/>
    <w:rsid w:val="00BF40DB"/>
    <w:rsid w:val="00BF4260"/>
    <w:rsid w:val="00BF4453"/>
    <w:rsid w:val="00BF45A2"/>
    <w:rsid w:val="00BF48DF"/>
    <w:rsid w:val="00BF49EE"/>
    <w:rsid w:val="00BF4B28"/>
    <w:rsid w:val="00BF5261"/>
    <w:rsid w:val="00BF5A8A"/>
    <w:rsid w:val="00BF5CBD"/>
    <w:rsid w:val="00BF5E0D"/>
    <w:rsid w:val="00BF61E6"/>
    <w:rsid w:val="00BF62CC"/>
    <w:rsid w:val="00BF62FE"/>
    <w:rsid w:val="00BF6946"/>
    <w:rsid w:val="00BF69CA"/>
    <w:rsid w:val="00BF6A14"/>
    <w:rsid w:val="00BF6B85"/>
    <w:rsid w:val="00BF6D42"/>
    <w:rsid w:val="00BF7128"/>
    <w:rsid w:val="00BF7CB3"/>
    <w:rsid w:val="00BF7ED9"/>
    <w:rsid w:val="00C00AA5"/>
    <w:rsid w:val="00C00B3B"/>
    <w:rsid w:val="00C01156"/>
    <w:rsid w:val="00C012A5"/>
    <w:rsid w:val="00C01782"/>
    <w:rsid w:val="00C01D68"/>
    <w:rsid w:val="00C02450"/>
    <w:rsid w:val="00C0290C"/>
    <w:rsid w:val="00C02AC1"/>
    <w:rsid w:val="00C02F8E"/>
    <w:rsid w:val="00C031FC"/>
    <w:rsid w:val="00C03526"/>
    <w:rsid w:val="00C03764"/>
    <w:rsid w:val="00C03797"/>
    <w:rsid w:val="00C038D0"/>
    <w:rsid w:val="00C03D12"/>
    <w:rsid w:val="00C03E12"/>
    <w:rsid w:val="00C04261"/>
    <w:rsid w:val="00C046CB"/>
    <w:rsid w:val="00C049EC"/>
    <w:rsid w:val="00C055C7"/>
    <w:rsid w:val="00C05757"/>
    <w:rsid w:val="00C05C78"/>
    <w:rsid w:val="00C05E3D"/>
    <w:rsid w:val="00C06670"/>
    <w:rsid w:val="00C066AF"/>
    <w:rsid w:val="00C067D5"/>
    <w:rsid w:val="00C06CE4"/>
    <w:rsid w:val="00C074B5"/>
    <w:rsid w:val="00C07DEC"/>
    <w:rsid w:val="00C07F1C"/>
    <w:rsid w:val="00C1005F"/>
    <w:rsid w:val="00C107D2"/>
    <w:rsid w:val="00C1081B"/>
    <w:rsid w:val="00C10C5A"/>
    <w:rsid w:val="00C11241"/>
    <w:rsid w:val="00C119A1"/>
    <w:rsid w:val="00C11CE3"/>
    <w:rsid w:val="00C11D68"/>
    <w:rsid w:val="00C11F05"/>
    <w:rsid w:val="00C11F2F"/>
    <w:rsid w:val="00C11F39"/>
    <w:rsid w:val="00C12370"/>
    <w:rsid w:val="00C1276C"/>
    <w:rsid w:val="00C12C69"/>
    <w:rsid w:val="00C12C6D"/>
    <w:rsid w:val="00C12D0A"/>
    <w:rsid w:val="00C12D5B"/>
    <w:rsid w:val="00C12FDD"/>
    <w:rsid w:val="00C13084"/>
    <w:rsid w:val="00C13192"/>
    <w:rsid w:val="00C13388"/>
    <w:rsid w:val="00C13681"/>
    <w:rsid w:val="00C13700"/>
    <w:rsid w:val="00C13DA0"/>
    <w:rsid w:val="00C15263"/>
    <w:rsid w:val="00C15ACC"/>
    <w:rsid w:val="00C15DEF"/>
    <w:rsid w:val="00C15F8F"/>
    <w:rsid w:val="00C16886"/>
    <w:rsid w:val="00C1712F"/>
    <w:rsid w:val="00C176D6"/>
    <w:rsid w:val="00C17B32"/>
    <w:rsid w:val="00C17E9A"/>
    <w:rsid w:val="00C17F5E"/>
    <w:rsid w:val="00C17FCA"/>
    <w:rsid w:val="00C1E484"/>
    <w:rsid w:val="00C20B61"/>
    <w:rsid w:val="00C20B62"/>
    <w:rsid w:val="00C20E76"/>
    <w:rsid w:val="00C21AC3"/>
    <w:rsid w:val="00C21D66"/>
    <w:rsid w:val="00C21E9B"/>
    <w:rsid w:val="00C223B8"/>
    <w:rsid w:val="00C226AC"/>
    <w:rsid w:val="00C23581"/>
    <w:rsid w:val="00C23647"/>
    <w:rsid w:val="00C2383C"/>
    <w:rsid w:val="00C23C11"/>
    <w:rsid w:val="00C24033"/>
    <w:rsid w:val="00C242D1"/>
    <w:rsid w:val="00C24312"/>
    <w:rsid w:val="00C2476F"/>
    <w:rsid w:val="00C24BB1"/>
    <w:rsid w:val="00C24C82"/>
    <w:rsid w:val="00C24F33"/>
    <w:rsid w:val="00C257CA"/>
    <w:rsid w:val="00C25879"/>
    <w:rsid w:val="00C25E06"/>
    <w:rsid w:val="00C26268"/>
    <w:rsid w:val="00C262D8"/>
    <w:rsid w:val="00C2641F"/>
    <w:rsid w:val="00C2680E"/>
    <w:rsid w:val="00C268AD"/>
    <w:rsid w:val="00C26921"/>
    <w:rsid w:val="00C26C3B"/>
    <w:rsid w:val="00C26D38"/>
    <w:rsid w:val="00C27678"/>
    <w:rsid w:val="00C276B1"/>
    <w:rsid w:val="00C27A58"/>
    <w:rsid w:val="00C27AE7"/>
    <w:rsid w:val="00C3009E"/>
    <w:rsid w:val="00C30655"/>
    <w:rsid w:val="00C30C89"/>
    <w:rsid w:val="00C30FC7"/>
    <w:rsid w:val="00C31116"/>
    <w:rsid w:val="00C31E81"/>
    <w:rsid w:val="00C3239B"/>
    <w:rsid w:val="00C3247B"/>
    <w:rsid w:val="00C3249E"/>
    <w:rsid w:val="00C3284F"/>
    <w:rsid w:val="00C32B0F"/>
    <w:rsid w:val="00C32C06"/>
    <w:rsid w:val="00C3303C"/>
    <w:rsid w:val="00C33221"/>
    <w:rsid w:val="00C3324A"/>
    <w:rsid w:val="00C333E3"/>
    <w:rsid w:val="00C33BE7"/>
    <w:rsid w:val="00C341A9"/>
    <w:rsid w:val="00C342CD"/>
    <w:rsid w:val="00C34390"/>
    <w:rsid w:val="00C34C59"/>
    <w:rsid w:val="00C34C93"/>
    <w:rsid w:val="00C359BA"/>
    <w:rsid w:val="00C36289"/>
    <w:rsid w:val="00C3629B"/>
    <w:rsid w:val="00C36338"/>
    <w:rsid w:val="00C3661C"/>
    <w:rsid w:val="00C36775"/>
    <w:rsid w:val="00C3682D"/>
    <w:rsid w:val="00C36974"/>
    <w:rsid w:val="00C36AFE"/>
    <w:rsid w:val="00C36BBB"/>
    <w:rsid w:val="00C3754B"/>
    <w:rsid w:val="00C37629"/>
    <w:rsid w:val="00C37BE0"/>
    <w:rsid w:val="00C37BFF"/>
    <w:rsid w:val="00C37DD9"/>
    <w:rsid w:val="00C37FAE"/>
    <w:rsid w:val="00C405B5"/>
    <w:rsid w:val="00C40689"/>
    <w:rsid w:val="00C40B8C"/>
    <w:rsid w:val="00C40C57"/>
    <w:rsid w:val="00C41058"/>
    <w:rsid w:val="00C41D55"/>
    <w:rsid w:val="00C42082"/>
    <w:rsid w:val="00C42089"/>
    <w:rsid w:val="00C428E6"/>
    <w:rsid w:val="00C42D37"/>
    <w:rsid w:val="00C42D6A"/>
    <w:rsid w:val="00C42E2B"/>
    <w:rsid w:val="00C431A3"/>
    <w:rsid w:val="00C431FB"/>
    <w:rsid w:val="00C43929"/>
    <w:rsid w:val="00C43A8D"/>
    <w:rsid w:val="00C43B6C"/>
    <w:rsid w:val="00C43DF8"/>
    <w:rsid w:val="00C44824"/>
    <w:rsid w:val="00C4483F"/>
    <w:rsid w:val="00C44A7A"/>
    <w:rsid w:val="00C44BE3"/>
    <w:rsid w:val="00C44C1D"/>
    <w:rsid w:val="00C44EBC"/>
    <w:rsid w:val="00C4506D"/>
    <w:rsid w:val="00C450A9"/>
    <w:rsid w:val="00C45331"/>
    <w:rsid w:val="00C45903"/>
    <w:rsid w:val="00C45EC9"/>
    <w:rsid w:val="00C461B6"/>
    <w:rsid w:val="00C46399"/>
    <w:rsid w:val="00C46B1A"/>
    <w:rsid w:val="00C46BFD"/>
    <w:rsid w:val="00C46D0E"/>
    <w:rsid w:val="00C472EF"/>
    <w:rsid w:val="00C47A2D"/>
    <w:rsid w:val="00C50223"/>
    <w:rsid w:val="00C50F72"/>
    <w:rsid w:val="00C51007"/>
    <w:rsid w:val="00C51175"/>
    <w:rsid w:val="00C514A2"/>
    <w:rsid w:val="00C5184C"/>
    <w:rsid w:val="00C52079"/>
    <w:rsid w:val="00C521ED"/>
    <w:rsid w:val="00C5223D"/>
    <w:rsid w:val="00C5268B"/>
    <w:rsid w:val="00C528BD"/>
    <w:rsid w:val="00C529E8"/>
    <w:rsid w:val="00C52AD9"/>
    <w:rsid w:val="00C53203"/>
    <w:rsid w:val="00C5338C"/>
    <w:rsid w:val="00C53A1D"/>
    <w:rsid w:val="00C53DB9"/>
    <w:rsid w:val="00C53EF2"/>
    <w:rsid w:val="00C540D7"/>
    <w:rsid w:val="00C54D6B"/>
    <w:rsid w:val="00C55754"/>
    <w:rsid w:val="00C557DA"/>
    <w:rsid w:val="00C5581C"/>
    <w:rsid w:val="00C55846"/>
    <w:rsid w:val="00C5602C"/>
    <w:rsid w:val="00C560F6"/>
    <w:rsid w:val="00C5636C"/>
    <w:rsid w:val="00C56594"/>
    <w:rsid w:val="00C5689C"/>
    <w:rsid w:val="00C569A0"/>
    <w:rsid w:val="00C56D8D"/>
    <w:rsid w:val="00C56F55"/>
    <w:rsid w:val="00C5744B"/>
    <w:rsid w:val="00C608FD"/>
    <w:rsid w:val="00C6096D"/>
    <w:rsid w:val="00C61294"/>
    <w:rsid w:val="00C61E43"/>
    <w:rsid w:val="00C61EA2"/>
    <w:rsid w:val="00C62144"/>
    <w:rsid w:val="00C62192"/>
    <w:rsid w:val="00C6234F"/>
    <w:rsid w:val="00C62F98"/>
    <w:rsid w:val="00C6305B"/>
    <w:rsid w:val="00C6308F"/>
    <w:rsid w:val="00C63109"/>
    <w:rsid w:val="00C6361D"/>
    <w:rsid w:val="00C6362A"/>
    <w:rsid w:val="00C63822"/>
    <w:rsid w:val="00C63A52"/>
    <w:rsid w:val="00C63C1F"/>
    <w:rsid w:val="00C63D1D"/>
    <w:rsid w:val="00C63ED7"/>
    <w:rsid w:val="00C6404E"/>
    <w:rsid w:val="00C64222"/>
    <w:rsid w:val="00C64682"/>
    <w:rsid w:val="00C6499B"/>
    <w:rsid w:val="00C65397"/>
    <w:rsid w:val="00C654CF"/>
    <w:rsid w:val="00C65827"/>
    <w:rsid w:val="00C6588D"/>
    <w:rsid w:val="00C65960"/>
    <w:rsid w:val="00C65ED6"/>
    <w:rsid w:val="00C65F90"/>
    <w:rsid w:val="00C66120"/>
    <w:rsid w:val="00C66319"/>
    <w:rsid w:val="00C66482"/>
    <w:rsid w:val="00C66541"/>
    <w:rsid w:val="00C669C7"/>
    <w:rsid w:val="00C66C30"/>
    <w:rsid w:val="00C66E24"/>
    <w:rsid w:val="00C66F7A"/>
    <w:rsid w:val="00C67737"/>
    <w:rsid w:val="00C6778A"/>
    <w:rsid w:val="00C67812"/>
    <w:rsid w:val="00C67B4B"/>
    <w:rsid w:val="00C67B6A"/>
    <w:rsid w:val="00C67B93"/>
    <w:rsid w:val="00C67DA1"/>
    <w:rsid w:val="00C67E95"/>
    <w:rsid w:val="00C7039E"/>
    <w:rsid w:val="00C705DA"/>
    <w:rsid w:val="00C70689"/>
    <w:rsid w:val="00C70F19"/>
    <w:rsid w:val="00C715F0"/>
    <w:rsid w:val="00C71657"/>
    <w:rsid w:val="00C7243B"/>
    <w:rsid w:val="00C72E6B"/>
    <w:rsid w:val="00C72F9B"/>
    <w:rsid w:val="00C730C7"/>
    <w:rsid w:val="00C7356F"/>
    <w:rsid w:val="00C738AB"/>
    <w:rsid w:val="00C738FB"/>
    <w:rsid w:val="00C73A42"/>
    <w:rsid w:val="00C73AAA"/>
    <w:rsid w:val="00C74126"/>
    <w:rsid w:val="00C74278"/>
    <w:rsid w:val="00C74300"/>
    <w:rsid w:val="00C74BA5"/>
    <w:rsid w:val="00C74C39"/>
    <w:rsid w:val="00C74D46"/>
    <w:rsid w:val="00C74DA9"/>
    <w:rsid w:val="00C74DD4"/>
    <w:rsid w:val="00C74E8D"/>
    <w:rsid w:val="00C752C9"/>
    <w:rsid w:val="00C753BA"/>
    <w:rsid w:val="00C75686"/>
    <w:rsid w:val="00C756D5"/>
    <w:rsid w:val="00C75B76"/>
    <w:rsid w:val="00C75E17"/>
    <w:rsid w:val="00C75F28"/>
    <w:rsid w:val="00C760BE"/>
    <w:rsid w:val="00C7638D"/>
    <w:rsid w:val="00C763EA"/>
    <w:rsid w:val="00C769F6"/>
    <w:rsid w:val="00C76E28"/>
    <w:rsid w:val="00C772C6"/>
    <w:rsid w:val="00C77417"/>
    <w:rsid w:val="00C77F36"/>
    <w:rsid w:val="00C802B4"/>
    <w:rsid w:val="00C8049D"/>
    <w:rsid w:val="00C80D5B"/>
    <w:rsid w:val="00C8185E"/>
    <w:rsid w:val="00C81CFE"/>
    <w:rsid w:val="00C81FF6"/>
    <w:rsid w:val="00C8223C"/>
    <w:rsid w:val="00C82572"/>
    <w:rsid w:val="00C82B05"/>
    <w:rsid w:val="00C833D0"/>
    <w:rsid w:val="00C8363A"/>
    <w:rsid w:val="00C83D05"/>
    <w:rsid w:val="00C8415F"/>
    <w:rsid w:val="00C84414"/>
    <w:rsid w:val="00C844BA"/>
    <w:rsid w:val="00C8458A"/>
    <w:rsid w:val="00C845CF"/>
    <w:rsid w:val="00C84695"/>
    <w:rsid w:val="00C84BF0"/>
    <w:rsid w:val="00C84DFB"/>
    <w:rsid w:val="00C84E17"/>
    <w:rsid w:val="00C85030"/>
    <w:rsid w:val="00C853AC"/>
    <w:rsid w:val="00C854F5"/>
    <w:rsid w:val="00C85808"/>
    <w:rsid w:val="00C85AD2"/>
    <w:rsid w:val="00C85D69"/>
    <w:rsid w:val="00C85E77"/>
    <w:rsid w:val="00C861BE"/>
    <w:rsid w:val="00C8668E"/>
    <w:rsid w:val="00C86988"/>
    <w:rsid w:val="00C86D90"/>
    <w:rsid w:val="00C8713C"/>
    <w:rsid w:val="00C8719C"/>
    <w:rsid w:val="00C872C5"/>
    <w:rsid w:val="00C8748F"/>
    <w:rsid w:val="00C8755F"/>
    <w:rsid w:val="00C8791E"/>
    <w:rsid w:val="00C87FB8"/>
    <w:rsid w:val="00C90F2C"/>
    <w:rsid w:val="00C91347"/>
    <w:rsid w:val="00C913C6"/>
    <w:rsid w:val="00C91727"/>
    <w:rsid w:val="00C91CF4"/>
    <w:rsid w:val="00C92123"/>
    <w:rsid w:val="00C925B1"/>
    <w:rsid w:val="00C92BA8"/>
    <w:rsid w:val="00C92D9A"/>
    <w:rsid w:val="00C93977"/>
    <w:rsid w:val="00C93ADE"/>
    <w:rsid w:val="00C93D31"/>
    <w:rsid w:val="00C93E74"/>
    <w:rsid w:val="00C94016"/>
    <w:rsid w:val="00C94302"/>
    <w:rsid w:val="00C944CA"/>
    <w:rsid w:val="00C946DC"/>
    <w:rsid w:val="00C94778"/>
    <w:rsid w:val="00C94EC2"/>
    <w:rsid w:val="00C95166"/>
    <w:rsid w:val="00C952FB"/>
    <w:rsid w:val="00C95596"/>
    <w:rsid w:val="00C95850"/>
    <w:rsid w:val="00C95B85"/>
    <w:rsid w:val="00C95F64"/>
    <w:rsid w:val="00C95FBA"/>
    <w:rsid w:val="00C96185"/>
    <w:rsid w:val="00C96919"/>
    <w:rsid w:val="00C96B68"/>
    <w:rsid w:val="00C96C31"/>
    <w:rsid w:val="00C97093"/>
    <w:rsid w:val="00C97362"/>
    <w:rsid w:val="00C978F2"/>
    <w:rsid w:val="00C97F24"/>
    <w:rsid w:val="00C97F3F"/>
    <w:rsid w:val="00CA003F"/>
    <w:rsid w:val="00CA0344"/>
    <w:rsid w:val="00CA0539"/>
    <w:rsid w:val="00CA0B5E"/>
    <w:rsid w:val="00CA0BC3"/>
    <w:rsid w:val="00CA0F4F"/>
    <w:rsid w:val="00CA117F"/>
    <w:rsid w:val="00CA11EB"/>
    <w:rsid w:val="00CA15D7"/>
    <w:rsid w:val="00CA160F"/>
    <w:rsid w:val="00CA1996"/>
    <w:rsid w:val="00CA1CDE"/>
    <w:rsid w:val="00CA2EEA"/>
    <w:rsid w:val="00CA2F21"/>
    <w:rsid w:val="00CA3214"/>
    <w:rsid w:val="00CA3318"/>
    <w:rsid w:val="00CA332A"/>
    <w:rsid w:val="00CA36B7"/>
    <w:rsid w:val="00CA3814"/>
    <w:rsid w:val="00CA450E"/>
    <w:rsid w:val="00CA475B"/>
    <w:rsid w:val="00CA47FB"/>
    <w:rsid w:val="00CA4819"/>
    <w:rsid w:val="00CA49A3"/>
    <w:rsid w:val="00CA5B19"/>
    <w:rsid w:val="00CA600B"/>
    <w:rsid w:val="00CA6627"/>
    <w:rsid w:val="00CA698B"/>
    <w:rsid w:val="00CA7096"/>
    <w:rsid w:val="00CA709C"/>
    <w:rsid w:val="00CA70F5"/>
    <w:rsid w:val="00CA791F"/>
    <w:rsid w:val="00CA7BE9"/>
    <w:rsid w:val="00CB0966"/>
    <w:rsid w:val="00CB12B3"/>
    <w:rsid w:val="00CB1352"/>
    <w:rsid w:val="00CB1837"/>
    <w:rsid w:val="00CB1F59"/>
    <w:rsid w:val="00CB20E7"/>
    <w:rsid w:val="00CB21A0"/>
    <w:rsid w:val="00CB21D2"/>
    <w:rsid w:val="00CB23EA"/>
    <w:rsid w:val="00CB24E8"/>
    <w:rsid w:val="00CB2844"/>
    <w:rsid w:val="00CB2873"/>
    <w:rsid w:val="00CB2B77"/>
    <w:rsid w:val="00CB3061"/>
    <w:rsid w:val="00CB3750"/>
    <w:rsid w:val="00CB39EB"/>
    <w:rsid w:val="00CB3B12"/>
    <w:rsid w:val="00CB4038"/>
    <w:rsid w:val="00CB4564"/>
    <w:rsid w:val="00CB4589"/>
    <w:rsid w:val="00CB482E"/>
    <w:rsid w:val="00CB4BCE"/>
    <w:rsid w:val="00CB546F"/>
    <w:rsid w:val="00CB54F0"/>
    <w:rsid w:val="00CB5DE9"/>
    <w:rsid w:val="00CB5FB8"/>
    <w:rsid w:val="00CB60C9"/>
    <w:rsid w:val="00CB62C0"/>
    <w:rsid w:val="00CB6854"/>
    <w:rsid w:val="00CB691B"/>
    <w:rsid w:val="00CB6B17"/>
    <w:rsid w:val="00CB6D24"/>
    <w:rsid w:val="00CB6D92"/>
    <w:rsid w:val="00CB6DC8"/>
    <w:rsid w:val="00CB7063"/>
    <w:rsid w:val="00CB76C4"/>
    <w:rsid w:val="00CB795F"/>
    <w:rsid w:val="00CB7EA3"/>
    <w:rsid w:val="00CC0486"/>
    <w:rsid w:val="00CC0B67"/>
    <w:rsid w:val="00CC0D15"/>
    <w:rsid w:val="00CC1086"/>
    <w:rsid w:val="00CC11D2"/>
    <w:rsid w:val="00CC12AE"/>
    <w:rsid w:val="00CC1399"/>
    <w:rsid w:val="00CC13B8"/>
    <w:rsid w:val="00CC19C8"/>
    <w:rsid w:val="00CC1BBB"/>
    <w:rsid w:val="00CC1E5E"/>
    <w:rsid w:val="00CC227B"/>
    <w:rsid w:val="00CC232C"/>
    <w:rsid w:val="00CC2A06"/>
    <w:rsid w:val="00CC326B"/>
    <w:rsid w:val="00CC36A5"/>
    <w:rsid w:val="00CC39CD"/>
    <w:rsid w:val="00CC3C25"/>
    <w:rsid w:val="00CC3C8A"/>
    <w:rsid w:val="00CC43AB"/>
    <w:rsid w:val="00CC478E"/>
    <w:rsid w:val="00CC47E4"/>
    <w:rsid w:val="00CC4867"/>
    <w:rsid w:val="00CC4DE4"/>
    <w:rsid w:val="00CC54BE"/>
    <w:rsid w:val="00CC568E"/>
    <w:rsid w:val="00CC5AB0"/>
    <w:rsid w:val="00CC5B99"/>
    <w:rsid w:val="00CC5C4F"/>
    <w:rsid w:val="00CC5FD2"/>
    <w:rsid w:val="00CC607B"/>
    <w:rsid w:val="00CC6371"/>
    <w:rsid w:val="00CC645A"/>
    <w:rsid w:val="00CC6A69"/>
    <w:rsid w:val="00CC6A9D"/>
    <w:rsid w:val="00CC6AFF"/>
    <w:rsid w:val="00CC73C3"/>
    <w:rsid w:val="00CC76A7"/>
    <w:rsid w:val="00CC76D2"/>
    <w:rsid w:val="00CC7CF2"/>
    <w:rsid w:val="00CC7ED8"/>
    <w:rsid w:val="00CC7EF1"/>
    <w:rsid w:val="00CC7F08"/>
    <w:rsid w:val="00CC7F87"/>
    <w:rsid w:val="00CD0271"/>
    <w:rsid w:val="00CD087C"/>
    <w:rsid w:val="00CD0B8E"/>
    <w:rsid w:val="00CD11A3"/>
    <w:rsid w:val="00CD11EE"/>
    <w:rsid w:val="00CD12CE"/>
    <w:rsid w:val="00CD1331"/>
    <w:rsid w:val="00CD1545"/>
    <w:rsid w:val="00CD1962"/>
    <w:rsid w:val="00CD1BF3"/>
    <w:rsid w:val="00CD201D"/>
    <w:rsid w:val="00CD2022"/>
    <w:rsid w:val="00CD235B"/>
    <w:rsid w:val="00CD24B4"/>
    <w:rsid w:val="00CD2669"/>
    <w:rsid w:val="00CD27E8"/>
    <w:rsid w:val="00CD2835"/>
    <w:rsid w:val="00CD2B3B"/>
    <w:rsid w:val="00CD2C00"/>
    <w:rsid w:val="00CD32C7"/>
    <w:rsid w:val="00CD3382"/>
    <w:rsid w:val="00CD44C9"/>
    <w:rsid w:val="00CD4B0B"/>
    <w:rsid w:val="00CD4CFC"/>
    <w:rsid w:val="00CD501F"/>
    <w:rsid w:val="00CD6176"/>
    <w:rsid w:val="00CD61B1"/>
    <w:rsid w:val="00CD65C1"/>
    <w:rsid w:val="00CD6C43"/>
    <w:rsid w:val="00CD6D33"/>
    <w:rsid w:val="00CD73E4"/>
    <w:rsid w:val="00CD73EB"/>
    <w:rsid w:val="00CD7481"/>
    <w:rsid w:val="00CD7667"/>
    <w:rsid w:val="00CD7852"/>
    <w:rsid w:val="00CD7A6A"/>
    <w:rsid w:val="00CD7BA4"/>
    <w:rsid w:val="00CD7FB9"/>
    <w:rsid w:val="00CE0085"/>
    <w:rsid w:val="00CE03B1"/>
    <w:rsid w:val="00CE0472"/>
    <w:rsid w:val="00CE06B9"/>
    <w:rsid w:val="00CE0779"/>
    <w:rsid w:val="00CE098C"/>
    <w:rsid w:val="00CE09FD"/>
    <w:rsid w:val="00CE179F"/>
    <w:rsid w:val="00CE1B30"/>
    <w:rsid w:val="00CE242D"/>
    <w:rsid w:val="00CE2B14"/>
    <w:rsid w:val="00CE2B6C"/>
    <w:rsid w:val="00CE2C1A"/>
    <w:rsid w:val="00CE3406"/>
    <w:rsid w:val="00CE34FF"/>
    <w:rsid w:val="00CE3783"/>
    <w:rsid w:val="00CE3E59"/>
    <w:rsid w:val="00CE3F53"/>
    <w:rsid w:val="00CE4134"/>
    <w:rsid w:val="00CE46BB"/>
    <w:rsid w:val="00CE4A68"/>
    <w:rsid w:val="00CE4D05"/>
    <w:rsid w:val="00CE4E86"/>
    <w:rsid w:val="00CE51D1"/>
    <w:rsid w:val="00CE558E"/>
    <w:rsid w:val="00CE55E3"/>
    <w:rsid w:val="00CE5774"/>
    <w:rsid w:val="00CE5AB0"/>
    <w:rsid w:val="00CE6B71"/>
    <w:rsid w:val="00CE6C14"/>
    <w:rsid w:val="00CE6F23"/>
    <w:rsid w:val="00CE7156"/>
    <w:rsid w:val="00CE737E"/>
    <w:rsid w:val="00CE7407"/>
    <w:rsid w:val="00CE76B0"/>
    <w:rsid w:val="00CE77F6"/>
    <w:rsid w:val="00CE7933"/>
    <w:rsid w:val="00CE7D30"/>
    <w:rsid w:val="00CF00F4"/>
    <w:rsid w:val="00CF0DA8"/>
    <w:rsid w:val="00CF0F6D"/>
    <w:rsid w:val="00CF164C"/>
    <w:rsid w:val="00CF1A1B"/>
    <w:rsid w:val="00CF20F6"/>
    <w:rsid w:val="00CF2302"/>
    <w:rsid w:val="00CF2431"/>
    <w:rsid w:val="00CF2900"/>
    <w:rsid w:val="00CF2C6F"/>
    <w:rsid w:val="00CF2CFE"/>
    <w:rsid w:val="00CF30EC"/>
    <w:rsid w:val="00CF31A3"/>
    <w:rsid w:val="00CF32F9"/>
    <w:rsid w:val="00CF4131"/>
    <w:rsid w:val="00CF4CDE"/>
    <w:rsid w:val="00CF501B"/>
    <w:rsid w:val="00CF505A"/>
    <w:rsid w:val="00CF5085"/>
    <w:rsid w:val="00CF532D"/>
    <w:rsid w:val="00CF5808"/>
    <w:rsid w:val="00CF5961"/>
    <w:rsid w:val="00CF5CBF"/>
    <w:rsid w:val="00CF5FDC"/>
    <w:rsid w:val="00CF62F0"/>
    <w:rsid w:val="00CF64A8"/>
    <w:rsid w:val="00CF6AF2"/>
    <w:rsid w:val="00CF6EE6"/>
    <w:rsid w:val="00CF7332"/>
    <w:rsid w:val="00CF791D"/>
    <w:rsid w:val="00CF7B3F"/>
    <w:rsid w:val="00D00382"/>
    <w:rsid w:val="00D0086A"/>
    <w:rsid w:val="00D00B32"/>
    <w:rsid w:val="00D011C0"/>
    <w:rsid w:val="00D013D3"/>
    <w:rsid w:val="00D01406"/>
    <w:rsid w:val="00D017F5"/>
    <w:rsid w:val="00D023D4"/>
    <w:rsid w:val="00D02689"/>
    <w:rsid w:val="00D027E5"/>
    <w:rsid w:val="00D028FF"/>
    <w:rsid w:val="00D02913"/>
    <w:rsid w:val="00D02C8E"/>
    <w:rsid w:val="00D02EF1"/>
    <w:rsid w:val="00D02F4E"/>
    <w:rsid w:val="00D03B6B"/>
    <w:rsid w:val="00D03EE4"/>
    <w:rsid w:val="00D0424C"/>
    <w:rsid w:val="00D0428B"/>
    <w:rsid w:val="00D042C2"/>
    <w:rsid w:val="00D04411"/>
    <w:rsid w:val="00D049EA"/>
    <w:rsid w:val="00D04A5F"/>
    <w:rsid w:val="00D04B4A"/>
    <w:rsid w:val="00D04EE0"/>
    <w:rsid w:val="00D04F16"/>
    <w:rsid w:val="00D05719"/>
    <w:rsid w:val="00D05A01"/>
    <w:rsid w:val="00D05B0E"/>
    <w:rsid w:val="00D05E6E"/>
    <w:rsid w:val="00D06125"/>
    <w:rsid w:val="00D06ACC"/>
    <w:rsid w:val="00D06CAE"/>
    <w:rsid w:val="00D06D04"/>
    <w:rsid w:val="00D0716C"/>
    <w:rsid w:val="00D0737B"/>
    <w:rsid w:val="00D07488"/>
    <w:rsid w:val="00D07A8D"/>
    <w:rsid w:val="00D07EC3"/>
    <w:rsid w:val="00D1024D"/>
    <w:rsid w:val="00D1048E"/>
    <w:rsid w:val="00D1059C"/>
    <w:rsid w:val="00D11A83"/>
    <w:rsid w:val="00D11F5B"/>
    <w:rsid w:val="00D120BF"/>
    <w:rsid w:val="00D122A9"/>
    <w:rsid w:val="00D125D6"/>
    <w:rsid w:val="00D12853"/>
    <w:rsid w:val="00D1294F"/>
    <w:rsid w:val="00D13AE0"/>
    <w:rsid w:val="00D141FD"/>
    <w:rsid w:val="00D143EC"/>
    <w:rsid w:val="00D14468"/>
    <w:rsid w:val="00D14683"/>
    <w:rsid w:val="00D1469B"/>
    <w:rsid w:val="00D149D6"/>
    <w:rsid w:val="00D14C80"/>
    <w:rsid w:val="00D1528E"/>
    <w:rsid w:val="00D15792"/>
    <w:rsid w:val="00D15B8D"/>
    <w:rsid w:val="00D16104"/>
    <w:rsid w:val="00D161A1"/>
    <w:rsid w:val="00D16307"/>
    <w:rsid w:val="00D16547"/>
    <w:rsid w:val="00D16862"/>
    <w:rsid w:val="00D1741D"/>
    <w:rsid w:val="00D174C3"/>
    <w:rsid w:val="00D174EE"/>
    <w:rsid w:val="00D17523"/>
    <w:rsid w:val="00D17AB0"/>
    <w:rsid w:val="00D17D15"/>
    <w:rsid w:val="00D17D8F"/>
    <w:rsid w:val="00D17E55"/>
    <w:rsid w:val="00D20959"/>
    <w:rsid w:val="00D211C9"/>
    <w:rsid w:val="00D21376"/>
    <w:rsid w:val="00D21519"/>
    <w:rsid w:val="00D2179B"/>
    <w:rsid w:val="00D2181F"/>
    <w:rsid w:val="00D2186E"/>
    <w:rsid w:val="00D2196A"/>
    <w:rsid w:val="00D21F15"/>
    <w:rsid w:val="00D21F46"/>
    <w:rsid w:val="00D2206F"/>
    <w:rsid w:val="00D220D2"/>
    <w:rsid w:val="00D220E0"/>
    <w:rsid w:val="00D22219"/>
    <w:rsid w:val="00D2227B"/>
    <w:rsid w:val="00D22344"/>
    <w:rsid w:val="00D22699"/>
    <w:rsid w:val="00D226BD"/>
    <w:rsid w:val="00D22726"/>
    <w:rsid w:val="00D22ACB"/>
    <w:rsid w:val="00D22EDD"/>
    <w:rsid w:val="00D22F9A"/>
    <w:rsid w:val="00D230D4"/>
    <w:rsid w:val="00D2316C"/>
    <w:rsid w:val="00D232B7"/>
    <w:rsid w:val="00D23531"/>
    <w:rsid w:val="00D237EF"/>
    <w:rsid w:val="00D238C6"/>
    <w:rsid w:val="00D23E8C"/>
    <w:rsid w:val="00D2421A"/>
    <w:rsid w:val="00D24471"/>
    <w:rsid w:val="00D24D0C"/>
    <w:rsid w:val="00D24D15"/>
    <w:rsid w:val="00D24E07"/>
    <w:rsid w:val="00D24FF4"/>
    <w:rsid w:val="00D25F50"/>
    <w:rsid w:val="00D260DE"/>
    <w:rsid w:val="00D26D4A"/>
    <w:rsid w:val="00D26DEA"/>
    <w:rsid w:val="00D2738B"/>
    <w:rsid w:val="00D27592"/>
    <w:rsid w:val="00D3034E"/>
    <w:rsid w:val="00D30604"/>
    <w:rsid w:val="00D30A84"/>
    <w:rsid w:val="00D30CBA"/>
    <w:rsid w:val="00D30D74"/>
    <w:rsid w:val="00D31160"/>
    <w:rsid w:val="00D31794"/>
    <w:rsid w:val="00D319CC"/>
    <w:rsid w:val="00D32060"/>
    <w:rsid w:val="00D323B5"/>
    <w:rsid w:val="00D3252D"/>
    <w:rsid w:val="00D327B7"/>
    <w:rsid w:val="00D32EC8"/>
    <w:rsid w:val="00D33B0D"/>
    <w:rsid w:val="00D34371"/>
    <w:rsid w:val="00D345E7"/>
    <w:rsid w:val="00D34A0C"/>
    <w:rsid w:val="00D35366"/>
    <w:rsid w:val="00D353D1"/>
    <w:rsid w:val="00D353F2"/>
    <w:rsid w:val="00D3564F"/>
    <w:rsid w:val="00D361E5"/>
    <w:rsid w:val="00D36333"/>
    <w:rsid w:val="00D36712"/>
    <w:rsid w:val="00D36D56"/>
    <w:rsid w:val="00D36E38"/>
    <w:rsid w:val="00D3741E"/>
    <w:rsid w:val="00D37695"/>
    <w:rsid w:val="00D37A7B"/>
    <w:rsid w:val="00D37C36"/>
    <w:rsid w:val="00D4024E"/>
    <w:rsid w:val="00D40953"/>
    <w:rsid w:val="00D40A32"/>
    <w:rsid w:val="00D40CD1"/>
    <w:rsid w:val="00D40CE5"/>
    <w:rsid w:val="00D4123F"/>
    <w:rsid w:val="00D415E7"/>
    <w:rsid w:val="00D4163F"/>
    <w:rsid w:val="00D4187B"/>
    <w:rsid w:val="00D419FA"/>
    <w:rsid w:val="00D422A8"/>
    <w:rsid w:val="00D4235C"/>
    <w:rsid w:val="00D42725"/>
    <w:rsid w:val="00D428B3"/>
    <w:rsid w:val="00D432CE"/>
    <w:rsid w:val="00D43E58"/>
    <w:rsid w:val="00D44082"/>
    <w:rsid w:val="00D44150"/>
    <w:rsid w:val="00D4418F"/>
    <w:rsid w:val="00D44D21"/>
    <w:rsid w:val="00D4510A"/>
    <w:rsid w:val="00D456C4"/>
    <w:rsid w:val="00D459CF"/>
    <w:rsid w:val="00D45ABB"/>
    <w:rsid w:val="00D45D62"/>
    <w:rsid w:val="00D46351"/>
    <w:rsid w:val="00D46529"/>
    <w:rsid w:val="00D46A7B"/>
    <w:rsid w:val="00D46AE1"/>
    <w:rsid w:val="00D46D74"/>
    <w:rsid w:val="00D46E2C"/>
    <w:rsid w:val="00D46EF2"/>
    <w:rsid w:val="00D46F4B"/>
    <w:rsid w:val="00D47210"/>
    <w:rsid w:val="00D476E3"/>
    <w:rsid w:val="00D477EA"/>
    <w:rsid w:val="00D47D35"/>
    <w:rsid w:val="00D502DF"/>
    <w:rsid w:val="00D50540"/>
    <w:rsid w:val="00D505DB"/>
    <w:rsid w:val="00D5073A"/>
    <w:rsid w:val="00D50B0D"/>
    <w:rsid w:val="00D50C9B"/>
    <w:rsid w:val="00D51175"/>
    <w:rsid w:val="00D511FD"/>
    <w:rsid w:val="00D51572"/>
    <w:rsid w:val="00D51878"/>
    <w:rsid w:val="00D51C16"/>
    <w:rsid w:val="00D52088"/>
    <w:rsid w:val="00D521A8"/>
    <w:rsid w:val="00D52403"/>
    <w:rsid w:val="00D5291A"/>
    <w:rsid w:val="00D52C8C"/>
    <w:rsid w:val="00D53140"/>
    <w:rsid w:val="00D53746"/>
    <w:rsid w:val="00D5377B"/>
    <w:rsid w:val="00D53CDD"/>
    <w:rsid w:val="00D549BF"/>
    <w:rsid w:val="00D5502D"/>
    <w:rsid w:val="00D551E1"/>
    <w:rsid w:val="00D555C8"/>
    <w:rsid w:val="00D55763"/>
    <w:rsid w:val="00D557FD"/>
    <w:rsid w:val="00D56574"/>
    <w:rsid w:val="00D5708A"/>
    <w:rsid w:val="00D570F1"/>
    <w:rsid w:val="00D5734F"/>
    <w:rsid w:val="00D5735F"/>
    <w:rsid w:val="00D573E4"/>
    <w:rsid w:val="00D57526"/>
    <w:rsid w:val="00D576B5"/>
    <w:rsid w:val="00D57849"/>
    <w:rsid w:val="00D579C5"/>
    <w:rsid w:val="00D57F42"/>
    <w:rsid w:val="00D60439"/>
    <w:rsid w:val="00D606C2"/>
    <w:rsid w:val="00D60BC1"/>
    <w:rsid w:val="00D60E52"/>
    <w:rsid w:val="00D60EA6"/>
    <w:rsid w:val="00D6199A"/>
    <w:rsid w:val="00D61D58"/>
    <w:rsid w:val="00D6214F"/>
    <w:rsid w:val="00D6293F"/>
    <w:rsid w:val="00D62AB4"/>
    <w:rsid w:val="00D63335"/>
    <w:rsid w:val="00D634BA"/>
    <w:rsid w:val="00D64903"/>
    <w:rsid w:val="00D649A7"/>
    <w:rsid w:val="00D64B27"/>
    <w:rsid w:val="00D64D1B"/>
    <w:rsid w:val="00D64E5F"/>
    <w:rsid w:val="00D64EFF"/>
    <w:rsid w:val="00D655B7"/>
    <w:rsid w:val="00D6661E"/>
    <w:rsid w:val="00D6714F"/>
    <w:rsid w:val="00D678A1"/>
    <w:rsid w:val="00D67943"/>
    <w:rsid w:val="00D6796F"/>
    <w:rsid w:val="00D67F60"/>
    <w:rsid w:val="00D702D3"/>
    <w:rsid w:val="00D70A95"/>
    <w:rsid w:val="00D70BF5"/>
    <w:rsid w:val="00D70EB2"/>
    <w:rsid w:val="00D713D1"/>
    <w:rsid w:val="00D715EF"/>
    <w:rsid w:val="00D717B1"/>
    <w:rsid w:val="00D71D51"/>
    <w:rsid w:val="00D720BB"/>
    <w:rsid w:val="00D721E3"/>
    <w:rsid w:val="00D72292"/>
    <w:rsid w:val="00D729FE"/>
    <w:rsid w:val="00D72B55"/>
    <w:rsid w:val="00D72B97"/>
    <w:rsid w:val="00D740E6"/>
    <w:rsid w:val="00D74215"/>
    <w:rsid w:val="00D74994"/>
    <w:rsid w:val="00D749BC"/>
    <w:rsid w:val="00D755C0"/>
    <w:rsid w:val="00D75924"/>
    <w:rsid w:val="00D75DD0"/>
    <w:rsid w:val="00D7602E"/>
    <w:rsid w:val="00D763D4"/>
    <w:rsid w:val="00D76996"/>
    <w:rsid w:val="00D7771F"/>
    <w:rsid w:val="00D77A37"/>
    <w:rsid w:val="00D77C45"/>
    <w:rsid w:val="00D77E44"/>
    <w:rsid w:val="00D8003C"/>
    <w:rsid w:val="00D809C4"/>
    <w:rsid w:val="00D80B1A"/>
    <w:rsid w:val="00D81071"/>
    <w:rsid w:val="00D821E0"/>
    <w:rsid w:val="00D825D1"/>
    <w:rsid w:val="00D82879"/>
    <w:rsid w:val="00D835A8"/>
    <w:rsid w:val="00D83930"/>
    <w:rsid w:val="00D83B82"/>
    <w:rsid w:val="00D83EC7"/>
    <w:rsid w:val="00D845D9"/>
    <w:rsid w:val="00D84A00"/>
    <w:rsid w:val="00D84CD5"/>
    <w:rsid w:val="00D8583F"/>
    <w:rsid w:val="00D85859"/>
    <w:rsid w:val="00D859EC"/>
    <w:rsid w:val="00D85D3F"/>
    <w:rsid w:val="00D85E04"/>
    <w:rsid w:val="00D866FA"/>
    <w:rsid w:val="00D869C2"/>
    <w:rsid w:val="00D86D45"/>
    <w:rsid w:val="00D86F21"/>
    <w:rsid w:val="00D86FFD"/>
    <w:rsid w:val="00D87295"/>
    <w:rsid w:val="00D87479"/>
    <w:rsid w:val="00D87530"/>
    <w:rsid w:val="00D90787"/>
    <w:rsid w:val="00D9090D"/>
    <w:rsid w:val="00D9106F"/>
    <w:rsid w:val="00D910E6"/>
    <w:rsid w:val="00D91328"/>
    <w:rsid w:val="00D9150D"/>
    <w:rsid w:val="00D91A6E"/>
    <w:rsid w:val="00D91ADD"/>
    <w:rsid w:val="00D92739"/>
    <w:rsid w:val="00D92937"/>
    <w:rsid w:val="00D929A5"/>
    <w:rsid w:val="00D92AC5"/>
    <w:rsid w:val="00D92B42"/>
    <w:rsid w:val="00D92D92"/>
    <w:rsid w:val="00D93254"/>
    <w:rsid w:val="00D936A3"/>
    <w:rsid w:val="00D93B70"/>
    <w:rsid w:val="00D93ED9"/>
    <w:rsid w:val="00D949A7"/>
    <w:rsid w:val="00D949F4"/>
    <w:rsid w:val="00D952A8"/>
    <w:rsid w:val="00D961F2"/>
    <w:rsid w:val="00D962E3"/>
    <w:rsid w:val="00D96321"/>
    <w:rsid w:val="00D9649B"/>
    <w:rsid w:val="00D9669A"/>
    <w:rsid w:val="00D96A60"/>
    <w:rsid w:val="00D96D2E"/>
    <w:rsid w:val="00D97607"/>
    <w:rsid w:val="00D97687"/>
    <w:rsid w:val="00D9775E"/>
    <w:rsid w:val="00D97C0B"/>
    <w:rsid w:val="00D97D34"/>
    <w:rsid w:val="00D97E89"/>
    <w:rsid w:val="00D97ED0"/>
    <w:rsid w:val="00D97FC9"/>
    <w:rsid w:val="00DA023C"/>
    <w:rsid w:val="00DA07A5"/>
    <w:rsid w:val="00DA0A5C"/>
    <w:rsid w:val="00DA11EC"/>
    <w:rsid w:val="00DA1610"/>
    <w:rsid w:val="00DA1A11"/>
    <w:rsid w:val="00DA1BEF"/>
    <w:rsid w:val="00DA1CE5"/>
    <w:rsid w:val="00DA28A8"/>
    <w:rsid w:val="00DA2DDB"/>
    <w:rsid w:val="00DA3099"/>
    <w:rsid w:val="00DA312F"/>
    <w:rsid w:val="00DA3143"/>
    <w:rsid w:val="00DA32D8"/>
    <w:rsid w:val="00DA415F"/>
    <w:rsid w:val="00DA41C6"/>
    <w:rsid w:val="00DA43FB"/>
    <w:rsid w:val="00DA45CF"/>
    <w:rsid w:val="00DA4EAE"/>
    <w:rsid w:val="00DA520F"/>
    <w:rsid w:val="00DA53EA"/>
    <w:rsid w:val="00DA5479"/>
    <w:rsid w:val="00DA55D4"/>
    <w:rsid w:val="00DA60BC"/>
    <w:rsid w:val="00DA6178"/>
    <w:rsid w:val="00DA622E"/>
    <w:rsid w:val="00DA6854"/>
    <w:rsid w:val="00DA6AF1"/>
    <w:rsid w:val="00DA6D4F"/>
    <w:rsid w:val="00DA6FB4"/>
    <w:rsid w:val="00DA721B"/>
    <w:rsid w:val="00DA7AC3"/>
    <w:rsid w:val="00DA7B65"/>
    <w:rsid w:val="00DA7BD4"/>
    <w:rsid w:val="00DA7E45"/>
    <w:rsid w:val="00DB0324"/>
    <w:rsid w:val="00DB0686"/>
    <w:rsid w:val="00DB09AC"/>
    <w:rsid w:val="00DB0CDE"/>
    <w:rsid w:val="00DB10A8"/>
    <w:rsid w:val="00DB140B"/>
    <w:rsid w:val="00DB1532"/>
    <w:rsid w:val="00DB158E"/>
    <w:rsid w:val="00DB1AF3"/>
    <w:rsid w:val="00DB1CAD"/>
    <w:rsid w:val="00DB22B0"/>
    <w:rsid w:val="00DB2C42"/>
    <w:rsid w:val="00DB2D3F"/>
    <w:rsid w:val="00DB2D76"/>
    <w:rsid w:val="00DB321B"/>
    <w:rsid w:val="00DB3381"/>
    <w:rsid w:val="00DB44FE"/>
    <w:rsid w:val="00DB47A9"/>
    <w:rsid w:val="00DB4838"/>
    <w:rsid w:val="00DB4992"/>
    <w:rsid w:val="00DB4C98"/>
    <w:rsid w:val="00DB4CDD"/>
    <w:rsid w:val="00DB54A5"/>
    <w:rsid w:val="00DB558D"/>
    <w:rsid w:val="00DB584E"/>
    <w:rsid w:val="00DB5A3E"/>
    <w:rsid w:val="00DB5C4E"/>
    <w:rsid w:val="00DB6399"/>
    <w:rsid w:val="00DB6511"/>
    <w:rsid w:val="00DB6695"/>
    <w:rsid w:val="00DB69D9"/>
    <w:rsid w:val="00DB6A8D"/>
    <w:rsid w:val="00DB6C07"/>
    <w:rsid w:val="00DB70AD"/>
    <w:rsid w:val="00DB7C17"/>
    <w:rsid w:val="00DB7DEB"/>
    <w:rsid w:val="00DB7E67"/>
    <w:rsid w:val="00DC02FF"/>
    <w:rsid w:val="00DC040B"/>
    <w:rsid w:val="00DC0487"/>
    <w:rsid w:val="00DC074F"/>
    <w:rsid w:val="00DC099D"/>
    <w:rsid w:val="00DC1113"/>
    <w:rsid w:val="00DC16AF"/>
    <w:rsid w:val="00DC1ADC"/>
    <w:rsid w:val="00DC1C24"/>
    <w:rsid w:val="00DC21AE"/>
    <w:rsid w:val="00DC26FE"/>
    <w:rsid w:val="00DC2FB1"/>
    <w:rsid w:val="00DC32EC"/>
    <w:rsid w:val="00DC3BFC"/>
    <w:rsid w:val="00DC3FDF"/>
    <w:rsid w:val="00DC4099"/>
    <w:rsid w:val="00DC4790"/>
    <w:rsid w:val="00DC47F5"/>
    <w:rsid w:val="00DC499F"/>
    <w:rsid w:val="00DC5069"/>
    <w:rsid w:val="00DC5399"/>
    <w:rsid w:val="00DC57E2"/>
    <w:rsid w:val="00DC5B11"/>
    <w:rsid w:val="00DC5D69"/>
    <w:rsid w:val="00DC5F9D"/>
    <w:rsid w:val="00DC60DE"/>
    <w:rsid w:val="00DC64D4"/>
    <w:rsid w:val="00DC6737"/>
    <w:rsid w:val="00DC676C"/>
    <w:rsid w:val="00DC6F1C"/>
    <w:rsid w:val="00DC7000"/>
    <w:rsid w:val="00DC70C8"/>
    <w:rsid w:val="00DC760C"/>
    <w:rsid w:val="00DD051E"/>
    <w:rsid w:val="00DD05B3"/>
    <w:rsid w:val="00DD06A2"/>
    <w:rsid w:val="00DD0BA0"/>
    <w:rsid w:val="00DD0E0E"/>
    <w:rsid w:val="00DD1046"/>
    <w:rsid w:val="00DD12A3"/>
    <w:rsid w:val="00DD14AC"/>
    <w:rsid w:val="00DD1636"/>
    <w:rsid w:val="00DD1715"/>
    <w:rsid w:val="00DD18CD"/>
    <w:rsid w:val="00DD194E"/>
    <w:rsid w:val="00DD1955"/>
    <w:rsid w:val="00DD1F54"/>
    <w:rsid w:val="00DD25C3"/>
    <w:rsid w:val="00DD2A81"/>
    <w:rsid w:val="00DD3113"/>
    <w:rsid w:val="00DD375D"/>
    <w:rsid w:val="00DD3A25"/>
    <w:rsid w:val="00DD3A2E"/>
    <w:rsid w:val="00DD429E"/>
    <w:rsid w:val="00DD481A"/>
    <w:rsid w:val="00DD4A10"/>
    <w:rsid w:val="00DD51FB"/>
    <w:rsid w:val="00DD52F1"/>
    <w:rsid w:val="00DD53A9"/>
    <w:rsid w:val="00DD5856"/>
    <w:rsid w:val="00DD59F8"/>
    <w:rsid w:val="00DD6659"/>
    <w:rsid w:val="00DD7006"/>
    <w:rsid w:val="00DD713D"/>
    <w:rsid w:val="00DD71EA"/>
    <w:rsid w:val="00DD73DA"/>
    <w:rsid w:val="00DD7653"/>
    <w:rsid w:val="00DD7B40"/>
    <w:rsid w:val="00DE0009"/>
    <w:rsid w:val="00DE06AE"/>
    <w:rsid w:val="00DE0722"/>
    <w:rsid w:val="00DE0A06"/>
    <w:rsid w:val="00DE117E"/>
    <w:rsid w:val="00DE122E"/>
    <w:rsid w:val="00DE1987"/>
    <w:rsid w:val="00DE1EE2"/>
    <w:rsid w:val="00DE1EF9"/>
    <w:rsid w:val="00DE1F63"/>
    <w:rsid w:val="00DE201C"/>
    <w:rsid w:val="00DE27B2"/>
    <w:rsid w:val="00DE2997"/>
    <w:rsid w:val="00DE2A71"/>
    <w:rsid w:val="00DE2AC1"/>
    <w:rsid w:val="00DE36B5"/>
    <w:rsid w:val="00DE36CF"/>
    <w:rsid w:val="00DE3A37"/>
    <w:rsid w:val="00DE3AC9"/>
    <w:rsid w:val="00DE3D70"/>
    <w:rsid w:val="00DE3ED4"/>
    <w:rsid w:val="00DE4007"/>
    <w:rsid w:val="00DE41D6"/>
    <w:rsid w:val="00DE42BA"/>
    <w:rsid w:val="00DE44C2"/>
    <w:rsid w:val="00DE49DA"/>
    <w:rsid w:val="00DE50C2"/>
    <w:rsid w:val="00DE566F"/>
    <w:rsid w:val="00DE5AE1"/>
    <w:rsid w:val="00DE5C6A"/>
    <w:rsid w:val="00DE5DF9"/>
    <w:rsid w:val="00DE5E0C"/>
    <w:rsid w:val="00DE61F7"/>
    <w:rsid w:val="00DE63F0"/>
    <w:rsid w:val="00DE654E"/>
    <w:rsid w:val="00DE6BC2"/>
    <w:rsid w:val="00DE74FA"/>
    <w:rsid w:val="00DE75B2"/>
    <w:rsid w:val="00DE7751"/>
    <w:rsid w:val="00DE79AA"/>
    <w:rsid w:val="00DE7E04"/>
    <w:rsid w:val="00DF0728"/>
    <w:rsid w:val="00DF0867"/>
    <w:rsid w:val="00DF146B"/>
    <w:rsid w:val="00DF1763"/>
    <w:rsid w:val="00DF1A1F"/>
    <w:rsid w:val="00DF1ADC"/>
    <w:rsid w:val="00DF1C08"/>
    <w:rsid w:val="00DF2249"/>
    <w:rsid w:val="00DF2347"/>
    <w:rsid w:val="00DF23D9"/>
    <w:rsid w:val="00DF2606"/>
    <w:rsid w:val="00DF2BCC"/>
    <w:rsid w:val="00DF2C5D"/>
    <w:rsid w:val="00DF30D5"/>
    <w:rsid w:val="00DF363A"/>
    <w:rsid w:val="00DF39A0"/>
    <w:rsid w:val="00DF4173"/>
    <w:rsid w:val="00DF4488"/>
    <w:rsid w:val="00DF44AE"/>
    <w:rsid w:val="00DF479B"/>
    <w:rsid w:val="00DF47BF"/>
    <w:rsid w:val="00DF53E8"/>
    <w:rsid w:val="00DF55B8"/>
    <w:rsid w:val="00DF55F1"/>
    <w:rsid w:val="00DF598C"/>
    <w:rsid w:val="00DF598F"/>
    <w:rsid w:val="00DF5D23"/>
    <w:rsid w:val="00DF61C8"/>
    <w:rsid w:val="00DF630F"/>
    <w:rsid w:val="00DF6323"/>
    <w:rsid w:val="00DF653D"/>
    <w:rsid w:val="00DF69CE"/>
    <w:rsid w:val="00DF69F3"/>
    <w:rsid w:val="00DF6B26"/>
    <w:rsid w:val="00DF744E"/>
    <w:rsid w:val="00DF74F4"/>
    <w:rsid w:val="00E000DB"/>
    <w:rsid w:val="00E00167"/>
    <w:rsid w:val="00E00258"/>
    <w:rsid w:val="00E0037B"/>
    <w:rsid w:val="00E00595"/>
    <w:rsid w:val="00E0068F"/>
    <w:rsid w:val="00E009B9"/>
    <w:rsid w:val="00E01B7C"/>
    <w:rsid w:val="00E024F2"/>
    <w:rsid w:val="00E02792"/>
    <w:rsid w:val="00E02BB1"/>
    <w:rsid w:val="00E02E74"/>
    <w:rsid w:val="00E02E7E"/>
    <w:rsid w:val="00E02EA2"/>
    <w:rsid w:val="00E03508"/>
    <w:rsid w:val="00E037B4"/>
    <w:rsid w:val="00E037CE"/>
    <w:rsid w:val="00E03913"/>
    <w:rsid w:val="00E03C48"/>
    <w:rsid w:val="00E03CFF"/>
    <w:rsid w:val="00E040C4"/>
    <w:rsid w:val="00E05499"/>
    <w:rsid w:val="00E054BA"/>
    <w:rsid w:val="00E05967"/>
    <w:rsid w:val="00E05EFD"/>
    <w:rsid w:val="00E06072"/>
    <w:rsid w:val="00E06D91"/>
    <w:rsid w:val="00E06F9F"/>
    <w:rsid w:val="00E075C3"/>
    <w:rsid w:val="00E07BA3"/>
    <w:rsid w:val="00E106B4"/>
    <w:rsid w:val="00E1081C"/>
    <w:rsid w:val="00E1099E"/>
    <w:rsid w:val="00E10D3F"/>
    <w:rsid w:val="00E11279"/>
    <w:rsid w:val="00E1129E"/>
    <w:rsid w:val="00E11353"/>
    <w:rsid w:val="00E11977"/>
    <w:rsid w:val="00E11C1B"/>
    <w:rsid w:val="00E11C7C"/>
    <w:rsid w:val="00E120DB"/>
    <w:rsid w:val="00E12136"/>
    <w:rsid w:val="00E121DD"/>
    <w:rsid w:val="00E12264"/>
    <w:rsid w:val="00E12265"/>
    <w:rsid w:val="00E12735"/>
    <w:rsid w:val="00E12746"/>
    <w:rsid w:val="00E13004"/>
    <w:rsid w:val="00E1325B"/>
    <w:rsid w:val="00E135A2"/>
    <w:rsid w:val="00E13DE5"/>
    <w:rsid w:val="00E13E95"/>
    <w:rsid w:val="00E13EAD"/>
    <w:rsid w:val="00E14001"/>
    <w:rsid w:val="00E144AD"/>
    <w:rsid w:val="00E1492B"/>
    <w:rsid w:val="00E1498B"/>
    <w:rsid w:val="00E14D03"/>
    <w:rsid w:val="00E15156"/>
    <w:rsid w:val="00E1538D"/>
    <w:rsid w:val="00E154E3"/>
    <w:rsid w:val="00E15A7E"/>
    <w:rsid w:val="00E15DE0"/>
    <w:rsid w:val="00E160CA"/>
    <w:rsid w:val="00E161F0"/>
    <w:rsid w:val="00E1675C"/>
    <w:rsid w:val="00E16977"/>
    <w:rsid w:val="00E16BE1"/>
    <w:rsid w:val="00E16C06"/>
    <w:rsid w:val="00E16EBD"/>
    <w:rsid w:val="00E17DAB"/>
    <w:rsid w:val="00E2004D"/>
    <w:rsid w:val="00E20209"/>
    <w:rsid w:val="00E20628"/>
    <w:rsid w:val="00E207C4"/>
    <w:rsid w:val="00E2103B"/>
    <w:rsid w:val="00E2127C"/>
    <w:rsid w:val="00E213DA"/>
    <w:rsid w:val="00E21FF2"/>
    <w:rsid w:val="00E223BE"/>
    <w:rsid w:val="00E22A07"/>
    <w:rsid w:val="00E22AB5"/>
    <w:rsid w:val="00E22E21"/>
    <w:rsid w:val="00E235C3"/>
    <w:rsid w:val="00E23653"/>
    <w:rsid w:val="00E23B49"/>
    <w:rsid w:val="00E23B6A"/>
    <w:rsid w:val="00E23CB1"/>
    <w:rsid w:val="00E24C5F"/>
    <w:rsid w:val="00E24DAF"/>
    <w:rsid w:val="00E25249"/>
    <w:rsid w:val="00E253F7"/>
    <w:rsid w:val="00E2587C"/>
    <w:rsid w:val="00E25927"/>
    <w:rsid w:val="00E26003"/>
    <w:rsid w:val="00E261E0"/>
    <w:rsid w:val="00E26381"/>
    <w:rsid w:val="00E264A8"/>
    <w:rsid w:val="00E26964"/>
    <w:rsid w:val="00E269D0"/>
    <w:rsid w:val="00E273FF"/>
    <w:rsid w:val="00E279E8"/>
    <w:rsid w:val="00E27B91"/>
    <w:rsid w:val="00E306E7"/>
    <w:rsid w:val="00E3087C"/>
    <w:rsid w:val="00E308A9"/>
    <w:rsid w:val="00E30AE1"/>
    <w:rsid w:val="00E30BA9"/>
    <w:rsid w:val="00E30BFE"/>
    <w:rsid w:val="00E30E1D"/>
    <w:rsid w:val="00E30F6D"/>
    <w:rsid w:val="00E30FE2"/>
    <w:rsid w:val="00E31134"/>
    <w:rsid w:val="00E31272"/>
    <w:rsid w:val="00E31428"/>
    <w:rsid w:val="00E31483"/>
    <w:rsid w:val="00E31A3D"/>
    <w:rsid w:val="00E32C96"/>
    <w:rsid w:val="00E33574"/>
    <w:rsid w:val="00E335C8"/>
    <w:rsid w:val="00E34478"/>
    <w:rsid w:val="00E3495D"/>
    <w:rsid w:val="00E34A6E"/>
    <w:rsid w:val="00E35221"/>
    <w:rsid w:val="00E35314"/>
    <w:rsid w:val="00E357D1"/>
    <w:rsid w:val="00E359A2"/>
    <w:rsid w:val="00E35D73"/>
    <w:rsid w:val="00E35E2C"/>
    <w:rsid w:val="00E3625A"/>
    <w:rsid w:val="00E36596"/>
    <w:rsid w:val="00E3664F"/>
    <w:rsid w:val="00E36D76"/>
    <w:rsid w:val="00E36E46"/>
    <w:rsid w:val="00E36F77"/>
    <w:rsid w:val="00E3739D"/>
    <w:rsid w:val="00E37BA9"/>
    <w:rsid w:val="00E37F9B"/>
    <w:rsid w:val="00E40523"/>
    <w:rsid w:val="00E412FE"/>
    <w:rsid w:val="00E418E4"/>
    <w:rsid w:val="00E419F8"/>
    <w:rsid w:val="00E42411"/>
    <w:rsid w:val="00E42C17"/>
    <w:rsid w:val="00E42C8A"/>
    <w:rsid w:val="00E4315F"/>
    <w:rsid w:val="00E43243"/>
    <w:rsid w:val="00E435DA"/>
    <w:rsid w:val="00E436F2"/>
    <w:rsid w:val="00E43965"/>
    <w:rsid w:val="00E43E3B"/>
    <w:rsid w:val="00E4424E"/>
    <w:rsid w:val="00E4452C"/>
    <w:rsid w:val="00E44F62"/>
    <w:rsid w:val="00E4565B"/>
    <w:rsid w:val="00E4582E"/>
    <w:rsid w:val="00E45CE2"/>
    <w:rsid w:val="00E45DEF"/>
    <w:rsid w:val="00E4615D"/>
    <w:rsid w:val="00E465DA"/>
    <w:rsid w:val="00E46611"/>
    <w:rsid w:val="00E4696F"/>
    <w:rsid w:val="00E46AB8"/>
    <w:rsid w:val="00E46C6F"/>
    <w:rsid w:val="00E46D20"/>
    <w:rsid w:val="00E46E8F"/>
    <w:rsid w:val="00E471C0"/>
    <w:rsid w:val="00E473B3"/>
    <w:rsid w:val="00E479B6"/>
    <w:rsid w:val="00E479CE"/>
    <w:rsid w:val="00E50059"/>
    <w:rsid w:val="00E5024C"/>
    <w:rsid w:val="00E5064D"/>
    <w:rsid w:val="00E50B6C"/>
    <w:rsid w:val="00E50E8D"/>
    <w:rsid w:val="00E51230"/>
    <w:rsid w:val="00E51598"/>
    <w:rsid w:val="00E515C9"/>
    <w:rsid w:val="00E51A26"/>
    <w:rsid w:val="00E51DBD"/>
    <w:rsid w:val="00E51F1C"/>
    <w:rsid w:val="00E520E6"/>
    <w:rsid w:val="00E5235C"/>
    <w:rsid w:val="00E526A5"/>
    <w:rsid w:val="00E52957"/>
    <w:rsid w:val="00E53F1A"/>
    <w:rsid w:val="00E54185"/>
    <w:rsid w:val="00E541DB"/>
    <w:rsid w:val="00E54247"/>
    <w:rsid w:val="00E5444F"/>
    <w:rsid w:val="00E54E5B"/>
    <w:rsid w:val="00E55533"/>
    <w:rsid w:val="00E558F2"/>
    <w:rsid w:val="00E55ABA"/>
    <w:rsid w:val="00E55D6A"/>
    <w:rsid w:val="00E55E56"/>
    <w:rsid w:val="00E5632A"/>
    <w:rsid w:val="00E5653C"/>
    <w:rsid w:val="00E56B7C"/>
    <w:rsid w:val="00E56FAD"/>
    <w:rsid w:val="00E572D4"/>
    <w:rsid w:val="00E5767F"/>
    <w:rsid w:val="00E57885"/>
    <w:rsid w:val="00E57CA7"/>
    <w:rsid w:val="00E6013B"/>
    <w:rsid w:val="00E6082F"/>
    <w:rsid w:val="00E61C5E"/>
    <w:rsid w:val="00E61EB3"/>
    <w:rsid w:val="00E61EC0"/>
    <w:rsid w:val="00E62032"/>
    <w:rsid w:val="00E6223C"/>
    <w:rsid w:val="00E62415"/>
    <w:rsid w:val="00E62488"/>
    <w:rsid w:val="00E62B36"/>
    <w:rsid w:val="00E62BBD"/>
    <w:rsid w:val="00E62D1F"/>
    <w:rsid w:val="00E62DF5"/>
    <w:rsid w:val="00E63BDC"/>
    <w:rsid w:val="00E63F44"/>
    <w:rsid w:val="00E64494"/>
    <w:rsid w:val="00E645D1"/>
    <w:rsid w:val="00E647C8"/>
    <w:rsid w:val="00E64EFB"/>
    <w:rsid w:val="00E64FE3"/>
    <w:rsid w:val="00E66259"/>
    <w:rsid w:val="00E665F8"/>
    <w:rsid w:val="00E668DB"/>
    <w:rsid w:val="00E670EB"/>
    <w:rsid w:val="00E67C82"/>
    <w:rsid w:val="00E70013"/>
    <w:rsid w:val="00E702CE"/>
    <w:rsid w:val="00E70469"/>
    <w:rsid w:val="00E70F0A"/>
    <w:rsid w:val="00E71216"/>
    <w:rsid w:val="00E71844"/>
    <w:rsid w:val="00E71CE9"/>
    <w:rsid w:val="00E71F95"/>
    <w:rsid w:val="00E724BA"/>
    <w:rsid w:val="00E72CBF"/>
    <w:rsid w:val="00E731D7"/>
    <w:rsid w:val="00E735BE"/>
    <w:rsid w:val="00E7371B"/>
    <w:rsid w:val="00E7373F"/>
    <w:rsid w:val="00E73765"/>
    <w:rsid w:val="00E737D6"/>
    <w:rsid w:val="00E74866"/>
    <w:rsid w:val="00E74ACE"/>
    <w:rsid w:val="00E756BD"/>
    <w:rsid w:val="00E75868"/>
    <w:rsid w:val="00E759BF"/>
    <w:rsid w:val="00E75A0F"/>
    <w:rsid w:val="00E75CFD"/>
    <w:rsid w:val="00E75FB6"/>
    <w:rsid w:val="00E77154"/>
    <w:rsid w:val="00E774CE"/>
    <w:rsid w:val="00E778F9"/>
    <w:rsid w:val="00E779A0"/>
    <w:rsid w:val="00E77C06"/>
    <w:rsid w:val="00E77D66"/>
    <w:rsid w:val="00E8012B"/>
    <w:rsid w:val="00E807F8"/>
    <w:rsid w:val="00E816C1"/>
    <w:rsid w:val="00E81ABC"/>
    <w:rsid w:val="00E81E82"/>
    <w:rsid w:val="00E82205"/>
    <w:rsid w:val="00E823AA"/>
    <w:rsid w:val="00E824BE"/>
    <w:rsid w:val="00E826EA"/>
    <w:rsid w:val="00E82AFD"/>
    <w:rsid w:val="00E82C98"/>
    <w:rsid w:val="00E831F7"/>
    <w:rsid w:val="00E8330B"/>
    <w:rsid w:val="00E83354"/>
    <w:rsid w:val="00E835D7"/>
    <w:rsid w:val="00E83917"/>
    <w:rsid w:val="00E83B13"/>
    <w:rsid w:val="00E83B91"/>
    <w:rsid w:val="00E84319"/>
    <w:rsid w:val="00E84755"/>
    <w:rsid w:val="00E84DD7"/>
    <w:rsid w:val="00E85401"/>
    <w:rsid w:val="00E8552A"/>
    <w:rsid w:val="00E855E0"/>
    <w:rsid w:val="00E859D0"/>
    <w:rsid w:val="00E860B7"/>
    <w:rsid w:val="00E86148"/>
    <w:rsid w:val="00E861D4"/>
    <w:rsid w:val="00E86382"/>
    <w:rsid w:val="00E8660F"/>
    <w:rsid w:val="00E86717"/>
    <w:rsid w:val="00E86D9C"/>
    <w:rsid w:val="00E87222"/>
    <w:rsid w:val="00E873B2"/>
    <w:rsid w:val="00E8750F"/>
    <w:rsid w:val="00E8780D"/>
    <w:rsid w:val="00E87F66"/>
    <w:rsid w:val="00E90FF6"/>
    <w:rsid w:val="00E9159A"/>
    <w:rsid w:val="00E91812"/>
    <w:rsid w:val="00E920C7"/>
    <w:rsid w:val="00E920FD"/>
    <w:rsid w:val="00E92117"/>
    <w:rsid w:val="00E9221F"/>
    <w:rsid w:val="00E925F2"/>
    <w:rsid w:val="00E92644"/>
    <w:rsid w:val="00E927A5"/>
    <w:rsid w:val="00E92F3C"/>
    <w:rsid w:val="00E937B7"/>
    <w:rsid w:val="00E93C24"/>
    <w:rsid w:val="00E93D0C"/>
    <w:rsid w:val="00E94499"/>
    <w:rsid w:val="00E9476A"/>
    <w:rsid w:val="00E95407"/>
    <w:rsid w:val="00E95878"/>
    <w:rsid w:val="00E9597E"/>
    <w:rsid w:val="00E95AE6"/>
    <w:rsid w:val="00E95DB8"/>
    <w:rsid w:val="00E95E3B"/>
    <w:rsid w:val="00E95F22"/>
    <w:rsid w:val="00E9630F"/>
    <w:rsid w:val="00E96627"/>
    <w:rsid w:val="00E9666C"/>
    <w:rsid w:val="00E97527"/>
    <w:rsid w:val="00E975DF"/>
    <w:rsid w:val="00E97BA6"/>
    <w:rsid w:val="00E97E19"/>
    <w:rsid w:val="00EA0008"/>
    <w:rsid w:val="00EA11A6"/>
    <w:rsid w:val="00EA1306"/>
    <w:rsid w:val="00EA14C2"/>
    <w:rsid w:val="00EA1646"/>
    <w:rsid w:val="00EA186C"/>
    <w:rsid w:val="00EA189B"/>
    <w:rsid w:val="00EA1DA3"/>
    <w:rsid w:val="00EA1DBF"/>
    <w:rsid w:val="00EA1E91"/>
    <w:rsid w:val="00EA229D"/>
    <w:rsid w:val="00EA2485"/>
    <w:rsid w:val="00EA250C"/>
    <w:rsid w:val="00EA27E2"/>
    <w:rsid w:val="00EA2F73"/>
    <w:rsid w:val="00EA38EC"/>
    <w:rsid w:val="00EA4596"/>
    <w:rsid w:val="00EA464C"/>
    <w:rsid w:val="00EA46A8"/>
    <w:rsid w:val="00EA4797"/>
    <w:rsid w:val="00EA507C"/>
    <w:rsid w:val="00EA50CD"/>
    <w:rsid w:val="00EA51B5"/>
    <w:rsid w:val="00EA5254"/>
    <w:rsid w:val="00EA5735"/>
    <w:rsid w:val="00EA5A06"/>
    <w:rsid w:val="00EA5A9E"/>
    <w:rsid w:val="00EA5BAF"/>
    <w:rsid w:val="00EA5F32"/>
    <w:rsid w:val="00EA6556"/>
    <w:rsid w:val="00EA67DD"/>
    <w:rsid w:val="00EA6842"/>
    <w:rsid w:val="00EA6D25"/>
    <w:rsid w:val="00EA6E2D"/>
    <w:rsid w:val="00EA7CB8"/>
    <w:rsid w:val="00EB0166"/>
    <w:rsid w:val="00EB1150"/>
    <w:rsid w:val="00EB1B80"/>
    <w:rsid w:val="00EB1E85"/>
    <w:rsid w:val="00EB1FC1"/>
    <w:rsid w:val="00EB2633"/>
    <w:rsid w:val="00EB36DD"/>
    <w:rsid w:val="00EB3CDB"/>
    <w:rsid w:val="00EB3E69"/>
    <w:rsid w:val="00EB477D"/>
    <w:rsid w:val="00EB4C26"/>
    <w:rsid w:val="00EB4C37"/>
    <w:rsid w:val="00EB4D87"/>
    <w:rsid w:val="00EB5127"/>
    <w:rsid w:val="00EB53F2"/>
    <w:rsid w:val="00EB548C"/>
    <w:rsid w:val="00EB57A0"/>
    <w:rsid w:val="00EB62F3"/>
    <w:rsid w:val="00EB64A3"/>
    <w:rsid w:val="00EB69E5"/>
    <w:rsid w:val="00EB6A0A"/>
    <w:rsid w:val="00EB7803"/>
    <w:rsid w:val="00EB7FC6"/>
    <w:rsid w:val="00EC0295"/>
    <w:rsid w:val="00EC0454"/>
    <w:rsid w:val="00EC0580"/>
    <w:rsid w:val="00EC06A7"/>
    <w:rsid w:val="00EC096B"/>
    <w:rsid w:val="00EC0E98"/>
    <w:rsid w:val="00EC0F4A"/>
    <w:rsid w:val="00EC1047"/>
    <w:rsid w:val="00EC113D"/>
    <w:rsid w:val="00EC14D5"/>
    <w:rsid w:val="00EC15B7"/>
    <w:rsid w:val="00EC1786"/>
    <w:rsid w:val="00EC19FA"/>
    <w:rsid w:val="00EC1E9F"/>
    <w:rsid w:val="00EC1F39"/>
    <w:rsid w:val="00EC26F3"/>
    <w:rsid w:val="00EC2948"/>
    <w:rsid w:val="00EC322F"/>
    <w:rsid w:val="00EC33E6"/>
    <w:rsid w:val="00EC369F"/>
    <w:rsid w:val="00EC4187"/>
    <w:rsid w:val="00EC4A15"/>
    <w:rsid w:val="00EC5044"/>
    <w:rsid w:val="00EC5742"/>
    <w:rsid w:val="00EC574B"/>
    <w:rsid w:val="00EC5905"/>
    <w:rsid w:val="00EC5C79"/>
    <w:rsid w:val="00EC5F86"/>
    <w:rsid w:val="00EC655A"/>
    <w:rsid w:val="00EC65FD"/>
    <w:rsid w:val="00EC6617"/>
    <w:rsid w:val="00EC6A42"/>
    <w:rsid w:val="00EC6AC3"/>
    <w:rsid w:val="00EC6C7D"/>
    <w:rsid w:val="00EC6D3B"/>
    <w:rsid w:val="00EC6D40"/>
    <w:rsid w:val="00EC6D4A"/>
    <w:rsid w:val="00EC6E62"/>
    <w:rsid w:val="00EC6E63"/>
    <w:rsid w:val="00EC73A4"/>
    <w:rsid w:val="00EC76B7"/>
    <w:rsid w:val="00EC7EEB"/>
    <w:rsid w:val="00ED0164"/>
    <w:rsid w:val="00ED03F6"/>
    <w:rsid w:val="00ED0940"/>
    <w:rsid w:val="00ED0970"/>
    <w:rsid w:val="00ED0B18"/>
    <w:rsid w:val="00ED1BB0"/>
    <w:rsid w:val="00ED1C65"/>
    <w:rsid w:val="00ED1E12"/>
    <w:rsid w:val="00ED25CE"/>
    <w:rsid w:val="00ED2601"/>
    <w:rsid w:val="00ED2FF0"/>
    <w:rsid w:val="00ED37DC"/>
    <w:rsid w:val="00ED3A55"/>
    <w:rsid w:val="00ED3B06"/>
    <w:rsid w:val="00ED3FFB"/>
    <w:rsid w:val="00ED402C"/>
    <w:rsid w:val="00ED4EC2"/>
    <w:rsid w:val="00ED511B"/>
    <w:rsid w:val="00ED5390"/>
    <w:rsid w:val="00ED5EDA"/>
    <w:rsid w:val="00ED6C4D"/>
    <w:rsid w:val="00ED77CC"/>
    <w:rsid w:val="00ED780F"/>
    <w:rsid w:val="00ED7D18"/>
    <w:rsid w:val="00ED7DD7"/>
    <w:rsid w:val="00ED7FEB"/>
    <w:rsid w:val="00EE0A71"/>
    <w:rsid w:val="00EE0ACF"/>
    <w:rsid w:val="00EE0B41"/>
    <w:rsid w:val="00EE1717"/>
    <w:rsid w:val="00EE1849"/>
    <w:rsid w:val="00EE1D98"/>
    <w:rsid w:val="00EE22E3"/>
    <w:rsid w:val="00EE28EA"/>
    <w:rsid w:val="00EE2C6C"/>
    <w:rsid w:val="00EE2ED0"/>
    <w:rsid w:val="00EE3070"/>
    <w:rsid w:val="00EE359F"/>
    <w:rsid w:val="00EE3654"/>
    <w:rsid w:val="00EE37DE"/>
    <w:rsid w:val="00EE3848"/>
    <w:rsid w:val="00EE3E63"/>
    <w:rsid w:val="00EE3E86"/>
    <w:rsid w:val="00EE43B6"/>
    <w:rsid w:val="00EE508F"/>
    <w:rsid w:val="00EE512B"/>
    <w:rsid w:val="00EE540E"/>
    <w:rsid w:val="00EE594A"/>
    <w:rsid w:val="00EE5A38"/>
    <w:rsid w:val="00EE5C42"/>
    <w:rsid w:val="00EE5CC9"/>
    <w:rsid w:val="00EE60D7"/>
    <w:rsid w:val="00EE67C5"/>
    <w:rsid w:val="00EE6E6C"/>
    <w:rsid w:val="00EE7336"/>
    <w:rsid w:val="00EE7593"/>
    <w:rsid w:val="00EE7915"/>
    <w:rsid w:val="00EF059F"/>
    <w:rsid w:val="00EF0A92"/>
    <w:rsid w:val="00EF18EF"/>
    <w:rsid w:val="00EF1E32"/>
    <w:rsid w:val="00EF2781"/>
    <w:rsid w:val="00EF27A8"/>
    <w:rsid w:val="00EF27BF"/>
    <w:rsid w:val="00EF2AD3"/>
    <w:rsid w:val="00EF31AD"/>
    <w:rsid w:val="00EF32C1"/>
    <w:rsid w:val="00EF3CF9"/>
    <w:rsid w:val="00EF3EB5"/>
    <w:rsid w:val="00EF4031"/>
    <w:rsid w:val="00EF4190"/>
    <w:rsid w:val="00EF45CE"/>
    <w:rsid w:val="00EF462F"/>
    <w:rsid w:val="00EF4C71"/>
    <w:rsid w:val="00EF4D62"/>
    <w:rsid w:val="00EF5026"/>
    <w:rsid w:val="00EF50CC"/>
    <w:rsid w:val="00EF571D"/>
    <w:rsid w:val="00EF5A2E"/>
    <w:rsid w:val="00EF5D08"/>
    <w:rsid w:val="00EF655B"/>
    <w:rsid w:val="00EF695C"/>
    <w:rsid w:val="00EF6BE4"/>
    <w:rsid w:val="00EF7060"/>
    <w:rsid w:val="00EF7088"/>
    <w:rsid w:val="00EF720D"/>
    <w:rsid w:val="00EF78B8"/>
    <w:rsid w:val="00EF7994"/>
    <w:rsid w:val="00EF7AC3"/>
    <w:rsid w:val="00EF7C4E"/>
    <w:rsid w:val="00EF7E4D"/>
    <w:rsid w:val="00F003A2"/>
    <w:rsid w:val="00F0052B"/>
    <w:rsid w:val="00F00984"/>
    <w:rsid w:val="00F009BB"/>
    <w:rsid w:val="00F00E7E"/>
    <w:rsid w:val="00F011B6"/>
    <w:rsid w:val="00F01AD2"/>
    <w:rsid w:val="00F01FF7"/>
    <w:rsid w:val="00F02268"/>
    <w:rsid w:val="00F02A89"/>
    <w:rsid w:val="00F02AAA"/>
    <w:rsid w:val="00F02FE2"/>
    <w:rsid w:val="00F03BA1"/>
    <w:rsid w:val="00F03E8A"/>
    <w:rsid w:val="00F03F9F"/>
    <w:rsid w:val="00F04DF5"/>
    <w:rsid w:val="00F0537B"/>
    <w:rsid w:val="00F05388"/>
    <w:rsid w:val="00F05725"/>
    <w:rsid w:val="00F057A9"/>
    <w:rsid w:val="00F05908"/>
    <w:rsid w:val="00F05BC9"/>
    <w:rsid w:val="00F05DE8"/>
    <w:rsid w:val="00F05ED4"/>
    <w:rsid w:val="00F064AA"/>
    <w:rsid w:val="00F06DFB"/>
    <w:rsid w:val="00F06EDA"/>
    <w:rsid w:val="00F06FEF"/>
    <w:rsid w:val="00F07016"/>
    <w:rsid w:val="00F07822"/>
    <w:rsid w:val="00F07B83"/>
    <w:rsid w:val="00F10305"/>
    <w:rsid w:val="00F1076B"/>
    <w:rsid w:val="00F10D03"/>
    <w:rsid w:val="00F10D71"/>
    <w:rsid w:val="00F11527"/>
    <w:rsid w:val="00F11897"/>
    <w:rsid w:val="00F11B9B"/>
    <w:rsid w:val="00F11BF8"/>
    <w:rsid w:val="00F11D20"/>
    <w:rsid w:val="00F120D0"/>
    <w:rsid w:val="00F12199"/>
    <w:rsid w:val="00F122CB"/>
    <w:rsid w:val="00F12586"/>
    <w:rsid w:val="00F129A8"/>
    <w:rsid w:val="00F129CE"/>
    <w:rsid w:val="00F12AF9"/>
    <w:rsid w:val="00F12FE8"/>
    <w:rsid w:val="00F134F6"/>
    <w:rsid w:val="00F1363A"/>
    <w:rsid w:val="00F1363F"/>
    <w:rsid w:val="00F13A87"/>
    <w:rsid w:val="00F13C5B"/>
    <w:rsid w:val="00F13E0D"/>
    <w:rsid w:val="00F14682"/>
    <w:rsid w:val="00F14F65"/>
    <w:rsid w:val="00F151A9"/>
    <w:rsid w:val="00F15DFF"/>
    <w:rsid w:val="00F15E05"/>
    <w:rsid w:val="00F15F6A"/>
    <w:rsid w:val="00F15FAA"/>
    <w:rsid w:val="00F16214"/>
    <w:rsid w:val="00F168AE"/>
    <w:rsid w:val="00F1695C"/>
    <w:rsid w:val="00F16FDB"/>
    <w:rsid w:val="00F175CA"/>
    <w:rsid w:val="00F1760F"/>
    <w:rsid w:val="00F17C96"/>
    <w:rsid w:val="00F20420"/>
    <w:rsid w:val="00F20604"/>
    <w:rsid w:val="00F20AEF"/>
    <w:rsid w:val="00F20B6E"/>
    <w:rsid w:val="00F20FF5"/>
    <w:rsid w:val="00F20FF7"/>
    <w:rsid w:val="00F211BA"/>
    <w:rsid w:val="00F21C20"/>
    <w:rsid w:val="00F22C5D"/>
    <w:rsid w:val="00F22CB5"/>
    <w:rsid w:val="00F23576"/>
    <w:rsid w:val="00F23EDB"/>
    <w:rsid w:val="00F242B9"/>
    <w:rsid w:val="00F248EC"/>
    <w:rsid w:val="00F249DA"/>
    <w:rsid w:val="00F24ACD"/>
    <w:rsid w:val="00F24BCF"/>
    <w:rsid w:val="00F24C64"/>
    <w:rsid w:val="00F24C95"/>
    <w:rsid w:val="00F24FEC"/>
    <w:rsid w:val="00F25624"/>
    <w:rsid w:val="00F257B8"/>
    <w:rsid w:val="00F25891"/>
    <w:rsid w:val="00F25C36"/>
    <w:rsid w:val="00F25CA9"/>
    <w:rsid w:val="00F2608F"/>
    <w:rsid w:val="00F2639B"/>
    <w:rsid w:val="00F2645A"/>
    <w:rsid w:val="00F2666D"/>
    <w:rsid w:val="00F271DD"/>
    <w:rsid w:val="00F271F4"/>
    <w:rsid w:val="00F276EE"/>
    <w:rsid w:val="00F27E6E"/>
    <w:rsid w:val="00F27FD8"/>
    <w:rsid w:val="00F30159"/>
    <w:rsid w:val="00F30276"/>
    <w:rsid w:val="00F302A0"/>
    <w:rsid w:val="00F3087C"/>
    <w:rsid w:val="00F3092D"/>
    <w:rsid w:val="00F3184A"/>
    <w:rsid w:val="00F318E1"/>
    <w:rsid w:val="00F31939"/>
    <w:rsid w:val="00F31F63"/>
    <w:rsid w:val="00F321AE"/>
    <w:rsid w:val="00F3228F"/>
    <w:rsid w:val="00F32380"/>
    <w:rsid w:val="00F3255F"/>
    <w:rsid w:val="00F32EBE"/>
    <w:rsid w:val="00F33271"/>
    <w:rsid w:val="00F3347A"/>
    <w:rsid w:val="00F33658"/>
    <w:rsid w:val="00F33713"/>
    <w:rsid w:val="00F34058"/>
    <w:rsid w:val="00F34182"/>
    <w:rsid w:val="00F3458A"/>
    <w:rsid w:val="00F346D5"/>
    <w:rsid w:val="00F35068"/>
    <w:rsid w:val="00F3510E"/>
    <w:rsid w:val="00F35A67"/>
    <w:rsid w:val="00F35B26"/>
    <w:rsid w:val="00F35B8D"/>
    <w:rsid w:val="00F35E05"/>
    <w:rsid w:val="00F35FAA"/>
    <w:rsid w:val="00F35FEE"/>
    <w:rsid w:val="00F369D4"/>
    <w:rsid w:val="00F373DC"/>
    <w:rsid w:val="00F37523"/>
    <w:rsid w:val="00F37714"/>
    <w:rsid w:val="00F37EF3"/>
    <w:rsid w:val="00F40343"/>
    <w:rsid w:val="00F403D6"/>
    <w:rsid w:val="00F40782"/>
    <w:rsid w:val="00F408ED"/>
    <w:rsid w:val="00F413CA"/>
    <w:rsid w:val="00F416D7"/>
    <w:rsid w:val="00F41F74"/>
    <w:rsid w:val="00F4228F"/>
    <w:rsid w:val="00F422EF"/>
    <w:rsid w:val="00F424C6"/>
    <w:rsid w:val="00F42802"/>
    <w:rsid w:val="00F4283F"/>
    <w:rsid w:val="00F42894"/>
    <w:rsid w:val="00F43389"/>
    <w:rsid w:val="00F43E26"/>
    <w:rsid w:val="00F446BC"/>
    <w:rsid w:val="00F44A3A"/>
    <w:rsid w:val="00F45144"/>
    <w:rsid w:val="00F451F7"/>
    <w:rsid w:val="00F4532B"/>
    <w:rsid w:val="00F45778"/>
    <w:rsid w:val="00F45B7F"/>
    <w:rsid w:val="00F45CF2"/>
    <w:rsid w:val="00F46AC0"/>
    <w:rsid w:val="00F46B36"/>
    <w:rsid w:val="00F470EA"/>
    <w:rsid w:val="00F47559"/>
    <w:rsid w:val="00F475B3"/>
    <w:rsid w:val="00F476FD"/>
    <w:rsid w:val="00F4795B"/>
    <w:rsid w:val="00F47B25"/>
    <w:rsid w:val="00F5001E"/>
    <w:rsid w:val="00F50109"/>
    <w:rsid w:val="00F5038E"/>
    <w:rsid w:val="00F5056C"/>
    <w:rsid w:val="00F505D9"/>
    <w:rsid w:val="00F506AE"/>
    <w:rsid w:val="00F5082A"/>
    <w:rsid w:val="00F5108B"/>
    <w:rsid w:val="00F51346"/>
    <w:rsid w:val="00F51ACA"/>
    <w:rsid w:val="00F5235B"/>
    <w:rsid w:val="00F52CC1"/>
    <w:rsid w:val="00F532E2"/>
    <w:rsid w:val="00F533E8"/>
    <w:rsid w:val="00F53577"/>
    <w:rsid w:val="00F5359B"/>
    <w:rsid w:val="00F53FD1"/>
    <w:rsid w:val="00F54947"/>
    <w:rsid w:val="00F54F7B"/>
    <w:rsid w:val="00F5529E"/>
    <w:rsid w:val="00F553F1"/>
    <w:rsid w:val="00F556AC"/>
    <w:rsid w:val="00F556B4"/>
    <w:rsid w:val="00F5573C"/>
    <w:rsid w:val="00F55C78"/>
    <w:rsid w:val="00F55CD7"/>
    <w:rsid w:val="00F55D5F"/>
    <w:rsid w:val="00F55EF3"/>
    <w:rsid w:val="00F560DC"/>
    <w:rsid w:val="00F56484"/>
    <w:rsid w:val="00F56916"/>
    <w:rsid w:val="00F56A20"/>
    <w:rsid w:val="00F56AD0"/>
    <w:rsid w:val="00F56B09"/>
    <w:rsid w:val="00F56BA9"/>
    <w:rsid w:val="00F56CB1"/>
    <w:rsid w:val="00F607CD"/>
    <w:rsid w:val="00F60870"/>
    <w:rsid w:val="00F60B07"/>
    <w:rsid w:val="00F60D6E"/>
    <w:rsid w:val="00F60D95"/>
    <w:rsid w:val="00F60EE4"/>
    <w:rsid w:val="00F60FC1"/>
    <w:rsid w:val="00F61E69"/>
    <w:rsid w:val="00F626C2"/>
    <w:rsid w:val="00F63023"/>
    <w:rsid w:val="00F630EF"/>
    <w:rsid w:val="00F6319E"/>
    <w:rsid w:val="00F636DF"/>
    <w:rsid w:val="00F63F85"/>
    <w:rsid w:val="00F6412D"/>
    <w:rsid w:val="00F651EA"/>
    <w:rsid w:val="00F65819"/>
    <w:rsid w:val="00F65E63"/>
    <w:rsid w:val="00F664CB"/>
    <w:rsid w:val="00F66865"/>
    <w:rsid w:val="00F671DF"/>
    <w:rsid w:val="00F67A39"/>
    <w:rsid w:val="00F67A6B"/>
    <w:rsid w:val="00F67B8B"/>
    <w:rsid w:val="00F67EC7"/>
    <w:rsid w:val="00F70219"/>
    <w:rsid w:val="00F704E9"/>
    <w:rsid w:val="00F708ED"/>
    <w:rsid w:val="00F70B5B"/>
    <w:rsid w:val="00F710B6"/>
    <w:rsid w:val="00F711A6"/>
    <w:rsid w:val="00F713A5"/>
    <w:rsid w:val="00F71421"/>
    <w:rsid w:val="00F7142B"/>
    <w:rsid w:val="00F71634"/>
    <w:rsid w:val="00F719F3"/>
    <w:rsid w:val="00F71F44"/>
    <w:rsid w:val="00F72338"/>
    <w:rsid w:val="00F7244F"/>
    <w:rsid w:val="00F728B9"/>
    <w:rsid w:val="00F72962"/>
    <w:rsid w:val="00F72D23"/>
    <w:rsid w:val="00F72FD7"/>
    <w:rsid w:val="00F731B1"/>
    <w:rsid w:val="00F73378"/>
    <w:rsid w:val="00F733F6"/>
    <w:rsid w:val="00F7365E"/>
    <w:rsid w:val="00F73F48"/>
    <w:rsid w:val="00F73FBD"/>
    <w:rsid w:val="00F743D8"/>
    <w:rsid w:val="00F744E8"/>
    <w:rsid w:val="00F74A34"/>
    <w:rsid w:val="00F74BF1"/>
    <w:rsid w:val="00F74CB0"/>
    <w:rsid w:val="00F75495"/>
    <w:rsid w:val="00F759F1"/>
    <w:rsid w:val="00F7639C"/>
    <w:rsid w:val="00F765EB"/>
    <w:rsid w:val="00F76647"/>
    <w:rsid w:val="00F769BE"/>
    <w:rsid w:val="00F77153"/>
    <w:rsid w:val="00F772CD"/>
    <w:rsid w:val="00F773A0"/>
    <w:rsid w:val="00F77518"/>
    <w:rsid w:val="00F776A2"/>
    <w:rsid w:val="00F77DC0"/>
    <w:rsid w:val="00F77F98"/>
    <w:rsid w:val="00F80C55"/>
    <w:rsid w:val="00F80C5A"/>
    <w:rsid w:val="00F80DB2"/>
    <w:rsid w:val="00F814D9"/>
    <w:rsid w:val="00F81CE4"/>
    <w:rsid w:val="00F81DB3"/>
    <w:rsid w:val="00F822BA"/>
    <w:rsid w:val="00F82480"/>
    <w:rsid w:val="00F836EA"/>
    <w:rsid w:val="00F83EBC"/>
    <w:rsid w:val="00F8459E"/>
    <w:rsid w:val="00F846AF"/>
    <w:rsid w:val="00F84943"/>
    <w:rsid w:val="00F84AF2"/>
    <w:rsid w:val="00F84B8B"/>
    <w:rsid w:val="00F84F8B"/>
    <w:rsid w:val="00F85705"/>
    <w:rsid w:val="00F859CA"/>
    <w:rsid w:val="00F85BC9"/>
    <w:rsid w:val="00F86041"/>
    <w:rsid w:val="00F86256"/>
    <w:rsid w:val="00F8673B"/>
    <w:rsid w:val="00F87522"/>
    <w:rsid w:val="00F8792B"/>
    <w:rsid w:val="00F87DA5"/>
    <w:rsid w:val="00F87DD6"/>
    <w:rsid w:val="00F87E0F"/>
    <w:rsid w:val="00F90702"/>
    <w:rsid w:val="00F908F8"/>
    <w:rsid w:val="00F911DD"/>
    <w:rsid w:val="00F91456"/>
    <w:rsid w:val="00F91628"/>
    <w:rsid w:val="00F91768"/>
    <w:rsid w:val="00F91CD2"/>
    <w:rsid w:val="00F920FB"/>
    <w:rsid w:val="00F92442"/>
    <w:rsid w:val="00F926C8"/>
    <w:rsid w:val="00F92A8B"/>
    <w:rsid w:val="00F92BEB"/>
    <w:rsid w:val="00F92F70"/>
    <w:rsid w:val="00F93475"/>
    <w:rsid w:val="00F935A0"/>
    <w:rsid w:val="00F936E6"/>
    <w:rsid w:val="00F937E7"/>
    <w:rsid w:val="00F939DB"/>
    <w:rsid w:val="00F9481C"/>
    <w:rsid w:val="00F94A88"/>
    <w:rsid w:val="00F94E24"/>
    <w:rsid w:val="00F94E8C"/>
    <w:rsid w:val="00F95004"/>
    <w:rsid w:val="00F9535E"/>
    <w:rsid w:val="00F9538C"/>
    <w:rsid w:val="00F95B89"/>
    <w:rsid w:val="00F95BBE"/>
    <w:rsid w:val="00F95F49"/>
    <w:rsid w:val="00F96166"/>
    <w:rsid w:val="00F964B0"/>
    <w:rsid w:val="00F971CF"/>
    <w:rsid w:val="00F97317"/>
    <w:rsid w:val="00F9736C"/>
    <w:rsid w:val="00F973F0"/>
    <w:rsid w:val="00F97B52"/>
    <w:rsid w:val="00F97D2D"/>
    <w:rsid w:val="00F97E79"/>
    <w:rsid w:val="00F97F50"/>
    <w:rsid w:val="00FA0317"/>
    <w:rsid w:val="00FA0329"/>
    <w:rsid w:val="00FA03C9"/>
    <w:rsid w:val="00FA05A4"/>
    <w:rsid w:val="00FA0AF9"/>
    <w:rsid w:val="00FA0CCF"/>
    <w:rsid w:val="00FA14B0"/>
    <w:rsid w:val="00FA1B40"/>
    <w:rsid w:val="00FA23CF"/>
    <w:rsid w:val="00FA273D"/>
    <w:rsid w:val="00FA28E9"/>
    <w:rsid w:val="00FA2E49"/>
    <w:rsid w:val="00FA2F87"/>
    <w:rsid w:val="00FA30C2"/>
    <w:rsid w:val="00FA31D8"/>
    <w:rsid w:val="00FA3232"/>
    <w:rsid w:val="00FA3CFA"/>
    <w:rsid w:val="00FA4236"/>
    <w:rsid w:val="00FA48A3"/>
    <w:rsid w:val="00FA5561"/>
    <w:rsid w:val="00FA5A20"/>
    <w:rsid w:val="00FA6084"/>
    <w:rsid w:val="00FA6114"/>
    <w:rsid w:val="00FA615A"/>
    <w:rsid w:val="00FA63B6"/>
    <w:rsid w:val="00FA643B"/>
    <w:rsid w:val="00FA65AF"/>
    <w:rsid w:val="00FA6958"/>
    <w:rsid w:val="00FA6CE7"/>
    <w:rsid w:val="00FA7135"/>
    <w:rsid w:val="00FA784C"/>
    <w:rsid w:val="00FA78AF"/>
    <w:rsid w:val="00FA7E3E"/>
    <w:rsid w:val="00FB06E1"/>
    <w:rsid w:val="00FB0BD9"/>
    <w:rsid w:val="00FB0CA2"/>
    <w:rsid w:val="00FB0FD6"/>
    <w:rsid w:val="00FB1190"/>
    <w:rsid w:val="00FB1325"/>
    <w:rsid w:val="00FB148B"/>
    <w:rsid w:val="00FB1A25"/>
    <w:rsid w:val="00FB1BDC"/>
    <w:rsid w:val="00FB1E5B"/>
    <w:rsid w:val="00FB2060"/>
    <w:rsid w:val="00FB2B00"/>
    <w:rsid w:val="00FB2B68"/>
    <w:rsid w:val="00FB3270"/>
    <w:rsid w:val="00FB357E"/>
    <w:rsid w:val="00FB3D9B"/>
    <w:rsid w:val="00FB3DA7"/>
    <w:rsid w:val="00FB3DCF"/>
    <w:rsid w:val="00FB4931"/>
    <w:rsid w:val="00FB4A3E"/>
    <w:rsid w:val="00FB4A9E"/>
    <w:rsid w:val="00FB4B25"/>
    <w:rsid w:val="00FB4F80"/>
    <w:rsid w:val="00FB5164"/>
    <w:rsid w:val="00FB540A"/>
    <w:rsid w:val="00FB5979"/>
    <w:rsid w:val="00FB5E3D"/>
    <w:rsid w:val="00FB60CA"/>
    <w:rsid w:val="00FB66AB"/>
    <w:rsid w:val="00FB6912"/>
    <w:rsid w:val="00FB6B78"/>
    <w:rsid w:val="00FB7446"/>
    <w:rsid w:val="00FB7D71"/>
    <w:rsid w:val="00FB7FE4"/>
    <w:rsid w:val="00FC00DD"/>
    <w:rsid w:val="00FC025E"/>
    <w:rsid w:val="00FC0788"/>
    <w:rsid w:val="00FC0A72"/>
    <w:rsid w:val="00FC0B45"/>
    <w:rsid w:val="00FC1247"/>
    <w:rsid w:val="00FC13E2"/>
    <w:rsid w:val="00FC14D9"/>
    <w:rsid w:val="00FC16B1"/>
    <w:rsid w:val="00FC180D"/>
    <w:rsid w:val="00FC1A10"/>
    <w:rsid w:val="00FC1B9E"/>
    <w:rsid w:val="00FC1C66"/>
    <w:rsid w:val="00FC1CB2"/>
    <w:rsid w:val="00FC24E3"/>
    <w:rsid w:val="00FC25E1"/>
    <w:rsid w:val="00FC27D4"/>
    <w:rsid w:val="00FC2D24"/>
    <w:rsid w:val="00FC33BF"/>
    <w:rsid w:val="00FC3565"/>
    <w:rsid w:val="00FC3CD4"/>
    <w:rsid w:val="00FC3EA1"/>
    <w:rsid w:val="00FC47FE"/>
    <w:rsid w:val="00FC488C"/>
    <w:rsid w:val="00FC4AE7"/>
    <w:rsid w:val="00FC4BB5"/>
    <w:rsid w:val="00FC4D2E"/>
    <w:rsid w:val="00FC4E2A"/>
    <w:rsid w:val="00FC53FB"/>
    <w:rsid w:val="00FC54FB"/>
    <w:rsid w:val="00FC564A"/>
    <w:rsid w:val="00FC5845"/>
    <w:rsid w:val="00FC5B07"/>
    <w:rsid w:val="00FC5F55"/>
    <w:rsid w:val="00FC639F"/>
    <w:rsid w:val="00FC678D"/>
    <w:rsid w:val="00FC69B8"/>
    <w:rsid w:val="00FC6BC7"/>
    <w:rsid w:val="00FC6CF3"/>
    <w:rsid w:val="00FC6F4F"/>
    <w:rsid w:val="00FC73CB"/>
    <w:rsid w:val="00FC73D7"/>
    <w:rsid w:val="00FC7AD3"/>
    <w:rsid w:val="00FC7EA8"/>
    <w:rsid w:val="00FC7F57"/>
    <w:rsid w:val="00FD017D"/>
    <w:rsid w:val="00FD0C6E"/>
    <w:rsid w:val="00FD0CD5"/>
    <w:rsid w:val="00FD114D"/>
    <w:rsid w:val="00FD1325"/>
    <w:rsid w:val="00FD13A9"/>
    <w:rsid w:val="00FD188A"/>
    <w:rsid w:val="00FD19A4"/>
    <w:rsid w:val="00FD1B30"/>
    <w:rsid w:val="00FD1CA2"/>
    <w:rsid w:val="00FD1F6C"/>
    <w:rsid w:val="00FD2229"/>
    <w:rsid w:val="00FD24B0"/>
    <w:rsid w:val="00FD2D5D"/>
    <w:rsid w:val="00FD33E6"/>
    <w:rsid w:val="00FD3860"/>
    <w:rsid w:val="00FD3D3E"/>
    <w:rsid w:val="00FD4653"/>
    <w:rsid w:val="00FD4860"/>
    <w:rsid w:val="00FD4975"/>
    <w:rsid w:val="00FD4C9E"/>
    <w:rsid w:val="00FD4D95"/>
    <w:rsid w:val="00FD5051"/>
    <w:rsid w:val="00FD522D"/>
    <w:rsid w:val="00FD53F0"/>
    <w:rsid w:val="00FD55DD"/>
    <w:rsid w:val="00FD5958"/>
    <w:rsid w:val="00FD5A0F"/>
    <w:rsid w:val="00FD5A91"/>
    <w:rsid w:val="00FD5F94"/>
    <w:rsid w:val="00FD682E"/>
    <w:rsid w:val="00FD6D50"/>
    <w:rsid w:val="00FD6EDF"/>
    <w:rsid w:val="00FD729E"/>
    <w:rsid w:val="00FD756D"/>
    <w:rsid w:val="00FD7709"/>
    <w:rsid w:val="00FD78B9"/>
    <w:rsid w:val="00FD7972"/>
    <w:rsid w:val="00FD79EA"/>
    <w:rsid w:val="00FD7BA5"/>
    <w:rsid w:val="00FE059A"/>
    <w:rsid w:val="00FE0702"/>
    <w:rsid w:val="00FE0767"/>
    <w:rsid w:val="00FE0781"/>
    <w:rsid w:val="00FE08C8"/>
    <w:rsid w:val="00FE0C70"/>
    <w:rsid w:val="00FE0D4A"/>
    <w:rsid w:val="00FE0D4E"/>
    <w:rsid w:val="00FE0D93"/>
    <w:rsid w:val="00FE0F61"/>
    <w:rsid w:val="00FE1004"/>
    <w:rsid w:val="00FE1091"/>
    <w:rsid w:val="00FE1FEA"/>
    <w:rsid w:val="00FE2022"/>
    <w:rsid w:val="00FE24D6"/>
    <w:rsid w:val="00FE24E2"/>
    <w:rsid w:val="00FE29AF"/>
    <w:rsid w:val="00FE3287"/>
    <w:rsid w:val="00FE3304"/>
    <w:rsid w:val="00FE3678"/>
    <w:rsid w:val="00FE395C"/>
    <w:rsid w:val="00FE3996"/>
    <w:rsid w:val="00FE3BF2"/>
    <w:rsid w:val="00FE3C4E"/>
    <w:rsid w:val="00FE3DE9"/>
    <w:rsid w:val="00FE417D"/>
    <w:rsid w:val="00FE4272"/>
    <w:rsid w:val="00FE4DB3"/>
    <w:rsid w:val="00FE4DD8"/>
    <w:rsid w:val="00FE4EAC"/>
    <w:rsid w:val="00FE501C"/>
    <w:rsid w:val="00FE54AE"/>
    <w:rsid w:val="00FE6327"/>
    <w:rsid w:val="00FE6A97"/>
    <w:rsid w:val="00FE6E75"/>
    <w:rsid w:val="00FE705C"/>
    <w:rsid w:val="00FE7F9C"/>
    <w:rsid w:val="00FE7FDC"/>
    <w:rsid w:val="00FF046D"/>
    <w:rsid w:val="00FF0864"/>
    <w:rsid w:val="00FF095A"/>
    <w:rsid w:val="00FF103D"/>
    <w:rsid w:val="00FF1514"/>
    <w:rsid w:val="00FF176C"/>
    <w:rsid w:val="00FF186C"/>
    <w:rsid w:val="00FF1964"/>
    <w:rsid w:val="00FF1BB0"/>
    <w:rsid w:val="00FF1E56"/>
    <w:rsid w:val="00FF1EDA"/>
    <w:rsid w:val="00FF2105"/>
    <w:rsid w:val="00FF2122"/>
    <w:rsid w:val="00FF232B"/>
    <w:rsid w:val="00FF2339"/>
    <w:rsid w:val="00FF2415"/>
    <w:rsid w:val="00FF2430"/>
    <w:rsid w:val="00FF26B9"/>
    <w:rsid w:val="00FF287A"/>
    <w:rsid w:val="00FF2F0F"/>
    <w:rsid w:val="00FF3115"/>
    <w:rsid w:val="00FF33AA"/>
    <w:rsid w:val="00FF371D"/>
    <w:rsid w:val="00FF3BE5"/>
    <w:rsid w:val="00FF4245"/>
    <w:rsid w:val="00FF45B9"/>
    <w:rsid w:val="00FF4B33"/>
    <w:rsid w:val="00FF4D26"/>
    <w:rsid w:val="00FF4DE4"/>
    <w:rsid w:val="00FF4F3D"/>
    <w:rsid w:val="00FF581C"/>
    <w:rsid w:val="00FF5B38"/>
    <w:rsid w:val="00FF5D6F"/>
    <w:rsid w:val="00FF5F7F"/>
    <w:rsid w:val="00FF620E"/>
    <w:rsid w:val="00FF637D"/>
    <w:rsid w:val="00FF64CF"/>
    <w:rsid w:val="00FF693C"/>
    <w:rsid w:val="00FF6B5D"/>
    <w:rsid w:val="00FF702D"/>
    <w:rsid w:val="00FF7407"/>
    <w:rsid w:val="00FF75BA"/>
    <w:rsid w:val="00FF7AF3"/>
    <w:rsid w:val="00FF7B2F"/>
    <w:rsid w:val="014C8010"/>
    <w:rsid w:val="0154F000"/>
    <w:rsid w:val="024CA36F"/>
    <w:rsid w:val="029FCC3C"/>
    <w:rsid w:val="035C1962"/>
    <w:rsid w:val="0363CE04"/>
    <w:rsid w:val="04038DED"/>
    <w:rsid w:val="0454B7E4"/>
    <w:rsid w:val="0461BD54"/>
    <w:rsid w:val="04E8DEBB"/>
    <w:rsid w:val="05352E56"/>
    <w:rsid w:val="053C56C1"/>
    <w:rsid w:val="05ABDAB3"/>
    <w:rsid w:val="05D9519F"/>
    <w:rsid w:val="05EABECF"/>
    <w:rsid w:val="0689CBEA"/>
    <w:rsid w:val="06C5B3EC"/>
    <w:rsid w:val="07419F14"/>
    <w:rsid w:val="081B06AF"/>
    <w:rsid w:val="083657CB"/>
    <w:rsid w:val="08A8B152"/>
    <w:rsid w:val="08F1E4E0"/>
    <w:rsid w:val="0A1520E6"/>
    <w:rsid w:val="0A2E7C11"/>
    <w:rsid w:val="0A7D1B3B"/>
    <w:rsid w:val="0AD2ABF8"/>
    <w:rsid w:val="0AEEA9F2"/>
    <w:rsid w:val="0DF5BD8B"/>
    <w:rsid w:val="0E8B1B33"/>
    <w:rsid w:val="1149A351"/>
    <w:rsid w:val="114EB9A7"/>
    <w:rsid w:val="11D8E797"/>
    <w:rsid w:val="11DDCAA6"/>
    <w:rsid w:val="12CE89F4"/>
    <w:rsid w:val="134B4704"/>
    <w:rsid w:val="135AAB7B"/>
    <w:rsid w:val="1395BEA4"/>
    <w:rsid w:val="1398078E"/>
    <w:rsid w:val="14352E7F"/>
    <w:rsid w:val="144DB0BB"/>
    <w:rsid w:val="148EED99"/>
    <w:rsid w:val="151EFE00"/>
    <w:rsid w:val="1528ACB4"/>
    <w:rsid w:val="1592D8F6"/>
    <w:rsid w:val="15C3D9A8"/>
    <w:rsid w:val="15C9908C"/>
    <w:rsid w:val="160C83AA"/>
    <w:rsid w:val="16156D4F"/>
    <w:rsid w:val="168E13CB"/>
    <w:rsid w:val="17C0E55D"/>
    <w:rsid w:val="18068887"/>
    <w:rsid w:val="18217EA1"/>
    <w:rsid w:val="192121DE"/>
    <w:rsid w:val="1957D253"/>
    <w:rsid w:val="1AD8591B"/>
    <w:rsid w:val="1AE4B649"/>
    <w:rsid w:val="1B142BFC"/>
    <w:rsid w:val="1B3590AA"/>
    <w:rsid w:val="1B5F6ABE"/>
    <w:rsid w:val="1CF15B9F"/>
    <w:rsid w:val="1E5CF2B4"/>
    <w:rsid w:val="1E80972B"/>
    <w:rsid w:val="1F199680"/>
    <w:rsid w:val="1FFA4398"/>
    <w:rsid w:val="209593FD"/>
    <w:rsid w:val="20C68186"/>
    <w:rsid w:val="21609F18"/>
    <w:rsid w:val="21B44479"/>
    <w:rsid w:val="225B1C1A"/>
    <w:rsid w:val="22CEDFCD"/>
    <w:rsid w:val="236CEE8F"/>
    <w:rsid w:val="237734CF"/>
    <w:rsid w:val="23CB7AA5"/>
    <w:rsid w:val="24302400"/>
    <w:rsid w:val="24B5A60A"/>
    <w:rsid w:val="24C7F2B6"/>
    <w:rsid w:val="253B442D"/>
    <w:rsid w:val="25687813"/>
    <w:rsid w:val="2613F272"/>
    <w:rsid w:val="2615A615"/>
    <w:rsid w:val="26B4B4AE"/>
    <w:rsid w:val="26B67B83"/>
    <w:rsid w:val="27A988F0"/>
    <w:rsid w:val="289D4BE3"/>
    <w:rsid w:val="2962FCAE"/>
    <w:rsid w:val="29F91D83"/>
    <w:rsid w:val="2A61BC20"/>
    <w:rsid w:val="2B2E7749"/>
    <w:rsid w:val="2B9C76E5"/>
    <w:rsid w:val="2C08C6F2"/>
    <w:rsid w:val="2C426AEC"/>
    <w:rsid w:val="2C42B331"/>
    <w:rsid w:val="2D1E31F5"/>
    <w:rsid w:val="2D4E7315"/>
    <w:rsid w:val="2D9C0E6A"/>
    <w:rsid w:val="2DB40438"/>
    <w:rsid w:val="2E727B1B"/>
    <w:rsid w:val="2F5EC6FE"/>
    <w:rsid w:val="2FA5EEAC"/>
    <w:rsid w:val="2FAB93B7"/>
    <w:rsid w:val="300520E0"/>
    <w:rsid w:val="3090DB95"/>
    <w:rsid w:val="30A7CDAF"/>
    <w:rsid w:val="30CE380D"/>
    <w:rsid w:val="30E4E08B"/>
    <w:rsid w:val="31E368DF"/>
    <w:rsid w:val="324E0A91"/>
    <w:rsid w:val="32AD75B6"/>
    <w:rsid w:val="3409B946"/>
    <w:rsid w:val="34256C5F"/>
    <w:rsid w:val="3438FA73"/>
    <w:rsid w:val="359030F0"/>
    <w:rsid w:val="35EF47B2"/>
    <w:rsid w:val="3639479F"/>
    <w:rsid w:val="3814E261"/>
    <w:rsid w:val="384A8C8C"/>
    <w:rsid w:val="396FAF20"/>
    <w:rsid w:val="398ACEDD"/>
    <w:rsid w:val="39B5D6F0"/>
    <w:rsid w:val="3A3388F6"/>
    <w:rsid w:val="3A45854C"/>
    <w:rsid w:val="3AFBCC40"/>
    <w:rsid w:val="3BC5C8B1"/>
    <w:rsid w:val="3C979CA1"/>
    <w:rsid w:val="3CB004E0"/>
    <w:rsid w:val="3D26649F"/>
    <w:rsid w:val="3D39F37C"/>
    <w:rsid w:val="3D49BED5"/>
    <w:rsid w:val="3DA6FA54"/>
    <w:rsid w:val="3E220462"/>
    <w:rsid w:val="3E33DBD4"/>
    <w:rsid w:val="3E382CA9"/>
    <w:rsid w:val="3E42BF50"/>
    <w:rsid w:val="3E9962EE"/>
    <w:rsid w:val="3EBFFF59"/>
    <w:rsid w:val="3FDE4918"/>
    <w:rsid w:val="4030E9B2"/>
    <w:rsid w:val="406357B5"/>
    <w:rsid w:val="4143BA66"/>
    <w:rsid w:val="41C86F3C"/>
    <w:rsid w:val="42455FA2"/>
    <w:rsid w:val="42549077"/>
    <w:rsid w:val="4277A835"/>
    <w:rsid w:val="427B0E2B"/>
    <w:rsid w:val="4290391A"/>
    <w:rsid w:val="42FF2D9B"/>
    <w:rsid w:val="43172708"/>
    <w:rsid w:val="45D6F34D"/>
    <w:rsid w:val="45DF8BB5"/>
    <w:rsid w:val="477E008F"/>
    <w:rsid w:val="48190206"/>
    <w:rsid w:val="481B45E1"/>
    <w:rsid w:val="4830E364"/>
    <w:rsid w:val="48AC5880"/>
    <w:rsid w:val="48E5FC90"/>
    <w:rsid w:val="48EF5D63"/>
    <w:rsid w:val="493C132E"/>
    <w:rsid w:val="4B6E79E8"/>
    <w:rsid w:val="4C740697"/>
    <w:rsid w:val="4C9D64A0"/>
    <w:rsid w:val="4CF9D6D3"/>
    <w:rsid w:val="4E30CE11"/>
    <w:rsid w:val="4E5AA991"/>
    <w:rsid w:val="4F9EF4E3"/>
    <w:rsid w:val="502CD557"/>
    <w:rsid w:val="51AEF980"/>
    <w:rsid w:val="525FD372"/>
    <w:rsid w:val="529176A9"/>
    <w:rsid w:val="529A9B95"/>
    <w:rsid w:val="52C6A783"/>
    <w:rsid w:val="52D71003"/>
    <w:rsid w:val="52F22F7C"/>
    <w:rsid w:val="531B7A42"/>
    <w:rsid w:val="532D9FF3"/>
    <w:rsid w:val="53409E51"/>
    <w:rsid w:val="534AC9E1"/>
    <w:rsid w:val="53DAAAEA"/>
    <w:rsid w:val="54063C8A"/>
    <w:rsid w:val="54A74795"/>
    <w:rsid w:val="54C85441"/>
    <w:rsid w:val="54C9E911"/>
    <w:rsid w:val="55841027"/>
    <w:rsid w:val="55EEFB81"/>
    <w:rsid w:val="5662216F"/>
    <w:rsid w:val="56DDA933"/>
    <w:rsid w:val="5722F2DB"/>
    <w:rsid w:val="5736F694"/>
    <w:rsid w:val="58097D61"/>
    <w:rsid w:val="581F18EE"/>
    <w:rsid w:val="587D2E36"/>
    <w:rsid w:val="59111579"/>
    <w:rsid w:val="594C8CDB"/>
    <w:rsid w:val="5969AFB7"/>
    <w:rsid w:val="59F54E3F"/>
    <w:rsid w:val="5AA194B8"/>
    <w:rsid w:val="5AF628BC"/>
    <w:rsid w:val="5B0EF5A2"/>
    <w:rsid w:val="5BE2AA99"/>
    <w:rsid w:val="5BE63734"/>
    <w:rsid w:val="5CD4CD17"/>
    <w:rsid w:val="5D4C5841"/>
    <w:rsid w:val="5D51FF8B"/>
    <w:rsid w:val="5D6A3ADC"/>
    <w:rsid w:val="5D6B4BD9"/>
    <w:rsid w:val="5D767B2C"/>
    <w:rsid w:val="5DCEA37B"/>
    <w:rsid w:val="5F5A77B9"/>
    <w:rsid w:val="618B8C19"/>
    <w:rsid w:val="618F4ABF"/>
    <w:rsid w:val="61CDFFB4"/>
    <w:rsid w:val="62A192E4"/>
    <w:rsid w:val="62E0E5DD"/>
    <w:rsid w:val="62FA2EC5"/>
    <w:rsid w:val="634502A0"/>
    <w:rsid w:val="639F636D"/>
    <w:rsid w:val="65BF6C51"/>
    <w:rsid w:val="65E63F9D"/>
    <w:rsid w:val="662F3582"/>
    <w:rsid w:val="67A21FBE"/>
    <w:rsid w:val="67DE24B0"/>
    <w:rsid w:val="6A498446"/>
    <w:rsid w:val="6AA71523"/>
    <w:rsid w:val="6BB13CF1"/>
    <w:rsid w:val="6C000F79"/>
    <w:rsid w:val="6C08C1AC"/>
    <w:rsid w:val="6C63BB2C"/>
    <w:rsid w:val="6D4CFA96"/>
    <w:rsid w:val="6E6A3474"/>
    <w:rsid w:val="6E7B4583"/>
    <w:rsid w:val="6E81FDF6"/>
    <w:rsid w:val="6EBDA6C6"/>
    <w:rsid w:val="6F3B6EE1"/>
    <w:rsid w:val="7149DFEE"/>
    <w:rsid w:val="717AD97F"/>
    <w:rsid w:val="723BACD5"/>
    <w:rsid w:val="723F3678"/>
    <w:rsid w:val="724AEC41"/>
    <w:rsid w:val="72730FA3"/>
    <w:rsid w:val="7276D7B2"/>
    <w:rsid w:val="72F9B845"/>
    <w:rsid w:val="73138F70"/>
    <w:rsid w:val="7324C207"/>
    <w:rsid w:val="73426A27"/>
    <w:rsid w:val="736520F1"/>
    <w:rsid w:val="73F86A47"/>
    <w:rsid w:val="740A3A02"/>
    <w:rsid w:val="743105CE"/>
    <w:rsid w:val="7592FE8C"/>
    <w:rsid w:val="75A4F9A8"/>
    <w:rsid w:val="75A58F91"/>
    <w:rsid w:val="75F68035"/>
    <w:rsid w:val="7627BEDD"/>
    <w:rsid w:val="766BB487"/>
    <w:rsid w:val="772D5869"/>
    <w:rsid w:val="77469E3E"/>
    <w:rsid w:val="77A7B3CA"/>
    <w:rsid w:val="7825D4B5"/>
    <w:rsid w:val="78996639"/>
    <w:rsid w:val="7921A145"/>
    <w:rsid w:val="7928184D"/>
    <w:rsid w:val="79A2A520"/>
    <w:rsid w:val="79B26988"/>
    <w:rsid w:val="79E4BF62"/>
    <w:rsid w:val="7A039656"/>
    <w:rsid w:val="7AA00B78"/>
    <w:rsid w:val="7C4D8FF3"/>
    <w:rsid w:val="7D21D195"/>
    <w:rsid w:val="7D4125C8"/>
    <w:rsid w:val="7D583353"/>
    <w:rsid w:val="7D97B77D"/>
    <w:rsid w:val="7DAB7F58"/>
    <w:rsid w:val="7DDC91FE"/>
    <w:rsid w:val="7E31B142"/>
    <w:rsid w:val="7E91CE65"/>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A28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57"/>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8"/>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3"/>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4"/>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4"/>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5"/>
      </w:numPr>
    </w:pPr>
    <w:rPr>
      <w:color w:val="000000"/>
    </w:rPr>
  </w:style>
  <w:style w:type="paragraph" w:customStyle="1" w:styleId="BoxDoubleDot">
    <w:name w:val="Box Double Dot"/>
    <w:basedOn w:val="BoxTextBase"/>
    <w:rsid w:val="00A94801"/>
    <w:pPr>
      <w:numPr>
        <w:ilvl w:val="2"/>
        <w:numId w:val="5"/>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unhideWhenUsed/>
    <w:rsid w:val="00AF213C"/>
    <w:rPr>
      <w:rFonts w:ascii="Times New Roman" w:hAnsi="Times New Roman"/>
      <w:sz w:val="24"/>
      <w:szCs w:val="24"/>
    </w:rPr>
  </w:style>
  <w:style w:type="character" w:styleId="UnresolvedMention">
    <w:name w:val="Unresolved Mention"/>
    <w:basedOn w:val="DefaultParagraphFont"/>
    <w:uiPriority w:val="99"/>
    <w:semiHidden/>
    <w:unhideWhenUsed/>
    <w:rsid w:val="004900C2"/>
    <w:rPr>
      <w:color w:val="605E5C"/>
      <w:shd w:val="clear" w:color="auto" w:fill="E1DFDD"/>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0613BC"/>
    <w:rPr>
      <w:rFonts w:ascii="Calibri" w:eastAsia="Calibri" w:hAnsi="Calibri"/>
      <w:sz w:val="22"/>
      <w:szCs w:val="22"/>
      <w:lang w:val="en-US" w:eastAsia="en-US"/>
    </w:rPr>
  </w:style>
  <w:style w:type="paragraph" w:customStyle="1" w:styleId="paragraph">
    <w:name w:val="paragraph"/>
    <w:basedOn w:val="Normal"/>
    <w:rsid w:val="002D70CC"/>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D70CC"/>
  </w:style>
  <w:style w:type="character" w:customStyle="1" w:styleId="eop">
    <w:name w:val="eop"/>
    <w:basedOn w:val="DefaultParagraphFont"/>
    <w:rsid w:val="002D70CC"/>
  </w:style>
  <w:style w:type="paragraph" w:styleId="BodyText">
    <w:name w:val="Body Text"/>
    <w:basedOn w:val="Normal"/>
    <w:link w:val="BodyTextChar"/>
    <w:qFormat/>
    <w:rsid w:val="00AA78B9"/>
    <w:pPr>
      <w:spacing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AA78B9"/>
    <w:rPr>
      <w:rFonts w:ascii="Cambria" w:eastAsia="Cambria" w:hAnsi="Cambria"/>
      <w:sz w:val="22"/>
      <w:szCs w:val="22"/>
      <w:lang w:val="x-none" w:eastAsia="en-US"/>
    </w:rPr>
  </w:style>
  <w:style w:type="paragraph" w:customStyle="1" w:styleId="CreativeCommons">
    <w:name w:val="Creative Commons"/>
    <w:basedOn w:val="Normal"/>
    <w:qFormat/>
    <w:rsid w:val="00567558"/>
    <w:pPr>
      <w:spacing w:before="120" w:after="120" w:line="220" w:lineRule="exact"/>
    </w:pPr>
    <w:rPr>
      <w:sz w:val="17"/>
    </w:rPr>
  </w:style>
  <w:style w:type="paragraph" w:customStyle="1" w:styleId="TableParagraph">
    <w:name w:val="Table Paragraph"/>
    <w:basedOn w:val="Normal"/>
    <w:uiPriority w:val="1"/>
    <w:qFormat/>
    <w:rsid w:val="008F0013"/>
    <w:pPr>
      <w:widowControl w:val="0"/>
      <w:autoSpaceDE w:val="0"/>
      <w:autoSpaceDN w:val="0"/>
      <w:spacing w:before="0" w:after="0" w:line="240" w:lineRule="auto"/>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881">
      <w:bodyDiv w:val="1"/>
      <w:marLeft w:val="0"/>
      <w:marRight w:val="0"/>
      <w:marTop w:val="0"/>
      <w:marBottom w:val="0"/>
      <w:divBdr>
        <w:top w:val="none" w:sz="0" w:space="0" w:color="auto"/>
        <w:left w:val="none" w:sz="0" w:space="0" w:color="auto"/>
        <w:bottom w:val="none" w:sz="0" w:space="0" w:color="auto"/>
        <w:right w:val="none" w:sz="0" w:space="0" w:color="auto"/>
      </w:divBdr>
      <w:divsChild>
        <w:div w:id="139084148">
          <w:marLeft w:val="0"/>
          <w:marRight w:val="0"/>
          <w:marTop w:val="0"/>
          <w:marBottom w:val="0"/>
          <w:divBdr>
            <w:top w:val="none" w:sz="0" w:space="0" w:color="auto"/>
            <w:left w:val="none" w:sz="0" w:space="0" w:color="auto"/>
            <w:bottom w:val="none" w:sz="0" w:space="0" w:color="auto"/>
            <w:right w:val="none" w:sz="0" w:space="0" w:color="auto"/>
          </w:divBdr>
          <w:divsChild>
            <w:div w:id="28145070">
              <w:marLeft w:val="0"/>
              <w:marRight w:val="0"/>
              <w:marTop w:val="0"/>
              <w:marBottom w:val="0"/>
              <w:divBdr>
                <w:top w:val="none" w:sz="0" w:space="0" w:color="auto"/>
                <w:left w:val="none" w:sz="0" w:space="0" w:color="auto"/>
                <w:bottom w:val="none" w:sz="0" w:space="0" w:color="auto"/>
                <w:right w:val="none" w:sz="0" w:space="0" w:color="auto"/>
              </w:divBdr>
            </w:div>
            <w:div w:id="156843049">
              <w:marLeft w:val="0"/>
              <w:marRight w:val="0"/>
              <w:marTop w:val="0"/>
              <w:marBottom w:val="0"/>
              <w:divBdr>
                <w:top w:val="none" w:sz="0" w:space="0" w:color="auto"/>
                <w:left w:val="none" w:sz="0" w:space="0" w:color="auto"/>
                <w:bottom w:val="none" w:sz="0" w:space="0" w:color="auto"/>
                <w:right w:val="none" w:sz="0" w:space="0" w:color="auto"/>
              </w:divBdr>
            </w:div>
            <w:div w:id="1356422888">
              <w:marLeft w:val="0"/>
              <w:marRight w:val="0"/>
              <w:marTop w:val="0"/>
              <w:marBottom w:val="0"/>
              <w:divBdr>
                <w:top w:val="none" w:sz="0" w:space="0" w:color="auto"/>
                <w:left w:val="none" w:sz="0" w:space="0" w:color="auto"/>
                <w:bottom w:val="none" w:sz="0" w:space="0" w:color="auto"/>
                <w:right w:val="none" w:sz="0" w:space="0" w:color="auto"/>
              </w:divBdr>
            </w:div>
          </w:divsChild>
        </w:div>
        <w:div w:id="407918581">
          <w:marLeft w:val="0"/>
          <w:marRight w:val="0"/>
          <w:marTop w:val="0"/>
          <w:marBottom w:val="0"/>
          <w:divBdr>
            <w:top w:val="none" w:sz="0" w:space="0" w:color="auto"/>
            <w:left w:val="none" w:sz="0" w:space="0" w:color="auto"/>
            <w:bottom w:val="none" w:sz="0" w:space="0" w:color="auto"/>
            <w:right w:val="none" w:sz="0" w:space="0" w:color="auto"/>
          </w:divBdr>
          <w:divsChild>
            <w:div w:id="433938653">
              <w:marLeft w:val="0"/>
              <w:marRight w:val="0"/>
              <w:marTop w:val="0"/>
              <w:marBottom w:val="0"/>
              <w:divBdr>
                <w:top w:val="none" w:sz="0" w:space="0" w:color="auto"/>
                <w:left w:val="none" w:sz="0" w:space="0" w:color="auto"/>
                <w:bottom w:val="none" w:sz="0" w:space="0" w:color="auto"/>
                <w:right w:val="none" w:sz="0" w:space="0" w:color="auto"/>
              </w:divBdr>
            </w:div>
            <w:div w:id="513805710">
              <w:marLeft w:val="0"/>
              <w:marRight w:val="0"/>
              <w:marTop w:val="0"/>
              <w:marBottom w:val="0"/>
              <w:divBdr>
                <w:top w:val="none" w:sz="0" w:space="0" w:color="auto"/>
                <w:left w:val="none" w:sz="0" w:space="0" w:color="auto"/>
                <w:bottom w:val="none" w:sz="0" w:space="0" w:color="auto"/>
                <w:right w:val="none" w:sz="0" w:space="0" w:color="auto"/>
              </w:divBdr>
            </w:div>
          </w:divsChild>
        </w:div>
        <w:div w:id="543642610">
          <w:marLeft w:val="0"/>
          <w:marRight w:val="0"/>
          <w:marTop w:val="0"/>
          <w:marBottom w:val="0"/>
          <w:divBdr>
            <w:top w:val="none" w:sz="0" w:space="0" w:color="auto"/>
            <w:left w:val="none" w:sz="0" w:space="0" w:color="auto"/>
            <w:bottom w:val="none" w:sz="0" w:space="0" w:color="auto"/>
            <w:right w:val="none" w:sz="0" w:space="0" w:color="auto"/>
          </w:divBdr>
          <w:divsChild>
            <w:div w:id="286086879">
              <w:marLeft w:val="0"/>
              <w:marRight w:val="0"/>
              <w:marTop w:val="0"/>
              <w:marBottom w:val="0"/>
              <w:divBdr>
                <w:top w:val="none" w:sz="0" w:space="0" w:color="auto"/>
                <w:left w:val="none" w:sz="0" w:space="0" w:color="auto"/>
                <w:bottom w:val="none" w:sz="0" w:space="0" w:color="auto"/>
                <w:right w:val="none" w:sz="0" w:space="0" w:color="auto"/>
              </w:divBdr>
            </w:div>
            <w:div w:id="307168347">
              <w:marLeft w:val="0"/>
              <w:marRight w:val="0"/>
              <w:marTop w:val="0"/>
              <w:marBottom w:val="0"/>
              <w:divBdr>
                <w:top w:val="none" w:sz="0" w:space="0" w:color="auto"/>
                <w:left w:val="none" w:sz="0" w:space="0" w:color="auto"/>
                <w:bottom w:val="none" w:sz="0" w:space="0" w:color="auto"/>
                <w:right w:val="none" w:sz="0" w:space="0" w:color="auto"/>
              </w:divBdr>
            </w:div>
            <w:div w:id="832839202">
              <w:marLeft w:val="0"/>
              <w:marRight w:val="0"/>
              <w:marTop w:val="0"/>
              <w:marBottom w:val="0"/>
              <w:divBdr>
                <w:top w:val="none" w:sz="0" w:space="0" w:color="auto"/>
                <w:left w:val="none" w:sz="0" w:space="0" w:color="auto"/>
                <w:bottom w:val="none" w:sz="0" w:space="0" w:color="auto"/>
                <w:right w:val="none" w:sz="0" w:space="0" w:color="auto"/>
              </w:divBdr>
            </w:div>
            <w:div w:id="11882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41">
      <w:bodyDiv w:val="1"/>
      <w:marLeft w:val="0"/>
      <w:marRight w:val="0"/>
      <w:marTop w:val="0"/>
      <w:marBottom w:val="0"/>
      <w:divBdr>
        <w:top w:val="none" w:sz="0" w:space="0" w:color="auto"/>
        <w:left w:val="none" w:sz="0" w:space="0" w:color="auto"/>
        <w:bottom w:val="none" w:sz="0" w:space="0" w:color="auto"/>
        <w:right w:val="none" w:sz="0" w:space="0" w:color="auto"/>
      </w:divBdr>
      <w:divsChild>
        <w:div w:id="788815604">
          <w:marLeft w:val="0"/>
          <w:marRight w:val="0"/>
          <w:marTop w:val="0"/>
          <w:marBottom w:val="0"/>
          <w:divBdr>
            <w:top w:val="none" w:sz="0" w:space="0" w:color="auto"/>
            <w:left w:val="none" w:sz="0" w:space="0" w:color="auto"/>
            <w:bottom w:val="none" w:sz="0" w:space="0" w:color="auto"/>
            <w:right w:val="none" w:sz="0" w:space="0" w:color="auto"/>
          </w:divBdr>
        </w:div>
        <w:div w:id="1815440034">
          <w:marLeft w:val="0"/>
          <w:marRight w:val="0"/>
          <w:marTop w:val="0"/>
          <w:marBottom w:val="0"/>
          <w:divBdr>
            <w:top w:val="none" w:sz="0" w:space="0" w:color="auto"/>
            <w:left w:val="none" w:sz="0" w:space="0" w:color="auto"/>
            <w:bottom w:val="none" w:sz="0" w:space="0" w:color="auto"/>
            <w:right w:val="none" w:sz="0" w:space="0" w:color="auto"/>
          </w:divBdr>
        </w:div>
      </w:divsChild>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2238517">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6149565">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75703935">
      <w:bodyDiv w:val="1"/>
      <w:marLeft w:val="0"/>
      <w:marRight w:val="0"/>
      <w:marTop w:val="0"/>
      <w:marBottom w:val="0"/>
      <w:divBdr>
        <w:top w:val="none" w:sz="0" w:space="0" w:color="auto"/>
        <w:left w:val="none" w:sz="0" w:space="0" w:color="auto"/>
        <w:bottom w:val="none" w:sz="0" w:space="0" w:color="auto"/>
        <w:right w:val="none" w:sz="0" w:space="0" w:color="auto"/>
      </w:divBdr>
      <w:divsChild>
        <w:div w:id="347023273">
          <w:marLeft w:val="0"/>
          <w:marRight w:val="0"/>
          <w:marTop w:val="0"/>
          <w:marBottom w:val="0"/>
          <w:divBdr>
            <w:top w:val="none" w:sz="0" w:space="0" w:color="auto"/>
            <w:left w:val="none" w:sz="0" w:space="0" w:color="auto"/>
            <w:bottom w:val="none" w:sz="0" w:space="0" w:color="auto"/>
            <w:right w:val="none" w:sz="0" w:space="0" w:color="auto"/>
          </w:divBdr>
        </w:div>
        <w:div w:id="1250500253">
          <w:marLeft w:val="0"/>
          <w:marRight w:val="0"/>
          <w:marTop w:val="0"/>
          <w:marBottom w:val="0"/>
          <w:divBdr>
            <w:top w:val="none" w:sz="0" w:space="0" w:color="auto"/>
            <w:left w:val="none" w:sz="0" w:space="0" w:color="auto"/>
            <w:bottom w:val="none" w:sz="0" w:space="0" w:color="auto"/>
            <w:right w:val="none" w:sz="0" w:space="0" w:color="auto"/>
          </w:divBdr>
        </w:div>
        <w:div w:id="2048798427">
          <w:marLeft w:val="0"/>
          <w:marRight w:val="0"/>
          <w:marTop w:val="0"/>
          <w:marBottom w:val="0"/>
          <w:divBdr>
            <w:top w:val="none" w:sz="0" w:space="0" w:color="auto"/>
            <w:left w:val="none" w:sz="0" w:space="0" w:color="auto"/>
            <w:bottom w:val="none" w:sz="0" w:space="0" w:color="auto"/>
            <w:right w:val="none" w:sz="0" w:space="0" w:color="auto"/>
          </w:divBdr>
        </w:div>
      </w:divsChild>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11426520">
      <w:bodyDiv w:val="1"/>
      <w:marLeft w:val="0"/>
      <w:marRight w:val="0"/>
      <w:marTop w:val="0"/>
      <w:marBottom w:val="0"/>
      <w:divBdr>
        <w:top w:val="none" w:sz="0" w:space="0" w:color="auto"/>
        <w:left w:val="none" w:sz="0" w:space="0" w:color="auto"/>
        <w:bottom w:val="none" w:sz="0" w:space="0" w:color="auto"/>
        <w:right w:val="none" w:sz="0" w:space="0" w:color="auto"/>
      </w:divBdr>
    </w:div>
    <w:div w:id="218248447">
      <w:bodyDiv w:val="1"/>
      <w:marLeft w:val="0"/>
      <w:marRight w:val="0"/>
      <w:marTop w:val="0"/>
      <w:marBottom w:val="0"/>
      <w:divBdr>
        <w:top w:val="none" w:sz="0" w:space="0" w:color="auto"/>
        <w:left w:val="none" w:sz="0" w:space="0" w:color="auto"/>
        <w:bottom w:val="none" w:sz="0" w:space="0" w:color="auto"/>
        <w:right w:val="none" w:sz="0" w:space="0" w:color="auto"/>
      </w:divBdr>
    </w:div>
    <w:div w:id="220403741">
      <w:bodyDiv w:val="1"/>
      <w:marLeft w:val="0"/>
      <w:marRight w:val="0"/>
      <w:marTop w:val="0"/>
      <w:marBottom w:val="0"/>
      <w:divBdr>
        <w:top w:val="none" w:sz="0" w:space="0" w:color="auto"/>
        <w:left w:val="none" w:sz="0" w:space="0" w:color="auto"/>
        <w:bottom w:val="none" w:sz="0" w:space="0" w:color="auto"/>
        <w:right w:val="none" w:sz="0" w:space="0" w:color="auto"/>
      </w:divBdr>
      <w:divsChild>
        <w:div w:id="1423379236">
          <w:marLeft w:val="0"/>
          <w:marRight w:val="0"/>
          <w:marTop w:val="0"/>
          <w:marBottom w:val="0"/>
          <w:divBdr>
            <w:top w:val="none" w:sz="0" w:space="0" w:color="auto"/>
            <w:left w:val="none" w:sz="0" w:space="0" w:color="auto"/>
            <w:bottom w:val="none" w:sz="0" w:space="0" w:color="auto"/>
            <w:right w:val="none" w:sz="0" w:space="0" w:color="auto"/>
          </w:divBdr>
        </w:div>
        <w:div w:id="1590501559">
          <w:marLeft w:val="0"/>
          <w:marRight w:val="0"/>
          <w:marTop w:val="0"/>
          <w:marBottom w:val="0"/>
          <w:divBdr>
            <w:top w:val="none" w:sz="0" w:space="0" w:color="auto"/>
            <w:left w:val="none" w:sz="0" w:space="0" w:color="auto"/>
            <w:bottom w:val="none" w:sz="0" w:space="0" w:color="auto"/>
            <w:right w:val="none" w:sz="0" w:space="0" w:color="auto"/>
          </w:divBdr>
        </w:div>
      </w:divsChild>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8055589">
      <w:bodyDiv w:val="1"/>
      <w:marLeft w:val="0"/>
      <w:marRight w:val="0"/>
      <w:marTop w:val="0"/>
      <w:marBottom w:val="0"/>
      <w:divBdr>
        <w:top w:val="none" w:sz="0" w:space="0" w:color="auto"/>
        <w:left w:val="none" w:sz="0" w:space="0" w:color="auto"/>
        <w:bottom w:val="none" w:sz="0" w:space="0" w:color="auto"/>
        <w:right w:val="none" w:sz="0" w:space="0" w:color="auto"/>
      </w:divBdr>
      <w:divsChild>
        <w:div w:id="81923930">
          <w:marLeft w:val="0"/>
          <w:marRight w:val="0"/>
          <w:marTop w:val="0"/>
          <w:marBottom w:val="0"/>
          <w:divBdr>
            <w:top w:val="none" w:sz="0" w:space="0" w:color="auto"/>
            <w:left w:val="none" w:sz="0" w:space="0" w:color="auto"/>
            <w:bottom w:val="none" w:sz="0" w:space="0" w:color="auto"/>
            <w:right w:val="none" w:sz="0" w:space="0" w:color="auto"/>
          </w:divBdr>
        </w:div>
        <w:div w:id="442918502">
          <w:marLeft w:val="0"/>
          <w:marRight w:val="0"/>
          <w:marTop w:val="0"/>
          <w:marBottom w:val="0"/>
          <w:divBdr>
            <w:top w:val="none" w:sz="0" w:space="0" w:color="auto"/>
            <w:left w:val="none" w:sz="0" w:space="0" w:color="auto"/>
            <w:bottom w:val="none" w:sz="0" w:space="0" w:color="auto"/>
            <w:right w:val="none" w:sz="0" w:space="0" w:color="auto"/>
          </w:divBdr>
        </w:div>
      </w:divsChild>
    </w:div>
    <w:div w:id="250705314">
      <w:bodyDiv w:val="1"/>
      <w:marLeft w:val="0"/>
      <w:marRight w:val="0"/>
      <w:marTop w:val="0"/>
      <w:marBottom w:val="0"/>
      <w:divBdr>
        <w:top w:val="none" w:sz="0" w:space="0" w:color="auto"/>
        <w:left w:val="none" w:sz="0" w:space="0" w:color="auto"/>
        <w:bottom w:val="none" w:sz="0" w:space="0" w:color="auto"/>
        <w:right w:val="none" w:sz="0" w:space="0" w:color="auto"/>
      </w:divBdr>
      <w:divsChild>
        <w:div w:id="513568733">
          <w:marLeft w:val="0"/>
          <w:marRight w:val="0"/>
          <w:marTop w:val="0"/>
          <w:marBottom w:val="0"/>
          <w:divBdr>
            <w:top w:val="none" w:sz="0" w:space="0" w:color="auto"/>
            <w:left w:val="none" w:sz="0" w:space="0" w:color="auto"/>
            <w:bottom w:val="none" w:sz="0" w:space="0" w:color="auto"/>
            <w:right w:val="none" w:sz="0" w:space="0" w:color="auto"/>
          </w:divBdr>
        </w:div>
        <w:div w:id="1223370055">
          <w:marLeft w:val="0"/>
          <w:marRight w:val="0"/>
          <w:marTop w:val="0"/>
          <w:marBottom w:val="0"/>
          <w:divBdr>
            <w:top w:val="none" w:sz="0" w:space="0" w:color="auto"/>
            <w:left w:val="none" w:sz="0" w:space="0" w:color="auto"/>
            <w:bottom w:val="none" w:sz="0" w:space="0" w:color="auto"/>
            <w:right w:val="none" w:sz="0" w:space="0" w:color="auto"/>
          </w:divBdr>
        </w:div>
        <w:div w:id="1439711959">
          <w:marLeft w:val="0"/>
          <w:marRight w:val="0"/>
          <w:marTop w:val="0"/>
          <w:marBottom w:val="0"/>
          <w:divBdr>
            <w:top w:val="none" w:sz="0" w:space="0" w:color="auto"/>
            <w:left w:val="none" w:sz="0" w:space="0" w:color="auto"/>
            <w:bottom w:val="none" w:sz="0" w:space="0" w:color="auto"/>
            <w:right w:val="none" w:sz="0" w:space="0" w:color="auto"/>
          </w:divBdr>
        </w:div>
        <w:div w:id="1627346051">
          <w:marLeft w:val="0"/>
          <w:marRight w:val="0"/>
          <w:marTop w:val="0"/>
          <w:marBottom w:val="0"/>
          <w:divBdr>
            <w:top w:val="none" w:sz="0" w:space="0" w:color="auto"/>
            <w:left w:val="none" w:sz="0" w:space="0" w:color="auto"/>
            <w:bottom w:val="none" w:sz="0" w:space="0" w:color="auto"/>
            <w:right w:val="none" w:sz="0" w:space="0" w:color="auto"/>
          </w:divBdr>
        </w:div>
        <w:div w:id="1818833862">
          <w:marLeft w:val="0"/>
          <w:marRight w:val="0"/>
          <w:marTop w:val="0"/>
          <w:marBottom w:val="0"/>
          <w:divBdr>
            <w:top w:val="none" w:sz="0" w:space="0" w:color="auto"/>
            <w:left w:val="none" w:sz="0" w:space="0" w:color="auto"/>
            <w:bottom w:val="none" w:sz="0" w:space="0" w:color="auto"/>
            <w:right w:val="none" w:sz="0" w:space="0" w:color="auto"/>
          </w:divBdr>
        </w:div>
      </w:divsChild>
    </w:div>
    <w:div w:id="271472348">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1456">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73627510">
      <w:bodyDiv w:val="1"/>
      <w:marLeft w:val="0"/>
      <w:marRight w:val="0"/>
      <w:marTop w:val="0"/>
      <w:marBottom w:val="0"/>
      <w:divBdr>
        <w:top w:val="none" w:sz="0" w:space="0" w:color="auto"/>
        <w:left w:val="none" w:sz="0" w:space="0" w:color="auto"/>
        <w:bottom w:val="none" w:sz="0" w:space="0" w:color="auto"/>
        <w:right w:val="none" w:sz="0" w:space="0" w:color="auto"/>
      </w:divBdr>
    </w:div>
    <w:div w:id="404568343">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sChild>
        <w:div w:id="450786657">
          <w:marLeft w:val="0"/>
          <w:marRight w:val="0"/>
          <w:marTop w:val="0"/>
          <w:marBottom w:val="0"/>
          <w:divBdr>
            <w:top w:val="none" w:sz="0" w:space="0" w:color="auto"/>
            <w:left w:val="none" w:sz="0" w:space="0" w:color="auto"/>
            <w:bottom w:val="none" w:sz="0" w:space="0" w:color="auto"/>
            <w:right w:val="none" w:sz="0" w:space="0" w:color="auto"/>
          </w:divBdr>
        </w:div>
        <w:div w:id="652494266">
          <w:marLeft w:val="0"/>
          <w:marRight w:val="0"/>
          <w:marTop w:val="0"/>
          <w:marBottom w:val="0"/>
          <w:divBdr>
            <w:top w:val="none" w:sz="0" w:space="0" w:color="auto"/>
            <w:left w:val="none" w:sz="0" w:space="0" w:color="auto"/>
            <w:bottom w:val="none" w:sz="0" w:space="0" w:color="auto"/>
            <w:right w:val="none" w:sz="0" w:space="0" w:color="auto"/>
          </w:divBdr>
        </w:div>
      </w:divsChild>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625168">
      <w:bodyDiv w:val="1"/>
      <w:marLeft w:val="0"/>
      <w:marRight w:val="0"/>
      <w:marTop w:val="0"/>
      <w:marBottom w:val="0"/>
      <w:divBdr>
        <w:top w:val="none" w:sz="0" w:space="0" w:color="auto"/>
        <w:left w:val="none" w:sz="0" w:space="0" w:color="auto"/>
        <w:bottom w:val="none" w:sz="0" w:space="0" w:color="auto"/>
        <w:right w:val="none" w:sz="0" w:space="0" w:color="auto"/>
      </w:divBdr>
      <w:divsChild>
        <w:div w:id="947740086">
          <w:marLeft w:val="0"/>
          <w:marRight w:val="0"/>
          <w:marTop w:val="0"/>
          <w:marBottom w:val="0"/>
          <w:divBdr>
            <w:top w:val="none" w:sz="0" w:space="0" w:color="auto"/>
            <w:left w:val="none" w:sz="0" w:space="0" w:color="auto"/>
            <w:bottom w:val="none" w:sz="0" w:space="0" w:color="auto"/>
            <w:right w:val="none" w:sz="0" w:space="0" w:color="auto"/>
          </w:divBdr>
        </w:div>
        <w:div w:id="957566091">
          <w:marLeft w:val="0"/>
          <w:marRight w:val="0"/>
          <w:marTop w:val="0"/>
          <w:marBottom w:val="0"/>
          <w:divBdr>
            <w:top w:val="none" w:sz="0" w:space="0" w:color="auto"/>
            <w:left w:val="none" w:sz="0" w:space="0" w:color="auto"/>
            <w:bottom w:val="none" w:sz="0" w:space="0" w:color="auto"/>
            <w:right w:val="none" w:sz="0" w:space="0" w:color="auto"/>
          </w:divBdr>
        </w:div>
      </w:divsChild>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257476">
      <w:bodyDiv w:val="1"/>
      <w:marLeft w:val="0"/>
      <w:marRight w:val="0"/>
      <w:marTop w:val="0"/>
      <w:marBottom w:val="0"/>
      <w:divBdr>
        <w:top w:val="none" w:sz="0" w:space="0" w:color="auto"/>
        <w:left w:val="none" w:sz="0" w:space="0" w:color="auto"/>
        <w:bottom w:val="none" w:sz="0" w:space="0" w:color="auto"/>
        <w:right w:val="none" w:sz="0" w:space="0" w:color="auto"/>
      </w:divBdr>
      <w:divsChild>
        <w:div w:id="233323184">
          <w:marLeft w:val="0"/>
          <w:marRight w:val="0"/>
          <w:marTop w:val="0"/>
          <w:marBottom w:val="0"/>
          <w:divBdr>
            <w:top w:val="none" w:sz="0" w:space="0" w:color="auto"/>
            <w:left w:val="none" w:sz="0" w:space="0" w:color="auto"/>
            <w:bottom w:val="none" w:sz="0" w:space="0" w:color="auto"/>
            <w:right w:val="none" w:sz="0" w:space="0" w:color="auto"/>
          </w:divBdr>
        </w:div>
        <w:div w:id="376978600">
          <w:marLeft w:val="0"/>
          <w:marRight w:val="0"/>
          <w:marTop w:val="0"/>
          <w:marBottom w:val="0"/>
          <w:divBdr>
            <w:top w:val="none" w:sz="0" w:space="0" w:color="auto"/>
            <w:left w:val="none" w:sz="0" w:space="0" w:color="auto"/>
            <w:bottom w:val="none" w:sz="0" w:space="0" w:color="auto"/>
            <w:right w:val="none" w:sz="0" w:space="0" w:color="auto"/>
          </w:divBdr>
        </w:div>
      </w:divsChild>
    </w:div>
    <w:div w:id="45478692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0340015">
      <w:bodyDiv w:val="1"/>
      <w:marLeft w:val="0"/>
      <w:marRight w:val="0"/>
      <w:marTop w:val="0"/>
      <w:marBottom w:val="0"/>
      <w:divBdr>
        <w:top w:val="none" w:sz="0" w:space="0" w:color="auto"/>
        <w:left w:val="none" w:sz="0" w:space="0" w:color="auto"/>
        <w:bottom w:val="none" w:sz="0" w:space="0" w:color="auto"/>
        <w:right w:val="none" w:sz="0" w:space="0" w:color="auto"/>
      </w:divBdr>
      <w:divsChild>
        <w:div w:id="137187076">
          <w:marLeft w:val="0"/>
          <w:marRight w:val="0"/>
          <w:marTop w:val="0"/>
          <w:marBottom w:val="0"/>
          <w:divBdr>
            <w:top w:val="none" w:sz="0" w:space="0" w:color="auto"/>
            <w:left w:val="none" w:sz="0" w:space="0" w:color="auto"/>
            <w:bottom w:val="none" w:sz="0" w:space="0" w:color="auto"/>
            <w:right w:val="none" w:sz="0" w:space="0" w:color="auto"/>
          </w:divBdr>
        </w:div>
        <w:div w:id="1529949168">
          <w:marLeft w:val="0"/>
          <w:marRight w:val="0"/>
          <w:marTop w:val="0"/>
          <w:marBottom w:val="0"/>
          <w:divBdr>
            <w:top w:val="none" w:sz="0" w:space="0" w:color="auto"/>
            <w:left w:val="none" w:sz="0" w:space="0" w:color="auto"/>
            <w:bottom w:val="none" w:sz="0" w:space="0" w:color="auto"/>
            <w:right w:val="none" w:sz="0" w:space="0" w:color="auto"/>
          </w:divBdr>
        </w:div>
      </w:divsChild>
    </w:div>
    <w:div w:id="465320741">
      <w:bodyDiv w:val="1"/>
      <w:marLeft w:val="0"/>
      <w:marRight w:val="0"/>
      <w:marTop w:val="0"/>
      <w:marBottom w:val="0"/>
      <w:divBdr>
        <w:top w:val="none" w:sz="0" w:space="0" w:color="auto"/>
        <w:left w:val="none" w:sz="0" w:space="0" w:color="auto"/>
        <w:bottom w:val="none" w:sz="0" w:space="0" w:color="auto"/>
        <w:right w:val="none" w:sz="0" w:space="0" w:color="auto"/>
      </w:divBdr>
      <w:divsChild>
        <w:div w:id="792679188">
          <w:marLeft w:val="0"/>
          <w:marRight w:val="0"/>
          <w:marTop w:val="0"/>
          <w:marBottom w:val="0"/>
          <w:divBdr>
            <w:top w:val="none" w:sz="0" w:space="0" w:color="auto"/>
            <w:left w:val="none" w:sz="0" w:space="0" w:color="auto"/>
            <w:bottom w:val="none" w:sz="0" w:space="0" w:color="auto"/>
            <w:right w:val="none" w:sz="0" w:space="0" w:color="auto"/>
          </w:divBdr>
        </w:div>
        <w:div w:id="1492718090">
          <w:marLeft w:val="0"/>
          <w:marRight w:val="0"/>
          <w:marTop w:val="0"/>
          <w:marBottom w:val="0"/>
          <w:divBdr>
            <w:top w:val="none" w:sz="0" w:space="0" w:color="auto"/>
            <w:left w:val="none" w:sz="0" w:space="0" w:color="auto"/>
            <w:bottom w:val="none" w:sz="0" w:space="0" w:color="auto"/>
            <w:right w:val="none" w:sz="0" w:space="0" w:color="auto"/>
          </w:divBdr>
        </w:div>
      </w:divsChild>
    </w:div>
    <w:div w:id="480346059">
      <w:bodyDiv w:val="1"/>
      <w:marLeft w:val="0"/>
      <w:marRight w:val="0"/>
      <w:marTop w:val="0"/>
      <w:marBottom w:val="0"/>
      <w:divBdr>
        <w:top w:val="none" w:sz="0" w:space="0" w:color="auto"/>
        <w:left w:val="none" w:sz="0" w:space="0" w:color="auto"/>
        <w:bottom w:val="none" w:sz="0" w:space="0" w:color="auto"/>
        <w:right w:val="none" w:sz="0" w:space="0" w:color="auto"/>
      </w:divBdr>
    </w:div>
    <w:div w:id="48327477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08830924">
      <w:bodyDiv w:val="1"/>
      <w:marLeft w:val="0"/>
      <w:marRight w:val="0"/>
      <w:marTop w:val="0"/>
      <w:marBottom w:val="0"/>
      <w:divBdr>
        <w:top w:val="none" w:sz="0" w:space="0" w:color="auto"/>
        <w:left w:val="none" w:sz="0" w:space="0" w:color="auto"/>
        <w:bottom w:val="none" w:sz="0" w:space="0" w:color="auto"/>
        <w:right w:val="none" w:sz="0" w:space="0" w:color="auto"/>
      </w:divBdr>
      <w:divsChild>
        <w:div w:id="271062217">
          <w:marLeft w:val="0"/>
          <w:marRight w:val="0"/>
          <w:marTop w:val="0"/>
          <w:marBottom w:val="0"/>
          <w:divBdr>
            <w:top w:val="none" w:sz="0" w:space="0" w:color="auto"/>
            <w:left w:val="none" w:sz="0" w:space="0" w:color="auto"/>
            <w:bottom w:val="none" w:sz="0" w:space="0" w:color="auto"/>
            <w:right w:val="none" w:sz="0" w:space="0" w:color="auto"/>
          </w:divBdr>
        </w:div>
        <w:div w:id="1984845714">
          <w:marLeft w:val="0"/>
          <w:marRight w:val="0"/>
          <w:marTop w:val="0"/>
          <w:marBottom w:val="0"/>
          <w:divBdr>
            <w:top w:val="none" w:sz="0" w:space="0" w:color="auto"/>
            <w:left w:val="none" w:sz="0" w:space="0" w:color="auto"/>
            <w:bottom w:val="none" w:sz="0" w:space="0" w:color="auto"/>
            <w:right w:val="none" w:sz="0" w:space="0" w:color="auto"/>
          </w:divBdr>
        </w:div>
      </w:divsChild>
    </w:div>
    <w:div w:id="510416554">
      <w:bodyDiv w:val="1"/>
      <w:marLeft w:val="0"/>
      <w:marRight w:val="0"/>
      <w:marTop w:val="0"/>
      <w:marBottom w:val="0"/>
      <w:divBdr>
        <w:top w:val="none" w:sz="0" w:space="0" w:color="auto"/>
        <w:left w:val="none" w:sz="0" w:space="0" w:color="auto"/>
        <w:bottom w:val="none" w:sz="0" w:space="0" w:color="auto"/>
        <w:right w:val="none" w:sz="0" w:space="0" w:color="auto"/>
      </w:divBdr>
      <w:divsChild>
        <w:div w:id="344983849">
          <w:marLeft w:val="0"/>
          <w:marRight w:val="0"/>
          <w:marTop w:val="0"/>
          <w:marBottom w:val="0"/>
          <w:divBdr>
            <w:top w:val="none" w:sz="0" w:space="0" w:color="auto"/>
            <w:left w:val="none" w:sz="0" w:space="0" w:color="auto"/>
            <w:bottom w:val="none" w:sz="0" w:space="0" w:color="auto"/>
            <w:right w:val="none" w:sz="0" w:space="0" w:color="auto"/>
          </w:divBdr>
        </w:div>
        <w:div w:id="2067948178">
          <w:marLeft w:val="0"/>
          <w:marRight w:val="0"/>
          <w:marTop w:val="0"/>
          <w:marBottom w:val="0"/>
          <w:divBdr>
            <w:top w:val="none" w:sz="0" w:space="0" w:color="auto"/>
            <w:left w:val="none" w:sz="0" w:space="0" w:color="auto"/>
            <w:bottom w:val="none" w:sz="0" w:space="0" w:color="auto"/>
            <w:right w:val="none" w:sz="0" w:space="0" w:color="auto"/>
          </w:divBdr>
        </w:div>
      </w:divsChild>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37157631">
      <w:bodyDiv w:val="1"/>
      <w:marLeft w:val="0"/>
      <w:marRight w:val="0"/>
      <w:marTop w:val="0"/>
      <w:marBottom w:val="0"/>
      <w:divBdr>
        <w:top w:val="none" w:sz="0" w:space="0" w:color="auto"/>
        <w:left w:val="none" w:sz="0" w:space="0" w:color="auto"/>
        <w:bottom w:val="none" w:sz="0" w:space="0" w:color="auto"/>
        <w:right w:val="none" w:sz="0" w:space="0" w:color="auto"/>
      </w:divBdr>
    </w:div>
    <w:div w:id="556863088">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9437232">
      <w:bodyDiv w:val="1"/>
      <w:marLeft w:val="0"/>
      <w:marRight w:val="0"/>
      <w:marTop w:val="0"/>
      <w:marBottom w:val="0"/>
      <w:divBdr>
        <w:top w:val="none" w:sz="0" w:space="0" w:color="auto"/>
        <w:left w:val="none" w:sz="0" w:space="0" w:color="auto"/>
        <w:bottom w:val="none" w:sz="0" w:space="0" w:color="auto"/>
        <w:right w:val="none" w:sz="0" w:space="0" w:color="auto"/>
      </w:divBdr>
    </w:div>
    <w:div w:id="592662768">
      <w:bodyDiv w:val="1"/>
      <w:marLeft w:val="0"/>
      <w:marRight w:val="0"/>
      <w:marTop w:val="0"/>
      <w:marBottom w:val="0"/>
      <w:divBdr>
        <w:top w:val="none" w:sz="0" w:space="0" w:color="auto"/>
        <w:left w:val="none" w:sz="0" w:space="0" w:color="auto"/>
        <w:bottom w:val="none" w:sz="0" w:space="0" w:color="auto"/>
        <w:right w:val="none" w:sz="0" w:space="0" w:color="auto"/>
      </w:divBdr>
      <w:divsChild>
        <w:div w:id="228149509">
          <w:marLeft w:val="0"/>
          <w:marRight w:val="0"/>
          <w:marTop w:val="0"/>
          <w:marBottom w:val="0"/>
          <w:divBdr>
            <w:top w:val="none" w:sz="0" w:space="0" w:color="auto"/>
            <w:left w:val="none" w:sz="0" w:space="0" w:color="auto"/>
            <w:bottom w:val="none" w:sz="0" w:space="0" w:color="auto"/>
            <w:right w:val="none" w:sz="0" w:space="0" w:color="auto"/>
          </w:divBdr>
        </w:div>
        <w:div w:id="1436243628">
          <w:marLeft w:val="0"/>
          <w:marRight w:val="0"/>
          <w:marTop w:val="0"/>
          <w:marBottom w:val="0"/>
          <w:divBdr>
            <w:top w:val="none" w:sz="0" w:space="0" w:color="auto"/>
            <w:left w:val="none" w:sz="0" w:space="0" w:color="auto"/>
            <w:bottom w:val="none" w:sz="0" w:space="0" w:color="auto"/>
            <w:right w:val="none" w:sz="0" w:space="0" w:color="auto"/>
          </w:divBdr>
        </w:div>
      </w:divsChild>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3609572">
      <w:bodyDiv w:val="1"/>
      <w:marLeft w:val="0"/>
      <w:marRight w:val="0"/>
      <w:marTop w:val="0"/>
      <w:marBottom w:val="0"/>
      <w:divBdr>
        <w:top w:val="none" w:sz="0" w:space="0" w:color="auto"/>
        <w:left w:val="none" w:sz="0" w:space="0" w:color="auto"/>
        <w:bottom w:val="none" w:sz="0" w:space="0" w:color="auto"/>
        <w:right w:val="none" w:sz="0" w:space="0" w:color="auto"/>
      </w:divBdr>
      <w:divsChild>
        <w:div w:id="422845954">
          <w:marLeft w:val="0"/>
          <w:marRight w:val="0"/>
          <w:marTop w:val="0"/>
          <w:marBottom w:val="0"/>
          <w:divBdr>
            <w:top w:val="none" w:sz="0" w:space="0" w:color="auto"/>
            <w:left w:val="none" w:sz="0" w:space="0" w:color="auto"/>
            <w:bottom w:val="none" w:sz="0" w:space="0" w:color="auto"/>
            <w:right w:val="none" w:sz="0" w:space="0" w:color="auto"/>
          </w:divBdr>
        </w:div>
        <w:div w:id="1372879110">
          <w:marLeft w:val="0"/>
          <w:marRight w:val="0"/>
          <w:marTop w:val="0"/>
          <w:marBottom w:val="0"/>
          <w:divBdr>
            <w:top w:val="none" w:sz="0" w:space="0" w:color="auto"/>
            <w:left w:val="none" w:sz="0" w:space="0" w:color="auto"/>
            <w:bottom w:val="none" w:sz="0" w:space="0" w:color="auto"/>
            <w:right w:val="none" w:sz="0" w:space="0" w:color="auto"/>
          </w:divBdr>
        </w:div>
        <w:div w:id="1841119117">
          <w:marLeft w:val="0"/>
          <w:marRight w:val="0"/>
          <w:marTop w:val="0"/>
          <w:marBottom w:val="0"/>
          <w:divBdr>
            <w:top w:val="none" w:sz="0" w:space="0" w:color="auto"/>
            <w:left w:val="none" w:sz="0" w:space="0" w:color="auto"/>
            <w:bottom w:val="none" w:sz="0" w:space="0" w:color="auto"/>
            <w:right w:val="none" w:sz="0" w:space="0" w:color="auto"/>
          </w:divBdr>
        </w:div>
      </w:divsChild>
    </w:div>
    <w:div w:id="613249416">
      <w:bodyDiv w:val="1"/>
      <w:marLeft w:val="0"/>
      <w:marRight w:val="0"/>
      <w:marTop w:val="0"/>
      <w:marBottom w:val="0"/>
      <w:divBdr>
        <w:top w:val="none" w:sz="0" w:space="0" w:color="auto"/>
        <w:left w:val="none" w:sz="0" w:space="0" w:color="auto"/>
        <w:bottom w:val="none" w:sz="0" w:space="0" w:color="auto"/>
        <w:right w:val="none" w:sz="0" w:space="0" w:color="auto"/>
      </w:divBdr>
      <w:divsChild>
        <w:div w:id="676735190">
          <w:marLeft w:val="0"/>
          <w:marRight w:val="0"/>
          <w:marTop w:val="0"/>
          <w:marBottom w:val="0"/>
          <w:divBdr>
            <w:top w:val="none" w:sz="0" w:space="0" w:color="auto"/>
            <w:left w:val="none" w:sz="0" w:space="0" w:color="auto"/>
            <w:bottom w:val="none" w:sz="0" w:space="0" w:color="auto"/>
            <w:right w:val="none" w:sz="0" w:space="0" w:color="auto"/>
          </w:divBdr>
        </w:div>
        <w:div w:id="1650357280">
          <w:marLeft w:val="0"/>
          <w:marRight w:val="0"/>
          <w:marTop w:val="0"/>
          <w:marBottom w:val="0"/>
          <w:divBdr>
            <w:top w:val="none" w:sz="0" w:space="0" w:color="auto"/>
            <w:left w:val="none" w:sz="0" w:space="0" w:color="auto"/>
            <w:bottom w:val="none" w:sz="0" w:space="0" w:color="auto"/>
            <w:right w:val="none" w:sz="0" w:space="0" w:color="auto"/>
          </w:divBdr>
        </w:div>
      </w:divsChild>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8557657">
      <w:bodyDiv w:val="1"/>
      <w:marLeft w:val="0"/>
      <w:marRight w:val="0"/>
      <w:marTop w:val="0"/>
      <w:marBottom w:val="0"/>
      <w:divBdr>
        <w:top w:val="none" w:sz="0" w:space="0" w:color="auto"/>
        <w:left w:val="none" w:sz="0" w:space="0" w:color="auto"/>
        <w:bottom w:val="none" w:sz="0" w:space="0" w:color="auto"/>
        <w:right w:val="none" w:sz="0" w:space="0" w:color="auto"/>
      </w:divBdr>
      <w:divsChild>
        <w:div w:id="606935319">
          <w:marLeft w:val="0"/>
          <w:marRight w:val="0"/>
          <w:marTop w:val="0"/>
          <w:marBottom w:val="0"/>
          <w:divBdr>
            <w:top w:val="none" w:sz="0" w:space="0" w:color="auto"/>
            <w:left w:val="none" w:sz="0" w:space="0" w:color="auto"/>
            <w:bottom w:val="none" w:sz="0" w:space="0" w:color="auto"/>
            <w:right w:val="none" w:sz="0" w:space="0" w:color="auto"/>
          </w:divBdr>
        </w:div>
        <w:div w:id="1455710931">
          <w:marLeft w:val="0"/>
          <w:marRight w:val="0"/>
          <w:marTop w:val="0"/>
          <w:marBottom w:val="0"/>
          <w:divBdr>
            <w:top w:val="none" w:sz="0" w:space="0" w:color="auto"/>
            <w:left w:val="none" w:sz="0" w:space="0" w:color="auto"/>
            <w:bottom w:val="none" w:sz="0" w:space="0" w:color="auto"/>
            <w:right w:val="none" w:sz="0" w:space="0" w:color="auto"/>
          </w:divBdr>
        </w:div>
        <w:div w:id="1541940938">
          <w:marLeft w:val="0"/>
          <w:marRight w:val="0"/>
          <w:marTop w:val="0"/>
          <w:marBottom w:val="0"/>
          <w:divBdr>
            <w:top w:val="none" w:sz="0" w:space="0" w:color="auto"/>
            <w:left w:val="none" w:sz="0" w:space="0" w:color="auto"/>
            <w:bottom w:val="none" w:sz="0" w:space="0" w:color="auto"/>
            <w:right w:val="none" w:sz="0" w:space="0" w:color="auto"/>
          </w:divBdr>
        </w:div>
      </w:divsChild>
    </w:div>
    <w:div w:id="649671977">
      <w:bodyDiv w:val="1"/>
      <w:marLeft w:val="0"/>
      <w:marRight w:val="0"/>
      <w:marTop w:val="0"/>
      <w:marBottom w:val="0"/>
      <w:divBdr>
        <w:top w:val="none" w:sz="0" w:space="0" w:color="auto"/>
        <w:left w:val="none" w:sz="0" w:space="0" w:color="auto"/>
        <w:bottom w:val="none" w:sz="0" w:space="0" w:color="auto"/>
        <w:right w:val="none" w:sz="0" w:space="0" w:color="auto"/>
      </w:divBdr>
    </w:div>
    <w:div w:id="656765744">
      <w:bodyDiv w:val="1"/>
      <w:marLeft w:val="0"/>
      <w:marRight w:val="0"/>
      <w:marTop w:val="0"/>
      <w:marBottom w:val="0"/>
      <w:divBdr>
        <w:top w:val="none" w:sz="0" w:space="0" w:color="auto"/>
        <w:left w:val="none" w:sz="0" w:space="0" w:color="auto"/>
        <w:bottom w:val="none" w:sz="0" w:space="0" w:color="auto"/>
        <w:right w:val="none" w:sz="0" w:space="0" w:color="auto"/>
      </w:divBdr>
      <w:divsChild>
        <w:div w:id="547034909">
          <w:marLeft w:val="0"/>
          <w:marRight w:val="0"/>
          <w:marTop w:val="0"/>
          <w:marBottom w:val="0"/>
          <w:divBdr>
            <w:top w:val="none" w:sz="0" w:space="0" w:color="auto"/>
            <w:left w:val="none" w:sz="0" w:space="0" w:color="auto"/>
            <w:bottom w:val="none" w:sz="0" w:space="0" w:color="auto"/>
            <w:right w:val="none" w:sz="0" w:space="0" w:color="auto"/>
          </w:divBdr>
        </w:div>
        <w:div w:id="1054086623">
          <w:marLeft w:val="0"/>
          <w:marRight w:val="0"/>
          <w:marTop w:val="0"/>
          <w:marBottom w:val="0"/>
          <w:divBdr>
            <w:top w:val="none" w:sz="0" w:space="0" w:color="auto"/>
            <w:left w:val="none" w:sz="0" w:space="0" w:color="auto"/>
            <w:bottom w:val="none" w:sz="0" w:space="0" w:color="auto"/>
            <w:right w:val="none" w:sz="0" w:space="0" w:color="auto"/>
          </w:divBdr>
        </w:div>
      </w:divsChild>
    </w:div>
    <w:div w:id="660159321">
      <w:bodyDiv w:val="1"/>
      <w:marLeft w:val="0"/>
      <w:marRight w:val="0"/>
      <w:marTop w:val="0"/>
      <w:marBottom w:val="0"/>
      <w:divBdr>
        <w:top w:val="none" w:sz="0" w:space="0" w:color="auto"/>
        <w:left w:val="none" w:sz="0" w:space="0" w:color="auto"/>
        <w:bottom w:val="none" w:sz="0" w:space="0" w:color="auto"/>
        <w:right w:val="none" w:sz="0" w:space="0" w:color="auto"/>
      </w:divBdr>
    </w:div>
    <w:div w:id="664893322">
      <w:bodyDiv w:val="1"/>
      <w:marLeft w:val="0"/>
      <w:marRight w:val="0"/>
      <w:marTop w:val="0"/>
      <w:marBottom w:val="0"/>
      <w:divBdr>
        <w:top w:val="none" w:sz="0" w:space="0" w:color="auto"/>
        <w:left w:val="none" w:sz="0" w:space="0" w:color="auto"/>
        <w:bottom w:val="none" w:sz="0" w:space="0" w:color="auto"/>
        <w:right w:val="none" w:sz="0" w:space="0" w:color="auto"/>
      </w:divBdr>
      <w:divsChild>
        <w:div w:id="438836450">
          <w:marLeft w:val="0"/>
          <w:marRight w:val="0"/>
          <w:marTop w:val="0"/>
          <w:marBottom w:val="0"/>
          <w:divBdr>
            <w:top w:val="none" w:sz="0" w:space="0" w:color="auto"/>
            <w:left w:val="none" w:sz="0" w:space="0" w:color="auto"/>
            <w:bottom w:val="none" w:sz="0" w:space="0" w:color="auto"/>
            <w:right w:val="none" w:sz="0" w:space="0" w:color="auto"/>
          </w:divBdr>
        </w:div>
        <w:div w:id="501823623">
          <w:marLeft w:val="0"/>
          <w:marRight w:val="0"/>
          <w:marTop w:val="0"/>
          <w:marBottom w:val="0"/>
          <w:divBdr>
            <w:top w:val="none" w:sz="0" w:space="0" w:color="auto"/>
            <w:left w:val="none" w:sz="0" w:space="0" w:color="auto"/>
            <w:bottom w:val="none" w:sz="0" w:space="0" w:color="auto"/>
            <w:right w:val="none" w:sz="0" w:space="0" w:color="auto"/>
          </w:divBdr>
        </w:div>
        <w:div w:id="1077367174">
          <w:marLeft w:val="0"/>
          <w:marRight w:val="0"/>
          <w:marTop w:val="0"/>
          <w:marBottom w:val="0"/>
          <w:divBdr>
            <w:top w:val="none" w:sz="0" w:space="0" w:color="auto"/>
            <w:left w:val="none" w:sz="0" w:space="0" w:color="auto"/>
            <w:bottom w:val="none" w:sz="0" w:space="0" w:color="auto"/>
            <w:right w:val="none" w:sz="0" w:space="0" w:color="auto"/>
          </w:divBdr>
        </w:div>
        <w:div w:id="1925919249">
          <w:marLeft w:val="0"/>
          <w:marRight w:val="0"/>
          <w:marTop w:val="0"/>
          <w:marBottom w:val="0"/>
          <w:divBdr>
            <w:top w:val="none" w:sz="0" w:space="0" w:color="auto"/>
            <w:left w:val="none" w:sz="0" w:space="0" w:color="auto"/>
            <w:bottom w:val="none" w:sz="0" w:space="0" w:color="auto"/>
            <w:right w:val="none" w:sz="0" w:space="0" w:color="auto"/>
          </w:divBdr>
        </w:div>
      </w:divsChild>
    </w:div>
    <w:div w:id="672297772">
      <w:bodyDiv w:val="1"/>
      <w:marLeft w:val="0"/>
      <w:marRight w:val="0"/>
      <w:marTop w:val="0"/>
      <w:marBottom w:val="0"/>
      <w:divBdr>
        <w:top w:val="none" w:sz="0" w:space="0" w:color="auto"/>
        <w:left w:val="none" w:sz="0" w:space="0" w:color="auto"/>
        <w:bottom w:val="none" w:sz="0" w:space="0" w:color="auto"/>
        <w:right w:val="none" w:sz="0" w:space="0" w:color="auto"/>
      </w:divBdr>
      <w:divsChild>
        <w:div w:id="1459109123">
          <w:marLeft w:val="0"/>
          <w:marRight w:val="0"/>
          <w:marTop w:val="0"/>
          <w:marBottom w:val="0"/>
          <w:divBdr>
            <w:top w:val="none" w:sz="0" w:space="0" w:color="auto"/>
            <w:left w:val="none" w:sz="0" w:space="0" w:color="auto"/>
            <w:bottom w:val="none" w:sz="0" w:space="0" w:color="auto"/>
            <w:right w:val="none" w:sz="0" w:space="0" w:color="auto"/>
          </w:divBdr>
        </w:div>
        <w:div w:id="1843156183">
          <w:marLeft w:val="0"/>
          <w:marRight w:val="0"/>
          <w:marTop w:val="0"/>
          <w:marBottom w:val="0"/>
          <w:divBdr>
            <w:top w:val="none" w:sz="0" w:space="0" w:color="auto"/>
            <w:left w:val="none" w:sz="0" w:space="0" w:color="auto"/>
            <w:bottom w:val="none" w:sz="0" w:space="0" w:color="auto"/>
            <w:right w:val="none" w:sz="0" w:space="0" w:color="auto"/>
          </w:divBdr>
        </w:div>
      </w:divsChild>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16007967">
      <w:bodyDiv w:val="1"/>
      <w:marLeft w:val="0"/>
      <w:marRight w:val="0"/>
      <w:marTop w:val="0"/>
      <w:marBottom w:val="0"/>
      <w:divBdr>
        <w:top w:val="none" w:sz="0" w:space="0" w:color="auto"/>
        <w:left w:val="none" w:sz="0" w:space="0" w:color="auto"/>
        <w:bottom w:val="none" w:sz="0" w:space="0" w:color="auto"/>
        <w:right w:val="none" w:sz="0" w:space="0" w:color="auto"/>
      </w:divBdr>
      <w:divsChild>
        <w:div w:id="189031702">
          <w:marLeft w:val="0"/>
          <w:marRight w:val="0"/>
          <w:marTop w:val="0"/>
          <w:marBottom w:val="0"/>
          <w:divBdr>
            <w:top w:val="none" w:sz="0" w:space="0" w:color="auto"/>
            <w:left w:val="none" w:sz="0" w:space="0" w:color="auto"/>
            <w:bottom w:val="none" w:sz="0" w:space="0" w:color="auto"/>
            <w:right w:val="none" w:sz="0" w:space="0" w:color="auto"/>
          </w:divBdr>
        </w:div>
        <w:div w:id="2091150627">
          <w:marLeft w:val="0"/>
          <w:marRight w:val="0"/>
          <w:marTop w:val="0"/>
          <w:marBottom w:val="0"/>
          <w:divBdr>
            <w:top w:val="none" w:sz="0" w:space="0" w:color="auto"/>
            <w:left w:val="none" w:sz="0" w:space="0" w:color="auto"/>
            <w:bottom w:val="none" w:sz="0" w:space="0" w:color="auto"/>
            <w:right w:val="none" w:sz="0" w:space="0" w:color="auto"/>
          </w:divBdr>
        </w:div>
      </w:divsChild>
    </w:div>
    <w:div w:id="720247850">
      <w:bodyDiv w:val="1"/>
      <w:marLeft w:val="0"/>
      <w:marRight w:val="0"/>
      <w:marTop w:val="0"/>
      <w:marBottom w:val="0"/>
      <w:divBdr>
        <w:top w:val="none" w:sz="0" w:space="0" w:color="auto"/>
        <w:left w:val="none" w:sz="0" w:space="0" w:color="auto"/>
        <w:bottom w:val="none" w:sz="0" w:space="0" w:color="auto"/>
        <w:right w:val="none" w:sz="0" w:space="0" w:color="auto"/>
      </w:divBdr>
      <w:divsChild>
        <w:div w:id="441220231">
          <w:marLeft w:val="0"/>
          <w:marRight w:val="0"/>
          <w:marTop w:val="0"/>
          <w:marBottom w:val="0"/>
          <w:divBdr>
            <w:top w:val="none" w:sz="0" w:space="0" w:color="auto"/>
            <w:left w:val="none" w:sz="0" w:space="0" w:color="auto"/>
            <w:bottom w:val="none" w:sz="0" w:space="0" w:color="auto"/>
            <w:right w:val="none" w:sz="0" w:space="0" w:color="auto"/>
          </w:divBdr>
        </w:div>
        <w:div w:id="1770999427">
          <w:marLeft w:val="0"/>
          <w:marRight w:val="0"/>
          <w:marTop w:val="0"/>
          <w:marBottom w:val="0"/>
          <w:divBdr>
            <w:top w:val="none" w:sz="0" w:space="0" w:color="auto"/>
            <w:left w:val="none" w:sz="0" w:space="0" w:color="auto"/>
            <w:bottom w:val="none" w:sz="0" w:space="0" w:color="auto"/>
            <w:right w:val="none" w:sz="0" w:space="0" w:color="auto"/>
          </w:divBdr>
        </w:div>
        <w:div w:id="1937784717">
          <w:marLeft w:val="0"/>
          <w:marRight w:val="0"/>
          <w:marTop w:val="0"/>
          <w:marBottom w:val="0"/>
          <w:divBdr>
            <w:top w:val="none" w:sz="0" w:space="0" w:color="auto"/>
            <w:left w:val="none" w:sz="0" w:space="0" w:color="auto"/>
            <w:bottom w:val="none" w:sz="0" w:space="0" w:color="auto"/>
            <w:right w:val="none" w:sz="0" w:space="0" w:color="auto"/>
          </w:divBdr>
        </w:div>
      </w:divsChild>
    </w:div>
    <w:div w:id="725421292">
      <w:bodyDiv w:val="1"/>
      <w:marLeft w:val="0"/>
      <w:marRight w:val="0"/>
      <w:marTop w:val="0"/>
      <w:marBottom w:val="0"/>
      <w:divBdr>
        <w:top w:val="none" w:sz="0" w:space="0" w:color="auto"/>
        <w:left w:val="none" w:sz="0" w:space="0" w:color="auto"/>
        <w:bottom w:val="none" w:sz="0" w:space="0" w:color="auto"/>
        <w:right w:val="none" w:sz="0" w:space="0" w:color="auto"/>
      </w:divBdr>
      <w:divsChild>
        <w:div w:id="343022280">
          <w:marLeft w:val="0"/>
          <w:marRight w:val="0"/>
          <w:marTop w:val="0"/>
          <w:marBottom w:val="0"/>
          <w:divBdr>
            <w:top w:val="none" w:sz="0" w:space="0" w:color="auto"/>
            <w:left w:val="none" w:sz="0" w:space="0" w:color="auto"/>
            <w:bottom w:val="none" w:sz="0" w:space="0" w:color="auto"/>
            <w:right w:val="none" w:sz="0" w:space="0" w:color="auto"/>
          </w:divBdr>
        </w:div>
        <w:div w:id="1801729292">
          <w:marLeft w:val="0"/>
          <w:marRight w:val="0"/>
          <w:marTop w:val="0"/>
          <w:marBottom w:val="0"/>
          <w:divBdr>
            <w:top w:val="none" w:sz="0" w:space="0" w:color="auto"/>
            <w:left w:val="none" w:sz="0" w:space="0" w:color="auto"/>
            <w:bottom w:val="none" w:sz="0" w:space="0" w:color="auto"/>
            <w:right w:val="none" w:sz="0" w:space="0" w:color="auto"/>
          </w:divBdr>
        </w:div>
      </w:divsChild>
    </w:div>
    <w:div w:id="755056403">
      <w:bodyDiv w:val="1"/>
      <w:marLeft w:val="0"/>
      <w:marRight w:val="0"/>
      <w:marTop w:val="0"/>
      <w:marBottom w:val="0"/>
      <w:divBdr>
        <w:top w:val="none" w:sz="0" w:space="0" w:color="auto"/>
        <w:left w:val="none" w:sz="0" w:space="0" w:color="auto"/>
        <w:bottom w:val="none" w:sz="0" w:space="0" w:color="auto"/>
        <w:right w:val="none" w:sz="0" w:space="0" w:color="auto"/>
      </w:divBdr>
    </w:div>
    <w:div w:id="813908734">
      <w:bodyDiv w:val="1"/>
      <w:marLeft w:val="0"/>
      <w:marRight w:val="0"/>
      <w:marTop w:val="0"/>
      <w:marBottom w:val="0"/>
      <w:divBdr>
        <w:top w:val="none" w:sz="0" w:space="0" w:color="auto"/>
        <w:left w:val="none" w:sz="0" w:space="0" w:color="auto"/>
        <w:bottom w:val="none" w:sz="0" w:space="0" w:color="auto"/>
        <w:right w:val="none" w:sz="0" w:space="0" w:color="auto"/>
      </w:divBdr>
      <w:divsChild>
        <w:div w:id="165092792">
          <w:marLeft w:val="0"/>
          <w:marRight w:val="0"/>
          <w:marTop w:val="0"/>
          <w:marBottom w:val="0"/>
          <w:divBdr>
            <w:top w:val="none" w:sz="0" w:space="0" w:color="auto"/>
            <w:left w:val="none" w:sz="0" w:space="0" w:color="auto"/>
            <w:bottom w:val="none" w:sz="0" w:space="0" w:color="auto"/>
            <w:right w:val="none" w:sz="0" w:space="0" w:color="auto"/>
          </w:divBdr>
        </w:div>
        <w:div w:id="302545171">
          <w:marLeft w:val="0"/>
          <w:marRight w:val="0"/>
          <w:marTop w:val="0"/>
          <w:marBottom w:val="0"/>
          <w:divBdr>
            <w:top w:val="none" w:sz="0" w:space="0" w:color="auto"/>
            <w:left w:val="none" w:sz="0" w:space="0" w:color="auto"/>
            <w:bottom w:val="none" w:sz="0" w:space="0" w:color="auto"/>
            <w:right w:val="none" w:sz="0" w:space="0" w:color="auto"/>
          </w:divBdr>
        </w:div>
      </w:divsChild>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2529155">
      <w:bodyDiv w:val="1"/>
      <w:marLeft w:val="0"/>
      <w:marRight w:val="0"/>
      <w:marTop w:val="0"/>
      <w:marBottom w:val="0"/>
      <w:divBdr>
        <w:top w:val="none" w:sz="0" w:space="0" w:color="auto"/>
        <w:left w:val="none" w:sz="0" w:space="0" w:color="auto"/>
        <w:bottom w:val="none" w:sz="0" w:space="0" w:color="auto"/>
        <w:right w:val="none" w:sz="0" w:space="0" w:color="auto"/>
      </w:divBdr>
      <w:divsChild>
        <w:div w:id="1016464255">
          <w:marLeft w:val="0"/>
          <w:marRight w:val="0"/>
          <w:marTop w:val="0"/>
          <w:marBottom w:val="0"/>
          <w:divBdr>
            <w:top w:val="none" w:sz="0" w:space="0" w:color="auto"/>
            <w:left w:val="none" w:sz="0" w:space="0" w:color="auto"/>
            <w:bottom w:val="none" w:sz="0" w:space="0" w:color="auto"/>
            <w:right w:val="none" w:sz="0" w:space="0" w:color="auto"/>
          </w:divBdr>
        </w:div>
        <w:div w:id="1048336695">
          <w:marLeft w:val="0"/>
          <w:marRight w:val="0"/>
          <w:marTop w:val="0"/>
          <w:marBottom w:val="0"/>
          <w:divBdr>
            <w:top w:val="none" w:sz="0" w:space="0" w:color="auto"/>
            <w:left w:val="none" w:sz="0" w:space="0" w:color="auto"/>
            <w:bottom w:val="none" w:sz="0" w:space="0" w:color="auto"/>
            <w:right w:val="none" w:sz="0" w:space="0" w:color="auto"/>
          </w:divBdr>
        </w:div>
        <w:div w:id="1959749974">
          <w:marLeft w:val="0"/>
          <w:marRight w:val="0"/>
          <w:marTop w:val="0"/>
          <w:marBottom w:val="0"/>
          <w:divBdr>
            <w:top w:val="none" w:sz="0" w:space="0" w:color="auto"/>
            <w:left w:val="none" w:sz="0" w:space="0" w:color="auto"/>
            <w:bottom w:val="none" w:sz="0" w:space="0" w:color="auto"/>
            <w:right w:val="none" w:sz="0" w:space="0" w:color="auto"/>
          </w:divBdr>
        </w:div>
      </w:divsChild>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489915">
      <w:bodyDiv w:val="1"/>
      <w:marLeft w:val="0"/>
      <w:marRight w:val="0"/>
      <w:marTop w:val="0"/>
      <w:marBottom w:val="0"/>
      <w:divBdr>
        <w:top w:val="none" w:sz="0" w:space="0" w:color="auto"/>
        <w:left w:val="none" w:sz="0" w:space="0" w:color="auto"/>
        <w:bottom w:val="none" w:sz="0" w:space="0" w:color="auto"/>
        <w:right w:val="none" w:sz="0" w:space="0" w:color="auto"/>
      </w:divBdr>
    </w:div>
    <w:div w:id="865098923">
      <w:bodyDiv w:val="1"/>
      <w:marLeft w:val="0"/>
      <w:marRight w:val="0"/>
      <w:marTop w:val="0"/>
      <w:marBottom w:val="0"/>
      <w:divBdr>
        <w:top w:val="none" w:sz="0" w:space="0" w:color="auto"/>
        <w:left w:val="none" w:sz="0" w:space="0" w:color="auto"/>
        <w:bottom w:val="none" w:sz="0" w:space="0" w:color="auto"/>
        <w:right w:val="none" w:sz="0" w:space="0" w:color="auto"/>
      </w:divBdr>
      <w:divsChild>
        <w:div w:id="1201086004">
          <w:marLeft w:val="0"/>
          <w:marRight w:val="0"/>
          <w:marTop w:val="0"/>
          <w:marBottom w:val="0"/>
          <w:divBdr>
            <w:top w:val="none" w:sz="0" w:space="0" w:color="auto"/>
            <w:left w:val="none" w:sz="0" w:space="0" w:color="auto"/>
            <w:bottom w:val="none" w:sz="0" w:space="0" w:color="auto"/>
            <w:right w:val="none" w:sz="0" w:space="0" w:color="auto"/>
          </w:divBdr>
        </w:div>
        <w:div w:id="1562136066">
          <w:marLeft w:val="0"/>
          <w:marRight w:val="0"/>
          <w:marTop w:val="0"/>
          <w:marBottom w:val="0"/>
          <w:divBdr>
            <w:top w:val="none" w:sz="0" w:space="0" w:color="auto"/>
            <w:left w:val="none" w:sz="0" w:space="0" w:color="auto"/>
            <w:bottom w:val="none" w:sz="0" w:space="0" w:color="auto"/>
            <w:right w:val="none" w:sz="0" w:space="0" w:color="auto"/>
          </w:divBdr>
        </w:div>
      </w:divsChild>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0412229">
      <w:bodyDiv w:val="1"/>
      <w:marLeft w:val="0"/>
      <w:marRight w:val="0"/>
      <w:marTop w:val="0"/>
      <w:marBottom w:val="0"/>
      <w:divBdr>
        <w:top w:val="none" w:sz="0" w:space="0" w:color="auto"/>
        <w:left w:val="none" w:sz="0" w:space="0" w:color="auto"/>
        <w:bottom w:val="none" w:sz="0" w:space="0" w:color="auto"/>
        <w:right w:val="none" w:sz="0" w:space="0" w:color="auto"/>
      </w:divBdr>
      <w:divsChild>
        <w:div w:id="87432505">
          <w:marLeft w:val="0"/>
          <w:marRight w:val="0"/>
          <w:marTop w:val="0"/>
          <w:marBottom w:val="0"/>
          <w:divBdr>
            <w:top w:val="none" w:sz="0" w:space="0" w:color="auto"/>
            <w:left w:val="none" w:sz="0" w:space="0" w:color="auto"/>
            <w:bottom w:val="none" w:sz="0" w:space="0" w:color="auto"/>
            <w:right w:val="none" w:sz="0" w:space="0" w:color="auto"/>
          </w:divBdr>
        </w:div>
        <w:div w:id="720372277">
          <w:marLeft w:val="0"/>
          <w:marRight w:val="0"/>
          <w:marTop w:val="0"/>
          <w:marBottom w:val="0"/>
          <w:divBdr>
            <w:top w:val="none" w:sz="0" w:space="0" w:color="auto"/>
            <w:left w:val="none" w:sz="0" w:space="0" w:color="auto"/>
            <w:bottom w:val="none" w:sz="0" w:space="0" w:color="auto"/>
            <w:right w:val="none" w:sz="0" w:space="0" w:color="auto"/>
          </w:divBdr>
        </w:div>
        <w:div w:id="901595328">
          <w:marLeft w:val="0"/>
          <w:marRight w:val="0"/>
          <w:marTop w:val="0"/>
          <w:marBottom w:val="0"/>
          <w:divBdr>
            <w:top w:val="none" w:sz="0" w:space="0" w:color="auto"/>
            <w:left w:val="none" w:sz="0" w:space="0" w:color="auto"/>
            <w:bottom w:val="none" w:sz="0" w:space="0" w:color="auto"/>
            <w:right w:val="none" w:sz="0" w:space="0" w:color="auto"/>
          </w:divBdr>
        </w:div>
        <w:div w:id="1513642998">
          <w:marLeft w:val="0"/>
          <w:marRight w:val="0"/>
          <w:marTop w:val="0"/>
          <w:marBottom w:val="0"/>
          <w:divBdr>
            <w:top w:val="none" w:sz="0" w:space="0" w:color="auto"/>
            <w:left w:val="none" w:sz="0" w:space="0" w:color="auto"/>
            <w:bottom w:val="none" w:sz="0" w:space="0" w:color="auto"/>
            <w:right w:val="none" w:sz="0" w:space="0" w:color="auto"/>
          </w:divBdr>
        </w:div>
      </w:divsChild>
    </w:div>
    <w:div w:id="886838700">
      <w:bodyDiv w:val="1"/>
      <w:marLeft w:val="0"/>
      <w:marRight w:val="0"/>
      <w:marTop w:val="0"/>
      <w:marBottom w:val="0"/>
      <w:divBdr>
        <w:top w:val="none" w:sz="0" w:space="0" w:color="auto"/>
        <w:left w:val="none" w:sz="0" w:space="0" w:color="auto"/>
        <w:bottom w:val="none" w:sz="0" w:space="0" w:color="auto"/>
        <w:right w:val="none" w:sz="0" w:space="0" w:color="auto"/>
      </w:divBdr>
      <w:divsChild>
        <w:div w:id="884023130">
          <w:marLeft w:val="0"/>
          <w:marRight w:val="0"/>
          <w:marTop w:val="0"/>
          <w:marBottom w:val="0"/>
          <w:divBdr>
            <w:top w:val="none" w:sz="0" w:space="0" w:color="auto"/>
            <w:left w:val="none" w:sz="0" w:space="0" w:color="auto"/>
            <w:bottom w:val="none" w:sz="0" w:space="0" w:color="auto"/>
            <w:right w:val="none" w:sz="0" w:space="0" w:color="auto"/>
          </w:divBdr>
        </w:div>
        <w:div w:id="1061244631">
          <w:marLeft w:val="0"/>
          <w:marRight w:val="0"/>
          <w:marTop w:val="0"/>
          <w:marBottom w:val="0"/>
          <w:divBdr>
            <w:top w:val="none" w:sz="0" w:space="0" w:color="auto"/>
            <w:left w:val="none" w:sz="0" w:space="0" w:color="auto"/>
            <w:bottom w:val="none" w:sz="0" w:space="0" w:color="auto"/>
            <w:right w:val="none" w:sz="0" w:space="0" w:color="auto"/>
          </w:divBdr>
        </w:div>
      </w:divsChild>
    </w:div>
    <w:div w:id="897057640">
      <w:bodyDiv w:val="1"/>
      <w:marLeft w:val="0"/>
      <w:marRight w:val="0"/>
      <w:marTop w:val="0"/>
      <w:marBottom w:val="0"/>
      <w:divBdr>
        <w:top w:val="none" w:sz="0" w:space="0" w:color="auto"/>
        <w:left w:val="none" w:sz="0" w:space="0" w:color="auto"/>
        <w:bottom w:val="none" w:sz="0" w:space="0" w:color="auto"/>
        <w:right w:val="none" w:sz="0" w:space="0" w:color="auto"/>
      </w:divBdr>
      <w:divsChild>
        <w:div w:id="82189435">
          <w:marLeft w:val="0"/>
          <w:marRight w:val="0"/>
          <w:marTop w:val="0"/>
          <w:marBottom w:val="0"/>
          <w:divBdr>
            <w:top w:val="none" w:sz="0" w:space="0" w:color="auto"/>
            <w:left w:val="none" w:sz="0" w:space="0" w:color="auto"/>
            <w:bottom w:val="none" w:sz="0" w:space="0" w:color="auto"/>
            <w:right w:val="none" w:sz="0" w:space="0" w:color="auto"/>
          </w:divBdr>
        </w:div>
        <w:div w:id="507446082">
          <w:marLeft w:val="0"/>
          <w:marRight w:val="0"/>
          <w:marTop w:val="0"/>
          <w:marBottom w:val="0"/>
          <w:divBdr>
            <w:top w:val="none" w:sz="0" w:space="0" w:color="auto"/>
            <w:left w:val="none" w:sz="0" w:space="0" w:color="auto"/>
            <w:bottom w:val="none" w:sz="0" w:space="0" w:color="auto"/>
            <w:right w:val="none" w:sz="0" w:space="0" w:color="auto"/>
          </w:divBdr>
        </w:div>
      </w:divsChild>
    </w:div>
    <w:div w:id="897320999">
      <w:bodyDiv w:val="1"/>
      <w:marLeft w:val="0"/>
      <w:marRight w:val="0"/>
      <w:marTop w:val="0"/>
      <w:marBottom w:val="0"/>
      <w:divBdr>
        <w:top w:val="none" w:sz="0" w:space="0" w:color="auto"/>
        <w:left w:val="none" w:sz="0" w:space="0" w:color="auto"/>
        <w:bottom w:val="none" w:sz="0" w:space="0" w:color="auto"/>
        <w:right w:val="none" w:sz="0" w:space="0" w:color="auto"/>
      </w:divBdr>
      <w:divsChild>
        <w:div w:id="587925753">
          <w:marLeft w:val="0"/>
          <w:marRight w:val="0"/>
          <w:marTop w:val="0"/>
          <w:marBottom w:val="0"/>
          <w:divBdr>
            <w:top w:val="none" w:sz="0" w:space="0" w:color="auto"/>
            <w:left w:val="none" w:sz="0" w:space="0" w:color="auto"/>
            <w:bottom w:val="none" w:sz="0" w:space="0" w:color="auto"/>
            <w:right w:val="none" w:sz="0" w:space="0" w:color="auto"/>
          </w:divBdr>
        </w:div>
        <w:div w:id="845174407">
          <w:marLeft w:val="0"/>
          <w:marRight w:val="0"/>
          <w:marTop w:val="0"/>
          <w:marBottom w:val="0"/>
          <w:divBdr>
            <w:top w:val="none" w:sz="0" w:space="0" w:color="auto"/>
            <w:left w:val="none" w:sz="0" w:space="0" w:color="auto"/>
            <w:bottom w:val="none" w:sz="0" w:space="0" w:color="auto"/>
            <w:right w:val="none" w:sz="0" w:space="0" w:color="auto"/>
          </w:divBdr>
        </w:div>
        <w:div w:id="1766995157">
          <w:marLeft w:val="0"/>
          <w:marRight w:val="0"/>
          <w:marTop w:val="0"/>
          <w:marBottom w:val="0"/>
          <w:divBdr>
            <w:top w:val="none" w:sz="0" w:space="0" w:color="auto"/>
            <w:left w:val="none" w:sz="0" w:space="0" w:color="auto"/>
            <w:bottom w:val="none" w:sz="0" w:space="0" w:color="auto"/>
            <w:right w:val="none" w:sz="0" w:space="0" w:color="auto"/>
          </w:divBdr>
        </w:div>
        <w:div w:id="1893467861">
          <w:marLeft w:val="0"/>
          <w:marRight w:val="0"/>
          <w:marTop w:val="0"/>
          <w:marBottom w:val="0"/>
          <w:divBdr>
            <w:top w:val="none" w:sz="0" w:space="0" w:color="auto"/>
            <w:left w:val="none" w:sz="0" w:space="0" w:color="auto"/>
            <w:bottom w:val="none" w:sz="0" w:space="0" w:color="auto"/>
            <w:right w:val="none" w:sz="0" w:space="0" w:color="auto"/>
          </w:divBdr>
        </w:div>
      </w:divsChild>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14358466">
      <w:bodyDiv w:val="1"/>
      <w:marLeft w:val="0"/>
      <w:marRight w:val="0"/>
      <w:marTop w:val="0"/>
      <w:marBottom w:val="0"/>
      <w:divBdr>
        <w:top w:val="none" w:sz="0" w:space="0" w:color="auto"/>
        <w:left w:val="none" w:sz="0" w:space="0" w:color="auto"/>
        <w:bottom w:val="none" w:sz="0" w:space="0" w:color="auto"/>
        <w:right w:val="none" w:sz="0" w:space="0" w:color="auto"/>
      </w:divBdr>
      <w:divsChild>
        <w:div w:id="1316298342">
          <w:marLeft w:val="0"/>
          <w:marRight w:val="0"/>
          <w:marTop w:val="0"/>
          <w:marBottom w:val="0"/>
          <w:divBdr>
            <w:top w:val="none" w:sz="0" w:space="0" w:color="auto"/>
            <w:left w:val="none" w:sz="0" w:space="0" w:color="auto"/>
            <w:bottom w:val="none" w:sz="0" w:space="0" w:color="auto"/>
            <w:right w:val="none" w:sz="0" w:space="0" w:color="auto"/>
          </w:divBdr>
        </w:div>
        <w:div w:id="1456950256">
          <w:marLeft w:val="0"/>
          <w:marRight w:val="0"/>
          <w:marTop w:val="0"/>
          <w:marBottom w:val="0"/>
          <w:divBdr>
            <w:top w:val="none" w:sz="0" w:space="0" w:color="auto"/>
            <w:left w:val="none" w:sz="0" w:space="0" w:color="auto"/>
            <w:bottom w:val="none" w:sz="0" w:space="0" w:color="auto"/>
            <w:right w:val="none" w:sz="0" w:space="0" w:color="auto"/>
          </w:divBdr>
        </w:div>
      </w:divsChild>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8221123">
      <w:bodyDiv w:val="1"/>
      <w:marLeft w:val="0"/>
      <w:marRight w:val="0"/>
      <w:marTop w:val="0"/>
      <w:marBottom w:val="0"/>
      <w:divBdr>
        <w:top w:val="none" w:sz="0" w:space="0" w:color="auto"/>
        <w:left w:val="none" w:sz="0" w:space="0" w:color="auto"/>
        <w:bottom w:val="none" w:sz="0" w:space="0" w:color="auto"/>
        <w:right w:val="none" w:sz="0" w:space="0" w:color="auto"/>
      </w:divBdr>
      <w:divsChild>
        <w:div w:id="248732720">
          <w:marLeft w:val="0"/>
          <w:marRight w:val="0"/>
          <w:marTop w:val="0"/>
          <w:marBottom w:val="0"/>
          <w:divBdr>
            <w:top w:val="none" w:sz="0" w:space="0" w:color="auto"/>
            <w:left w:val="none" w:sz="0" w:space="0" w:color="auto"/>
            <w:bottom w:val="none" w:sz="0" w:space="0" w:color="auto"/>
            <w:right w:val="none" w:sz="0" w:space="0" w:color="auto"/>
          </w:divBdr>
        </w:div>
        <w:div w:id="672997241">
          <w:marLeft w:val="0"/>
          <w:marRight w:val="0"/>
          <w:marTop w:val="0"/>
          <w:marBottom w:val="0"/>
          <w:divBdr>
            <w:top w:val="none" w:sz="0" w:space="0" w:color="auto"/>
            <w:left w:val="none" w:sz="0" w:space="0" w:color="auto"/>
            <w:bottom w:val="none" w:sz="0" w:space="0" w:color="auto"/>
            <w:right w:val="none" w:sz="0" w:space="0" w:color="auto"/>
          </w:divBdr>
        </w:div>
        <w:div w:id="678506961">
          <w:marLeft w:val="0"/>
          <w:marRight w:val="0"/>
          <w:marTop w:val="0"/>
          <w:marBottom w:val="0"/>
          <w:divBdr>
            <w:top w:val="none" w:sz="0" w:space="0" w:color="auto"/>
            <w:left w:val="none" w:sz="0" w:space="0" w:color="auto"/>
            <w:bottom w:val="none" w:sz="0" w:space="0" w:color="auto"/>
            <w:right w:val="none" w:sz="0" w:space="0" w:color="auto"/>
          </w:divBdr>
        </w:div>
        <w:div w:id="846402922">
          <w:marLeft w:val="0"/>
          <w:marRight w:val="0"/>
          <w:marTop w:val="0"/>
          <w:marBottom w:val="0"/>
          <w:divBdr>
            <w:top w:val="none" w:sz="0" w:space="0" w:color="auto"/>
            <w:left w:val="none" w:sz="0" w:space="0" w:color="auto"/>
            <w:bottom w:val="none" w:sz="0" w:space="0" w:color="auto"/>
            <w:right w:val="none" w:sz="0" w:space="0" w:color="auto"/>
          </w:divBdr>
        </w:div>
        <w:div w:id="1564873754">
          <w:marLeft w:val="0"/>
          <w:marRight w:val="0"/>
          <w:marTop w:val="0"/>
          <w:marBottom w:val="0"/>
          <w:divBdr>
            <w:top w:val="none" w:sz="0" w:space="0" w:color="auto"/>
            <w:left w:val="none" w:sz="0" w:space="0" w:color="auto"/>
            <w:bottom w:val="none" w:sz="0" w:space="0" w:color="auto"/>
            <w:right w:val="none" w:sz="0" w:space="0" w:color="auto"/>
          </w:divBdr>
        </w:div>
        <w:div w:id="2131392925">
          <w:marLeft w:val="0"/>
          <w:marRight w:val="0"/>
          <w:marTop w:val="0"/>
          <w:marBottom w:val="0"/>
          <w:divBdr>
            <w:top w:val="none" w:sz="0" w:space="0" w:color="auto"/>
            <w:left w:val="none" w:sz="0" w:space="0" w:color="auto"/>
            <w:bottom w:val="none" w:sz="0" w:space="0" w:color="auto"/>
            <w:right w:val="none" w:sz="0" w:space="0" w:color="auto"/>
          </w:divBdr>
        </w:div>
      </w:divsChild>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1760392">
      <w:bodyDiv w:val="1"/>
      <w:marLeft w:val="0"/>
      <w:marRight w:val="0"/>
      <w:marTop w:val="0"/>
      <w:marBottom w:val="0"/>
      <w:divBdr>
        <w:top w:val="none" w:sz="0" w:space="0" w:color="auto"/>
        <w:left w:val="none" w:sz="0" w:space="0" w:color="auto"/>
        <w:bottom w:val="none" w:sz="0" w:space="0" w:color="auto"/>
        <w:right w:val="none" w:sz="0" w:space="0" w:color="auto"/>
      </w:divBdr>
    </w:div>
    <w:div w:id="996223911">
      <w:bodyDiv w:val="1"/>
      <w:marLeft w:val="0"/>
      <w:marRight w:val="0"/>
      <w:marTop w:val="0"/>
      <w:marBottom w:val="0"/>
      <w:divBdr>
        <w:top w:val="none" w:sz="0" w:space="0" w:color="auto"/>
        <w:left w:val="none" w:sz="0" w:space="0" w:color="auto"/>
        <w:bottom w:val="none" w:sz="0" w:space="0" w:color="auto"/>
        <w:right w:val="none" w:sz="0" w:space="0" w:color="auto"/>
      </w:divBdr>
    </w:div>
    <w:div w:id="100193432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3724689">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45829984">
      <w:bodyDiv w:val="1"/>
      <w:marLeft w:val="0"/>
      <w:marRight w:val="0"/>
      <w:marTop w:val="0"/>
      <w:marBottom w:val="0"/>
      <w:divBdr>
        <w:top w:val="none" w:sz="0" w:space="0" w:color="auto"/>
        <w:left w:val="none" w:sz="0" w:space="0" w:color="auto"/>
        <w:bottom w:val="none" w:sz="0" w:space="0" w:color="auto"/>
        <w:right w:val="none" w:sz="0" w:space="0" w:color="auto"/>
      </w:divBdr>
      <w:divsChild>
        <w:div w:id="1379938527">
          <w:marLeft w:val="0"/>
          <w:marRight w:val="0"/>
          <w:marTop w:val="0"/>
          <w:marBottom w:val="0"/>
          <w:divBdr>
            <w:top w:val="none" w:sz="0" w:space="0" w:color="auto"/>
            <w:left w:val="none" w:sz="0" w:space="0" w:color="auto"/>
            <w:bottom w:val="none" w:sz="0" w:space="0" w:color="auto"/>
            <w:right w:val="none" w:sz="0" w:space="0" w:color="auto"/>
          </w:divBdr>
        </w:div>
        <w:div w:id="2089770225">
          <w:marLeft w:val="0"/>
          <w:marRight w:val="0"/>
          <w:marTop w:val="0"/>
          <w:marBottom w:val="0"/>
          <w:divBdr>
            <w:top w:val="none" w:sz="0" w:space="0" w:color="auto"/>
            <w:left w:val="none" w:sz="0" w:space="0" w:color="auto"/>
            <w:bottom w:val="none" w:sz="0" w:space="0" w:color="auto"/>
            <w:right w:val="none" w:sz="0" w:space="0" w:color="auto"/>
          </w:divBdr>
        </w:div>
      </w:divsChild>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1246538">
      <w:bodyDiv w:val="1"/>
      <w:marLeft w:val="0"/>
      <w:marRight w:val="0"/>
      <w:marTop w:val="0"/>
      <w:marBottom w:val="0"/>
      <w:divBdr>
        <w:top w:val="none" w:sz="0" w:space="0" w:color="auto"/>
        <w:left w:val="none" w:sz="0" w:space="0" w:color="auto"/>
        <w:bottom w:val="none" w:sz="0" w:space="0" w:color="auto"/>
        <w:right w:val="none" w:sz="0" w:space="0" w:color="auto"/>
      </w:divBdr>
      <w:divsChild>
        <w:div w:id="763573013">
          <w:marLeft w:val="0"/>
          <w:marRight w:val="0"/>
          <w:marTop w:val="0"/>
          <w:marBottom w:val="0"/>
          <w:divBdr>
            <w:top w:val="none" w:sz="0" w:space="0" w:color="auto"/>
            <w:left w:val="none" w:sz="0" w:space="0" w:color="auto"/>
            <w:bottom w:val="none" w:sz="0" w:space="0" w:color="auto"/>
            <w:right w:val="none" w:sz="0" w:space="0" w:color="auto"/>
          </w:divBdr>
        </w:div>
        <w:div w:id="838736472">
          <w:marLeft w:val="0"/>
          <w:marRight w:val="0"/>
          <w:marTop w:val="0"/>
          <w:marBottom w:val="0"/>
          <w:divBdr>
            <w:top w:val="none" w:sz="0" w:space="0" w:color="auto"/>
            <w:left w:val="none" w:sz="0" w:space="0" w:color="auto"/>
            <w:bottom w:val="none" w:sz="0" w:space="0" w:color="auto"/>
            <w:right w:val="none" w:sz="0" w:space="0" w:color="auto"/>
          </w:divBdr>
        </w:div>
      </w:divsChild>
    </w:div>
    <w:div w:id="1075512977">
      <w:bodyDiv w:val="1"/>
      <w:marLeft w:val="0"/>
      <w:marRight w:val="0"/>
      <w:marTop w:val="0"/>
      <w:marBottom w:val="0"/>
      <w:divBdr>
        <w:top w:val="none" w:sz="0" w:space="0" w:color="auto"/>
        <w:left w:val="none" w:sz="0" w:space="0" w:color="auto"/>
        <w:bottom w:val="none" w:sz="0" w:space="0" w:color="auto"/>
        <w:right w:val="none" w:sz="0" w:space="0" w:color="auto"/>
      </w:divBdr>
      <w:divsChild>
        <w:div w:id="1719865161">
          <w:marLeft w:val="0"/>
          <w:marRight w:val="0"/>
          <w:marTop w:val="0"/>
          <w:marBottom w:val="0"/>
          <w:divBdr>
            <w:top w:val="none" w:sz="0" w:space="0" w:color="auto"/>
            <w:left w:val="none" w:sz="0" w:space="0" w:color="auto"/>
            <w:bottom w:val="none" w:sz="0" w:space="0" w:color="auto"/>
            <w:right w:val="none" w:sz="0" w:space="0" w:color="auto"/>
          </w:divBdr>
        </w:div>
        <w:div w:id="1729842049">
          <w:marLeft w:val="0"/>
          <w:marRight w:val="0"/>
          <w:marTop w:val="0"/>
          <w:marBottom w:val="0"/>
          <w:divBdr>
            <w:top w:val="none" w:sz="0" w:space="0" w:color="auto"/>
            <w:left w:val="none" w:sz="0" w:space="0" w:color="auto"/>
            <w:bottom w:val="none" w:sz="0" w:space="0" w:color="auto"/>
            <w:right w:val="none" w:sz="0" w:space="0" w:color="auto"/>
          </w:divBdr>
        </w:div>
      </w:divsChild>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555765">
      <w:bodyDiv w:val="1"/>
      <w:marLeft w:val="0"/>
      <w:marRight w:val="0"/>
      <w:marTop w:val="0"/>
      <w:marBottom w:val="0"/>
      <w:divBdr>
        <w:top w:val="none" w:sz="0" w:space="0" w:color="auto"/>
        <w:left w:val="none" w:sz="0" w:space="0" w:color="auto"/>
        <w:bottom w:val="none" w:sz="0" w:space="0" w:color="auto"/>
        <w:right w:val="none" w:sz="0" w:space="0" w:color="auto"/>
      </w:divBdr>
    </w:div>
    <w:div w:id="1098522801">
      <w:bodyDiv w:val="1"/>
      <w:marLeft w:val="0"/>
      <w:marRight w:val="0"/>
      <w:marTop w:val="0"/>
      <w:marBottom w:val="0"/>
      <w:divBdr>
        <w:top w:val="none" w:sz="0" w:space="0" w:color="auto"/>
        <w:left w:val="none" w:sz="0" w:space="0" w:color="auto"/>
        <w:bottom w:val="none" w:sz="0" w:space="0" w:color="auto"/>
        <w:right w:val="none" w:sz="0" w:space="0" w:color="auto"/>
      </w:divBdr>
    </w:div>
    <w:div w:id="1102529649">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831875">
      <w:bodyDiv w:val="1"/>
      <w:marLeft w:val="0"/>
      <w:marRight w:val="0"/>
      <w:marTop w:val="0"/>
      <w:marBottom w:val="0"/>
      <w:divBdr>
        <w:top w:val="none" w:sz="0" w:space="0" w:color="auto"/>
        <w:left w:val="none" w:sz="0" w:space="0" w:color="auto"/>
        <w:bottom w:val="none" w:sz="0" w:space="0" w:color="auto"/>
        <w:right w:val="none" w:sz="0" w:space="0" w:color="auto"/>
      </w:divBdr>
      <w:divsChild>
        <w:div w:id="191919888">
          <w:marLeft w:val="0"/>
          <w:marRight w:val="0"/>
          <w:marTop w:val="0"/>
          <w:marBottom w:val="0"/>
          <w:divBdr>
            <w:top w:val="none" w:sz="0" w:space="0" w:color="auto"/>
            <w:left w:val="none" w:sz="0" w:space="0" w:color="auto"/>
            <w:bottom w:val="none" w:sz="0" w:space="0" w:color="auto"/>
            <w:right w:val="none" w:sz="0" w:space="0" w:color="auto"/>
          </w:divBdr>
        </w:div>
        <w:div w:id="648479463">
          <w:marLeft w:val="0"/>
          <w:marRight w:val="0"/>
          <w:marTop w:val="0"/>
          <w:marBottom w:val="0"/>
          <w:divBdr>
            <w:top w:val="none" w:sz="0" w:space="0" w:color="auto"/>
            <w:left w:val="none" w:sz="0" w:space="0" w:color="auto"/>
            <w:bottom w:val="none" w:sz="0" w:space="0" w:color="auto"/>
            <w:right w:val="none" w:sz="0" w:space="0" w:color="auto"/>
          </w:divBdr>
        </w:div>
        <w:div w:id="1487668038">
          <w:marLeft w:val="0"/>
          <w:marRight w:val="0"/>
          <w:marTop w:val="0"/>
          <w:marBottom w:val="0"/>
          <w:divBdr>
            <w:top w:val="none" w:sz="0" w:space="0" w:color="auto"/>
            <w:left w:val="none" w:sz="0" w:space="0" w:color="auto"/>
            <w:bottom w:val="none" w:sz="0" w:space="0" w:color="auto"/>
            <w:right w:val="none" w:sz="0" w:space="0" w:color="auto"/>
          </w:divBdr>
        </w:div>
        <w:div w:id="1847860908">
          <w:marLeft w:val="0"/>
          <w:marRight w:val="0"/>
          <w:marTop w:val="0"/>
          <w:marBottom w:val="0"/>
          <w:divBdr>
            <w:top w:val="none" w:sz="0" w:space="0" w:color="auto"/>
            <w:left w:val="none" w:sz="0" w:space="0" w:color="auto"/>
            <w:bottom w:val="none" w:sz="0" w:space="0" w:color="auto"/>
            <w:right w:val="none" w:sz="0" w:space="0" w:color="auto"/>
          </w:divBdr>
        </w:div>
      </w:divsChild>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578377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72837159">
      <w:bodyDiv w:val="1"/>
      <w:marLeft w:val="0"/>
      <w:marRight w:val="0"/>
      <w:marTop w:val="0"/>
      <w:marBottom w:val="0"/>
      <w:divBdr>
        <w:top w:val="none" w:sz="0" w:space="0" w:color="auto"/>
        <w:left w:val="none" w:sz="0" w:space="0" w:color="auto"/>
        <w:bottom w:val="none" w:sz="0" w:space="0" w:color="auto"/>
        <w:right w:val="none" w:sz="0" w:space="0" w:color="auto"/>
      </w:divBdr>
    </w:div>
    <w:div w:id="1202356116">
      <w:bodyDiv w:val="1"/>
      <w:marLeft w:val="0"/>
      <w:marRight w:val="0"/>
      <w:marTop w:val="0"/>
      <w:marBottom w:val="0"/>
      <w:divBdr>
        <w:top w:val="none" w:sz="0" w:space="0" w:color="auto"/>
        <w:left w:val="none" w:sz="0" w:space="0" w:color="auto"/>
        <w:bottom w:val="none" w:sz="0" w:space="0" w:color="auto"/>
        <w:right w:val="none" w:sz="0" w:space="0" w:color="auto"/>
      </w:divBdr>
    </w:div>
    <w:div w:id="1202476337">
      <w:bodyDiv w:val="1"/>
      <w:marLeft w:val="0"/>
      <w:marRight w:val="0"/>
      <w:marTop w:val="0"/>
      <w:marBottom w:val="0"/>
      <w:divBdr>
        <w:top w:val="none" w:sz="0" w:space="0" w:color="auto"/>
        <w:left w:val="none" w:sz="0" w:space="0" w:color="auto"/>
        <w:bottom w:val="none" w:sz="0" w:space="0" w:color="auto"/>
        <w:right w:val="none" w:sz="0" w:space="0" w:color="auto"/>
      </w:divBdr>
    </w:div>
    <w:div w:id="1224097258">
      <w:bodyDiv w:val="1"/>
      <w:marLeft w:val="0"/>
      <w:marRight w:val="0"/>
      <w:marTop w:val="0"/>
      <w:marBottom w:val="0"/>
      <w:divBdr>
        <w:top w:val="none" w:sz="0" w:space="0" w:color="auto"/>
        <w:left w:val="none" w:sz="0" w:space="0" w:color="auto"/>
        <w:bottom w:val="none" w:sz="0" w:space="0" w:color="auto"/>
        <w:right w:val="none" w:sz="0" w:space="0" w:color="auto"/>
      </w:divBdr>
      <w:divsChild>
        <w:div w:id="338235401">
          <w:marLeft w:val="0"/>
          <w:marRight w:val="0"/>
          <w:marTop w:val="0"/>
          <w:marBottom w:val="0"/>
          <w:divBdr>
            <w:top w:val="none" w:sz="0" w:space="0" w:color="auto"/>
            <w:left w:val="none" w:sz="0" w:space="0" w:color="auto"/>
            <w:bottom w:val="none" w:sz="0" w:space="0" w:color="auto"/>
            <w:right w:val="none" w:sz="0" w:space="0" w:color="auto"/>
          </w:divBdr>
        </w:div>
        <w:div w:id="633364849">
          <w:marLeft w:val="0"/>
          <w:marRight w:val="0"/>
          <w:marTop w:val="0"/>
          <w:marBottom w:val="0"/>
          <w:divBdr>
            <w:top w:val="none" w:sz="0" w:space="0" w:color="auto"/>
            <w:left w:val="none" w:sz="0" w:space="0" w:color="auto"/>
            <w:bottom w:val="none" w:sz="0" w:space="0" w:color="auto"/>
            <w:right w:val="none" w:sz="0" w:space="0" w:color="auto"/>
          </w:divBdr>
        </w:div>
      </w:divsChild>
    </w:div>
    <w:div w:id="1230194390">
      <w:bodyDiv w:val="1"/>
      <w:marLeft w:val="0"/>
      <w:marRight w:val="0"/>
      <w:marTop w:val="0"/>
      <w:marBottom w:val="0"/>
      <w:divBdr>
        <w:top w:val="none" w:sz="0" w:space="0" w:color="auto"/>
        <w:left w:val="none" w:sz="0" w:space="0" w:color="auto"/>
        <w:bottom w:val="none" w:sz="0" w:space="0" w:color="auto"/>
        <w:right w:val="none" w:sz="0" w:space="0" w:color="auto"/>
      </w:divBdr>
      <w:divsChild>
        <w:div w:id="1308776734">
          <w:marLeft w:val="0"/>
          <w:marRight w:val="0"/>
          <w:marTop w:val="0"/>
          <w:marBottom w:val="0"/>
          <w:divBdr>
            <w:top w:val="none" w:sz="0" w:space="0" w:color="auto"/>
            <w:left w:val="none" w:sz="0" w:space="0" w:color="auto"/>
            <w:bottom w:val="none" w:sz="0" w:space="0" w:color="auto"/>
            <w:right w:val="none" w:sz="0" w:space="0" w:color="auto"/>
          </w:divBdr>
        </w:div>
        <w:div w:id="1752268484">
          <w:marLeft w:val="0"/>
          <w:marRight w:val="0"/>
          <w:marTop w:val="0"/>
          <w:marBottom w:val="0"/>
          <w:divBdr>
            <w:top w:val="none" w:sz="0" w:space="0" w:color="auto"/>
            <w:left w:val="none" w:sz="0" w:space="0" w:color="auto"/>
            <w:bottom w:val="none" w:sz="0" w:space="0" w:color="auto"/>
            <w:right w:val="none" w:sz="0" w:space="0" w:color="auto"/>
          </w:divBdr>
        </w:div>
      </w:divsChild>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sChild>
        <w:div w:id="1173839313">
          <w:marLeft w:val="0"/>
          <w:marRight w:val="0"/>
          <w:marTop w:val="0"/>
          <w:marBottom w:val="0"/>
          <w:divBdr>
            <w:top w:val="none" w:sz="0" w:space="0" w:color="auto"/>
            <w:left w:val="none" w:sz="0" w:space="0" w:color="auto"/>
            <w:bottom w:val="none" w:sz="0" w:space="0" w:color="auto"/>
            <w:right w:val="none" w:sz="0" w:space="0" w:color="auto"/>
          </w:divBdr>
          <w:divsChild>
            <w:div w:id="197667835">
              <w:marLeft w:val="0"/>
              <w:marRight w:val="0"/>
              <w:marTop w:val="0"/>
              <w:marBottom w:val="0"/>
              <w:divBdr>
                <w:top w:val="none" w:sz="0" w:space="0" w:color="auto"/>
                <w:left w:val="none" w:sz="0" w:space="0" w:color="auto"/>
                <w:bottom w:val="none" w:sz="0" w:space="0" w:color="auto"/>
                <w:right w:val="none" w:sz="0" w:space="0" w:color="auto"/>
              </w:divBdr>
            </w:div>
            <w:div w:id="405615994">
              <w:marLeft w:val="0"/>
              <w:marRight w:val="0"/>
              <w:marTop w:val="0"/>
              <w:marBottom w:val="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 w:id="488206144">
              <w:marLeft w:val="0"/>
              <w:marRight w:val="0"/>
              <w:marTop w:val="0"/>
              <w:marBottom w:val="0"/>
              <w:divBdr>
                <w:top w:val="none" w:sz="0" w:space="0" w:color="auto"/>
                <w:left w:val="none" w:sz="0" w:space="0" w:color="auto"/>
                <w:bottom w:val="none" w:sz="0" w:space="0" w:color="auto"/>
                <w:right w:val="none" w:sz="0" w:space="0" w:color="auto"/>
              </w:divBdr>
            </w:div>
          </w:divsChild>
        </w:div>
        <w:div w:id="1766532820">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
            <w:div w:id="19597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7432">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288271762">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2295904">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5034988">
      <w:bodyDiv w:val="1"/>
      <w:marLeft w:val="0"/>
      <w:marRight w:val="0"/>
      <w:marTop w:val="0"/>
      <w:marBottom w:val="0"/>
      <w:divBdr>
        <w:top w:val="none" w:sz="0" w:space="0" w:color="auto"/>
        <w:left w:val="none" w:sz="0" w:space="0" w:color="auto"/>
        <w:bottom w:val="none" w:sz="0" w:space="0" w:color="auto"/>
        <w:right w:val="none" w:sz="0" w:space="0" w:color="auto"/>
      </w:divBdr>
      <w:divsChild>
        <w:div w:id="1214269812">
          <w:marLeft w:val="0"/>
          <w:marRight w:val="0"/>
          <w:marTop w:val="0"/>
          <w:marBottom w:val="0"/>
          <w:divBdr>
            <w:top w:val="none" w:sz="0" w:space="0" w:color="auto"/>
            <w:left w:val="none" w:sz="0" w:space="0" w:color="auto"/>
            <w:bottom w:val="none" w:sz="0" w:space="0" w:color="auto"/>
            <w:right w:val="none" w:sz="0" w:space="0" w:color="auto"/>
          </w:divBdr>
        </w:div>
        <w:div w:id="2107576824">
          <w:marLeft w:val="0"/>
          <w:marRight w:val="0"/>
          <w:marTop w:val="0"/>
          <w:marBottom w:val="0"/>
          <w:divBdr>
            <w:top w:val="none" w:sz="0" w:space="0" w:color="auto"/>
            <w:left w:val="none" w:sz="0" w:space="0" w:color="auto"/>
            <w:bottom w:val="none" w:sz="0" w:space="0" w:color="auto"/>
            <w:right w:val="none" w:sz="0" w:space="0" w:color="auto"/>
          </w:divBdr>
        </w:div>
      </w:divsChild>
    </w:div>
    <w:div w:id="1393387939">
      <w:bodyDiv w:val="1"/>
      <w:marLeft w:val="0"/>
      <w:marRight w:val="0"/>
      <w:marTop w:val="0"/>
      <w:marBottom w:val="0"/>
      <w:divBdr>
        <w:top w:val="none" w:sz="0" w:space="0" w:color="auto"/>
        <w:left w:val="none" w:sz="0" w:space="0" w:color="auto"/>
        <w:bottom w:val="none" w:sz="0" w:space="0" w:color="auto"/>
        <w:right w:val="none" w:sz="0" w:space="0" w:color="auto"/>
      </w:divBdr>
      <w:divsChild>
        <w:div w:id="920334708">
          <w:marLeft w:val="0"/>
          <w:marRight w:val="0"/>
          <w:marTop w:val="0"/>
          <w:marBottom w:val="0"/>
          <w:divBdr>
            <w:top w:val="none" w:sz="0" w:space="0" w:color="auto"/>
            <w:left w:val="none" w:sz="0" w:space="0" w:color="auto"/>
            <w:bottom w:val="none" w:sz="0" w:space="0" w:color="auto"/>
            <w:right w:val="none" w:sz="0" w:space="0" w:color="auto"/>
          </w:divBdr>
        </w:div>
        <w:div w:id="1476751937">
          <w:marLeft w:val="0"/>
          <w:marRight w:val="0"/>
          <w:marTop w:val="0"/>
          <w:marBottom w:val="0"/>
          <w:divBdr>
            <w:top w:val="none" w:sz="0" w:space="0" w:color="auto"/>
            <w:left w:val="none" w:sz="0" w:space="0" w:color="auto"/>
            <w:bottom w:val="none" w:sz="0" w:space="0" w:color="auto"/>
            <w:right w:val="none" w:sz="0" w:space="0" w:color="auto"/>
          </w:divBdr>
        </w:div>
        <w:div w:id="2076658344">
          <w:marLeft w:val="0"/>
          <w:marRight w:val="0"/>
          <w:marTop w:val="0"/>
          <w:marBottom w:val="0"/>
          <w:divBdr>
            <w:top w:val="none" w:sz="0" w:space="0" w:color="auto"/>
            <w:left w:val="none" w:sz="0" w:space="0" w:color="auto"/>
            <w:bottom w:val="none" w:sz="0" w:space="0" w:color="auto"/>
            <w:right w:val="none" w:sz="0" w:space="0" w:color="auto"/>
          </w:divBdr>
        </w:div>
      </w:divsChild>
    </w:div>
    <w:div w:id="1426460483">
      <w:bodyDiv w:val="1"/>
      <w:marLeft w:val="0"/>
      <w:marRight w:val="0"/>
      <w:marTop w:val="0"/>
      <w:marBottom w:val="0"/>
      <w:divBdr>
        <w:top w:val="none" w:sz="0" w:space="0" w:color="auto"/>
        <w:left w:val="none" w:sz="0" w:space="0" w:color="auto"/>
        <w:bottom w:val="none" w:sz="0" w:space="0" w:color="auto"/>
        <w:right w:val="none" w:sz="0" w:space="0" w:color="auto"/>
      </w:divBdr>
      <w:divsChild>
        <w:div w:id="884175024">
          <w:marLeft w:val="0"/>
          <w:marRight w:val="0"/>
          <w:marTop w:val="0"/>
          <w:marBottom w:val="0"/>
          <w:divBdr>
            <w:top w:val="none" w:sz="0" w:space="0" w:color="auto"/>
            <w:left w:val="none" w:sz="0" w:space="0" w:color="auto"/>
            <w:bottom w:val="none" w:sz="0" w:space="0" w:color="auto"/>
            <w:right w:val="none" w:sz="0" w:space="0" w:color="auto"/>
          </w:divBdr>
        </w:div>
        <w:div w:id="932587649">
          <w:marLeft w:val="0"/>
          <w:marRight w:val="0"/>
          <w:marTop w:val="0"/>
          <w:marBottom w:val="0"/>
          <w:divBdr>
            <w:top w:val="none" w:sz="0" w:space="0" w:color="auto"/>
            <w:left w:val="none" w:sz="0" w:space="0" w:color="auto"/>
            <w:bottom w:val="none" w:sz="0" w:space="0" w:color="auto"/>
            <w:right w:val="none" w:sz="0" w:space="0" w:color="auto"/>
          </w:divBdr>
        </w:div>
        <w:div w:id="1152797713">
          <w:marLeft w:val="0"/>
          <w:marRight w:val="0"/>
          <w:marTop w:val="0"/>
          <w:marBottom w:val="0"/>
          <w:divBdr>
            <w:top w:val="none" w:sz="0" w:space="0" w:color="auto"/>
            <w:left w:val="none" w:sz="0" w:space="0" w:color="auto"/>
            <w:bottom w:val="none" w:sz="0" w:space="0" w:color="auto"/>
            <w:right w:val="none" w:sz="0" w:space="0" w:color="auto"/>
          </w:divBdr>
        </w:div>
        <w:div w:id="1634411480">
          <w:marLeft w:val="0"/>
          <w:marRight w:val="0"/>
          <w:marTop w:val="0"/>
          <w:marBottom w:val="0"/>
          <w:divBdr>
            <w:top w:val="none" w:sz="0" w:space="0" w:color="auto"/>
            <w:left w:val="none" w:sz="0" w:space="0" w:color="auto"/>
            <w:bottom w:val="none" w:sz="0" w:space="0" w:color="auto"/>
            <w:right w:val="none" w:sz="0" w:space="0" w:color="auto"/>
          </w:divBdr>
        </w:div>
      </w:divsChild>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0896271">
      <w:bodyDiv w:val="1"/>
      <w:marLeft w:val="0"/>
      <w:marRight w:val="0"/>
      <w:marTop w:val="0"/>
      <w:marBottom w:val="0"/>
      <w:divBdr>
        <w:top w:val="none" w:sz="0" w:space="0" w:color="auto"/>
        <w:left w:val="none" w:sz="0" w:space="0" w:color="auto"/>
        <w:bottom w:val="none" w:sz="0" w:space="0" w:color="auto"/>
        <w:right w:val="none" w:sz="0" w:space="0" w:color="auto"/>
      </w:divBdr>
      <w:divsChild>
        <w:div w:id="116488486">
          <w:marLeft w:val="0"/>
          <w:marRight w:val="0"/>
          <w:marTop w:val="0"/>
          <w:marBottom w:val="0"/>
          <w:divBdr>
            <w:top w:val="none" w:sz="0" w:space="0" w:color="auto"/>
            <w:left w:val="none" w:sz="0" w:space="0" w:color="auto"/>
            <w:bottom w:val="none" w:sz="0" w:space="0" w:color="auto"/>
            <w:right w:val="none" w:sz="0" w:space="0" w:color="auto"/>
          </w:divBdr>
        </w:div>
        <w:div w:id="2013796994">
          <w:marLeft w:val="0"/>
          <w:marRight w:val="0"/>
          <w:marTop w:val="0"/>
          <w:marBottom w:val="0"/>
          <w:divBdr>
            <w:top w:val="none" w:sz="0" w:space="0" w:color="auto"/>
            <w:left w:val="none" w:sz="0" w:space="0" w:color="auto"/>
            <w:bottom w:val="none" w:sz="0" w:space="0" w:color="auto"/>
            <w:right w:val="none" w:sz="0" w:space="0" w:color="auto"/>
          </w:divBdr>
        </w:div>
      </w:divsChild>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13690751">
      <w:bodyDiv w:val="1"/>
      <w:marLeft w:val="0"/>
      <w:marRight w:val="0"/>
      <w:marTop w:val="0"/>
      <w:marBottom w:val="0"/>
      <w:divBdr>
        <w:top w:val="none" w:sz="0" w:space="0" w:color="auto"/>
        <w:left w:val="none" w:sz="0" w:space="0" w:color="auto"/>
        <w:bottom w:val="none" w:sz="0" w:space="0" w:color="auto"/>
        <w:right w:val="none" w:sz="0" w:space="0" w:color="auto"/>
      </w:divBdr>
      <w:divsChild>
        <w:div w:id="52311945">
          <w:marLeft w:val="0"/>
          <w:marRight w:val="0"/>
          <w:marTop w:val="0"/>
          <w:marBottom w:val="0"/>
          <w:divBdr>
            <w:top w:val="none" w:sz="0" w:space="0" w:color="auto"/>
            <w:left w:val="none" w:sz="0" w:space="0" w:color="auto"/>
            <w:bottom w:val="none" w:sz="0" w:space="0" w:color="auto"/>
            <w:right w:val="none" w:sz="0" w:space="0" w:color="auto"/>
          </w:divBdr>
        </w:div>
        <w:div w:id="202908475">
          <w:marLeft w:val="0"/>
          <w:marRight w:val="0"/>
          <w:marTop w:val="0"/>
          <w:marBottom w:val="0"/>
          <w:divBdr>
            <w:top w:val="none" w:sz="0" w:space="0" w:color="auto"/>
            <w:left w:val="none" w:sz="0" w:space="0" w:color="auto"/>
            <w:bottom w:val="none" w:sz="0" w:space="0" w:color="auto"/>
            <w:right w:val="none" w:sz="0" w:space="0" w:color="auto"/>
          </w:divBdr>
        </w:div>
        <w:div w:id="466823196">
          <w:marLeft w:val="0"/>
          <w:marRight w:val="0"/>
          <w:marTop w:val="0"/>
          <w:marBottom w:val="0"/>
          <w:divBdr>
            <w:top w:val="none" w:sz="0" w:space="0" w:color="auto"/>
            <w:left w:val="none" w:sz="0" w:space="0" w:color="auto"/>
            <w:bottom w:val="none" w:sz="0" w:space="0" w:color="auto"/>
            <w:right w:val="none" w:sz="0" w:space="0" w:color="auto"/>
          </w:divBdr>
        </w:div>
        <w:div w:id="877858426">
          <w:marLeft w:val="0"/>
          <w:marRight w:val="0"/>
          <w:marTop w:val="0"/>
          <w:marBottom w:val="0"/>
          <w:divBdr>
            <w:top w:val="none" w:sz="0" w:space="0" w:color="auto"/>
            <w:left w:val="none" w:sz="0" w:space="0" w:color="auto"/>
            <w:bottom w:val="none" w:sz="0" w:space="0" w:color="auto"/>
            <w:right w:val="none" w:sz="0" w:space="0" w:color="auto"/>
          </w:divBdr>
        </w:div>
        <w:div w:id="1337419129">
          <w:marLeft w:val="0"/>
          <w:marRight w:val="0"/>
          <w:marTop w:val="0"/>
          <w:marBottom w:val="0"/>
          <w:divBdr>
            <w:top w:val="none" w:sz="0" w:space="0" w:color="auto"/>
            <w:left w:val="none" w:sz="0" w:space="0" w:color="auto"/>
            <w:bottom w:val="none" w:sz="0" w:space="0" w:color="auto"/>
            <w:right w:val="none" w:sz="0" w:space="0" w:color="auto"/>
          </w:divBdr>
        </w:div>
        <w:div w:id="1701124023">
          <w:marLeft w:val="0"/>
          <w:marRight w:val="0"/>
          <w:marTop w:val="0"/>
          <w:marBottom w:val="0"/>
          <w:divBdr>
            <w:top w:val="none" w:sz="0" w:space="0" w:color="auto"/>
            <w:left w:val="none" w:sz="0" w:space="0" w:color="auto"/>
            <w:bottom w:val="none" w:sz="0" w:space="0" w:color="auto"/>
            <w:right w:val="none" w:sz="0" w:space="0" w:color="auto"/>
          </w:divBdr>
        </w:div>
      </w:divsChild>
    </w:div>
    <w:div w:id="1560895501">
      <w:bodyDiv w:val="1"/>
      <w:marLeft w:val="0"/>
      <w:marRight w:val="0"/>
      <w:marTop w:val="0"/>
      <w:marBottom w:val="0"/>
      <w:divBdr>
        <w:top w:val="none" w:sz="0" w:space="0" w:color="auto"/>
        <w:left w:val="none" w:sz="0" w:space="0" w:color="auto"/>
        <w:bottom w:val="none" w:sz="0" w:space="0" w:color="auto"/>
        <w:right w:val="none" w:sz="0" w:space="0" w:color="auto"/>
      </w:divBdr>
      <w:divsChild>
        <w:div w:id="794954315">
          <w:marLeft w:val="0"/>
          <w:marRight w:val="0"/>
          <w:marTop w:val="0"/>
          <w:marBottom w:val="0"/>
          <w:divBdr>
            <w:top w:val="none" w:sz="0" w:space="0" w:color="auto"/>
            <w:left w:val="none" w:sz="0" w:space="0" w:color="auto"/>
            <w:bottom w:val="none" w:sz="0" w:space="0" w:color="auto"/>
            <w:right w:val="none" w:sz="0" w:space="0" w:color="auto"/>
          </w:divBdr>
        </w:div>
        <w:div w:id="1211767034">
          <w:marLeft w:val="0"/>
          <w:marRight w:val="0"/>
          <w:marTop w:val="0"/>
          <w:marBottom w:val="0"/>
          <w:divBdr>
            <w:top w:val="none" w:sz="0" w:space="0" w:color="auto"/>
            <w:left w:val="none" w:sz="0" w:space="0" w:color="auto"/>
            <w:bottom w:val="none" w:sz="0" w:space="0" w:color="auto"/>
            <w:right w:val="none" w:sz="0" w:space="0" w:color="auto"/>
          </w:divBdr>
        </w:div>
        <w:div w:id="1273779458">
          <w:marLeft w:val="0"/>
          <w:marRight w:val="0"/>
          <w:marTop w:val="0"/>
          <w:marBottom w:val="0"/>
          <w:divBdr>
            <w:top w:val="none" w:sz="0" w:space="0" w:color="auto"/>
            <w:left w:val="none" w:sz="0" w:space="0" w:color="auto"/>
            <w:bottom w:val="none" w:sz="0" w:space="0" w:color="auto"/>
            <w:right w:val="none" w:sz="0" w:space="0" w:color="auto"/>
          </w:divBdr>
        </w:div>
        <w:div w:id="1466974001">
          <w:marLeft w:val="0"/>
          <w:marRight w:val="0"/>
          <w:marTop w:val="0"/>
          <w:marBottom w:val="0"/>
          <w:divBdr>
            <w:top w:val="none" w:sz="0" w:space="0" w:color="auto"/>
            <w:left w:val="none" w:sz="0" w:space="0" w:color="auto"/>
            <w:bottom w:val="none" w:sz="0" w:space="0" w:color="auto"/>
            <w:right w:val="none" w:sz="0" w:space="0" w:color="auto"/>
          </w:divBdr>
        </w:div>
        <w:div w:id="1941521870">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sChild>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796586">
      <w:bodyDiv w:val="1"/>
      <w:marLeft w:val="0"/>
      <w:marRight w:val="0"/>
      <w:marTop w:val="0"/>
      <w:marBottom w:val="0"/>
      <w:divBdr>
        <w:top w:val="none" w:sz="0" w:space="0" w:color="auto"/>
        <w:left w:val="none" w:sz="0" w:space="0" w:color="auto"/>
        <w:bottom w:val="none" w:sz="0" w:space="0" w:color="auto"/>
        <w:right w:val="none" w:sz="0" w:space="0" w:color="auto"/>
      </w:divBdr>
    </w:div>
    <w:div w:id="1621381022">
      <w:bodyDiv w:val="1"/>
      <w:marLeft w:val="0"/>
      <w:marRight w:val="0"/>
      <w:marTop w:val="0"/>
      <w:marBottom w:val="0"/>
      <w:divBdr>
        <w:top w:val="none" w:sz="0" w:space="0" w:color="auto"/>
        <w:left w:val="none" w:sz="0" w:space="0" w:color="auto"/>
        <w:bottom w:val="none" w:sz="0" w:space="0" w:color="auto"/>
        <w:right w:val="none" w:sz="0" w:space="0" w:color="auto"/>
      </w:divBdr>
    </w:div>
    <w:div w:id="1631127105">
      <w:bodyDiv w:val="1"/>
      <w:marLeft w:val="0"/>
      <w:marRight w:val="0"/>
      <w:marTop w:val="0"/>
      <w:marBottom w:val="0"/>
      <w:divBdr>
        <w:top w:val="none" w:sz="0" w:space="0" w:color="auto"/>
        <w:left w:val="none" w:sz="0" w:space="0" w:color="auto"/>
        <w:bottom w:val="none" w:sz="0" w:space="0" w:color="auto"/>
        <w:right w:val="none" w:sz="0" w:space="0" w:color="auto"/>
      </w:divBdr>
      <w:divsChild>
        <w:div w:id="362560363">
          <w:marLeft w:val="0"/>
          <w:marRight w:val="0"/>
          <w:marTop w:val="0"/>
          <w:marBottom w:val="0"/>
          <w:divBdr>
            <w:top w:val="none" w:sz="0" w:space="0" w:color="auto"/>
            <w:left w:val="none" w:sz="0" w:space="0" w:color="auto"/>
            <w:bottom w:val="none" w:sz="0" w:space="0" w:color="auto"/>
            <w:right w:val="none" w:sz="0" w:space="0" w:color="auto"/>
          </w:divBdr>
        </w:div>
        <w:div w:id="380398630">
          <w:marLeft w:val="0"/>
          <w:marRight w:val="0"/>
          <w:marTop w:val="0"/>
          <w:marBottom w:val="0"/>
          <w:divBdr>
            <w:top w:val="none" w:sz="0" w:space="0" w:color="auto"/>
            <w:left w:val="none" w:sz="0" w:space="0" w:color="auto"/>
            <w:bottom w:val="none" w:sz="0" w:space="0" w:color="auto"/>
            <w:right w:val="none" w:sz="0" w:space="0" w:color="auto"/>
          </w:divBdr>
        </w:div>
        <w:div w:id="425657275">
          <w:marLeft w:val="0"/>
          <w:marRight w:val="0"/>
          <w:marTop w:val="0"/>
          <w:marBottom w:val="0"/>
          <w:divBdr>
            <w:top w:val="none" w:sz="0" w:space="0" w:color="auto"/>
            <w:left w:val="none" w:sz="0" w:space="0" w:color="auto"/>
            <w:bottom w:val="none" w:sz="0" w:space="0" w:color="auto"/>
            <w:right w:val="none" w:sz="0" w:space="0" w:color="auto"/>
          </w:divBdr>
        </w:div>
        <w:div w:id="528374513">
          <w:marLeft w:val="0"/>
          <w:marRight w:val="0"/>
          <w:marTop w:val="0"/>
          <w:marBottom w:val="0"/>
          <w:divBdr>
            <w:top w:val="none" w:sz="0" w:space="0" w:color="auto"/>
            <w:left w:val="none" w:sz="0" w:space="0" w:color="auto"/>
            <w:bottom w:val="none" w:sz="0" w:space="0" w:color="auto"/>
            <w:right w:val="none" w:sz="0" w:space="0" w:color="auto"/>
          </w:divBdr>
        </w:div>
        <w:div w:id="1210387010">
          <w:marLeft w:val="0"/>
          <w:marRight w:val="0"/>
          <w:marTop w:val="0"/>
          <w:marBottom w:val="0"/>
          <w:divBdr>
            <w:top w:val="none" w:sz="0" w:space="0" w:color="auto"/>
            <w:left w:val="none" w:sz="0" w:space="0" w:color="auto"/>
            <w:bottom w:val="none" w:sz="0" w:space="0" w:color="auto"/>
            <w:right w:val="none" w:sz="0" w:space="0" w:color="auto"/>
          </w:divBdr>
        </w:div>
        <w:div w:id="1688171979">
          <w:marLeft w:val="0"/>
          <w:marRight w:val="0"/>
          <w:marTop w:val="0"/>
          <w:marBottom w:val="0"/>
          <w:divBdr>
            <w:top w:val="none" w:sz="0" w:space="0" w:color="auto"/>
            <w:left w:val="none" w:sz="0" w:space="0" w:color="auto"/>
            <w:bottom w:val="none" w:sz="0" w:space="0" w:color="auto"/>
            <w:right w:val="none" w:sz="0" w:space="0" w:color="auto"/>
          </w:divBdr>
        </w:div>
        <w:div w:id="2132043989">
          <w:marLeft w:val="0"/>
          <w:marRight w:val="0"/>
          <w:marTop w:val="0"/>
          <w:marBottom w:val="0"/>
          <w:divBdr>
            <w:top w:val="none" w:sz="0" w:space="0" w:color="auto"/>
            <w:left w:val="none" w:sz="0" w:space="0" w:color="auto"/>
            <w:bottom w:val="none" w:sz="0" w:space="0" w:color="auto"/>
            <w:right w:val="none" w:sz="0" w:space="0" w:color="auto"/>
          </w:divBdr>
        </w:div>
      </w:divsChild>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701781147">
      <w:bodyDiv w:val="1"/>
      <w:marLeft w:val="0"/>
      <w:marRight w:val="0"/>
      <w:marTop w:val="0"/>
      <w:marBottom w:val="0"/>
      <w:divBdr>
        <w:top w:val="none" w:sz="0" w:space="0" w:color="auto"/>
        <w:left w:val="none" w:sz="0" w:space="0" w:color="auto"/>
        <w:bottom w:val="none" w:sz="0" w:space="0" w:color="auto"/>
        <w:right w:val="none" w:sz="0" w:space="0" w:color="auto"/>
      </w:divBdr>
      <w:divsChild>
        <w:div w:id="1032456035">
          <w:marLeft w:val="0"/>
          <w:marRight w:val="0"/>
          <w:marTop w:val="0"/>
          <w:marBottom w:val="0"/>
          <w:divBdr>
            <w:top w:val="none" w:sz="0" w:space="0" w:color="auto"/>
            <w:left w:val="none" w:sz="0" w:space="0" w:color="auto"/>
            <w:bottom w:val="none" w:sz="0" w:space="0" w:color="auto"/>
            <w:right w:val="none" w:sz="0" w:space="0" w:color="auto"/>
          </w:divBdr>
          <w:divsChild>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sChild>
        </w:div>
        <w:div w:id="1846675995">
          <w:marLeft w:val="0"/>
          <w:marRight w:val="0"/>
          <w:marTop w:val="0"/>
          <w:marBottom w:val="0"/>
          <w:divBdr>
            <w:top w:val="none" w:sz="0" w:space="0" w:color="auto"/>
            <w:left w:val="none" w:sz="0" w:space="0" w:color="auto"/>
            <w:bottom w:val="none" w:sz="0" w:space="0" w:color="auto"/>
            <w:right w:val="none" w:sz="0" w:space="0" w:color="auto"/>
          </w:divBdr>
          <w:divsChild>
            <w:div w:id="94441169">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355370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045796">
      <w:bodyDiv w:val="1"/>
      <w:marLeft w:val="0"/>
      <w:marRight w:val="0"/>
      <w:marTop w:val="0"/>
      <w:marBottom w:val="0"/>
      <w:divBdr>
        <w:top w:val="none" w:sz="0" w:space="0" w:color="auto"/>
        <w:left w:val="none" w:sz="0" w:space="0" w:color="auto"/>
        <w:bottom w:val="none" w:sz="0" w:space="0" w:color="auto"/>
        <w:right w:val="none" w:sz="0" w:space="0" w:color="auto"/>
      </w:divBdr>
    </w:div>
    <w:div w:id="1753816128">
      <w:bodyDiv w:val="1"/>
      <w:marLeft w:val="0"/>
      <w:marRight w:val="0"/>
      <w:marTop w:val="0"/>
      <w:marBottom w:val="0"/>
      <w:divBdr>
        <w:top w:val="none" w:sz="0" w:space="0" w:color="auto"/>
        <w:left w:val="none" w:sz="0" w:space="0" w:color="auto"/>
        <w:bottom w:val="none" w:sz="0" w:space="0" w:color="auto"/>
        <w:right w:val="none" w:sz="0" w:space="0" w:color="auto"/>
      </w:divBdr>
      <w:divsChild>
        <w:div w:id="903103669">
          <w:marLeft w:val="0"/>
          <w:marRight w:val="0"/>
          <w:marTop w:val="0"/>
          <w:marBottom w:val="0"/>
          <w:divBdr>
            <w:top w:val="none" w:sz="0" w:space="0" w:color="auto"/>
            <w:left w:val="none" w:sz="0" w:space="0" w:color="auto"/>
            <w:bottom w:val="none" w:sz="0" w:space="0" w:color="auto"/>
            <w:right w:val="none" w:sz="0" w:space="0" w:color="auto"/>
          </w:divBdr>
        </w:div>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4814464">
      <w:bodyDiv w:val="1"/>
      <w:marLeft w:val="0"/>
      <w:marRight w:val="0"/>
      <w:marTop w:val="0"/>
      <w:marBottom w:val="0"/>
      <w:divBdr>
        <w:top w:val="none" w:sz="0" w:space="0" w:color="auto"/>
        <w:left w:val="none" w:sz="0" w:space="0" w:color="auto"/>
        <w:bottom w:val="none" w:sz="0" w:space="0" w:color="auto"/>
        <w:right w:val="none" w:sz="0" w:space="0" w:color="auto"/>
      </w:divBdr>
      <w:divsChild>
        <w:div w:id="1897008435">
          <w:marLeft w:val="0"/>
          <w:marRight w:val="0"/>
          <w:marTop w:val="0"/>
          <w:marBottom w:val="0"/>
          <w:divBdr>
            <w:top w:val="none" w:sz="0" w:space="0" w:color="auto"/>
            <w:left w:val="none" w:sz="0" w:space="0" w:color="auto"/>
            <w:bottom w:val="none" w:sz="0" w:space="0" w:color="auto"/>
            <w:right w:val="none" w:sz="0" w:space="0" w:color="auto"/>
          </w:divBdr>
        </w:div>
        <w:div w:id="1963875457">
          <w:marLeft w:val="0"/>
          <w:marRight w:val="0"/>
          <w:marTop w:val="0"/>
          <w:marBottom w:val="0"/>
          <w:divBdr>
            <w:top w:val="none" w:sz="0" w:space="0" w:color="auto"/>
            <w:left w:val="none" w:sz="0" w:space="0" w:color="auto"/>
            <w:bottom w:val="none" w:sz="0" w:space="0" w:color="auto"/>
            <w:right w:val="none" w:sz="0" w:space="0" w:color="auto"/>
          </w:divBdr>
        </w:div>
      </w:divsChild>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231905">
      <w:bodyDiv w:val="1"/>
      <w:marLeft w:val="0"/>
      <w:marRight w:val="0"/>
      <w:marTop w:val="0"/>
      <w:marBottom w:val="0"/>
      <w:divBdr>
        <w:top w:val="none" w:sz="0" w:space="0" w:color="auto"/>
        <w:left w:val="none" w:sz="0" w:space="0" w:color="auto"/>
        <w:bottom w:val="none" w:sz="0" w:space="0" w:color="auto"/>
        <w:right w:val="none" w:sz="0" w:space="0" w:color="auto"/>
      </w:divBdr>
      <w:divsChild>
        <w:div w:id="568272685">
          <w:marLeft w:val="0"/>
          <w:marRight w:val="0"/>
          <w:marTop w:val="0"/>
          <w:marBottom w:val="0"/>
          <w:divBdr>
            <w:top w:val="none" w:sz="0" w:space="0" w:color="auto"/>
            <w:left w:val="none" w:sz="0" w:space="0" w:color="auto"/>
            <w:bottom w:val="none" w:sz="0" w:space="0" w:color="auto"/>
            <w:right w:val="none" w:sz="0" w:space="0" w:color="auto"/>
          </w:divBdr>
        </w:div>
        <w:div w:id="1460100320">
          <w:marLeft w:val="0"/>
          <w:marRight w:val="0"/>
          <w:marTop w:val="0"/>
          <w:marBottom w:val="0"/>
          <w:divBdr>
            <w:top w:val="none" w:sz="0" w:space="0" w:color="auto"/>
            <w:left w:val="none" w:sz="0" w:space="0" w:color="auto"/>
            <w:bottom w:val="none" w:sz="0" w:space="0" w:color="auto"/>
            <w:right w:val="none" w:sz="0" w:space="0" w:color="auto"/>
          </w:divBdr>
        </w:div>
      </w:divsChild>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672910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293059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3804567">
      <w:bodyDiv w:val="1"/>
      <w:marLeft w:val="0"/>
      <w:marRight w:val="0"/>
      <w:marTop w:val="0"/>
      <w:marBottom w:val="0"/>
      <w:divBdr>
        <w:top w:val="none" w:sz="0" w:space="0" w:color="auto"/>
        <w:left w:val="none" w:sz="0" w:space="0" w:color="auto"/>
        <w:bottom w:val="none" w:sz="0" w:space="0" w:color="auto"/>
        <w:right w:val="none" w:sz="0" w:space="0" w:color="auto"/>
      </w:divBdr>
      <w:divsChild>
        <w:div w:id="708452760">
          <w:marLeft w:val="0"/>
          <w:marRight w:val="0"/>
          <w:marTop w:val="0"/>
          <w:marBottom w:val="0"/>
          <w:divBdr>
            <w:top w:val="none" w:sz="0" w:space="0" w:color="auto"/>
            <w:left w:val="none" w:sz="0" w:space="0" w:color="auto"/>
            <w:bottom w:val="none" w:sz="0" w:space="0" w:color="auto"/>
            <w:right w:val="none" w:sz="0" w:space="0" w:color="auto"/>
          </w:divBdr>
        </w:div>
        <w:div w:id="1709380305">
          <w:marLeft w:val="0"/>
          <w:marRight w:val="0"/>
          <w:marTop w:val="0"/>
          <w:marBottom w:val="0"/>
          <w:divBdr>
            <w:top w:val="none" w:sz="0" w:space="0" w:color="auto"/>
            <w:left w:val="none" w:sz="0" w:space="0" w:color="auto"/>
            <w:bottom w:val="none" w:sz="0" w:space="0" w:color="auto"/>
            <w:right w:val="none" w:sz="0" w:space="0" w:color="auto"/>
          </w:divBdr>
        </w:div>
      </w:divsChild>
    </w:div>
    <w:div w:id="1949505556">
      <w:bodyDiv w:val="1"/>
      <w:marLeft w:val="0"/>
      <w:marRight w:val="0"/>
      <w:marTop w:val="0"/>
      <w:marBottom w:val="0"/>
      <w:divBdr>
        <w:top w:val="none" w:sz="0" w:space="0" w:color="auto"/>
        <w:left w:val="none" w:sz="0" w:space="0" w:color="auto"/>
        <w:bottom w:val="none" w:sz="0" w:space="0" w:color="auto"/>
        <w:right w:val="none" w:sz="0" w:space="0" w:color="auto"/>
      </w:divBdr>
      <w:divsChild>
        <w:div w:id="1796094690">
          <w:marLeft w:val="0"/>
          <w:marRight w:val="0"/>
          <w:marTop w:val="0"/>
          <w:marBottom w:val="0"/>
          <w:divBdr>
            <w:top w:val="none" w:sz="0" w:space="0" w:color="auto"/>
            <w:left w:val="none" w:sz="0" w:space="0" w:color="auto"/>
            <w:bottom w:val="none" w:sz="0" w:space="0" w:color="auto"/>
            <w:right w:val="none" w:sz="0" w:space="0" w:color="auto"/>
          </w:divBdr>
          <w:divsChild>
            <w:div w:id="511837926">
              <w:marLeft w:val="0"/>
              <w:marRight w:val="0"/>
              <w:marTop w:val="0"/>
              <w:marBottom w:val="0"/>
              <w:divBdr>
                <w:top w:val="none" w:sz="0" w:space="0" w:color="auto"/>
                <w:left w:val="none" w:sz="0" w:space="0" w:color="auto"/>
                <w:bottom w:val="none" w:sz="0" w:space="0" w:color="auto"/>
                <w:right w:val="none" w:sz="0" w:space="0" w:color="auto"/>
              </w:divBdr>
            </w:div>
            <w:div w:id="913273338">
              <w:marLeft w:val="0"/>
              <w:marRight w:val="0"/>
              <w:marTop w:val="0"/>
              <w:marBottom w:val="0"/>
              <w:divBdr>
                <w:top w:val="none" w:sz="0" w:space="0" w:color="auto"/>
                <w:left w:val="none" w:sz="0" w:space="0" w:color="auto"/>
                <w:bottom w:val="none" w:sz="0" w:space="0" w:color="auto"/>
                <w:right w:val="none" w:sz="0" w:space="0" w:color="auto"/>
              </w:divBdr>
            </w:div>
            <w:div w:id="991982076">
              <w:marLeft w:val="0"/>
              <w:marRight w:val="0"/>
              <w:marTop w:val="0"/>
              <w:marBottom w:val="0"/>
              <w:divBdr>
                <w:top w:val="none" w:sz="0" w:space="0" w:color="auto"/>
                <w:left w:val="none" w:sz="0" w:space="0" w:color="auto"/>
                <w:bottom w:val="none" w:sz="0" w:space="0" w:color="auto"/>
                <w:right w:val="none" w:sz="0" w:space="0" w:color="auto"/>
              </w:divBdr>
            </w:div>
            <w:div w:id="2003466379">
              <w:marLeft w:val="0"/>
              <w:marRight w:val="0"/>
              <w:marTop w:val="0"/>
              <w:marBottom w:val="0"/>
              <w:divBdr>
                <w:top w:val="none" w:sz="0" w:space="0" w:color="auto"/>
                <w:left w:val="none" w:sz="0" w:space="0" w:color="auto"/>
                <w:bottom w:val="none" w:sz="0" w:space="0" w:color="auto"/>
                <w:right w:val="none" w:sz="0" w:space="0" w:color="auto"/>
              </w:divBdr>
            </w:div>
          </w:divsChild>
        </w:div>
        <w:div w:id="2051025718">
          <w:marLeft w:val="0"/>
          <w:marRight w:val="0"/>
          <w:marTop w:val="0"/>
          <w:marBottom w:val="0"/>
          <w:divBdr>
            <w:top w:val="none" w:sz="0" w:space="0" w:color="auto"/>
            <w:left w:val="none" w:sz="0" w:space="0" w:color="auto"/>
            <w:bottom w:val="none" w:sz="0" w:space="0" w:color="auto"/>
            <w:right w:val="none" w:sz="0" w:space="0" w:color="auto"/>
          </w:divBdr>
          <w:divsChild>
            <w:div w:id="795834856">
              <w:marLeft w:val="0"/>
              <w:marRight w:val="0"/>
              <w:marTop w:val="0"/>
              <w:marBottom w:val="0"/>
              <w:divBdr>
                <w:top w:val="none" w:sz="0" w:space="0" w:color="auto"/>
                <w:left w:val="none" w:sz="0" w:space="0" w:color="auto"/>
                <w:bottom w:val="none" w:sz="0" w:space="0" w:color="auto"/>
                <w:right w:val="none" w:sz="0" w:space="0" w:color="auto"/>
              </w:divBdr>
            </w:div>
            <w:div w:id="14853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028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74672650">
      <w:bodyDiv w:val="1"/>
      <w:marLeft w:val="0"/>
      <w:marRight w:val="0"/>
      <w:marTop w:val="0"/>
      <w:marBottom w:val="0"/>
      <w:divBdr>
        <w:top w:val="none" w:sz="0" w:space="0" w:color="auto"/>
        <w:left w:val="none" w:sz="0" w:space="0" w:color="auto"/>
        <w:bottom w:val="none" w:sz="0" w:space="0" w:color="auto"/>
        <w:right w:val="none" w:sz="0" w:space="0" w:color="auto"/>
      </w:divBdr>
      <w:divsChild>
        <w:div w:id="883910970">
          <w:marLeft w:val="0"/>
          <w:marRight w:val="0"/>
          <w:marTop w:val="0"/>
          <w:marBottom w:val="0"/>
          <w:divBdr>
            <w:top w:val="none" w:sz="0" w:space="0" w:color="auto"/>
            <w:left w:val="none" w:sz="0" w:space="0" w:color="auto"/>
            <w:bottom w:val="none" w:sz="0" w:space="0" w:color="auto"/>
            <w:right w:val="none" w:sz="0" w:space="0" w:color="auto"/>
          </w:divBdr>
        </w:div>
        <w:div w:id="2078941294">
          <w:marLeft w:val="0"/>
          <w:marRight w:val="0"/>
          <w:marTop w:val="0"/>
          <w:marBottom w:val="0"/>
          <w:divBdr>
            <w:top w:val="none" w:sz="0" w:space="0" w:color="auto"/>
            <w:left w:val="none" w:sz="0" w:space="0" w:color="auto"/>
            <w:bottom w:val="none" w:sz="0" w:space="0" w:color="auto"/>
            <w:right w:val="none" w:sz="0" w:space="0" w:color="auto"/>
          </w:divBdr>
        </w:div>
      </w:divsChild>
    </w:div>
    <w:div w:id="2007513476">
      <w:bodyDiv w:val="1"/>
      <w:marLeft w:val="0"/>
      <w:marRight w:val="0"/>
      <w:marTop w:val="0"/>
      <w:marBottom w:val="0"/>
      <w:divBdr>
        <w:top w:val="none" w:sz="0" w:space="0" w:color="auto"/>
        <w:left w:val="none" w:sz="0" w:space="0" w:color="auto"/>
        <w:bottom w:val="none" w:sz="0" w:space="0" w:color="auto"/>
        <w:right w:val="none" w:sz="0" w:space="0" w:color="auto"/>
      </w:divBdr>
      <w:divsChild>
        <w:div w:id="241112696">
          <w:marLeft w:val="0"/>
          <w:marRight w:val="0"/>
          <w:marTop w:val="0"/>
          <w:marBottom w:val="0"/>
          <w:divBdr>
            <w:top w:val="none" w:sz="0" w:space="0" w:color="auto"/>
            <w:left w:val="none" w:sz="0" w:space="0" w:color="auto"/>
            <w:bottom w:val="none" w:sz="0" w:space="0" w:color="auto"/>
            <w:right w:val="none" w:sz="0" w:space="0" w:color="auto"/>
          </w:divBdr>
        </w:div>
        <w:div w:id="1332024211">
          <w:marLeft w:val="0"/>
          <w:marRight w:val="0"/>
          <w:marTop w:val="0"/>
          <w:marBottom w:val="0"/>
          <w:divBdr>
            <w:top w:val="none" w:sz="0" w:space="0" w:color="auto"/>
            <w:left w:val="none" w:sz="0" w:space="0" w:color="auto"/>
            <w:bottom w:val="none" w:sz="0" w:space="0" w:color="auto"/>
            <w:right w:val="none" w:sz="0" w:space="0" w:color="auto"/>
          </w:divBdr>
        </w:div>
      </w:divsChild>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441654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170">
          <w:marLeft w:val="0"/>
          <w:marRight w:val="0"/>
          <w:marTop w:val="0"/>
          <w:marBottom w:val="0"/>
          <w:divBdr>
            <w:top w:val="none" w:sz="0" w:space="0" w:color="auto"/>
            <w:left w:val="none" w:sz="0" w:space="0" w:color="auto"/>
            <w:bottom w:val="none" w:sz="0" w:space="0" w:color="auto"/>
            <w:right w:val="none" w:sz="0" w:space="0" w:color="auto"/>
          </w:divBdr>
        </w:div>
        <w:div w:id="1455248462">
          <w:marLeft w:val="0"/>
          <w:marRight w:val="0"/>
          <w:marTop w:val="0"/>
          <w:marBottom w:val="0"/>
          <w:divBdr>
            <w:top w:val="none" w:sz="0" w:space="0" w:color="auto"/>
            <w:left w:val="none" w:sz="0" w:space="0" w:color="auto"/>
            <w:bottom w:val="none" w:sz="0" w:space="0" w:color="auto"/>
            <w:right w:val="none" w:sz="0" w:space="0" w:color="auto"/>
          </w:divBdr>
        </w:div>
      </w:divsChild>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96703185">
      <w:bodyDiv w:val="1"/>
      <w:marLeft w:val="0"/>
      <w:marRight w:val="0"/>
      <w:marTop w:val="0"/>
      <w:marBottom w:val="0"/>
      <w:divBdr>
        <w:top w:val="none" w:sz="0" w:space="0" w:color="auto"/>
        <w:left w:val="none" w:sz="0" w:space="0" w:color="auto"/>
        <w:bottom w:val="none" w:sz="0" w:space="0" w:color="auto"/>
        <w:right w:val="none" w:sz="0" w:space="0" w:color="auto"/>
      </w:divBdr>
      <w:divsChild>
        <w:div w:id="66417988">
          <w:marLeft w:val="0"/>
          <w:marRight w:val="0"/>
          <w:marTop w:val="0"/>
          <w:marBottom w:val="0"/>
          <w:divBdr>
            <w:top w:val="none" w:sz="0" w:space="0" w:color="auto"/>
            <w:left w:val="none" w:sz="0" w:space="0" w:color="auto"/>
            <w:bottom w:val="none" w:sz="0" w:space="0" w:color="auto"/>
            <w:right w:val="none" w:sz="0" w:space="0" w:color="auto"/>
          </w:divBdr>
        </w:div>
        <w:div w:id="1803230774">
          <w:marLeft w:val="0"/>
          <w:marRight w:val="0"/>
          <w:marTop w:val="0"/>
          <w:marBottom w:val="0"/>
          <w:divBdr>
            <w:top w:val="none" w:sz="0" w:space="0" w:color="auto"/>
            <w:left w:val="none" w:sz="0" w:space="0" w:color="auto"/>
            <w:bottom w:val="none" w:sz="0" w:space="0" w:color="auto"/>
            <w:right w:val="none" w:sz="0" w:space="0" w:color="auto"/>
          </w:divBdr>
        </w:div>
      </w:divsChild>
    </w:div>
    <w:div w:id="2100248375">
      <w:bodyDiv w:val="1"/>
      <w:marLeft w:val="0"/>
      <w:marRight w:val="0"/>
      <w:marTop w:val="0"/>
      <w:marBottom w:val="0"/>
      <w:divBdr>
        <w:top w:val="none" w:sz="0" w:space="0" w:color="auto"/>
        <w:left w:val="none" w:sz="0" w:space="0" w:color="auto"/>
        <w:bottom w:val="none" w:sz="0" w:space="0" w:color="auto"/>
        <w:right w:val="none" w:sz="0" w:space="0" w:color="auto"/>
      </w:divBdr>
    </w:div>
    <w:div w:id="2126384824">
      <w:bodyDiv w:val="1"/>
      <w:marLeft w:val="0"/>
      <w:marRight w:val="0"/>
      <w:marTop w:val="0"/>
      <w:marBottom w:val="0"/>
      <w:divBdr>
        <w:top w:val="none" w:sz="0" w:space="0" w:color="auto"/>
        <w:left w:val="none" w:sz="0" w:space="0" w:color="auto"/>
        <w:bottom w:val="none" w:sz="0" w:space="0" w:color="auto"/>
        <w:right w:val="none" w:sz="0" w:space="0" w:color="auto"/>
      </w:divBdr>
      <w:divsChild>
        <w:div w:id="87699573">
          <w:marLeft w:val="0"/>
          <w:marRight w:val="0"/>
          <w:marTop w:val="0"/>
          <w:marBottom w:val="0"/>
          <w:divBdr>
            <w:top w:val="none" w:sz="0" w:space="0" w:color="auto"/>
            <w:left w:val="none" w:sz="0" w:space="0" w:color="auto"/>
            <w:bottom w:val="none" w:sz="0" w:space="0" w:color="auto"/>
            <w:right w:val="none" w:sz="0" w:space="0" w:color="auto"/>
          </w:divBdr>
        </w:div>
        <w:div w:id="133399194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7.emf"/><Relationship Id="rId21" Type="http://schemas.openxmlformats.org/officeDocument/2006/relationships/hyperlink" Target="https://www.ipea.gov.au/publications" TargetMode="External"/><Relationship Id="rId34"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ipea.gov.au/publications"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2" ma:contentTypeDescription="Create a new document." ma:contentTypeScope="" ma:versionID="2d1a3d3750204f4283fc03dfcab8cba1">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b749e590d6d6670ee1902e85299a0958"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FIN33691-2097892527-9094</_dlc_DocId>
    <_dlc_DocIdUrl xmlns="6a7e9632-768a-49bf-85ac-c69233ab2a52">
      <Url>https://financegovau.sharepoint.com/sites/M365_DoF_50033691/_layouts/15/DocIdRedir.aspx?ID=FIN33691-2097892527-9094</Url>
      <Description>FIN33691-2097892527-9094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Bannerman, Glenda</DisplayName>
        <AccountId>175</AccountId>
        <AccountType/>
      </UserInfo>
      <UserInfo>
        <DisplayName>Manley, Rachel</DisplayName>
        <AccountId>217</AccountId>
        <AccountType/>
      </UserInfo>
      <UserInfo>
        <DisplayName>Rudder, Nathan</DisplayName>
        <AccountId>216</AccountId>
        <AccountType/>
      </UserInfo>
      <UserInfo>
        <DisplayName>Robinson, Douglas</DisplayName>
        <AccountId>211</AccountId>
        <AccountType/>
      </UserInfo>
      <UserInfo>
        <DisplayName>Jacob, Tameena</DisplayName>
        <AccountId>159</AccountId>
        <AccountType/>
      </UserInfo>
      <UserInfo>
        <DisplayName>Veneros, Lucelle</DisplayName>
        <AccountId>47</AccountId>
        <AccountType/>
      </UserInfo>
      <UserInfo>
        <DisplayName>Williams, Jon-Paul</DisplayName>
        <AccountId>210</AccountId>
        <AccountType/>
      </UserInfo>
      <UserInfo>
        <DisplayName>Martin, Helen</DisplayName>
        <AccountId>213</AccountId>
        <AccountType/>
      </UserInfo>
      <UserInfo>
        <DisplayName>Daizli, Salim</DisplayName>
        <AccountId>206</AccountId>
        <AccountType/>
      </UserInfo>
      <UserInfo>
        <DisplayName>Welch, Fiona</DisplayName>
        <AccountId>209</AccountId>
        <AccountType/>
      </UserInfo>
      <UserInfo>
        <DisplayName>Butler, Grace</DisplayName>
        <AccountId>212</AccountId>
        <AccountType/>
      </UserInfo>
      <UserInfo>
        <DisplayName>Wilson, Jessica</DisplayName>
        <AccountId>204</AccountId>
        <AccountType/>
      </UserInfo>
      <UserInfo>
        <DisplayName>Hanks, Alice</DisplayName>
        <AccountId>215</AccountId>
        <AccountType/>
      </UserInfo>
      <UserInfo>
        <DisplayName>Driessen, Carolyn</DisplayName>
        <AccountId>200</AccountId>
        <AccountType/>
      </UserInfo>
      <UserInfo>
        <DisplayName>Dawson, Neil</DisplayName>
        <AccountId>745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7.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Props1.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2.xml><?xml version="1.0" encoding="utf-8"?>
<ds:datastoreItem xmlns:ds="http://schemas.openxmlformats.org/officeDocument/2006/customXml" ds:itemID="{6E3090DA-9BB2-42DF-9966-450726D5EECA}">
  <ds:schemaRefs>
    <ds:schemaRef ds:uri="Microsoft.SharePoint.Taxonomy.ContentTypeSync"/>
  </ds:schemaRefs>
</ds:datastoreItem>
</file>

<file path=customXml/itemProps3.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4.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5.xml><?xml version="1.0" encoding="utf-8"?>
<ds:datastoreItem xmlns:ds="http://schemas.openxmlformats.org/officeDocument/2006/customXml" ds:itemID="{A026D2B6-1271-426A-A79B-C2BE72F5C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s>
</ds:datastoreItem>
</file>

<file path=customXml/itemProps7.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2113</Words>
  <Characters>12933</Characters>
  <Application>Microsoft Office Word</Application>
  <DocSecurity>0</DocSecurity>
  <Lines>393</Lines>
  <Paragraphs>173</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14945</CharactersWithSpaces>
  <SharedDoc>false</SharedDoc>
  <HLinks>
    <vt:vector size="66" baseType="variant">
      <vt:variant>
        <vt:i4>1310795</vt:i4>
      </vt:variant>
      <vt:variant>
        <vt:i4>60</vt:i4>
      </vt:variant>
      <vt:variant>
        <vt:i4>0</vt:i4>
      </vt:variant>
      <vt:variant>
        <vt:i4>5</vt:i4>
      </vt:variant>
      <vt:variant>
        <vt:lpwstr>https://www.ipea.gov.au/publications</vt:lpwstr>
      </vt:variant>
      <vt:variant>
        <vt:lpwstr/>
      </vt:variant>
      <vt:variant>
        <vt:i4>1310795</vt:i4>
      </vt:variant>
      <vt:variant>
        <vt:i4>57</vt:i4>
      </vt:variant>
      <vt:variant>
        <vt:i4>0</vt:i4>
      </vt:variant>
      <vt:variant>
        <vt:i4>5</vt:i4>
      </vt:variant>
      <vt:variant>
        <vt:lpwstr>https://www.ipea.gov.au/publications</vt:lpwstr>
      </vt:variant>
      <vt:variant>
        <vt:lpwstr/>
      </vt:variant>
      <vt:variant>
        <vt:i4>1441851</vt:i4>
      </vt:variant>
      <vt:variant>
        <vt:i4>50</vt:i4>
      </vt:variant>
      <vt:variant>
        <vt:i4>0</vt:i4>
      </vt:variant>
      <vt:variant>
        <vt:i4>5</vt:i4>
      </vt:variant>
      <vt:variant>
        <vt:lpwstr/>
      </vt:variant>
      <vt:variant>
        <vt:lpwstr>_Toc166354902</vt:lpwstr>
      </vt:variant>
      <vt:variant>
        <vt:i4>1441851</vt:i4>
      </vt:variant>
      <vt:variant>
        <vt:i4>44</vt:i4>
      </vt:variant>
      <vt:variant>
        <vt:i4>0</vt:i4>
      </vt:variant>
      <vt:variant>
        <vt:i4>5</vt:i4>
      </vt:variant>
      <vt:variant>
        <vt:lpwstr/>
      </vt:variant>
      <vt:variant>
        <vt:lpwstr>_Toc166354901</vt:lpwstr>
      </vt:variant>
      <vt:variant>
        <vt:i4>1441851</vt:i4>
      </vt:variant>
      <vt:variant>
        <vt:i4>38</vt:i4>
      </vt:variant>
      <vt:variant>
        <vt:i4>0</vt:i4>
      </vt:variant>
      <vt:variant>
        <vt:i4>5</vt:i4>
      </vt:variant>
      <vt:variant>
        <vt:lpwstr/>
      </vt:variant>
      <vt:variant>
        <vt:lpwstr>_Toc166354900</vt:lpwstr>
      </vt:variant>
      <vt:variant>
        <vt:i4>2031674</vt:i4>
      </vt:variant>
      <vt:variant>
        <vt:i4>32</vt:i4>
      </vt:variant>
      <vt:variant>
        <vt:i4>0</vt:i4>
      </vt:variant>
      <vt:variant>
        <vt:i4>5</vt:i4>
      </vt:variant>
      <vt:variant>
        <vt:lpwstr/>
      </vt:variant>
      <vt:variant>
        <vt:lpwstr>_Toc166354899</vt:lpwstr>
      </vt:variant>
      <vt:variant>
        <vt:i4>2031674</vt:i4>
      </vt:variant>
      <vt:variant>
        <vt:i4>26</vt:i4>
      </vt:variant>
      <vt:variant>
        <vt:i4>0</vt:i4>
      </vt:variant>
      <vt:variant>
        <vt:i4>5</vt:i4>
      </vt:variant>
      <vt:variant>
        <vt:lpwstr/>
      </vt:variant>
      <vt:variant>
        <vt:lpwstr>_Toc166354898</vt:lpwstr>
      </vt:variant>
      <vt:variant>
        <vt:i4>2031674</vt:i4>
      </vt:variant>
      <vt:variant>
        <vt:i4>20</vt:i4>
      </vt:variant>
      <vt:variant>
        <vt:i4>0</vt:i4>
      </vt:variant>
      <vt:variant>
        <vt:i4>5</vt:i4>
      </vt:variant>
      <vt:variant>
        <vt:lpwstr/>
      </vt:variant>
      <vt:variant>
        <vt:lpwstr>_Toc166354897</vt:lpwstr>
      </vt:variant>
      <vt:variant>
        <vt:i4>2031674</vt:i4>
      </vt:variant>
      <vt:variant>
        <vt:i4>14</vt:i4>
      </vt:variant>
      <vt:variant>
        <vt:i4>0</vt:i4>
      </vt:variant>
      <vt:variant>
        <vt:i4>5</vt:i4>
      </vt:variant>
      <vt:variant>
        <vt:lpwstr/>
      </vt:variant>
      <vt:variant>
        <vt:lpwstr>_Toc166354896</vt:lpwstr>
      </vt:variant>
      <vt:variant>
        <vt:i4>2031674</vt:i4>
      </vt:variant>
      <vt:variant>
        <vt:i4>8</vt:i4>
      </vt:variant>
      <vt:variant>
        <vt:i4>0</vt:i4>
      </vt:variant>
      <vt:variant>
        <vt:i4>5</vt:i4>
      </vt:variant>
      <vt:variant>
        <vt:lpwstr/>
      </vt:variant>
      <vt:variant>
        <vt:lpwstr>_Toc166354895</vt:lpwstr>
      </vt:variant>
      <vt:variant>
        <vt:i4>2031674</vt:i4>
      </vt:variant>
      <vt:variant>
        <vt:i4>2</vt:i4>
      </vt:variant>
      <vt:variant>
        <vt:i4>0</vt:i4>
      </vt:variant>
      <vt:variant>
        <vt:i4>5</vt:i4>
      </vt:variant>
      <vt:variant>
        <vt:lpwstr/>
      </vt:variant>
      <vt:variant>
        <vt:lpwstr>_Toc166354894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2024-05-14T23:31:00Z</dcterms:created>
  <dcterms:modified xsi:type="dcterms:W3CDTF">2024-05-14T07:27:00Z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EmConversationID">
    <vt:lpwstr/>
  </property>
  <property fmtid="{D5CDD505-2E9C-101B-9397-08002B2CF9AE}" pid="47" name="EmSensitivity">
    <vt:lpwstr/>
  </property>
  <property fmtid="{D5CDD505-2E9C-101B-9397-08002B2CF9AE}" pid="48" name="EmBCC">
    <vt:lpwstr/>
  </property>
  <property fmtid="{D5CDD505-2E9C-101B-9397-08002B2CF9AE}" pid="49" name="EmDate">
    <vt:lpwstr/>
  </property>
  <property fmtid="{D5CDD505-2E9C-101B-9397-08002B2CF9AE}" pid="50" name="EmID">
    <vt:lpwstr/>
  </property>
  <property fmtid="{D5CDD505-2E9C-101B-9397-08002B2CF9AE}" pid="51" name="EmToAddress">
    <vt:lpwstr/>
  </property>
  <property fmtid="{D5CDD505-2E9C-101B-9397-08002B2CF9AE}" pid="52" name="EmReceivedOnBehalfOfName">
    <vt:lpwstr/>
  </property>
  <property fmtid="{D5CDD505-2E9C-101B-9397-08002B2CF9AE}" pid="53" name="display_urn:schemas-microsoft-com:office:office#Editor">
    <vt:lpwstr>Berry, Alex</vt:lpwstr>
  </property>
  <property fmtid="{D5CDD505-2E9C-101B-9397-08002B2CF9AE}" pid="54" name="RelatedIssues">
    <vt:lpwstr/>
  </property>
  <property fmtid="{D5CDD505-2E9C-101B-9397-08002B2CF9AE}" pid="55" name="PM_ProtectiveMarkingImage_Header">
    <vt:lpwstr>C:\Program Files\Common Files\janusNET Shared\janusSEAL\Images\DocumentSlashBlue.png</vt:lpwstr>
  </property>
  <property fmtid="{D5CDD505-2E9C-101B-9397-08002B2CF9AE}" pid="56" name="PM_Caveats_Count">
    <vt:lpwstr>0</vt:lpwstr>
  </property>
  <property fmtid="{D5CDD505-2E9C-101B-9397-08002B2CF9AE}" pid="57" name="PM_DisplayValueSecClassificationWithQualifier">
    <vt:lpwstr>OFFICIAL</vt:lpwstr>
  </property>
  <property fmtid="{D5CDD505-2E9C-101B-9397-08002B2CF9AE}" pid="58" name="PM_Qualifier">
    <vt:lpwstr/>
  </property>
  <property fmtid="{D5CDD505-2E9C-101B-9397-08002B2CF9AE}" pid="59" name="PM_SecurityClassification">
    <vt:lpwstr>OFFICIAL</vt:lpwstr>
  </property>
  <property fmtid="{D5CDD505-2E9C-101B-9397-08002B2CF9AE}" pid="60" name="PM_InsertionValue">
    <vt:lpwstr>OFFICIAL</vt:lpwstr>
  </property>
  <property fmtid="{D5CDD505-2E9C-101B-9397-08002B2CF9AE}" pid="61" name="PM_Originating_FileId">
    <vt:lpwstr>EA6A3C8571A64656AF64DDAD65F4C07C</vt:lpwstr>
  </property>
  <property fmtid="{D5CDD505-2E9C-101B-9397-08002B2CF9AE}" pid="62" name="PM_ProtectiveMarkingValue_Footer">
    <vt:lpwstr>OFFICIAL</vt:lpwstr>
  </property>
  <property fmtid="{D5CDD505-2E9C-101B-9397-08002B2CF9AE}" pid="63" name="PM_OriginationTimeStamp">
    <vt:lpwstr>2023-03-03T00:43:28Z</vt:lpwstr>
  </property>
  <property fmtid="{D5CDD505-2E9C-101B-9397-08002B2CF9AE}" pid="64" name="PM_ProtectiveMarkingValue_Header">
    <vt:lpwstr>OFFICIAL</vt:lpwstr>
  </property>
  <property fmtid="{D5CDD505-2E9C-101B-9397-08002B2CF9AE}" pid="65" name="PM_ProtectiveMarkingImage_Footer">
    <vt:lpwstr>C:\Program Files\Common Files\janusNET Shared\janusSEAL\Images\DocumentSlashBlue.png</vt:lpwstr>
  </property>
  <property fmtid="{D5CDD505-2E9C-101B-9397-08002B2CF9AE}" pid="66" name="PM_Namespace">
    <vt:lpwstr>gov.au</vt:lpwstr>
  </property>
  <property fmtid="{D5CDD505-2E9C-101B-9397-08002B2CF9AE}" pid="67" name="PM_Version">
    <vt:lpwstr>2018.4</vt:lpwstr>
  </property>
  <property fmtid="{D5CDD505-2E9C-101B-9397-08002B2CF9AE}" pid="68" name="PM_Note">
    <vt:lpwstr/>
  </property>
  <property fmtid="{D5CDD505-2E9C-101B-9397-08002B2CF9AE}" pid="69" name="PM_Markers">
    <vt:lpwstr/>
  </property>
  <property fmtid="{D5CDD505-2E9C-101B-9397-08002B2CF9AE}" pid="70" name="PM_Display">
    <vt:lpwstr>OFFICIAL</vt:lpwstr>
  </property>
  <property fmtid="{D5CDD505-2E9C-101B-9397-08002B2CF9AE}" pid="71" name="PMUuid">
    <vt:lpwstr>v=2022.2;d=gov.au;g=46DD6D7C-8107-577B-BC6E-F348953B2E44</vt:lpwstr>
  </property>
  <property fmtid="{D5CDD505-2E9C-101B-9397-08002B2CF9AE}" pid="72" name="PM_Hash_Version">
    <vt:lpwstr>2022.1</vt:lpwstr>
  </property>
  <property fmtid="{D5CDD505-2E9C-101B-9397-08002B2CF9AE}" pid="73" name="MSIP_Label_87d6481e-ccdd-4ab6-8b26-05a0df5699e7_SetDate">
    <vt:lpwstr>2023-03-03T00:43:28Z</vt:lpwstr>
  </property>
  <property fmtid="{D5CDD505-2E9C-101B-9397-08002B2CF9AE}" pid="74" name="PM_OriginatorDomainName_SHA256">
    <vt:lpwstr>325440F6CA31C4C3BCE4433552DC42928CAAD3E2731ABE35FDE729ECEB763AF0</vt:lpwstr>
  </property>
  <property fmtid="{D5CDD505-2E9C-101B-9397-08002B2CF9AE}" pid="75" name="MSIP_Label_87d6481e-ccdd-4ab6-8b26-05a0df5699e7_Name">
    <vt:lpwstr>OFFICIAL</vt:lpwstr>
  </property>
  <property fmtid="{D5CDD505-2E9C-101B-9397-08002B2CF9AE}" pid="76" name="MSIP_Label_87d6481e-ccdd-4ab6-8b26-05a0df5699e7_SiteId">
    <vt:lpwstr>08954cee-4782-4ff6-9ad5-1997dccef4b0</vt:lpwstr>
  </property>
  <property fmtid="{D5CDD505-2E9C-101B-9397-08002B2CF9AE}" pid="77" name="MSIP_Label_87d6481e-ccdd-4ab6-8b26-05a0df5699e7_Enabled">
    <vt:lpwstr>true</vt:lpwstr>
  </property>
  <property fmtid="{D5CDD505-2E9C-101B-9397-08002B2CF9AE}" pid="78" name="PM_SecurityClassification_Prev">
    <vt:lpwstr>OFFICIAL</vt:lpwstr>
  </property>
  <property fmtid="{D5CDD505-2E9C-101B-9397-08002B2CF9AE}" pid="79" name="PM_Qualifier_Prev">
    <vt:lpwstr/>
  </property>
  <property fmtid="{D5CDD505-2E9C-101B-9397-08002B2CF9AE}" pid="80"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1"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2" name="MediaServiceImageTags">
    <vt:lpwstr/>
  </property>
  <property fmtid="{D5CDD505-2E9C-101B-9397-08002B2CF9AE}" pid="83" name="MSIP_Label_87d6481e-ccdd-4ab6-8b26-05a0df5699e7_Method">
    <vt:lpwstr>Privileged</vt:lpwstr>
  </property>
  <property fmtid="{D5CDD505-2E9C-101B-9397-08002B2CF9AE}" pid="84" name="MSIP_Label_87d6481e-ccdd-4ab6-8b26-05a0df5699e7_ContentBits">
    <vt:lpwstr>0</vt:lpwstr>
  </property>
  <property fmtid="{D5CDD505-2E9C-101B-9397-08002B2CF9AE}" pid="85" name="Organisation Unit">
    <vt:lpwstr/>
  </property>
  <property fmtid="{D5CDD505-2E9C-101B-9397-08002B2CF9AE}" pid="86" name="PM_Originator_Hash_SHA1">
    <vt:lpwstr>E4E3419E04AB65CE9F3601C39BEC7BFDC7748D82</vt:lpwstr>
  </property>
  <property fmtid="{D5CDD505-2E9C-101B-9397-08002B2CF9AE}" pid="87" name="PM_OriginatorUserAccountName_SHA256">
    <vt:lpwstr>868C9D66C3EE13BCC966B0B072077780D601C7557C4AED1BB22F0A6F8F7211ED</vt:lpwstr>
  </property>
  <property fmtid="{D5CDD505-2E9C-101B-9397-08002B2CF9AE}" pid="88" name="PM_Hash_Salt_Prev">
    <vt:lpwstr>9E6866976BE70C8B1383BC6A915165B1</vt:lpwstr>
  </property>
  <property fmtid="{D5CDD505-2E9C-101B-9397-08002B2CF9AE}" pid="89" name="PM_Hash_Salt">
    <vt:lpwstr>2F79BD6BD9024E39DFA849DB5B021EF7</vt:lpwstr>
  </property>
  <property fmtid="{D5CDD505-2E9C-101B-9397-08002B2CF9AE}" pid="90" name="PM_Hash_SHA1">
    <vt:lpwstr>6D6C962D28191D38D51BE375C5B9BB7AE16A1C57</vt:lpwstr>
  </property>
  <property fmtid="{D5CDD505-2E9C-101B-9397-08002B2CF9AE}" pid="91" name="PMHMAC">
    <vt:lpwstr>v=2022.1;a=SHA256;h=E8E460A801F3FE7DF9D88E3BFB9B9335FE5BE341E28D9BD67A85BA424F54837A</vt:lpwstr>
  </property>
  <property fmtid="{D5CDD505-2E9C-101B-9397-08002B2CF9AE}" pid="92" name="MSIP_Label_87d6481e-ccdd-4ab6-8b26-05a0df5699e7_ActionId">
    <vt:lpwstr>fcaadd11a78e4858bb74b2dea83fcfc3</vt:lpwstr>
  </property>
  <property fmtid="{D5CDD505-2E9C-101B-9397-08002B2CF9AE}" pid="93" name="_dlc_DocIdItemGuid">
    <vt:lpwstr>69d0ea6c-35c8-4be0-b90c-7272eb69ee7c</vt:lpwstr>
  </property>
</Properties>
</file>