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3198" w14:textId="77777777" w:rsidR="00DB42D8" w:rsidRPr="001B18CE" w:rsidRDefault="00DB42D8" w:rsidP="00DB42D8">
      <w:pPr>
        <w:pStyle w:val="TPHeading1"/>
      </w:pPr>
      <w:bookmarkStart w:id="1" w:name="_Hlk157090411"/>
      <w:bookmarkStart w:id="2" w:name="_Toc23559331"/>
      <w:bookmarkEnd w:id="1"/>
      <w:r w:rsidRPr="001B18CE">
        <w:t>Portfolio Additional Estimates</w:t>
      </w:r>
      <w:bookmarkEnd w:id="2"/>
      <w:r w:rsidRPr="001B18CE">
        <w:t xml:space="preserve"> Statements 202</w:t>
      </w:r>
      <w:r>
        <w:t>3–</w:t>
      </w:r>
      <w:r w:rsidRPr="001B18CE">
        <w:t>2</w:t>
      </w:r>
      <w:r>
        <w:t>4</w:t>
      </w:r>
    </w:p>
    <w:p w14:paraId="6E5E47C4" w14:textId="77777777" w:rsidR="00DB42D8" w:rsidRPr="00AC530C" w:rsidRDefault="00DB42D8" w:rsidP="00DB42D8"/>
    <w:p w14:paraId="31F42935" w14:textId="55551474" w:rsidR="00DB42D8" w:rsidRPr="001B18CE" w:rsidRDefault="0004266F" w:rsidP="00DB42D8">
      <w:pPr>
        <w:pStyle w:val="TPHeading2"/>
      </w:pPr>
      <w:r w:rsidRPr="00597CD8">
        <w:t xml:space="preserve">finance </w:t>
      </w:r>
      <w:r w:rsidR="00DB42D8" w:rsidRPr="00597CD8">
        <w:t>Portfolio</w:t>
      </w:r>
    </w:p>
    <w:p w14:paraId="7EDDAB98" w14:textId="77777777" w:rsidR="00DB42D8" w:rsidRPr="00AC530C" w:rsidRDefault="00DB42D8" w:rsidP="00DB42D8"/>
    <w:p w14:paraId="190CE227" w14:textId="77777777" w:rsidR="00DB42D8" w:rsidRDefault="00DB42D8" w:rsidP="00DB42D8"/>
    <w:p w14:paraId="1E4CB66E" w14:textId="77777777" w:rsidR="00DB42D8" w:rsidRDefault="00DB42D8" w:rsidP="00DB42D8"/>
    <w:p w14:paraId="7FFF5FA4" w14:textId="77777777" w:rsidR="00DB42D8" w:rsidRPr="00AC530C" w:rsidRDefault="00DB42D8" w:rsidP="00DB42D8"/>
    <w:p w14:paraId="030513F0" w14:textId="77777777" w:rsidR="00DB42D8" w:rsidRPr="00AC530C" w:rsidRDefault="00DB42D8" w:rsidP="00DB42D8"/>
    <w:p w14:paraId="74DA8D51" w14:textId="77777777" w:rsidR="00DB42D8" w:rsidRPr="00AC530C" w:rsidRDefault="00DB42D8" w:rsidP="00DB42D8"/>
    <w:p w14:paraId="7F6C3FEE" w14:textId="77777777" w:rsidR="00DB42D8" w:rsidRPr="00AC530C" w:rsidRDefault="00DB42D8" w:rsidP="00DB42D8"/>
    <w:p w14:paraId="76DD86C4" w14:textId="77777777" w:rsidR="00DB42D8" w:rsidRPr="00AC530C" w:rsidRDefault="00DB42D8" w:rsidP="00DB42D8"/>
    <w:p w14:paraId="2B881067" w14:textId="77777777" w:rsidR="00DB42D8" w:rsidRPr="00AC530C" w:rsidRDefault="00DB42D8" w:rsidP="00DB42D8"/>
    <w:p w14:paraId="1DEA1B5B" w14:textId="77777777" w:rsidR="00DB42D8" w:rsidRPr="00925624" w:rsidRDefault="00DB42D8" w:rsidP="00DB42D8">
      <w:pPr>
        <w:pStyle w:val="TPHeading3"/>
      </w:pPr>
      <w:r w:rsidRPr="00925624">
        <w:t xml:space="preserve">Explanations of </w:t>
      </w:r>
      <w:r w:rsidRPr="00055E5F">
        <w:t>Additional</w:t>
      </w:r>
      <w:r w:rsidRPr="00925624">
        <w:t xml:space="preserve"> Estimates 202</w:t>
      </w:r>
      <w:r>
        <w:t>3</w:t>
      </w:r>
      <w:r w:rsidR="008F4D64">
        <w:t>–</w:t>
      </w:r>
      <w:r w:rsidRPr="00925624">
        <w:t>2</w:t>
      </w:r>
      <w:r>
        <w:t>4</w:t>
      </w:r>
    </w:p>
    <w:p w14:paraId="39284707" w14:textId="77777777" w:rsidR="00DB42D8" w:rsidRPr="00084EF4" w:rsidRDefault="00DB42D8" w:rsidP="00DB42D8">
      <w:pPr>
        <w:pStyle w:val="TPHeading3"/>
        <w:ind w:left="0"/>
        <w:jc w:val="center"/>
        <w:rPr>
          <w:snapToGrid w:val="0"/>
        </w:rPr>
      </w:pPr>
    </w:p>
    <w:p w14:paraId="5939B0A2" w14:textId="77777777" w:rsidR="00DB42D8" w:rsidRDefault="00DB42D8" w:rsidP="00DB42D8">
      <w:pPr>
        <w:pStyle w:val="OverviewParagraph"/>
        <w:rPr>
          <w:rFonts w:ascii="Arial" w:hAnsi="Arial"/>
        </w:rPr>
        <w:sectPr w:rsidR="00DB42D8" w:rsidSect="00DB42D8">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835" w:right="2098" w:bottom="2466" w:left="2098" w:header="1814" w:footer="1814" w:gutter="0"/>
          <w:pgNumType w:fmt="lowerRoman" w:start="1"/>
          <w:cols w:space="720"/>
          <w:vAlign w:val="bottom"/>
          <w:titlePg/>
        </w:sectPr>
      </w:pPr>
      <w:bookmarkStart w:id="3" w:name="_Toc491014608"/>
      <w:bookmarkStart w:id="4" w:name="_Toc491014750"/>
      <w:bookmarkStart w:id="5" w:name="_Toc491031921"/>
    </w:p>
    <w:p w14:paraId="65829EBC" w14:textId="77777777" w:rsidR="0004266F" w:rsidRDefault="0004266F" w:rsidP="0004266F">
      <w:r>
        <w:lastRenderedPageBreak/>
        <w:t>© Commonwealth of Australia 2024</w:t>
      </w:r>
    </w:p>
    <w:p w14:paraId="5F10927F" w14:textId="77777777" w:rsidR="0004266F" w:rsidRDefault="0004266F" w:rsidP="0004266F">
      <w:r>
        <w:t>ISBN 978-1-925537-89-5 (Print); 978-1-925537-90-1 (Online)</w:t>
      </w:r>
    </w:p>
    <w:p w14:paraId="19D10A2D" w14:textId="77777777" w:rsidR="0004266F" w:rsidRPr="00DB3B0D" w:rsidRDefault="0004266F" w:rsidP="0004266F">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20" w:history="1">
        <w:r>
          <w:rPr>
            <w:rStyle w:val="Hyperlink"/>
          </w:rPr>
          <w:t>Creative Commons BY Attribution 3.0 Australia</w:t>
        </w:r>
      </w:hyperlink>
      <w:r w:rsidRPr="00DB3B0D">
        <w:rPr>
          <w:rStyle w:val="A5"/>
          <w:rFonts w:ascii="Calibri" w:hAnsi="Calibri" w:cs="Calibri"/>
          <w:sz w:val="24"/>
          <w:szCs w:val="24"/>
        </w:rPr>
        <w:t xml:space="preserve"> </w:t>
      </w:r>
      <w:r>
        <w:t>licence, with the exception of the Commonwealth Coat of Arms, the Department of Finance (Finance), photographs, images, signatures and where otherwise stated. The full licence terms are available from</w:t>
      </w:r>
      <w:r w:rsidRPr="00DB3B0D">
        <w:rPr>
          <w:rStyle w:val="A5"/>
          <w:rFonts w:ascii="Calibri" w:hAnsi="Calibri" w:cs="Calibri"/>
          <w:sz w:val="24"/>
          <w:szCs w:val="24"/>
        </w:rPr>
        <w:t xml:space="preserve"> </w:t>
      </w:r>
      <w:hyperlink r:id="rId21" w:history="1">
        <w:r>
          <w:rPr>
            <w:rStyle w:val="Hyperlink"/>
          </w:rPr>
          <w:t>http://creativecommons.org/licenses/by/3.0/au/legalcode</w:t>
        </w:r>
      </w:hyperlink>
      <w:r>
        <w:rPr>
          <w:rStyle w:val="Hyperlink"/>
        </w:rPr>
        <w:t>.</w:t>
      </w:r>
      <w:r>
        <w:rPr>
          <w:color w:val="000000"/>
          <w:sz w:val="24"/>
          <w:szCs w:val="24"/>
        </w:rPr>
        <w:t xml:space="preserve"> </w:t>
      </w:r>
    </w:p>
    <w:p w14:paraId="03801361" w14:textId="77777777" w:rsidR="0004266F" w:rsidRPr="00DB3B0D" w:rsidRDefault="0004266F" w:rsidP="0004266F">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08B6B292" wp14:editId="63ED34EC">
            <wp:extent cx="812165" cy="284257"/>
            <wp:effectExtent l="0" t="0" r="698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12165" cy="284257"/>
                    </a:xfrm>
                    <a:prstGeom prst="rect">
                      <a:avLst/>
                    </a:prstGeom>
                    <a:noFill/>
                    <a:ln>
                      <a:noFill/>
                    </a:ln>
                  </pic:spPr>
                </pic:pic>
              </a:graphicData>
            </a:graphic>
          </wp:inline>
        </w:drawing>
      </w:r>
    </w:p>
    <w:p w14:paraId="63741819" w14:textId="77777777" w:rsidR="0004266F" w:rsidRPr="00DB3B0D" w:rsidRDefault="0004266F" w:rsidP="0004266F">
      <w:pPr>
        <w:tabs>
          <w:tab w:val="left" w:pos="1650"/>
        </w:tabs>
        <w:spacing w:before="100" w:beforeAutospacing="1" w:after="100" w:afterAutospacing="1"/>
        <w:rPr>
          <w:sz w:val="22"/>
          <w:szCs w:val="22"/>
        </w:rPr>
      </w:pPr>
      <w:r>
        <w:t>Use of Department of Finance (Finance) material under a</w:t>
      </w:r>
      <w:r w:rsidRPr="00DB3B0D">
        <w:rPr>
          <w:rFonts w:cs="Calibri"/>
          <w:color w:val="000000"/>
          <w:sz w:val="24"/>
          <w:szCs w:val="24"/>
        </w:rPr>
        <w:t xml:space="preserve"> </w:t>
      </w:r>
      <w:hyperlink r:id="rId23" w:history="1">
        <w:r>
          <w:rPr>
            <w:rStyle w:val="Hyperlink"/>
          </w:rPr>
          <w:t>Creative Commons BY Attribution 3.0 Australia</w:t>
        </w:r>
      </w:hyperlink>
      <w:r>
        <w:rPr>
          <w:rStyle w:val="Hyperlink"/>
        </w:rPr>
        <w:t xml:space="preserve"> </w:t>
      </w:r>
      <w:r>
        <w:t xml:space="preserve">licence requires you to attribute the work (but not in any way that suggests that the Finance endorses you or your use of the work). </w:t>
      </w:r>
    </w:p>
    <w:p w14:paraId="77CD6932" w14:textId="77777777" w:rsidR="0004266F" w:rsidRPr="00F54915" w:rsidRDefault="0004266F" w:rsidP="0004266F">
      <w:pPr>
        <w:rPr>
          <w:b/>
          <w:bCs/>
          <w:i/>
        </w:rPr>
      </w:pPr>
      <w:r w:rsidRPr="00597CD8">
        <w:rPr>
          <w:b/>
          <w:bCs/>
          <w:i/>
          <w:iCs/>
        </w:rPr>
        <w:t>Australia Government Department of Finance</w:t>
      </w:r>
      <w:r w:rsidRPr="00597CD8">
        <w:rPr>
          <w:b/>
          <w:bCs/>
          <w:i/>
        </w:rPr>
        <w:t xml:space="preserve"> material used 'as supplied'</w:t>
      </w:r>
    </w:p>
    <w:p w14:paraId="1E499582" w14:textId="77777777" w:rsidR="0004266F" w:rsidRDefault="0004266F" w:rsidP="0004266F">
      <w:r>
        <w:t xml:space="preserve">Provided you have not modified or transformed Finance material in any way including, for example, by changing the Finance text; calculating percentage changes; graphing or charting data; or deriving new statistics from published Finance statistics – then Finance prefers the following attribution: </w:t>
      </w:r>
    </w:p>
    <w:p w14:paraId="07F956E6" w14:textId="77777777" w:rsidR="0004266F" w:rsidRDefault="0004266F" w:rsidP="0004266F">
      <w:pPr>
        <w:ind w:left="720"/>
      </w:pPr>
      <w:r>
        <w:rPr>
          <w:i/>
        </w:rPr>
        <w:t xml:space="preserve">Source: The </w:t>
      </w:r>
      <w:r>
        <w:rPr>
          <w:i/>
          <w:iCs/>
        </w:rPr>
        <w:t>Australian Government Department of Finance</w:t>
      </w:r>
    </w:p>
    <w:p w14:paraId="038771A7" w14:textId="77777777" w:rsidR="0004266F" w:rsidRPr="00257363" w:rsidRDefault="0004266F" w:rsidP="0004266F">
      <w:pPr>
        <w:spacing w:after="40"/>
        <w:rPr>
          <w:b/>
          <w:bCs/>
        </w:rPr>
      </w:pPr>
      <w:r w:rsidRPr="00257363">
        <w:rPr>
          <w:b/>
          <w:bCs/>
        </w:rPr>
        <w:t>Derivative material</w:t>
      </w:r>
    </w:p>
    <w:p w14:paraId="7E1FBAB4" w14:textId="77777777" w:rsidR="0004266F" w:rsidRDefault="0004266F" w:rsidP="0004266F">
      <w:r>
        <w:t xml:space="preserve">If you have modified or transformed Finance material, or derived new material from those of the Finance in any way, then Finance prefers the following attribution: </w:t>
      </w:r>
    </w:p>
    <w:p w14:paraId="224A7D95" w14:textId="77777777" w:rsidR="0004266F" w:rsidRDefault="0004266F" w:rsidP="0004266F">
      <w:pPr>
        <w:ind w:left="720"/>
      </w:pPr>
      <w:r>
        <w:rPr>
          <w:i/>
        </w:rPr>
        <w:t>Based on The Australian Government Department of Finance data</w:t>
      </w:r>
    </w:p>
    <w:p w14:paraId="1EC09014" w14:textId="77777777" w:rsidR="0004266F" w:rsidRDefault="0004266F" w:rsidP="0004266F">
      <w:pPr>
        <w:spacing w:after="40"/>
        <w:rPr>
          <w:b/>
        </w:rPr>
      </w:pPr>
      <w:r>
        <w:rPr>
          <w:b/>
        </w:rPr>
        <w:t>Use of the Coat of Arms</w:t>
      </w:r>
    </w:p>
    <w:p w14:paraId="5C6405AA" w14:textId="77777777" w:rsidR="0004266F" w:rsidRDefault="0004266F" w:rsidP="0004266F">
      <w:r>
        <w:t xml:space="preserve">The terms under which the Coat of Arms can be used are set out on the Department of the Prime Minister and Cabinet website (see </w:t>
      </w:r>
      <w:hyperlink r:id="rId24" w:history="1">
        <w:r w:rsidRPr="00F54915">
          <w:rPr>
            <w:rStyle w:val="Hyperlink"/>
          </w:rPr>
          <w:t>www.pmc.gov.au/honours-and-symbols/commonwealth-coat-arms</w:t>
        </w:r>
      </w:hyperlink>
      <w:r>
        <w:t>)</w:t>
      </w:r>
    </w:p>
    <w:p w14:paraId="043A1FA8" w14:textId="77777777" w:rsidR="0004266F" w:rsidRDefault="0004266F" w:rsidP="0004266F">
      <w:pPr>
        <w:spacing w:after="40"/>
        <w:rPr>
          <w:b/>
        </w:rPr>
      </w:pPr>
      <w:r>
        <w:rPr>
          <w:b/>
        </w:rPr>
        <w:t>Other Uses</w:t>
      </w:r>
    </w:p>
    <w:p w14:paraId="44DD1BCA" w14:textId="77777777" w:rsidR="0004266F" w:rsidRDefault="0004266F" w:rsidP="0004266F">
      <w:pPr>
        <w:pStyle w:val="SinglePara"/>
      </w:pPr>
      <w:r>
        <w:t>Inquiries regarding this licence and any other use of this document are welcome at: Copyright Coordinator</w:t>
      </w:r>
    </w:p>
    <w:p w14:paraId="717FF137" w14:textId="77777777" w:rsidR="0004266F" w:rsidRDefault="0004266F" w:rsidP="0004266F">
      <w:pPr>
        <w:pStyle w:val="SinglePara"/>
      </w:pPr>
      <w:r>
        <w:t>Department of Finance</w:t>
      </w:r>
    </w:p>
    <w:p w14:paraId="5455CD34" w14:textId="77777777" w:rsidR="0004266F" w:rsidRDefault="0004266F" w:rsidP="0004266F">
      <w:pPr>
        <w:pStyle w:val="SinglePara"/>
      </w:pPr>
      <w:r>
        <w:t>One Canberra Avenue, Forrest ACT 2603</w:t>
      </w:r>
    </w:p>
    <w:p w14:paraId="7AAE3867" w14:textId="77777777" w:rsidR="0004266F" w:rsidRDefault="0004266F" w:rsidP="0004266F">
      <w:pPr>
        <w:pStyle w:val="SinglePara"/>
      </w:pPr>
      <w:r>
        <w:t>Email: Publications @finance.gov.au</w:t>
      </w:r>
    </w:p>
    <w:p w14:paraId="0CDED853" w14:textId="5334DAF9" w:rsidR="00DB42D8" w:rsidRDefault="00DB42D8" w:rsidP="00DB42D8">
      <w:r>
        <w:br w:type="page"/>
      </w:r>
    </w:p>
    <w:p w14:paraId="348B7CF9" w14:textId="2D5203C3" w:rsidR="00DB42D8" w:rsidRDefault="00DD2A6D" w:rsidP="00DB42D8">
      <w:r w:rsidRPr="00DD2A6D">
        <w:rPr>
          <w:noProof/>
        </w:rPr>
        <w:lastRenderedPageBreak/>
        <w:drawing>
          <wp:anchor distT="0" distB="0" distL="114300" distR="114300" simplePos="0" relativeHeight="251658240" behindDoc="0" locked="0" layoutInCell="1" allowOverlap="1" wp14:anchorId="33F20CDF" wp14:editId="60CB1E9C">
            <wp:simplePos x="0" y="0"/>
            <wp:positionH relativeFrom="column">
              <wp:posOffset>-8255</wp:posOffset>
            </wp:positionH>
            <wp:positionV relativeFrom="paragraph">
              <wp:posOffset>280670</wp:posOffset>
            </wp:positionV>
            <wp:extent cx="4896000" cy="6433200"/>
            <wp:effectExtent l="0" t="0" r="0" b="5715"/>
            <wp:wrapNone/>
            <wp:docPr id="1217709997" name="Picture 1" descr="A letter of a politici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09997" name="Picture 1" descr="A letter of a politici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896000" cy="6433200"/>
                    </a:xfrm>
                    <a:prstGeom prst="rect">
                      <a:avLst/>
                    </a:prstGeom>
                  </pic:spPr>
                </pic:pic>
              </a:graphicData>
            </a:graphic>
            <wp14:sizeRelH relativeFrom="margin">
              <wp14:pctWidth>0</wp14:pctWidth>
            </wp14:sizeRelH>
            <wp14:sizeRelV relativeFrom="margin">
              <wp14:pctHeight>0</wp14:pctHeight>
            </wp14:sizeRelV>
          </wp:anchor>
        </w:drawing>
      </w:r>
    </w:p>
    <w:p w14:paraId="66462057" w14:textId="1A8CF9A6" w:rsidR="00DB42D8" w:rsidRDefault="00DB42D8" w:rsidP="00DB42D8"/>
    <w:bookmarkEnd w:id="3"/>
    <w:bookmarkEnd w:id="4"/>
    <w:bookmarkEnd w:id="5"/>
    <w:p w14:paraId="2B53992D" w14:textId="77777777" w:rsidR="00DB42D8" w:rsidRDefault="00DB42D8" w:rsidP="00DB42D8">
      <w:pPr>
        <w:sectPr w:rsidR="00DB42D8" w:rsidSect="008F07DB">
          <w:headerReference w:type="even" r:id="rId26"/>
          <w:headerReference w:type="default" r:id="rId27"/>
          <w:headerReference w:type="first" r:id="rId28"/>
          <w:footerReference w:type="first" r:id="rId29"/>
          <w:pgSz w:w="11907" w:h="16840" w:code="9"/>
          <w:pgMar w:top="2835" w:right="2098" w:bottom="2466" w:left="2098" w:header="1814" w:footer="1814" w:gutter="0"/>
          <w:pgNumType w:fmt="lowerRoman"/>
          <w:cols w:space="720"/>
          <w:titlePg/>
        </w:sectPr>
      </w:pPr>
    </w:p>
    <w:p w14:paraId="41281895" w14:textId="77777777" w:rsidR="00DB42D8" w:rsidRPr="00447D46" w:rsidRDefault="00DB42D8" w:rsidP="00DB42D8">
      <w:pPr>
        <w:pStyle w:val="Heading4"/>
      </w:pPr>
      <w:r>
        <w:lastRenderedPageBreak/>
        <w:t>Abbreviations and</w:t>
      </w:r>
      <w:r w:rsidRPr="00447D46">
        <w:t xml:space="preserve"> conventions </w:t>
      </w:r>
    </w:p>
    <w:p w14:paraId="3A43DFAD" w14:textId="77777777" w:rsidR="00DB42D8" w:rsidRDefault="00DB42D8" w:rsidP="00DB42D8">
      <w:pPr>
        <w:tabs>
          <w:tab w:val="left" w:pos="567"/>
        </w:tabs>
      </w:pPr>
      <w:r>
        <w:t>The following notations may be used:</w:t>
      </w:r>
    </w:p>
    <w:p w14:paraId="58E8B7A1" w14:textId="77777777" w:rsidR="00DB42D8" w:rsidRDefault="00DB42D8" w:rsidP="00DB42D8">
      <w:pPr>
        <w:tabs>
          <w:tab w:val="left" w:pos="567"/>
          <w:tab w:val="left" w:pos="1701"/>
        </w:tabs>
        <w:spacing w:after="60"/>
        <w:ind w:left="567"/>
      </w:pPr>
      <w:r>
        <w:t>NEC/nec</w:t>
      </w:r>
      <w:r>
        <w:tab/>
        <w:t>not elsewhere classified</w:t>
      </w:r>
    </w:p>
    <w:p w14:paraId="72D975C6" w14:textId="77777777" w:rsidR="00DB42D8" w:rsidRDefault="00DB42D8" w:rsidP="00DB42D8">
      <w:pPr>
        <w:tabs>
          <w:tab w:val="left" w:pos="567"/>
          <w:tab w:val="left" w:pos="1701"/>
        </w:tabs>
        <w:spacing w:after="60"/>
        <w:ind w:left="567"/>
      </w:pPr>
      <w:r>
        <w:noBreakHyphen/>
      </w:r>
      <w:r>
        <w:tab/>
        <w:t>nil</w:t>
      </w:r>
    </w:p>
    <w:p w14:paraId="1B88286A" w14:textId="77777777" w:rsidR="00DB42D8" w:rsidRDefault="00DB42D8" w:rsidP="00DB42D8">
      <w:pPr>
        <w:tabs>
          <w:tab w:val="left" w:pos="567"/>
          <w:tab w:val="left" w:pos="1701"/>
        </w:tabs>
        <w:spacing w:after="60"/>
        <w:ind w:left="567"/>
      </w:pPr>
      <w:r>
        <w:t>..</w:t>
      </w:r>
      <w:r>
        <w:tab/>
        <w:t>not zero, but rounded to zero</w:t>
      </w:r>
    </w:p>
    <w:p w14:paraId="51832B2C" w14:textId="77777777" w:rsidR="00DB42D8" w:rsidRDefault="00DB42D8" w:rsidP="00DB42D8">
      <w:pPr>
        <w:tabs>
          <w:tab w:val="left" w:pos="567"/>
          <w:tab w:val="left" w:pos="1701"/>
        </w:tabs>
        <w:spacing w:after="60"/>
        <w:ind w:left="567"/>
      </w:pPr>
      <w:r>
        <w:t>na</w:t>
      </w:r>
      <w:r>
        <w:tab/>
        <w:t>not applicable (unless otherwise specified)</w:t>
      </w:r>
    </w:p>
    <w:p w14:paraId="301C0775" w14:textId="77777777" w:rsidR="00DB42D8" w:rsidRDefault="00DB42D8" w:rsidP="00DB42D8">
      <w:pPr>
        <w:tabs>
          <w:tab w:val="left" w:pos="567"/>
          <w:tab w:val="left" w:pos="1701"/>
        </w:tabs>
        <w:spacing w:after="60"/>
        <w:ind w:left="567"/>
      </w:pPr>
      <w:r>
        <w:t>nfp</w:t>
      </w:r>
      <w:r>
        <w:tab/>
        <w:t>not for publication</w:t>
      </w:r>
    </w:p>
    <w:p w14:paraId="3E56F07E" w14:textId="77777777" w:rsidR="00DB42D8" w:rsidRDefault="00DB42D8" w:rsidP="00DB42D8">
      <w:pPr>
        <w:tabs>
          <w:tab w:val="left" w:pos="567"/>
          <w:tab w:val="left" w:pos="1701"/>
        </w:tabs>
        <w:spacing w:after="60"/>
        <w:ind w:left="567"/>
      </w:pPr>
      <w:r>
        <w:t>$m</w:t>
      </w:r>
      <w:r>
        <w:tab/>
        <w:t>$ million</w:t>
      </w:r>
    </w:p>
    <w:p w14:paraId="2854D536" w14:textId="77777777" w:rsidR="00DB42D8" w:rsidRDefault="00DB42D8" w:rsidP="00DB42D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9843E60" w14:textId="77777777" w:rsidR="00DB42D8" w:rsidRPr="004C0BD7" w:rsidRDefault="00DB42D8" w:rsidP="00DB42D8">
      <w:pPr>
        <w:pStyle w:val="Heading4"/>
      </w:pPr>
      <w:bookmarkStart w:id="6" w:name="_Toc210646442"/>
      <w:bookmarkStart w:id="7" w:name="_Toc210698421"/>
      <w:bookmarkStart w:id="8" w:name="_Toc210700992"/>
      <w:bookmarkStart w:id="9" w:name="_Toc210703165"/>
      <w:bookmarkStart w:id="10" w:name="_Toc210703206"/>
      <w:bookmarkStart w:id="11" w:name="_Toc531094581"/>
      <w:bookmarkStart w:id="12" w:name="_Toc531095060"/>
      <w:r w:rsidRPr="004C0BD7">
        <w:t>Enquiries</w:t>
      </w:r>
      <w:bookmarkEnd w:id="6"/>
      <w:bookmarkEnd w:id="7"/>
      <w:bookmarkEnd w:id="8"/>
      <w:bookmarkEnd w:id="9"/>
      <w:bookmarkEnd w:id="10"/>
      <w:bookmarkEnd w:id="11"/>
      <w:bookmarkEnd w:id="12"/>
    </w:p>
    <w:p w14:paraId="4159C6D6" w14:textId="37AB0A3D" w:rsidR="00DB42D8" w:rsidRPr="00597CD8" w:rsidRDefault="00DB42D8" w:rsidP="00DB42D8">
      <w:pPr>
        <w:rPr>
          <w:color w:val="000000" w:themeColor="text1"/>
        </w:rPr>
      </w:pPr>
      <w:r>
        <w:t xml:space="preserve">Should you have any enquiries regarding this publication please contact Chief Finance Officer in the </w:t>
      </w:r>
      <w:r w:rsidRPr="00597CD8">
        <w:t xml:space="preserve">Department </w:t>
      </w:r>
      <w:r w:rsidRPr="00597CD8">
        <w:rPr>
          <w:color w:val="000000" w:themeColor="text1"/>
        </w:rPr>
        <w:t xml:space="preserve">of </w:t>
      </w:r>
      <w:r w:rsidR="0091131E" w:rsidRPr="00597CD8">
        <w:rPr>
          <w:rFonts w:ascii="Palatino" w:hAnsi="Palatino"/>
          <w:color w:val="000000" w:themeColor="text1"/>
        </w:rPr>
        <w:t xml:space="preserve">Finance </w:t>
      </w:r>
      <w:r w:rsidRPr="00597CD8">
        <w:rPr>
          <w:color w:val="000000" w:themeColor="text1"/>
        </w:rPr>
        <w:t>on (02)</w:t>
      </w:r>
      <w:r w:rsidRPr="00597CD8">
        <w:rPr>
          <w:rFonts w:ascii="Palatino" w:hAnsi="Palatino"/>
          <w:color w:val="000000" w:themeColor="text1"/>
        </w:rPr>
        <w:t xml:space="preserve"> </w:t>
      </w:r>
      <w:r w:rsidR="0091131E" w:rsidRPr="00597CD8">
        <w:rPr>
          <w:rFonts w:ascii="Palatino" w:hAnsi="Palatino"/>
          <w:color w:val="000000" w:themeColor="text1"/>
        </w:rPr>
        <w:t>6215 2222</w:t>
      </w:r>
      <w:r w:rsidRPr="00597CD8">
        <w:rPr>
          <w:color w:val="000000" w:themeColor="text1"/>
        </w:rPr>
        <w:t>.</w:t>
      </w:r>
    </w:p>
    <w:p w14:paraId="2C2DD10A" w14:textId="77777777" w:rsidR="00DB42D8" w:rsidRDefault="00DB42D8" w:rsidP="00DB42D8">
      <w:r>
        <w:t xml:space="preserve">Links to Portfolio Budget Statements (including Portfolio Additional Estimates Statements and Portfolio Supplementary Additional Estimates Statements) can be located on the Australian Government Budget website at </w:t>
      </w:r>
      <w:hyperlink r:id="rId30" w:history="1">
        <w:r w:rsidRPr="00F045E6">
          <w:rPr>
            <w:rStyle w:val="Hyperlink"/>
          </w:rPr>
          <w:t>www.budget.gov.au</w:t>
        </w:r>
      </w:hyperlink>
      <w:r>
        <w:t>.</w:t>
      </w:r>
    </w:p>
    <w:p w14:paraId="74B9498A" w14:textId="77777777" w:rsidR="00DB42D8" w:rsidRDefault="00DB42D8" w:rsidP="00DB42D8">
      <w:pPr>
        <w:pStyle w:val="ContentsHeading"/>
        <w:rPr>
          <w:snapToGrid w:val="0"/>
        </w:rPr>
        <w:sectPr w:rsidR="00DB42D8" w:rsidSect="008F07DB">
          <w:headerReference w:type="even" r:id="rId31"/>
          <w:headerReference w:type="default" r:id="rId32"/>
          <w:footerReference w:type="even" r:id="rId33"/>
          <w:footerReference w:type="default" r:id="rId34"/>
          <w:headerReference w:type="first" r:id="rId35"/>
          <w:footerReference w:type="first" r:id="rId36"/>
          <w:pgSz w:w="11907" w:h="16840" w:code="9"/>
          <w:pgMar w:top="2835" w:right="2098" w:bottom="2466" w:left="2098" w:header="1814" w:footer="1814" w:gutter="0"/>
          <w:pgNumType w:fmt="lowerRoman"/>
          <w:cols w:space="720"/>
          <w:titlePg/>
        </w:sectPr>
      </w:pPr>
    </w:p>
    <w:p w14:paraId="03473C55" w14:textId="77777777" w:rsidR="00DB42D8" w:rsidRPr="00EE330C" w:rsidRDefault="00DB42D8" w:rsidP="00DB42D8">
      <w:pPr>
        <w:pStyle w:val="PartHeading-NoTOC"/>
        <w:rPr>
          <w:szCs w:val="52"/>
        </w:rPr>
      </w:pPr>
      <w:bookmarkStart w:id="13" w:name="_Toc112211948"/>
      <w:bookmarkStart w:id="14" w:name="_Toc112212042"/>
      <w:bookmarkStart w:id="15" w:name="_Toc112137860"/>
      <w:bookmarkStart w:id="16" w:name="_Toc112224367"/>
      <w:bookmarkStart w:id="17" w:name="_Toc210646443"/>
      <w:bookmarkStart w:id="18" w:name="_Toc210698422"/>
      <w:r w:rsidRPr="005E5C4A">
        <w:rPr>
          <w:szCs w:val="52"/>
        </w:rPr>
        <w:lastRenderedPageBreak/>
        <w:t>User guide</w:t>
      </w:r>
      <w:r w:rsidRPr="005E5C4A">
        <w:rPr>
          <w:szCs w:val="52"/>
        </w:rPr>
        <w:br/>
        <w:t>to the</w:t>
      </w:r>
      <w:r w:rsidRPr="00EE330C">
        <w:rPr>
          <w:szCs w:val="52"/>
        </w:rPr>
        <w:br/>
        <w:t>Portfolio Additional</w:t>
      </w:r>
      <w:r w:rsidRPr="00EE330C">
        <w:rPr>
          <w:szCs w:val="52"/>
        </w:rPr>
        <w:br/>
        <w:t>Estimate Statements</w:t>
      </w:r>
    </w:p>
    <w:p w14:paraId="5EE22C78" w14:textId="77777777" w:rsidR="00DB42D8" w:rsidRDefault="00DB42D8" w:rsidP="00DB42D8">
      <w:pPr>
        <w:pStyle w:val="PartHeading-NoTOC"/>
        <w:rPr>
          <w:lang w:val="en-US"/>
        </w:rPr>
        <w:sectPr w:rsidR="00DB42D8" w:rsidSect="008F07DB">
          <w:headerReference w:type="even" r:id="rId37"/>
          <w:headerReference w:type="default" r:id="rId38"/>
          <w:footerReference w:type="default" r:id="rId39"/>
          <w:headerReference w:type="first" r:id="rId40"/>
          <w:footerReference w:type="first" r:id="rId41"/>
          <w:pgSz w:w="11907" w:h="16840" w:code="9"/>
          <w:pgMar w:top="2835" w:right="2098" w:bottom="2466" w:left="2098" w:header="1814" w:footer="1814" w:gutter="0"/>
          <w:pgNumType w:fmt="lowerRoman"/>
          <w:cols w:space="720"/>
          <w:vAlign w:val="center"/>
          <w:titlePg/>
        </w:sectPr>
      </w:pPr>
    </w:p>
    <w:p w14:paraId="25D0DC27" w14:textId="77777777" w:rsidR="00DB42D8" w:rsidRDefault="00DB42D8" w:rsidP="00DB42D8">
      <w:pPr>
        <w:pStyle w:val="Heading1-NoTOC"/>
      </w:pPr>
      <w:r>
        <w:lastRenderedPageBreak/>
        <w:t>User Guide</w:t>
      </w:r>
      <w:bookmarkEnd w:id="13"/>
      <w:bookmarkEnd w:id="14"/>
      <w:bookmarkEnd w:id="15"/>
      <w:bookmarkEnd w:id="16"/>
      <w:bookmarkEnd w:id="17"/>
      <w:bookmarkEnd w:id="18"/>
    </w:p>
    <w:p w14:paraId="589A8581" w14:textId="77777777" w:rsidR="00DB42D8" w:rsidRDefault="00DB42D8" w:rsidP="00DB42D8">
      <w:pPr>
        <w:tabs>
          <w:tab w:val="right" w:pos="7088"/>
        </w:tabs>
      </w:pPr>
      <w:r>
        <w:t>The purpose of the 2023</w:t>
      </w:r>
      <w:r w:rsidR="005E55CA">
        <w:t>–</w:t>
      </w:r>
      <w:r>
        <w:t>24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noBreakHyphen/>
        <w:t>financial planned performance of programs supporting those outcomes.</w:t>
      </w:r>
    </w:p>
    <w:p w14:paraId="3B008EB0" w14:textId="6DF80D13" w:rsidR="00DB42D8" w:rsidRDefault="00DB42D8" w:rsidP="00DB42D8">
      <w:pPr>
        <w:tabs>
          <w:tab w:val="right" w:pos="7088"/>
        </w:tabs>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rsidR="00743187">
        <w:rPr>
          <w:i/>
        </w:rPr>
        <w:t> </w:t>
      </w:r>
      <w:r>
        <w:rPr>
          <w:i/>
        </w:rPr>
        <w:t>2023</w:t>
      </w:r>
      <w:r w:rsidR="005E55CA">
        <w:rPr>
          <w:i/>
        </w:rPr>
        <w:t>–</w:t>
      </w:r>
      <w:r>
        <w:rPr>
          <w:i/>
        </w:rPr>
        <w:t>2024</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14:paraId="1F6ED433" w14:textId="77777777" w:rsidR="00DB42D8" w:rsidRPr="004C0BD7" w:rsidRDefault="00DB42D8" w:rsidP="00DB42D8">
      <w:pPr>
        <w:pStyle w:val="Heading2-NoTOC"/>
      </w:pPr>
      <w:r>
        <w:br w:type="page"/>
      </w:r>
      <w:bookmarkStart w:id="19" w:name="_Toc450201413"/>
      <w:bookmarkStart w:id="20" w:name="_Toc492796965"/>
      <w:bookmarkStart w:id="21" w:name="_Toc492797089"/>
      <w:bookmarkStart w:id="22" w:name="_Toc492799505"/>
      <w:bookmarkStart w:id="23" w:name="_Toc492799660"/>
      <w:bookmarkStart w:id="24" w:name="_Toc533505720"/>
      <w:bookmarkStart w:id="25" w:name="_Toc533505944"/>
      <w:bookmarkStart w:id="26" w:name="_Toc77997684"/>
      <w:bookmarkStart w:id="27" w:name="_Toc77998670"/>
      <w:bookmarkStart w:id="28" w:name="_Toc78339819"/>
      <w:bookmarkStart w:id="29" w:name="_Toc79405325"/>
      <w:bookmarkStart w:id="30" w:name="_Toc79405368"/>
      <w:bookmarkStart w:id="31" w:name="_Toc112045573"/>
      <w:bookmarkStart w:id="32" w:name="_Toc112211950"/>
      <w:bookmarkStart w:id="33" w:name="_Toc112212044"/>
      <w:bookmarkStart w:id="34" w:name="_Toc112137862"/>
      <w:bookmarkStart w:id="35" w:name="_Toc112137887"/>
      <w:bookmarkStart w:id="36" w:name="_Toc112224369"/>
      <w:bookmarkStart w:id="37" w:name="_Toc210611950"/>
      <w:bookmarkStart w:id="38" w:name="_Toc210646444"/>
      <w:bookmarkStart w:id="39" w:name="_Toc210698423"/>
      <w:bookmarkStart w:id="40" w:name="_Toc210700993"/>
      <w:bookmarkStart w:id="41" w:name="_Toc210703166"/>
      <w:bookmarkStart w:id="42" w:name="_Toc210703207"/>
      <w:bookmarkStart w:id="43" w:name="_Toc531094582"/>
      <w:bookmarkStart w:id="44" w:name="_Toc531095061"/>
      <w:r w:rsidRPr="004C0BD7">
        <w:lastRenderedPageBreak/>
        <w:t>Structure of the Portfolio Additional Estimates Statements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9CF6F55" w14:textId="77777777" w:rsidR="00DB42D8" w:rsidRDefault="00DB42D8" w:rsidP="00DB42D8">
      <w:pPr>
        <w:tabs>
          <w:tab w:val="right" w:pos="7088"/>
        </w:tabs>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DB42D8" w14:paraId="5D463E73" w14:textId="77777777" w:rsidTr="008F07DB">
        <w:trPr>
          <w:cantSplit/>
          <w:jc w:val="center"/>
        </w:trPr>
        <w:tc>
          <w:tcPr>
            <w:tcW w:w="7711" w:type="dxa"/>
            <w:gridSpan w:val="2"/>
            <w:shd w:val="clear" w:color="auto" w:fill="E6E6E6"/>
          </w:tcPr>
          <w:p w14:paraId="25EF02AC" w14:textId="77777777" w:rsidR="00DB42D8" w:rsidRPr="009D4B20" w:rsidRDefault="00DB42D8" w:rsidP="008F07DB">
            <w:pPr>
              <w:pStyle w:val="TableHeading2ndLevelWord"/>
              <w:rPr>
                <w:rFonts w:ascii="Book Antiqua" w:hAnsi="Book Antiqua"/>
              </w:rPr>
            </w:pPr>
            <w:r w:rsidRPr="009D4B20">
              <w:rPr>
                <w:rFonts w:ascii="Book Antiqua" w:hAnsi="Book Antiqua"/>
              </w:rPr>
              <w:t>User guide</w:t>
            </w:r>
          </w:p>
        </w:tc>
      </w:tr>
      <w:tr w:rsidR="00DB42D8" w14:paraId="475BDFB7" w14:textId="77777777" w:rsidTr="008F07DB">
        <w:trPr>
          <w:cantSplit/>
          <w:jc w:val="center"/>
        </w:trPr>
        <w:tc>
          <w:tcPr>
            <w:tcW w:w="7711" w:type="dxa"/>
            <w:gridSpan w:val="2"/>
          </w:tcPr>
          <w:p w14:paraId="6AD6A3EE" w14:textId="77777777" w:rsidR="00DB42D8" w:rsidRPr="009D4B20" w:rsidRDefault="00DB42D8" w:rsidP="008F07DB">
            <w:pPr>
              <w:pStyle w:val="Tabletextjustified"/>
              <w:rPr>
                <w:rFonts w:ascii="Book Antiqua" w:hAnsi="Book Antiqua"/>
              </w:rPr>
            </w:pPr>
            <w:r w:rsidRPr="009D4B20">
              <w:rPr>
                <w:rFonts w:ascii="Book Antiqua" w:hAnsi="Book Antiqua"/>
              </w:rPr>
              <w:t>Provides a brief introduction explaining the purpose of the PAES.</w:t>
            </w:r>
          </w:p>
        </w:tc>
      </w:tr>
      <w:tr w:rsidR="00DB42D8" w14:paraId="12E9B88B" w14:textId="77777777" w:rsidTr="008F07DB">
        <w:trPr>
          <w:cantSplit/>
          <w:jc w:val="center"/>
        </w:trPr>
        <w:tc>
          <w:tcPr>
            <w:tcW w:w="2268" w:type="dxa"/>
            <w:shd w:val="clear" w:color="auto" w:fill="E6E6E6"/>
          </w:tcPr>
          <w:p w14:paraId="2AA24BDE" w14:textId="77777777" w:rsidR="00DB42D8" w:rsidRPr="009D4B20" w:rsidRDefault="00DB42D8" w:rsidP="008F07DB">
            <w:pPr>
              <w:pStyle w:val="TableHeading2ndLevelWord"/>
              <w:rPr>
                <w:rFonts w:ascii="Book Antiqua" w:hAnsi="Book Antiqua"/>
              </w:rPr>
            </w:pPr>
            <w:r w:rsidRPr="009D4B20">
              <w:rPr>
                <w:rFonts w:ascii="Book Antiqua" w:hAnsi="Book Antiqua"/>
              </w:rPr>
              <w:t>Portfolio overview</w:t>
            </w:r>
          </w:p>
        </w:tc>
        <w:tc>
          <w:tcPr>
            <w:tcW w:w="5443" w:type="dxa"/>
            <w:shd w:val="clear" w:color="auto" w:fill="E6E6E6"/>
          </w:tcPr>
          <w:p w14:paraId="2F455C11" w14:textId="77777777" w:rsidR="00DB42D8" w:rsidRPr="009D4B20" w:rsidRDefault="00DB42D8" w:rsidP="008F07DB"/>
        </w:tc>
      </w:tr>
      <w:tr w:rsidR="00DB42D8" w14:paraId="1EEEC331" w14:textId="77777777" w:rsidTr="008F07DB">
        <w:trPr>
          <w:cantSplit/>
          <w:jc w:val="center"/>
        </w:trPr>
        <w:tc>
          <w:tcPr>
            <w:tcW w:w="7711" w:type="dxa"/>
            <w:gridSpan w:val="2"/>
          </w:tcPr>
          <w:p w14:paraId="2B596119" w14:textId="77777777" w:rsidR="00DB42D8" w:rsidRPr="009D4B20" w:rsidRDefault="00DB42D8" w:rsidP="008F07DB">
            <w:pPr>
              <w:pStyle w:val="Tabletextjustified"/>
              <w:rPr>
                <w:rFonts w:ascii="Book Antiqua" w:hAnsi="Book Antiqua"/>
              </w:rPr>
            </w:pPr>
            <w:r w:rsidRPr="009D4B20">
              <w:rPr>
                <w:rFonts w:ascii="Book Antiqua" w:hAnsi="Book Antiqua"/>
              </w:rPr>
              <w:t>Provides an overview of the portfolio, including a chart that outlines the outcomes for entities in the portfolio.</w:t>
            </w:r>
          </w:p>
        </w:tc>
      </w:tr>
      <w:tr w:rsidR="00DB42D8" w14:paraId="799A5680" w14:textId="77777777" w:rsidTr="008F07DB">
        <w:trPr>
          <w:cantSplit/>
          <w:jc w:val="center"/>
        </w:trPr>
        <w:tc>
          <w:tcPr>
            <w:tcW w:w="7711" w:type="dxa"/>
            <w:gridSpan w:val="2"/>
            <w:shd w:val="clear" w:color="auto" w:fill="E6E6E6"/>
          </w:tcPr>
          <w:p w14:paraId="48C2F0BD" w14:textId="77777777" w:rsidR="00DB42D8" w:rsidRPr="009D4B20" w:rsidRDefault="00DB42D8" w:rsidP="008F07DB">
            <w:pPr>
              <w:pStyle w:val="TableHeading2ndLevelWord"/>
              <w:rPr>
                <w:rFonts w:ascii="Book Antiqua" w:hAnsi="Book Antiqua"/>
              </w:rPr>
            </w:pPr>
            <w:r w:rsidRPr="009D4B20">
              <w:rPr>
                <w:rFonts w:ascii="Book Antiqua" w:hAnsi="Book Antiqua"/>
              </w:rPr>
              <w:t>Entity Additional Estimates Statements</w:t>
            </w:r>
          </w:p>
        </w:tc>
      </w:tr>
      <w:tr w:rsidR="00DB42D8" w14:paraId="53D09645" w14:textId="77777777" w:rsidTr="008F07DB">
        <w:trPr>
          <w:cantSplit/>
          <w:jc w:val="center"/>
        </w:trPr>
        <w:tc>
          <w:tcPr>
            <w:tcW w:w="7711" w:type="dxa"/>
            <w:gridSpan w:val="2"/>
            <w:tcBorders>
              <w:bottom w:val="single" w:sz="2" w:space="0" w:color="999999"/>
            </w:tcBorders>
          </w:tcPr>
          <w:p w14:paraId="30F57685" w14:textId="77777777" w:rsidR="00DB42D8" w:rsidRPr="009D4B20" w:rsidRDefault="00DB42D8" w:rsidP="008F07DB">
            <w:pPr>
              <w:pStyle w:val="Tabletextjustified"/>
              <w:rPr>
                <w:rFonts w:ascii="Book Antiqua" w:hAnsi="Book Antiqua"/>
              </w:rPr>
            </w:pPr>
            <w:r w:rsidRPr="009D4B20">
              <w:rPr>
                <w:rFonts w:ascii="Book Antiqua" w:hAnsi="Book Antiqua"/>
              </w:rPr>
              <w:t>A statement (under the name of the entity) for each entity affected by Additional Estimates.</w:t>
            </w:r>
          </w:p>
        </w:tc>
      </w:tr>
      <w:tr w:rsidR="00DB42D8" w14:paraId="12D54F66" w14:textId="77777777" w:rsidTr="008F07DB">
        <w:trPr>
          <w:cantSplit/>
          <w:jc w:val="center"/>
        </w:trPr>
        <w:tc>
          <w:tcPr>
            <w:tcW w:w="2268" w:type="dxa"/>
            <w:tcBorders>
              <w:top w:val="single" w:sz="2" w:space="0" w:color="999999"/>
              <w:bottom w:val="single" w:sz="2" w:space="0" w:color="999999"/>
            </w:tcBorders>
          </w:tcPr>
          <w:p w14:paraId="0421B9A0" w14:textId="77777777" w:rsidR="00DB42D8" w:rsidRPr="009D4B20" w:rsidRDefault="00DB42D8" w:rsidP="008F07DB">
            <w:pPr>
              <w:pStyle w:val="TableSideHeading"/>
              <w:rPr>
                <w:rFonts w:ascii="Book Antiqua" w:hAnsi="Book Antiqua"/>
              </w:rPr>
            </w:pPr>
            <w:r w:rsidRPr="009D4B20">
              <w:rPr>
                <w:rFonts w:ascii="Book Antiqua" w:hAnsi="Book Antiqua"/>
              </w:rPr>
              <w:t>Section 1: Entity overview and resources</w:t>
            </w:r>
          </w:p>
        </w:tc>
        <w:tc>
          <w:tcPr>
            <w:tcW w:w="5443" w:type="dxa"/>
            <w:tcBorders>
              <w:top w:val="single" w:sz="2" w:space="0" w:color="999999"/>
              <w:bottom w:val="single" w:sz="2" w:space="0" w:color="999999"/>
            </w:tcBorders>
          </w:tcPr>
          <w:p w14:paraId="1CDAD976" w14:textId="77777777" w:rsidR="00DB42D8" w:rsidRPr="009D4B20" w:rsidRDefault="00DB42D8" w:rsidP="008F07DB">
            <w:pPr>
              <w:pStyle w:val="Tabletextjustified"/>
              <w:rPr>
                <w:rFonts w:ascii="Book Antiqua" w:hAnsi="Book Antiqua"/>
              </w:rPr>
            </w:pPr>
            <w:r w:rsidRPr="009D4B20">
              <w:rPr>
                <w:rFonts w:ascii="Book Antiqua" w:hAnsi="Book Antiqua"/>
              </w:rPr>
              <w:t xml:space="preserve">This section details the </w:t>
            </w:r>
            <w:r>
              <w:rPr>
                <w:rFonts w:ascii="Book Antiqua" w:hAnsi="Book Antiqua"/>
              </w:rPr>
              <w:t xml:space="preserve">changes in </w:t>
            </w:r>
            <w:r w:rsidRPr="009D4B20">
              <w:rPr>
                <w:rFonts w:ascii="Book Antiqua" w:hAnsi="Book Antiqua"/>
              </w:rPr>
              <w:t>total resources available to an entity, the impact of any meas</w:t>
            </w:r>
            <w:r>
              <w:rPr>
                <w:rFonts w:ascii="Book Antiqua" w:hAnsi="Book Antiqua"/>
              </w:rPr>
              <w:t>ures since Budget, and impact of</w:t>
            </w:r>
            <w:r w:rsidRPr="009D4B20">
              <w:rPr>
                <w:rFonts w:ascii="Book Antiqua" w:hAnsi="Book Antiqua"/>
              </w:rPr>
              <w:t xml:space="preserve"> </w:t>
            </w:r>
            <w:r w:rsidRPr="00B94BE6">
              <w:rPr>
                <w:rFonts w:ascii="Book Antiqua" w:hAnsi="Book Antiqua"/>
              </w:rPr>
              <w:t>Appropriation Bills Nos</w:t>
            </w:r>
            <w:r w:rsidRPr="00F65BC3">
              <w:rPr>
                <w:rFonts w:ascii="Book Antiqua" w:hAnsi="Book Antiqua"/>
              </w:rPr>
              <w:t>. 3 and 4.</w:t>
            </w:r>
          </w:p>
        </w:tc>
      </w:tr>
      <w:tr w:rsidR="00DB42D8" w14:paraId="27CCA169" w14:textId="77777777" w:rsidTr="008F07DB">
        <w:trPr>
          <w:cantSplit/>
          <w:jc w:val="center"/>
        </w:trPr>
        <w:tc>
          <w:tcPr>
            <w:tcW w:w="2268" w:type="dxa"/>
            <w:tcBorders>
              <w:top w:val="single" w:sz="2" w:space="0" w:color="999999"/>
              <w:bottom w:val="single" w:sz="2" w:space="0" w:color="999999"/>
            </w:tcBorders>
          </w:tcPr>
          <w:p w14:paraId="1C53B321" w14:textId="77777777" w:rsidR="00DB42D8" w:rsidRPr="009D4B20" w:rsidRDefault="00DB42D8" w:rsidP="008F07DB">
            <w:pPr>
              <w:pStyle w:val="TableSideHeading"/>
              <w:rPr>
                <w:rFonts w:ascii="Book Antiqua" w:hAnsi="Book Antiqua"/>
              </w:rPr>
            </w:pPr>
            <w:r>
              <w:rPr>
                <w:rFonts w:ascii="Book Antiqua" w:hAnsi="Book Antiqua"/>
              </w:rPr>
              <w:t>S</w:t>
            </w:r>
            <w:r w:rsidRPr="009D4B20">
              <w:rPr>
                <w:rFonts w:ascii="Book Antiqua" w:hAnsi="Book Antiqua"/>
              </w:rPr>
              <w:t xml:space="preserve">ection 2: </w:t>
            </w:r>
            <w:r>
              <w:rPr>
                <w:rFonts w:ascii="Book Antiqua" w:hAnsi="Book Antiqua"/>
              </w:rPr>
              <w:t>R</w:t>
            </w:r>
            <w:r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520BBFDF" w14:textId="77777777" w:rsidR="00DB42D8" w:rsidRPr="009D4B20" w:rsidRDefault="00DB42D8" w:rsidP="008F07D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entity </w:t>
            </w:r>
            <w:r>
              <w:rPr>
                <w:rFonts w:ascii="Book Antiqua" w:hAnsi="Book Antiqua"/>
              </w:rPr>
              <w:t>program</w:t>
            </w:r>
            <w:r w:rsidRPr="009D4B20">
              <w:rPr>
                <w:rFonts w:ascii="Book Antiqua" w:hAnsi="Book Antiqua"/>
              </w:rPr>
              <w:t>s.</w:t>
            </w:r>
          </w:p>
        </w:tc>
      </w:tr>
      <w:tr w:rsidR="00DB42D8" w14:paraId="7559E17E" w14:textId="77777777" w:rsidTr="008F07DB">
        <w:trPr>
          <w:cantSplit/>
          <w:jc w:val="center"/>
        </w:trPr>
        <w:tc>
          <w:tcPr>
            <w:tcW w:w="2268" w:type="dxa"/>
            <w:tcBorders>
              <w:top w:val="single" w:sz="2" w:space="0" w:color="999999"/>
            </w:tcBorders>
          </w:tcPr>
          <w:p w14:paraId="7058F2FD" w14:textId="77777777" w:rsidR="00DB42D8" w:rsidRPr="009D4B20" w:rsidRDefault="00DB42D8" w:rsidP="008F07DB">
            <w:pPr>
              <w:pStyle w:val="TableSideHeading"/>
              <w:rPr>
                <w:rFonts w:ascii="Book Antiqua" w:hAnsi="Book Antiqua"/>
              </w:rPr>
            </w:pPr>
            <w:r w:rsidRPr="009D4B20">
              <w:rPr>
                <w:rFonts w:ascii="Book Antiqua" w:hAnsi="Book Antiqua"/>
              </w:rPr>
              <w:t xml:space="preserve">Section 3: </w:t>
            </w:r>
            <w:r>
              <w:rPr>
                <w:rFonts w:ascii="Book Antiqua" w:hAnsi="Book Antiqua"/>
              </w:rPr>
              <w:t xml:space="preserve">Special account flows </w:t>
            </w:r>
            <w:r w:rsidRPr="009D4B20">
              <w:rPr>
                <w:rFonts w:ascii="Book Antiqua" w:hAnsi="Book Antiqua"/>
              </w:rPr>
              <w:t>and budgeted financial statements</w:t>
            </w:r>
          </w:p>
        </w:tc>
        <w:tc>
          <w:tcPr>
            <w:tcW w:w="5443" w:type="dxa"/>
            <w:tcBorders>
              <w:top w:val="single" w:sz="2" w:space="0" w:color="999999"/>
            </w:tcBorders>
          </w:tcPr>
          <w:p w14:paraId="1F6EB671" w14:textId="77777777" w:rsidR="00DB42D8" w:rsidRPr="009D4B20" w:rsidRDefault="00DB42D8" w:rsidP="008F07D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B42D8" w14:paraId="0D2F61EA" w14:textId="77777777" w:rsidTr="008F07DB">
        <w:trPr>
          <w:cantSplit/>
          <w:jc w:val="center"/>
        </w:trPr>
        <w:tc>
          <w:tcPr>
            <w:tcW w:w="7711" w:type="dxa"/>
            <w:gridSpan w:val="2"/>
            <w:shd w:val="clear" w:color="auto" w:fill="E7E6E6"/>
          </w:tcPr>
          <w:p w14:paraId="142C93D0" w14:textId="77777777" w:rsidR="00DB42D8" w:rsidRPr="00DD620A" w:rsidRDefault="00DB42D8" w:rsidP="008F07DB">
            <w:pPr>
              <w:pStyle w:val="TableHeading2ndLevelWord"/>
              <w:rPr>
                <w:rFonts w:ascii="Book Antiqua" w:hAnsi="Book Antiqua"/>
                <w:b w:val="0"/>
              </w:rPr>
            </w:pPr>
            <w:r w:rsidRPr="00DD620A">
              <w:rPr>
                <w:rFonts w:ascii="Book Antiqua" w:hAnsi="Book Antiqua"/>
              </w:rPr>
              <w:t>Portfolio glossary</w:t>
            </w:r>
          </w:p>
        </w:tc>
      </w:tr>
      <w:tr w:rsidR="00DB42D8" w14:paraId="486FCC0D" w14:textId="77777777" w:rsidTr="008F07DB">
        <w:trPr>
          <w:cantSplit/>
          <w:jc w:val="center"/>
        </w:trPr>
        <w:tc>
          <w:tcPr>
            <w:tcW w:w="7711" w:type="dxa"/>
            <w:gridSpan w:val="2"/>
          </w:tcPr>
          <w:p w14:paraId="6DCC0F31" w14:textId="77777777" w:rsidR="00DB42D8" w:rsidRPr="009D4B20" w:rsidRDefault="00DB42D8" w:rsidP="008F07DB">
            <w:pPr>
              <w:pStyle w:val="Tabletextjustified"/>
              <w:rPr>
                <w:rFonts w:ascii="Book Antiqua" w:hAnsi="Book Antiqua"/>
              </w:rPr>
            </w:pPr>
            <w:r w:rsidRPr="009D4B20">
              <w:rPr>
                <w:rFonts w:ascii="Book Antiqua" w:hAnsi="Book Antiqua"/>
              </w:rPr>
              <w:t>Explains key terms relevant to the Portfolio.</w:t>
            </w:r>
          </w:p>
        </w:tc>
      </w:tr>
      <w:tr w:rsidR="00DB42D8" w14:paraId="16FE88E3" w14:textId="77777777" w:rsidTr="008F07DB">
        <w:trPr>
          <w:cantSplit/>
          <w:jc w:val="center"/>
        </w:trPr>
        <w:tc>
          <w:tcPr>
            <w:tcW w:w="7711" w:type="dxa"/>
            <w:gridSpan w:val="2"/>
            <w:tcBorders>
              <w:bottom w:val="single" w:sz="2" w:space="0" w:color="999999"/>
            </w:tcBorders>
          </w:tcPr>
          <w:p w14:paraId="113AC75A" w14:textId="3D3BBBE3" w:rsidR="00DB42D8" w:rsidRPr="009D4B20" w:rsidRDefault="00DB42D8" w:rsidP="008F07DB">
            <w:pPr>
              <w:pStyle w:val="Tabletextjustified"/>
              <w:rPr>
                <w:rFonts w:ascii="Book Antiqua" w:hAnsi="Book Antiqua"/>
              </w:rPr>
            </w:pPr>
          </w:p>
        </w:tc>
      </w:tr>
    </w:tbl>
    <w:p w14:paraId="3DD620FD" w14:textId="77777777" w:rsidR="00DB42D8" w:rsidRPr="00F045E6" w:rsidRDefault="00DB42D8" w:rsidP="00DB42D8">
      <w:bookmarkStart w:id="45" w:name="_Toc450201414"/>
      <w:bookmarkStart w:id="46" w:name="_Toc492796966"/>
      <w:bookmarkStart w:id="47" w:name="_Toc492797090"/>
      <w:bookmarkStart w:id="48" w:name="_Toc492799506"/>
      <w:bookmarkStart w:id="49" w:name="_Toc492799661"/>
      <w:bookmarkStart w:id="50" w:name="_Toc533505725"/>
      <w:bookmarkStart w:id="51" w:name="_Toc533505945"/>
      <w:bookmarkStart w:id="52" w:name="_Toc77997685"/>
      <w:bookmarkStart w:id="53" w:name="_Toc77998671"/>
      <w:bookmarkStart w:id="54" w:name="_Toc78339820"/>
      <w:bookmarkStart w:id="55" w:name="_Toc79405326"/>
      <w:bookmarkStart w:id="56" w:name="_Toc79405369"/>
      <w:bookmarkStart w:id="57" w:name="_Toc112045574"/>
    </w:p>
    <w:p w14:paraId="5ABC7069" w14:textId="77777777" w:rsidR="00DB42D8" w:rsidRDefault="00DB42D8" w:rsidP="00DB42D8">
      <w:pPr>
        <w:pStyle w:val="ContentsHeading"/>
        <w:rPr>
          <w:snapToGrid w:val="0"/>
        </w:rPr>
      </w:pPr>
      <w:r w:rsidRPr="00F045E6">
        <w:br w:type="page"/>
      </w:r>
      <w:bookmarkEnd w:id="45"/>
      <w:bookmarkEnd w:id="46"/>
      <w:bookmarkEnd w:id="47"/>
      <w:bookmarkEnd w:id="48"/>
      <w:bookmarkEnd w:id="49"/>
      <w:bookmarkEnd w:id="50"/>
      <w:bookmarkEnd w:id="51"/>
      <w:bookmarkEnd w:id="52"/>
      <w:bookmarkEnd w:id="53"/>
      <w:bookmarkEnd w:id="54"/>
      <w:bookmarkEnd w:id="55"/>
      <w:bookmarkEnd w:id="56"/>
      <w:bookmarkEnd w:id="57"/>
      <w:r>
        <w:lastRenderedPageBreak/>
        <w:t>C</w:t>
      </w:r>
      <w:r>
        <w:rPr>
          <w:snapToGrid w:val="0"/>
        </w:rPr>
        <w:t>ontents</w:t>
      </w:r>
    </w:p>
    <w:bookmarkStart w:id="58" w:name="_Toc449255752"/>
    <w:bookmarkStart w:id="59" w:name="_Toc460918631"/>
    <w:bookmarkStart w:id="60" w:name="_Toc490972395"/>
    <w:p w14:paraId="1AC2CF13" w14:textId="097AFA35" w:rsidR="00562807" w:rsidRDefault="00DB42D8">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\h \z \t "Heading 1,1,Heading 2,2,Title,1,Part Heading,1,Heading 1 - LVL2,2" </w:instrText>
      </w:r>
      <w:r>
        <w:fldChar w:fldCharType="separate"/>
      </w:r>
      <w:hyperlink w:anchor="_Toc157445268" w:history="1">
        <w:r w:rsidR="00562807" w:rsidRPr="002B4995">
          <w:rPr>
            <w:rStyle w:val="Hyperlink"/>
            <w:noProof/>
          </w:rPr>
          <w:t>Portfolio overview</w:t>
        </w:r>
        <w:r w:rsidR="00562807">
          <w:rPr>
            <w:noProof/>
            <w:webHidden/>
          </w:rPr>
          <w:tab/>
        </w:r>
        <w:r w:rsidR="00562807">
          <w:rPr>
            <w:noProof/>
            <w:webHidden/>
          </w:rPr>
          <w:fldChar w:fldCharType="begin"/>
        </w:r>
        <w:r w:rsidR="00562807">
          <w:rPr>
            <w:noProof/>
            <w:webHidden/>
          </w:rPr>
          <w:instrText xml:space="preserve"> PAGEREF _Toc157445268 \h </w:instrText>
        </w:r>
        <w:r w:rsidR="00562807">
          <w:rPr>
            <w:noProof/>
            <w:webHidden/>
          </w:rPr>
        </w:r>
        <w:r w:rsidR="00562807">
          <w:rPr>
            <w:noProof/>
            <w:webHidden/>
          </w:rPr>
          <w:fldChar w:fldCharType="separate"/>
        </w:r>
        <w:r w:rsidR="00023728">
          <w:rPr>
            <w:noProof/>
            <w:webHidden/>
          </w:rPr>
          <w:t>1</w:t>
        </w:r>
        <w:r w:rsidR="00562807">
          <w:rPr>
            <w:noProof/>
            <w:webHidden/>
          </w:rPr>
          <w:fldChar w:fldCharType="end"/>
        </w:r>
      </w:hyperlink>
    </w:p>
    <w:p w14:paraId="3E8EC2AD" w14:textId="06F9D499" w:rsidR="00562807" w:rsidRDefault="00000000">
      <w:pPr>
        <w:pStyle w:val="TOC1"/>
        <w:rPr>
          <w:rFonts w:asciiTheme="minorHAnsi" w:eastAsiaTheme="minorEastAsia" w:hAnsiTheme="minorHAnsi" w:cstheme="minorBidi"/>
          <w:b w:val="0"/>
          <w:noProof/>
          <w:kern w:val="2"/>
          <w:sz w:val="22"/>
          <w:szCs w:val="22"/>
          <w14:ligatures w14:val="standardContextual"/>
        </w:rPr>
      </w:pPr>
      <w:hyperlink w:anchor="_Toc157445269" w:history="1">
        <w:r w:rsidR="00562807" w:rsidRPr="002B4995">
          <w:rPr>
            <w:rStyle w:val="Hyperlink"/>
            <w:noProof/>
          </w:rPr>
          <w:t>Entity additional estimates statements</w:t>
        </w:r>
        <w:r w:rsidR="00562807">
          <w:rPr>
            <w:noProof/>
            <w:webHidden/>
          </w:rPr>
          <w:tab/>
        </w:r>
        <w:r w:rsidR="00562807">
          <w:rPr>
            <w:noProof/>
            <w:webHidden/>
          </w:rPr>
          <w:fldChar w:fldCharType="begin"/>
        </w:r>
        <w:r w:rsidR="00562807">
          <w:rPr>
            <w:noProof/>
            <w:webHidden/>
          </w:rPr>
          <w:instrText xml:space="preserve"> PAGEREF _Toc157445269 \h </w:instrText>
        </w:r>
        <w:r w:rsidR="00562807">
          <w:rPr>
            <w:noProof/>
            <w:webHidden/>
          </w:rPr>
        </w:r>
        <w:r w:rsidR="00562807">
          <w:rPr>
            <w:noProof/>
            <w:webHidden/>
          </w:rPr>
          <w:fldChar w:fldCharType="separate"/>
        </w:r>
        <w:r w:rsidR="00023728">
          <w:rPr>
            <w:noProof/>
            <w:webHidden/>
          </w:rPr>
          <w:t>7</w:t>
        </w:r>
        <w:r w:rsidR="00562807">
          <w:rPr>
            <w:noProof/>
            <w:webHidden/>
          </w:rPr>
          <w:fldChar w:fldCharType="end"/>
        </w:r>
      </w:hyperlink>
    </w:p>
    <w:p w14:paraId="05CF3839" w14:textId="5741B140" w:rsidR="00562807" w:rsidRDefault="00000000">
      <w:pPr>
        <w:pStyle w:val="TOC2"/>
        <w:rPr>
          <w:rFonts w:asciiTheme="minorHAnsi" w:eastAsiaTheme="minorEastAsia" w:hAnsiTheme="minorHAnsi" w:cstheme="minorBidi"/>
          <w:noProof/>
          <w:kern w:val="2"/>
          <w:sz w:val="22"/>
          <w:szCs w:val="22"/>
          <w14:ligatures w14:val="standardContextual"/>
        </w:rPr>
      </w:pPr>
      <w:hyperlink w:anchor="_Toc157445270" w:history="1">
        <w:r w:rsidR="00562807" w:rsidRPr="002B4995">
          <w:rPr>
            <w:rStyle w:val="Hyperlink"/>
            <w:noProof/>
          </w:rPr>
          <w:t>Department of Finance</w:t>
        </w:r>
        <w:r w:rsidR="00562807">
          <w:rPr>
            <w:noProof/>
            <w:webHidden/>
          </w:rPr>
          <w:tab/>
        </w:r>
        <w:r w:rsidR="00562807">
          <w:rPr>
            <w:noProof/>
            <w:webHidden/>
          </w:rPr>
          <w:fldChar w:fldCharType="begin"/>
        </w:r>
        <w:r w:rsidR="00562807">
          <w:rPr>
            <w:noProof/>
            <w:webHidden/>
          </w:rPr>
          <w:instrText xml:space="preserve"> PAGEREF _Toc157445270 \h </w:instrText>
        </w:r>
        <w:r w:rsidR="00562807">
          <w:rPr>
            <w:noProof/>
            <w:webHidden/>
          </w:rPr>
        </w:r>
        <w:r w:rsidR="00562807">
          <w:rPr>
            <w:noProof/>
            <w:webHidden/>
          </w:rPr>
          <w:fldChar w:fldCharType="separate"/>
        </w:r>
        <w:r w:rsidR="00023728">
          <w:rPr>
            <w:noProof/>
            <w:webHidden/>
          </w:rPr>
          <w:t>11</w:t>
        </w:r>
        <w:r w:rsidR="00562807">
          <w:rPr>
            <w:noProof/>
            <w:webHidden/>
          </w:rPr>
          <w:fldChar w:fldCharType="end"/>
        </w:r>
      </w:hyperlink>
    </w:p>
    <w:p w14:paraId="79ACA038" w14:textId="5B71852B" w:rsidR="00562807" w:rsidRDefault="00000000">
      <w:pPr>
        <w:pStyle w:val="TOC2"/>
        <w:rPr>
          <w:rFonts w:asciiTheme="minorHAnsi" w:eastAsiaTheme="minorEastAsia" w:hAnsiTheme="minorHAnsi" w:cstheme="minorBidi"/>
          <w:noProof/>
          <w:kern w:val="2"/>
          <w:sz w:val="22"/>
          <w:szCs w:val="22"/>
          <w14:ligatures w14:val="standardContextual"/>
        </w:rPr>
      </w:pPr>
      <w:hyperlink w:anchor="_Toc157445271" w:history="1">
        <w:r w:rsidR="00562807" w:rsidRPr="002B4995">
          <w:rPr>
            <w:rStyle w:val="Hyperlink"/>
            <w:noProof/>
          </w:rPr>
          <w:t>Australian Electoral Commission</w:t>
        </w:r>
        <w:r w:rsidR="00562807">
          <w:rPr>
            <w:noProof/>
            <w:webHidden/>
          </w:rPr>
          <w:tab/>
        </w:r>
        <w:r w:rsidR="00562807">
          <w:rPr>
            <w:noProof/>
            <w:webHidden/>
          </w:rPr>
          <w:fldChar w:fldCharType="begin"/>
        </w:r>
        <w:r w:rsidR="00562807">
          <w:rPr>
            <w:noProof/>
            <w:webHidden/>
          </w:rPr>
          <w:instrText xml:space="preserve"> PAGEREF _Toc157445271 \h </w:instrText>
        </w:r>
        <w:r w:rsidR="00562807">
          <w:rPr>
            <w:noProof/>
            <w:webHidden/>
          </w:rPr>
        </w:r>
        <w:r w:rsidR="00562807">
          <w:rPr>
            <w:noProof/>
            <w:webHidden/>
          </w:rPr>
          <w:fldChar w:fldCharType="separate"/>
        </w:r>
        <w:r w:rsidR="00023728">
          <w:rPr>
            <w:noProof/>
            <w:webHidden/>
          </w:rPr>
          <w:t>61</w:t>
        </w:r>
        <w:r w:rsidR="00562807">
          <w:rPr>
            <w:noProof/>
            <w:webHidden/>
          </w:rPr>
          <w:fldChar w:fldCharType="end"/>
        </w:r>
      </w:hyperlink>
    </w:p>
    <w:p w14:paraId="6E8B896A" w14:textId="26BA33D7" w:rsidR="00562807" w:rsidRDefault="00000000">
      <w:pPr>
        <w:pStyle w:val="TOC2"/>
        <w:rPr>
          <w:rFonts w:asciiTheme="minorHAnsi" w:eastAsiaTheme="minorEastAsia" w:hAnsiTheme="minorHAnsi" w:cstheme="minorBidi"/>
          <w:noProof/>
          <w:kern w:val="2"/>
          <w:sz w:val="22"/>
          <w:szCs w:val="22"/>
          <w14:ligatures w14:val="standardContextual"/>
        </w:rPr>
      </w:pPr>
      <w:hyperlink w:anchor="_Toc157445272" w:history="1">
        <w:r w:rsidR="00562807" w:rsidRPr="002B4995">
          <w:rPr>
            <w:rStyle w:val="Hyperlink"/>
            <w:noProof/>
          </w:rPr>
          <w:t>Digital Transformation Agency</w:t>
        </w:r>
        <w:r w:rsidR="00562807">
          <w:rPr>
            <w:noProof/>
            <w:webHidden/>
          </w:rPr>
          <w:tab/>
        </w:r>
        <w:r w:rsidR="00562807">
          <w:rPr>
            <w:noProof/>
            <w:webHidden/>
          </w:rPr>
          <w:fldChar w:fldCharType="begin"/>
        </w:r>
        <w:r w:rsidR="00562807">
          <w:rPr>
            <w:noProof/>
            <w:webHidden/>
          </w:rPr>
          <w:instrText xml:space="preserve"> PAGEREF _Toc157445272 \h </w:instrText>
        </w:r>
        <w:r w:rsidR="00562807">
          <w:rPr>
            <w:noProof/>
            <w:webHidden/>
          </w:rPr>
        </w:r>
        <w:r w:rsidR="00562807">
          <w:rPr>
            <w:noProof/>
            <w:webHidden/>
          </w:rPr>
          <w:fldChar w:fldCharType="separate"/>
        </w:r>
        <w:r w:rsidR="00023728">
          <w:rPr>
            <w:noProof/>
            <w:webHidden/>
          </w:rPr>
          <w:t>81</w:t>
        </w:r>
        <w:r w:rsidR="00562807">
          <w:rPr>
            <w:noProof/>
            <w:webHidden/>
          </w:rPr>
          <w:fldChar w:fldCharType="end"/>
        </w:r>
      </w:hyperlink>
    </w:p>
    <w:p w14:paraId="7A23981F" w14:textId="14E450A3" w:rsidR="00562807" w:rsidRDefault="00000000">
      <w:pPr>
        <w:pStyle w:val="TOC2"/>
        <w:rPr>
          <w:rFonts w:asciiTheme="minorHAnsi" w:eastAsiaTheme="minorEastAsia" w:hAnsiTheme="minorHAnsi" w:cstheme="minorBidi"/>
          <w:noProof/>
          <w:kern w:val="2"/>
          <w:sz w:val="22"/>
          <w:szCs w:val="22"/>
          <w14:ligatures w14:val="standardContextual"/>
        </w:rPr>
      </w:pPr>
      <w:hyperlink w:anchor="_Toc157445273" w:history="1">
        <w:r w:rsidR="00562807" w:rsidRPr="002B4995">
          <w:rPr>
            <w:rStyle w:val="Hyperlink"/>
            <w:noProof/>
          </w:rPr>
          <w:t>Independent Parliamentary Expenses Authority</w:t>
        </w:r>
        <w:r w:rsidR="00562807">
          <w:rPr>
            <w:noProof/>
            <w:webHidden/>
          </w:rPr>
          <w:tab/>
        </w:r>
        <w:r w:rsidR="00562807">
          <w:rPr>
            <w:noProof/>
            <w:webHidden/>
          </w:rPr>
          <w:fldChar w:fldCharType="begin"/>
        </w:r>
        <w:r w:rsidR="00562807">
          <w:rPr>
            <w:noProof/>
            <w:webHidden/>
          </w:rPr>
          <w:instrText xml:space="preserve"> PAGEREF _Toc157445273 \h </w:instrText>
        </w:r>
        <w:r w:rsidR="00562807">
          <w:rPr>
            <w:noProof/>
            <w:webHidden/>
          </w:rPr>
        </w:r>
        <w:r w:rsidR="00562807">
          <w:rPr>
            <w:noProof/>
            <w:webHidden/>
          </w:rPr>
          <w:fldChar w:fldCharType="separate"/>
        </w:r>
        <w:r w:rsidR="00023728">
          <w:rPr>
            <w:noProof/>
            <w:webHidden/>
          </w:rPr>
          <w:t>99</w:t>
        </w:r>
        <w:r w:rsidR="00562807">
          <w:rPr>
            <w:noProof/>
            <w:webHidden/>
          </w:rPr>
          <w:fldChar w:fldCharType="end"/>
        </w:r>
      </w:hyperlink>
    </w:p>
    <w:p w14:paraId="428FDDC4" w14:textId="21496161" w:rsidR="00562807" w:rsidRDefault="00000000">
      <w:pPr>
        <w:pStyle w:val="TOC1"/>
        <w:rPr>
          <w:rFonts w:asciiTheme="minorHAnsi" w:eastAsiaTheme="minorEastAsia" w:hAnsiTheme="minorHAnsi" w:cstheme="minorBidi"/>
          <w:b w:val="0"/>
          <w:noProof/>
          <w:kern w:val="2"/>
          <w:sz w:val="22"/>
          <w:szCs w:val="22"/>
          <w14:ligatures w14:val="standardContextual"/>
        </w:rPr>
      </w:pPr>
      <w:hyperlink w:anchor="_Toc157445274" w:history="1">
        <w:r w:rsidR="00562807" w:rsidRPr="002B4995">
          <w:rPr>
            <w:rStyle w:val="Hyperlink"/>
            <w:noProof/>
          </w:rPr>
          <w:t>Portfolio glossary</w:t>
        </w:r>
        <w:r w:rsidR="00562807">
          <w:rPr>
            <w:noProof/>
            <w:webHidden/>
          </w:rPr>
          <w:tab/>
        </w:r>
        <w:r w:rsidR="00562807">
          <w:rPr>
            <w:noProof/>
            <w:webHidden/>
          </w:rPr>
          <w:fldChar w:fldCharType="begin"/>
        </w:r>
        <w:r w:rsidR="00562807">
          <w:rPr>
            <w:noProof/>
            <w:webHidden/>
          </w:rPr>
          <w:instrText xml:space="preserve"> PAGEREF _Toc157445274 \h </w:instrText>
        </w:r>
        <w:r w:rsidR="00562807">
          <w:rPr>
            <w:noProof/>
            <w:webHidden/>
          </w:rPr>
        </w:r>
        <w:r w:rsidR="00562807">
          <w:rPr>
            <w:noProof/>
            <w:webHidden/>
          </w:rPr>
          <w:fldChar w:fldCharType="separate"/>
        </w:r>
        <w:r w:rsidR="00023728">
          <w:rPr>
            <w:noProof/>
            <w:webHidden/>
          </w:rPr>
          <w:t>113</w:t>
        </w:r>
        <w:r w:rsidR="00562807">
          <w:rPr>
            <w:noProof/>
            <w:webHidden/>
          </w:rPr>
          <w:fldChar w:fldCharType="end"/>
        </w:r>
      </w:hyperlink>
    </w:p>
    <w:p w14:paraId="2CB7A01A" w14:textId="243B6F76" w:rsidR="00DB42D8" w:rsidRDefault="00DB42D8" w:rsidP="00DB42D8">
      <w:r>
        <w:rPr>
          <w:rFonts w:ascii="Arial" w:hAnsi="Arial"/>
        </w:rPr>
        <w:fldChar w:fldCharType="end"/>
      </w:r>
    </w:p>
    <w:p w14:paraId="1B85C42A" w14:textId="77777777" w:rsidR="00DB42D8" w:rsidRDefault="00DB42D8" w:rsidP="00DB42D8"/>
    <w:p w14:paraId="75C33401" w14:textId="77777777" w:rsidR="00DB42D8" w:rsidRPr="00F045E6" w:rsidRDefault="00DB42D8" w:rsidP="00DB42D8"/>
    <w:p w14:paraId="5CAF05C5" w14:textId="77777777" w:rsidR="00DB42D8" w:rsidRPr="00F045E6" w:rsidRDefault="00DB42D8" w:rsidP="00DB42D8">
      <w:pPr>
        <w:sectPr w:rsidR="00DB42D8" w:rsidRPr="00F045E6" w:rsidSect="008F07DB">
          <w:footerReference w:type="default" r:id="rId42"/>
          <w:footerReference w:type="first" r:id="rId43"/>
          <w:type w:val="oddPage"/>
          <w:pgSz w:w="11907" w:h="16840" w:code="9"/>
          <w:pgMar w:top="2835" w:right="2098" w:bottom="2466" w:left="2098" w:header="1814" w:footer="1814" w:gutter="0"/>
          <w:pgNumType w:fmt="lowerRoman"/>
          <w:cols w:space="720"/>
          <w:titlePg/>
        </w:sectPr>
      </w:pPr>
    </w:p>
    <w:p w14:paraId="417D36B3" w14:textId="77777777" w:rsidR="00DB42D8" w:rsidRPr="006E442F" w:rsidRDefault="00DB42D8" w:rsidP="00DB42D8">
      <w:pPr>
        <w:pStyle w:val="PartHeading"/>
      </w:pPr>
      <w:bookmarkStart w:id="61" w:name="_Toc157445268"/>
      <w:bookmarkEnd w:id="58"/>
      <w:bookmarkEnd w:id="59"/>
      <w:bookmarkEnd w:id="60"/>
      <w:r w:rsidRPr="006E442F">
        <w:lastRenderedPageBreak/>
        <w:t>Portfolio overview</w:t>
      </w:r>
      <w:bookmarkStart w:id="62" w:name="_Toc436626774"/>
      <w:bookmarkStart w:id="63" w:name="_Toc490972396"/>
      <w:bookmarkStart w:id="64" w:name="_Toc491014610"/>
      <w:bookmarkStart w:id="65" w:name="_Toc491014752"/>
      <w:bookmarkStart w:id="66" w:name="_Toc491014932"/>
      <w:bookmarkStart w:id="67" w:name="_Toc491015079"/>
      <w:bookmarkStart w:id="68" w:name="_Toc491029227"/>
      <w:bookmarkStart w:id="69" w:name="_Toc491030315"/>
      <w:bookmarkStart w:id="70" w:name="_Toc491030774"/>
      <w:bookmarkStart w:id="71" w:name="_Toc449255755"/>
      <w:bookmarkStart w:id="72" w:name="_Toc491031337"/>
      <w:bookmarkStart w:id="73" w:name="_Toc491031925"/>
      <w:bookmarkStart w:id="74" w:name="_Toc491032095"/>
      <w:bookmarkStart w:id="75" w:name="_Toc491032207"/>
      <w:bookmarkStart w:id="76" w:name="_Toc491032314"/>
      <w:bookmarkStart w:id="77" w:name="_Toc491771701"/>
      <w:bookmarkStart w:id="78" w:name="_Toc491773276"/>
      <w:bookmarkStart w:id="79" w:name="_Toc23559336"/>
      <w:bookmarkStart w:id="80" w:name="_Toc23559370"/>
      <w:bookmarkStart w:id="81" w:name="_Toc23559660"/>
      <w:bookmarkStart w:id="82" w:name="_Toc23560123"/>
      <w:bookmarkStart w:id="83" w:name="_Toc23563419"/>
      <w:bookmarkStart w:id="84" w:name="_Toc77998672"/>
      <w:bookmarkStart w:id="85" w:name="_Toc79399713"/>
      <w:bookmarkStart w:id="86" w:name="_Toc112211952"/>
      <w:bookmarkStart w:id="87" w:name="_Toc112212046"/>
      <w:bookmarkStart w:id="88" w:name="_Toc112137864"/>
      <w:bookmarkStart w:id="89" w:name="_Toc112224371"/>
      <w:bookmarkStart w:id="90" w:name="_Toc210646445"/>
      <w:bookmarkStart w:id="91" w:name="_Toc210698424"/>
      <w:bookmarkEnd w:id="61"/>
    </w:p>
    <w:p w14:paraId="7BA84C96" w14:textId="77777777" w:rsidR="00DB42D8" w:rsidRDefault="00DB42D8" w:rsidP="00DB42D8">
      <w:pPr>
        <w:pStyle w:val="PartHeading"/>
        <w:sectPr w:rsidR="00DB42D8" w:rsidSect="008F07DB">
          <w:headerReference w:type="even" r:id="rId44"/>
          <w:headerReference w:type="default" r:id="rId45"/>
          <w:headerReference w:type="first" r:id="rId46"/>
          <w:footerReference w:type="first" r:id="rId47"/>
          <w:type w:val="oddPage"/>
          <w:pgSz w:w="11907" w:h="16840" w:code="9"/>
          <w:pgMar w:top="2835" w:right="2098" w:bottom="2466" w:left="2098" w:header="1814" w:footer="1814" w:gutter="0"/>
          <w:pgNumType w:start="1"/>
          <w:cols w:space="708"/>
          <w:vAlign w:val="center"/>
          <w:titlePg/>
          <w:docGrid w:linePitch="360"/>
        </w:sectPr>
      </w:pPr>
    </w:p>
    <w:p w14:paraId="028F155A" w14:textId="2CD28F6F" w:rsidR="00DB42D8" w:rsidRPr="00B351A2" w:rsidRDefault="00DB42D8" w:rsidP="00DB42D8">
      <w:pPr>
        <w:pStyle w:val="Heading1-NoTOC"/>
        <w:rPr>
          <w:rFonts w:ascii="Book Antiqua" w:hAnsi="Book Antiqua"/>
        </w:rPr>
      </w:pPr>
      <w:r>
        <w:lastRenderedPageBreak/>
        <w:t>Portfolio</w:t>
      </w:r>
      <w:bookmarkEnd w:id="62"/>
      <w:r>
        <w:t xml:space="preserve"> </w:t>
      </w:r>
      <w:bookmarkStart w:id="92" w:name="_Toc436626775"/>
      <w:r>
        <w:t>overview</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6E3F100" w14:textId="1D170CE9" w:rsidR="0091131E" w:rsidRDefault="007246A7" w:rsidP="00733802">
      <w:bookmarkStart w:id="93" w:name="_Toc190682306"/>
      <w:bookmarkStart w:id="94" w:name="_Toc444523506"/>
      <w:r>
        <w:t>The following changes have occurred with the Finance Portfolio from that included in the PB</w:t>
      </w:r>
      <w:r w:rsidR="00733802">
        <w:t xml:space="preserve"> </w:t>
      </w:r>
      <w:r>
        <w:t>Statements 2023-24 (</w:t>
      </w:r>
      <w:r w:rsidR="00620AE8">
        <w:t>pages 3-5).</w:t>
      </w:r>
    </w:p>
    <w:p w14:paraId="2B6253BE" w14:textId="14C6196D" w:rsidR="008E6ED8" w:rsidRDefault="00620AE8" w:rsidP="00733802">
      <w:r>
        <w:t>On 1 July 2023, a</w:t>
      </w:r>
      <w:r w:rsidR="00CE050F">
        <w:t xml:space="preserve">s part of machinery of government changes, Digital ID </w:t>
      </w:r>
      <w:r w:rsidR="002013F8">
        <w:t xml:space="preserve">functions </w:t>
      </w:r>
      <w:r w:rsidR="00CE050F">
        <w:t xml:space="preserve">transferred from the Digital Transformation Agency </w:t>
      </w:r>
      <w:r w:rsidR="002A1D40">
        <w:t xml:space="preserve">(DTA) </w:t>
      </w:r>
      <w:r w:rsidR="00CE050F">
        <w:t>to the Department of Finance</w:t>
      </w:r>
      <w:r w:rsidR="002013F8">
        <w:t xml:space="preserve"> </w:t>
      </w:r>
      <w:r w:rsidR="002A1D40">
        <w:t>(Finance)</w:t>
      </w:r>
      <w:r w:rsidR="00CE050F">
        <w:t>.</w:t>
      </w:r>
    </w:p>
    <w:p w14:paraId="7EF92927" w14:textId="77777777" w:rsidR="00743187" w:rsidRDefault="0024335E" w:rsidP="0024335E">
      <w:pPr>
        <w:spacing w:before="120" w:after="120"/>
        <w:contextualSpacing/>
        <w:rPr>
          <w:i/>
          <w:iCs/>
        </w:rPr>
      </w:pPr>
      <w:r w:rsidRPr="0024335E">
        <w:t xml:space="preserve">On 1 October 2023, the Parliamentary Workplace Support Service (PWSS) was established as in independent statutory authority within the Finance portfolio. Finance continues to work closely with the PWSS to provide human resources and work health and safety support to parliamentarians and staff employed under the </w:t>
      </w:r>
      <w:r w:rsidRPr="0024335E">
        <w:rPr>
          <w:i/>
          <w:iCs/>
        </w:rPr>
        <w:t xml:space="preserve">Members of Parliament (Staff) </w:t>
      </w:r>
    </w:p>
    <w:p w14:paraId="7CC2859B" w14:textId="05D95E09" w:rsidR="0024335E" w:rsidRPr="0024335E" w:rsidRDefault="0024335E" w:rsidP="0024335E">
      <w:pPr>
        <w:spacing w:before="120" w:after="120"/>
        <w:contextualSpacing/>
      </w:pPr>
      <w:r w:rsidRPr="0024335E">
        <w:rPr>
          <w:i/>
          <w:iCs/>
        </w:rPr>
        <w:t>Act 1984</w:t>
      </w:r>
      <w:r w:rsidRPr="0024335E">
        <w:t xml:space="preserve">. </w:t>
      </w:r>
    </w:p>
    <w:p w14:paraId="6B559226" w14:textId="77777777" w:rsidR="0024335E" w:rsidRPr="0024335E" w:rsidRDefault="0024335E" w:rsidP="0024335E">
      <w:pPr>
        <w:spacing w:before="120" w:after="120"/>
        <w:contextualSpacing/>
      </w:pPr>
    </w:p>
    <w:p w14:paraId="4A4EF2C9" w14:textId="016B4B9F" w:rsidR="008E6ED8" w:rsidRPr="0024335E" w:rsidRDefault="00620AE8" w:rsidP="00733802">
      <w:pPr>
        <w:spacing w:before="120" w:after="120"/>
        <w:contextualSpacing/>
      </w:pPr>
      <w:r w:rsidRPr="0024335E">
        <w:t>Additional estimates are being sought for:</w:t>
      </w:r>
    </w:p>
    <w:p w14:paraId="60CAE2B5" w14:textId="4FCBBB47" w:rsidR="00620AE8" w:rsidRPr="00620AE8" w:rsidRDefault="00620AE8" w:rsidP="00503E20">
      <w:pPr>
        <w:numPr>
          <w:ilvl w:val="0"/>
          <w:numId w:val="13"/>
        </w:numPr>
        <w:spacing w:before="120" w:after="120"/>
        <w:ind w:left="426" w:hanging="284"/>
        <w:contextualSpacing/>
        <w:jc w:val="both"/>
        <w:rPr>
          <w:rFonts w:eastAsia="Calibri"/>
          <w:lang w:val="en-US" w:eastAsia="en-US"/>
        </w:rPr>
      </w:pPr>
      <w:r w:rsidRPr="0024335E">
        <w:rPr>
          <w:rFonts w:eastAsia="Calibri"/>
          <w:lang w:val="en-US" w:eastAsia="en-US"/>
        </w:rPr>
        <w:t xml:space="preserve">Department </w:t>
      </w:r>
      <w:r w:rsidRPr="00620AE8">
        <w:rPr>
          <w:rFonts w:eastAsia="Calibri"/>
          <w:lang w:val="en-US" w:eastAsia="en-US"/>
        </w:rPr>
        <w:t>of Finance</w:t>
      </w:r>
    </w:p>
    <w:p w14:paraId="5539A26F" w14:textId="435C4D98" w:rsidR="00620AE8" w:rsidRDefault="00620AE8" w:rsidP="00503E20">
      <w:pPr>
        <w:numPr>
          <w:ilvl w:val="0"/>
          <w:numId w:val="13"/>
        </w:numPr>
        <w:spacing w:before="120" w:after="120"/>
        <w:ind w:left="426" w:hanging="284"/>
        <w:contextualSpacing/>
        <w:jc w:val="both"/>
        <w:rPr>
          <w:rFonts w:eastAsia="Calibri"/>
          <w:lang w:val="en-US" w:eastAsia="en-US"/>
        </w:rPr>
      </w:pPr>
      <w:r>
        <w:rPr>
          <w:rFonts w:eastAsia="Calibri"/>
          <w:lang w:val="en-US" w:eastAsia="en-US"/>
        </w:rPr>
        <w:t>Australian Electoral Commission</w:t>
      </w:r>
    </w:p>
    <w:p w14:paraId="3FA6A1E7" w14:textId="7E3F4B9E" w:rsidR="00620AE8" w:rsidRDefault="00620AE8" w:rsidP="00503E20">
      <w:pPr>
        <w:numPr>
          <w:ilvl w:val="0"/>
          <w:numId w:val="13"/>
        </w:numPr>
        <w:spacing w:before="120" w:after="120"/>
        <w:ind w:left="426" w:hanging="284"/>
        <w:contextualSpacing/>
        <w:jc w:val="both"/>
        <w:rPr>
          <w:rFonts w:eastAsia="Calibri"/>
          <w:lang w:val="en-US" w:eastAsia="en-US"/>
        </w:rPr>
      </w:pPr>
      <w:r>
        <w:rPr>
          <w:rFonts w:eastAsia="Calibri"/>
          <w:lang w:val="en-US" w:eastAsia="en-US"/>
        </w:rPr>
        <w:t>Digital Transformation Agency</w:t>
      </w:r>
    </w:p>
    <w:p w14:paraId="7E7C6E5A" w14:textId="036F3207" w:rsidR="00620AE8" w:rsidRDefault="00620AE8" w:rsidP="00503E20">
      <w:pPr>
        <w:numPr>
          <w:ilvl w:val="0"/>
          <w:numId w:val="13"/>
        </w:numPr>
        <w:spacing w:before="120" w:after="120"/>
        <w:ind w:left="426" w:hanging="284"/>
        <w:contextualSpacing/>
        <w:jc w:val="both"/>
        <w:rPr>
          <w:rFonts w:eastAsia="Calibri"/>
          <w:lang w:val="en-US" w:eastAsia="en-US"/>
        </w:rPr>
      </w:pPr>
      <w:r>
        <w:rPr>
          <w:rFonts w:eastAsia="Calibri"/>
          <w:lang w:val="en-US" w:eastAsia="en-US"/>
        </w:rPr>
        <w:t>Independent Parliamentary Expenses Authority</w:t>
      </w:r>
    </w:p>
    <w:bookmarkEnd w:id="93"/>
    <w:bookmarkEnd w:id="94"/>
    <w:p w14:paraId="67BA94E4" w14:textId="77777777" w:rsidR="0024335E" w:rsidRPr="0024335E" w:rsidRDefault="0024335E" w:rsidP="0024335E">
      <w:pPr>
        <w:spacing w:line="240" w:lineRule="auto"/>
      </w:pPr>
      <w:r w:rsidRPr="0024335E">
        <w:t>Explanations of the additional estimates for these entities are detailed in their respective sections of the PAES.</w:t>
      </w:r>
    </w:p>
    <w:p w14:paraId="7BEEDAA6" w14:textId="77777777" w:rsidR="0024335E" w:rsidRPr="0024335E" w:rsidRDefault="0024335E" w:rsidP="0024335E">
      <w:r w:rsidRPr="0024335E">
        <w:t xml:space="preserve">Entities which are not required to prepare a PAES will report changes in their resources since the 2023-24 Budget at their next Budget update. </w:t>
      </w:r>
    </w:p>
    <w:p w14:paraId="6C529A51" w14:textId="178A51D7" w:rsidR="00DB42D8" w:rsidRPr="009B5F07" w:rsidRDefault="00DB42D8" w:rsidP="00DB42D8">
      <w:r w:rsidRPr="009B5F07">
        <w:t xml:space="preserve">A full outline of the </w:t>
      </w:r>
      <w:r w:rsidR="00023DB7">
        <w:t>Finance</w:t>
      </w:r>
      <w:r>
        <w:t xml:space="preserve"> P</w:t>
      </w:r>
      <w:r w:rsidRPr="009B5F07">
        <w:t xml:space="preserve">ortfolio </w:t>
      </w:r>
      <w:r w:rsidR="00023DB7">
        <w:t>o</w:t>
      </w:r>
      <w:r w:rsidRPr="009B5F07">
        <w:t xml:space="preserve">verview can be found in the </w:t>
      </w:r>
      <w:r>
        <w:t>2023</w:t>
      </w:r>
      <w:r w:rsidR="008F4D64">
        <w:t>–</w:t>
      </w:r>
      <w:r>
        <w:t>24</w:t>
      </w:r>
      <w:r w:rsidRPr="009B5F07">
        <w:t xml:space="preserve"> PB</w:t>
      </w:r>
      <w:r>
        <w:t> </w:t>
      </w:r>
      <w:r w:rsidRPr="009B5F07">
        <w:t>Statements</w:t>
      </w:r>
      <w:r w:rsidR="00D22C89">
        <w:t>.</w:t>
      </w:r>
    </w:p>
    <w:p w14:paraId="37F717E0" w14:textId="77777777" w:rsidR="00DB42D8" w:rsidRDefault="00DB42D8" w:rsidP="00DB42D8"/>
    <w:p w14:paraId="27D13FB8" w14:textId="1907E5B6" w:rsidR="00DB42D8" w:rsidRDefault="00DB42D8" w:rsidP="0091131E">
      <w:pPr>
        <w:pStyle w:val="FigureHeading"/>
      </w:pPr>
      <w:r>
        <w:br w:type="page"/>
      </w:r>
      <w:r>
        <w:lastRenderedPageBreak/>
        <w:t xml:space="preserve">Figure 1: </w:t>
      </w:r>
      <w:r w:rsidR="0091131E">
        <w:t xml:space="preserve">Finance </w:t>
      </w:r>
      <w:r>
        <w:t>portfolio structure and outcomes</w:t>
      </w:r>
    </w:p>
    <w:tbl>
      <w:tblPr>
        <w:tblW w:w="7786" w:type="dxa"/>
        <w:tblInd w:w="-5" w:type="dxa"/>
        <w:tblLook w:val="04A0" w:firstRow="1" w:lastRow="0" w:firstColumn="1" w:lastColumn="0" w:noHBand="0" w:noVBand="1"/>
      </w:tblPr>
      <w:tblGrid>
        <w:gridCol w:w="3892"/>
        <w:gridCol w:w="3894"/>
      </w:tblGrid>
      <w:tr w:rsidR="0091131E" w:rsidRPr="00C24520" w14:paraId="349B8297" w14:textId="77777777" w:rsidTr="00D77AF6">
        <w:trPr>
          <w:trHeight w:val="465"/>
        </w:trPr>
        <w:tc>
          <w:tcPr>
            <w:tcW w:w="7786" w:type="dxa"/>
            <w:gridSpan w:val="2"/>
            <w:tcBorders>
              <w:top w:val="single" w:sz="4" w:space="0" w:color="auto"/>
              <w:left w:val="single" w:sz="4" w:space="0" w:color="auto"/>
              <w:bottom w:val="single" w:sz="4" w:space="0" w:color="auto"/>
              <w:right w:val="single" w:sz="4" w:space="0" w:color="auto"/>
            </w:tcBorders>
            <w:shd w:val="clear" w:color="auto" w:fill="DDDDDD"/>
          </w:tcPr>
          <w:p w14:paraId="22A4F9B7" w14:textId="77777777" w:rsidR="0091131E" w:rsidRPr="00C24520" w:rsidRDefault="0091131E" w:rsidP="00E77820">
            <w:pPr>
              <w:spacing w:before="30" w:after="30" w:line="240" w:lineRule="auto"/>
              <w:jc w:val="center"/>
              <w:rPr>
                <w:rFonts w:ascii="Arial" w:eastAsia="+mn-ea" w:hAnsi="Arial" w:cs="Arial"/>
                <w:b/>
                <w:color w:val="000000"/>
                <w:sz w:val="16"/>
                <w:szCs w:val="16"/>
              </w:rPr>
            </w:pPr>
            <w:bookmarkStart w:id="95" w:name="_Hlk157087209"/>
            <w:bookmarkStart w:id="96" w:name="_Toc97433671"/>
            <w:bookmarkStart w:id="97" w:name="_Toc97433760"/>
            <w:bookmarkStart w:id="98" w:name="_Toc97433860"/>
            <w:bookmarkStart w:id="99" w:name="_Toc97434209"/>
            <w:bookmarkStart w:id="100" w:name="_Toc97528986"/>
            <w:bookmarkStart w:id="101" w:name="_Toc97529025"/>
            <w:bookmarkStart w:id="102" w:name="_Toc112224373"/>
            <w:r w:rsidRPr="00C24520">
              <w:rPr>
                <w:rFonts w:ascii="Arial" w:eastAsia="+mn-ea" w:hAnsi="Arial" w:cs="Arial"/>
                <w:b/>
                <w:color w:val="000000"/>
                <w:sz w:val="16"/>
                <w:szCs w:val="16"/>
              </w:rPr>
              <w:t>Minister for Finance</w:t>
            </w:r>
          </w:p>
          <w:p w14:paraId="2E0C9ACD" w14:textId="77777777" w:rsidR="0091131E" w:rsidRPr="00C24520" w:rsidRDefault="0091131E" w:rsidP="000D3665">
            <w:pPr>
              <w:spacing w:before="30" w:after="30" w:line="240" w:lineRule="auto"/>
              <w:ind w:firstLine="180"/>
              <w:jc w:val="center"/>
              <w:rPr>
                <w:rFonts w:ascii="Arial" w:eastAsia="+mn-ea" w:hAnsi="Arial" w:cs="Arial"/>
                <w:color w:val="000000"/>
                <w:sz w:val="16"/>
                <w:szCs w:val="16"/>
              </w:rPr>
            </w:pPr>
            <w:r w:rsidRPr="00C24520">
              <w:rPr>
                <w:rFonts w:ascii="Arial" w:eastAsia="+mn-ea" w:hAnsi="Arial" w:cs="Arial"/>
                <w:color w:val="000000"/>
                <w:sz w:val="16"/>
                <w:szCs w:val="16"/>
              </w:rPr>
              <w:t xml:space="preserve">Senator the Hon </w:t>
            </w:r>
            <w:r>
              <w:rPr>
                <w:rFonts w:ascii="Arial" w:eastAsia="+mn-ea" w:hAnsi="Arial" w:cs="Arial"/>
                <w:color w:val="000000"/>
                <w:sz w:val="16"/>
                <w:szCs w:val="16"/>
              </w:rPr>
              <w:t>Katy Gallagher</w:t>
            </w:r>
          </w:p>
        </w:tc>
      </w:tr>
      <w:tr w:rsidR="0091131E" w:rsidRPr="00C24520" w14:paraId="5EAA1C7F" w14:textId="77777777" w:rsidTr="00D77AF6">
        <w:trPr>
          <w:trHeight w:val="339"/>
        </w:trPr>
        <w:tc>
          <w:tcPr>
            <w:tcW w:w="3892" w:type="dxa"/>
            <w:tcBorders>
              <w:top w:val="single" w:sz="4" w:space="0" w:color="auto"/>
              <w:bottom w:val="single" w:sz="4" w:space="0" w:color="auto"/>
              <w:right w:val="single" w:sz="4" w:space="0" w:color="auto"/>
            </w:tcBorders>
            <w:shd w:val="clear" w:color="auto" w:fill="auto"/>
          </w:tcPr>
          <w:p w14:paraId="4CEDA5B5" w14:textId="77777777" w:rsidR="0091131E" w:rsidRPr="00C24520" w:rsidRDefault="0091131E" w:rsidP="00E77820">
            <w:pPr>
              <w:spacing w:after="0" w:line="240" w:lineRule="auto"/>
              <w:jc w:val="center"/>
              <w:rPr>
                <w:sz w:val="12"/>
                <w:szCs w:val="12"/>
              </w:rPr>
            </w:pPr>
          </w:p>
        </w:tc>
        <w:tc>
          <w:tcPr>
            <w:tcW w:w="3894" w:type="dxa"/>
            <w:tcBorders>
              <w:top w:val="single" w:sz="4" w:space="0" w:color="auto"/>
              <w:left w:val="single" w:sz="4" w:space="0" w:color="auto"/>
              <w:bottom w:val="single" w:sz="4" w:space="0" w:color="auto"/>
            </w:tcBorders>
            <w:shd w:val="clear" w:color="auto" w:fill="auto"/>
          </w:tcPr>
          <w:p w14:paraId="53FAFC33" w14:textId="77777777" w:rsidR="0091131E" w:rsidRPr="00C24520" w:rsidRDefault="0091131E" w:rsidP="00E77820">
            <w:pPr>
              <w:spacing w:after="0" w:line="240" w:lineRule="auto"/>
              <w:jc w:val="center"/>
              <w:rPr>
                <w:sz w:val="12"/>
                <w:szCs w:val="12"/>
              </w:rPr>
            </w:pPr>
          </w:p>
        </w:tc>
      </w:tr>
      <w:tr w:rsidR="0091131E" w:rsidRPr="00C24520" w14:paraId="03B03039" w14:textId="77777777" w:rsidTr="00D77AF6">
        <w:trPr>
          <w:trHeight w:val="465"/>
        </w:trPr>
        <w:tc>
          <w:tcPr>
            <w:tcW w:w="7786" w:type="dxa"/>
            <w:gridSpan w:val="2"/>
            <w:tcBorders>
              <w:top w:val="single" w:sz="4" w:space="0" w:color="auto"/>
              <w:left w:val="single" w:sz="4" w:space="0" w:color="auto"/>
              <w:bottom w:val="single" w:sz="4" w:space="0" w:color="auto"/>
              <w:right w:val="single" w:sz="4" w:space="0" w:color="auto"/>
            </w:tcBorders>
            <w:shd w:val="clear" w:color="auto" w:fill="DDDDDD"/>
          </w:tcPr>
          <w:p w14:paraId="3F142A86" w14:textId="77777777" w:rsidR="0091131E" w:rsidRPr="00C24520" w:rsidRDefault="0091131E" w:rsidP="00E77820">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Special Minister of State</w:t>
            </w:r>
            <w:r w:rsidRPr="00C24520" w:rsidDel="00C34870">
              <w:rPr>
                <w:rFonts w:ascii="Arial" w:eastAsia="+mn-ea" w:hAnsi="Arial" w:cs="Arial"/>
                <w:b/>
                <w:color w:val="000000"/>
                <w:sz w:val="16"/>
                <w:szCs w:val="16"/>
              </w:rPr>
              <w:t xml:space="preserve"> </w:t>
            </w:r>
            <w:r w:rsidRPr="00C24520">
              <w:rPr>
                <w:rFonts w:ascii="Arial" w:eastAsia="+mn-ea" w:hAnsi="Arial" w:cs="Arial"/>
                <w:b/>
                <w:color w:val="000000"/>
                <w:sz w:val="16"/>
                <w:szCs w:val="16"/>
              </w:rPr>
              <w:br/>
            </w:r>
            <w:r>
              <w:rPr>
                <w:rFonts w:ascii="Arial" w:eastAsia="+mn-ea" w:hAnsi="Arial" w:cs="Arial"/>
                <w:color w:val="000000"/>
                <w:sz w:val="16"/>
                <w:szCs w:val="16"/>
              </w:rPr>
              <w:t>Senator the Hon Don Farrell</w:t>
            </w:r>
          </w:p>
        </w:tc>
      </w:tr>
      <w:tr w:rsidR="0091131E" w:rsidRPr="00C83AED" w14:paraId="3AF3D563" w14:textId="77777777" w:rsidTr="00D77AF6">
        <w:trPr>
          <w:trHeight w:val="338"/>
        </w:trPr>
        <w:tc>
          <w:tcPr>
            <w:tcW w:w="3892" w:type="dxa"/>
            <w:tcBorders>
              <w:top w:val="single" w:sz="4" w:space="0" w:color="auto"/>
              <w:bottom w:val="single" w:sz="4" w:space="0" w:color="auto"/>
              <w:right w:val="single" w:sz="4" w:space="0" w:color="auto"/>
            </w:tcBorders>
            <w:shd w:val="clear" w:color="auto" w:fill="auto"/>
          </w:tcPr>
          <w:p w14:paraId="1936B082" w14:textId="77777777" w:rsidR="0091131E" w:rsidRPr="00C83AED" w:rsidRDefault="0091131E" w:rsidP="00E77820">
            <w:pPr>
              <w:spacing w:after="0" w:line="240" w:lineRule="auto"/>
              <w:jc w:val="center"/>
              <w:rPr>
                <w:sz w:val="12"/>
                <w:szCs w:val="12"/>
              </w:rPr>
            </w:pPr>
          </w:p>
        </w:tc>
        <w:tc>
          <w:tcPr>
            <w:tcW w:w="3894" w:type="dxa"/>
            <w:tcBorders>
              <w:top w:val="single" w:sz="4" w:space="0" w:color="auto"/>
              <w:left w:val="single" w:sz="4" w:space="0" w:color="auto"/>
              <w:bottom w:val="single" w:sz="4" w:space="0" w:color="auto"/>
            </w:tcBorders>
            <w:shd w:val="clear" w:color="auto" w:fill="auto"/>
          </w:tcPr>
          <w:p w14:paraId="621E2EBC" w14:textId="77777777" w:rsidR="0091131E" w:rsidRPr="00C83AED" w:rsidRDefault="0091131E" w:rsidP="00E77820">
            <w:pPr>
              <w:spacing w:after="0" w:line="240" w:lineRule="auto"/>
              <w:jc w:val="center"/>
              <w:rPr>
                <w:sz w:val="12"/>
                <w:szCs w:val="12"/>
              </w:rPr>
            </w:pPr>
          </w:p>
        </w:tc>
      </w:tr>
      <w:tr w:rsidR="0091131E" w:rsidRPr="00C24520" w14:paraId="1EFCCBB8" w14:textId="77777777" w:rsidTr="00D77AF6">
        <w:trPr>
          <w:trHeight w:val="823"/>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374E10CE" w14:textId="77777777" w:rsidR="0091131E" w:rsidRPr="00C24520" w:rsidRDefault="0091131E" w:rsidP="00E77820">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Department of Finance</w:t>
            </w:r>
          </w:p>
          <w:p w14:paraId="48E78082" w14:textId="77777777" w:rsidR="0091131E" w:rsidRPr="00C24520" w:rsidRDefault="0091131E" w:rsidP="00E77820">
            <w:pPr>
              <w:spacing w:before="30" w:after="30" w:line="240" w:lineRule="auto"/>
              <w:jc w:val="center"/>
              <w:rPr>
                <w:rFonts w:ascii="Arial" w:hAnsi="Arial" w:cs="Arial"/>
                <w:sz w:val="16"/>
                <w:szCs w:val="16"/>
              </w:rPr>
            </w:pPr>
            <w:r w:rsidRPr="00C24520">
              <w:rPr>
                <w:rFonts w:ascii="Arial" w:hAnsi="Arial" w:cs="Arial"/>
                <w:sz w:val="16"/>
                <w:szCs w:val="16"/>
              </w:rPr>
              <w:t xml:space="preserve">Portfolio Secretary: </w:t>
            </w:r>
            <w:r>
              <w:rPr>
                <w:rFonts w:ascii="Arial" w:hAnsi="Arial" w:cs="Arial"/>
                <w:sz w:val="16"/>
                <w:szCs w:val="16"/>
              </w:rPr>
              <w:t>Jenny Wilkinson</w:t>
            </w:r>
            <w:r w:rsidRPr="00C24520">
              <w:rPr>
                <w:rFonts w:ascii="Arial" w:hAnsi="Arial" w:cs="Arial"/>
                <w:sz w:val="16"/>
                <w:szCs w:val="16"/>
              </w:rPr>
              <w:t xml:space="preserve"> PSM</w:t>
            </w:r>
          </w:p>
          <w:p w14:paraId="7439D49D" w14:textId="77777777" w:rsidR="0091131E" w:rsidRDefault="0091131E" w:rsidP="00E77820">
            <w:pPr>
              <w:spacing w:before="30" w:afterLines="30" w:after="72" w:line="240" w:lineRule="auto"/>
              <w:rPr>
                <w:rFonts w:ascii="Arial" w:hAnsi="Arial" w:cs="Arial"/>
                <w:sz w:val="16"/>
                <w:szCs w:val="16"/>
              </w:rPr>
            </w:pPr>
            <w:r w:rsidRPr="00C24520">
              <w:rPr>
                <w:rFonts w:ascii="Arial" w:hAnsi="Arial" w:cs="Arial"/>
                <w:sz w:val="16"/>
                <w:szCs w:val="16"/>
              </w:rPr>
              <w:t>Outcome 1: Support sustainable Australian Government finances through providing high</w:t>
            </w:r>
            <w:r>
              <w:rPr>
                <w:rFonts w:ascii="Arial" w:hAnsi="Arial" w:cs="Arial"/>
                <w:sz w:val="16"/>
                <w:szCs w:val="16"/>
              </w:rPr>
              <w:t>-</w:t>
            </w:r>
            <w:r w:rsidRPr="00C24520">
              <w:rPr>
                <w:rFonts w:ascii="Arial" w:hAnsi="Arial" w:cs="Arial"/>
                <w:sz w:val="16"/>
                <w:szCs w:val="16"/>
              </w:rPr>
              <w:t>quality policy advice and operational support to the government and Commonwealth entities</w:t>
            </w:r>
            <w:r w:rsidRPr="00C24520">
              <w:rPr>
                <w:rFonts w:ascii="Arial" w:hAnsi="Arial" w:cs="Arial"/>
                <w:i/>
                <w:sz w:val="16"/>
                <w:szCs w:val="16"/>
              </w:rPr>
              <w:t xml:space="preserve"> </w:t>
            </w:r>
            <w:r w:rsidRPr="00C24520">
              <w:rPr>
                <w:rFonts w:ascii="Arial" w:hAnsi="Arial" w:cs="Arial"/>
                <w:sz w:val="16"/>
                <w:szCs w:val="16"/>
              </w:rPr>
              <w:t>to</w:t>
            </w:r>
            <w:r w:rsidRPr="00C24520">
              <w:rPr>
                <w:rFonts w:ascii="Arial" w:hAnsi="Arial" w:cs="Arial"/>
                <w:i/>
                <w:sz w:val="16"/>
                <w:szCs w:val="16"/>
              </w:rPr>
              <w:t xml:space="preserve"> </w:t>
            </w:r>
            <w:r w:rsidRPr="00C24520">
              <w:rPr>
                <w:rFonts w:ascii="Arial" w:hAnsi="Arial" w:cs="Arial"/>
                <w:sz w:val="16"/>
                <w:szCs w:val="16"/>
              </w:rPr>
              <w:t>maintain effective and efficient use of public resources.</w:t>
            </w:r>
          </w:p>
          <w:p w14:paraId="699E7F9F" w14:textId="77777777" w:rsidR="0091131E" w:rsidRPr="00C24520" w:rsidRDefault="0091131E" w:rsidP="00E77820">
            <w:pPr>
              <w:spacing w:before="30" w:afterLines="30" w:after="72" w:line="240" w:lineRule="auto"/>
              <w:rPr>
                <w:rFonts w:ascii="Arial" w:hAnsi="Arial" w:cs="Arial"/>
                <w:sz w:val="16"/>
                <w:szCs w:val="16"/>
              </w:rPr>
            </w:pPr>
            <w:r w:rsidRPr="00C24520">
              <w:rPr>
                <w:rFonts w:ascii="Arial" w:hAnsi="Arial" w:cs="Arial"/>
                <w:sz w:val="16"/>
                <w:szCs w:val="16"/>
              </w:rPr>
              <w:t>Outcome 2: Support an efficient and high-performing public sector through provid</w:t>
            </w:r>
            <w:r>
              <w:rPr>
                <w:rFonts w:ascii="Arial" w:hAnsi="Arial" w:cs="Arial"/>
                <w:sz w:val="16"/>
                <w:szCs w:val="16"/>
              </w:rPr>
              <w:t>ing leadership to</w:t>
            </w:r>
            <w:r w:rsidRPr="00C24520">
              <w:rPr>
                <w:rFonts w:ascii="Arial" w:hAnsi="Arial" w:cs="Arial"/>
                <w:sz w:val="16"/>
                <w:szCs w:val="16"/>
              </w:rPr>
              <w:t xml:space="preserve"> Commonwealth</w:t>
            </w:r>
            <w:r w:rsidRPr="00C24520">
              <w:rPr>
                <w:rFonts w:ascii="Arial" w:hAnsi="Arial" w:cs="Arial"/>
              </w:rPr>
              <w:t xml:space="preserve"> </w:t>
            </w:r>
            <w:r w:rsidRPr="00C24520">
              <w:rPr>
                <w:rFonts w:ascii="Arial" w:hAnsi="Arial" w:cs="Arial"/>
                <w:sz w:val="16"/>
                <w:szCs w:val="16"/>
              </w:rPr>
              <w:t>entities in ongoing improvements to public sector governance, including through systems, frameworks, policy, advice, and service delivery</w:t>
            </w:r>
            <w:r>
              <w:rPr>
                <w:rFonts w:ascii="Arial" w:hAnsi="Arial" w:cs="Arial"/>
                <w:sz w:val="16"/>
                <w:szCs w:val="16"/>
              </w:rPr>
              <w:t>, and managing, acquiring and divesting government investments.</w:t>
            </w:r>
          </w:p>
          <w:p w14:paraId="0092E8E2" w14:textId="77777777" w:rsidR="0091131E" w:rsidRPr="00C24520" w:rsidRDefault="0091131E" w:rsidP="00E77820">
            <w:pPr>
              <w:spacing w:before="30" w:afterLines="30" w:after="72" w:line="240" w:lineRule="auto"/>
              <w:rPr>
                <w:rFonts w:ascii="Arial" w:eastAsia="+mn-ea" w:hAnsi="Arial" w:cs="Arial"/>
                <w:color w:val="000000"/>
                <w:sz w:val="24"/>
                <w:szCs w:val="24"/>
              </w:rPr>
            </w:pPr>
            <w:r w:rsidRPr="00C24520">
              <w:rPr>
                <w:rFonts w:ascii="Arial" w:hAnsi="Arial" w:cs="Arial"/>
                <w:sz w:val="16"/>
                <w:szCs w:val="16"/>
              </w:rPr>
              <w:t>Outcome 3: Support for parliamentarians and others</w:t>
            </w:r>
            <w:r w:rsidRPr="00C24520">
              <w:rPr>
                <w:rFonts w:ascii="Arial" w:hAnsi="Arial" w:cs="Arial"/>
              </w:rPr>
              <w:t xml:space="preserve"> </w:t>
            </w:r>
            <w:r w:rsidRPr="00C24520">
              <w:rPr>
                <w:rFonts w:ascii="Arial" w:hAnsi="Arial" w:cs="Arial"/>
                <w:sz w:val="16"/>
                <w:szCs w:val="16"/>
              </w:rPr>
              <w:t>as required by the Australian Government through the delivery of, and advice on, work</w:t>
            </w:r>
            <w:r w:rsidRPr="00C24520">
              <w:rPr>
                <w:rFonts w:ascii="Arial" w:hAnsi="Arial" w:cs="Arial"/>
              </w:rPr>
              <w:t xml:space="preserve"> </w:t>
            </w:r>
            <w:r w:rsidRPr="00C24520">
              <w:rPr>
                <w:rFonts w:ascii="Arial" w:hAnsi="Arial" w:cs="Arial"/>
                <w:sz w:val="16"/>
                <w:szCs w:val="16"/>
              </w:rPr>
              <w:t>expenses and allowances</w:t>
            </w:r>
            <w:r>
              <w:rPr>
                <w:rFonts w:ascii="Arial" w:hAnsi="Arial" w:cs="Arial"/>
                <w:sz w:val="16"/>
                <w:szCs w:val="16"/>
              </w:rPr>
              <w:t>,</w:t>
            </w:r>
            <w:r w:rsidRPr="00C24520">
              <w:rPr>
                <w:rFonts w:ascii="Arial" w:hAnsi="Arial" w:cs="Arial"/>
                <w:sz w:val="16"/>
                <w:szCs w:val="16"/>
              </w:rPr>
              <w:t xml:space="preserve"> entitlements and targeted programs.</w:t>
            </w:r>
          </w:p>
        </w:tc>
      </w:tr>
      <w:tr w:rsidR="0091131E" w:rsidRPr="00C24520" w14:paraId="5FA86217" w14:textId="77777777" w:rsidTr="00D77AF6">
        <w:trPr>
          <w:trHeight w:val="338"/>
        </w:trPr>
        <w:tc>
          <w:tcPr>
            <w:tcW w:w="3892" w:type="dxa"/>
            <w:tcBorders>
              <w:top w:val="single" w:sz="4" w:space="0" w:color="auto"/>
              <w:bottom w:val="single" w:sz="4" w:space="0" w:color="auto"/>
              <w:right w:val="single" w:sz="4" w:space="0" w:color="auto"/>
            </w:tcBorders>
            <w:shd w:val="clear" w:color="auto" w:fill="auto"/>
          </w:tcPr>
          <w:p w14:paraId="63200C5D" w14:textId="77777777" w:rsidR="0091131E" w:rsidRPr="00C24520" w:rsidRDefault="0091131E" w:rsidP="00E77820">
            <w:pPr>
              <w:spacing w:after="0" w:line="240" w:lineRule="auto"/>
              <w:jc w:val="center"/>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5F872BCE" w14:textId="77777777" w:rsidR="0091131E" w:rsidRPr="00C24520" w:rsidRDefault="0091131E" w:rsidP="00E77820">
            <w:pPr>
              <w:spacing w:after="0" w:line="240" w:lineRule="auto"/>
              <w:jc w:val="center"/>
              <w:rPr>
                <w:rFonts w:ascii="Arial" w:hAnsi="Arial" w:cs="Arial"/>
                <w:sz w:val="12"/>
                <w:szCs w:val="12"/>
              </w:rPr>
            </w:pPr>
          </w:p>
        </w:tc>
      </w:tr>
      <w:tr w:rsidR="0091131E" w:rsidRPr="00C24520" w14:paraId="117F6E3B" w14:textId="77777777" w:rsidTr="00D77AF6">
        <w:trPr>
          <w:trHeight w:val="790"/>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59C7E78B" w14:textId="77777777" w:rsidR="0091131E" w:rsidRPr="00C24520" w:rsidRDefault="0091131E" w:rsidP="00E77820">
            <w:pPr>
              <w:spacing w:before="30" w:after="30" w:line="240" w:lineRule="auto"/>
              <w:jc w:val="center"/>
              <w:rPr>
                <w:rFonts w:ascii="Arial" w:hAnsi="Arial" w:cs="Arial"/>
                <w:b/>
                <w:sz w:val="16"/>
                <w:szCs w:val="16"/>
              </w:rPr>
            </w:pPr>
            <w:r w:rsidRPr="00C24520">
              <w:rPr>
                <w:rFonts w:ascii="Arial" w:hAnsi="Arial" w:cs="Arial"/>
                <w:b/>
                <w:sz w:val="16"/>
                <w:szCs w:val="16"/>
              </w:rPr>
              <w:t>Australian Electoral Commission</w:t>
            </w:r>
          </w:p>
          <w:p w14:paraId="650A9B82" w14:textId="77777777" w:rsidR="0091131E" w:rsidRPr="00C24520" w:rsidRDefault="0091131E" w:rsidP="00E77820">
            <w:pPr>
              <w:spacing w:before="30" w:after="30" w:line="240" w:lineRule="auto"/>
              <w:jc w:val="center"/>
              <w:rPr>
                <w:rFonts w:ascii="Arial" w:hAnsi="Arial" w:cs="Arial"/>
                <w:b/>
                <w:sz w:val="16"/>
                <w:szCs w:val="16"/>
              </w:rPr>
            </w:pPr>
            <w:r w:rsidRPr="00C24520">
              <w:rPr>
                <w:rFonts w:ascii="Arial" w:hAnsi="Arial" w:cs="Arial"/>
                <w:sz w:val="16"/>
                <w:szCs w:val="16"/>
              </w:rPr>
              <w:t>Electoral Commissioner: Tom Rogers</w:t>
            </w:r>
          </w:p>
          <w:p w14:paraId="62FCA629" w14:textId="77777777" w:rsidR="0091131E" w:rsidRPr="00C24520" w:rsidRDefault="0091131E" w:rsidP="00E77820">
            <w:pPr>
              <w:tabs>
                <w:tab w:val="left" w:pos="0"/>
              </w:tabs>
              <w:spacing w:before="30" w:after="30" w:line="240" w:lineRule="auto"/>
              <w:rPr>
                <w:rFonts w:ascii="Arial" w:eastAsia="+mn-ea" w:hAnsi="Arial" w:cs="Arial"/>
                <w:color w:val="000000"/>
                <w:sz w:val="24"/>
                <w:szCs w:val="24"/>
              </w:rPr>
            </w:pPr>
            <w:r w:rsidRPr="00C24520">
              <w:rPr>
                <w:rFonts w:ascii="Arial" w:hAnsi="Arial" w:cs="Arial"/>
                <w:sz w:val="16"/>
                <w:szCs w:val="16"/>
              </w:rPr>
              <w:t>Outcome 1: Maintain an impartial and independent electoral system for eligible voters through active electoral roll management, efficient delivery of polling services, and targeted education and public awareness programs.</w:t>
            </w:r>
          </w:p>
        </w:tc>
      </w:tr>
      <w:tr w:rsidR="0091131E" w:rsidRPr="00C24520" w14:paraId="72D0A5E8" w14:textId="77777777" w:rsidTr="00D77AF6">
        <w:trPr>
          <w:trHeight w:val="338"/>
        </w:trPr>
        <w:tc>
          <w:tcPr>
            <w:tcW w:w="3892" w:type="dxa"/>
            <w:tcBorders>
              <w:top w:val="single" w:sz="4" w:space="0" w:color="auto"/>
              <w:bottom w:val="single" w:sz="4" w:space="0" w:color="auto"/>
              <w:right w:val="single" w:sz="4" w:space="0" w:color="auto"/>
            </w:tcBorders>
            <w:shd w:val="clear" w:color="auto" w:fill="auto"/>
          </w:tcPr>
          <w:p w14:paraId="60B48029" w14:textId="77777777" w:rsidR="0091131E" w:rsidRPr="00C24520" w:rsidRDefault="0091131E" w:rsidP="00E77820">
            <w:pPr>
              <w:spacing w:after="0" w:line="240" w:lineRule="auto"/>
              <w:jc w:val="center"/>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07A57D9D" w14:textId="77777777" w:rsidR="0091131E" w:rsidRPr="00C24520" w:rsidRDefault="0091131E" w:rsidP="00E77820">
            <w:pPr>
              <w:spacing w:after="0" w:line="240" w:lineRule="auto"/>
              <w:jc w:val="center"/>
              <w:rPr>
                <w:rFonts w:ascii="Arial" w:hAnsi="Arial" w:cs="Arial"/>
                <w:sz w:val="12"/>
                <w:szCs w:val="12"/>
              </w:rPr>
            </w:pPr>
          </w:p>
        </w:tc>
      </w:tr>
      <w:tr w:rsidR="0091131E" w:rsidRPr="003775DA" w14:paraId="78FB413C" w14:textId="77777777" w:rsidTr="00D77AF6">
        <w:trPr>
          <w:trHeight w:val="980"/>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4979A61F" w14:textId="77777777" w:rsidR="0091131E" w:rsidRPr="00C24520" w:rsidRDefault="0091131E" w:rsidP="00E77820">
            <w:pPr>
              <w:spacing w:before="30" w:after="30" w:line="240" w:lineRule="auto"/>
              <w:jc w:val="center"/>
              <w:rPr>
                <w:rFonts w:ascii="Arial" w:hAnsi="Arial" w:cs="Arial"/>
                <w:b/>
                <w:sz w:val="16"/>
                <w:szCs w:val="16"/>
              </w:rPr>
            </w:pPr>
            <w:r w:rsidRPr="00C24520">
              <w:rPr>
                <w:rFonts w:ascii="Arial" w:hAnsi="Arial" w:cs="Arial"/>
                <w:b/>
                <w:sz w:val="16"/>
                <w:szCs w:val="16"/>
              </w:rPr>
              <w:t>Commonwealth Superannuation Corporation</w:t>
            </w:r>
          </w:p>
          <w:p w14:paraId="5AE6E261" w14:textId="77777777" w:rsidR="0091131E" w:rsidRPr="00C24520" w:rsidRDefault="0091131E" w:rsidP="00E77820">
            <w:pPr>
              <w:spacing w:before="30" w:after="30" w:line="240" w:lineRule="auto"/>
              <w:jc w:val="center"/>
              <w:rPr>
                <w:rFonts w:ascii="Arial" w:hAnsi="Arial" w:cs="Arial"/>
                <w:sz w:val="16"/>
                <w:szCs w:val="16"/>
              </w:rPr>
            </w:pPr>
            <w:r w:rsidRPr="00C24520">
              <w:rPr>
                <w:rFonts w:ascii="Arial" w:hAnsi="Arial" w:cs="Arial"/>
                <w:sz w:val="16"/>
                <w:szCs w:val="16"/>
              </w:rPr>
              <w:t>Chair: Garry Hounsell</w:t>
            </w:r>
          </w:p>
          <w:p w14:paraId="66878B63" w14:textId="77777777" w:rsidR="0091131E" w:rsidRPr="003775DA" w:rsidRDefault="0091131E" w:rsidP="00E77820">
            <w:pPr>
              <w:tabs>
                <w:tab w:val="left" w:pos="0"/>
              </w:tabs>
              <w:spacing w:before="30" w:after="30" w:line="240" w:lineRule="auto"/>
              <w:rPr>
                <w:rFonts w:ascii="Arial" w:hAnsi="Arial" w:cs="Arial"/>
                <w:color w:val="000000"/>
                <w:sz w:val="16"/>
                <w:szCs w:val="16"/>
              </w:rPr>
            </w:pPr>
            <w:r w:rsidRPr="00C24520">
              <w:rPr>
                <w:rFonts w:ascii="Arial" w:hAnsi="Arial" w:cs="Arial"/>
                <w:sz w:val="16"/>
                <w:szCs w:val="16"/>
              </w:rPr>
              <w:t>Outcome 1: Retirement and</w:t>
            </w:r>
            <w:r w:rsidRPr="00C24520">
              <w:rPr>
                <w:rFonts w:ascii="Arial" w:hAnsi="Arial" w:cs="Arial"/>
              </w:rPr>
              <w:t xml:space="preserve"> </w:t>
            </w:r>
            <w:r w:rsidRPr="00C24520">
              <w:rPr>
                <w:rFonts w:ascii="Arial" w:hAnsi="Arial" w:cs="Arial"/>
                <w:sz w:val="16"/>
                <w:szCs w:val="16"/>
              </w:rPr>
              <w:t>insurance benefits for scheme members and</w:t>
            </w:r>
            <w:r w:rsidRPr="00C24520">
              <w:rPr>
                <w:rFonts w:ascii="Arial" w:hAnsi="Arial"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c>
      </w:tr>
      <w:tr w:rsidR="0091131E" w:rsidRPr="00C24520" w14:paraId="56C52781" w14:textId="77777777" w:rsidTr="00D77AF6">
        <w:trPr>
          <w:trHeight w:val="338"/>
        </w:trPr>
        <w:tc>
          <w:tcPr>
            <w:tcW w:w="3892" w:type="dxa"/>
            <w:tcBorders>
              <w:top w:val="single" w:sz="4" w:space="0" w:color="auto"/>
              <w:bottom w:val="single" w:sz="4" w:space="0" w:color="auto"/>
              <w:right w:val="single" w:sz="4" w:space="0" w:color="auto"/>
            </w:tcBorders>
            <w:shd w:val="clear" w:color="auto" w:fill="auto"/>
          </w:tcPr>
          <w:p w14:paraId="5A0286B1" w14:textId="77777777" w:rsidR="0091131E" w:rsidRPr="00C24520" w:rsidRDefault="0091131E" w:rsidP="00E77820">
            <w:pPr>
              <w:spacing w:after="0" w:line="240" w:lineRule="auto"/>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2DF623B8" w14:textId="77777777" w:rsidR="0091131E" w:rsidRPr="00C24520" w:rsidRDefault="0091131E" w:rsidP="00E77820">
            <w:pPr>
              <w:spacing w:after="0" w:line="240" w:lineRule="auto"/>
              <w:jc w:val="center"/>
              <w:rPr>
                <w:rFonts w:ascii="Arial" w:hAnsi="Arial" w:cs="Arial"/>
                <w:sz w:val="12"/>
                <w:szCs w:val="12"/>
              </w:rPr>
            </w:pPr>
          </w:p>
        </w:tc>
      </w:tr>
      <w:tr w:rsidR="0091131E" w:rsidRPr="003775DA" w14:paraId="500CC163" w14:textId="77777777" w:rsidTr="00D77AF6">
        <w:trPr>
          <w:trHeight w:val="852"/>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64895BA6" w14:textId="77777777" w:rsidR="0091131E" w:rsidRDefault="0091131E" w:rsidP="00E77820">
            <w:pPr>
              <w:spacing w:before="30" w:after="30" w:line="240" w:lineRule="auto"/>
              <w:jc w:val="center"/>
              <w:rPr>
                <w:rFonts w:ascii="Arial" w:hAnsi="Arial" w:cs="Arial"/>
                <w:b/>
                <w:sz w:val="16"/>
                <w:szCs w:val="16"/>
              </w:rPr>
            </w:pPr>
            <w:bookmarkStart w:id="103" w:name="_Hlk157669980"/>
            <w:r w:rsidRPr="00081141">
              <w:rPr>
                <w:rFonts w:ascii="Arial" w:hAnsi="Arial" w:cs="Arial"/>
                <w:b/>
                <w:sz w:val="16"/>
                <w:szCs w:val="16"/>
              </w:rPr>
              <w:t>Digital Transformation Agency</w:t>
            </w:r>
          </w:p>
          <w:bookmarkEnd w:id="103"/>
          <w:p w14:paraId="048DDCB4" w14:textId="77777777" w:rsidR="0091131E" w:rsidRDefault="0091131E" w:rsidP="00E77820">
            <w:pPr>
              <w:spacing w:before="30" w:after="30" w:line="240" w:lineRule="auto"/>
              <w:jc w:val="center"/>
              <w:rPr>
                <w:rFonts w:ascii="Arial" w:hAnsi="Arial" w:cs="Arial"/>
                <w:sz w:val="16"/>
                <w:szCs w:val="16"/>
              </w:rPr>
            </w:pPr>
            <w:r>
              <w:rPr>
                <w:rFonts w:ascii="Arial" w:hAnsi="Arial" w:cs="Arial"/>
                <w:sz w:val="16"/>
                <w:szCs w:val="16"/>
              </w:rPr>
              <w:t>Chief Executive Officer: Chris Fechner</w:t>
            </w:r>
          </w:p>
          <w:p w14:paraId="5158A05C" w14:textId="28B7AA36" w:rsidR="0091131E" w:rsidRPr="003775DA" w:rsidRDefault="00371369" w:rsidP="00E77820">
            <w:pPr>
              <w:spacing w:before="30" w:after="30" w:line="240" w:lineRule="auto"/>
              <w:rPr>
                <w:rFonts w:ascii="Arial" w:hAnsi="Arial" w:cs="Arial"/>
                <w:sz w:val="16"/>
                <w:szCs w:val="16"/>
              </w:rPr>
            </w:pPr>
            <w:r w:rsidRPr="00371369">
              <w:rPr>
                <w:rFonts w:ascii="Arial" w:hAnsi="Arial" w:cs="Arial"/>
                <w:sz w:val="16"/>
                <w:szCs w:val="16"/>
              </w:rPr>
              <w:t xml:space="preserve">Outcome 1: </w:t>
            </w:r>
            <w:r w:rsidR="00EC17C8" w:rsidRPr="00EC17C8">
              <w:rPr>
                <w:rFonts w:ascii="Arial" w:hAnsi="Arial" w:cs="Arial"/>
                <w:sz w:val="16"/>
                <w:szCs w:val="16"/>
              </w:rPr>
              <w:t>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r w:rsidR="00EC17C8">
              <w:rPr>
                <w:rFonts w:ascii="Arial" w:hAnsi="Arial" w:cs="Arial"/>
                <w:sz w:val="16"/>
                <w:szCs w:val="16"/>
              </w:rPr>
              <w:t>.</w:t>
            </w:r>
          </w:p>
        </w:tc>
      </w:tr>
      <w:tr w:rsidR="0091131E" w:rsidRPr="00C24520" w14:paraId="20BE8ED8" w14:textId="77777777" w:rsidTr="00D77AF6">
        <w:trPr>
          <w:trHeight w:val="338"/>
        </w:trPr>
        <w:tc>
          <w:tcPr>
            <w:tcW w:w="3892" w:type="dxa"/>
            <w:tcBorders>
              <w:top w:val="single" w:sz="4" w:space="0" w:color="auto"/>
              <w:bottom w:val="single" w:sz="4" w:space="0" w:color="auto"/>
              <w:right w:val="single" w:sz="4" w:space="0" w:color="auto"/>
            </w:tcBorders>
            <w:shd w:val="clear" w:color="auto" w:fill="auto"/>
          </w:tcPr>
          <w:p w14:paraId="1463D63F" w14:textId="77777777" w:rsidR="0091131E" w:rsidRPr="00C24520" w:rsidRDefault="0091131E" w:rsidP="00E77820">
            <w:pPr>
              <w:spacing w:after="0" w:line="240" w:lineRule="auto"/>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551EFC36" w14:textId="77777777" w:rsidR="0091131E" w:rsidRPr="00C24520" w:rsidRDefault="0091131E" w:rsidP="00E77820">
            <w:pPr>
              <w:spacing w:after="0" w:line="240" w:lineRule="auto"/>
              <w:jc w:val="center"/>
              <w:rPr>
                <w:rFonts w:ascii="Arial" w:hAnsi="Arial" w:cs="Arial"/>
                <w:sz w:val="12"/>
                <w:szCs w:val="12"/>
              </w:rPr>
            </w:pPr>
          </w:p>
        </w:tc>
      </w:tr>
      <w:tr w:rsidR="0091131E" w:rsidRPr="00C24520" w14:paraId="6335FBD3" w14:textId="77777777" w:rsidTr="00D77AF6">
        <w:trPr>
          <w:trHeight w:val="790"/>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497AA52C" w14:textId="77777777" w:rsidR="0091131E" w:rsidRPr="00C24520" w:rsidRDefault="0091131E" w:rsidP="00E77820">
            <w:pPr>
              <w:spacing w:before="30" w:after="30" w:line="240" w:lineRule="auto"/>
              <w:jc w:val="center"/>
              <w:rPr>
                <w:rFonts w:ascii="Arial" w:hAnsi="Arial" w:cs="Arial"/>
                <w:b/>
                <w:sz w:val="16"/>
                <w:szCs w:val="16"/>
              </w:rPr>
            </w:pPr>
            <w:r w:rsidRPr="00C24520">
              <w:rPr>
                <w:rFonts w:ascii="Arial" w:hAnsi="Arial" w:cs="Arial"/>
                <w:b/>
                <w:sz w:val="16"/>
                <w:szCs w:val="16"/>
              </w:rPr>
              <w:t>Future Fund Management Agency</w:t>
            </w:r>
          </w:p>
          <w:p w14:paraId="011F6560" w14:textId="77777777" w:rsidR="0091131E" w:rsidRPr="00C24520" w:rsidRDefault="0091131E" w:rsidP="00E77820">
            <w:pPr>
              <w:spacing w:before="30" w:after="30" w:line="240" w:lineRule="auto"/>
              <w:jc w:val="center"/>
              <w:rPr>
                <w:rFonts w:ascii="Arial" w:hAnsi="Arial" w:cs="Arial"/>
                <w:sz w:val="16"/>
                <w:szCs w:val="16"/>
              </w:rPr>
            </w:pPr>
            <w:r w:rsidRPr="00C24520">
              <w:rPr>
                <w:rFonts w:ascii="Arial" w:hAnsi="Arial" w:cs="Arial"/>
                <w:sz w:val="16"/>
                <w:szCs w:val="16"/>
              </w:rPr>
              <w:t>Chair: Hon Peter Costello AC</w:t>
            </w:r>
          </w:p>
          <w:p w14:paraId="2C80C5EE" w14:textId="77777777" w:rsidR="0091131E" w:rsidRPr="00C24520" w:rsidRDefault="0091131E" w:rsidP="00E77820">
            <w:pPr>
              <w:tabs>
                <w:tab w:val="left" w:pos="0"/>
              </w:tabs>
              <w:spacing w:before="30" w:afterLines="30" w:after="72" w:line="240" w:lineRule="auto"/>
              <w:rPr>
                <w:rFonts w:ascii="Arial" w:eastAsia="+mn-ea" w:hAnsi="Arial" w:cs="Arial"/>
                <w:color w:val="000000"/>
                <w:sz w:val="24"/>
                <w:szCs w:val="24"/>
              </w:rPr>
            </w:pPr>
            <w:r w:rsidRPr="00C24520">
              <w:rPr>
                <w:rFonts w:ascii="Arial" w:hAnsi="Arial" w:cs="Arial"/>
                <w:sz w:val="16"/>
                <w:szCs w:val="16"/>
              </w:rPr>
              <w:t>Outcome 1: Strengthen the Commonwealth’s financial position for the benefit of the Australian people, by managing the investment activities of the Future Fund and certain other Australian Government Investment Funds in line with their Investment Mandates</w:t>
            </w:r>
            <w:r w:rsidRPr="00C24520">
              <w:rPr>
                <w:rFonts w:ascii="Arial" w:hAnsi="Arial" w:cs="Arial"/>
                <w:b/>
                <w:sz w:val="16"/>
                <w:szCs w:val="16"/>
              </w:rPr>
              <w:t>.</w:t>
            </w:r>
          </w:p>
        </w:tc>
      </w:tr>
    </w:tbl>
    <w:bookmarkEnd w:id="95"/>
    <w:p w14:paraId="3EDFE64B" w14:textId="69DE7006" w:rsidR="00182E22" w:rsidRPr="00182E22" w:rsidRDefault="00182E22" w:rsidP="000D3665">
      <w:pPr>
        <w:pStyle w:val="ChartGraphic"/>
        <w:spacing w:before="30"/>
        <w:ind w:left="-284" w:firstLine="284"/>
        <w:jc w:val="left"/>
        <w:rPr>
          <w:sz w:val="16"/>
          <w:szCs w:val="16"/>
        </w:rPr>
      </w:pPr>
      <w:r w:rsidRPr="00182E22">
        <w:rPr>
          <w:sz w:val="16"/>
          <w:szCs w:val="16"/>
        </w:rPr>
        <w:t>Table continues on next page</w:t>
      </w:r>
    </w:p>
    <w:p w14:paraId="3807E59E" w14:textId="13BC65D9" w:rsidR="00D81F65" w:rsidRDefault="00D81F65">
      <w:pPr>
        <w:spacing w:before="0" w:after="0" w:line="240" w:lineRule="auto"/>
      </w:pPr>
      <w:r>
        <w:br w:type="page"/>
      </w:r>
    </w:p>
    <w:p w14:paraId="182FD701" w14:textId="77777777" w:rsidR="00D81F65" w:rsidRDefault="00D81F65" w:rsidP="00D81F65">
      <w:pPr>
        <w:pStyle w:val="BodyText"/>
        <w:rPr>
          <w:rFonts w:ascii="Arial" w:hAnsi="Arial" w:cs="Arial"/>
          <w:b/>
        </w:rPr>
      </w:pPr>
      <w:r w:rsidRPr="00B93C7D">
        <w:rPr>
          <w:rFonts w:ascii="Arial" w:hAnsi="Arial" w:cs="Arial"/>
          <w:b/>
        </w:rPr>
        <w:lastRenderedPageBreak/>
        <w:t>Figure 1: Finance portfolio structure and outcomes (continued)</w:t>
      </w:r>
    </w:p>
    <w:tbl>
      <w:tblPr>
        <w:tblW w:w="7820" w:type="dxa"/>
        <w:tblInd w:w="-5" w:type="dxa"/>
        <w:tblLook w:val="04A0" w:firstRow="1" w:lastRow="0" w:firstColumn="1" w:lastColumn="0" w:noHBand="0" w:noVBand="1"/>
      </w:tblPr>
      <w:tblGrid>
        <w:gridCol w:w="3908"/>
        <w:gridCol w:w="3912"/>
      </w:tblGrid>
      <w:tr w:rsidR="00D81F65" w:rsidRPr="00B93C7D" w14:paraId="2D8537C8" w14:textId="77777777" w:rsidTr="00D77AF6">
        <w:trPr>
          <w:trHeight w:val="728"/>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7E57FF2D" w14:textId="77777777" w:rsidR="00D81F65" w:rsidRPr="00B93C7D" w:rsidRDefault="00D81F65" w:rsidP="00E77820">
            <w:pPr>
              <w:spacing w:before="30" w:after="30" w:line="240" w:lineRule="auto"/>
              <w:jc w:val="center"/>
              <w:rPr>
                <w:rFonts w:ascii="Arial" w:hAnsi="Arial" w:cs="Arial"/>
                <w:b/>
                <w:bCs/>
                <w:sz w:val="16"/>
                <w:szCs w:val="16"/>
              </w:rPr>
            </w:pPr>
            <w:r w:rsidRPr="00B93C7D">
              <w:rPr>
                <w:rFonts w:ascii="Arial" w:hAnsi="Arial" w:cs="Arial"/>
                <w:b/>
                <w:bCs/>
                <w:sz w:val="16"/>
                <w:szCs w:val="16"/>
              </w:rPr>
              <w:t>Independent Parliamentary Expenses Authority</w:t>
            </w:r>
          </w:p>
          <w:p w14:paraId="10E55BEF" w14:textId="77777777" w:rsidR="00D81F65" w:rsidRPr="00324BAE" w:rsidRDefault="00D81F65" w:rsidP="00E77820">
            <w:pPr>
              <w:spacing w:before="30" w:after="30" w:line="240" w:lineRule="auto"/>
              <w:jc w:val="center"/>
              <w:rPr>
                <w:rFonts w:ascii="Arial" w:hAnsi="Arial" w:cs="Arial"/>
                <w:sz w:val="16"/>
                <w:szCs w:val="16"/>
              </w:rPr>
            </w:pPr>
            <w:r w:rsidRPr="00324BAE">
              <w:rPr>
                <w:rFonts w:ascii="Arial" w:hAnsi="Arial" w:cs="Arial"/>
                <w:sz w:val="16"/>
                <w:szCs w:val="16"/>
              </w:rPr>
              <w:t>Chief Executive Officer: Annwyn Godwin</w:t>
            </w:r>
          </w:p>
          <w:p w14:paraId="4A049998" w14:textId="4B92B6C6" w:rsidR="00D81F65" w:rsidRPr="00324BAE" w:rsidRDefault="00D81F65" w:rsidP="00110B9B">
            <w:pPr>
              <w:spacing w:before="30" w:after="30" w:line="240" w:lineRule="auto"/>
              <w:rPr>
                <w:rFonts w:ascii="Arial" w:hAnsi="Arial" w:cs="Arial"/>
                <w:b/>
                <w:bCs/>
                <w:sz w:val="16"/>
                <w:szCs w:val="16"/>
              </w:rPr>
            </w:pPr>
            <w:r w:rsidRPr="00324BAE">
              <w:rPr>
                <w:rFonts w:ascii="Arial" w:hAnsi="Arial" w:cs="Arial"/>
                <w:sz w:val="16"/>
                <w:szCs w:val="16"/>
              </w:rPr>
              <w:t xml:space="preserve">Outcome 1: </w:t>
            </w:r>
            <w:r w:rsidR="00B043C9" w:rsidRPr="00B043C9">
              <w:rPr>
                <w:rFonts w:ascii="Arial" w:hAnsi="Arial" w:cs="Arial"/>
                <w:sz w:val="16"/>
                <w:szCs w:val="16"/>
              </w:rPr>
              <w:t>Support for current and former Parliamentarians and others as required by the Australian Government through the delivery of, independent oversight and advice on, work resources and travel resources</w:t>
            </w:r>
            <w:r w:rsidR="00D22C89">
              <w:rPr>
                <w:rFonts w:ascii="Arial" w:hAnsi="Arial" w:cs="Arial"/>
                <w:sz w:val="16"/>
                <w:szCs w:val="16"/>
              </w:rPr>
              <w:t>.</w:t>
            </w:r>
          </w:p>
        </w:tc>
      </w:tr>
      <w:tr w:rsidR="00D81F65" w:rsidRPr="00B93C7D" w14:paraId="5A3B368E" w14:textId="77777777" w:rsidTr="00D77AF6">
        <w:trPr>
          <w:trHeight w:val="341"/>
        </w:trPr>
        <w:tc>
          <w:tcPr>
            <w:tcW w:w="3908" w:type="dxa"/>
            <w:tcBorders>
              <w:top w:val="single" w:sz="4" w:space="0" w:color="auto"/>
              <w:bottom w:val="single" w:sz="4" w:space="0" w:color="auto"/>
              <w:right w:val="single" w:sz="4" w:space="0" w:color="auto"/>
            </w:tcBorders>
            <w:shd w:val="clear" w:color="auto" w:fill="auto"/>
          </w:tcPr>
          <w:p w14:paraId="6AB9CC25" w14:textId="77777777" w:rsidR="00D81F65" w:rsidRPr="00B93C7D" w:rsidRDefault="00D81F65" w:rsidP="00E77820">
            <w:pPr>
              <w:spacing w:before="30" w:after="30" w:line="240" w:lineRule="auto"/>
              <w:jc w:val="center"/>
              <w:rPr>
                <w:rFonts w:ascii="Arial" w:hAnsi="Arial" w:cs="Arial"/>
                <w:sz w:val="12"/>
                <w:szCs w:val="12"/>
              </w:rPr>
            </w:pPr>
          </w:p>
        </w:tc>
        <w:tc>
          <w:tcPr>
            <w:tcW w:w="3911" w:type="dxa"/>
            <w:tcBorders>
              <w:top w:val="single" w:sz="4" w:space="0" w:color="auto"/>
              <w:left w:val="single" w:sz="4" w:space="0" w:color="auto"/>
              <w:bottom w:val="single" w:sz="4" w:space="0" w:color="auto"/>
            </w:tcBorders>
            <w:shd w:val="clear" w:color="auto" w:fill="auto"/>
          </w:tcPr>
          <w:p w14:paraId="74D99522" w14:textId="77777777" w:rsidR="00D81F65" w:rsidRPr="00B93C7D" w:rsidRDefault="00D81F65" w:rsidP="00E77820">
            <w:pPr>
              <w:spacing w:after="0" w:line="240" w:lineRule="auto"/>
              <w:jc w:val="center"/>
              <w:rPr>
                <w:rFonts w:ascii="Arial" w:hAnsi="Arial" w:cs="Arial"/>
                <w:sz w:val="12"/>
                <w:szCs w:val="12"/>
              </w:rPr>
            </w:pPr>
          </w:p>
        </w:tc>
      </w:tr>
      <w:tr w:rsidR="00D81F65" w:rsidRPr="00B93C7D" w14:paraId="61C11712" w14:textId="77777777" w:rsidTr="00D77AF6">
        <w:trPr>
          <w:trHeight w:val="728"/>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2CA8D382" w14:textId="77777777" w:rsidR="00D81F65" w:rsidRDefault="00D81F65" w:rsidP="00E77820">
            <w:pPr>
              <w:spacing w:before="30" w:after="30" w:line="240" w:lineRule="auto"/>
              <w:jc w:val="center"/>
              <w:rPr>
                <w:rFonts w:ascii="Arial" w:hAnsi="Arial" w:cs="Arial"/>
                <w:b/>
                <w:bCs/>
                <w:sz w:val="16"/>
                <w:szCs w:val="16"/>
              </w:rPr>
            </w:pPr>
            <w:bookmarkStart w:id="104" w:name="_Hlk157670018"/>
            <w:r>
              <w:rPr>
                <w:rFonts w:ascii="Arial" w:hAnsi="Arial" w:cs="Arial"/>
                <w:b/>
                <w:bCs/>
                <w:sz w:val="16"/>
                <w:szCs w:val="16"/>
              </w:rPr>
              <w:t>Parliamentary Workplace Support Service</w:t>
            </w:r>
            <w:bookmarkEnd w:id="104"/>
            <w:r>
              <w:rPr>
                <w:rFonts w:ascii="Arial" w:hAnsi="Arial" w:cs="Arial"/>
                <w:b/>
                <w:bCs/>
                <w:sz w:val="16"/>
                <w:szCs w:val="16"/>
              </w:rPr>
              <w:t>*</w:t>
            </w:r>
          </w:p>
          <w:p w14:paraId="63C6E79C" w14:textId="77777777" w:rsidR="00D81F65" w:rsidRPr="00B93C7D" w:rsidRDefault="00D81F65" w:rsidP="00E77820">
            <w:pPr>
              <w:spacing w:before="30" w:after="30" w:line="240" w:lineRule="auto"/>
              <w:jc w:val="center"/>
              <w:rPr>
                <w:rFonts w:ascii="Arial" w:hAnsi="Arial" w:cs="Arial"/>
                <w:sz w:val="16"/>
                <w:szCs w:val="16"/>
              </w:rPr>
            </w:pPr>
            <w:r>
              <w:rPr>
                <w:rFonts w:ascii="Arial" w:hAnsi="Arial" w:cs="Arial"/>
                <w:sz w:val="16"/>
                <w:szCs w:val="16"/>
              </w:rPr>
              <w:t xml:space="preserve">Acting </w:t>
            </w:r>
            <w:r w:rsidRPr="00B93C7D">
              <w:rPr>
                <w:rFonts w:ascii="Arial" w:hAnsi="Arial" w:cs="Arial"/>
                <w:sz w:val="16"/>
                <w:szCs w:val="16"/>
              </w:rPr>
              <w:t xml:space="preserve">Chief Executive Officer: </w:t>
            </w:r>
            <w:r>
              <w:rPr>
                <w:rFonts w:ascii="Arial" w:hAnsi="Arial" w:cs="Arial"/>
                <w:sz w:val="16"/>
                <w:szCs w:val="16"/>
              </w:rPr>
              <w:t>Michelle Wicks</w:t>
            </w:r>
          </w:p>
          <w:p w14:paraId="60B02D27" w14:textId="4CB298B9" w:rsidR="00D81F65" w:rsidRPr="00B93C7D" w:rsidRDefault="00D81F65" w:rsidP="00D81F65">
            <w:pPr>
              <w:tabs>
                <w:tab w:val="left" w:pos="0"/>
              </w:tabs>
              <w:spacing w:before="30" w:after="30" w:line="240" w:lineRule="auto"/>
              <w:rPr>
                <w:rFonts w:ascii="Arial" w:eastAsia="+mn-ea" w:hAnsi="Arial" w:cs="Arial"/>
                <w:color w:val="000000"/>
                <w:sz w:val="24"/>
                <w:szCs w:val="24"/>
              </w:rPr>
            </w:pPr>
            <w:r w:rsidRPr="00B93C7D">
              <w:rPr>
                <w:rFonts w:ascii="Arial" w:hAnsi="Arial" w:cs="Arial"/>
                <w:bCs/>
                <w:sz w:val="16"/>
                <w:szCs w:val="16"/>
              </w:rPr>
              <w:t xml:space="preserve">Outcome 1: </w:t>
            </w:r>
            <w:r w:rsidRPr="00D81F65">
              <w:rPr>
                <w:rFonts w:ascii="Arial" w:hAnsi="Arial" w:cs="Arial"/>
                <w:bCs/>
                <w:sz w:val="16"/>
                <w:szCs w:val="16"/>
              </w:rPr>
              <w:t>Support Commonwealth parliamentary workplace participants to build and maintain safe and respectful workplaces, including by supporting positive cultural change and providing human resource functions to parliamentarians and their staff</w:t>
            </w:r>
            <w:r w:rsidR="009F5CC2">
              <w:rPr>
                <w:rFonts w:ascii="Arial" w:hAnsi="Arial" w:cs="Arial"/>
                <w:bCs/>
                <w:sz w:val="16"/>
                <w:szCs w:val="16"/>
              </w:rPr>
              <w:t>.</w:t>
            </w:r>
          </w:p>
        </w:tc>
      </w:tr>
      <w:tr w:rsidR="00D81F65" w:rsidRPr="00B93C7D" w14:paraId="4D307349" w14:textId="77777777" w:rsidTr="00D77AF6">
        <w:trPr>
          <w:trHeight w:val="341"/>
        </w:trPr>
        <w:tc>
          <w:tcPr>
            <w:tcW w:w="3908" w:type="dxa"/>
            <w:tcBorders>
              <w:top w:val="single" w:sz="4" w:space="0" w:color="auto"/>
              <w:bottom w:val="single" w:sz="4" w:space="0" w:color="auto"/>
              <w:right w:val="single" w:sz="4" w:space="0" w:color="auto"/>
            </w:tcBorders>
            <w:shd w:val="clear" w:color="auto" w:fill="auto"/>
          </w:tcPr>
          <w:p w14:paraId="479EE894" w14:textId="14BA2790" w:rsidR="00D81F65" w:rsidRPr="00780F2D" w:rsidRDefault="00E37F17" w:rsidP="00E37F17">
            <w:pPr>
              <w:pStyle w:val="ListParagraph"/>
              <w:spacing w:before="30" w:after="30" w:line="240" w:lineRule="auto"/>
              <w:ind w:left="786"/>
              <w:jc w:val="center"/>
              <w:rPr>
                <w:rFonts w:ascii="Arial" w:hAnsi="Arial" w:cs="Arial"/>
                <w:sz w:val="12"/>
                <w:szCs w:val="12"/>
              </w:rPr>
            </w:pPr>
            <w:r>
              <w:rPr>
                <w:rFonts w:ascii="Arial" w:hAnsi="Arial" w:cs="Arial"/>
                <w:sz w:val="12"/>
                <w:szCs w:val="12"/>
              </w:rPr>
              <w:t xml:space="preserve">* </w:t>
            </w:r>
            <w:r w:rsidR="00D81F65">
              <w:rPr>
                <w:rFonts w:ascii="Arial" w:hAnsi="Arial" w:cs="Arial"/>
                <w:sz w:val="12"/>
                <w:szCs w:val="12"/>
              </w:rPr>
              <w:t>Established with effect from 1 October 2023</w:t>
            </w:r>
          </w:p>
        </w:tc>
        <w:tc>
          <w:tcPr>
            <w:tcW w:w="3911" w:type="dxa"/>
            <w:tcBorders>
              <w:top w:val="single" w:sz="4" w:space="0" w:color="auto"/>
              <w:left w:val="single" w:sz="4" w:space="0" w:color="auto"/>
              <w:bottom w:val="single" w:sz="4" w:space="0" w:color="auto"/>
            </w:tcBorders>
            <w:shd w:val="clear" w:color="auto" w:fill="auto"/>
          </w:tcPr>
          <w:p w14:paraId="364D43D8" w14:textId="77777777" w:rsidR="00D81F65" w:rsidRPr="00B93C7D" w:rsidRDefault="00D81F65" w:rsidP="00E77820">
            <w:pPr>
              <w:spacing w:after="0" w:line="240" w:lineRule="auto"/>
              <w:jc w:val="center"/>
              <w:rPr>
                <w:rFonts w:ascii="Arial" w:hAnsi="Arial" w:cs="Arial"/>
                <w:sz w:val="12"/>
                <w:szCs w:val="12"/>
              </w:rPr>
            </w:pPr>
          </w:p>
        </w:tc>
      </w:tr>
      <w:tr w:rsidR="00D81F65" w:rsidRPr="00B93C7D" w14:paraId="50BEAEA5" w14:textId="77777777" w:rsidTr="00D77AF6">
        <w:trPr>
          <w:trHeight w:val="1421"/>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56C38BBD" w14:textId="77777777" w:rsidR="00D81F65" w:rsidRPr="00B93C7D" w:rsidRDefault="00D81F65" w:rsidP="00E77820">
            <w:pPr>
              <w:tabs>
                <w:tab w:val="left" w:pos="1080"/>
              </w:tabs>
              <w:spacing w:before="30" w:after="30" w:line="240" w:lineRule="auto"/>
              <w:jc w:val="center"/>
              <w:rPr>
                <w:rFonts w:ascii="Arial" w:hAnsi="Arial" w:cs="Arial"/>
                <w:b/>
                <w:color w:val="000000"/>
                <w:sz w:val="16"/>
                <w:szCs w:val="16"/>
              </w:rPr>
            </w:pPr>
            <w:r w:rsidRPr="00B93C7D">
              <w:rPr>
                <w:rFonts w:ascii="Arial" w:hAnsi="Arial" w:cs="Arial"/>
                <w:b/>
                <w:color w:val="000000"/>
                <w:sz w:val="16"/>
                <w:szCs w:val="16"/>
              </w:rPr>
              <w:t>ASC Pty Ltd</w:t>
            </w:r>
          </w:p>
          <w:p w14:paraId="26D4B1CC" w14:textId="77777777" w:rsidR="00D81F65" w:rsidRPr="00B93C7D" w:rsidRDefault="00D81F65" w:rsidP="00E77820">
            <w:pPr>
              <w:spacing w:before="30" w:after="30" w:line="240" w:lineRule="auto"/>
              <w:jc w:val="center"/>
              <w:rPr>
                <w:rFonts w:ascii="Arial" w:hAnsi="Arial" w:cs="Arial"/>
                <w:color w:val="000000"/>
                <w:sz w:val="16"/>
                <w:szCs w:val="16"/>
              </w:rPr>
            </w:pPr>
            <w:r w:rsidRPr="00B93C7D">
              <w:rPr>
                <w:rFonts w:ascii="Arial" w:hAnsi="Arial" w:cs="Arial"/>
                <w:position w:val="4"/>
                <w:sz w:val="16"/>
                <w:szCs w:val="16"/>
              </w:rPr>
              <w:t>Chair: Bruce Carter</w:t>
            </w:r>
          </w:p>
          <w:p w14:paraId="48B5944F" w14:textId="77777777" w:rsidR="00D81F65" w:rsidRPr="00B93C7D" w:rsidRDefault="00D81F65" w:rsidP="00E77820">
            <w:pPr>
              <w:tabs>
                <w:tab w:val="left" w:pos="0"/>
              </w:tabs>
              <w:spacing w:before="30" w:after="30" w:line="240" w:lineRule="auto"/>
              <w:ind w:hanging="31"/>
              <w:rPr>
                <w:rFonts w:ascii="Arial" w:hAnsi="Arial" w:cs="Arial"/>
                <w:color w:val="000000"/>
                <w:sz w:val="16"/>
                <w:szCs w:val="16"/>
              </w:rPr>
            </w:pPr>
            <w:r w:rsidRPr="00B93C7D">
              <w:rPr>
                <w:rFonts w:ascii="Arial" w:hAnsi="Arial" w:cs="Arial"/>
                <w:color w:val="000000"/>
                <w:sz w:val="16"/>
                <w:szCs w:val="16"/>
              </w:rPr>
              <w:t>Purpose: The objectives of the company, as set out in the Government’s Statement of Expectation to ASC are:</w:t>
            </w:r>
          </w:p>
          <w:p w14:paraId="79077330" w14:textId="77777777" w:rsidR="00D81F65" w:rsidRPr="00B93C7D" w:rsidRDefault="00D81F65" w:rsidP="00503E20">
            <w:pPr>
              <w:keepNext/>
              <w:numPr>
                <w:ilvl w:val="0"/>
                <w:numId w:val="14"/>
              </w:numPr>
              <w:spacing w:before="30" w:after="30" w:line="240" w:lineRule="auto"/>
              <w:rPr>
                <w:rFonts w:ascii="Arial" w:eastAsia="+mn-ea" w:hAnsi="Arial" w:cs="Arial"/>
                <w:color w:val="000000"/>
                <w:sz w:val="16"/>
                <w:szCs w:val="16"/>
              </w:rPr>
            </w:pPr>
            <w:r w:rsidRPr="00B93C7D">
              <w:rPr>
                <w:rFonts w:ascii="Arial" w:hAnsi="Arial" w:cs="Arial"/>
                <w:sz w:val="16"/>
                <w:szCs w:val="16"/>
              </w:rPr>
              <w:t>to enhance and maintain the Australian Defence Force’s maritime capabilities</w:t>
            </w:r>
          </w:p>
          <w:p w14:paraId="2DDAE622" w14:textId="77777777" w:rsidR="00D81F65" w:rsidRPr="00B93C7D" w:rsidRDefault="00D81F65" w:rsidP="00503E20">
            <w:pPr>
              <w:keepNext/>
              <w:numPr>
                <w:ilvl w:val="0"/>
                <w:numId w:val="14"/>
              </w:numPr>
              <w:spacing w:before="30" w:after="30" w:line="240" w:lineRule="auto"/>
              <w:rPr>
                <w:rFonts w:ascii="Arial" w:eastAsia="+mn-ea" w:hAnsi="Arial" w:cs="Arial"/>
                <w:color w:val="000000"/>
                <w:sz w:val="16"/>
                <w:szCs w:val="16"/>
              </w:rPr>
            </w:pPr>
            <w:r w:rsidRPr="00B93C7D">
              <w:rPr>
                <w:rFonts w:ascii="Arial" w:hAnsi="Arial" w:cs="Arial"/>
                <w:sz w:val="16"/>
                <w:szCs w:val="16"/>
              </w:rPr>
              <w:t>support Australian Government policies in relation to the Australian naval shipbuilding and repair industry and submarine sustainment and construction industry</w:t>
            </w:r>
          </w:p>
          <w:p w14:paraId="41BB7D32" w14:textId="77777777" w:rsidR="00D81F65" w:rsidRPr="00B93C7D" w:rsidRDefault="00D81F65" w:rsidP="00503E20">
            <w:pPr>
              <w:keepNext/>
              <w:numPr>
                <w:ilvl w:val="0"/>
                <w:numId w:val="14"/>
              </w:numPr>
              <w:spacing w:before="30" w:after="30" w:line="240" w:lineRule="auto"/>
              <w:rPr>
                <w:rFonts w:ascii="Arial" w:eastAsia="+mn-ea" w:hAnsi="Arial" w:cs="Arial"/>
                <w:color w:val="000000"/>
                <w:sz w:val="24"/>
                <w:szCs w:val="24"/>
              </w:rPr>
            </w:pPr>
            <w:r w:rsidRPr="00B93C7D">
              <w:rPr>
                <w:rFonts w:ascii="Arial" w:hAnsi="Arial" w:cs="Arial"/>
                <w:sz w:val="16"/>
                <w:szCs w:val="16"/>
              </w:rPr>
              <w:t>continue to be Australia’s source of sovereign submarine industrial expertise and a key contributor to the broader naval shipbuilding enterprise.</w:t>
            </w:r>
          </w:p>
        </w:tc>
      </w:tr>
      <w:tr w:rsidR="00D81F65" w:rsidRPr="00B93C7D" w14:paraId="687A06F1" w14:textId="77777777" w:rsidTr="00D77AF6">
        <w:trPr>
          <w:trHeight w:val="358"/>
        </w:trPr>
        <w:tc>
          <w:tcPr>
            <w:tcW w:w="3908" w:type="dxa"/>
            <w:tcBorders>
              <w:top w:val="single" w:sz="4" w:space="0" w:color="auto"/>
              <w:bottom w:val="single" w:sz="4" w:space="0" w:color="auto"/>
              <w:right w:val="single" w:sz="4" w:space="0" w:color="auto"/>
            </w:tcBorders>
            <w:shd w:val="clear" w:color="auto" w:fill="auto"/>
          </w:tcPr>
          <w:p w14:paraId="3E3ED4B8" w14:textId="77777777" w:rsidR="00D81F65" w:rsidRPr="00B93C7D" w:rsidRDefault="00D81F65" w:rsidP="00E77820">
            <w:pPr>
              <w:spacing w:after="0" w:line="240" w:lineRule="auto"/>
              <w:jc w:val="center"/>
              <w:rPr>
                <w:rFonts w:ascii="Arial" w:hAnsi="Arial" w:cs="Arial"/>
                <w:sz w:val="12"/>
                <w:szCs w:val="12"/>
              </w:rPr>
            </w:pPr>
          </w:p>
        </w:tc>
        <w:tc>
          <w:tcPr>
            <w:tcW w:w="3911" w:type="dxa"/>
            <w:tcBorders>
              <w:top w:val="single" w:sz="4" w:space="0" w:color="auto"/>
              <w:left w:val="single" w:sz="4" w:space="0" w:color="auto"/>
              <w:bottom w:val="single" w:sz="4" w:space="0" w:color="auto"/>
            </w:tcBorders>
            <w:shd w:val="clear" w:color="auto" w:fill="auto"/>
          </w:tcPr>
          <w:p w14:paraId="0B737C73" w14:textId="77777777" w:rsidR="00D81F65" w:rsidRPr="00B93C7D" w:rsidRDefault="00D81F65" w:rsidP="00E77820">
            <w:pPr>
              <w:spacing w:after="0" w:line="240" w:lineRule="auto"/>
              <w:jc w:val="center"/>
              <w:rPr>
                <w:rFonts w:ascii="Arial" w:hAnsi="Arial" w:cs="Arial"/>
                <w:sz w:val="12"/>
                <w:szCs w:val="12"/>
              </w:rPr>
            </w:pPr>
          </w:p>
        </w:tc>
      </w:tr>
      <w:tr w:rsidR="00D81F65" w:rsidRPr="00B93C7D" w14:paraId="514B79B0" w14:textId="77777777" w:rsidTr="00D77AF6">
        <w:trPr>
          <w:trHeight w:val="1604"/>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2C692A1D" w14:textId="77777777" w:rsidR="00D81F65" w:rsidRPr="00B93C7D" w:rsidRDefault="00D81F65" w:rsidP="00E77820">
            <w:pPr>
              <w:spacing w:before="30" w:after="30" w:line="240" w:lineRule="auto"/>
              <w:jc w:val="center"/>
              <w:rPr>
                <w:rFonts w:ascii="Arial" w:hAnsi="Arial" w:cs="Arial"/>
                <w:b/>
                <w:bCs/>
                <w:position w:val="4"/>
                <w:sz w:val="16"/>
                <w:szCs w:val="16"/>
              </w:rPr>
            </w:pPr>
            <w:r w:rsidRPr="00B93C7D">
              <w:rPr>
                <w:rFonts w:ascii="Arial" w:hAnsi="Arial" w:cs="Arial"/>
                <w:b/>
                <w:bCs/>
                <w:position w:val="4"/>
                <w:sz w:val="16"/>
                <w:szCs w:val="16"/>
              </w:rPr>
              <w:t>Australian Naval Infrastructure Pty Ltd</w:t>
            </w:r>
          </w:p>
          <w:p w14:paraId="598156DA" w14:textId="77777777" w:rsidR="00D81F65" w:rsidRPr="00B93C7D" w:rsidRDefault="00D81F65" w:rsidP="00E77820">
            <w:pPr>
              <w:spacing w:before="30" w:after="30" w:line="240" w:lineRule="auto"/>
              <w:jc w:val="center"/>
              <w:rPr>
                <w:rFonts w:ascii="Arial" w:hAnsi="Arial" w:cs="Arial"/>
                <w:position w:val="4"/>
                <w:sz w:val="16"/>
                <w:szCs w:val="16"/>
              </w:rPr>
            </w:pPr>
            <w:r w:rsidRPr="00B93C7D">
              <w:rPr>
                <w:rFonts w:ascii="Arial" w:hAnsi="Arial" w:cs="Arial"/>
                <w:position w:val="4"/>
                <w:sz w:val="16"/>
                <w:szCs w:val="16"/>
              </w:rPr>
              <w:t>Chair: Lucio Di Bartolomeo</w:t>
            </w:r>
          </w:p>
          <w:p w14:paraId="51EDCB80" w14:textId="77777777" w:rsidR="00D81F65" w:rsidRPr="00B93C7D" w:rsidRDefault="00D81F65" w:rsidP="00E77820">
            <w:pPr>
              <w:spacing w:before="30" w:after="30" w:line="240" w:lineRule="auto"/>
              <w:rPr>
                <w:rFonts w:ascii="Arial" w:hAnsi="Arial" w:cs="Arial"/>
                <w:sz w:val="16"/>
                <w:szCs w:val="16"/>
              </w:rPr>
            </w:pPr>
            <w:r w:rsidRPr="00B93C7D">
              <w:rPr>
                <w:rFonts w:ascii="Arial" w:hAnsi="Arial" w:cs="Arial"/>
                <w:sz w:val="16"/>
                <w:szCs w:val="16"/>
              </w:rPr>
              <w:t xml:space="preserve">Purpose: </w:t>
            </w:r>
            <w:r w:rsidRPr="00B93C7D">
              <w:rPr>
                <w:rFonts w:ascii="Arial" w:hAnsi="Arial" w:cs="Arial"/>
                <w:color w:val="000000"/>
                <w:sz w:val="16"/>
                <w:szCs w:val="16"/>
              </w:rPr>
              <w:t xml:space="preserve">The objective of the company, as set out in its constitution, is </w:t>
            </w:r>
            <w:r w:rsidRPr="00B93C7D">
              <w:rPr>
                <w:rFonts w:ascii="Arial" w:hAnsi="Arial" w:cs="Arial"/>
                <w:sz w:val="16"/>
                <w:szCs w:val="16"/>
              </w:rPr>
              <w:t>to support the Commonwealth’s continuous naval shipbuilding program through:</w:t>
            </w:r>
          </w:p>
          <w:p w14:paraId="2AA4D354" w14:textId="77777777" w:rsidR="00D81F65" w:rsidRPr="00B93C7D" w:rsidRDefault="00D81F65" w:rsidP="00503E20">
            <w:pPr>
              <w:keepNext/>
              <w:numPr>
                <w:ilvl w:val="0"/>
                <w:numId w:val="15"/>
              </w:numPr>
              <w:spacing w:before="30" w:after="30" w:line="240" w:lineRule="auto"/>
              <w:rPr>
                <w:rFonts w:ascii="Arial" w:hAnsi="Arial" w:cs="Arial"/>
                <w:sz w:val="16"/>
                <w:szCs w:val="16"/>
              </w:rPr>
            </w:pPr>
            <w:r w:rsidRPr="00B93C7D">
              <w:rPr>
                <w:rFonts w:ascii="Arial" w:hAnsi="Arial" w:cs="Arial"/>
                <w:position w:val="4"/>
                <w:sz w:val="16"/>
                <w:szCs w:val="16"/>
              </w:rPr>
              <w:t>acquiring, holding, managing and developing the infrastructure, and related facilities used in connection with this program</w:t>
            </w:r>
          </w:p>
          <w:p w14:paraId="104C1197" w14:textId="77777777" w:rsidR="00D81F65" w:rsidRPr="00B93C7D" w:rsidRDefault="00D81F65" w:rsidP="00503E20">
            <w:pPr>
              <w:keepNext/>
              <w:numPr>
                <w:ilvl w:val="0"/>
                <w:numId w:val="15"/>
              </w:numPr>
              <w:spacing w:before="30" w:after="30" w:line="240" w:lineRule="auto"/>
              <w:rPr>
                <w:rFonts w:ascii="Arial" w:hAnsi="Arial" w:cs="Arial"/>
                <w:sz w:val="16"/>
                <w:szCs w:val="16"/>
              </w:rPr>
            </w:pPr>
            <w:r w:rsidRPr="00B93C7D">
              <w:rPr>
                <w:rFonts w:ascii="Arial" w:hAnsi="Arial" w:cs="Arial"/>
                <w:position w:val="4"/>
                <w:sz w:val="16"/>
                <w:szCs w:val="16"/>
              </w:rPr>
              <w:t>efficiently and effectively managing this infrastructure (including providing access) in a manner that ensures an integrated and co-ordinated approach to the delivery of all elements of this program.</w:t>
            </w:r>
          </w:p>
        </w:tc>
      </w:tr>
    </w:tbl>
    <w:p w14:paraId="3D9BEE67" w14:textId="5435D9D7" w:rsidR="000832F4" w:rsidRDefault="000832F4" w:rsidP="00DB42D8"/>
    <w:p w14:paraId="114CA677" w14:textId="0E9BDF2C" w:rsidR="000832F4" w:rsidRDefault="000832F4">
      <w:pPr>
        <w:spacing w:before="0" w:after="0" w:line="240" w:lineRule="auto"/>
      </w:pPr>
      <w:r>
        <w:br w:type="page"/>
      </w:r>
    </w:p>
    <w:p w14:paraId="30CC76E8" w14:textId="77777777" w:rsidR="00DB42D8" w:rsidRPr="0035086F" w:rsidRDefault="00DB42D8" w:rsidP="00DB42D8">
      <w:pPr>
        <w:sectPr w:rsidR="00DB42D8" w:rsidRPr="0035086F" w:rsidSect="008F07DB">
          <w:headerReference w:type="even" r:id="rId48"/>
          <w:headerReference w:type="default" r:id="rId49"/>
          <w:footerReference w:type="default" r:id="rId50"/>
          <w:headerReference w:type="first" r:id="rId51"/>
          <w:footerReference w:type="first" r:id="rId52"/>
          <w:type w:val="oddPage"/>
          <w:pgSz w:w="11907" w:h="16840" w:code="9"/>
          <w:pgMar w:top="2835" w:right="2098" w:bottom="2466" w:left="2098" w:header="1814" w:footer="1814" w:gutter="0"/>
          <w:cols w:space="720"/>
          <w:titlePg/>
        </w:sectPr>
      </w:pPr>
    </w:p>
    <w:p w14:paraId="6AFBB460" w14:textId="77777777" w:rsidR="002F560D" w:rsidRDefault="002F560D" w:rsidP="00DB42D8">
      <w:pPr>
        <w:pStyle w:val="PartHeading"/>
      </w:pPr>
      <w:bookmarkStart w:id="105" w:name="_Toc157445269"/>
    </w:p>
    <w:p w14:paraId="0C470A98" w14:textId="77777777" w:rsidR="002F560D" w:rsidRDefault="002F560D" w:rsidP="00DB42D8">
      <w:pPr>
        <w:pStyle w:val="PartHeading"/>
      </w:pPr>
    </w:p>
    <w:p w14:paraId="453F8129" w14:textId="77777777" w:rsidR="002F560D" w:rsidRDefault="002F560D" w:rsidP="00DB42D8">
      <w:pPr>
        <w:pStyle w:val="PartHeading"/>
      </w:pPr>
    </w:p>
    <w:p w14:paraId="0C96A811" w14:textId="77777777" w:rsidR="002F560D" w:rsidRDefault="002F560D" w:rsidP="00DB42D8">
      <w:pPr>
        <w:pStyle w:val="PartHeading"/>
      </w:pPr>
    </w:p>
    <w:p w14:paraId="449AD189" w14:textId="4CE87328" w:rsidR="00DB42D8" w:rsidRDefault="00DB42D8" w:rsidP="00DB42D8">
      <w:pPr>
        <w:pStyle w:val="PartHeading"/>
      </w:pPr>
      <w:r>
        <w:t>Entity additional estimates statements</w:t>
      </w:r>
      <w:bookmarkStart w:id="106" w:name="_Toc210646446"/>
      <w:bookmarkStart w:id="107" w:name="_Toc210698425"/>
      <w:bookmarkEnd w:id="96"/>
      <w:bookmarkEnd w:id="97"/>
      <w:bookmarkEnd w:id="98"/>
      <w:bookmarkEnd w:id="99"/>
      <w:bookmarkEnd w:id="100"/>
      <w:bookmarkEnd w:id="101"/>
      <w:bookmarkEnd w:id="102"/>
      <w:bookmarkEnd w:id="105"/>
    </w:p>
    <w:p w14:paraId="0265585A" w14:textId="19877B0D" w:rsidR="003A6B64" w:rsidRDefault="003A6B64">
      <w:pPr>
        <w:spacing w:before="0" w:after="0" w:line="240" w:lineRule="auto"/>
      </w:pPr>
      <w:r>
        <w:br w:type="page"/>
      </w:r>
    </w:p>
    <w:p w14:paraId="2CAE0A89" w14:textId="77777777" w:rsidR="009021EE" w:rsidRDefault="009021EE">
      <w:pPr>
        <w:spacing w:before="0" w:after="0" w:line="240" w:lineRule="auto"/>
        <w:sectPr w:rsidR="009021EE" w:rsidSect="008F07DB">
          <w:footerReference w:type="even" r:id="rId53"/>
          <w:headerReference w:type="first" r:id="rId54"/>
          <w:footerReference w:type="first" r:id="rId55"/>
          <w:type w:val="oddPage"/>
          <w:pgSz w:w="11907" w:h="16840" w:code="9"/>
          <w:pgMar w:top="2835" w:right="2098" w:bottom="2466" w:left="2098" w:header="1814" w:footer="1814" w:gutter="0"/>
          <w:cols w:space="720"/>
          <w:titlePg/>
        </w:sectPr>
      </w:pPr>
      <w:r>
        <w:lastRenderedPageBreak/>
        <w:br w:type="page"/>
      </w:r>
    </w:p>
    <w:p w14:paraId="04FB3789" w14:textId="3B5E6F89" w:rsidR="00DB42D8" w:rsidRDefault="00BB4490" w:rsidP="00DB42D8">
      <w:pPr>
        <w:pStyle w:val="Heading1-NoTOC"/>
      </w:pPr>
      <w:r>
        <w:lastRenderedPageBreak/>
        <w:t>Department of Finance</w:t>
      </w:r>
      <w:bookmarkEnd w:id="106"/>
      <w:bookmarkEnd w:id="107"/>
    </w:p>
    <w:bookmarkStart w:id="108" w:name="_Toc23559338"/>
    <w:bookmarkStart w:id="109" w:name="_Toc23559372"/>
    <w:bookmarkStart w:id="110" w:name="_Toc23559663"/>
    <w:bookmarkStart w:id="111" w:name="_Toc23560126"/>
    <w:bookmarkStart w:id="112" w:name="_Toc23563421"/>
    <w:bookmarkStart w:id="113" w:name="_Toc77998675"/>
    <w:bookmarkStart w:id="114" w:name="_Toc436624136"/>
    <w:bookmarkStart w:id="115" w:name="_Toc436625437"/>
    <w:bookmarkStart w:id="116" w:name="_Toc449255757"/>
    <w:p w14:paraId="1BC9CA74" w14:textId="1C48CD32" w:rsidR="001E0DBC" w:rsidRDefault="00DB42D8">
      <w:pPr>
        <w:pStyle w:val="TOC1"/>
        <w:rPr>
          <w:rFonts w:asciiTheme="minorHAnsi" w:eastAsiaTheme="minorEastAsia" w:hAnsiTheme="minorHAnsi" w:cstheme="minorBidi"/>
          <w:b w:val="0"/>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57705728" w:history="1">
        <w:r w:rsidR="001E0DBC" w:rsidRPr="00926F59">
          <w:rPr>
            <w:rStyle w:val="Hyperlink"/>
            <w:noProof/>
          </w:rPr>
          <w:t>Section 1: Entity overview and resources</w:t>
        </w:r>
        <w:r w:rsidR="001E0DBC">
          <w:rPr>
            <w:noProof/>
            <w:webHidden/>
          </w:rPr>
          <w:tab/>
        </w:r>
        <w:r w:rsidR="001E0DBC">
          <w:rPr>
            <w:noProof/>
            <w:webHidden/>
          </w:rPr>
          <w:fldChar w:fldCharType="begin"/>
        </w:r>
        <w:r w:rsidR="001E0DBC">
          <w:rPr>
            <w:noProof/>
            <w:webHidden/>
          </w:rPr>
          <w:instrText xml:space="preserve"> PAGEREF _Toc157705728 \h </w:instrText>
        </w:r>
        <w:r w:rsidR="001E0DBC">
          <w:rPr>
            <w:noProof/>
            <w:webHidden/>
          </w:rPr>
        </w:r>
        <w:r w:rsidR="001E0DBC">
          <w:rPr>
            <w:noProof/>
            <w:webHidden/>
          </w:rPr>
          <w:fldChar w:fldCharType="separate"/>
        </w:r>
        <w:r w:rsidR="00023728">
          <w:rPr>
            <w:noProof/>
            <w:webHidden/>
          </w:rPr>
          <w:t>11</w:t>
        </w:r>
        <w:r w:rsidR="001E0DBC">
          <w:rPr>
            <w:noProof/>
            <w:webHidden/>
          </w:rPr>
          <w:fldChar w:fldCharType="end"/>
        </w:r>
      </w:hyperlink>
    </w:p>
    <w:p w14:paraId="2768960A" w14:textId="58152951"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29" w:history="1">
        <w:r w:rsidR="001E0DBC" w:rsidRPr="00926F59">
          <w:rPr>
            <w:rStyle w:val="Hyperlink"/>
            <w:noProof/>
          </w:rPr>
          <w:t>1.1</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Strategic direction statement</w:t>
        </w:r>
        <w:r w:rsidR="001E0DBC">
          <w:rPr>
            <w:noProof/>
            <w:webHidden/>
          </w:rPr>
          <w:tab/>
        </w:r>
        <w:r w:rsidR="001E0DBC">
          <w:rPr>
            <w:noProof/>
            <w:webHidden/>
          </w:rPr>
          <w:fldChar w:fldCharType="begin"/>
        </w:r>
        <w:r w:rsidR="001E0DBC">
          <w:rPr>
            <w:noProof/>
            <w:webHidden/>
          </w:rPr>
          <w:instrText xml:space="preserve"> PAGEREF _Toc157705729 \h </w:instrText>
        </w:r>
        <w:r w:rsidR="001E0DBC">
          <w:rPr>
            <w:noProof/>
            <w:webHidden/>
          </w:rPr>
        </w:r>
        <w:r w:rsidR="001E0DBC">
          <w:rPr>
            <w:noProof/>
            <w:webHidden/>
          </w:rPr>
          <w:fldChar w:fldCharType="separate"/>
        </w:r>
        <w:r w:rsidR="00023728">
          <w:rPr>
            <w:noProof/>
            <w:webHidden/>
          </w:rPr>
          <w:t>11</w:t>
        </w:r>
        <w:r w:rsidR="001E0DBC">
          <w:rPr>
            <w:noProof/>
            <w:webHidden/>
          </w:rPr>
          <w:fldChar w:fldCharType="end"/>
        </w:r>
      </w:hyperlink>
    </w:p>
    <w:p w14:paraId="7250C590" w14:textId="0BABAD90"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0" w:history="1">
        <w:r w:rsidR="001E0DBC" w:rsidRPr="00926F59">
          <w:rPr>
            <w:rStyle w:val="Hyperlink"/>
            <w:noProof/>
          </w:rPr>
          <w:t>1.2</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Entity resource statement</w:t>
        </w:r>
        <w:r w:rsidR="001E0DBC">
          <w:rPr>
            <w:noProof/>
            <w:webHidden/>
          </w:rPr>
          <w:tab/>
        </w:r>
        <w:r w:rsidR="001E0DBC">
          <w:rPr>
            <w:noProof/>
            <w:webHidden/>
          </w:rPr>
          <w:fldChar w:fldCharType="begin"/>
        </w:r>
        <w:r w:rsidR="001E0DBC">
          <w:rPr>
            <w:noProof/>
            <w:webHidden/>
          </w:rPr>
          <w:instrText xml:space="preserve"> PAGEREF _Toc157705730 \h </w:instrText>
        </w:r>
        <w:r w:rsidR="001E0DBC">
          <w:rPr>
            <w:noProof/>
            <w:webHidden/>
          </w:rPr>
        </w:r>
        <w:r w:rsidR="001E0DBC">
          <w:rPr>
            <w:noProof/>
            <w:webHidden/>
          </w:rPr>
          <w:fldChar w:fldCharType="separate"/>
        </w:r>
        <w:r w:rsidR="00023728">
          <w:rPr>
            <w:noProof/>
            <w:webHidden/>
          </w:rPr>
          <w:t>11</w:t>
        </w:r>
        <w:r w:rsidR="001E0DBC">
          <w:rPr>
            <w:noProof/>
            <w:webHidden/>
          </w:rPr>
          <w:fldChar w:fldCharType="end"/>
        </w:r>
      </w:hyperlink>
    </w:p>
    <w:p w14:paraId="1FB80D8A" w14:textId="09423055"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1" w:history="1">
        <w:r w:rsidR="001E0DBC" w:rsidRPr="00926F59">
          <w:rPr>
            <w:rStyle w:val="Hyperlink"/>
            <w:noProof/>
          </w:rPr>
          <w:t>1.3</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Entity measures</w:t>
        </w:r>
        <w:r w:rsidR="001E0DBC">
          <w:rPr>
            <w:noProof/>
            <w:webHidden/>
          </w:rPr>
          <w:tab/>
        </w:r>
        <w:r w:rsidR="001E0DBC">
          <w:rPr>
            <w:noProof/>
            <w:webHidden/>
          </w:rPr>
          <w:fldChar w:fldCharType="begin"/>
        </w:r>
        <w:r w:rsidR="001E0DBC">
          <w:rPr>
            <w:noProof/>
            <w:webHidden/>
          </w:rPr>
          <w:instrText xml:space="preserve"> PAGEREF _Toc157705731 \h </w:instrText>
        </w:r>
        <w:r w:rsidR="001E0DBC">
          <w:rPr>
            <w:noProof/>
            <w:webHidden/>
          </w:rPr>
        </w:r>
        <w:r w:rsidR="001E0DBC">
          <w:rPr>
            <w:noProof/>
            <w:webHidden/>
          </w:rPr>
          <w:fldChar w:fldCharType="separate"/>
        </w:r>
        <w:r w:rsidR="00023728">
          <w:rPr>
            <w:noProof/>
            <w:webHidden/>
          </w:rPr>
          <w:t>15</w:t>
        </w:r>
        <w:r w:rsidR="001E0DBC">
          <w:rPr>
            <w:noProof/>
            <w:webHidden/>
          </w:rPr>
          <w:fldChar w:fldCharType="end"/>
        </w:r>
      </w:hyperlink>
    </w:p>
    <w:p w14:paraId="72EC3415" w14:textId="2EAFFA17"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2" w:history="1">
        <w:r w:rsidR="001E0DBC" w:rsidRPr="00926F59">
          <w:rPr>
            <w:rStyle w:val="Hyperlink"/>
            <w:noProof/>
          </w:rPr>
          <w:t>1.4</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Additional estimates, resourcing and variations to outcomes</w:t>
        </w:r>
        <w:r w:rsidR="001E0DBC">
          <w:rPr>
            <w:noProof/>
            <w:webHidden/>
          </w:rPr>
          <w:tab/>
        </w:r>
        <w:r w:rsidR="001E0DBC">
          <w:rPr>
            <w:noProof/>
            <w:webHidden/>
          </w:rPr>
          <w:fldChar w:fldCharType="begin"/>
        </w:r>
        <w:r w:rsidR="001E0DBC">
          <w:rPr>
            <w:noProof/>
            <w:webHidden/>
          </w:rPr>
          <w:instrText xml:space="preserve"> PAGEREF _Toc157705732 \h </w:instrText>
        </w:r>
        <w:r w:rsidR="001E0DBC">
          <w:rPr>
            <w:noProof/>
            <w:webHidden/>
          </w:rPr>
        </w:r>
        <w:r w:rsidR="001E0DBC">
          <w:rPr>
            <w:noProof/>
            <w:webHidden/>
          </w:rPr>
          <w:fldChar w:fldCharType="separate"/>
        </w:r>
        <w:r w:rsidR="00023728">
          <w:rPr>
            <w:noProof/>
            <w:webHidden/>
          </w:rPr>
          <w:t>17</w:t>
        </w:r>
        <w:r w:rsidR="001E0DBC">
          <w:rPr>
            <w:noProof/>
            <w:webHidden/>
          </w:rPr>
          <w:fldChar w:fldCharType="end"/>
        </w:r>
      </w:hyperlink>
    </w:p>
    <w:p w14:paraId="6A96F85F" w14:textId="74363F25"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3" w:history="1">
        <w:r w:rsidR="001E0DBC" w:rsidRPr="00926F59">
          <w:rPr>
            <w:rStyle w:val="Hyperlink"/>
            <w:noProof/>
          </w:rPr>
          <w:t>1.5</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Breakdown of additional estimates by appropriation bill</w:t>
        </w:r>
        <w:r w:rsidR="001E0DBC">
          <w:rPr>
            <w:noProof/>
            <w:webHidden/>
          </w:rPr>
          <w:tab/>
        </w:r>
        <w:r w:rsidR="001E0DBC">
          <w:rPr>
            <w:noProof/>
            <w:webHidden/>
          </w:rPr>
          <w:fldChar w:fldCharType="begin"/>
        </w:r>
        <w:r w:rsidR="001E0DBC">
          <w:rPr>
            <w:noProof/>
            <w:webHidden/>
          </w:rPr>
          <w:instrText xml:space="preserve"> PAGEREF _Toc157705733 \h </w:instrText>
        </w:r>
        <w:r w:rsidR="001E0DBC">
          <w:rPr>
            <w:noProof/>
            <w:webHidden/>
          </w:rPr>
        </w:r>
        <w:r w:rsidR="001E0DBC">
          <w:rPr>
            <w:noProof/>
            <w:webHidden/>
          </w:rPr>
          <w:fldChar w:fldCharType="separate"/>
        </w:r>
        <w:r w:rsidR="00023728">
          <w:rPr>
            <w:noProof/>
            <w:webHidden/>
          </w:rPr>
          <w:t>20</w:t>
        </w:r>
        <w:r w:rsidR="001E0DBC">
          <w:rPr>
            <w:noProof/>
            <w:webHidden/>
          </w:rPr>
          <w:fldChar w:fldCharType="end"/>
        </w:r>
      </w:hyperlink>
    </w:p>
    <w:p w14:paraId="3CC34056" w14:textId="7C06540D" w:rsidR="001E0DBC" w:rsidRDefault="00000000">
      <w:pPr>
        <w:pStyle w:val="TOC1"/>
        <w:rPr>
          <w:rFonts w:asciiTheme="minorHAnsi" w:eastAsiaTheme="minorEastAsia" w:hAnsiTheme="minorHAnsi" w:cstheme="minorBidi"/>
          <w:b w:val="0"/>
          <w:noProof/>
          <w:kern w:val="2"/>
          <w:sz w:val="22"/>
          <w:szCs w:val="22"/>
          <w14:ligatures w14:val="standardContextual"/>
        </w:rPr>
      </w:pPr>
      <w:hyperlink w:anchor="_Toc157705734" w:history="1">
        <w:r w:rsidR="001E0DBC" w:rsidRPr="00926F59">
          <w:rPr>
            <w:rStyle w:val="Hyperlink"/>
            <w:noProof/>
          </w:rPr>
          <w:t>Section 2: Revisions to outcomes and planned performance</w:t>
        </w:r>
        <w:r w:rsidR="001E0DBC">
          <w:rPr>
            <w:noProof/>
            <w:webHidden/>
          </w:rPr>
          <w:tab/>
        </w:r>
        <w:r w:rsidR="001E0DBC">
          <w:rPr>
            <w:noProof/>
            <w:webHidden/>
          </w:rPr>
          <w:fldChar w:fldCharType="begin"/>
        </w:r>
        <w:r w:rsidR="001E0DBC">
          <w:rPr>
            <w:noProof/>
            <w:webHidden/>
          </w:rPr>
          <w:instrText xml:space="preserve"> PAGEREF _Toc157705734 \h </w:instrText>
        </w:r>
        <w:r w:rsidR="001E0DBC">
          <w:rPr>
            <w:noProof/>
            <w:webHidden/>
          </w:rPr>
        </w:r>
        <w:r w:rsidR="001E0DBC">
          <w:rPr>
            <w:noProof/>
            <w:webHidden/>
          </w:rPr>
          <w:fldChar w:fldCharType="separate"/>
        </w:r>
        <w:r w:rsidR="00023728">
          <w:rPr>
            <w:noProof/>
            <w:webHidden/>
          </w:rPr>
          <w:t>22</w:t>
        </w:r>
        <w:r w:rsidR="001E0DBC">
          <w:rPr>
            <w:noProof/>
            <w:webHidden/>
          </w:rPr>
          <w:fldChar w:fldCharType="end"/>
        </w:r>
      </w:hyperlink>
    </w:p>
    <w:p w14:paraId="2987E555" w14:textId="5D3639EB"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5" w:history="1">
        <w:r w:rsidR="001E0DBC" w:rsidRPr="00926F59">
          <w:rPr>
            <w:rStyle w:val="Hyperlink"/>
            <w:noProof/>
          </w:rPr>
          <w:t>2.1</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Changes to outcome and program structures</w:t>
        </w:r>
        <w:r w:rsidR="001E0DBC">
          <w:rPr>
            <w:noProof/>
            <w:webHidden/>
          </w:rPr>
          <w:tab/>
        </w:r>
        <w:r w:rsidR="001E0DBC">
          <w:rPr>
            <w:noProof/>
            <w:webHidden/>
          </w:rPr>
          <w:fldChar w:fldCharType="begin"/>
        </w:r>
        <w:r w:rsidR="001E0DBC">
          <w:rPr>
            <w:noProof/>
            <w:webHidden/>
          </w:rPr>
          <w:instrText xml:space="preserve"> PAGEREF _Toc157705735 \h </w:instrText>
        </w:r>
        <w:r w:rsidR="001E0DBC">
          <w:rPr>
            <w:noProof/>
            <w:webHidden/>
          </w:rPr>
        </w:r>
        <w:r w:rsidR="001E0DBC">
          <w:rPr>
            <w:noProof/>
            <w:webHidden/>
          </w:rPr>
          <w:fldChar w:fldCharType="separate"/>
        </w:r>
        <w:r w:rsidR="00023728">
          <w:rPr>
            <w:noProof/>
            <w:webHidden/>
          </w:rPr>
          <w:t>22</w:t>
        </w:r>
        <w:r w:rsidR="001E0DBC">
          <w:rPr>
            <w:noProof/>
            <w:webHidden/>
          </w:rPr>
          <w:fldChar w:fldCharType="end"/>
        </w:r>
      </w:hyperlink>
    </w:p>
    <w:p w14:paraId="5D75A94C" w14:textId="609E4A69"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6" w:history="1">
        <w:r w:rsidR="001E0DBC" w:rsidRPr="00926F59">
          <w:rPr>
            <w:rStyle w:val="Hyperlink"/>
            <w:noProof/>
          </w:rPr>
          <w:t>2.2</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Budgeted expenses and performance for Outcome 1</w:t>
        </w:r>
        <w:r w:rsidR="001E0DBC">
          <w:rPr>
            <w:noProof/>
            <w:webHidden/>
          </w:rPr>
          <w:tab/>
        </w:r>
        <w:r w:rsidR="001E0DBC">
          <w:rPr>
            <w:noProof/>
            <w:webHidden/>
          </w:rPr>
          <w:fldChar w:fldCharType="begin"/>
        </w:r>
        <w:r w:rsidR="001E0DBC">
          <w:rPr>
            <w:noProof/>
            <w:webHidden/>
          </w:rPr>
          <w:instrText xml:space="preserve"> PAGEREF _Toc157705736 \h </w:instrText>
        </w:r>
        <w:r w:rsidR="001E0DBC">
          <w:rPr>
            <w:noProof/>
            <w:webHidden/>
          </w:rPr>
        </w:r>
        <w:r w:rsidR="001E0DBC">
          <w:rPr>
            <w:noProof/>
            <w:webHidden/>
          </w:rPr>
          <w:fldChar w:fldCharType="separate"/>
        </w:r>
        <w:r w:rsidR="00023728">
          <w:rPr>
            <w:noProof/>
            <w:webHidden/>
          </w:rPr>
          <w:t>23</w:t>
        </w:r>
        <w:r w:rsidR="001E0DBC">
          <w:rPr>
            <w:noProof/>
            <w:webHidden/>
          </w:rPr>
          <w:fldChar w:fldCharType="end"/>
        </w:r>
      </w:hyperlink>
    </w:p>
    <w:p w14:paraId="05ECA407" w14:textId="25B60104"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7" w:history="1">
        <w:r w:rsidR="001E0DBC" w:rsidRPr="00926F59">
          <w:rPr>
            <w:rStyle w:val="Hyperlink"/>
            <w:noProof/>
          </w:rPr>
          <w:t>2.3</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Budgeted expenses and performance for Outcome 2</w:t>
        </w:r>
        <w:r w:rsidR="001E0DBC">
          <w:rPr>
            <w:noProof/>
            <w:webHidden/>
          </w:rPr>
          <w:tab/>
        </w:r>
        <w:r w:rsidR="001E0DBC">
          <w:rPr>
            <w:noProof/>
            <w:webHidden/>
          </w:rPr>
          <w:fldChar w:fldCharType="begin"/>
        </w:r>
        <w:r w:rsidR="001E0DBC">
          <w:rPr>
            <w:noProof/>
            <w:webHidden/>
          </w:rPr>
          <w:instrText xml:space="preserve"> PAGEREF _Toc157705737 \h </w:instrText>
        </w:r>
        <w:r w:rsidR="001E0DBC">
          <w:rPr>
            <w:noProof/>
            <w:webHidden/>
          </w:rPr>
        </w:r>
        <w:r w:rsidR="001E0DBC">
          <w:rPr>
            <w:noProof/>
            <w:webHidden/>
          </w:rPr>
          <w:fldChar w:fldCharType="separate"/>
        </w:r>
        <w:r w:rsidR="00023728">
          <w:rPr>
            <w:noProof/>
            <w:webHidden/>
          </w:rPr>
          <w:t>25</w:t>
        </w:r>
        <w:r w:rsidR="001E0DBC">
          <w:rPr>
            <w:noProof/>
            <w:webHidden/>
          </w:rPr>
          <w:fldChar w:fldCharType="end"/>
        </w:r>
      </w:hyperlink>
    </w:p>
    <w:p w14:paraId="625D44BB" w14:textId="266BCD89"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38" w:history="1">
        <w:r w:rsidR="001E0DBC" w:rsidRPr="00926F59">
          <w:rPr>
            <w:rStyle w:val="Hyperlink"/>
            <w:noProof/>
          </w:rPr>
          <w:t>2.4</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Budgeted expenses and performance for Outcome 3</w:t>
        </w:r>
        <w:r w:rsidR="001E0DBC">
          <w:rPr>
            <w:noProof/>
            <w:webHidden/>
          </w:rPr>
          <w:tab/>
        </w:r>
        <w:r w:rsidR="001E0DBC">
          <w:rPr>
            <w:noProof/>
            <w:webHidden/>
          </w:rPr>
          <w:fldChar w:fldCharType="begin"/>
        </w:r>
        <w:r w:rsidR="001E0DBC">
          <w:rPr>
            <w:noProof/>
            <w:webHidden/>
          </w:rPr>
          <w:instrText xml:space="preserve"> PAGEREF _Toc157705738 \h </w:instrText>
        </w:r>
        <w:r w:rsidR="001E0DBC">
          <w:rPr>
            <w:noProof/>
            <w:webHidden/>
          </w:rPr>
        </w:r>
        <w:r w:rsidR="001E0DBC">
          <w:rPr>
            <w:noProof/>
            <w:webHidden/>
          </w:rPr>
          <w:fldChar w:fldCharType="separate"/>
        </w:r>
        <w:r w:rsidR="00023728">
          <w:rPr>
            <w:noProof/>
            <w:webHidden/>
          </w:rPr>
          <w:t>40</w:t>
        </w:r>
        <w:r w:rsidR="001E0DBC">
          <w:rPr>
            <w:noProof/>
            <w:webHidden/>
          </w:rPr>
          <w:fldChar w:fldCharType="end"/>
        </w:r>
      </w:hyperlink>
    </w:p>
    <w:p w14:paraId="2F22AFDF" w14:textId="19A27E28" w:rsidR="001E0DBC" w:rsidRDefault="00000000">
      <w:pPr>
        <w:pStyle w:val="TOC1"/>
        <w:rPr>
          <w:rFonts w:asciiTheme="minorHAnsi" w:eastAsiaTheme="minorEastAsia" w:hAnsiTheme="minorHAnsi" w:cstheme="minorBidi"/>
          <w:b w:val="0"/>
          <w:noProof/>
          <w:kern w:val="2"/>
          <w:sz w:val="22"/>
          <w:szCs w:val="22"/>
          <w14:ligatures w14:val="standardContextual"/>
        </w:rPr>
      </w:pPr>
      <w:hyperlink w:anchor="_Toc157705739" w:history="1">
        <w:r w:rsidR="001E0DBC" w:rsidRPr="00926F59">
          <w:rPr>
            <w:rStyle w:val="Hyperlink"/>
            <w:noProof/>
          </w:rPr>
          <w:t>Section 3: Special account flows and budgeted financial statements</w:t>
        </w:r>
        <w:r w:rsidR="001E0DBC">
          <w:rPr>
            <w:noProof/>
            <w:webHidden/>
          </w:rPr>
          <w:tab/>
        </w:r>
        <w:r w:rsidR="001E0DBC">
          <w:rPr>
            <w:noProof/>
            <w:webHidden/>
          </w:rPr>
          <w:fldChar w:fldCharType="begin"/>
        </w:r>
        <w:r w:rsidR="001E0DBC">
          <w:rPr>
            <w:noProof/>
            <w:webHidden/>
          </w:rPr>
          <w:instrText xml:space="preserve"> PAGEREF _Toc157705739 \h </w:instrText>
        </w:r>
        <w:r w:rsidR="001E0DBC">
          <w:rPr>
            <w:noProof/>
            <w:webHidden/>
          </w:rPr>
        </w:r>
        <w:r w:rsidR="001E0DBC">
          <w:rPr>
            <w:noProof/>
            <w:webHidden/>
          </w:rPr>
          <w:fldChar w:fldCharType="separate"/>
        </w:r>
        <w:r w:rsidR="00023728">
          <w:rPr>
            <w:noProof/>
            <w:webHidden/>
          </w:rPr>
          <w:t>42</w:t>
        </w:r>
        <w:r w:rsidR="001E0DBC">
          <w:rPr>
            <w:noProof/>
            <w:webHidden/>
          </w:rPr>
          <w:fldChar w:fldCharType="end"/>
        </w:r>
      </w:hyperlink>
    </w:p>
    <w:p w14:paraId="60C1D41A" w14:textId="50E75602"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40" w:history="1">
        <w:r w:rsidR="001E0DBC" w:rsidRPr="00926F59">
          <w:rPr>
            <w:rStyle w:val="Hyperlink"/>
            <w:noProof/>
          </w:rPr>
          <w:t>3.1</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Special account flows and balances</w:t>
        </w:r>
        <w:r w:rsidR="001E0DBC">
          <w:rPr>
            <w:noProof/>
            <w:webHidden/>
          </w:rPr>
          <w:tab/>
        </w:r>
        <w:r w:rsidR="001E0DBC">
          <w:rPr>
            <w:noProof/>
            <w:webHidden/>
          </w:rPr>
          <w:fldChar w:fldCharType="begin"/>
        </w:r>
        <w:r w:rsidR="001E0DBC">
          <w:rPr>
            <w:noProof/>
            <w:webHidden/>
          </w:rPr>
          <w:instrText xml:space="preserve"> PAGEREF _Toc157705740 \h </w:instrText>
        </w:r>
        <w:r w:rsidR="001E0DBC">
          <w:rPr>
            <w:noProof/>
            <w:webHidden/>
          </w:rPr>
        </w:r>
        <w:r w:rsidR="001E0DBC">
          <w:rPr>
            <w:noProof/>
            <w:webHidden/>
          </w:rPr>
          <w:fldChar w:fldCharType="separate"/>
        </w:r>
        <w:r w:rsidR="00023728">
          <w:rPr>
            <w:noProof/>
            <w:webHidden/>
          </w:rPr>
          <w:t>42</w:t>
        </w:r>
        <w:r w:rsidR="001E0DBC">
          <w:rPr>
            <w:noProof/>
            <w:webHidden/>
          </w:rPr>
          <w:fldChar w:fldCharType="end"/>
        </w:r>
      </w:hyperlink>
    </w:p>
    <w:p w14:paraId="06F2DE56" w14:textId="6082143F" w:rsidR="001E0DBC" w:rsidRDefault="00000000">
      <w:pPr>
        <w:pStyle w:val="TOC2"/>
        <w:rPr>
          <w:rFonts w:asciiTheme="minorHAnsi" w:eastAsiaTheme="minorEastAsia" w:hAnsiTheme="minorHAnsi" w:cstheme="minorBidi"/>
          <w:noProof/>
          <w:kern w:val="2"/>
          <w:sz w:val="22"/>
          <w:szCs w:val="22"/>
          <w14:ligatures w14:val="standardContextual"/>
        </w:rPr>
      </w:pPr>
      <w:hyperlink w:anchor="_Toc157705741" w:history="1">
        <w:r w:rsidR="001E0DBC" w:rsidRPr="00926F59">
          <w:rPr>
            <w:rStyle w:val="Hyperlink"/>
            <w:noProof/>
          </w:rPr>
          <w:t>3.2</w:t>
        </w:r>
        <w:r w:rsidR="001E0DBC">
          <w:rPr>
            <w:rFonts w:asciiTheme="minorHAnsi" w:eastAsiaTheme="minorEastAsia" w:hAnsiTheme="minorHAnsi" w:cstheme="minorBidi"/>
            <w:noProof/>
            <w:kern w:val="2"/>
            <w:sz w:val="22"/>
            <w:szCs w:val="22"/>
            <w14:ligatures w14:val="standardContextual"/>
          </w:rPr>
          <w:tab/>
        </w:r>
        <w:r w:rsidR="001E0DBC" w:rsidRPr="00926F59">
          <w:rPr>
            <w:rStyle w:val="Hyperlink"/>
            <w:noProof/>
          </w:rPr>
          <w:t>Budgeted financial statements</w:t>
        </w:r>
        <w:r w:rsidR="001E0DBC">
          <w:rPr>
            <w:noProof/>
            <w:webHidden/>
          </w:rPr>
          <w:tab/>
        </w:r>
        <w:r w:rsidR="001E0DBC">
          <w:rPr>
            <w:noProof/>
            <w:webHidden/>
          </w:rPr>
          <w:fldChar w:fldCharType="begin"/>
        </w:r>
        <w:r w:rsidR="001E0DBC">
          <w:rPr>
            <w:noProof/>
            <w:webHidden/>
          </w:rPr>
          <w:instrText xml:space="preserve"> PAGEREF _Toc157705741 \h </w:instrText>
        </w:r>
        <w:r w:rsidR="001E0DBC">
          <w:rPr>
            <w:noProof/>
            <w:webHidden/>
          </w:rPr>
        </w:r>
        <w:r w:rsidR="001E0DBC">
          <w:rPr>
            <w:noProof/>
            <w:webHidden/>
          </w:rPr>
          <w:fldChar w:fldCharType="separate"/>
        </w:r>
        <w:r w:rsidR="00023728">
          <w:rPr>
            <w:noProof/>
            <w:webHidden/>
          </w:rPr>
          <w:t>44</w:t>
        </w:r>
        <w:r w:rsidR="001E0DBC">
          <w:rPr>
            <w:noProof/>
            <w:webHidden/>
          </w:rPr>
          <w:fldChar w:fldCharType="end"/>
        </w:r>
      </w:hyperlink>
    </w:p>
    <w:p w14:paraId="3877D068" w14:textId="0A34319E" w:rsidR="00DB42D8" w:rsidRDefault="00DB42D8" w:rsidP="002E4C9E">
      <w:pPr>
        <w:pStyle w:val="TOC1"/>
      </w:pPr>
      <w:r>
        <w:fldChar w:fldCharType="end"/>
      </w:r>
    </w:p>
    <w:p w14:paraId="5CFD0F25" w14:textId="77777777" w:rsidR="002E4C9E" w:rsidRDefault="002E4C9E" w:rsidP="00DB42D8"/>
    <w:p w14:paraId="5FDA4951" w14:textId="77777777" w:rsidR="002E4C9E" w:rsidRDefault="002E4C9E" w:rsidP="00DB42D8"/>
    <w:p w14:paraId="0EBB65EF" w14:textId="77777777" w:rsidR="002E4C9E" w:rsidRDefault="002E4C9E" w:rsidP="00DB42D8"/>
    <w:p w14:paraId="73A7CC4A" w14:textId="77777777" w:rsidR="002E4C9E" w:rsidRPr="0035086F" w:rsidRDefault="002E4C9E" w:rsidP="00DB42D8"/>
    <w:p w14:paraId="678302B1" w14:textId="77777777" w:rsidR="00DB42D8" w:rsidRPr="0035086F" w:rsidRDefault="00DB42D8" w:rsidP="00DB42D8"/>
    <w:p w14:paraId="280B2322" w14:textId="77777777" w:rsidR="00DB42D8" w:rsidRPr="0035086F" w:rsidRDefault="00DB42D8" w:rsidP="00DB42D8">
      <w:pPr>
        <w:sectPr w:rsidR="00DB42D8" w:rsidRPr="0035086F" w:rsidSect="008F07DB">
          <w:footerReference w:type="first" r:id="rId56"/>
          <w:type w:val="oddPage"/>
          <w:pgSz w:w="11907" w:h="16840" w:code="9"/>
          <w:pgMar w:top="2835" w:right="2098" w:bottom="2466" w:left="2098" w:header="1814" w:footer="1814" w:gutter="0"/>
          <w:cols w:space="720"/>
          <w:titlePg/>
        </w:sectPr>
      </w:pPr>
    </w:p>
    <w:p w14:paraId="4E4F993B" w14:textId="742E5FF3" w:rsidR="00DB42D8" w:rsidRDefault="00676087" w:rsidP="00DB42D8">
      <w:pPr>
        <w:pStyle w:val="Heading1-LVL2"/>
      </w:pPr>
      <w:bookmarkStart w:id="117" w:name="_Toc157445270"/>
      <w:bookmarkStart w:id="118" w:name="_Toc210646447"/>
      <w:bookmarkStart w:id="119" w:name="_Toc210698426"/>
      <w:bookmarkStart w:id="120" w:name="OLE_LINK12"/>
      <w:bookmarkStart w:id="121" w:name="OLE_LINK13"/>
      <w:bookmarkEnd w:id="108"/>
      <w:bookmarkEnd w:id="109"/>
      <w:bookmarkEnd w:id="110"/>
      <w:bookmarkEnd w:id="111"/>
      <w:bookmarkEnd w:id="112"/>
      <w:bookmarkEnd w:id="113"/>
      <w:r>
        <w:lastRenderedPageBreak/>
        <w:t>Department of Finance</w:t>
      </w:r>
      <w:bookmarkEnd w:id="117"/>
      <w:r>
        <w:t xml:space="preserve"> </w:t>
      </w:r>
      <w:bookmarkEnd w:id="118"/>
      <w:bookmarkEnd w:id="119"/>
    </w:p>
    <w:p w14:paraId="5EB64A04" w14:textId="13932D80" w:rsidR="00DB42D8" w:rsidRPr="00F045E6" w:rsidRDefault="00DB42D8" w:rsidP="00DB42D8">
      <w:pPr>
        <w:pStyle w:val="Heading2-TOC"/>
      </w:pPr>
      <w:bookmarkStart w:id="122" w:name="_Toc157411243"/>
      <w:bookmarkStart w:id="123" w:name="_Toc157412178"/>
      <w:bookmarkStart w:id="124" w:name="_Toc157412341"/>
      <w:bookmarkStart w:id="125" w:name="_Toc157445514"/>
      <w:bookmarkStart w:id="126" w:name="_Toc157497328"/>
      <w:bookmarkStart w:id="127" w:name="_Toc157613710"/>
      <w:bookmarkStart w:id="128" w:name="_Toc157614009"/>
      <w:bookmarkStart w:id="129" w:name="_Toc157617001"/>
      <w:bookmarkStart w:id="130" w:name="_Toc157618223"/>
      <w:bookmarkStart w:id="131" w:name="_Toc157697095"/>
      <w:bookmarkStart w:id="132" w:name="_Toc157698130"/>
      <w:bookmarkStart w:id="133" w:name="_Toc157705377"/>
      <w:bookmarkStart w:id="134" w:name="_Toc157705435"/>
      <w:bookmarkStart w:id="135" w:name="_Toc157705487"/>
      <w:bookmarkStart w:id="136" w:name="_Toc157705728"/>
      <w:bookmarkStart w:id="137" w:name="_Toc157706093"/>
      <w:bookmarkStart w:id="138" w:name="_Toc490972399"/>
      <w:bookmarkStart w:id="139" w:name="_Toc491014616"/>
      <w:bookmarkStart w:id="140" w:name="_Toc491014758"/>
      <w:bookmarkStart w:id="141" w:name="_Toc491014938"/>
      <w:bookmarkStart w:id="142" w:name="_Toc491015085"/>
      <w:bookmarkStart w:id="143" w:name="_Toc491029232"/>
      <w:bookmarkStart w:id="144" w:name="_Toc491030321"/>
      <w:bookmarkStart w:id="145" w:name="_Toc491030781"/>
      <w:bookmarkStart w:id="146" w:name="_Toc491031344"/>
      <w:bookmarkStart w:id="147" w:name="_Toc491031931"/>
      <w:bookmarkStart w:id="148" w:name="_Toc491032101"/>
      <w:bookmarkStart w:id="149" w:name="_Toc491032212"/>
      <w:bookmarkStart w:id="150" w:name="_Toc491032319"/>
      <w:bookmarkStart w:id="151" w:name="_Toc491771706"/>
      <w:bookmarkStart w:id="152" w:name="_Toc491773281"/>
      <w:bookmarkStart w:id="153" w:name="_Toc23559340"/>
      <w:bookmarkStart w:id="154" w:name="_Toc23559374"/>
      <w:bookmarkStart w:id="155" w:name="_Toc23559665"/>
      <w:bookmarkStart w:id="156" w:name="_Toc23560128"/>
      <w:bookmarkStart w:id="157" w:name="_Toc23563423"/>
      <w:bookmarkStart w:id="158" w:name="_Toc77998677"/>
      <w:bookmarkStart w:id="159" w:name="_Toc79399716"/>
      <w:bookmarkStart w:id="160" w:name="_Toc112211956"/>
      <w:bookmarkStart w:id="161" w:name="_Toc112212050"/>
      <w:bookmarkStart w:id="162" w:name="_Toc112137868"/>
      <w:bookmarkStart w:id="163" w:name="_Toc112137890"/>
      <w:bookmarkStart w:id="164" w:name="_Toc210646448"/>
      <w:bookmarkStart w:id="165" w:name="_Toc210698427"/>
      <w:bookmarkStart w:id="166" w:name="_Toc210703208"/>
      <w:bookmarkStart w:id="167" w:name="_Toc436624138"/>
      <w:bookmarkStart w:id="168" w:name="_Toc436625439"/>
      <w:bookmarkStart w:id="169" w:name="_Toc449255759"/>
      <w:bookmarkStart w:id="170" w:name="_Toc490972400"/>
      <w:bookmarkStart w:id="171" w:name="_Toc491014617"/>
      <w:bookmarkStart w:id="172" w:name="_Toc491014759"/>
      <w:bookmarkStart w:id="173" w:name="_Toc491014939"/>
      <w:bookmarkStart w:id="174" w:name="_Toc491015086"/>
      <w:bookmarkStart w:id="175" w:name="_Toc491029233"/>
      <w:bookmarkStart w:id="176" w:name="_Toc491030322"/>
      <w:bookmarkStart w:id="177" w:name="_Toc491030782"/>
      <w:bookmarkStart w:id="178" w:name="_Toc491031345"/>
      <w:bookmarkStart w:id="179" w:name="_Toc491031932"/>
      <w:bookmarkStart w:id="180" w:name="_Toc491032102"/>
      <w:bookmarkStart w:id="181" w:name="_Toc491032213"/>
      <w:bookmarkStart w:id="182" w:name="_Toc491032320"/>
      <w:bookmarkStart w:id="183" w:name="_Toc491771707"/>
      <w:bookmarkStart w:id="184" w:name="_Toc491773282"/>
      <w:bookmarkStart w:id="185" w:name="_Toc23559341"/>
      <w:bookmarkStart w:id="186" w:name="_Toc23559375"/>
      <w:bookmarkStart w:id="187" w:name="_Toc23559666"/>
      <w:bookmarkStart w:id="188" w:name="_Toc23560129"/>
      <w:bookmarkStart w:id="189" w:name="_Toc23563424"/>
      <w:bookmarkStart w:id="190" w:name="_Toc77998678"/>
      <w:bookmarkStart w:id="191" w:name="_Toc79406107"/>
      <w:bookmarkStart w:id="192" w:name="_Toc79467809"/>
      <w:bookmarkStart w:id="193" w:name="_Toc112211957"/>
      <w:bookmarkStart w:id="194" w:name="_Toc112212051"/>
      <w:bookmarkStart w:id="195" w:name="_Toc112137869"/>
      <w:bookmarkStart w:id="196" w:name="_Toc112137891"/>
      <w:bookmarkEnd w:id="114"/>
      <w:bookmarkEnd w:id="115"/>
      <w:bookmarkEnd w:id="116"/>
      <w:r w:rsidRPr="00F045E6">
        <w:t xml:space="preserve">Section 1: </w:t>
      </w:r>
      <w:r w:rsidR="009F5CC2">
        <w:t>Entity</w:t>
      </w:r>
      <w:r w:rsidR="00676087">
        <w:t xml:space="preserve"> </w:t>
      </w:r>
      <w:r w:rsidRPr="00F045E6">
        <w:t>overview and resources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ACE165F" w14:textId="77777777" w:rsidR="00DB42D8" w:rsidRPr="002322E9" w:rsidRDefault="00DB42D8" w:rsidP="00DB42D8">
      <w:pPr>
        <w:pStyle w:val="Heading3"/>
      </w:pPr>
      <w:bookmarkStart w:id="197" w:name="_Toc210703209"/>
      <w:bookmarkStart w:id="198" w:name="_Toc531094583"/>
      <w:bookmarkStart w:id="199" w:name="_Toc531095062"/>
      <w:bookmarkStart w:id="200" w:name="_Toc157411244"/>
      <w:bookmarkStart w:id="201" w:name="_Toc157412179"/>
      <w:bookmarkStart w:id="202" w:name="_Toc157412342"/>
      <w:bookmarkStart w:id="203" w:name="_Toc157445515"/>
      <w:bookmarkStart w:id="204" w:name="_Toc157497329"/>
      <w:bookmarkStart w:id="205" w:name="_Toc157613711"/>
      <w:bookmarkStart w:id="206" w:name="_Toc157614010"/>
      <w:bookmarkStart w:id="207" w:name="_Toc157617002"/>
      <w:bookmarkStart w:id="208" w:name="_Toc157618224"/>
      <w:bookmarkStart w:id="209" w:name="_Toc157697096"/>
      <w:bookmarkStart w:id="210" w:name="_Toc157698131"/>
      <w:bookmarkStart w:id="211" w:name="_Toc157705378"/>
      <w:bookmarkStart w:id="212" w:name="_Toc157705436"/>
      <w:bookmarkStart w:id="213" w:name="_Toc157705488"/>
      <w:bookmarkStart w:id="214" w:name="_Toc157705729"/>
      <w:bookmarkStart w:id="215" w:name="_Toc15770609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1.1</w:t>
      </w:r>
      <w:r>
        <w:tab/>
      </w:r>
      <w:bookmarkStart w:id="216" w:name="_Toc210646449"/>
      <w:bookmarkStart w:id="217" w:name="_Toc21069842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4928FF">
        <w:t>Strategic direction</w:t>
      </w:r>
      <w:bookmarkEnd w:id="197"/>
      <w:bookmarkEnd w:id="216"/>
      <w:bookmarkEnd w:id="217"/>
      <w:r>
        <w:t xml:space="preserve"> statement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CA48ECB" w14:textId="77777777" w:rsidR="000117A2" w:rsidRPr="00733802" w:rsidRDefault="000117A2" w:rsidP="000051E4">
      <w:pPr>
        <w:rPr>
          <w:szCs w:val="19"/>
        </w:rPr>
      </w:pPr>
      <w:bookmarkStart w:id="218" w:name="_Toc210703210"/>
      <w:bookmarkStart w:id="219" w:name="_Toc436624139"/>
      <w:bookmarkStart w:id="220" w:name="_Toc436625440"/>
      <w:bookmarkStart w:id="221" w:name="_Toc449255760"/>
      <w:bookmarkStart w:id="222" w:name="_Toc531094584"/>
      <w:bookmarkStart w:id="223" w:name="_Toc531095063"/>
      <w:bookmarkEnd w:id="120"/>
      <w:bookmarkEnd w:id="121"/>
      <w:r w:rsidRPr="00733802">
        <w:rPr>
          <w:szCs w:val="19"/>
        </w:rPr>
        <w:t xml:space="preserve">Since issuing the 2023–24 Portfolio Budget Statements Finance has transformed its purpose statement and aligned its key activities to better reflect the breadth of activity Finance delivers. </w:t>
      </w:r>
    </w:p>
    <w:p w14:paraId="0006F9A3" w14:textId="77777777" w:rsidR="000117A2" w:rsidRPr="00733802" w:rsidRDefault="000117A2" w:rsidP="000051E4">
      <w:pPr>
        <w:rPr>
          <w:szCs w:val="19"/>
        </w:rPr>
      </w:pPr>
      <w:r w:rsidRPr="00733802">
        <w:rPr>
          <w:szCs w:val="19"/>
        </w:rPr>
        <w:t xml:space="preserve">Finance’s purpose is to provide high quality advice, frameworks, and services to achieve value in the management of public resources for the benefit of all Australians. Finance achieves its purpose by: </w:t>
      </w:r>
    </w:p>
    <w:p w14:paraId="26A3874E" w14:textId="1CA1CAFD" w:rsidR="000117A2" w:rsidRPr="00733802" w:rsidRDefault="000117A2" w:rsidP="00503E20">
      <w:pPr>
        <w:pStyle w:val="ListParagraph"/>
        <w:numPr>
          <w:ilvl w:val="0"/>
          <w:numId w:val="16"/>
        </w:numPr>
        <w:spacing w:after="240" w:line="240" w:lineRule="exact"/>
        <w:ind w:left="714" w:hanging="357"/>
        <w:rPr>
          <w:rFonts w:ascii="Book Antiqua" w:eastAsia="Times New Roman" w:hAnsi="Book Antiqua"/>
          <w:sz w:val="19"/>
          <w:szCs w:val="19"/>
        </w:rPr>
      </w:pPr>
      <w:r w:rsidRPr="00733802">
        <w:rPr>
          <w:rFonts w:ascii="Book Antiqua" w:eastAsia="Times New Roman" w:hAnsi="Book Antiqua"/>
          <w:sz w:val="19"/>
          <w:szCs w:val="19"/>
        </w:rPr>
        <w:t>Providing policy advice on expenditure across all portfolios and deliver Budget updates, cash management and consolidated financial reporting</w:t>
      </w:r>
    </w:p>
    <w:p w14:paraId="55AD2735" w14:textId="5597FE62" w:rsidR="00CA2602" w:rsidRDefault="000117A2" w:rsidP="00984632">
      <w:pPr>
        <w:pStyle w:val="ListParagraph"/>
        <w:numPr>
          <w:ilvl w:val="0"/>
          <w:numId w:val="16"/>
        </w:numPr>
        <w:spacing w:after="240" w:line="240" w:lineRule="exact"/>
        <w:ind w:left="714" w:hanging="357"/>
        <w:rPr>
          <w:rFonts w:ascii="Book Antiqua" w:eastAsia="Times New Roman" w:hAnsi="Book Antiqua"/>
          <w:sz w:val="19"/>
          <w:szCs w:val="19"/>
        </w:rPr>
      </w:pPr>
      <w:r w:rsidRPr="00CA2602">
        <w:rPr>
          <w:rFonts w:ascii="Book Antiqua" w:eastAsia="Times New Roman" w:hAnsi="Book Antiqua"/>
          <w:sz w:val="19"/>
          <w:szCs w:val="19"/>
        </w:rPr>
        <w:t>Managing frameworks and policies, and provide advice to support the proper use and management of public resources</w:t>
      </w:r>
    </w:p>
    <w:p w14:paraId="61086479" w14:textId="4306E40C" w:rsidR="000117A2" w:rsidRPr="00CA2602" w:rsidRDefault="000117A2" w:rsidP="00984632">
      <w:pPr>
        <w:pStyle w:val="ListParagraph"/>
        <w:numPr>
          <w:ilvl w:val="0"/>
          <w:numId w:val="16"/>
        </w:numPr>
        <w:spacing w:after="240" w:line="240" w:lineRule="exact"/>
        <w:ind w:left="714" w:hanging="357"/>
        <w:rPr>
          <w:rFonts w:ascii="Book Antiqua" w:eastAsia="Times New Roman" w:hAnsi="Book Antiqua"/>
          <w:sz w:val="19"/>
          <w:szCs w:val="19"/>
        </w:rPr>
      </w:pPr>
      <w:r w:rsidRPr="00CA2602">
        <w:rPr>
          <w:rFonts w:ascii="Book Antiqua" w:eastAsia="Times New Roman" w:hAnsi="Book Antiqua"/>
          <w:sz w:val="19"/>
          <w:szCs w:val="19"/>
        </w:rPr>
        <w:t>Supporting the commercial interest of the Commonwealth</w:t>
      </w:r>
    </w:p>
    <w:p w14:paraId="1A037197" w14:textId="7A677028" w:rsidR="000117A2" w:rsidRPr="00733802" w:rsidRDefault="000117A2" w:rsidP="00503E20">
      <w:pPr>
        <w:pStyle w:val="ListParagraph"/>
        <w:numPr>
          <w:ilvl w:val="0"/>
          <w:numId w:val="16"/>
        </w:numPr>
        <w:spacing w:after="240" w:line="240" w:lineRule="exact"/>
        <w:ind w:left="714" w:hanging="357"/>
        <w:rPr>
          <w:rFonts w:ascii="Book Antiqua" w:eastAsia="Times New Roman" w:hAnsi="Book Antiqua"/>
          <w:sz w:val="19"/>
          <w:szCs w:val="19"/>
        </w:rPr>
      </w:pPr>
      <w:r w:rsidRPr="00733802">
        <w:rPr>
          <w:rFonts w:ascii="Book Antiqua" w:eastAsia="Times New Roman" w:hAnsi="Book Antiqua"/>
          <w:sz w:val="19"/>
          <w:szCs w:val="19"/>
        </w:rPr>
        <w:t>Providing enabling services to the Commonwealth</w:t>
      </w:r>
    </w:p>
    <w:p w14:paraId="11297C75" w14:textId="6D469987" w:rsidR="000117A2" w:rsidRPr="00733802" w:rsidRDefault="000117A2" w:rsidP="00503E20">
      <w:pPr>
        <w:pStyle w:val="ListParagraph"/>
        <w:numPr>
          <w:ilvl w:val="0"/>
          <w:numId w:val="16"/>
        </w:numPr>
        <w:spacing w:after="240" w:line="240" w:lineRule="exact"/>
        <w:ind w:left="714" w:hanging="357"/>
        <w:rPr>
          <w:rFonts w:ascii="Book Antiqua" w:eastAsia="Times New Roman" w:hAnsi="Book Antiqua"/>
          <w:sz w:val="19"/>
          <w:szCs w:val="19"/>
        </w:rPr>
      </w:pPr>
      <w:r w:rsidRPr="00733802">
        <w:rPr>
          <w:rFonts w:ascii="Book Antiqua" w:eastAsia="Times New Roman" w:hAnsi="Book Antiqua"/>
          <w:sz w:val="19"/>
          <w:szCs w:val="19"/>
        </w:rPr>
        <w:t>Supporting wider availability and use of Government data and promote digital transformation</w:t>
      </w:r>
    </w:p>
    <w:p w14:paraId="7F985CBB" w14:textId="77777777" w:rsidR="000117A2" w:rsidRPr="00733802" w:rsidRDefault="000117A2" w:rsidP="00503E20">
      <w:pPr>
        <w:pStyle w:val="ListParagraph"/>
        <w:numPr>
          <w:ilvl w:val="0"/>
          <w:numId w:val="16"/>
        </w:numPr>
        <w:spacing w:after="240" w:line="240" w:lineRule="exact"/>
        <w:ind w:left="714" w:hanging="357"/>
        <w:rPr>
          <w:rFonts w:ascii="Book Antiqua" w:eastAsia="Times New Roman" w:hAnsi="Book Antiqua"/>
          <w:sz w:val="19"/>
          <w:szCs w:val="19"/>
        </w:rPr>
      </w:pPr>
      <w:r w:rsidRPr="00733802">
        <w:rPr>
          <w:rFonts w:ascii="Book Antiqua" w:eastAsia="Times New Roman" w:hAnsi="Book Antiqua"/>
          <w:sz w:val="19"/>
          <w:szCs w:val="19"/>
        </w:rPr>
        <w:t>Delivering ministerial and parliamentary services.</w:t>
      </w:r>
    </w:p>
    <w:p w14:paraId="5EFEF3BC" w14:textId="4B345C27" w:rsidR="000117A2" w:rsidRDefault="000117A2" w:rsidP="000051E4">
      <w:pPr>
        <w:rPr>
          <w:szCs w:val="19"/>
        </w:rPr>
      </w:pPr>
      <w:r w:rsidRPr="00733802">
        <w:rPr>
          <w:szCs w:val="19"/>
        </w:rPr>
        <w:t xml:space="preserve">Full performance information can be found in the Department of Finance 2023-24 Corporate Plan. </w:t>
      </w:r>
    </w:p>
    <w:p w14:paraId="53091916" w14:textId="26CA4E57" w:rsidR="0024335E" w:rsidRPr="00733802" w:rsidRDefault="0024335E" w:rsidP="000051E4">
      <w:pPr>
        <w:rPr>
          <w:szCs w:val="19"/>
        </w:rPr>
      </w:pPr>
      <w:r>
        <w:rPr>
          <w:szCs w:val="19"/>
        </w:rPr>
        <w:t xml:space="preserve">Finance is seeking additional appropriations of $14.9 million in Appropriation Bill No. 3 for Departmental and Administered activities and $440.6 million in Appropriation Bill No. 4 mainly associated with the measure </w:t>
      </w:r>
      <w:r w:rsidRPr="0024335E">
        <w:rPr>
          <w:szCs w:val="19"/>
        </w:rPr>
        <w:t>More Efficient and Effective Vehicle Leasing and Fleet Management Arrangement</w:t>
      </w:r>
      <w:r>
        <w:rPr>
          <w:szCs w:val="19"/>
        </w:rPr>
        <w:t>.</w:t>
      </w:r>
    </w:p>
    <w:p w14:paraId="1093E84D" w14:textId="77777777" w:rsidR="00DB42D8" w:rsidRPr="004928FF" w:rsidRDefault="00DB42D8" w:rsidP="00DB42D8">
      <w:pPr>
        <w:pStyle w:val="Heading3"/>
      </w:pPr>
      <w:bookmarkStart w:id="224" w:name="_Toc157411245"/>
      <w:bookmarkStart w:id="225" w:name="_Toc157412180"/>
      <w:bookmarkStart w:id="226" w:name="_Toc157412343"/>
      <w:bookmarkStart w:id="227" w:name="_Toc157445516"/>
      <w:bookmarkStart w:id="228" w:name="_Toc157497330"/>
      <w:bookmarkStart w:id="229" w:name="_Toc157613712"/>
      <w:bookmarkStart w:id="230" w:name="_Toc157614011"/>
      <w:bookmarkStart w:id="231" w:name="_Toc157617003"/>
      <w:bookmarkStart w:id="232" w:name="_Toc157618225"/>
      <w:bookmarkStart w:id="233" w:name="_Toc157697097"/>
      <w:bookmarkStart w:id="234" w:name="_Toc157698132"/>
      <w:bookmarkStart w:id="235" w:name="_Toc157705379"/>
      <w:bookmarkStart w:id="236" w:name="_Toc157705437"/>
      <w:bookmarkStart w:id="237" w:name="_Toc157705489"/>
      <w:bookmarkStart w:id="238" w:name="_Toc157705730"/>
      <w:bookmarkStart w:id="239" w:name="_Toc157706095"/>
      <w:r>
        <w:t>1.2</w:t>
      </w:r>
      <w:bookmarkEnd w:id="218"/>
      <w:r>
        <w:tab/>
      </w:r>
      <w:bookmarkStart w:id="240" w:name="_Toc490972403"/>
      <w:bookmarkStart w:id="241" w:name="_Toc491014620"/>
      <w:bookmarkStart w:id="242" w:name="_Toc491014762"/>
      <w:bookmarkStart w:id="243" w:name="_Toc491014942"/>
      <w:bookmarkStart w:id="244" w:name="_Toc491015089"/>
      <w:bookmarkStart w:id="245" w:name="_Toc491032105"/>
      <w:bookmarkEnd w:id="219"/>
      <w:bookmarkEnd w:id="220"/>
      <w:bookmarkEnd w:id="221"/>
      <w:r>
        <w:t>Entity resource statement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5437D36" w14:textId="0128610A" w:rsidR="00DB42D8" w:rsidRDefault="00DB42D8" w:rsidP="00DB42D8">
      <w:r>
        <w:t xml:space="preserve">The Entity Resource Statement details the resourcing for </w:t>
      </w:r>
      <w:r w:rsidR="00B46CAB">
        <w:t>Finance</w:t>
      </w:r>
      <w:r>
        <w:t xml:space="preserve"> at Additional Estimates. Table 1.1 outlines the total resourcing available from all sources for the 2023</w:t>
      </w:r>
      <w:r w:rsidR="005E55CA">
        <w:t>–</w:t>
      </w:r>
      <w:r>
        <w:t xml:space="preserve">24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59272CAC" w14:textId="2EEBAC5E" w:rsidR="00DB42D8" w:rsidRPr="00557CCF" w:rsidRDefault="00DB42D8" w:rsidP="00DB42D8">
      <w:r>
        <w:t>Amounts presented below are consistent with amounts presented in the Appropriation Bills themselves, and as published in appropriation notes to the 2022</w:t>
      </w:r>
      <w:r w:rsidR="005E55CA">
        <w:t>–</w:t>
      </w:r>
      <w:r>
        <w:t xml:space="preserve">23 financial statements. </w:t>
      </w:r>
    </w:p>
    <w:p w14:paraId="4EE9BB31" w14:textId="45FDB4C5" w:rsidR="00DB42D8" w:rsidRDefault="00DB42D8" w:rsidP="00DB42D8">
      <w:pPr>
        <w:pStyle w:val="TableHeading"/>
      </w:pPr>
      <w:r>
        <w:br w:type="page"/>
      </w:r>
      <w:bookmarkStart w:id="246" w:name="OLE_LINK9"/>
      <w:r w:rsidRPr="00564C0F">
        <w:lastRenderedPageBreak/>
        <w:t xml:space="preserve">Table 1.1: </w:t>
      </w:r>
      <w:r w:rsidR="00676087">
        <w:t xml:space="preserve">Department of Finance </w:t>
      </w:r>
      <w:r w:rsidRPr="00564C0F">
        <w:t xml:space="preserve">resource statement — Additional Estimates for </w:t>
      </w:r>
      <w:r w:rsidRPr="00564C0F">
        <w:br/>
      </w:r>
      <w:r>
        <w:t>2023</w:t>
      </w:r>
      <w:r w:rsidR="005E55CA">
        <w:t>–</w:t>
      </w:r>
      <w:r>
        <w:t>24</w:t>
      </w:r>
      <w:r w:rsidRPr="00564C0F">
        <w:t xml:space="preserve"> as at </w:t>
      </w:r>
      <w:r w:rsidRPr="00055E5F">
        <w:t xml:space="preserve">February </w:t>
      </w:r>
      <w:bookmarkEnd w:id="246"/>
      <w:r w:rsidRPr="00055E5F">
        <w:t>202</w:t>
      </w:r>
      <w:r>
        <w:t>4</w:t>
      </w:r>
    </w:p>
    <w:p w14:paraId="77BF388A" w14:textId="3A5CB07C" w:rsidR="00DB42D8" w:rsidRPr="0013701B" w:rsidRDefault="00BA1E19" w:rsidP="00DB42D8">
      <w:pPr>
        <w:pStyle w:val="TableGraphic"/>
      </w:pPr>
      <w:r w:rsidRPr="00BA1E19">
        <w:rPr>
          <w:noProof/>
        </w:rPr>
        <w:drawing>
          <wp:inline distT="0" distB="0" distL="0" distR="0" wp14:anchorId="39987D10" wp14:editId="67181AD1">
            <wp:extent cx="4896485" cy="5699760"/>
            <wp:effectExtent l="0" t="0" r="0" b="0"/>
            <wp:docPr id="109687357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96485" cy="5699760"/>
                    </a:xfrm>
                    <a:prstGeom prst="rect">
                      <a:avLst/>
                    </a:prstGeom>
                    <a:noFill/>
                    <a:ln>
                      <a:noFill/>
                    </a:ln>
                  </pic:spPr>
                </pic:pic>
              </a:graphicData>
            </a:graphic>
          </wp:inline>
        </w:drawing>
      </w:r>
    </w:p>
    <w:p w14:paraId="068494D9" w14:textId="77777777" w:rsidR="00146803" w:rsidRPr="00321EC0" w:rsidRDefault="00146803" w:rsidP="00146803">
      <w:pPr>
        <w:pStyle w:val="ChartandTableFootnoteAlpha"/>
        <w:numPr>
          <w:ilvl w:val="0"/>
          <w:numId w:val="0"/>
        </w:numPr>
        <w:ind w:left="397" w:hanging="397"/>
      </w:pPr>
      <w:r w:rsidRPr="00001C30">
        <w:t>Table continues on next page</w:t>
      </w:r>
    </w:p>
    <w:p w14:paraId="7DE8FBFE" w14:textId="77777777" w:rsidR="00DB42D8" w:rsidRPr="00B4522C" w:rsidRDefault="00DB42D8" w:rsidP="00DB42D8">
      <w:pPr>
        <w:pStyle w:val="TableGraphic"/>
      </w:pPr>
    </w:p>
    <w:p w14:paraId="31AFCF6F" w14:textId="432540BB" w:rsidR="00DB42D8" w:rsidRDefault="00DB42D8" w:rsidP="00DB42D8">
      <w:pPr>
        <w:pStyle w:val="TableHeading"/>
      </w:pPr>
      <w:bookmarkStart w:id="247" w:name="OLE_LINK10"/>
      <w:bookmarkStart w:id="248" w:name="OLE_LINK11"/>
      <w:r w:rsidRPr="00564C0F">
        <w:lastRenderedPageBreak/>
        <w:t xml:space="preserve">Table 1.1: </w:t>
      </w:r>
      <w:r w:rsidR="00676087">
        <w:t>Department of Finance</w:t>
      </w:r>
      <w:r w:rsidR="00676087" w:rsidRPr="00564C0F">
        <w:t xml:space="preserve"> </w:t>
      </w:r>
      <w:r w:rsidRPr="00564C0F">
        <w:t xml:space="preserve">resource statement — Additional Estimates for </w:t>
      </w:r>
      <w:r w:rsidRPr="00564C0F">
        <w:br/>
      </w:r>
      <w:r>
        <w:t>2023</w:t>
      </w:r>
      <w:r w:rsidR="005E55CA">
        <w:t>–</w:t>
      </w:r>
      <w:r>
        <w:t>24</w:t>
      </w:r>
      <w:r w:rsidRPr="00564C0F">
        <w:t xml:space="preserve"> as </w:t>
      </w:r>
      <w:r w:rsidRPr="00152EC3">
        <w:t xml:space="preserve">at </w:t>
      </w:r>
      <w:r w:rsidRPr="00055E5F">
        <w:t>February 202</w:t>
      </w:r>
      <w:r>
        <w:t>4</w:t>
      </w:r>
      <w:r w:rsidR="00123CA2">
        <w:t xml:space="preserve"> (continued)</w:t>
      </w:r>
    </w:p>
    <w:p w14:paraId="188C5BCF" w14:textId="366D2F0A" w:rsidR="00DB42D8" w:rsidRPr="00185D7A" w:rsidRDefault="00082113" w:rsidP="00AA6386">
      <w:pPr>
        <w:pStyle w:val="Source"/>
        <w:tabs>
          <w:tab w:val="clear" w:pos="709"/>
        </w:tabs>
        <w:spacing w:after="120"/>
        <w:ind w:left="0" w:firstLine="0"/>
        <w:contextualSpacing/>
      </w:pPr>
      <w:r w:rsidRPr="00082113">
        <w:rPr>
          <w:noProof/>
        </w:rPr>
        <w:drawing>
          <wp:inline distT="0" distB="0" distL="0" distR="0" wp14:anchorId="50FCCBC1" wp14:editId="18297CAE">
            <wp:extent cx="4896485" cy="2690495"/>
            <wp:effectExtent l="0" t="0" r="0" b="0"/>
            <wp:docPr id="1865712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96485" cy="2690495"/>
                    </a:xfrm>
                    <a:prstGeom prst="rect">
                      <a:avLst/>
                    </a:prstGeom>
                    <a:noFill/>
                    <a:ln>
                      <a:noFill/>
                    </a:ln>
                  </pic:spPr>
                </pic:pic>
              </a:graphicData>
            </a:graphic>
          </wp:inline>
        </w:drawing>
      </w:r>
      <w:r w:rsidR="00BA1E19" w:rsidRPr="00BA1E19">
        <w:t xml:space="preserve"> </w:t>
      </w:r>
      <w:r w:rsidR="00DB42D8" w:rsidRPr="00185D7A">
        <w:t>Prepared on a resourcing (i.e. appropriations available) basis.</w:t>
      </w:r>
    </w:p>
    <w:p w14:paraId="5BAADF80" w14:textId="77777777" w:rsidR="00DB42D8" w:rsidRPr="00185D7A" w:rsidRDefault="00DB42D8" w:rsidP="000C2BC5">
      <w:pPr>
        <w:pStyle w:val="Source"/>
        <w:spacing w:after="120"/>
        <w:contextualSpacing/>
      </w:pPr>
      <w:r w:rsidRPr="00185D7A">
        <w:t>All figures shown above are GST exclusive – these may not match figures in the cash flow statement.</w:t>
      </w:r>
    </w:p>
    <w:p w14:paraId="454D2065" w14:textId="7DF111F2" w:rsidR="00DB42D8" w:rsidRDefault="00DB42D8" w:rsidP="00FC3DFF">
      <w:pPr>
        <w:pStyle w:val="ChartandTableFootnoteAlpha"/>
        <w:rPr>
          <w:iCs/>
        </w:rPr>
      </w:pPr>
      <w:r w:rsidRPr="007A248C">
        <w:rPr>
          <w:i/>
        </w:rPr>
        <w:t>Appropriation Act (No. 1) 2023</w:t>
      </w:r>
      <w:r w:rsidR="005E55CA" w:rsidRPr="007A248C">
        <w:rPr>
          <w:i/>
        </w:rPr>
        <w:t>–</w:t>
      </w:r>
      <w:r w:rsidRPr="007A248C">
        <w:rPr>
          <w:i/>
        </w:rPr>
        <w:t>2024</w:t>
      </w:r>
      <w:r w:rsidRPr="000051E4">
        <w:rPr>
          <w:iCs/>
        </w:rPr>
        <w:t xml:space="preserve"> and Appropriation Bill (No. 3) 2023</w:t>
      </w:r>
      <w:r w:rsidR="005E55CA" w:rsidRPr="000051E4">
        <w:rPr>
          <w:iCs/>
        </w:rPr>
        <w:t>–</w:t>
      </w:r>
      <w:r w:rsidRPr="000051E4">
        <w:rPr>
          <w:iCs/>
        </w:rPr>
        <w:t xml:space="preserve">2024. Actual Available Appropriation column reflects the closing unspent appropriation balance from </w:t>
      </w:r>
      <w:r w:rsidR="00AA6386">
        <w:rPr>
          <w:iCs/>
        </w:rPr>
        <w:t>F</w:t>
      </w:r>
      <w:r w:rsidR="00023DB7">
        <w:rPr>
          <w:iCs/>
        </w:rPr>
        <w:t>inance</w:t>
      </w:r>
      <w:r w:rsidRPr="000051E4">
        <w:rPr>
          <w:iCs/>
        </w:rPr>
        <w:t>’s 2022</w:t>
      </w:r>
      <w:r w:rsidR="005E55CA" w:rsidRPr="000051E4">
        <w:rPr>
          <w:iCs/>
        </w:rPr>
        <w:t>–</w:t>
      </w:r>
      <w:r w:rsidRPr="000051E4">
        <w:rPr>
          <w:iCs/>
        </w:rPr>
        <w:t xml:space="preserve">23 annual report and encompasses </w:t>
      </w:r>
      <w:r w:rsidRPr="007A248C">
        <w:rPr>
          <w:i/>
        </w:rPr>
        <w:t>Appropriation Act (No. 1) 2022</w:t>
      </w:r>
      <w:r w:rsidR="005E55CA" w:rsidRPr="007A248C">
        <w:rPr>
          <w:i/>
        </w:rPr>
        <w:t>–</w:t>
      </w:r>
      <w:r w:rsidRPr="007A248C">
        <w:rPr>
          <w:i/>
        </w:rPr>
        <w:t>2023</w:t>
      </w:r>
      <w:r w:rsidRPr="000051E4">
        <w:rPr>
          <w:iCs/>
        </w:rPr>
        <w:t xml:space="preserve">, </w:t>
      </w:r>
      <w:r w:rsidRPr="007A248C">
        <w:rPr>
          <w:i/>
        </w:rPr>
        <w:t>Supply Act (No.</w:t>
      </w:r>
      <w:r w:rsidR="00AA6386" w:rsidRPr="007A248C">
        <w:rPr>
          <w:i/>
        </w:rPr>
        <w:t xml:space="preserve"> </w:t>
      </w:r>
      <w:r w:rsidRPr="007A248C">
        <w:rPr>
          <w:i/>
        </w:rPr>
        <w:t>1) 2022</w:t>
      </w:r>
      <w:r w:rsidR="005E55CA" w:rsidRPr="007A248C">
        <w:rPr>
          <w:i/>
        </w:rPr>
        <w:t>–</w:t>
      </w:r>
      <w:r w:rsidRPr="007A248C">
        <w:rPr>
          <w:i/>
        </w:rPr>
        <w:t>2023</w:t>
      </w:r>
      <w:r w:rsidRPr="000051E4">
        <w:rPr>
          <w:iCs/>
        </w:rPr>
        <w:t xml:space="preserve">, </w:t>
      </w:r>
      <w:r w:rsidRPr="007A248C">
        <w:rPr>
          <w:i/>
        </w:rPr>
        <w:t>Supply Act (No.</w:t>
      </w:r>
      <w:r w:rsidR="00AA6386" w:rsidRPr="007A248C">
        <w:rPr>
          <w:i/>
        </w:rPr>
        <w:t xml:space="preserve"> </w:t>
      </w:r>
      <w:r w:rsidRPr="007A248C">
        <w:rPr>
          <w:i/>
        </w:rPr>
        <w:t>3) 2022–2023</w:t>
      </w:r>
      <w:r w:rsidRPr="000051E4">
        <w:rPr>
          <w:iCs/>
        </w:rPr>
        <w:t xml:space="preserve"> and </w:t>
      </w:r>
      <w:r w:rsidRPr="007A248C">
        <w:rPr>
          <w:i/>
        </w:rPr>
        <w:t>Appropriation Act (No. 3) 2022</w:t>
      </w:r>
      <w:r w:rsidR="005E55CA" w:rsidRPr="007A248C">
        <w:rPr>
          <w:i/>
        </w:rPr>
        <w:t>–</w:t>
      </w:r>
      <w:r w:rsidRPr="007A248C">
        <w:rPr>
          <w:i/>
        </w:rPr>
        <w:t>2023</w:t>
      </w:r>
      <w:r w:rsidRPr="000051E4">
        <w:rPr>
          <w:iCs/>
        </w:rPr>
        <w:t>.</w:t>
      </w:r>
    </w:p>
    <w:p w14:paraId="2098F624" w14:textId="642AF34D" w:rsidR="00F6252F" w:rsidRPr="00F6252F" w:rsidRDefault="00F6252F" w:rsidP="00C172B2">
      <w:pPr>
        <w:pStyle w:val="ChartandTableFootnoteAlpha"/>
      </w:pPr>
      <w:r w:rsidRPr="00F6252F">
        <w:rPr>
          <w:iCs/>
        </w:rPr>
        <w:t xml:space="preserve">Finance has received $15,025 ($’000) from the </w:t>
      </w:r>
      <w:r>
        <w:rPr>
          <w:iCs/>
        </w:rPr>
        <w:t>DTA</w:t>
      </w:r>
      <w:r w:rsidRPr="00F6252F">
        <w:rPr>
          <w:iCs/>
        </w:rPr>
        <w:t xml:space="preserve"> under a section 75 determination and has transferred $14,989 ($’000) to the </w:t>
      </w:r>
      <w:r>
        <w:rPr>
          <w:iCs/>
        </w:rPr>
        <w:t>PWSS</w:t>
      </w:r>
      <w:r w:rsidRPr="00F6252F">
        <w:rPr>
          <w:iCs/>
        </w:rPr>
        <w:t xml:space="preserve"> under a section 75 determination.</w:t>
      </w:r>
    </w:p>
    <w:p w14:paraId="54E4EA75" w14:textId="3D8BEB76" w:rsidR="00DB42D8" w:rsidRPr="000051E4" w:rsidRDefault="00DB42D8" w:rsidP="00FC3DFF">
      <w:pPr>
        <w:pStyle w:val="ChartandTableFootnoteAlpha"/>
        <w:rPr>
          <w:rFonts w:cs="Arial"/>
          <w:iCs/>
          <w:szCs w:val="16"/>
        </w:rPr>
      </w:pPr>
      <w:r w:rsidRPr="000051E4">
        <w:rPr>
          <w:rFonts w:cs="Arial"/>
          <w:iCs/>
          <w:szCs w:val="16"/>
        </w:rPr>
        <w:t>Estimated external revenue receipts under section 74 of the</w:t>
      </w:r>
      <w:r w:rsidR="000051E4" w:rsidRPr="000051E4">
        <w:rPr>
          <w:rFonts w:cs="Arial"/>
          <w:iCs/>
          <w:szCs w:val="16"/>
        </w:rPr>
        <w:t xml:space="preserve"> Public Governance, </w:t>
      </w:r>
      <w:r w:rsidR="000051E4" w:rsidRPr="007A248C">
        <w:rPr>
          <w:i/>
        </w:rPr>
        <w:t xml:space="preserve">Performance and Accountability Act 2013 </w:t>
      </w:r>
      <w:r w:rsidR="000051E4" w:rsidRPr="00465F31">
        <w:rPr>
          <w:iCs/>
        </w:rPr>
        <w:t>(PGPA Act)</w:t>
      </w:r>
      <w:r w:rsidR="000051E4" w:rsidRPr="007A248C">
        <w:rPr>
          <w:i/>
        </w:rPr>
        <w:t>.</w:t>
      </w:r>
    </w:p>
    <w:p w14:paraId="6D037546" w14:textId="245CEC31" w:rsidR="00DB42D8" w:rsidRPr="000051E4" w:rsidRDefault="00DB42D8" w:rsidP="00FC3DFF">
      <w:pPr>
        <w:pStyle w:val="ChartandTableFootnoteAlpha"/>
        <w:rPr>
          <w:rFonts w:cs="Arial"/>
          <w:iCs/>
          <w:szCs w:val="16"/>
        </w:rPr>
      </w:pPr>
      <w:r w:rsidRPr="000051E4">
        <w:rPr>
          <w:rFonts w:cs="Arial"/>
          <w:iCs/>
          <w:szCs w:val="16"/>
        </w:rPr>
        <w:t xml:space="preserve">Departmental capital budgets </w:t>
      </w:r>
      <w:r w:rsidR="000051E4" w:rsidRPr="000051E4">
        <w:rPr>
          <w:rFonts w:cs="Arial"/>
          <w:iCs/>
          <w:szCs w:val="16"/>
        </w:rPr>
        <w:t xml:space="preserve">(DCB) </w:t>
      </w:r>
      <w:r w:rsidRPr="000051E4">
        <w:rPr>
          <w:rFonts w:cs="Arial"/>
          <w:iCs/>
          <w:szCs w:val="16"/>
        </w:rPr>
        <w:t xml:space="preserve">are not separately identified in </w:t>
      </w:r>
      <w:r w:rsidRPr="007A248C">
        <w:rPr>
          <w:rFonts w:cs="Arial"/>
          <w:i/>
          <w:szCs w:val="16"/>
        </w:rPr>
        <w:t>Appropriation Act (No.</w:t>
      </w:r>
      <w:r w:rsidR="00AA6386" w:rsidRPr="007A248C">
        <w:rPr>
          <w:rFonts w:cs="Arial"/>
          <w:i/>
          <w:szCs w:val="16"/>
        </w:rPr>
        <w:t xml:space="preserve"> </w:t>
      </w:r>
      <w:r w:rsidRPr="007A248C">
        <w:rPr>
          <w:rFonts w:cs="Arial"/>
          <w:i/>
          <w:szCs w:val="16"/>
        </w:rPr>
        <w:t>1)</w:t>
      </w:r>
      <w:r w:rsidRPr="000051E4">
        <w:rPr>
          <w:rFonts w:cs="Arial"/>
          <w:iCs/>
          <w:szCs w:val="16"/>
        </w:rPr>
        <w:t xml:space="preserve"> and form part of ordinary annual services items. Refer to Table 3.6 for further details. For accounting purposes, this amount has been designated as a ‘contribution by owner’.</w:t>
      </w:r>
    </w:p>
    <w:p w14:paraId="38B6F86A" w14:textId="29D4DE2D" w:rsidR="00DB42D8" w:rsidRPr="000051E4" w:rsidRDefault="00DB42D8" w:rsidP="00FC3DFF">
      <w:pPr>
        <w:pStyle w:val="ChartandTableFootnoteAlpha"/>
        <w:rPr>
          <w:iCs/>
        </w:rPr>
      </w:pPr>
      <w:r w:rsidRPr="007A248C">
        <w:rPr>
          <w:rFonts w:cs="Arial"/>
          <w:i/>
          <w:szCs w:val="16"/>
        </w:rPr>
        <w:t>Appropriation Act (No. 2) 2023</w:t>
      </w:r>
      <w:r w:rsidR="005E55CA" w:rsidRPr="007A248C">
        <w:rPr>
          <w:rFonts w:cs="Arial"/>
          <w:i/>
          <w:szCs w:val="16"/>
        </w:rPr>
        <w:t>–</w:t>
      </w:r>
      <w:r w:rsidRPr="007A248C">
        <w:rPr>
          <w:rFonts w:cs="Arial"/>
          <w:i/>
          <w:szCs w:val="16"/>
        </w:rPr>
        <w:t>2024</w:t>
      </w:r>
      <w:r w:rsidRPr="000051E4">
        <w:rPr>
          <w:rFonts w:cs="Arial"/>
          <w:iCs/>
          <w:szCs w:val="16"/>
        </w:rPr>
        <w:t xml:space="preserve"> and Appropriation Bill (No. 4) 2023</w:t>
      </w:r>
      <w:r w:rsidR="005E55CA" w:rsidRPr="000051E4">
        <w:rPr>
          <w:rFonts w:cs="Arial"/>
          <w:iCs/>
          <w:szCs w:val="16"/>
        </w:rPr>
        <w:t>–</w:t>
      </w:r>
      <w:r w:rsidRPr="000051E4">
        <w:rPr>
          <w:rFonts w:cs="Arial"/>
          <w:iCs/>
          <w:szCs w:val="16"/>
        </w:rPr>
        <w:t>2024.</w:t>
      </w:r>
      <w:r w:rsidRPr="000051E4">
        <w:rPr>
          <w:iCs/>
        </w:rPr>
        <w:t xml:space="preserve"> Actual Available Appropriation column reflects the closing unspent appropriation balance from </w:t>
      </w:r>
      <w:r w:rsidR="000051E4" w:rsidRPr="000051E4">
        <w:rPr>
          <w:iCs/>
        </w:rPr>
        <w:t>Finance</w:t>
      </w:r>
      <w:r w:rsidRPr="000051E4">
        <w:rPr>
          <w:iCs/>
        </w:rPr>
        <w:t>’s 2022</w:t>
      </w:r>
      <w:r w:rsidR="005E55CA" w:rsidRPr="000051E4">
        <w:rPr>
          <w:iCs/>
        </w:rPr>
        <w:t>–</w:t>
      </w:r>
      <w:r w:rsidRPr="000051E4">
        <w:rPr>
          <w:iCs/>
        </w:rPr>
        <w:t xml:space="preserve">23 annual report and encompasses </w:t>
      </w:r>
      <w:r w:rsidRPr="00F11E5D">
        <w:rPr>
          <w:i/>
        </w:rPr>
        <w:t>Appropriation Act (No. 2) 2022</w:t>
      </w:r>
      <w:r w:rsidR="005E55CA" w:rsidRPr="00F11E5D">
        <w:rPr>
          <w:i/>
        </w:rPr>
        <w:t>–</w:t>
      </w:r>
      <w:r w:rsidRPr="00F11E5D">
        <w:rPr>
          <w:i/>
        </w:rPr>
        <w:t>2023</w:t>
      </w:r>
      <w:r w:rsidRPr="000051E4">
        <w:rPr>
          <w:iCs/>
        </w:rPr>
        <w:t xml:space="preserve">, </w:t>
      </w:r>
      <w:r w:rsidRPr="00F11E5D">
        <w:rPr>
          <w:i/>
        </w:rPr>
        <w:t>Supply Act (No.</w:t>
      </w:r>
      <w:r w:rsidR="00AA6386" w:rsidRPr="00F11E5D">
        <w:rPr>
          <w:i/>
        </w:rPr>
        <w:t xml:space="preserve"> </w:t>
      </w:r>
      <w:r w:rsidRPr="00F11E5D">
        <w:rPr>
          <w:i/>
        </w:rPr>
        <w:t>2) 2022</w:t>
      </w:r>
      <w:r w:rsidR="005E55CA" w:rsidRPr="00F11E5D">
        <w:rPr>
          <w:i/>
        </w:rPr>
        <w:t>–</w:t>
      </w:r>
      <w:r w:rsidRPr="00F11E5D">
        <w:rPr>
          <w:i/>
        </w:rPr>
        <w:t>2023</w:t>
      </w:r>
      <w:r w:rsidRPr="000051E4">
        <w:rPr>
          <w:iCs/>
        </w:rPr>
        <w:t xml:space="preserve">, </w:t>
      </w:r>
      <w:r w:rsidRPr="00F11E5D">
        <w:rPr>
          <w:i/>
        </w:rPr>
        <w:t>Supply Act (No.</w:t>
      </w:r>
      <w:r w:rsidR="00AA6386" w:rsidRPr="00F11E5D">
        <w:rPr>
          <w:i/>
        </w:rPr>
        <w:t xml:space="preserve"> </w:t>
      </w:r>
      <w:r w:rsidRPr="00F11E5D">
        <w:rPr>
          <w:i/>
        </w:rPr>
        <w:t>4) 2022–2023</w:t>
      </w:r>
      <w:r w:rsidRPr="000051E4">
        <w:rPr>
          <w:iCs/>
        </w:rPr>
        <w:t xml:space="preserve">, and </w:t>
      </w:r>
      <w:r w:rsidRPr="00F11E5D">
        <w:rPr>
          <w:i/>
        </w:rPr>
        <w:t>Appropriation Act (No.</w:t>
      </w:r>
      <w:r w:rsidR="00AA6386" w:rsidRPr="00F11E5D">
        <w:rPr>
          <w:i/>
        </w:rPr>
        <w:t xml:space="preserve"> </w:t>
      </w:r>
      <w:r w:rsidRPr="00F11E5D">
        <w:rPr>
          <w:i/>
        </w:rPr>
        <w:t>4) 2022</w:t>
      </w:r>
      <w:r w:rsidR="005E55CA" w:rsidRPr="00F11E5D">
        <w:rPr>
          <w:i/>
        </w:rPr>
        <w:t>–</w:t>
      </w:r>
      <w:r w:rsidRPr="00F11E5D">
        <w:rPr>
          <w:i/>
        </w:rPr>
        <w:t>2023</w:t>
      </w:r>
      <w:r w:rsidRPr="000051E4">
        <w:rPr>
          <w:iCs/>
        </w:rPr>
        <w:t>.</w:t>
      </w:r>
    </w:p>
    <w:p w14:paraId="5E64C942" w14:textId="77777777" w:rsidR="00DB42D8" w:rsidRPr="00B9552A" w:rsidRDefault="00DB42D8" w:rsidP="00FC3DFF">
      <w:pPr>
        <w:pStyle w:val="ChartandTableFootnoteAlpha"/>
        <w:rPr>
          <w:iCs/>
        </w:rPr>
      </w:pPr>
      <w:r w:rsidRPr="00B9552A">
        <w:rPr>
          <w:iCs/>
        </w:rPr>
        <w:t>Excludes trust moneys, such as those held in Services for Other Entities and Trust Moneys (SOETM) and other special accounts. For further information on special accounts (excluding amounts held on trust), refer to Table 3.1.</w:t>
      </w:r>
    </w:p>
    <w:p w14:paraId="5B89BF25" w14:textId="48324FCE" w:rsidR="00DB42D8" w:rsidRPr="00A07E95" w:rsidRDefault="00DB42D8" w:rsidP="00FC3DFF">
      <w:pPr>
        <w:pStyle w:val="ChartandTableFootnoteAlpha"/>
        <w:rPr>
          <w:iCs/>
        </w:rPr>
      </w:pPr>
      <w:r w:rsidRPr="00A07E95">
        <w:rPr>
          <w:iCs/>
        </w:rPr>
        <w:t xml:space="preserve">Amounts credited to special accounts from </w:t>
      </w:r>
      <w:r w:rsidR="00A07E95" w:rsidRPr="00A07E95">
        <w:rPr>
          <w:iCs/>
        </w:rPr>
        <w:t>Finance’</w:t>
      </w:r>
      <w:r w:rsidRPr="00A07E95">
        <w:rPr>
          <w:iCs/>
        </w:rPr>
        <w:t>s annual and special appropriations.</w:t>
      </w:r>
    </w:p>
    <w:p w14:paraId="3D478B54" w14:textId="645DE628" w:rsidR="00DB42D8" w:rsidRPr="00A07E95" w:rsidRDefault="00DB42D8" w:rsidP="00FC3DFF">
      <w:pPr>
        <w:pStyle w:val="ChartandTableFootnoteAlpha"/>
        <w:rPr>
          <w:iCs/>
        </w:rPr>
      </w:pPr>
      <w:r w:rsidRPr="00A07E95">
        <w:rPr>
          <w:iCs/>
        </w:rPr>
        <w:t xml:space="preserve">Administered capital budgets </w:t>
      </w:r>
      <w:r w:rsidR="00A07E95" w:rsidRPr="00A07E95">
        <w:rPr>
          <w:iCs/>
        </w:rPr>
        <w:t xml:space="preserve">(ACB) </w:t>
      </w:r>
      <w:r w:rsidRPr="00A07E95">
        <w:rPr>
          <w:iCs/>
        </w:rPr>
        <w:t xml:space="preserve">are not separately identified in </w:t>
      </w:r>
      <w:r w:rsidRPr="00F11E5D">
        <w:rPr>
          <w:i/>
        </w:rPr>
        <w:t>Appropriation Act (No. 1)</w:t>
      </w:r>
      <w:r w:rsidRPr="00A07E95">
        <w:rPr>
          <w:iCs/>
        </w:rPr>
        <w:t xml:space="preserve"> and form part of ordinary annual services items. Refer to Table 3.11 for further details. For accounting purposes, this amount is designated as a 'contribution by owner'.</w:t>
      </w:r>
    </w:p>
    <w:p w14:paraId="3E32D6D4" w14:textId="276C2CBE" w:rsidR="00DB42D8" w:rsidRDefault="00DB42D8" w:rsidP="00FD415F">
      <w:pPr>
        <w:pStyle w:val="ChartandTableFootnote"/>
        <w:rPr>
          <w:b/>
          <w:lang w:val="x-none"/>
        </w:rPr>
      </w:pPr>
      <w:r>
        <w:br/>
      </w:r>
      <w:r>
        <w:br w:type="page"/>
      </w:r>
    </w:p>
    <w:p w14:paraId="3F68621A" w14:textId="45A3A0E7" w:rsidR="00DB42D8" w:rsidRPr="00D948BC" w:rsidRDefault="00DB42D8" w:rsidP="00DB42D8">
      <w:pPr>
        <w:pStyle w:val="TableHeading"/>
      </w:pPr>
      <w:r>
        <w:lastRenderedPageBreak/>
        <w:t xml:space="preserve">Table 1.1: </w:t>
      </w:r>
      <w:r w:rsidR="00676087">
        <w:t>Department of Finance</w:t>
      </w:r>
      <w:r w:rsidR="00676087" w:rsidRPr="00564C0F">
        <w:t xml:space="preserve"> </w:t>
      </w:r>
      <w:r w:rsidRPr="00564C0F">
        <w:t xml:space="preserve">resource statement — Additional Estimates for </w:t>
      </w:r>
      <w:r w:rsidRPr="00564C0F">
        <w:br/>
      </w:r>
      <w:r>
        <w:t>2023</w:t>
      </w:r>
      <w:r w:rsidR="005E55CA">
        <w:t>–</w:t>
      </w:r>
      <w:r>
        <w:t>24</w:t>
      </w:r>
      <w:r w:rsidRPr="00564C0F">
        <w:t xml:space="preserve"> as </w:t>
      </w:r>
      <w:r w:rsidRPr="00152EC3">
        <w:t xml:space="preserve">at </w:t>
      </w:r>
      <w:r w:rsidRPr="00055E5F">
        <w:t>February</w:t>
      </w:r>
      <w:r w:rsidRPr="00055E5F" w:rsidDel="00237790">
        <w:t xml:space="preserve"> </w:t>
      </w:r>
      <w:r w:rsidRPr="00055E5F">
        <w:t>202</w:t>
      </w:r>
      <w:r>
        <w:t>4</w:t>
      </w:r>
      <w:r w:rsidRPr="001E1BB6">
        <w:t xml:space="preserve"> (</w:t>
      </w:r>
      <w:r w:rsidRPr="003962BF">
        <w:t>continued)</w:t>
      </w:r>
    </w:p>
    <w:p w14:paraId="2288462E" w14:textId="77777777" w:rsidR="00DB42D8" w:rsidRDefault="00DB42D8" w:rsidP="00DB42D8">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60F9182B" w14:textId="16D74CA3" w:rsidR="00DB42D8" w:rsidRPr="0013701B" w:rsidRDefault="00632888" w:rsidP="00DB42D8">
      <w:pPr>
        <w:pStyle w:val="TableGraphic"/>
      </w:pPr>
      <w:r w:rsidRPr="00632888">
        <w:rPr>
          <w:noProof/>
        </w:rPr>
        <w:drawing>
          <wp:inline distT="0" distB="0" distL="0" distR="0" wp14:anchorId="5038138F" wp14:editId="3758F76C">
            <wp:extent cx="4896485" cy="5636260"/>
            <wp:effectExtent l="0" t="0" r="0" b="2540"/>
            <wp:docPr id="214147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96485" cy="5636260"/>
                    </a:xfrm>
                    <a:prstGeom prst="rect">
                      <a:avLst/>
                    </a:prstGeom>
                    <a:noFill/>
                    <a:ln>
                      <a:noFill/>
                    </a:ln>
                  </pic:spPr>
                </pic:pic>
              </a:graphicData>
            </a:graphic>
          </wp:inline>
        </w:drawing>
      </w:r>
    </w:p>
    <w:p w14:paraId="4B184CE0" w14:textId="77777777" w:rsidR="00CF68AB" w:rsidRDefault="00DB42D8" w:rsidP="00045DBF">
      <w:pPr>
        <w:pStyle w:val="Source"/>
        <w:tabs>
          <w:tab w:val="clear" w:pos="709"/>
          <w:tab w:val="left" w:pos="0"/>
        </w:tabs>
        <w:spacing w:after="120"/>
        <w:ind w:left="0" w:firstLine="0"/>
        <w:contextualSpacing/>
      </w:pPr>
      <w:r w:rsidRPr="00185D7A">
        <w:t>Prepared on a resourcing (i.e. appropriations available) basis.</w:t>
      </w:r>
    </w:p>
    <w:p w14:paraId="11E99473" w14:textId="3A39810B" w:rsidR="00DB42D8" w:rsidRDefault="00DB42D8" w:rsidP="00045DBF">
      <w:pPr>
        <w:pStyle w:val="Source"/>
        <w:tabs>
          <w:tab w:val="clear" w:pos="709"/>
          <w:tab w:val="left" w:pos="0"/>
        </w:tabs>
        <w:spacing w:after="120"/>
        <w:ind w:left="0" w:firstLine="0"/>
        <w:contextualSpacing/>
      </w:pPr>
      <w:r w:rsidRPr="00185D7A">
        <w:t>All figures shown above are GST exclusive - these may not match figures in the cash flow statement.</w:t>
      </w:r>
    </w:p>
    <w:p w14:paraId="0E77A3B8" w14:textId="77777777" w:rsidR="001F2C3C" w:rsidRDefault="001F2C3C" w:rsidP="00DB42D8">
      <w:pPr>
        <w:pStyle w:val="Source"/>
        <w:contextualSpacing/>
      </w:pPr>
    </w:p>
    <w:p w14:paraId="67664CEE" w14:textId="14743FD7" w:rsidR="00ED7D4B" w:rsidRDefault="00ED7D4B" w:rsidP="00503E20">
      <w:pPr>
        <w:pStyle w:val="Source"/>
        <w:numPr>
          <w:ilvl w:val="4"/>
          <w:numId w:val="8"/>
        </w:numPr>
        <w:spacing w:after="0"/>
        <w:ind w:left="357" w:hanging="357"/>
      </w:pPr>
      <w:r>
        <w:t>Compen</w:t>
      </w:r>
      <w:r w:rsidR="00CB2419">
        <w:t>sation and legal payments</w:t>
      </w:r>
    </w:p>
    <w:p w14:paraId="55F0DDA7" w14:textId="333517DA" w:rsidR="00CB2419" w:rsidRDefault="00CB2419" w:rsidP="00503E20">
      <w:pPr>
        <w:pStyle w:val="Source"/>
        <w:numPr>
          <w:ilvl w:val="4"/>
          <w:numId w:val="8"/>
        </w:numPr>
        <w:spacing w:after="0"/>
        <w:ind w:left="357" w:hanging="357"/>
      </w:pPr>
      <w:r>
        <w:t>Act of Grace payments</w:t>
      </w:r>
    </w:p>
    <w:p w14:paraId="750F30C9" w14:textId="77777777" w:rsidR="001F2C3C" w:rsidRDefault="001F2C3C" w:rsidP="001F2C3C">
      <w:pPr>
        <w:pStyle w:val="Source"/>
        <w:spacing w:after="0"/>
        <w:ind w:left="357" w:firstLine="0"/>
      </w:pPr>
    </w:p>
    <w:p w14:paraId="538FC800" w14:textId="08E3A52A" w:rsidR="00DB42D8" w:rsidRPr="00643B7D" w:rsidRDefault="00DB42D8" w:rsidP="00DB42D8">
      <w:pPr>
        <w:pStyle w:val="Heading3"/>
      </w:pPr>
      <w:r w:rsidRPr="006D6BD2">
        <w:br w:type="page"/>
      </w:r>
      <w:bookmarkStart w:id="249" w:name="_Toc531094585"/>
      <w:bookmarkStart w:id="250" w:name="_Toc531095064"/>
      <w:bookmarkStart w:id="251" w:name="_Toc157411246"/>
      <w:bookmarkStart w:id="252" w:name="_Toc157412181"/>
      <w:bookmarkStart w:id="253" w:name="_Toc157412344"/>
      <w:bookmarkStart w:id="254" w:name="_Toc157445517"/>
      <w:bookmarkStart w:id="255" w:name="_Toc157497331"/>
      <w:bookmarkStart w:id="256" w:name="_Toc157613713"/>
      <w:bookmarkStart w:id="257" w:name="_Toc157614012"/>
      <w:bookmarkStart w:id="258" w:name="_Toc157617004"/>
      <w:bookmarkStart w:id="259" w:name="_Toc157618226"/>
      <w:bookmarkStart w:id="260" w:name="_Toc157697098"/>
      <w:bookmarkStart w:id="261" w:name="_Toc157698133"/>
      <w:bookmarkStart w:id="262" w:name="_Toc157705380"/>
      <w:bookmarkStart w:id="263" w:name="_Toc157705438"/>
      <w:bookmarkStart w:id="264" w:name="_Toc157705490"/>
      <w:bookmarkStart w:id="265" w:name="_Toc157705731"/>
      <w:bookmarkStart w:id="266" w:name="_Toc157706096"/>
      <w:bookmarkStart w:id="267" w:name="OLE_LINK14"/>
      <w:bookmarkStart w:id="268" w:name="OLE_LINK15"/>
      <w:bookmarkEnd w:id="247"/>
      <w:bookmarkEnd w:id="248"/>
      <w:r>
        <w:lastRenderedPageBreak/>
        <w:t>1.3</w:t>
      </w:r>
      <w:r>
        <w:tab/>
      </w:r>
      <w:r w:rsidR="00CB2419">
        <w:t>Entity</w:t>
      </w:r>
      <w:r>
        <w:t xml:space="preserve"> measures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DF89CE3" w14:textId="77777777" w:rsidR="00DB42D8" w:rsidRPr="00486E77" w:rsidRDefault="00DB42D8" w:rsidP="00DB42D8">
      <w:r>
        <w:t>Table 1.2 summarises new Government measures taken since the 2023</w:t>
      </w:r>
      <w:r w:rsidR="005E55CA">
        <w:t>–</w:t>
      </w:r>
      <w:r>
        <w:t xml:space="preserve">24 Budget. The table is split into receipt and payment measures, with the affected program </w:t>
      </w:r>
      <w:r w:rsidRPr="00486E77">
        <w:t>identified.</w:t>
      </w:r>
    </w:p>
    <w:p w14:paraId="55A79817" w14:textId="5DE8B9B2" w:rsidR="00DB42D8" w:rsidRDefault="00DB42D8" w:rsidP="00DB42D8">
      <w:pPr>
        <w:pStyle w:val="TableHeading"/>
      </w:pPr>
      <w:bookmarkStart w:id="269" w:name="_Hlk157706816"/>
      <w:r w:rsidRPr="00486E77">
        <w:t xml:space="preserve">Table 1.2: </w:t>
      </w:r>
      <w:r w:rsidR="00676087">
        <w:t xml:space="preserve">Department of Finance </w:t>
      </w:r>
      <w:r>
        <w:t>2023</w:t>
      </w:r>
      <w:r w:rsidR="005E55CA">
        <w:t>–</w:t>
      </w:r>
      <w:r>
        <w:t>24</w:t>
      </w:r>
      <w:r w:rsidRPr="00486E77">
        <w:t xml:space="preserve"> measures since </w:t>
      </w:r>
      <w:r>
        <w:t xml:space="preserve">the </w:t>
      </w:r>
      <w:r w:rsidRPr="00486E77">
        <w:t>Budget</w:t>
      </w:r>
      <w:bookmarkEnd w:id="269"/>
    </w:p>
    <w:p w14:paraId="4049D600" w14:textId="7557ED93" w:rsidR="00DB42D8" w:rsidRPr="00706A98" w:rsidRDefault="000A3463" w:rsidP="00DB42D8">
      <w:pPr>
        <w:pStyle w:val="TableGraphic"/>
        <w:rPr>
          <w:lang w:val="x-none"/>
        </w:rPr>
      </w:pPr>
      <w:r w:rsidRPr="000A3463">
        <w:rPr>
          <w:noProof/>
          <w:lang w:val="x-none"/>
        </w:rPr>
        <w:drawing>
          <wp:inline distT="0" distB="0" distL="0" distR="0" wp14:anchorId="4746F1FB" wp14:editId="5047B1F2">
            <wp:extent cx="4896485" cy="4704715"/>
            <wp:effectExtent l="0" t="0" r="0" b="635"/>
            <wp:docPr id="16080958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96485" cy="4704715"/>
                    </a:xfrm>
                    <a:prstGeom prst="rect">
                      <a:avLst/>
                    </a:prstGeom>
                    <a:noFill/>
                    <a:ln>
                      <a:noFill/>
                    </a:ln>
                  </pic:spPr>
                </pic:pic>
              </a:graphicData>
            </a:graphic>
          </wp:inline>
        </w:drawing>
      </w:r>
    </w:p>
    <w:p w14:paraId="775A3A44" w14:textId="1466F1FE" w:rsidR="00A00A79" w:rsidRDefault="00A00A79" w:rsidP="000C2BC5">
      <w:pPr>
        <w:pStyle w:val="ChartandTableFootnote"/>
        <w:spacing w:after="120"/>
      </w:pPr>
      <w:bookmarkStart w:id="270" w:name="OLE_LINK2"/>
      <w:r>
        <w:t>Table continue</w:t>
      </w:r>
      <w:r w:rsidR="00F067B6">
        <w:t xml:space="preserve">s on </w:t>
      </w:r>
      <w:r>
        <w:t>next page</w:t>
      </w:r>
    </w:p>
    <w:p w14:paraId="4A03C395" w14:textId="785105FE" w:rsidR="00D16B21" w:rsidRDefault="00D16B21" w:rsidP="00DB42D8">
      <w:pPr>
        <w:pStyle w:val="ChartandTableFootnote"/>
      </w:pPr>
    </w:p>
    <w:p w14:paraId="07A80C87" w14:textId="77777777" w:rsidR="00CA2602" w:rsidRDefault="00CA2602" w:rsidP="00CA2602"/>
    <w:p w14:paraId="2E76E985" w14:textId="77777777" w:rsidR="00BC15C8" w:rsidRDefault="00BC15C8" w:rsidP="00CA2602"/>
    <w:p w14:paraId="7FA2225C" w14:textId="77777777" w:rsidR="00BC15C8" w:rsidRDefault="00BC15C8" w:rsidP="00CA2602"/>
    <w:p w14:paraId="275BF7A2" w14:textId="77777777" w:rsidR="00BC15C8" w:rsidRDefault="00BC15C8" w:rsidP="00CA2602"/>
    <w:p w14:paraId="589B02FC" w14:textId="04E287CE" w:rsidR="00BC15C8" w:rsidRPr="00CA2602" w:rsidRDefault="00BC15C8" w:rsidP="00BC15C8">
      <w:pPr>
        <w:pStyle w:val="TableHeading"/>
      </w:pPr>
      <w:r w:rsidRPr="00486E77">
        <w:lastRenderedPageBreak/>
        <w:t xml:space="preserve">Table 1.2: </w:t>
      </w:r>
      <w:r>
        <w:t>Department of Finance 2023–24</w:t>
      </w:r>
      <w:r w:rsidRPr="00486E77">
        <w:t xml:space="preserve"> measures since </w:t>
      </w:r>
      <w:r>
        <w:t xml:space="preserve">the </w:t>
      </w:r>
      <w:r w:rsidRPr="00486E77">
        <w:t>Budget</w:t>
      </w:r>
      <w:r>
        <w:t xml:space="preserve"> (continued)</w:t>
      </w:r>
    </w:p>
    <w:p w14:paraId="7B1C6645" w14:textId="6DF3D122" w:rsidR="00DB42D8" w:rsidRDefault="00CA2602" w:rsidP="00DB42D8">
      <w:pPr>
        <w:pStyle w:val="ChartandTableFootnote"/>
      </w:pPr>
      <w:r w:rsidRPr="00CA2602">
        <w:rPr>
          <w:noProof/>
        </w:rPr>
        <w:drawing>
          <wp:inline distT="0" distB="0" distL="0" distR="0" wp14:anchorId="4A473676" wp14:editId="3204F555">
            <wp:extent cx="4896485" cy="1514475"/>
            <wp:effectExtent l="0" t="0" r="0" b="9525"/>
            <wp:docPr id="1463418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96485" cy="1514475"/>
                    </a:xfrm>
                    <a:prstGeom prst="rect">
                      <a:avLst/>
                    </a:prstGeom>
                    <a:noFill/>
                    <a:ln>
                      <a:noFill/>
                    </a:ln>
                  </pic:spPr>
                </pic:pic>
              </a:graphicData>
            </a:graphic>
          </wp:inline>
        </w:drawing>
      </w:r>
      <w:r w:rsidR="00DB42D8" w:rsidRPr="00643B7D">
        <w:t>Prepared on a Government Financial Statistics (</w:t>
      </w:r>
      <w:r w:rsidR="00DB42D8">
        <w:t>Underlying Cash</w:t>
      </w:r>
      <w:r w:rsidR="00DB42D8" w:rsidRPr="00643B7D">
        <w:t>) basis</w:t>
      </w:r>
      <w:r w:rsidR="00DB42D8">
        <w:t>. Figures displayed as a negative (-) represent a decrease in funds and a positive (+) represent an increase in funds</w:t>
      </w:r>
      <w:bookmarkEnd w:id="270"/>
      <w:r w:rsidR="00DB42D8">
        <w:t>.</w:t>
      </w:r>
    </w:p>
    <w:p w14:paraId="69E96DF2" w14:textId="77777777" w:rsidR="00A00A79" w:rsidRPr="00A00A79" w:rsidRDefault="00A00A79" w:rsidP="00A00A79">
      <w:pPr>
        <w:spacing w:before="0" w:after="0"/>
      </w:pPr>
    </w:p>
    <w:p w14:paraId="5AF603BD" w14:textId="69970AB6"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More Efficient and Effective Vehicle Leasing and Fleet Management</w:t>
      </w:r>
      <w:r w:rsidRPr="00EC7014">
        <w:rPr>
          <w:rFonts w:cs="Arial"/>
          <w:szCs w:val="16"/>
        </w:rPr>
        <w:t xml:space="preserve"> </w:t>
      </w:r>
      <w:r w:rsidRPr="00710D7F">
        <w:rPr>
          <w:rFonts w:cs="Arial"/>
          <w:i/>
          <w:iCs/>
          <w:szCs w:val="16"/>
        </w:rPr>
        <w:t>Arrangement</w:t>
      </w:r>
      <w:r w:rsidRPr="00EC7014">
        <w:rPr>
          <w:rFonts w:cs="Arial"/>
          <w:szCs w:val="16"/>
        </w:rPr>
        <w:t xml:space="preserve"> is the Department of Finance. The full measure description and package details appear in MYEFO under the Finance portfolio. </w:t>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p>
    <w:p w14:paraId="2AFA448D" w14:textId="5F7CD354"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A Revitalised Regulatory Reform Agenda</w:t>
      </w:r>
      <w:r w:rsidRPr="00EC7014">
        <w:rPr>
          <w:rFonts w:cs="Arial"/>
          <w:szCs w:val="16"/>
        </w:rPr>
        <w:t xml:space="preserve"> is the Department of Finance. The full measure description and package details appear in MYEFO under the Finance portfolio. </w:t>
      </w:r>
    </w:p>
    <w:p w14:paraId="5E24955C" w14:textId="0AFAD930"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Attorney-General’s Portfolio – additional resourcing</w:t>
      </w:r>
      <w:r w:rsidRPr="00EC7014">
        <w:rPr>
          <w:rFonts w:cs="Arial"/>
          <w:szCs w:val="16"/>
        </w:rPr>
        <w:t xml:space="preserve"> is the Attorney-General’s Department. The full measure description and package details appear in MYEFO under the Attorney-General’s portfolio. </w:t>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p>
    <w:p w14:paraId="3C82D6D8" w14:textId="4F559970"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Climate Action in Government Operations</w:t>
      </w:r>
      <w:r w:rsidRPr="00EC7014">
        <w:rPr>
          <w:rFonts w:cs="Arial"/>
          <w:szCs w:val="16"/>
        </w:rPr>
        <w:t xml:space="preserve"> is the Department of Finance. The full measure description and package details appear in MYEFO under the Finance portfolio. </w:t>
      </w:r>
    </w:p>
    <w:p w14:paraId="0278EFF1" w14:textId="3029E8D6"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Digital ID</w:t>
      </w:r>
      <w:r w:rsidRPr="00EC7014">
        <w:rPr>
          <w:rFonts w:cs="Arial"/>
          <w:szCs w:val="16"/>
        </w:rPr>
        <w:t xml:space="preserve"> is the Department of Finance. The full measure description and package details appear in MYEFO under the Finance portfolio. </w:t>
      </w:r>
      <w:r w:rsidRPr="00EC7014">
        <w:rPr>
          <w:rFonts w:cs="Arial"/>
          <w:szCs w:val="16"/>
        </w:rPr>
        <w:tab/>
      </w:r>
      <w:r w:rsidRPr="00EC7014">
        <w:rPr>
          <w:rFonts w:cs="Arial"/>
          <w:szCs w:val="16"/>
        </w:rPr>
        <w:tab/>
      </w:r>
    </w:p>
    <w:p w14:paraId="7499B15C" w14:textId="18EE4752"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measure titled </w:t>
      </w:r>
      <w:r w:rsidRPr="00710D7F">
        <w:rPr>
          <w:rFonts w:cs="Arial"/>
          <w:i/>
          <w:iCs/>
          <w:szCs w:val="16"/>
        </w:rPr>
        <w:t>Employment White Paper</w:t>
      </w:r>
      <w:r w:rsidRPr="00EC7014">
        <w:rPr>
          <w:rFonts w:cs="Arial"/>
          <w:szCs w:val="16"/>
        </w:rPr>
        <w:t xml:space="preserve"> is a cross portfolio measure. The full measure description and package details appear in MYEFO under Cross portfolio. </w:t>
      </w:r>
      <w:r w:rsidRPr="00EC7014">
        <w:rPr>
          <w:rFonts w:cs="Arial"/>
          <w:szCs w:val="16"/>
        </w:rPr>
        <w:tab/>
      </w:r>
      <w:r w:rsidRPr="00EC7014">
        <w:rPr>
          <w:rFonts w:cs="Arial"/>
          <w:szCs w:val="16"/>
        </w:rPr>
        <w:tab/>
      </w:r>
      <w:r w:rsidRPr="00EC7014">
        <w:rPr>
          <w:rFonts w:cs="Arial"/>
          <w:szCs w:val="16"/>
        </w:rPr>
        <w:tab/>
      </w:r>
      <w:r w:rsidRPr="00EC7014">
        <w:rPr>
          <w:rFonts w:cs="Arial"/>
          <w:szCs w:val="16"/>
        </w:rPr>
        <w:tab/>
      </w:r>
    </w:p>
    <w:p w14:paraId="47361B32" w14:textId="08438C5D"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Future of Shared Services</w:t>
      </w:r>
      <w:r w:rsidRPr="00EC7014">
        <w:rPr>
          <w:rFonts w:cs="Arial"/>
          <w:szCs w:val="16"/>
        </w:rPr>
        <w:t xml:space="preserve"> is the Department of Finance. The full measure description and package details appear in MYEFO under the Finance portfolio. </w:t>
      </w:r>
      <w:r w:rsidRPr="00EC7014">
        <w:rPr>
          <w:rFonts w:cs="Arial"/>
          <w:szCs w:val="16"/>
        </w:rPr>
        <w:tab/>
      </w:r>
    </w:p>
    <w:p w14:paraId="01BE38FD" w14:textId="1244D009"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Marinus Link Entity Establishment – governance</w:t>
      </w:r>
      <w:r w:rsidRPr="00EC7014">
        <w:rPr>
          <w:rFonts w:cs="Arial"/>
          <w:szCs w:val="16"/>
        </w:rPr>
        <w:t xml:space="preserve"> is the Department of Climate Change, Energy, the Environment and Water. The full measure description and package details appear in MYEFO under the Climate Change, Energy, the Environment and Water portfolio. </w:t>
      </w:r>
    </w:p>
    <w:p w14:paraId="799D03FE" w14:textId="77777777"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National Quantum Strategy – implementation</w:t>
      </w:r>
      <w:r w:rsidRPr="00EC7014">
        <w:rPr>
          <w:rFonts w:cs="Arial"/>
          <w:szCs w:val="16"/>
        </w:rPr>
        <w:t xml:space="preserve"> is the Department of Industry, Science and Resources. The full measure description and package details appear in MYEFO under the Industry, Science and Resources portfolio. The financials are not for publication due to commercial sensitivities.</w:t>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p>
    <w:p w14:paraId="17AF2F6C" w14:textId="77777777" w:rsidR="00EC7014" w:rsidRPr="00EC7014" w:rsidRDefault="00EC7014" w:rsidP="000C2BC5">
      <w:pPr>
        <w:pStyle w:val="ChartandTableFootnoteAlpha"/>
        <w:numPr>
          <w:ilvl w:val="0"/>
          <w:numId w:val="21"/>
        </w:numPr>
        <w:rPr>
          <w:rFonts w:cs="Arial"/>
          <w:szCs w:val="16"/>
        </w:rPr>
      </w:pPr>
      <w:r w:rsidRPr="00EC7014">
        <w:rPr>
          <w:rFonts w:cs="Arial"/>
          <w:szCs w:val="16"/>
        </w:rPr>
        <w:t xml:space="preserve">The lead entity for the measure titled </w:t>
      </w:r>
      <w:r w:rsidRPr="00710D7F">
        <w:rPr>
          <w:rFonts w:cs="Arial"/>
          <w:i/>
          <w:iCs/>
          <w:szCs w:val="16"/>
        </w:rPr>
        <w:t>Purpose-Built Quarantine Centres – maintenance of WA centre</w:t>
      </w:r>
      <w:r w:rsidRPr="00EC7014">
        <w:rPr>
          <w:rFonts w:cs="Arial"/>
          <w:szCs w:val="16"/>
        </w:rPr>
        <w:t xml:space="preserve"> is the Department of Finance. The full measure description and package details appear in MYEFO under the Finance portfolio. </w:t>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r w:rsidRPr="00EC7014">
        <w:rPr>
          <w:rFonts w:cs="Arial"/>
          <w:szCs w:val="16"/>
        </w:rPr>
        <w:tab/>
      </w:r>
    </w:p>
    <w:p w14:paraId="1E83832B" w14:textId="36BB0E4A" w:rsidR="0084422E" w:rsidRPr="0084422E" w:rsidRDefault="00EC7014" w:rsidP="000C2BC5">
      <w:pPr>
        <w:pStyle w:val="ChartandTableFootnoteAlpha"/>
        <w:numPr>
          <w:ilvl w:val="0"/>
          <w:numId w:val="21"/>
        </w:numPr>
      </w:pPr>
      <w:r w:rsidRPr="00EC7014">
        <w:rPr>
          <w:rFonts w:cs="Arial"/>
          <w:szCs w:val="16"/>
        </w:rPr>
        <w:t xml:space="preserve">The lead entity for the measure titled </w:t>
      </w:r>
      <w:r w:rsidRPr="00710D7F">
        <w:rPr>
          <w:rFonts w:cs="Arial"/>
          <w:i/>
          <w:iCs/>
          <w:szCs w:val="16"/>
        </w:rPr>
        <w:t>Responding to the PricewaterhouseCoopers Matter</w:t>
      </w:r>
      <w:r w:rsidRPr="00EC7014">
        <w:rPr>
          <w:rFonts w:cs="Arial"/>
          <w:szCs w:val="16"/>
        </w:rPr>
        <w:t xml:space="preserve"> is the Department of the Treasury. The full measure description and package details appear in MYEFO under the Treasury portfolio.</w:t>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r w:rsidR="0084422E" w:rsidRPr="0084422E">
        <w:rPr>
          <w:rFonts w:cs="Arial"/>
          <w:szCs w:val="16"/>
        </w:rPr>
        <w:tab/>
      </w:r>
    </w:p>
    <w:p w14:paraId="24907460" w14:textId="77777777" w:rsidR="00DB42D8" w:rsidRPr="00F045E6" w:rsidRDefault="00DB42D8" w:rsidP="00DB42D8"/>
    <w:p w14:paraId="54CD4BCF" w14:textId="77777777" w:rsidR="00DB42D8" w:rsidRPr="00F045E6" w:rsidRDefault="00DB42D8" w:rsidP="00DB42D8"/>
    <w:p w14:paraId="62E2223B" w14:textId="77777777" w:rsidR="00DB42D8" w:rsidRPr="001E1BB6" w:rsidRDefault="00DB42D8" w:rsidP="00DB42D8">
      <w:pPr>
        <w:pStyle w:val="Heading3"/>
        <w:ind w:left="567" w:hanging="567"/>
      </w:pPr>
      <w:r>
        <w:br w:type="page"/>
      </w:r>
      <w:bookmarkStart w:id="271" w:name="_Toc531095065"/>
      <w:bookmarkStart w:id="272" w:name="_Toc157411247"/>
      <w:bookmarkStart w:id="273" w:name="_Toc157412182"/>
      <w:bookmarkStart w:id="274" w:name="_Toc157412345"/>
      <w:bookmarkStart w:id="275" w:name="_Toc157445518"/>
      <w:bookmarkStart w:id="276" w:name="_Toc157497332"/>
      <w:bookmarkStart w:id="277" w:name="_Toc157613714"/>
      <w:bookmarkStart w:id="278" w:name="_Toc157614013"/>
      <w:bookmarkStart w:id="279" w:name="_Toc157617005"/>
      <w:bookmarkStart w:id="280" w:name="_Toc157618227"/>
      <w:bookmarkStart w:id="281" w:name="_Toc157697099"/>
      <w:bookmarkStart w:id="282" w:name="_Toc157698134"/>
      <w:bookmarkStart w:id="283" w:name="_Toc157705381"/>
      <w:bookmarkStart w:id="284" w:name="_Toc157705439"/>
      <w:bookmarkStart w:id="285" w:name="_Toc157705491"/>
      <w:bookmarkStart w:id="286" w:name="_Toc157705732"/>
      <w:bookmarkStart w:id="287" w:name="_Toc157706097"/>
      <w:r>
        <w:lastRenderedPageBreak/>
        <w:t>1.4</w:t>
      </w:r>
      <w:r>
        <w:tab/>
        <w:t>Additional estimates, resourcing and v</w:t>
      </w:r>
      <w:r w:rsidRPr="00597122">
        <w:t>ariations</w:t>
      </w:r>
      <w:r>
        <w:t xml:space="preserve"> to outcomes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8483011" w14:textId="572C6EA5" w:rsidR="00DB42D8" w:rsidRDefault="00DB42D8" w:rsidP="00DB42D8">
      <w:r>
        <w:t xml:space="preserve">The following tables detail the changes to the resourcing for </w:t>
      </w:r>
      <w:r w:rsidR="00146803">
        <w:t xml:space="preserve">Finance </w:t>
      </w:r>
      <w:r>
        <w:t xml:space="preserve">at Additional Estimates, by outcome. Table 1.3 details the Additional Estimates resulting from </w:t>
      </w:r>
      <w:r w:rsidRPr="00C73746">
        <w:t>new</w:t>
      </w:r>
      <w:r>
        <w:t xml:space="preserve"> measures and other variations since the 2023</w:t>
      </w:r>
      <w:r w:rsidR="005E55CA">
        <w:t>–</w:t>
      </w:r>
      <w:r>
        <w:t xml:space="preserve">24 Budget </w:t>
      </w:r>
      <w:r w:rsidRPr="00055E5F">
        <w:t>in Appropriation Bills Nos.</w:t>
      </w:r>
      <w:r w:rsidR="005E55CA">
        <w:t> </w:t>
      </w:r>
      <w:r w:rsidRPr="00055E5F">
        <w:t>3</w:t>
      </w:r>
      <w:r w:rsidR="005E55CA">
        <w:t> </w:t>
      </w:r>
      <w:r w:rsidRPr="00C437C4">
        <w:t>and </w:t>
      </w:r>
      <w:r w:rsidRPr="00055E5F">
        <w:t>4</w:t>
      </w:r>
      <w:r>
        <w:t>.</w:t>
      </w:r>
    </w:p>
    <w:p w14:paraId="3C257EBE" w14:textId="47E2916E" w:rsidR="00387AC5" w:rsidRDefault="00387AC5" w:rsidP="00387AC5">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p w14:paraId="0ECDCFBE" w14:textId="5B50BEF4" w:rsidR="00295414" w:rsidRPr="00321EC0" w:rsidRDefault="00D34AF4" w:rsidP="00AA6386">
      <w:pPr>
        <w:pStyle w:val="TableGraphic"/>
        <w:spacing w:before="30"/>
      </w:pPr>
      <w:r w:rsidRPr="00D34AF4">
        <w:rPr>
          <w:rFonts w:ascii="Arial" w:hAnsi="Arial" w:cs="Arial"/>
          <w:noProof/>
          <w:sz w:val="16"/>
          <w:szCs w:val="16"/>
        </w:rPr>
        <w:drawing>
          <wp:inline distT="0" distB="0" distL="0" distR="0" wp14:anchorId="4D8DB589" wp14:editId="33A3DF96">
            <wp:extent cx="4896485" cy="3707765"/>
            <wp:effectExtent l="0" t="0" r="0" b="6985"/>
            <wp:docPr id="2021512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96485" cy="3707765"/>
                    </a:xfrm>
                    <a:prstGeom prst="rect">
                      <a:avLst/>
                    </a:prstGeom>
                    <a:noFill/>
                    <a:ln>
                      <a:noFill/>
                    </a:ln>
                  </pic:spPr>
                </pic:pic>
              </a:graphicData>
            </a:graphic>
          </wp:inline>
        </w:drawing>
      </w:r>
      <w:r w:rsidR="00295414" w:rsidRPr="00275B51">
        <w:rPr>
          <w:rFonts w:ascii="Arial" w:hAnsi="Arial" w:cs="Arial"/>
          <w:sz w:val="16"/>
          <w:szCs w:val="16"/>
        </w:rPr>
        <w:t>Table continues on next page</w:t>
      </w:r>
    </w:p>
    <w:p w14:paraId="4C5FB5C9" w14:textId="77777777" w:rsidR="00295414" w:rsidRDefault="00295414" w:rsidP="00295414"/>
    <w:p w14:paraId="7098469E" w14:textId="77777777" w:rsidR="00301079" w:rsidRDefault="00301079" w:rsidP="00295414"/>
    <w:p w14:paraId="1F417428" w14:textId="77777777" w:rsidR="00301079" w:rsidRDefault="00301079" w:rsidP="00295414"/>
    <w:p w14:paraId="7551D60E" w14:textId="77777777" w:rsidR="00301079" w:rsidRDefault="00301079" w:rsidP="00295414"/>
    <w:p w14:paraId="5E3B92A1" w14:textId="77777777" w:rsidR="00301079" w:rsidRDefault="00301079" w:rsidP="00295414"/>
    <w:p w14:paraId="5DD4526A" w14:textId="77777777" w:rsidR="00301079" w:rsidRDefault="00301079" w:rsidP="00295414"/>
    <w:p w14:paraId="6CFD118C" w14:textId="7C0087FF" w:rsidR="00301079" w:rsidRDefault="00301079" w:rsidP="00301079">
      <w:pPr>
        <w:pStyle w:val="TableHeading"/>
      </w:pPr>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 xml:space="preserve">2023–24 </w:t>
      </w:r>
      <w:r w:rsidRPr="001A75A9">
        <w:t>Budget</w:t>
      </w:r>
      <w:r>
        <w:t xml:space="preserve"> (continued)</w:t>
      </w:r>
      <w:r w:rsidRPr="00422E0D">
        <w:rPr>
          <w:b w:val="0"/>
        </w:rPr>
        <w:t xml:space="preserve"> </w:t>
      </w:r>
      <w:r w:rsidRPr="001A75A9">
        <w:t xml:space="preserve"> </w:t>
      </w:r>
    </w:p>
    <w:p w14:paraId="49EF930A" w14:textId="3E686AD6" w:rsidR="00301079" w:rsidRDefault="00F9767A" w:rsidP="000C2BC5">
      <w:pPr>
        <w:pStyle w:val="TableGraphic"/>
        <w:spacing w:before="30"/>
      </w:pPr>
      <w:r w:rsidRPr="00F9767A">
        <w:rPr>
          <w:noProof/>
        </w:rPr>
        <w:drawing>
          <wp:inline distT="0" distB="0" distL="0" distR="0" wp14:anchorId="740D4F73" wp14:editId="60FA1FFA">
            <wp:extent cx="4896485" cy="4087495"/>
            <wp:effectExtent l="0" t="0" r="0" b="8255"/>
            <wp:docPr id="11332096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896485" cy="4087495"/>
                    </a:xfrm>
                    <a:prstGeom prst="rect">
                      <a:avLst/>
                    </a:prstGeom>
                    <a:noFill/>
                    <a:ln>
                      <a:noFill/>
                    </a:ln>
                  </pic:spPr>
                </pic:pic>
              </a:graphicData>
            </a:graphic>
          </wp:inline>
        </w:drawing>
      </w:r>
      <w:r w:rsidR="00301079" w:rsidRPr="00301079">
        <w:t xml:space="preserve"> </w:t>
      </w:r>
      <w:r w:rsidR="00301079" w:rsidRPr="00AA6386">
        <w:rPr>
          <w:rFonts w:ascii="Arial" w:hAnsi="Arial" w:cs="Arial"/>
          <w:sz w:val="16"/>
          <w:szCs w:val="16"/>
        </w:rPr>
        <w:t>Table continues on next page</w:t>
      </w:r>
    </w:p>
    <w:p w14:paraId="60EC07D8" w14:textId="77777777" w:rsidR="00301079" w:rsidRPr="00301079" w:rsidRDefault="00301079" w:rsidP="00301079"/>
    <w:p w14:paraId="220A4860" w14:textId="77777777" w:rsidR="00301079" w:rsidRDefault="00301079" w:rsidP="00295414"/>
    <w:p w14:paraId="4B231428" w14:textId="77777777" w:rsidR="00275B51" w:rsidRDefault="00275B51" w:rsidP="00295414"/>
    <w:p w14:paraId="269F6843" w14:textId="77777777" w:rsidR="00275B51" w:rsidRDefault="00275B51" w:rsidP="00295414"/>
    <w:p w14:paraId="2223CF53" w14:textId="77777777" w:rsidR="00301079" w:rsidRDefault="00301079" w:rsidP="00295414"/>
    <w:p w14:paraId="78AFD770" w14:textId="77777777" w:rsidR="00301079" w:rsidRPr="00295414" w:rsidRDefault="00301079" w:rsidP="00295414"/>
    <w:p w14:paraId="0C0C2006" w14:textId="286C6AD7" w:rsidR="00DB42D8" w:rsidRDefault="00DB42D8" w:rsidP="00DB42D8">
      <w:pPr>
        <w:pStyle w:val="TableHeading"/>
      </w:pPr>
      <w:bookmarkStart w:id="288" w:name="_Toc436624143"/>
      <w:bookmarkStart w:id="289" w:name="_Toc436625444"/>
      <w:bookmarkStart w:id="290" w:name="_Toc446237032"/>
      <w:bookmarkStart w:id="291" w:name="_Toc449255764"/>
      <w:bookmarkStart w:id="292" w:name="_Toc490972409"/>
      <w:bookmarkStart w:id="293" w:name="_Toc491014629"/>
      <w:bookmarkStart w:id="294" w:name="_Toc491014771"/>
      <w:bookmarkStart w:id="295" w:name="_Toc491014951"/>
      <w:bookmarkStart w:id="296" w:name="_Toc491015098"/>
      <w:bookmarkStart w:id="297" w:name="_Toc491029242"/>
      <w:bookmarkStart w:id="298" w:name="_Toc491030331"/>
      <w:bookmarkStart w:id="299" w:name="_Toc491030790"/>
      <w:bookmarkStart w:id="300" w:name="_Toc491031353"/>
      <w:bookmarkStart w:id="301" w:name="_Toc491031940"/>
      <w:bookmarkStart w:id="302" w:name="_Toc491032113"/>
      <w:bookmarkStart w:id="303" w:name="_Toc491032221"/>
      <w:bookmarkStart w:id="304" w:name="_Toc491032328"/>
      <w:bookmarkStart w:id="305" w:name="_Toc491771720"/>
      <w:bookmarkStart w:id="306" w:name="_Toc491773295"/>
      <w:bookmarkStart w:id="307" w:name="_Toc23559353"/>
      <w:bookmarkStart w:id="308" w:name="_Toc23559387"/>
      <w:bookmarkStart w:id="309" w:name="_Toc23559674"/>
      <w:bookmarkStart w:id="310" w:name="_Toc23560142"/>
      <w:bookmarkStart w:id="311" w:name="_Toc23563436"/>
      <w:bookmarkStart w:id="312" w:name="_Toc77998688"/>
      <w:bookmarkStart w:id="313" w:name="_Toc79399717"/>
      <w:bookmarkStart w:id="314" w:name="_Toc112211966"/>
      <w:bookmarkStart w:id="315" w:name="_Toc112212060"/>
      <w:bookmarkStart w:id="316" w:name="_Toc112137878"/>
      <w:bookmarkStart w:id="317" w:name="_Toc112137900"/>
      <w:bookmarkStart w:id="318" w:name="_Toc210646453"/>
      <w:bookmarkStart w:id="319" w:name="_Toc210698432"/>
      <w:bookmarkStart w:id="320" w:name="_Toc210703214"/>
      <w:bookmarkEnd w:id="240"/>
      <w:bookmarkEnd w:id="241"/>
      <w:bookmarkEnd w:id="242"/>
      <w:bookmarkEnd w:id="243"/>
      <w:bookmarkEnd w:id="244"/>
      <w:bookmarkEnd w:id="245"/>
      <w:bookmarkEnd w:id="267"/>
      <w:bookmarkEnd w:id="268"/>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w:t>
      </w:r>
      <w:r w:rsidR="005E55CA">
        <w:t>–</w:t>
      </w:r>
      <w:r>
        <w:t xml:space="preserve">24 </w:t>
      </w:r>
      <w:r w:rsidRPr="001A75A9">
        <w:t>Budget</w:t>
      </w:r>
      <w:r>
        <w:t xml:space="preserve"> (continued)</w:t>
      </w:r>
      <w:r w:rsidRPr="00422E0D">
        <w:rPr>
          <w:b w:val="0"/>
        </w:rPr>
        <w:t xml:space="preserve"> </w:t>
      </w:r>
      <w:r w:rsidRPr="001A75A9">
        <w:t xml:space="preserve"> </w:t>
      </w:r>
    </w:p>
    <w:p w14:paraId="36803D62" w14:textId="7D8B4BFD" w:rsidR="00DB42D8" w:rsidRDefault="00301D67" w:rsidP="00AA6386">
      <w:pPr>
        <w:pStyle w:val="TableGraphic"/>
        <w:spacing w:before="30"/>
        <w:rPr>
          <w:bCs/>
        </w:rPr>
      </w:pPr>
      <w:r w:rsidRPr="00301D67">
        <w:rPr>
          <w:bCs/>
          <w:noProof/>
        </w:rPr>
        <w:drawing>
          <wp:inline distT="0" distB="0" distL="0" distR="0" wp14:anchorId="16A1F451" wp14:editId="7C8F6B15">
            <wp:extent cx="4896485" cy="3573780"/>
            <wp:effectExtent l="0" t="0" r="0" b="7620"/>
            <wp:docPr id="4175407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96485" cy="3573780"/>
                    </a:xfrm>
                    <a:prstGeom prst="rect">
                      <a:avLst/>
                    </a:prstGeom>
                    <a:noFill/>
                    <a:ln>
                      <a:noFill/>
                    </a:ln>
                  </pic:spPr>
                </pic:pic>
              </a:graphicData>
            </a:graphic>
          </wp:inline>
        </w:drawing>
      </w:r>
      <w:r w:rsidR="00275B51" w:rsidRPr="00275B51">
        <w:rPr>
          <w:bCs/>
        </w:rPr>
        <w:t xml:space="preserve"> </w:t>
      </w:r>
      <w:r w:rsidR="00DB42D8" w:rsidRPr="00AA6386">
        <w:rPr>
          <w:rFonts w:ascii="Arial" w:hAnsi="Arial" w:cs="Arial"/>
          <w:bCs/>
          <w:sz w:val="16"/>
          <w:szCs w:val="16"/>
        </w:rPr>
        <w:t>Prepared on a resourcing (i.e. appropriations available) basis</w:t>
      </w:r>
      <w:r w:rsidR="00DB42D8" w:rsidRPr="00AA6386">
        <w:rPr>
          <w:rFonts w:ascii="Arial" w:hAnsi="Arial" w:cs="Arial"/>
          <w:bCs/>
        </w:rPr>
        <w:t>.</w:t>
      </w:r>
    </w:p>
    <w:p w14:paraId="70BFB057" w14:textId="77777777" w:rsidR="00DB42D8" w:rsidRPr="00564C0F" w:rsidRDefault="00DB42D8" w:rsidP="00DB42D8">
      <w:pPr>
        <w:pStyle w:val="Heading3"/>
        <w:ind w:right="-156"/>
      </w:pPr>
      <w:r>
        <w:br w:type="page"/>
      </w:r>
      <w:bookmarkStart w:id="321" w:name="_Toc531095066"/>
      <w:bookmarkStart w:id="322" w:name="_Toc157411248"/>
      <w:bookmarkStart w:id="323" w:name="_Toc157412183"/>
      <w:bookmarkStart w:id="324" w:name="_Toc157412346"/>
      <w:bookmarkStart w:id="325" w:name="_Toc157445519"/>
      <w:bookmarkStart w:id="326" w:name="_Toc157497333"/>
      <w:bookmarkStart w:id="327" w:name="_Toc157613715"/>
      <w:bookmarkStart w:id="328" w:name="_Toc157614014"/>
      <w:bookmarkStart w:id="329" w:name="_Toc157617006"/>
      <w:bookmarkStart w:id="330" w:name="_Toc157618228"/>
      <w:bookmarkStart w:id="331" w:name="_Toc157697100"/>
      <w:bookmarkStart w:id="332" w:name="_Toc157698135"/>
      <w:bookmarkStart w:id="333" w:name="_Toc157705382"/>
      <w:bookmarkStart w:id="334" w:name="_Toc157705440"/>
      <w:bookmarkStart w:id="335" w:name="_Toc157705492"/>
      <w:bookmarkStart w:id="336" w:name="_Toc157705733"/>
      <w:bookmarkStart w:id="337" w:name="_Toc157706098"/>
      <w:r>
        <w:lastRenderedPageBreak/>
        <w:t>1.5</w:t>
      </w:r>
      <w:r>
        <w:tab/>
      </w:r>
      <w:bookmarkStart w:id="338" w:name="_Toc210646451"/>
      <w:bookmarkStart w:id="339" w:name="_Toc210698430"/>
      <w:bookmarkStart w:id="340" w:name="_Toc210703213"/>
      <w:r w:rsidRPr="00564C0F">
        <w:t>Breakdown of additional estimates by appropriation bill</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4DCEE59" w14:textId="1451F38E" w:rsidR="00DB42D8" w:rsidRPr="00564C0F" w:rsidRDefault="00DB42D8" w:rsidP="00DB42D8">
      <w:r w:rsidRPr="00564C0F">
        <w:t xml:space="preserve">The following tables detail the Additional Estimates sought for </w:t>
      </w:r>
      <w:r w:rsidR="000518A8">
        <w:t xml:space="preserve">Finance </w:t>
      </w:r>
      <w:r w:rsidRPr="00564C0F">
        <w:t xml:space="preserve">through </w:t>
      </w:r>
      <w:r w:rsidRPr="00055E5F">
        <w:t>Appropriation Bills Nos. 3</w:t>
      </w:r>
      <w:r w:rsidRPr="00C437C4">
        <w:t xml:space="preserve"> and </w:t>
      </w:r>
      <w:r w:rsidRPr="00055E5F">
        <w:t>4</w:t>
      </w:r>
      <w:r w:rsidRPr="00564C0F">
        <w:t>.</w:t>
      </w:r>
    </w:p>
    <w:p w14:paraId="2AB07FCF" w14:textId="77777777" w:rsidR="00DB42D8" w:rsidRDefault="00DB42D8" w:rsidP="00DB42D8">
      <w:pPr>
        <w:pStyle w:val="TableHeading"/>
      </w:pPr>
      <w:bookmarkStart w:id="341" w:name="_Toc491771713"/>
      <w:bookmarkStart w:id="342" w:name="_Toc491773288"/>
      <w:bookmarkStart w:id="343" w:name="_Toc23559346"/>
      <w:bookmarkStart w:id="344" w:name="_Toc23559380"/>
      <w:bookmarkStart w:id="345" w:name="_Toc23560135"/>
      <w:bookmarkStart w:id="346" w:name="_Toc23563429"/>
      <w:r>
        <w:t>Table 1.4</w:t>
      </w:r>
      <w:r w:rsidRPr="00564C0F">
        <w:t xml:space="preserve">: Appropriation Bill (No. 3) </w:t>
      </w:r>
      <w:bookmarkEnd w:id="341"/>
      <w:bookmarkEnd w:id="342"/>
      <w:bookmarkEnd w:id="343"/>
      <w:bookmarkEnd w:id="344"/>
      <w:bookmarkEnd w:id="345"/>
      <w:bookmarkEnd w:id="346"/>
      <w:r>
        <w:t>2023</w:t>
      </w:r>
      <w:r w:rsidR="005E55CA">
        <w:t>–</w:t>
      </w:r>
      <w:r>
        <w:t>2024</w:t>
      </w:r>
    </w:p>
    <w:p w14:paraId="5023F9DF" w14:textId="327347EB" w:rsidR="00DB42D8" w:rsidRPr="00D913F9" w:rsidRDefault="00301D67" w:rsidP="00DB42D8">
      <w:pPr>
        <w:pStyle w:val="TableGraphic"/>
      </w:pPr>
      <w:r w:rsidRPr="00301D67">
        <w:rPr>
          <w:noProof/>
        </w:rPr>
        <w:drawing>
          <wp:inline distT="0" distB="0" distL="0" distR="0" wp14:anchorId="3F5ABDEA" wp14:editId="0FAED846">
            <wp:extent cx="4896485" cy="3232150"/>
            <wp:effectExtent l="0" t="0" r="0" b="6350"/>
            <wp:docPr id="21246883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96485" cy="3232150"/>
                    </a:xfrm>
                    <a:prstGeom prst="rect">
                      <a:avLst/>
                    </a:prstGeom>
                    <a:noFill/>
                    <a:ln>
                      <a:noFill/>
                    </a:ln>
                  </pic:spPr>
                </pic:pic>
              </a:graphicData>
            </a:graphic>
          </wp:inline>
        </w:drawing>
      </w:r>
    </w:p>
    <w:p w14:paraId="0F35B968" w14:textId="7CD480D6" w:rsidR="00DB42D8" w:rsidRPr="00146803" w:rsidRDefault="00146803" w:rsidP="00AA6386">
      <w:pPr>
        <w:pStyle w:val="TableGraphic"/>
        <w:spacing w:before="30"/>
        <w:rPr>
          <w:rFonts w:ascii="Arial" w:hAnsi="Arial" w:cs="Arial"/>
          <w:sz w:val="16"/>
          <w:szCs w:val="16"/>
        </w:rPr>
      </w:pPr>
      <w:r w:rsidRPr="00146803">
        <w:rPr>
          <w:rFonts w:ascii="Arial" w:hAnsi="Arial" w:cs="Arial"/>
          <w:sz w:val="16"/>
          <w:szCs w:val="16"/>
        </w:rPr>
        <w:t>Table continues on next page</w:t>
      </w:r>
    </w:p>
    <w:p w14:paraId="4738EFB2" w14:textId="77777777" w:rsidR="00DB42D8" w:rsidRPr="00DE0C3B" w:rsidRDefault="00DB42D8" w:rsidP="00DB42D8"/>
    <w:p w14:paraId="6E504BA4" w14:textId="77777777" w:rsidR="00DB42D8" w:rsidRDefault="00DB42D8" w:rsidP="00DB42D8">
      <w:pPr>
        <w:spacing w:after="0" w:line="240" w:lineRule="auto"/>
      </w:pPr>
      <w:r>
        <w:br w:type="page"/>
      </w:r>
    </w:p>
    <w:p w14:paraId="1972B377" w14:textId="2EB117FF" w:rsidR="00DB42D8" w:rsidRDefault="00DB42D8" w:rsidP="00DB42D8">
      <w:pPr>
        <w:pStyle w:val="TableHeading"/>
      </w:pPr>
      <w:r w:rsidRPr="00564C0F">
        <w:lastRenderedPageBreak/>
        <w:t>Table 1.</w:t>
      </w:r>
      <w:r w:rsidR="000518A8">
        <w:t>4</w:t>
      </w:r>
      <w:r w:rsidRPr="00564C0F">
        <w:t>: Appropriation B</w:t>
      </w:r>
      <w:r>
        <w:t xml:space="preserve">ill (No. </w:t>
      </w:r>
      <w:r w:rsidR="000518A8">
        <w:t>3</w:t>
      </w:r>
      <w:r w:rsidRPr="00564C0F">
        <w:t xml:space="preserve">) </w:t>
      </w:r>
      <w:r>
        <w:t>2023</w:t>
      </w:r>
      <w:r w:rsidR="005E55CA">
        <w:t>–</w:t>
      </w:r>
      <w:r>
        <w:t>2024</w:t>
      </w:r>
      <w:r w:rsidR="000518A8">
        <w:t xml:space="preserve"> (continued)</w:t>
      </w:r>
    </w:p>
    <w:p w14:paraId="605B8A76" w14:textId="11FDB3BD" w:rsidR="00DB42D8" w:rsidRPr="00D913F9" w:rsidRDefault="00301D67" w:rsidP="00DB42D8">
      <w:pPr>
        <w:pStyle w:val="TableGraphic"/>
      </w:pPr>
      <w:r w:rsidRPr="00301D67">
        <w:rPr>
          <w:noProof/>
        </w:rPr>
        <w:drawing>
          <wp:inline distT="0" distB="0" distL="0" distR="0" wp14:anchorId="56CAA5AF" wp14:editId="29088823">
            <wp:extent cx="4896485" cy="3363595"/>
            <wp:effectExtent l="0" t="0" r="0" b="8255"/>
            <wp:docPr id="14162514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96485" cy="3363595"/>
                    </a:xfrm>
                    <a:prstGeom prst="rect">
                      <a:avLst/>
                    </a:prstGeom>
                    <a:noFill/>
                    <a:ln>
                      <a:noFill/>
                    </a:ln>
                  </pic:spPr>
                </pic:pic>
              </a:graphicData>
            </a:graphic>
          </wp:inline>
        </w:drawing>
      </w:r>
    </w:p>
    <w:p w14:paraId="32DBAD7B" w14:textId="77777777" w:rsidR="00DB42D8" w:rsidRDefault="00DB42D8" w:rsidP="00DB42D8">
      <w:pPr>
        <w:pStyle w:val="TableGraphic"/>
      </w:pPr>
    </w:p>
    <w:p w14:paraId="70148109" w14:textId="77777777" w:rsidR="00D56B62" w:rsidRDefault="00D56B62" w:rsidP="000518A8">
      <w:pPr>
        <w:pStyle w:val="TableHeading"/>
      </w:pPr>
    </w:p>
    <w:p w14:paraId="57EAF81F" w14:textId="6FE645E6" w:rsidR="000518A8" w:rsidRDefault="000518A8" w:rsidP="000518A8">
      <w:pPr>
        <w:pStyle w:val="TableHeading"/>
      </w:pPr>
      <w:r w:rsidRPr="00564C0F">
        <w:t>Table 1.5: Appropriation B</w:t>
      </w:r>
      <w:r>
        <w:t>ill (No. 4</w:t>
      </w:r>
      <w:r w:rsidRPr="00564C0F">
        <w:t xml:space="preserve">) </w:t>
      </w:r>
      <w:r>
        <w:t>2023–2024</w:t>
      </w:r>
    </w:p>
    <w:p w14:paraId="1F6E4BE0" w14:textId="1748ADEE" w:rsidR="000518A8" w:rsidRPr="000518A8" w:rsidRDefault="00BA1E19" w:rsidP="000518A8">
      <w:pPr>
        <w:pStyle w:val="TableGraphic"/>
      </w:pPr>
      <w:r w:rsidRPr="00BA1E19">
        <w:rPr>
          <w:noProof/>
        </w:rPr>
        <w:drawing>
          <wp:inline distT="0" distB="0" distL="0" distR="0" wp14:anchorId="22AE7819" wp14:editId="7FFE15E7">
            <wp:extent cx="4896485" cy="918210"/>
            <wp:effectExtent l="0" t="0" r="0" b="0"/>
            <wp:docPr id="23341053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6485" cy="918210"/>
                    </a:xfrm>
                    <a:prstGeom prst="rect">
                      <a:avLst/>
                    </a:prstGeom>
                    <a:noFill/>
                    <a:ln>
                      <a:noFill/>
                    </a:ln>
                  </pic:spPr>
                </pic:pic>
              </a:graphicData>
            </a:graphic>
          </wp:inline>
        </w:drawing>
      </w:r>
    </w:p>
    <w:p w14:paraId="25B8A01F" w14:textId="77777777" w:rsidR="00DB42D8" w:rsidRPr="00E41681" w:rsidRDefault="00DB42D8" w:rsidP="00DB42D8">
      <w:pPr>
        <w:pStyle w:val="Heading2-TOC"/>
      </w:pPr>
      <w:r>
        <w:br w:type="page"/>
      </w:r>
      <w:bookmarkStart w:id="347" w:name="_Toc157411249"/>
      <w:bookmarkStart w:id="348" w:name="_Toc157412184"/>
      <w:bookmarkStart w:id="349" w:name="_Toc157412347"/>
      <w:bookmarkStart w:id="350" w:name="_Toc157445520"/>
      <w:bookmarkStart w:id="351" w:name="_Toc157497334"/>
      <w:bookmarkStart w:id="352" w:name="_Toc157613716"/>
      <w:bookmarkStart w:id="353" w:name="_Toc157614015"/>
      <w:bookmarkStart w:id="354" w:name="_Toc157617007"/>
      <w:bookmarkStart w:id="355" w:name="_Toc157618229"/>
      <w:bookmarkStart w:id="356" w:name="_Toc157697101"/>
      <w:bookmarkStart w:id="357" w:name="_Toc157698136"/>
      <w:bookmarkStart w:id="358" w:name="_Toc157705383"/>
      <w:bookmarkStart w:id="359" w:name="_Toc157705441"/>
      <w:bookmarkStart w:id="360" w:name="_Toc157705493"/>
      <w:bookmarkStart w:id="361" w:name="_Toc157705734"/>
      <w:bookmarkStart w:id="362" w:name="_Toc157706099"/>
      <w:r w:rsidRPr="00E41681">
        <w:lastRenderedPageBreak/>
        <w:t>Section 2</w:t>
      </w:r>
      <w:bookmarkEnd w:id="288"/>
      <w:bookmarkEnd w:id="289"/>
      <w:bookmarkEnd w:id="290"/>
      <w:bookmarkEnd w:id="291"/>
      <w:r w:rsidRPr="00E41681">
        <w:t xml:space="preserve">: </w:t>
      </w:r>
      <w:bookmarkStart w:id="363" w:name="_Toc436624144"/>
      <w:bookmarkStart w:id="364" w:name="_Toc436625445"/>
      <w:bookmarkStart w:id="365" w:name="_Toc436626790"/>
      <w:bookmarkStart w:id="366" w:name="_Toc446237033"/>
      <w:bookmarkStart w:id="367" w:name="_Toc449255765"/>
      <w:r w:rsidRPr="00E41681">
        <w:t xml:space="preserve">Revisions to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63"/>
      <w:bookmarkEnd w:id="364"/>
      <w:bookmarkEnd w:id="365"/>
      <w:bookmarkEnd w:id="366"/>
      <w:bookmarkEnd w:id="367"/>
      <w:r w:rsidRPr="00E41681">
        <w:t>outcomes and planned performance</w:t>
      </w:r>
      <w:bookmarkEnd w:id="319"/>
      <w:bookmarkEnd w:id="32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6E3961C" w14:textId="38FD9E30" w:rsidR="00DB42D8" w:rsidRDefault="00DB42D8" w:rsidP="00033B4A">
      <w:pPr>
        <w:pStyle w:val="Heading3"/>
      </w:pPr>
      <w:bookmarkStart w:id="368" w:name="_Toc531095067"/>
      <w:bookmarkStart w:id="369" w:name="_Toc157411250"/>
      <w:bookmarkStart w:id="370" w:name="_Toc157412185"/>
      <w:bookmarkStart w:id="371" w:name="_Toc157412348"/>
      <w:bookmarkStart w:id="372" w:name="_Toc157445521"/>
      <w:bookmarkStart w:id="373" w:name="_Toc157497335"/>
      <w:bookmarkStart w:id="374" w:name="_Toc157613717"/>
      <w:bookmarkStart w:id="375" w:name="_Toc157614016"/>
      <w:bookmarkStart w:id="376" w:name="_Toc157617008"/>
      <w:bookmarkStart w:id="377" w:name="_Toc157618230"/>
      <w:bookmarkStart w:id="378" w:name="_Toc157697102"/>
      <w:bookmarkStart w:id="379" w:name="_Toc157698137"/>
      <w:bookmarkStart w:id="380" w:name="_Toc157705384"/>
      <w:bookmarkStart w:id="381" w:name="_Toc157705442"/>
      <w:bookmarkStart w:id="382" w:name="_Toc157705494"/>
      <w:bookmarkStart w:id="383" w:name="_Toc157705735"/>
      <w:bookmarkStart w:id="384" w:name="_Toc157706100"/>
      <w:bookmarkStart w:id="385" w:name="_Toc436624145"/>
      <w:bookmarkStart w:id="386" w:name="_Toc436625446"/>
      <w:bookmarkStart w:id="387" w:name="_Toc449255766"/>
      <w:bookmarkStart w:id="388" w:name="_Toc490972410"/>
      <w:bookmarkStart w:id="389" w:name="_Toc491014630"/>
      <w:bookmarkStart w:id="390" w:name="_Toc491014772"/>
      <w:bookmarkStart w:id="391" w:name="_Toc491014952"/>
      <w:bookmarkStart w:id="392" w:name="_Toc491015099"/>
      <w:bookmarkStart w:id="393" w:name="_Toc491029243"/>
      <w:bookmarkStart w:id="394" w:name="_Toc491030332"/>
      <w:bookmarkStart w:id="395" w:name="_Toc491030791"/>
      <w:bookmarkStart w:id="396" w:name="_Toc491031354"/>
      <w:bookmarkStart w:id="397" w:name="_Toc491031941"/>
      <w:bookmarkStart w:id="398" w:name="_Toc491032114"/>
      <w:bookmarkStart w:id="399" w:name="_Toc491032222"/>
      <w:bookmarkStart w:id="400" w:name="_Toc491032329"/>
      <w:bookmarkStart w:id="401" w:name="_Toc491771721"/>
      <w:bookmarkStart w:id="402" w:name="_Toc491773296"/>
      <w:bookmarkStart w:id="403" w:name="_Toc23559354"/>
      <w:bookmarkStart w:id="404" w:name="_Toc23559388"/>
      <w:bookmarkStart w:id="405" w:name="_Toc23559675"/>
      <w:bookmarkStart w:id="406" w:name="_Toc23560143"/>
      <w:bookmarkStart w:id="407" w:name="_Toc23563437"/>
      <w:bookmarkStart w:id="408" w:name="_Toc77998689"/>
      <w:bookmarkStart w:id="409" w:name="_Toc79406118"/>
      <w:bookmarkStart w:id="410" w:name="_Toc79467820"/>
      <w:bookmarkStart w:id="411" w:name="_Toc112211967"/>
      <w:bookmarkStart w:id="412" w:name="_Toc112212061"/>
      <w:bookmarkStart w:id="413" w:name="_Toc112137879"/>
      <w:bookmarkStart w:id="414" w:name="_Toc112137901"/>
      <w:bookmarkStart w:id="415" w:name="_Toc210646454"/>
      <w:bookmarkStart w:id="416" w:name="_Toc210698433"/>
      <w:bookmarkStart w:id="417" w:name="_Toc210703215"/>
      <w:r>
        <w:t>2</w:t>
      </w:r>
      <w:r w:rsidR="00033B4A">
        <w:t>.1</w:t>
      </w:r>
      <w:r>
        <w:tab/>
        <w:t>Changes to outcome and program structures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78A4C87" w14:textId="1E4766BB" w:rsidR="000518A8" w:rsidRPr="0087387F" w:rsidRDefault="000518A8" w:rsidP="000518A8">
      <w:pPr>
        <w:pStyle w:val="Default"/>
        <w:jc w:val="both"/>
        <w:rPr>
          <w:rFonts w:ascii="Book Antiqua" w:hAnsi="Book Antiqua"/>
          <w:color w:val="auto"/>
          <w:sz w:val="20"/>
          <w:szCs w:val="20"/>
        </w:rPr>
      </w:pPr>
      <w:r w:rsidRPr="0087387F">
        <w:rPr>
          <w:rFonts w:ascii="Book Antiqua" w:hAnsi="Book Antiqua"/>
          <w:color w:val="auto"/>
          <w:sz w:val="20"/>
          <w:szCs w:val="20"/>
        </w:rPr>
        <w:t>There have been no changes to outcomes or program</w:t>
      </w:r>
      <w:r w:rsidR="001D7807">
        <w:rPr>
          <w:rFonts w:ascii="Book Antiqua" w:hAnsi="Book Antiqua"/>
          <w:color w:val="auto"/>
          <w:sz w:val="20"/>
          <w:szCs w:val="20"/>
        </w:rPr>
        <w:t xml:space="preserve"> structures</w:t>
      </w:r>
      <w:r w:rsidRPr="0087387F">
        <w:rPr>
          <w:rFonts w:ascii="Book Antiqua" w:hAnsi="Book Antiqua"/>
          <w:color w:val="auto"/>
          <w:sz w:val="20"/>
          <w:szCs w:val="20"/>
        </w:rPr>
        <w:t xml:space="preserve"> since the </w:t>
      </w:r>
      <w:r>
        <w:rPr>
          <w:rFonts w:ascii="Book Antiqua" w:hAnsi="Book Antiqua"/>
          <w:color w:val="auto"/>
          <w:sz w:val="20"/>
          <w:szCs w:val="20"/>
        </w:rPr>
        <w:t>2023-24</w:t>
      </w:r>
      <w:r w:rsidRPr="0087387F">
        <w:rPr>
          <w:rFonts w:ascii="Book Antiqua" w:hAnsi="Book Antiqua"/>
          <w:color w:val="auto"/>
          <w:sz w:val="20"/>
          <w:szCs w:val="20"/>
        </w:rPr>
        <w:t xml:space="preserve"> PB</w:t>
      </w:r>
      <w:r w:rsidR="00625CCB">
        <w:rPr>
          <w:rFonts w:ascii="Book Antiqua" w:hAnsi="Book Antiqua"/>
          <w:color w:val="auto"/>
          <w:sz w:val="20"/>
          <w:szCs w:val="20"/>
        </w:rPr>
        <w:t> </w:t>
      </w:r>
      <w:r w:rsidRPr="0087387F">
        <w:rPr>
          <w:rFonts w:ascii="Book Antiqua" w:hAnsi="Book Antiqua"/>
          <w:color w:val="auto"/>
          <w:sz w:val="20"/>
          <w:szCs w:val="20"/>
        </w:rPr>
        <w:t>Statements.</w:t>
      </w:r>
    </w:p>
    <w:p w14:paraId="24AA09AE" w14:textId="77777777" w:rsidR="00DB42D8" w:rsidRPr="00D5737A" w:rsidRDefault="00DB42D8" w:rsidP="00DB42D8"/>
    <w:p w14:paraId="2A422A69" w14:textId="77777777" w:rsidR="00DB42D8" w:rsidRPr="00D5737A" w:rsidRDefault="00DB42D8" w:rsidP="00DB42D8"/>
    <w:p w14:paraId="4761BB96" w14:textId="5CB4C982" w:rsidR="00DB42D8" w:rsidRDefault="00DB42D8" w:rsidP="00DB42D8">
      <w:pPr>
        <w:pStyle w:val="Heading3"/>
      </w:pPr>
      <w:r>
        <w:br w:type="page"/>
      </w:r>
      <w:bookmarkStart w:id="418" w:name="_Toc531095068"/>
      <w:bookmarkStart w:id="419" w:name="_Toc157411251"/>
      <w:bookmarkStart w:id="420" w:name="_Toc157412186"/>
      <w:bookmarkStart w:id="421" w:name="_Toc157412349"/>
      <w:bookmarkStart w:id="422" w:name="_Toc157445522"/>
      <w:bookmarkStart w:id="423" w:name="_Toc157497336"/>
      <w:bookmarkStart w:id="424" w:name="_Toc157613718"/>
      <w:bookmarkStart w:id="425" w:name="_Toc157614017"/>
      <w:bookmarkStart w:id="426" w:name="_Toc157617009"/>
      <w:bookmarkStart w:id="427" w:name="_Toc157618231"/>
      <w:bookmarkStart w:id="428" w:name="_Toc157697103"/>
      <w:bookmarkStart w:id="429" w:name="_Toc157698138"/>
      <w:bookmarkStart w:id="430" w:name="_Toc157705385"/>
      <w:bookmarkStart w:id="431" w:name="_Toc157705443"/>
      <w:bookmarkStart w:id="432" w:name="_Toc157705495"/>
      <w:bookmarkStart w:id="433" w:name="_Toc157705736"/>
      <w:bookmarkStart w:id="434" w:name="_Toc157706101"/>
      <w:r>
        <w:lastRenderedPageBreak/>
        <w:t>2.</w:t>
      </w:r>
      <w:r w:rsidR="00D4597F">
        <w:t>2</w:t>
      </w:r>
      <w:r>
        <w:tab/>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t xml:space="preserve">Budgeted expenses and performance for </w:t>
      </w:r>
      <w:r w:rsidR="007565F1">
        <w:t>O</w:t>
      </w:r>
      <w:r>
        <w:t xml:space="preserve">utcome </w:t>
      </w:r>
      <w:bookmarkEnd w:id="418"/>
      <w:r w:rsidR="000518A8">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B42D8" w:rsidRPr="005E6F2B" w14:paraId="33F4F573" w14:textId="77777777" w:rsidTr="00240B7B">
        <w:tc>
          <w:tcPr>
            <w:tcW w:w="7705" w:type="dxa"/>
            <w:shd w:val="clear" w:color="auto" w:fill="E6E6E6"/>
          </w:tcPr>
          <w:p w14:paraId="7084DBE6" w14:textId="28291FFC" w:rsidR="00DB42D8" w:rsidRPr="005E6F2B" w:rsidRDefault="00240B7B" w:rsidP="008F07DB">
            <w:pPr>
              <w:pStyle w:val="TableColumnHeadingLeft"/>
            </w:pPr>
            <w:r w:rsidRPr="00240B7B">
              <w:rPr>
                <w:sz w:val="20"/>
              </w:rPr>
              <w:t>Outcome 1: Support sustainable Australian Government finances through providing high-quality policy advice and operational support to the government and Commonwealth entities to maintain effective and efficient use of public resources.</w:t>
            </w:r>
          </w:p>
        </w:tc>
      </w:tr>
    </w:tbl>
    <w:p w14:paraId="57791006" w14:textId="77777777" w:rsidR="00DB42D8" w:rsidRPr="005E6F2B" w:rsidRDefault="00DB42D8" w:rsidP="00DB42D8">
      <w:pPr>
        <w:pStyle w:val="NoSpacing"/>
      </w:pPr>
    </w:p>
    <w:p w14:paraId="20B32E75" w14:textId="56A4A77E" w:rsidR="00DB42D8" w:rsidRPr="00446612" w:rsidRDefault="00DB42D8" w:rsidP="00DB42D8">
      <w:pPr>
        <w:pStyle w:val="Heading5"/>
      </w:pPr>
      <w:r w:rsidRPr="00446612">
        <w:t xml:space="preserve">Budgeted expenses for Outcome </w:t>
      </w:r>
      <w:r w:rsidR="00240B7B">
        <w:t>1</w:t>
      </w:r>
    </w:p>
    <w:p w14:paraId="1509FD99" w14:textId="77777777" w:rsidR="00DB42D8" w:rsidRDefault="00DB42D8" w:rsidP="00733802">
      <w:r w:rsidRPr="00950281">
        <w:t>This table shows how much the entity intends to spend (on an accrual basis) on achieving the outcome, broken down by program, as well as by Administered and Departmental funding sources.</w:t>
      </w:r>
    </w:p>
    <w:p w14:paraId="2D243E49" w14:textId="5E81FA81" w:rsidR="00240B7B" w:rsidRPr="001436E5" w:rsidRDefault="00240B7B" w:rsidP="00240B7B">
      <w:pPr>
        <w:pStyle w:val="TableHeading"/>
        <w:rPr>
          <w:highlight w:val="yellow"/>
        </w:rPr>
      </w:pPr>
      <w:r w:rsidRPr="00D93D96">
        <w:t>Table 2.</w:t>
      </w:r>
      <w:r w:rsidR="008C1682">
        <w:t>2</w:t>
      </w:r>
      <w:r>
        <w:t>.</w:t>
      </w:r>
      <w:r w:rsidRPr="00D93D96">
        <w:t>1 Budgeted expenses</w:t>
      </w:r>
      <w:r>
        <w:t xml:space="preserve"> for</w:t>
      </w:r>
      <w:r w:rsidRPr="00D93D96">
        <w:t xml:space="preserve"> Outcome </w:t>
      </w:r>
      <w:r>
        <w:t>1</w:t>
      </w:r>
    </w:p>
    <w:p w14:paraId="62763E4D" w14:textId="66E5DEC4" w:rsidR="00240B7B" w:rsidRDefault="00240B7B" w:rsidP="00032C16">
      <w:pPr>
        <w:pStyle w:val="TableGraphic"/>
        <w:rPr>
          <w:iCs/>
        </w:rPr>
      </w:pPr>
      <w:r w:rsidRPr="004A6255">
        <w:t xml:space="preserve"> </w:t>
      </w:r>
      <w:r w:rsidR="00082113" w:rsidRPr="00082113">
        <w:rPr>
          <w:noProof/>
        </w:rPr>
        <w:drawing>
          <wp:inline distT="0" distB="0" distL="0" distR="0" wp14:anchorId="660C7F72" wp14:editId="1E29DF41">
            <wp:extent cx="4896485" cy="3683635"/>
            <wp:effectExtent l="0" t="0" r="0" b="0"/>
            <wp:docPr id="24021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6485" cy="3683635"/>
                    </a:xfrm>
                    <a:prstGeom prst="rect">
                      <a:avLst/>
                    </a:prstGeom>
                    <a:noFill/>
                    <a:ln>
                      <a:noFill/>
                    </a:ln>
                  </pic:spPr>
                </pic:pic>
              </a:graphicData>
            </a:graphic>
          </wp:inline>
        </w:drawing>
      </w:r>
    </w:p>
    <w:p w14:paraId="6D40EA42" w14:textId="77777777" w:rsidR="00240B7B" w:rsidRPr="00A878A9" w:rsidRDefault="00240B7B" w:rsidP="008D6BC4">
      <w:pPr>
        <w:pStyle w:val="ChartandTableFootnoteAlpha"/>
        <w:numPr>
          <w:ilvl w:val="0"/>
          <w:numId w:val="17"/>
        </w:numPr>
        <w:spacing w:after="20"/>
      </w:pPr>
      <w:r w:rsidRPr="00A878A9">
        <w:t>Departmental appropri</w:t>
      </w:r>
      <w:r>
        <w:t>ation combines o</w:t>
      </w:r>
      <w:r w:rsidRPr="00A878A9">
        <w:t>rdinary annual services (</w:t>
      </w:r>
      <w:r w:rsidRPr="00F11E5D">
        <w:rPr>
          <w:i/>
          <w:iCs/>
        </w:rPr>
        <w:t>Appropriation Act (No. 1)</w:t>
      </w:r>
      <w:r>
        <w:t xml:space="preserve"> and Bill (No. 3))</w:t>
      </w:r>
      <w:r w:rsidRPr="00A878A9">
        <w:t xml:space="preserve"> and estimated receipts retained under s</w:t>
      </w:r>
      <w:r>
        <w:t xml:space="preserve">ection </w:t>
      </w:r>
      <w:r w:rsidRPr="00A878A9">
        <w:t xml:space="preserve">74 of the </w:t>
      </w:r>
      <w:r w:rsidRPr="00F11E5D">
        <w:rPr>
          <w:i/>
          <w:iCs/>
        </w:rPr>
        <w:t>PGPA Act</w:t>
      </w:r>
      <w:r w:rsidRPr="00A878A9">
        <w:t>.</w:t>
      </w:r>
    </w:p>
    <w:p w14:paraId="6E67E175" w14:textId="38116266" w:rsidR="00240B7B" w:rsidRPr="00A878A9" w:rsidRDefault="00240B7B" w:rsidP="008D6BC4">
      <w:pPr>
        <w:pStyle w:val="ChartandTableFootnoteAlpha"/>
        <w:numPr>
          <w:ilvl w:val="0"/>
          <w:numId w:val="17"/>
        </w:numPr>
        <w:spacing w:before="0" w:after="20"/>
      </w:pPr>
      <w:r w:rsidRPr="00A878A9">
        <w:t>Expenses not requiring appropriation in the Budget year is made up of depreciation expenses, amortisation expenses</w:t>
      </w:r>
      <w:r w:rsidR="005510CF">
        <w:t xml:space="preserve"> and </w:t>
      </w:r>
      <w:r w:rsidR="00863336">
        <w:t>resources received free of charge</w:t>
      </w:r>
      <w:r>
        <w:t>.</w:t>
      </w:r>
    </w:p>
    <w:p w14:paraId="22412C88" w14:textId="77777777" w:rsidR="00240B7B" w:rsidRPr="004558AC" w:rsidRDefault="00240B7B" w:rsidP="008D6BC4">
      <w:pPr>
        <w:pStyle w:val="ChartandTableFootnoteAlpha"/>
        <w:numPr>
          <w:ilvl w:val="0"/>
          <w:numId w:val="0"/>
        </w:numPr>
        <w:rPr>
          <w:highlight w:val="yellow"/>
        </w:rPr>
      </w:pPr>
    </w:p>
    <w:p w14:paraId="39562DF4" w14:textId="77777777" w:rsidR="00240B7B" w:rsidRPr="00D5737A" w:rsidRDefault="00240B7B" w:rsidP="008D6BC4">
      <w:pPr>
        <w:pStyle w:val="ChartandTableFootnote"/>
        <w:tabs>
          <w:tab w:val="left" w:pos="0"/>
        </w:tabs>
      </w:pPr>
      <w:r w:rsidRPr="0024651F">
        <w:t xml:space="preserve">Note: Departmental appropriation splits and totals are indicative estimates </w:t>
      </w:r>
      <w:r>
        <w:t xml:space="preserve">and may change in the course of </w:t>
      </w:r>
      <w:r w:rsidRPr="0024651F">
        <w:t>the budget year as government priorities change.</w:t>
      </w:r>
    </w:p>
    <w:p w14:paraId="26F610F9" w14:textId="77777777" w:rsidR="00240B7B" w:rsidRDefault="00240B7B" w:rsidP="00DB42D8">
      <w:pPr>
        <w:pStyle w:val="TableHeading"/>
      </w:pPr>
    </w:p>
    <w:p w14:paraId="0564A038" w14:textId="77777777" w:rsidR="00146803" w:rsidRDefault="00146803">
      <w:pPr>
        <w:spacing w:before="0" w:after="0" w:line="240" w:lineRule="auto"/>
        <w:rPr>
          <w:rFonts w:ascii="Arial" w:hAnsi="Arial"/>
          <w:b/>
          <w:sz w:val="20"/>
        </w:rPr>
      </w:pPr>
      <w:r>
        <w:br w:type="page"/>
      </w:r>
    </w:p>
    <w:p w14:paraId="7CEBB183" w14:textId="3776F897" w:rsidR="00240B7B" w:rsidRPr="00F71634" w:rsidRDefault="00240B7B" w:rsidP="00240B7B">
      <w:pPr>
        <w:pStyle w:val="Heading5"/>
      </w:pPr>
      <w:r>
        <w:lastRenderedPageBreak/>
        <w:t>Table 2.</w:t>
      </w:r>
      <w:r w:rsidR="001D7807">
        <w:t>2</w:t>
      </w:r>
      <w:r>
        <w:t>.2</w:t>
      </w:r>
      <w:r w:rsidRPr="00F71634">
        <w:t xml:space="preserve">: Performance </w:t>
      </w:r>
      <w:r>
        <w:t>measure</w:t>
      </w:r>
      <w:r w:rsidRPr="00F71634">
        <w:t xml:space="preserve"> </w:t>
      </w:r>
      <w:r>
        <w:t>for Outcome 1</w:t>
      </w:r>
    </w:p>
    <w:p w14:paraId="5B5AE6D8" w14:textId="25BE5BCB" w:rsidR="004B5FA1" w:rsidRDefault="00240B7B" w:rsidP="00240B7B">
      <w:r>
        <w:t xml:space="preserve">Table </w:t>
      </w:r>
      <w:r w:rsidRPr="004B3275">
        <w:t>2.</w:t>
      </w:r>
      <w:r w:rsidR="001D7807">
        <w:t>2</w:t>
      </w:r>
      <w:r w:rsidRPr="004B3275">
        <w:t xml:space="preserve">.2 below details the performance measure for each program associated with Outcome 1. It is to be used by entities to describe the results they plan to achieve with the resources provided for new programs, or materially changed existing programs resulting from decisions made since the </w:t>
      </w:r>
      <w:r>
        <w:t>2023-24</w:t>
      </w:r>
      <w:r w:rsidRPr="004B3275">
        <w:t xml:space="preserve"> Budget</w:t>
      </w:r>
      <w:r w:rsidRPr="00D5737A">
        <w:t>.</w:t>
      </w:r>
    </w:p>
    <w:tbl>
      <w:tblPr>
        <w:tblW w:w="7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4"/>
      </w:tblGrid>
      <w:tr w:rsidR="004B5FA1" w:rsidRPr="00F71634" w14:paraId="2FAA1910" w14:textId="77777777" w:rsidTr="00C9155D">
        <w:trPr>
          <w:trHeight w:val="864"/>
          <w:tblHeader/>
        </w:trPr>
        <w:tc>
          <w:tcPr>
            <w:tcW w:w="7724" w:type="dxa"/>
            <w:shd w:val="clear" w:color="auto" w:fill="F2F2F2" w:themeFill="background1" w:themeFillShade="F2"/>
            <w:vAlign w:val="center"/>
          </w:tcPr>
          <w:p w14:paraId="332F10F3" w14:textId="77777777" w:rsidR="004B5FA1" w:rsidRPr="006906E4" w:rsidRDefault="004B5FA1" w:rsidP="00DB11C8">
            <w:pPr>
              <w:pStyle w:val="TableColumnHeadingLeft"/>
              <w:spacing w:before="120" w:after="120"/>
            </w:pPr>
            <w:bookmarkStart w:id="435" w:name="_Hlk157182681"/>
            <w:r w:rsidRPr="006906E4">
              <w:t xml:space="preserve">Outcome </w:t>
            </w:r>
            <w:r>
              <w:t>1</w:t>
            </w:r>
            <w:r w:rsidRPr="006906E4">
              <w:t xml:space="preserve"> – </w:t>
            </w:r>
            <w:r w:rsidRPr="004B5FA1">
              <w:rPr>
                <w:rFonts w:ascii="Arial" w:hAnsi="Arial" w:cs="Arial"/>
                <w:b w:val="0"/>
                <w:szCs w:val="16"/>
              </w:rPr>
              <w:t>Support sustainable Australian Government finances through providing high-quality policy advice and operational support to the government and Commonwealth entities to maintain effective and efficient use of public resources.</w:t>
            </w:r>
          </w:p>
        </w:tc>
      </w:tr>
      <w:tr w:rsidR="004B5FA1" w:rsidRPr="00F71634" w14:paraId="7A9DBD91" w14:textId="77777777" w:rsidTr="00C9155D">
        <w:trPr>
          <w:trHeight w:val="1006"/>
          <w:tblHeader/>
        </w:trPr>
        <w:tc>
          <w:tcPr>
            <w:tcW w:w="7724" w:type="dxa"/>
            <w:shd w:val="clear" w:color="auto" w:fill="F2F2F2" w:themeFill="background1" w:themeFillShade="F2"/>
            <w:vAlign w:val="center"/>
          </w:tcPr>
          <w:p w14:paraId="2B904C09" w14:textId="77777777" w:rsidR="004B5FA1" w:rsidRPr="00E82D5D" w:rsidRDefault="004B5FA1" w:rsidP="00DB11C8">
            <w:pPr>
              <w:tabs>
                <w:tab w:val="left" w:pos="709"/>
              </w:tabs>
              <w:spacing w:before="60" w:after="60" w:line="240" w:lineRule="auto"/>
              <w:rPr>
                <w:rFonts w:ascii="Arial" w:hAnsi="Arial" w:cs="Arial"/>
                <w:b/>
                <w:sz w:val="16"/>
                <w:szCs w:val="16"/>
              </w:rPr>
            </w:pPr>
            <w:r w:rsidRPr="00E82D5D">
              <w:rPr>
                <w:rFonts w:ascii="Arial" w:hAnsi="Arial" w:cs="Arial"/>
                <w:b/>
                <w:sz w:val="16"/>
                <w:szCs w:val="16"/>
              </w:rPr>
              <w:t>Program 1.1</w:t>
            </w:r>
            <w:r w:rsidRPr="00E82D5D">
              <w:rPr>
                <w:rFonts w:ascii="Arial" w:hAnsi="Arial" w:cs="Arial"/>
                <w:sz w:val="16"/>
                <w:szCs w:val="16"/>
              </w:rPr>
              <w:t xml:space="preserve"> – </w:t>
            </w:r>
            <w:r w:rsidRPr="00E82D5D">
              <w:rPr>
                <w:rFonts w:ascii="Arial" w:hAnsi="Arial" w:cs="Arial"/>
                <w:b/>
                <w:sz w:val="16"/>
                <w:szCs w:val="16"/>
              </w:rPr>
              <w:t xml:space="preserve">Budget and Financial Management </w:t>
            </w:r>
          </w:p>
          <w:p w14:paraId="59C1CB36" w14:textId="77777777" w:rsidR="004B5FA1" w:rsidRPr="00E06262" w:rsidRDefault="004B5FA1" w:rsidP="00DB11C8">
            <w:pPr>
              <w:tabs>
                <w:tab w:val="left" w:pos="709"/>
              </w:tabs>
              <w:spacing w:before="60" w:after="60" w:line="240" w:lineRule="auto"/>
            </w:pPr>
            <w:r w:rsidRPr="00E82D5D">
              <w:rPr>
                <w:rFonts w:ascii="Arial" w:hAnsi="Arial" w:cs="Arial"/>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bookmarkEnd w:id="435"/>
    </w:tbl>
    <w:p w14:paraId="706EE547" w14:textId="77777777" w:rsidR="004B5FA1" w:rsidRDefault="004B5FA1" w:rsidP="00240B7B"/>
    <w:p w14:paraId="7BAD9CE6" w14:textId="77777777" w:rsidR="004B5FA1" w:rsidRDefault="004B5FA1" w:rsidP="00240B7B"/>
    <w:p w14:paraId="2F999D2A" w14:textId="77777777" w:rsidR="004B5FA1" w:rsidRPr="00D5737A" w:rsidRDefault="004B5FA1" w:rsidP="00240B7B"/>
    <w:p w14:paraId="2EC9D0E0" w14:textId="77777777" w:rsidR="00DB42D8" w:rsidRPr="00D5737A" w:rsidRDefault="00DB42D8" w:rsidP="00DB42D8"/>
    <w:p w14:paraId="0A48A890" w14:textId="5F8D9A48" w:rsidR="00A0282C" w:rsidRDefault="00DB42D8" w:rsidP="00A0282C">
      <w:pPr>
        <w:pStyle w:val="Heading3"/>
      </w:pPr>
      <w:r>
        <w:br w:type="page"/>
      </w:r>
      <w:bookmarkStart w:id="436" w:name="_Toc157411252"/>
      <w:bookmarkStart w:id="437" w:name="_Toc157412187"/>
      <w:bookmarkStart w:id="438" w:name="_Toc157412350"/>
      <w:bookmarkStart w:id="439" w:name="_Toc157445523"/>
      <w:bookmarkStart w:id="440" w:name="_Toc157497337"/>
      <w:bookmarkStart w:id="441" w:name="_Toc157613719"/>
      <w:bookmarkStart w:id="442" w:name="_Toc157614018"/>
      <w:bookmarkStart w:id="443" w:name="_Toc157617010"/>
      <w:bookmarkStart w:id="444" w:name="_Toc157618232"/>
      <w:bookmarkStart w:id="445" w:name="_Toc157697104"/>
      <w:bookmarkStart w:id="446" w:name="_Toc157698139"/>
      <w:bookmarkStart w:id="447" w:name="_Toc157705386"/>
      <w:bookmarkStart w:id="448" w:name="_Toc157705444"/>
      <w:bookmarkStart w:id="449" w:name="_Toc157705496"/>
      <w:bookmarkStart w:id="450" w:name="_Toc157705737"/>
      <w:bookmarkStart w:id="451" w:name="_Toc157706102"/>
      <w:r w:rsidR="00A0282C">
        <w:lastRenderedPageBreak/>
        <w:t>2.</w:t>
      </w:r>
      <w:r w:rsidR="00D4597F">
        <w:t>3</w:t>
      </w:r>
      <w:r w:rsidR="00A0282C">
        <w:tab/>
        <w:t>Budgeted expenses and performance for Outcome 2</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0282C" w:rsidRPr="005E6F2B" w14:paraId="1DBB18DB" w14:textId="77777777" w:rsidTr="00E77820">
        <w:tc>
          <w:tcPr>
            <w:tcW w:w="7705" w:type="dxa"/>
            <w:shd w:val="clear" w:color="auto" w:fill="E6E6E6"/>
          </w:tcPr>
          <w:p w14:paraId="207759C2" w14:textId="24C95F63" w:rsidR="00A0282C" w:rsidRPr="005E6F2B" w:rsidRDefault="008979EA" w:rsidP="008979EA">
            <w:pPr>
              <w:spacing w:before="30" w:afterLines="30" w:after="72" w:line="240" w:lineRule="auto"/>
            </w:pPr>
            <w:r w:rsidRPr="008979EA">
              <w:rPr>
                <w:rFonts w:ascii="Arial Bold" w:hAnsi="Arial Bold"/>
                <w:b/>
                <w:sz w:val="20"/>
              </w:rPr>
              <w:t>Outcome 2: Support an efficient and high-performing public sector through providing leadership to Commonwealth entities in ongoing improvements to public sector governance, including through systems, frameworks, policy, advice, and service delivery, and managing, acquiring and divesting government investments.</w:t>
            </w:r>
          </w:p>
        </w:tc>
      </w:tr>
    </w:tbl>
    <w:p w14:paraId="2DB557EF" w14:textId="77777777" w:rsidR="00A0282C" w:rsidRDefault="00A0282C" w:rsidP="00A0282C">
      <w:pPr>
        <w:pStyle w:val="NoSpacing"/>
      </w:pPr>
    </w:p>
    <w:p w14:paraId="2DEF6257" w14:textId="77777777" w:rsidR="00A0282C" w:rsidRPr="00BA34B4" w:rsidRDefault="00A0282C" w:rsidP="00A0282C">
      <w:pPr>
        <w:pStyle w:val="Heading4"/>
      </w:pPr>
      <w:r w:rsidRPr="00BA34B4">
        <w:rPr>
          <w:sz w:val="22"/>
          <w:szCs w:val="22"/>
        </w:rPr>
        <w:t>Linked programs</w:t>
      </w:r>
    </w:p>
    <w:tbl>
      <w:tblPr>
        <w:tblW w:w="7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9"/>
      </w:tblGrid>
      <w:tr w:rsidR="00A0282C" w:rsidRPr="00BA34B4" w14:paraId="33912697" w14:textId="77777777" w:rsidTr="00D55CEC">
        <w:trPr>
          <w:trHeight w:val="113"/>
          <w:tblHeader/>
        </w:trPr>
        <w:tc>
          <w:tcPr>
            <w:tcW w:w="7739" w:type="dxa"/>
            <w:tcBorders>
              <w:bottom w:val="dotted" w:sz="4" w:space="0" w:color="auto"/>
            </w:tcBorders>
          </w:tcPr>
          <w:p w14:paraId="539C7068" w14:textId="77777777" w:rsidR="00A0282C" w:rsidRPr="00BA34B4" w:rsidRDefault="00A0282C" w:rsidP="00E77820">
            <w:pPr>
              <w:pStyle w:val="ExampleText"/>
              <w:spacing w:before="60" w:after="60" w:line="240" w:lineRule="auto"/>
            </w:pPr>
            <w:r w:rsidRPr="00BA34B4">
              <w:rPr>
                <w:rStyle w:val="ExampletextCharChar"/>
                <w:b/>
                <w:color w:val="auto"/>
              </w:rPr>
              <w:t xml:space="preserve">Commonwealth Superannuation Corporation </w:t>
            </w:r>
          </w:p>
        </w:tc>
      </w:tr>
      <w:tr w:rsidR="00A0282C" w:rsidRPr="00BA34B4" w14:paraId="6F7D348F" w14:textId="77777777" w:rsidTr="00D55CEC">
        <w:trPr>
          <w:trHeight w:val="113"/>
        </w:trPr>
        <w:tc>
          <w:tcPr>
            <w:tcW w:w="7739" w:type="dxa"/>
            <w:tcBorders>
              <w:top w:val="dotted" w:sz="4" w:space="0" w:color="auto"/>
              <w:bottom w:val="single" w:sz="4" w:space="0" w:color="auto"/>
            </w:tcBorders>
          </w:tcPr>
          <w:p w14:paraId="62823C68" w14:textId="77777777" w:rsidR="00A0282C" w:rsidRPr="001D7807" w:rsidRDefault="00A0282C" w:rsidP="00E77820">
            <w:pPr>
              <w:spacing w:before="60" w:after="60" w:line="240" w:lineRule="auto"/>
              <w:rPr>
                <w:rStyle w:val="ExampletextCharChar"/>
                <w:rFonts w:eastAsiaTheme="minorEastAsia"/>
                <w:b/>
                <w:i w:val="0"/>
                <w:iCs/>
                <w:color w:val="000000"/>
              </w:rPr>
            </w:pPr>
            <w:r w:rsidRPr="001D7807">
              <w:rPr>
                <w:rStyle w:val="ExampletextCharChar"/>
                <w:rFonts w:eastAsiaTheme="minorEastAsia"/>
                <w:b/>
                <w:i w:val="0"/>
                <w:iCs/>
                <w:color w:val="000000"/>
              </w:rPr>
              <w:t>Programs</w:t>
            </w:r>
          </w:p>
          <w:p w14:paraId="39543B8C" w14:textId="77777777" w:rsidR="00A0282C" w:rsidRPr="001D7807" w:rsidRDefault="00A0282C" w:rsidP="00FC3DFF">
            <w:pPr>
              <w:numPr>
                <w:ilvl w:val="0"/>
                <w:numId w:val="1"/>
              </w:numPr>
              <w:spacing w:before="60" w:after="60" w:line="240" w:lineRule="auto"/>
              <w:ind w:left="714" w:hanging="357"/>
              <w:jc w:val="both"/>
              <w:rPr>
                <w:rStyle w:val="ExampletextCharChar"/>
                <w:rFonts w:eastAsiaTheme="minorEastAsia"/>
                <w:i w:val="0"/>
                <w:iCs/>
              </w:rPr>
            </w:pPr>
            <w:r w:rsidRPr="001D7807">
              <w:rPr>
                <w:rStyle w:val="ExampletextCharChar"/>
                <w:rFonts w:eastAsiaTheme="minorEastAsia"/>
                <w:i w:val="0"/>
                <w:iCs/>
                <w:color w:val="000000"/>
              </w:rPr>
              <w:t>Program 1.1 – Superannuation Scheme Governance</w:t>
            </w:r>
          </w:p>
        </w:tc>
      </w:tr>
      <w:tr w:rsidR="00A0282C" w:rsidRPr="00BA34B4" w14:paraId="58274D80" w14:textId="77777777" w:rsidTr="00D55CEC">
        <w:trPr>
          <w:trHeight w:val="113"/>
        </w:trPr>
        <w:tc>
          <w:tcPr>
            <w:tcW w:w="7739" w:type="dxa"/>
            <w:tcBorders>
              <w:bottom w:val="dotted" w:sz="4" w:space="0" w:color="auto"/>
            </w:tcBorders>
          </w:tcPr>
          <w:p w14:paraId="315655D3" w14:textId="77777777" w:rsidR="00A0282C" w:rsidRPr="001D7807" w:rsidRDefault="00A0282C" w:rsidP="00E77820">
            <w:pPr>
              <w:pStyle w:val="ExampleText"/>
              <w:spacing w:before="60" w:after="60" w:line="240" w:lineRule="auto"/>
              <w:rPr>
                <w:iCs/>
              </w:rPr>
            </w:pPr>
            <w:r w:rsidRPr="001D7807">
              <w:rPr>
                <w:rStyle w:val="ExampletextCharChar"/>
                <w:b/>
                <w:iCs/>
                <w:color w:val="auto"/>
              </w:rPr>
              <w:t>Future Fund Management Agency</w:t>
            </w:r>
          </w:p>
        </w:tc>
      </w:tr>
      <w:tr w:rsidR="00A0282C" w:rsidRPr="00BA34B4" w14:paraId="07B25566" w14:textId="77777777" w:rsidTr="00D55CEC">
        <w:trPr>
          <w:trHeight w:val="113"/>
        </w:trPr>
        <w:tc>
          <w:tcPr>
            <w:tcW w:w="7739" w:type="dxa"/>
            <w:tcBorders>
              <w:top w:val="dotted" w:sz="4" w:space="0" w:color="auto"/>
              <w:bottom w:val="single" w:sz="4" w:space="0" w:color="auto"/>
            </w:tcBorders>
          </w:tcPr>
          <w:p w14:paraId="76D51D22" w14:textId="77777777" w:rsidR="00A0282C" w:rsidRPr="001D7807" w:rsidRDefault="00A0282C" w:rsidP="00E77820">
            <w:pPr>
              <w:spacing w:before="60" w:after="60" w:line="240" w:lineRule="auto"/>
              <w:rPr>
                <w:rStyle w:val="ExampletextCharChar"/>
                <w:rFonts w:eastAsiaTheme="minorEastAsia"/>
                <w:b/>
                <w:i w:val="0"/>
                <w:iCs/>
                <w:color w:val="000000"/>
              </w:rPr>
            </w:pPr>
            <w:r w:rsidRPr="001D7807">
              <w:rPr>
                <w:rStyle w:val="ExampletextCharChar"/>
                <w:rFonts w:eastAsiaTheme="minorEastAsia"/>
                <w:b/>
                <w:i w:val="0"/>
                <w:iCs/>
                <w:color w:val="000000"/>
              </w:rPr>
              <w:t>Programs</w:t>
            </w:r>
          </w:p>
          <w:p w14:paraId="68CBA84C" w14:textId="77777777" w:rsidR="00A0282C" w:rsidRPr="001D7807" w:rsidRDefault="00A0282C" w:rsidP="00FC3DFF">
            <w:pPr>
              <w:numPr>
                <w:ilvl w:val="0"/>
                <w:numId w:val="1"/>
              </w:numPr>
              <w:spacing w:before="60" w:after="60" w:line="240" w:lineRule="auto"/>
              <w:jc w:val="both"/>
              <w:rPr>
                <w:rStyle w:val="ExampletextCharChar"/>
                <w:rFonts w:eastAsiaTheme="minorEastAsia"/>
                <w:i w:val="0"/>
                <w:iCs/>
                <w:color w:val="000000"/>
              </w:rPr>
            </w:pPr>
            <w:r w:rsidRPr="001D7807">
              <w:rPr>
                <w:rStyle w:val="ExampletextCharChar"/>
                <w:rFonts w:eastAsiaTheme="minorEastAsia"/>
                <w:i w:val="0"/>
                <w:iCs/>
                <w:color w:val="000000"/>
              </w:rPr>
              <w:t>Program 1.1 – Management of the Investment of the Future Fund</w:t>
            </w:r>
          </w:p>
          <w:p w14:paraId="68044AB1" w14:textId="77777777" w:rsidR="00A0282C" w:rsidRPr="001D7807" w:rsidRDefault="00A0282C" w:rsidP="00FC3DFF">
            <w:pPr>
              <w:numPr>
                <w:ilvl w:val="0"/>
                <w:numId w:val="1"/>
              </w:numPr>
              <w:spacing w:before="60" w:after="60" w:line="240" w:lineRule="auto"/>
              <w:jc w:val="both"/>
              <w:rPr>
                <w:rStyle w:val="ExampletextCharChar"/>
                <w:rFonts w:eastAsiaTheme="minorEastAsia"/>
                <w:i w:val="0"/>
                <w:iCs/>
              </w:rPr>
            </w:pPr>
            <w:r w:rsidRPr="001D7807">
              <w:rPr>
                <w:rStyle w:val="ExampletextCharChar"/>
                <w:rFonts w:eastAsiaTheme="minorEastAsia"/>
                <w:i w:val="0"/>
                <w:iCs/>
                <w:color w:val="000000"/>
              </w:rPr>
              <w:t>Program 1.2 – Management of the Investment of the Australian Government Investment Funds</w:t>
            </w:r>
          </w:p>
        </w:tc>
      </w:tr>
      <w:tr w:rsidR="00A0282C" w:rsidRPr="00AF719E" w14:paraId="2D16CB4A" w14:textId="77777777" w:rsidTr="00D55CEC">
        <w:trPr>
          <w:trHeight w:val="113"/>
        </w:trPr>
        <w:tc>
          <w:tcPr>
            <w:tcW w:w="7739" w:type="dxa"/>
            <w:tcBorders>
              <w:bottom w:val="single" w:sz="4" w:space="0" w:color="auto"/>
            </w:tcBorders>
          </w:tcPr>
          <w:p w14:paraId="5F82EF83" w14:textId="77777777" w:rsidR="00A0282C" w:rsidRPr="001D7807" w:rsidRDefault="00A0282C" w:rsidP="00E77820">
            <w:pPr>
              <w:spacing w:before="60" w:after="60" w:line="240" w:lineRule="auto"/>
              <w:rPr>
                <w:rStyle w:val="ExampletextCharChar"/>
                <w:rFonts w:eastAsiaTheme="minorEastAsia"/>
                <w:b/>
                <w:i w:val="0"/>
                <w:iCs/>
                <w:color w:val="000000"/>
              </w:rPr>
            </w:pPr>
            <w:r w:rsidRPr="001D7807">
              <w:rPr>
                <w:rStyle w:val="ExampletextCharChar"/>
                <w:rFonts w:eastAsiaTheme="minorEastAsia"/>
                <w:b/>
                <w:i w:val="0"/>
                <w:iCs/>
                <w:color w:val="000000"/>
              </w:rPr>
              <w:t>Contribution to Outcome 2 made by linked programs</w:t>
            </w:r>
          </w:p>
          <w:p w14:paraId="3D2B5D0A" w14:textId="77777777" w:rsidR="00A0282C" w:rsidRPr="001D7807" w:rsidRDefault="00A0282C" w:rsidP="00E77820">
            <w:pPr>
              <w:pStyle w:val="Heading5"/>
              <w:spacing w:after="0"/>
              <w:rPr>
                <w:rStyle w:val="ExampletextCharChar"/>
                <w:b/>
                <w:bCs w:val="0"/>
                <w:color w:val="000000"/>
              </w:rPr>
            </w:pPr>
            <w:r w:rsidRPr="001D7807">
              <w:rPr>
                <w:rStyle w:val="ExampletextCharChar"/>
                <w:bCs w:val="0"/>
                <w:color w:val="000000"/>
              </w:rPr>
              <w:t>Finance works with the Commonwealth Superannuation Corporation to ensure that the management of public sector superannuation is consistent with legislative obligations.</w:t>
            </w:r>
          </w:p>
          <w:p w14:paraId="7F70FFEB" w14:textId="77777777" w:rsidR="00A0282C" w:rsidRPr="001D7807" w:rsidRDefault="00A0282C" w:rsidP="00E77820">
            <w:pPr>
              <w:spacing w:before="60" w:after="60" w:line="240" w:lineRule="auto"/>
              <w:rPr>
                <w:rStyle w:val="ExampletextCharChar"/>
                <w:rFonts w:eastAsiaTheme="minorEastAsia"/>
                <w:i w:val="0"/>
                <w:iCs/>
              </w:rPr>
            </w:pPr>
            <w:r w:rsidRPr="001D7807">
              <w:rPr>
                <w:rStyle w:val="ExampletextCharChar"/>
                <w:rFonts w:eastAsiaTheme="minorEastAsia"/>
                <w:i w:val="0"/>
                <w:iCs/>
                <w:color w:val="000000"/>
              </w:rPr>
              <w:t>Finance works with the Future Fund Management Agency to ensure that the management of the Future Fund and the Australian Government Investment Funds is consistent with legislation and maximises returns to taxpayers.</w:t>
            </w:r>
          </w:p>
        </w:tc>
      </w:tr>
    </w:tbl>
    <w:p w14:paraId="5E81A588" w14:textId="77777777" w:rsidR="00A0282C" w:rsidRDefault="00A0282C" w:rsidP="00A0282C">
      <w:pPr>
        <w:pStyle w:val="NoSpacing"/>
      </w:pPr>
    </w:p>
    <w:p w14:paraId="2EB82F78" w14:textId="77777777" w:rsidR="00A0282C" w:rsidRDefault="00A0282C" w:rsidP="00A0282C">
      <w:pPr>
        <w:spacing w:after="0" w:line="240" w:lineRule="auto"/>
      </w:pPr>
      <w:r>
        <w:br w:type="page"/>
      </w:r>
    </w:p>
    <w:p w14:paraId="20FB4584" w14:textId="5CBDCEF3" w:rsidR="00A0282C" w:rsidRPr="00446612" w:rsidRDefault="00A0282C" w:rsidP="00A0282C">
      <w:pPr>
        <w:pStyle w:val="Heading5"/>
      </w:pPr>
      <w:r w:rsidRPr="00446612">
        <w:lastRenderedPageBreak/>
        <w:t xml:space="preserve">Budgeted expenses for Outcome </w:t>
      </w:r>
      <w:r>
        <w:t>2</w:t>
      </w:r>
    </w:p>
    <w:p w14:paraId="4C3938BE" w14:textId="5374E0F5" w:rsidR="00A0282C" w:rsidRDefault="00A0282C" w:rsidP="00A0282C">
      <w:r w:rsidRPr="00950281">
        <w:t>This table shows how much the entity intends to spend (on an accrual basis) on achieving the outcome, broken down by program, as well as by Administered and Departmental funding sources.</w:t>
      </w:r>
    </w:p>
    <w:p w14:paraId="4A42AFBC" w14:textId="4880D910" w:rsidR="00A0282C" w:rsidRDefault="00A0282C" w:rsidP="00A0282C">
      <w:pPr>
        <w:pStyle w:val="TableHeading"/>
      </w:pPr>
      <w:r w:rsidRPr="00D93D96">
        <w:t>Table 2.</w:t>
      </w:r>
      <w:r w:rsidR="001D7807">
        <w:t>3</w:t>
      </w:r>
      <w:r>
        <w:t>.</w:t>
      </w:r>
      <w:r w:rsidRPr="00D93D96">
        <w:t>1 Budgeted expenses</w:t>
      </w:r>
      <w:r>
        <w:t xml:space="preserve"> for</w:t>
      </w:r>
      <w:r w:rsidRPr="00D93D96">
        <w:t xml:space="preserve"> Outcome </w:t>
      </w:r>
      <w:r>
        <w:t>2</w:t>
      </w:r>
    </w:p>
    <w:p w14:paraId="7B5C898C" w14:textId="1578F288" w:rsidR="00A0282C" w:rsidRPr="00DD4C99" w:rsidRDefault="00DD7032" w:rsidP="00A0282C">
      <w:pPr>
        <w:pStyle w:val="TableGraphic"/>
      </w:pPr>
      <w:r w:rsidRPr="00DD7032">
        <w:rPr>
          <w:noProof/>
        </w:rPr>
        <w:drawing>
          <wp:inline distT="0" distB="0" distL="0" distR="0" wp14:anchorId="54665BB2" wp14:editId="5E76D571">
            <wp:extent cx="4896485" cy="5275580"/>
            <wp:effectExtent l="0" t="0" r="0" b="1270"/>
            <wp:docPr id="269088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96485" cy="5275580"/>
                    </a:xfrm>
                    <a:prstGeom prst="rect">
                      <a:avLst/>
                    </a:prstGeom>
                    <a:noFill/>
                    <a:ln>
                      <a:noFill/>
                    </a:ln>
                  </pic:spPr>
                </pic:pic>
              </a:graphicData>
            </a:graphic>
          </wp:inline>
        </w:drawing>
      </w:r>
    </w:p>
    <w:p w14:paraId="1ABCC86B" w14:textId="77777777" w:rsidR="00A26FF4" w:rsidRPr="00146803" w:rsidRDefault="00A26FF4" w:rsidP="00A26FF4">
      <w:pPr>
        <w:pStyle w:val="TableGraphic"/>
        <w:spacing w:before="30"/>
        <w:rPr>
          <w:rFonts w:ascii="Arial" w:hAnsi="Arial" w:cs="Arial"/>
          <w:sz w:val="16"/>
          <w:szCs w:val="16"/>
        </w:rPr>
      </w:pPr>
      <w:r w:rsidRPr="00146803">
        <w:rPr>
          <w:rFonts w:ascii="Arial" w:hAnsi="Arial" w:cs="Arial"/>
          <w:sz w:val="16"/>
          <w:szCs w:val="16"/>
        </w:rPr>
        <w:t>Table continues on next page</w:t>
      </w:r>
    </w:p>
    <w:p w14:paraId="1F20B06B" w14:textId="4EE0A23C" w:rsidR="00784E70" w:rsidRDefault="00784E70" w:rsidP="00784E70">
      <w:pPr>
        <w:pStyle w:val="ChartandTableFootnote"/>
        <w:tabs>
          <w:tab w:val="left" w:pos="0"/>
        </w:tabs>
      </w:pPr>
    </w:p>
    <w:p w14:paraId="2815C04A" w14:textId="77777777" w:rsidR="00A0282C" w:rsidRDefault="00A0282C" w:rsidP="00A0282C">
      <w:pPr>
        <w:pStyle w:val="TableGraphic"/>
        <w:rPr>
          <w:iCs/>
        </w:rPr>
      </w:pPr>
    </w:p>
    <w:p w14:paraId="42225351" w14:textId="38263B75" w:rsidR="00A0282C" w:rsidRDefault="00A0282C">
      <w:pPr>
        <w:spacing w:before="0" w:after="0" w:line="240" w:lineRule="auto"/>
      </w:pPr>
      <w:r>
        <w:br w:type="page"/>
      </w:r>
    </w:p>
    <w:p w14:paraId="4CEF66E1" w14:textId="25CB2EF7" w:rsidR="00A0282C" w:rsidRDefault="00A0282C" w:rsidP="00A0282C">
      <w:pPr>
        <w:pStyle w:val="TableHeading"/>
      </w:pPr>
      <w:r w:rsidRPr="00D93D96">
        <w:lastRenderedPageBreak/>
        <w:t>Table 2.</w:t>
      </w:r>
      <w:r w:rsidR="001D7807">
        <w:t>3</w:t>
      </w:r>
      <w:r>
        <w:t>.</w:t>
      </w:r>
      <w:r w:rsidRPr="00D93D96">
        <w:t>1 Budgeted expenses</w:t>
      </w:r>
      <w:r>
        <w:t xml:space="preserve"> for</w:t>
      </w:r>
      <w:r w:rsidRPr="00D93D96">
        <w:t xml:space="preserve"> Outcome </w:t>
      </w:r>
      <w:r>
        <w:t>2 (continued)</w:t>
      </w:r>
    </w:p>
    <w:p w14:paraId="50D26BA5" w14:textId="67701DBA" w:rsidR="0087291D" w:rsidRPr="0087291D" w:rsidRDefault="00F94E54" w:rsidP="0087291D">
      <w:pPr>
        <w:pStyle w:val="TableGraphic"/>
      </w:pPr>
      <w:r w:rsidRPr="00F94E54">
        <w:rPr>
          <w:noProof/>
        </w:rPr>
        <w:drawing>
          <wp:inline distT="0" distB="0" distL="0" distR="0" wp14:anchorId="13C8511A" wp14:editId="3223592B">
            <wp:extent cx="4896485" cy="4917440"/>
            <wp:effectExtent l="0" t="0" r="0" b="0"/>
            <wp:docPr id="2709556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96485" cy="4917440"/>
                    </a:xfrm>
                    <a:prstGeom prst="rect">
                      <a:avLst/>
                    </a:prstGeom>
                    <a:noFill/>
                    <a:ln>
                      <a:noFill/>
                    </a:ln>
                  </pic:spPr>
                </pic:pic>
              </a:graphicData>
            </a:graphic>
          </wp:inline>
        </w:drawing>
      </w:r>
    </w:p>
    <w:p w14:paraId="0FB2339B" w14:textId="77777777" w:rsidR="00A26FF4" w:rsidRPr="00146803" w:rsidRDefault="00A26FF4" w:rsidP="00A26FF4">
      <w:pPr>
        <w:pStyle w:val="TableGraphic"/>
        <w:spacing w:before="30"/>
        <w:rPr>
          <w:rFonts w:ascii="Arial" w:hAnsi="Arial" w:cs="Arial"/>
          <w:sz w:val="16"/>
          <w:szCs w:val="16"/>
        </w:rPr>
      </w:pPr>
      <w:r w:rsidRPr="00146803">
        <w:rPr>
          <w:rFonts w:ascii="Arial" w:hAnsi="Arial" w:cs="Arial"/>
          <w:sz w:val="16"/>
          <w:szCs w:val="16"/>
        </w:rPr>
        <w:t>Table continues on next page</w:t>
      </w:r>
    </w:p>
    <w:p w14:paraId="30EE35D9" w14:textId="10044AB1" w:rsidR="00784E70" w:rsidRDefault="00784E70" w:rsidP="00784E70">
      <w:pPr>
        <w:pStyle w:val="ChartandTableFootnote"/>
        <w:tabs>
          <w:tab w:val="left" w:pos="0"/>
        </w:tabs>
      </w:pPr>
    </w:p>
    <w:p w14:paraId="52AC2402" w14:textId="77777777" w:rsidR="00784E70" w:rsidRPr="00784E70" w:rsidRDefault="00784E70" w:rsidP="00784E70"/>
    <w:p w14:paraId="2A610A3E" w14:textId="5F6BFDA9" w:rsidR="00A0282C" w:rsidRDefault="00A0282C" w:rsidP="00A0282C">
      <w:pPr>
        <w:pStyle w:val="TableHeading"/>
      </w:pPr>
      <w:r w:rsidRPr="00D93D96">
        <w:lastRenderedPageBreak/>
        <w:t>Table 2.</w:t>
      </w:r>
      <w:r w:rsidR="001D7807">
        <w:t>3</w:t>
      </w:r>
      <w:r>
        <w:t>.</w:t>
      </w:r>
      <w:r w:rsidRPr="00D93D96">
        <w:t>1 Budgeted expenses</w:t>
      </w:r>
      <w:r>
        <w:t xml:space="preserve"> for</w:t>
      </w:r>
      <w:r w:rsidRPr="00D93D96">
        <w:t xml:space="preserve"> Outcome </w:t>
      </w:r>
      <w:r>
        <w:t>2 (continued)</w:t>
      </w:r>
    </w:p>
    <w:p w14:paraId="37C8A8A1" w14:textId="73E36132" w:rsidR="0009219F" w:rsidRPr="0009219F" w:rsidRDefault="00F94E54" w:rsidP="0009219F">
      <w:pPr>
        <w:pStyle w:val="TableGraphic"/>
      </w:pPr>
      <w:r w:rsidRPr="00F94E54">
        <w:rPr>
          <w:noProof/>
        </w:rPr>
        <w:drawing>
          <wp:inline distT="0" distB="0" distL="0" distR="0" wp14:anchorId="024C202A" wp14:editId="62869A51">
            <wp:extent cx="4896485" cy="3702050"/>
            <wp:effectExtent l="0" t="0" r="0" b="0"/>
            <wp:docPr id="6429548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6485" cy="3702050"/>
                    </a:xfrm>
                    <a:prstGeom prst="rect">
                      <a:avLst/>
                    </a:prstGeom>
                    <a:noFill/>
                    <a:ln>
                      <a:noFill/>
                    </a:ln>
                  </pic:spPr>
                </pic:pic>
              </a:graphicData>
            </a:graphic>
          </wp:inline>
        </w:drawing>
      </w:r>
    </w:p>
    <w:p w14:paraId="4AC02580" w14:textId="77777777" w:rsidR="00A26FF4" w:rsidRPr="00146803" w:rsidRDefault="00A26FF4" w:rsidP="00A26FF4">
      <w:pPr>
        <w:pStyle w:val="TableGraphic"/>
        <w:spacing w:before="30"/>
        <w:rPr>
          <w:rFonts w:ascii="Arial" w:hAnsi="Arial" w:cs="Arial"/>
          <w:sz w:val="16"/>
          <w:szCs w:val="16"/>
        </w:rPr>
      </w:pPr>
      <w:r w:rsidRPr="00146803">
        <w:rPr>
          <w:rFonts w:ascii="Arial" w:hAnsi="Arial" w:cs="Arial"/>
          <w:sz w:val="16"/>
          <w:szCs w:val="16"/>
        </w:rPr>
        <w:t>Table continues on next page</w:t>
      </w:r>
    </w:p>
    <w:p w14:paraId="16C7F8F7" w14:textId="2CB22EF5" w:rsidR="00784E70" w:rsidRDefault="00784E70" w:rsidP="00784E70">
      <w:pPr>
        <w:pStyle w:val="ChartandTableFootnote"/>
        <w:tabs>
          <w:tab w:val="left" w:pos="0"/>
        </w:tabs>
      </w:pPr>
    </w:p>
    <w:p w14:paraId="2DC3D5D7" w14:textId="77777777" w:rsidR="00A0282C" w:rsidRDefault="00A0282C" w:rsidP="00A0282C"/>
    <w:p w14:paraId="27FD5571" w14:textId="03FB241E" w:rsidR="0009219F" w:rsidRDefault="0009219F">
      <w:pPr>
        <w:spacing w:before="0" w:after="0" w:line="240" w:lineRule="auto"/>
      </w:pPr>
      <w:r>
        <w:br w:type="page"/>
      </w:r>
    </w:p>
    <w:p w14:paraId="63198797" w14:textId="101A1516" w:rsidR="0009219F" w:rsidRDefault="0009219F" w:rsidP="0009219F">
      <w:pPr>
        <w:pStyle w:val="TableHeading"/>
      </w:pPr>
      <w:r w:rsidRPr="00D93D96">
        <w:lastRenderedPageBreak/>
        <w:t>Table 2.</w:t>
      </w:r>
      <w:r w:rsidR="001D7807">
        <w:t>3</w:t>
      </w:r>
      <w:r>
        <w:t>.</w:t>
      </w:r>
      <w:r w:rsidRPr="00D93D96">
        <w:t>1 Budgeted expenses</w:t>
      </w:r>
      <w:r>
        <w:t xml:space="preserve"> for</w:t>
      </w:r>
      <w:r w:rsidRPr="00D93D96">
        <w:t xml:space="preserve"> Outcome </w:t>
      </w:r>
      <w:r>
        <w:t>2 (continued)</w:t>
      </w:r>
    </w:p>
    <w:p w14:paraId="24202B22" w14:textId="4B3EA53D" w:rsidR="00A26FF4" w:rsidRPr="00146803" w:rsidRDefault="00746859" w:rsidP="00A26FF4">
      <w:pPr>
        <w:pStyle w:val="TableGraphic"/>
        <w:spacing w:before="30"/>
        <w:rPr>
          <w:rFonts w:ascii="Arial" w:hAnsi="Arial" w:cs="Arial"/>
          <w:sz w:val="16"/>
          <w:szCs w:val="16"/>
        </w:rPr>
      </w:pPr>
      <w:r w:rsidRPr="00746859">
        <w:rPr>
          <w:noProof/>
        </w:rPr>
        <w:drawing>
          <wp:inline distT="0" distB="0" distL="0" distR="0" wp14:anchorId="5513662E" wp14:editId="2F63F516">
            <wp:extent cx="4896485" cy="4987925"/>
            <wp:effectExtent l="0" t="0" r="0" b="3175"/>
            <wp:docPr id="5656234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96485" cy="4987925"/>
                    </a:xfrm>
                    <a:prstGeom prst="rect">
                      <a:avLst/>
                    </a:prstGeom>
                    <a:noFill/>
                    <a:ln>
                      <a:noFill/>
                    </a:ln>
                  </pic:spPr>
                </pic:pic>
              </a:graphicData>
            </a:graphic>
          </wp:inline>
        </w:drawing>
      </w:r>
      <w:r w:rsidR="00282E82" w:rsidRPr="00282E82">
        <w:t xml:space="preserve"> </w:t>
      </w:r>
      <w:r w:rsidR="00A26FF4" w:rsidRPr="00146803">
        <w:rPr>
          <w:rFonts w:ascii="Arial" w:hAnsi="Arial" w:cs="Arial"/>
          <w:sz w:val="16"/>
          <w:szCs w:val="16"/>
        </w:rPr>
        <w:t>Table continues on next page</w:t>
      </w:r>
    </w:p>
    <w:p w14:paraId="5BE72F87" w14:textId="012386EE" w:rsidR="00F32958" w:rsidRDefault="00F32958" w:rsidP="00023DB7">
      <w:pPr>
        <w:pStyle w:val="TableGraphic"/>
        <w:spacing w:before="30"/>
      </w:pPr>
    </w:p>
    <w:p w14:paraId="626A91CD" w14:textId="77777777" w:rsidR="00F32958" w:rsidRDefault="00F32958" w:rsidP="00F32958"/>
    <w:p w14:paraId="7315F67C" w14:textId="77777777" w:rsidR="00F32958" w:rsidRDefault="00F32958" w:rsidP="00F32958"/>
    <w:p w14:paraId="3E9E7D35" w14:textId="77777777" w:rsidR="00F32958" w:rsidRDefault="00F32958" w:rsidP="00F32958"/>
    <w:p w14:paraId="769078DD" w14:textId="77777777" w:rsidR="00F32958" w:rsidRDefault="00F32958" w:rsidP="00F32958"/>
    <w:p w14:paraId="19919FA6" w14:textId="77777777" w:rsidR="00F32958" w:rsidRDefault="00F32958" w:rsidP="00F32958"/>
    <w:p w14:paraId="1BEE77D4" w14:textId="61A4232D" w:rsidR="00F32958" w:rsidRDefault="00F32958" w:rsidP="00F32958">
      <w:pPr>
        <w:pStyle w:val="TableHeading"/>
      </w:pPr>
      <w:r w:rsidRPr="00D93D96">
        <w:lastRenderedPageBreak/>
        <w:t>Table 2.</w:t>
      </w:r>
      <w:r w:rsidR="001D7807">
        <w:t>3</w:t>
      </w:r>
      <w:r>
        <w:t>.</w:t>
      </w:r>
      <w:r w:rsidRPr="00D93D96">
        <w:t>1 Budgeted expenses</w:t>
      </w:r>
      <w:r>
        <w:t xml:space="preserve"> for</w:t>
      </w:r>
      <w:r w:rsidRPr="00D93D96">
        <w:t xml:space="preserve"> Outcome </w:t>
      </w:r>
      <w:r>
        <w:t>2 (continued)</w:t>
      </w:r>
    </w:p>
    <w:p w14:paraId="17B87F0B" w14:textId="16843B36" w:rsidR="00F32958" w:rsidRPr="00F32958" w:rsidRDefault="00082113" w:rsidP="00A26264">
      <w:pPr>
        <w:pStyle w:val="TableGraphic"/>
      </w:pPr>
      <w:r w:rsidRPr="00082113">
        <w:rPr>
          <w:noProof/>
        </w:rPr>
        <w:drawing>
          <wp:inline distT="0" distB="0" distL="0" distR="0" wp14:anchorId="7CFABAA8" wp14:editId="6D666092">
            <wp:extent cx="4896485" cy="6318250"/>
            <wp:effectExtent l="0" t="0" r="0" b="6350"/>
            <wp:docPr id="1325867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96485" cy="6318250"/>
                    </a:xfrm>
                    <a:prstGeom prst="rect">
                      <a:avLst/>
                    </a:prstGeom>
                    <a:noFill/>
                    <a:ln>
                      <a:noFill/>
                    </a:ln>
                  </pic:spPr>
                </pic:pic>
              </a:graphicData>
            </a:graphic>
          </wp:inline>
        </w:drawing>
      </w:r>
    </w:p>
    <w:p w14:paraId="3CE9B079" w14:textId="77777777"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t>Departmental appropriation combines ordinary annual services (</w:t>
      </w:r>
      <w:r w:rsidRPr="00CA2A3E">
        <w:rPr>
          <w:i/>
          <w:iCs/>
          <w:color w:val="000000" w:themeColor="text1"/>
        </w:rPr>
        <w:t>Appropriation Act (No. 1)</w:t>
      </w:r>
      <w:r w:rsidRPr="00863336">
        <w:rPr>
          <w:color w:val="000000" w:themeColor="text1"/>
        </w:rPr>
        <w:t xml:space="preserve"> and Bill (No. 3)) and estimated receipts retained under section 74 of the PGPA Act.</w:t>
      </w:r>
    </w:p>
    <w:p w14:paraId="6C23F622" w14:textId="77777777"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t>Expenses not requiring appropriation in the Budget year is made up of depreciation expenses, amortisation expenses and resources received free of charge.</w:t>
      </w:r>
    </w:p>
    <w:p w14:paraId="3AA670EF" w14:textId="75852485"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t>More information on the DisabilityCare Australia Fund can be found in Table 2.</w:t>
      </w:r>
      <w:r w:rsidR="00863336" w:rsidRPr="00863336">
        <w:rPr>
          <w:color w:val="000000" w:themeColor="text1"/>
        </w:rPr>
        <w:t>3</w:t>
      </w:r>
      <w:r w:rsidRPr="00863336">
        <w:rPr>
          <w:color w:val="000000" w:themeColor="text1"/>
        </w:rPr>
        <w:t xml:space="preserve">.1.1 on page </w:t>
      </w:r>
      <w:r w:rsidR="00863336" w:rsidRPr="00863336">
        <w:rPr>
          <w:color w:val="000000" w:themeColor="text1"/>
        </w:rPr>
        <w:t>3</w:t>
      </w:r>
      <w:r w:rsidR="002D067E">
        <w:rPr>
          <w:color w:val="000000" w:themeColor="text1"/>
        </w:rPr>
        <w:t>2</w:t>
      </w:r>
      <w:r w:rsidRPr="00863336">
        <w:rPr>
          <w:color w:val="000000" w:themeColor="text1"/>
        </w:rPr>
        <w:t>.</w:t>
      </w:r>
    </w:p>
    <w:p w14:paraId="1E4760F6" w14:textId="05E1B628"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t>More information on the Medical Research Future Fund can be found in Table 2.</w:t>
      </w:r>
      <w:r w:rsidR="00863336" w:rsidRPr="00863336">
        <w:rPr>
          <w:color w:val="000000" w:themeColor="text1"/>
        </w:rPr>
        <w:t>3</w:t>
      </w:r>
      <w:r w:rsidRPr="00863336">
        <w:rPr>
          <w:color w:val="000000" w:themeColor="text1"/>
        </w:rPr>
        <w:t xml:space="preserve">.1.2 on page </w:t>
      </w:r>
      <w:r w:rsidR="00863336" w:rsidRPr="00863336">
        <w:rPr>
          <w:color w:val="000000" w:themeColor="text1"/>
        </w:rPr>
        <w:t>3</w:t>
      </w:r>
      <w:r w:rsidR="002D067E">
        <w:rPr>
          <w:color w:val="000000" w:themeColor="text1"/>
        </w:rPr>
        <w:t>3</w:t>
      </w:r>
      <w:r w:rsidRPr="00863336">
        <w:rPr>
          <w:color w:val="000000" w:themeColor="text1"/>
        </w:rPr>
        <w:t>.</w:t>
      </w:r>
    </w:p>
    <w:p w14:paraId="335F7291" w14:textId="0D399895"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lastRenderedPageBreak/>
        <w:t>More information on the Aboriginal and Torres Strait Islander Land and Sea Future Fund can be found in Table 2.</w:t>
      </w:r>
      <w:r w:rsidR="00863336" w:rsidRPr="00863336">
        <w:rPr>
          <w:color w:val="000000" w:themeColor="text1"/>
        </w:rPr>
        <w:t>3</w:t>
      </w:r>
      <w:r w:rsidRPr="00863336">
        <w:rPr>
          <w:color w:val="000000" w:themeColor="text1"/>
        </w:rPr>
        <w:t>.1.3 on page 3</w:t>
      </w:r>
      <w:r w:rsidR="002D067E">
        <w:rPr>
          <w:color w:val="000000" w:themeColor="text1"/>
        </w:rPr>
        <w:t>4</w:t>
      </w:r>
      <w:r w:rsidRPr="00863336">
        <w:rPr>
          <w:color w:val="000000" w:themeColor="text1"/>
        </w:rPr>
        <w:t>.</w:t>
      </w:r>
    </w:p>
    <w:p w14:paraId="6FBAFD2A" w14:textId="432DA9E0"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t>More information on the Future Drought Fund can be found in Table 2.</w:t>
      </w:r>
      <w:r w:rsidR="00863336" w:rsidRPr="00863336">
        <w:rPr>
          <w:color w:val="000000" w:themeColor="text1"/>
        </w:rPr>
        <w:t>3</w:t>
      </w:r>
      <w:r w:rsidRPr="00863336">
        <w:rPr>
          <w:color w:val="000000" w:themeColor="text1"/>
        </w:rPr>
        <w:t>.1.4 on page 3</w:t>
      </w:r>
      <w:r w:rsidR="002D067E">
        <w:rPr>
          <w:color w:val="000000" w:themeColor="text1"/>
        </w:rPr>
        <w:t>5</w:t>
      </w:r>
      <w:r w:rsidRPr="00863336">
        <w:rPr>
          <w:color w:val="000000" w:themeColor="text1"/>
        </w:rPr>
        <w:t>.</w:t>
      </w:r>
    </w:p>
    <w:p w14:paraId="738F21F3" w14:textId="5E3A632D" w:rsidR="00295414" w:rsidRPr="00863336" w:rsidRDefault="00295414" w:rsidP="000C2BC5">
      <w:pPr>
        <w:pStyle w:val="ChartandTableFootnoteAlpha"/>
        <w:numPr>
          <w:ilvl w:val="0"/>
          <w:numId w:val="18"/>
        </w:numPr>
        <w:spacing w:after="20"/>
        <w:rPr>
          <w:color w:val="000000" w:themeColor="text1"/>
        </w:rPr>
      </w:pPr>
      <w:r w:rsidRPr="00863336">
        <w:rPr>
          <w:color w:val="000000" w:themeColor="text1"/>
        </w:rPr>
        <w:t xml:space="preserve">More information on the </w:t>
      </w:r>
      <w:r w:rsidR="00863336" w:rsidRPr="00863336">
        <w:rPr>
          <w:color w:val="000000" w:themeColor="text1"/>
        </w:rPr>
        <w:t>Disaster Ready Fund</w:t>
      </w:r>
      <w:r w:rsidRPr="00863336">
        <w:rPr>
          <w:color w:val="000000" w:themeColor="text1"/>
        </w:rPr>
        <w:t xml:space="preserve"> can be found in Table 2.</w:t>
      </w:r>
      <w:r w:rsidR="00863336" w:rsidRPr="00863336">
        <w:rPr>
          <w:color w:val="000000" w:themeColor="text1"/>
        </w:rPr>
        <w:t>3</w:t>
      </w:r>
      <w:r w:rsidRPr="00863336">
        <w:rPr>
          <w:color w:val="000000" w:themeColor="text1"/>
        </w:rPr>
        <w:t>.1.5 on page 3</w:t>
      </w:r>
      <w:r w:rsidR="002D067E">
        <w:rPr>
          <w:color w:val="000000" w:themeColor="text1"/>
        </w:rPr>
        <w:t>6</w:t>
      </w:r>
      <w:r w:rsidRPr="00863336">
        <w:rPr>
          <w:color w:val="000000" w:themeColor="text1"/>
        </w:rPr>
        <w:t>.</w:t>
      </w:r>
    </w:p>
    <w:p w14:paraId="251D46EA" w14:textId="03E7D313" w:rsidR="0009219F" w:rsidRPr="00863336" w:rsidRDefault="0009219F" w:rsidP="000C2BC5">
      <w:pPr>
        <w:pStyle w:val="ChartandTableFootnoteAlpha"/>
        <w:numPr>
          <w:ilvl w:val="0"/>
          <w:numId w:val="18"/>
        </w:numPr>
        <w:spacing w:after="20"/>
        <w:rPr>
          <w:color w:val="000000" w:themeColor="text1"/>
        </w:rPr>
      </w:pPr>
      <w:r w:rsidRPr="00863336">
        <w:rPr>
          <w:color w:val="000000" w:themeColor="text1"/>
        </w:rPr>
        <w:t xml:space="preserve">More information on the </w:t>
      </w:r>
      <w:r w:rsidR="00863336" w:rsidRPr="00863336">
        <w:rPr>
          <w:color w:val="000000" w:themeColor="text1"/>
        </w:rPr>
        <w:t>Housing Australia Future Fund</w:t>
      </w:r>
      <w:r w:rsidRPr="00863336">
        <w:rPr>
          <w:color w:val="000000" w:themeColor="text1"/>
        </w:rPr>
        <w:t xml:space="preserve"> can be found in Table 2.</w:t>
      </w:r>
      <w:r w:rsidR="00863336" w:rsidRPr="00863336">
        <w:rPr>
          <w:color w:val="000000" w:themeColor="text1"/>
        </w:rPr>
        <w:t>3</w:t>
      </w:r>
      <w:r w:rsidRPr="00863336">
        <w:rPr>
          <w:color w:val="000000" w:themeColor="text1"/>
        </w:rPr>
        <w:t>.1.</w:t>
      </w:r>
      <w:r w:rsidR="00863336" w:rsidRPr="00863336">
        <w:rPr>
          <w:color w:val="000000" w:themeColor="text1"/>
        </w:rPr>
        <w:t>6</w:t>
      </w:r>
      <w:r w:rsidRPr="00863336">
        <w:rPr>
          <w:color w:val="000000" w:themeColor="text1"/>
        </w:rPr>
        <w:t xml:space="preserve"> on page 3</w:t>
      </w:r>
      <w:r w:rsidR="002D067E">
        <w:rPr>
          <w:color w:val="000000" w:themeColor="text1"/>
        </w:rPr>
        <w:t>7</w:t>
      </w:r>
      <w:r w:rsidRPr="00863336">
        <w:rPr>
          <w:color w:val="000000" w:themeColor="text1"/>
        </w:rPr>
        <w:t>.</w:t>
      </w:r>
    </w:p>
    <w:p w14:paraId="449C2D1E" w14:textId="77777777" w:rsidR="0009219F" w:rsidRPr="00863336" w:rsidRDefault="0009219F" w:rsidP="0009219F">
      <w:pPr>
        <w:pStyle w:val="ChartandTableFootnoteAlpha"/>
        <w:numPr>
          <w:ilvl w:val="0"/>
          <w:numId w:val="0"/>
        </w:numPr>
      </w:pPr>
    </w:p>
    <w:p w14:paraId="367B9E08" w14:textId="77777777" w:rsidR="0009219F" w:rsidRDefault="0009219F" w:rsidP="0009219F">
      <w:pPr>
        <w:pStyle w:val="ChartandTableFootnoteAlpha"/>
        <w:numPr>
          <w:ilvl w:val="0"/>
          <w:numId w:val="0"/>
        </w:numPr>
      </w:pPr>
      <w:r w:rsidRPr="00863336">
        <w:t>Note: Departmental appropriation splits and totals are indicative estimates and may change in the course of the budget year as government priorities change.</w:t>
      </w:r>
    </w:p>
    <w:p w14:paraId="54A54373" w14:textId="49494A15" w:rsidR="0009219F" w:rsidRDefault="0009219F">
      <w:pPr>
        <w:spacing w:before="0" w:after="0" w:line="240" w:lineRule="auto"/>
      </w:pPr>
      <w:r>
        <w:br w:type="page"/>
      </w:r>
    </w:p>
    <w:p w14:paraId="3068B404" w14:textId="51F98DC2" w:rsidR="0009219F" w:rsidRDefault="0009219F" w:rsidP="0009219F">
      <w:pPr>
        <w:pStyle w:val="TableHeading"/>
      </w:pPr>
      <w:r w:rsidRPr="0009219F">
        <w:lastRenderedPageBreak/>
        <w:t>2.</w:t>
      </w:r>
      <w:r w:rsidR="001D7807">
        <w:t>3</w:t>
      </w:r>
      <w:r w:rsidRPr="0009219F">
        <w:t xml:space="preserve">.1.1: DisabilityCare Australia Fund </w:t>
      </w:r>
      <w:r w:rsidR="00A26264">
        <w:t xml:space="preserve">(DCAF) </w:t>
      </w:r>
      <w:r w:rsidRPr="0009219F">
        <w:t>- Estimates of Fund Balances</w:t>
      </w:r>
    </w:p>
    <w:p w14:paraId="027D7C67" w14:textId="32E40D6F" w:rsidR="0009219F" w:rsidRPr="0009219F" w:rsidRDefault="00CA2A3E" w:rsidP="0009219F">
      <w:pPr>
        <w:pStyle w:val="TableGraphic"/>
      </w:pPr>
      <w:r w:rsidRPr="00CA2A3E">
        <w:rPr>
          <w:noProof/>
        </w:rPr>
        <w:drawing>
          <wp:inline distT="0" distB="0" distL="0" distR="0" wp14:anchorId="61790140" wp14:editId="0A3F53D3">
            <wp:extent cx="4896485" cy="2280920"/>
            <wp:effectExtent l="0" t="0" r="0" b="5080"/>
            <wp:docPr id="3704624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896485" cy="2280920"/>
                    </a:xfrm>
                    <a:prstGeom prst="rect">
                      <a:avLst/>
                    </a:prstGeom>
                    <a:noFill/>
                    <a:ln>
                      <a:noFill/>
                    </a:ln>
                  </pic:spPr>
                </pic:pic>
              </a:graphicData>
            </a:graphic>
          </wp:inline>
        </w:drawing>
      </w:r>
    </w:p>
    <w:p w14:paraId="184A492B" w14:textId="77777777" w:rsidR="00295414" w:rsidRPr="00F24A0C" w:rsidRDefault="00295414" w:rsidP="000C2BC5">
      <w:pPr>
        <w:pStyle w:val="ChartandTableFootnoteAlpha"/>
        <w:numPr>
          <w:ilvl w:val="0"/>
          <w:numId w:val="22"/>
        </w:numPr>
      </w:pPr>
      <w:r w:rsidRPr="00F24A0C">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p>
    <w:p w14:paraId="74E5B7E1" w14:textId="77777777" w:rsidR="00295414" w:rsidRPr="00F24A0C" w:rsidRDefault="00295414" w:rsidP="000C2BC5">
      <w:pPr>
        <w:pStyle w:val="ChartandTableFootnoteAlpha"/>
        <w:numPr>
          <w:ilvl w:val="0"/>
          <w:numId w:val="22"/>
        </w:numPr>
      </w:pPr>
      <w:r w:rsidRPr="00F24A0C">
        <w:t>The Commonwealth agreed to credit the DCAF with money raised from the increase in the Medicare levy for 10 years to fund the additional costs of delivering the National Disability Insurance Scheme (NDIS) (formerly DisabilityCare Australia). This 10 year period concludes in 2023-24.</w:t>
      </w:r>
    </w:p>
    <w:p w14:paraId="2BCC3AF6" w14:textId="77777777" w:rsidR="00295414" w:rsidRPr="00F24A0C" w:rsidRDefault="00295414" w:rsidP="000C2BC5">
      <w:pPr>
        <w:pStyle w:val="ChartandTableFootnoteAlpha"/>
        <w:numPr>
          <w:ilvl w:val="0"/>
          <w:numId w:val="22"/>
        </w:numPr>
      </w:pPr>
      <w:r w:rsidRPr="00F24A0C">
        <w:t>The transfers relate to reimbursing the Commonwealth and the States and Territories for the costs of the operations of the NDIS.</w:t>
      </w:r>
    </w:p>
    <w:p w14:paraId="1137E362" w14:textId="77777777" w:rsidR="00F24A0C" w:rsidRDefault="00F24A0C" w:rsidP="00F24A0C">
      <w:pPr>
        <w:spacing w:before="0" w:after="0" w:line="240" w:lineRule="auto"/>
        <w:rPr>
          <w:sz w:val="16"/>
          <w:szCs w:val="16"/>
        </w:rPr>
      </w:pPr>
    </w:p>
    <w:p w14:paraId="0A6BC8E4" w14:textId="410FABA0" w:rsidR="00A26264" w:rsidRPr="00503E20" w:rsidRDefault="00A26264" w:rsidP="00F24A0C">
      <w:pPr>
        <w:spacing w:before="0" w:after="0" w:line="240" w:lineRule="auto"/>
        <w:rPr>
          <w:rFonts w:ascii="Arial" w:hAnsi="Arial" w:cs="Arial"/>
          <w:sz w:val="16"/>
          <w:szCs w:val="16"/>
        </w:rPr>
      </w:pPr>
      <w:r w:rsidRPr="00503E20">
        <w:rPr>
          <w:rFonts w:ascii="Arial" w:hAnsi="Arial" w:cs="Arial"/>
          <w:sz w:val="16"/>
          <w:szCs w:val="16"/>
        </w:rPr>
        <w:t>Note: the expenses figure does not include losses made on investments; rather this amount has been applied against investment earnings and gains</w:t>
      </w:r>
      <w:r w:rsidR="00D66BD7" w:rsidRPr="00503E20">
        <w:rPr>
          <w:rFonts w:ascii="Arial" w:hAnsi="Arial" w:cs="Arial"/>
          <w:sz w:val="16"/>
          <w:szCs w:val="16"/>
        </w:rPr>
        <w:t>.</w:t>
      </w:r>
    </w:p>
    <w:p w14:paraId="1BABDBC7" w14:textId="5B904E2B" w:rsidR="0009219F" w:rsidRDefault="0009219F">
      <w:pPr>
        <w:spacing w:before="0" w:after="0" w:line="240" w:lineRule="auto"/>
      </w:pPr>
      <w:r>
        <w:br w:type="page"/>
      </w:r>
    </w:p>
    <w:p w14:paraId="4A139BB1" w14:textId="0221C68C" w:rsidR="0009219F" w:rsidRDefault="0009219F" w:rsidP="0009219F">
      <w:pPr>
        <w:pStyle w:val="TableHeading"/>
      </w:pPr>
      <w:r w:rsidRPr="0009219F">
        <w:lastRenderedPageBreak/>
        <w:t>2.</w:t>
      </w:r>
      <w:r w:rsidR="001D7807">
        <w:t>3</w:t>
      </w:r>
      <w:r w:rsidRPr="0009219F">
        <w:t>.1.2: Medical Research Future Fund</w:t>
      </w:r>
      <w:r w:rsidR="00D66BD7">
        <w:t xml:space="preserve"> (MRFF)</w:t>
      </w:r>
      <w:r w:rsidRPr="0009219F">
        <w:t xml:space="preserve"> - Estimates of Fund Balances</w:t>
      </w:r>
    </w:p>
    <w:p w14:paraId="546D9ED9" w14:textId="38C529C3" w:rsidR="00415B45" w:rsidRPr="00415B45" w:rsidRDefault="00F94E54" w:rsidP="00415B45">
      <w:pPr>
        <w:pStyle w:val="TableGraphic"/>
      </w:pPr>
      <w:r w:rsidRPr="00F94E54">
        <w:rPr>
          <w:noProof/>
        </w:rPr>
        <w:drawing>
          <wp:inline distT="0" distB="0" distL="0" distR="0" wp14:anchorId="2FFFBBDE" wp14:editId="43D76371">
            <wp:extent cx="4896485" cy="2062480"/>
            <wp:effectExtent l="0" t="0" r="0" b="0"/>
            <wp:docPr id="7429471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96485" cy="2062480"/>
                    </a:xfrm>
                    <a:prstGeom prst="rect">
                      <a:avLst/>
                    </a:prstGeom>
                    <a:noFill/>
                    <a:ln>
                      <a:noFill/>
                    </a:ln>
                  </pic:spPr>
                </pic:pic>
              </a:graphicData>
            </a:graphic>
          </wp:inline>
        </w:drawing>
      </w:r>
    </w:p>
    <w:p w14:paraId="3926DEC7" w14:textId="77777777" w:rsidR="00295414" w:rsidRPr="003A000B" w:rsidRDefault="00295414" w:rsidP="00503E20">
      <w:pPr>
        <w:pStyle w:val="ChartandTableFootnoteAlpha"/>
        <w:numPr>
          <w:ilvl w:val="0"/>
          <w:numId w:val="23"/>
        </w:numPr>
        <w:spacing w:after="20"/>
        <w:jc w:val="both"/>
        <w:rPr>
          <w:rFonts w:cs="Arial"/>
          <w:szCs w:val="16"/>
        </w:rPr>
      </w:pPr>
      <w:r w:rsidRPr="003A000B">
        <w:rPr>
          <w:rFonts w:cs="Arial"/>
          <w:szCs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14:paraId="21237D91" w14:textId="77777777" w:rsidR="00F24A0C" w:rsidRDefault="00F24A0C" w:rsidP="00F24A0C">
      <w:pPr>
        <w:spacing w:before="0" w:after="0" w:line="240" w:lineRule="auto"/>
        <w:rPr>
          <w:rFonts w:ascii="Arial" w:hAnsi="Arial" w:cs="Arial"/>
          <w:color w:val="000000"/>
          <w:sz w:val="16"/>
          <w:szCs w:val="16"/>
        </w:rPr>
      </w:pPr>
    </w:p>
    <w:p w14:paraId="1004CEDF" w14:textId="39A24450" w:rsidR="0009219F" w:rsidRPr="00F24A0C" w:rsidRDefault="003A000B" w:rsidP="00F24A0C">
      <w:pPr>
        <w:spacing w:before="0" w:after="0" w:line="240" w:lineRule="auto"/>
        <w:rPr>
          <w:rFonts w:ascii="Arial" w:hAnsi="Arial"/>
          <w:b/>
          <w:sz w:val="16"/>
          <w:szCs w:val="16"/>
        </w:rPr>
      </w:pPr>
      <w:r w:rsidRPr="00F24A0C">
        <w:rPr>
          <w:rFonts w:ascii="Arial" w:hAnsi="Arial" w:cs="Arial"/>
          <w:color w:val="000000"/>
          <w:sz w:val="16"/>
          <w:szCs w:val="16"/>
        </w:rPr>
        <w:t>Note: The expenses figure does not include losses made on investments; rather this amount has been applied against investment earnings and gains.</w:t>
      </w:r>
    </w:p>
    <w:p w14:paraId="2C1C44F5" w14:textId="4ED5E4D0" w:rsidR="00415B45" w:rsidRDefault="00415B45">
      <w:pPr>
        <w:spacing w:before="0" w:after="0" w:line="240" w:lineRule="auto"/>
      </w:pPr>
      <w:r>
        <w:br w:type="page"/>
      </w:r>
    </w:p>
    <w:p w14:paraId="7EB7DA4C" w14:textId="5832C81F" w:rsidR="0009219F" w:rsidRDefault="00415B45" w:rsidP="00415B45">
      <w:pPr>
        <w:pStyle w:val="TableHeading"/>
      </w:pPr>
      <w:r w:rsidRPr="00415B45">
        <w:lastRenderedPageBreak/>
        <w:t>2.</w:t>
      </w:r>
      <w:r w:rsidR="001D7807">
        <w:t>3</w:t>
      </w:r>
      <w:r w:rsidRPr="00415B45">
        <w:t xml:space="preserve">.1.3: Aboriginal and Torres Strait Islander Land and Sea Future Fund </w:t>
      </w:r>
      <w:r w:rsidR="0029780F">
        <w:t xml:space="preserve">(ATSILSFF) </w:t>
      </w:r>
      <w:r w:rsidRPr="00415B45">
        <w:t>- Estimates of Fund Balances</w:t>
      </w:r>
    </w:p>
    <w:p w14:paraId="3547CA6F" w14:textId="3412528C" w:rsidR="00415B45" w:rsidRPr="00415B45" w:rsidRDefault="00F94E54" w:rsidP="00415B45">
      <w:pPr>
        <w:pStyle w:val="TableGraphic"/>
      </w:pPr>
      <w:r w:rsidRPr="00F94E54">
        <w:rPr>
          <w:noProof/>
        </w:rPr>
        <w:drawing>
          <wp:inline distT="0" distB="0" distL="0" distR="0" wp14:anchorId="6F5A6BC6" wp14:editId="16D90644">
            <wp:extent cx="4896485" cy="2218055"/>
            <wp:effectExtent l="0" t="0" r="0" b="0"/>
            <wp:docPr id="108162914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96485" cy="2218055"/>
                    </a:xfrm>
                    <a:prstGeom prst="rect">
                      <a:avLst/>
                    </a:prstGeom>
                    <a:noFill/>
                    <a:ln>
                      <a:noFill/>
                    </a:ln>
                  </pic:spPr>
                </pic:pic>
              </a:graphicData>
            </a:graphic>
          </wp:inline>
        </w:drawing>
      </w:r>
    </w:p>
    <w:p w14:paraId="2F5A69B4" w14:textId="2D048866" w:rsidR="008D0272" w:rsidRDefault="008D0272" w:rsidP="00503E20">
      <w:pPr>
        <w:pStyle w:val="ListParagraph"/>
        <w:numPr>
          <w:ilvl w:val="0"/>
          <w:numId w:val="24"/>
        </w:numPr>
        <w:spacing w:before="30" w:after="0" w:line="240" w:lineRule="auto"/>
        <w:ind w:left="426"/>
        <w:rPr>
          <w:rFonts w:ascii="Arial" w:hAnsi="Arial" w:cs="Arial"/>
          <w:bCs/>
          <w:sz w:val="16"/>
          <w:szCs w:val="16"/>
        </w:rPr>
      </w:pPr>
      <w:r w:rsidRPr="008D0272">
        <w:rPr>
          <w:rFonts w:ascii="Arial" w:hAnsi="Arial" w:cs="Arial"/>
          <w:bCs/>
          <w:sz w:val="16"/>
          <w:szCs w:val="16"/>
        </w:rPr>
        <w:t>The ATSILSFF consists of the ATSILSFF Special Account and the investments of the ATSILSFF.</w:t>
      </w:r>
      <w:r w:rsidR="00F11E5D">
        <w:rPr>
          <w:rFonts w:ascii="Arial" w:hAnsi="Arial" w:cs="Arial"/>
          <w:bCs/>
          <w:sz w:val="16"/>
          <w:szCs w:val="16"/>
        </w:rPr>
        <w:t xml:space="preserve"> </w:t>
      </w:r>
      <w:r w:rsidRPr="008D0272">
        <w:rPr>
          <w:rFonts w:ascii="Arial" w:hAnsi="Arial" w:cs="Arial"/>
          <w:bCs/>
          <w:sz w:val="16"/>
          <w:szCs w:val="16"/>
        </w:rPr>
        <w:t>The investments are managed by the Future Fund Board of Guardians. The special account is used to record all transactions relating to the ATSILSFF, including interest and payments.</w:t>
      </w:r>
    </w:p>
    <w:p w14:paraId="1602E7C3" w14:textId="77777777" w:rsidR="008D0272" w:rsidRPr="008D0272" w:rsidRDefault="008D0272" w:rsidP="008D0272">
      <w:pPr>
        <w:pStyle w:val="ListParagraph"/>
        <w:spacing w:before="0" w:after="0" w:line="240" w:lineRule="auto"/>
        <w:ind w:left="426"/>
        <w:rPr>
          <w:rFonts w:ascii="Arial" w:hAnsi="Arial" w:cs="Arial"/>
          <w:bCs/>
          <w:sz w:val="16"/>
          <w:szCs w:val="16"/>
        </w:rPr>
      </w:pPr>
    </w:p>
    <w:p w14:paraId="05D5F038" w14:textId="33CF1A39" w:rsidR="008D0272" w:rsidRDefault="008D0272" w:rsidP="008D0272">
      <w:pPr>
        <w:spacing w:before="0" w:after="0" w:line="240" w:lineRule="auto"/>
        <w:rPr>
          <w:rFonts w:ascii="Arial" w:hAnsi="Arial" w:cs="Arial"/>
          <w:bCs/>
          <w:sz w:val="16"/>
          <w:szCs w:val="16"/>
        </w:rPr>
      </w:pPr>
      <w:r w:rsidRPr="008D0272">
        <w:rPr>
          <w:rFonts w:ascii="Arial" w:hAnsi="Arial" w:cs="Arial"/>
          <w:bCs/>
          <w:sz w:val="16"/>
          <w:szCs w:val="16"/>
        </w:rPr>
        <w:t>Note: The expenses figure does not include losses made on investments; rather this amount has been applied against investment earnings and gains.</w:t>
      </w:r>
    </w:p>
    <w:p w14:paraId="14FF02BE" w14:textId="67D8DE52" w:rsidR="00415B45" w:rsidRPr="008D0272" w:rsidRDefault="00415B45" w:rsidP="008D0272">
      <w:pPr>
        <w:spacing w:before="0" w:after="0" w:line="240" w:lineRule="auto"/>
        <w:rPr>
          <w:rFonts w:ascii="Arial" w:hAnsi="Arial" w:cs="Arial"/>
          <w:bCs/>
          <w:sz w:val="16"/>
          <w:szCs w:val="16"/>
        </w:rPr>
      </w:pPr>
      <w:r w:rsidRPr="008D0272">
        <w:rPr>
          <w:rFonts w:ascii="Arial" w:hAnsi="Arial" w:cs="Arial"/>
          <w:bCs/>
          <w:sz w:val="16"/>
          <w:szCs w:val="16"/>
        </w:rPr>
        <w:br w:type="page"/>
      </w:r>
    </w:p>
    <w:p w14:paraId="06DB07B5" w14:textId="4EF555AC" w:rsidR="00415B45" w:rsidRDefault="00415B45" w:rsidP="00415B45">
      <w:pPr>
        <w:pStyle w:val="TableHeading"/>
      </w:pPr>
      <w:r w:rsidRPr="00415B45">
        <w:lastRenderedPageBreak/>
        <w:t>2.</w:t>
      </w:r>
      <w:r w:rsidR="001D7807">
        <w:t>3</w:t>
      </w:r>
      <w:r w:rsidRPr="00415B45">
        <w:t xml:space="preserve">.1.4: Future Drought Fund </w:t>
      </w:r>
      <w:r w:rsidR="00D66BD7">
        <w:t>(FDF)</w:t>
      </w:r>
      <w:r w:rsidR="00995BA4">
        <w:t xml:space="preserve"> </w:t>
      </w:r>
      <w:r w:rsidRPr="00415B45">
        <w:t>- Estimates of Fund Balances</w:t>
      </w:r>
    </w:p>
    <w:p w14:paraId="4226072B" w14:textId="00FAD624" w:rsidR="00415B45" w:rsidRDefault="00F94E54" w:rsidP="00F24A0C">
      <w:pPr>
        <w:pStyle w:val="TableGraphic"/>
        <w:ind w:left="360" w:hanging="360"/>
        <w:rPr>
          <w:rFonts w:ascii="Arial" w:hAnsi="Arial" w:cs="Arial"/>
          <w:color w:val="000000"/>
          <w:sz w:val="16"/>
          <w:szCs w:val="16"/>
        </w:rPr>
      </w:pPr>
      <w:r w:rsidRPr="00F94E54">
        <w:rPr>
          <w:rFonts w:ascii="Arial" w:hAnsi="Arial" w:cs="Arial"/>
          <w:noProof/>
          <w:color w:val="000000"/>
          <w:sz w:val="16"/>
          <w:szCs w:val="16"/>
        </w:rPr>
        <w:drawing>
          <wp:inline distT="0" distB="0" distL="0" distR="0" wp14:anchorId="19BB20E2" wp14:editId="68F4A9A7">
            <wp:extent cx="4896485" cy="2099310"/>
            <wp:effectExtent l="0" t="0" r="0" b="0"/>
            <wp:docPr id="16729189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96485" cy="2099310"/>
                    </a:xfrm>
                    <a:prstGeom prst="rect">
                      <a:avLst/>
                    </a:prstGeom>
                    <a:noFill/>
                    <a:ln>
                      <a:noFill/>
                    </a:ln>
                  </pic:spPr>
                </pic:pic>
              </a:graphicData>
            </a:graphic>
          </wp:inline>
        </w:drawing>
      </w:r>
    </w:p>
    <w:p w14:paraId="040E418B" w14:textId="2B3105E5" w:rsidR="00855AF0" w:rsidRDefault="00855AF0" w:rsidP="00503E20">
      <w:pPr>
        <w:pStyle w:val="ListParagraph"/>
        <w:numPr>
          <w:ilvl w:val="0"/>
          <w:numId w:val="27"/>
        </w:numPr>
        <w:spacing w:before="30" w:after="0" w:line="240" w:lineRule="auto"/>
        <w:ind w:left="360"/>
        <w:contextualSpacing w:val="0"/>
        <w:rPr>
          <w:rFonts w:ascii="Arial" w:hAnsi="Arial" w:cs="Arial"/>
          <w:bCs/>
          <w:sz w:val="16"/>
          <w:szCs w:val="16"/>
        </w:rPr>
      </w:pPr>
      <w:r w:rsidRPr="00855AF0">
        <w:rPr>
          <w:rFonts w:ascii="Arial" w:hAnsi="Arial" w:cs="Arial"/>
          <w:bCs/>
          <w:sz w:val="16"/>
          <w:szCs w:val="16"/>
        </w:rPr>
        <w:t>The FDF consists of the FDF Special Account and investments of the FDF. The investments are managed by the Future Fund Board of Guardians. The special account is used to record all transactions relating to the FDF, including interest and payments</w:t>
      </w:r>
      <w:r w:rsidRPr="008D0272">
        <w:rPr>
          <w:rFonts w:ascii="Arial" w:hAnsi="Arial" w:cs="Arial"/>
          <w:bCs/>
          <w:sz w:val="16"/>
          <w:szCs w:val="16"/>
        </w:rPr>
        <w:t>.</w:t>
      </w:r>
    </w:p>
    <w:p w14:paraId="4C385EA0" w14:textId="77777777" w:rsidR="00855AF0" w:rsidRDefault="00855AF0" w:rsidP="00855AF0">
      <w:pPr>
        <w:pStyle w:val="ListParagraph"/>
        <w:spacing w:before="0" w:after="0" w:line="240" w:lineRule="auto"/>
        <w:ind w:left="360"/>
        <w:contextualSpacing w:val="0"/>
        <w:rPr>
          <w:rFonts w:ascii="Arial" w:hAnsi="Arial" w:cs="Arial"/>
          <w:bCs/>
          <w:sz w:val="16"/>
          <w:szCs w:val="16"/>
        </w:rPr>
      </w:pPr>
    </w:p>
    <w:p w14:paraId="3F8D1084" w14:textId="2EB89A55" w:rsidR="008D0272" w:rsidRPr="008D0272" w:rsidRDefault="008D0272" w:rsidP="00855AF0">
      <w:pPr>
        <w:spacing w:before="0" w:after="0" w:line="240" w:lineRule="auto"/>
        <w:rPr>
          <w:rFonts w:ascii="Arial" w:hAnsi="Arial" w:cs="Arial"/>
          <w:sz w:val="16"/>
          <w:szCs w:val="16"/>
        </w:rPr>
      </w:pPr>
      <w:r w:rsidRPr="008D0272">
        <w:rPr>
          <w:rFonts w:ascii="Arial" w:hAnsi="Arial" w:cs="Arial"/>
          <w:sz w:val="16"/>
          <w:szCs w:val="16"/>
        </w:rPr>
        <w:t>Note: The expenses figure does not include losses made on investments; rather this amount has been applied against investment earnings and gains.</w:t>
      </w:r>
    </w:p>
    <w:p w14:paraId="1BAF71B4" w14:textId="37C077F7" w:rsidR="00415B45" w:rsidRDefault="00415B45">
      <w:pPr>
        <w:spacing w:before="0" w:after="0" w:line="240" w:lineRule="auto"/>
      </w:pPr>
      <w:r>
        <w:br w:type="page"/>
      </w:r>
    </w:p>
    <w:p w14:paraId="5E98AA64" w14:textId="189AE970" w:rsidR="00415B45" w:rsidRDefault="00415B45">
      <w:pPr>
        <w:spacing w:before="0" w:after="0" w:line="240" w:lineRule="auto"/>
        <w:rPr>
          <w:rFonts w:ascii="Arial" w:hAnsi="Arial"/>
          <w:b/>
          <w:sz w:val="20"/>
        </w:rPr>
      </w:pPr>
      <w:r w:rsidRPr="00415B45">
        <w:rPr>
          <w:rFonts w:ascii="Arial" w:hAnsi="Arial"/>
          <w:b/>
          <w:sz w:val="20"/>
        </w:rPr>
        <w:lastRenderedPageBreak/>
        <w:t>2.</w:t>
      </w:r>
      <w:r w:rsidR="001D7807">
        <w:rPr>
          <w:rFonts w:ascii="Arial" w:hAnsi="Arial"/>
          <w:b/>
          <w:sz w:val="20"/>
        </w:rPr>
        <w:t>3</w:t>
      </w:r>
      <w:r w:rsidRPr="00415B45">
        <w:rPr>
          <w:rFonts w:ascii="Arial" w:hAnsi="Arial"/>
          <w:b/>
          <w:sz w:val="20"/>
        </w:rPr>
        <w:t xml:space="preserve">.1.5: Disaster Ready Fund </w:t>
      </w:r>
      <w:r w:rsidR="00995BA4">
        <w:rPr>
          <w:rFonts w:ascii="Arial" w:hAnsi="Arial"/>
          <w:b/>
          <w:sz w:val="20"/>
        </w:rPr>
        <w:t xml:space="preserve">(DRF) </w:t>
      </w:r>
      <w:r w:rsidRPr="00415B45">
        <w:rPr>
          <w:rFonts w:ascii="Arial" w:hAnsi="Arial"/>
          <w:b/>
          <w:sz w:val="20"/>
        </w:rPr>
        <w:t>- Estimates of Fund Balances</w:t>
      </w:r>
    </w:p>
    <w:p w14:paraId="59E4FA5A" w14:textId="028FE596" w:rsidR="00D66BD7" w:rsidRDefault="00F94E54">
      <w:pPr>
        <w:spacing w:before="0" w:after="0" w:line="240" w:lineRule="auto"/>
      </w:pPr>
      <w:r w:rsidRPr="00F94E54">
        <w:rPr>
          <w:noProof/>
        </w:rPr>
        <w:drawing>
          <wp:inline distT="0" distB="0" distL="0" distR="0" wp14:anchorId="790917B1" wp14:editId="1DF9D14F">
            <wp:extent cx="4896485" cy="2099310"/>
            <wp:effectExtent l="0" t="0" r="0" b="0"/>
            <wp:docPr id="36870144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896485" cy="2099310"/>
                    </a:xfrm>
                    <a:prstGeom prst="rect">
                      <a:avLst/>
                    </a:prstGeom>
                    <a:noFill/>
                    <a:ln>
                      <a:noFill/>
                    </a:ln>
                  </pic:spPr>
                </pic:pic>
              </a:graphicData>
            </a:graphic>
          </wp:inline>
        </w:drawing>
      </w:r>
    </w:p>
    <w:p w14:paraId="10AAC5C6" w14:textId="71F84DBC" w:rsidR="00D66BD7" w:rsidRPr="00855AF0" w:rsidRDefault="00855AF0" w:rsidP="00503E20">
      <w:pPr>
        <w:pStyle w:val="ListParagraph"/>
        <w:numPr>
          <w:ilvl w:val="0"/>
          <w:numId w:val="37"/>
        </w:numPr>
        <w:spacing w:before="30" w:after="0" w:line="240" w:lineRule="auto"/>
        <w:contextualSpacing w:val="0"/>
        <w:rPr>
          <w:rFonts w:ascii="Book Antiqua" w:eastAsia="Times New Roman" w:hAnsi="Book Antiqua"/>
          <w:sz w:val="16"/>
          <w:szCs w:val="16"/>
          <w:lang w:val="en-AU" w:eastAsia="en-AU"/>
        </w:rPr>
      </w:pPr>
      <w:r w:rsidRPr="00AC145E">
        <w:rPr>
          <w:rFonts w:ascii="Arial" w:eastAsia="Times New Roman" w:hAnsi="Arial" w:cs="Arial"/>
          <w:sz w:val="16"/>
          <w:szCs w:val="16"/>
          <w:lang w:val="en-AU" w:eastAsia="en-AU"/>
        </w:rPr>
        <w:t>On 1 March 2023, t</w:t>
      </w:r>
      <w:r w:rsidR="00D66BD7" w:rsidRPr="00AC145E">
        <w:rPr>
          <w:rFonts w:ascii="Arial" w:eastAsia="Times New Roman" w:hAnsi="Arial" w:cs="Arial"/>
          <w:sz w:val="16"/>
          <w:szCs w:val="16"/>
          <w:lang w:val="en-AU" w:eastAsia="en-AU"/>
        </w:rPr>
        <w:t>he Emergency Response Fund was renamed the Disaster Ready Fund (DRF) upon commencement of the Emergency Response Fund Amendment (</w:t>
      </w:r>
      <w:r w:rsidR="00D66BD7" w:rsidRPr="00F11E5D">
        <w:rPr>
          <w:rFonts w:ascii="Arial" w:eastAsia="Times New Roman" w:hAnsi="Arial" w:cs="Arial"/>
          <w:i/>
          <w:iCs/>
          <w:sz w:val="16"/>
          <w:szCs w:val="16"/>
          <w:lang w:val="en-AU" w:eastAsia="en-AU"/>
        </w:rPr>
        <w:t>Disaster Ready Fund) Act 2022</w:t>
      </w:r>
      <w:r w:rsidR="00D66BD7" w:rsidRPr="00AC145E">
        <w:rPr>
          <w:rFonts w:ascii="Arial" w:eastAsia="Times New Roman" w:hAnsi="Arial" w:cs="Arial"/>
          <w:sz w:val="16"/>
          <w:szCs w:val="16"/>
          <w:lang w:val="en-AU" w:eastAsia="en-AU"/>
        </w:rPr>
        <w:t>. The DRF consists of the DRF Special Account and investments of the DRF. The investments are managed by the Future Fund Board of Guardians. The special account is used to record all transactions relating to the DRF, including interest and payments</w:t>
      </w:r>
      <w:r w:rsidR="00D66BD7" w:rsidRPr="00855AF0">
        <w:rPr>
          <w:rFonts w:ascii="Book Antiqua" w:eastAsia="Times New Roman" w:hAnsi="Book Antiqua"/>
          <w:sz w:val="16"/>
          <w:szCs w:val="16"/>
          <w:lang w:val="en-AU" w:eastAsia="en-AU"/>
        </w:rPr>
        <w:t>.</w:t>
      </w:r>
    </w:p>
    <w:p w14:paraId="1F0B1A19" w14:textId="77777777" w:rsidR="00D66BD7" w:rsidRPr="00855AF0" w:rsidRDefault="00D66BD7" w:rsidP="00D66BD7">
      <w:pPr>
        <w:spacing w:before="0" w:after="0" w:line="240" w:lineRule="auto"/>
        <w:rPr>
          <w:sz w:val="16"/>
          <w:szCs w:val="16"/>
        </w:rPr>
      </w:pPr>
    </w:p>
    <w:p w14:paraId="04F9DC83" w14:textId="77777777" w:rsidR="00855AF0" w:rsidRPr="00AC145E" w:rsidRDefault="00D66BD7" w:rsidP="00D66BD7">
      <w:pPr>
        <w:spacing w:before="0" w:after="0" w:line="240" w:lineRule="auto"/>
        <w:rPr>
          <w:rFonts w:ascii="Arial" w:hAnsi="Arial" w:cs="Arial"/>
          <w:sz w:val="16"/>
          <w:szCs w:val="16"/>
        </w:rPr>
      </w:pPr>
      <w:r w:rsidRPr="00AC145E">
        <w:rPr>
          <w:rFonts w:ascii="Arial" w:hAnsi="Arial" w:cs="Arial"/>
          <w:sz w:val="16"/>
          <w:szCs w:val="16"/>
        </w:rPr>
        <w:t>Note: The expenses figure does not include losses made on investments; rather this amount has been applied against investment earnings and gains.</w:t>
      </w:r>
    </w:p>
    <w:p w14:paraId="6DC7053C" w14:textId="2992EF7A" w:rsidR="00415B45" w:rsidRDefault="00415B45" w:rsidP="00D66BD7">
      <w:pPr>
        <w:spacing w:before="0" w:after="0" w:line="240" w:lineRule="auto"/>
      </w:pPr>
      <w:r>
        <w:br w:type="page"/>
      </w:r>
    </w:p>
    <w:p w14:paraId="134078FC" w14:textId="3A01E733" w:rsidR="00415B45" w:rsidRDefault="00415B45" w:rsidP="00415B45">
      <w:pPr>
        <w:spacing w:before="0" w:after="0" w:line="240" w:lineRule="auto"/>
        <w:rPr>
          <w:rFonts w:ascii="Arial" w:hAnsi="Arial"/>
          <w:b/>
          <w:sz w:val="20"/>
        </w:rPr>
      </w:pPr>
      <w:r w:rsidRPr="00415B45">
        <w:rPr>
          <w:rFonts w:ascii="Arial" w:hAnsi="Arial"/>
          <w:b/>
          <w:sz w:val="20"/>
        </w:rPr>
        <w:lastRenderedPageBreak/>
        <w:t>2.</w:t>
      </w:r>
      <w:r w:rsidR="001D7807">
        <w:rPr>
          <w:rFonts w:ascii="Arial" w:hAnsi="Arial"/>
          <w:b/>
          <w:sz w:val="20"/>
        </w:rPr>
        <w:t>3</w:t>
      </w:r>
      <w:r w:rsidRPr="00415B45">
        <w:rPr>
          <w:rFonts w:ascii="Arial" w:hAnsi="Arial"/>
          <w:b/>
          <w:sz w:val="20"/>
        </w:rPr>
        <w:t xml:space="preserve">.1.6: Housing Australia Future Fund </w:t>
      </w:r>
      <w:r w:rsidR="00995BA4">
        <w:rPr>
          <w:rFonts w:ascii="Arial" w:hAnsi="Arial"/>
          <w:b/>
          <w:sz w:val="20"/>
        </w:rPr>
        <w:t xml:space="preserve">(HAFF) </w:t>
      </w:r>
      <w:r w:rsidRPr="00415B45">
        <w:rPr>
          <w:rFonts w:ascii="Arial" w:hAnsi="Arial"/>
          <w:b/>
          <w:sz w:val="20"/>
        </w:rPr>
        <w:t>- Estimates of Fund Balances</w:t>
      </w:r>
    </w:p>
    <w:p w14:paraId="732BB07D" w14:textId="6DBE17C0" w:rsidR="00415B45" w:rsidRDefault="00F94E54" w:rsidP="008D0272">
      <w:pPr>
        <w:spacing w:before="0" w:after="0" w:line="240" w:lineRule="auto"/>
      </w:pPr>
      <w:r w:rsidRPr="00F94E54">
        <w:rPr>
          <w:noProof/>
        </w:rPr>
        <w:drawing>
          <wp:inline distT="0" distB="0" distL="0" distR="0" wp14:anchorId="741107F3" wp14:editId="4564E01F">
            <wp:extent cx="4896485" cy="2232025"/>
            <wp:effectExtent l="0" t="0" r="0" b="0"/>
            <wp:docPr id="15792531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96485" cy="2232025"/>
                    </a:xfrm>
                    <a:prstGeom prst="rect">
                      <a:avLst/>
                    </a:prstGeom>
                    <a:noFill/>
                    <a:ln>
                      <a:noFill/>
                    </a:ln>
                  </pic:spPr>
                </pic:pic>
              </a:graphicData>
            </a:graphic>
          </wp:inline>
        </w:drawing>
      </w:r>
    </w:p>
    <w:p w14:paraId="60D81C14" w14:textId="382B82DD" w:rsidR="00855AF0" w:rsidRPr="00503E20" w:rsidRDefault="00855AF0" w:rsidP="00503E20">
      <w:pPr>
        <w:pStyle w:val="ListParagraph"/>
        <w:numPr>
          <w:ilvl w:val="0"/>
          <w:numId w:val="34"/>
        </w:numPr>
        <w:spacing w:before="30" w:after="0" w:line="240" w:lineRule="auto"/>
        <w:ind w:left="284" w:hanging="309"/>
        <w:rPr>
          <w:rFonts w:ascii="Arial" w:hAnsi="Arial" w:cs="Arial"/>
          <w:sz w:val="16"/>
          <w:szCs w:val="16"/>
        </w:rPr>
      </w:pPr>
      <w:r w:rsidRPr="00503E20">
        <w:rPr>
          <w:rFonts w:ascii="Arial" w:hAnsi="Arial" w:cs="Arial"/>
          <w:sz w:val="16"/>
          <w:szCs w:val="16"/>
        </w:rPr>
        <w:t>The HAFF was established on 1 November 2023. The HAFF consists of the HAFF Special Account and investments of the HAFF. The investments are managed by the Future Fund Board of Guardians. The special account is used to record all transactions relating to the HAFF, including interest and payments</w:t>
      </w:r>
      <w:r w:rsidR="002F0CC1">
        <w:rPr>
          <w:rFonts w:ascii="Arial" w:hAnsi="Arial" w:cs="Arial"/>
          <w:sz w:val="16"/>
          <w:szCs w:val="16"/>
        </w:rPr>
        <w:t>.</w:t>
      </w:r>
    </w:p>
    <w:p w14:paraId="519A631E" w14:textId="77777777" w:rsidR="00EA681F" w:rsidRPr="00EA681F" w:rsidRDefault="00EA681F" w:rsidP="00EA681F">
      <w:pPr>
        <w:pStyle w:val="ListParagraph"/>
        <w:spacing w:before="0" w:after="0" w:line="240" w:lineRule="auto"/>
        <w:ind w:left="735"/>
        <w:rPr>
          <w:sz w:val="16"/>
          <w:szCs w:val="16"/>
        </w:rPr>
      </w:pPr>
    </w:p>
    <w:p w14:paraId="50B58A6C" w14:textId="1A52C7AC" w:rsidR="008D0272" w:rsidRPr="00855AF0" w:rsidRDefault="008D0272" w:rsidP="008D0272">
      <w:pPr>
        <w:spacing w:before="0" w:after="0" w:line="240" w:lineRule="auto"/>
        <w:rPr>
          <w:rFonts w:ascii="Arial" w:hAnsi="Arial"/>
          <w:bCs/>
          <w:sz w:val="16"/>
          <w:szCs w:val="16"/>
        </w:rPr>
      </w:pPr>
      <w:r w:rsidRPr="00855AF0">
        <w:rPr>
          <w:rFonts w:ascii="Arial" w:hAnsi="Arial"/>
          <w:bCs/>
          <w:sz w:val="16"/>
          <w:szCs w:val="16"/>
        </w:rPr>
        <w:t>Note: The expenses figure does not include losses made on investments; rather this amount has been applied against investment earnings and gains.</w:t>
      </w:r>
    </w:p>
    <w:p w14:paraId="0A8115D3" w14:textId="77777777" w:rsidR="00295414" w:rsidRDefault="00295414">
      <w:pPr>
        <w:spacing w:before="0" w:after="0" w:line="240" w:lineRule="auto"/>
        <w:rPr>
          <w:rFonts w:ascii="Arial" w:hAnsi="Arial"/>
          <w:bCs/>
          <w:i/>
          <w:iCs/>
          <w:sz w:val="20"/>
          <w:szCs w:val="26"/>
        </w:rPr>
      </w:pPr>
      <w:r>
        <w:br w:type="page"/>
      </w:r>
    </w:p>
    <w:p w14:paraId="657E973F" w14:textId="7D5043F6" w:rsidR="00A0282C" w:rsidRPr="00F71634" w:rsidRDefault="00A0282C" w:rsidP="00A0282C">
      <w:pPr>
        <w:pStyle w:val="Heading5"/>
      </w:pPr>
      <w:r>
        <w:lastRenderedPageBreak/>
        <w:t>Table 2.</w:t>
      </w:r>
      <w:r w:rsidR="001D7807">
        <w:t>3</w:t>
      </w:r>
      <w:r>
        <w:t>.2</w:t>
      </w:r>
      <w:r w:rsidRPr="00F71634">
        <w:t xml:space="preserve">: Performance </w:t>
      </w:r>
      <w:r>
        <w:t>measure</w:t>
      </w:r>
      <w:r w:rsidRPr="00F71634">
        <w:t xml:space="preserve"> </w:t>
      </w:r>
      <w:r>
        <w:t xml:space="preserve">for Outcome </w:t>
      </w:r>
      <w:r w:rsidR="001F0F3A">
        <w:t>2</w:t>
      </w:r>
    </w:p>
    <w:p w14:paraId="7A8626F5" w14:textId="4B5D2024" w:rsidR="00415B45" w:rsidRPr="008A50DD" w:rsidRDefault="00415B45" w:rsidP="00415B45">
      <w:r w:rsidRPr="008A50DD">
        <w:t>Table 2.</w:t>
      </w:r>
      <w:r w:rsidR="001D7807">
        <w:t>3</w:t>
      </w:r>
      <w:r w:rsidRPr="008A50DD">
        <w:t>.2 below details the performance measure for each program associated with Outcome 2. It is to be used by entities to describe the results they plan to achieve with the resources provided for new programs, or materially changed existing programs resulting from decisions made since the 2023-24 Budget.</w:t>
      </w:r>
    </w:p>
    <w:tbl>
      <w:tblPr>
        <w:tblW w:w="7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8"/>
      </w:tblGrid>
      <w:tr w:rsidR="00415B45" w:rsidRPr="008A50DD" w14:paraId="7473CDB7" w14:textId="77777777" w:rsidTr="00D55CEC">
        <w:trPr>
          <w:trHeight w:val="798"/>
          <w:tblHeader/>
        </w:trPr>
        <w:tc>
          <w:tcPr>
            <w:tcW w:w="7738" w:type="dxa"/>
            <w:shd w:val="clear" w:color="auto" w:fill="F2F2F2" w:themeFill="background1" w:themeFillShade="F2"/>
            <w:vAlign w:val="center"/>
          </w:tcPr>
          <w:p w14:paraId="079183A4" w14:textId="2EAC98AA" w:rsidR="00415B45" w:rsidRPr="00415B45" w:rsidRDefault="00415B45" w:rsidP="006B7E11">
            <w:pPr>
              <w:pStyle w:val="TableColumnHeadingLeft"/>
              <w:spacing w:before="120" w:after="120"/>
            </w:pPr>
            <w:r w:rsidRPr="00415B45">
              <w:t xml:space="preserve">Outcome 2 – </w:t>
            </w:r>
            <w:r w:rsidR="008979EA" w:rsidRPr="008979EA">
              <w:rPr>
                <w:b w:val="0"/>
              </w:rPr>
              <w:t>Outcome 2: Support an efficient and high-performing public sector through providing leadership to Commonwealth entities in ongoing improvements to public sector governance, including through systems, frameworks, policy, advice, and service delivery, and managing, acquiring and divesting government investments.</w:t>
            </w:r>
          </w:p>
        </w:tc>
      </w:tr>
      <w:tr w:rsidR="00415B45" w:rsidRPr="008A50DD" w14:paraId="007935AD" w14:textId="77777777" w:rsidTr="00D55CEC">
        <w:trPr>
          <w:trHeight w:val="930"/>
          <w:tblHeader/>
        </w:trPr>
        <w:tc>
          <w:tcPr>
            <w:tcW w:w="7738" w:type="dxa"/>
            <w:shd w:val="clear" w:color="auto" w:fill="F2F2F2" w:themeFill="background1" w:themeFillShade="F2"/>
            <w:vAlign w:val="center"/>
          </w:tcPr>
          <w:p w14:paraId="19A7ECF4" w14:textId="77777777" w:rsidR="00415B45" w:rsidRPr="00415B45" w:rsidRDefault="00415B45" w:rsidP="006B7E11">
            <w:pPr>
              <w:tabs>
                <w:tab w:val="left" w:pos="709"/>
              </w:tabs>
              <w:spacing w:before="60" w:after="60" w:line="240" w:lineRule="auto"/>
              <w:rPr>
                <w:rFonts w:ascii="Arial" w:hAnsi="Arial" w:cs="Arial"/>
                <w:sz w:val="16"/>
                <w:szCs w:val="16"/>
              </w:rPr>
            </w:pPr>
            <w:r w:rsidRPr="00415B45">
              <w:rPr>
                <w:rFonts w:ascii="Arial" w:hAnsi="Arial" w:cs="Arial"/>
                <w:b/>
                <w:sz w:val="16"/>
                <w:szCs w:val="16"/>
              </w:rPr>
              <w:t>Program 2.1</w:t>
            </w:r>
            <w:r w:rsidRPr="00415B45">
              <w:rPr>
                <w:rFonts w:ascii="Arial" w:hAnsi="Arial" w:cs="Arial"/>
                <w:sz w:val="16"/>
                <w:szCs w:val="16"/>
              </w:rPr>
              <w:t xml:space="preserve"> – </w:t>
            </w:r>
            <w:r w:rsidRPr="00415B45">
              <w:rPr>
                <w:rFonts w:ascii="Arial" w:hAnsi="Arial" w:cs="Arial"/>
                <w:b/>
                <w:sz w:val="16"/>
                <w:szCs w:val="16"/>
              </w:rPr>
              <w:t>Public Sector Governance</w:t>
            </w:r>
          </w:p>
          <w:p w14:paraId="5A3A0FB3" w14:textId="77777777" w:rsidR="00415B45" w:rsidRPr="00415B45" w:rsidRDefault="00415B45" w:rsidP="006B7E11">
            <w:pPr>
              <w:tabs>
                <w:tab w:val="left" w:pos="709"/>
              </w:tabs>
              <w:spacing w:before="60" w:after="60" w:line="240" w:lineRule="auto"/>
              <w:rPr>
                <w:rFonts w:ascii="Arial" w:hAnsi="Arial" w:cs="Arial"/>
                <w:sz w:val="16"/>
                <w:szCs w:val="16"/>
              </w:rPr>
            </w:pPr>
            <w:r w:rsidRPr="00415B45">
              <w:rPr>
                <w:rFonts w:ascii="Arial" w:hAnsi="Arial" w:cs="Arial"/>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8A50DD" w14:paraId="04564189" w14:textId="77777777" w:rsidTr="00D55CEC">
        <w:trPr>
          <w:trHeight w:val="921"/>
          <w:tblHeader/>
        </w:trPr>
        <w:tc>
          <w:tcPr>
            <w:tcW w:w="7738" w:type="dxa"/>
            <w:shd w:val="clear" w:color="auto" w:fill="F2F2F2" w:themeFill="background1" w:themeFillShade="F2"/>
            <w:vAlign w:val="center"/>
          </w:tcPr>
          <w:p w14:paraId="450CD3B0" w14:textId="213BA82C"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
                <w:bCs/>
                <w:sz w:val="16"/>
                <w:szCs w:val="16"/>
              </w:rPr>
              <w:t xml:space="preserve">Program 2.2 – </w:t>
            </w:r>
            <w:r w:rsidR="00B63382">
              <w:rPr>
                <w:rFonts w:ascii="Arial" w:hAnsi="Arial" w:cs="Arial"/>
                <w:b/>
                <w:bCs/>
                <w:sz w:val="16"/>
                <w:szCs w:val="16"/>
              </w:rPr>
              <w:t>Data Scheme</w:t>
            </w:r>
          </w:p>
          <w:p w14:paraId="65298167" w14:textId="4037108B" w:rsidR="00415B45" w:rsidRPr="00415B45" w:rsidRDefault="00415B45" w:rsidP="00855AF0">
            <w:pPr>
              <w:tabs>
                <w:tab w:val="left" w:pos="709"/>
              </w:tabs>
              <w:spacing w:before="60" w:after="60" w:line="240" w:lineRule="auto"/>
              <w:rPr>
                <w:rFonts w:ascii="Arial" w:hAnsi="Arial" w:cs="Arial"/>
                <w:sz w:val="16"/>
                <w:szCs w:val="16"/>
              </w:rPr>
            </w:pPr>
            <w:r w:rsidRPr="00415B45">
              <w:rPr>
                <w:rFonts w:ascii="Arial" w:hAnsi="Arial" w:cs="Arial"/>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8A50DD" w14:paraId="0AA794C6" w14:textId="77777777" w:rsidTr="00D55CEC">
        <w:trPr>
          <w:trHeight w:val="920"/>
          <w:tblHeader/>
        </w:trPr>
        <w:tc>
          <w:tcPr>
            <w:tcW w:w="7738" w:type="dxa"/>
            <w:shd w:val="clear" w:color="auto" w:fill="F2F2F2" w:themeFill="background1" w:themeFillShade="F2"/>
            <w:vAlign w:val="center"/>
          </w:tcPr>
          <w:p w14:paraId="7C1CD492" w14:textId="77777777"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
                <w:sz w:val="16"/>
                <w:szCs w:val="16"/>
              </w:rPr>
              <w:t>Program 2.3 – Property and Construction</w:t>
            </w:r>
          </w:p>
          <w:p w14:paraId="7913E0E4" w14:textId="7E9C49B9"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8A50DD" w14:paraId="02B05703" w14:textId="77777777" w:rsidTr="00D55CEC">
        <w:trPr>
          <w:trHeight w:val="930"/>
          <w:tblHeader/>
        </w:trPr>
        <w:tc>
          <w:tcPr>
            <w:tcW w:w="7738" w:type="dxa"/>
            <w:shd w:val="clear" w:color="auto" w:fill="F2F2F2" w:themeFill="background1" w:themeFillShade="F2"/>
            <w:vAlign w:val="center"/>
          </w:tcPr>
          <w:p w14:paraId="5A0332D7" w14:textId="77777777"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
                <w:sz w:val="16"/>
                <w:szCs w:val="16"/>
              </w:rPr>
              <w:t>Program 2.4 – Insurance and Risk Management</w:t>
            </w:r>
          </w:p>
          <w:p w14:paraId="47C243D0" w14:textId="77777777"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8A50DD" w14:paraId="3B3E0A04" w14:textId="77777777" w:rsidTr="00D55CEC">
        <w:trPr>
          <w:trHeight w:val="930"/>
          <w:tblHeader/>
        </w:trPr>
        <w:tc>
          <w:tcPr>
            <w:tcW w:w="7738" w:type="dxa"/>
            <w:shd w:val="clear" w:color="auto" w:fill="F2F2F2" w:themeFill="background1" w:themeFillShade="F2"/>
            <w:vAlign w:val="center"/>
          </w:tcPr>
          <w:p w14:paraId="4206B667" w14:textId="3E68D2DB"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
                <w:sz w:val="16"/>
                <w:szCs w:val="16"/>
              </w:rPr>
              <w:t>Program 2.5 – Procurement</w:t>
            </w:r>
          </w:p>
          <w:p w14:paraId="16905C9F" w14:textId="77777777"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8A50DD" w14:paraId="2650E16F" w14:textId="77777777" w:rsidTr="00D55CEC">
        <w:trPr>
          <w:trHeight w:val="920"/>
          <w:tblHeader/>
        </w:trPr>
        <w:tc>
          <w:tcPr>
            <w:tcW w:w="7738" w:type="dxa"/>
            <w:shd w:val="clear" w:color="auto" w:fill="F2F2F2" w:themeFill="background1" w:themeFillShade="F2"/>
            <w:vAlign w:val="center"/>
          </w:tcPr>
          <w:p w14:paraId="56131584" w14:textId="60A30C44"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
                <w:sz w:val="16"/>
                <w:szCs w:val="16"/>
              </w:rPr>
              <w:t xml:space="preserve">Program 2.6 – </w:t>
            </w:r>
            <w:r w:rsidR="00B63382">
              <w:rPr>
                <w:rFonts w:ascii="Arial" w:hAnsi="Arial" w:cs="Arial"/>
                <w:b/>
                <w:sz w:val="16"/>
                <w:szCs w:val="16"/>
              </w:rPr>
              <w:t xml:space="preserve">Delivery of government </w:t>
            </w:r>
            <w:r w:rsidR="00AA6386">
              <w:rPr>
                <w:rFonts w:ascii="Arial" w:hAnsi="Arial" w:cs="Arial"/>
                <w:b/>
                <w:sz w:val="16"/>
                <w:szCs w:val="16"/>
              </w:rPr>
              <w:t>t</w:t>
            </w:r>
            <w:r w:rsidR="00B63382">
              <w:rPr>
                <w:rFonts w:ascii="Arial" w:hAnsi="Arial" w:cs="Arial"/>
                <w:b/>
                <w:sz w:val="16"/>
                <w:szCs w:val="16"/>
              </w:rPr>
              <w:t xml:space="preserve">echnology </w:t>
            </w:r>
            <w:r w:rsidR="008F5AF1">
              <w:rPr>
                <w:rFonts w:ascii="Arial" w:hAnsi="Arial" w:cs="Arial"/>
                <w:b/>
                <w:sz w:val="16"/>
                <w:szCs w:val="16"/>
              </w:rPr>
              <w:t>s</w:t>
            </w:r>
            <w:r w:rsidRPr="00415B45">
              <w:rPr>
                <w:rFonts w:ascii="Arial" w:hAnsi="Arial" w:cs="Arial"/>
                <w:b/>
                <w:sz w:val="16"/>
                <w:szCs w:val="16"/>
              </w:rPr>
              <w:t>ervice</w:t>
            </w:r>
            <w:r w:rsidR="00B63382">
              <w:rPr>
                <w:rFonts w:ascii="Arial" w:hAnsi="Arial" w:cs="Arial"/>
                <w:b/>
                <w:sz w:val="16"/>
                <w:szCs w:val="16"/>
              </w:rPr>
              <w:t>s</w:t>
            </w:r>
          </w:p>
          <w:p w14:paraId="352D4F88" w14:textId="77777777" w:rsidR="00415B45" w:rsidRPr="00415B45" w:rsidRDefault="00415B45" w:rsidP="006B7E11">
            <w:pPr>
              <w:tabs>
                <w:tab w:val="left" w:pos="709"/>
              </w:tabs>
              <w:spacing w:before="60" w:after="60" w:line="240" w:lineRule="auto"/>
              <w:rPr>
                <w:rFonts w:ascii="Arial" w:hAnsi="Arial" w:cs="Arial"/>
                <w:sz w:val="16"/>
                <w:szCs w:val="16"/>
              </w:rPr>
            </w:pPr>
            <w:r w:rsidRPr="00415B45">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8A50DD" w14:paraId="6DD68828" w14:textId="77777777" w:rsidTr="00D55CEC">
        <w:trPr>
          <w:trHeight w:val="930"/>
          <w:tblHeader/>
        </w:trPr>
        <w:tc>
          <w:tcPr>
            <w:tcW w:w="7738" w:type="dxa"/>
            <w:shd w:val="clear" w:color="auto" w:fill="F2F2F2" w:themeFill="background1" w:themeFillShade="F2"/>
            <w:vAlign w:val="center"/>
          </w:tcPr>
          <w:p w14:paraId="07E52EAD" w14:textId="00602D62" w:rsidR="00415B45" w:rsidRPr="00415B45" w:rsidRDefault="00415B45" w:rsidP="006B7E11">
            <w:pPr>
              <w:tabs>
                <w:tab w:val="left" w:pos="709"/>
              </w:tabs>
              <w:spacing w:before="60" w:after="60" w:line="240" w:lineRule="auto"/>
              <w:rPr>
                <w:rFonts w:ascii="Arial" w:hAnsi="Arial" w:cs="Arial"/>
                <w:b/>
                <w:sz w:val="16"/>
                <w:szCs w:val="16"/>
              </w:rPr>
            </w:pPr>
            <w:bookmarkStart w:id="452" w:name="_Hlk157441740"/>
            <w:r w:rsidRPr="00415B45">
              <w:rPr>
                <w:rFonts w:ascii="Arial" w:hAnsi="Arial" w:cs="Arial"/>
                <w:b/>
                <w:sz w:val="16"/>
                <w:szCs w:val="16"/>
              </w:rPr>
              <w:t xml:space="preserve">Program 2.7 – </w:t>
            </w:r>
            <w:r w:rsidR="00B63382">
              <w:rPr>
                <w:rFonts w:ascii="Arial" w:hAnsi="Arial" w:cs="Arial"/>
                <w:b/>
                <w:sz w:val="16"/>
                <w:szCs w:val="16"/>
              </w:rPr>
              <w:t>Service Delivery Office</w:t>
            </w:r>
          </w:p>
          <w:p w14:paraId="7E3C6408" w14:textId="77777777"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415B45" w:rsidRPr="00321EC0" w14:paraId="5D756BBF" w14:textId="77777777" w:rsidTr="00D55CEC">
        <w:trPr>
          <w:trHeight w:val="920"/>
          <w:tblHeader/>
        </w:trPr>
        <w:tc>
          <w:tcPr>
            <w:tcW w:w="7738" w:type="dxa"/>
            <w:shd w:val="clear" w:color="auto" w:fill="F2F2F2" w:themeFill="background1" w:themeFillShade="F2"/>
            <w:vAlign w:val="center"/>
          </w:tcPr>
          <w:p w14:paraId="5A324D1B" w14:textId="5A40BB29"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
                <w:sz w:val="16"/>
                <w:szCs w:val="16"/>
              </w:rPr>
              <w:t xml:space="preserve">Program 2.8 – </w:t>
            </w:r>
            <w:r w:rsidR="00BE0526">
              <w:rPr>
                <w:rFonts w:ascii="Arial" w:hAnsi="Arial" w:cs="Arial"/>
                <w:b/>
                <w:sz w:val="16"/>
                <w:szCs w:val="16"/>
              </w:rPr>
              <w:t>Public Sector Superannuation</w:t>
            </w:r>
          </w:p>
          <w:p w14:paraId="56C4F846" w14:textId="77777777" w:rsidR="00415B45" w:rsidRPr="00415B45" w:rsidRDefault="00415B45" w:rsidP="006B7E11">
            <w:pPr>
              <w:tabs>
                <w:tab w:val="left" w:pos="709"/>
              </w:tabs>
              <w:spacing w:before="60" w:after="60" w:line="240" w:lineRule="auto"/>
              <w:rPr>
                <w:rFonts w:ascii="Arial" w:hAnsi="Arial" w:cs="Arial"/>
                <w:b/>
                <w:sz w:val="16"/>
                <w:szCs w:val="16"/>
              </w:rPr>
            </w:pPr>
            <w:r w:rsidRPr="00415B45">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bl>
    <w:p w14:paraId="2855A700" w14:textId="77777777" w:rsidR="00C27345" w:rsidRPr="00146803" w:rsidRDefault="00C27345" w:rsidP="00C27345">
      <w:pPr>
        <w:pStyle w:val="TableGraphic"/>
        <w:spacing w:before="30"/>
        <w:rPr>
          <w:rFonts w:ascii="Arial" w:hAnsi="Arial" w:cs="Arial"/>
          <w:sz w:val="16"/>
          <w:szCs w:val="16"/>
        </w:rPr>
      </w:pPr>
      <w:bookmarkStart w:id="453" w:name="_Toc94104081"/>
      <w:bookmarkStart w:id="454" w:name="_Toc94104338"/>
      <w:bookmarkStart w:id="455" w:name="_Toc94513755"/>
      <w:bookmarkStart w:id="456" w:name="_Toc94515097"/>
      <w:bookmarkStart w:id="457" w:name="_Toc94964301"/>
      <w:bookmarkEnd w:id="452"/>
      <w:r w:rsidRPr="00146803">
        <w:rPr>
          <w:rFonts w:ascii="Arial" w:hAnsi="Arial" w:cs="Arial"/>
          <w:sz w:val="16"/>
          <w:szCs w:val="16"/>
        </w:rPr>
        <w:t>Table continues on next page</w:t>
      </w:r>
    </w:p>
    <w:p w14:paraId="78F47DDE" w14:textId="77777777" w:rsidR="00C27345" w:rsidRDefault="00C27345" w:rsidP="00C27345">
      <w:pPr>
        <w:pStyle w:val="ChartandTableFootnote"/>
        <w:tabs>
          <w:tab w:val="left" w:pos="0"/>
        </w:tabs>
      </w:pPr>
    </w:p>
    <w:p w14:paraId="61901D63" w14:textId="77777777" w:rsidR="001F0F3A" w:rsidRDefault="001F0F3A" w:rsidP="001F0F3A"/>
    <w:p w14:paraId="7B187765" w14:textId="77777777" w:rsidR="001F0F3A" w:rsidRDefault="001F0F3A" w:rsidP="001F0F3A"/>
    <w:p w14:paraId="0456048E" w14:textId="11F72139" w:rsidR="001F0F3A" w:rsidRPr="00F71634" w:rsidRDefault="001F0F3A" w:rsidP="001F0F3A">
      <w:pPr>
        <w:pStyle w:val="Heading5"/>
      </w:pPr>
      <w:r>
        <w:lastRenderedPageBreak/>
        <w:t>Table 2.3.2</w:t>
      </w:r>
      <w:r w:rsidRPr="00F71634">
        <w:t xml:space="preserve">: Performance </w:t>
      </w:r>
      <w:r>
        <w:t>measure</w:t>
      </w:r>
      <w:r w:rsidRPr="00F71634">
        <w:t xml:space="preserve"> </w:t>
      </w:r>
      <w:r>
        <w:t>for Outcome 2 (continued)</w:t>
      </w:r>
    </w:p>
    <w:tbl>
      <w:tblPr>
        <w:tblStyle w:val="TableGrid"/>
        <w:tblW w:w="0" w:type="auto"/>
        <w:tblLook w:val="04A0" w:firstRow="1" w:lastRow="0" w:firstColumn="1" w:lastColumn="0" w:noHBand="0" w:noVBand="1"/>
      </w:tblPr>
      <w:tblGrid>
        <w:gridCol w:w="7701"/>
      </w:tblGrid>
      <w:tr w:rsidR="001F0F3A" w14:paraId="401EBD08" w14:textId="77777777" w:rsidTr="008C30C4">
        <w:tc>
          <w:tcPr>
            <w:tcW w:w="7701" w:type="dxa"/>
            <w:shd w:val="clear" w:color="auto" w:fill="EDEDED" w:themeFill="accent3" w:themeFillTint="33"/>
            <w:vAlign w:val="center"/>
          </w:tcPr>
          <w:p w14:paraId="33EB00CC" w14:textId="77777777" w:rsidR="001F0F3A" w:rsidRPr="00415B45" w:rsidRDefault="001F0F3A" w:rsidP="001F0F3A">
            <w:pPr>
              <w:tabs>
                <w:tab w:val="left" w:pos="709"/>
              </w:tabs>
              <w:spacing w:before="60" w:after="60" w:line="240" w:lineRule="auto"/>
              <w:jc w:val="left"/>
              <w:rPr>
                <w:rFonts w:ascii="Arial" w:hAnsi="Arial" w:cs="Arial"/>
                <w:b/>
                <w:sz w:val="16"/>
                <w:szCs w:val="16"/>
              </w:rPr>
            </w:pPr>
            <w:r w:rsidRPr="00415B45">
              <w:rPr>
                <w:rFonts w:ascii="Arial" w:hAnsi="Arial" w:cs="Arial"/>
                <w:b/>
                <w:sz w:val="16"/>
                <w:szCs w:val="16"/>
              </w:rPr>
              <w:t>Program 2.</w:t>
            </w:r>
            <w:r>
              <w:rPr>
                <w:rFonts w:ascii="Arial" w:hAnsi="Arial" w:cs="Arial"/>
                <w:b/>
                <w:sz w:val="16"/>
                <w:szCs w:val="16"/>
              </w:rPr>
              <w:t>9</w:t>
            </w:r>
            <w:r w:rsidRPr="00415B45">
              <w:rPr>
                <w:rFonts w:ascii="Arial" w:hAnsi="Arial" w:cs="Arial"/>
                <w:b/>
                <w:sz w:val="16"/>
                <w:szCs w:val="16"/>
              </w:rPr>
              <w:t xml:space="preserve"> – </w:t>
            </w:r>
            <w:r>
              <w:rPr>
                <w:rFonts w:ascii="Arial" w:hAnsi="Arial" w:cs="Arial"/>
                <w:b/>
                <w:sz w:val="16"/>
                <w:szCs w:val="16"/>
              </w:rPr>
              <w:t>Australian Government Investment Funds</w:t>
            </w:r>
          </w:p>
          <w:p w14:paraId="25441678" w14:textId="598A6667" w:rsidR="001F0F3A" w:rsidRPr="001F0F3A" w:rsidRDefault="001F0F3A" w:rsidP="001F0F3A">
            <w:pPr>
              <w:tabs>
                <w:tab w:val="left" w:pos="709"/>
              </w:tabs>
              <w:spacing w:before="60" w:after="60" w:line="240" w:lineRule="auto"/>
              <w:jc w:val="left"/>
              <w:rPr>
                <w:rFonts w:ascii="Arial" w:hAnsi="Arial" w:cs="Arial"/>
                <w:bCs/>
                <w:sz w:val="16"/>
                <w:szCs w:val="16"/>
              </w:rPr>
            </w:pPr>
            <w:r w:rsidRPr="001F0F3A">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r w:rsidR="001F0F3A" w14:paraId="0EB4D4B9" w14:textId="77777777" w:rsidTr="008C30C4">
        <w:tc>
          <w:tcPr>
            <w:tcW w:w="7701" w:type="dxa"/>
            <w:shd w:val="clear" w:color="auto" w:fill="EDEDED" w:themeFill="accent3" w:themeFillTint="33"/>
            <w:vAlign w:val="center"/>
          </w:tcPr>
          <w:p w14:paraId="2D876485" w14:textId="77777777" w:rsidR="001F0F3A" w:rsidRPr="00415B45" w:rsidRDefault="001F0F3A" w:rsidP="001F0F3A">
            <w:pPr>
              <w:tabs>
                <w:tab w:val="left" w:pos="709"/>
              </w:tabs>
              <w:spacing w:before="60" w:after="60" w:line="240" w:lineRule="auto"/>
              <w:jc w:val="left"/>
              <w:rPr>
                <w:rFonts w:ascii="Arial" w:hAnsi="Arial" w:cs="Arial"/>
                <w:b/>
                <w:sz w:val="16"/>
                <w:szCs w:val="16"/>
              </w:rPr>
            </w:pPr>
            <w:r w:rsidRPr="00415B45">
              <w:rPr>
                <w:rFonts w:ascii="Arial" w:hAnsi="Arial" w:cs="Arial"/>
                <w:b/>
                <w:sz w:val="16"/>
                <w:szCs w:val="16"/>
              </w:rPr>
              <w:t>Program 2.</w:t>
            </w:r>
            <w:r>
              <w:rPr>
                <w:rFonts w:ascii="Arial" w:hAnsi="Arial" w:cs="Arial"/>
                <w:b/>
                <w:sz w:val="16"/>
                <w:szCs w:val="16"/>
              </w:rPr>
              <w:t>10</w:t>
            </w:r>
            <w:r w:rsidRPr="00415B45">
              <w:rPr>
                <w:rFonts w:ascii="Arial" w:hAnsi="Arial" w:cs="Arial"/>
                <w:b/>
                <w:sz w:val="16"/>
                <w:szCs w:val="16"/>
              </w:rPr>
              <w:t xml:space="preserve"> – </w:t>
            </w:r>
            <w:r>
              <w:rPr>
                <w:rFonts w:ascii="Arial" w:hAnsi="Arial" w:cs="Arial"/>
                <w:b/>
                <w:sz w:val="16"/>
                <w:szCs w:val="16"/>
              </w:rPr>
              <w:t>Nuclear Powered Submarine Program Advice</w:t>
            </w:r>
          </w:p>
          <w:p w14:paraId="7646A1A9" w14:textId="3E2819C2" w:rsidR="001F0F3A" w:rsidRPr="001F0F3A" w:rsidRDefault="001F0F3A" w:rsidP="001F0F3A">
            <w:pPr>
              <w:tabs>
                <w:tab w:val="left" w:pos="709"/>
              </w:tabs>
              <w:spacing w:before="60" w:after="60" w:line="240" w:lineRule="auto"/>
              <w:jc w:val="left"/>
              <w:rPr>
                <w:bCs/>
              </w:rPr>
            </w:pPr>
            <w:r w:rsidRPr="001F0F3A">
              <w:rPr>
                <w:rFonts w:ascii="Arial" w:hAnsi="Arial" w:cs="Arial"/>
                <w:bCs/>
                <w:sz w:val="16"/>
                <w:szCs w:val="16"/>
              </w:rPr>
              <w:t>As the decisions made since the 2023-24 Budget did not create a new program or materially change existing programs, performance information has not been included. Full performance information can be found in the Department of Finance 2023-24 Corporate Plan at Finance.gov.au</w:t>
            </w:r>
          </w:p>
        </w:tc>
      </w:tr>
    </w:tbl>
    <w:p w14:paraId="2C94F87C" w14:textId="77777777" w:rsidR="001F0F3A" w:rsidRPr="001F0F3A" w:rsidRDefault="001F0F3A" w:rsidP="001F0F3A"/>
    <w:p w14:paraId="77759BDA" w14:textId="77777777" w:rsidR="00415B45" w:rsidRDefault="00415B45">
      <w:pPr>
        <w:spacing w:before="0" w:after="0" w:line="240" w:lineRule="auto"/>
        <w:rPr>
          <w:rFonts w:ascii="Arial Bold" w:hAnsi="Arial Bold"/>
          <w:b/>
          <w:sz w:val="22"/>
        </w:rPr>
      </w:pPr>
      <w:r>
        <w:br w:type="page"/>
      </w:r>
    </w:p>
    <w:p w14:paraId="1A1F81CF" w14:textId="6F815F46" w:rsidR="00415B45" w:rsidRDefault="00415B45" w:rsidP="00415B45">
      <w:pPr>
        <w:pStyle w:val="Heading3"/>
      </w:pPr>
      <w:bookmarkStart w:id="458" w:name="_Toc157411253"/>
      <w:bookmarkStart w:id="459" w:name="_Toc157412188"/>
      <w:bookmarkStart w:id="460" w:name="_Toc157412351"/>
      <w:bookmarkStart w:id="461" w:name="_Toc157445524"/>
      <w:bookmarkStart w:id="462" w:name="_Toc157497338"/>
      <w:bookmarkStart w:id="463" w:name="_Toc157613721"/>
      <w:bookmarkStart w:id="464" w:name="_Toc157614020"/>
      <w:bookmarkStart w:id="465" w:name="_Toc157617012"/>
      <w:bookmarkStart w:id="466" w:name="_Toc157618234"/>
      <w:bookmarkStart w:id="467" w:name="_Toc157697105"/>
      <w:bookmarkStart w:id="468" w:name="_Toc157698140"/>
      <w:bookmarkStart w:id="469" w:name="_Toc157705387"/>
      <w:bookmarkStart w:id="470" w:name="_Toc157705445"/>
      <w:bookmarkStart w:id="471" w:name="_Toc157705497"/>
      <w:bookmarkStart w:id="472" w:name="_Toc157705738"/>
      <w:bookmarkStart w:id="473" w:name="_Toc157706103"/>
      <w:r>
        <w:lastRenderedPageBreak/>
        <w:t>2.</w:t>
      </w:r>
      <w:r w:rsidR="00D4597F">
        <w:t>4</w:t>
      </w:r>
      <w:r>
        <w:tab/>
        <w:t>Budgeted expenses and performance for Outcome 3</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415B45" w:rsidRPr="005E6F2B" w14:paraId="5BA2C428" w14:textId="77777777" w:rsidTr="006B7E11">
        <w:tc>
          <w:tcPr>
            <w:tcW w:w="7705" w:type="dxa"/>
            <w:shd w:val="clear" w:color="auto" w:fill="E6E6E6"/>
          </w:tcPr>
          <w:p w14:paraId="3EC30BA6" w14:textId="77777777" w:rsidR="00415B45" w:rsidRPr="005E6F2B" w:rsidRDefault="00415B45" w:rsidP="006B7E11">
            <w:pPr>
              <w:pStyle w:val="TableColumnHeadingLeft"/>
            </w:pPr>
            <w:r>
              <w:rPr>
                <w:sz w:val="20"/>
              </w:rPr>
              <w:t xml:space="preserve">Outcome </w:t>
            </w:r>
            <w:r w:rsidRPr="00E5290C">
              <w:rPr>
                <w:sz w:val="20"/>
              </w:rPr>
              <w:t>3: Support for parliamentarians and others as required by the Australian Government through the delivery of, and advice on, work expenses and allowances, entitlements and targeted programs</w:t>
            </w:r>
            <w:r w:rsidRPr="00BA34B4">
              <w:rPr>
                <w:sz w:val="20"/>
              </w:rPr>
              <w:t>.</w:t>
            </w:r>
          </w:p>
        </w:tc>
      </w:tr>
    </w:tbl>
    <w:p w14:paraId="3C213605" w14:textId="77777777" w:rsidR="00415B45" w:rsidRDefault="00415B45" w:rsidP="00415B45">
      <w:pPr>
        <w:pStyle w:val="NoSpacing"/>
      </w:pPr>
    </w:p>
    <w:p w14:paraId="6122316F" w14:textId="77777777" w:rsidR="00415B45" w:rsidRPr="00446612" w:rsidRDefault="00415B45" w:rsidP="00415B45">
      <w:pPr>
        <w:pStyle w:val="Heading5"/>
      </w:pPr>
      <w:r>
        <w:t>Budgeted expenses for Outcome 3</w:t>
      </w:r>
    </w:p>
    <w:p w14:paraId="77CF646F" w14:textId="77777777" w:rsidR="00415B45" w:rsidRPr="00321EC0" w:rsidRDefault="00415B45" w:rsidP="00415B45">
      <w:r w:rsidRPr="00321EC0">
        <w:t xml:space="preserve">This table shows how much the entity intends to spend (on an accrual basis) on achieving the outcome, broken down by program, as well as by Administered and Departmental funding sources. </w:t>
      </w:r>
    </w:p>
    <w:p w14:paraId="6A4CF2DA" w14:textId="73F36155" w:rsidR="00415B45" w:rsidRDefault="00415B45" w:rsidP="00415B45">
      <w:pPr>
        <w:pStyle w:val="TableHeading"/>
      </w:pPr>
      <w:r w:rsidRPr="00CB3C9A">
        <w:t>Table 2.</w:t>
      </w:r>
      <w:r w:rsidR="001D7807">
        <w:t>4</w:t>
      </w:r>
      <w:r w:rsidRPr="00CB3C9A">
        <w:t>.1 Budgeted expenses for Outcome 3</w:t>
      </w:r>
    </w:p>
    <w:p w14:paraId="56694CC4" w14:textId="6F039B5A" w:rsidR="00415B45" w:rsidRPr="00415B45" w:rsidRDefault="00F94E54" w:rsidP="00415B45">
      <w:pPr>
        <w:pStyle w:val="TableGraphic"/>
      </w:pPr>
      <w:r w:rsidRPr="00F94E54">
        <w:rPr>
          <w:noProof/>
        </w:rPr>
        <w:drawing>
          <wp:inline distT="0" distB="0" distL="0" distR="0" wp14:anchorId="10D05F8C" wp14:editId="01734B7E">
            <wp:extent cx="4896485" cy="4017645"/>
            <wp:effectExtent l="0" t="0" r="0" b="1905"/>
            <wp:docPr id="10509621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96485" cy="4017645"/>
                    </a:xfrm>
                    <a:prstGeom prst="rect">
                      <a:avLst/>
                    </a:prstGeom>
                    <a:noFill/>
                    <a:ln>
                      <a:noFill/>
                    </a:ln>
                  </pic:spPr>
                </pic:pic>
              </a:graphicData>
            </a:graphic>
          </wp:inline>
        </w:drawing>
      </w:r>
    </w:p>
    <w:p w14:paraId="4A7DFE15" w14:textId="77777777" w:rsidR="00415B45" w:rsidRDefault="00415B45" w:rsidP="00415B45">
      <w:pPr>
        <w:pStyle w:val="ChartandTableFootnote"/>
        <w:tabs>
          <w:tab w:val="left" w:pos="0"/>
        </w:tabs>
      </w:pPr>
      <w:r w:rsidRPr="00CB3C9A">
        <w:t>Table continues on next page</w:t>
      </w:r>
    </w:p>
    <w:p w14:paraId="5E894B3C" w14:textId="5AE163C2" w:rsidR="00415B45" w:rsidRDefault="00415B45" w:rsidP="00415B45">
      <w:pPr>
        <w:pStyle w:val="TableHeading"/>
      </w:pPr>
      <w:r w:rsidRPr="00432AA0">
        <w:lastRenderedPageBreak/>
        <w:t>Table 2.</w:t>
      </w:r>
      <w:r w:rsidR="001D7807">
        <w:t>4</w:t>
      </w:r>
      <w:r w:rsidRPr="00432AA0">
        <w:t>.1 Budgeted expenses for Outcome 3 (continued)</w:t>
      </w:r>
    </w:p>
    <w:p w14:paraId="3F9B89AD" w14:textId="5B1FB3FA" w:rsidR="00415B45" w:rsidRPr="00F57B35" w:rsidRDefault="00082113" w:rsidP="001F5243">
      <w:pPr>
        <w:pStyle w:val="TableGraphic"/>
        <w:rPr>
          <w:lang w:eastAsia="zh-CN"/>
        </w:rPr>
      </w:pPr>
      <w:r w:rsidRPr="00082113">
        <w:rPr>
          <w:noProof/>
          <w:lang w:eastAsia="zh-CN"/>
        </w:rPr>
        <w:drawing>
          <wp:inline distT="0" distB="0" distL="0" distR="0" wp14:anchorId="4D0C20BF" wp14:editId="59A975DC">
            <wp:extent cx="4896485" cy="2894330"/>
            <wp:effectExtent l="0" t="0" r="0" b="1270"/>
            <wp:docPr id="18337433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896485" cy="2894330"/>
                    </a:xfrm>
                    <a:prstGeom prst="rect">
                      <a:avLst/>
                    </a:prstGeom>
                    <a:noFill/>
                    <a:ln>
                      <a:noFill/>
                    </a:ln>
                  </pic:spPr>
                </pic:pic>
              </a:graphicData>
            </a:graphic>
          </wp:inline>
        </w:drawing>
      </w:r>
    </w:p>
    <w:p w14:paraId="4CFD768E" w14:textId="77777777" w:rsidR="00415B45" w:rsidRPr="00432AA0" w:rsidRDefault="00415B45" w:rsidP="000C2BC5">
      <w:pPr>
        <w:pStyle w:val="ChartandTableFootnoteAlpha"/>
        <w:numPr>
          <w:ilvl w:val="0"/>
          <w:numId w:val="19"/>
        </w:numPr>
      </w:pPr>
      <w:r w:rsidRPr="00432AA0">
        <w:t xml:space="preserve">Estimates for this item are subject to the </w:t>
      </w:r>
      <w:r w:rsidRPr="00432AA0">
        <w:rPr>
          <w:i/>
        </w:rPr>
        <w:t>Ministers of State Regulation 2012</w:t>
      </w:r>
      <w:r w:rsidRPr="00432AA0">
        <w:t>.</w:t>
      </w:r>
    </w:p>
    <w:p w14:paraId="32BA1515" w14:textId="77777777" w:rsidR="00415B45" w:rsidRPr="00432AA0" w:rsidRDefault="00415B45" w:rsidP="000C2BC5">
      <w:pPr>
        <w:pStyle w:val="ChartandTableFootnoteAlpha"/>
        <w:numPr>
          <w:ilvl w:val="0"/>
          <w:numId w:val="19"/>
        </w:numPr>
        <w:spacing w:after="20"/>
      </w:pPr>
      <w:r w:rsidRPr="00432AA0">
        <w:t>Expenses not requiring appropriation in the Budget year is made up of depreciation expenses, amortisation expenses and resources received free of charge.</w:t>
      </w:r>
      <w:r w:rsidRPr="00432AA0" w:rsidDel="00DF7380">
        <w:t xml:space="preserve"> </w:t>
      </w:r>
    </w:p>
    <w:p w14:paraId="27C784E5" w14:textId="3CF2E33C" w:rsidR="00415B45" w:rsidRPr="00432AA0" w:rsidRDefault="00415B45" w:rsidP="000C2BC5">
      <w:pPr>
        <w:pStyle w:val="ChartandTableFootnoteAlpha"/>
        <w:numPr>
          <w:ilvl w:val="0"/>
          <w:numId w:val="19"/>
        </w:numPr>
        <w:spacing w:after="20"/>
      </w:pPr>
      <w:r w:rsidRPr="00432AA0">
        <w:t>Departmental appropriation combines Ordinary annual services (</w:t>
      </w:r>
      <w:r w:rsidRPr="00F11E5D">
        <w:rPr>
          <w:i/>
          <w:iCs/>
        </w:rPr>
        <w:t>Appropriation Act (No. 1</w:t>
      </w:r>
      <w:r>
        <w:t>) and Bill (No. </w:t>
      </w:r>
      <w:r w:rsidRPr="00432AA0">
        <w:t>3) and estimated receipts retained under s</w:t>
      </w:r>
      <w:r>
        <w:t xml:space="preserve">ection </w:t>
      </w:r>
      <w:r w:rsidRPr="00432AA0">
        <w:t xml:space="preserve">74 of the </w:t>
      </w:r>
      <w:r w:rsidRPr="00B80559">
        <w:t>PGPA Act</w:t>
      </w:r>
      <w:r w:rsidRPr="00432AA0">
        <w:t>.</w:t>
      </w:r>
    </w:p>
    <w:p w14:paraId="2C421CDC" w14:textId="77777777" w:rsidR="00415B45" w:rsidRPr="00432AA0" w:rsidRDefault="00415B45" w:rsidP="00415B45">
      <w:pPr>
        <w:pStyle w:val="ChartandTableFootnoteAlpha"/>
        <w:numPr>
          <w:ilvl w:val="0"/>
          <w:numId w:val="0"/>
        </w:numPr>
        <w:ind w:left="397" w:hanging="397"/>
        <w:rPr>
          <w:rFonts w:cs="Arial"/>
          <w:szCs w:val="16"/>
        </w:rPr>
      </w:pPr>
    </w:p>
    <w:p w14:paraId="7F59EB53" w14:textId="77777777" w:rsidR="00415B45" w:rsidRPr="00321EC0" w:rsidRDefault="00415B45" w:rsidP="00415B45">
      <w:pPr>
        <w:pStyle w:val="ChartandTableFootnoteAlpha"/>
        <w:numPr>
          <w:ilvl w:val="0"/>
          <w:numId w:val="0"/>
        </w:numPr>
      </w:pPr>
      <w:r w:rsidRPr="00432AA0">
        <w:t>Note: Departmental appropriation splits and totals are indicative estimates and may change in the course of the budget year as government priorities change.</w:t>
      </w:r>
    </w:p>
    <w:p w14:paraId="37A5D354" w14:textId="77777777" w:rsidR="00415B45" w:rsidRDefault="00415B45" w:rsidP="00415B45"/>
    <w:p w14:paraId="69EC13F9" w14:textId="77777777" w:rsidR="00415B45" w:rsidRDefault="00415B45" w:rsidP="00DB42D8">
      <w:pPr>
        <w:pStyle w:val="TableHeading"/>
      </w:pPr>
    </w:p>
    <w:p w14:paraId="4487AFBD" w14:textId="77777777" w:rsidR="00DB42D8" w:rsidRPr="00AC6239" w:rsidRDefault="00DB42D8" w:rsidP="00DB42D8"/>
    <w:p w14:paraId="246DB9CE" w14:textId="77777777" w:rsidR="00DB42D8" w:rsidRPr="00AC6239" w:rsidRDefault="00DB42D8" w:rsidP="00DB42D8"/>
    <w:p w14:paraId="0AA4B62E" w14:textId="4A6776BA" w:rsidR="00DB42D8" w:rsidRPr="00681A2D" w:rsidRDefault="00DB42D8" w:rsidP="00415B45">
      <w:pPr>
        <w:pStyle w:val="TableHeading"/>
      </w:pPr>
      <w:r w:rsidRPr="00AC6239">
        <w:rPr>
          <w:iCs/>
        </w:rPr>
        <w:br w:type="page"/>
      </w:r>
    </w:p>
    <w:p w14:paraId="54C103B6" w14:textId="6C9B315B" w:rsidR="00DB42D8" w:rsidRPr="00E41681" w:rsidRDefault="00DB42D8" w:rsidP="00DB42D8">
      <w:pPr>
        <w:pStyle w:val="Heading2-TOC"/>
      </w:pPr>
      <w:bookmarkStart w:id="474" w:name="_Toc112137880"/>
      <w:bookmarkStart w:id="475" w:name="_Toc112137902"/>
      <w:bookmarkStart w:id="476" w:name="_Toc210646455"/>
      <w:bookmarkStart w:id="477" w:name="_Toc210698434"/>
      <w:bookmarkStart w:id="478" w:name="_Toc210703217"/>
      <w:bookmarkStart w:id="479" w:name="_Toc157411254"/>
      <w:bookmarkStart w:id="480" w:name="_Toc157412189"/>
      <w:bookmarkStart w:id="481" w:name="_Toc157412352"/>
      <w:bookmarkStart w:id="482" w:name="_Toc157445525"/>
      <w:bookmarkStart w:id="483" w:name="_Toc157497339"/>
      <w:bookmarkStart w:id="484" w:name="_Toc157613722"/>
      <w:bookmarkStart w:id="485" w:name="_Toc157614021"/>
      <w:bookmarkStart w:id="486" w:name="_Toc157617013"/>
      <w:bookmarkStart w:id="487" w:name="_Toc157618235"/>
      <w:bookmarkStart w:id="488" w:name="_Toc157697106"/>
      <w:bookmarkStart w:id="489" w:name="_Toc157698141"/>
      <w:bookmarkStart w:id="490" w:name="_Toc157705388"/>
      <w:bookmarkStart w:id="491" w:name="_Toc157705446"/>
      <w:bookmarkStart w:id="492" w:name="_Toc157705498"/>
      <w:bookmarkStart w:id="493" w:name="_Toc157705739"/>
      <w:bookmarkStart w:id="494" w:name="_Toc157706104"/>
      <w:bookmarkStart w:id="495" w:name="_Toc143309827"/>
      <w:bookmarkStart w:id="496" w:name="OLE_LINK7"/>
      <w:bookmarkStart w:id="497" w:name="OLE_LINK8"/>
      <w:bookmarkStart w:id="498" w:name="_Toc35936966"/>
      <w:bookmarkStart w:id="499" w:name="_Toc77998691"/>
      <w:bookmarkStart w:id="500" w:name="_Toc79406120"/>
      <w:bookmarkStart w:id="501" w:name="_Toc79467822"/>
      <w:bookmarkStart w:id="502" w:name="_Toc112137881"/>
      <w:bookmarkStart w:id="503" w:name="_Toc112137903"/>
      <w:bookmarkStart w:id="504" w:name="_Toc210646456"/>
      <w:bookmarkStart w:id="505" w:name="_Toc210698435"/>
      <w:bookmarkStart w:id="506" w:name="_Toc492800629"/>
      <w:bookmarkStart w:id="507" w:name="_Toc436624160"/>
      <w:bookmarkStart w:id="508" w:name="_Toc436625461"/>
      <w:bookmarkStart w:id="509" w:name="_Toc449255783"/>
      <w:bookmarkStart w:id="510" w:name="_Toc490972415"/>
      <w:bookmarkStart w:id="511" w:name="_Toc491014635"/>
      <w:bookmarkStart w:id="512" w:name="_Toc491014777"/>
      <w:bookmarkStart w:id="513" w:name="_Toc491014957"/>
      <w:bookmarkStart w:id="514" w:name="_Toc491015104"/>
      <w:bookmarkStart w:id="515" w:name="_Toc491029247"/>
      <w:bookmarkStart w:id="516" w:name="_Toc491030336"/>
      <w:bookmarkStart w:id="517" w:name="_Toc491030795"/>
      <w:bookmarkStart w:id="518" w:name="_Toc491031358"/>
      <w:bookmarkStart w:id="519" w:name="_Toc491031945"/>
      <w:bookmarkStart w:id="520" w:name="_Toc491032124"/>
      <w:bookmarkStart w:id="521" w:name="_Toc491032226"/>
      <w:bookmarkStart w:id="522" w:name="_Toc491032333"/>
      <w:bookmarkStart w:id="523" w:name="_Toc491771728"/>
      <w:bookmarkStart w:id="524" w:name="_Toc491773303"/>
      <w:bookmarkStart w:id="525" w:name="_Toc23559358"/>
      <w:bookmarkStart w:id="526" w:name="_Toc23559392"/>
      <w:bookmarkStart w:id="527" w:name="_Toc23559679"/>
      <w:bookmarkStart w:id="528" w:name="_Toc23560148"/>
      <w:bookmarkStart w:id="529" w:name="_Toc23563441"/>
      <w:r w:rsidRPr="00E41681">
        <w:lastRenderedPageBreak/>
        <w:t>Section 3</w:t>
      </w:r>
      <w:bookmarkStart w:id="530" w:name="_Toc436624159"/>
      <w:bookmarkStart w:id="531" w:name="_Toc436625460"/>
      <w:bookmarkStart w:id="532" w:name="_Toc446237038"/>
      <w:bookmarkStart w:id="533" w:name="_Toc449255782"/>
      <w:r w:rsidRPr="00E41681">
        <w:t>: Special account flows and budgeted financial statements</w:t>
      </w:r>
      <w:bookmarkStart w:id="534" w:name="_Toc190682316"/>
      <w:bookmarkStart w:id="535" w:name="_Toc190682533"/>
      <w:bookmarkStart w:id="536" w:name="_Toc210703218"/>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530"/>
      <w:bookmarkEnd w:id="531"/>
      <w:bookmarkEnd w:id="532"/>
      <w:bookmarkEnd w:id="533"/>
    </w:p>
    <w:p w14:paraId="0BB844D2" w14:textId="58A81F29" w:rsidR="00DB42D8" w:rsidRPr="004D3E2B" w:rsidRDefault="00DB42D8" w:rsidP="00DB42D8">
      <w:pPr>
        <w:pStyle w:val="Heading3"/>
      </w:pPr>
      <w:bookmarkStart w:id="537" w:name="_Toc531095071"/>
      <w:bookmarkStart w:id="538" w:name="_Toc157411255"/>
      <w:bookmarkStart w:id="539" w:name="_Toc157412190"/>
      <w:bookmarkStart w:id="540" w:name="_Toc157412353"/>
      <w:bookmarkStart w:id="541" w:name="_Toc157445526"/>
      <w:bookmarkStart w:id="542" w:name="_Toc157497340"/>
      <w:bookmarkStart w:id="543" w:name="_Toc157613723"/>
      <w:bookmarkStart w:id="544" w:name="_Toc157614022"/>
      <w:bookmarkStart w:id="545" w:name="_Toc157617014"/>
      <w:bookmarkStart w:id="546" w:name="_Toc157618236"/>
      <w:bookmarkStart w:id="547" w:name="_Toc157697107"/>
      <w:bookmarkStart w:id="548" w:name="_Toc157698142"/>
      <w:bookmarkStart w:id="549" w:name="_Toc157705389"/>
      <w:bookmarkStart w:id="550" w:name="_Toc157705447"/>
      <w:bookmarkStart w:id="551" w:name="_Toc157705499"/>
      <w:bookmarkStart w:id="552" w:name="_Toc157705740"/>
      <w:bookmarkStart w:id="553" w:name="_Toc157706105"/>
      <w:r w:rsidRPr="004D3E2B">
        <w:t>3.1</w:t>
      </w:r>
      <w:r w:rsidRPr="004D3E2B">
        <w:tab/>
      </w:r>
      <w:bookmarkEnd w:id="534"/>
      <w:bookmarkEnd w:id="535"/>
      <w:bookmarkEnd w:id="536"/>
      <w:r w:rsidRPr="004D3E2B">
        <w:t>Special account flows</w:t>
      </w:r>
      <w:bookmarkEnd w:id="537"/>
      <w:r w:rsidR="00526388">
        <w:t xml:space="preserve"> and balances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734EEC0" w14:textId="04715F93" w:rsidR="00DB42D8" w:rsidRDefault="00DB42D8" w:rsidP="00DB42D8">
      <w:pPr>
        <w:pStyle w:val="Heading4"/>
      </w:pPr>
      <w:r w:rsidRPr="004928FF">
        <w:t xml:space="preserve">Estimates of </w:t>
      </w:r>
      <w:r>
        <w:t>s</w:t>
      </w:r>
      <w:r w:rsidRPr="004928FF">
        <w:t xml:space="preserve">pecial </w:t>
      </w:r>
      <w:r>
        <w:t>a</w:t>
      </w:r>
      <w:r w:rsidRPr="004928FF">
        <w:t xml:space="preserve">ccount </w:t>
      </w:r>
      <w:r>
        <w:t>f</w:t>
      </w:r>
      <w:r w:rsidRPr="004928FF">
        <w:t>lows</w:t>
      </w:r>
      <w:bookmarkEnd w:id="495"/>
      <w:r w:rsidR="00526388">
        <w:t xml:space="preserve"> and balances</w:t>
      </w:r>
    </w:p>
    <w:bookmarkEnd w:id="496"/>
    <w:bookmarkEnd w:id="497"/>
    <w:p w14:paraId="04B81A04" w14:textId="5CF21FFC" w:rsidR="00DB42D8" w:rsidRDefault="00DB42D8" w:rsidP="00DB42D8">
      <w:r>
        <w:t xml:space="preserve">Special Accounts provide a means to set aside and record amounts used for specified purposes. Table 3.1 shows the expected additions (receipts) and reductions (payments) for each account used by </w:t>
      </w:r>
      <w:r w:rsidR="00CE050F">
        <w:t>Finance</w:t>
      </w:r>
      <w:r>
        <w:t>.</w:t>
      </w:r>
    </w:p>
    <w:p w14:paraId="74B4896C" w14:textId="77777777" w:rsidR="00F31908" w:rsidRDefault="00F31908" w:rsidP="00F31908">
      <w:pPr>
        <w:pStyle w:val="TableHeading"/>
      </w:pPr>
      <w:r>
        <w:t>Table 3.1: Estimates of special account flows and balances</w:t>
      </w:r>
    </w:p>
    <w:p w14:paraId="299A6A2A" w14:textId="046D9F54" w:rsidR="001F5243" w:rsidRPr="001F5243" w:rsidRDefault="00AB12A2" w:rsidP="001F5243">
      <w:pPr>
        <w:pStyle w:val="TableGraphic"/>
      </w:pPr>
      <w:r w:rsidRPr="00AB12A2">
        <w:rPr>
          <w:noProof/>
        </w:rPr>
        <w:drawing>
          <wp:inline distT="0" distB="0" distL="0" distR="0" wp14:anchorId="298FD3CF" wp14:editId="32547BD6">
            <wp:extent cx="4896485" cy="4414520"/>
            <wp:effectExtent l="0" t="0" r="0" b="5080"/>
            <wp:docPr id="113494509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896485" cy="4414520"/>
                    </a:xfrm>
                    <a:prstGeom prst="rect">
                      <a:avLst/>
                    </a:prstGeom>
                    <a:noFill/>
                    <a:ln>
                      <a:noFill/>
                    </a:ln>
                  </pic:spPr>
                </pic:pic>
              </a:graphicData>
            </a:graphic>
          </wp:inline>
        </w:drawing>
      </w:r>
    </w:p>
    <w:p w14:paraId="31F64F14" w14:textId="38BF5EC6" w:rsidR="00F31908" w:rsidRPr="000C2BC5" w:rsidRDefault="00723009" w:rsidP="000C2BC5">
      <w:pPr>
        <w:pStyle w:val="TableGraphic"/>
        <w:spacing w:before="30"/>
        <w:rPr>
          <w:rFonts w:ascii="Arial" w:hAnsi="Arial" w:cs="Arial"/>
          <w:sz w:val="16"/>
          <w:szCs w:val="16"/>
        </w:rPr>
      </w:pPr>
      <w:r w:rsidRPr="000C2BC5">
        <w:rPr>
          <w:rFonts w:ascii="Arial" w:hAnsi="Arial" w:cs="Arial"/>
          <w:sz w:val="16"/>
          <w:szCs w:val="16"/>
        </w:rPr>
        <w:t>Table continue on next page</w:t>
      </w:r>
    </w:p>
    <w:p w14:paraId="25CAABE6" w14:textId="021E1422" w:rsidR="00DB42D8" w:rsidRDefault="00DB42D8" w:rsidP="00DB42D8">
      <w:pPr>
        <w:pStyle w:val="TableHeading"/>
      </w:pPr>
      <w:r>
        <w:lastRenderedPageBreak/>
        <w:t>Table 3.1: Estimates of special account flows and balances</w:t>
      </w:r>
      <w:r w:rsidR="00F31908">
        <w:t xml:space="preserve"> (continued)</w:t>
      </w:r>
    </w:p>
    <w:p w14:paraId="791FC884" w14:textId="2CA742ED" w:rsidR="00F31908" w:rsidRPr="00F31908" w:rsidRDefault="008F07A6" w:rsidP="00F31908">
      <w:pPr>
        <w:pStyle w:val="TableGraphic"/>
      </w:pPr>
      <w:r w:rsidRPr="008F07A6">
        <w:rPr>
          <w:noProof/>
        </w:rPr>
        <w:drawing>
          <wp:inline distT="0" distB="0" distL="0" distR="0" wp14:anchorId="7880209D" wp14:editId="58CE03C0">
            <wp:extent cx="4896485" cy="4692015"/>
            <wp:effectExtent l="0" t="0" r="0" b="0"/>
            <wp:docPr id="3657594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96485" cy="4692015"/>
                    </a:xfrm>
                    <a:prstGeom prst="rect">
                      <a:avLst/>
                    </a:prstGeom>
                    <a:noFill/>
                    <a:ln>
                      <a:noFill/>
                    </a:ln>
                  </pic:spPr>
                </pic:pic>
              </a:graphicData>
            </a:graphic>
          </wp:inline>
        </w:drawing>
      </w:r>
    </w:p>
    <w:p w14:paraId="50D77596" w14:textId="77777777" w:rsidR="00CD4A23" w:rsidRPr="00CD4A23" w:rsidRDefault="00CD4A23" w:rsidP="000C2BC5">
      <w:pPr>
        <w:pStyle w:val="TableGraphic"/>
        <w:spacing w:before="30"/>
        <w:rPr>
          <w:sz w:val="16"/>
          <w:szCs w:val="16"/>
        </w:rPr>
      </w:pPr>
      <w:r w:rsidRPr="00CD4A23">
        <w:rPr>
          <w:sz w:val="16"/>
          <w:szCs w:val="16"/>
        </w:rPr>
        <w:t>(A) = Administered</w:t>
      </w:r>
    </w:p>
    <w:p w14:paraId="60AF1B83" w14:textId="74C6DE8B" w:rsidR="00DB42D8" w:rsidRDefault="00CD4A23" w:rsidP="000C2BC5">
      <w:pPr>
        <w:pStyle w:val="TableGraphic"/>
        <w:rPr>
          <w:sz w:val="16"/>
          <w:szCs w:val="16"/>
        </w:rPr>
      </w:pPr>
      <w:r w:rsidRPr="00CD4A23">
        <w:rPr>
          <w:sz w:val="16"/>
          <w:szCs w:val="16"/>
        </w:rPr>
        <w:t>(D) = Departmental</w:t>
      </w:r>
    </w:p>
    <w:p w14:paraId="1B4DC29A" w14:textId="77777777" w:rsidR="00272BF8" w:rsidRPr="00272BF8" w:rsidRDefault="00272BF8" w:rsidP="00272BF8">
      <w:pPr>
        <w:spacing w:before="0" w:after="0"/>
      </w:pPr>
    </w:p>
    <w:p w14:paraId="28DAA93F" w14:textId="77777777" w:rsidR="00272BF8" w:rsidRPr="00272BF8" w:rsidRDefault="00272BF8" w:rsidP="000C2BC5">
      <w:pPr>
        <w:pStyle w:val="ChartandTableFootnoteAlpha"/>
        <w:numPr>
          <w:ilvl w:val="0"/>
          <w:numId w:val="36"/>
        </w:numPr>
        <w:spacing w:after="20"/>
        <w:ind w:left="426"/>
        <w:jc w:val="both"/>
        <w:rPr>
          <w:rFonts w:cs="Arial"/>
          <w:color w:val="000000" w:themeColor="text1"/>
          <w:szCs w:val="16"/>
        </w:rPr>
      </w:pPr>
      <w:r w:rsidRPr="00272BF8">
        <w:rPr>
          <w:rFonts w:cs="Arial"/>
          <w:color w:val="000000" w:themeColor="text1"/>
          <w:szCs w:val="16"/>
        </w:rPr>
        <w:t>More information on the DisabilityCare Australia Fund can be found in Table 2.3.1.1 on page 32.</w:t>
      </w:r>
    </w:p>
    <w:p w14:paraId="679BABD4" w14:textId="77777777" w:rsidR="00272BF8" w:rsidRPr="00272BF8" w:rsidRDefault="00272BF8" w:rsidP="000C2BC5">
      <w:pPr>
        <w:pStyle w:val="ChartandTableFootnoteAlpha"/>
        <w:numPr>
          <w:ilvl w:val="0"/>
          <w:numId w:val="36"/>
        </w:numPr>
        <w:spacing w:after="20"/>
        <w:ind w:left="426"/>
        <w:jc w:val="both"/>
        <w:rPr>
          <w:rFonts w:cs="Arial"/>
          <w:color w:val="000000" w:themeColor="text1"/>
          <w:szCs w:val="16"/>
        </w:rPr>
      </w:pPr>
      <w:r w:rsidRPr="00272BF8">
        <w:rPr>
          <w:rFonts w:cs="Arial"/>
          <w:color w:val="000000" w:themeColor="text1"/>
          <w:szCs w:val="16"/>
        </w:rPr>
        <w:t>More information on the Medical Research Future Fund can be found in Table 2.3.1.2 on page 33.</w:t>
      </w:r>
    </w:p>
    <w:p w14:paraId="5A1BCAF7" w14:textId="77777777" w:rsidR="00272BF8" w:rsidRPr="00272BF8" w:rsidRDefault="00272BF8" w:rsidP="000C2BC5">
      <w:pPr>
        <w:pStyle w:val="ChartandTableFootnoteAlpha"/>
        <w:numPr>
          <w:ilvl w:val="0"/>
          <w:numId w:val="36"/>
        </w:numPr>
        <w:spacing w:after="20"/>
        <w:ind w:left="426"/>
        <w:jc w:val="both"/>
        <w:rPr>
          <w:rFonts w:cs="Arial"/>
          <w:color w:val="000000" w:themeColor="text1"/>
          <w:szCs w:val="16"/>
        </w:rPr>
      </w:pPr>
      <w:r w:rsidRPr="00272BF8">
        <w:rPr>
          <w:rFonts w:cs="Arial"/>
          <w:color w:val="000000" w:themeColor="text1"/>
          <w:szCs w:val="16"/>
        </w:rPr>
        <w:t>More information on the Aboriginal and Torres Strait Islander Land and Sea Future Fund can be found in Table 2.3.1.3 on page 34.</w:t>
      </w:r>
    </w:p>
    <w:p w14:paraId="77465598" w14:textId="77777777" w:rsidR="00272BF8" w:rsidRPr="00272BF8" w:rsidRDefault="00272BF8" w:rsidP="000C2BC5">
      <w:pPr>
        <w:pStyle w:val="ChartandTableFootnoteAlpha"/>
        <w:numPr>
          <w:ilvl w:val="0"/>
          <w:numId w:val="36"/>
        </w:numPr>
        <w:spacing w:after="20"/>
        <w:ind w:left="426"/>
        <w:jc w:val="both"/>
        <w:rPr>
          <w:rFonts w:cs="Arial"/>
          <w:color w:val="000000" w:themeColor="text1"/>
          <w:szCs w:val="16"/>
        </w:rPr>
      </w:pPr>
      <w:r w:rsidRPr="00272BF8">
        <w:rPr>
          <w:rFonts w:cs="Arial"/>
          <w:color w:val="000000" w:themeColor="text1"/>
          <w:szCs w:val="16"/>
        </w:rPr>
        <w:t>More information on the Future Drought Fund can be found in Table 2.3.1.4 on page 35.</w:t>
      </w:r>
    </w:p>
    <w:p w14:paraId="604EAFB0" w14:textId="77777777" w:rsidR="00272BF8" w:rsidRPr="00272BF8" w:rsidRDefault="00272BF8" w:rsidP="000C2BC5">
      <w:pPr>
        <w:pStyle w:val="ChartandTableFootnoteAlpha"/>
        <w:numPr>
          <w:ilvl w:val="0"/>
          <w:numId w:val="36"/>
        </w:numPr>
        <w:spacing w:after="20"/>
        <w:ind w:left="426"/>
        <w:jc w:val="both"/>
        <w:rPr>
          <w:rFonts w:cs="Arial"/>
          <w:color w:val="000000" w:themeColor="text1"/>
          <w:szCs w:val="16"/>
        </w:rPr>
      </w:pPr>
      <w:r w:rsidRPr="00272BF8">
        <w:rPr>
          <w:rFonts w:cs="Arial"/>
          <w:color w:val="000000" w:themeColor="text1"/>
          <w:szCs w:val="16"/>
        </w:rPr>
        <w:t>More information on the Disaster Ready Fund can be found in Table 2.3.1.5 on page 36.</w:t>
      </w:r>
    </w:p>
    <w:p w14:paraId="75939C40" w14:textId="1F07A9ED" w:rsidR="00272BF8" w:rsidRPr="00272BF8" w:rsidRDefault="00272BF8" w:rsidP="000C2BC5">
      <w:pPr>
        <w:pStyle w:val="ChartandTableFootnoteAlpha"/>
        <w:numPr>
          <w:ilvl w:val="0"/>
          <w:numId w:val="36"/>
        </w:numPr>
        <w:spacing w:after="20"/>
        <w:ind w:left="426"/>
        <w:jc w:val="both"/>
        <w:rPr>
          <w:rFonts w:cs="Arial"/>
          <w:szCs w:val="16"/>
        </w:rPr>
      </w:pPr>
      <w:r w:rsidRPr="00272BF8">
        <w:rPr>
          <w:rFonts w:cs="Arial"/>
          <w:color w:val="000000" w:themeColor="text1"/>
          <w:szCs w:val="16"/>
        </w:rPr>
        <w:t>More information on the Housing Australia Future Fund can be found in Table 2.3.1.6 on page 37.</w:t>
      </w:r>
    </w:p>
    <w:p w14:paraId="59BCB65B" w14:textId="5925311A" w:rsidR="00CD4A23" w:rsidRPr="00272BF8" w:rsidRDefault="00CD4A23" w:rsidP="000C2BC5">
      <w:pPr>
        <w:pStyle w:val="ListParagraph"/>
        <w:numPr>
          <w:ilvl w:val="0"/>
          <w:numId w:val="36"/>
        </w:numPr>
        <w:spacing w:before="30" w:after="0" w:line="240" w:lineRule="auto"/>
        <w:ind w:left="426"/>
        <w:rPr>
          <w:rFonts w:ascii="Arial" w:hAnsi="Arial" w:cs="Arial"/>
          <w:sz w:val="16"/>
          <w:szCs w:val="16"/>
        </w:rPr>
      </w:pPr>
      <w:r w:rsidRPr="00272BF8">
        <w:rPr>
          <w:rFonts w:ascii="Arial" w:hAnsi="Arial" w:cs="Arial"/>
          <w:sz w:val="16"/>
          <w:szCs w:val="16"/>
        </w:rPr>
        <w:t xml:space="preserve">The ‘Receipts’ column in the table includes $21.8 million in departmental </w:t>
      </w:r>
      <w:r w:rsidR="00A545D7" w:rsidRPr="00F11E5D">
        <w:rPr>
          <w:rFonts w:ascii="Arial" w:hAnsi="Arial" w:cs="Arial"/>
          <w:i/>
          <w:iCs/>
          <w:sz w:val="16"/>
          <w:szCs w:val="16"/>
        </w:rPr>
        <w:t>A</w:t>
      </w:r>
      <w:r w:rsidRPr="00F11E5D">
        <w:rPr>
          <w:rFonts w:ascii="Arial" w:hAnsi="Arial" w:cs="Arial"/>
          <w:i/>
          <w:iCs/>
          <w:sz w:val="16"/>
          <w:szCs w:val="16"/>
        </w:rPr>
        <w:t xml:space="preserve">ppropriation </w:t>
      </w:r>
      <w:r w:rsidR="00A545D7" w:rsidRPr="00F11E5D">
        <w:rPr>
          <w:rFonts w:ascii="Arial" w:hAnsi="Arial" w:cs="Arial"/>
          <w:i/>
          <w:iCs/>
          <w:sz w:val="16"/>
          <w:szCs w:val="16"/>
        </w:rPr>
        <w:t>(Act 1)</w:t>
      </w:r>
      <w:r w:rsidR="00A566DC">
        <w:rPr>
          <w:rFonts w:ascii="Arial" w:hAnsi="Arial" w:cs="Arial"/>
          <w:i/>
          <w:iCs/>
          <w:sz w:val="16"/>
          <w:szCs w:val="16"/>
        </w:rPr>
        <w:br/>
      </w:r>
      <w:r w:rsidR="00A545D7" w:rsidRPr="00F11E5D">
        <w:rPr>
          <w:rFonts w:ascii="Arial" w:hAnsi="Arial" w:cs="Arial"/>
          <w:i/>
          <w:iCs/>
          <w:sz w:val="16"/>
          <w:szCs w:val="16"/>
        </w:rPr>
        <w:t>2022</w:t>
      </w:r>
      <w:r w:rsidR="00A545D7" w:rsidRPr="00272BF8">
        <w:rPr>
          <w:rFonts w:ascii="Arial" w:hAnsi="Arial" w:cs="Arial"/>
          <w:sz w:val="16"/>
          <w:szCs w:val="16"/>
        </w:rPr>
        <w:t>-</w:t>
      </w:r>
      <w:r w:rsidR="00A545D7" w:rsidRPr="002474C2">
        <w:rPr>
          <w:rFonts w:ascii="Arial" w:hAnsi="Arial" w:cs="Arial"/>
          <w:i/>
          <w:iCs/>
          <w:sz w:val="16"/>
          <w:szCs w:val="16"/>
        </w:rPr>
        <w:t>2023</w:t>
      </w:r>
      <w:r w:rsidR="00A545D7" w:rsidRPr="00272BF8">
        <w:rPr>
          <w:rFonts w:ascii="Arial" w:hAnsi="Arial" w:cs="Arial"/>
          <w:sz w:val="16"/>
          <w:szCs w:val="16"/>
        </w:rPr>
        <w:t xml:space="preserve"> for Interest Equivalency Payments which is credited to the Comcover Special Account 2018 during 2023-24.</w:t>
      </w:r>
    </w:p>
    <w:p w14:paraId="0855A653" w14:textId="58021F0F" w:rsidR="00B403B3" w:rsidRPr="00B403B3" w:rsidRDefault="00DB42D8" w:rsidP="00F31908">
      <w:pPr>
        <w:pStyle w:val="Heading3"/>
      </w:pPr>
      <w:bookmarkStart w:id="554" w:name="_Toc190682317"/>
      <w:bookmarkStart w:id="555" w:name="_Toc210703219"/>
      <w:r w:rsidRPr="004D3E2B">
        <w:br w:type="page"/>
      </w:r>
      <w:bookmarkEnd w:id="498"/>
      <w:bookmarkEnd w:id="499"/>
      <w:bookmarkEnd w:id="500"/>
      <w:bookmarkEnd w:id="501"/>
      <w:bookmarkEnd w:id="502"/>
      <w:bookmarkEnd w:id="503"/>
      <w:bookmarkEnd w:id="504"/>
      <w:bookmarkEnd w:id="505"/>
      <w:bookmarkEnd w:id="554"/>
      <w:bookmarkEnd w:id="555"/>
    </w:p>
    <w:p w14:paraId="266B72C9" w14:textId="770C852A" w:rsidR="00DB42D8" w:rsidRPr="008C1682" w:rsidRDefault="00DB42D8" w:rsidP="008C1682">
      <w:pPr>
        <w:pStyle w:val="Heading3"/>
      </w:pPr>
      <w:bookmarkStart w:id="556" w:name="_Toc77998692"/>
      <w:bookmarkStart w:id="557" w:name="_Toc79406121"/>
      <w:bookmarkStart w:id="558" w:name="_Toc79467823"/>
      <w:bookmarkStart w:id="559" w:name="_Toc112137882"/>
      <w:bookmarkStart w:id="560" w:name="_Toc112137904"/>
      <w:bookmarkStart w:id="561" w:name="_Toc210646457"/>
      <w:bookmarkStart w:id="562" w:name="_Toc210698436"/>
      <w:bookmarkStart w:id="563" w:name="_Toc157411256"/>
      <w:bookmarkStart w:id="564" w:name="_Toc157412191"/>
      <w:bookmarkStart w:id="565" w:name="_Toc157412354"/>
      <w:bookmarkStart w:id="566" w:name="_Toc157445527"/>
      <w:bookmarkStart w:id="567" w:name="_Toc157497341"/>
      <w:bookmarkStart w:id="568" w:name="_Toc157613724"/>
      <w:bookmarkStart w:id="569" w:name="_Toc157614023"/>
      <w:bookmarkStart w:id="570" w:name="_Toc157617015"/>
      <w:bookmarkStart w:id="571" w:name="_Toc157618237"/>
      <w:bookmarkStart w:id="572" w:name="_Toc157697108"/>
      <w:bookmarkStart w:id="573" w:name="_Toc157698143"/>
      <w:bookmarkStart w:id="574" w:name="_Toc157705390"/>
      <w:bookmarkStart w:id="575" w:name="_Toc157705448"/>
      <w:bookmarkStart w:id="576" w:name="_Toc157705500"/>
      <w:bookmarkStart w:id="577" w:name="_Toc157705741"/>
      <w:bookmarkStart w:id="578" w:name="_Toc157706106"/>
      <w:bookmarkStart w:id="579" w:name="_Toc35936967"/>
      <w:bookmarkStart w:id="580" w:name="_Toc533506534"/>
      <w:bookmarkStart w:id="581" w:name="_Toc533506609"/>
      <w:bookmarkStart w:id="582" w:name="_Toc533507059"/>
      <w:r w:rsidRPr="00D4597F">
        <w:lastRenderedPageBreak/>
        <w:t>3.2</w:t>
      </w:r>
      <w:r w:rsidRPr="00D4597F">
        <w:tab/>
        <w:t>Budgeted financial statements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bookmarkEnd w:id="579"/>
    <w:p w14:paraId="4D8585DA" w14:textId="2AE4ABFA" w:rsidR="00AA4559" w:rsidRDefault="00AA4559" w:rsidP="00DB42D8">
      <w:pPr>
        <w:pStyle w:val="TableHeading"/>
        <w:spacing w:before="0"/>
        <w:rPr>
          <w:snapToGrid w:val="0"/>
        </w:rPr>
      </w:pPr>
      <w:r w:rsidRPr="00AA4559">
        <w:rPr>
          <w:snapToGrid w:val="0"/>
        </w:rPr>
        <w:t>3.2.1</w:t>
      </w:r>
      <w:r w:rsidRPr="00AA4559">
        <w:rPr>
          <w:snapToGrid w:val="0"/>
        </w:rPr>
        <w:tab/>
        <w:t>Analysis of budgeted financial statements</w:t>
      </w:r>
    </w:p>
    <w:p w14:paraId="7C20234E" w14:textId="77777777" w:rsidR="0024335E" w:rsidRPr="0024335E" w:rsidRDefault="0024335E" w:rsidP="0024335E">
      <w:pPr>
        <w:spacing w:line="240" w:lineRule="auto"/>
      </w:pPr>
      <w:r w:rsidRPr="0024335E">
        <w:t>Finance’s budgeted financial statements have changed as a result of measures identified in Section 1.3 and other variations in Section 1.4.</w:t>
      </w:r>
    </w:p>
    <w:p w14:paraId="77F76224" w14:textId="77777777" w:rsidR="0024335E" w:rsidRPr="0024335E" w:rsidRDefault="0024335E" w:rsidP="0024335E">
      <w:pPr>
        <w:spacing w:line="240" w:lineRule="auto"/>
        <w:rPr>
          <w:b/>
          <w:bCs/>
        </w:rPr>
      </w:pPr>
      <w:r w:rsidRPr="0024335E">
        <w:rPr>
          <w:b/>
          <w:bCs/>
        </w:rPr>
        <w:t>Departmental financial statements</w:t>
      </w:r>
    </w:p>
    <w:p w14:paraId="687CF430" w14:textId="3D739939" w:rsidR="0024335E" w:rsidRPr="0024335E" w:rsidRDefault="0024335E" w:rsidP="0024335E">
      <w:pPr>
        <w:spacing w:line="240" w:lineRule="auto"/>
      </w:pPr>
      <w:r w:rsidRPr="0024335E">
        <w:t xml:space="preserve">Finance has proposed additional resourcing of $12.5 million in Appropriation Bill No. 3 inclusive of </w:t>
      </w:r>
      <w:r>
        <w:t>nine</w:t>
      </w:r>
      <w:r w:rsidRPr="0024335E">
        <w:t xml:space="preserve"> measures and other variations. A proposed equity injection of $440.6 million is also proposed in Appropriation Bill No 4 mainly associated with the measure </w:t>
      </w:r>
      <w:r w:rsidRPr="0024335E">
        <w:rPr>
          <w:rFonts w:cs="Arial"/>
          <w:szCs w:val="16"/>
        </w:rPr>
        <w:t>More Efficient and Effective Vehicle Leasing and Fleet Management Arrangement.</w:t>
      </w:r>
    </w:p>
    <w:p w14:paraId="1CB0D20C" w14:textId="77777777" w:rsidR="0024335E" w:rsidRPr="0024335E" w:rsidRDefault="0024335E" w:rsidP="0024335E">
      <w:pPr>
        <w:spacing w:line="240" w:lineRule="auto"/>
        <w:rPr>
          <w:b/>
          <w:bCs/>
        </w:rPr>
      </w:pPr>
      <w:r w:rsidRPr="0024335E">
        <w:rPr>
          <w:b/>
          <w:bCs/>
        </w:rPr>
        <w:t>Administered financial statements</w:t>
      </w:r>
    </w:p>
    <w:p w14:paraId="4676CC75" w14:textId="77777777" w:rsidR="0024335E" w:rsidRPr="0024335E" w:rsidRDefault="0024335E" w:rsidP="0024335E">
      <w:pPr>
        <w:spacing w:line="240" w:lineRule="auto"/>
      </w:pPr>
      <w:r w:rsidRPr="0024335E">
        <w:t>Administered assets for 2023-24 have increased since the PB Statements primarily due to investments in the Housing Australia Future Fund.</w:t>
      </w:r>
    </w:p>
    <w:p w14:paraId="6BAEC2A9" w14:textId="77777777" w:rsidR="00AA4559" w:rsidRDefault="00AA4559" w:rsidP="00DB42D8">
      <w:pPr>
        <w:pStyle w:val="TableHeading"/>
        <w:spacing w:before="0"/>
        <w:rPr>
          <w:snapToGrid w:val="0"/>
        </w:rPr>
      </w:pPr>
    </w:p>
    <w:p w14:paraId="732C2DDE" w14:textId="77777777" w:rsidR="00AA4559" w:rsidRDefault="00AA4559">
      <w:pPr>
        <w:spacing w:before="0" w:after="0" w:line="240" w:lineRule="auto"/>
        <w:rPr>
          <w:rFonts w:ascii="Arial" w:hAnsi="Arial"/>
          <w:b/>
          <w:snapToGrid w:val="0"/>
          <w:sz w:val="20"/>
        </w:rPr>
      </w:pPr>
      <w:r>
        <w:rPr>
          <w:snapToGrid w:val="0"/>
        </w:rPr>
        <w:br w:type="page"/>
      </w:r>
    </w:p>
    <w:p w14:paraId="031F4F62" w14:textId="2A6EAE94" w:rsidR="00DB42D8" w:rsidRDefault="00DB42D8" w:rsidP="00DB42D8">
      <w:pPr>
        <w:pStyle w:val="TableHeading"/>
        <w:spacing w:before="0"/>
        <w:rPr>
          <w:snapToGrid w:val="0"/>
        </w:rPr>
      </w:pP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63350537" w14:textId="45F85CDF" w:rsidR="00DB42D8" w:rsidRPr="005B0398" w:rsidRDefault="00F94E54" w:rsidP="00DB42D8">
      <w:pPr>
        <w:pStyle w:val="TableGraphic"/>
      </w:pPr>
      <w:r w:rsidRPr="00F94E54">
        <w:rPr>
          <w:noProof/>
        </w:rPr>
        <w:drawing>
          <wp:inline distT="0" distB="0" distL="0" distR="0" wp14:anchorId="401D892D" wp14:editId="30BAB15C">
            <wp:extent cx="4896485" cy="5133340"/>
            <wp:effectExtent l="0" t="0" r="0" b="0"/>
            <wp:docPr id="145534646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96485" cy="5133340"/>
                    </a:xfrm>
                    <a:prstGeom prst="rect">
                      <a:avLst/>
                    </a:prstGeom>
                    <a:noFill/>
                    <a:ln>
                      <a:noFill/>
                    </a:ln>
                  </pic:spPr>
                </pic:pic>
              </a:graphicData>
            </a:graphic>
          </wp:inline>
        </w:drawing>
      </w:r>
    </w:p>
    <w:p w14:paraId="04160C0B" w14:textId="7848CB13" w:rsidR="00DB42D8" w:rsidRPr="003550E7" w:rsidRDefault="000E45E1" w:rsidP="000C2BC5">
      <w:pPr>
        <w:pStyle w:val="TableGraphic"/>
        <w:spacing w:before="30"/>
        <w:rPr>
          <w:rFonts w:ascii="Arial" w:hAnsi="Arial" w:cs="Arial"/>
          <w:sz w:val="16"/>
          <w:szCs w:val="16"/>
        </w:rPr>
      </w:pPr>
      <w:r w:rsidRPr="003550E7">
        <w:rPr>
          <w:rFonts w:ascii="Arial" w:hAnsi="Arial" w:cs="Arial"/>
          <w:sz w:val="16"/>
          <w:szCs w:val="16"/>
        </w:rPr>
        <w:t>Table continues on next page</w:t>
      </w:r>
    </w:p>
    <w:p w14:paraId="5CD8AC2E" w14:textId="77777777" w:rsidR="00DB42D8" w:rsidRDefault="00DB42D8" w:rsidP="00DB42D8">
      <w:pPr>
        <w:pStyle w:val="TableHeading"/>
        <w:spacing w:before="0"/>
        <w:rPr>
          <w:snapToGrid w:val="0"/>
        </w:rPr>
      </w:pPr>
      <w:r>
        <w:br w:type="page"/>
      </w: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799FFCE1" w14:textId="4827C581" w:rsidR="000E45E1" w:rsidRPr="000E45E1" w:rsidRDefault="003657AA" w:rsidP="000E45E1">
      <w:pPr>
        <w:pStyle w:val="TableGraphic"/>
      </w:pPr>
      <w:r w:rsidRPr="003657AA">
        <w:rPr>
          <w:noProof/>
        </w:rPr>
        <w:drawing>
          <wp:inline distT="0" distB="0" distL="0" distR="0" wp14:anchorId="2D0F1B76" wp14:editId="478495BD">
            <wp:extent cx="4896485" cy="1715770"/>
            <wp:effectExtent l="0" t="0" r="0" b="0"/>
            <wp:docPr id="44442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96485" cy="1715770"/>
                    </a:xfrm>
                    <a:prstGeom prst="rect">
                      <a:avLst/>
                    </a:prstGeom>
                    <a:noFill/>
                    <a:ln>
                      <a:noFill/>
                    </a:ln>
                  </pic:spPr>
                </pic:pic>
              </a:graphicData>
            </a:graphic>
          </wp:inline>
        </w:drawing>
      </w:r>
    </w:p>
    <w:p w14:paraId="2BFEB39A" w14:textId="77777777" w:rsidR="00DB42D8" w:rsidRPr="009C33E9" w:rsidRDefault="00DB42D8" w:rsidP="00CA0393">
      <w:pPr>
        <w:pStyle w:val="Source"/>
        <w:spacing w:after="120"/>
      </w:pPr>
      <w:r w:rsidRPr="009C33E9">
        <w:t>Prepared on Australian Accounting Standards basis.</w:t>
      </w:r>
    </w:p>
    <w:p w14:paraId="28CCA1A0" w14:textId="41FA9336" w:rsidR="00FC3DFF" w:rsidRDefault="00DB42D8" w:rsidP="00524CBA">
      <w:pPr>
        <w:pStyle w:val="ChartandTableFootnoteAlpha"/>
        <w:numPr>
          <w:ilvl w:val="0"/>
          <w:numId w:val="25"/>
        </w:numPr>
        <w:ind w:left="284" w:hanging="284"/>
        <w:rPr>
          <w:rFonts w:cs="Arial"/>
          <w:szCs w:val="16"/>
        </w:rPr>
      </w:pPr>
      <w:r w:rsidRPr="00FC3DFF">
        <w:rPr>
          <w:rFonts w:cs="Arial"/>
          <w:szCs w:val="16"/>
        </w:rPr>
        <w:t>From 2010</w:t>
      </w:r>
      <w:r w:rsidR="008F4D64" w:rsidRPr="00FC3DFF">
        <w:rPr>
          <w:rFonts w:cs="Arial"/>
          <w:szCs w:val="16"/>
        </w:rPr>
        <w:t>–</w:t>
      </w:r>
      <w:r w:rsidRPr="00FC3DFF">
        <w:rPr>
          <w:rFonts w:cs="Arial"/>
          <w:szCs w:val="16"/>
        </w:rPr>
        <w:t>11, the Government introduced the net cash appropriation arrangement that provided non</w:t>
      </w:r>
      <w:r w:rsidRPr="00FC3DFF">
        <w:rPr>
          <w:rFonts w:cs="Arial"/>
          <w:szCs w:val="16"/>
        </w:rPr>
        <w:noBreakHyphen/>
        <w:t xml:space="preserve">corporate Commonwealth entities with a separate DCB under </w:t>
      </w:r>
      <w:r w:rsidRPr="00F11E5D">
        <w:rPr>
          <w:rFonts w:cs="Arial"/>
          <w:i/>
          <w:iCs/>
          <w:szCs w:val="16"/>
        </w:rPr>
        <w:t>Appropriation Act (No.</w:t>
      </w:r>
      <w:r w:rsidR="00524CBA" w:rsidRPr="00F11E5D">
        <w:rPr>
          <w:rFonts w:cs="Arial"/>
          <w:i/>
          <w:iCs/>
          <w:szCs w:val="16"/>
        </w:rPr>
        <w:t xml:space="preserve"> </w:t>
      </w:r>
      <w:r w:rsidRPr="00F11E5D">
        <w:rPr>
          <w:rFonts w:cs="Arial"/>
          <w:i/>
          <w:iCs/>
          <w:szCs w:val="16"/>
        </w:rPr>
        <w:t>1)</w:t>
      </w:r>
      <w:r w:rsidRPr="00FC3DFF">
        <w:rPr>
          <w:rFonts w:cs="Arial"/>
          <w:szCs w:val="16"/>
        </w:rPr>
        <w:t xml:space="preserve"> </w:t>
      </w:r>
      <w:r w:rsidR="00A566DC">
        <w:rPr>
          <w:rFonts w:cs="Arial"/>
          <w:szCs w:val="16"/>
        </w:rPr>
        <w:br/>
      </w:r>
      <w:r w:rsidRPr="00FC3DFF">
        <w:rPr>
          <w:rFonts w:cs="Arial"/>
          <w:szCs w:val="16"/>
        </w:rPr>
        <w:t xml:space="preserve">or Bill (No. 3). This replaced revenue appropriations provided under </w:t>
      </w:r>
      <w:r w:rsidRPr="00F11E5D">
        <w:rPr>
          <w:rFonts w:cs="Arial"/>
          <w:i/>
          <w:iCs/>
          <w:szCs w:val="16"/>
        </w:rPr>
        <w:t>Appropriation Act (No.</w:t>
      </w:r>
      <w:r w:rsidR="00524CBA" w:rsidRPr="00F11E5D">
        <w:rPr>
          <w:rFonts w:cs="Arial"/>
          <w:i/>
          <w:iCs/>
          <w:szCs w:val="16"/>
        </w:rPr>
        <w:t xml:space="preserve"> </w:t>
      </w:r>
      <w:r w:rsidRPr="00F11E5D">
        <w:rPr>
          <w:rFonts w:cs="Arial"/>
          <w:i/>
          <w:iCs/>
          <w:szCs w:val="16"/>
        </w:rPr>
        <w:t>1)</w:t>
      </w:r>
      <w:r w:rsidRPr="00FC3DFF">
        <w:rPr>
          <w:rFonts w:cs="Arial"/>
          <w:szCs w:val="16"/>
        </w:rPr>
        <w:t xml:space="preserve"> </w:t>
      </w:r>
      <w:r w:rsidR="00A566DC">
        <w:rPr>
          <w:rFonts w:cs="Arial"/>
          <w:szCs w:val="16"/>
        </w:rPr>
        <w:br/>
      </w:r>
      <w:r w:rsidRPr="00FC3DFF">
        <w:rPr>
          <w:rFonts w:cs="Arial"/>
          <w:szCs w:val="16"/>
        </w:rPr>
        <w:t>or Bill (No.</w:t>
      </w:r>
      <w:r w:rsidR="00524CBA">
        <w:rPr>
          <w:rFonts w:cs="Arial"/>
          <w:szCs w:val="16"/>
        </w:rPr>
        <w:t xml:space="preserve"> </w:t>
      </w:r>
      <w:r w:rsidRPr="00FC3DFF">
        <w:rPr>
          <w:rFonts w:cs="Arial"/>
          <w:szCs w:val="16"/>
        </w:rPr>
        <w:t>3) used for depreciation/amortisation expenses.  For information regarding DCB, refer to Table 3.6 Departmental Capital Budget Statement.</w:t>
      </w:r>
    </w:p>
    <w:p w14:paraId="1E663FF2" w14:textId="2AAC2322" w:rsidR="00FC3DFF" w:rsidRPr="00FC3DFF" w:rsidRDefault="00FC3DFF" w:rsidP="00524CBA">
      <w:pPr>
        <w:pStyle w:val="ChartandTableFootnoteAlpha"/>
        <w:numPr>
          <w:ilvl w:val="0"/>
          <w:numId w:val="25"/>
        </w:numPr>
        <w:ind w:left="284" w:hanging="284"/>
        <w:rPr>
          <w:rFonts w:cs="Arial"/>
          <w:szCs w:val="16"/>
        </w:rPr>
      </w:pPr>
      <w:r w:rsidRPr="00FC3DFF">
        <w:rPr>
          <w:rFonts w:cs="Arial"/>
          <w:szCs w:val="16"/>
        </w:rPr>
        <w:t>Represents the net gain/loss from the government’s non-Defence Property Divestment Program within Australia.</w:t>
      </w:r>
    </w:p>
    <w:p w14:paraId="698B4E1C" w14:textId="77777777" w:rsidR="00DB42D8" w:rsidRPr="00FC3DFF" w:rsidRDefault="00DB42D8" w:rsidP="00524CBA">
      <w:pPr>
        <w:pStyle w:val="ChartandTableFootnoteAlpha"/>
        <w:numPr>
          <w:ilvl w:val="0"/>
          <w:numId w:val="25"/>
        </w:numPr>
        <w:ind w:left="284" w:hanging="284"/>
        <w:rPr>
          <w:rFonts w:cs="Arial"/>
          <w:szCs w:val="16"/>
        </w:rPr>
      </w:pPr>
      <w:r w:rsidRPr="00FC3DFF">
        <w:rPr>
          <w:rFonts w:cs="Arial"/>
          <w:szCs w:val="16"/>
        </w:rPr>
        <w:t>Applies to leases under AASB 16 Leases.</w:t>
      </w:r>
    </w:p>
    <w:p w14:paraId="20407C3D" w14:textId="77777777" w:rsidR="00DB42D8" w:rsidRDefault="00DB42D8" w:rsidP="00FC3DFF">
      <w:pPr>
        <w:pStyle w:val="Source"/>
        <w:rPr>
          <w:snapToGrid w:val="0"/>
        </w:rPr>
      </w:pPr>
    </w:p>
    <w:p w14:paraId="64EAF17F" w14:textId="77777777" w:rsidR="00DB42D8" w:rsidRDefault="00DB42D8" w:rsidP="00DB42D8">
      <w:pPr>
        <w:pStyle w:val="TableHeading"/>
        <w:spacing w:before="0"/>
        <w:rPr>
          <w:b w:val="0"/>
          <w:snapToGrid w:val="0"/>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p w14:paraId="243F7DF7" w14:textId="66A17568" w:rsidR="00DB42D8" w:rsidRPr="00B9146F" w:rsidRDefault="00026DDB" w:rsidP="00DB42D8">
      <w:pPr>
        <w:pStyle w:val="TableGraphic"/>
      </w:pPr>
      <w:r w:rsidRPr="00026DDB">
        <w:rPr>
          <w:noProof/>
        </w:rPr>
        <w:drawing>
          <wp:inline distT="0" distB="0" distL="0" distR="0" wp14:anchorId="7169FC8B" wp14:editId="4C7D2CF5">
            <wp:extent cx="4896485" cy="5454650"/>
            <wp:effectExtent l="0" t="0" r="0" b="0"/>
            <wp:docPr id="81795629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96485" cy="5454650"/>
                    </a:xfrm>
                    <a:prstGeom prst="rect">
                      <a:avLst/>
                    </a:prstGeom>
                    <a:noFill/>
                    <a:ln>
                      <a:noFill/>
                    </a:ln>
                  </pic:spPr>
                </pic:pic>
              </a:graphicData>
            </a:graphic>
          </wp:inline>
        </w:drawing>
      </w:r>
    </w:p>
    <w:p w14:paraId="3733531A" w14:textId="77777777" w:rsidR="0035612D" w:rsidRPr="0035612D" w:rsidRDefault="0035612D" w:rsidP="00524CBA">
      <w:pPr>
        <w:pStyle w:val="TableGraphic"/>
        <w:spacing w:before="30" w:after="20"/>
        <w:rPr>
          <w:rFonts w:ascii="Arial" w:hAnsi="Arial" w:cs="Arial"/>
          <w:sz w:val="16"/>
          <w:szCs w:val="16"/>
        </w:rPr>
      </w:pPr>
      <w:r w:rsidRPr="0035612D">
        <w:rPr>
          <w:rFonts w:ascii="Arial" w:hAnsi="Arial" w:cs="Arial"/>
          <w:sz w:val="16"/>
          <w:szCs w:val="16"/>
        </w:rPr>
        <w:t>Prepared on Australian Accounting Standards basis.</w:t>
      </w:r>
    </w:p>
    <w:p w14:paraId="5DF6FA3B" w14:textId="77777777" w:rsidR="0035612D" w:rsidRDefault="0035612D" w:rsidP="00524CBA">
      <w:pPr>
        <w:pStyle w:val="TableGraphic"/>
        <w:spacing w:after="120"/>
        <w:rPr>
          <w:rFonts w:ascii="Arial" w:hAnsi="Arial" w:cs="Arial"/>
          <w:sz w:val="16"/>
          <w:szCs w:val="16"/>
        </w:rPr>
      </w:pPr>
      <w:r w:rsidRPr="0035612D">
        <w:rPr>
          <w:rFonts w:ascii="Arial" w:hAnsi="Arial" w:cs="Arial"/>
          <w:sz w:val="16"/>
          <w:szCs w:val="16"/>
        </w:rPr>
        <w:t>*Equity is the residual interest in assets after the deduction of liabilities.</w:t>
      </w:r>
    </w:p>
    <w:p w14:paraId="4A991BD1" w14:textId="03C7B81B" w:rsidR="0035612D" w:rsidRPr="0035612D" w:rsidRDefault="0035612D" w:rsidP="000C2BC5">
      <w:pPr>
        <w:pStyle w:val="TableGraphic"/>
        <w:numPr>
          <w:ilvl w:val="0"/>
          <w:numId w:val="26"/>
        </w:numPr>
        <w:spacing w:before="30"/>
        <w:ind w:left="357" w:hanging="357"/>
        <w:rPr>
          <w:rFonts w:ascii="Arial" w:hAnsi="Arial" w:cs="Arial"/>
          <w:sz w:val="16"/>
          <w:szCs w:val="16"/>
        </w:rPr>
      </w:pPr>
      <w:r w:rsidRPr="0035612D">
        <w:rPr>
          <w:rFonts w:ascii="Arial" w:hAnsi="Arial" w:cs="Arial"/>
          <w:sz w:val="16"/>
          <w:szCs w:val="16"/>
        </w:rPr>
        <w:t>Primarily represents appropriation receivable (including capital appropriation) and the special accounts.</w:t>
      </w:r>
    </w:p>
    <w:p w14:paraId="5097E51F" w14:textId="40A325A7" w:rsidR="0035612D" w:rsidRPr="0035612D" w:rsidRDefault="0035612D" w:rsidP="000C2BC5">
      <w:pPr>
        <w:pStyle w:val="TableGraphic"/>
        <w:numPr>
          <w:ilvl w:val="0"/>
          <w:numId w:val="26"/>
        </w:numPr>
        <w:spacing w:before="30"/>
        <w:ind w:left="357" w:hanging="357"/>
        <w:rPr>
          <w:rFonts w:ascii="Arial" w:hAnsi="Arial" w:cs="Arial"/>
          <w:sz w:val="16"/>
          <w:szCs w:val="16"/>
        </w:rPr>
      </w:pPr>
      <w:r w:rsidRPr="0035612D">
        <w:rPr>
          <w:rFonts w:ascii="Arial" w:hAnsi="Arial" w:cs="Arial"/>
          <w:sz w:val="16"/>
          <w:szCs w:val="16"/>
        </w:rPr>
        <w:t>Primarily represents properties in the government’s non-Defence property portfolio.</w:t>
      </w:r>
    </w:p>
    <w:p w14:paraId="5DCA5F09" w14:textId="77777777" w:rsidR="00DB42D8" w:rsidRPr="00014438" w:rsidRDefault="00DB42D8" w:rsidP="00215630">
      <w:pPr>
        <w:pStyle w:val="SingleParagraph"/>
        <w:rPr>
          <w:snapToGrid w:val="0"/>
        </w:rPr>
      </w:pPr>
    </w:p>
    <w:p w14:paraId="54812A4E" w14:textId="77777777" w:rsidR="00DB42D8" w:rsidRDefault="00DB42D8" w:rsidP="00DB42D8">
      <w:pPr>
        <w:pStyle w:val="TableHeading"/>
        <w:spacing w:before="0"/>
        <w:rPr>
          <w:b w:val="0"/>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2023</w:t>
      </w:r>
      <w:r w:rsidR="008F4D64">
        <w:rPr>
          <w:snapToGrid w:val="0"/>
        </w:rPr>
        <w:t>–</w:t>
      </w:r>
      <w:r>
        <w:rPr>
          <w:snapToGrid w:val="0"/>
        </w:rPr>
        <w:t>24</w:t>
      </w:r>
      <w:r w:rsidRPr="00014438">
        <w:rPr>
          <w:snapToGrid w:val="0"/>
        </w:rPr>
        <w:t>)</w:t>
      </w:r>
      <w:r w:rsidRPr="00EC73D1">
        <w:rPr>
          <w:b w:val="0"/>
          <w:snapToGrid w:val="0"/>
        </w:rPr>
        <w:t xml:space="preserve"> </w:t>
      </w:r>
    </w:p>
    <w:p w14:paraId="7A40DAA2" w14:textId="53779374" w:rsidR="00DB42D8" w:rsidRPr="005B0398" w:rsidRDefault="00FC1BF6" w:rsidP="00DB42D8">
      <w:pPr>
        <w:pStyle w:val="TableGraphic"/>
      </w:pPr>
      <w:r w:rsidRPr="00FC1BF6">
        <w:rPr>
          <w:noProof/>
        </w:rPr>
        <w:drawing>
          <wp:inline distT="0" distB="0" distL="0" distR="0" wp14:anchorId="23F8A311" wp14:editId="3B4F0174">
            <wp:extent cx="4896485" cy="3536315"/>
            <wp:effectExtent l="0" t="0" r="0" b="6985"/>
            <wp:docPr id="10992377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96485" cy="3536315"/>
                    </a:xfrm>
                    <a:prstGeom prst="rect">
                      <a:avLst/>
                    </a:prstGeom>
                    <a:noFill/>
                    <a:ln>
                      <a:noFill/>
                    </a:ln>
                  </pic:spPr>
                </pic:pic>
              </a:graphicData>
            </a:graphic>
          </wp:inline>
        </w:drawing>
      </w:r>
    </w:p>
    <w:p w14:paraId="3A96B77C" w14:textId="77777777" w:rsidR="00DB42D8" w:rsidRDefault="00DB42D8" w:rsidP="00CA0393">
      <w:pPr>
        <w:pStyle w:val="Source"/>
        <w:spacing w:after="120"/>
        <w:rPr>
          <w:snapToGrid w:val="0"/>
        </w:rPr>
      </w:pPr>
      <w:r w:rsidRPr="008D4221">
        <w:t>Prepared on Australian Accounting Standards basis</w:t>
      </w:r>
      <w:r>
        <w:rPr>
          <w:snapToGrid w:val="0"/>
        </w:rPr>
        <w:t>.</w:t>
      </w:r>
    </w:p>
    <w:p w14:paraId="1F35B34B" w14:textId="727A8F24" w:rsidR="00CA0013" w:rsidRDefault="00CA0013" w:rsidP="00DB42D8">
      <w:pPr>
        <w:pStyle w:val="Source"/>
        <w:rPr>
          <w:snapToGrid w:val="0"/>
        </w:rPr>
      </w:pPr>
      <w:r w:rsidRPr="00CA0013">
        <w:t>a) Distribution of Equity is from the Property Special Account</w:t>
      </w:r>
      <w:r>
        <w:t>.</w:t>
      </w:r>
    </w:p>
    <w:p w14:paraId="6D44DED0" w14:textId="77777777" w:rsidR="00DB42D8" w:rsidRDefault="00DB42D8" w:rsidP="00DB42D8">
      <w:pPr>
        <w:pStyle w:val="TableHeading"/>
        <w:spacing w:before="0"/>
        <w:rPr>
          <w:snapToGrid w:val="0"/>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0624B61F" w14:textId="6A4C1AC2" w:rsidR="00DB42D8" w:rsidRPr="00EA437C" w:rsidRDefault="00431E74" w:rsidP="00DB42D8">
      <w:pPr>
        <w:pStyle w:val="TableGraphic"/>
      </w:pPr>
      <w:r w:rsidRPr="00431E74">
        <w:rPr>
          <w:noProof/>
        </w:rPr>
        <w:drawing>
          <wp:inline distT="0" distB="0" distL="0" distR="0" wp14:anchorId="403ADAA0" wp14:editId="7BE2D846">
            <wp:extent cx="4896485" cy="4505960"/>
            <wp:effectExtent l="0" t="0" r="0" b="8890"/>
            <wp:docPr id="18561713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96485" cy="4505960"/>
                    </a:xfrm>
                    <a:prstGeom prst="rect">
                      <a:avLst/>
                    </a:prstGeom>
                    <a:noFill/>
                    <a:ln>
                      <a:noFill/>
                    </a:ln>
                  </pic:spPr>
                </pic:pic>
              </a:graphicData>
            </a:graphic>
          </wp:inline>
        </w:drawing>
      </w:r>
    </w:p>
    <w:p w14:paraId="496B6DBF" w14:textId="523CEA28" w:rsidR="00DB42D8" w:rsidRPr="005B1EEB" w:rsidRDefault="00CA0013" w:rsidP="000C2BC5">
      <w:pPr>
        <w:pStyle w:val="TableGraphic"/>
        <w:spacing w:before="30"/>
        <w:rPr>
          <w:rFonts w:ascii="Arial" w:hAnsi="Arial" w:cs="Arial"/>
          <w:sz w:val="16"/>
          <w:szCs w:val="16"/>
        </w:rPr>
      </w:pPr>
      <w:r w:rsidRPr="005B1EEB">
        <w:rPr>
          <w:rFonts w:ascii="Arial" w:hAnsi="Arial" w:cs="Arial"/>
          <w:sz w:val="16"/>
          <w:szCs w:val="16"/>
        </w:rPr>
        <w:t>Table continues on next page</w:t>
      </w:r>
    </w:p>
    <w:p w14:paraId="680B9CF5" w14:textId="77777777" w:rsidR="00DB42D8" w:rsidRDefault="00DB42D8" w:rsidP="00DB42D8">
      <w:pPr>
        <w:pStyle w:val="Source"/>
        <w:rPr>
          <w:snapToGrid w:val="0"/>
        </w:rPr>
      </w:pPr>
    </w:p>
    <w:p w14:paraId="209155B9" w14:textId="77777777" w:rsidR="00DB42D8" w:rsidRDefault="00DB42D8" w:rsidP="00DB42D8">
      <w:pPr>
        <w:pStyle w:val="TableHeading"/>
        <w:spacing w:before="0"/>
        <w:rPr>
          <w:b w:val="0"/>
          <w:snapToGrid w:val="0"/>
        </w:rPr>
      </w:pPr>
      <w:r>
        <w:rPr>
          <w:snapToGrid w:val="0"/>
        </w:rPr>
        <w:lastRenderedPageBreak/>
        <w:t>Table 3.5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Pr>
          <w:snapToGrid w:val="0"/>
        </w:rPr>
        <w:t xml:space="preserve"> (continued)</w:t>
      </w:r>
      <w:r w:rsidRPr="008D4221">
        <w:rPr>
          <w:b w:val="0"/>
          <w:snapToGrid w:val="0"/>
        </w:rPr>
        <w:t xml:space="preserve"> </w:t>
      </w:r>
    </w:p>
    <w:p w14:paraId="4A548F1A" w14:textId="4F6C18E0" w:rsidR="00F31908" w:rsidRPr="00F31908" w:rsidRDefault="00F94E54" w:rsidP="00F31908">
      <w:pPr>
        <w:pStyle w:val="TableGraphic"/>
      </w:pPr>
      <w:r w:rsidRPr="00F94E54">
        <w:rPr>
          <w:noProof/>
        </w:rPr>
        <w:drawing>
          <wp:inline distT="0" distB="0" distL="0" distR="0" wp14:anchorId="2F770F74" wp14:editId="399A37F3">
            <wp:extent cx="4896485" cy="2601595"/>
            <wp:effectExtent l="0" t="0" r="0" b="8255"/>
            <wp:docPr id="78454096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896485" cy="2601595"/>
                    </a:xfrm>
                    <a:prstGeom prst="rect">
                      <a:avLst/>
                    </a:prstGeom>
                    <a:noFill/>
                    <a:ln>
                      <a:noFill/>
                    </a:ln>
                  </pic:spPr>
                </pic:pic>
              </a:graphicData>
            </a:graphic>
          </wp:inline>
        </w:drawing>
      </w:r>
    </w:p>
    <w:p w14:paraId="05F9488E" w14:textId="77777777" w:rsidR="00DB42D8" w:rsidRPr="009C33E9" w:rsidRDefault="00DB42D8" w:rsidP="000C2BC5">
      <w:pPr>
        <w:pStyle w:val="Source"/>
        <w:spacing w:after="120"/>
      </w:pPr>
      <w:r w:rsidRPr="009C33E9">
        <w:t>Prepared on Australian Accounting Standards basis.</w:t>
      </w:r>
    </w:p>
    <w:p w14:paraId="4761265C" w14:textId="77777777" w:rsidR="00DB42D8" w:rsidRDefault="00DB42D8" w:rsidP="00DB42D8">
      <w:pPr>
        <w:pStyle w:val="Source"/>
        <w:rPr>
          <w:snapToGrid w:val="0"/>
        </w:rPr>
      </w:pPr>
    </w:p>
    <w:p w14:paraId="299F9E3F" w14:textId="77777777" w:rsidR="00934C9F" w:rsidRDefault="00934C9F" w:rsidP="00DB42D8">
      <w:pPr>
        <w:pStyle w:val="Source"/>
        <w:rPr>
          <w:snapToGrid w:val="0"/>
        </w:rPr>
      </w:pPr>
    </w:p>
    <w:p w14:paraId="39B85B58" w14:textId="77777777" w:rsidR="00CA0013" w:rsidRDefault="00CA0013" w:rsidP="00DB42D8">
      <w:pPr>
        <w:pStyle w:val="Source"/>
        <w:rPr>
          <w:snapToGrid w:val="0"/>
        </w:rPr>
      </w:pPr>
    </w:p>
    <w:p w14:paraId="23304B83" w14:textId="77777777" w:rsidR="00CA0013" w:rsidRDefault="00CA0013" w:rsidP="00DB42D8">
      <w:pPr>
        <w:pStyle w:val="Source"/>
        <w:rPr>
          <w:snapToGrid w:val="0"/>
        </w:rPr>
      </w:pPr>
    </w:p>
    <w:p w14:paraId="00D594EB" w14:textId="77777777" w:rsidR="00CA0013" w:rsidRDefault="00CA0013" w:rsidP="00DB42D8">
      <w:pPr>
        <w:pStyle w:val="Source"/>
        <w:rPr>
          <w:snapToGrid w:val="0"/>
        </w:rPr>
      </w:pPr>
    </w:p>
    <w:p w14:paraId="750968CB" w14:textId="77777777" w:rsidR="00DB42D8" w:rsidRDefault="00DB42D8" w:rsidP="00DB42D8">
      <w:pPr>
        <w:pStyle w:val="TableHeading"/>
        <w:spacing w:before="0"/>
        <w:rPr>
          <w:b w:val="0"/>
          <w:snapToGrid w:val="0"/>
        </w:rPr>
      </w:pPr>
      <w:r>
        <w:rPr>
          <w:snapToGrid w:val="0"/>
        </w:rPr>
        <w:lastRenderedPageBreak/>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050617A1" w14:textId="5E0A7834" w:rsidR="00DB42D8" w:rsidRPr="00EA437C" w:rsidRDefault="00C13BE3" w:rsidP="00DB42D8">
      <w:pPr>
        <w:pStyle w:val="TableGraphic"/>
      </w:pPr>
      <w:r w:rsidRPr="00C13BE3">
        <w:rPr>
          <w:noProof/>
        </w:rPr>
        <w:drawing>
          <wp:inline distT="0" distB="0" distL="0" distR="0" wp14:anchorId="45AA1D1F" wp14:editId="3EEB4029">
            <wp:extent cx="4896485" cy="3103880"/>
            <wp:effectExtent l="0" t="0" r="0" b="1270"/>
            <wp:docPr id="154938839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896485" cy="3103880"/>
                    </a:xfrm>
                    <a:prstGeom prst="rect">
                      <a:avLst/>
                    </a:prstGeom>
                    <a:noFill/>
                    <a:ln>
                      <a:noFill/>
                    </a:ln>
                  </pic:spPr>
                </pic:pic>
              </a:graphicData>
            </a:graphic>
          </wp:inline>
        </w:drawing>
      </w:r>
    </w:p>
    <w:p w14:paraId="0CC31498" w14:textId="77777777" w:rsidR="00DB42D8" w:rsidRPr="009C33E9" w:rsidRDefault="00DB42D8" w:rsidP="00CA0393">
      <w:pPr>
        <w:pStyle w:val="Source"/>
        <w:spacing w:after="120"/>
      </w:pPr>
      <w:r w:rsidRPr="000F37E6">
        <w:t>Prepared on Australian Accounting Standards</w:t>
      </w:r>
      <w:r w:rsidRPr="009C33E9">
        <w:t xml:space="preserve"> basis.</w:t>
      </w:r>
    </w:p>
    <w:p w14:paraId="32F9CBCF" w14:textId="245CC7EB" w:rsidR="00DB42D8" w:rsidRDefault="001C2164" w:rsidP="000C2BC5">
      <w:pPr>
        <w:pStyle w:val="ChartandTableFootnoteAlpha"/>
        <w:numPr>
          <w:ilvl w:val="0"/>
          <w:numId w:val="12"/>
        </w:numPr>
      </w:pPr>
      <w:r>
        <w:t xml:space="preserve">Includes current </w:t>
      </w:r>
      <w:r w:rsidRPr="00F11E5D">
        <w:rPr>
          <w:i/>
          <w:iCs/>
        </w:rPr>
        <w:t xml:space="preserve">Appropriation </w:t>
      </w:r>
      <w:r w:rsidR="003550E7" w:rsidRPr="00F11E5D">
        <w:rPr>
          <w:i/>
          <w:iCs/>
        </w:rPr>
        <w:t xml:space="preserve">Act </w:t>
      </w:r>
      <w:r w:rsidR="00E000E6" w:rsidRPr="00F11E5D">
        <w:rPr>
          <w:i/>
          <w:iCs/>
        </w:rPr>
        <w:t xml:space="preserve">(No. </w:t>
      </w:r>
      <w:r w:rsidR="003550E7" w:rsidRPr="00F11E5D">
        <w:rPr>
          <w:i/>
          <w:iCs/>
        </w:rPr>
        <w:t>2</w:t>
      </w:r>
      <w:r w:rsidR="00E000E6" w:rsidRPr="00F11E5D">
        <w:rPr>
          <w:i/>
          <w:iCs/>
        </w:rPr>
        <w:t>)</w:t>
      </w:r>
      <w:r w:rsidR="003550E7">
        <w:t xml:space="preserve"> and</w:t>
      </w:r>
      <w:r>
        <w:t xml:space="preserve"> </w:t>
      </w:r>
      <w:r w:rsidR="00E000E6">
        <w:t xml:space="preserve">Bill </w:t>
      </w:r>
      <w:r>
        <w:t>(No.</w:t>
      </w:r>
      <w:r w:rsidR="00524CBA">
        <w:t xml:space="preserve"> </w:t>
      </w:r>
      <w:r>
        <w:t xml:space="preserve">4) and prior </w:t>
      </w:r>
      <w:r w:rsidRPr="00F11E5D">
        <w:rPr>
          <w:i/>
          <w:iCs/>
        </w:rPr>
        <w:t>Appropriation Act No. 2/4/6</w:t>
      </w:r>
      <w:r>
        <w:t xml:space="preserve"> appropriations (inclusive of </w:t>
      </w:r>
      <w:r w:rsidRPr="00760849">
        <w:t>Supply Act arrangements</w:t>
      </w:r>
      <w:r>
        <w:t>)</w:t>
      </w:r>
      <w:r w:rsidR="00DB42D8">
        <w:t>.</w:t>
      </w:r>
    </w:p>
    <w:p w14:paraId="2AD7596A" w14:textId="5C17BD58" w:rsidR="008330A7" w:rsidRDefault="00DB42D8" w:rsidP="000C2BC5">
      <w:pPr>
        <w:pStyle w:val="ChartandTableFootnoteAlpha"/>
      </w:pPr>
      <w:r w:rsidRPr="005941AC">
        <w:t xml:space="preserve">Includes </w:t>
      </w:r>
      <w:r w:rsidR="001C2164">
        <w:t>purchases from current and previous years’ DCB.</w:t>
      </w:r>
    </w:p>
    <w:p w14:paraId="38E7E830" w14:textId="554EAF03" w:rsidR="001C2164" w:rsidRDefault="001C2164" w:rsidP="000C2BC5">
      <w:pPr>
        <w:pStyle w:val="ChartandTableFootnoteAlpha"/>
      </w:pPr>
      <w:r>
        <w:t xml:space="preserve">Includes current </w:t>
      </w:r>
      <w:r w:rsidRPr="00F11E5D">
        <w:rPr>
          <w:i/>
          <w:iCs/>
        </w:rPr>
        <w:t xml:space="preserve">Appropriation </w:t>
      </w:r>
      <w:r w:rsidR="00E000E6" w:rsidRPr="00F11E5D">
        <w:rPr>
          <w:i/>
          <w:iCs/>
        </w:rPr>
        <w:t>Act (No.</w:t>
      </w:r>
      <w:r w:rsidR="00524CBA" w:rsidRPr="00F11E5D">
        <w:rPr>
          <w:i/>
          <w:iCs/>
        </w:rPr>
        <w:t xml:space="preserve"> </w:t>
      </w:r>
      <w:r w:rsidR="00E000E6" w:rsidRPr="00F11E5D">
        <w:rPr>
          <w:i/>
          <w:iCs/>
        </w:rPr>
        <w:t>1)</w:t>
      </w:r>
      <w:r w:rsidR="00E000E6">
        <w:t xml:space="preserve"> and </w:t>
      </w:r>
      <w:r>
        <w:t>Bill (No.</w:t>
      </w:r>
      <w:r w:rsidR="00524CBA">
        <w:t xml:space="preserve"> </w:t>
      </w:r>
      <w:r>
        <w:t xml:space="preserve">3) and prior </w:t>
      </w:r>
      <w:r w:rsidRPr="00F11E5D">
        <w:rPr>
          <w:i/>
          <w:iCs/>
        </w:rPr>
        <w:t>Appropriation Act No. 1/3/5</w:t>
      </w:r>
      <w:r>
        <w:t xml:space="preserve"> appropriations (inclusive of </w:t>
      </w:r>
      <w:r w:rsidRPr="00EA0DE0">
        <w:t>Supply Act</w:t>
      </w:r>
      <w:r>
        <w:t xml:space="preserve"> arrangements), special accounts and </w:t>
      </w:r>
      <w:r w:rsidRPr="00760849">
        <w:t>PGPA Act</w:t>
      </w:r>
      <w:r>
        <w:t xml:space="preserve"> section 74 external receipts.</w:t>
      </w:r>
    </w:p>
    <w:p w14:paraId="437FF46C" w14:textId="4FEB0EC7" w:rsidR="00F31908" w:rsidRDefault="00F31908">
      <w:pPr>
        <w:spacing w:before="0" w:after="0" w:line="240" w:lineRule="auto"/>
        <w:rPr>
          <w:rFonts w:ascii="Arial" w:hAnsi="Arial"/>
          <w:sz w:val="16"/>
        </w:rPr>
      </w:pPr>
      <w:r>
        <w:br w:type="page"/>
      </w:r>
    </w:p>
    <w:p w14:paraId="6F5A9223" w14:textId="77777777" w:rsidR="00F31908" w:rsidRDefault="00F31908" w:rsidP="00F31908">
      <w:pPr>
        <w:pStyle w:val="TableHeading"/>
        <w:spacing w:before="0" w:after="0"/>
        <w:rPr>
          <w:snapToGrid w:val="0"/>
        </w:rPr>
      </w:pPr>
      <w:r>
        <w:rPr>
          <w:snapToGrid w:val="0"/>
        </w:rPr>
        <w:lastRenderedPageBreak/>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p>
    <w:p w14:paraId="38AE3A82" w14:textId="3837C14F" w:rsidR="00F31908" w:rsidRPr="00F31908" w:rsidRDefault="009E524D" w:rsidP="00F31908">
      <w:pPr>
        <w:pStyle w:val="TableGraphic"/>
      </w:pPr>
      <w:r w:rsidRPr="009E524D">
        <w:rPr>
          <w:noProof/>
        </w:rPr>
        <w:drawing>
          <wp:inline distT="0" distB="0" distL="0" distR="0" wp14:anchorId="56FFDD50" wp14:editId="264A5873">
            <wp:extent cx="4896485" cy="5568315"/>
            <wp:effectExtent l="0" t="0" r="0" b="0"/>
            <wp:docPr id="8984271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896485" cy="5568315"/>
                    </a:xfrm>
                    <a:prstGeom prst="rect">
                      <a:avLst/>
                    </a:prstGeom>
                    <a:noFill/>
                    <a:ln>
                      <a:noFill/>
                    </a:ln>
                  </pic:spPr>
                </pic:pic>
              </a:graphicData>
            </a:graphic>
          </wp:inline>
        </w:drawing>
      </w:r>
    </w:p>
    <w:p w14:paraId="7D4F3F2E" w14:textId="77777777" w:rsidR="001C2164" w:rsidRPr="009C33E9" w:rsidRDefault="001C2164" w:rsidP="00393F4C">
      <w:pPr>
        <w:pStyle w:val="Source"/>
        <w:spacing w:after="120"/>
      </w:pPr>
      <w:r w:rsidRPr="000F37E6">
        <w:t>Prepared on Australian Accounting Standards</w:t>
      </w:r>
      <w:r w:rsidRPr="009C33E9">
        <w:t xml:space="preserve"> basis.</w:t>
      </w:r>
    </w:p>
    <w:p w14:paraId="07FEB11B" w14:textId="0B8F200C" w:rsidR="00596F64" w:rsidRPr="00930570" w:rsidRDefault="00596F64" w:rsidP="000C2BC5">
      <w:pPr>
        <w:pStyle w:val="ChartandTableFootnoteAlpha"/>
        <w:numPr>
          <w:ilvl w:val="0"/>
          <w:numId w:val="28"/>
        </w:numPr>
        <w:ind w:left="284" w:hanging="284"/>
      </w:pPr>
      <w:r w:rsidRPr="00930570">
        <w:t xml:space="preserve">‘Appropriation equity’ refers to equity injection appropriations provided through </w:t>
      </w:r>
      <w:r w:rsidRPr="00F11E5D">
        <w:rPr>
          <w:i/>
          <w:iCs/>
        </w:rPr>
        <w:t>Appropriation Act (No.</w:t>
      </w:r>
      <w:r w:rsidR="0002340D" w:rsidRPr="00F11E5D">
        <w:rPr>
          <w:i/>
          <w:iCs/>
        </w:rPr>
        <w:t xml:space="preserve"> </w:t>
      </w:r>
      <w:r w:rsidRPr="00F11E5D">
        <w:rPr>
          <w:i/>
          <w:iCs/>
        </w:rPr>
        <w:t>2)</w:t>
      </w:r>
      <w:r w:rsidRPr="00930570">
        <w:t xml:space="preserve"> 202</w:t>
      </w:r>
      <w:r>
        <w:t>3</w:t>
      </w:r>
      <w:r w:rsidRPr="00930570">
        <w:t>-</w:t>
      </w:r>
      <w:r>
        <w:t>20</w:t>
      </w:r>
      <w:r w:rsidRPr="00930570">
        <w:t>2</w:t>
      </w:r>
      <w:r>
        <w:t>4 and Appropriation Bill (No. 4).</w:t>
      </w:r>
    </w:p>
    <w:p w14:paraId="50DD1041" w14:textId="2D7F4AC4" w:rsidR="00596F64" w:rsidRPr="00930570" w:rsidRDefault="00596F64" w:rsidP="000C2BC5">
      <w:pPr>
        <w:pStyle w:val="ChartandTableFootnoteAlpha"/>
        <w:numPr>
          <w:ilvl w:val="0"/>
          <w:numId w:val="28"/>
        </w:numPr>
        <w:ind w:left="284" w:hanging="284"/>
      </w:pPr>
      <w:r w:rsidRPr="00930570">
        <w:t xml:space="preserve">‘Appropriation ordinary annual services’ refers to funding provided through </w:t>
      </w:r>
      <w:r w:rsidRPr="00F11E5D">
        <w:rPr>
          <w:i/>
          <w:iCs/>
        </w:rPr>
        <w:t>Appropriation Act (No.</w:t>
      </w:r>
      <w:r w:rsidR="0002340D" w:rsidRPr="00F11E5D">
        <w:rPr>
          <w:i/>
          <w:iCs/>
        </w:rPr>
        <w:t xml:space="preserve"> </w:t>
      </w:r>
      <w:r w:rsidRPr="00F11E5D">
        <w:rPr>
          <w:i/>
          <w:iCs/>
        </w:rPr>
        <w:t>1)</w:t>
      </w:r>
      <w:r>
        <w:t xml:space="preserve"> </w:t>
      </w:r>
      <w:r w:rsidRPr="00930570">
        <w:t>202</w:t>
      </w:r>
      <w:r>
        <w:t>3</w:t>
      </w:r>
      <w:r w:rsidRPr="00930570">
        <w:t>-2</w:t>
      </w:r>
      <w:r>
        <w:t>4</w:t>
      </w:r>
      <w:r w:rsidRPr="00930570">
        <w:t xml:space="preserve"> </w:t>
      </w:r>
      <w:r>
        <w:t>and Appropriation Bill (No. 3) 2023-2024 f</w:t>
      </w:r>
      <w:r w:rsidRPr="00930570">
        <w:t>or depreciation/amortisation expenses, DCB or other operational expenses.</w:t>
      </w:r>
    </w:p>
    <w:p w14:paraId="1B6EA9C4" w14:textId="3C061CD1" w:rsidR="001C2164" w:rsidRDefault="00596F64" w:rsidP="000C2BC5">
      <w:pPr>
        <w:pStyle w:val="ChartandTableFootnoteAlpha"/>
        <w:numPr>
          <w:ilvl w:val="0"/>
          <w:numId w:val="28"/>
        </w:numPr>
        <w:ind w:left="284" w:hanging="284"/>
      </w:pPr>
      <w:r w:rsidRPr="00930570">
        <w:t>Net proceeds may be returned to the Official Public Account</w:t>
      </w:r>
      <w:r w:rsidR="00AD23FC">
        <w:t>.</w:t>
      </w:r>
    </w:p>
    <w:p w14:paraId="0EBAF0F5" w14:textId="77777777" w:rsidR="00AB12A2" w:rsidRDefault="00AB12A2" w:rsidP="00AB12A2"/>
    <w:bookmarkEnd w:id="506"/>
    <w:bookmarkEnd w:id="580"/>
    <w:bookmarkEnd w:id="581"/>
    <w:bookmarkEnd w:id="582"/>
    <w:p w14:paraId="49397384" w14:textId="77777777" w:rsidR="00DB42D8" w:rsidRDefault="00DB42D8" w:rsidP="00DB42D8">
      <w:pPr>
        <w:pStyle w:val="TableHeading"/>
        <w:spacing w:before="0"/>
        <w:rPr>
          <w:b w:val="0"/>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3C116E90" w14:textId="52B4BDF2" w:rsidR="00DB42D8" w:rsidRPr="00EA437C" w:rsidRDefault="002F1A44" w:rsidP="00DB42D8">
      <w:pPr>
        <w:pStyle w:val="TableGraphic"/>
      </w:pPr>
      <w:r w:rsidRPr="002F1A44">
        <w:rPr>
          <w:noProof/>
        </w:rPr>
        <w:drawing>
          <wp:inline distT="0" distB="0" distL="0" distR="0" wp14:anchorId="310CC56C" wp14:editId="64EBB490">
            <wp:extent cx="4896485" cy="5349875"/>
            <wp:effectExtent l="0" t="0" r="0" b="3175"/>
            <wp:docPr id="19856954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96485" cy="5349875"/>
                    </a:xfrm>
                    <a:prstGeom prst="rect">
                      <a:avLst/>
                    </a:prstGeom>
                    <a:noFill/>
                    <a:ln>
                      <a:noFill/>
                    </a:ln>
                  </pic:spPr>
                </pic:pic>
              </a:graphicData>
            </a:graphic>
          </wp:inline>
        </w:drawing>
      </w:r>
    </w:p>
    <w:p w14:paraId="22EB6E24" w14:textId="77777777" w:rsidR="00DB42D8" w:rsidRPr="00AC530C" w:rsidRDefault="00DB42D8" w:rsidP="00B2167E">
      <w:pPr>
        <w:pStyle w:val="Source"/>
        <w:spacing w:after="120"/>
      </w:pPr>
      <w:r w:rsidRPr="00AC530C">
        <w:t>Prepared on Australian Accounting Standards basis.</w:t>
      </w:r>
    </w:p>
    <w:p w14:paraId="74DCFF33" w14:textId="45AB790D" w:rsidR="008F10C8" w:rsidRPr="00930570" w:rsidRDefault="008F10C8" w:rsidP="000C2BC5">
      <w:pPr>
        <w:pStyle w:val="ChartandTableFootnoteAlpha"/>
        <w:numPr>
          <w:ilvl w:val="0"/>
          <w:numId w:val="29"/>
        </w:numPr>
        <w:ind w:left="284" w:hanging="284"/>
      </w:pPr>
      <w:r w:rsidRPr="00930570">
        <w:t>Estimates of distributions to be transferred from the Australian Government Investment Funds. This item</w:t>
      </w:r>
      <w:r>
        <w:t xml:space="preserve"> </w:t>
      </w:r>
      <w:r w:rsidRPr="00930570">
        <w:t>does not include equity payments. For more detail on each fund, refer to Tables 2.</w:t>
      </w:r>
      <w:r>
        <w:t>3</w:t>
      </w:r>
      <w:r w:rsidRPr="00930570">
        <w:t>.1.1 to 2.</w:t>
      </w:r>
      <w:r>
        <w:t>3</w:t>
      </w:r>
      <w:r w:rsidRPr="00930570">
        <w:t>.1.</w:t>
      </w:r>
      <w:r>
        <w:t>6.</w:t>
      </w:r>
    </w:p>
    <w:p w14:paraId="5D373811" w14:textId="340F4B01" w:rsidR="008F10C8" w:rsidRPr="00930570" w:rsidRDefault="008F10C8" w:rsidP="000C2BC5">
      <w:pPr>
        <w:pStyle w:val="ChartandTableFootnoteAlpha"/>
        <w:numPr>
          <w:ilvl w:val="0"/>
          <w:numId w:val="29"/>
        </w:numPr>
        <w:ind w:left="284" w:hanging="284"/>
      </w:pPr>
      <w:r w:rsidRPr="00930570">
        <w:t>From 2010-11, the Government introduced net cash appropriation arrangements where Bill 1 revenue appropriations for the depreciation/amortisation expenses of non-corporate Commonwealth entities were replaced with a separate capital budget (ACB) provided through Bill 1 equity appropriations. For information regarding ACB, please refer to Table 3.1</w:t>
      </w:r>
      <w:r>
        <w:t>1</w:t>
      </w:r>
      <w:r w:rsidRPr="00930570">
        <w:t xml:space="preserve"> Administered Capital Budget Statement.</w:t>
      </w:r>
    </w:p>
    <w:p w14:paraId="2A6EDDC9" w14:textId="77777777" w:rsidR="008F10C8" w:rsidRPr="00930570" w:rsidRDefault="008F10C8" w:rsidP="000C2BC5">
      <w:pPr>
        <w:pStyle w:val="ChartandTableFootnoteAlpha"/>
        <w:numPr>
          <w:ilvl w:val="0"/>
          <w:numId w:val="29"/>
        </w:numPr>
        <w:ind w:left="284" w:hanging="284"/>
      </w:pPr>
      <w:r w:rsidRPr="00930570">
        <w:t>Includes earnings for the Australian Government Investment Funds and corporate Commonwealth entities.</w:t>
      </w:r>
    </w:p>
    <w:p w14:paraId="7A3F3A4A" w14:textId="77777777" w:rsidR="008F10C8" w:rsidRDefault="008F10C8" w:rsidP="000C2BC5">
      <w:pPr>
        <w:pStyle w:val="ChartandTableFootnoteAlpha"/>
        <w:numPr>
          <w:ilvl w:val="0"/>
          <w:numId w:val="29"/>
        </w:numPr>
        <w:ind w:left="284" w:hanging="284"/>
      </w:pPr>
      <w:r w:rsidRPr="00930570">
        <w:t>Principally Commonwealth Superannuation Scheme (CSS) and Public Sector Superannuation Scheme (PSS) notional employer superannuation contributions.</w:t>
      </w:r>
    </w:p>
    <w:p w14:paraId="6DEC8867" w14:textId="77777777" w:rsidR="00DB42D8" w:rsidRDefault="00DB42D8" w:rsidP="00DB42D8">
      <w:pPr>
        <w:pStyle w:val="TableHeading"/>
        <w:spacing w:before="0"/>
        <w:rPr>
          <w:snapToGrid w:val="0"/>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2639BC93" w14:textId="224E026F" w:rsidR="00DB42D8" w:rsidRPr="005B0398" w:rsidRDefault="008A6481" w:rsidP="00DB42D8">
      <w:pPr>
        <w:pStyle w:val="TableGraphic"/>
        <w:rPr>
          <w:b/>
        </w:rPr>
      </w:pPr>
      <w:r w:rsidRPr="008A6481">
        <w:rPr>
          <w:b/>
          <w:noProof/>
        </w:rPr>
        <w:drawing>
          <wp:inline distT="0" distB="0" distL="0" distR="0" wp14:anchorId="590C7B1E" wp14:editId="6E92E891">
            <wp:extent cx="4896485" cy="4638675"/>
            <wp:effectExtent l="0" t="0" r="0" b="9525"/>
            <wp:docPr id="1756030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896485" cy="4638675"/>
                    </a:xfrm>
                    <a:prstGeom prst="rect">
                      <a:avLst/>
                    </a:prstGeom>
                    <a:noFill/>
                    <a:ln>
                      <a:noFill/>
                    </a:ln>
                  </pic:spPr>
                </pic:pic>
              </a:graphicData>
            </a:graphic>
          </wp:inline>
        </w:drawing>
      </w:r>
    </w:p>
    <w:p w14:paraId="27BF644A" w14:textId="77777777" w:rsidR="00DB42D8" w:rsidRPr="00AC530C" w:rsidRDefault="00DB42D8" w:rsidP="00B2167E">
      <w:pPr>
        <w:pStyle w:val="Source"/>
        <w:spacing w:after="120"/>
        <w:ind w:left="0" w:firstLine="0"/>
      </w:pPr>
      <w:r w:rsidRPr="00AC530C">
        <w:t>Prepared on Australian Accounting Standards basis.</w:t>
      </w:r>
    </w:p>
    <w:p w14:paraId="46CCBAF4" w14:textId="7F0905B4" w:rsidR="003B67B3" w:rsidRDefault="008F10C8" w:rsidP="00BE62E3">
      <w:pPr>
        <w:pStyle w:val="ChartandTableFootnoteAlpha"/>
        <w:numPr>
          <w:ilvl w:val="0"/>
          <w:numId w:val="30"/>
        </w:numPr>
        <w:ind w:left="284" w:hanging="284"/>
      </w:pPr>
      <w:bookmarkStart w:id="583" w:name="OLE_LINK6"/>
      <w:r w:rsidRPr="002F4C02">
        <w:t>Represents balance held in the DHA Borrowings Special Account 202</w:t>
      </w:r>
      <w:r w:rsidR="003B67B3">
        <w:t>0</w:t>
      </w:r>
      <w:r w:rsidRPr="002F4C02">
        <w:t>.</w:t>
      </w:r>
      <w:r w:rsidR="003B67B3">
        <w:t xml:space="preserve"> Refer to </w:t>
      </w:r>
      <w:r w:rsidR="003B67B3" w:rsidRPr="003B67B3">
        <w:t>Table 3.1: Estimates of special account flows and balances</w:t>
      </w:r>
      <w:r w:rsidR="003B67B3">
        <w:t>.</w:t>
      </w:r>
      <w:r w:rsidR="003B67B3" w:rsidRPr="003B67B3">
        <w:t xml:space="preserve"> </w:t>
      </w:r>
    </w:p>
    <w:p w14:paraId="37090BFB" w14:textId="54A4869B" w:rsidR="008F10C8" w:rsidRPr="002F4C02" w:rsidRDefault="008F10C8" w:rsidP="00BE62E3">
      <w:pPr>
        <w:pStyle w:val="ChartandTableFootnoteAlpha"/>
        <w:numPr>
          <w:ilvl w:val="0"/>
          <w:numId w:val="30"/>
        </w:numPr>
        <w:ind w:left="284" w:hanging="284"/>
      </w:pPr>
      <w:r w:rsidRPr="002F4C02">
        <w:t>Represents investments in the Australian Government Investment Funds and Commonwealth entities that are owned by the Commonwealth.</w:t>
      </w:r>
    </w:p>
    <w:p w14:paraId="711D67C9" w14:textId="77777777" w:rsidR="008F10C8" w:rsidRPr="002F4C02" w:rsidRDefault="008F10C8" w:rsidP="000C2BC5">
      <w:pPr>
        <w:pStyle w:val="ChartandTableFootnoteAlpha"/>
        <w:numPr>
          <w:ilvl w:val="0"/>
          <w:numId w:val="30"/>
        </w:numPr>
        <w:ind w:left="284" w:hanging="284"/>
        <w:rPr>
          <w:i/>
        </w:rPr>
      </w:pPr>
      <w:r w:rsidRPr="002F4C02">
        <w:t xml:space="preserve">Represents Life Gold Pass Holders liabilities and employee provisions for staff employed under the </w:t>
      </w:r>
      <w:r w:rsidRPr="00124BBF">
        <w:t>MOP(S) Act.</w:t>
      </w:r>
    </w:p>
    <w:bookmarkEnd w:id="583"/>
    <w:p w14:paraId="39CA7564" w14:textId="77777777" w:rsidR="00DB42D8" w:rsidRPr="000C3374" w:rsidRDefault="00DB42D8" w:rsidP="00DB42D8">
      <w:pPr>
        <w:pStyle w:val="TableGraphic"/>
      </w:pPr>
    </w:p>
    <w:p w14:paraId="28609528" w14:textId="77777777" w:rsidR="00DB42D8" w:rsidRDefault="00DB42D8" w:rsidP="00DB42D8">
      <w:pPr>
        <w:pStyle w:val="TableHeading"/>
        <w:spacing w:before="0"/>
        <w:rPr>
          <w:snapToGrid w:val="0"/>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p w14:paraId="1C46E3B8" w14:textId="144968B8" w:rsidR="00DB42D8" w:rsidRPr="005B0398" w:rsidRDefault="00F94E54" w:rsidP="00DB42D8">
      <w:pPr>
        <w:pStyle w:val="TableGraphic"/>
      </w:pPr>
      <w:r w:rsidRPr="00F94E54">
        <w:rPr>
          <w:noProof/>
        </w:rPr>
        <w:drawing>
          <wp:inline distT="0" distB="0" distL="0" distR="0" wp14:anchorId="51A5FB0E" wp14:editId="4AAF0D1A">
            <wp:extent cx="4896485" cy="4883150"/>
            <wp:effectExtent l="0" t="0" r="0" b="0"/>
            <wp:docPr id="54600261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896485" cy="4883150"/>
                    </a:xfrm>
                    <a:prstGeom prst="rect">
                      <a:avLst/>
                    </a:prstGeom>
                    <a:noFill/>
                    <a:ln>
                      <a:noFill/>
                    </a:ln>
                  </pic:spPr>
                </pic:pic>
              </a:graphicData>
            </a:graphic>
          </wp:inline>
        </w:drawing>
      </w:r>
    </w:p>
    <w:p w14:paraId="1A88C7DC" w14:textId="05A29476" w:rsidR="00DB42D8" w:rsidRDefault="000C2BC5" w:rsidP="00DB42D8">
      <w:pPr>
        <w:pStyle w:val="Source"/>
      </w:pPr>
      <w:r>
        <w:t>Table continues on next page</w:t>
      </w:r>
    </w:p>
    <w:p w14:paraId="0C67FC9F" w14:textId="77777777" w:rsidR="00DB42D8" w:rsidRDefault="00DB42D8" w:rsidP="00DB42D8">
      <w:pPr>
        <w:pStyle w:val="TableHeading"/>
        <w:spacing w:before="0"/>
        <w:rPr>
          <w:snapToGrid w:val="0"/>
        </w:rPr>
      </w:pPr>
      <w:bookmarkStart w:id="584" w:name="OLE_LINK1"/>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r>
        <w:rPr>
          <w:snapToGrid w:val="0"/>
        </w:rPr>
        <w:t xml:space="preserve"> (continued)</w:t>
      </w:r>
    </w:p>
    <w:p w14:paraId="0C530DFF" w14:textId="6CD566B3" w:rsidR="00DB42D8" w:rsidRPr="005A4975" w:rsidRDefault="009F38C5" w:rsidP="00DB42D8">
      <w:pPr>
        <w:pStyle w:val="TableGraphic"/>
      </w:pPr>
      <w:r w:rsidRPr="009F38C5">
        <w:rPr>
          <w:noProof/>
        </w:rPr>
        <w:drawing>
          <wp:inline distT="0" distB="0" distL="0" distR="0" wp14:anchorId="3684EEBC" wp14:editId="34E2D0BA">
            <wp:extent cx="4896485" cy="3477260"/>
            <wp:effectExtent l="0" t="0" r="0" b="8890"/>
            <wp:docPr id="1569698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96485" cy="3477260"/>
                    </a:xfrm>
                    <a:prstGeom prst="rect">
                      <a:avLst/>
                    </a:prstGeom>
                    <a:noFill/>
                    <a:ln>
                      <a:noFill/>
                    </a:ln>
                  </pic:spPr>
                </pic:pic>
              </a:graphicData>
            </a:graphic>
          </wp:inline>
        </w:drawing>
      </w:r>
    </w:p>
    <w:p w14:paraId="0C891170" w14:textId="77777777" w:rsidR="008F10C8" w:rsidRPr="00D50CDA" w:rsidRDefault="008F10C8" w:rsidP="00B2167E">
      <w:pPr>
        <w:pStyle w:val="NoSpacing"/>
        <w:spacing w:before="30" w:after="120"/>
        <w:rPr>
          <w:rFonts w:ascii="Arial" w:hAnsi="Arial"/>
          <w:b/>
          <w:sz w:val="20"/>
        </w:rPr>
      </w:pPr>
      <w:bookmarkStart w:id="585" w:name="OLE_LINK5"/>
      <w:bookmarkEnd w:id="584"/>
      <w:r w:rsidRPr="00D50CDA">
        <w:rPr>
          <w:rFonts w:ascii="Arial" w:hAnsi="Arial" w:cs="Arial"/>
          <w:sz w:val="16"/>
          <w:szCs w:val="16"/>
        </w:rPr>
        <w:t>Prepared on Australian Accounting Standards basis.</w:t>
      </w:r>
    </w:p>
    <w:p w14:paraId="016EA2F3" w14:textId="51D8A1DB" w:rsidR="008F10C8" w:rsidRPr="00930570" w:rsidRDefault="008F10C8" w:rsidP="000C2BC5">
      <w:pPr>
        <w:pStyle w:val="ChartandTableFootnoteAlpha"/>
        <w:numPr>
          <w:ilvl w:val="0"/>
          <w:numId w:val="31"/>
        </w:numPr>
        <w:ind w:left="284" w:hanging="284"/>
      </w:pPr>
      <w:r w:rsidRPr="00930570">
        <w:t>Estimates include interest earnings for the Australian Government Investment Funds. For more detail on the interest estimates for each fund, refer to Tables 2.</w:t>
      </w:r>
      <w:r>
        <w:t>3</w:t>
      </w:r>
      <w:r w:rsidRPr="00930570">
        <w:t>.1.1 to 2.</w:t>
      </w:r>
      <w:r>
        <w:t>3</w:t>
      </w:r>
      <w:r w:rsidRPr="00930570">
        <w:t>.1.</w:t>
      </w:r>
      <w:r>
        <w:t>6</w:t>
      </w:r>
      <w:r w:rsidRPr="00930570">
        <w:t>.</w:t>
      </w:r>
    </w:p>
    <w:p w14:paraId="0C6DECAB" w14:textId="77777777" w:rsidR="008F10C8" w:rsidRPr="00930570" w:rsidRDefault="008F10C8" w:rsidP="000C2BC5">
      <w:pPr>
        <w:pStyle w:val="ChartandTableFootnoteAlpha"/>
        <w:numPr>
          <w:ilvl w:val="0"/>
          <w:numId w:val="31"/>
        </w:numPr>
        <w:ind w:left="284" w:hanging="284"/>
      </w:pPr>
      <w:r w:rsidRPr="00930570">
        <w:t>Primarily represents the CSS and PSS notional employer contributions.</w:t>
      </w:r>
    </w:p>
    <w:p w14:paraId="701D0BED" w14:textId="77777777" w:rsidR="008F10C8" w:rsidRPr="00930570" w:rsidRDefault="008F10C8" w:rsidP="000C2BC5">
      <w:pPr>
        <w:pStyle w:val="ChartandTableFootnoteAlpha"/>
        <w:numPr>
          <w:ilvl w:val="0"/>
          <w:numId w:val="31"/>
        </w:numPr>
        <w:ind w:left="284" w:hanging="284"/>
      </w:pPr>
      <w:r w:rsidRPr="00930570">
        <w:t>Primarily represents offsets from the CSS and PSS funds and return of overpaid benefits.</w:t>
      </w:r>
    </w:p>
    <w:p w14:paraId="255F6418" w14:textId="77777777" w:rsidR="008F10C8" w:rsidRPr="00930570" w:rsidRDefault="008F10C8" w:rsidP="000C2BC5">
      <w:pPr>
        <w:pStyle w:val="ChartandTableFootnoteAlpha"/>
        <w:numPr>
          <w:ilvl w:val="0"/>
          <w:numId w:val="31"/>
        </w:numPr>
        <w:ind w:left="284" w:hanging="284"/>
      </w:pPr>
      <w:r w:rsidRPr="00E43EBD">
        <w:t xml:space="preserve">Primarily represents </w:t>
      </w:r>
      <w:r w:rsidRPr="00930570">
        <w:t xml:space="preserve">expenditure on staff employed under the </w:t>
      </w:r>
      <w:r w:rsidRPr="003B67B3">
        <w:t>MOP(S) Act</w:t>
      </w:r>
      <w:r w:rsidRPr="00FB00DA">
        <w:t>.</w:t>
      </w:r>
    </w:p>
    <w:p w14:paraId="578FB89F" w14:textId="77777777" w:rsidR="008F10C8" w:rsidRPr="00930570" w:rsidRDefault="008F10C8" w:rsidP="000C2BC5">
      <w:pPr>
        <w:pStyle w:val="ChartandTableFootnoteAlpha"/>
        <w:numPr>
          <w:ilvl w:val="0"/>
          <w:numId w:val="31"/>
        </w:numPr>
        <w:ind w:left="284" w:hanging="284"/>
      </w:pPr>
      <w:r w:rsidRPr="00930570">
        <w:t>Distributions from the Investment Funds represents estimates of cash payments from the Funds to other entities and the Consolidated Revenue Fund.</w:t>
      </w:r>
    </w:p>
    <w:p w14:paraId="3FAA85AD" w14:textId="77777777" w:rsidR="008F10C8" w:rsidRPr="00097F9C" w:rsidRDefault="008F10C8" w:rsidP="000C2BC5">
      <w:pPr>
        <w:pStyle w:val="ChartandTableFootnoteAlpha"/>
        <w:numPr>
          <w:ilvl w:val="0"/>
          <w:numId w:val="31"/>
        </w:numPr>
        <w:ind w:left="284" w:hanging="284"/>
      </w:pPr>
      <w:r w:rsidRPr="00930570">
        <w:t>Expenditure associated with unfunded liabilities for the government’s civilian superannuation schemes</w:t>
      </w:r>
      <w:r w:rsidRPr="00097F9C">
        <w:t>.</w:t>
      </w:r>
    </w:p>
    <w:bookmarkEnd w:id="585"/>
    <w:p w14:paraId="4B3D5599" w14:textId="77777777" w:rsidR="00DB42D8" w:rsidRDefault="00DB42D8" w:rsidP="003A0EB0">
      <w:pPr>
        <w:spacing w:before="60" w:after="0" w:line="240" w:lineRule="auto"/>
      </w:pPr>
      <w:r>
        <w:br w:type="page"/>
      </w:r>
    </w:p>
    <w:p w14:paraId="01A7BE49" w14:textId="77777777" w:rsidR="00DB42D8" w:rsidRDefault="00DB42D8" w:rsidP="00DB42D8">
      <w:pPr>
        <w:pStyle w:val="TableHeading"/>
        <w:spacing w:before="0"/>
        <w:rPr>
          <w:snapToGrid w:val="0"/>
        </w:rPr>
      </w:pPr>
      <w:r>
        <w:rPr>
          <w:snapToGrid w:val="0"/>
        </w:rPr>
        <w:lastRenderedPageBreak/>
        <w:t>Table 3.11</w:t>
      </w:r>
      <w:r w:rsidRPr="00014438">
        <w:rPr>
          <w:snapToGrid w:val="0"/>
        </w:rPr>
        <w:t>: Schedule of administered capital budget</w:t>
      </w:r>
      <w:r>
        <w:rPr>
          <w:snapToGrid w:val="0"/>
        </w:rPr>
        <w:t xml:space="preserve"> (for the period ended 30 June)</w:t>
      </w:r>
    </w:p>
    <w:p w14:paraId="1B3BA7AD" w14:textId="7E5339C1" w:rsidR="00DB42D8" w:rsidRPr="00A7524A" w:rsidRDefault="00C13BE3" w:rsidP="00DB42D8">
      <w:pPr>
        <w:pStyle w:val="TableGraphic"/>
      </w:pPr>
      <w:r w:rsidRPr="00C13BE3">
        <w:rPr>
          <w:noProof/>
        </w:rPr>
        <w:drawing>
          <wp:inline distT="0" distB="0" distL="0" distR="0" wp14:anchorId="6B2D3BD4" wp14:editId="2726BA13">
            <wp:extent cx="4896485" cy="3171190"/>
            <wp:effectExtent l="0" t="0" r="0" b="0"/>
            <wp:docPr id="141588128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896485" cy="3171190"/>
                    </a:xfrm>
                    <a:prstGeom prst="rect">
                      <a:avLst/>
                    </a:prstGeom>
                    <a:noFill/>
                    <a:ln>
                      <a:noFill/>
                    </a:ln>
                  </pic:spPr>
                </pic:pic>
              </a:graphicData>
            </a:graphic>
          </wp:inline>
        </w:drawing>
      </w:r>
    </w:p>
    <w:p w14:paraId="27CF4B68" w14:textId="77777777" w:rsidR="00DB42D8" w:rsidRPr="00185D7A" w:rsidRDefault="00DB42D8" w:rsidP="001A3E3A">
      <w:pPr>
        <w:pStyle w:val="Source"/>
        <w:spacing w:after="120"/>
      </w:pPr>
      <w:r w:rsidRPr="00185D7A">
        <w:t>Prepared on Australian Accounting Standards basis.</w:t>
      </w:r>
    </w:p>
    <w:p w14:paraId="39A5CEFE" w14:textId="77777777" w:rsidR="008F10C8" w:rsidRDefault="008F10C8" w:rsidP="000C2BC5">
      <w:pPr>
        <w:pStyle w:val="ChartandTableFootnoteAlpha"/>
        <w:numPr>
          <w:ilvl w:val="0"/>
          <w:numId w:val="32"/>
        </w:numPr>
      </w:pPr>
      <w:r w:rsidRPr="00444E4C">
        <w:t>Includes purchases from current and previous years’ ACB.</w:t>
      </w:r>
    </w:p>
    <w:p w14:paraId="2902B1A7" w14:textId="457DBBF6" w:rsidR="008F10C8" w:rsidRDefault="00AF2579" w:rsidP="000C2BC5">
      <w:pPr>
        <w:pStyle w:val="ChartandTableFootnoteAlpha"/>
      </w:pPr>
      <w:r w:rsidRPr="00185D7A">
        <w:t xml:space="preserve">Includes both current </w:t>
      </w:r>
      <w:r w:rsidRPr="00F11E5D">
        <w:rPr>
          <w:i/>
          <w:iCs/>
        </w:rPr>
        <w:t xml:space="preserve">Appropriation </w:t>
      </w:r>
      <w:r w:rsidR="00B2167E" w:rsidRPr="00F11E5D">
        <w:rPr>
          <w:i/>
          <w:iCs/>
        </w:rPr>
        <w:t>Act (No. 2)</w:t>
      </w:r>
      <w:r w:rsidR="00B2167E">
        <w:t xml:space="preserve"> and </w:t>
      </w:r>
      <w:r w:rsidRPr="00185D7A">
        <w:t xml:space="preserve">Bill (No. 4) and prior year </w:t>
      </w:r>
      <w:r w:rsidRPr="00F11E5D">
        <w:rPr>
          <w:i/>
          <w:iCs/>
        </w:rPr>
        <w:t>Appropriation No. Act 2/4/6</w:t>
      </w:r>
      <w:r w:rsidRPr="00185D7A">
        <w:t xml:space="preserve"> including </w:t>
      </w:r>
      <w:r w:rsidRPr="00C63A65">
        <w:t>Supply Acts</w:t>
      </w:r>
      <w:r>
        <w:t xml:space="preserve"> </w:t>
      </w:r>
      <w:r w:rsidR="008F10C8" w:rsidRPr="00444E4C">
        <w:t>and special appropriations</w:t>
      </w:r>
      <w:r w:rsidR="008F10C8">
        <w:t>.</w:t>
      </w:r>
    </w:p>
    <w:p w14:paraId="14B9250E" w14:textId="77777777" w:rsidR="008F10C8" w:rsidRPr="008F10C8" w:rsidRDefault="008F10C8" w:rsidP="008F10C8"/>
    <w:p w14:paraId="63B398A0" w14:textId="72278E4E" w:rsidR="00D35E96" w:rsidRDefault="00D35E96">
      <w:pPr>
        <w:spacing w:before="0" w:after="0" w:line="240" w:lineRule="auto"/>
      </w:pPr>
      <w:r>
        <w:br w:type="page"/>
      </w:r>
    </w:p>
    <w:p w14:paraId="4B671F36" w14:textId="603C5F3D" w:rsidR="00D35E96" w:rsidRDefault="00D35E96" w:rsidP="00D35E96">
      <w:pPr>
        <w:pStyle w:val="TableHeading"/>
        <w:spacing w:before="0"/>
        <w:rPr>
          <w:snapToGrid w:val="0"/>
        </w:rPr>
      </w:pPr>
      <w:r>
        <w:rPr>
          <w:snapToGrid w:val="0"/>
        </w:rPr>
        <w:lastRenderedPageBreak/>
        <w:t>Table 3.12</w:t>
      </w:r>
      <w:r w:rsidRPr="00014438">
        <w:rPr>
          <w:snapToGrid w:val="0"/>
        </w:rPr>
        <w:t xml:space="preserve">: Schedule of administered </w:t>
      </w:r>
      <w:r>
        <w:rPr>
          <w:snapToGrid w:val="0"/>
        </w:rPr>
        <w:t>asset movements (2023-24 Budget year)</w:t>
      </w:r>
    </w:p>
    <w:p w14:paraId="0EAE3017" w14:textId="6A458110" w:rsidR="00D35E96" w:rsidRPr="00D35E96" w:rsidRDefault="00F94E54" w:rsidP="00D35E96">
      <w:pPr>
        <w:pStyle w:val="TableGraphic"/>
      </w:pPr>
      <w:r w:rsidRPr="00F94E54">
        <w:rPr>
          <w:noProof/>
        </w:rPr>
        <w:drawing>
          <wp:inline distT="0" distB="0" distL="0" distR="0" wp14:anchorId="52144BCD" wp14:editId="6FA42D10">
            <wp:extent cx="4896485" cy="4428490"/>
            <wp:effectExtent l="0" t="0" r="0" b="0"/>
            <wp:docPr id="87428089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96485" cy="4428490"/>
                    </a:xfrm>
                    <a:prstGeom prst="rect">
                      <a:avLst/>
                    </a:prstGeom>
                    <a:noFill/>
                    <a:ln>
                      <a:noFill/>
                    </a:ln>
                  </pic:spPr>
                </pic:pic>
              </a:graphicData>
            </a:graphic>
          </wp:inline>
        </w:drawing>
      </w:r>
    </w:p>
    <w:p w14:paraId="77E4B583" w14:textId="77777777" w:rsidR="00AF2579" w:rsidRPr="001365E0" w:rsidRDefault="00AF2579" w:rsidP="000C2BC5">
      <w:pPr>
        <w:pStyle w:val="ChartandTableFootnote-Dash"/>
        <w:spacing w:after="120"/>
        <w:ind w:left="0" w:firstLine="0"/>
        <w:rPr>
          <w:b/>
          <w:sz w:val="20"/>
        </w:rPr>
      </w:pPr>
      <w:r w:rsidRPr="00E4582E">
        <w:t>Prepared on Australian Accounting Standards basis</w:t>
      </w:r>
      <w:r>
        <w:t>.</w:t>
      </w:r>
    </w:p>
    <w:p w14:paraId="1C146A70" w14:textId="112AB826" w:rsidR="00AF2579" w:rsidRDefault="00AF2579" w:rsidP="000C2BC5">
      <w:pPr>
        <w:pStyle w:val="ChartandTableFootnoteAlpha"/>
        <w:numPr>
          <w:ilvl w:val="0"/>
          <w:numId w:val="33"/>
        </w:numPr>
        <w:ind w:left="284" w:hanging="284"/>
      </w:pPr>
      <w:r>
        <w:t xml:space="preserve">‘Appropriation equity’ refers to Administered Assets and Liabilities provided through </w:t>
      </w:r>
      <w:r w:rsidRPr="00F11E5D">
        <w:rPr>
          <w:i/>
          <w:iCs/>
        </w:rPr>
        <w:t>Annual Appropriation Act (No. 2</w:t>
      </w:r>
      <w:r w:rsidRPr="002474C2">
        <w:rPr>
          <w:i/>
          <w:iCs/>
        </w:rPr>
        <w:t>) 2023-2024</w:t>
      </w:r>
      <w:r>
        <w:t xml:space="preserve"> and Appropriation Bill (No. 4) 2023-2024.</w:t>
      </w:r>
    </w:p>
    <w:p w14:paraId="56440A4D" w14:textId="58CD941A" w:rsidR="00AF2579" w:rsidRDefault="00AF2579" w:rsidP="000C2BC5">
      <w:pPr>
        <w:pStyle w:val="ChartandTableFootnoteAlpha"/>
        <w:numPr>
          <w:ilvl w:val="0"/>
          <w:numId w:val="33"/>
        </w:numPr>
        <w:ind w:left="284" w:hanging="284"/>
      </w:pPr>
      <w:r>
        <w:t xml:space="preserve">‘Appropriation ordinary annual services’ refers to funding provided through </w:t>
      </w:r>
      <w:r w:rsidRPr="00F11E5D">
        <w:rPr>
          <w:i/>
          <w:iCs/>
        </w:rPr>
        <w:t>Appropriation Act (No. 1)</w:t>
      </w:r>
      <w:r>
        <w:t xml:space="preserve"> </w:t>
      </w:r>
      <w:r w:rsidRPr="002474C2">
        <w:rPr>
          <w:i/>
          <w:iCs/>
        </w:rPr>
        <w:t>2023-2024</w:t>
      </w:r>
      <w:r>
        <w:t xml:space="preserve"> and Appropriation Bill (No. 3) 2023-2024 for depreciation/amortisation expenses, ACB or other operational expenses.</w:t>
      </w:r>
    </w:p>
    <w:p w14:paraId="0B4C0DFB" w14:textId="77777777" w:rsidR="00AF2579" w:rsidRDefault="00AF2579" w:rsidP="000C2BC5">
      <w:pPr>
        <w:pStyle w:val="ChartandTableFootnoteAlpha"/>
        <w:numPr>
          <w:ilvl w:val="0"/>
          <w:numId w:val="33"/>
        </w:numPr>
        <w:ind w:left="284" w:hanging="284"/>
      </w:pPr>
      <w:r>
        <w:t>Net proceeds may be returned to the Official Public Account.</w:t>
      </w:r>
    </w:p>
    <w:p w14:paraId="43C624D7" w14:textId="77777777" w:rsidR="00143ECA" w:rsidRDefault="00F31908">
      <w:pPr>
        <w:spacing w:before="0" w:after="0" w:line="240" w:lineRule="auto"/>
        <w:rPr>
          <w:snapToGrid w:val="0"/>
        </w:rPr>
        <w:sectPr w:rsidR="00143ECA" w:rsidSect="008F07DB">
          <w:headerReference w:type="even" r:id="rId98"/>
          <w:footerReference w:type="even" r:id="rId99"/>
          <w:footerReference w:type="default" r:id="rId100"/>
          <w:headerReference w:type="first" r:id="rId101"/>
          <w:footerReference w:type="first" r:id="rId102"/>
          <w:type w:val="oddPage"/>
          <w:pgSz w:w="11907" w:h="16840" w:code="9"/>
          <w:pgMar w:top="2835" w:right="2098" w:bottom="2466" w:left="2098" w:header="1814" w:footer="1814" w:gutter="0"/>
          <w:cols w:space="708"/>
          <w:titlePg/>
          <w:docGrid w:linePitch="360"/>
        </w:sectPr>
      </w:pPr>
      <w:r>
        <w:rPr>
          <w:snapToGrid w:val="0"/>
        </w:rPr>
        <w:br w:type="page"/>
      </w:r>
    </w:p>
    <w:p w14:paraId="43388DF4" w14:textId="3D4FE8A6" w:rsidR="00D04586" w:rsidRDefault="00D04586" w:rsidP="00D04586">
      <w:pPr>
        <w:pStyle w:val="Heading1-NoTOC"/>
      </w:pPr>
      <w:r>
        <w:lastRenderedPageBreak/>
        <w:t>Australian Electoral Commission</w:t>
      </w:r>
    </w:p>
    <w:p w14:paraId="0E5B6834" w14:textId="7A349148" w:rsidR="0010165B" w:rsidRDefault="00D04586" w:rsidP="0010165B">
      <w:pPr>
        <w:pStyle w:val="TOC1"/>
        <w:rPr>
          <w:rFonts w:asciiTheme="minorHAnsi" w:eastAsiaTheme="minorEastAsia" w:hAnsiTheme="minorHAnsi" w:cstheme="minorBidi"/>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p>
    <w:p w14:paraId="63B940E5" w14:textId="07EC3D2D" w:rsidR="0010165B" w:rsidRDefault="00000000">
      <w:pPr>
        <w:pStyle w:val="TOC1"/>
        <w:rPr>
          <w:rFonts w:asciiTheme="minorHAnsi" w:eastAsiaTheme="minorEastAsia" w:hAnsiTheme="minorHAnsi" w:cstheme="minorBidi"/>
          <w:b w:val="0"/>
          <w:noProof/>
          <w:kern w:val="2"/>
          <w:sz w:val="22"/>
          <w:szCs w:val="22"/>
          <w14:ligatures w14:val="standardContextual"/>
        </w:rPr>
      </w:pPr>
      <w:hyperlink w:anchor="_Toc157705391" w:history="1">
        <w:r w:rsidR="0010165B" w:rsidRPr="0045169D">
          <w:rPr>
            <w:rStyle w:val="Hyperlink"/>
            <w:noProof/>
          </w:rPr>
          <w:t>Section 1: Entity overview and resources</w:t>
        </w:r>
        <w:r w:rsidR="0010165B">
          <w:rPr>
            <w:noProof/>
            <w:webHidden/>
          </w:rPr>
          <w:tab/>
        </w:r>
        <w:r w:rsidR="0010165B">
          <w:rPr>
            <w:noProof/>
            <w:webHidden/>
          </w:rPr>
          <w:fldChar w:fldCharType="begin"/>
        </w:r>
        <w:r w:rsidR="0010165B">
          <w:rPr>
            <w:noProof/>
            <w:webHidden/>
          </w:rPr>
          <w:instrText xml:space="preserve"> PAGEREF _Toc157705391 \h </w:instrText>
        </w:r>
        <w:r w:rsidR="0010165B">
          <w:rPr>
            <w:noProof/>
            <w:webHidden/>
          </w:rPr>
        </w:r>
        <w:r w:rsidR="0010165B">
          <w:rPr>
            <w:noProof/>
            <w:webHidden/>
          </w:rPr>
          <w:fldChar w:fldCharType="separate"/>
        </w:r>
        <w:r w:rsidR="00023728">
          <w:rPr>
            <w:noProof/>
            <w:webHidden/>
          </w:rPr>
          <w:t>61</w:t>
        </w:r>
        <w:r w:rsidR="0010165B">
          <w:rPr>
            <w:noProof/>
            <w:webHidden/>
          </w:rPr>
          <w:fldChar w:fldCharType="end"/>
        </w:r>
      </w:hyperlink>
    </w:p>
    <w:p w14:paraId="54FB7F43" w14:textId="78C0DFBC"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2" w:history="1">
        <w:r w:rsidR="0010165B" w:rsidRPr="0045169D">
          <w:rPr>
            <w:rStyle w:val="Hyperlink"/>
            <w:noProof/>
          </w:rPr>
          <w:t>1.1</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Strategic direction statement</w:t>
        </w:r>
        <w:r w:rsidR="0010165B">
          <w:rPr>
            <w:noProof/>
            <w:webHidden/>
          </w:rPr>
          <w:tab/>
        </w:r>
        <w:r w:rsidR="0010165B">
          <w:rPr>
            <w:noProof/>
            <w:webHidden/>
          </w:rPr>
          <w:fldChar w:fldCharType="begin"/>
        </w:r>
        <w:r w:rsidR="0010165B">
          <w:rPr>
            <w:noProof/>
            <w:webHidden/>
          </w:rPr>
          <w:instrText xml:space="preserve"> PAGEREF _Toc157705392 \h </w:instrText>
        </w:r>
        <w:r w:rsidR="0010165B">
          <w:rPr>
            <w:noProof/>
            <w:webHidden/>
          </w:rPr>
        </w:r>
        <w:r w:rsidR="0010165B">
          <w:rPr>
            <w:noProof/>
            <w:webHidden/>
          </w:rPr>
          <w:fldChar w:fldCharType="separate"/>
        </w:r>
        <w:r w:rsidR="00023728">
          <w:rPr>
            <w:noProof/>
            <w:webHidden/>
          </w:rPr>
          <w:t>61</w:t>
        </w:r>
        <w:r w:rsidR="0010165B">
          <w:rPr>
            <w:noProof/>
            <w:webHidden/>
          </w:rPr>
          <w:fldChar w:fldCharType="end"/>
        </w:r>
      </w:hyperlink>
    </w:p>
    <w:p w14:paraId="4F4E00A9" w14:textId="29C35DDA"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3" w:history="1">
        <w:r w:rsidR="0010165B" w:rsidRPr="0045169D">
          <w:rPr>
            <w:rStyle w:val="Hyperlink"/>
            <w:noProof/>
          </w:rPr>
          <w:t>1.2</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Entity resource statement</w:t>
        </w:r>
        <w:r w:rsidR="0010165B">
          <w:rPr>
            <w:noProof/>
            <w:webHidden/>
          </w:rPr>
          <w:tab/>
        </w:r>
        <w:r w:rsidR="0010165B">
          <w:rPr>
            <w:noProof/>
            <w:webHidden/>
          </w:rPr>
          <w:fldChar w:fldCharType="begin"/>
        </w:r>
        <w:r w:rsidR="0010165B">
          <w:rPr>
            <w:noProof/>
            <w:webHidden/>
          </w:rPr>
          <w:instrText xml:space="preserve"> PAGEREF _Toc157705393 \h </w:instrText>
        </w:r>
        <w:r w:rsidR="0010165B">
          <w:rPr>
            <w:noProof/>
            <w:webHidden/>
          </w:rPr>
        </w:r>
        <w:r w:rsidR="0010165B">
          <w:rPr>
            <w:noProof/>
            <w:webHidden/>
          </w:rPr>
          <w:fldChar w:fldCharType="separate"/>
        </w:r>
        <w:r w:rsidR="00023728">
          <w:rPr>
            <w:noProof/>
            <w:webHidden/>
          </w:rPr>
          <w:t>61</w:t>
        </w:r>
        <w:r w:rsidR="0010165B">
          <w:rPr>
            <w:noProof/>
            <w:webHidden/>
          </w:rPr>
          <w:fldChar w:fldCharType="end"/>
        </w:r>
      </w:hyperlink>
    </w:p>
    <w:p w14:paraId="7E7C2CA1" w14:textId="2542E25E"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4" w:history="1">
        <w:r w:rsidR="0010165B" w:rsidRPr="0045169D">
          <w:rPr>
            <w:rStyle w:val="Hyperlink"/>
            <w:noProof/>
          </w:rPr>
          <w:t>1.3</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Entity measures</w:t>
        </w:r>
        <w:r w:rsidR="0010165B">
          <w:rPr>
            <w:noProof/>
            <w:webHidden/>
          </w:rPr>
          <w:tab/>
        </w:r>
        <w:r w:rsidR="0010165B">
          <w:rPr>
            <w:noProof/>
            <w:webHidden/>
          </w:rPr>
          <w:fldChar w:fldCharType="begin"/>
        </w:r>
        <w:r w:rsidR="0010165B">
          <w:rPr>
            <w:noProof/>
            <w:webHidden/>
          </w:rPr>
          <w:instrText xml:space="preserve"> PAGEREF _Toc157705394 \h </w:instrText>
        </w:r>
        <w:r w:rsidR="0010165B">
          <w:rPr>
            <w:noProof/>
            <w:webHidden/>
          </w:rPr>
        </w:r>
        <w:r w:rsidR="0010165B">
          <w:rPr>
            <w:noProof/>
            <w:webHidden/>
          </w:rPr>
          <w:fldChar w:fldCharType="separate"/>
        </w:r>
        <w:r w:rsidR="00023728">
          <w:rPr>
            <w:noProof/>
            <w:webHidden/>
          </w:rPr>
          <w:t>62</w:t>
        </w:r>
        <w:r w:rsidR="0010165B">
          <w:rPr>
            <w:noProof/>
            <w:webHidden/>
          </w:rPr>
          <w:fldChar w:fldCharType="end"/>
        </w:r>
      </w:hyperlink>
    </w:p>
    <w:p w14:paraId="7CC92980" w14:textId="2F0D578C"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5" w:history="1">
        <w:r w:rsidR="0010165B" w:rsidRPr="0045169D">
          <w:rPr>
            <w:rStyle w:val="Hyperlink"/>
            <w:noProof/>
          </w:rPr>
          <w:t>1.4</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Additional estimates, resourcing and variations to outcomes</w:t>
        </w:r>
        <w:r w:rsidR="0010165B">
          <w:rPr>
            <w:noProof/>
            <w:webHidden/>
          </w:rPr>
          <w:tab/>
        </w:r>
        <w:r w:rsidR="0010165B">
          <w:rPr>
            <w:noProof/>
            <w:webHidden/>
          </w:rPr>
          <w:fldChar w:fldCharType="begin"/>
        </w:r>
        <w:r w:rsidR="0010165B">
          <w:rPr>
            <w:noProof/>
            <w:webHidden/>
          </w:rPr>
          <w:instrText xml:space="preserve"> PAGEREF _Toc157705395 \h </w:instrText>
        </w:r>
        <w:r w:rsidR="0010165B">
          <w:rPr>
            <w:noProof/>
            <w:webHidden/>
          </w:rPr>
        </w:r>
        <w:r w:rsidR="0010165B">
          <w:rPr>
            <w:noProof/>
            <w:webHidden/>
          </w:rPr>
          <w:fldChar w:fldCharType="separate"/>
        </w:r>
        <w:r w:rsidR="00023728">
          <w:rPr>
            <w:noProof/>
            <w:webHidden/>
          </w:rPr>
          <w:t>63</w:t>
        </w:r>
        <w:r w:rsidR="0010165B">
          <w:rPr>
            <w:noProof/>
            <w:webHidden/>
          </w:rPr>
          <w:fldChar w:fldCharType="end"/>
        </w:r>
      </w:hyperlink>
    </w:p>
    <w:p w14:paraId="4C4A0E02" w14:textId="2D8FEF5E"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6" w:history="1">
        <w:r w:rsidR="0010165B" w:rsidRPr="0045169D">
          <w:rPr>
            <w:rStyle w:val="Hyperlink"/>
            <w:noProof/>
          </w:rPr>
          <w:t>1.5</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Breakdown of additional estimates by appropriation bill</w:t>
        </w:r>
        <w:r w:rsidR="0010165B">
          <w:rPr>
            <w:noProof/>
            <w:webHidden/>
          </w:rPr>
          <w:tab/>
        </w:r>
        <w:r w:rsidR="0010165B">
          <w:rPr>
            <w:noProof/>
            <w:webHidden/>
          </w:rPr>
          <w:fldChar w:fldCharType="begin"/>
        </w:r>
        <w:r w:rsidR="0010165B">
          <w:rPr>
            <w:noProof/>
            <w:webHidden/>
          </w:rPr>
          <w:instrText xml:space="preserve"> PAGEREF _Toc157705396 \h </w:instrText>
        </w:r>
        <w:r w:rsidR="0010165B">
          <w:rPr>
            <w:noProof/>
            <w:webHidden/>
          </w:rPr>
        </w:r>
        <w:r w:rsidR="0010165B">
          <w:rPr>
            <w:noProof/>
            <w:webHidden/>
          </w:rPr>
          <w:fldChar w:fldCharType="separate"/>
        </w:r>
        <w:r w:rsidR="00023728">
          <w:rPr>
            <w:noProof/>
            <w:webHidden/>
          </w:rPr>
          <w:t>64</w:t>
        </w:r>
        <w:r w:rsidR="0010165B">
          <w:rPr>
            <w:noProof/>
            <w:webHidden/>
          </w:rPr>
          <w:fldChar w:fldCharType="end"/>
        </w:r>
      </w:hyperlink>
    </w:p>
    <w:p w14:paraId="50083BF7" w14:textId="4BE2ECFD" w:rsidR="0010165B" w:rsidRDefault="00000000">
      <w:pPr>
        <w:pStyle w:val="TOC1"/>
        <w:rPr>
          <w:rFonts w:asciiTheme="minorHAnsi" w:eastAsiaTheme="minorEastAsia" w:hAnsiTheme="minorHAnsi" w:cstheme="minorBidi"/>
          <w:b w:val="0"/>
          <w:noProof/>
          <w:kern w:val="2"/>
          <w:sz w:val="22"/>
          <w:szCs w:val="22"/>
          <w14:ligatures w14:val="standardContextual"/>
        </w:rPr>
      </w:pPr>
      <w:hyperlink w:anchor="_Toc157705397" w:history="1">
        <w:r w:rsidR="0010165B" w:rsidRPr="0045169D">
          <w:rPr>
            <w:rStyle w:val="Hyperlink"/>
            <w:noProof/>
          </w:rPr>
          <w:t>Section 2: Revisions to outcomes and planned performance</w:t>
        </w:r>
        <w:r w:rsidR="0010165B">
          <w:rPr>
            <w:noProof/>
            <w:webHidden/>
          </w:rPr>
          <w:tab/>
        </w:r>
        <w:r w:rsidR="0010165B">
          <w:rPr>
            <w:noProof/>
            <w:webHidden/>
          </w:rPr>
          <w:fldChar w:fldCharType="begin"/>
        </w:r>
        <w:r w:rsidR="0010165B">
          <w:rPr>
            <w:noProof/>
            <w:webHidden/>
          </w:rPr>
          <w:instrText xml:space="preserve"> PAGEREF _Toc157705397 \h </w:instrText>
        </w:r>
        <w:r w:rsidR="0010165B">
          <w:rPr>
            <w:noProof/>
            <w:webHidden/>
          </w:rPr>
        </w:r>
        <w:r w:rsidR="0010165B">
          <w:rPr>
            <w:noProof/>
            <w:webHidden/>
          </w:rPr>
          <w:fldChar w:fldCharType="separate"/>
        </w:r>
        <w:r w:rsidR="00023728">
          <w:rPr>
            <w:noProof/>
            <w:webHidden/>
          </w:rPr>
          <w:t>65</w:t>
        </w:r>
        <w:r w:rsidR="0010165B">
          <w:rPr>
            <w:noProof/>
            <w:webHidden/>
          </w:rPr>
          <w:fldChar w:fldCharType="end"/>
        </w:r>
      </w:hyperlink>
    </w:p>
    <w:p w14:paraId="66F15961" w14:textId="396EFDD7"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8" w:history="1">
        <w:r w:rsidR="0010165B" w:rsidRPr="0045169D">
          <w:rPr>
            <w:rStyle w:val="Hyperlink"/>
            <w:noProof/>
          </w:rPr>
          <w:t>2.1</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Changes to outcome and program structures</w:t>
        </w:r>
        <w:r w:rsidR="0010165B">
          <w:rPr>
            <w:noProof/>
            <w:webHidden/>
          </w:rPr>
          <w:tab/>
        </w:r>
        <w:r w:rsidR="0010165B">
          <w:rPr>
            <w:noProof/>
            <w:webHidden/>
          </w:rPr>
          <w:fldChar w:fldCharType="begin"/>
        </w:r>
        <w:r w:rsidR="0010165B">
          <w:rPr>
            <w:noProof/>
            <w:webHidden/>
          </w:rPr>
          <w:instrText xml:space="preserve"> PAGEREF _Toc157705398 \h </w:instrText>
        </w:r>
        <w:r w:rsidR="0010165B">
          <w:rPr>
            <w:noProof/>
            <w:webHidden/>
          </w:rPr>
        </w:r>
        <w:r w:rsidR="0010165B">
          <w:rPr>
            <w:noProof/>
            <w:webHidden/>
          </w:rPr>
          <w:fldChar w:fldCharType="separate"/>
        </w:r>
        <w:r w:rsidR="00023728">
          <w:rPr>
            <w:noProof/>
            <w:webHidden/>
          </w:rPr>
          <w:t>65</w:t>
        </w:r>
        <w:r w:rsidR="0010165B">
          <w:rPr>
            <w:noProof/>
            <w:webHidden/>
          </w:rPr>
          <w:fldChar w:fldCharType="end"/>
        </w:r>
      </w:hyperlink>
    </w:p>
    <w:p w14:paraId="53FED898" w14:textId="7870F729"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399" w:history="1">
        <w:r w:rsidR="0010165B" w:rsidRPr="0045169D">
          <w:rPr>
            <w:rStyle w:val="Hyperlink"/>
            <w:noProof/>
          </w:rPr>
          <w:t>2.2</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Budgeted expenses and performance for Outcome 1</w:t>
        </w:r>
        <w:r w:rsidR="0010165B">
          <w:rPr>
            <w:noProof/>
            <w:webHidden/>
          </w:rPr>
          <w:tab/>
        </w:r>
        <w:r w:rsidR="0010165B">
          <w:rPr>
            <w:noProof/>
            <w:webHidden/>
          </w:rPr>
          <w:fldChar w:fldCharType="begin"/>
        </w:r>
        <w:r w:rsidR="0010165B">
          <w:rPr>
            <w:noProof/>
            <w:webHidden/>
          </w:rPr>
          <w:instrText xml:space="preserve"> PAGEREF _Toc157705399 \h </w:instrText>
        </w:r>
        <w:r w:rsidR="0010165B">
          <w:rPr>
            <w:noProof/>
            <w:webHidden/>
          </w:rPr>
        </w:r>
        <w:r w:rsidR="0010165B">
          <w:rPr>
            <w:noProof/>
            <w:webHidden/>
          </w:rPr>
          <w:fldChar w:fldCharType="separate"/>
        </w:r>
        <w:r w:rsidR="00023728">
          <w:rPr>
            <w:noProof/>
            <w:webHidden/>
          </w:rPr>
          <w:t>65</w:t>
        </w:r>
        <w:r w:rsidR="0010165B">
          <w:rPr>
            <w:noProof/>
            <w:webHidden/>
          </w:rPr>
          <w:fldChar w:fldCharType="end"/>
        </w:r>
      </w:hyperlink>
    </w:p>
    <w:p w14:paraId="72C830CF" w14:textId="04CFDC07" w:rsidR="0010165B" w:rsidRDefault="00000000">
      <w:pPr>
        <w:pStyle w:val="TOC1"/>
        <w:rPr>
          <w:rFonts w:asciiTheme="minorHAnsi" w:eastAsiaTheme="minorEastAsia" w:hAnsiTheme="minorHAnsi" w:cstheme="minorBidi"/>
          <w:b w:val="0"/>
          <w:noProof/>
          <w:kern w:val="2"/>
          <w:sz w:val="22"/>
          <w:szCs w:val="22"/>
          <w14:ligatures w14:val="standardContextual"/>
        </w:rPr>
      </w:pPr>
      <w:hyperlink w:anchor="_Toc157705400" w:history="1">
        <w:r w:rsidR="0010165B" w:rsidRPr="0045169D">
          <w:rPr>
            <w:rStyle w:val="Hyperlink"/>
            <w:noProof/>
          </w:rPr>
          <w:t>Section 3: Special account flows and budgeted financial statements</w:t>
        </w:r>
        <w:r w:rsidR="0010165B">
          <w:rPr>
            <w:noProof/>
            <w:webHidden/>
          </w:rPr>
          <w:tab/>
        </w:r>
        <w:r w:rsidR="0010165B">
          <w:rPr>
            <w:noProof/>
            <w:webHidden/>
          </w:rPr>
          <w:fldChar w:fldCharType="begin"/>
        </w:r>
        <w:r w:rsidR="0010165B">
          <w:rPr>
            <w:noProof/>
            <w:webHidden/>
          </w:rPr>
          <w:instrText xml:space="preserve"> PAGEREF _Toc157705400 \h </w:instrText>
        </w:r>
        <w:r w:rsidR="0010165B">
          <w:rPr>
            <w:noProof/>
            <w:webHidden/>
          </w:rPr>
        </w:r>
        <w:r w:rsidR="0010165B">
          <w:rPr>
            <w:noProof/>
            <w:webHidden/>
          </w:rPr>
          <w:fldChar w:fldCharType="separate"/>
        </w:r>
        <w:r w:rsidR="00023728">
          <w:rPr>
            <w:noProof/>
            <w:webHidden/>
          </w:rPr>
          <w:t>68</w:t>
        </w:r>
        <w:r w:rsidR="0010165B">
          <w:rPr>
            <w:noProof/>
            <w:webHidden/>
          </w:rPr>
          <w:fldChar w:fldCharType="end"/>
        </w:r>
      </w:hyperlink>
    </w:p>
    <w:p w14:paraId="05055D21" w14:textId="5A73EA41"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01" w:history="1">
        <w:r w:rsidR="0010165B" w:rsidRPr="0045169D">
          <w:rPr>
            <w:rStyle w:val="Hyperlink"/>
            <w:noProof/>
          </w:rPr>
          <w:t>3.1</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Special account flows and balances</w:t>
        </w:r>
        <w:r w:rsidR="0010165B">
          <w:rPr>
            <w:noProof/>
            <w:webHidden/>
          </w:rPr>
          <w:tab/>
        </w:r>
        <w:r w:rsidR="0010165B">
          <w:rPr>
            <w:noProof/>
            <w:webHidden/>
          </w:rPr>
          <w:fldChar w:fldCharType="begin"/>
        </w:r>
        <w:r w:rsidR="0010165B">
          <w:rPr>
            <w:noProof/>
            <w:webHidden/>
          </w:rPr>
          <w:instrText xml:space="preserve"> PAGEREF _Toc157705401 \h </w:instrText>
        </w:r>
        <w:r w:rsidR="0010165B">
          <w:rPr>
            <w:noProof/>
            <w:webHidden/>
          </w:rPr>
        </w:r>
        <w:r w:rsidR="0010165B">
          <w:rPr>
            <w:noProof/>
            <w:webHidden/>
          </w:rPr>
          <w:fldChar w:fldCharType="separate"/>
        </w:r>
        <w:r w:rsidR="00023728">
          <w:rPr>
            <w:noProof/>
            <w:webHidden/>
          </w:rPr>
          <w:t>68</w:t>
        </w:r>
        <w:r w:rsidR="0010165B">
          <w:rPr>
            <w:noProof/>
            <w:webHidden/>
          </w:rPr>
          <w:fldChar w:fldCharType="end"/>
        </w:r>
      </w:hyperlink>
    </w:p>
    <w:p w14:paraId="39D26C11" w14:textId="7D3F54C3"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02" w:history="1">
        <w:r w:rsidR="0010165B" w:rsidRPr="0045169D">
          <w:rPr>
            <w:rStyle w:val="Hyperlink"/>
            <w:noProof/>
          </w:rPr>
          <w:t>3.2</w:t>
        </w:r>
        <w:r w:rsidR="0010165B">
          <w:rPr>
            <w:rFonts w:asciiTheme="minorHAnsi" w:eastAsiaTheme="minorEastAsia" w:hAnsiTheme="minorHAnsi" w:cstheme="minorBidi"/>
            <w:noProof/>
            <w:kern w:val="2"/>
            <w:sz w:val="22"/>
            <w:szCs w:val="22"/>
            <w14:ligatures w14:val="standardContextual"/>
          </w:rPr>
          <w:tab/>
        </w:r>
        <w:r w:rsidR="0010165B" w:rsidRPr="0045169D">
          <w:rPr>
            <w:rStyle w:val="Hyperlink"/>
            <w:noProof/>
          </w:rPr>
          <w:t>Budgeted financial statements</w:t>
        </w:r>
        <w:r w:rsidR="0010165B">
          <w:rPr>
            <w:noProof/>
            <w:webHidden/>
          </w:rPr>
          <w:tab/>
        </w:r>
        <w:r w:rsidR="0010165B">
          <w:rPr>
            <w:noProof/>
            <w:webHidden/>
          </w:rPr>
          <w:fldChar w:fldCharType="begin"/>
        </w:r>
        <w:r w:rsidR="0010165B">
          <w:rPr>
            <w:noProof/>
            <w:webHidden/>
          </w:rPr>
          <w:instrText xml:space="preserve"> PAGEREF _Toc157705402 \h </w:instrText>
        </w:r>
        <w:r w:rsidR="0010165B">
          <w:rPr>
            <w:noProof/>
            <w:webHidden/>
          </w:rPr>
        </w:r>
        <w:r w:rsidR="0010165B">
          <w:rPr>
            <w:noProof/>
            <w:webHidden/>
          </w:rPr>
          <w:fldChar w:fldCharType="separate"/>
        </w:r>
        <w:r w:rsidR="00023728">
          <w:rPr>
            <w:noProof/>
            <w:webHidden/>
          </w:rPr>
          <w:t>68</w:t>
        </w:r>
        <w:r w:rsidR="0010165B">
          <w:rPr>
            <w:noProof/>
            <w:webHidden/>
          </w:rPr>
          <w:fldChar w:fldCharType="end"/>
        </w:r>
      </w:hyperlink>
    </w:p>
    <w:p w14:paraId="10A7B1AB" w14:textId="70115613" w:rsidR="00D04586" w:rsidRDefault="00D04586" w:rsidP="00D04586">
      <w:pPr>
        <w:spacing w:before="0" w:after="0" w:line="240" w:lineRule="auto"/>
        <w:rPr>
          <w:snapToGrid w:val="0"/>
        </w:rPr>
      </w:pPr>
      <w:r>
        <w:fldChar w:fldCharType="end"/>
      </w:r>
    </w:p>
    <w:p w14:paraId="5816D133" w14:textId="77777777" w:rsidR="00D04586" w:rsidRDefault="00D04586">
      <w:pPr>
        <w:spacing w:before="0" w:after="0" w:line="240" w:lineRule="auto"/>
        <w:rPr>
          <w:snapToGrid w:val="0"/>
        </w:rPr>
      </w:pPr>
    </w:p>
    <w:p w14:paraId="6F52117B" w14:textId="77777777" w:rsidR="00D04586" w:rsidRDefault="00D04586">
      <w:pPr>
        <w:spacing w:before="0" w:after="0" w:line="240" w:lineRule="auto"/>
        <w:rPr>
          <w:snapToGrid w:val="0"/>
        </w:rPr>
      </w:pPr>
    </w:p>
    <w:p w14:paraId="48B155D7" w14:textId="77777777" w:rsidR="00D04586" w:rsidRDefault="00D04586">
      <w:pPr>
        <w:spacing w:before="0" w:after="0" w:line="240" w:lineRule="auto"/>
        <w:rPr>
          <w:snapToGrid w:val="0"/>
        </w:rPr>
      </w:pPr>
    </w:p>
    <w:p w14:paraId="6BB54006" w14:textId="77777777" w:rsidR="005A7E93" w:rsidRDefault="00D04586">
      <w:pPr>
        <w:spacing w:before="0" w:after="0" w:line="240" w:lineRule="auto"/>
        <w:rPr>
          <w:snapToGrid w:val="0"/>
        </w:rPr>
        <w:sectPr w:rsidR="005A7E93" w:rsidSect="00143ECA">
          <w:headerReference w:type="first" r:id="rId103"/>
          <w:footerReference w:type="first" r:id="rId104"/>
          <w:pgSz w:w="11907" w:h="16840" w:code="9"/>
          <w:pgMar w:top="2835" w:right="2098" w:bottom="2466" w:left="2098" w:header="1814" w:footer="1814" w:gutter="0"/>
          <w:cols w:space="708"/>
          <w:titlePg/>
          <w:docGrid w:linePitch="360"/>
        </w:sectPr>
      </w:pPr>
      <w:r>
        <w:rPr>
          <w:snapToGrid w:val="0"/>
        </w:rPr>
        <w:br w:type="page"/>
      </w:r>
    </w:p>
    <w:p w14:paraId="6709605D" w14:textId="77777777" w:rsidR="005A7E93" w:rsidRDefault="005A7E93">
      <w:pPr>
        <w:spacing w:before="0" w:after="0" w:line="240" w:lineRule="auto"/>
        <w:rPr>
          <w:rFonts w:ascii="Arial Bold" w:hAnsi="Arial Bold"/>
          <w:b/>
          <w:snapToGrid w:val="0"/>
          <w:kern w:val="34"/>
          <w:sz w:val="36"/>
        </w:rPr>
        <w:sectPr w:rsidR="005A7E93" w:rsidSect="00143ECA">
          <w:footerReference w:type="first" r:id="rId105"/>
          <w:pgSz w:w="11907" w:h="16840" w:code="9"/>
          <w:pgMar w:top="2835" w:right="2098" w:bottom="2466" w:left="2098" w:header="1814" w:footer="1814" w:gutter="0"/>
          <w:cols w:space="708"/>
          <w:titlePg/>
          <w:docGrid w:linePitch="360"/>
        </w:sectPr>
      </w:pPr>
    </w:p>
    <w:p w14:paraId="04E9CA50" w14:textId="3A757FB7" w:rsidR="00D04586" w:rsidRDefault="00D04586">
      <w:pPr>
        <w:spacing w:before="0" w:after="0" w:line="240" w:lineRule="auto"/>
        <w:rPr>
          <w:rFonts w:ascii="Arial Bold" w:hAnsi="Arial Bold"/>
          <w:b/>
          <w:snapToGrid w:val="0"/>
          <w:kern w:val="34"/>
          <w:sz w:val="36"/>
        </w:rPr>
      </w:pPr>
    </w:p>
    <w:p w14:paraId="7EA6EACF" w14:textId="4EF41581" w:rsidR="00186290" w:rsidRDefault="00186290" w:rsidP="00186290">
      <w:pPr>
        <w:pStyle w:val="Heading1-LVL2"/>
      </w:pPr>
      <w:bookmarkStart w:id="586" w:name="_Toc157445271"/>
      <w:r>
        <w:t>Australian Electoral Commission</w:t>
      </w:r>
      <w:bookmarkEnd w:id="586"/>
    </w:p>
    <w:p w14:paraId="648B012E" w14:textId="77777777" w:rsidR="00186290" w:rsidRPr="00F045E6" w:rsidRDefault="00186290" w:rsidP="00186290">
      <w:pPr>
        <w:pStyle w:val="Heading2-TOC"/>
      </w:pPr>
      <w:bookmarkStart w:id="587" w:name="_Toc157375099"/>
      <w:bookmarkStart w:id="588" w:name="_Toc157412192"/>
      <w:bookmarkStart w:id="589" w:name="_Toc157412355"/>
      <w:bookmarkStart w:id="590" w:name="_Toc157445374"/>
      <w:bookmarkStart w:id="591" w:name="_Toc157445528"/>
      <w:bookmarkStart w:id="592" w:name="_Toc157613725"/>
      <w:bookmarkStart w:id="593" w:name="_Toc157614024"/>
      <w:bookmarkStart w:id="594" w:name="_Toc157617016"/>
      <w:bookmarkStart w:id="595" w:name="_Toc157618383"/>
      <w:bookmarkStart w:id="596" w:name="_Toc157618773"/>
      <w:bookmarkStart w:id="597" w:name="_Toc157698144"/>
      <w:bookmarkStart w:id="598" w:name="_Toc157705391"/>
      <w:bookmarkStart w:id="599" w:name="_Toc157705449"/>
      <w:bookmarkStart w:id="600" w:name="_Toc157705501"/>
      <w:bookmarkStart w:id="601" w:name="_Toc157705692"/>
      <w:bookmarkStart w:id="602" w:name="_Toc157705742"/>
      <w:bookmarkStart w:id="603" w:name="_Toc157706107"/>
      <w:r w:rsidRPr="00F045E6">
        <w:t>Section 1: Entity overview and resources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43B936D3" w14:textId="77777777" w:rsidR="00186290" w:rsidRPr="002322E9" w:rsidRDefault="00186290" w:rsidP="00186290">
      <w:pPr>
        <w:pStyle w:val="Heading3"/>
      </w:pPr>
      <w:bookmarkStart w:id="604" w:name="_Toc157375100"/>
      <w:bookmarkStart w:id="605" w:name="_Toc157412193"/>
      <w:bookmarkStart w:id="606" w:name="_Toc157412356"/>
      <w:bookmarkStart w:id="607" w:name="_Toc157445375"/>
      <w:bookmarkStart w:id="608" w:name="_Toc157445529"/>
      <w:bookmarkStart w:id="609" w:name="_Toc157613726"/>
      <w:bookmarkStart w:id="610" w:name="_Toc157614025"/>
      <w:bookmarkStart w:id="611" w:name="_Toc157617017"/>
      <w:bookmarkStart w:id="612" w:name="_Toc157618384"/>
      <w:bookmarkStart w:id="613" w:name="_Toc157618774"/>
      <w:bookmarkStart w:id="614" w:name="_Toc157698145"/>
      <w:bookmarkStart w:id="615" w:name="_Toc157705392"/>
      <w:bookmarkStart w:id="616" w:name="_Toc157705450"/>
      <w:bookmarkStart w:id="617" w:name="_Toc157705502"/>
      <w:bookmarkStart w:id="618" w:name="_Toc157705693"/>
      <w:bookmarkStart w:id="619" w:name="_Toc157705743"/>
      <w:bookmarkStart w:id="620" w:name="_Toc157706108"/>
      <w:r>
        <w:t>1.1</w:t>
      </w:r>
      <w:r>
        <w:tab/>
      </w:r>
      <w:r w:rsidRPr="004928FF">
        <w:t>Strategic direction</w:t>
      </w:r>
      <w:r>
        <w:t xml:space="preserve"> statement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337912D2" w14:textId="77777777" w:rsidR="00186290" w:rsidRDefault="00186290" w:rsidP="00186290">
      <w:r w:rsidRPr="008C2C54">
        <w:t xml:space="preserve">No changes have occurred that impact on the Australian Electoral Commission’s (AEC’s) Strategic Direction since the issue of the 2023-24 Portfolio Budget Statements. A full outline of the AEC’s Strategic Direction can be found in the </w:t>
      </w:r>
      <w:r>
        <w:t>2023-24</w:t>
      </w:r>
      <w:r w:rsidRPr="008C2C54">
        <w:t xml:space="preserve"> Portfolio Budget Statements.</w:t>
      </w:r>
    </w:p>
    <w:p w14:paraId="46D3D7C8" w14:textId="77777777" w:rsidR="00186290" w:rsidRPr="004928FF" w:rsidRDefault="00186290" w:rsidP="00186290">
      <w:pPr>
        <w:pStyle w:val="Heading3"/>
      </w:pPr>
      <w:bookmarkStart w:id="621" w:name="_Toc157375101"/>
      <w:bookmarkStart w:id="622" w:name="_Toc157412194"/>
      <w:bookmarkStart w:id="623" w:name="_Toc157412357"/>
      <w:bookmarkStart w:id="624" w:name="_Toc157445376"/>
      <w:bookmarkStart w:id="625" w:name="_Toc157445530"/>
      <w:bookmarkStart w:id="626" w:name="_Toc157613727"/>
      <w:bookmarkStart w:id="627" w:name="_Toc157614026"/>
      <w:bookmarkStart w:id="628" w:name="_Toc157617018"/>
      <w:bookmarkStart w:id="629" w:name="_Toc157618385"/>
      <w:bookmarkStart w:id="630" w:name="_Toc157618775"/>
      <w:bookmarkStart w:id="631" w:name="_Toc157698146"/>
      <w:bookmarkStart w:id="632" w:name="_Toc157705393"/>
      <w:bookmarkStart w:id="633" w:name="_Toc157705451"/>
      <w:bookmarkStart w:id="634" w:name="_Toc157705503"/>
      <w:bookmarkStart w:id="635" w:name="_Toc157705694"/>
      <w:bookmarkStart w:id="636" w:name="_Toc157705744"/>
      <w:bookmarkStart w:id="637" w:name="_Toc157706109"/>
      <w:r>
        <w:t>1.2</w:t>
      </w:r>
      <w:r>
        <w:tab/>
        <w:t>Entity resource statement</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809F729" w14:textId="77777777" w:rsidR="00186290" w:rsidRDefault="00186290" w:rsidP="00186290">
      <w:r>
        <w:t xml:space="preserve">The Entity Resource Statement details the resourcing for the AEC at Additional Estimates. Table 1.1 outlines the total resourcing available from all sources for the 2023–24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415BC220" w14:textId="77777777" w:rsidR="00186290" w:rsidRDefault="00186290" w:rsidP="00186290">
      <w:r>
        <w:t xml:space="preserve">Amounts presented below are consistent with amounts presented in the Appropriation Bills themselves, and as published in appropriation notes to the 2022–23 financial statements. </w:t>
      </w:r>
    </w:p>
    <w:p w14:paraId="66EB10C6" w14:textId="77777777" w:rsidR="0021180E" w:rsidRPr="00557CCF" w:rsidRDefault="0021180E" w:rsidP="00186290"/>
    <w:p w14:paraId="7833247B" w14:textId="77777777" w:rsidR="00186290" w:rsidRDefault="00186290" w:rsidP="00186290">
      <w:pPr>
        <w:pStyle w:val="TableHeading"/>
      </w:pPr>
      <w:r w:rsidRPr="00564C0F">
        <w:lastRenderedPageBreak/>
        <w:t xml:space="preserve">Table 1.1: </w:t>
      </w:r>
      <w:r>
        <w:t>Australian Electoral Commission resource statement</w:t>
      </w:r>
      <w:r w:rsidRPr="00564C0F">
        <w:t xml:space="preserve"> — Additional Estimates for </w:t>
      </w:r>
      <w:r>
        <w:t>2023–24</w:t>
      </w:r>
      <w:r w:rsidRPr="00564C0F">
        <w:t xml:space="preserve"> as at </w:t>
      </w:r>
      <w:r w:rsidRPr="00055E5F">
        <w:t>February 202</w:t>
      </w:r>
      <w:r>
        <w:t>4</w:t>
      </w:r>
    </w:p>
    <w:p w14:paraId="5D0B813C" w14:textId="26641E5A" w:rsidR="00186290" w:rsidRPr="0013701B" w:rsidRDefault="00705A4A" w:rsidP="00186290">
      <w:pPr>
        <w:pStyle w:val="TableGraphic"/>
      </w:pPr>
      <w:r w:rsidRPr="00705A4A">
        <w:rPr>
          <w:noProof/>
        </w:rPr>
        <w:drawing>
          <wp:inline distT="0" distB="0" distL="0" distR="0" wp14:anchorId="313C2F4A" wp14:editId="6EAAFBD2">
            <wp:extent cx="4896485" cy="3259455"/>
            <wp:effectExtent l="0" t="0" r="0" b="0"/>
            <wp:docPr id="142512988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896485" cy="3259455"/>
                    </a:xfrm>
                    <a:prstGeom prst="rect">
                      <a:avLst/>
                    </a:prstGeom>
                    <a:noFill/>
                    <a:ln>
                      <a:noFill/>
                    </a:ln>
                  </pic:spPr>
                </pic:pic>
              </a:graphicData>
            </a:graphic>
          </wp:inline>
        </w:drawing>
      </w:r>
    </w:p>
    <w:p w14:paraId="1D69D30F" w14:textId="77777777" w:rsidR="00186290" w:rsidRPr="00185D7A" w:rsidRDefault="00186290" w:rsidP="005B1EEB">
      <w:pPr>
        <w:pStyle w:val="Source"/>
        <w:contextualSpacing/>
      </w:pPr>
      <w:r w:rsidRPr="00185D7A">
        <w:t>Prepared on a resourcing (i.e. appropriations available) basis.</w:t>
      </w:r>
    </w:p>
    <w:p w14:paraId="7FD2AE60" w14:textId="77777777" w:rsidR="00186290" w:rsidRPr="00185D7A" w:rsidRDefault="00186290" w:rsidP="005B1EEB">
      <w:pPr>
        <w:pStyle w:val="Source"/>
        <w:spacing w:after="120"/>
        <w:contextualSpacing/>
      </w:pPr>
      <w:r w:rsidRPr="00185D7A">
        <w:t>All figures shown above are GST exclusive – these may not match figures in the cash flow statement.</w:t>
      </w:r>
    </w:p>
    <w:p w14:paraId="5078A776" w14:textId="77777777" w:rsidR="00186290" w:rsidRPr="009C33E9" w:rsidRDefault="00186290" w:rsidP="0071097C">
      <w:pPr>
        <w:pStyle w:val="ChartandTableFootnoteAlpha"/>
        <w:numPr>
          <w:ilvl w:val="0"/>
          <w:numId w:val="43"/>
        </w:numPr>
      </w:pPr>
      <w:r w:rsidRPr="0071097C">
        <w:rPr>
          <w:i/>
        </w:rPr>
        <w:t xml:space="preserve">Appropriation Act (No. 1) 2023–2024 </w:t>
      </w:r>
      <w:r w:rsidRPr="00185D7A">
        <w:t>and Appropriation Bill (No. 3) 2023–2024</w:t>
      </w:r>
      <w:r w:rsidRPr="0071097C">
        <w:rPr>
          <w:i/>
        </w:rPr>
        <w:t>.</w:t>
      </w:r>
      <w:r w:rsidRPr="0071097C">
        <w:rPr>
          <w:iCs/>
        </w:rPr>
        <w:t xml:space="preserve"> </w:t>
      </w:r>
    </w:p>
    <w:p w14:paraId="3FBD4D2F" w14:textId="77777777" w:rsidR="00186290" w:rsidRPr="0071097C" w:rsidRDefault="00186290" w:rsidP="0071097C">
      <w:pPr>
        <w:pStyle w:val="ChartandTableFootnoteAlpha"/>
        <w:numPr>
          <w:ilvl w:val="0"/>
          <w:numId w:val="43"/>
        </w:numPr>
        <w:rPr>
          <w:rFonts w:cs="Arial"/>
          <w:szCs w:val="16"/>
        </w:rPr>
      </w:pPr>
      <w:r w:rsidRPr="0071097C">
        <w:rPr>
          <w:rFonts w:cs="Arial"/>
          <w:szCs w:val="16"/>
        </w:rPr>
        <w:t xml:space="preserve">Estimated external revenue receipts under section 74 of the </w:t>
      </w:r>
      <w:r w:rsidRPr="00F11E5D">
        <w:rPr>
          <w:rFonts w:cs="Arial"/>
          <w:i/>
          <w:iCs/>
          <w:szCs w:val="16"/>
        </w:rPr>
        <w:t>PGPA Act</w:t>
      </w:r>
      <w:r w:rsidRPr="0071097C">
        <w:rPr>
          <w:rFonts w:cs="Arial"/>
          <w:szCs w:val="16"/>
        </w:rPr>
        <w:t>.</w:t>
      </w:r>
    </w:p>
    <w:p w14:paraId="5C46CC74" w14:textId="5C9202A7" w:rsidR="00186290" w:rsidRPr="0071097C" w:rsidRDefault="00186290" w:rsidP="0071097C">
      <w:pPr>
        <w:pStyle w:val="ChartandTableFootnoteAlpha"/>
        <w:numPr>
          <w:ilvl w:val="0"/>
          <w:numId w:val="43"/>
        </w:numPr>
        <w:rPr>
          <w:rFonts w:cs="Arial"/>
          <w:szCs w:val="16"/>
        </w:rPr>
      </w:pPr>
      <w:r w:rsidRPr="0071097C">
        <w:rPr>
          <w:rFonts w:cs="Arial"/>
          <w:szCs w:val="16"/>
        </w:rPr>
        <w:t xml:space="preserve">Departmental capital budgets are not separately identified in </w:t>
      </w:r>
      <w:r w:rsidRPr="00F11E5D">
        <w:rPr>
          <w:rFonts w:cs="Arial"/>
          <w:i/>
          <w:iCs/>
          <w:szCs w:val="16"/>
        </w:rPr>
        <w:t>Appropriation Act (No.1)</w:t>
      </w:r>
      <w:r w:rsidRPr="0071097C">
        <w:rPr>
          <w:rFonts w:cs="Arial"/>
          <w:szCs w:val="16"/>
        </w:rPr>
        <w:t xml:space="preserve"> and form part of ordinary annual services items. Refer to Table 3.</w:t>
      </w:r>
      <w:r w:rsidR="00533E91">
        <w:rPr>
          <w:rFonts w:cs="Arial"/>
          <w:szCs w:val="16"/>
        </w:rPr>
        <w:t>6</w:t>
      </w:r>
      <w:r w:rsidRPr="0071097C">
        <w:rPr>
          <w:rFonts w:cs="Arial"/>
          <w:szCs w:val="16"/>
        </w:rPr>
        <w:t xml:space="preserve"> for further details. For accounting purposes, this amount has been designated as a ‘contribution by owner’.</w:t>
      </w:r>
    </w:p>
    <w:p w14:paraId="231E69D1" w14:textId="77777777" w:rsidR="00186290" w:rsidRDefault="00186290" w:rsidP="0071097C">
      <w:pPr>
        <w:pStyle w:val="ChartandTableFootnoteAlpha"/>
        <w:numPr>
          <w:ilvl w:val="0"/>
          <w:numId w:val="43"/>
        </w:numPr>
      </w:pPr>
      <w:r w:rsidRPr="00C25A16">
        <w:t>Excludes trust moneys</w:t>
      </w:r>
      <w:r>
        <w:t>, such as those</w:t>
      </w:r>
      <w:r w:rsidRPr="00C25A16">
        <w:t xml:space="preserve"> held in Services for Other Entities and Trust Moneys (SOETM) and other special accounts.</w:t>
      </w:r>
    </w:p>
    <w:p w14:paraId="60CE2B13" w14:textId="77777777" w:rsidR="00186290" w:rsidRPr="00797B07" w:rsidRDefault="00186290" w:rsidP="00186290">
      <w:pPr>
        <w:pStyle w:val="ChartandTableFootnoteAlpha"/>
        <w:numPr>
          <w:ilvl w:val="0"/>
          <w:numId w:val="0"/>
        </w:numPr>
      </w:pPr>
    </w:p>
    <w:p w14:paraId="605761ED" w14:textId="77777777" w:rsidR="00186290" w:rsidRDefault="00186290" w:rsidP="00186290">
      <w:pPr>
        <w:pStyle w:val="Heading3"/>
      </w:pPr>
      <w:bookmarkStart w:id="638" w:name="_Toc157375102"/>
      <w:bookmarkStart w:id="639" w:name="_Toc157412195"/>
      <w:bookmarkStart w:id="640" w:name="_Toc157412358"/>
      <w:bookmarkStart w:id="641" w:name="_Toc157445377"/>
      <w:bookmarkStart w:id="642" w:name="_Toc157445531"/>
      <w:bookmarkStart w:id="643" w:name="_Toc157613728"/>
      <w:bookmarkStart w:id="644" w:name="_Toc157614027"/>
      <w:bookmarkStart w:id="645" w:name="_Toc157617019"/>
      <w:bookmarkStart w:id="646" w:name="_Toc157618386"/>
      <w:bookmarkStart w:id="647" w:name="_Toc157618776"/>
      <w:bookmarkStart w:id="648" w:name="_Toc157698147"/>
      <w:bookmarkStart w:id="649" w:name="_Toc157705394"/>
      <w:bookmarkStart w:id="650" w:name="_Toc157705452"/>
      <w:bookmarkStart w:id="651" w:name="_Toc157705504"/>
      <w:bookmarkStart w:id="652" w:name="_Toc157705695"/>
      <w:bookmarkStart w:id="653" w:name="_Toc157705745"/>
      <w:bookmarkStart w:id="654" w:name="_Toc157706110"/>
      <w:r>
        <w:t>1.3</w:t>
      </w:r>
      <w:r>
        <w:tab/>
        <w:t>Entity measures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873A861" w14:textId="77777777" w:rsidR="008715E5" w:rsidRPr="008715E5" w:rsidRDefault="008715E5" w:rsidP="00CE4B10">
      <w:pPr>
        <w:spacing w:before="120" w:after="120"/>
      </w:pPr>
    </w:p>
    <w:p w14:paraId="3E367721" w14:textId="749DCC07" w:rsidR="008715E5" w:rsidRDefault="008715E5" w:rsidP="008715E5">
      <w:pPr>
        <w:pStyle w:val="TableHeading"/>
      </w:pPr>
      <w:r w:rsidRPr="00486E77">
        <w:t xml:space="preserve">Table 1.2: </w:t>
      </w:r>
      <w:r w:rsidR="007752E3">
        <w:t>Australian Electoral Commission</w:t>
      </w:r>
      <w:r w:rsidRPr="00486E77">
        <w:t xml:space="preserve"> </w:t>
      </w:r>
      <w:r>
        <w:t>2023–24</w:t>
      </w:r>
      <w:r w:rsidRPr="00486E77">
        <w:t xml:space="preserve"> measures since </w:t>
      </w:r>
      <w:r>
        <w:t xml:space="preserve">the </w:t>
      </w:r>
      <w:r w:rsidRPr="00486E77">
        <w:t>Budget</w:t>
      </w:r>
    </w:p>
    <w:p w14:paraId="13549BC4" w14:textId="77777777" w:rsidR="00186290" w:rsidRPr="009C5625" w:rsidRDefault="00186290" w:rsidP="00186290">
      <w:r w:rsidRPr="009C5625">
        <w:t>The AEC ha</w:t>
      </w:r>
      <w:r>
        <w:t xml:space="preserve">s no new measures since the 2023-24 Budget. </w:t>
      </w:r>
      <w:r w:rsidRPr="009C5625">
        <w:t xml:space="preserve"> </w:t>
      </w:r>
    </w:p>
    <w:p w14:paraId="2FE85970" w14:textId="77777777" w:rsidR="00186290" w:rsidRDefault="00186290" w:rsidP="00186290"/>
    <w:p w14:paraId="7FBBF01B" w14:textId="77777777" w:rsidR="00186290" w:rsidRPr="001E1BB6" w:rsidRDefault="00186290" w:rsidP="00186290">
      <w:pPr>
        <w:pStyle w:val="Heading3"/>
        <w:ind w:left="567" w:hanging="567"/>
      </w:pPr>
      <w:r>
        <w:br w:type="page"/>
      </w:r>
      <w:bookmarkStart w:id="655" w:name="_Toc157375103"/>
      <w:bookmarkStart w:id="656" w:name="_Toc157412196"/>
      <w:bookmarkStart w:id="657" w:name="_Toc157412359"/>
      <w:bookmarkStart w:id="658" w:name="_Toc157445378"/>
      <w:bookmarkStart w:id="659" w:name="_Toc157445532"/>
      <w:bookmarkStart w:id="660" w:name="_Toc157613729"/>
      <w:bookmarkStart w:id="661" w:name="_Toc157614028"/>
      <w:bookmarkStart w:id="662" w:name="_Toc157617020"/>
      <w:bookmarkStart w:id="663" w:name="_Toc157618387"/>
      <w:bookmarkStart w:id="664" w:name="_Toc157618777"/>
      <w:bookmarkStart w:id="665" w:name="_Toc157698148"/>
      <w:bookmarkStart w:id="666" w:name="_Toc157705395"/>
      <w:bookmarkStart w:id="667" w:name="_Toc157705453"/>
      <w:bookmarkStart w:id="668" w:name="_Toc157705505"/>
      <w:bookmarkStart w:id="669" w:name="_Toc157705696"/>
      <w:bookmarkStart w:id="670" w:name="_Toc157705746"/>
      <w:bookmarkStart w:id="671" w:name="_Toc157706111"/>
      <w:r>
        <w:lastRenderedPageBreak/>
        <w:t>1.4</w:t>
      </w:r>
      <w:r>
        <w:tab/>
        <w:t>Additional estimates, resourcing and v</w:t>
      </w:r>
      <w:r w:rsidRPr="00597122">
        <w:t>ariations</w:t>
      </w:r>
      <w:r>
        <w:t xml:space="preserve"> to outcomes</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7F73484" w14:textId="47DF2EB8" w:rsidR="00186290" w:rsidRPr="001A75A9" w:rsidRDefault="00186290" w:rsidP="00186290">
      <w:r>
        <w:t>The following table detail</w:t>
      </w:r>
      <w:r w:rsidR="00465F31">
        <w:t>s</w:t>
      </w:r>
      <w:r>
        <w:t xml:space="preserve"> the changes to the resourcing for the AEC at Additional Estimates, by outcome. Table 1.</w:t>
      </w:r>
      <w:r w:rsidR="008715E5">
        <w:t>3</w:t>
      </w:r>
      <w:r>
        <w:t xml:space="preserve"> details the Additional Estimates resulting from </w:t>
      </w:r>
      <w:r w:rsidRPr="00C73746">
        <w:t>new</w:t>
      </w:r>
      <w:r>
        <w:t xml:space="preserve"> measures and other variations since the 2023–24 Budget </w:t>
      </w:r>
      <w:r w:rsidRPr="00055E5F">
        <w:t>in Appropriation Bills Nos.</w:t>
      </w:r>
      <w:r>
        <w:t> </w:t>
      </w:r>
      <w:r w:rsidRPr="00055E5F">
        <w:t>3</w:t>
      </w:r>
      <w:r>
        <w:t> </w:t>
      </w:r>
      <w:r w:rsidRPr="00C437C4">
        <w:t>and </w:t>
      </w:r>
      <w:r w:rsidRPr="00055E5F">
        <w:t>4</w:t>
      </w:r>
      <w:r>
        <w:t>.</w:t>
      </w:r>
    </w:p>
    <w:p w14:paraId="11A69DC6" w14:textId="36B15BD0" w:rsidR="00186290" w:rsidRDefault="00186290" w:rsidP="00186290">
      <w:pPr>
        <w:pStyle w:val="TableHeading"/>
      </w:pPr>
      <w:r w:rsidRPr="001A75A9">
        <w:t>Table 1.</w:t>
      </w:r>
      <w:r w:rsidR="00E54432">
        <w:t>3</w:t>
      </w:r>
      <w:r>
        <w:t xml:space="preserve">: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p w14:paraId="3FFF6509" w14:textId="7C2C1B3A" w:rsidR="00186290" w:rsidRPr="00D913F9" w:rsidRDefault="005A7CA4" w:rsidP="00186290">
      <w:pPr>
        <w:pStyle w:val="TableGraphic"/>
      </w:pPr>
      <w:r w:rsidRPr="005A7CA4">
        <w:rPr>
          <w:noProof/>
        </w:rPr>
        <w:drawing>
          <wp:inline distT="0" distB="0" distL="0" distR="0" wp14:anchorId="2F0AEE85" wp14:editId="46556FF5">
            <wp:extent cx="4896485" cy="1723390"/>
            <wp:effectExtent l="0" t="0" r="0" b="0"/>
            <wp:docPr id="78631246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896485" cy="1723390"/>
                    </a:xfrm>
                    <a:prstGeom prst="rect">
                      <a:avLst/>
                    </a:prstGeom>
                    <a:noFill/>
                    <a:ln>
                      <a:noFill/>
                    </a:ln>
                  </pic:spPr>
                </pic:pic>
              </a:graphicData>
            </a:graphic>
          </wp:inline>
        </w:drawing>
      </w:r>
    </w:p>
    <w:p w14:paraId="43D3D546" w14:textId="77777777" w:rsidR="00186290" w:rsidRPr="00D948BC" w:rsidRDefault="00186290" w:rsidP="00186290">
      <w:pPr>
        <w:pStyle w:val="ChartandTableFootnote"/>
      </w:pPr>
      <w:r w:rsidRPr="00D948BC">
        <w:t>Prepared on a resourcing (i.e. appropriations available) basis.</w:t>
      </w:r>
    </w:p>
    <w:p w14:paraId="30A9B174" w14:textId="77777777" w:rsidR="00186290" w:rsidRPr="00047F1A" w:rsidRDefault="00186290" w:rsidP="00186290">
      <w:pPr>
        <w:pStyle w:val="TableHeading"/>
        <w:rPr>
          <w:rStyle w:val="TableHeadingChar"/>
        </w:rPr>
      </w:pPr>
    </w:p>
    <w:p w14:paraId="79096C81" w14:textId="77777777" w:rsidR="00186290" w:rsidRDefault="00186290" w:rsidP="00186290">
      <w:pPr>
        <w:spacing w:before="0" w:after="0" w:line="240" w:lineRule="auto"/>
        <w:rPr>
          <w:rFonts w:ascii="Arial Bold" w:hAnsi="Arial Bold"/>
          <w:b/>
          <w:sz w:val="22"/>
        </w:rPr>
      </w:pPr>
      <w:r>
        <w:br w:type="page"/>
      </w:r>
    </w:p>
    <w:p w14:paraId="799487FF" w14:textId="77777777" w:rsidR="00186290" w:rsidRPr="00564C0F" w:rsidRDefault="00186290" w:rsidP="00186290">
      <w:pPr>
        <w:pStyle w:val="Heading3"/>
        <w:ind w:right="-156"/>
      </w:pPr>
      <w:bookmarkStart w:id="672" w:name="_Toc157375104"/>
      <w:bookmarkStart w:id="673" w:name="_Toc157412197"/>
      <w:bookmarkStart w:id="674" w:name="_Toc157412360"/>
      <w:bookmarkStart w:id="675" w:name="_Toc157445379"/>
      <w:bookmarkStart w:id="676" w:name="_Toc157445533"/>
      <w:bookmarkStart w:id="677" w:name="_Toc157613730"/>
      <w:bookmarkStart w:id="678" w:name="_Toc157614029"/>
      <w:bookmarkStart w:id="679" w:name="_Toc157617021"/>
      <w:bookmarkStart w:id="680" w:name="_Toc157618388"/>
      <w:bookmarkStart w:id="681" w:name="_Toc157618778"/>
      <w:bookmarkStart w:id="682" w:name="_Toc157698149"/>
      <w:bookmarkStart w:id="683" w:name="_Toc157705396"/>
      <w:bookmarkStart w:id="684" w:name="_Toc157705454"/>
      <w:bookmarkStart w:id="685" w:name="_Toc157705506"/>
      <w:bookmarkStart w:id="686" w:name="_Toc157705697"/>
      <w:bookmarkStart w:id="687" w:name="_Toc157705747"/>
      <w:bookmarkStart w:id="688" w:name="_Toc157706112"/>
      <w:r>
        <w:lastRenderedPageBreak/>
        <w:t>1.5</w:t>
      </w:r>
      <w:r>
        <w:tab/>
      </w:r>
      <w:r w:rsidRPr="00564C0F">
        <w:t>Breakdown of additional estimates by appropriation bill</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52323AA5" w14:textId="77777777" w:rsidR="00186290" w:rsidRPr="00564C0F" w:rsidRDefault="00186290" w:rsidP="00186290">
      <w:r w:rsidRPr="00564C0F">
        <w:t xml:space="preserve">The following tables detail the Additional Estimates sought for </w:t>
      </w:r>
      <w:r>
        <w:t>the AEC</w:t>
      </w:r>
      <w:r w:rsidRPr="00564C0F">
        <w:t xml:space="preserve"> through </w:t>
      </w:r>
      <w:r w:rsidRPr="00055E5F">
        <w:t>Appropriation Bills Nos. 3</w:t>
      </w:r>
      <w:r w:rsidRPr="00C437C4">
        <w:t xml:space="preserve"> and </w:t>
      </w:r>
      <w:r w:rsidRPr="00055E5F">
        <w:t>4</w:t>
      </w:r>
      <w:r w:rsidRPr="00564C0F">
        <w:t>.</w:t>
      </w:r>
    </w:p>
    <w:p w14:paraId="6C00B344" w14:textId="0867661D" w:rsidR="00186290" w:rsidRDefault="00186290" w:rsidP="00186290">
      <w:pPr>
        <w:pStyle w:val="TableHeading"/>
      </w:pPr>
      <w:r>
        <w:t>Table 1.</w:t>
      </w:r>
      <w:r w:rsidR="00E54432">
        <w:t>4</w:t>
      </w:r>
      <w:r w:rsidRPr="00564C0F">
        <w:t xml:space="preserve">: Appropriation Bill (No. 3) </w:t>
      </w:r>
      <w:r>
        <w:t>2023–2024</w:t>
      </w:r>
    </w:p>
    <w:p w14:paraId="3E75D360" w14:textId="7A67889F" w:rsidR="00186290" w:rsidRPr="00DE0C3B" w:rsidRDefault="00DE6C0E" w:rsidP="00186290">
      <w:pPr>
        <w:pStyle w:val="TableGraphic"/>
      </w:pPr>
      <w:r w:rsidRPr="00DE6C0E">
        <w:rPr>
          <w:noProof/>
        </w:rPr>
        <w:drawing>
          <wp:inline distT="0" distB="0" distL="0" distR="0" wp14:anchorId="236E1591" wp14:editId="7D74E3B8">
            <wp:extent cx="4896485" cy="2610485"/>
            <wp:effectExtent l="0" t="0" r="0" b="0"/>
            <wp:docPr id="12526567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96485" cy="2610485"/>
                    </a:xfrm>
                    <a:prstGeom prst="rect">
                      <a:avLst/>
                    </a:prstGeom>
                    <a:noFill/>
                    <a:ln>
                      <a:noFill/>
                    </a:ln>
                  </pic:spPr>
                </pic:pic>
              </a:graphicData>
            </a:graphic>
          </wp:inline>
        </w:drawing>
      </w:r>
    </w:p>
    <w:p w14:paraId="493ADCD2" w14:textId="77777777" w:rsidR="00186290" w:rsidRDefault="00186290" w:rsidP="00186290">
      <w:pPr>
        <w:pStyle w:val="ChartandTableFootnote"/>
      </w:pPr>
      <w:r w:rsidRPr="00C22E6E">
        <w:t>Note 1: 2022-23 available appropriation is included to allow a comparison of this year's appropriation with what was made available for use in the previous year.</w:t>
      </w:r>
    </w:p>
    <w:p w14:paraId="7236410C" w14:textId="77777777" w:rsidR="00186290" w:rsidRDefault="00186290" w:rsidP="00186290">
      <w:pPr>
        <w:pStyle w:val="TableHeading"/>
      </w:pPr>
    </w:p>
    <w:p w14:paraId="266A649E" w14:textId="57D5BC33" w:rsidR="00186290" w:rsidRDefault="00186290" w:rsidP="00186290">
      <w:pPr>
        <w:pStyle w:val="TableHeading"/>
      </w:pPr>
      <w:r w:rsidRPr="00564C0F">
        <w:t>Table 1.</w:t>
      </w:r>
      <w:r w:rsidR="00E54432">
        <w:t>5</w:t>
      </w:r>
      <w:r w:rsidRPr="00564C0F">
        <w:t>: Appropriation B</w:t>
      </w:r>
      <w:r>
        <w:t>ill (No. 4</w:t>
      </w:r>
      <w:r w:rsidRPr="00564C0F">
        <w:t xml:space="preserve">) </w:t>
      </w:r>
      <w:r>
        <w:t>2023–2024</w:t>
      </w:r>
    </w:p>
    <w:p w14:paraId="5AA2D398" w14:textId="27ABBD21" w:rsidR="00186290" w:rsidRPr="009C5625" w:rsidRDefault="00186290" w:rsidP="00186290">
      <w:r w:rsidRPr="009C5625">
        <w:t>The AEC have not sought any Additional Estimates through Appropriation Bill (No.</w:t>
      </w:r>
      <w:r w:rsidR="004E5E10">
        <w:t xml:space="preserve"> </w:t>
      </w:r>
      <w:r w:rsidRPr="009C5625">
        <w:t xml:space="preserve">4). </w:t>
      </w:r>
    </w:p>
    <w:p w14:paraId="339C5206" w14:textId="77777777" w:rsidR="00186290" w:rsidRPr="00F045E6" w:rsidRDefault="00186290" w:rsidP="00186290"/>
    <w:p w14:paraId="0F0387ED" w14:textId="77777777" w:rsidR="00186290" w:rsidRPr="00E41681" w:rsidRDefault="00186290" w:rsidP="00186290">
      <w:pPr>
        <w:pStyle w:val="Heading2-TOC"/>
      </w:pPr>
      <w:r>
        <w:br w:type="page"/>
      </w:r>
      <w:bookmarkStart w:id="689" w:name="_Toc157375105"/>
      <w:bookmarkStart w:id="690" w:name="_Toc157412198"/>
      <w:bookmarkStart w:id="691" w:name="_Toc157412361"/>
      <w:bookmarkStart w:id="692" w:name="_Toc157445380"/>
      <w:bookmarkStart w:id="693" w:name="_Toc157445534"/>
      <w:bookmarkStart w:id="694" w:name="_Toc157613731"/>
      <w:bookmarkStart w:id="695" w:name="_Toc157614030"/>
      <w:bookmarkStart w:id="696" w:name="_Toc157617022"/>
      <w:bookmarkStart w:id="697" w:name="_Toc157618389"/>
      <w:bookmarkStart w:id="698" w:name="_Toc157618779"/>
      <w:bookmarkStart w:id="699" w:name="_Toc157698150"/>
      <w:bookmarkStart w:id="700" w:name="_Toc157705397"/>
      <w:bookmarkStart w:id="701" w:name="_Toc157705455"/>
      <w:bookmarkStart w:id="702" w:name="_Toc157705507"/>
      <w:bookmarkStart w:id="703" w:name="_Toc157705698"/>
      <w:bookmarkStart w:id="704" w:name="_Toc157705748"/>
      <w:bookmarkStart w:id="705" w:name="_Toc157706113"/>
      <w:r w:rsidRPr="00E41681">
        <w:lastRenderedPageBreak/>
        <w:t>Section 2: Revisions to outcomes and planned performance</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1582371D" w14:textId="77777777" w:rsidR="00186290" w:rsidRDefault="00186290" w:rsidP="00186290">
      <w:pPr>
        <w:pStyle w:val="Heading3"/>
        <w:ind w:left="708" w:hanging="708"/>
      </w:pPr>
      <w:bookmarkStart w:id="706" w:name="_Toc157375106"/>
      <w:bookmarkStart w:id="707" w:name="_Toc157412199"/>
      <w:bookmarkStart w:id="708" w:name="_Toc157412362"/>
      <w:bookmarkStart w:id="709" w:name="_Toc157445381"/>
      <w:bookmarkStart w:id="710" w:name="_Toc157445535"/>
      <w:bookmarkStart w:id="711" w:name="_Toc157613732"/>
      <w:bookmarkStart w:id="712" w:name="_Toc157614031"/>
      <w:bookmarkStart w:id="713" w:name="_Toc157617023"/>
      <w:bookmarkStart w:id="714" w:name="_Toc157618390"/>
      <w:bookmarkStart w:id="715" w:name="_Toc157618780"/>
      <w:bookmarkStart w:id="716" w:name="_Toc157698151"/>
      <w:bookmarkStart w:id="717" w:name="_Toc157705398"/>
      <w:bookmarkStart w:id="718" w:name="_Toc157705456"/>
      <w:bookmarkStart w:id="719" w:name="_Toc157705508"/>
      <w:bookmarkStart w:id="720" w:name="_Toc157705699"/>
      <w:bookmarkStart w:id="721" w:name="_Toc157705749"/>
      <w:bookmarkStart w:id="722" w:name="_Toc157706114"/>
      <w:r>
        <w:t>2.1</w:t>
      </w:r>
      <w:r>
        <w:tab/>
        <w:t>Changes to outcome and program structures</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3F8906DD" w14:textId="77777777" w:rsidR="00186290" w:rsidRDefault="00186290" w:rsidP="00186290">
      <w:r>
        <w:t>The AEC has not made any changes to the objectives, deliverables, and key performance measures of any program since the 2023-24 Portfolio Budget Statements. The following tables provide an update of the 2022-23 actual expenses and the 2023-24 estimated expenses incorporating the estimates variations provided in Section 1.</w:t>
      </w:r>
    </w:p>
    <w:p w14:paraId="06D91006" w14:textId="77777777" w:rsidR="00186290" w:rsidRPr="00D5737A" w:rsidRDefault="00186290" w:rsidP="00186290"/>
    <w:p w14:paraId="50487173" w14:textId="77777777" w:rsidR="00186290" w:rsidRDefault="00186290" w:rsidP="00186290">
      <w:pPr>
        <w:pStyle w:val="Heading3"/>
      </w:pPr>
      <w:bookmarkStart w:id="723" w:name="_Toc157375107"/>
      <w:bookmarkStart w:id="724" w:name="_Toc157412200"/>
      <w:bookmarkStart w:id="725" w:name="_Toc157412363"/>
      <w:bookmarkStart w:id="726" w:name="_Toc157445382"/>
      <w:bookmarkStart w:id="727" w:name="_Toc157445536"/>
      <w:bookmarkStart w:id="728" w:name="_Toc157613733"/>
      <w:bookmarkStart w:id="729" w:name="_Toc157614032"/>
      <w:bookmarkStart w:id="730" w:name="_Toc157617024"/>
      <w:bookmarkStart w:id="731" w:name="_Toc157618391"/>
      <w:bookmarkStart w:id="732" w:name="_Toc157618781"/>
      <w:bookmarkStart w:id="733" w:name="_Toc157698152"/>
      <w:bookmarkStart w:id="734" w:name="_Toc157705399"/>
      <w:bookmarkStart w:id="735" w:name="_Toc157705457"/>
      <w:bookmarkStart w:id="736" w:name="_Toc157705509"/>
      <w:bookmarkStart w:id="737" w:name="_Toc157705700"/>
      <w:bookmarkStart w:id="738" w:name="_Toc157705750"/>
      <w:bookmarkStart w:id="739" w:name="_Toc157706115"/>
      <w:r>
        <w:t>2.2</w:t>
      </w:r>
      <w:r>
        <w:tab/>
        <w:t>Budgeted expenses and performance for Outcome 1</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186290" w:rsidRPr="005E6F2B" w14:paraId="3DA38E69" w14:textId="77777777" w:rsidTr="004045BB">
        <w:tc>
          <w:tcPr>
            <w:tcW w:w="7705" w:type="dxa"/>
            <w:shd w:val="clear" w:color="auto" w:fill="E6E6E6"/>
          </w:tcPr>
          <w:p w14:paraId="06351642" w14:textId="2C1ECB22" w:rsidR="00186290" w:rsidRPr="005E6F2B" w:rsidRDefault="00186290" w:rsidP="004045BB">
            <w:pPr>
              <w:pStyle w:val="TableColumnHeadingLeft"/>
            </w:pPr>
            <w:r w:rsidRPr="00F862B3">
              <w:rPr>
                <w:sz w:val="20"/>
              </w:rPr>
              <w:t xml:space="preserve">Outcome </w:t>
            </w:r>
            <w:r>
              <w:rPr>
                <w:sz w:val="20"/>
              </w:rPr>
              <w:t>1</w:t>
            </w:r>
            <w:r w:rsidRPr="00F862B3">
              <w:rPr>
                <w:sz w:val="20"/>
              </w:rPr>
              <w:t xml:space="preserve">: </w:t>
            </w:r>
            <w:r w:rsidR="00D43787">
              <w:rPr>
                <w:sz w:val="20"/>
              </w:rPr>
              <w:t>M</w:t>
            </w:r>
            <w:r w:rsidRPr="0073592C">
              <w:rPr>
                <w:sz w:val="20"/>
              </w:rPr>
              <w:t>aintain an impartial and independent electoral system for eligible voters through active electoral roll management, efficient delivery of polling services, and targeted education and public awareness programs</w:t>
            </w:r>
            <w:r w:rsidRPr="00405479">
              <w:rPr>
                <w:rFonts w:ascii="Arial" w:hAnsi="Arial" w:cs="Arial"/>
                <w:b w:val="0"/>
                <w:bCs/>
                <w:sz w:val="20"/>
              </w:rPr>
              <w:t>.</w:t>
            </w:r>
          </w:p>
        </w:tc>
      </w:tr>
    </w:tbl>
    <w:p w14:paraId="469B20F8" w14:textId="77777777" w:rsidR="00186290" w:rsidRPr="005E6F2B" w:rsidRDefault="00186290" w:rsidP="00186290">
      <w:pPr>
        <w:pStyle w:val="NoSpacing"/>
      </w:pPr>
    </w:p>
    <w:p w14:paraId="484CA73B" w14:textId="77777777" w:rsidR="00186290" w:rsidRPr="00446612" w:rsidRDefault="00186290" w:rsidP="00186290">
      <w:pPr>
        <w:pStyle w:val="Heading5"/>
      </w:pPr>
      <w:r w:rsidRPr="00446612">
        <w:t xml:space="preserve">Budgeted expenses for Outcome </w:t>
      </w:r>
      <w:r>
        <w:t>1</w:t>
      </w:r>
    </w:p>
    <w:p w14:paraId="3FB853CE" w14:textId="77777777" w:rsidR="00186290" w:rsidRDefault="00186290" w:rsidP="00186290">
      <w:r w:rsidRPr="00950281">
        <w:t>This table shows how much the entity intends to spend (on an accrual basis) on achieving the outcome, broken down by program, as well as by Administered and Departmental funding sources.</w:t>
      </w:r>
    </w:p>
    <w:p w14:paraId="1D73E9B8" w14:textId="77777777" w:rsidR="00186290" w:rsidRDefault="00186290" w:rsidP="00186290">
      <w:pPr>
        <w:spacing w:before="0" w:after="0" w:line="240" w:lineRule="auto"/>
        <w:rPr>
          <w:rFonts w:ascii="Arial" w:hAnsi="Arial"/>
          <w:b/>
          <w:sz w:val="20"/>
        </w:rPr>
      </w:pPr>
      <w:r>
        <w:br w:type="page"/>
      </w:r>
    </w:p>
    <w:p w14:paraId="02D9F032" w14:textId="77777777" w:rsidR="00186290" w:rsidRDefault="00186290" w:rsidP="00186290">
      <w:pPr>
        <w:pStyle w:val="TableHeading"/>
      </w:pPr>
      <w:r w:rsidRPr="00D93D96">
        <w:lastRenderedPageBreak/>
        <w:t>Table 2.</w:t>
      </w:r>
      <w:r>
        <w:t>2.</w:t>
      </w:r>
      <w:r w:rsidRPr="00D93D96">
        <w:t>1 Budgeted expenses</w:t>
      </w:r>
      <w:r>
        <w:t xml:space="preserve"> for</w:t>
      </w:r>
      <w:r w:rsidRPr="00D93D96">
        <w:t xml:space="preserve"> Outcome </w:t>
      </w:r>
      <w:r>
        <w:t>1</w:t>
      </w:r>
    </w:p>
    <w:p w14:paraId="21B8BD27" w14:textId="137BF094" w:rsidR="00186290" w:rsidRPr="00AC6239" w:rsidRDefault="005A7CA4" w:rsidP="00186290">
      <w:pPr>
        <w:pStyle w:val="TableGraphic"/>
      </w:pPr>
      <w:r w:rsidRPr="005A7CA4">
        <w:rPr>
          <w:noProof/>
        </w:rPr>
        <w:drawing>
          <wp:inline distT="0" distB="0" distL="0" distR="0" wp14:anchorId="63795A58" wp14:editId="3C445463">
            <wp:extent cx="4896485" cy="5022215"/>
            <wp:effectExtent l="0" t="0" r="0" b="6985"/>
            <wp:docPr id="10248381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896485" cy="5022215"/>
                    </a:xfrm>
                    <a:prstGeom prst="rect">
                      <a:avLst/>
                    </a:prstGeom>
                    <a:noFill/>
                    <a:ln>
                      <a:noFill/>
                    </a:ln>
                  </pic:spPr>
                </pic:pic>
              </a:graphicData>
            </a:graphic>
          </wp:inline>
        </w:drawing>
      </w:r>
    </w:p>
    <w:p w14:paraId="177771CC" w14:textId="77777777" w:rsidR="00186290" w:rsidRPr="00AC6239" w:rsidRDefault="00186290" w:rsidP="009879EE">
      <w:pPr>
        <w:pStyle w:val="ChartandTableFootnoteAlpha"/>
        <w:numPr>
          <w:ilvl w:val="0"/>
          <w:numId w:val="50"/>
        </w:numPr>
      </w:pPr>
      <w:bookmarkStart w:id="740" w:name="_Hlk157700376"/>
      <w:r w:rsidRPr="00AC6239">
        <w:t xml:space="preserve">Estimated expenses incurred in relation to receipts retained under section 74 of the </w:t>
      </w:r>
      <w:r w:rsidRPr="009879EE">
        <w:rPr>
          <w:i/>
          <w:iCs/>
        </w:rPr>
        <w:t>PGPA Act 2013</w:t>
      </w:r>
      <w:r w:rsidRPr="00AC6239">
        <w:t>.</w:t>
      </w:r>
    </w:p>
    <w:p w14:paraId="5C556B29" w14:textId="77777777" w:rsidR="00186290" w:rsidRPr="00AC6239" w:rsidRDefault="00186290" w:rsidP="009879EE">
      <w:pPr>
        <w:pStyle w:val="ChartandTableFootnoteAlpha"/>
        <w:numPr>
          <w:ilvl w:val="0"/>
          <w:numId w:val="50"/>
        </w:numPr>
      </w:pPr>
      <w:r w:rsidRPr="00AC6239">
        <w:t>Expenses not requiring appropriation in the Budget year are made up of depreciation / amortisation expenses, make good expenses</w:t>
      </w:r>
      <w:r>
        <w:t xml:space="preserve"> and</w:t>
      </w:r>
      <w:r w:rsidRPr="00AC6239">
        <w:t xml:space="preserve"> audit fees.</w:t>
      </w:r>
    </w:p>
    <w:p w14:paraId="53FCEBBF" w14:textId="77777777" w:rsidR="00186290" w:rsidRDefault="00186290" w:rsidP="00186290">
      <w:pPr>
        <w:pStyle w:val="ChartandTableFootnote"/>
      </w:pPr>
    </w:p>
    <w:p w14:paraId="28ECCEC9" w14:textId="77777777" w:rsidR="00186290" w:rsidRPr="00446612" w:rsidRDefault="00186290" w:rsidP="00186290">
      <w:pPr>
        <w:pStyle w:val="ChartandTableFootnote"/>
      </w:pPr>
      <w:r>
        <w:t xml:space="preserve">Note: </w:t>
      </w:r>
      <w:r w:rsidRPr="00446612">
        <w:t>Departmental appropriation splits and totals are indicative estimates and may change in the course of the budget year as government priorities change.</w:t>
      </w:r>
    </w:p>
    <w:bookmarkEnd w:id="740"/>
    <w:p w14:paraId="1FC5CB0A" w14:textId="77777777" w:rsidR="00186290" w:rsidRPr="00AC6239" w:rsidRDefault="00186290" w:rsidP="00186290"/>
    <w:p w14:paraId="020B0632" w14:textId="77777777" w:rsidR="00186290" w:rsidRPr="00681A2D" w:rsidRDefault="00186290" w:rsidP="00186290">
      <w:pPr>
        <w:pStyle w:val="TableHeading"/>
      </w:pPr>
      <w:r w:rsidRPr="00AC6239">
        <w:rPr>
          <w:iCs/>
        </w:rPr>
        <w:br w:type="page"/>
      </w:r>
    </w:p>
    <w:p w14:paraId="7BF94B2E" w14:textId="77777777" w:rsidR="00186290" w:rsidRPr="00F71634" w:rsidRDefault="00186290" w:rsidP="00186290">
      <w:pPr>
        <w:pStyle w:val="Heading5"/>
      </w:pPr>
      <w:r w:rsidRPr="00F71634">
        <w:lastRenderedPageBreak/>
        <w:t>Table 2.</w:t>
      </w:r>
      <w:r>
        <w:t>2</w:t>
      </w:r>
      <w:r w:rsidRPr="00F71634">
        <w:t>.</w:t>
      </w:r>
      <w:r>
        <w:t>2</w:t>
      </w:r>
      <w:r w:rsidRPr="00F71634">
        <w:t xml:space="preserve">: Performance </w:t>
      </w:r>
      <w:r>
        <w:t>measure</w:t>
      </w:r>
      <w:r w:rsidRPr="00F71634">
        <w:t xml:space="preserve"> for Outcome </w:t>
      </w:r>
      <w:r>
        <w:t>1</w:t>
      </w:r>
    </w:p>
    <w:p w14:paraId="25C62B8F" w14:textId="77777777" w:rsidR="00186290" w:rsidRPr="009C6459" w:rsidRDefault="00186290" w:rsidP="00186290">
      <w:r w:rsidRPr="00F71634">
        <w:t>Table 2.</w:t>
      </w:r>
      <w:r>
        <w:t>2</w:t>
      </w:r>
      <w:r w:rsidRPr="00F71634">
        <w:t>.</w:t>
      </w:r>
      <w:r>
        <w:t>2</w:t>
      </w:r>
      <w:r w:rsidRPr="00F71634">
        <w:t xml:space="preserve"> below details the performance </w:t>
      </w:r>
      <w:r>
        <w:t>measure</w:t>
      </w:r>
      <w:r w:rsidRPr="00F71634">
        <w:t xml:space="preserve"> for each program associated with Outcome </w:t>
      </w:r>
      <w:r>
        <w:t>1</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2023</w:t>
      </w:r>
      <w:r>
        <w:t>–</w:t>
      </w:r>
      <w:r w:rsidRPr="00434D49">
        <w:t>24 Budget.</w:t>
      </w:r>
    </w:p>
    <w:tbl>
      <w:tblPr>
        <w:tblW w:w="76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9"/>
      </w:tblGrid>
      <w:tr w:rsidR="00186290" w:rsidRPr="00A768E3" w14:paraId="18012ABF" w14:textId="77777777" w:rsidTr="00902CA6">
        <w:trPr>
          <w:trHeight w:val="560"/>
          <w:tblHeader/>
        </w:trPr>
        <w:tc>
          <w:tcPr>
            <w:tcW w:w="7679" w:type="dxa"/>
            <w:shd w:val="clear" w:color="auto" w:fill="F2F2F2"/>
          </w:tcPr>
          <w:p w14:paraId="3E81E37E" w14:textId="5C41635B" w:rsidR="00186290" w:rsidRPr="00A768E3" w:rsidRDefault="00186290" w:rsidP="004045BB">
            <w:pPr>
              <w:pStyle w:val="TableColumnHeadingLeft"/>
              <w:spacing w:before="120" w:after="120"/>
            </w:pPr>
            <w:r w:rsidRPr="00A768E3">
              <w:t xml:space="preserve">Outcome </w:t>
            </w:r>
            <w:r>
              <w:t>1</w:t>
            </w:r>
            <w:r w:rsidRPr="00A768E3">
              <w:t xml:space="preserve"> – </w:t>
            </w:r>
            <w:r w:rsidR="009879EE">
              <w:rPr>
                <w:rFonts w:ascii="Arial" w:hAnsi="Arial" w:cs="Arial"/>
                <w:b w:val="0"/>
                <w:bCs/>
              </w:rPr>
              <w:t>Ma</w:t>
            </w:r>
            <w:r w:rsidRPr="001E3CE9">
              <w:rPr>
                <w:rFonts w:ascii="Arial" w:hAnsi="Arial" w:cs="Arial"/>
                <w:b w:val="0"/>
                <w:bCs/>
              </w:rPr>
              <w:t>intain an impartial and independent electoral system for eligible voters through active electoral roll management, efficient delivery of polling services, and targeted education and public awareness programs.</w:t>
            </w:r>
          </w:p>
        </w:tc>
      </w:tr>
      <w:tr w:rsidR="00186290" w:rsidRPr="00A768E3" w14:paraId="76D7FB60" w14:textId="77777777" w:rsidTr="00902CA6">
        <w:trPr>
          <w:trHeight w:val="514"/>
          <w:tblHeader/>
        </w:trPr>
        <w:tc>
          <w:tcPr>
            <w:tcW w:w="7679" w:type="dxa"/>
            <w:shd w:val="clear" w:color="auto" w:fill="F2F2F2"/>
          </w:tcPr>
          <w:p w14:paraId="7FD1B048" w14:textId="77777777" w:rsidR="00186290" w:rsidRPr="00A768E3" w:rsidRDefault="00186290" w:rsidP="004045BB">
            <w:pPr>
              <w:spacing w:before="120" w:after="20" w:line="240" w:lineRule="auto"/>
              <w:rPr>
                <w:rFonts w:ascii="Arial" w:eastAsia="Arial" w:hAnsi="Arial"/>
                <w:b/>
                <w:sz w:val="16"/>
              </w:rPr>
            </w:pPr>
            <w:r w:rsidRPr="00A768E3">
              <w:rPr>
                <w:rFonts w:ascii="Arial" w:hAnsi="Arial"/>
                <w:b/>
                <w:sz w:val="16"/>
              </w:rPr>
              <w:t xml:space="preserve">Program </w:t>
            </w:r>
            <w:r>
              <w:rPr>
                <w:rFonts w:ascii="Arial" w:hAnsi="Arial"/>
                <w:b/>
                <w:sz w:val="16"/>
              </w:rPr>
              <w:t>1.1 – Deliver Electoral Events</w:t>
            </w:r>
          </w:p>
          <w:p w14:paraId="2A64C4A0" w14:textId="77777777" w:rsidR="00186290" w:rsidRPr="001E3CE9" w:rsidRDefault="00186290" w:rsidP="004045BB">
            <w:pPr>
              <w:spacing w:before="120" w:after="120" w:line="240" w:lineRule="auto"/>
              <w:rPr>
                <w:rFonts w:ascii="Arial" w:hAnsi="Arial" w:cs="Arial"/>
                <w:bCs/>
                <w:sz w:val="16"/>
              </w:rPr>
            </w:pPr>
            <w:r w:rsidRPr="001E3CE9">
              <w:rPr>
                <w:rFonts w:ascii="Arial" w:hAnsi="Arial" w:cs="Arial"/>
                <w:bCs/>
                <w:sz w:val="16"/>
              </w:rPr>
              <w:t>No changes have been made to the performance measure for this program since the 202</w:t>
            </w:r>
            <w:r>
              <w:rPr>
                <w:rFonts w:ascii="Arial" w:hAnsi="Arial" w:cs="Arial"/>
                <w:bCs/>
                <w:sz w:val="16"/>
              </w:rPr>
              <w:t>3-24</w:t>
            </w:r>
            <w:r w:rsidRPr="001E3CE9">
              <w:rPr>
                <w:rFonts w:ascii="Arial" w:hAnsi="Arial" w:cs="Arial"/>
                <w:bCs/>
                <w:sz w:val="16"/>
              </w:rPr>
              <w:t xml:space="preserve"> Portfolio Budget Statements.</w:t>
            </w:r>
          </w:p>
        </w:tc>
      </w:tr>
    </w:tbl>
    <w:p w14:paraId="56D37621" w14:textId="77777777" w:rsidR="00186290" w:rsidRPr="00C31DAB" w:rsidRDefault="00186290" w:rsidP="00186290">
      <w:pPr>
        <w:pStyle w:val="ChartandTableFootnoteAlpha"/>
        <w:numPr>
          <w:ilvl w:val="0"/>
          <w:numId w:val="0"/>
        </w:numPr>
        <w:rPr>
          <w:sz w:val="2"/>
          <w:szCs w:val="2"/>
        </w:rPr>
      </w:pPr>
    </w:p>
    <w:p w14:paraId="0967AB54" w14:textId="77777777" w:rsidR="00186290" w:rsidRDefault="00186290" w:rsidP="00186290">
      <w:pPr>
        <w:pStyle w:val="ChartandTableFootnoteAlpha"/>
        <w:numPr>
          <w:ilvl w:val="0"/>
          <w:numId w:val="0"/>
        </w:numPr>
      </w:pPr>
    </w:p>
    <w:p w14:paraId="69247919" w14:textId="77777777" w:rsidR="00186290" w:rsidRPr="00D5737A" w:rsidRDefault="00186290" w:rsidP="00186290"/>
    <w:p w14:paraId="3746AE24" w14:textId="12DB9DEA" w:rsidR="00186290" w:rsidRPr="00E41681" w:rsidRDefault="00186290" w:rsidP="00186290">
      <w:pPr>
        <w:pStyle w:val="Heading2-TOC"/>
      </w:pPr>
      <w:r>
        <w:rPr>
          <w:lang w:val="en-GB"/>
        </w:rPr>
        <w:br w:type="page"/>
      </w:r>
      <w:bookmarkStart w:id="741" w:name="_Toc157375108"/>
      <w:bookmarkStart w:id="742" w:name="_Toc157412201"/>
      <w:bookmarkStart w:id="743" w:name="_Toc157412364"/>
      <w:bookmarkStart w:id="744" w:name="_Toc157445383"/>
      <w:bookmarkStart w:id="745" w:name="_Toc157445537"/>
      <w:bookmarkStart w:id="746" w:name="_Toc157613734"/>
      <w:bookmarkStart w:id="747" w:name="_Toc157614033"/>
      <w:bookmarkStart w:id="748" w:name="_Toc157617025"/>
      <w:bookmarkStart w:id="749" w:name="_Toc157618392"/>
      <w:bookmarkStart w:id="750" w:name="_Toc157618782"/>
      <w:bookmarkStart w:id="751" w:name="_Toc157698153"/>
      <w:bookmarkStart w:id="752" w:name="_Toc157705400"/>
      <w:bookmarkStart w:id="753" w:name="_Toc157705458"/>
      <w:bookmarkStart w:id="754" w:name="_Toc157705510"/>
      <w:bookmarkStart w:id="755" w:name="_Toc157705701"/>
      <w:bookmarkStart w:id="756" w:name="_Toc157705751"/>
      <w:bookmarkStart w:id="757" w:name="_Toc157706116"/>
      <w:r w:rsidRPr="00E41681">
        <w:lastRenderedPageBreak/>
        <w:t xml:space="preserve">Section 3: </w:t>
      </w:r>
      <w:r w:rsidR="00B82917" w:rsidRPr="00B82917">
        <w:t xml:space="preserve">Special account flows and budgeted </w:t>
      </w:r>
      <w:r w:rsidRPr="00E41681">
        <w:t>financial statements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2F4DCF37" w14:textId="77777777" w:rsidR="003716A5" w:rsidRPr="004D3E2B" w:rsidRDefault="003716A5" w:rsidP="003716A5">
      <w:pPr>
        <w:pStyle w:val="Heading3"/>
      </w:pPr>
      <w:bookmarkStart w:id="758" w:name="_Toc157618393"/>
      <w:bookmarkStart w:id="759" w:name="_Toc157618783"/>
      <w:bookmarkStart w:id="760" w:name="_Toc157698154"/>
      <w:bookmarkStart w:id="761" w:name="_Toc157705401"/>
      <w:bookmarkStart w:id="762" w:name="_Toc157705459"/>
      <w:bookmarkStart w:id="763" w:name="_Toc157705511"/>
      <w:bookmarkStart w:id="764" w:name="_Toc157705702"/>
      <w:bookmarkStart w:id="765" w:name="_Toc157705752"/>
      <w:bookmarkStart w:id="766" w:name="_Toc157706117"/>
      <w:bookmarkStart w:id="767" w:name="_Toc157375109"/>
      <w:bookmarkStart w:id="768" w:name="_Toc157412202"/>
      <w:bookmarkStart w:id="769" w:name="_Toc157412365"/>
      <w:bookmarkStart w:id="770" w:name="_Toc157445384"/>
      <w:bookmarkStart w:id="771" w:name="_Toc157445538"/>
      <w:bookmarkStart w:id="772" w:name="_Toc157613735"/>
      <w:bookmarkStart w:id="773" w:name="_Toc157614034"/>
      <w:bookmarkStart w:id="774" w:name="_Toc157617026"/>
      <w:r w:rsidRPr="004D3E2B">
        <w:t>3.1</w:t>
      </w:r>
      <w:r w:rsidRPr="004D3E2B">
        <w:tab/>
        <w:t>Special account flows</w:t>
      </w:r>
      <w:r>
        <w:t xml:space="preserve"> and balances</w:t>
      </w:r>
      <w:bookmarkEnd w:id="758"/>
      <w:bookmarkEnd w:id="759"/>
      <w:bookmarkEnd w:id="760"/>
      <w:bookmarkEnd w:id="761"/>
      <w:bookmarkEnd w:id="762"/>
      <w:bookmarkEnd w:id="763"/>
      <w:bookmarkEnd w:id="764"/>
      <w:bookmarkEnd w:id="765"/>
      <w:bookmarkEnd w:id="766"/>
    </w:p>
    <w:p w14:paraId="5713437A" w14:textId="77777777" w:rsidR="003716A5" w:rsidRDefault="003716A5" w:rsidP="003716A5">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43986493" w14:textId="77777777" w:rsidR="00F367A9" w:rsidRPr="00F367A9" w:rsidRDefault="00F367A9" w:rsidP="00F367A9"/>
    <w:p w14:paraId="322D47EA" w14:textId="77777777" w:rsidR="00F367A9" w:rsidRDefault="00F367A9" w:rsidP="00F367A9">
      <w:pPr>
        <w:pStyle w:val="TableHeading"/>
      </w:pPr>
      <w:r>
        <w:t>Table 3.1: Estimates of special account flows and balances</w:t>
      </w:r>
    </w:p>
    <w:p w14:paraId="191078A3" w14:textId="07905C1E" w:rsidR="003716A5" w:rsidRDefault="00A56237" w:rsidP="003716A5">
      <w:r>
        <w:t xml:space="preserve">The </w:t>
      </w:r>
      <w:r w:rsidR="003716A5">
        <w:t xml:space="preserve">AEC has no special accounts. </w:t>
      </w:r>
    </w:p>
    <w:p w14:paraId="1DEE80FE" w14:textId="77777777" w:rsidR="00F367A9" w:rsidRPr="00FB0910" w:rsidRDefault="00F367A9" w:rsidP="003716A5"/>
    <w:p w14:paraId="2D9370CC" w14:textId="19D349B6" w:rsidR="00186290" w:rsidRDefault="00186290" w:rsidP="00186290">
      <w:pPr>
        <w:pStyle w:val="Heading3"/>
      </w:pPr>
      <w:bookmarkStart w:id="775" w:name="_Toc157618394"/>
      <w:bookmarkStart w:id="776" w:name="_Toc157618784"/>
      <w:bookmarkStart w:id="777" w:name="_Toc157698155"/>
      <w:bookmarkStart w:id="778" w:name="_Toc157705402"/>
      <w:bookmarkStart w:id="779" w:name="_Toc157705460"/>
      <w:bookmarkStart w:id="780" w:name="_Toc157705512"/>
      <w:bookmarkStart w:id="781" w:name="_Toc157705703"/>
      <w:bookmarkStart w:id="782" w:name="_Toc157705753"/>
      <w:bookmarkStart w:id="783" w:name="_Toc157706118"/>
      <w:r w:rsidRPr="005554F9">
        <w:t>3.</w:t>
      </w:r>
      <w:r w:rsidR="003716A5">
        <w:t>2</w:t>
      </w:r>
      <w:r>
        <w:tab/>
        <w:t>Budgeted financial statements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C5B1429" w14:textId="04CDB065" w:rsidR="00186290" w:rsidRPr="004928FF" w:rsidRDefault="00186290" w:rsidP="00186290">
      <w:pPr>
        <w:pStyle w:val="Heading4"/>
      </w:pPr>
      <w:r w:rsidRPr="00EC73D1">
        <w:t>3.</w:t>
      </w:r>
      <w:r w:rsidR="003716A5">
        <w:t>2</w:t>
      </w:r>
      <w:r w:rsidRPr="00EC73D1">
        <w:t>.1</w:t>
      </w:r>
      <w:r>
        <w:tab/>
      </w:r>
      <w:r w:rsidRPr="004928FF">
        <w:t xml:space="preserve">Analysis of </w:t>
      </w:r>
      <w:r>
        <w:t>b</w:t>
      </w:r>
      <w:r w:rsidRPr="004928FF">
        <w:t xml:space="preserve">udgeted </w:t>
      </w:r>
      <w:r>
        <w:t>f</w:t>
      </w:r>
      <w:r w:rsidRPr="004928FF">
        <w:t xml:space="preserve">inancial </w:t>
      </w:r>
      <w:r>
        <w:t>s</w:t>
      </w:r>
      <w:r w:rsidRPr="004928FF">
        <w:t>tatements</w:t>
      </w:r>
    </w:p>
    <w:p w14:paraId="1D211867" w14:textId="77777777" w:rsidR="00186290" w:rsidRDefault="00186290" w:rsidP="00186290">
      <w:r>
        <w:t>The budgeted financial statements have changed since the 2023-24 Portfolio Budget Statements. The AEC has brought forward referendum related funding from 2024</w:t>
      </w:r>
      <w:r>
        <w:noBreakHyphen/>
        <w:t xml:space="preserve">25. Additional Departmental appropriations have also been received for conducting redistributions in New South Wales, Western Australia, Victoria and the Northern Territory. </w:t>
      </w:r>
    </w:p>
    <w:p w14:paraId="5584EC2E" w14:textId="77777777" w:rsidR="00902CA6" w:rsidRPr="008A584F" w:rsidRDefault="00902CA6" w:rsidP="00186290"/>
    <w:p w14:paraId="19B1E10A" w14:textId="34914CD5" w:rsidR="00186290" w:rsidRPr="004928FF" w:rsidRDefault="00186290" w:rsidP="00186290">
      <w:pPr>
        <w:pStyle w:val="Heading4"/>
      </w:pPr>
      <w:r w:rsidRPr="00EC73D1">
        <w:lastRenderedPageBreak/>
        <w:t>3.</w:t>
      </w:r>
      <w:r w:rsidR="003716A5">
        <w:t>2</w:t>
      </w:r>
      <w:r>
        <w:t>.2</w:t>
      </w:r>
      <w:r>
        <w:tab/>
      </w:r>
      <w:r w:rsidRPr="004928FF">
        <w:t xml:space="preserve">Budgeted </w:t>
      </w:r>
      <w:r>
        <w:t>f</w:t>
      </w:r>
      <w:r w:rsidRPr="004928FF">
        <w:t xml:space="preserve">inancial </w:t>
      </w:r>
      <w:r>
        <w:t>s</w:t>
      </w:r>
      <w:r w:rsidRPr="004928FF">
        <w:t>tatements</w:t>
      </w:r>
    </w:p>
    <w:p w14:paraId="58130A42" w14:textId="594BA55E" w:rsidR="00186290" w:rsidRDefault="00186290" w:rsidP="00186290">
      <w:pPr>
        <w:pStyle w:val="TableHeading"/>
        <w:spacing w:before="0"/>
        <w:rPr>
          <w:snapToGrid w:val="0"/>
        </w:rPr>
      </w:pPr>
      <w:r>
        <w:rPr>
          <w:snapToGrid w:val="0"/>
        </w:rPr>
        <w:t>Table 3.</w:t>
      </w:r>
      <w:r w:rsidR="00B53BA7">
        <w:rPr>
          <w:snapToGrid w:val="0"/>
        </w:rPr>
        <w:t>2</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6D7D66B5" w14:textId="388CD2A2" w:rsidR="00186290" w:rsidRPr="005B0398" w:rsidRDefault="003A6828" w:rsidP="00186290">
      <w:pPr>
        <w:pStyle w:val="TableGraphic"/>
      </w:pPr>
      <w:r w:rsidRPr="003A6828">
        <w:rPr>
          <w:noProof/>
        </w:rPr>
        <w:drawing>
          <wp:inline distT="0" distB="0" distL="0" distR="0" wp14:anchorId="3638B393" wp14:editId="2D0DEB1B">
            <wp:extent cx="4896485" cy="4269105"/>
            <wp:effectExtent l="0" t="0" r="0" b="0"/>
            <wp:docPr id="1181290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96485" cy="4269105"/>
                    </a:xfrm>
                    <a:prstGeom prst="rect">
                      <a:avLst/>
                    </a:prstGeom>
                    <a:noFill/>
                    <a:ln>
                      <a:noFill/>
                    </a:ln>
                  </pic:spPr>
                </pic:pic>
              </a:graphicData>
            </a:graphic>
          </wp:inline>
        </w:drawing>
      </w:r>
    </w:p>
    <w:p w14:paraId="7EDA1AB2" w14:textId="4C98AE22" w:rsidR="00186290" w:rsidRPr="00902CA6" w:rsidRDefault="00902CA6" w:rsidP="00902CA6">
      <w:pPr>
        <w:pStyle w:val="TableGraphic"/>
        <w:spacing w:before="30"/>
        <w:rPr>
          <w:rFonts w:ascii="Arial" w:hAnsi="Arial" w:cs="Arial"/>
          <w:sz w:val="16"/>
          <w:szCs w:val="16"/>
        </w:rPr>
      </w:pPr>
      <w:r w:rsidRPr="00902CA6">
        <w:rPr>
          <w:rFonts w:ascii="Arial" w:hAnsi="Arial" w:cs="Arial"/>
          <w:sz w:val="16"/>
          <w:szCs w:val="16"/>
        </w:rPr>
        <w:t>Table continues on next page</w:t>
      </w:r>
    </w:p>
    <w:p w14:paraId="103F2311" w14:textId="0EED647F" w:rsidR="00186290" w:rsidRDefault="00186290" w:rsidP="00186290">
      <w:pPr>
        <w:pStyle w:val="TableHeading"/>
        <w:spacing w:before="0"/>
        <w:rPr>
          <w:snapToGrid w:val="0"/>
        </w:rPr>
      </w:pPr>
      <w:r>
        <w:br w:type="page"/>
      </w:r>
      <w:r>
        <w:rPr>
          <w:snapToGrid w:val="0"/>
        </w:rPr>
        <w:lastRenderedPageBreak/>
        <w:t>Table 3.</w:t>
      </w:r>
      <w:r w:rsidR="00B53BA7">
        <w:rPr>
          <w:snapToGrid w:val="0"/>
        </w:rPr>
        <w:t>2</w:t>
      </w:r>
      <w:r>
        <w:rPr>
          <w:snapToGrid w:val="0"/>
        </w:rPr>
        <w:t>:</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6130F527" w14:textId="51CB8785" w:rsidR="00186290" w:rsidRPr="005B0398" w:rsidRDefault="005A7CA4" w:rsidP="00186290">
      <w:pPr>
        <w:pStyle w:val="TableGraphic"/>
      </w:pPr>
      <w:r w:rsidRPr="005A7CA4">
        <w:rPr>
          <w:noProof/>
        </w:rPr>
        <w:drawing>
          <wp:inline distT="0" distB="0" distL="0" distR="0" wp14:anchorId="5E4B7937" wp14:editId="33BD40FA">
            <wp:extent cx="4896485" cy="1680845"/>
            <wp:effectExtent l="0" t="0" r="0" b="0"/>
            <wp:docPr id="46257568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896485" cy="1680845"/>
                    </a:xfrm>
                    <a:prstGeom prst="rect">
                      <a:avLst/>
                    </a:prstGeom>
                    <a:noFill/>
                    <a:ln>
                      <a:noFill/>
                    </a:ln>
                  </pic:spPr>
                </pic:pic>
              </a:graphicData>
            </a:graphic>
          </wp:inline>
        </w:drawing>
      </w:r>
    </w:p>
    <w:p w14:paraId="2E39B8EE" w14:textId="77777777" w:rsidR="00186290" w:rsidRPr="009C33E9" w:rsidRDefault="00186290" w:rsidP="005A7CA4">
      <w:pPr>
        <w:pStyle w:val="Source"/>
        <w:spacing w:after="120"/>
      </w:pPr>
      <w:r>
        <w:t>P</w:t>
      </w:r>
      <w:r w:rsidRPr="009C33E9">
        <w:t>repared on Australian Accounting Standards basis.</w:t>
      </w:r>
    </w:p>
    <w:p w14:paraId="77783B2E" w14:textId="042BFD24" w:rsidR="00186290" w:rsidRPr="00B42659" w:rsidRDefault="00186290" w:rsidP="00503E20">
      <w:pPr>
        <w:pStyle w:val="ChartandTableFootnoteAlpha"/>
        <w:numPr>
          <w:ilvl w:val="0"/>
          <w:numId w:val="11"/>
        </w:numPr>
      </w:pPr>
      <w:r w:rsidRPr="00B42659">
        <w:rPr>
          <w:rFonts w:cs="Arial"/>
          <w:szCs w:val="16"/>
        </w:rPr>
        <w:t>From 2010</w:t>
      </w:r>
      <w:r>
        <w:rPr>
          <w:rFonts w:cs="Arial"/>
          <w:szCs w:val="16"/>
        </w:rPr>
        <w:t>–</w:t>
      </w:r>
      <w:r w:rsidRPr="00B42659">
        <w:rPr>
          <w:rFonts w:cs="Arial"/>
          <w:szCs w:val="16"/>
        </w:rPr>
        <w:t>11, the Government introduced the net cash appropriation arrangement that provided non</w:t>
      </w:r>
      <w:r w:rsidRPr="00B42659">
        <w:rPr>
          <w:rFonts w:cs="Arial"/>
          <w:szCs w:val="16"/>
        </w:rPr>
        <w:noBreakHyphen/>
      </w:r>
      <w:r w:rsidRPr="00B42659">
        <w:t xml:space="preserve">corporate Commonwealth entities with a separate Departmental Capital Budget (DCB) under </w:t>
      </w:r>
      <w:r w:rsidRPr="00F11E5D">
        <w:rPr>
          <w:i/>
          <w:iCs/>
        </w:rPr>
        <w:t>Appropriation Act (No.</w:t>
      </w:r>
      <w:r w:rsidR="00B53BA7" w:rsidRPr="00F11E5D">
        <w:rPr>
          <w:i/>
          <w:iCs/>
        </w:rPr>
        <w:t xml:space="preserve"> </w:t>
      </w:r>
      <w:r w:rsidRPr="00F11E5D">
        <w:rPr>
          <w:i/>
          <w:iCs/>
        </w:rPr>
        <w:t>1)</w:t>
      </w:r>
      <w:r w:rsidRPr="00B42659">
        <w:t xml:space="preserve"> or Bill (No. 3). This replaced revenue appropriations provided under </w:t>
      </w:r>
      <w:r w:rsidRPr="00F11E5D">
        <w:rPr>
          <w:i/>
          <w:iCs/>
        </w:rPr>
        <w:t>Appropriation Act (No.</w:t>
      </w:r>
      <w:r w:rsidR="00B53BA7" w:rsidRPr="00F11E5D">
        <w:rPr>
          <w:i/>
          <w:iCs/>
        </w:rPr>
        <w:t xml:space="preserve"> </w:t>
      </w:r>
      <w:r w:rsidRPr="00F11E5D">
        <w:rPr>
          <w:i/>
          <w:iCs/>
        </w:rPr>
        <w:t>1)</w:t>
      </w:r>
      <w:r w:rsidRPr="00B42659">
        <w:t xml:space="preserve"> or Bill (No.</w:t>
      </w:r>
      <w:r w:rsidR="00B53BA7">
        <w:t xml:space="preserve"> </w:t>
      </w:r>
      <w:r w:rsidRPr="00B42659">
        <w:t>3) used for depreciation/amortisation expenses. For information regarding DCB, refer to Table 3.</w:t>
      </w:r>
      <w:r>
        <w:t>5</w:t>
      </w:r>
      <w:r w:rsidRPr="00B42659">
        <w:t xml:space="preserve"> Departmental Capital Budget Statement.</w:t>
      </w:r>
    </w:p>
    <w:p w14:paraId="5A8340CE" w14:textId="77777777" w:rsidR="00186290" w:rsidRDefault="00186290" w:rsidP="00FC3DFF">
      <w:pPr>
        <w:pStyle w:val="ChartandTableFootnoteAlpha"/>
      </w:pPr>
      <w:r w:rsidRPr="00B42659">
        <w:t xml:space="preserve">Applies </w:t>
      </w:r>
      <w:r>
        <w:t xml:space="preserve">to </w:t>
      </w:r>
      <w:r w:rsidRPr="00B42659">
        <w:t>l</w:t>
      </w:r>
      <w:r w:rsidRPr="0010438C">
        <w:t>eases under AASB 16 Leases.</w:t>
      </w:r>
    </w:p>
    <w:p w14:paraId="785A0AA8" w14:textId="77777777" w:rsidR="00186290" w:rsidRDefault="00186290" w:rsidP="00186290">
      <w:pPr>
        <w:pStyle w:val="Source"/>
        <w:rPr>
          <w:snapToGrid w:val="0"/>
        </w:rPr>
      </w:pPr>
    </w:p>
    <w:p w14:paraId="3157B77C" w14:textId="77777777" w:rsidR="00186290" w:rsidRDefault="00186290" w:rsidP="00186290">
      <w:pPr>
        <w:spacing w:before="0" w:after="0" w:line="240" w:lineRule="auto"/>
        <w:rPr>
          <w:rFonts w:ascii="Arial" w:hAnsi="Arial"/>
          <w:b/>
          <w:snapToGrid w:val="0"/>
          <w:sz w:val="20"/>
        </w:rPr>
      </w:pPr>
      <w:r>
        <w:rPr>
          <w:snapToGrid w:val="0"/>
        </w:rPr>
        <w:br w:type="page"/>
      </w:r>
    </w:p>
    <w:p w14:paraId="0D26CB9E" w14:textId="75814460" w:rsidR="00186290" w:rsidRDefault="00186290" w:rsidP="00186290">
      <w:pPr>
        <w:pStyle w:val="TableHeading"/>
        <w:spacing w:before="0"/>
        <w:rPr>
          <w:snapToGrid w:val="0"/>
        </w:rPr>
      </w:pPr>
      <w:r>
        <w:rPr>
          <w:snapToGrid w:val="0"/>
        </w:rPr>
        <w:lastRenderedPageBreak/>
        <w:t>Table 3.</w:t>
      </w:r>
      <w:r w:rsidR="00B53BA7">
        <w:rPr>
          <w:snapToGrid w:val="0"/>
        </w:rPr>
        <w:t>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p w14:paraId="4C4CAB47" w14:textId="4BD997D2" w:rsidR="00186290" w:rsidRPr="005B0398" w:rsidRDefault="005A7CA4" w:rsidP="00186290">
      <w:pPr>
        <w:pStyle w:val="TableGraphic"/>
      </w:pPr>
      <w:r w:rsidRPr="005A7CA4">
        <w:rPr>
          <w:noProof/>
        </w:rPr>
        <w:drawing>
          <wp:inline distT="0" distB="0" distL="0" distR="0" wp14:anchorId="4F64657F" wp14:editId="4FB4D1F0">
            <wp:extent cx="4896485" cy="5224145"/>
            <wp:effectExtent l="0" t="0" r="0" b="0"/>
            <wp:docPr id="184286179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96485" cy="5224145"/>
                    </a:xfrm>
                    <a:prstGeom prst="rect">
                      <a:avLst/>
                    </a:prstGeom>
                    <a:noFill/>
                    <a:ln>
                      <a:noFill/>
                    </a:ln>
                  </pic:spPr>
                </pic:pic>
              </a:graphicData>
            </a:graphic>
          </wp:inline>
        </w:drawing>
      </w:r>
    </w:p>
    <w:p w14:paraId="3453931E" w14:textId="77777777" w:rsidR="00186290" w:rsidRDefault="00186290" w:rsidP="00B53BA7">
      <w:pPr>
        <w:pStyle w:val="Source"/>
        <w:spacing w:after="0"/>
      </w:pPr>
      <w:r w:rsidRPr="009C33E9">
        <w:t>Prepared on Australian Accounting Standards basis.</w:t>
      </w:r>
    </w:p>
    <w:p w14:paraId="053FB4F4" w14:textId="77777777" w:rsidR="00186290" w:rsidRPr="009C33E9" w:rsidRDefault="00186290" w:rsidP="00B53BA7">
      <w:pPr>
        <w:pStyle w:val="Source"/>
        <w:spacing w:after="0"/>
      </w:pPr>
      <w:r w:rsidRPr="00710147">
        <w:t>* Equity is the residual interest in assets after the deduction of liabilities</w:t>
      </w:r>
      <w:r>
        <w:t>.</w:t>
      </w:r>
    </w:p>
    <w:p w14:paraId="780D99F4" w14:textId="77777777" w:rsidR="00186290" w:rsidRPr="00014438" w:rsidRDefault="00186290" w:rsidP="00186290">
      <w:pPr>
        <w:pStyle w:val="SingleParagraph"/>
        <w:rPr>
          <w:snapToGrid w:val="0"/>
        </w:rPr>
      </w:pPr>
    </w:p>
    <w:p w14:paraId="3CD81103" w14:textId="77777777" w:rsidR="00186290" w:rsidRDefault="00186290" w:rsidP="00186290">
      <w:pPr>
        <w:spacing w:before="0" w:after="0" w:line="240" w:lineRule="auto"/>
        <w:rPr>
          <w:rFonts w:ascii="Arial" w:hAnsi="Arial"/>
          <w:b/>
          <w:snapToGrid w:val="0"/>
          <w:sz w:val="20"/>
        </w:rPr>
      </w:pPr>
      <w:r>
        <w:rPr>
          <w:snapToGrid w:val="0"/>
        </w:rPr>
        <w:br w:type="page"/>
      </w:r>
    </w:p>
    <w:p w14:paraId="4811852B" w14:textId="5B2A1952" w:rsidR="00186290" w:rsidRPr="00B53BA7" w:rsidRDefault="00186290" w:rsidP="00186290">
      <w:pPr>
        <w:pStyle w:val="TableHeading"/>
        <w:spacing w:before="0"/>
        <w:rPr>
          <w:snapToGrid w:val="0"/>
        </w:rPr>
      </w:pPr>
      <w:r>
        <w:rPr>
          <w:snapToGrid w:val="0"/>
        </w:rPr>
        <w:lastRenderedPageBreak/>
        <w:t>Table 3.</w:t>
      </w:r>
      <w:r w:rsidR="00B53BA7">
        <w:rPr>
          <w:snapToGrid w:val="0"/>
        </w:rPr>
        <w:t>4</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p w14:paraId="632E9DBB" w14:textId="73D01C1D" w:rsidR="00186290" w:rsidRPr="005B0398" w:rsidRDefault="005A7CA4" w:rsidP="00186290">
      <w:pPr>
        <w:pStyle w:val="TableGraphic"/>
      </w:pPr>
      <w:r w:rsidRPr="005A7CA4">
        <w:rPr>
          <w:noProof/>
        </w:rPr>
        <w:drawing>
          <wp:inline distT="0" distB="0" distL="0" distR="0" wp14:anchorId="157AEA72" wp14:editId="5A1227F5">
            <wp:extent cx="4896485" cy="2423795"/>
            <wp:effectExtent l="0" t="0" r="0" b="0"/>
            <wp:docPr id="117340980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96485" cy="2423795"/>
                    </a:xfrm>
                    <a:prstGeom prst="rect">
                      <a:avLst/>
                    </a:prstGeom>
                    <a:noFill/>
                    <a:ln>
                      <a:noFill/>
                    </a:ln>
                  </pic:spPr>
                </pic:pic>
              </a:graphicData>
            </a:graphic>
          </wp:inline>
        </w:drawing>
      </w:r>
    </w:p>
    <w:p w14:paraId="0E660A58" w14:textId="77777777" w:rsidR="00186290" w:rsidRDefault="00186290" w:rsidP="00186290">
      <w:pPr>
        <w:pStyle w:val="Source"/>
        <w:rPr>
          <w:snapToGrid w:val="0"/>
        </w:rPr>
      </w:pPr>
      <w:r w:rsidRPr="008D4221">
        <w:t>Prepared on Australian Accounting Standards basis</w:t>
      </w:r>
      <w:r>
        <w:rPr>
          <w:snapToGrid w:val="0"/>
        </w:rPr>
        <w:t>.</w:t>
      </w:r>
    </w:p>
    <w:p w14:paraId="7BA78BA9" w14:textId="56A51560" w:rsidR="00186290" w:rsidRDefault="00186290" w:rsidP="00186290">
      <w:pPr>
        <w:pStyle w:val="TableHeading"/>
        <w:spacing w:before="0"/>
        <w:rPr>
          <w:snapToGrid w:val="0"/>
        </w:rPr>
      </w:pPr>
      <w:r>
        <w:rPr>
          <w:snapToGrid w:val="0"/>
        </w:rPr>
        <w:lastRenderedPageBreak/>
        <w:t>Table 3</w:t>
      </w:r>
      <w:r w:rsidRPr="00014438">
        <w:rPr>
          <w:snapToGrid w:val="0"/>
        </w:rPr>
        <w:t>.</w:t>
      </w:r>
      <w:r w:rsidR="00B53BA7">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65A5CD5A" w14:textId="522718B4" w:rsidR="00186290" w:rsidRPr="00875841" w:rsidRDefault="00CE4B10" w:rsidP="00186290">
      <w:pPr>
        <w:pStyle w:val="TableGraphic"/>
        <w:rPr>
          <w:b/>
          <w:bCs/>
        </w:rPr>
      </w:pPr>
      <w:r w:rsidRPr="00CE4B10">
        <w:rPr>
          <w:b/>
          <w:bCs/>
          <w:noProof/>
        </w:rPr>
        <w:drawing>
          <wp:inline distT="0" distB="0" distL="0" distR="0" wp14:anchorId="5AD15C24" wp14:editId="2C6463D5">
            <wp:extent cx="4896485" cy="4888230"/>
            <wp:effectExtent l="0" t="0" r="0" b="7620"/>
            <wp:docPr id="143147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896485" cy="4888230"/>
                    </a:xfrm>
                    <a:prstGeom prst="rect">
                      <a:avLst/>
                    </a:prstGeom>
                    <a:noFill/>
                    <a:ln>
                      <a:noFill/>
                    </a:ln>
                  </pic:spPr>
                </pic:pic>
              </a:graphicData>
            </a:graphic>
          </wp:inline>
        </w:drawing>
      </w:r>
    </w:p>
    <w:p w14:paraId="24C3D262" w14:textId="77777777" w:rsidR="00186290" w:rsidRPr="002B50AF" w:rsidRDefault="00186290" w:rsidP="00186290">
      <w:pPr>
        <w:pStyle w:val="Source"/>
      </w:pPr>
      <w:r w:rsidRPr="009C33E9">
        <w:t>Prepared on Australian Accounting Standards basis.</w:t>
      </w:r>
    </w:p>
    <w:p w14:paraId="076AC788" w14:textId="6F1C12C3" w:rsidR="00186290" w:rsidRDefault="00186290" w:rsidP="00186290">
      <w:pPr>
        <w:pStyle w:val="TableHeading"/>
        <w:spacing w:before="0"/>
        <w:rPr>
          <w:b w:val="0"/>
          <w:snapToGrid w:val="0"/>
        </w:rPr>
      </w:pPr>
      <w:r>
        <w:rPr>
          <w:snapToGrid w:val="0"/>
        </w:rPr>
        <w:lastRenderedPageBreak/>
        <w:t>Table 3.</w:t>
      </w:r>
      <w:r w:rsidR="00B53BA7">
        <w:rPr>
          <w:snapToGrid w:val="0"/>
        </w:rPr>
        <w:t>6</w:t>
      </w:r>
      <w:r>
        <w:rPr>
          <w:snapToGrid w:val="0"/>
        </w:rPr>
        <w:t>:</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26755C4A" w14:textId="58841EBD" w:rsidR="00186290" w:rsidRPr="00EA437C" w:rsidRDefault="00CE4B10" w:rsidP="00186290">
      <w:pPr>
        <w:pStyle w:val="TableGraphic"/>
      </w:pPr>
      <w:r w:rsidRPr="00CE4B10">
        <w:rPr>
          <w:noProof/>
        </w:rPr>
        <w:drawing>
          <wp:inline distT="0" distB="0" distL="0" distR="0" wp14:anchorId="174BA5E4" wp14:editId="5CCDFD43">
            <wp:extent cx="4896485" cy="2533650"/>
            <wp:effectExtent l="0" t="0" r="0" b="0"/>
            <wp:docPr id="1622964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96485" cy="2533650"/>
                    </a:xfrm>
                    <a:prstGeom prst="rect">
                      <a:avLst/>
                    </a:prstGeom>
                    <a:noFill/>
                    <a:ln>
                      <a:noFill/>
                    </a:ln>
                  </pic:spPr>
                </pic:pic>
              </a:graphicData>
            </a:graphic>
          </wp:inline>
        </w:drawing>
      </w:r>
    </w:p>
    <w:p w14:paraId="7F6238FA" w14:textId="77777777" w:rsidR="00186290" w:rsidRPr="00353AE7" w:rsidRDefault="00186290" w:rsidP="00633C3C">
      <w:pPr>
        <w:pStyle w:val="Source"/>
        <w:spacing w:after="120"/>
      </w:pPr>
      <w:r w:rsidRPr="000F37E6">
        <w:t>Prepared on Australian Accounting Standards</w:t>
      </w:r>
      <w:r w:rsidRPr="009C33E9">
        <w:t xml:space="preserve"> basis.</w:t>
      </w:r>
      <w:r>
        <w:t xml:space="preserve"> </w:t>
      </w:r>
    </w:p>
    <w:p w14:paraId="7630D490" w14:textId="77777777" w:rsidR="00186290" w:rsidRPr="000F37E6" w:rsidRDefault="00186290" w:rsidP="00633C3C">
      <w:pPr>
        <w:pStyle w:val="ChartandTableFootnoteAlpha"/>
        <w:numPr>
          <w:ilvl w:val="0"/>
          <w:numId w:val="42"/>
        </w:numPr>
      </w:pPr>
      <w:r w:rsidRPr="005941AC">
        <w:t>Includes purchases from current and previous years’ Departmental Capital Budgets (DCBs).</w:t>
      </w:r>
    </w:p>
    <w:p w14:paraId="4A57A15B" w14:textId="77777777" w:rsidR="00186290" w:rsidRDefault="00186290" w:rsidP="00186290">
      <w:pPr>
        <w:spacing w:before="0" w:after="0" w:line="240" w:lineRule="auto"/>
        <w:rPr>
          <w:rFonts w:ascii="Arial" w:hAnsi="Arial"/>
          <w:b/>
          <w:snapToGrid w:val="0"/>
          <w:sz w:val="20"/>
        </w:rPr>
      </w:pPr>
      <w:r>
        <w:rPr>
          <w:snapToGrid w:val="0"/>
        </w:rPr>
        <w:br w:type="page"/>
      </w:r>
    </w:p>
    <w:p w14:paraId="1ED60271" w14:textId="54715C5B" w:rsidR="00186290" w:rsidRDefault="00186290" w:rsidP="00186290">
      <w:pPr>
        <w:pStyle w:val="TableHeading"/>
        <w:spacing w:before="0" w:after="0"/>
        <w:rPr>
          <w:snapToGrid w:val="0"/>
        </w:rPr>
      </w:pPr>
      <w:r>
        <w:rPr>
          <w:snapToGrid w:val="0"/>
        </w:rPr>
        <w:lastRenderedPageBreak/>
        <w:t>Table 3.</w:t>
      </w:r>
      <w:r w:rsidR="00B53BA7">
        <w:rPr>
          <w:snapToGrid w:val="0"/>
        </w:rPr>
        <w:t>7</w:t>
      </w:r>
      <w:r>
        <w:rPr>
          <w:snapToGrid w:val="0"/>
        </w:rPr>
        <w:t xml:space="preserve">: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p w14:paraId="1149B800" w14:textId="1CD31AAC" w:rsidR="00186290" w:rsidRDefault="002C53D2" w:rsidP="00186290">
      <w:pPr>
        <w:pStyle w:val="TableGraphic"/>
      </w:pPr>
      <w:r w:rsidRPr="002C53D2">
        <w:rPr>
          <w:noProof/>
        </w:rPr>
        <w:drawing>
          <wp:inline distT="0" distB="0" distL="0" distR="0" wp14:anchorId="3DEDE3CC" wp14:editId="60ED2221">
            <wp:extent cx="4896485" cy="4261485"/>
            <wp:effectExtent l="0" t="0" r="0" b="5715"/>
            <wp:docPr id="4682230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896485" cy="4261485"/>
                    </a:xfrm>
                    <a:prstGeom prst="rect">
                      <a:avLst/>
                    </a:prstGeom>
                    <a:noFill/>
                    <a:ln>
                      <a:noFill/>
                    </a:ln>
                  </pic:spPr>
                </pic:pic>
              </a:graphicData>
            </a:graphic>
          </wp:inline>
        </w:drawing>
      </w:r>
    </w:p>
    <w:p w14:paraId="54248435" w14:textId="77777777" w:rsidR="00186290" w:rsidRPr="00AC530C" w:rsidRDefault="00186290" w:rsidP="002303B3">
      <w:pPr>
        <w:pStyle w:val="Source"/>
        <w:spacing w:after="120"/>
      </w:pPr>
      <w:r w:rsidRPr="00AC530C">
        <w:t>Prepared on Australian Accounting Standards basis.</w:t>
      </w:r>
    </w:p>
    <w:p w14:paraId="17F0C58A" w14:textId="77777777" w:rsidR="00186290" w:rsidRDefault="00186290" w:rsidP="00B53BA7">
      <w:pPr>
        <w:pStyle w:val="ChartandTableFootnoteAlpha"/>
        <w:numPr>
          <w:ilvl w:val="0"/>
          <w:numId w:val="44"/>
        </w:numPr>
        <w:spacing w:before="0"/>
      </w:pPr>
      <w:r w:rsidRPr="00F03BF3">
        <w:t xml:space="preserve">“Appropriation ordinary annual services” refers to funding provided through </w:t>
      </w:r>
      <w:r w:rsidRPr="00F11E5D">
        <w:rPr>
          <w:i/>
        </w:rPr>
        <w:t>Annual Appropriation Act (No. 1) 2023–2024</w:t>
      </w:r>
      <w:r w:rsidRPr="00B53BA7">
        <w:rPr>
          <w:i/>
        </w:rPr>
        <w:t xml:space="preserve">, </w:t>
      </w:r>
      <w:r w:rsidRPr="00F03BF3">
        <w:t>and Appropriation Bill (No. 3) 202</w:t>
      </w:r>
      <w:r>
        <w:t>3</w:t>
      </w:r>
      <w:r w:rsidRPr="00F03BF3">
        <w:t>–202</w:t>
      </w:r>
      <w:r>
        <w:t>4</w:t>
      </w:r>
      <w:r w:rsidRPr="00F03BF3">
        <w:t xml:space="preserve"> for depreciation/amortisation expenses, Departmental Capital Budget or other operational expenses.</w:t>
      </w:r>
    </w:p>
    <w:p w14:paraId="0AD70246" w14:textId="77777777" w:rsidR="00186290" w:rsidRDefault="00186290" w:rsidP="00186290">
      <w:pPr>
        <w:spacing w:before="0" w:after="0" w:line="240" w:lineRule="auto"/>
        <w:rPr>
          <w:rFonts w:ascii="Arial" w:hAnsi="Arial"/>
          <w:color w:val="000000"/>
          <w:sz w:val="16"/>
        </w:rPr>
      </w:pPr>
      <w:r>
        <w:br w:type="page"/>
      </w:r>
    </w:p>
    <w:p w14:paraId="1F96A882" w14:textId="62CA3491" w:rsidR="00186290" w:rsidRPr="00EA437C" w:rsidRDefault="00186290" w:rsidP="00C810B5">
      <w:pPr>
        <w:pStyle w:val="TableHeading"/>
        <w:spacing w:before="0"/>
      </w:pPr>
      <w:r w:rsidRPr="00E61077">
        <w:rPr>
          <w:snapToGrid w:val="0"/>
        </w:rPr>
        <w:lastRenderedPageBreak/>
        <w:t>Table 3.</w:t>
      </w:r>
      <w:r w:rsidR="00B53BA7">
        <w:rPr>
          <w:snapToGrid w:val="0"/>
        </w:rPr>
        <w:t>8</w:t>
      </w:r>
      <w:r w:rsidRPr="00E61077">
        <w:rPr>
          <w:snapToGrid w:val="0"/>
        </w:rPr>
        <w:t xml:space="preserve">: Schedule of budgeted income and expenses administered on behalf of Government (for the period ended 30 June) </w:t>
      </w:r>
    </w:p>
    <w:p w14:paraId="71CB532C" w14:textId="5AFB4776" w:rsidR="00186290" w:rsidRDefault="005A7CA4" w:rsidP="00186290">
      <w:pPr>
        <w:pStyle w:val="TableGraphic"/>
      </w:pPr>
      <w:r w:rsidRPr="005A7CA4">
        <w:rPr>
          <w:noProof/>
        </w:rPr>
        <w:drawing>
          <wp:inline distT="0" distB="0" distL="0" distR="0" wp14:anchorId="5509E196" wp14:editId="36DED917">
            <wp:extent cx="4896485" cy="3224530"/>
            <wp:effectExtent l="0" t="0" r="0" b="0"/>
            <wp:docPr id="146474057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896485" cy="3224530"/>
                    </a:xfrm>
                    <a:prstGeom prst="rect">
                      <a:avLst/>
                    </a:prstGeom>
                    <a:noFill/>
                    <a:ln>
                      <a:noFill/>
                    </a:ln>
                  </pic:spPr>
                </pic:pic>
              </a:graphicData>
            </a:graphic>
          </wp:inline>
        </w:drawing>
      </w:r>
    </w:p>
    <w:p w14:paraId="2042B7EC" w14:textId="77777777" w:rsidR="00186290" w:rsidRPr="00AC530C" w:rsidRDefault="00186290" w:rsidP="00186290">
      <w:pPr>
        <w:pStyle w:val="Source"/>
      </w:pPr>
      <w:r w:rsidRPr="00AC530C">
        <w:t>Prepared on Australian Accounting Standards basis.</w:t>
      </w:r>
    </w:p>
    <w:p w14:paraId="3A9692CE" w14:textId="77777777" w:rsidR="00186290" w:rsidRDefault="00186290" w:rsidP="00186290">
      <w:pPr>
        <w:spacing w:before="0" w:after="0" w:line="240" w:lineRule="auto"/>
        <w:rPr>
          <w:rFonts w:ascii="Arial" w:hAnsi="Arial"/>
          <w:b/>
          <w:snapToGrid w:val="0"/>
          <w:sz w:val="20"/>
        </w:rPr>
      </w:pPr>
      <w:r>
        <w:rPr>
          <w:snapToGrid w:val="0"/>
        </w:rPr>
        <w:br w:type="page"/>
      </w:r>
    </w:p>
    <w:p w14:paraId="3D8AB9E9" w14:textId="7A02DE4E" w:rsidR="00186290" w:rsidRDefault="00186290" w:rsidP="00186290">
      <w:pPr>
        <w:pStyle w:val="TableHeading"/>
        <w:spacing w:before="0"/>
        <w:rPr>
          <w:snapToGrid w:val="0"/>
        </w:rPr>
      </w:pPr>
      <w:r>
        <w:rPr>
          <w:snapToGrid w:val="0"/>
        </w:rPr>
        <w:lastRenderedPageBreak/>
        <w:t>Table 3.</w:t>
      </w:r>
      <w:r w:rsidR="00B53BA7">
        <w:rPr>
          <w:snapToGrid w:val="0"/>
        </w:rPr>
        <w:t>9</w:t>
      </w:r>
      <w:r>
        <w:rPr>
          <w:snapToGrid w:val="0"/>
        </w:rPr>
        <w:t xml:space="preserve">: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0E0AE7A7" w14:textId="7C18EA93" w:rsidR="00186290" w:rsidRPr="005B0398" w:rsidRDefault="005A7CA4" w:rsidP="00186290">
      <w:pPr>
        <w:pStyle w:val="TableGraphic"/>
        <w:rPr>
          <w:b/>
        </w:rPr>
      </w:pPr>
      <w:r w:rsidRPr="005A7CA4">
        <w:rPr>
          <w:b/>
          <w:noProof/>
        </w:rPr>
        <w:drawing>
          <wp:inline distT="0" distB="0" distL="0" distR="0" wp14:anchorId="72932D1B" wp14:editId="1BA1ADEC">
            <wp:extent cx="4896485" cy="1642110"/>
            <wp:effectExtent l="0" t="0" r="0" b="0"/>
            <wp:docPr id="150103272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896485" cy="1642110"/>
                    </a:xfrm>
                    <a:prstGeom prst="rect">
                      <a:avLst/>
                    </a:prstGeom>
                    <a:noFill/>
                    <a:ln>
                      <a:noFill/>
                    </a:ln>
                  </pic:spPr>
                </pic:pic>
              </a:graphicData>
            </a:graphic>
          </wp:inline>
        </w:drawing>
      </w:r>
    </w:p>
    <w:p w14:paraId="5365BA7F" w14:textId="77777777" w:rsidR="00186290" w:rsidRPr="005B0398" w:rsidRDefault="00186290" w:rsidP="00186290">
      <w:pPr>
        <w:pStyle w:val="Source"/>
      </w:pPr>
      <w:r w:rsidRPr="00AC530C">
        <w:t>Prepared on Australian Accounting Standards basis.</w:t>
      </w:r>
    </w:p>
    <w:p w14:paraId="00B08942" w14:textId="77777777" w:rsidR="00186290" w:rsidRDefault="00186290" w:rsidP="00186290">
      <w:pPr>
        <w:pStyle w:val="Source"/>
      </w:pPr>
    </w:p>
    <w:p w14:paraId="0F8E6AC4" w14:textId="3C9101F2" w:rsidR="00186290" w:rsidRDefault="00186290" w:rsidP="00186290">
      <w:pPr>
        <w:pStyle w:val="TableHeading"/>
        <w:spacing w:before="0"/>
        <w:rPr>
          <w:snapToGrid w:val="0"/>
        </w:rPr>
      </w:pPr>
      <w:r>
        <w:rPr>
          <w:snapToGrid w:val="0"/>
        </w:rPr>
        <w:t>Table 3.</w:t>
      </w:r>
      <w:r w:rsidR="00B53BA7">
        <w:rPr>
          <w:snapToGrid w:val="0"/>
        </w:rPr>
        <w:t>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p>
    <w:p w14:paraId="65A2A71C" w14:textId="3A05BD94" w:rsidR="00186290" w:rsidRPr="005A4975" w:rsidRDefault="005A7CA4" w:rsidP="00186290">
      <w:pPr>
        <w:pStyle w:val="TableGraphic"/>
      </w:pPr>
      <w:r w:rsidRPr="005A7CA4">
        <w:rPr>
          <w:noProof/>
        </w:rPr>
        <w:drawing>
          <wp:inline distT="0" distB="0" distL="0" distR="0" wp14:anchorId="33B24818" wp14:editId="549B6B6A">
            <wp:extent cx="4896485" cy="3285490"/>
            <wp:effectExtent l="0" t="0" r="0" b="0"/>
            <wp:docPr id="108865465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896485" cy="3285490"/>
                    </a:xfrm>
                    <a:prstGeom prst="rect">
                      <a:avLst/>
                    </a:prstGeom>
                    <a:noFill/>
                    <a:ln>
                      <a:noFill/>
                    </a:ln>
                  </pic:spPr>
                </pic:pic>
              </a:graphicData>
            </a:graphic>
          </wp:inline>
        </w:drawing>
      </w:r>
    </w:p>
    <w:p w14:paraId="2BF1D492" w14:textId="77777777" w:rsidR="00186290" w:rsidRPr="009C3C02" w:rsidRDefault="00186290" w:rsidP="00186290">
      <w:pPr>
        <w:pStyle w:val="Source"/>
      </w:pPr>
      <w:r w:rsidRPr="009C3C02">
        <w:t>Prepared on Australian Accounting Standards basis.</w:t>
      </w:r>
    </w:p>
    <w:p w14:paraId="7774BCB4" w14:textId="77777777" w:rsidR="00186290" w:rsidRDefault="00186290" w:rsidP="00186290">
      <w:pPr>
        <w:pStyle w:val="TableHeading"/>
        <w:spacing w:before="0"/>
      </w:pPr>
    </w:p>
    <w:p w14:paraId="226971B2" w14:textId="77777777" w:rsidR="00C943B5" w:rsidRDefault="00C943B5" w:rsidP="00C943B5">
      <w:pPr>
        <w:pStyle w:val="TableGraphic"/>
      </w:pPr>
    </w:p>
    <w:p w14:paraId="0A152327" w14:textId="77777777" w:rsidR="00C943B5" w:rsidRDefault="00C943B5" w:rsidP="00C943B5"/>
    <w:p w14:paraId="54783329" w14:textId="54CD7675" w:rsidR="00186290" w:rsidRDefault="00186290" w:rsidP="00186290">
      <w:pPr>
        <w:pStyle w:val="TableHeading"/>
        <w:spacing w:before="0"/>
        <w:rPr>
          <w:snapToGrid w:val="0"/>
        </w:rPr>
      </w:pPr>
      <w:r>
        <w:rPr>
          <w:snapToGrid w:val="0"/>
        </w:rPr>
        <w:lastRenderedPageBreak/>
        <w:t>Table 3.1</w:t>
      </w:r>
      <w:r w:rsidR="00B53BA7">
        <w:rPr>
          <w:snapToGrid w:val="0"/>
        </w:rPr>
        <w:t>1</w:t>
      </w:r>
      <w:r w:rsidRPr="00014438">
        <w:rPr>
          <w:snapToGrid w:val="0"/>
        </w:rPr>
        <w:t>: Schedule of administered capital budget</w:t>
      </w:r>
      <w:r>
        <w:rPr>
          <w:snapToGrid w:val="0"/>
        </w:rPr>
        <w:t xml:space="preserve"> (for the period ended 30 June)</w:t>
      </w:r>
    </w:p>
    <w:p w14:paraId="224F89C8" w14:textId="107749BD" w:rsidR="00186290" w:rsidRDefault="00186290" w:rsidP="00186290">
      <w:pPr>
        <w:pStyle w:val="TableGraphic"/>
      </w:pPr>
    </w:p>
    <w:p w14:paraId="606587FC" w14:textId="77777777" w:rsidR="00186290" w:rsidRDefault="00186290" w:rsidP="00186290">
      <w:pPr>
        <w:pStyle w:val="TableGraphic"/>
      </w:pPr>
      <w:r>
        <w:t>The AEC has no budgeted capital administered on behalf of the government.</w:t>
      </w:r>
    </w:p>
    <w:p w14:paraId="321EAF95" w14:textId="77777777" w:rsidR="00186290" w:rsidRDefault="00186290" w:rsidP="00186290">
      <w:pPr>
        <w:pStyle w:val="TableGraphic"/>
      </w:pPr>
    </w:p>
    <w:p w14:paraId="20422AFB" w14:textId="77777777" w:rsidR="009879F6" w:rsidRPr="009879F6" w:rsidRDefault="009879F6" w:rsidP="009879F6"/>
    <w:p w14:paraId="1550B0F3" w14:textId="146880F2" w:rsidR="009879F6" w:rsidRDefault="009879F6" w:rsidP="009879F6">
      <w:pPr>
        <w:pStyle w:val="TableHeading"/>
        <w:spacing w:before="0"/>
        <w:rPr>
          <w:snapToGrid w:val="0"/>
        </w:rPr>
      </w:pPr>
      <w:r>
        <w:rPr>
          <w:snapToGrid w:val="0"/>
        </w:rPr>
        <w:t xml:space="preserve">Table 3.12: </w:t>
      </w:r>
      <w:r w:rsidRPr="00014438">
        <w:rPr>
          <w:snapToGrid w:val="0"/>
        </w:rPr>
        <w:t>Statement of administered asset movements (</w:t>
      </w:r>
      <w:r>
        <w:rPr>
          <w:snapToGrid w:val="0"/>
        </w:rPr>
        <w:t>2023–24 Budget year</w:t>
      </w:r>
      <w:r w:rsidRPr="00014438">
        <w:rPr>
          <w:snapToGrid w:val="0"/>
        </w:rPr>
        <w:t>)</w:t>
      </w:r>
    </w:p>
    <w:p w14:paraId="53A11DA3" w14:textId="77777777" w:rsidR="009879F6" w:rsidRPr="00DB42D8" w:rsidRDefault="009879F6" w:rsidP="009879F6">
      <w:r>
        <w:t>The AEC has no budgeted non-financial assets administered on behalf of the Government.</w:t>
      </w:r>
    </w:p>
    <w:p w14:paraId="48B12696" w14:textId="77777777" w:rsidR="00771FA1" w:rsidRDefault="00771FA1" w:rsidP="00771FA1"/>
    <w:p w14:paraId="6DC1AC7B" w14:textId="77777777" w:rsidR="00771FA1" w:rsidRDefault="00771FA1" w:rsidP="00771FA1"/>
    <w:p w14:paraId="1FE3CC88" w14:textId="77777777" w:rsidR="00771FA1" w:rsidRDefault="00771FA1" w:rsidP="00771FA1"/>
    <w:p w14:paraId="5D3D890D" w14:textId="77777777" w:rsidR="00771FA1" w:rsidRDefault="00771FA1" w:rsidP="00771FA1"/>
    <w:p w14:paraId="14681E10" w14:textId="77777777" w:rsidR="00771FA1" w:rsidRDefault="00771FA1" w:rsidP="00771FA1"/>
    <w:p w14:paraId="2C1DCF06" w14:textId="77777777" w:rsidR="00771FA1" w:rsidRDefault="00771FA1" w:rsidP="00771FA1"/>
    <w:p w14:paraId="328D4091" w14:textId="77777777" w:rsidR="00771FA1" w:rsidRDefault="00771FA1" w:rsidP="00771FA1"/>
    <w:p w14:paraId="408B4BE6" w14:textId="77777777" w:rsidR="00771FA1" w:rsidRDefault="00771FA1" w:rsidP="00771FA1"/>
    <w:p w14:paraId="6A348FB1" w14:textId="77777777" w:rsidR="00771FA1" w:rsidRDefault="00771FA1" w:rsidP="00771FA1"/>
    <w:p w14:paraId="1B4CCD22" w14:textId="77777777" w:rsidR="00771FA1" w:rsidRPr="00771FA1" w:rsidRDefault="00771FA1" w:rsidP="00771FA1"/>
    <w:p w14:paraId="05F0BB71" w14:textId="77777777" w:rsidR="00771FA1" w:rsidRDefault="00771FA1" w:rsidP="00186290"/>
    <w:p w14:paraId="61D304D7" w14:textId="77777777" w:rsidR="00771FA1" w:rsidRDefault="00771FA1" w:rsidP="00186290"/>
    <w:p w14:paraId="57871E75" w14:textId="77777777" w:rsidR="00DA26F7" w:rsidRDefault="00DA26F7" w:rsidP="00186290">
      <w:pPr>
        <w:sectPr w:rsidR="00DA26F7" w:rsidSect="00143ECA">
          <w:footerReference w:type="first" r:id="rId120"/>
          <w:pgSz w:w="11907" w:h="16840" w:code="9"/>
          <w:pgMar w:top="2835" w:right="2098" w:bottom="2466" w:left="2098" w:header="1814" w:footer="1814" w:gutter="0"/>
          <w:cols w:space="708"/>
          <w:titlePg/>
          <w:docGrid w:linePitch="360"/>
        </w:sectPr>
      </w:pPr>
    </w:p>
    <w:p w14:paraId="4DB6A584" w14:textId="4FF3B66F" w:rsidR="00D04586" w:rsidRDefault="00150040" w:rsidP="00DA26F7">
      <w:pPr>
        <w:pStyle w:val="Heading1-NoTOC"/>
      </w:pPr>
      <w:r>
        <w:lastRenderedPageBreak/>
        <w:t>Digital Transformation Agency</w:t>
      </w:r>
    </w:p>
    <w:p w14:paraId="3E091F9B" w14:textId="03896A4C" w:rsidR="0010165B" w:rsidRDefault="00D04586">
      <w:pPr>
        <w:pStyle w:val="TOC1"/>
        <w:rPr>
          <w:rFonts w:asciiTheme="minorHAnsi" w:eastAsiaTheme="minorEastAsia" w:hAnsiTheme="minorHAnsi" w:cstheme="minorBidi"/>
          <w:b w:val="0"/>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57705461" w:history="1">
        <w:r w:rsidR="0010165B" w:rsidRPr="007E7A64">
          <w:rPr>
            <w:rStyle w:val="Hyperlink"/>
            <w:noProof/>
            <w:kern w:val="34"/>
          </w:rPr>
          <w:t>Section 1: Entity overview and resources</w:t>
        </w:r>
        <w:r w:rsidR="0010165B">
          <w:rPr>
            <w:noProof/>
            <w:webHidden/>
          </w:rPr>
          <w:tab/>
        </w:r>
        <w:r w:rsidR="0010165B">
          <w:rPr>
            <w:noProof/>
            <w:webHidden/>
          </w:rPr>
          <w:fldChar w:fldCharType="begin"/>
        </w:r>
        <w:r w:rsidR="0010165B">
          <w:rPr>
            <w:noProof/>
            <w:webHidden/>
          </w:rPr>
          <w:instrText xml:space="preserve"> PAGEREF _Toc157705461 \h </w:instrText>
        </w:r>
        <w:r w:rsidR="0010165B">
          <w:rPr>
            <w:noProof/>
            <w:webHidden/>
          </w:rPr>
        </w:r>
        <w:r w:rsidR="0010165B">
          <w:rPr>
            <w:noProof/>
            <w:webHidden/>
          </w:rPr>
          <w:fldChar w:fldCharType="separate"/>
        </w:r>
        <w:r w:rsidR="00023728">
          <w:rPr>
            <w:noProof/>
            <w:webHidden/>
          </w:rPr>
          <w:t>81</w:t>
        </w:r>
        <w:r w:rsidR="0010165B">
          <w:rPr>
            <w:noProof/>
            <w:webHidden/>
          </w:rPr>
          <w:fldChar w:fldCharType="end"/>
        </w:r>
      </w:hyperlink>
    </w:p>
    <w:p w14:paraId="7F0E5AF7" w14:textId="58B3C364"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2" w:history="1">
        <w:r w:rsidR="0010165B" w:rsidRPr="007E7A64">
          <w:rPr>
            <w:rStyle w:val="Hyperlink"/>
            <w:noProof/>
          </w:rPr>
          <w:t>1.1</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Strategic direction statement</w:t>
        </w:r>
        <w:r w:rsidR="0010165B">
          <w:rPr>
            <w:noProof/>
            <w:webHidden/>
          </w:rPr>
          <w:tab/>
        </w:r>
        <w:r w:rsidR="0010165B">
          <w:rPr>
            <w:noProof/>
            <w:webHidden/>
          </w:rPr>
          <w:fldChar w:fldCharType="begin"/>
        </w:r>
        <w:r w:rsidR="0010165B">
          <w:rPr>
            <w:noProof/>
            <w:webHidden/>
          </w:rPr>
          <w:instrText xml:space="preserve"> PAGEREF _Toc157705462 \h </w:instrText>
        </w:r>
        <w:r w:rsidR="0010165B">
          <w:rPr>
            <w:noProof/>
            <w:webHidden/>
          </w:rPr>
        </w:r>
        <w:r w:rsidR="0010165B">
          <w:rPr>
            <w:noProof/>
            <w:webHidden/>
          </w:rPr>
          <w:fldChar w:fldCharType="separate"/>
        </w:r>
        <w:r w:rsidR="00023728">
          <w:rPr>
            <w:noProof/>
            <w:webHidden/>
          </w:rPr>
          <w:t>81</w:t>
        </w:r>
        <w:r w:rsidR="0010165B">
          <w:rPr>
            <w:noProof/>
            <w:webHidden/>
          </w:rPr>
          <w:fldChar w:fldCharType="end"/>
        </w:r>
      </w:hyperlink>
    </w:p>
    <w:p w14:paraId="64C4B7E1" w14:textId="6EB0408F"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3" w:history="1">
        <w:r w:rsidR="0010165B" w:rsidRPr="007E7A64">
          <w:rPr>
            <w:rStyle w:val="Hyperlink"/>
            <w:noProof/>
          </w:rPr>
          <w:t>1.2</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Entity resource statement</w:t>
        </w:r>
        <w:r w:rsidR="0010165B">
          <w:rPr>
            <w:noProof/>
            <w:webHidden/>
          </w:rPr>
          <w:tab/>
        </w:r>
        <w:r w:rsidR="0010165B">
          <w:rPr>
            <w:noProof/>
            <w:webHidden/>
          </w:rPr>
          <w:fldChar w:fldCharType="begin"/>
        </w:r>
        <w:r w:rsidR="0010165B">
          <w:rPr>
            <w:noProof/>
            <w:webHidden/>
          </w:rPr>
          <w:instrText xml:space="preserve"> PAGEREF _Toc157705463 \h </w:instrText>
        </w:r>
        <w:r w:rsidR="0010165B">
          <w:rPr>
            <w:noProof/>
            <w:webHidden/>
          </w:rPr>
        </w:r>
        <w:r w:rsidR="0010165B">
          <w:rPr>
            <w:noProof/>
            <w:webHidden/>
          </w:rPr>
          <w:fldChar w:fldCharType="separate"/>
        </w:r>
        <w:r w:rsidR="00023728">
          <w:rPr>
            <w:noProof/>
            <w:webHidden/>
          </w:rPr>
          <w:t>81</w:t>
        </w:r>
        <w:r w:rsidR="0010165B">
          <w:rPr>
            <w:noProof/>
            <w:webHidden/>
          </w:rPr>
          <w:fldChar w:fldCharType="end"/>
        </w:r>
      </w:hyperlink>
    </w:p>
    <w:p w14:paraId="69CF2035" w14:textId="57DBDEBF"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4" w:history="1">
        <w:r w:rsidR="0010165B" w:rsidRPr="007E7A64">
          <w:rPr>
            <w:rStyle w:val="Hyperlink"/>
            <w:noProof/>
          </w:rPr>
          <w:t>1.3</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Entity measures</w:t>
        </w:r>
        <w:r w:rsidR="0010165B">
          <w:rPr>
            <w:noProof/>
            <w:webHidden/>
          </w:rPr>
          <w:tab/>
        </w:r>
        <w:r w:rsidR="0010165B">
          <w:rPr>
            <w:noProof/>
            <w:webHidden/>
          </w:rPr>
          <w:fldChar w:fldCharType="begin"/>
        </w:r>
        <w:r w:rsidR="0010165B">
          <w:rPr>
            <w:noProof/>
            <w:webHidden/>
          </w:rPr>
          <w:instrText xml:space="preserve"> PAGEREF _Toc157705464 \h </w:instrText>
        </w:r>
        <w:r w:rsidR="0010165B">
          <w:rPr>
            <w:noProof/>
            <w:webHidden/>
          </w:rPr>
        </w:r>
        <w:r w:rsidR="0010165B">
          <w:rPr>
            <w:noProof/>
            <w:webHidden/>
          </w:rPr>
          <w:fldChar w:fldCharType="separate"/>
        </w:r>
        <w:r w:rsidR="00023728">
          <w:rPr>
            <w:noProof/>
            <w:webHidden/>
          </w:rPr>
          <w:t>84</w:t>
        </w:r>
        <w:r w:rsidR="0010165B">
          <w:rPr>
            <w:noProof/>
            <w:webHidden/>
          </w:rPr>
          <w:fldChar w:fldCharType="end"/>
        </w:r>
      </w:hyperlink>
    </w:p>
    <w:p w14:paraId="4A13798E" w14:textId="157519C6"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5" w:history="1">
        <w:r w:rsidR="0010165B" w:rsidRPr="007E7A64">
          <w:rPr>
            <w:rStyle w:val="Hyperlink"/>
            <w:noProof/>
          </w:rPr>
          <w:t>1.4</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Additional estimates, resourcing and variations to outcomes</w:t>
        </w:r>
        <w:r w:rsidR="0010165B">
          <w:rPr>
            <w:noProof/>
            <w:webHidden/>
          </w:rPr>
          <w:tab/>
        </w:r>
        <w:r w:rsidR="0010165B">
          <w:rPr>
            <w:noProof/>
            <w:webHidden/>
          </w:rPr>
          <w:fldChar w:fldCharType="begin"/>
        </w:r>
        <w:r w:rsidR="0010165B">
          <w:rPr>
            <w:noProof/>
            <w:webHidden/>
          </w:rPr>
          <w:instrText xml:space="preserve"> PAGEREF _Toc157705465 \h </w:instrText>
        </w:r>
        <w:r w:rsidR="0010165B">
          <w:rPr>
            <w:noProof/>
            <w:webHidden/>
          </w:rPr>
        </w:r>
        <w:r w:rsidR="0010165B">
          <w:rPr>
            <w:noProof/>
            <w:webHidden/>
          </w:rPr>
          <w:fldChar w:fldCharType="separate"/>
        </w:r>
        <w:r w:rsidR="00023728">
          <w:rPr>
            <w:noProof/>
            <w:webHidden/>
          </w:rPr>
          <w:t>85</w:t>
        </w:r>
        <w:r w:rsidR="0010165B">
          <w:rPr>
            <w:noProof/>
            <w:webHidden/>
          </w:rPr>
          <w:fldChar w:fldCharType="end"/>
        </w:r>
      </w:hyperlink>
    </w:p>
    <w:p w14:paraId="682B106E" w14:textId="39ACACAD"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6" w:history="1">
        <w:r w:rsidR="0010165B" w:rsidRPr="007E7A64">
          <w:rPr>
            <w:rStyle w:val="Hyperlink"/>
            <w:noProof/>
          </w:rPr>
          <w:t>1.5</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Breakdown of additional estimates by appropriation bill</w:t>
        </w:r>
        <w:r w:rsidR="0010165B">
          <w:rPr>
            <w:noProof/>
            <w:webHidden/>
          </w:rPr>
          <w:tab/>
        </w:r>
        <w:r w:rsidR="0010165B">
          <w:rPr>
            <w:noProof/>
            <w:webHidden/>
          </w:rPr>
          <w:fldChar w:fldCharType="begin"/>
        </w:r>
        <w:r w:rsidR="0010165B">
          <w:rPr>
            <w:noProof/>
            <w:webHidden/>
          </w:rPr>
          <w:instrText xml:space="preserve"> PAGEREF _Toc157705466 \h </w:instrText>
        </w:r>
        <w:r w:rsidR="0010165B">
          <w:rPr>
            <w:noProof/>
            <w:webHidden/>
          </w:rPr>
        </w:r>
        <w:r w:rsidR="0010165B">
          <w:rPr>
            <w:noProof/>
            <w:webHidden/>
          </w:rPr>
          <w:fldChar w:fldCharType="separate"/>
        </w:r>
        <w:r w:rsidR="00023728">
          <w:rPr>
            <w:noProof/>
            <w:webHidden/>
          </w:rPr>
          <w:t>86</w:t>
        </w:r>
        <w:r w:rsidR="0010165B">
          <w:rPr>
            <w:noProof/>
            <w:webHidden/>
          </w:rPr>
          <w:fldChar w:fldCharType="end"/>
        </w:r>
      </w:hyperlink>
    </w:p>
    <w:p w14:paraId="57222F9D" w14:textId="4DDD51E4" w:rsidR="0010165B" w:rsidRDefault="00000000">
      <w:pPr>
        <w:pStyle w:val="TOC1"/>
        <w:rPr>
          <w:rFonts w:asciiTheme="minorHAnsi" w:eastAsiaTheme="minorEastAsia" w:hAnsiTheme="minorHAnsi" w:cstheme="minorBidi"/>
          <w:b w:val="0"/>
          <w:noProof/>
          <w:kern w:val="2"/>
          <w:sz w:val="22"/>
          <w:szCs w:val="22"/>
          <w14:ligatures w14:val="standardContextual"/>
        </w:rPr>
      </w:pPr>
      <w:hyperlink w:anchor="_Toc157705467" w:history="1">
        <w:r w:rsidR="0010165B" w:rsidRPr="007E7A64">
          <w:rPr>
            <w:rStyle w:val="Hyperlink"/>
            <w:noProof/>
          </w:rPr>
          <w:t>Section 2: Revisions to outcomes and planned performance</w:t>
        </w:r>
        <w:r w:rsidR="0010165B">
          <w:rPr>
            <w:noProof/>
            <w:webHidden/>
          </w:rPr>
          <w:tab/>
        </w:r>
        <w:r w:rsidR="0010165B">
          <w:rPr>
            <w:noProof/>
            <w:webHidden/>
          </w:rPr>
          <w:fldChar w:fldCharType="begin"/>
        </w:r>
        <w:r w:rsidR="0010165B">
          <w:rPr>
            <w:noProof/>
            <w:webHidden/>
          </w:rPr>
          <w:instrText xml:space="preserve"> PAGEREF _Toc157705467 \h </w:instrText>
        </w:r>
        <w:r w:rsidR="0010165B">
          <w:rPr>
            <w:noProof/>
            <w:webHidden/>
          </w:rPr>
        </w:r>
        <w:r w:rsidR="0010165B">
          <w:rPr>
            <w:noProof/>
            <w:webHidden/>
          </w:rPr>
          <w:fldChar w:fldCharType="separate"/>
        </w:r>
        <w:r w:rsidR="00023728">
          <w:rPr>
            <w:noProof/>
            <w:webHidden/>
          </w:rPr>
          <w:t>87</w:t>
        </w:r>
        <w:r w:rsidR="0010165B">
          <w:rPr>
            <w:noProof/>
            <w:webHidden/>
          </w:rPr>
          <w:fldChar w:fldCharType="end"/>
        </w:r>
      </w:hyperlink>
    </w:p>
    <w:p w14:paraId="55898A34" w14:textId="6B284D04"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8" w:history="1">
        <w:r w:rsidR="0010165B" w:rsidRPr="007E7A64">
          <w:rPr>
            <w:rStyle w:val="Hyperlink"/>
            <w:noProof/>
          </w:rPr>
          <w:t>2.1</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Changes to outcome and program structures</w:t>
        </w:r>
        <w:r w:rsidR="0010165B">
          <w:rPr>
            <w:noProof/>
            <w:webHidden/>
          </w:rPr>
          <w:tab/>
        </w:r>
        <w:r w:rsidR="0010165B">
          <w:rPr>
            <w:noProof/>
            <w:webHidden/>
          </w:rPr>
          <w:fldChar w:fldCharType="begin"/>
        </w:r>
        <w:r w:rsidR="0010165B">
          <w:rPr>
            <w:noProof/>
            <w:webHidden/>
          </w:rPr>
          <w:instrText xml:space="preserve"> PAGEREF _Toc157705468 \h </w:instrText>
        </w:r>
        <w:r w:rsidR="0010165B">
          <w:rPr>
            <w:noProof/>
            <w:webHidden/>
          </w:rPr>
        </w:r>
        <w:r w:rsidR="0010165B">
          <w:rPr>
            <w:noProof/>
            <w:webHidden/>
          </w:rPr>
          <w:fldChar w:fldCharType="separate"/>
        </w:r>
        <w:r w:rsidR="00023728">
          <w:rPr>
            <w:noProof/>
            <w:webHidden/>
          </w:rPr>
          <w:t>87</w:t>
        </w:r>
        <w:r w:rsidR="0010165B">
          <w:rPr>
            <w:noProof/>
            <w:webHidden/>
          </w:rPr>
          <w:fldChar w:fldCharType="end"/>
        </w:r>
      </w:hyperlink>
    </w:p>
    <w:p w14:paraId="1887C383" w14:textId="492A95B6"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69" w:history="1">
        <w:r w:rsidR="0010165B" w:rsidRPr="007E7A64">
          <w:rPr>
            <w:rStyle w:val="Hyperlink"/>
            <w:noProof/>
          </w:rPr>
          <w:t>2.2</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Budgeted expenses and performance for Outcome 1</w:t>
        </w:r>
        <w:r w:rsidR="0010165B">
          <w:rPr>
            <w:noProof/>
            <w:webHidden/>
          </w:rPr>
          <w:tab/>
        </w:r>
        <w:r w:rsidR="0010165B">
          <w:rPr>
            <w:noProof/>
            <w:webHidden/>
          </w:rPr>
          <w:fldChar w:fldCharType="begin"/>
        </w:r>
        <w:r w:rsidR="0010165B">
          <w:rPr>
            <w:noProof/>
            <w:webHidden/>
          </w:rPr>
          <w:instrText xml:space="preserve"> PAGEREF _Toc157705469 \h </w:instrText>
        </w:r>
        <w:r w:rsidR="0010165B">
          <w:rPr>
            <w:noProof/>
            <w:webHidden/>
          </w:rPr>
        </w:r>
        <w:r w:rsidR="0010165B">
          <w:rPr>
            <w:noProof/>
            <w:webHidden/>
          </w:rPr>
          <w:fldChar w:fldCharType="separate"/>
        </w:r>
        <w:r w:rsidR="00023728">
          <w:rPr>
            <w:noProof/>
            <w:webHidden/>
          </w:rPr>
          <w:t>87</w:t>
        </w:r>
        <w:r w:rsidR="0010165B">
          <w:rPr>
            <w:noProof/>
            <w:webHidden/>
          </w:rPr>
          <w:fldChar w:fldCharType="end"/>
        </w:r>
      </w:hyperlink>
    </w:p>
    <w:p w14:paraId="2B642B2B" w14:textId="7A4D6E7E" w:rsidR="0010165B" w:rsidRDefault="00000000">
      <w:pPr>
        <w:pStyle w:val="TOC1"/>
        <w:rPr>
          <w:rFonts w:asciiTheme="minorHAnsi" w:eastAsiaTheme="minorEastAsia" w:hAnsiTheme="minorHAnsi" w:cstheme="minorBidi"/>
          <w:b w:val="0"/>
          <w:noProof/>
          <w:kern w:val="2"/>
          <w:sz w:val="22"/>
          <w:szCs w:val="22"/>
          <w14:ligatures w14:val="standardContextual"/>
        </w:rPr>
      </w:pPr>
      <w:hyperlink w:anchor="_Toc157705470" w:history="1">
        <w:r w:rsidR="0010165B" w:rsidRPr="007E7A64">
          <w:rPr>
            <w:rStyle w:val="Hyperlink"/>
            <w:noProof/>
          </w:rPr>
          <w:t>Section 3: Special account flows and budgeted financial statements</w:t>
        </w:r>
        <w:r w:rsidR="0010165B">
          <w:rPr>
            <w:noProof/>
            <w:webHidden/>
          </w:rPr>
          <w:tab/>
        </w:r>
        <w:r w:rsidR="0010165B">
          <w:rPr>
            <w:noProof/>
            <w:webHidden/>
          </w:rPr>
          <w:fldChar w:fldCharType="begin"/>
        </w:r>
        <w:r w:rsidR="0010165B">
          <w:rPr>
            <w:noProof/>
            <w:webHidden/>
          </w:rPr>
          <w:instrText xml:space="preserve"> PAGEREF _Toc157705470 \h </w:instrText>
        </w:r>
        <w:r w:rsidR="0010165B">
          <w:rPr>
            <w:noProof/>
            <w:webHidden/>
          </w:rPr>
        </w:r>
        <w:r w:rsidR="0010165B">
          <w:rPr>
            <w:noProof/>
            <w:webHidden/>
          </w:rPr>
          <w:fldChar w:fldCharType="separate"/>
        </w:r>
        <w:r w:rsidR="00023728">
          <w:rPr>
            <w:noProof/>
            <w:webHidden/>
          </w:rPr>
          <w:t>89</w:t>
        </w:r>
        <w:r w:rsidR="0010165B">
          <w:rPr>
            <w:noProof/>
            <w:webHidden/>
          </w:rPr>
          <w:fldChar w:fldCharType="end"/>
        </w:r>
      </w:hyperlink>
    </w:p>
    <w:p w14:paraId="3CD8DB66" w14:textId="7328E656"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71" w:history="1">
        <w:r w:rsidR="0010165B" w:rsidRPr="007E7A64">
          <w:rPr>
            <w:rStyle w:val="Hyperlink"/>
            <w:noProof/>
          </w:rPr>
          <w:t>3.1</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Special account flows and balances</w:t>
        </w:r>
        <w:r w:rsidR="0010165B">
          <w:rPr>
            <w:noProof/>
            <w:webHidden/>
          </w:rPr>
          <w:tab/>
        </w:r>
        <w:r w:rsidR="0010165B">
          <w:rPr>
            <w:noProof/>
            <w:webHidden/>
          </w:rPr>
          <w:fldChar w:fldCharType="begin"/>
        </w:r>
        <w:r w:rsidR="0010165B">
          <w:rPr>
            <w:noProof/>
            <w:webHidden/>
          </w:rPr>
          <w:instrText xml:space="preserve"> PAGEREF _Toc157705471 \h </w:instrText>
        </w:r>
        <w:r w:rsidR="0010165B">
          <w:rPr>
            <w:noProof/>
            <w:webHidden/>
          </w:rPr>
        </w:r>
        <w:r w:rsidR="0010165B">
          <w:rPr>
            <w:noProof/>
            <w:webHidden/>
          </w:rPr>
          <w:fldChar w:fldCharType="separate"/>
        </w:r>
        <w:r w:rsidR="00023728">
          <w:rPr>
            <w:noProof/>
            <w:webHidden/>
          </w:rPr>
          <w:t>89</w:t>
        </w:r>
        <w:r w:rsidR="0010165B">
          <w:rPr>
            <w:noProof/>
            <w:webHidden/>
          </w:rPr>
          <w:fldChar w:fldCharType="end"/>
        </w:r>
      </w:hyperlink>
    </w:p>
    <w:p w14:paraId="6665BC88" w14:textId="0075A782" w:rsidR="0010165B" w:rsidRDefault="00000000">
      <w:pPr>
        <w:pStyle w:val="TOC2"/>
        <w:rPr>
          <w:rFonts w:asciiTheme="minorHAnsi" w:eastAsiaTheme="minorEastAsia" w:hAnsiTheme="minorHAnsi" w:cstheme="minorBidi"/>
          <w:noProof/>
          <w:kern w:val="2"/>
          <w:sz w:val="22"/>
          <w:szCs w:val="22"/>
          <w14:ligatures w14:val="standardContextual"/>
        </w:rPr>
      </w:pPr>
      <w:hyperlink w:anchor="_Toc157705472" w:history="1">
        <w:r w:rsidR="0010165B" w:rsidRPr="007E7A64">
          <w:rPr>
            <w:rStyle w:val="Hyperlink"/>
            <w:noProof/>
          </w:rPr>
          <w:t>3.2</w:t>
        </w:r>
        <w:r w:rsidR="0010165B">
          <w:rPr>
            <w:rFonts w:asciiTheme="minorHAnsi" w:eastAsiaTheme="minorEastAsia" w:hAnsiTheme="minorHAnsi" w:cstheme="minorBidi"/>
            <w:noProof/>
            <w:kern w:val="2"/>
            <w:sz w:val="22"/>
            <w:szCs w:val="22"/>
            <w14:ligatures w14:val="standardContextual"/>
          </w:rPr>
          <w:tab/>
        </w:r>
        <w:r w:rsidR="0010165B" w:rsidRPr="007E7A64">
          <w:rPr>
            <w:rStyle w:val="Hyperlink"/>
            <w:noProof/>
          </w:rPr>
          <w:t>Budgeted financial statements</w:t>
        </w:r>
        <w:r w:rsidR="0010165B">
          <w:rPr>
            <w:noProof/>
            <w:webHidden/>
          </w:rPr>
          <w:tab/>
        </w:r>
        <w:r w:rsidR="0010165B">
          <w:rPr>
            <w:noProof/>
            <w:webHidden/>
          </w:rPr>
          <w:fldChar w:fldCharType="begin"/>
        </w:r>
        <w:r w:rsidR="0010165B">
          <w:rPr>
            <w:noProof/>
            <w:webHidden/>
          </w:rPr>
          <w:instrText xml:space="preserve"> PAGEREF _Toc157705472 \h </w:instrText>
        </w:r>
        <w:r w:rsidR="0010165B">
          <w:rPr>
            <w:noProof/>
            <w:webHidden/>
          </w:rPr>
        </w:r>
        <w:r w:rsidR="0010165B">
          <w:rPr>
            <w:noProof/>
            <w:webHidden/>
          </w:rPr>
          <w:fldChar w:fldCharType="separate"/>
        </w:r>
        <w:r w:rsidR="00023728">
          <w:rPr>
            <w:noProof/>
            <w:webHidden/>
          </w:rPr>
          <w:t>90</w:t>
        </w:r>
        <w:r w:rsidR="0010165B">
          <w:rPr>
            <w:noProof/>
            <w:webHidden/>
          </w:rPr>
          <w:fldChar w:fldCharType="end"/>
        </w:r>
      </w:hyperlink>
    </w:p>
    <w:p w14:paraId="0EB687AC" w14:textId="3027B980" w:rsidR="00D04586" w:rsidRDefault="00D04586" w:rsidP="0052037C">
      <w:pPr>
        <w:pStyle w:val="TOC1"/>
        <w:rPr>
          <w:snapToGrid w:val="0"/>
        </w:rPr>
      </w:pPr>
      <w:r>
        <w:fldChar w:fldCharType="end"/>
      </w:r>
    </w:p>
    <w:p w14:paraId="0B7F8749" w14:textId="77777777" w:rsidR="00D04586" w:rsidRDefault="00D04586" w:rsidP="00D04586">
      <w:pPr>
        <w:spacing w:before="0" w:after="0" w:line="240" w:lineRule="auto"/>
        <w:rPr>
          <w:snapToGrid w:val="0"/>
        </w:rPr>
      </w:pPr>
    </w:p>
    <w:p w14:paraId="3675BF08" w14:textId="77777777" w:rsidR="00D04586" w:rsidRDefault="00D04586" w:rsidP="00D04586">
      <w:pPr>
        <w:spacing w:before="0" w:after="0" w:line="240" w:lineRule="auto"/>
        <w:rPr>
          <w:snapToGrid w:val="0"/>
        </w:rPr>
      </w:pPr>
    </w:p>
    <w:p w14:paraId="41F7500E" w14:textId="77777777" w:rsidR="00FC35D2" w:rsidRDefault="00D04586">
      <w:pPr>
        <w:spacing w:before="0" w:after="0" w:line="240" w:lineRule="auto"/>
        <w:rPr>
          <w:rFonts w:ascii="Arial Bold" w:hAnsi="Arial Bold"/>
          <w:b/>
          <w:kern w:val="34"/>
          <w:sz w:val="36"/>
        </w:rPr>
        <w:sectPr w:rsidR="00FC35D2" w:rsidSect="00F0624A">
          <w:headerReference w:type="default" r:id="rId121"/>
          <w:footerReference w:type="even" r:id="rId122"/>
          <w:footerReference w:type="default" r:id="rId123"/>
          <w:headerReference w:type="first" r:id="rId124"/>
          <w:footerReference w:type="first" r:id="rId125"/>
          <w:pgSz w:w="11907" w:h="16840" w:code="9"/>
          <w:pgMar w:top="2835" w:right="2098" w:bottom="2466" w:left="2098" w:header="1814" w:footer="1814" w:gutter="0"/>
          <w:cols w:space="708"/>
          <w:titlePg/>
          <w:docGrid w:linePitch="360"/>
        </w:sectPr>
      </w:pPr>
      <w:r>
        <w:rPr>
          <w:rFonts w:ascii="Arial Bold" w:hAnsi="Arial Bold"/>
          <w:b/>
          <w:kern w:val="34"/>
          <w:sz w:val="36"/>
        </w:rPr>
        <w:br w:type="page"/>
      </w:r>
    </w:p>
    <w:p w14:paraId="67E325EA" w14:textId="77777777" w:rsidR="00FC35D2" w:rsidRDefault="00FC35D2">
      <w:pPr>
        <w:spacing w:before="0" w:after="0" w:line="240" w:lineRule="auto"/>
        <w:rPr>
          <w:rFonts w:ascii="Arial Bold" w:hAnsi="Arial Bold"/>
          <w:b/>
          <w:kern w:val="34"/>
          <w:sz w:val="36"/>
        </w:rPr>
        <w:sectPr w:rsidR="00FC35D2" w:rsidSect="00F0624A">
          <w:headerReference w:type="first" r:id="rId126"/>
          <w:footerReference w:type="first" r:id="rId127"/>
          <w:pgSz w:w="11907" w:h="16840" w:code="9"/>
          <w:pgMar w:top="2835" w:right="2098" w:bottom="2466" w:left="2098" w:header="1814" w:footer="1814" w:gutter="0"/>
          <w:cols w:space="708"/>
          <w:titlePg/>
          <w:docGrid w:linePitch="360"/>
        </w:sectPr>
      </w:pPr>
    </w:p>
    <w:p w14:paraId="2810CBA7" w14:textId="39966122" w:rsidR="00D04586" w:rsidRDefault="00D04586">
      <w:pPr>
        <w:spacing w:before="0" w:after="0" w:line="240" w:lineRule="auto"/>
        <w:rPr>
          <w:rFonts w:ascii="Arial Bold" w:hAnsi="Arial Bold"/>
          <w:b/>
          <w:kern w:val="34"/>
          <w:sz w:val="36"/>
        </w:rPr>
      </w:pPr>
    </w:p>
    <w:p w14:paraId="5919290C" w14:textId="77777777" w:rsidR="00D04586" w:rsidRDefault="00D04586" w:rsidP="00186290">
      <w:pPr>
        <w:spacing w:before="0" w:after="0" w:line="240" w:lineRule="auto"/>
        <w:rPr>
          <w:rFonts w:ascii="Arial Bold" w:hAnsi="Arial Bold"/>
          <w:b/>
          <w:kern w:val="34"/>
          <w:sz w:val="36"/>
        </w:rPr>
      </w:pPr>
    </w:p>
    <w:p w14:paraId="0409A3C1" w14:textId="77777777" w:rsidR="00186290" w:rsidRDefault="00186290" w:rsidP="00186290">
      <w:pPr>
        <w:pStyle w:val="Heading1-LVL2"/>
      </w:pPr>
      <w:bookmarkStart w:id="784" w:name="_Toc157445272"/>
      <w:r>
        <w:t>Digital Transformation Agency</w:t>
      </w:r>
      <w:bookmarkEnd w:id="784"/>
    </w:p>
    <w:p w14:paraId="00DBD89E" w14:textId="77777777" w:rsidR="00186290" w:rsidRPr="00033B4A" w:rsidRDefault="00186290" w:rsidP="00033B4A">
      <w:pPr>
        <w:pStyle w:val="Heading2-TOC"/>
        <w:rPr>
          <w:rFonts w:ascii="Arial Bold" w:hAnsi="Arial Bold"/>
          <w:kern w:val="34"/>
          <w:szCs w:val="30"/>
        </w:rPr>
      </w:pPr>
      <w:bookmarkStart w:id="785" w:name="_Toc157375110"/>
      <w:bookmarkStart w:id="786" w:name="_Toc157411268"/>
      <w:bookmarkStart w:id="787" w:name="_Toc157412366"/>
      <w:bookmarkStart w:id="788" w:name="_Toc157445385"/>
      <w:bookmarkStart w:id="789" w:name="_Toc157497353"/>
      <w:bookmarkStart w:id="790" w:name="_Toc157617027"/>
      <w:bookmarkStart w:id="791" w:name="_Toc157618250"/>
      <w:bookmarkStart w:id="792" w:name="_Toc157618395"/>
      <w:bookmarkStart w:id="793" w:name="_Toc157618785"/>
      <w:bookmarkStart w:id="794" w:name="_Toc157697121"/>
      <w:bookmarkStart w:id="795" w:name="_Toc157698156"/>
      <w:bookmarkStart w:id="796" w:name="_Toc157705403"/>
      <w:bookmarkStart w:id="797" w:name="_Toc157705461"/>
      <w:bookmarkStart w:id="798" w:name="_Toc157705513"/>
      <w:bookmarkStart w:id="799" w:name="_Toc157705704"/>
      <w:bookmarkStart w:id="800" w:name="_Toc157705754"/>
      <w:bookmarkStart w:id="801" w:name="_Toc157706119"/>
      <w:r w:rsidRPr="00033B4A">
        <w:rPr>
          <w:rFonts w:ascii="Arial Bold" w:hAnsi="Arial Bold"/>
          <w:kern w:val="34"/>
          <w:szCs w:val="30"/>
        </w:rPr>
        <w:t>Section 1: Entity overview and resources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0D11CD0A" w14:textId="77777777" w:rsidR="00186290" w:rsidRPr="002322E9" w:rsidRDefault="00186290" w:rsidP="00186290">
      <w:pPr>
        <w:pStyle w:val="Heading3"/>
      </w:pPr>
      <w:bookmarkStart w:id="802" w:name="_Toc157375111"/>
      <w:bookmarkStart w:id="803" w:name="_Toc157411269"/>
      <w:bookmarkStart w:id="804" w:name="_Toc157412367"/>
      <w:bookmarkStart w:id="805" w:name="_Toc157445386"/>
      <w:bookmarkStart w:id="806" w:name="_Toc157497354"/>
      <w:bookmarkStart w:id="807" w:name="_Toc157617028"/>
      <w:bookmarkStart w:id="808" w:name="_Toc157618251"/>
      <w:bookmarkStart w:id="809" w:name="_Toc157618396"/>
      <w:bookmarkStart w:id="810" w:name="_Toc157618786"/>
      <w:bookmarkStart w:id="811" w:name="_Toc157697122"/>
      <w:bookmarkStart w:id="812" w:name="_Toc157698157"/>
      <w:bookmarkStart w:id="813" w:name="_Toc157705404"/>
      <w:bookmarkStart w:id="814" w:name="_Toc157705462"/>
      <w:bookmarkStart w:id="815" w:name="_Toc157705514"/>
      <w:bookmarkStart w:id="816" w:name="_Toc157705705"/>
      <w:bookmarkStart w:id="817" w:name="_Toc157705755"/>
      <w:bookmarkStart w:id="818" w:name="_Toc157706120"/>
      <w:r>
        <w:t>1.1</w:t>
      </w:r>
      <w:r>
        <w:tab/>
      </w:r>
      <w:r w:rsidRPr="004928FF">
        <w:t>Strategic direction</w:t>
      </w:r>
      <w:r>
        <w:t xml:space="preserve"> statement</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7EF3AF7A" w14:textId="046EBFD4" w:rsidR="00186290" w:rsidRPr="00F41007" w:rsidRDefault="00186290" w:rsidP="00186290">
      <w:pPr>
        <w:pStyle w:val="Exampletextbullet"/>
        <w:contextualSpacing/>
        <w:rPr>
          <w:i w:val="0"/>
          <w:iCs/>
          <w:color w:val="auto"/>
          <w:lang w:val="en-AU" w:eastAsia="en-AU"/>
        </w:rPr>
      </w:pPr>
      <w:r w:rsidRPr="00F41007">
        <w:rPr>
          <w:i w:val="0"/>
          <w:iCs/>
          <w:color w:val="auto"/>
          <w:lang w:val="en-AU" w:eastAsia="en-AU"/>
        </w:rPr>
        <w:t xml:space="preserve">No changes have occurred that impact on the Digital Transformation Agency’s </w:t>
      </w:r>
      <w:r w:rsidR="00994A27">
        <w:rPr>
          <w:i w:val="0"/>
          <w:iCs/>
          <w:color w:val="auto"/>
          <w:lang w:val="en-AU" w:eastAsia="en-AU"/>
        </w:rPr>
        <w:t>(DTA</w:t>
      </w:r>
      <w:r w:rsidR="0034541F">
        <w:rPr>
          <w:i w:val="0"/>
          <w:iCs/>
          <w:color w:val="auto"/>
          <w:lang w:val="en-AU" w:eastAsia="en-AU"/>
        </w:rPr>
        <w:t>’s</w:t>
      </w:r>
      <w:r w:rsidR="00994A27">
        <w:rPr>
          <w:i w:val="0"/>
          <w:iCs/>
          <w:color w:val="auto"/>
          <w:lang w:val="en-AU" w:eastAsia="en-AU"/>
        </w:rPr>
        <w:t xml:space="preserve">) </w:t>
      </w:r>
      <w:r w:rsidRPr="00F41007">
        <w:rPr>
          <w:i w:val="0"/>
          <w:iCs/>
          <w:color w:val="auto"/>
          <w:lang w:val="en-AU" w:eastAsia="en-AU"/>
        </w:rPr>
        <w:t xml:space="preserve">Strategic Direction since the issuing of the 2023-24 Portfolio Budget Statements. A full outline of the </w:t>
      </w:r>
      <w:r w:rsidR="00556996">
        <w:rPr>
          <w:i w:val="0"/>
          <w:iCs/>
          <w:color w:val="auto"/>
          <w:lang w:val="en-AU" w:eastAsia="en-AU"/>
        </w:rPr>
        <w:t>DTA</w:t>
      </w:r>
      <w:r w:rsidRPr="00F41007">
        <w:rPr>
          <w:i w:val="0"/>
          <w:iCs/>
          <w:color w:val="auto"/>
          <w:lang w:val="en-AU" w:eastAsia="en-AU"/>
        </w:rPr>
        <w:t>’s Strategic Direction can be found in the</w:t>
      </w:r>
      <w:r w:rsidR="0087798D">
        <w:rPr>
          <w:i w:val="0"/>
          <w:iCs/>
          <w:color w:val="auto"/>
          <w:lang w:val="en-AU" w:eastAsia="en-AU"/>
        </w:rPr>
        <w:t xml:space="preserve"> </w:t>
      </w:r>
      <w:r w:rsidRPr="00F41007">
        <w:rPr>
          <w:i w:val="0"/>
          <w:iCs/>
          <w:color w:val="auto"/>
          <w:lang w:val="en-AU" w:eastAsia="en-AU"/>
        </w:rPr>
        <w:t>2023-24 Portfolio Budget Statements.</w:t>
      </w:r>
    </w:p>
    <w:p w14:paraId="659FE586" w14:textId="77777777" w:rsidR="00186290" w:rsidRPr="004928FF" w:rsidRDefault="00186290" w:rsidP="00186290">
      <w:pPr>
        <w:pStyle w:val="Heading3"/>
      </w:pPr>
      <w:bookmarkStart w:id="819" w:name="_Toc157375112"/>
      <w:bookmarkStart w:id="820" w:name="_Toc157411270"/>
      <w:bookmarkStart w:id="821" w:name="_Toc157412368"/>
      <w:bookmarkStart w:id="822" w:name="_Toc157445387"/>
      <w:bookmarkStart w:id="823" w:name="_Toc157497355"/>
      <w:bookmarkStart w:id="824" w:name="_Toc157617029"/>
      <w:bookmarkStart w:id="825" w:name="_Toc157618252"/>
      <w:bookmarkStart w:id="826" w:name="_Toc157618397"/>
      <w:bookmarkStart w:id="827" w:name="_Toc157618787"/>
      <w:bookmarkStart w:id="828" w:name="_Toc157697123"/>
      <w:bookmarkStart w:id="829" w:name="_Toc157698158"/>
      <w:bookmarkStart w:id="830" w:name="_Toc157705405"/>
      <w:bookmarkStart w:id="831" w:name="_Toc157705463"/>
      <w:bookmarkStart w:id="832" w:name="_Toc157705515"/>
      <w:bookmarkStart w:id="833" w:name="_Toc157705706"/>
      <w:bookmarkStart w:id="834" w:name="_Toc157705756"/>
      <w:bookmarkStart w:id="835" w:name="_Toc157706121"/>
      <w:r>
        <w:t>1.2</w:t>
      </w:r>
      <w:r>
        <w:tab/>
        <w:t>Entity resource statement</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42353433" w14:textId="77777777" w:rsidR="00186290" w:rsidRDefault="00186290" w:rsidP="00186290">
      <w:r>
        <w:t xml:space="preserve">The Entity Resource Statement details the resourcing for the DTA at Additional Estimates. Table 1.1 outlines the total resourcing available from all sources for the 2023–24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01F8BD4A" w14:textId="504FADBD" w:rsidR="00186290" w:rsidRDefault="00186290" w:rsidP="00186290">
      <w:r>
        <w:t xml:space="preserve">Amounts presented below are consistent with amounts presented in the Appropriation Bills themselves, and as published in appropriation notes to the 2022–23 financial statements. </w:t>
      </w:r>
    </w:p>
    <w:p w14:paraId="79F2D9C5" w14:textId="77777777" w:rsidR="00E60DA5" w:rsidRDefault="00E60DA5" w:rsidP="00186290">
      <w:pPr>
        <w:rPr>
          <w:b/>
          <w:bCs/>
        </w:rPr>
      </w:pPr>
    </w:p>
    <w:p w14:paraId="67B87519" w14:textId="77777777" w:rsidR="00186290" w:rsidRPr="00A76CDF" w:rsidRDefault="00186290" w:rsidP="00186290">
      <w:pPr>
        <w:pStyle w:val="TableHeading"/>
      </w:pPr>
      <w:r w:rsidRPr="00A76CDF">
        <w:lastRenderedPageBreak/>
        <w:t>Table 1.1: D</w:t>
      </w:r>
      <w:r>
        <w:t xml:space="preserve">igital </w:t>
      </w:r>
      <w:r w:rsidRPr="00A76CDF">
        <w:t>T</w:t>
      </w:r>
      <w:r>
        <w:t xml:space="preserve">ransformation </w:t>
      </w:r>
      <w:r w:rsidRPr="00A76CDF">
        <w:t>A</w:t>
      </w:r>
      <w:r>
        <w:t>gency</w:t>
      </w:r>
      <w:r w:rsidRPr="00A76CDF">
        <w:t xml:space="preserve"> resource statement — Additional Estimates for 2023–24 as at February 2024</w:t>
      </w:r>
    </w:p>
    <w:p w14:paraId="2A712C0E" w14:textId="3BAFDD47" w:rsidR="00186290" w:rsidRDefault="00E46BE1" w:rsidP="00186290">
      <w:pPr>
        <w:pStyle w:val="TableGraphic"/>
      </w:pPr>
      <w:r w:rsidRPr="00E46BE1">
        <w:rPr>
          <w:noProof/>
        </w:rPr>
        <w:drawing>
          <wp:inline distT="0" distB="0" distL="0" distR="0" wp14:anchorId="5C13E2C0" wp14:editId="49BE6D7B">
            <wp:extent cx="4896485" cy="3061335"/>
            <wp:effectExtent l="0" t="0" r="0" b="5715"/>
            <wp:docPr id="6510496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896485" cy="3061335"/>
                    </a:xfrm>
                    <a:prstGeom prst="rect">
                      <a:avLst/>
                    </a:prstGeom>
                    <a:noFill/>
                    <a:ln>
                      <a:noFill/>
                    </a:ln>
                  </pic:spPr>
                </pic:pic>
              </a:graphicData>
            </a:graphic>
          </wp:inline>
        </w:drawing>
      </w:r>
    </w:p>
    <w:p w14:paraId="6AFD8C16" w14:textId="77777777" w:rsidR="000163F8" w:rsidRDefault="00E60DA5" w:rsidP="000163F8">
      <w:pPr>
        <w:pStyle w:val="Source"/>
        <w:spacing w:after="0"/>
        <w:contextualSpacing/>
        <w:rPr>
          <w:rFonts w:cs="Arial"/>
          <w:szCs w:val="16"/>
        </w:rPr>
      </w:pPr>
      <w:r w:rsidRPr="00E60DA5">
        <w:rPr>
          <w:rFonts w:cs="Arial"/>
          <w:szCs w:val="16"/>
        </w:rPr>
        <w:t>Prepared on a resourcing (i.e. appropriations available) basis.</w:t>
      </w:r>
    </w:p>
    <w:p w14:paraId="1DAE2780" w14:textId="086D8F4A" w:rsidR="00E60DA5" w:rsidRDefault="00E60DA5" w:rsidP="000163F8">
      <w:pPr>
        <w:pStyle w:val="Source"/>
        <w:spacing w:after="0"/>
        <w:contextualSpacing/>
        <w:rPr>
          <w:rFonts w:cs="Arial"/>
          <w:szCs w:val="16"/>
        </w:rPr>
      </w:pPr>
      <w:r w:rsidRPr="00E60DA5">
        <w:rPr>
          <w:rFonts w:cs="Arial"/>
          <w:szCs w:val="16"/>
        </w:rPr>
        <w:t>All figures shown above are GST exclusive – these may not match figures in the cash flow statement</w:t>
      </w:r>
      <w:r w:rsidR="0073592C">
        <w:rPr>
          <w:rFonts w:cs="Arial"/>
          <w:szCs w:val="16"/>
        </w:rPr>
        <w:t>.</w:t>
      </w:r>
    </w:p>
    <w:p w14:paraId="168145B8" w14:textId="77777777" w:rsidR="00E60DA5" w:rsidRPr="00E60DA5" w:rsidRDefault="00E60DA5" w:rsidP="00D86F00">
      <w:pPr>
        <w:pStyle w:val="ChartandTableFootnoteAlpha"/>
        <w:numPr>
          <w:ilvl w:val="0"/>
          <w:numId w:val="0"/>
        </w:numPr>
        <w:ind w:left="284"/>
      </w:pPr>
    </w:p>
    <w:p w14:paraId="51CE9D19" w14:textId="4D048685" w:rsidR="00E60DA5" w:rsidRPr="009C33E9" w:rsidRDefault="00E60DA5" w:rsidP="00E60DA5">
      <w:pPr>
        <w:pStyle w:val="ChartandTableFootnoteAlpha"/>
        <w:numPr>
          <w:ilvl w:val="0"/>
          <w:numId w:val="39"/>
        </w:numPr>
        <w:spacing w:after="100" w:afterAutospacing="1"/>
      </w:pPr>
      <w:r w:rsidRPr="00994A27">
        <w:rPr>
          <w:i/>
        </w:rPr>
        <w:t xml:space="preserve">Appropriation Act (No. 1) 2023–2024 </w:t>
      </w:r>
      <w:r w:rsidRPr="00185D7A">
        <w:t>and Appropriation Bill (No. 3) 2023–2024</w:t>
      </w:r>
      <w:r w:rsidRPr="00994A27">
        <w:rPr>
          <w:i/>
        </w:rPr>
        <w:t>.</w:t>
      </w:r>
      <w:r w:rsidRPr="00994A27">
        <w:rPr>
          <w:iCs/>
        </w:rPr>
        <w:t xml:space="preserve"> Actual Available Appropriation column reflects the closing unspent appropriation balance from </w:t>
      </w:r>
      <w:r>
        <w:rPr>
          <w:iCs/>
        </w:rPr>
        <w:t>DTA</w:t>
      </w:r>
      <w:r w:rsidRPr="00994A27">
        <w:rPr>
          <w:iCs/>
        </w:rPr>
        <w:t xml:space="preserve">’s 2022–23 annual report and encompasses </w:t>
      </w:r>
      <w:r w:rsidRPr="00994A27">
        <w:rPr>
          <w:i/>
        </w:rPr>
        <w:t>Appropriation Act (No. 1) 2022–2023, Supply Act (No.</w:t>
      </w:r>
      <w:r>
        <w:rPr>
          <w:i/>
        </w:rPr>
        <w:t xml:space="preserve"> </w:t>
      </w:r>
      <w:r w:rsidRPr="00994A27">
        <w:rPr>
          <w:i/>
        </w:rPr>
        <w:t>1) 2022–2023, Supply Act (No.</w:t>
      </w:r>
      <w:r>
        <w:rPr>
          <w:i/>
        </w:rPr>
        <w:t xml:space="preserve"> </w:t>
      </w:r>
      <w:r w:rsidRPr="00994A27">
        <w:rPr>
          <w:i/>
        </w:rPr>
        <w:t>3) 2022–2023 and Appropriation Act (No. 3) 2022–2023.</w:t>
      </w:r>
    </w:p>
    <w:p w14:paraId="7E6D9ACD" w14:textId="664B793A" w:rsidR="00E60DA5" w:rsidRPr="00994A27" w:rsidRDefault="00E60DA5" w:rsidP="00E60DA5">
      <w:pPr>
        <w:pStyle w:val="ChartandTableFootnoteAlpha"/>
        <w:numPr>
          <w:ilvl w:val="0"/>
          <w:numId w:val="39"/>
        </w:numPr>
        <w:rPr>
          <w:rFonts w:cs="Arial"/>
          <w:szCs w:val="16"/>
        </w:rPr>
      </w:pPr>
      <w:r w:rsidRPr="00994A27">
        <w:rPr>
          <w:rFonts w:cs="Arial"/>
          <w:szCs w:val="16"/>
        </w:rPr>
        <w:t>Department of Home Affairs and Department of Finance received $0.5 million (2022-23 $0.06 million) and $15.0 million (2022-23 $0.75 million)</w:t>
      </w:r>
      <w:r w:rsidR="005870DA">
        <w:rPr>
          <w:rFonts w:cs="Arial"/>
          <w:szCs w:val="16"/>
        </w:rPr>
        <w:t xml:space="preserve"> respectively</w:t>
      </w:r>
      <w:r w:rsidRPr="00994A27">
        <w:rPr>
          <w:rFonts w:cs="Arial"/>
          <w:szCs w:val="16"/>
        </w:rPr>
        <w:t xml:space="preserve"> under a section 75 determination in 2023-24.</w:t>
      </w:r>
    </w:p>
    <w:p w14:paraId="4DD898B1" w14:textId="77777777" w:rsidR="00E60DA5" w:rsidRPr="00994A27" w:rsidRDefault="00E60DA5" w:rsidP="00E60DA5">
      <w:pPr>
        <w:pStyle w:val="ChartandTableFootnoteAlpha"/>
        <w:numPr>
          <w:ilvl w:val="0"/>
          <w:numId w:val="39"/>
        </w:numPr>
        <w:rPr>
          <w:rFonts w:cs="Arial"/>
          <w:szCs w:val="16"/>
        </w:rPr>
      </w:pPr>
      <w:r w:rsidRPr="00994A27">
        <w:rPr>
          <w:rFonts w:cs="Arial"/>
          <w:szCs w:val="16"/>
        </w:rPr>
        <w:t xml:space="preserve">Estimated external revenue receipts under section 74 of the </w:t>
      </w:r>
      <w:r w:rsidRPr="0073592C">
        <w:rPr>
          <w:rFonts w:cs="Arial"/>
          <w:szCs w:val="16"/>
        </w:rPr>
        <w:t>PGPA Act</w:t>
      </w:r>
      <w:r w:rsidRPr="00994A27">
        <w:rPr>
          <w:rFonts w:cs="Arial"/>
          <w:szCs w:val="16"/>
        </w:rPr>
        <w:t>.</w:t>
      </w:r>
    </w:p>
    <w:p w14:paraId="09669FA3" w14:textId="77777777" w:rsidR="00E60DA5" w:rsidRPr="00994A27" w:rsidRDefault="00E60DA5" w:rsidP="00E60DA5">
      <w:pPr>
        <w:pStyle w:val="ChartandTableFootnoteAlpha"/>
        <w:numPr>
          <w:ilvl w:val="0"/>
          <w:numId w:val="39"/>
        </w:numPr>
        <w:rPr>
          <w:rFonts w:cs="Arial"/>
          <w:szCs w:val="16"/>
        </w:rPr>
      </w:pPr>
      <w:r w:rsidRPr="00994A27">
        <w:rPr>
          <w:rFonts w:cs="Arial"/>
          <w:szCs w:val="16"/>
        </w:rPr>
        <w:t>Includes cash received as pass through costs.</w:t>
      </w:r>
    </w:p>
    <w:p w14:paraId="1120D307" w14:textId="77777777" w:rsidR="00E60DA5" w:rsidRPr="000F4AA8" w:rsidRDefault="00E60DA5" w:rsidP="000F4AA8">
      <w:pPr>
        <w:spacing w:before="0" w:after="0" w:line="240" w:lineRule="auto"/>
        <w:rPr>
          <w:rFonts w:ascii="Arial" w:hAnsi="Arial" w:cs="Arial"/>
          <w:color w:val="000000"/>
          <w:sz w:val="16"/>
          <w:szCs w:val="16"/>
        </w:rPr>
      </w:pPr>
    </w:p>
    <w:p w14:paraId="5A693CB6" w14:textId="77777777" w:rsidR="00186290" w:rsidRPr="00A76CDF" w:rsidRDefault="00186290" w:rsidP="00186290">
      <w:pPr>
        <w:pStyle w:val="TableHeading"/>
        <w:spacing w:before="0"/>
        <w:rPr>
          <w:snapToGrid w:val="0"/>
        </w:rPr>
      </w:pPr>
      <w:r w:rsidRPr="7644E4AC">
        <w:rPr>
          <w:rFonts w:cs="Arial"/>
          <w:bCs/>
          <w:color w:val="000000" w:themeColor="text1"/>
          <w:sz w:val="16"/>
          <w:szCs w:val="16"/>
        </w:rPr>
        <w:br w:type="page"/>
      </w:r>
      <w:r w:rsidRPr="00047C12">
        <w:rPr>
          <w:snapToGrid w:val="0"/>
        </w:rPr>
        <w:lastRenderedPageBreak/>
        <w:t xml:space="preserve">Table 1.1: Digital Transformation Agency resource statement — Additional Estimates for 2023–24 as at February 2024 </w:t>
      </w:r>
      <w:r w:rsidRPr="00A76CDF">
        <w:rPr>
          <w:snapToGrid w:val="0"/>
        </w:rPr>
        <w:t xml:space="preserve">(continued) </w:t>
      </w:r>
    </w:p>
    <w:p w14:paraId="124AEE48" w14:textId="77777777" w:rsidR="00186290" w:rsidRPr="00A76CDF" w:rsidRDefault="00186290" w:rsidP="00186290">
      <w:pPr>
        <w:pStyle w:val="TableHeading"/>
        <w:spacing w:before="0"/>
        <w:rPr>
          <w:snapToGrid w:val="0"/>
        </w:rPr>
      </w:pPr>
    </w:p>
    <w:p w14:paraId="5FA403AA" w14:textId="77777777" w:rsidR="00186290" w:rsidRPr="00A76CDF" w:rsidRDefault="00186290" w:rsidP="00186290">
      <w:pPr>
        <w:pStyle w:val="TableHeading"/>
        <w:spacing w:before="0"/>
        <w:rPr>
          <w:snapToGrid w:val="0"/>
        </w:rPr>
      </w:pPr>
      <w:r w:rsidRPr="00A76CDF">
        <w:rPr>
          <w:snapToGrid w:val="0"/>
        </w:rPr>
        <w:t>Third party payments from and on behalf of other entities</w:t>
      </w:r>
    </w:p>
    <w:p w14:paraId="322D83D9" w14:textId="45F03010" w:rsidR="00186290" w:rsidRPr="0013701B" w:rsidRDefault="00A42A18" w:rsidP="00186290">
      <w:pPr>
        <w:pStyle w:val="TableGraphic"/>
      </w:pPr>
      <w:r w:rsidRPr="00A42A18">
        <w:rPr>
          <w:noProof/>
        </w:rPr>
        <w:drawing>
          <wp:inline distT="0" distB="0" distL="0" distR="0" wp14:anchorId="684B1C4A" wp14:editId="44A59700">
            <wp:extent cx="4896485" cy="1183005"/>
            <wp:effectExtent l="0" t="0" r="0" b="0"/>
            <wp:docPr id="97034457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896485" cy="1183005"/>
                    </a:xfrm>
                    <a:prstGeom prst="rect">
                      <a:avLst/>
                    </a:prstGeom>
                    <a:noFill/>
                    <a:ln>
                      <a:noFill/>
                    </a:ln>
                  </pic:spPr>
                </pic:pic>
              </a:graphicData>
            </a:graphic>
          </wp:inline>
        </w:drawing>
      </w:r>
    </w:p>
    <w:p w14:paraId="1727F5AD" w14:textId="77777777" w:rsidR="00186290" w:rsidRPr="00185D7A" w:rsidRDefault="00186290" w:rsidP="000F4AA8">
      <w:pPr>
        <w:pStyle w:val="Source"/>
        <w:spacing w:after="0"/>
        <w:contextualSpacing/>
      </w:pPr>
      <w:r w:rsidRPr="00185D7A">
        <w:t>Prepared on a resourcing (i.e. appropriations available) basis.</w:t>
      </w:r>
    </w:p>
    <w:p w14:paraId="73089927" w14:textId="77777777" w:rsidR="00186290" w:rsidRPr="00185D7A" w:rsidRDefault="00186290" w:rsidP="00994A27">
      <w:pPr>
        <w:pStyle w:val="Source"/>
        <w:spacing w:before="0" w:after="120"/>
        <w:contextualSpacing/>
      </w:pPr>
      <w:r w:rsidRPr="00185D7A">
        <w:t>All figures shown above are GST exclusive – these may not match figures in the cash flow statement.</w:t>
      </w:r>
    </w:p>
    <w:p w14:paraId="1BFE163F" w14:textId="77777777" w:rsidR="00186290" w:rsidRDefault="00186290" w:rsidP="00186290">
      <w:pPr>
        <w:spacing w:after="0" w:line="240" w:lineRule="auto"/>
        <w:rPr>
          <w:rFonts w:ascii="Arial" w:hAnsi="Arial"/>
          <w:b/>
          <w:lang w:val="x-none"/>
        </w:rPr>
      </w:pPr>
      <w:r>
        <w:br w:type="page"/>
      </w:r>
    </w:p>
    <w:p w14:paraId="7DA83FE1" w14:textId="77777777" w:rsidR="00186290" w:rsidRPr="0013701B" w:rsidRDefault="00186290" w:rsidP="00186290">
      <w:pPr>
        <w:pStyle w:val="TableGraphic"/>
      </w:pPr>
    </w:p>
    <w:p w14:paraId="3AA7A881" w14:textId="77777777" w:rsidR="00186290" w:rsidRPr="00643B7D" w:rsidRDefault="00186290" w:rsidP="00186290">
      <w:pPr>
        <w:pStyle w:val="Heading3"/>
      </w:pPr>
      <w:bookmarkStart w:id="836" w:name="_Toc157375113"/>
      <w:bookmarkStart w:id="837" w:name="_Toc157411271"/>
      <w:bookmarkStart w:id="838" w:name="_Toc157412369"/>
      <w:bookmarkStart w:id="839" w:name="_Toc157445388"/>
      <w:bookmarkStart w:id="840" w:name="_Toc157497356"/>
      <w:bookmarkStart w:id="841" w:name="_Toc157617030"/>
      <w:bookmarkStart w:id="842" w:name="_Toc157618253"/>
      <w:bookmarkStart w:id="843" w:name="_Toc157618398"/>
      <w:bookmarkStart w:id="844" w:name="_Toc157618788"/>
      <w:bookmarkStart w:id="845" w:name="_Toc157697124"/>
      <w:bookmarkStart w:id="846" w:name="_Toc157698159"/>
      <w:bookmarkStart w:id="847" w:name="_Toc157705406"/>
      <w:bookmarkStart w:id="848" w:name="_Toc157705464"/>
      <w:bookmarkStart w:id="849" w:name="_Toc157705516"/>
      <w:bookmarkStart w:id="850" w:name="_Toc157705707"/>
      <w:bookmarkStart w:id="851" w:name="_Toc157705757"/>
      <w:bookmarkStart w:id="852" w:name="_Toc157706122"/>
      <w:r>
        <w:t>1.3</w:t>
      </w:r>
      <w:r>
        <w:tab/>
        <w:t>Entity measures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4CF829D0" w14:textId="77777777" w:rsidR="00186290" w:rsidRPr="00486E77" w:rsidRDefault="00186290" w:rsidP="00186290">
      <w:r>
        <w:t xml:space="preserve">Table 1.2 summarises new Government measures taken since the 2023–24 Budget. The table is split into receipt and payment measures, with the affected program </w:t>
      </w:r>
      <w:r w:rsidRPr="00486E77">
        <w:t>identified.</w:t>
      </w:r>
    </w:p>
    <w:p w14:paraId="6768FF4E" w14:textId="77777777" w:rsidR="00186290" w:rsidRDefault="00186290" w:rsidP="00186290">
      <w:pPr>
        <w:pStyle w:val="TableHeading"/>
      </w:pPr>
      <w:r w:rsidRPr="00486E77">
        <w:t xml:space="preserve">Table 1.2: </w:t>
      </w:r>
      <w:r>
        <w:t>Digital Transformation Agency</w:t>
      </w:r>
      <w:r w:rsidRPr="00486E77">
        <w:t xml:space="preserve"> </w:t>
      </w:r>
      <w:r>
        <w:t>2023–24</w:t>
      </w:r>
      <w:r w:rsidRPr="00486E77">
        <w:t xml:space="preserve"> measures since </w:t>
      </w:r>
      <w:r>
        <w:t xml:space="preserve">the </w:t>
      </w:r>
      <w:r w:rsidRPr="00486E77">
        <w:t>Budget</w:t>
      </w:r>
    </w:p>
    <w:p w14:paraId="42173F02" w14:textId="792BF5D7" w:rsidR="00186290" w:rsidRPr="00D913F9" w:rsidRDefault="009A5C7D" w:rsidP="00186290">
      <w:pPr>
        <w:pStyle w:val="TableGraphic"/>
      </w:pPr>
      <w:r w:rsidRPr="009A5C7D">
        <w:rPr>
          <w:noProof/>
        </w:rPr>
        <w:drawing>
          <wp:inline distT="0" distB="0" distL="0" distR="0" wp14:anchorId="58465EE3" wp14:editId="60E16019">
            <wp:extent cx="4896485" cy="1597660"/>
            <wp:effectExtent l="0" t="0" r="0" b="2540"/>
            <wp:docPr id="1241074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96485" cy="1597660"/>
                    </a:xfrm>
                    <a:prstGeom prst="rect">
                      <a:avLst/>
                    </a:prstGeom>
                    <a:noFill/>
                    <a:ln>
                      <a:noFill/>
                    </a:ln>
                  </pic:spPr>
                </pic:pic>
              </a:graphicData>
            </a:graphic>
          </wp:inline>
        </w:drawing>
      </w:r>
    </w:p>
    <w:p w14:paraId="31735504" w14:textId="77777777" w:rsidR="000163F8" w:rsidRDefault="00186290" w:rsidP="00186290">
      <w:pPr>
        <w:pStyle w:val="ChartandTableFootnote"/>
      </w:pPr>
      <w:r w:rsidRPr="00643B7D">
        <w:t>Prepared on a Government Financial Statistics (</w:t>
      </w:r>
      <w:r>
        <w:t>Underlying Cash</w:t>
      </w:r>
      <w:r w:rsidRPr="00643B7D">
        <w:t>) basis</w:t>
      </w:r>
      <w:r>
        <w:t xml:space="preserve">. </w:t>
      </w:r>
    </w:p>
    <w:p w14:paraId="10D90A3E" w14:textId="1664BB54" w:rsidR="00186290" w:rsidRDefault="00186290" w:rsidP="00186290">
      <w:pPr>
        <w:pStyle w:val="ChartandTableFootnote"/>
      </w:pPr>
      <w:r>
        <w:t>Figures displayed as a negative (-) represent a decrease in funds and a positive (+) represent an increase in funds.</w:t>
      </w:r>
    </w:p>
    <w:p w14:paraId="716AB02E" w14:textId="77777777" w:rsidR="00186290" w:rsidRDefault="00186290" w:rsidP="00186290">
      <w:pPr>
        <w:pStyle w:val="ChartandTableFootnoteAlpha"/>
        <w:numPr>
          <w:ilvl w:val="0"/>
          <w:numId w:val="0"/>
        </w:numPr>
        <w:ind w:left="284" w:hanging="284"/>
      </w:pPr>
    </w:p>
    <w:p w14:paraId="06158569" w14:textId="364D875E" w:rsidR="00186290" w:rsidRDefault="00186290" w:rsidP="00503E20">
      <w:pPr>
        <w:pStyle w:val="ChartandTableFootnoteAlpha"/>
        <w:numPr>
          <w:ilvl w:val="1"/>
          <w:numId w:val="8"/>
        </w:numPr>
        <w:ind w:left="426"/>
      </w:pPr>
      <w:r>
        <w:t xml:space="preserve">Measure relates to a decision made following </w:t>
      </w:r>
      <w:r w:rsidRPr="009A7B54">
        <w:t>202</w:t>
      </w:r>
      <w:r>
        <w:t>3–</w:t>
      </w:r>
      <w:r w:rsidRPr="009A7B54">
        <w:t>2</w:t>
      </w:r>
      <w:r>
        <w:t>4</w:t>
      </w:r>
      <w:r w:rsidRPr="009A7B54">
        <w:t xml:space="preserve"> Budget</w:t>
      </w:r>
      <w:r w:rsidR="0073592C">
        <w:t xml:space="preserve"> </w:t>
      </w:r>
      <w:r>
        <w:t>as part of the 2023–24 MYEFO.</w:t>
      </w:r>
      <w:r w:rsidR="003F1851">
        <w:t xml:space="preserve"> </w:t>
      </w:r>
      <w:r w:rsidRPr="006F76A0">
        <w:t xml:space="preserve">The lead entity for measure </w:t>
      </w:r>
      <w:r w:rsidRPr="00F95E6A">
        <w:rPr>
          <w:i/>
          <w:iCs/>
        </w:rPr>
        <w:t>2023-30 Australian Cyber Security Strategy</w:t>
      </w:r>
      <w:r w:rsidRPr="006F76A0">
        <w:t xml:space="preserve"> is Department of </w:t>
      </w:r>
      <w:r w:rsidR="00F95E6A">
        <w:t>H</w:t>
      </w:r>
      <w:r w:rsidRPr="006F76A0">
        <w:t>ome Affairs. The full measure description and package details appear in the 2023-24 MYEFO under the Home Affairs portfolio.</w:t>
      </w:r>
    </w:p>
    <w:p w14:paraId="5BF5F90D" w14:textId="12DA679A" w:rsidR="00F95E6A" w:rsidRPr="00F95E6A" w:rsidRDefault="009E6CC2" w:rsidP="009E6CC2">
      <w:pPr>
        <w:pStyle w:val="ChartandTableFootnoteAlpha"/>
        <w:numPr>
          <w:ilvl w:val="1"/>
          <w:numId w:val="8"/>
        </w:numPr>
        <w:ind w:left="426"/>
      </w:pPr>
      <w:r w:rsidRPr="009E6CC2">
        <w:t xml:space="preserve">The lead entity for the measure titled </w:t>
      </w:r>
      <w:r w:rsidRPr="009E6CC2">
        <w:rPr>
          <w:i/>
          <w:iCs/>
        </w:rPr>
        <w:t>Strengthening Digital Assurance</w:t>
      </w:r>
      <w:r w:rsidRPr="009E6CC2">
        <w:t xml:space="preserve"> is the </w:t>
      </w:r>
      <w:r>
        <w:t>Digital Transformation Agency</w:t>
      </w:r>
      <w:r w:rsidRPr="009E6CC2">
        <w:t>. The full measure description and package details appear in MYEFO under the Finance portfolio</w:t>
      </w:r>
      <w:r>
        <w:t>.</w:t>
      </w:r>
    </w:p>
    <w:p w14:paraId="02ABC725" w14:textId="77777777" w:rsidR="00186290" w:rsidRPr="00F045E6" w:rsidRDefault="00186290" w:rsidP="00186290"/>
    <w:p w14:paraId="13037A2F" w14:textId="77777777" w:rsidR="00186290" w:rsidRPr="001E1BB6" w:rsidRDefault="00186290" w:rsidP="00186290">
      <w:pPr>
        <w:pStyle w:val="Heading3"/>
        <w:ind w:left="567" w:hanging="567"/>
      </w:pPr>
      <w:r>
        <w:br w:type="page"/>
      </w:r>
      <w:bookmarkStart w:id="853" w:name="_Toc157375114"/>
      <w:bookmarkStart w:id="854" w:name="_Toc157411272"/>
      <w:bookmarkStart w:id="855" w:name="_Toc157412370"/>
      <w:bookmarkStart w:id="856" w:name="_Toc157445389"/>
      <w:bookmarkStart w:id="857" w:name="_Toc157497357"/>
      <w:bookmarkStart w:id="858" w:name="_Toc157617031"/>
      <w:bookmarkStart w:id="859" w:name="_Toc157618254"/>
      <w:bookmarkStart w:id="860" w:name="_Toc157618399"/>
      <w:bookmarkStart w:id="861" w:name="_Toc157618789"/>
      <w:bookmarkStart w:id="862" w:name="_Toc157697125"/>
      <w:bookmarkStart w:id="863" w:name="_Toc157698160"/>
      <w:bookmarkStart w:id="864" w:name="_Toc157705407"/>
      <w:bookmarkStart w:id="865" w:name="_Toc157705465"/>
      <w:bookmarkStart w:id="866" w:name="_Toc157705517"/>
      <w:bookmarkStart w:id="867" w:name="_Toc157705708"/>
      <w:bookmarkStart w:id="868" w:name="_Toc157705758"/>
      <w:bookmarkStart w:id="869" w:name="_Toc157706123"/>
      <w:r>
        <w:lastRenderedPageBreak/>
        <w:t>1.4</w:t>
      </w:r>
      <w:r>
        <w:tab/>
        <w:t>Additional estimates, resourcing and v</w:t>
      </w:r>
      <w:r w:rsidRPr="00597122">
        <w:t>ariations</w:t>
      </w:r>
      <w:r>
        <w:t xml:space="preserve"> to outcomes</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07732935" w14:textId="53B77ABD" w:rsidR="00186290" w:rsidRPr="001A75A9" w:rsidRDefault="00186290" w:rsidP="00186290">
      <w:r>
        <w:t>The following table detail</w:t>
      </w:r>
      <w:r w:rsidR="000F4AA8">
        <w:t>s</w:t>
      </w:r>
      <w:r>
        <w:t xml:space="preserve"> the changes to the resourcing for the DTA at Additional Estimates, by outcome. Table 1.3 details the Additional Estimates resulting from </w:t>
      </w:r>
      <w:r w:rsidRPr="00C73746">
        <w:t>new</w:t>
      </w:r>
      <w:r>
        <w:t xml:space="preserve"> measures and other variations since the 2023–24 Budget </w:t>
      </w:r>
      <w:r w:rsidRPr="00055E5F">
        <w:t>in Appropriation Bills Nos.</w:t>
      </w:r>
      <w:r>
        <w:t> </w:t>
      </w:r>
      <w:r w:rsidRPr="00055E5F">
        <w:t>3</w:t>
      </w:r>
      <w:r>
        <w:t> </w:t>
      </w:r>
      <w:r w:rsidRPr="00C437C4">
        <w:t>and </w:t>
      </w:r>
      <w:r w:rsidRPr="00055E5F">
        <w:t>4</w:t>
      </w:r>
      <w:r>
        <w:t>.</w:t>
      </w:r>
    </w:p>
    <w:p w14:paraId="68008F59" w14:textId="77777777" w:rsidR="00186290" w:rsidRDefault="00186290" w:rsidP="00186290">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p w14:paraId="788832E7" w14:textId="21DF46F7" w:rsidR="00186290" w:rsidRPr="00D913F9" w:rsidRDefault="00F367A3" w:rsidP="00186290">
      <w:pPr>
        <w:pStyle w:val="TableGraphic"/>
      </w:pPr>
      <w:r w:rsidRPr="00F367A3">
        <w:rPr>
          <w:noProof/>
        </w:rPr>
        <w:drawing>
          <wp:inline distT="0" distB="0" distL="0" distR="0" wp14:anchorId="4669CEE7" wp14:editId="3E1297A6">
            <wp:extent cx="4896485" cy="2125980"/>
            <wp:effectExtent l="0" t="0" r="0" b="7620"/>
            <wp:docPr id="182469532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896485" cy="2125980"/>
                    </a:xfrm>
                    <a:prstGeom prst="rect">
                      <a:avLst/>
                    </a:prstGeom>
                    <a:noFill/>
                    <a:ln>
                      <a:noFill/>
                    </a:ln>
                  </pic:spPr>
                </pic:pic>
              </a:graphicData>
            </a:graphic>
          </wp:inline>
        </w:drawing>
      </w:r>
    </w:p>
    <w:p w14:paraId="1C15C580" w14:textId="77777777" w:rsidR="00186290" w:rsidRPr="00D948BC" w:rsidRDefault="00186290" w:rsidP="00186290">
      <w:pPr>
        <w:pStyle w:val="ChartandTableFootnote"/>
      </w:pPr>
      <w:r w:rsidRPr="00D948BC">
        <w:t>Prepared on a resourcing (i.e. appropriations available) basis.</w:t>
      </w:r>
    </w:p>
    <w:p w14:paraId="763EF41C" w14:textId="77777777" w:rsidR="00F367A3" w:rsidRDefault="00F367A3" w:rsidP="00186290">
      <w:pPr>
        <w:pStyle w:val="Heading3"/>
        <w:ind w:right="-156"/>
      </w:pPr>
    </w:p>
    <w:p w14:paraId="0A468377" w14:textId="7422CDD2" w:rsidR="00186290" w:rsidRPr="00564C0F" w:rsidRDefault="00186290" w:rsidP="00186290">
      <w:pPr>
        <w:pStyle w:val="Heading3"/>
        <w:ind w:right="-156"/>
      </w:pPr>
      <w:r>
        <w:br w:type="page"/>
      </w:r>
      <w:bookmarkStart w:id="870" w:name="_Toc157375115"/>
      <w:bookmarkStart w:id="871" w:name="_Toc157411273"/>
      <w:bookmarkStart w:id="872" w:name="_Toc157412371"/>
      <w:bookmarkStart w:id="873" w:name="_Toc157445390"/>
      <w:bookmarkStart w:id="874" w:name="_Toc157497358"/>
      <w:bookmarkStart w:id="875" w:name="_Toc157617032"/>
      <w:bookmarkStart w:id="876" w:name="_Toc157618255"/>
      <w:bookmarkStart w:id="877" w:name="_Toc157618400"/>
      <w:bookmarkStart w:id="878" w:name="_Toc157618790"/>
      <w:bookmarkStart w:id="879" w:name="_Toc157697126"/>
      <w:bookmarkStart w:id="880" w:name="_Toc157698161"/>
      <w:bookmarkStart w:id="881" w:name="_Toc157705408"/>
      <w:bookmarkStart w:id="882" w:name="_Toc157705466"/>
      <w:bookmarkStart w:id="883" w:name="_Toc157705518"/>
      <w:bookmarkStart w:id="884" w:name="_Toc157705709"/>
      <w:bookmarkStart w:id="885" w:name="_Toc157705759"/>
      <w:bookmarkStart w:id="886" w:name="_Toc157706124"/>
      <w:r>
        <w:lastRenderedPageBreak/>
        <w:t>1.5</w:t>
      </w:r>
      <w:r>
        <w:tab/>
      </w:r>
      <w:r w:rsidRPr="00564C0F">
        <w:t>Breakdown of additional estimates by appropriation bill</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4E2E160A" w14:textId="77777777" w:rsidR="00186290" w:rsidRPr="00564C0F" w:rsidRDefault="00186290" w:rsidP="00186290">
      <w:r w:rsidRPr="00564C0F">
        <w:t xml:space="preserve">The following tables detail the Additional Estimates sought for </w:t>
      </w:r>
      <w:r>
        <w:t>the DTA</w:t>
      </w:r>
      <w:r w:rsidRPr="00564C0F">
        <w:t xml:space="preserve"> through </w:t>
      </w:r>
      <w:r w:rsidRPr="00055E5F">
        <w:t>Appropriation Bills Nos. 3</w:t>
      </w:r>
      <w:r w:rsidRPr="00C437C4">
        <w:t xml:space="preserve"> and </w:t>
      </w:r>
      <w:r w:rsidRPr="00055E5F">
        <w:t>4</w:t>
      </w:r>
      <w:r w:rsidRPr="00564C0F">
        <w:t>.</w:t>
      </w:r>
    </w:p>
    <w:p w14:paraId="5910651C" w14:textId="77777777" w:rsidR="00186290" w:rsidRDefault="00186290" w:rsidP="00186290">
      <w:pPr>
        <w:pStyle w:val="TableHeading"/>
      </w:pPr>
      <w:r>
        <w:t>Table 1.4</w:t>
      </w:r>
      <w:r w:rsidRPr="00564C0F">
        <w:t xml:space="preserve">: Appropriation Bill (No. 3) </w:t>
      </w:r>
      <w:r>
        <w:t>2023–2024</w:t>
      </w:r>
    </w:p>
    <w:p w14:paraId="6503B717" w14:textId="3A60E57F" w:rsidR="00186290" w:rsidRPr="00D913F9" w:rsidRDefault="00ED0A61" w:rsidP="00186290">
      <w:pPr>
        <w:pStyle w:val="TableGraphic"/>
      </w:pPr>
      <w:r w:rsidRPr="00ED0A61">
        <w:rPr>
          <w:noProof/>
        </w:rPr>
        <w:drawing>
          <wp:inline distT="0" distB="0" distL="0" distR="0" wp14:anchorId="58AC9EEB" wp14:editId="27BBE124">
            <wp:extent cx="4896485" cy="1685290"/>
            <wp:effectExtent l="0" t="0" r="0" b="0"/>
            <wp:docPr id="3130871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96485" cy="1685290"/>
                    </a:xfrm>
                    <a:prstGeom prst="rect">
                      <a:avLst/>
                    </a:prstGeom>
                    <a:noFill/>
                    <a:ln>
                      <a:noFill/>
                    </a:ln>
                  </pic:spPr>
                </pic:pic>
              </a:graphicData>
            </a:graphic>
          </wp:inline>
        </w:drawing>
      </w:r>
    </w:p>
    <w:p w14:paraId="5A93D7FA" w14:textId="77777777" w:rsidR="00186290" w:rsidRDefault="00186290" w:rsidP="00186290">
      <w:pPr>
        <w:pStyle w:val="Heading2-TOC"/>
      </w:pPr>
    </w:p>
    <w:p w14:paraId="086387E5" w14:textId="3C704BB5" w:rsidR="002E5D19" w:rsidRDefault="002E5D19" w:rsidP="002E5D19">
      <w:pPr>
        <w:pStyle w:val="TableHeading"/>
      </w:pPr>
      <w:r>
        <w:t>Table 1.5</w:t>
      </w:r>
      <w:r w:rsidRPr="00564C0F">
        <w:t xml:space="preserve">: Appropriation Bill (No. </w:t>
      </w:r>
      <w:r>
        <w:t>4</w:t>
      </w:r>
      <w:r w:rsidRPr="00564C0F">
        <w:t xml:space="preserve">) </w:t>
      </w:r>
      <w:r>
        <w:t>2023–2024</w:t>
      </w:r>
    </w:p>
    <w:p w14:paraId="244662CA" w14:textId="268E3B00" w:rsidR="002E5D19" w:rsidRPr="009C5625" w:rsidRDefault="002E5D19" w:rsidP="002E5D19">
      <w:r w:rsidRPr="009C5625">
        <w:t xml:space="preserve">The </w:t>
      </w:r>
      <w:r>
        <w:t>DTA</w:t>
      </w:r>
      <w:r w:rsidRPr="009C5625">
        <w:t xml:space="preserve"> have not sought any Additional Estimates through Appropriation Bill (No. 4). </w:t>
      </w:r>
    </w:p>
    <w:p w14:paraId="14442CF1" w14:textId="77777777" w:rsidR="002E5D19" w:rsidRPr="002E5D19" w:rsidRDefault="002E5D19" w:rsidP="002E5D19">
      <w:pPr>
        <w:pStyle w:val="TableGraphic"/>
      </w:pPr>
    </w:p>
    <w:p w14:paraId="74D17DDD" w14:textId="77777777" w:rsidR="00186290" w:rsidRDefault="00186290" w:rsidP="00186290">
      <w:pPr>
        <w:pStyle w:val="Heading2-TOC"/>
      </w:pPr>
    </w:p>
    <w:p w14:paraId="23D684A4" w14:textId="77777777" w:rsidR="00186290" w:rsidRDefault="00186290" w:rsidP="00186290">
      <w:pPr>
        <w:pStyle w:val="Heading2-TOC"/>
      </w:pPr>
    </w:p>
    <w:p w14:paraId="77AB5D11" w14:textId="77777777" w:rsidR="00186290" w:rsidRDefault="00186290" w:rsidP="00186290">
      <w:pPr>
        <w:pStyle w:val="Heading2-TOC"/>
      </w:pPr>
    </w:p>
    <w:p w14:paraId="041E5F0C" w14:textId="77777777" w:rsidR="00186290" w:rsidRDefault="00186290" w:rsidP="00186290">
      <w:pPr>
        <w:pStyle w:val="Heading2-TOC"/>
      </w:pPr>
    </w:p>
    <w:p w14:paraId="1C310B3B" w14:textId="77777777" w:rsidR="00186290" w:rsidRDefault="00186290" w:rsidP="00186290">
      <w:pPr>
        <w:pStyle w:val="Heading2-TOC"/>
      </w:pPr>
    </w:p>
    <w:p w14:paraId="20888EEF" w14:textId="77777777" w:rsidR="00186290" w:rsidRDefault="00186290" w:rsidP="00186290">
      <w:pPr>
        <w:pStyle w:val="Heading2-TOC"/>
      </w:pPr>
    </w:p>
    <w:p w14:paraId="31E018A7" w14:textId="77777777" w:rsidR="00186290" w:rsidRDefault="00186290" w:rsidP="00186290">
      <w:pPr>
        <w:pStyle w:val="Heading2-TOC"/>
      </w:pPr>
    </w:p>
    <w:p w14:paraId="192F2051" w14:textId="77777777" w:rsidR="00186290" w:rsidRDefault="00186290" w:rsidP="00186290">
      <w:pPr>
        <w:pStyle w:val="Heading2-TOC"/>
      </w:pPr>
      <w:bookmarkStart w:id="887" w:name="_Toc157375116"/>
      <w:bookmarkStart w:id="888" w:name="_Toc157411274"/>
      <w:bookmarkStart w:id="889" w:name="_Toc157412372"/>
      <w:bookmarkStart w:id="890" w:name="_Toc157445391"/>
      <w:bookmarkStart w:id="891" w:name="_Toc157497359"/>
      <w:bookmarkStart w:id="892" w:name="_Toc157617033"/>
      <w:bookmarkStart w:id="893" w:name="_Toc157618256"/>
      <w:bookmarkStart w:id="894" w:name="_Toc157618401"/>
      <w:bookmarkStart w:id="895" w:name="_Toc157618791"/>
      <w:bookmarkStart w:id="896" w:name="_Toc157697127"/>
      <w:bookmarkStart w:id="897" w:name="_Toc157698162"/>
      <w:bookmarkStart w:id="898" w:name="_Toc157705409"/>
      <w:bookmarkStart w:id="899" w:name="_Toc157705467"/>
      <w:bookmarkStart w:id="900" w:name="_Toc157705519"/>
      <w:bookmarkStart w:id="901" w:name="_Toc157705710"/>
      <w:bookmarkStart w:id="902" w:name="_Toc157705760"/>
      <w:bookmarkStart w:id="903" w:name="_Toc157706125"/>
      <w:r w:rsidRPr="00E41681">
        <w:lastRenderedPageBreak/>
        <w:t>Section 2: Revisions to outcomes and planned performance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502816E4" w14:textId="77777777" w:rsidR="005E05D7" w:rsidRDefault="005E05D7" w:rsidP="005E05D7">
      <w:pPr>
        <w:pStyle w:val="Heading3"/>
      </w:pPr>
      <w:bookmarkStart w:id="904" w:name="_Toc157617034"/>
      <w:bookmarkStart w:id="905" w:name="_Toc157618257"/>
      <w:bookmarkStart w:id="906" w:name="_Toc157618402"/>
      <w:bookmarkStart w:id="907" w:name="_Toc157618792"/>
      <w:bookmarkStart w:id="908" w:name="_Toc157697128"/>
      <w:bookmarkStart w:id="909" w:name="_Toc157698163"/>
      <w:bookmarkStart w:id="910" w:name="_Toc157705410"/>
      <w:bookmarkStart w:id="911" w:name="_Toc157705468"/>
      <w:bookmarkStart w:id="912" w:name="_Toc157705520"/>
      <w:bookmarkStart w:id="913" w:name="_Toc157705711"/>
      <w:bookmarkStart w:id="914" w:name="_Toc157705761"/>
      <w:bookmarkStart w:id="915" w:name="_Toc157706126"/>
      <w:r>
        <w:t>2.1</w:t>
      </w:r>
      <w:r>
        <w:tab/>
        <w:t>Changes to outcome and program structures</w:t>
      </w:r>
      <w:bookmarkEnd w:id="904"/>
      <w:bookmarkEnd w:id="905"/>
      <w:bookmarkEnd w:id="906"/>
      <w:bookmarkEnd w:id="907"/>
      <w:bookmarkEnd w:id="908"/>
      <w:bookmarkEnd w:id="909"/>
      <w:bookmarkEnd w:id="910"/>
      <w:bookmarkEnd w:id="911"/>
      <w:bookmarkEnd w:id="912"/>
      <w:bookmarkEnd w:id="913"/>
      <w:bookmarkEnd w:id="914"/>
      <w:bookmarkEnd w:id="915"/>
    </w:p>
    <w:p w14:paraId="2877B626" w14:textId="77777777" w:rsidR="005E05D7" w:rsidRDefault="005E05D7" w:rsidP="005E05D7">
      <w:pPr>
        <w:autoSpaceDE w:val="0"/>
        <w:autoSpaceDN w:val="0"/>
        <w:spacing w:before="0" w:after="0" w:line="240" w:lineRule="auto"/>
        <w:rPr>
          <w:sz w:val="20"/>
        </w:rPr>
      </w:pPr>
      <w:r w:rsidRPr="0000338E">
        <w:rPr>
          <w:sz w:val="20"/>
        </w:rPr>
        <w:t>There has been no change to outcomes or programs since the 202</w:t>
      </w:r>
      <w:r>
        <w:rPr>
          <w:sz w:val="20"/>
        </w:rPr>
        <w:t>3</w:t>
      </w:r>
      <w:r w:rsidRPr="0000338E">
        <w:rPr>
          <w:sz w:val="20"/>
        </w:rPr>
        <w:t>-2</w:t>
      </w:r>
      <w:r>
        <w:rPr>
          <w:sz w:val="20"/>
        </w:rPr>
        <w:t>4</w:t>
      </w:r>
      <w:r w:rsidRPr="0000338E">
        <w:rPr>
          <w:sz w:val="20"/>
        </w:rPr>
        <w:t xml:space="preserve"> Portfolio Budget Statements. </w:t>
      </w:r>
    </w:p>
    <w:p w14:paraId="327AF487" w14:textId="77777777" w:rsidR="00E62BE0" w:rsidRDefault="00E62BE0" w:rsidP="005E05D7">
      <w:pPr>
        <w:autoSpaceDE w:val="0"/>
        <w:autoSpaceDN w:val="0"/>
        <w:spacing w:before="0" w:after="0" w:line="240" w:lineRule="auto"/>
        <w:rPr>
          <w:sz w:val="20"/>
        </w:rPr>
      </w:pPr>
    </w:p>
    <w:p w14:paraId="22D47122" w14:textId="67145118" w:rsidR="005E05D7" w:rsidRDefault="005E05D7" w:rsidP="005E05D7">
      <w:pPr>
        <w:pStyle w:val="Heading3"/>
      </w:pPr>
      <w:bookmarkStart w:id="916" w:name="_Toc152600111"/>
      <w:bookmarkStart w:id="917" w:name="_Toc157617035"/>
      <w:bookmarkStart w:id="918" w:name="_Toc157618258"/>
      <w:bookmarkStart w:id="919" w:name="_Toc157618403"/>
      <w:bookmarkStart w:id="920" w:name="_Toc157618793"/>
      <w:bookmarkStart w:id="921" w:name="_Toc157697129"/>
      <w:bookmarkStart w:id="922" w:name="_Toc157698164"/>
      <w:bookmarkStart w:id="923" w:name="_Toc157705411"/>
      <w:bookmarkStart w:id="924" w:name="_Toc157705469"/>
      <w:bookmarkStart w:id="925" w:name="_Toc157705521"/>
      <w:bookmarkStart w:id="926" w:name="_Toc157705712"/>
      <w:bookmarkStart w:id="927" w:name="_Toc157705762"/>
      <w:bookmarkStart w:id="928" w:name="_Toc157706127"/>
      <w:r>
        <w:t>2.2</w:t>
      </w:r>
      <w:r>
        <w:tab/>
        <w:t xml:space="preserve">Budgeted expenses and performance for Outcome </w:t>
      </w:r>
      <w:bookmarkEnd w:id="916"/>
      <w:r>
        <w:t>1</w:t>
      </w:r>
      <w:bookmarkEnd w:id="917"/>
      <w:bookmarkEnd w:id="918"/>
      <w:bookmarkEnd w:id="919"/>
      <w:bookmarkEnd w:id="920"/>
      <w:bookmarkEnd w:id="921"/>
      <w:bookmarkEnd w:id="922"/>
      <w:bookmarkEnd w:id="923"/>
      <w:bookmarkEnd w:id="924"/>
      <w:bookmarkEnd w:id="925"/>
      <w:bookmarkEnd w:id="926"/>
      <w:bookmarkEnd w:id="927"/>
      <w:bookmarkEnd w:id="928"/>
    </w:p>
    <w:tbl>
      <w:tblPr>
        <w:tblStyle w:val="TableGrid"/>
        <w:tblW w:w="0" w:type="auto"/>
        <w:tblLook w:val="04A0" w:firstRow="1" w:lastRow="0" w:firstColumn="1" w:lastColumn="0" w:noHBand="0" w:noVBand="1"/>
      </w:tblPr>
      <w:tblGrid>
        <w:gridCol w:w="7701"/>
      </w:tblGrid>
      <w:tr w:rsidR="005E05D7" w14:paraId="16663304" w14:textId="77777777" w:rsidTr="00865A14">
        <w:tc>
          <w:tcPr>
            <w:tcW w:w="7701" w:type="dxa"/>
            <w:shd w:val="clear" w:color="auto" w:fill="D9D9D9" w:themeFill="background1" w:themeFillShade="D9"/>
          </w:tcPr>
          <w:p w14:paraId="4B04E8DD" w14:textId="7DFC8924" w:rsidR="005E05D7" w:rsidRPr="008D0BA7" w:rsidRDefault="00E62BE0" w:rsidP="0073592C">
            <w:pPr>
              <w:spacing w:before="60" w:after="60" w:line="260" w:lineRule="exact"/>
              <w:jc w:val="left"/>
              <w:rPr>
                <w:szCs w:val="16"/>
              </w:rPr>
            </w:pPr>
            <w:r w:rsidRPr="00E62BE0">
              <w:rPr>
                <w:rFonts w:ascii="Arial" w:hAnsi="Arial"/>
                <w:b/>
                <w:color w:val="000000"/>
                <w:sz w:val="20"/>
              </w:rPr>
              <w:t xml:space="preserve">Outcome 1: </w:t>
            </w:r>
            <w:r w:rsidR="00EC17C8" w:rsidRPr="00EC17C8">
              <w:rPr>
                <w:rFonts w:ascii="Arial" w:hAnsi="Arial"/>
                <w:b/>
                <w:color w:val="000000"/>
                <w:sz w:val="20"/>
              </w:rPr>
              <w:t>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r w:rsidR="00EC17C8">
              <w:rPr>
                <w:rFonts w:ascii="Arial" w:hAnsi="Arial"/>
                <w:b/>
                <w:color w:val="000000"/>
                <w:sz w:val="20"/>
              </w:rPr>
              <w:t>.</w:t>
            </w:r>
          </w:p>
        </w:tc>
      </w:tr>
    </w:tbl>
    <w:p w14:paraId="14B25DEF" w14:textId="77777777" w:rsidR="005E05D7" w:rsidRDefault="005E05D7" w:rsidP="00186290">
      <w:pPr>
        <w:pStyle w:val="NoSpacing"/>
      </w:pPr>
    </w:p>
    <w:p w14:paraId="1598F693" w14:textId="27662551" w:rsidR="00186290" w:rsidRDefault="00186290" w:rsidP="00186290">
      <w:pPr>
        <w:pStyle w:val="NoSpacing"/>
      </w:pPr>
      <w:r>
        <w:t xml:space="preserve">DTA has not made any changes to the objectives, deliverables and key performance measures of any program since the 2023-24 Portfolio Budget Statements. </w:t>
      </w:r>
    </w:p>
    <w:p w14:paraId="0658001C" w14:textId="77777777" w:rsidR="005E05D7" w:rsidRPr="005E6F2B" w:rsidRDefault="005E05D7" w:rsidP="00186290">
      <w:pPr>
        <w:pStyle w:val="NoSpacing"/>
      </w:pPr>
    </w:p>
    <w:p w14:paraId="283813C9" w14:textId="77777777" w:rsidR="00186290" w:rsidRPr="00446612" w:rsidRDefault="00186290" w:rsidP="00186290">
      <w:pPr>
        <w:pStyle w:val="Heading5"/>
      </w:pPr>
      <w:r w:rsidRPr="00446612">
        <w:t xml:space="preserve">Budgeted expenses for Outcome </w:t>
      </w:r>
      <w:r>
        <w:t>1</w:t>
      </w:r>
    </w:p>
    <w:p w14:paraId="0A5BCA35" w14:textId="77777777" w:rsidR="00186290" w:rsidRDefault="00186290" w:rsidP="00186290">
      <w:r w:rsidRPr="00950281">
        <w:t xml:space="preserve">This table </w:t>
      </w:r>
      <w:r>
        <w:t xml:space="preserve">provides the revised estimated expenses for 2023-24 and the 2022-23 actual expenses incorporating the estimate variations provided in Section 1. </w:t>
      </w:r>
    </w:p>
    <w:p w14:paraId="09B18E54" w14:textId="77777777" w:rsidR="00E62BE0" w:rsidRDefault="00E62BE0" w:rsidP="00186290"/>
    <w:p w14:paraId="11C9B46F" w14:textId="2AA85844" w:rsidR="00186290" w:rsidRDefault="00186290" w:rsidP="00475D5E">
      <w:pPr>
        <w:pStyle w:val="TableHeading"/>
        <w:rPr>
          <w:noProof/>
        </w:rPr>
      </w:pPr>
      <w:r w:rsidRPr="00D93D96">
        <w:lastRenderedPageBreak/>
        <w:t>Table 2.</w:t>
      </w:r>
      <w:r w:rsidR="005E05D7">
        <w:t>2</w:t>
      </w:r>
      <w:r>
        <w:t>.</w:t>
      </w:r>
      <w:r w:rsidRPr="00D93D96">
        <w:t>1 Budgeted expenses</w:t>
      </w:r>
      <w:r>
        <w:t xml:space="preserve"> for</w:t>
      </w:r>
      <w:r w:rsidRPr="00D93D96">
        <w:t xml:space="preserve"> Outcome </w:t>
      </w:r>
      <w:r>
        <w:t>1</w:t>
      </w:r>
    </w:p>
    <w:p w14:paraId="5786A21C" w14:textId="316D6036" w:rsidR="002E5D19" w:rsidRPr="00EF208D" w:rsidRDefault="000B1F96" w:rsidP="00C67A67">
      <w:pPr>
        <w:pStyle w:val="TableGraphic"/>
        <w:spacing w:before="30" w:after="120"/>
      </w:pPr>
      <w:bookmarkStart w:id="929" w:name="_Toc157375118"/>
      <w:bookmarkStart w:id="930" w:name="_Toc157411276"/>
      <w:bookmarkStart w:id="931" w:name="_Toc157412374"/>
      <w:bookmarkStart w:id="932" w:name="_Toc157445393"/>
      <w:bookmarkStart w:id="933" w:name="_Toc157497361"/>
      <w:r w:rsidRPr="000B1F96">
        <w:rPr>
          <w:noProof/>
        </w:rPr>
        <w:drawing>
          <wp:inline distT="0" distB="0" distL="0" distR="0" wp14:anchorId="1D91C71D" wp14:editId="015BD27C">
            <wp:extent cx="4896485" cy="3114675"/>
            <wp:effectExtent l="0" t="0" r="0" b="9525"/>
            <wp:docPr id="5926412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896485" cy="3114675"/>
                    </a:xfrm>
                    <a:prstGeom prst="rect">
                      <a:avLst/>
                    </a:prstGeom>
                    <a:noFill/>
                    <a:ln>
                      <a:noFill/>
                    </a:ln>
                  </pic:spPr>
                </pic:pic>
              </a:graphicData>
            </a:graphic>
          </wp:inline>
        </w:drawing>
      </w:r>
    </w:p>
    <w:p w14:paraId="7BAE6EB8" w14:textId="77777777" w:rsidR="000B1F96" w:rsidRPr="00AC6239" w:rsidRDefault="000B1F96" w:rsidP="001C4B8B">
      <w:pPr>
        <w:pStyle w:val="ChartandTableFootnoteAlpha"/>
        <w:numPr>
          <w:ilvl w:val="0"/>
          <w:numId w:val="49"/>
        </w:numPr>
      </w:pPr>
      <w:r w:rsidRPr="00AC6239">
        <w:t xml:space="preserve">Estimated expenses incurred in relation to receipts retained under section 74 of the </w:t>
      </w:r>
      <w:r w:rsidRPr="000B1F96">
        <w:rPr>
          <w:i/>
          <w:iCs/>
        </w:rPr>
        <w:t>PGPA Act 2013</w:t>
      </w:r>
      <w:r w:rsidRPr="00AC6239">
        <w:t>.</w:t>
      </w:r>
    </w:p>
    <w:p w14:paraId="6DDA90B0" w14:textId="77777777" w:rsidR="000B1F96" w:rsidRPr="00AC6239" w:rsidRDefault="000B1F96" w:rsidP="000B1F96">
      <w:pPr>
        <w:pStyle w:val="ChartandTableFootnoteAlpha"/>
        <w:numPr>
          <w:ilvl w:val="0"/>
          <w:numId w:val="49"/>
        </w:numPr>
      </w:pPr>
      <w:r w:rsidRPr="00AC6239">
        <w:t>Expenses not requiring appropriation in the Budget year are made up of depreciation / amortisation expenses, make good expenses</w:t>
      </w:r>
      <w:r>
        <w:t xml:space="preserve"> and</w:t>
      </w:r>
      <w:r w:rsidRPr="00AC6239">
        <w:t xml:space="preserve"> audit fees.</w:t>
      </w:r>
    </w:p>
    <w:p w14:paraId="74ED95E9" w14:textId="77777777" w:rsidR="000B1F96" w:rsidRDefault="000B1F96" w:rsidP="000B1F96">
      <w:pPr>
        <w:pStyle w:val="ChartandTableFootnote"/>
      </w:pPr>
    </w:p>
    <w:p w14:paraId="599D1416" w14:textId="77777777" w:rsidR="000B1F96" w:rsidRPr="00446612" w:rsidRDefault="000B1F96" w:rsidP="000B1F96">
      <w:pPr>
        <w:pStyle w:val="ChartandTableFootnote"/>
      </w:pPr>
      <w:r>
        <w:t xml:space="preserve">Note: </w:t>
      </w:r>
      <w:r w:rsidRPr="00446612">
        <w:t>Departmental appropriation splits and totals are indicative estimates and may change in the course of the budget year as government priorities change.</w:t>
      </w:r>
    </w:p>
    <w:p w14:paraId="17D74703" w14:textId="77777777" w:rsidR="00E62BE0" w:rsidRDefault="00E62BE0" w:rsidP="00E62BE0"/>
    <w:p w14:paraId="145E7FEA" w14:textId="77777777" w:rsidR="005E5074" w:rsidRPr="00F71634" w:rsidRDefault="005E5074" w:rsidP="005E5074">
      <w:pPr>
        <w:pStyle w:val="Heading5"/>
      </w:pPr>
      <w:r>
        <w:t>Table 2.2.2</w:t>
      </w:r>
      <w:r w:rsidRPr="00F71634">
        <w:t xml:space="preserve">: Performance </w:t>
      </w:r>
      <w:r>
        <w:t>measure</w:t>
      </w:r>
      <w:r w:rsidRPr="00F71634">
        <w:t xml:space="preserve"> </w:t>
      </w:r>
      <w:r>
        <w:t>for Outcome 1</w:t>
      </w:r>
    </w:p>
    <w:p w14:paraId="085DF02E" w14:textId="77777777" w:rsidR="005E5074" w:rsidRDefault="005E5074" w:rsidP="005E5074">
      <w:r>
        <w:t xml:space="preserve">Table </w:t>
      </w:r>
      <w:r w:rsidRPr="004B3275">
        <w:t>2.</w:t>
      </w:r>
      <w:r>
        <w:t>2</w:t>
      </w:r>
      <w:r w:rsidRPr="004B3275">
        <w:t xml:space="preserve">.2 below details the performance measure for each program associated with Outcome 1. It is to be used by entities to describe the results they plan to achieve with the resources provided for new programs, or materially changed existing programs resulting from decisions made since the </w:t>
      </w:r>
      <w:r>
        <w:t>2023-24</w:t>
      </w:r>
      <w:r w:rsidRPr="004B3275">
        <w:t xml:space="preserve"> Budget</w:t>
      </w:r>
      <w:r w:rsidRPr="00D5737A">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4"/>
      </w:tblGrid>
      <w:tr w:rsidR="005E5074" w:rsidRPr="00F71634" w14:paraId="54E1D48D" w14:textId="77777777" w:rsidTr="00CE4B10">
        <w:trPr>
          <w:trHeight w:val="836"/>
          <w:tblHeader/>
        </w:trPr>
        <w:tc>
          <w:tcPr>
            <w:tcW w:w="7674" w:type="dxa"/>
            <w:shd w:val="clear" w:color="auto" w:fill="F2F2F2" w:themeFill="background1" w:themeFillShade="F2"/>
            <w:vAlign w:val="center"/>
          </w:tcPr>
          <w:p w14:paraId="16D3C2B8" w14:textId="6ACAFB84" w:rsidR="005E5074" w:rsidRPr="006906E4" w:rsidRDefault="005E5074" w:rsidP="00D03250">
            <w:pPr>
              <w:pStyle w:val="TableColumnHeadingLeft"/>
              <w:spacing w:before="120" w:after="120"/>
            </w:pPr>
            <w:r w:rsidRPr="006906E4">
              <w:t xml:space="preserve">Outcome </w:t>
            </w:r>
            <w:r>
              <w:t>1</w:t>
            </w:r>
            <w:r w:rsidRPr="006906E4">
              <w:t xml:space="preserve"> – </w:t>
            </w:r>
            <w:r w:rsidRPr="005E5074">
              <w:rPr>
                <w:rFonts w:ascii="Arial" w:hAnsi="Arial" w:cs="Arial"/>
                <w:b w:val="0"/>
                <w:szCs w:val="16"/>
              </w:rPr>
              <w:t>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r w:rsidRPr="004B5FA1">
              <w:rPr>
                <w:rFonts w:ascii="Arial" w:hAnsi="Arial" w:cs="Arial"/>
                <w:b w:val="0"/>
                <w:szCs w:val="16"/>
              </w:rPr>
              <w:t>.</w:t>
            </w:r>
          </w:p>
        </w:tc>
      </w:tr>
      <w:tr w:rsidR="005E5074" w:rsidRPr="00F71634" w14:paraId="32E8A406" w14:textId="77777777" w:rsidTr="00CE4B10">
        <w:trPr>
          <w:trHeight w:val="973"/>
          <w:tblHeader/>
        </w:trPr>
        <w:tc>
          <w:tcPr>
            <w:tcW w:w="7674" w:type="dxa"/>
            <w:shd w:val="clear" w:color="auto" w:fill="F2F2F2" w:themeFill="background1" w:themeFillShade="F2"/>
            <w:vAlign w:val="center"/>
          </w:tcPr>
          <w:p w14:paraId="76A3F88A" w14:textId="2CD57B69" w:rsidR="005E5074" w:rsidRPr="00E82D5D" w:rsidRDefault="005E5074" w:rsidP="00D03250">
            <w:pPr>
              <w:tabs>
                <w:tab w:val="left" w:pos="709"/>
              </w:tabs>
              <w:spacing w:before="60" w:after="60" w:line="240" w:lineRule="auto"/>
              <w:rPr>
                <w:rFonts w:ascii="Arial" w:hAnsi="Arial" w:cs="Arial"/>
                <w:b/>
                <w:sz w:val="16"/>
                <w:szCs w:val="16"/>
              </w:rPr>
            </w:pPr>
            <w:r w:rsidRPr="00E82D5D">
              <w:rPr>
                <w:rFonts w:ascii="Arial" w:hAnsi="Arial" w:cs="Arial"/>
                <w:b/>
                <w:sz w:val="16"/>
                <w:szCs w:val="16"/>
              </w:rPr>
              <w:t>Program 1.1</w:t>
            </w:r>
            <w:r w:rsidRPr="00E82D5D">
              <w:rPr>
                <w:rFonts w:ascii="Arial" w:hAnsi="Arial" w:cs="Arial"/>
                <w:sz w:val="16"/>
                <w:szCs w:val="16"/>
              </w:rPr>
              <w:t xml:space="preserve"> – </w:t>
            </w:r>
            <w:r>
              <w:rPr>
                <w:rFonts w:ascii="Arial" w:hAnsi="Arial" w:cs="Arial"/>
                <w:b/>
                <w:sz w:val="16"/>
                <w:szCs w:val="16"/>
              </w:rPr>
              <w:t>Digital Transformation Agency</w:t>
            </w:r>
            <w:r w:rsidRPr="00E82D5D">
              <w:rPr>
                <w:rFonts w:ascii="Arial" w:hAnsi="Arial" w:cs="Arial"/>
                <w:b/>
                <w:sz w:val="16"/>
                <w:szCs w:val="16"/>
              </w:rPr>
              <w:t xml:space="preserve"> </w:t>
            </w:r>
          </w:p>
          <w:p w14:paraId="0B82C5BD" w14:textId="7AAF03EB" w:rsidR="005E5074" w:rsidRPr="00E06262" w:rsidRDefault="005E5074" w:rsidP="00D03250">
            <w:pPr>
              <w:tabs>
                <w:tab w:val="left" w:pos="709"/>
              </w:tabs>
              <w:spacing w:before="60" w:after="60" w:line="240" w:lineRule="auto"/>
            </w:pPr>
            <w:r w:rsidRPr="005E5074">
              <w:rPr>
                <w:rFonts w:ascii="Arial" w:hAnsi="Arial" w:cs="Arial"/>
                <w:sz w:val="16"/>
                <w:szCs w:val="16"/>
              </w:rPr>
              <w:t>No changes have been made to the performance measure for this program since the 2023-24 Portfolio Budget Statements.</w:t>
            </w:r>
          </w:p>
        </w:tc>
      </w:tr>
    </w:tbl>
    <w:p w14:paraId="08380F6B" w14:textId="77777777" w:rsidR="00E62BE0" w:rsidRDefault="00E62BE0" w:rsidP="00E62BE0"/>
    <w:p w14:paraId="021BC3D8" w14:textId="2051BD3A" w:rsidR="00186290" w:rsidRPr="00E41681" w:rsidRDefault="00186290" w:rsidP="00186290">
      <w:pPr>
        <w:pStyle w:val="Heading2-TOC"/>
      </w:pPr>
      <w:bookmarkStart w:id="934" w:name="_Toc157617036"/>
      <w:bookmarkStart w:id="935" w:name="_Toc157618259"/>
      <w:bookmarkStart w:id="936" w:name="_Toc157618404"/>
      <w:bookmarkStart w:id="937" w:name="_Toc157618794"/>
      <w:bookmarkStart w:id="938" w:name="_Toc157697130"/>
      <w:bookmarkStart w:id="939" w:name="_Toc157698165"/>
      <w:bookmarkStart w:id="940" w:name="_Toc157705412"/>
      <w:bookmarkStart w:id="941" w:name="_Toc157705470"/>
      <w:bookmarkStart w:id="942" w:name="_Toc157705522"/>
      <w:bookmarkStart w:id="943" w:name="_Toc157705713"/>
      <w:bookmarkStart w:id="944" w:name="_Toc157705763"/>
      <w:bookmarkStart w:id="945" w:name="_Toc157706128"/>
      <w:r>
        <w:lastRenderedPageBreak/>
        <w:t>S</w:t>
      </w:r>
      <w:r w:rsidRPr="00E41681">
        <w:t>ection 3: Special account flows and budgeted financial statements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7E34EDD0" w14:textId="77777777" w:rsidR="00186290" w:rsidRPr="004D3E2B" w:rsidRDefault="00186290" w:rsidP="00186290">
      <w:pPr>
        <w:pStyle w:val="Heading3"/>
      </w:pPr>
      <w:bookmarkStart w:id="946" w:name="_Toc157375119"/>
      <w:bookmarkStart w:id="947" w:name="_Toc157411277"/>
      <w:bookmarkStart w:id="948" w:name="_Toc157412375"/>
      <w:bookmarkStart w:id="949" w:name="_Toc157445394"/>
      <w:bookmarkStart w:id="950" w:name="_Toc157497362"/>
      <w:bookmarkStart w:id="951" w:name="_Toc157617037"/>
      <w:bookmarkStart w:id="952" w:name="_Toc157618260"/>
      <w:bookmarkStart w:id="953" w:name="_Toc157618405"/>
      <w:bookmarkStart w:id="954" w:name="_Toc157618795"/>
      <w:bookmarkStart w:id="955" w:name="_Toc157697131"/>
      <w:bookmarkStart w:id="956" w:name="_Toc157698166"/>
      <w:bookmarkStart w:id="957" w:name="_Toc157705413"/>
      <w:bookmarkStart w:id="958" w:name="_Toc157705471"/>
      <w:bookmarkStart w:id="959" w:name="_Toc157705523"/>
      <w:bookmarkStart w:id="960" w:name="_Toc157705714"/>
      <w:bookmarkStart w:id="961" w:name="_Toc157705764"/>
      <w:bookmarkStart w:id="962" w:name="_Toc157706129"/>
      <w:r w:rsidRPr="004D3E2B">
        <w:t>3.1</w:t>
      </w:r>
      <w:r w:rsidRPr="004D3E2B">
        <w:tab/>
        <w:t>Special account flows</w:t>
      </w:r>
      <w:r>
        <w:t xml:space="preserve"> and balances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F94352E" w14:textId="77777777" w:rsidR="00186290" w:rsidRDefault="00186290" w:rsidP="00186290">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03C916C8" w14:textId="77777777" w:rsidR="00186290" w:rsidRDefault="00186290" w:rsidP="00186290">
      <w:r>
        <w:t>Special Accounts provide a means to set aside and record amounts used for specified purposes. Table 3.1 shows the expected additions (receipts) and reductions (payments) for each account used by the DTA.</w:t>
      </w:r>
    </w:p>
    <w:p w14:paraId="547BADCD" w14:textId="77777777" w:rsidR="00186290" w:rsidRDefault="00186290" w:rsidP="00186290">
      <w:pPr>
        <w:pStyle w:val="TableHeading"/>
      </w:pPr>
      <w:r>
        <w:t>Table 3.1: Estimates of special account flows and balances</w:t>
      </w:r>
    </w:p>
    <w:p w14:paraId="27C785B0" w14:textId="57006075" w:rsidR="00186290" w:rsidRPr="00B9146F" w:rsidRDefault="003349BD" w:rsidP="00186290">
      <w:pPr>
        <w:pStyle w:val="TableGraphic"/>
      </w:pPr>
      <w:r w:rsidRPr="003349BD">
        <w:rPr>
          <w:noProof/>
        </w:rPr>
        <w:drawing>
          <wp:inline distT="0" distB="0" distL="0" distR="0" wp14:anchorId="7D4BE81D" wp14:editId="7985CCC2">
            <wp:extent cx="4896485" cy="1791335"/>
            <wp:effectExtent l="0" t="0" r="0" b="0"/>
            <wp:docPr id="22924957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896485" cy="1791335"/>
                    </a:xfrm>
                    <a:prstGeom prst="rect">
                      <a:avLst/>
                    </a:prstGeom>
                    <a:noFill/>
                    <a:ln>
                      <a:noFill/>
                    </a:ln>
                  </pic:spPr>
                </pic:pic>
              </a:graphicData>
            </a:graphic>
          </wp:inline>
        </w:drawing>
      </w:r>
    </w:p>
    <w:p w14:paraId="2C608037" w14:textId="77777777" w:rsidR="00186290" w:rsidRDefault="00186290" w:rsidP="00186290">
      <w:pPr>
        <w:pStyle w:val="Source"/>
        <w:contextualSpacing/>
      </w:pPr>
      <w:r w:rsidRPr="00185D7A">
        <w:t>(D) = Departmental</w:t>
      </w:r>
    </w:p>
    <w:p w14:paraId="0D237834" w14:textId="77777777" w:rsidR="00186290" w:rsidRDefault="00186290" w:rsidP="00186290">
      <w:pPr>
        <w:pStyle w:val="Heading3"/>
      </w:pPr>
      <w:r w:rsidRPr="004D3E2B">
        <w:br w:type="page"/>
      </w:r>
      <w:bookmarkStart w:id="963" w:name="_Toc157375120"/>
      <w:bookmarkStart w:id="964" w:name="_Toc157411278"/>
      <w:bookmarkStart w:id="965" w:name="_Toc157412376"/>
      <w:bookmarkStart w:id="966" w:name="_Toc157445395"/>
      <w:bookmarkStart w:id="967" w:name="_Toc157497363"/>
      <w:bookmarkStart w:id="968" w:name="_Toc157617038"/>
      <w:bookmarkStart w:id="969" w:name="_Toc157618261"/>
      <w:bookmarkStart w:id="970" w:name="_Toc157618406"/>
      <w:bookmarkStart w:id="971" w:name="_Toc157618796"/>
      <w:bookmarkStart w:id="972" w:name="_Toc157697132"/>
      <w:bookmarkStart w:id="973" w:name="_Toc157698167"/>
      <w:bookmarkStart w:id="974" w:name="_Toc157705414"/>
      <w:bookmarkStart w:id="975" w:name="_Toc157705472"/>
      <w:bookmarkStart w:id="976" w:name="_Toc157705524"/>
      <w:bookmarkStart w:id="977" w:name="_Toc157705715"/>
      <w:bookmarkStart w:id="978" w:name="_Toc157705765"/>
      <w:bookmarkStart w:id="979" w:name="_Toc157706130"/>
      <w:r w:rsidRPr="005554F9">
        <w:lastRenderedPageBreak/>
        <w:t>3.2</w:t>
      </w:r>
      <w:r>
        <w:tab/>
        <w:t>Budgeted financial statements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24C71B8A" w14:textId="77777777" w:rsidR="00186290" w:rsidRPr="004928FF" w:rsidRDefault="00186290" w:rsidP="00186290">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05783CE7" w14:textId="77777777" w:rsidR="00186290" w:rsidRPr="000F4AA8" w:rsidRDefault="00186290" w:rsidP="00186290">
      <w:pPr>
        <w:pStyle w:val="ExampleText"/>
        <w:jc w:val="both"/>
        <w:rPr>
          <w:i w:val="0"/>
          <w:iCs/>
          <w:color w:val="auto"/>
        </w:rPr>
      </w:pPr>
      <w:r w:rsidRPr="000F4AA8">
        <w:rPr>
          <w:i w:val="0"/>
          <w:iCs/>
          <w:color w:val="auto"/>
        </w:rPr>
        <w:t xml:space="preserve">There are no significant variations between these statements and the PB Statements except measures already identified. </w:t>
      </w:r>
    </w:p>
    <w:p w14:paraId="70C50D22" w14:textId="77777777" w:rsidR="00186290" w:rsidRDefault="00186290" w:rsidP="00186290">
      <w:pPr>
        <w:pStyle w:val="ExampleText"/>
        <w:jc w:val="both"/>
        <w:rPr>
          <w:rFonts w:ascii="Arial Bold" w:hAnsi="Arial Bold"/>
          <w:b/>
          <w:i w:val="0"/>
          <w:color w:val="auto"/>
          <w:sz w:val="20"/>
        </w:rPr>
      </w:pPr>
      <w:r w:rsidRPr="001064C7">
        <w:rPr>
          <w:rFonts w:ascii="Arial Bold" w:hAnsi="Arial Bold"/>
          <w:b/>
          <w:i w:val="0"/>
          <w:color w:val="auto"/>
          <w:sz w:val="20"/>
        </w:rPr>
        <w:t>3</w:t>
      </w:r>
      <w:r>
        <w:rPr>
          <w:b/>
          <w:bCs/>
          <w:i w:val="0"/>
          <w:iCs/>
          <w:color w:val="auto"/>
        </w:rPr>
        <w:t>.</w:t>
      </w:r>
      <w:r w:rsidRPr="001064C7">
        <w:rPr>
          <w:rFonts w:ascii="Arial Bold" w:hAnsi="Arial Bold"/>
          <w:b/>
          <w:i w:val="0"/>
          <w:color w:val="auto"/>
          <w:sz w:val="20"/>
        </w:rPr>
        <w:t>2.2</w:t>
      </w:r>
      <w:r w:rsidRPr="001064C7">
        <w:rPr>
          <w:rFonts w:ascii="Arial Bold" w:hAnsi="Arial Bold"/>
          <w:b/>
          <w:i w:val="0"/>
          <w:color w:val="auto"/>
          <w:sz w:val="20"/>
        </w:rPr>
        <w:tab/>
        <w:t>Budgeted financial statements</w:t>
      </w:r>
    </w:p>
    <w:p w14:paraId="5295B96D" w14:textId="77777777" w:rsidR="00186290" w:rsidRDefault="00186290" w:rsidP="00186290">
      <w:pPr>
        <w:pStyle w:val="TableHeading"/>
      </w:pPr>
      <w:r w:rsidRPr="00A76CDF">
        <w:t>Table 3.2 Comprehensive income statement (showing net cost of services) for the period ended 30 June</w:t>
      </w:r>
    </w:p>
    <w:p w14:paraId="54F76FFA" w14:textId="45BE2A3A" w:rsidR="00186290" w:rsidRPr="00A76CDF" w:rsidRDefault="00696705" w:rsidP="00186290">
      <w:pPr>
        <w:pStyle w:val="TableGraphic"/>
      </w:pPr>
      <w:r w:rsidRPr="00696705">
        <w:rPr>
          <w:noProof/>
        </w:rPr>
        <w:drawing>
          <wp:inline distT="0" distB="0" distL="0" distR="0" wp14:anchorId="5EE948BA" wp14:editId="5B8811F3">
            <wp:extent cx="4896485" cy="3926205"/>
            <wp:effectExtent l="0" t="0" r="0" b="0"/>
            <wp:docPr id="11281836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896485" cy="3926205"/>
                    </a:xfrm>
                    <a:prstGeom prst="rect">
                      <a:avLst/>
                    </a:prstGeom>
                    <a:noFill/>
                    <a:ln>
                      <a:noFill/>
                    </a:ln>
                  </pic:spPr>
                </pic:pic>
              </a:graphicData>
            </a:graphic>
          </wp:inline>
        </w:drawing>
      </w:r>
    </w:p>
    <w:p w14:paraId="338F9A72" w14:textId="4E61A076" w:rsidR="00186290" w:rsidRPr="001108AF" w:rsidRDefault="001108AF" w:rsidP="00013FAB">
      <w:pPr>
        <w:pStyle w:val="ExampleText"/>
        <w:spacing w:before="30" w:after="120"/>
        <w:jc w:val="both"/>
        <w:rPr>
          <w:rFonts w:ascii="Arial" w:hAnsi="Arial" w:cs="Arial"/>
          <w:bCs/>
          <w:i w:val="0"/>
          <w:color w:val="auto"/>
          <w:sz w:val="16"/>
          <w:szCs w:val="16"/>
        </w:rPr>
      </w:pPr>
      <w:r w:rsidRPr="001108AF">
        <w:rPr>
          <w:rFonts w:ascii="Arial" w:hAnsi="Arial" w:cs="Arial"/>
          <w:bCs/>
          <w:i w:val="0"/>
          <w:color w:val="auto"/>
          <w:sz w:val="16"/>
          <w:szCs w:val="16"/>
        </w:rPr>
        <w:t>Table continues on next page</w:t>
      </w:r>
    </w:p>
    <w:p w14:paraId="2724CBFA" w14:textId="77777777" w:rsidR="00186290" w:rsidRDefault="00186290" w:rsidP="00186290">
      <w:pPr>
        <w:pStyle w:val="TableHeading"/>
        <w:spacing w:before="0"/>
        <w:rPr>
          <w:snapToGrid w:val="0"/>
        </w:rPr>
      </w:pPr>
    </w:p>
    <w:p w14:paraId="49B1F103" w14:textId="77777777" w:rsidR="00186290" w:rsidRPr="00697BCE" w:rsidRDefault="00186290" w:rsidP="00186290">
      <w:pPr>
        <w:spacing w:before="0" w:line="240" w:lineRule="auto"/>
      </w:pPr>
    </w:p>
    <w:p w14:paraId="4A77ECF6" w14:textId="77777777" w:rsidR="00186290" w:rsidRPr="00A76CDF" w:rsidRDefault="00186290" w:rsidP="00186290">
      <w:pPr>
        <w:pStyle w:val="TableHeading"/>
      </w:pPr>
      <w:r>
        <w:br w:type="page"/>
      </w:r>
      <w:r w:rsidRPr="00A76CDF">
        <w:lastRenderedPageBreak/>
        <w:t>Table 3.2: Comprehensive income statement (showing net cost of services) for the period ended 30 June (continued)</w:t>
      </w:r>
    </w:p>
    <w:p w14:paraId="75CA7048" w14:textId="30731496" w:rsidR="00186290" w:rsidRPr="005B0398" w:rsidRDefault="00C927C5" w:rsidP="00186290">
      <w:pPr>
        <w:pStyle w:val="TableGraphic"/>
      </w:pPr>
      <w:r w:rsidRPr="00C927C5">
        <w:rPr>
          <w:noProof/>
        </w:rPr>
        <w:drawing>
          <wp:inline distT="0" distB="0" distL="0" distR="0" wp14:anchorId="01CFEC7F" wp14:editId="7193B8FD">
            <wp:extent cx="4896485" cy="1715770"/>
            <wp:effectExtent l="0" t="0" r="0" b="0"/>
            <wp:docPr id="145390669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896485" cy="1715770"/>
                    </a:xfrm>
                    <a:prstGeom prst="rect">
                      <a:avLst/>
                    </a:prstGeom>
                    <a:noFill/>
                    <a:ln>
                      <a:noFill/>
                    </a:ln>
                  </pic:spPr>
                </pic:pic>
              </a:graphicData>
            </a:graphic>
          </wp:inline>
        </w:drawing>
      </w:r>
    </w:p>
    <w:p w14:paraId="72426EF7" w14:textId="77777777" w:rsidR="00186290" w:rsidRDefault="00186290" w:rsidP="00A7318B">
      <w:pPr>
        <w:pStyle w:val="Source"/>
        <w:spacing w:after="120"/>
      </w:pPr>
      <w:r w:rsidRPr="009C33E9">
        <w:t>Prepared on Australian Accounting Standards basis.</w:t>
      </w:r>
    </w:p>
    <w:p w14:paraId="4E02E462" w14:textId="31311A7D" w:rsidR="00A84651" w:rsidRPr="00B42659" w:rsidRDefault="00A84651" w:rsidP="00503E20">
      <w:pPr>
        <w:pStyle w:val="ChartandTableFootnoteAlpha"/>
        <w:numPr>
          <w:ilvl w:val="0"/>
          <w:numId w:val="35"/>
        </w:numPr>
        <w:spacing w:before="0"/>
        <w:ind w:left="426"/>
      </w:pPr>
      <w:r w:rsidRPr="00B42659">
        <w:rPr>
          <w:rFonts w:cs="Arial"/>
          <w:szCs w:val="16"/>
        </w:rPr>
        <w:t>From 2010</w:t>
      </w:r>
      <w:r>
        <w:rPr>
          <w:rFonts w:cs="Arial"/>
          <w:szCs w:val="16"/>
        </w:rPr>
        <w:t>–</w:t>
      </w:r>
      <w:r w:rsidRPr="00B42659">
        <w:rPr>
          <w:rFonts w:cs="Arial"/>
          <w:szCs w:val="16"/>
        </w:rPr>
        <w:t>11, the Government introduced the net cash appropriation arrangement that provided non</w:t>
      </w:r>
      <w:r w:rsidRPr="00B42659">
        <w:rPr>
          <w:rFonts w:cs="Arial"/>
          <w:szCs w:val="16"/>
        </w:rPr>
        <w:noBreakHyphen/>
      </w:r>
      <w:r w:rsidRPr="00B42659">
        <w:t xml:space="preserve">corporate Commonwealth entities with a separate Departmental Capital Budget (DCB) under </w:t>
      </w:r>
      <w:r w:rsidRPr="002474C2">
        <w:rPr>
          <w:i/>
          <w:iCs/>
        </w:rPr>
        <w:t>Appropriation Act (No.</w:t>
      </w:r>
      <w:r w:rsidR="00A7318B" w:rsidRPr="002474C2">
        <w:rPr>
          <w:i/>
          <w:iCs/>
        </w:rPr>
        <w:t xml:space="preserve"> </w:t>
      </w:r>
      <w:r w:rsidRPr="002474C2">
        <w:rPr>
          <w:i/>
          <w:iCs/>
        </w:rPr>
        <w:t>1)</w:t>
      </w:r>
      <w:r w:rsidRPr="00B42659">
        <w:t xml:space="preserve"> or Bill (No. 3). This replaced revenue appropriations provided under </w:t>
      </w:r>
      <w:r w:rsidRPr="002474C2">
        <w:rPr>
          <w:i/>
          <w:iCs/>
        </w:rPr>
        <w:t>Appropriation Act (No.</w:t>
      </w:r>
      <w:r w:rsidR="00A7318B" w:rsidRPr="002474C2">
        <w:rPr>
          <w:i/>
          <w:iCs/>
        </w:rPr>
        <w:t xml:space="preserve"> </w:t>
      </w:r>
      <w:r w:rsidRPr="002474C2">
        <w:rPr>
          <w:i/>
          <w:iCs/>
        </w:rPr>
        <w:t>1)</w:t>
      </w:r>
      <w:r w:rsidRPr="00B42659">
        <w:t xml:space="preserve"> or Bill (No.</w:t>
      </w:r>
      <w:r w:rsidR="00A7318B">
        <w:t xml:space="preserve"> </w:t>
      </w:r>
      <w:r w:rsidRPr="00B42659">
        <w:t>3) used for depreciation/amortisation expenses.  For information regarding DCB, refer to Table 3.6 Departmental Capital Budget Statement.</w:t>
      </w:r>
    </w:p>
    <w:p w14:paraId="60005A38" w14:textId="77777777" w:rsidR="00A84651" w:rsidRDefault="00A84651" w:rsidP="00503E20">
      <w:pPr>
        <w:pStyle w:val="ChartandTableFootnoteAlpha"/>
        <w:numPr>
          <w:ilvl w:val="0"/>
          <w:numId w:val="35"/>
        </w:numPr>
        <w:spacing w:before="0"/>
        <w:ind w:left="426"/>
      </w:pPr>
      <w:r w:rsidRPr="00B42659">
        <w:t xml:space="preserve">Applies </w:t>
      </w:r>
      <w:r>
        <w:t xml:space="preserve">to </w:t>
      </w:r>
      <w:r w:rsidRPr="00B42659">
        <w:t>l</w:t>
      </w:r>
      <w:r w:rsidRPr="0010438C">
        <w:t>eases under AASB 16 Leases.</w:t>
      </w:r>
    </w:p>
    <w:p w14:paraId="4AC7D64D" w14:textId="77777777" w:rsidR="00733F83" w:rsidRPr="00733F83" w:rsidRDefault="00733F83" w:rsidP="00733F83"/>
    <w:p w14:paraId="436AF1AF" w14:textId="170895B9" w:rsidR="00186290" w:rsidRDefault="00186290" w:rsidP="00186290">
      <w:pPr>
        <w:pStyle w:val="TableHeading"/>
        <w:spacing w:before="0"/>
        <w:rPr>
          <w:snapToGrid w:val="0"/>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p w14:paraId="78C6A3DB" w14:textId="4EFA9EB1" w:rsidR="00186290" w:rsidRPr="00E97A0E" w:rsidRDefault="00E557EB" w:rsidP="00186290">
      <w:pPr>
        <w:pStyle w:val="TableGraphic"/>
      </w:pPr>
      <w:r w:rsidRPr="00E557EB">
        <w:rPr>
          <w:noProof/>
        </w:rPr>
        <w:drawing>
          <wp:inline distT="0" distB="0" distL="0" distR="0" wp14:anchorId="57B3FA21" wp14:editId="463AEFBD">
            <wp:extent cx="4896485" cy="4819650"/>
            <wp:effectExtent l="0" t="0" r="0" b="0"/>
            <wp:docPr id="73404329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896485" cy="4819650"/>
                    </a:xfrm>
                    <a:prstGeom prst="rect">
                      <a:avLst/>
                    </a:prstGeom>
                    <a:noFill/>
                    <a:ln>
                      <a:noFill/>
                    </a:ln>
                  </pic:spPr>
                </pic:pic>
              </a:graphicData>
            </a:graphic>
          </wp:inline>
        </w:drawing>
      </w:r>
    </w:p>
    <w:p w14:paraId="2E0DE9B2" w14:textId="77777777" w:rsidR="00AF792F" w:rsidRDefault="00186290" w:rsidP="00F467C0">
      <w:pPr>
        <w:pStyle w:val="Source"/>
        <w:spacing w:after="0"/>
      </w:pPr>
      <w:r w:rsidRPr="009C33E9">
        <w:t>Prepared on Australian Accounting Standards basis.</w:t>
      </w:r>
    </w:p>
    <w:p w14:paraId="49A7A9E8" w14:textId="313DE1D8" w:rsidR="00186290" w:rsidRPr="009C33E9" w:rsidRDefault="00186290" w:rsidP="00AF792F">
      <w:pPr>
        <w:pStyle w:val="Source"/>
        <w:spacing w:before="0" w:after="0"/>
      </w:pPr>
      <w:r w:rsidRPr="00710147">
        <w:t>* Equity is the residual interest in assets after the deduction of liabilities</w:t>
      </w:r>
      <w:r>
        <w:t>.</w:t>
      </w:r>
    </w:p>
    <w:p w14:paraId="402DF5EF" w14:textId="77777777" w:rsidR="00186290" w:rsidRPr="00014438" w:rsidRDefault="00186290" w:rsidP="00186290">
      <w:pPr>
        <w:pStyle w:val="SingleParagraph"/>
        <w:rPr>
          <w:snapToGrid w:val="0"/>
        </w:rPr>
      </w:pPr>
    </w:p>
    <w:p w14:paraId="3E40A4B2" w14:textId="77777777" w:rsidR="00186290" w:rsidRDefault="00186290" w:rsidP="00186290">
      <w:pPr>
        <w:pStyle w:val="TableHeading"/>
        <w:spacing w:before="0"/>
        <w:rPr>
          <w:b w:val="0"/>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p w14:paraId="50FB1675" w14:textId="0CAC549D" w:rsidR="00186290" w:rsidRPr="00C46631" w:rsidRDefault="00720E6D" w:rsidP="00186290">
      <w:pPr>
        <w:pStyle w:val="TableGraphic"/>
      </w:pPr>
      <w:r w:rsidRPr="00720E6D">
        <w:rPr>
          <w:noProof/>
        </w:rPr>
        <w:drawing>
          <wp:inline distT="0" distB="0" distL="0" distR="0" wp14:anchorId="288E609A" wp14:editId="70D10BDD">
            <wp:extent cx="4896485" cy="2615565"/>
            <wp:effectExtent l="0" t="0" r="0" b="0"/>
            <wp:docPr id="19477528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896485" cy="2615565"/>
                    </a:xfrm>
                    <a:prstGeom prst="rect">
                      <a:avLst/>
                    </a:prstGeom>
                    <a:noFill/>
                    <a:ln>
                      <a:noFill/>
                    </a:ln>
                  </pic:spPr>
                </pic:pic>
              </a:graphicData>
            </a:graphic>
          </wp:inline>
        </w:drawing>
      </w:r>
    </w:p>
    <w:p w14:paraId="4B995F85" w14:textId="77777777" w:rsidR="00186290" w:rsidRDefault="00186290" w:rsidP="00186290">
      <w:pPr>
        <w:pStyle w:val="Source"/>
        <w:rPr>
          <w:snapToGrid w:val="0"/>
        </w:rPr>
      </w:pPr>
      <w:r w:rsidRPr="008D4221">
        <w:t>Prepared on Australian Accounting Standards basis</w:t>
      </w:r>
      <w:r>
        <w:rPr>
          <w:snapToGrid w:val="0"/>
        </w:rPr>
        <w:t>.</w:t>
      </w:r>
    </w:p>
    <w:p w14:paraId="4A039D2C" w14:textId="77777777" w:rsidR="00186290" w:rsidRDefault="00186290" w:rsidP="00186290">
      <w:pPr>
        <w:pStyle w:val="Source"/>
        <w:rPr>
          <w:snapToGrid w:val="0"/>
        </w:rPr>
      </w:pPr>
    </w:p>
    <w:p w14:paraId="12421A2C" w14:textId="77777777" w:rsidR="00C927C5" w:rsidRDefault="00C927C5" w:rsidP="00186290">
      <w:pPr>
        <w:pStyle w:val="Source"/>
        <w:rPr>
          <w:snapToGrid w:val="0"/>
        </w:rPr>
      </w:pPr>
    </w:p>
    <w:p w14:paraId="07B16B18" w14:textId="77777777" w:rsidR="00186290" w:rsidRDefault="00186290" w:rsidP="00186290">
      <w:pPr>
        <w:pStyle w:val="TableHeading"/>
        <w:spacing w:before="0"/>
        <w:rPr>
          <w:snapToGrid w:val="0"/>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3C661D7C" w14:textId="093C6B8A" w:rsidR="00186290" w:rsidRDefault="00F07D36" w:rsidP="00186290">
      <w:pPr>
        <w:pStyle w:val="TableGraphic"/>
      </w:pPr>
      <w:r w:rsidRPr="00F07D36">
        <w:rPr>
          <w:noProof/>
        </w:rPr>
        <w:drawing>
          <wp:inline distT="0" distB="0" distL="0" distR="0" wp14:anchorId="60CCB1D6" wp14:editId="559F9AE5">
            <wp:extent cx="4896485" cy="5015230"/>
            <wp:effectExtent l="0" t="0" r="0" b="0"/>
            <wp:docPr id="1516553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896485" cy="5015230"/>
                    </a:xfrm>
                    <a:prstGeom prst="rect">
                      <a:avLst/>
                    </a:prstGeom>
                    <a:noFill/>
                    <a:ln>
                      <a:noFill/>
                    </a:ln>
                  </pic:spPr>
                </pic:pic>
              </a:graphicData>
            </a:graphic>
          </wp:inline>
        </w:drawing>
      </w:r>
    </w:p>
    <w:p w14:paraId="6C93CE78" w14:textId="77777777" w:rsidR="00186290" w:rsidRDefault="00186290" w:rsidP="00186290">
      <w:pPr>
        <w:pStyle w:val="Source"/>
      </w:pPr>
      <w:r w:rsidRPr="009C33E9">
        <w:t>Prepared on Australian Accounting Standards basis.</w:t>
      </w:r>
    </w:p>
    <w:p w14:paraId="4D50519C" w14:textId="77777777" w:rsidR="00511C5B" w:rsidRDefault="00511C5B" w:rsidP="00186290">
      <w:pPr>
        <w:pStyle w:val="Source"/>
      </w:pPr>
    </w:p>
    <w:p w14:paraId="45F32793" w14:textId="77777777" w:rsidR="00511C5B" w:rsidRDefault="00511C5B" w:rsidP="00186290">
      <w:pPr>
        <w:pStyle w:val="Source"/>
      </w:pPr>
    </w:p>
    <w:p w14:paraId="7D64BBFD" w14:textId="0343698D" w:rsidR="00186290" w:rsidRDefault="00511C5B" w:rsidP="00186290">
      <w:pPr>
        <w:pStyle w:val="Source"/>
        <w:rPr>
          <w:b/>
          <w:snapToGrid w:val="0"/>
          <w:sz w:val="20"/>
        </w:rPr>
      </w:pPr>
      <w:r w:rsidRPr="00511C5B">
        <w:rPr>
          <w:b/>
          <w:snapToGrid w:val="0"/>
          <w:sz w:val="20"/>
        </w:rPr>
        <w:t>Table 3.</w:t>
      </w:r>
      <w:r>
        <w:rPr>
          <w:b/>
          <w:snapToGrid w:val="0"/>
          <w:sz w:val="20"/>
        </w:rPr>
        <w:t>6</w:t>
      </w:r>
      <w:r w:rsidRPr="00511C5B">
        <w:rPr>
          <w:b/>
          <w:snapToGrid w:val="0"/>
          <w:sz w:val="20"/>
        </w:rPr>
        <w:t xml:space="preserve">: </w:t>
      </w:r>
      <w:r>
        <w:rPr>
          <w:b/>
          <w:snapToGrid w:val="0"/>
          <w:sz w:val="20"/>
        </w:rPr>
        <w:t>Departmental capital budget statement (for the period ended 30 June)</w:t>
      </w:r>
    </w:p>
    <w:p w14:paraId="18B4C179" w14:textId="6FEC0F86" w:rsidR="00511C5B" w:rsidRDefault="00ED6838" w:rsidP="00186290">
      <w:pPr>
        <w:pStyle w:val="Source"/>
        <w:rPr>
          <w:rFonts w:ascii="Book Antiqua" w:hAnsi="Book Antiqua"/>
          <w:bCs/>
          <w:snapToGrid w:val="0"/>
          <w:sz w:val="19"/>
          <w:szCs w:val="19"/>
        </w:rPr>
      </w:pPr>
      <w:r>
        <w:rPr>
          <w:rFonts w:ascii="Book Antiqua" w:hAnsi="Book Antiqua"/>
          <w:bCs/>
          <w:snapToGrid w:val="0"/>
          <w:sz w:val="19"/>
          <w:szCs w:val="19"/>
        </w:rPr>
        <w:t xml:space="preserve">The </w:t>
      </w:r>
      <w:r w:rsidR="00511C5B" w:rsidRPr="00511C5B">
        <w:rPr>
          <w:rFonts w:ascii="Book Antiqua" w:hAnsi="Book Antiqua"/>
          <w:bCs/>
          <w:snapToGrid w:val="0"/>
          <w:sz w:val="19"/>
          <w:szCs w:val="19"/>
        </w:rPr>
        <w:t>DTA has no budgeted capital expenditure.</w:t>
      </w:r>
    </w:p>
    <w:p w14:paraId="278FD760" w14:textId="77777777" w:rsidR="00511C5B" w:rsidRPr="00511C5B" w:rsidRDefault="00511C5B" w:rsidP="00186290">
      <w:pPr>
        <w:pStyle w:val="Source"/>
        <w:rPr>
          <w:rFonts w:ascii="Book Antiqua" w:hAnsi="Book Antiqua"/>
          <w:bCs/>
          <w:snapToGrid w:val="0"/>
          <w:sz w:val="19"/>
          <w:szCs w:val="19"/>
        </w:rPr>
      </w:pPr>
    </w:p>
    <w:p w14:paraId="1C8CD66B" w14:textId="75ED3314" w:rsidR="00186290" w:rsidRDefault="00186290" w:rsidP="00186290">
      <w:pPr>
        <w:spacing w:before="0" w:after="0" w:line="240" w:lineRule="auto"/>
        <w:rPr>
          <w:rFonts w:ascii="Arial" w:hAnsi="Arial" w:cs="Arial"/>
          <w:b/>
          <w:bCs/>
          <w:color w:val="000000"/>
          <w:sz w:val="16"/>
          <w:szCs w:val="16"/>
        </w:rPr>
      </w:pPr>
    </w:p>
    <w:p w14:paraId="620A83F0" w14:textId="423C1A22" w:rsidR="00186290" w:rsidRPr="00F779AF" w:rsidRDefault="00186290" w:rsidP="00186290">
      <w:pPr>
        <w:pStyle w:val="TableHeading"/>
        <w:spacing w:before="0"/>
        <w:rPr>
          <w:snapToGrid w:val="0"/>
        </w:rPr>
      </w:pPr>
      <w:bookmarkStart w:id="980" w:name="_Hlk157533858"/>
      <w:r w:rsidRPr="0011103C">
        <w:rPr>
          <w:snapToGrid w:val="0"/>
        </w:rPr>
        <w:lastRenderedPageBreak/>
        <w:t>T</w:t>
      </w:r>
      <w:r w:rsidR="00996922">
        <w:rPr>
          <w:snapToGrid w:val="0"/>
        </w:rPr>
        <w:t>a</w:t>
      </w:r>
      <w:r w:rsidRPr="0011103C">
        <w:rPr>
          <w:snapToGrid w:val="0"/>
        </w:rPr>
        <w:t>ble 3.</w:t>
      </w:r>
      <w:r w:rsidR="00511C5B">
        <w:rPr>
          <w:snapToGrid w:val="0"/>
        </w:rPr>
        <w:t>7</w:t>
      </w:r>
      <w:r w:rsidRPr="0011103C">
        <w:rPr>
          <w:snapToGrid w:val="0"/>
        </w:rPr>
        <w:t xml:space="preserve">: Statement of departmental asset movements </w:t>
      </w:r>
      <w:bookmarkEnd w:id="980"/>
      <w:r w:rsidRPr="0011103C">
        <w:rPr>
          <w:snapToGrid w:val="0"/>
        </w:rPr>
        <w:t>(Budget Year 2023-24)</w:t>
      </w:r>
    </w:p>
    <w:p w14:paraId="48746973" w14:textId="5074118D" w:rsidR="00186290" w:rsidRPr="00EA437C" w:rsidRDefault="0075030B" w:rsidP="00186290">
      <w:pPr>
        <w:pStyle w:val="TableGraphic"/>
      </w:pPr>
      <w:r w:rsidRPr="0075030B">
        <w:rPr>
          <w:noProof/>
        </w:rPr>
        <w:drawing>
          <wp:inline distT="0" distB="0" distL="0" distR="0" wp14:anchorId="12C4E061" wp14:editId="783DFB5D">
            <wp:extent cx="4896485" cy="3995420"/>
            <wp:effectExtent l="0" t="0" r="0" b="5080"/>
            <wp:docPr id="862428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896485" cy="3995420"/>
                    </a:xfrm>
                    <a:prstGeom prst="rect">
                      <a:avLst/>
                    </a:prstGeom>
                    <a:noFill/>
                    <a:ln>
                      <a:noFill/>
                    </a:ln>
                  </pic:spPr>
                </pic:pic>
              </a:graphicData>
            </a:graphic>
          </wp:inline>
        </w:drawing>
      </w:r>
    </w:p>
    <w:p w14:paraId="34FE43C2" w14:textId="77777777" w:rsidR="00186290" w:rsidRDefault="00186290" w:rsidP="00186290">
      <w:pPr>
        <w:pStyle w:val="Source"/>
      </w:pPr>
      <w:r w:rsidRPr="000F37E6">
        <w:t>Prepared on Australian Accounting Standards</w:t>
      </w:r>
      <w:r w:rsidRPr="009C33E9">
        <w:t xml:space="preserve"> basis.</w:t>
      </w:r>
    </w:p>
    <w:p w14:paraId="15E43ADF" w14:textId="77777777" w:rsidR="00186290" w:rsidRPr="00C92D81" w:rsidRDefault="00186290" w:rsidP="00186290">
      <w:pPr>
        <w:pStyle w:val="TableGraphic"/>
      </w:pPr>
    </w:p>
    <w:p w14:paraId="6FB32CD0" w14:textId="77777777" w:rsidR="00186290" w:rsidRPr="00216C5D" w:rsidRDefault="00186290" w:rsidP="00186290">
      <w:pPr>
        <w:pStyle w:val="TableHeading"/>
      </w:pPr>
    </w:p>
    <w:p w14:paraId="47CB236B" w14:textId="77777777" w:rsidR="00186290" w:rsidRDefault="00186290" w:rsidP="00186290">
      <w:pPr>
        <w:spacing w:before="0" w:after="0" w:line="240" w:lineRule="auto"/>
        <w:sectPr w:rsidR="00186290" w:rsidSect="00F0624A">
          <w:headerReference w:type="first" r:id="rId141"/>
          <w:footerReference w:type="first" r:id="rId142"/>
          <w:pgSz w:w="11907" w:h="16840" w:code="9"/>
          <w:pgMar w:top="2835" w:right="2098" w:bottom="2466" w:left="2098" w:header="1814" w:footer="1814" w:gutter="0"/>
          <w:cols w:space="708"/>
          <w:titlePg/>
          <w:docGrid w:linePitch="360"/>
        </w:sectPr>
      </w:pPr>
      <w:r>
        <w:br w:type="page"/>
      </w:r>
    </w:p>
    <w:p w14:paraId="6A350F34" w14:textId="77777777" w:rsidR="0050190C" w:rsidRDefault="0050190C" w:rsidP="00186290">
      <w:pPr>
        <w:pStyle w:val="Heading1-NoTOC"/>
        <w:sectPr w:rsidR="0050190C" w:rsidSect="00F0624A">
          <w:headerReference w:type="even" r:id="rId143"/>
          <w:headerReference w:type="default" r:id="rId144"/>
          <w:footerReference w:type="even" r:id="rId145"/>
          <w:footerReference w:type="default" r:id="rId146"/>
          <w:headerReference w:type="first" r:id="rId147"/>
          <w:footerReference w:type="first" r:id="rId148"/>
          <w:pgSz w:w="11907" w:h="16840" w:code="9"/>
          <w:pgMar w:top="2835" w:right="2098" w:bottom="2466" w:left="2098" w:header="1814" w:footer="1814" w:gutter="0"/>
          <w:cols w:space="708"/>
          <w:titlePg/>
          <w:docGrid w:linePitch="360"/>
        </w:sectPr>
      </w:pPr>
    </w:p>
    <w:p w14:paraId="33FD5BFA" w14:textId="397A7284" w:rsidR="00186290" w:rsidRDefault="00186290" w:rsidP="00186290">
      <w:pPr>
        <w:pStyle w:val="Heading1-NoTOC"/>
      </w:pPr>
      <w:r w:rsidRPr="00D32AD8">
        <w:lastRenderedPageBreak/>
        <w:t>Independent Parliamentary Expenses Authority</w:t>
      </w:r>
    </w:p>
    <w:p w14:paraId="57754F2A" w14:textId="13CF3554" w:rsidR="008A0B11" w:rsidRDefault="000B2B7D" w:rsidP="008A0B11">
      <w:pPr>
        <w:pStyle w:val="TOC1"/>
        <w:rPr>
          <w:rFonts w:asciiTheme="minorHAnsi" w:eastAsiaTheme="minorEastAsia" w:hAnsiTheme="minorHAnsi" w:cstheme="minorBidi"/>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p>
    <w:p w14:paraId="71B9D739" w14:textId="1065BF65" w:rsidR="008A0B11" w:rsidRDefault="00000000">
      <w:pPr>
        <w:pStyle w:val="TOC1"/>
        <w:rPr>
          <w:rFonts w:asciiTheme="minorHAnsi" w:eastAsiaTheme="minorEastAsia" w:hAnsiTheme="minorHAnsi" w:cstheme="minorBidi"/>
          <w:b w:val="0"/>
          <w:noProof/>
          <w:kern w:val="2"/>
          <w:sz w:val="22"/>
          <w:szCs w:val="22"/>
          <w14:ligatures w14:val="standardContextual"/>
        </w:rPr>
      </w:pPr>
      <w:hyperlink w:anchor="_Toc157706131" w:history="1">
        <w:r w:rsidR="008A0B11" w:rsidRPr="00F53E43">
          <w:rPr>
            <w:rStyle w:val="Hyperlink"/>
            <w:noProof/>
            <w:kern w:val="34"/>
          </w:rPr>
          <w:t>Section 1: Entity overview and resources</w:t>
        </w:r>
        <w:r w:rsidR="008A0B11">
          <w:rPr>
            <w:noProof/>
            <w:webHidden/>
          </w:rPr>
          <w:tab/>
        </w:r>
        <w:r w:rsidR="008A0B11">
          <w:rPr>
            <w:noProof/>
            <w:webHidden/>
          </w:rPr>
          <w:fldChar w:fldCharType="begin"/>
        </w:r>
        <w:r w:rsidR="008A0B11">
          <w:rPr>
            <w:noProof/>
            <w:webHidden/>
          </w:rPr>
          <w:instrText xml:space="preserve"> PAGEREF _Toc157706131 \h </w:instrText>
        </w:r>
        <w:r w:rsidR="008A0B11">
          <w:rPr>
            <w:noProof/>
            <w:webHidden/>
          </w:rPr>
        </w:r>
        <w:r w:rsidR="008A0B11">
          <w:rPr>
            <w:noProof/>
            <w:webHidden/>
          </w:rPr>
          <w:fldChar w:fldCharType="separate"/>
        </w:r>
        <w:r w:rsidR="00023728">
          <w:rPr>
            <w:noProof/>
            <w:webHidden/>
          </w:rPr>
          <w:t>99</w:t>
        </w:r>
        <w:r w:rsidR="008A0B11">
          <w:rPr>
            <w:noProof/>
            <w:webHidden/>
          </w:rPr>
          <w:fldChar w:fldCharType="end"/>
        </w:r>
      </w:hyperlink>
    </w:p>
    <w:p w14:paraId="01828997" w14:textId="1846B0DA"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2" w:history="1">
        <w:r w:rsidR="008A0B11" w:rsidRPr="00F53E43">
          <w:rPr>
            <w:rStyle w:val="Hyperlink"/>
            <w:noProof/>
          </w:rPr>
          <w:t>1.1</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Strategic direction statement</w:t>
        </w:r>
        <w:r w:rsidR="008A0B11">
          <w:rPr>
            <w:noProof/>
            <w:webHidden/>
          </w:rPr>
          <w:tab/>
        </w:r>
        <w:r w:rsidR="008A0B11">
          <w:rPr>
            <w:noProof/>
            <w:webHidden/>
          </w:rPr>
          <w:fldChar w:fldCharType="begin"/>
        </w:r>
        <w:r w:rsidR="008A0B11">
          <w:rPr>
            <w:noProof/>
            <w:webHidden/>
          </w:rPr>
          <w:instrText xml:space="preserve"> PAGEREF _Toc157706132 \h </w:instrText>
        </w:r>
        <w:r w:rsidR="008A0B11">
          <w:rPr>
            <w:noProof/>
            <w:webHidden/>
          </w:rPr>
        </w:r>
        <w:r w:rsidR="008A0B11">
          <w:rPr>
            <w:noProof/>
            <w:webHidden/>
          </w:rPr>
          <w:fldChar w:fldCharType="separate"/>
        </w:r>
        <w:r w:rsidR="00023728">
          <w:rPr>
            <w:noProof/>
            <w:webHidden/>
          </w:rPr>
          <w:t>99</w:t>
        </w:r>
        <w:r w:rsidR="008A0B11">
          <w:rPr>
            <w:noProof/>
            <w:webHidden/>
          </w:rPr>
          <w:fldChar w:fldCharType="end"/>
        </w:r>
      </w:hyperlink>
    </w:p>
    <w:p w14:paraId="07E51E48" w14:textId="47507F49"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3" w:history="1">
        <w:r w:rsidR="008A0B11" w:rsidRPr="00F53E43">
          <w:rPr>
            <w:rStyle w:val="Hyperlink"/>
            <w:noProof/>
          </w:rPr>
          <w:t>1.2</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Entity resource statement</w:t>
        </w:r>
        <w:r w:rsidR="008A0B11">
          <w:rPr>
            <w:noProof/>
            <w:webHidden/>
          </w:rPr>
          <w:tab/>
        </w:r>
        <w:r w:rsidR="008A0B11">
          <w:rPr>
            <w:noProof/>
            <w:webHidden/>
          </w:rPr>
          <w:fldChar w:fldCharType="begin"/>
        </w:r>
        <w:r w:rsidR="008A0B11">
          <w:rPr>
            <w:noProof/>
            <w:webHidden/>
          </w:rPr>
          <w:instrText xml:space="preserve"> PAGEREF _Toc157706133 \h </w:instrText>
        </w:r>
        <w:r w:rsidR="008A0B11">
          <w:rPr>
            <w:noProof/>
            <w:webHidden/>
          </w:rPr>
        </w:r>
        <w:r w:rsidR="008A0B11">
          <w:rPr>
            <w:noProof/>
            <w:webHidden/>
          </w:rPr>
          <w:fldChar w:fldCharType="separate"/>
        </w:r>
        <w:r w:rsidR="00023728">
          <w:rPr>
            <w:noProof/>
            <w:webHidden/>
          </w:rPr>
          <w:t>99</w:t>
        </w:r>
        <w:r w:rsidR="008A0B11">
          <w:rPr>
            <w:noProof/>
            <w:webHidden/>
          </w:rPr>
          <w:fldChar w:fldCharType="end"/>
        </w:r>
      </w:hyperlink>
    </w:p>
    <w:p w14:paraId="7BC75B03" w14:textId="259B0C26"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4" w:history="1">
        <w:r w:rsidR="008A0B11" w:rsidRPr="00F53E43">
          <w:rPr>
            <w:rStyle w:val="Hyperlink"/>
            <w:noProof/>
          </w:rPr>
          <w:t>1.3</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Entity measures</w:t>
        </w:r>
        <w:r w:rsidR="008A0B11">
          <w:rPr>
            <w:noProof/>
            <w:webHidden/>
          </w:rPr>
          <w:tab/>
        </w:r>
        <w:r w:rsidR="008A0B11">
          <w:rPr>
            <w:noProof/>
            <w:webHidden/>
          </w:rPr>
          <w:fldChar w:fldCharType="begin"/>
        </w:r>
        <w:r w:rsidR="008A0B11">
          <w:rPr>
            <w:noProof/>
            <w:webHidden/>
          </w:rPr>
          <w:instrText xml:space="preserve"> PAGEREF _Toc157706134 \h </w:instrText>
        </w:r>
        <w:r w:rsidR="008A0B11">
          <w:rPr>
            <w:noProof/>
            <w:webHidden/>
          </w:rPr>
        </w:r>
        <w:r w:rsidR="008A0B11">
          <w:rPr>
            <w:noProof/>
            <w:webHidden/>
          </w:rPr>
          <w:fldChar w:fldCharType="separate"/>
        </w:r>
        <w:r w:rsidR="00023728">
          <w:rPr>
            <w:noProof/>
            <w:webHidden/>
          </w:rPr>
          <w:t>101</w:t>
        </w:r>
        <w:r w:rsidR="008A0B11">
          <w:rPr>
            <w:noProof/>
            <w:webHidden/>
          </w:rPr>
          <w:fldChar w:fldCharType="end"/>
        </w:r>
      </w:hyperlink>
    </w:p>
    <w:p w14:paraId="29FB89E6" w14:textId="23EE78AF"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5" w:history="1">
        <w:r w:rsidR="008A0B11" w:rsidRPr="00F53E43">
          <w:rPr>
            <w:rStyle w:val="Hyperlink"/>
            <w:noProof/>
          </w:rPr>
          <w:t>1.4</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Additional estimates, resourcing and variations to outcomes</w:t>
        </w:r>
        <w:r w:rsidR="008A0B11">
          <w:rPr>
            <w:noProof/>
            <w:webHidden/>
          </w:rPr>
          <w:tab/>
        </w:r>
        <w:r w:rsidR="008A0B11">
          <w:rPr>
            <w:noProof/>
            <w:webHidden/>
          </w:rPr>
          <w:fldChar w:fldCharType="begin"/>
        </w:r>
        <w:r w:rsidR="008A0B11">
          <w:rPr>
            <w:noProof/>
            <w:webHidden/>
          </w:rPr>
          <w:instrText xml:space="preserve"> PAGEREF _Toc157706135 \h </w:instrText>
        </w:r>
        <w:r w:rsidR="008A0B11">
          <w:rPr>
            <w:noProof/>
            <w:webHidden/>
          </w:rPr>
        </w:r>
        <w:r w:rsidR="008A0B11">
          <w:rPr>
            <w:noProof/>
            <w:webHidden/>
          </w:rPr>
          <w:fldChar w:fldCharType="separate"/>
        </w:r>
        <w:r w:rsidR="00023728">
          <w:rPr>
            <w:noProof/>
            <w:webHidden/>
          </w:rPr>
          <w:t>101</w:t>
        </w:r>
        <w:r w:rsidR="008A0B11">
          <w:rPr>
            <w:noProof/>
            <w:webHidden/>
          </w:rPr>
          <w:fldChar w:fldCharType="end"/>
        </w:r>
      </w:hyperlink>
    </w:p>
    <w:p w14:paraId="31E60BE8" w14:textId="1045A695"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6" w:history="1">
        <w:r w:rsidR="008A0B11" w:rsidRPr="00F53E43">
          <w:rPr>
            <w:rStyle w:val="Hyperlink"/>
            <w:noProof/>
          </w:rPr>
          <w:t>1.5</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Breakdown of additional estimates by appropriation bill</w:t>
        </w:r>
        <w:r w:rsidR="008A0B11">
          <w:rPr>
            <w:noProof/>
            <w:webHidden/>
          </w:rPr>
          <w:tab/>
        </w:r>
        <w:r w:rsidR="008A0B11">
          <w:rPr>
            <w:noProof/>
            <w:webHidden/>
          </w:rPr>
          <w:fldChar w:fldCharType="begin"/>
        </w:r>
        <w:r w:rsidR="008A0B11">
          <w:rPr>
            <w:noProof/>
            <w:webHidden/>
          </w:rPr>
          <w:instrText xml:space="preserve"> PAGEREF _Toc157706136 \h </w:instrText>
        </w:r>
        <w:r w:rsidR="008A0B11">
          <w:rPr>
            <w:noProof/>
            <w:webHidden/>
          </w:rPr>
        </w:r>
        <w:r w:rsidR="008A0B11">
          <w:rPr>
            <w:noProof/>
            <w:webHidden/>
          </w:rPr>
          <w:fldChar w:fldCharType="separate"/>
        </w:r>
        <w:r w:rsidR="00023728">
          <w:rPr>
            <w:noProof/>
            <w:webHidden/>
          </w:rPr>
          <w:t>102</w:t>
        </w:r>
        <w:r w:rsidR="008A0B11">
          <w:rPr>
            <w:noProof/>
            <w:webHidden/>
          </w:rPr>
          <w:fldChar w:fldCharType="end"/>
        </w:r>
      </w:hyperlink>
    </w:p>
    <w:p w14:paraId="61638478" w14:textId="36BA6642" w:rsidR="008A0B11" w:rsidRDefault="00000000">
      <w:pPr>
        <w:pStyle w:val="TOC1"/>
        <w:rPr>
          <w:rFonts w:asciiTheme="minorHAnsi" w:eastAsiaTheme="minorEastAsia" w:hAnsiTheme="minorHAnsi" w:cstheme="minorBidi"/>
          <w:b w:val="0"/>
          <w:noProof/>
          <w:kern w:val="2"/>
          <w:sz w:val="22"/>
          <w:szCs w:val="22"/>
          <w14:ligatures w14:val="standardContextual"/>
        </w:rPr>
      </w:pPr>
      <w:hyperlink w:anchor="_Toc157706137" w:history="1">
        <w:r w:rsidR="008A0B11" w:rsidRPr="00F53E43">
          <w:rPr>
            <w:rStyle w:val="Hyperlink"/>
            <w:noProof/>
          </w:rPr>
          <w:t>Section 2: Revisions to outcomes and planned performance</w:t>
        </w:r>
        <w:r w:rsidR="008A0B11">
          <w:rPr>
            <w:noProof/>
            <w:webHidden/>
          </w:rPr>
          <w:tab/>
        </w:r>
        <w:r w:rsidR="008A0B11">
          <w:rPr>
            <w:noProof/>
            <w:webHidden/>
          </w:rPr>
          <w:fldChar w:fldCharType="begin"/>
        </w:r>
        <w:r w:rsidR="008A0B11">
          <w:rPr>
            <w:noProof/>
            <w:webHidden/>
          </w:rPr>
          <w:instrText xml:space="preserve"> PAGEREF _Toc157706137 \h </w:instrText>
        </w:r>
        <w:r w:rsidR="008A0B11">
          <w:rPr>
            <w:noProof/>
            <w:webHidden/>
          </w:rPr>
        </w:r>
        <w:r w:rsidR="008A0B11">
          <w:rPr>
            <w:noProof/>
            <w:webHidden/>
          </w:rPr>
          <w:fldChar w:fldCharType="separate"/>
        </w:r>
        <w:r w:rsidR="00023728">
          <w:rPr>
            <w:noProof/>
            <w:webHidden/>
          </w:rPr>
          <w:t>103</w:t>
        </w:r>
        <w:r w:rsidR="008A0B11">
          <w:rPr>
            <w:noProof/>
            <w:webHidden/>
          </w:rPr>
          <w:fldChar w:fldCharType="end"/>
        </w:r>
      </w:hyperlink>
    </w:p>
    <w:p w14:paraId="41DDCA7B" w14:textId="7EB54A2B"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8" w:history="1">
        <w:r w:rsidR="008A0B11" w:rsidRPr="00F53E43">
          <w:rPr>
            <w:rStyle w:val="Hyperlink"/>
            <w:noProof/>
          </w:rPr>
          <w:t>2.1</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Changes to outcome and program structures</w:t>
        </w:r>
        <w:r w:rsidR="008A0B11">
          <w:rPr>
            <w:noProof/>
            <w:webHidden/>
          </w:rPr>
          <w:tab/>
        </w:r>
        <w:r w:rsidR="008A0B11">
          <w:rPr>
            <w:noProof/>
            <w:webHidden/>
          </w:rPr>
          <w:fldChar w:fldCharType="begin"/>
        </w:r>
        <w:r w:rsidR="008A0B11">
          <w:rPr>
            <w:noProof/>
            <w:webHidden/>
          </w:rPr>
          <w:instrText xml:space="preserve"> PAGEREF _Toc157706138 \h </w:instrText>
        </w:r>
        <w:r w:rsidR="008A0B11">
          <w:rPr>
            <w:noProof/>
            <w:webHidden/>
          </w:rPr>
        </w:r>
        <w:r w:rsidR="008A0B11">
          <w:rPr>
            <w:noProof/>
            <w:webHidden/>
          </w:rPr>
          <w:fldChar w:fldCharType="separate"/>
        </w:r>
        <w:r w:rsidR="00023728">
          <w:rPr>
            <w:noProof/>
            <w:webHidden/>
          </w:rPr>
          <w:t>103</w:t>
        </w:r>
        <w:r w:rsidR="008A0B11">
          <w:rPr>
            <w:noProof/>
            <w:webHidden/>
          </w:rPr>
          <w:fldChar w:fldCharType="end"/>
        </w:r>
      </w:hyperlink>
    </w:p>
    <w:p w14:paraId="74ADB72F" w14:textId="5D2CA0B6"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39" w:history="1">
        <w:r w:rsidR="008A0B11" w:rsidRPr="00F53E43">
          <w:rPr>
            <w:rStyle w:val="Hyperlink"/>
            <w:noProof/>
          </w:rPr>
          <w:t>2.2</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Budgeted expenses and performance for Outcome 1</w:t>
        </w:r>
        <w:r w:rsidR="008A0B11">
          <w:rPr>
            <w:noProof/>
            <w:webHidden/>
          </w:rPr>
          <w:tab/>
        </w:r>
        <w:r w:rsidR="008A0B11">
          <w:rPr>
            <w:noProof/>
            <w:webHidden/>
          </w:rPr>
          <w:fldChar w:fldCharType="begin"/>
        </w:r>
        <w:r w:rsidR="008A0B11">
          <w:rPr>
            <w:noProof/>
            <w:webHidden/>
          </w:rPr>
          <w:instrText xml:space="preserve"> PAGEREF _Toc157706139 \h </w:instrText>
        </w:r>
        <w:r w:rsidR="008A0B11">
          <w:rPr>
            <w:noProof/>
            <w:webHidden/>
          </w:rPr>
        </w:r>
        <w:r w:rsidR="008A0B11">
          <w:rPr>
            <w:noProof/>
            <w:webHidden/>
          </w:rPr>
          <w:fldChar w:fldCharType="separate"/>
        </w:r>
        <w:r w:rsidR="00023728">
          <w:rPr>
            <w:noProof/>
            <w:webHidden/>
          </w:rPr>
          <w:t>103</w:t>
        </w:r>
        <w:r w:rsidR="008A0B11">
          <w:rPr>
            <w:noProof/>
            <w:webHidden/>
          </w:rPr>
          <w:fldChar w:fldCharType="end"/>
        </w:r>
      </w:hyperlink>
    </w:p>
    <w:p w14:paraId="4759727F" w14:textId="66FB9203" w:rsidR="008A0B11" w:rsidRDefault="00000000">
      <w:pPr>
        <w:pStyle w:val="TOC1"/>
        <w:rPr>
          <w:rFonts w:asciiTheme="minorHAnsi" w:eastAsiaTheme="minorEastAsia" w:hAnsiTheme="minorHAnsi" w:cstheme="minorBidi"/>
          <w:b w:val="0"/>
          <w:noProof/>
          <w:kern w:val="2"/>
          <w:sz w:val="22"/>
          <w:szCs w:val="22"/>
          <w14:ligatures w14:val="standardContextual"/>
        </w:rPr>
      </w:pPr>
      <w:hyperlink w:anchor="_Toc157706140" w:history="1">
        <w:r w:rsidR="008A0B11" w:rsidRPr="00F53E43">
          <w:rPr>
            <w:rStyle w:val="Hyperlink"/>
            <w:noProof/>
          </w:rPr>
          <w:t>Section 3: Special account flows and budgeted financial statements</w:t>
        </w:r>
        <w:r w:rsidR="008A0B11">
          <w:rPr>
            <w:noProof/>
            <w:webHidden/>
          </w:rPr>
          <w:tab/>
        </w:r>
        <w:r w:rsidR="008A0B11">
          <w:rPr>
            <w:noProof/>
            <w:webHidden/>
          </w:rPr>
          <w:fldChar w:fldCharType="begin"/>
        </w:r>
        <w:r w:rsidR="008A0B11">
          <w:rPr>
            <w:noProof/>
            <w:webHidden/>
          </w:rPr>
          <w:instrText xml:space="preserve"> PAGEREF _Toc157706140 \h </w:instrText>
        </w:r>
        <w:r w:rsidR="008A0B11">
          <w:rPr>
            <w:noProof/>
            <w:webHidden/>
          </w:rPr>
        </w:r>
        <w:r w:rsidR="008A0B11">
          <w:rPr>
            <w:noProof/>
            <w:webHidden/>
          </w:rPr>
          <w:fldChar w:fldCharType="separate"/>
        </w:r>
        <w:r w:rsidR="00023728">
          <w:rPr>
            <w:noProof/>
            <w:webHidden/>
          </w:rPr>
          <w:t>106</w:t>
        </w:r>
        <w:r w:rsidR="008A0B11">
          <w:rPr>
            <w:noProof/>
            <w:webHidden/>
          </w:rPr>
          <w:fldChar w:fldCharType="end"/>
        </w:r>
      </w:hyperlink>
    </w:p>
    <w:p w14:paraId="4D8A45AE" w14:textId="6E0F8972"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41" w:history="1">
        <w:r w:rsidR="008A0B11" w:rsidRPr="00F53E43">
          <w:rPr>
            <w:rStyle w:val="Hyperlink"/>
            <w:noProof/>
          </w:rPr>
          <w:t>3.1</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Special account flows and balances</w:t>
        </w:r>
        <w:r w:rsidR="008A0B11">
          <w:rPr>
            <w:noProof/>
            <w:webHidden/>
          </w:rPr>
          <w:tab/>
        </w:r>
        <w:r w:rsidR="008A0B11">
          <w:rPr>
            <w:noProof/>
            <w:webHidden/>
          </w:rPr>
          <w:fldChar w:fldCharType="begin"/>
        </w:r>
        <w:r w:rsidR="008A0B11">
          <w:rPr>
            <w:noProof/>
            <w:webHidden/>
          </w:rPr>
          <w:instrText xml:space="preserve"> PAGEREF _Toc157706141 \h </w:instrText>
        </w:r>
        <w:r w:rsidR="008A0B11">
          <w:rPr>
            <w:noProof/>
            <w:webHidden/>
          </w:rPr>
        </w:r>
        <w:r w:rsidR="008A0B11">
          <w:rPr>
            <w:noProof/>
            <w:webHidden/>
          </w:rPr>
          <w:fldChar w:fldCharType="separate"/>
        </w:r>
        <w:r w:rsidR="00023728">
          <w:rPr>
            <w:noProof/>
            <w:webHidden/>
          </w:rPr>
          <w:t>106</w:t>
        </w:r>
        <w:r w:rsidR="008A0B11">
          <w:rPr>
            <w:noProof/>
            <w:webHidden/>
          </w:rPr>
          <w:fldChar w:fldCharType="end"/>
        </w:r>
      </w:hyperlink>
    </w:p>
    <w:p w14:paraId="4CA0125B" w14:textId="0648488F" w:rsidR="008A0B11" w:rsidRDefault="00000000">
      <w:pPr>
        <w:pStyle w:val="TOC2"/>
        <w:rPr>
          <w:rFonts w:asciiTheme="minorHAnsi" w:eastAsiaTheme="minorEastAsia" w:hAnsiTheme="minorHAnsi" w:cstheme="minorBidi"/>
          <w:noProof/>
          <w:kern w:val="2"/>
          <w:sz w:val="22"/>
          <w:szCs w:val="22"/>
          <w14:ligatures w14:val="standardContextual"/>
        </w:rPr>
      </w:pPr>
      <w:hyperlink w:anchor="_Toc157706142" w:history="1">
        <w:r w:rsidR="008A0B11" w:rsidRPr="00F53E43">
          <w:rPr>
            <w:rStyle w:val="Hyperlink"/>
            <w:noProof/>
          </w:rPr>
          <w:t>3.2</w:t>
        </w:r>
        <w:r w:rsidR="008A0B11">
          <w:rPr>
            <w:rFonts w:asciiTheme="minorHAnsi" w:eastAsiaTheme="minorEastAsia" w:hAnsiTheme="minorHAnsi" w:cstheme="minorBidi"/>
            <w:noProof/>
            <w:kern w:val="2"/>
            <w:sz w:val="22"/>
            <w:szCs w:val="22"/>
            <w14:ligatures w14:val="standardContextual"/>
          </w:rPr>
          <w:tab/>
        </w:r>
        <w:r w:rsidR="008A0B11" w:rsidRPr="00F53E43">
          <w:rPr>
            <w:rStyle w:val="Hyperlink"/>
            <w:noProof/>
          </w:rPr>
          <w:t>Budgeted financial statements</w:t>
        </w:r>
        <w:r w:rsidR="008A0B11">
          <w:rPr>
            <w:noProof/>
            <w:webHidden/>
          </w:rPr>
          <w:tab/>
        </w:r>
        <w:r w:rsidR="008A0B11">
          <w:rPr>
            <w:noProof/>
            <w:webHidden/>
          </w:rPr>
          <w:fldChar w:fldCharType="begin"/>
        </w:r>
        <w:r w:rsidR="008A0B11">
          <w:rPr>
            <w:noProof/>
            <w:webHidden/>
          </w:rPr>
          <w:instrText xml:space="preserve"> PAGEREF _Toc157706142 \h </w:instrText>
        </w:r>
        <w:r w:rsidR="008A0B11">
          <w:rPr>
            <w:noProof/>
            <w:webHidden/>
          </w:rPr>
        </w:r>
        <w:r w:rsidR="008A0B11">
          <w:rPr>
            <w:noProof/>
            <w:webHidden/>
          </w:rPr>
          <w:fldChar w:fldCharType="separate"/>
        </w:r>
        <w:r w:rsidR="00023728">
          <w:rPr>
            <w:noProof/>
            <w:webHidden/>
          </w:rPr>
          <w:t>106</w:t>
        </w:r>
        <w:r w:rsidR="008A0B11">
          <w:rPr>
            <w:noProof/>
            <w:webHidden/>
          </w:rPr>
          <w:fldChar w:fldCharType="end"/>
        </w:r>
      </w:hyperlink>
    </w:p>
    <w:p w14:paraId="678CBB7B" w14:textId="33ED0759" w:rsidR="000B2B7D" w:rsidRDefault="000B2B7D" w:rsidP="000B2B7D">
      <w:pPr>
        <w:spacing w:before="0" w:after="0" w:line="240" w:lineRule="auto"/>
        <w:rPr>
          <w:snapToGrid w:val="0"/>
        </w:rPr>
      </w:pPr>
      <w:r>
        <w:fldChar w:fldCharType="end"/>
      </w:r>
    </w:p>
    <w:p w14:paraId="622FB203" w14:textId="77777777" w:rsidR="000B2B7D" w:rsidRDefault="000B2B7D" w:rsidP="00186290">
      <w:pPr>
        <w:spacing w:before="0" w:after="0" w:line="240" w:lineRule="auto"/>
      </w:pPr>
    </w:p>
    <w:p w14:paraId="6C573566" w14:textId="77777777" w:rsidR="000B2B7D" w:rsidRDefault="000B2B7D" w:rsidP="00186290">
      <w:pPr>
        <w:spacing w:before="0" w:after="0" w:line="240" w:lineRule="auto"/>
      </w:pPr>
    </w:p>
    <w:p w14:paraId="2FD94587" w14:textId="77777777" w:rsidR="0050190C" w:rsidRDefault="00186290" w:rsidP="00186290">
      <w:pPr>
        <w:spacing w:before="0" w:after="0" w:line="240" w:lineRule="auto"/>
        <w:sectPr w:rsidR="0050190C" w:rsidSect="00F0624A">
          <w:footerReference w:type="first" r:id="rId149"/>
          <w:pgSz w:w="11907" w:h="16840" w:code="9"/>
          <w:pgMar w:top="2835" w:right="2098" w:bottom="2466" w:left="2098" w:header="1814" w:footer="1814" w:gutter="0"/>
          <w:cols w:space="708"/>
          <w:titlePg/>
          <w:docGrid w:linePitch="360"/>
        </w:sectPr>
      </w:pPr>
      <w:r>
        <w:br w:type="page"/>
      </w:r>
    </w:p>
    <w:p w14:paraId="0CA33F3E" w14:textId="77777777" w:rsidR="0050190C" w:rsidRDefault="0050190C" w:rsidP="00186290">
      <w:pPr>
        <w:spacing w:before="0" w:after="0" w:line="240" w:lineRule="auto"/>
        <w:sectPr w:rsidR="0050190C" w:rsidSect="00F0624A">
          <w:footerReference w:type="first" r:id="rId150"/>
          <w:pgSz w:w="11907" w:h="16840" w:code="9"/>
          <w:pgMar w:top="2835" w:right="2098" w:bottom="2466" w:left="2098" w:header="1814" w:footer="1814" w:gutter="0"/>
          <w:cols w:space="708"/>
          <w:titlePg/>
          <w:docGrid w:linePitch="360"/>
        </w:sectPr>
      </w:pPr>
    </w:p>
    <w:p w14:paraId="69FC5CB0" w14:textId="77777777" w:rsidR="00186290" w:rsidRDefault="00186290" w:rsidP="00733802">
      <w:pPr>
        <w:pStyle w:val="Heading1-LVL2"/>
      </w:pPr>
      <w:bookmarkStart w:id="981" w:name="_Toc156395081"/>
      <w:bookmarkStart w:id="982" w:name="_Toc157375121"/>
      <w:bookmarkStart w:id="983" w:name="_Toc157445273"/>
      <w:r w:rsidRPr="00D32AD8">
        <w:lastRenderedPageBreak/>
        <w:t>Independent Parliamentary Expenses Authority</w:t>
      </w:r>
      <w:bookmarkEnd w:id="981"/>
      <w:bookmarkEnd w:id="982"/>
      <w:bookmarkEnd w:id="983"/>
    </w:p>
    <w:p w14:paraId="117CCAA5" w14:textId="77777777" w:rsidR="00186290" w:rsidRPr="00033B4A" w:rsidRDefault="00186290" w:rsidP="00186290">
      <w:pPr>
        <w:pStyle w:val="Heading2-TOC"/>
        <w:rPr>
          <w:rFonts w:ascii="Arial Bold" w:hAnsi="Arial Bold"/>
          <w:kern w:val="34"/>
          <w:szCs w:val="30"/>
        </w:rPr>
      </w:pPr>
      <w:bookmarkStart w:id="984" w:name="_Toc156395082"/>
      <w:bookmarkStart w:id="985" w:name="_Toc157375122"/>
      <w:bookmarkStart w:id="986" w:name="_Toc157411279"/>
      <w:bookmarkStart w:id="987" w:name="_Toc157412214"/>
      <w:bookmarkStart w:id="988" w:name="_Toc157445396"/>
      <w:bookmarkStart w:id="989" w:name="_Toc157445550"/>
      <w:bookmarkStart w:id="990" w:name="_Toc157497364"/>
      <w:bookmarkStart w:id="991" w:name="_Toc157613750"/>
      <w:bookmarkStart w:id="992" w:name="_Toc157614047"/>
      <w:bookmarkStart w:id="993" w:name="_Toc157618262"/>
      <w:bookmarkStart w:id="994" w:name="_Toc157618407"/>
      <w:bookmarkStart w:id="995" w:name="_Toc157618797"/>
      <w:bookmarkStart w:id="996" w:name="_Toc157697133"/>
      <w:bookmarkStart w:id="997" w:name="_Toc157705415"/>
      <w:bookmarkStart w:id="998" w:name="_Toc157705473"/>
      <w:bookmarkStart w:id="999" w:name="_Toc157705716"/>
      <w:bookmarkStart w:id="1000" w:name="_Toc157705766"/>
      <w:bookmarkStart w:id="1001" w:name="_Toc157706131"/>
      <w:r w:rsidRPr="00033B4A">
        <w:rPr>
          <w:rFonts w:ascii="Arial Bold" w:hAnsi="Arial Bold"/>
          <w:kern w:val="34"/>
          <w:szCs w:val="30"/>
        </w:rPr>
        <w:t>Section 1: Entity overview and resources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7B76D555" w14:textId="77777777" w:rsidR="00186290" w:rsidRPr="002322E9" w:rsidRDefault="00186290" w:rsidP="00186290">
      <w:pPr>
        <w:pStyle w:val="Heading3"/>
      </w:pPr>
      <w:bookmarkStart w:id="1002" w:name="_Toc156395083"/>
      <w:bookmarkStart w:id="1003" w:name="_Toc157375123"/>
      <w:bookmarkStart w:id="1004" w:name="_Toc157411280"/>
      <w:bookmarkStart w:id="1005" w:name="_Toc157412215"/>
      <w:bookmarkStart w:id="1006" w:name="_Toc157445397"/>
      <w:bookmarkStart w:id="1007" w:name="_Toc157445551"/>
      <w:bookmarkStart w:id="1008" w:name="_Toc157497365"/>
      <w:bookmarkStart w:id="1009" w:name="_Toc157613751"/>
      <w:bookmarkStart w:id="1010" w:name="_Toc157614048"/>
      <w:bookmarkStart w:id="1011" w:name="_Toc157618263"/>
      <w:bookmarkStart w:id="1012" w:name="_Toc157618408"/>
      <w:bookmarkStart w:id="1013" w:name="_Toc157618798"/>
      <w:bookmarkStart w:id="1014" w:name="_Toc157697134"/>
      <w:bookmarkStart w:id="1015" w:name="_Toc157705416"/>
      <w:bookmarkStart w:id="1016" w:name="_Toc157705474"/>
      <w:bookmarkStart w:id="1017" w:name="_Toc157705717"/>
      <w:bookmarkStart w:id="1018" w:name="_Toc157705767"/>
      <w:bookmarkStart w:id="1019" w:name="_Toc157706132"/>
      <w:r>
        <w:t>1.1</w:t>
      </w:r>
      <w:r>
        <w:tab/>
      </w:r>
      <w:r w:rsidRPr="004928FF">
        <w:t>Strategic direction</w:t>
      </w:r>
      <w:r>
        <w:t xml:space="preserve"> statement</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18E32354" w14:textId="77777777" w:rsidR="00186290" w:rsidRPr="005D6251" w:rsidRDefault="00186290" w:rsidP="00186290">
      <w:r w:rsidRPr="008F3CBF">
        <w:t>No changes have occurred that impact on the Independent Parliamentary Expenses Authority’s (IPE</w:t>
      </w:r>
      <w:r>
        <w:t>A</w:t>
      </w:r>
      <w:r w:rsidRPr="008F3CBF">
        <w:t xml:space="preserve">’s) </w:t>
      </w:r>
      <w:r>
        <w:t>Strategic Direction since the issue of the 202</w:t>
      </w:r>
      <w:r w:rsidRPr="005D6251">
        <w:t>3</w:t>
      </w:r>
      <w:r>
        <w:t>-2</w:t>
      </w:r>
      <w:r w:rsidRPr="005D6251">
        <w:t>4</w:t>
      </w:r>
      <w:r>
        <w:t xml:space="preserve"> Portfolio Budget Statements. </w:t>
      </w:r>
    </w:p>
    <w:p w14:paraId="5CCF1452" w14:textId="77777777" w:rsidR="00186290" w:rsidRPr="004928FF" w:rsidRDefault="00186290" w:rsidP="00186290">
      <w:pPr>
        <w:pStyle w:val="Heading3"/>
      </w:pPr>
      <w:bookmarkStart w:id="1020" w:name="_Toc58516304"/>
      <w:bookmarkStart w:id="1021" w:name="_Toc156395084"/>
      <w:bookmarkStart w:id="1022" w:name="_Toc157375124"/>
      <w:bookmarkStart w:id="1023" w:name="_Toc157411281"/>
      <w:bookmarkStart w:id="1024" w:name="_Toc157412216"/>
      <w:bookmarkStart w:id="1025" w:name="_Toc157445398"/>
      <w:bookmarkStart w:id="1026" w:name="_Toc157445552"/>
      <w:bookmarkStart w:id="1027" w:name="_Toc157497366"/>
      <w:bookmarkStart w:id="1028" w:name="_Toc157613752"/>
      <w:bookmarkStart w:id="1029" w:name="_Toc157614049"/>
      <w:bookmarkStart w:id="1030" w:name="_Toc157618264"/>
      <w:bookmarkStart w:id="1031" w:name="_Toc157618409"/>
      <w:bookmarkStart w:id="1032" w:name="_Toc157618799"/>
      <w:bookmarkStart w:id="1033" w:name="_Toc157697135"/>
      <w:bookmarkStart w:id="1034" w:name="_Toc157705417"/>
      <w:bookmarkStart w:id="1035" w:name="_Toc157705475"/>
      <w:bookmarkStart w:id="1036" w:name="_Toc157705718"/>
      <w:bookmarkStart w:id="1037" w:name="_Toc157705768"/>
      <w:bookmarkStart w:id="1038" w:name="_Toc157706133"/>
      <w:r>
        <w:t>1.2</w:t>
      </w:r>
      <w:r>
        <w:tab/>
        <w:t>Entity resource statement</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0F4B8095" w14:textId="1FFA7C4B" w:rsidR="00186290" w:rsidRPr="00557CCF" w:rsidRDefault="00186290" w:rsidP="00186290">
      <w:r>
        <w:t xml:space="preserve">The Entity Resource Statement details the resourcing for IPEA at Additional Estimates. Table 1.1 outlines the total resourcing available from all sources for the 2023-24 Budget year, including variations through </w:t>
      </w:r>
      <w:r w:rsidRPr="00B94BE6">
        <w:t>Appropriation Bill No. 3</w:t>
      </w:r>
      <w:r>
        <w:t xml:space="preserve">. </w:t>
      </w:r>
    </w:p>
    <w:p w14:paraId="5E909218" w14:textId="77777777" w:rsidR="00186290" w:rsidRDefault="00186290" w:rsidP="00186290">
      <w:pPr>
        <w:spacing w:before="0" w:after="0" w:line="240" w:lineRule="auto"/>
      </w:pPr>
      <w:r>
        <w:br w:type="page"/>
      </w:r>
    </w:p>
    <w:p w14:paraId="6B4184DF" w14:textId="77777777" w:rsidR="00186290" w:rsidRDefault="00186290" w:rsidP="00186290">
      <w:pPr>
        <w:pStyle w:val="TableHeading"/>
      </w:pPr>
      <w:r w:rsidRPr="00564C0F">
        <w:lastRenderedPageBreak/>
        <w:t xml:space="preserve">Table 1.1: </w:t>
      </w:r>
      <w:r>
        <w:t>Independent Parliamentary Expenses Authority</w:t>
      </w:r>
      <w:r w:rsidRPr="00564C0F">
        <w:t xml:space="preserve"> resource statement — Additional Estimates for </w:t>
      </w:r>
      <w:r>
        <w:t xml:space="preserve">2023-24 </w:t>
      </w:r>
      <w:r w:rsidRPr="00564C0F">
        <w:t xml:space="preserve">as at </w:t>
      </w:r>
      <w:r w:rsidRPr="000D6DEF">
        <w:t xml:space="preserve">February </w:t>
      </w:r>
      <w:r>
        <w:t>2024</w:t>
      </w:r>
    </w:p>
    <w:p w14:paraId="4B935D44" w14:textId="180580AB" w:rsidR="00186290" w:rsidRDefault="0071722D" w:rsidP="00186290">
      <w:pPr>
        <w:spacing w:before="0" w:after="0" w:line="240" w:lineRule="auto"/>
      </w:pPr>
      <w:r w:rsidRPr="0071722D">
        <w:rPr>
          <w:noProof/>
        </w:rPr>
        <w:drawing>
          <wp:inline distT="0" distB="0" distL="0" distR="0" wp14:anchorId="56164923" wp14:editId="1A24DDF1">
            <wp:extent cx="4896485" cy="3507740"/>
            <wp:effectExtent l="0" t="0" r="0" b="0"/>
            <wp:docPr id="19667974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896485" cy="3507740"/>
                    </a:xfrm>
                    <a:prstGeom prst="rect">
                      <a:avLst/>
                    </a:prstGeom>
                    <a:noFill/>
                    <a:ln>
                      <a:noFill/>
                    </a:ln>
                  </pic:spPr>
                </pic:pic>
              </a:graphicData>
            </a:graphic>
          </wp:inline>
        </w:drawing>
      </w:r>
    </w:p>
    <w:p w14:paraId="6F6DD616" w14:textId="77777777" w:rsidR="00186290" w:rsidRPr="00185D7A" w:rsidRDefault="00186290" w:rsidP="006C0A13">
      <w:pPr>
        <w:pStyle w:val="Source"/>
        <w:spacing w:after="120"/>
        <w:contextualSpacing/>
      </w:pPr>
      <w:r w:rsidRPr="00185D7A">
        <w:t>Prepared on a resourcing (i.e. appropriations available) basis.</w:t>
      </w:r>
    </w:p>
    <w:p w14:paraId="63BB08C5" w14:textId="77777777" w:rsidR="00186290" w:rsidRPr="00185D7A" w:rsidRDefault="00186290" w:rsidP="00186290">
      <w:pPr>
        <w:pStyle w:val="Source"/>
        <w:spacing w:before="0"/>
        <w:contextualSpacing/>
      </w:pPr>
      <w:r w:rsidRPr="00185D7A">
        <w:t>All figures shown above are GST exclusive – these may not match figures in the cash flow statement.</w:t>
      </w:r>
    </w:p>
    <w:p w14:paraId="194C544C" w14:textId="44075CAB" w:rsidR="00186290" w:rsidRPr="009C33E9" w:rsidRDefault="00186290" w:rsidP="00503E20">
      <w:pPr>
        <w:pStyle w:val="ChartandTableFootnoteAlpha"/>
        <w:numPr>
          <w:ilvl w:val="0"/>
          <w:numId w:val="9"/>
        </w:numPr>
      </w:pPr>
      <w:r w:rsidRPr="00185D7A">
        <w:rPr>
          <w:i/>
        </w:rPr>
        <w:t xml:space="preserve">Appropriation Act (No. 1) 2023–2024 </w:t>
      </w:r>
      <w:r w:rsidRPr="00185D7A">
        <w:t>and Appropriation Bill (No. 3) 2023–2024</w:t>
      </w:r>
      <w:r w:rsidRPr="00185D7A">
        <w:rPr>
          <w:i/>
        </w:rPr>
        <w:t>.</w:t>
      </w:r>
      <w:r w:rsidRPr="00185D7A">
        <w:rPr>
          <w:iCs/>
        </w:rPr>
        <w:t xml:space="preserve"> Actual Available</w:t>
      </w:r>
      <w:r>
        <w:rPr>
          <w:iCs/>
        </w:rPr>
        <w:t xml:space="preserve"> Appropriation column</w:t>
      </w:r>
      <w:r w:rsidRPr="00FC17C5">
        <w:rPr>
          <w:iCs/>
        </w:rPr>
        <w:t xml:space="preserve"> </w:t>
      </w:r>
      <w:r w:rsidRPr="007A5FF1">
        <w:rPr>
          <w:iCs/>
        </w:rPr>
        <w:t>reflect</w:t>
      </w:r>
      <w:r>
        <w:rPr>
          <w:iCs/>
        </w:rPr>
        <w:t>s</w:t>
      </w:r>
      <w:r w:rsidRPr="007A5FF1">
        <w:rPr>
          <w:iCs/>
        </w:rPr>
        <w:t xml:space="preserve"> the closing unspent appropriation balance from the </w:t>
      </w:r>
      <w:r w:rsidR="006C0A13">
        <w:rPr>
          <w:iCs/>
        </w:rPr>
        <w:t>IPEA</w:t>
      </w:r>
      <w:r w:rsidRPr="007A5FF1">
        <w:rPr>
          <w:iCs/>
        </w:rPr>
        <w:t>’s 2022</w:t>
      </w:r>
      <w:r>
        <w:rPr>
          <w:iCs/>
        </w:rPr>
        <w:t>–</w:t>
      </w:r>
      <w:r w:rsidRPr="007A5FF1">
        <w:rPr>
          <w:iCs/>
        </w:rPr>
        <w:t>23 annual report</w:t>
      </w:r>
      <w:r>
        <w:rPr>
          <w:iCs/>
        </w:rPr>
        <w:t xml:space="preserve"> and encompasses </w:t>
      </w:r>
      <w:r w:rsidRPr="00D948BC">
        <w:rPr>
          <w:i/>
        </w:rPr>
        <w:t xml:space="preserve">Appropriation Act (No. 1) </w:t>
      </w:r>
      <w:r>
        <w:rPr>
          <w:i/>
        </w:rPr>
        <w:t>2022–2023, Supply Act (No.</w:t>
      </w:r>
      <w:r w:rsidR="00B67BD7">
        <w:rPr>
          <w:i/>
        </w:rPr>
        <w:t xml:space="preserve"> </w:t>
      </w:r>
      <w:r>
        <w:rPr>
          <w:i/>
        </w:rPr>
        <w:t>1) 2022–2023, Supply Act (No.</w:t>
      </w:r>
      <w:r w:rsidR="00B67BD7">
        <w:rPr>
          <w:i/>
        </w:rPr>
        <w:t xml:space="preserve"> </w:t>
      </w:r>
      <w:r>
        <w:rPr>
          <w:i/>
        </w:rPr>
        <w:t>3) 2022–2023 and Appropriation Act (No. 3) 2022–2023.</w:t>
      </w:r>
    </w:p>
    <w:p w14:paraId="204A9C36" w14:textId="77777777" w:rsidR="00186290" w:rsidRDefault="00186290" w:rsidP="00186290">
      <w:pPr>
        <w:spacing w:before="0" w:after="0" w:line="240" w:lineRule="auto"/>
      </w:pPr>
      <w:r>
        <w:br w:type="page"/>
      </w:r>
    </w:p>
    <w:p w14:paraId="69578AB9" w14:textId="77777777" w:rsidR="00186290" w:rsidRDefault="00186290" w:rsidP="00186290">
      <w:pPr>
        <w:pStyle w:val="Heading3"/>
      </w:pPr>
      <w:bookmarkStart w:id="1039" w:name="_Toc58516305"/>
      <w:bookmarkStart w:id="1040" w:name="_Toc156395085"/>
      <w:bookmarkStart w:id="1041" w:name="_Toc157375125"/>
      <w:bookmarkStart w:id="1042" w:name="_Toc157411282"/>
      <w:bookmarkStart w:id="1043" w:name="_Toc157412217"/>
      <w:bookmarkStart w:id="1044" w:name="_Toc157445399"/>
      <w:bookmarkStart w:id="1045" w:name="_Toc157445553"/>
      <w:bookmarkStart w:id="1046" w:name="_Toc157497367"/>
      <w:bookmarkStart w:id="1047" w:name="_Toc157613753"/>
      <w:bookmarkStart w:id="1048" w:name="_Toc157614050"/>
      <w:bookmarkStart w:id="1049" w:name="_Toc157618265"/>
      <w:bookmarkStart w:id="1050" w:name="_Toc157618410"/>
      <w:bookmarkStart w:id="1051" w:name="_Toc157618800"/>
      <w:bookmarkStart w:id="1052" w:name="_Toc157697136"/>
      <w:bookmarkStart w:id="1053" w:name="_Toc157705418"/>
      <w:bookmarkStart w:id="1054" w:name="_Toc157705476"/>
      <w:bookmarkStart w:id="1055" w:name="_Toc157705719"/>
      <w:bookmarkStart w:id="1056" w:name="_Toc157705769"/>
      <w:bookmarkStart w:id="1057" w:name="_Toc157706134"/>
      <w:r>
        <w:lastRenderedPageBreak/>
        <w:t>1.3</w:t>
      </w:r>
      <w:r>
        <w:tab/>
        <w:t>Entity measures</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7D61486D" w14:textId="77777777" w:rsidR="00BB4AAA" w:rsidRPr="00BB4AAA" w:rsidRDefault="00BB4AAA" w:rsidP="00BB4AAA"/>
    <w:p w14:paraId="7BD1BC08" w14:textId="70585A18" w:rsidR="007752E3" w:rsidRDefault="007752E3" w:rsidP="007752E3">
      <w:pPr>
        <w:pStyle w:val="TableHeading"/>
      </w:pPr>
      <w:r w:rsidRPr="00486E77">
        <w:t xml:space="preserve">Table 1.2: </w:t>
      </w:r>
      <w:r w:rsidR="00BB4AAA">
        <w:t>Independent Parliamentary Expenses Authority</w:t>
      </w:r>
      <w:r w:rsidRPr="00486E77">
        <w:t xml:space="preserve"> </w:t>
      </w:r>
      <w:r>
        <w:t>2023–24</w:t>
      </w:r>
      <w:r w:rsidRPr="00486E77">
        <w:t xml:space="preserve"> measures since </w:t>
      </w:r>
      <w:r>
        <w:t xml:space="preserve">the </w:t>
      </w:r>
      <w:r w:rsidRPr="00486E77">
        <w:t>Budget</w:t>
      </w:r>
    </w:p>
    <w:p w14:paraId="5E71C381" w14:textId="77777777" w:rsidR="00186290" w:rsidRPr="00486E77" w:rsidRDefault="00186290" w:rsidP="00186290">
      <w:r>
        <w:t xml:space="preserve">IPEA had no new measures since the 2023-24 Portfolio Budget Statements. </w:t>
      </w:r>
    </w:p>
    <w:p w14:paraId="4D662612" w14:textId="77777777" w:rsidR="00186290" w:rsidRDefault="00186290" w:rsidP="00186290">
      <w:pPr>
        <w:pStyle w:val="Heading3"/>
        <w:ind w:left="567" w:hanging="567"/>
      </w:pPr>
      <w:bookmarkStart w:id="1058" w:name="_Toc58516306"/>
    </w:p>
    <w:p w14:paraId="62CF6431" w14:textId="77777777" w:rsidR="00186290" w:rsidRPr="001E1BB6" w:rsidRDefault="00186290" w:rsidP="00186290">
      <w:pPr>
        <w:pStyle w:val="Heading3"/>
        <w:ind w:left="567" w:hanging="567"/>
      </w:pPr>
      <w:bookmarkStart w:id="1059" w:name="_Toc156395086"/>
      <w:bookmarkStart w:id="1060" w:name="_Toc157375126"/>
      <w:bookmarkStart w:id="1061" w:name="_Toc157411283"/>
      <w:bookmarkStart w:id="1062" w:name="_Toc157412218"/>
      <w:bookmarkStart w:id="1063" w:name="_Toc157445400"/>
      <w:bookmarkStart w:id="1064" w:name="_Toc157445554"/>
      <w:bookmarkStart w:id="1065" w:name="_Toc157497368"/>
      <w:bookmarkStart w:id="1066" w:name="_Toc157613754"/>
      <w:bookmarkStart w:id="1067" w:name="_Toc157614051"/>
      <w:bookmarkStart w:id="1068" w:name="_Toc157618266"/>
      <w:bookmarkStart w:id="1069" w:name="_Toc157618411"/>
      <w:bookmarkStart w:id="1070" w:name="_Toc157618801"/>
      <w:bookmarkStart w:id="1071" w:name="_Toc157697137"/>
      <w:bookmarkStart w:id="1072" w:name="_Toc157705419"/>
      <w:bookmarkStart w:id="1073" w:name="_Toc157705477"/>
      <w:bookmarkStart w:id="1074" w:name="_Toc157705720"/>
      <w:bookmarkStart w:id="1075" w:name="_Toc157705770"/>
      <w:bookmarkStart w:id="1076" w:name="_Toc157706135"/>
      <w:r>
        <w:t>1.4</w:t>
      </w:r>
      <w:r>
        <w:tab/>
        <w:t>Additional estimates, resourcing and v</w:t>
      </w:r>
      <w:r w:rsidRPr="00597122">
        <w:t>ariations</w:t>
      </w:r>
      <w:r>
        <w:t xml:space="preserve"> to outcomes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49439BF8" w14:textId="77777777" w:rsidR="00186290" w:rsidRPr="001A75A9" w:rsidRDefault="00186290" w:rsidP="00186290">
      <w:r>
        <w:t xml:space="preserve">The following tables detail the changes to the resourcing for IPEA at Additional Estimates, by outcome. Table 1.3 details the Additional Estimates resulting from </w:t>
      </w:r>
      <w:r w:rsidRPr="00C73746">
        <w:t>new</w:t>
      </w:r>
      <w:r>
        <w:t xml:space="preserve"> measures and other variations since the 2023-24 Budget </w:t>
      </w:r>
      <w:r w:rsidRPr="007223E6">
        <w:rPr>
          <w:iCs/>
        </w:rPr>
        <w:t>in Appropriation Bills Nos. 3 and 4</w:t>
      </w:r>
      <w:r>
        <w:t>.</w:t>
      </w:r>
    </w:p>
    <w:p w14:paraId="41C34FB6" w14:textId="77777777" w:rsidR="00186290" w:rsidRDefault="00186290" w:rsidP="00186290">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2023-24 </w:t>
      </w:r>
      <w:r w:rsidRPr="001A75A9">
        <w:t>Budget</w:t>
      </w:r>
    </w:p>
    <w:p w14:paraId="7CD5D20E" w14:textId="3FB599B0" w:rsidR="00186290" w:rsidRDefault="00560F9E" w:rsidP="00186290">
      <w:pPr>
        <w:spacing w:before="0" w:after="0" w:line="240" w:lineRule="auto"/>
      </w:pPr>
      <w:r w:rsidRPr="00560F9E">
        <w:rPr>
          <w:noProof/>
        </w:rPr>
        <w:drawing>
          <wp:inline distT="0" distB="0" distL="0" distR="0" wp14:anchorId="047022A6" wp14:editId="37175218">
            <wp:extent cx="4896485" cy="1442085"/>
            <wp:effectExtent l="0" t="0" r="0" b="5715"/>
            <wp:docPr id="1776246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896485" cy="1442085"/>
                    </a:xfrm>
                    <a:prstGeom prst="rect">
                      <a:avLst/>
                    </a:prstGeom>
                    <a:noFill/>
                    <a:ln>
                      <a:noFill/>
                    </a:ln>
                  </pic:spPr>
                </pic:pic>
              </a:graphicData>
            </a:graphic>
          </wp:inline>
        </w:drawing>
      </w:r>
    </w:p>
    <w:p w14:paraId="31E8543B" w14:textId="77777777" w:rsidR="00186290" w:rsidRPr="0011103C" w:rsidRDefault="00186290" w:rsidP="007F7AF7">
      <w:pPr>
        <w:spacing w:before="30" w:after="0" w:line="240" w:lineRule="auto"/>
        <w:rPr>
          <w:rFonts w:ascii="Arial" w:hAnsi="Arial" w:cs="Arial"/>
          <w:sz w:val="16"/>
          <w:szCs w:val="16"/>
        </w:rPr>
      </w:pPr>
      <w:r w:rsidRPr="0011103C">
        <w:rPr>
          <w:rFonts w:ascii="Arial" w:hAnsi="Arial" w:cs="Arial"/>
          <w:sz w:val="16"/>
          <w:szCs w:val="16"/>
        </w:rPr>
        <w:t>Prepared on a resourcing (i.e. appropriations available) basis.</w:t>
      </w:r>
      <w:r w:rsidRPr="0011103C">
        <w:rPr>
          <w:rFonts w:ascii="Arial" w:hAnsi="Arial" w:cs="Arial"/>
          <w:sz w:val="16"/>
          <w:szCs w:val="16"/>
        </w:rPr>
        <w:br w:type="page"/>
      </w:r>
    </w:p>
    <w:p w14:paraId="38F419B3" w14:textId="77777777" w:rsidR="00186290" w:rsidRPr="00564C0F" w:rsidRDefault="00186290" w:rsidP="00186290">
      <w:pPr>
        <w:pStyle w:val="Heading3"/>
        <w:ind w:right="-156"/>
      </w:pPr>
      <w:bookmarkStart w:id="1077" w:name="_Toc58516307"/>
      <w:bookmarkStart w:id="1078" w:name="_Toc156395087"/>
      <w:bookmarkStart w:id="1079" w:name="_Toc157375127"/>
      <w:bookmarkStart w:id="1080" w:name="_Toc157411284"/>
      <w:bookmarkStart w:id="1081" w:name="_Toc157412219"/>
      <w:bookmarkStart w:id="1082" w:name="_Toc157445401"/>
      <w:bookmarkStart w:id="1083" w:name="_Toc157445555"/>
      <w:bookmarkStart w:id="1084" w:name="_Toc157497369"/>
      <w:bookmarkStart w:id="1085" w:name="_Toc157613755"/>
      <w:bookmarkStart w:id="1086" w:name="_Toc157614052"/>
      <w:bookmarkStart w:id="1087" w:name="_Toc157618267"/>
      <w:bookmarkStart w:id="1088" w:name="_Toc157618412"/>
      <w:bookmarkStart w:id="1089" w:name="_Toc157618802"/>
      <w:bookmarkStart w:id="1090" w:name="_Toc157697138"/>
      <w:bookmarkStart w:id="1091" w:name="_Toc157705420"/>
      <w:bookmarkStart w:id="1092" w:name="_Toc157705478"/>
      <w:bookmarkStart w:id="1093" w:name="_Toc157705721"/>
      <w:bookmarkStart w:id="1094" w:name="_Toc157705771"/>
      <w:bookmarkStart w:id="1095" w:name="_Toc157706136"/>
      <w:r>
        <w:lastRenderedPageBreak/>
        <w:t>1.5</w:t>
      </w:r>
      <w:r>
        <w:tab/>
      </w:r>
      <w:r w:rsidRPr="00564C0F">
        <w:t>Breakdown of additional estimates by appropriation bill</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078ABFB2" w14:textId="77777777" w:rsidR="00186290" w:rsidRPr="007223E6" w:rsidRDefault="00186290" w:rsidP="00186290">
      <w:pPr>
        <w:rPr>
          <w:iCs/>
        </w:rPr>
      </w:pPr>
      <w:r w:rsidRPr="00564C0F">
        <w:t xml:space="preserve">The following tables detail the Additional Estimates sought for </w:t>
      </w:r>
      <w:r>
        <w:t>IPEA</w:t>
      </w:r>
      <w:r w:rsidRPr="00564C0F">
        <w:t xml:space="preserve"> through </w:t>
      </w:r>
      <w:r w:rsidRPr="007223E6">
        <w:rPr>
          <w:iCs/>
        </w:rPr>
        <w:t>Appropriation Bills Nos. 3 and 4.</w:t>
      </w:r>
    </w:p>
    <w:p w14:paraId="70E8D711" w14:textId="77777777" w:rsidR="00186290" w:rsidRPr="00CD6FA0" w:rsidRDefault="00186290" w:rsidP="00186290">
      <w:pPr>
        <w:pStyle w:val="TableHeading"/>
      </w:pPr>
      <w:r>
        <w:t>Table 1.4</w:t>
      </w:r>
      <w:r w:rsidRPr="00564C0F">
        <w:t xml:space="preserve">: Appropriation Bill (No. 3) </w:t>
      </w:r>
      <w:r>
        <w:t>2023-24</w:t>
      </w:r>
    </w:p>
    <w:p w14:paraId="2F8FAB5A" w14:textId="634C3B6F" w:rsidR="00186290" w:rsidRDefault="009F7339" w:rsidP="00186290">
      <w:pPr>
        <w:spacing w:before="0" w:after="0" w:line="240" w:lineRule="auto"/>
      </w:pPr>
      <w:r w:rsidRPr="009F7339">
        <w:rPr>
          <w:noProof/>
        </w:rPr>
        <w:drawing>
          <wp:inline distT="0" distB="0" distL="0" distR="0" wp14:anchorId="7D2A5DC5" wp14:editId="55635824">
            <wp:extent cx="4896485" cy="2727960"/>
            <wp:effectExtent l="0" t="0" r="0" b="0"/>
            <wp:docPr id="14226638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896485" cy="2727960"/>
                    </a:xfrm>
                    <a:prstGeom prst="rect">
                      <a:avLst/>
                    </a:prstGeom>
                    <a:noFill/>
                    <a:ln>
                      <a:noFill/>
                    </a:ln>
                  </pic:spPr>
                </pic:pic>
              </a:graphicData>
            </a:graphic>
          </wp:inline>
        </w:drawing>
      </w:r>
    </w:p>
    <w:p w14:paraId="35AD5F0F" w14:textId="7868768B" w:rsidR="00186290" w:rsidRPr="00F3690B" w:rsidRDefault="00186290" w:rsidP="00FF7D6C">
      <w:pPr>
        <w:pStyle w:val="TableGraphic"/>
        <w:spacing w:before="30" w:after="120"/>
        <w:rPr>
          <w:rFonts w:ascii="Arial" w:hAnsi="Arial"/>
          <w:i/>
          <w:sz w:val="16"/>
        </w:rPr>
      </w:pPr>
      <w:r w:rsidRPr="0071722D">
        <w:rPr>
          <w:rFonts w:ascii="Arial" w:hAnsi="Arial"/>
          <w:sz w:val="16"/>
        </w:rPr>
        <w:t>Note:</w:t>
      </w:r>
      <w:r w:rsidRPr="00F3690B">
        <w:rPr>
          <w:rFonts w:ascii="Arial" w:hAnsi="Arial"/>
          <w:sz w:val="16"/>
        </w:rPr>
        <w:t xml:space="preserve"> 20</w:t>
      </w:r>
      <w:r>
        <w:rPr>
          <w:rFonts w:ascii="Arial" w:hAnsi="Arial"/>
          <w:sz w:val="16"/>
        </w:rPr>
        <w:t>2</w:t>
      </w:r>
      <w:r w:rsidR="0071722D">
        <w:rPr>
          <w:rFonts w:ascii="Arial" w:hAnsi="Arial"/>
          <w:sz w:val="16"/>
        </w:rPr>
        <w:t>2</w:t>
      </w:r>
      <w:r w:rsidRPr="00F3690B">
        <w:rPr>
          <w:rFonts w:ascii="Arial" w:hAnsi="Arial"/>
          <w:sz w:val="16"/>
        </w:rPr>
        <w:t>-2</w:t>
      </w:r>
      <w:r w:rsidR="0071722D">
        <w:rPr>
          <w:rFonts w:ascii="Arial" w:hAnsi="Arial"/>
          <w:sz w:val="16"/>
        </w:rPr>
        <w:t>3</w:t>
      </w:r>
      <w:r w:rsidRPr="00F3690B">
        <w:rPr>
          <w:rFonts w:ascii="Arial" w:hAnsi="Arial"/>
          <w:sz w:val="16"/>
        </w:rPr>
        <w:t xml:space="preserve"> available appropriation is included to allow a comparison of the year’s appropriation with what was made available for use in the previous year.</w:t>
      </w:r>
    </w:p>
    <w:p w14:paraId="5724813D" w14:textId="77777777" w:rsidR="00186290" w:rsidRDefault="00186290" w:rsidP="00186290">
      <w:pPr>
        <w:spacing w:before="0" w:after="0" w:line="240" w:lineRule="auto"/>
      </w:pPr>
    </w:p>
    <w:p w14:paraId="54E09272" w14:textId="77777777" w:rsidR="00186290" w:rsidRPr="00CD6FA0" w:rsidRDefault="00186290" w:rsidP="00186290">
      <w:pPr>
        <w:pStyle w:val="TableHeading"/>
      </w:pPr>
      <w:r w:rsidRPr="00564C0F">
        <w:t>Table 1.5: Appropriation B</w:t>
      </w:r>
      <w:r>
        <w:t>ill (No. 4</w:t>
      </w:r>
      <w:r w:rsidRPr="00564C0F">
        <w:t xml:space="preserve">) </w:t>
      </w:r>
      <w:r>
        <w:t>2023-24</w:t>
      </w:r>
    </w:p>
    <w:p w14:paraId="465EFFD9" w14:textId="77777777" w:rsidR="00186290" w:rsidRDefault="00186290" w:rsidP="00186290">
      <w:pPr>
        <w:pStyle w:val="TableGraphic"/>
      </w:pPr>
      <w:r w:rsidRPr="00CD6FA0">
        <w:t xml:space="preserve"> </w:t>
      </w:r>
    </w:p>
    <w:p w14:paraId="4589F8E8" w14:textId="7C60F48C" w:rsidR="00186290" w:rsidRDefault="00186290" w:rsidP="00186290">
      <w:pPr>
        <w:pStyle w:val="TableGraphic"/>
      </w:pPr>
      <w:r w:rsidRPr="00F3690B">
        <w:t>IPEA have not sought any Additional Estimates through Appropriation Bill (No.</w:t>
      </w:r>
      <w:r w:rsidR="007223E6">
        <w:t xml:space="preserve"> </w:t>
      </w:r>
      <w:r w:rsidRPr="00F3690B">
        <w:t xml:space="preserve">4) </w:t>
      </w:r>
    </w:p>
    <w:p w14:paraId="591EA449" w14:textId="77777777" w:rsidR="00186290" w:rsidRDefault="00186290" w:rsidP="00186290">
      <w:pPr>
        <w:spacing w:before="0" w:after="0" w:line="240" w:lineRule="auto"/>
      </w:pPr>
      <w:r>
        <w:br w:type="page"/>
      </w:r>
    </w:p>
    <w:p w14:paraId="079173B8" w14:textId="77777777" w:rsidR="00186290" w:rsidRPr="00E41681" w:rsidRDefault="00186290" w:rsidP="00186290">
      <w:pPr>
        <w:pStyle w:val="Heading2-TOC"/>
      </w:pPr>
      <w:bookmarkStart w:id="1096" w:name="_Toc156395088"/>
      <w:bookmarkStart w:id="1097" w:name="_Toc157375128"/>
      <w:bookmarkStart w:id="1098" w:name="_Toc157411285"/>
      <w:bookmarkStart w:id="1099" w:name="_Toc157412220"/>
      <w:bookmarkStart w:id="1100" w:name="_Toc157445402"/>
      <w:bookmarkStart w:id="1101" w:name="_Toc157445556"/>
      <w:bookmarkStart w:id="1102" w:name="_Toc157497370"/>
      <w:bookmarkStart w:id="1103" w:name="_Toc157613756"/>
      <w:bookmarkStart w:id="1104" w:name="_Toc157614053"/>
      <w:bookmarkStart w:id="1105" w:name="_Toc157618268"/>
      <w:bookmarkStart w:id="1106" w:name="_Toc157618413"/>
      <w:bookmarkStart w:id="1107" w:name="_Toc157618803"/>
      <w:bookmarkStart w:id="1108" w:name="_Toc157697139"/>
      <w:bookmarkStart w:id="1109" w:name="_Toc157705421"/>
      <w:bookmarkStart w:id="1110" w:name="_Toc157705479"/>
      <w:bookmarkStart w:id="1111" w:name="_Toc157705722"/>
      <w:bookmarkStart w:id="1112" w:name="_Toc157705772"/>
      <w:bookmarkStart w:id="1113" w:name="_Toc157706137"/>
      <w:r w:rsidRPr="00E41681">
        <w:lastRenderedPageBreak/>
        <w:t>Section 2: Revisions to outcomes and planned performance</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7210FC3C" w14:textId="25D0B021" w:rsidR="00186290" w:rsidRDefault="00186290" w:rsidP="00186290">
      <w:pPr>
        <w:pStyle w:val="Heading3"/>
        <w:ind w:left="708" w:hanging="708"/>
      </w:pPr>
      <w:bookmarkStart w:id="1114" w:name="_Toc156395089"/>
      <w:bookmarkStart w:id="1115" w:name="_Toc157375129"/>
      <w:bookmarkStart w:id="1116" w:name="_Toc157411286"/>
      <w:bookmarkStart w:id="1117" w:name="_Toc157412221"/>
      <w:bookmarkStart w:id="1118" w:name="_Toc157445403"/>
      <w:bookmarkStart w:id="1119" w:name="_Toc157445557"/>
      <w:bookmarkStart w:id="1120" w:name="_Toc157497371"/>
      <w:bookmarkStart w:id="1121" w:name="_Toc157613757"/>
      <w:bookmarkStart w:id="1122" w:name="_Toc157614054"/>
      <w:bookmarkStart w:id="1123" w:name="_Toc157618269"/>
      <w:bookmarkStart w:id="1124" w:name="_Toc157618414"/>
      <w:bookmarkStart w:id="1125" w:name="_Toc157618804"/>
      <w:bookmarkStart w:id="1126" w:name="_Toc157697140"/>
      <w:bookmarkStart w:id="1127" w:name="_Toc157705422"/>
      <w:bookmarkStart w:id="1128" w:name="_Toc157705480"/>
      <w:bookmarkStart w:id="1129" w:name="_Toc157705723"/>
      <w:bookmarkStart w:id="1130" w:name="_Toc157705773"/>
      <w:bookmarkStart w:id="1131" w:name="_Toc157706138"/>
      <w:r>
        <w:t>2</w:t>
      </w:r>
      <w:r w:rsidR="001E0DBC">
        <w:t>.1</w:t>
      </w:r>
      <w:r>
        <w:tab/>
        <w:t>Changes to outcome and program structures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t xml:space="preserve"> </w:t>
      </w:r>
    </w:p>
    <w:p w14:paraId="10A971F3" w14:textId="77777777" w:rsidR="00186290" w:rsidRDefault="00186290" w:rsidP="00186290">
      <w:pPr>
        <w:autoSpaceDE w:val="0"/>
        <w:autoSpaceDN w:val="0"/>
        <w:spacing w:before="0" w:after="0" w:line="240" w:lineRule="auto"/>
        <w:rPr>
          <w:sz w:val="20"/>
        </w:rPr>
      </w:pPr>
      <w:r w:rsidRPr="0000338E">
        <w:rPr>
          <w:sz w:val="20"/>
        </w:rPr>
        <w:t>There has been no change to outcomes or programs since the 202</w:t>
      </w:r>
      <w:r>
        <w:rPr>
          <w:sz w:val="20"/>
        </w:rPr>
        <w:t>3</w:t>
      </w:r>
      <w:r w:rsidRPr="0000338E">
        <w:rPr>
          <w:sz w:val="20"/>
        </w:rPr>
        <w:t>-2</w:t>
      </w:r>
      <w:r>
        <w:rPr>
          <w:sz w:val="20"/>
        </w:rPr>
        <w:t>4</w:t>
      </w:r>
      <w:r w:rsidRPr="0000338E">
        <w:rPr>
          <w:sz w:val="20"/>
        </w:rPr>
        <w:t xml:space="preserve"> Portfolio Budget Statements. </w:t>
      </w:r>
    </w:p>
    <w:p w14:paraId="4F853D56" w14:textId="77777777" w:rsidR="00186290" w:rsidRPr="0000338E" w:rsidRDefault="00186290" w:rsidP="00186290">
      <w:pPr>
        <w:autoSpaceDE w:val="0"/>
        <w:autoSpaceDN w:val="0"/>
        <w:spacing w:before="0" w:after="0" w:line="240" w:lineRule="auto"/>
        <w:rPr>
          <w:sz w:val="20"/>
        </w:rPr>
      </w:pPr>
    </w:p>
    <w:p w14:paraId="458EDFB6" w14:textId="24FA636F" w:rsidR="00186290" w:rsidRDefault="00186290" w:rsidP="00186290">
      <w:pPr>
        <w:pStyle w:val="Heading3"/>
      </w:pPr>
      <w:bookmarkStart w:id="1132" w:name="_Toc156395090"/>
      <w:bookmarkStart w:id="1133" w:name="_Toc157375130"/>
      <w:bookmarkStart w:id="1134" w:name="_Toc157411287"/>
      <w:bookmarkStart w:id="1135" w:name="_Toc157412222"/>
      <w:bookmarkStart w:id="1136" w:name="_Toc157445404"/>
      <w:bookmarkStart w:id="1137" w:name="_Toc157445558"/>
      <w:bookmarkStart w:id="1138" w:name="_Toc157497372"/>
      <w:bookmarkStart w:id="1139" w:name="_Toc157613758"/>
      <w:bookmarkStart w:id="1140" w:name="_Toc157614055"/>
      <w:bookmarkStart w:id="1141" w:name="_Toc157618270"/>
      <w:bookmarkStart w:id="1142" w:name="_Toc157618415"/>
      <w:bookmarkStart w:id="1143" w:name="_Toc157618805"/>
      <w:bookmarkStart w:id="1144" w:name="_Toc157697141"/>
      <w:bookmarkStart w:id="1145" w:name="_Toc157705423"/>
      <w:bookmarkStart w:id="1146" w:name="_Toc157705481"/>
      <w:bookmarkStart w:id="1147" w:name="_Toc157705724"/>
      <w:bookmarkStart w:id="1148" w:name="_Toc157705774"/>
      <w:bookmarkStart w:id="1149" w:name="_Toc157706139"/>
      <w:r>
        <w:t>2.</w:t>
      </w:r>
      <w:r w:rsidR="001E0DBC">
        <w:t>2</w:t>
      </w:r>
      <w:r>
        <w:tab/>
        <w:t>Budgeted expenses and performance for Outcome 1</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89"/>
      </w:tblGrid>
      <w:tr w:rsidR="00186290" w:rsidRPr="00A45CD0" w14:paraId="682E8BA7" w14:textId="77777777" w:rsidTr="00CE4B10">
        <w:trPr>
          <w:trHeight w:val="973"/>
        </w:trPr>
        <w:tc>
          <w:tcPr>
            <w:tcW w:w="7689" w:type="dxa"/>
            <w:shd w:val="clear" w:color="auto" w:fill="E6E6E6"/>
          </w:tcPr>
          <w:p w14:paraId="1529304C" w14:textId="4B981226" w:rsidR="00186290" w:rsidRPr="00A45CD0" w:rsidRDefault="004440D3" w:rsidP="00B82917">
            <w:pPr>
              <w:spacing w:before="60" w:after="60" w:line="260" w:lineRule="exact"/>
              <w:rPr>
                <w:rFonts w:ascii="Arial" w:hAnsi="Arial"/>
                <w:b/>
                <w:color w:val="000000"/>
                <w:sz w:val="16"/>
              </w:rPr>
            </w:pPr>
            <w:r w:rsidRPr="004440D3">
              <w:rPr>
                <w:rFonts w:ascii="Arial" w:hAnsi="Arial"/>
                <w:b/>
                <w:color w:val="000000"/>
                <w:sz w:val="20"/>
              </w:rPr>
              <w:t xml:space="preserve">Outcome 1: Support for current and former </w:t>
            </w:r>
            <w:r w:rsidR="002E091A">
              <w:rPr>
                <w:rFonts w:ascii="Arial" w:hAnsi="Arial"/>
                <w:b/>
                <w:color w:val="000000"/>
                <w:sz w:val="20"/>
              </w:rPr>
              <w:t>P</w:t>
            </w:r>
            <w:r w:rsidRPr="004440D3">
              <w:rPr>
                <w:rFonts w:ascii="Arial" w:hAnsi="Arial"/>
                <w:b/>
                <w:color w:val="000000"/>
                <w:sz w:val="20"/>
              </w:rPr>
              <w:t xml:space="preserve">arliamentarians and others as required by the Australian Government </w:t>
            </w:r>
            <w:r w:rsidRPr="00B82917">
              <w:rPr>
                <w:rFonts w:ascii="Arial Bold" w:hAnsi="Arial Bold"/>
                <w:b/>
                <w:sz w:val="20"/>
              </w:rPr>
              <w:t>through</w:t>
            </w:r>
            <w:r w:rsidRPr="004440D3">
              <w:rPr>
                <w:rFonts w:ascii="Arial" w:hAnsi="Arial"/>
                <w:b/>
                <w:color w:val="000000"/>
                <w:sz w:val="20"/>
              </w:rPr>
              <w:t xml:space="preserve"> the delivery of, independent oversight and advice on, work resources and travel resources.</w:t>
            </w:r>
          </w:p>
        </w:tc>
      </w:tr>
    </w:tbl>
    <w:p w14:paraId="5CB080C6" w14:textId="77777777" w:rsidR="00186290" w:rsidRPr="00A45CD0" w:rsidRDefault="00186290" w:rsidP="00186290">
      <w:pPr>
        <w:spacing w:before="0" w:after="0" w:line="240" w:lineRule="auto"/>
        <w:jc w:val="both"/>
        <w:rPr>
          <w:sz w:val="20"/>
        </w:rPr>
      </w:pPr>
    </w:p>
    <w:p w14:paraId="7A491679" w14:textId="77777777" w:rsidR="00186290" w:rsidRPr="00A45CD0" w:rsidRDefault="00186290" w:rsidP="00186290">
      <w:pPr>
        <w:keepNext/>
        <w:tabs>
          <w:tab w:val="left" w:pos="709"/>
        </w:tabs>
        <w:spacing w:before="120" w:after="120" w:line="240" w:lineRule="auto"/>
        <w:outlineLvl w:val="3"/>
        <w:rPr>
          <w:rFonts w:ascii="Arial" w:hAnsi="Arial"/>
          <w:b/>
          <w:sz w:val="20"/>
          <w:lang w:val="x-none"/>
        </w:rPr>
      </w:pPr>
      <w:r w:rsidRPr="00A45CD0">
        <w:rPr>
          <w:rFonts w:ascii="Arial" w:hAnsi="Arial"/>
          <w:b/>
          <w:sz w:val="22"/>
          <w:szCs w:val="22"/>
          <w:lang w:val="x-none"/>
        </w:rPr>
        <w:t>Linked programs</w:t>
      </w:r>
      <w:r w:rsidRPr="00A45CD0">
        <w:rPr>
          <w:rFonts w:ascii="Arial" w:hAnsi="Arial"/>
          <w:b/>
          <w:sz w:val="20"/>
          <w:lang w:val="x-none"/>
        </w:rPr>
        <w:t xml:space="preserve"> </w:t>
      </w:r>
    </w:p>
    <w:tbl>
      <w:tblPr>
        <w:tblW w:w="7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6"/>
      </w:tblGrid>
      <w:tr w:rsidR="00186290" w:rsidRPr="00A45CD0" w14:paraId="78BDC33D" w14:textId="77777777" w:rsidTr="00CE4B10">
        <w:trPr>
          <w:trHeight w:val="115"/>
          <w:tblHeader/>
        </w:trPr>
        <w:tc>
          <w:tcPr>
            <w:tcW w:w="7726" w:type="dxa"/>
            <w:tcBorders>
              <w:bottom w:val="dotted" w:sz="4" w:space="0" w:color="auto"/>
            </w:tcBorders>
          </w:tcPr>
          <w:p w14:paraId="60F02B66" w14:textId="77777777" w:rsidR="00186290" w:rsidRPr="00A45CD0" w:rsidRDefault="00186290" w:rsidP="004045BB">
            <w:pPr>
              <w:spacing w:before="60" w:after="60" w:line="240" w:lineRule="auto"/>
              <w:rPr>
                <w:i/>
                <w:color w:val="FF0000"/>
                <w:sz w:val="20"/>
              </w:rPr>
            </w:pPr>
            <w:r w:rsidRPr="00A45CD0">
              <w:rPr>
                <w:b/>
                <w:sz w:val="20"/>
              </w:rPr>
              <w:t>Department of Finance</w:t>
            </w:r>
          </w:p>
        </w:tc>
      </w:tr>
      <w:tr w:rsidR="00186290" w:rsidRPr="00A45CD0" w14:paraId="387990B9" w14:textId="77777777" w:rsidTr="00CE4B10">
        <w:trPr>
          <w:trHeight w:val="115"/>
        </w:trPr>
        <w:tc>
          <w:tcPr>
            <w:tcW w:w="7726" w:type="dxa"/>
            <w:tcBorders>
              <w:top w:val="dotted" w:sz="4" w:space="0" w:color="auto"/>
              <w:bottom w:val="single" w:sz="4" w:space="0" w:color="auto"/>
            </w:tcBorders>
          </w:tcPr>
          <w:p w14:paraId="22F7FD8A" w14:textId="77777777" w:rsidR="00186290" w:rsidRPr="00A45CD0" w:rsidRDefault="00186290" w:rsidP="004045BB">
            <w:pPr>
              <w:spacing w:before="60" w:after="60" w:line="240" w:lineRule="auto"/>
              <w:jc w:val="both"/>
              <w:rPr>
                <w:b/>
                <w:sz w:val="20"/>
              </w:rPr>
            </w:pPr>
            <w:r w:rsidRPr="00A45CD0">
              <w:rPr>
                <w:b/>
                <w:sz w:val="20"/>
              </w:rPr>
              <w:t>Programs</w:t>
            </w:r>
          </w:p>
          <w:p w14:paraId="1EC64CB5" w14:textId="77777777" w:rsidR="00186290" w:rsidRPr="00A45CD0" w:rsidRDefault="00186290" w:rsidP="00FC3DFF">
            <w:pPr>
              <w:numPr>
                <w:ilvl w:val="0"/>
                <w:numId w:val="1"/>
              </w:numPr>
              <w:spacing w:before="60" w:after="60" w:line="240" w:lineRule="auto"/>
              <w:ind w:left="714" w:hanging="357"/>
              <w:jc w:val="both"/>
              <w:rPr>
                <w:color w:val="FF0000"/>
                <w:sz w:val="20"/>
              </w:rPr>
            </w:pPr>
            <w:r w:rsidRPr="00A45CD0">
              <w:rPr>
                <w:sz w:val="20"/>
              </w:rPr>
              <w:t>Program 3.1–</w:t>
            </w:r>
            <w:r w:rsidRPr="00A45CD0">
              <w:rPr>
                <w:color w:val="FF0000"/>
                <w:sz w:val="20"/>
              </w:rPr>
              <w:t xml:space="preserve"> </w:t>
            </w:r>
            <w:r w:rsidRPr="00A45CD0">
              <w:rPr>
                <w:sz w:val="20"/>
              </w:rPr>
              <w:t xml:space="preserve">Ministerial and Parliamentary Services </w:t>
            </w:r>
          </w:p>
        </w:tc>
      </w:tr>
      <w:tr w:rsidR="00186290" w:rsidRPr="00A45CD0" w14:paraId="03538A65" w14:textId="77777777" w:rsidTr="00CE4B10">
        <w:trPr>
          <w:trHeight w:val="115"/>
        </w:trPr>
        <w:tc>
          <w:tcPr>
            <w:tcW w:w="7726" w:type="dxa"/>
            <w:tcBorders>
              <w:bottom w:val="single" w:sz="4" w:space="0" w:color="auto"/>
            </w:tcBorders>
          </w:tcPr>
          <w:p w14:paraId="2AB1E24C" w14:textId="77777777" w:rsidR="00186290" w:rsidRPr="00A45CD0" w:rsidRDefault="00186290" w:rsidP="004045BB">
            <w:pPr>
              <w:spacing w:before="60" w:after="60" w:line="240" w:lineRule="auto"/>
              <w:jc w:val="both"/>
              <w:rPr>
                <w:b/>
                <w:sz w:val="20"/>
              </w:rPr>
            </w:pPr>
            <w:r w:rsidRPr="00A45CD0">
              <w:rPr>
                <w:b/>
                <w:sz w:val="20"/>
              </w:rPr>
              <w:t>Contribution to Outcome 1 made by linked programs</w:t>
            </w:r>
          </w:p>
          <w:p w14:paraId="05435654" w14:textId="77777777" w:rsidR="00186290" w:rsidRPr="00A45CD0" w:rsidRDefault="00186290" w:rsidP="004045BB">
            <w:pPr>
              <w:spacing w:before="60" w:after="60" w:line="240" w:lineRule="auto"/>
              <w:jc w:val="both"/>
              <w:rPr>
                <w:i/>
                <w:color w:val="FF0000"/>
                <w:sz w:val="20"/>
              </w:rPr>
            </w:pPr>
            <w:r w:rsidRPr="00A45CD0">
              <w:rPr>
                <w:sz w:val="20"/>
              </w:rPr>
              <w:t>IPEA administers and provides advice on travel related work expenses and provides independent oversight of work expenses administered by the Department of Finance for current and former parliamentarians and their staff.</w:t>
            </w:r>
            <w:r w:rsidRPr="00A45CD0">
              <w:rPr>
                <w:i/>
                <w:color w:val="FF0000"/>
                <w:sz w:val="20"/>
              </w:rPr>
              <w:t xml:space="preserve"> </w:t>
            </w:r>
          </w:p>
        </w:tc>
      </w:tr>
    </w:tbl>
    <w:p w14:paraId="36F0E8CF" w14:textId="77777777" w:rsidR="00186290" w:rsidRDefault="00186290" w:rsidP="00186290">
      <w:pPr>
        <w:spacing w:before="0" w:after="0" w:line="240" w:lineRule="auto"/>
      </w:pPr>
      <w:r>
        <w:br w:type="page"/>
      </w:r>
    </w:p>
    <w:p w14:paraId="532015CE" w14:textId="77777777" w:rsidR="00186290" w:rsidRPr="00446612" w:rsidRDefault="00186290" w:rsidP="00186290">
      <w:pPr>
        <w:pStyle w:val="Heading5"/>
      </w:pPr>
      <w:r w:rsidRPr="00446612">
        <w:lastRenderedPageBreak/>
        <w:t xml:space="preserve">Budgeted expenses for Outcome </w:t>
      </w:r>
      <w:r>
        <w:t>1</w:t>
      </w:r>
    </w:p>
    <w:p w14:paraId="10F1710E" w14:textId="77777777" w:rsidR="00186290" w:rsidRDefault="00186290" w:rsidP="00186290">
      <w:r w:rsidRPr="00950281">
        <w:t>This table shows how much the entity intends to spend (on an accrual basis) on achieving the outcome, broken down by program, as well as by Administered and Departmental funding sources.</w:t>
      </w:r>
    </w:p>
    <w:p w14:paraId="198AEB2C" w14:textId="011E6BCB" w:rsidR="00186290" w:rsidRDefault="00186290" w:rsidP="00186290">
      <w:pPr>
        <w:pStyle w:val="TableHeading"/>
      </w:pPr>
      <w:r w:rsidRPr="00D93D96">
        <w:t>Table 2.</w:t>
      </w:r>
      <w:r w:rsidR="001E0DBC">
        <w:t>2</w:t>
      </w:r>
      <w:r>
        <w:t>.</w:t>
      </w:r>
      <w:r w:rsidRPr="00D93D96">
        <w:t>1 Budgeted expenses</w:t>
      </w:r>
      <w:r>
        <w:t xml:space="preserve"> for</w:t>
      </w:r>
      <w:r w:rsidRPr="00D93D96">
        <w:t xml:space="preserve"> Outcome </w:t>
      </w:r>
      <w:r>
        <w:t>1</w:t>
      </w:r>
    </w:p>
    <w:p w14:paraId="016CBC99" w14:textId="659AC9FD" w:rsidR="00186290" w:rsidRDefault="002E091A" w:rsidP="00186290">
      <w:pPr>
        <w:spacing w:before="0" w:after="0" w:line="240" w:lineRule="auto"/>
      </w:pPr>
      <w:r w:rsidRPr="002E091A">
        <w:rPr>
          <w:noProof/>
        </w:rPr>
        <w:drawing>
          <wp:inline distT="0" distB="0" distL="0" distR="0" wp14:anchorId="207DD8E3" wp14:editId="4FE6CE89">
            <wp:extent cx="4896485" cy="3273425"/>
            <wp:effectExtent l="0" t="0" r="0" b="3175"/>
            <wp:docPr id="139427729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896485" cy="3273425"/>
                    </a:xfrm>
                    <a:prstGeom prst="rect">
                      <a:avLst/>
                    </a:prstGeom>
                    <a:noFill/>
                    <a:ln>
                      <a:noFill/>
                    </a:ln>
                  </pic:spPr>
                </pic:pic>
              </a:graphicData>
            </a:graphic>
          </wp:inline>
        </w:drawing>
      </w:r>
    </w:p>
    <w:p w14:paraId="438BE33E" w14:textId="77777777" w:rsidR="00186290" w:rsidRPr="00AC6239" w:rsidRDefault="00186290" w:rsidP="006C0A13">
      <w:pPr>
        <w:pStyle w:val="ChartandTableFootnoteAlpha"/>
        <w:numPr>
          <w:ilvl w:val="0"/>
          <w:numId w:val="38"/>
        </w:numPr>
        <w:spacing w:after="120"/>
      </w:pPr>
      <w:r w:rsidRPr="00AC6239">
        <w:t>Expenses not requiring appropriation in the Budget year are made up of audit fees.</w:t>
      </w:r>
    </w:p>
    <w:p w14:paraId="68999B10" w14:textId="77777777" w:rsidR="00186290" w:rsidRDefault="00186290" w:rsidP="00186290">
      <w:pPr>
        <w:pStyle w:val="ChartandTableFootnoteAlpha"/>
        <w:numPr>
          <w:ilvl w:val="0"/>
          <w:numId w:val="0"/>
        </w:numPr>
      </w:pPr>
      <w:r w:rsidRPr="00150C59">
        <w:t>Note: Departmental appropriation splits and totals are indicative estimates and may change in the course of the budget year as government priorities change.</w:t>
      </w:r>
    </w:p>
    <w:p w14:paraId="67DE9C70" w14:textId="77777777" w:rsidR="00186290" w:rsidRDefault="00186290" w:rsidP="00186290">
      <w:pPr>
        <w:spacing w:after="0" w:line="240" w:lineRule="auto"/>
        <w:rPr>
          <w:rFonts w:ascii="Arial" w:hAnsi="Arial"/>
          <w:b/>
          <w:bCs/>
          <w:iCs/>
          <w:szCs w:val="26"/>
          <w:lang w:val="x-none"/>
        </w:rPr>
      </w:pPr>
      <w:r>
        <w:br w:type="page"/>
      </w:r>
    </w:p>
    <w:p w14:paraId="6224568B" w14:textId="285AB80E" w:rsidR="00186290" w:rsidRPr="00F71634" w:rsidRDefault="00186290" w:rsidP="00186290">
      <w:pPr>
        <w:pStyle w:val="Heading5"/>
      </w:pPr>
      <w:r w:rsidRPr="00F71634">
        <w:lastRenderedPageBreak/>
        <w:t>Table 2.</w:t>
      </w:r>
      <w:r w:rsidR="00876B06">
        <w:t>2</w:t>
      </w:r>
      <w:r>
        <w:t>.2</w:t>
      </w:r>
      <w:r w:rsidRPr="00F71634">
        <w:t xml:space="preserve">: Performance </w:t>
      </w:r>
      <w:r>
        <w:t>measure</w:t>
      </w:r>
      <w:r w:rsidRPr="00F71634">
        <w:t xml:space="preserve"> for Outcome </w:t>
      </w:r>
      <w:r>
        <w:t>1</w:t>
      </w:r>
    </w:p>
    <w:p w14:paraId="2718F4E1" w14:textId="14F3A1EF" w:rsidR="00186290" w:rsidRPr="00D5737A" w:rsidRDefault="00186290" w:rsidP="00186290">
      <w:r w:rsidRPr="00F71634">
        <w:t>Table 2.</w:t>
      </w:r>
      <w:r w:rsidR="00876B06">
        <w:t>2</w:t>
      </w:r>
      <w:r w:rsidRPr="00F71634">
        <w:t>.</w:t>
      </w:r>
      <w:r>
        <w:t>2</w:t>
      </w:r>
      <w:r w:rsidRPr="00F71634">
        <w:t xml:space="preserve"> below details the performance </w:t>
      </w:r>
      <w:r>
        <w:t>measure</w:t>
      </w:r>
      <w:r w:rsidRPr="00F71634">
        <w:t xml:space="preserve"> for each program associated with Outcome </w:t>
      </w:r>
      <w:r>
        <w:t>1</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2023</w:t>
      </w:r>
      <w:r>
        <w:t>–</w:t>
      </w:r>
      <w:r w:rsidRPr="00434D49">
        <w:t>24 Budget.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6"/>
      </w:tblGrid>
      <w:tr w:rsidR="00186290" w:rsidRPr="00A45CD0" w14:paraId="0C66C1F0" w14:textId="77777777" w:rsidTr="00CE4B10">
        <w:trPr>
          <w:trHeight w:val="866"/>
          <w:tblHeader/>
        </w:trPr>
        <w:tc>
          <w:tcPr>
            <w:tcW w:w="7686" w:type="dxa"/>
            <w:shd w:val="clear" w:color="auto" w:fill="F2F2F2"/>
            <w:vAlign w:val="center"/>
          </w:tcPr>
          <w:p w14:paraId="0377222D" w14:textId="202EEC72" w:rsidR="00186290" w:rsidRPr="00A45CD0" w:rsidRDefault="004440D3" w:rsidP="004045BB">
            <w:pPr>
              <w:spacing w:before="120" w:after="120" w:line="240" w:lineRule="auto"/>
              <w:rPr>
                <w:rFonts w:ascii="Arial" w:hAnsi="Arial"/>
                <w:b/>
                <w:color w:val="000000"/>
                <w:sz w:val="16"/>
              </w:rPr>
            </w:pPr>
            <w:r w:rsidRPr="004440D3">
              <w:rPr>
                <w:rFonts w:ascii="Arial" w:hAnsi="Arial"/>
                <w:b/>
                <w:color w:val="000000"/>
                <w:sz w:val="16"/>
              </w:rPr>
              <w:t xml:space="preserve">Outcome 1 </w:t>
            </w:r>
            <w:r w:rsidRPr="00A45CD0">
              <w:rPr>
                <w:rFonts w:ascii="Arial" w:hAnsi="Arial" w:cs="Arial"/>
                <w:sz w:val="16"/>
                <w:szCs w:val="16"/>
              </w:rPr>
              <w:t xml:space="preserve">– </w:t>
            </w:r>
            <w:r w:rsidRPr="004440D3">
              <w:rPr>
                <w:rFonts w:ascii="Arial" w:hAnsi="Arial"/>
                <w:bCs/>
                <w:color w:val="000000"/>
                <w:sz w:val="16"/>
              </w:rPr>
              <w:t xml:space="preserve">Support for current and former </w:t>
            </w:r>
            <w:r w:rsidR="0007194C">
              <w:rPr>
                <w:rFonts w:ascii="Arial" w:hAnsi="Arial"/>
                <w:bCs/>
                <w:color w:val="000000"/>
                <w:sz w:val="16"/>
              </w:rPr>
              <w:t>P</w:t>
            </w:r>
            <w:r w:rsidRPr="004440D3">
              <w:rPr>
                <w:rFonts w:ascii="Arial" w:hAnsi="Arial"/>
                <w:bCs/>
                <w:color w:val="000000"/>
                <w:sz w:val="16"/>
              </w:rPr>
              <w:t>arliamentarians and others as required by the Australian Government through the delivery of, independent oversight and advice on, work resources and travel resources.</w:t>
            </w:r>
          </w:p>
        </w:tc>
      </w:tr>
      <w:tr w:rsidR="00186290" w:rsidRPr="00A45CD0" w14:paraId="12FBB3F6" w14:textId="77777777" w:rsidTr="00CE4B10">
        <w:trPr>
          <w:trHeight w:val="998"/>
          <w:tblHeader/>
        </w:trPr>
        <w:tc>
          <w:tcPr>
            <w:tcW w:w="7686" w:type="dxa"/>
            <w:shd w:val="clear" w:color="auto" w:fill="F2F2F2"/>
            <w:vAlign w:val="center"/>
          </w:tcPr>
          <w:p w14:paraId="5D2AC065" w14:textId="77777777" w:rsidR="00186290" w:rsidRPr="00A45CD0" w:rsidRDefault="00186290" w:rsidP="004045BB">
            <w:pPr>
              <w:tabs>
                <w:tab w:val="left" w:pos="709"/>
              </w:tabs>
              <w:spacing w:before="120" w:after="120" w:line="240" w:lineRule="auto"/>
              <w:rPr>
                <w:rFonts w:ascii="Arial" w:hAnsi="Arial"/>
                <w:color w:val="000000"/>
                <w:sz w:val="16"/>
                <w:szCs w:val="16"/>
              </w:rPr>
            </w:pPr>
            <w:r w:rsidRPr="00A45CD0">
              <w:rPr>
                <w:rFonts w:ascii="Arial" w:hAnsi="Arial" w:cs="Arial"/>
                <w:b/>
                <w:sz w:val="16"/>
                <w:szCs w:val="16"/>
              </w:rPr>
              <w:t>Program 1.1</w:t>
            </w:r>
            <w:r w:rsidRPr="00A45CD0">
              <w:rPr>
                <w:rFonts w:ascii="Arial" w:hAnsi="Arial" w:cs="Arial"/>
                <w:sz w:val="16"/>
                <w:szCs w:val="16"/>
              </w:rPr>
              <w:t xml:space="preserve"> – </w:t>
            </w:r>
            <w:r w:rsidRPr="00A45CD0">
              <w:rPr>
                <w:rFonts w:ascii="Arial" w:hAnsi="Arial"/>
                <w:color w:val="000000"/>
                <w:sz w:val="16"/>
                <w:szCs w:val="16"/>
              </w:rPr>
              <w:t>Independent Parliamentary Expenses Authority – Travel Oversight and Reporting</w:t>
            </w:r>
          </w:p>
          <w:p w14:paraId="4C23C2F9" w14:textId="77777777" w:rsidR="00186290" w:rsidRPr="00A45CD0" w:rsidRDefault="00186290" w:rsidP="004045BB">
            <w:pPr>
              <w:tabs>
                <w:tab w:val="left" w:pos="709"/>
              </w:tabs>
              <w:spacing w:before="120" w:after="120" w:line="240" w:lineRule="auto"/>
              <w:rPr>
                <w:rFonts w:ascii="Arial" w:hAnsi="Arial" w:cs="Arial"/>
                <w:sz w:val="16"/>
                <w:szCs w:val="16"/>
              </w:rPr>
            </w:pPr>
            <w:r w:rsidRPr="00A45CD0">
              <w:rPr>
                <w:rFonts w:ascii="Arial" w:hAnsi="Arial"/>
                <w:color w:val="000000"/>
                <w:sz w:val="16"/>
                <w:szCs w:val="16"/>
              </w:rPr>
              <w:t>No changes have been made to the performance criteria for this program since the 202</w:t>
            </w:r>
            <w:r>
              <w:rPr>
                <w:rFonts w:ascii="Arial" w:hAnsi="Arial"/>
                <w:color w:val="000000"/>
                <w:sz w:val="16"/>
                <w:szCs w:val="16"/>
              </w:rPr>
              <w:t>3</w:t>
            </w:r>
            <w:r w:rsidRPr="00A45CD0">
              <w:rPr>
                <w:rFonts w:ascii="Arial" w:hAnsi="Arial"/>
                <w:color w:val="000000"/>
                <w:sz w:val="16"/>
                <w:szCs w:val="16"/>
              </w:rPr>
              <w:t>-2</w:t>
            </w:r>
            <w:r>
              <w:rPr>
                <w:rFonts w:ascii="Arial" w:hAnsi="Arial"/>
                <w:color w:val="000000"/>
                <w:sz w:val="16"/>
                <w:szCs w:val="16"/>
              </w:rPr>
              <w:t>4</w:t>
            </w:r>
            <w:r w:rsidRPr="00A45CD0">
              <w:rPr>
                <w:rFonts w:ascii="Arial" w:hAnsi="Arial"/>
                <w:color w:val="000000"/>
                <w:sz w:val="16"/>
                <w:szCs w:val="16"/>
              </w:rPr>
              <w:t xml:space="preserve"> Portfolio Budget Statements.</w:t>
            </w:r>
            <w:r w:rsidRPr="00A45CD0">
              <w:rPr>
                <w:rFonts w:ascii="Arial" w:hAnsi="Arial" w:cs="Arial"/>
                <w:sz w:val="20"/>
              </w:rPr>
              <w:t xml:space="preserve"> </w:t>
            </w:r>
          </w:p>
        </w:tc>
      </w:tr>
    </w:tbl>
    <w:p w14:paraId="5D338E40" w14:textId="77777777" w:rsidR="00186290" w:rsidRDefault="00186290" w:rsidP="00186290">
      <w:pPr>
        <w:spacing w:before="0" w:after="0" w:line="240" w:lineRule="auto"/>
      </w:pPr>
      <w:r>
        <w:br w:type="page"/>
      </w:r>
    </w:p>
    <w:p w14:paraId="1DE51BB2" w14:textId="2970F2F4" w:rsidR="00186290" w:rsidRPr="00E41681" w:rsidRDefault="00186290" w:rsidP="00186290">
      <w:pPr>
        <w:pStyle w:val="Heading2-TOC"/>
      </w:pPr>
      <w:bookmarkStart w:id="1150" w:name="_Toc156395091"/>
      <w:bookmarkStart w:id="1151" w:name="_Toc157375131"/>
      <w:bookmarkStart w:id="1152" w:name="_Toc157411288"/>
      <w:bookmarkStart w:id="1153" w:name="_Toc157412223"/>
      <w:bookmarkStart w:id="1154" w:name="_Toc157445405"/>
      <w:bookmarkStart w:id="1155" w:name="_Toc157445559"/>
      <w:bookmarkStart w:id="1156" w:name="_Toc157497373"/>
      <w:bookmarkStart w:id="1157" w:name="_Toc157613759"/>
      <w:bookmarkStart w:id="1158" w:name="_Toc157614056"/>
      <w:bookmarkStart w:id="1159" w:name="_Toc157618271"/>
      <w:bookmarkStart w:id="1160" w:name="_Toc157618416"/>
      <w:bookmarkStart w:id="1161" w:name="_Toc157618806"/>
      <w:bookmarkStart w:id="1162" w:name="_Toc157697142"/>
      <w:bookmarkStart w:id="1163" w:name="_Toc157705424"/>
      <w:bookmarkStart w:id="1164" w:name="_Toc157705482"/>
      <w:bookmarkStart w:id="1165" w:name="_Toc157705725"/>
      <w:bookmarkStart w:id="1166" w:name="_Toc157705775"/>
      <w:bookmarkStart w:id="1167" w:name="_Toc157706140"/>
      <w:r w:rsidRPr="00E41681">
        <w:lastRenderedPageBreak/>
        <w:t xml:space="preserve">Section 3: </w:t>
      </w:r>
      <w:r w:rsidR="00B82917" w:rsidRPr="00B82917">
        <w:t>Special account flows and budgeted</w:t>
      </w:r>
      <w:r w:rsidRPr="00E41681">
        <w:t xml:space="preserve"> financial statements</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559AE4CD" w14:textId="77777777" w:rsidR="00FC1F55" w:rsidRPr="004D3E2B" w:rsidRDefault="00FC1F55" w:rsidP="00FC1F55">
      <w:pPr>
        <w:pStyle w:val="Heading3"/>
      </w:pPr>
      <w:bookmarkStart w:id="1168" w:name="_Toc157618272"/>
      <w:bookmarkStart w:id="1169" w:name="_Toc157618417"/>
      <w:bookmarkStart w:id="1170" w:name="_Toc157618807"/>
      <w:bookmarkStart w:id="1171" w:name="_Toc157697143"/>
      <w:bookmarkStart w:id="1172" w:name="_Toc157705425"/>
      <w:bookmarkStart w:id="1173" w:name="_Toc157705483"/>
      <w:bookmarkStart w:id="1174" w:name="_Toc157705726"/>
      <w:bookmarkStart w:id="1175" w:name="_Toc157705776"/>
      <w:bookmarkStart w:id="1176" w:name="_Toc157706141"/>
      <w:bookmarkStart w:id="1177" w:name="_Toc156395092"/>
      <w:bookmarkStart w:id="1178" w:name="_Toc157375132"/>
      <w:bookmarkStart w:id="1179" w:name="_Toc157411289"/>
      <w:bookmarkStart w:id="1180" w:name="_Toc157412224"/>
      <w:bookmarkStart w:id="1181" w:name="_Toc157445406"/>
      <w:bookmarkStart w:id="1182" w:name="_Toc157445560"/>
      <w:bookmarkStart w:id="1183" w:name="_Toc157497374"/>
      <w:bookmarkStart w:id="1184" w:name="_Toc157613760"/>
      <w:bookmarkStart w:id="1185" w:name="_Toc157614057"/>
      <w:r w:rsidRPr="004D3E2B">
        <w:t>3.1</w:t>
      </w:r>
      <w:r w:rsidRPr="004D3E2B">
        <w:tab/>
        <w:t>Special account flows</w:t>
      </w:r>
      <w:r>
        <w:t xml:space="preserve"> and balances</w:t>
      </w:r>
      <w:bookmarkEnd w:id="1168"/>
      <w:bookmarkEnd w:id="1169"/>
      <w:bookmarkEnd w:id="1170"/>
      <w:bookmarkEnd w:id="1171"/>
      <w:bookmarkEnd w:id="1172"/>
      <w:bookmarkEnd w:id="1173"/>
      <w:bookmarkEnd w:id="1174"/>
      <w:bookmarkEnd w:id="1175"/>
      <w:bookmarkEnd w:id="1176"/>
    </w:p>
    <w:p w14:paraId="324865F0" w14:textId="77777777" w:rsidR="00FC1F55" w:rsidRDefault="00FC1F55" w:rsidP="00FC1F55">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24881CB7" w14:textId="77777777" w:rsidR="00F367A9" w:rsidRPr="00F367A9" w:rsidRDefault="00F367A9" w:rsidP="00F367A9"/>
    <w:p w14:paraId="68C5FA22" w14:textId="77777777" w:rsidR="00F367A9" w:rsidRDefault="00F367A9" w:rsidP="00F367A9">
      <w:pPr>
        <w:pStyle w:val="TableHeading"/>
      </w:pPr>
      <w:r>
        <w:t>Table 3.1: Estimates of special account flows and balances</w:t>
      </w:r>
    </w:p>
    <w:p w14:paraId="5BE9F105" w14:textId="77777777" w:rsidR="00FC1F55" w:rsidRPr="00FB0910" w:rsidRDefault="00FC1F55" w:rsidP="00FC1F55">
      <w:r>
        <w:t xml:space="preserve">IPEA has no special accounts. </w:t>
      </w:r>
    </w:p>
    <w:p w14:paraId="606A4E25" w14:textId="77777777" w:rsidR="00FC1F55" w:rsidRDefault="00FC1F55" w:rsidP="00FC1F55">
      <w:pPr>
        <w:pStyle w:val="Heading3"/>
      </w:pPr>
    </w:p>
    <w:p w14:paraId="79644B76" w14:textId="1095DDCA" w:rsidR="00186290" w:rsidRDefault="00186290" w:rsidP="00FC1F55">
      <w:pPr>
        <w:pStyle w:val="Heading3"/>
      </w:pPr>
      <w:bookmarkStart w:id="1186" w:name="_Toc157618273"/>
      <w:bookmarkStart w:id="1187" w:name="_Toc157618418"/>
      <w:bookmarkStart w:id="1188" w:name="_Toc157618808"/>
      <w:bookmarkStart w:id="1189" w:name="_Toc157697144"/>
      <w:bookmarkStart w:id="1190" w:name="_Toc157705426"/>
      <w:bookmarkStart w:id="1191" w:name="_Toc157705484"/>
      <w:bookmarkStart w:id="1192" w:name="_Toc157705727"/>
      <w:bookmarkStart w:id="1193" w:name="_Toc157705777"/>
      <w:bookmarkStart w:id="1194" w:name="_Toc157706142"/>
      <w:r w:rsidRPr="005554F9">
        <w:t>3.</w:t>
      </w:r>
      <w:r w:rsidR="00FC1F55">
        <w:t>2</w:t>
      </w:r>
      <w:r>
        <w:tab/>
        <w:t>Budgeted financial statements</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17AFD8DE" w14:textId="24568D7B" w:rsidR="00186290" w:rsidRPr="004928FF" w:rsidRDefault="00186290" w:rsidP="00186290">
      <w:pPr>
        <w:pStyle w:val="Heading4"/>
      </w:pPr>
      <w:r w:rsidRPr="00EC73D1">
        <w:t>3.</w:t>
      </w:r>
      <w:r w:rsidR="00FC1F55">
        <w:t>2</w:t>
      </w:r>
      <w:r w:rsidRPr="00EC73D1">
        <w:t>.1</w:t>
      </w:r>
      <w:r>
        <w:tab/>
      </w:r>
      <w:r w:rsidRPr="004928FF">
        <w:t xml:space="preserve">Analysis of </w:t>
      </w:r>
      <w:r>
        <w:t>b</w:t>
      </w:r>
      <w:r w:rsidRPr="004928FF">
        <w:t xml:space="preserve">udgeted </w:t>
      </w:r>
      <w:r>
        <w:t>f</w:t>
      </w:r>
      <w:r w:rsidRPr="004928FF">
        <w:t xml:space="preserve">inancial </w:t>
      </w:r>
      <w:r>
        <w:t>s</w:t>
      </w:r>
      <w:r w:rsidRPr="004928FF">
        <w:t>tatements</w:t>
      </w:r>
    </w:p>
    <w:p w14:paraId="501F7ECF" w14:textId="77777777" w:rsidR="00186290" w:rsidRDefault="00186290" w:rsidP="00186290">
      <w:r>
        <w:t>There have been no significant changes to IPEA’s budgeted financial statements since the 2023-24 Portfolio Budget Statements.</w:t>
      </w:r>
    </w:p>
    <w:p w14:paraId="4DA754DA" w14:textId="77777777" w:rsidR="00FB0910" w:rsidRDefault="00FB0910" w:rsidP="00186290"/>
    <w:p w14:paraId="6350B3F2" w14:textId="7F6AD4BD" w:rsidR="00186290" w:rsidRDefault="00186290" w:rsidP="00186290">
      <w:pPr>
        <w:pStyle w:val="Heading4"/>
      </w:pPr>
      <w:r w:rsidRPr="00EC73D1">
        <w:t>3.</w:t>
      </w:r>
      <w:r w:rsidR="00FC1F55">
        <w:t>2</w:t>
      </w:r>
      <w:r w:rsidRPr="00EC73D1">
        <w:t>.2</w:t>
      </w:r>
      <w:r>
        <w:tab/>
      </w:r>
      <w:r w:rsidRPr="004928FF">
        <w:t xml:space="preserve">Budgeted </w:t>
      </w:r>
      <w:r>
        <w:t>f</w:t>
      </w:r>
      <w:r w:rsidRPr="004928FF">
        <w:t xml:space="preserve">inancial </w:t>
      </w:r>
      <w:r>
        <w:t>s</w:t>
      </w:r>
      <w:r w:rsidRPr="004928FF">
        <w:t>tatements</w:t>
      </w:r>
    </w:p>
    <w:p w14:paraId="2A144892" w14:textId="77777777" w:rsidR="00186290" w:rsidRDefault="00186290" w:rsidP="00186290">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6730D3F7" w14:textId="41FAA20F" w:rsidR="00186290" w:rsidRDefault="00514D8F" w:rsidP="00186290">
      <w:pPr>
        <w:spacing w:before="0" w:after="0" w:line="240" w:lineRule="auto"/>
      </w:pPr>
      <w:r w:rsidRPr="00514D8F">
        <w:rPr>
          <w:noProof/>
        </w:rPr>
        <w:drawing>
          <wp:inline distT="0" distB="0" distL="0" distR="0" wp14:anchorId="6C25506C" wp14:editId="6200BE6E">
            <wp:extent cx="4896485" cy="2636520"/>
            <wp:effectExtent l="0" t="0" r="0" b="0"/>
            <wp:docPr id="15884489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896485" cy="2636520"/>
                    </a:xfrm>
                    <a:prstGeom prst="rect">
                      <a:avLst/>
                    </a:prstGeom>
                    <a:noFill/>
                    <a:ln>
                      <a:noFill/>
                    </a:ln>
                  </pic:spPr>
                </pic:pic>
              </a:graphicData>
            </a:graphic>
          </wp:inline>
        </w:drawing>
      </w:r>
    </w:p>
    <w:p w14:paraId="57409D25" w14:textId="77777777" w:rsidR="00186290" w:rsidRPr="009C33E9" w:rsidRDefault="00186290" w:rsidP="00186290">
      <w:pPr>
        <w:pStyle w:val="Source"/>
      </w:pPr>
      <w:r w:rsidRPr="009C33E9">
        <w:t>Prepared on Australian Accounting Standards basis.</w:t>
      </w:r>
    </w:p>
    <w:p w14:paraId="64D97C4A" w14:textId="77777777" w:rsidR="00186290" w:rsidRDefault="00186290" w:rsidP="00186290">
      <w:pPr>
        <w:spacing w:before="0" w:after="0" w:line="240" w:lineRule="auto"/>
      </w:pPr>
      <w:r>
        <w:br w:type="page"/>
      </w:r>
    </w:p>
    <w:p w14:paraId="068219A6" w14:textId="77777777" w:rsidR="00186290" w:rsidRDefault="00186290" w:rsidP="00186290">
      <w:pPr>
        <w:pStyle w:val="TableHeading"/>
        <w:spacing w:before="0"/>
        <w:rPr>
          <w:snapToGrid w:val="0"/>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p w14:paraId="481EA4F5" w14:textId="657138D1" w:rsidR="00186290" w:rsidRPr="0011103C" w:rsidRDefault="0034090B" w:rsidP="00186290">
      <w:pPr>
        <w:pStyle w:val="TableGraphic"/>
      </w:pPr>
      <w:r w:rsidRPr="0034090B">
        <w:rPr>
          <w:noProof/>
        </w:rPr>
        <w:drawing>
          <wp:inline distT="0" distB="0" distL="0" distR="0" wp14:anchorId="02AEA921" wp14:editId="70D96E05">
            <wp:extent cx="4896485" cy="3717925"/>
            <wp:effectExtent l="0" t="0" r="0" b="0"/>
            <wp:docPr id="14707418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896485" cy="3717925"/>
                    </a:xfrm>
                    <a:prstGeom prst="rect">
                      <a:avLst/>
                    </a:prstGeom>
                    <a:noFill/>
                    <a:ln>
                      <a:noFill/>
                    </a:ln>
                  </pic:spPr>
                </pic:pic>
              </a:graphicData>
            </a:graphic>
          </wp:inline>
        </w:drawing>
      </w:r>
    </w:p>
    <w:p w14:paraId="5AAB38EC" w14:textId="77777777" w:rsidR="00186290" w:rsidRDefault="00186290" w:rsidP="004B422E">
      <w:pPr>
        <w:pStyle w:val="Source"/>
        <w:spacing w:after="120"/>
      </w:pPr>
      <w:r w:rsidRPr="009C33E9">
        <w:t>Prepared on Australian Accounting Standards basis.</w:t>
      </w:r>
    </w:p>
    <w:p w14:paraId="75B3A17A" w14:textId="77777777" w:rsidR="00186290" w:rsidRPr="009C33E9" w:rsidRDefault="00186290" w:rsidP="00186290">
      <w:pPr>
        <w:pStyle w:val="Source"/>
      </w:pPr>
      <w:r w:rsidRPr="00710147">
        <w:t>* Equity is the residual interest in assets after the deduction of liabilities</w:t>
      </w:r>
      <w:r>
        <w:t>.</w:t>
      </w:r>
    </w:p>
    <w:p w14:paraId="0746CD2B" w14:textId="77777777" w:rsidR="00186290" w:rsidRDefault="00186290" w:rsidP="00186290">
      <w:pPr>
        <w:spacing w:before="0" w:after="0" w:line="240" w:lineRule="auto"/>
      </w:pPr>
      <w:r>
        <w:br w:type="page"/>
      </w:r>
    </w:p>
    <w:p w14:paraId="4239AA3C" w14:textId="77777777" w:rsidR="00186290" w:rsidRDefault="00186290" w:rsidP="00186290">
      <w:pPr>
        <w:pStyle w:val="TableHeading"/>
        <w:spacing w:before="0"/>
        <w:rPr>
          <w:b w:val="0"/>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p w14:paraId="3944A1CE" w14:textId="1F740F5B" w:rsidR="00186290" w:rsidRDefault="0034090B" w:rsidP="00186290">
      <w:pPr>
        <w:spacing w:before="0" w:after="0" w:line="240" w:lineRule="auto"/>
      </w:pPr>
      <w:r w:rsidRPr="0034090B">
        <w:rPr>
          <w:noProof/>
        </w:rPr>
        <w:drawing>
          <wp:inline distT="0" distB="0" distL="0" distR="0" wp14:anchorId="770DD8B3" wp14:editId="15516C05">
            <wp:extent cx="4896485" cy="1666875"/>
            <wp:effectExtent l="0" t="0" r="0" b="9525"/>
            <wp:docPr id="5752789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896485" cy="1666875"/>
                    </a:xfrm>
                    <a:prstGeom prst="rect">
                      <a:avLst/>
                    </a:prstGeom>
                    <a:noFill/>
                    <a:ln>
                      <a:noFill/>
                    </a:ln>
                  </pic:spPr>
                </pic:pic>
              </a:graphicData>
            </a:graphic>
          </wp:inline>
        </w:drawing>
      </w:r>
    </w:p>
    <w:p w14:paraId="190025CB" w14:textId="77777777" w:rsidR="00186290" w:rsidRDefault="00186290" w:rsidP="00186290">
      <w:pPr>
        <w:pStyle w:val="Source"/>
        <w:rPr>
          <w:snapToGrid w:val="0"/>
        </w:rPr>
      </w:pPr>
      <w:r w:rsidRPr="008D4221">
        <w:t>Prepared on Australian Accounting Standards basis</w:t>
      </w:r>
      <w:r>
        <w:rPr>
          <w:snapToGrid w:val="0"/>
        </w:rPr>
        <w:t>.</w:t>
      </w:r>
    </w:p>
    <w:p w14:paraId="35B69AF0" w14:textId="77777777" w:rsidR="00186290" w:rsidRDefault="00186290" w:rsidP="00186290">
      <w:pPr>
        <w:spacing w:before="0" w:after="0" w:line="240" w:lineRule="auto"/>
      </w:pPr>
      <w:r>
        <w:br w:type="page"/>
      </w:r>
    </w:p>
    <w:p w14:paraId="3962B9E3" w14:textId="77777777" w:rsidR="00186290" w:rsidRDefault="00186290" w:rsidP="00186290">
      <w:pPr>
        <w:pStyle w:val="TableHeading"/>
        <w:spacing w:before="0"/>
        <w:rPr>
          <w:snapToGrid w:val="0"/>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1B8204FF" w14:textId="71593E58" w:rsidR="00186290" w:rsidRDefault="00AD0425" w:rsidP="00186290">
      <w:pPr>
        <w:spacing w:before="0" w:after="0" w:line="240" w:lineRule="auto"/>
      </w:pPr>
      <w:r w:rsidRPr="00AD0425">
        <w:rPr>
          <w:noProof/>
        </w:rPr>
        <w:drawing>
          <wp:inline distT="0" distB="0" distL="0" distR="0" wp14:anchorId="3CBC313F" wp14:editId="64715610">
            <wp:extent cx="4896485" cy="2734310"/>
            <wp:effectExtent l="0" t="0" r="0" b="8890"/>
            <wp:docPr id="158829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896485" cy="2734310"/>
                    </a:xfrm>
                    <a:prstGeom prst="rect">
                      <a:avLst/>
                    </a:prstGeom>
                    <a:noFill/>
                    <a:ln>
                      <a:noFill/>
                    </a:ln>
                  </pic:spPr>
                </pic:pic>
              </a:graphicData>
            </a:graphic>
          </wp:inline>
        </w:drawing>
      </w:r>
    </w:p>
    <w:p w14:paraId="660661B5" w14:textId="77777777" w:rsidR="00186290" w:rsidRPr="009C33E9" w:rsidRDefault="00186290" w:rsidP="00186290">
      <w:pPr>
        <w:pStyle w:val="Source"/>
      </w:pPr>
      <w:r w:rsidRPr="009C33E9">
        <w:t>Prepared on Australian Accounting Standards basis.</w:t>
      </w:r>
    </w:p>
    <w:p w14:paraId="1DDF4A00" w14:textId="77777777" w:rsidR="00186290" w:rsidRDefault="00186290" w:rsidP="00186290">
      <w:pPr>
        <w:spacing w:before="0" w:after="0" w:line="240" w:lineRule="auto"/>
      </w:pPr>
    </w:p>
    <w:p w14:paraId="1A26B566" w14:textId="77777777" w:rsidR="00186290" w:rsidRDefault="00186290" w:rsidP="00186290">
      <w:pPr>
        <w:spacing w:before="0" w:after="0" w:line="240" w:lineRule="auto"/>
      </w:pPr>
    </w:p>
    <w:p w14:paraId="5A09C3E6" w14:textId="77777777" w:rsidR="00186290" w:rsidRDefault="00186290" w:rsidP="00186290">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43AD3116" w14:textId="77777777" w:rsidR="00186290" w:rsidRPr="00EA437C" w:rsidRDefault="00186290" w:rsidP="00186290">
      <w:pPr>
        <w:pStyle w:val="TableGraphic"/>
      </w:pPr>
    </w:p>
    <w:p w14:paraId="6640ED5C" w14:textId="77777777" w:rsidR="00186290" w:rsidRDefault="00186290" w:rsidP="00186290">
      <w:pPr>
        <w:pStyle w:val="TableHeading"/>
        <w:spacing w:before="0"/>
        <w:rPr>
          <w:rFonts w:ascii="Book Antiqua" w:hAnsi="Book Antiqua"/>
          <w:b w:val="0"/>
        </w:rPr>
      </w:pPr>
      <w:r w:rsidRPr="001C0239">
        <w:rPr>
          <w:rFonts w:ascii="Book Antiqua" w:hAnsi="Book Antiqua"/>
          <w:b w:val="0"/>
        </w:rPr>
        <w:t xml:space="preserve">IPEA </w:t>
      </w:r>
      <w:r>
        <w:rPr>
          <w:rFonts w:ascii="Book Antiqua" w:hAnsi="Book Antiqua"/>
          <w:b w:val="0"/>
        </w:rPr>
        <w:t>has no departmental capital budget.</w:t>
      </w:r>
    </w:p>
    <w:p w14:paraId="63DED07D" w14:textId="77777777" w:rsidR="00186290" w:rsidRDefault="00186290" w:rsidP="00186290">
      <w:pPr>
        <w:pStyle w:val="TableGraphic"/>
      </w:pPr>
    </w:p>
    <w:p w14:paraId="471604AE" w14:textId="77777777" w:rsidR="001C760D" w:rsidRPr="001C760D" w:rsidRDefault="001C760D" w:rsidP="001C760D"/>
    <w:p w14:paraId="75F14517" w14:textId="77777777" w:rsidR="00186290" w:rsidRDefault="00186290" w:rsidP="00186290">
      <w:pPr>
        <w:pStyle w:val="TableHeading"/>
        <w:spacing w:before="0" w:after="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p w14:paraId="43F482F5" w14:textId="77777777" w:rsidR="00186290" w:rsidRDefault="00186290" w:rsidP="00186290">
      <w:pPr>
        <w:pStyle w:val="TableGraphic"/>
      </w:pPr>
    </w:p>
    <w:p w14:paraId="1650D7BC" w14:textId="77777777" w:rsidR="00186290" w:rsidRDefault="00186290" w:rsidP="00186290">
      <w:pPr>
        <w:pStyle w:val="TableHeading"/>
        <w:spacing w:before="0"/>
        <w:rPr>
          <w:rFonts w:ascii="Book Antiqua" w:hAnsi="Book Antiqua"/>
          <w:b w:val="0"/>
        </w:rPr>
      </w:pPr>
      <w:r>
        <w:rPr>
          <w:rFonts w:ascii="Book Antiqua" w:hAnsi="Book Antiqua"/>
          <w:b w:val="0"/>
        </w:rPr>
        <w:t>I</w:t>
      </w:r>
      <w:r w:rsidRPr="001C0239">
        <w:rPr>
          <w:rFonts w:ascii="Book Antiqua" w:hAnsi="Book Antiqua"/>
          <w:b w:val="0"/>
        </w:rPr>
        <w:t xml:space="preserve">PEA </w:t>
      </w:r>
      <w:r>
        <w:rPr>
          <w:rFonts w:ascii="Book Antiqua" w:hAnsi="Book Antiqua"/>
          <w:b w:val="0"/>
        </w:rPr>
        <w:t>has no budgeted non-financial assets.</w:t>
      </w:r>
    </w:p>
    <w:p w14:paraId="3670FBE6" w14:textId="77777777" w:rsidR="00186290" w:rsidRDefault="00186290" w:rsidP="00186290">
      <w:pPr>
        <w:spacing w:before="0" w:after="0" w:line="240" w:lineRule="auto"/>
      </w:pPr>
    </w:p>
    <w:p w14:paraId="277C6DAA" w14:textId="77777777" w:rsidR="00186290" w:rsidRDefault="00186290" w:rsidP="00186290">
      <w:pPr>
        <w:spacing w:before="0" w:after="0" w:line="240" w:lineRule="auto"/>
      </w:pPr>
      <w:r>
        <w:br w:type="page"/>
      </w:r>
    </w:p>
    <w:p w14:paraId="6B87D4B1" w14:textId="77777777" w:rsidR="00186290" w:rsidRDefault="00186290" w:rsidP="00186290">
      <w:pPr>
        <w:pStyle w:val="TableHeading"/>
        <w:spacing w:before="0"/>
        <w:rPr>
          <w:b w:val="0"/>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54F78482" w14:textId="76791F62" w:rsidR="00186290" w:rsidRDefault="0034090B" w:rsidP="00186290">
      <w:pPr>
        <w:spacing w:before="0" w:after="0" w:line="240" w:lineRule="auto"/>
      </w:pPr>
      <w:r w:rsidRPr="0034090B">
        <w:rPr>
          <w:noProof/>
        </w:rPr>
        <w:drawing>
          <wp:inline distT="0" distB="0" distL="0" distR="0" wp14:anchorId="1454C534" wp14:editId="0AE09C86">
            <wp:extent cx="4896485" cy="2025015"/>
            <wp:effectExtent l="0" t="0" r="0" b="0"/>
            <wp:docPr id="42389653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896485" cy="2025015"/>
                    </a:xfrm>
                    <a:prstGeom prst="rect">
                      <a:avLst/>
                    </a:prstGeom>
                    <a:noFill/>
                    <a:ln>
                      <a:noFill/>
                    </a:ln>
                  </pic:spPr>
                </pic:pic>
              </a:graphicData>
            </a:graphic>
          </wp:inline>
        </w:drawing>
      </w:r>
    </w:p>
    <w:p w14:paraId="36A352F5" w14:textId="77777777" w:rsidR="00186290" w:rsidRPr="00AC530C" w:rsidRDefault="00186290" w:rsidP="00186290">
      <w:pPr>
        <w:pStyle w:val="Source"/>
      </w:pPr>
      <w:r w:rsidRPr="00AC530C">
        <w:t>Prepared on Australian Accounting Standards basis.</w:t>
      </w:r>
    </w:p>
    <w:p w14:paraId="32B251C7" w14:textId="4F56CC9F" w:rsidR="00186290" w:rsidRDefault="00186290" w:rsidP="00186290">
      <w:pPr>
        <w:spacing w:before="0" w:after="0" w:line="240" w:lineRule="auto"/>
      </w:pPr>
    </w:p>
    <w:p w14:paraId="35F54DF1" w14:textId="77777777" w:rsidR="00735F57" w:rsidRDefault="00735F57" w:rsidP="00186290">
      <w:pPr>
        <w:spacing w:before="0" w:after="0" w:line="240" w:lineRule="auto"/>
      </w:pPr>
    </w:p>
    <w:p w14:paraId="7DF811C9" w14:textId="77777777" w:rsidR="00186290" w:rsidRDefault="00186290" w:rsidP="00186290">
      <w:pPr>
        <w:pStyle w:val="TableHeading"/>
        <w:spacing w:before="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30CF4BB3" w14:textId="5EC38F52" w:rsidR="00186290" w:rsidRDefault="009020D9" w:rsidP="00186290">
      <w:pPr>
        <w:spacing w:before="0" w:after="0" w:line="240" w:lineRule="auto"/>
      </w:pPr>
      <w:r w:rsidRPr="009020D9">
        <w:rPr>
          <w:noProof/>
        </w:rPr>
        <w:drawing>
          <wp:inline distT="0" distB="0" distL="0" distR="0" wp14:anchorId="467B60A8" wp14:editId="07FB5A82">
            <wp:extent cx="4896485" cy="2914015"/>
            <wp:effectExtent l="0" t="0" r="0" b="635"/>
            <wp:docPr id="63756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896485" cy="2914015"/>
                    </a:xfrm>
                    <a:prstGeom prst="rect">
                      <a:avLst/>
                    </a:prstGeom>
                    <a:noFill/>
                    <a:ln>
                      <a:noFill/>
                    </a:ln>
                  </pic:spPr>
                </pic:pic>
              </a:graphicData>
            </a:graphic>
          </wp:inline>
        </w:drawing>
      </w:r>
    </w:p>
    <w:p w14:paraId="1B97D949" w14:textId="77777777" w:rsidR="00186290" w:rsidRDefault="00186290" w:rsidP="009020D9">
      <w:pPr>
        <w:spacing w:before="30" w:after="0" w:line="240" w:lineRule="auto"/>
        <w:rPr>
          <w:rFonts w:ascii="Arial" w:hAnsi="Arial" w:cs="Arial"/>
          <w:sz w:val="16"/>
          <w:szCs w:val="16"/>
        </w:rPr>
      </w:pPr>
      <w:r w:rsidRPr="0011103C">
        <w:rPr>
          <w:rFonts w:ascii="Arial" w:hAnsi="Arial" w:cs="Arial"/>
          <w:sz w:val="16"/>
          <w:szCs w:val="16"/>
        </w:rPr>
        <w:t>Prepared on Australian Accounting Standards basis.</w:t>
      </w:r>
    </w:p>
    <w:p w14:paraId="2B779565" w14:textId="77777777" w:rsidR="00186290" w:rsidRDefault="00186290" w:rsidP="00186290">
      <w:pPr>
        <w:spacing w:before="0" w:after="0" w:line="240" w:lineRule="auto"/>
        <w:rPr>
          <w:rFonts w:ascii="Arial" w:hAnsi="Arial" w:cs="Arial"/>
          <w:sz w:val="16"/>
          <w:szCs w:val="16"/>
        </w:rPr>
      </w:pPr>
    </w:p>
    <w:p w14:paraId="25AB0F4C" w14:textId="77777777" w:rsidR="00186290" w:rsidRDefault="00186290" w:rsidP="00186290">
      <w:pPr>
        <w:spacing w:before="0" w:after="0" w:line="240" w:lineRule="auto"/>
        <w:rPr>
          <w:rFonts w:ascii="Arial" w:hAnsi="Arial" w:cs="Arial"/>
          <w:sz w:val="16"/>
          <w:szCs w:val="16"/>
        </w:rPr>
      </w:pPr>
    </w:p>
    <w:p w14:paraId="2E7694A7" w14:textId="77777777" w:rsidR="00186290" w:rsidRDefault="00186290" w:rsidP="00186290">
      <w:pPr>
        <w:spacing w:before="0" w:after="0" w:line="240" w:lineRule="auto"/>
        <w:rPr>
          <w:rFonts w:ascii="Arial" w:hAnsi="Arial" w:cs="Arial"/>
          <w:sz w:val="16"/>
          <w:szCs w:val="16"/>
        </w:rPr>
      </w:pPr>
      <w:r>
        <w:rPr>
          <w:rFonts w:ascii="Arial" w:hAnsi="Arial" w:cs="Arial"/>
          <w:sz w:val="16"/>
          <w:szCs w:val="16"/>
        </w:rPr>
        <w:br w:type="page"/>
      </w:r>
    </w:p>
    <w:p w14:paraId="16318D6F" w14:textId="77777777" w:rsidR="00186290" w:rsidRDefault="00186290" w:rsidP="00186290">
      <w:pPr>
        <w:pStyle w:val="TableHeading"/>
        <w:spacing w:before="0"/>
        <w:rPr>
          <w:snapToGrid w:val="0"/>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p w14:paraId="060B88BC" w14:textId="69220CDD" w:rsidR="00186290" w:rsidRDefault="00514D8F" w:rsidP="00186290">
      <w:pPr>
        <w:spacing w:before="0" w:after="0" w:line="240" w:lineRule="auto"/>
        <w:rPr>
          <w:rFonts w:ascii="Arial" w:hAnsi="Arial" w:cs="Arial"/>
          <w:sz w:val="16"/>
          <w:szCs w:val="16"/>
        </w:rPr>
      </w:pPr>
      <w:r w:rsidRPr="00514D8F">
        <w:rPr>
          <w:rFonts w:ascii="Arial" w:hAnsi="Arial" w:cs="Arial"/>
          <w:noProof/>
          <w:sz w:val="16"/>
          <w:szCs w:val="16"/>
        </w:rPr>
        <w:drawing>
          <wp:inline distT="0" distB="0" distL="0" distR="0" wp14:anchorId="377E666B" wp14:editId="4FFC662A">
            <wp:extent cx="4896485" cy="3396615"/>
            <wp:effectExtent l="0" t="0" r="0" b="0"/>
            <wp:docPr id="4175561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896485" cy="3396615"/>
                    </a:xfrm>
                    <a:prstGeom prst="rect">
                      <a:avLst/>
                    </a:prstGeom>
                    <a:noFill/>
                    <a:ln>
                      <a:noFill/>
                    </a:ln>
                  </pic:spPr>
                </pic:pic>
              </a:graphicData>
            </a:graphic>
          </wp:inline>
        </w:drawing>
      </w:r>
    </w:p>
    <w:p w14:paraId="03894AA0" w14:textId="77777777" w:rsidR="00186290" w:rsidRPr="009C3C02" w:rsidRDefault="00186290" w:rsidP="006B72E2">
      <w:pPr>
        <w:pStyle w:val="Source"/>
        <w:spacing w:after="120"/>
      </w:pPr>
      <w:r w:rsidRPr="009C3C02">
        <w:t>Prepared on Australian Accounting Standards basis.</w:t>
      </w:r>
    </w:p>
    <w:p w14:paraId="450083B0" w14:textId="77777777" w:rsidR="00186290" w:rsidRDefault="00186290" w:rsidP="00186290">
      <w:pPr>
        <w:spacing w:before="0" w:after="0" w:line="240" w:lineRule="auto"/>
        <w:rPr>
          <w:rFonts w:ascii="Arial" w:hAnsi="Arial" w:cs="Arial"/>
          <w:sz w:val="16"/>
          <w:szCs w:val="16"/>
        </w:rPr>
      </w:pPr>
    </w:p>
    <w:p w14:paraId="3FC8CD2E" w14:textId="77777777" w:rsidR="00186290" w:rsidRDefault="00186290" w:rsidP="00186290">
      <w:pPr>
        <w:spacing w:before="0" w:after="0" w:line="240" w:lineRule="auto"/>
        <w:rPr>
          <w:rFonts w:ascii="Arial" w:hAnsi="Arial" w:cs="Arial"/>
          <w:sz w:val="16"/>
          <w:szCs w:val="16"/>
        </w:rPr>
      </w:pPr>
    </w:p>
    <w:p w14:paraId="15743A2D" w14:textId="77777777" w:rsidR="00186290" w:rsidRDefault="00186290" w:rsidP="00186290">
      <w:pPr>
        <w:pStyle w:val="TableHeading"/>
        <w:spacing w:before="0"/>
        <w:rPr>
          <w:snapToGrid w:val="0"/>
        </w:rPr>
      </w:pPr>
      <w:r>
        <w:rPr>
          <w:snapToGrid w:val="0"/>
        </w:rPr>
        <w:t>Table 3.11</w:t>
      </w:r>
      <w:r w:rsidRPr="00014438">
        <w:rPr>
          <w:snapToGrid w:val="0"/>
        </w:rPr>
        <w:t>: Schedule of administered capital budget</w:t>
      </w:r>
      <w:r>
        <w:rPr>
          <w:snapToGrid w:val="0"/>
        </w:rPr>
        <w:t xml:space="preserve"> (for the period ended 30 June)</w:t>
      </w:r>
    </w:p>
    <w:p w14:paraId="26E8895F" w14:textId="77777777" w:rsidR="00186290" w:rsidRPr="00A7524A" w:rsidRDefault="00186290" w:rsidP="00186290">
      <w:pPr>
        <w:pStyle w:val="TableGraphic"/>
      </w:pPr>
    </w:p>
    <w:p w14:paraId="41EABDC1" w14:textId="77777777" w:rsidR="00186290" w:rsidRPr="000C3374" w:rsidRDefault="00186290" w:rsidP="00186290">
      <w:pPr>
        <w:pStyle w:val="TableGraphic"/>
      </w:pPr>
      <w:r>
        <w:t>IPE</w:t>
      </w:r>
      <w:r w:rsidRPr="001C0239">
        <w:t xml:space="preserve">A </w:t>
      </w:r>
      <w:r>
        <w:t>has no capital budget administered in behalf of the Government.</w:t>
      </w:r>
    </w:p>
    <w:p w14:paraId="657E7073" w14:textId="77777777" w:rsidR="00186290" w:rsidRDefault="00186290" w:rsidP="00186290">
      <w:pPr>
        <w:pStyle w:val="SingleParagraph"/>
        <w:rPr>
          <w:snapToGrid w:val="0"/>
        </w:rPr>
      </w:pPr>
    </w:p>
    <w:p w14:paraId="3E72C1DC" w14:textId="77777777" w:rsidR="001C760D" w:rsidRPr="00014438" w:rsidRDefault="001C760D" w:rsidP="00186290">
      <w:pPr>
        <w:pStyle w:val="SingleParagraph"/>
        <w:rPr>
          <w:snapToGrid w:val="0"/>
        </w:rPr>
      </w:pPr>
    </w:p>
    <w:p w14:paraId="3EACD5BA" w14:textId="77777777" w:rsidR="00186290" w:rsidRDefault="00186290" w:rsidP="00186290">
      <w:pPr>
        <w:pStyle w:val="TableHeading"/>
        <w:spacing w:before="0"/>
        <w:rPr>
          <w:snapToGrid w:val="0"/>
        </w:rPr>
      </w:pPr>
      <w:r>
        <w:rPr>
          <w:snapToGrid w:val="0"/>
        </w:rPr>
        <w:t xml:space="preserve">Table 3.12: </w:t>
      </w:r>
      <w:r w:rsidRPr="00014438">
        <w:rPr>
          <w:snapToGrid w:val="0"/>
        </w:rPr>
        <w:t>Statement of administered asset movements (</w:t>
      </w:r>
      <w:r>
        <w:rPr>
          <w:snapToGrid w:val="0"/>
        </w:rPr>
        <w:t>2023–24 Budget year</w:t>
      </w:r>
      <w:r w:rsidRPr="00014438">
        <w:rPr>
          <w:snapToGrid w:val="0"/>
        </w:rPr>
        <w:t>)</w:t>
      </w:r>
    </w:p>
    <w:p w14:paraId="07901445" w14:textId="77777777" w:rsidR="00186290" w:rsidRPr="00EB7604" w:rsidRDefault="00186290" w:rsidP="00186290">
      <w:pPr>
        <w:pStyle w:val="TableGraphic"/>
      </w:pPr>
    </w:p>
    <w:p w14:paraId="3D664A6C" w14:textId="77777777" w:rsidR="00186290" w:rsidRPr="003553EB" w:rsidRDefault="00186290" w:rsidP="00186290">
      <w:pPr>
        <w:pStyle w:val="TableHeading"/>
        <w:spacing w:before="0"/>
      </w:pPr>
      <w:r w:rsidRPr="001C0239">
        <w:rPr>
          <w:rFonts w:ascii="Book Antiqua" w:hAnsi="Book Antiqua"/>
          <w:b w:val="0"/>
        </w:rPr>
        <w:t xml:space="preserve">IPEA </w:t>
      </w:r>
      <w:r>
        <w:rPr>
          <w:rFonts w:ascii="Book Antiqua" w:hAnsi="Book Antiqua"/>
          <w:b w:val="0"/>
        </w:rPr>
        <w:t>has no budgeted non-financial assets administered in behalf of the Government.</w:t>
      </w:r>
    </w:p>
    <w:p w14:paraId="1841E349" w14:textId="08A2AE24" w:rsidR="00186290" w:rsidRDefault="00186290" w:rsidP="00186290">
      <w:pPr>
        <w:spacing w:before="0" w:after="0" w:line="240" w:lineRule="auto"/>
        <w:rPr>
          <w:rFonts w:ascii="Arial" w:hAnsi="Arial" w:cs="Arial"/>
          <w:sz w:val="16"/>
          <w:szCs w:val="16"/>
        </w:rPr>
      </w:pPr>
    </w:p>
    <w:p w14:paraId="32B91706" w14:textId="77777777" w:rsidR="00186290" w:rsidRDefault="00186290" w:rsidP="00186290">
      <w:pPr>
        <w:spacing w:before="0" w:after="0" w:line="240" w:lineRule="auto"/>
        <w:rPr>
          <w:rFonts w:ascii="Arial" w:hAnsi="Arial" w:cs="Arial"/>
          <w:sz w:val="16"/>
          <w:szCs w:val="16"/>
        </w:rPr>
        <w:sectPr w:rsidR="00186290" w:rsidSect="00F0624A">
          <w:headerReference w:type="even" r:id="rId162"/>
          <w:headerReference w:type="first" r:id="rId163"/>
          <w:footerReference w:type="first" r:id="rId164"/>
          <w:pgSz w:w="11907" w:h="16840" w:code="9"/>
          <w:pgMar w:top="2835" w:right="2098" w:bottom="2466" w:left="2098" w:header="1814" w:footer="1814" w:gutter="0"/>
          <w:cols w:space="708"/>
          <w:titlePg/>
          <w:docGrid w:linePitch="360"/>
        </w:sectPr>
      </w:pPr>
    </w:p>
    <w:p w14:paraId="2DD067DB" w14:textId="77777777" w:rsidR="00DB42D8" w:rsidRDefault="00DB42D8" w:rsidP="00DB42D8">
      <w:pPr>
        <w:pStyle w:val="Heading1"/>
      </w:pPr>
      <w:bookmarkStart w:id="1195" w:name="_Toc157445274"/>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lastRenderedPageBreak/>
        <w:t>Portfolio glossary</w:t>
      </w:r>
      <w:bookmarkEnd w:id="1195"/>
    </w:p>
    <w:tbl>
      <w:tblPr>
        <w:tblW w:w="0" w:type="auto"/>
        <w:tblInd w:w="-34" w:type="dxa"/>
        <w:tblLook w:val="01E0" w:firstRow="1" w:lastRow="1" w:firstColumn="1" w:lastColumn="1" w:noHBand="0" w:noVBand="0"/>
      </w:tblPr>
      <w:tblGrid>
        <w:gridCol w:w="2253"/>
        <w:gridCol w:w="5491"/>
      </w:tblGrid>
      <w:tr w:rsidR="000B2B7D" w:rsidRPr="00EE6DAA" w14:paraId="6DD81924" w14:textId="77777777" w:rsidTr="00B01094">
        <w:trPr>
          <w:tblHeader/>
        </w:trPr>
        <w:tc>
          <w:tcPr>
            <w:tcW w:w="2253" w:type="dxa"/>
          </w:tcPr>
          <w:p w14:paraId="56460A61" w14:textId="77777777" w:rsidR="000B2B7D" w:rsidRPr="00EE6DAA" w:rsidRDefault="000B2B7D" w:rsidP="00B01094">
            <w:pPr>
              <w:pStyle w:val="TableColumnHeadingLeft"/>
              <w:spacing w:before="120" w:after="120"/>
              <w:rPr>
                <w:rFonts w:cs="Arial"/>
                <w:szCs w:val="16"/>
              </w:rPr>
            </w:pPr>
            <w:r w:rsidRPr="00EE6DAA">
              <w:rPr>
                <w:rFonts w:cs="Arial"/>
                <w:szCs w:val="16"/>
              </w:rPr>
              <w:t>Term</w:t>
            </w:r>
          </w:p>
        </w:tc>
        <w:tc>
          <w:tcPr>
            <w:tcW w:w="5491" w:type="dxa"/>
          </w:tcPr>
          <w:p w14:paraId="58090A2C" w14:textId="77777777" w:rsidR="000B2B7D" w:rsidRPr="00EE6DAA" w:rsidRDefault="000B2B7D" w:rsidP="00B01094">
            <w:pPr>
              <w:pStyle w:val="TableColumnHeadingLeft"/>
              <w:spacing w:before="120" w:after="120"/>
              <w:rPr>
                <w:rFonts w:cs="Arial"/>
                <w:szCs w:val="16"/>
              </w:rPr>
            </w:pPr>
            <w:r w:rsidRPr="00EE6DAA">
              <w:rPr>
                <w:rFonts w:cs="Arial"/>
                <w:szCs w:val="16"/>
              </w:rPr>
              <w:t>Meaning</w:t>
            </w:r>
          </w:p>
        </w:tc>
      </w:tr>
      <w:tr w:rsidR="000B2B7D" w:rsidRPr="00EE6DAA" w14:paraId="6FF894FC" w14:textId="77777777" w:rsidTr="00B01094">
        <w:tc>
          <w:tcPr>
            <w:tcW w:w="2253" w:type="dxa"/>
          </w:tcPr>
          <w:p w14:paraId="16496E25"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Accumulated Depreciation</w:t>
            </w:r>
          </w:p>
        </w:tc>
        <w:tc>
          <w:tcPr>
            <w:tcW w:w="5491" w:type="dxa"/>
          </w:tcPr>
          <w:p w14:paraId="1A1342DB"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The aggregate depreciation recorded for a particular depreciating asset.</w:t>
            </w:r>
          </w:p>
        </w:tc>
      </w:tr>
      <w:tr w:rsidR="000B2B7D" w:rsidRPr="00EE6DAA" w14:paraId="100C6A0F" w14:textId="77777777" w:rsidTr="00B01094">
        <w:tc>
          <w:tcPr>
            <w:tcW w:w="2253" w:type="dxa"/>
          </w:tcPr>
          <w:p w14:paraId="2E78880D"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Administered Items</w:t>
            </w:r>
          </w:p>
        </w:tc>
        <w:tc>
          <w:tcPr>
            <w:tcW w:w="5491" w:type="dxa"/>
          </w:tcPr>
          <w:p w14:paraId="610821FA"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0B2B7D" w:rsidRPr="00EE6DAA" w14:paraId="135C84C1" w14:textId="77777777" w:rsidTr="00B01094">
        <w:tc>
          <w:tcPr>
            <w:tcW w:w="2253" w:type="dxa"/>
          </w:tcPr>
          <w:p w14:paraId="474D8D0D"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Additional Estimates</w:t>
            </w:r>
          </w:p>
        </w:tc>
        <w:tc>
          <w:tcPr>
            <w:tcW w:w="5491" w:type="dxa"/>
          </w:tcPr>
          <w:p w14:paraId="05291021"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Where amounts appropriated at Budget time are insufficient, Parliament may appropriate more funds to portfolios through the Additional Estimates Acts. </w:t>
            </w:r>
          </w:p>
        </w:tc>
      </w:tr>
      <w:tr w:rsidR="000B2B7D" w:rsidRPr="00EE6DAA" w14:paraId="78A56849" w14:textId="77777777" w:rsidTr="00B01094">
        <w:tc>
          <w:tcPr>
            <w:tcW w:w="2253" w:type="dxa"/>
          </w:tcPr>
          <w:p w14:paraId="5F5D8D85"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Additional Estimates Bills or Acts</w:t>
            </w:r>
          </w:p>
        </w:tc>
        <w:tc>
          <w:tcPr>
            <w:tcW w:w="5491" w:type="dxa"/>
          </w:tcPr>
          <w:p w14:paraId="230B0401" w14:textId="7D309F60"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These are Appropriation Bills (No. 3) and (No.</w:t>
            </w:r>
            <w:r w:rsidR="00CC16D1">
              <w:rPr>
                <w:rFonts w:ascii="Arial" w:hAnsi="Arial" w:cs="Arial"/>
                <w:sz w:val="16"/>
                <w:szCs w:val="16"/>
              </w:rPr>
              <w:t xml:space="preserve"> </w:t>
            </w:r>
            <w:r w:rsidRPr="00EE6DAA">
              <w:rPr>
                <w:rFonts w:ascii="Arial" w:hAnsi="Arial" w:cs="Arial"/>
                <w:sz w:val="16"/>
                <w:szCs w:val="16"/>
              </w:rPr>
              <w:t>4) and a separate Bill for the Parliamentary Departments ((Parliamentary Departments) Bill (No.</w:t>
            </w:r>
            <w:r>
              <w:rPr>
                <w:rFonts w:ascii="Arial" w:hAnsi="Arial" w:cs="Arial"/>
                <w:sz w:val="16"/>
                <w:szCs w:val="16"/>
              </w:rPr>
              <w:t xml:space="preserve"> </w:t>
            </w:r>
            <w:r w:rsidRPr="00EE6DAA">
              <w:rPr>
                <w:rFonts w:ascii="Arial" w:hAnsi="Arial" w:cs="Arial"/>
                <w:sz w:val="16"/>
                <w:szCs w:val="16"/>
              </w:rPr>
              <w:t>2)). These Bills are introduced into Parliament after the Budget Bills.</w:t>
            </w:r>
          </w:p>
        </w:tc>
      </w:tr>
      <w:tr w:rsidR="000B2B7D" w:rsidRPr="00EE6DAA" w14:paraId="1EAA3053" w14:textId="77777777" w:rsidTr="00B01094">
        <w:tc>
          <w:tcPr>
            <w:tcW w:w="2253" w:type="dxa"/>
          </w:tcPr>
          <w:p w14:paraId="7C9EB51F"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ADF Super</w:t>
            </w:r>
          </w:p>
        </w:tc>
        <w:tc>
          <w:tcPr>
            <w:tcW w:w="5491" w:type="dxa"/>
          </w:tcPr>
          <w:p w14:paraId="6F976929"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Australian Defence Force Superannuation Scheme.</w:t>
            </w:r>
          </w:p>
        </w:tc>
      </w:tr>
      <w:tr w:rsidR="000B2B7D" w:rsidRPr="00EE6DAA" w14:paraId="37B9DA3B" w14:textId="77777777" w:rsidTr="00B01094">
        <w:tc>
          <w:tcPr>
            <w:tcW w:w="2253" w:type="dxa"/>
          </w:tcPr>
          <w:p w14:paraId="020C9F52"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ADF Cover</w:t>
            </w:r>
          </w:p>
        </w:tc>
        <w:tc>
          <w:tcPr>
            <w:tcW w:w="5491" w:type="dxa"/>
          </w:tcPr>
          <w:p w14:paraId="3948C4FC"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Australian Defence Force Cover Scheme.</w:t>
            </w:r>
          </w:p>
        </w:tc>
      </w:tr>
      <w:tr w:rsidR="000B2B7D" w:rsidRPr="00EE6DAA" w14:paraId="149A9F0C" w14:textId="77777777" w:rsidTr="00B01094">
        <w:tc>
          <w:tcPr>
            <w:tcW w:w="2253" w:type="dxa"/>
          </w:tcPr>
          <w:p w14:paraId="6FF5DC60"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AEC</w:t>
            </w:r>
          </w:p>
        </w:tc>
        <w:tc>
          <w:tcPr>
            <w:tcW w:w="5491" w:type="dxa"/>
          </w:tcPr>
          <w:p w14:paraId="46145200"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Australian Electoral Commission.</w:t>
            </w:r>
          </w:p>
        </w:tc>
      </w:tr>
      <w:tr w:rsidR="000B2B7D" w:rsidRPr="00EE6DAA" w14:paraId="585359D2" w14:textId="77777777" w:rsidTr="00B01094">
        <w:tc>
          <w:tcPr>
            <w:tcW w:w="2253" w:type="dxa"/>
          </w:tcPr>
          <w:p w14:paraId="0AD4490F"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ANAO</w:t>
            </w:r>
          </w:p>
        </w:tc>
        <w:tc>
          <w:tcPr>
            <w:tcW w:w="5491" w:type="dxa"/>
          </w:tcPr>
          <w:p w14:paraId="0D0372AF"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Australian National Audit Office.</w:t>
            </w:r>
          </w:p>
        </w:tc>
      </w:tr>
      <w:tr w:rsidR="000B2B7D" w:rsidRPr="00EE6DAA" w14:paraId="018EAE5C" w14:textId="77777777" w:rsidTr="00B01094">
        <w:tc>
          <w:tcPr>
            <w:tcW w:w="2253" w:type="dxa"/>
          </w:tcPr>
          <w:p w14:paraId="10A9BA9D"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Appropriation</w:t>
            </w:r>
          </w:p>
        </w:tc>
        <w:tc>
          <w:tcPr>
            <w:tcW w:w="5491" w:type="dxa"/>
          </w:tcPr>
          <w:p w14:paraId="5A68CD09"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0B2B7D" w:rsidRPr="00EE6DAA" w14:paraId="6271E9B1" w14:textId="77777777" w:rsidTr="00B01094">
        <w:tc>
          <w:tcPr>
            <w:tcW w:w="2253" w:type="dxa"/>
          </w:tcPr>
          <w:p w14:paraId="59C3BBF6"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APRA</w:t>
            </w:r>
          </w:p>
        </w:tc>
        <w:tc>
          <w:tcPr>
            <w:tcW w:w="5491" w:type="dxa"/>
          </w:tcPr>
          <w:p w14:paraId="450EC394"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Australian Prudential Regulation Authority.</w:t>
            </w:r>
          </w:p>
        </w:tc>
      </w:tr>
      <w:tr w:rsidR="000B2B7D" w:rsidRPr="00EE6DAA" w14:paraId="5E2F0AA3" w14:textId="77777777" w:rsidTr="00B01094">
        <w:tc>
          <w:tcPr>
            <w:tcW w:w="2253" w:type="dxa"/>
          </w:tcPr>
          <w:p w14:paraId="471F1ED7"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APS</w:t>
            </w:r>
          </w:p>
        </w:tc>
        <w:tc>
          <w:tcPr>
            <w:tcW w:w="5491" w:type="dxa"/>
          </w:tcPr>
          <w:p w14:paraId="0FEEFB65"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Australian Public Service.</w:t>
            </w:r>
          </w:p>
        </w:tc>
      </w:tr>
      <w:tr w:rsidR="000B2B7D" w:rsidRPr="00EE6DAA" w14:paraId="2055CC3F" w14:textId="77777777" w:rsidTr="00B01094">
        <w:tc>
          <w:tcPr>
            <w:tcW w:w="2253" w:type="dxa"/>
          </w:tcPr>
          <w:p w14:paraId="4DB7EADA"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Annual Appropriation</w:t>
            </w:r>
          </w:p>
        </w:tc>
        <w:tc>
          <w:tcPr>
            <w:tcW w:w="5491" w:type="dxa"/>
          </w:tcPr>
          <w:p w14:paraId="23B98CA8"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Two appropriation Bills are introduced into Parliament in May and comprise the Budget. Further Bills are introduced later in the financial year as part of the Additional Estimates. Parliamentary departments have their own appropriations.</w:t>
            </w:r>
          </w:p>
        </w:tc>
      </w:tr>
      <w:tr w:rsidR="000B2B7D" w:rsidRPr="00EE6DAA" w14:paraId="1EDF44B9" w14:textId="77777777" w:rsidTr="00B01094">
        <w:tc>
          <w:tcPr>
            <w:tcW w:w="2253" w:type="dxa"/>
          </w:tcPr>
          <w:p w14:paraId="16893DBE"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ASIC</w:t>
            </w:r>
          </w:p>
        </w:tc>
        <w:tc>
          <w:tcPr>
            <w:tcW w:w="5491" w:type="dxa"/>
          </w:tcPr>
          <w:p w14:paraId="2A1265FC"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Australian Securities and Investment Commission.</w:t>
            </w:r>
          </w:p>
        </w:tc>
      </w:tr>
      <w:tr w:rsidR="000B2B7D" w:rsidRPr="00EE6DAA" w14:paraId="7BEBB160" w14:textId="77777777" w:rsidTr="00B01094">
        <w:tc>
          <w:tcPr>
            <w:tcW w:w="2253" w:type="dxa"/>
          </w:tcPr>
          <w:p w14:paraId="765C2E51"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ATSILSFF</w:t>
            </w:r>
          </w:p>
        </w:tc>
        <w:tc>
          <w:tcPr>
            <w:tcW w:w="5491" w:type="dxa"/>
          </w:tcPr>
          <w:p w14:paraId="4969D3B5"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Aboriginal and Torres Strait Islander Land and Sea Future Fund.</w:t>
            </w:r>
          </w:p>
        </w:tc>
      </w:tr>
      <w:tr w:rsidR="000B2B7D" w:rsidRPr="00EE6DAA" w14:paraId="37520BBB" w14:textId="77777777" w:rsidTr="00B01094">
        <w:tc>
          <w:tcPr>
            <w:tcW w:w="2253" w:type="dxa"/>
          </w:tcPr>
          <w:p w14:paraId="1C009BED"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Capital Expenditure</w:t>
            </w:r>
          </w:p>
        </w:tc>
        <w:tc>
          <w:tcPr>
            <w:tcW w:w="5491" w:type="dxa"/>
          </w:tcPr>
          <w:p w14:paraId="5E6A83E0"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Expenditure by an entity on capital projects, for example purchasing a building.</w:t>
            </w:r>
          </w:p>
        </w:tc>
      </w:tr>
      <w:tr w:rsidR="000B2B7D" w:rsidRPr="00EE6DAA" w14:paraId="06B3086E" w14:textId="77777777" w:rsidTr="00B01094">
        <w:tblPrEx>
          <w:tblLook w:val="0000" w:firstRow="0" w:lastRow="0" w:firstColumn="0" w:lastColumn="0" w:noHBand="0" w:noVBand="0"/>
        </w:tblPrEx>
        <w:trPr>
          <w:cantSplit/>
          <w:trHeight w:val="567"/>
        </w:trPr>
        <w:tc>
          <w:tcPr>
            <w:tcW w:w="2253" w:type="dxa"/>
          </w:tcPr>
          <w:p w14:paraId="6198D93A"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lastRenderedPageBreak/>
              <w:t>Charter of Budget Honesty Act</w:t>
            </w:r>
          </w:p>
        </w:tc>
        <w:tc>
          <w:tcPr>
            <w:tcW w:w="5491" w:type="dxa"/>
          </w:tcPr>
          <w:p w14:paraId="3FD26D2C"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The </w:t>
            </w:r>
            <w:r w:rsidRPr="00EE6DAA">
              <w:rPr>
                <w:rFonts w:ascii="Arial" w:hAnsi="Arial" w:cs="Arial"/>
                <w:i/>
                <w:sz w:val="16"/>
                <w:szCs w:val="16"/>
              </w:rPr>
              <w:t>Charter of Budget Honesty Act 1998</w:t>
            </w:r>
            <w:r w:rsidRPr="00EE6DAA">
              <w:rPr>
                <w:rFonts w:ascii="Arial" w:hAnsi="Arial" w:cs="Arial"/>
                <w:sz w:val="16"/>
                <w:szCs w:val="16"/>
              </w:rPr>
              <w:t xml:space="preserve"> provides a legislative framework for the conduct and reporting of fiscal policy. </w:t>
            </w:r>
          </w:p>
        </w:tc>
      </w:tr>
      <w:tr w:rsidR="000B2B7D" w:rsidRPr="00EE6DAA" w14:paraId="3E80433C" w14:textId="77777777" w:rsidTr="00B01094">
        <w:tblPrEx>
          <w:tblLook w:val="0000" w:firstRow="0" w:lastRow="0" w:firstColumn="0" w:lastColumn="0" w:noHBand="0" w:noVBand="0"/>
        </w:tblPrEx>
        <w:trPr>
          <w:cantSplit/>
          <w:trHeight w:val="567"/>
        </w:trPr>
        <w:tc>
          <w:tcPr>
            <w:tcW w:w="2253" w:type="dxa"/>
          </w:tcPr>
          <w:p w14:paraId="1D571677"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COMCAR</w:t>
            </w:r>
          </w:p>
        </w:tc>
        <w:tc>
          <w:tcPr>
            <w:tcW w:w="5491" w:type="dxa"/>
          </w:tcPr>
          <w:p w14:paraId="3105970B" w14:textId="77777777" w:rsidR="000B2B7D" w:rsidRPr="00EE6DAA" w:rsidRDefault="000B2B7D" w:rsidP="00B01094">
            <w:pPr>
              <w:spacing w:beforeLines="40" w:before="96" w:after="120"/>
              <w:rPr>
                <w:rFonts w:ascii="Arial" w:hAnsi="Arial" w:cs="Arial"/>
                <w:sz w:val="16"/>
                <w:szCs w:val="16"/>
              </w:rPr>
            </w:pPr>
            <w:r w:rsidRPr="0016721E">
              <w:rPr>
                <w:rFonts w:ascii="Arial" w:hAnsi="Arial" w:cs="Arial"/>
                <w:sz w:val="16"/>
                <w:szCs w:val="16"/>
              </w:rPr>
              <w:t>COMCAR is par</w:t>
            </w:r>
            <w:r>
              <w:rPr>
                <w:rFonts w:ascii="Arial" w:hAnsi="Arial" w:cs="Arial"/>
                <w:sz w:val="16"/>
                <w:szCs w:val="16"/>
              </w:rPr>
              <w:t xml:space="preserve">t of the Department of Finance </w:t>
            </w:r>
            <w:r w:rsidRPr="0016721E">
              <w:rPr>
                <w:rFonts w:ascii="Arial" w:hAnsi="Arial" w:cs="Arial"/>
                <w:sz w:val="16"/>
                <w:szCs w:val="16"/>
              </w:rPr>
              <w:t>which provides high quality, secure and confidential car-with-driver and other ground transport services to the Governor</w:t>
            </w:r>
            <w:r w:rsidRPr="0016721E">
              <w:rPr>
                <w:rFonts w:ascii="Cambria Math" w:hAnsi="Cambria Math" w:cs="Cambria Math"/>
                <w:sz w:val="16"/>
                <w:szCs w:val="16"/>
              </w:rPr>
              <w:t>‑</w:t>
            </w:r>
            <w:r w:rsidRPr="0016721E">
              <w:rPr>
                <w:rFonts w:ascii="Arial" w:hAnsi="Arial" w:cs="Arial"/>
                <w:sz w:val="16"/>
                <w:szCs w:val="16"/>
              </w:rPr>
              <w:t>General, Prime Minister, parliamentarians, members of the Federal Judiciary and other high office holders.</w:t>
            </w:r>
          </w:p>
        </w:tc>
      </w:tr>
      <w:tr w:rsidR="000B2B7D" w:rsidRPr="00EE6DAA" w14:paraId="2D2181E9" w14:textId="77777777" w:rsidTr="00B01094">
        <w:tblPrEx>
          <w:tblLook w:val="0000" w:firstRow="0" w:lastRow="0" w:firstColumn="0" w:lastColumn="0" w:noHBand="0" w:noVBand="0"/>
        </w:tblPrEx>
        <w:trPr>
          <w:cantSplit/>
          <w:trHeight w:val="397"/>
        </w:trPr>
        <w:tc>
          <w:tcPr>
            <w:tcW w:w="2253" w:type="dxa"/>
          </w:tcPr>
          <w:p w14:paraId="59A01E27"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CSC</w:t>
            </w:r>
          </w:p>
        </w:tc>
        <w:tc>
          <w:tcPr>
            <w:tcW w:w="5491" w:type="dxa"/>
          </w:tcPr>
          <w:p w14:paraId="6EB19156" w14:textId="77777777" w:rsidR="000B2B7D" w:rsidRPr="0016721E" w:rsidRDefault="000B2B7D" w:rsidP="00B01094">
            <w:pPr>
              <w:spacing w:beforeLines="40" w:before="96" w:after="120"/>
              <w:rPr>
                <w:rFonts w:ascii="Arial" w:hAnsi="Arial" w:cs="Arial"/>
                <w:sz w:val="16"/>
                <w:szCs w:val="16"/>
              </w:rPr>
            </w:pPr>
            <w:r>
              <w:rPr>
                <w:rFonts w:ascii="Arial" w:hAnsi="Arial" w:cs="Arial"/>
                <w:sz w:val="16"/>
                <w:szCs w:val="16"/>
              </w:rPr>
              <w:t>Commonwealth Superannuation Corporation.</w:t>
            </w:r>
          </w:p>
        </w:tc>
      </w:tr>
      <w:tr w:rsidR="000B2B7D" w:rsidRPr="00EE6DAA" w14:paraId="4515C061" w14:textId="77777777" w:rsidTr="00B01094">
        <w:tblPrEx>
          <w:tblLook w:val="0000" w:firstRow="0" w:lastRow="0" w:firstColumn="0" w:lastColumn="0" w:noHBand="0" w:noVBand="0"/>
        </w:tblPrEx>
        <w:trPr>
          <w:cantSplit/>
          <w:trHeight w:val="397"/>
        </w:trPr>
        <w:tc>
          <w:tcPr>
            <w:tcW w:w="2253" w:type="dxa"/>
          </w:tcPr>
          <w:p w14:paraId="7981903F"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CSS</w:t>
            </w:r>
          </w:p>
        </w:tc>
        <w:tc>
          <w:tcPr>
            <w:tcW w:w="5491" w:type="dxa"/>
          </w:tcPr>
          <w:p w14:paraId="7A87C176"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Commonwealth Superannuation Scheme.</w:t>
            </w:r>
          </w:p>
        </w:tc>
      </w:tr>
      <w:tr w:rsidR="000B2B7D" w:rsidRPr="00EE6DAA" w14:paraId="2DA3D25D" w14:textId="77777777" w:rsidTr="00B01094">
        <w:tblPrEx>
          <w:tblLook w:val="0000" w:firstRow="0" w:lastRow="0" w:firstColumn="0" w:lastColumn="0" w:noHBand="0" w:noVBand="0"/>
        </w:tblPrEx>
        <w:trPr>
          <w:cantSplit/>
          <w:trHeight w:val="567"/>
        </w:trPr>
        <w:tc>
          <w:tcPr>
            <w:tcW w:w="2253" w:type="dxa"/>
          </w:tcPr>
          <w:p w14:paraId="6E823475"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Departmental Items</w:t>
            </w:r>
          </w:p>
        </w:tc>
        <w:tc>
          <w:tcPr>
            <w:tcW w:w="5491" w:type="dxa"/>
          </w:tcPr>
          <w:p w14:paraId="142369F0"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0B2B7D" w:rsidRPr="00EE6DAA" w14:paraId="4C766139" w14:textId="77777777" w:rsidTr="00B01094">
        <w:tblPrEx>
          <w:tblLook w:val="0000" w:firstRow="0" w:lastRow="0" w:firstColumn="0" w:lastColumn="0" w:noHBand="0" w:noVBand="0"/>
        </w:tblPrEx>
        <w:trPr>
          <w:cantSplit/>
          <w:trHeight w:val="845"/>
        </w:trPr>
        <w:tc>
          <w:tcPr>
            <w:tcW w:w="2253" w:type="dxa"/>
          </w:tcPr>
          <w:p w14:paraId="00C9F9C7"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Depreciation and Amortisation</w:t>
            </w:r>
          </w:p>
        </w:tc>
        <w:tc>
          <w:tcPr>
            <w:tcW w:w="5491" w:type="dxa"/>
          </w:tcPr>
          <w:p w14:paraId="5F7FFF6A"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Apportionment of an asset’s capital value as an expense over its estimated useful life to take account of normal usage, obsolescence, or the passage of time.</w:t>
            </w:r>
          </w:p>
        </w:tc>
      </w:tr>
      <w:tr w:rsidR="000B2B7D" w:rsidRPr="00EE6DAA" w14:paraId="4BDEBEC1" w14:textId="77777777" w:rsidTr="00B01094">
        <w:tblPrEx>
          <w:tblLook w:val="0000" w:firstRow="0" w:lastRow="0" w:firstColumn="0" w:lastColumn="0" w:noHBand="0" w:noVBand="0"/>
        </w:tblPrEx>
        <w:trPr>
          <w:cantSplit/>
          <w:trHeight w:val="397"/>
        </w:trPr>
        <w:tc>
          <w:tcPr>
            <w:tcW w:w="2253" w:type="dxa"/>
          </w:tcPr>
          <w:p w14:paraId="747C933B"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DCAF</w:t>
            </w:r>
          </w:p>
        </w:tc>
        <w:tc>
          <w:tcPr>
            <w:tcW w:w="5491" w:type="dxa"/>
          </w:tcPr>
          <w:p w14:paraId="6A29423B"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DisabilityCare Australia Fund.</w:t>
            </w:r>
          </w:p>
        </w:tc>
      </w:tr>
      <w:tr w:rsidR="000B2B7D" w:rsidRPr="00EE6DAA" w14:paraId="1388B8B1" w14:textId="77777777" w:rsidTr="00B01094">
        <w:tblPrEx>
          <w:tblLook w:val="0000" w:firstRow="0" w:lastRow="0" w:firstColumn="0" w:lastColumn="0" w:noHBand="0" w:noVBand="0"/>
        </w:tblPrEx>
        <w:trPr>
          <w:cantSplit/>
          <w:trHeight w:val="397"/>
        </w:trPr>
        <w:tc>
          <w:tcPr>
            <w:tcW w:w="2253" w:type="dxa"/>
          </w:tcPr>
          <w:p w14:paraId="3B48CC7A"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DFRB</w:t>
            </w:r>
          </w:p>
        </w:tc>
        <w:tc>
          <w:tcPr>
            <w:tcW w:w="5491" w:type="dxa"/>
          </w:tcPr>
          <w:p w14:paraId="72D94068"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Defence Forces Retirement Benefits Scheme.</w:t>
            </w:r>
          </w:p>
        </w:tc>
      </w:tr>
      <w:tr w:rsidR="000B2B7D" w:rsidRPr="00EE6DAA" w14:paraId="442BCA64" w14:textId="77777777" w:rsidTr="00B01094">
        <w:tblPrEx>
          <w:tblLook w:val="0000" w:firstRow="0" w:lastRow="0" w:firstColumn="0" w:lastColumn="0" w:noHBand="0" w:noVBand="0"/>
        </w:tblPrEx>
        <w:trPr>
          <w:cantSplit/>
          <w:trHeight w:val="397"/>
        </w:trPr>
        <w:tc>
          <w:tcPr>
            <w:tcW w:w="2253" w:type="dxa"/>
          </w:tcPr>
          <w:p w14:paraId="7F2208C8"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DFRDB</w:t>
            </w:r>
          </w:p>
        </w:tc>
        <w:tc>
          <w:tcPr>
            <w:tcW w:w="5491" w:type="dxa"/>
          </w:tcPr>
          <w:p w14:paraId="57B7E07C"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Defence Force Retirement and Death Benefits Scheme.</w:t>
            </w:r>
          </w:p>
        </w:tc>
      </w:tr>
      <w:tr w:rsidR="000B2B7D" w:rsidRPr="00EE6DAA" w14:paraId="47DFD1DE" w14:textId="77777777" w:rsidTr="00B01094">
        <w:tblPrEx>
          <w:tblLook w:val="0000" w:firstRow="0" w:lastRow="0" w:firstColumn="0" w:lastColumn="0" w:noHBand="0" w:noVBand="0"/>
        </w:tblPrEx>
        <w:trPr>
          <w:cantSplit/>
          <w:trHeight w:val="397"/>
        </w:trPr>
        <w:tc>
          <w:tcPr>
            <w:tcW w:w="2253" w:type="dxa"/>
          </w:tcPr>
          <w:p w14:paraId="5F0033E5"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DFSPB</w:t>
            </w:r>
          </w:p>
        </w:tc>
        <w:tc>
          <w:tcPr>
            <w:tcW w:w="5491" w:type="dxa"/>
          </w:tcPr>
          <w:p w14:paraId="25D3C2AB" w14:textId="2D3C88B6" w:rsidR="000B2B7D" w:rsidRPr="007D7E8E" w:rsidRDefault="000B2B7D" w:rsidP="00B01094">
            <w:pPr>
              <w:spacing w:beforeLines="40" w:before="96" w:after="120"/>
            </w:pPr>
            <w:r w:rsidRPr="007D7E8E">
              <w:rPr>
                <w:rFonts w:ascii="Arial" w:hAnsi="Arial" w:cs="Arial"/>
                <w:sz w:val="16"/>
                <w:szCs w:val="16"/>
              </w:rPr>
              <w:t>Defence Force</w:t>
            </w:r>
            <w:r>
              <w:rPr>
                <w:rFonts w:ascii="Arial" w:hAnsi="Arial" w:cs="Arial"/>
                <w:sz w:val="16"/>
                <w:szCs w:val="16"/>
              </w:rPr>
              <w:t xml:space="preserve"> (Superannuation) (Productivity Benefit) Scheme</w:t>
            </w:r>
            <w:r w:rsidR="006B72E2">
              <w:rPr>
                <w:rFonts w:ascii="Arial" w:hAnsi="Arial" w:cs="Arial"/>
                <w:sz w:val="16"/>
                <w:szCs w:val="16"/>
              </w:rPr>
              <w:t>.</w:t>
            </w:r>
          </w:p>
        </w:tc>
      </w:tr>
      <w:tr w:rsidR="000B2B7D" w:rsidRPr="00EE6DAA" w14:paraId="7344A34B" w14:textId="77777777" w:rsidTr="00B01094">
        <w:tblPrEx>
          <w:tblLook w:val="0000" w:firstRow="0" w:lastRow="0" w:firstColumn="0" w:lastColumn="0" w:noHBand="0" w:noVBand="0"/>
        </w:tblPrEx>
        <w:trPr>
          <w:cantSplit/>
          <w:trHeight w:val="397"/>
        </w:trPr>
        <w:tc>
          <w:tcPr>
            <w:tcW w:w="2253" w:type="dxa"/>
          </w:tcPr>
          <w:p w14:paraId="708310E1"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DRF</w:t>
            </w:r>
          </w:p>
        </w:tc>
        <w:tc>
          <w:tcPr>
            <w:tcW w:w="5491" w:type="dxa"/>
          </w:tcPr>
          <w:p w14:paraId="6F2B82C5" w14:textId="0B7C5699" w:rsidR="000B2B7D" w:rsidRPr="007D7E8E" w:rsidRDefault="000B2B7D" w:rsidP="00B01094">
            <w:pPr>
              <w:spacing w:beforeLines="40" w:before="96" w:after="120"/>
              <w:rPr>
                <w:rFonts w:ascii="Arial" w:hAnsi="Arial" w:cs="Arial"/>
                <w:sz w:val="16"/>
                <w:szCs w:val="16"/>
              </w:rPr>
            </w:pPr>
            <w:r>
              <w:rPr>
                <w:rFonts w:ascii="Arial" w:hAnsi="Arial" w:cs="Arial"/>
                <w:sz w:val="16"/>
                <w:szCs w:val="16"/>
              </w:rPr>
              <w:t>Disaster Ready Fund</w:t>
            </w:r>
            <w:r w:rsidR="006B72E2">
              <w:rPr>
                <w:rFonts w:ascii="Arial" w:hAnsi="Arial" w:cs="Arial"/>
                <w:sz w:val="16"/>
                <w:szCs w:val="16"/>
              </w:rPr>
              <w:t>.</w:t>
            </w:r>
          </w:p>
        </w:tc>
      </w:tr>
      <w:tr w:rsidR="000B2B7D" w:rsidRPr="00EE6DAA" w14:paraId="20B81F29" w14:textId="77777777" w:rsidTr="00B01094">
        <w:tblPrEx>
          <w:tblLook w:val="0000" w:firstRow="0" w:lastRow="0" w:firstColumn="0" w:lastColumn="0" w:noHBand="0" w:noVBand="0"/>
        </w:tblPrEx>
        <w:trPr>
          <w:cantSplit/>
          <w:trHeight w:val="397"/>
        </w:trPr>
        <w:tc>
          <w:tcPr>
            <w:tcW w:w="2253" w:type="dxa"/>
          </w:tcPr>
          <w:p w14:paraId="2B396B75"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DTA</w:t>
            </w:r>
          </w:p>
        </w:tc>
        <w:tc>
          <w:tcPr>
            <w:tcW w:w="5491" w:type="dxa"/>
          </w:tcPr>
          <w:p w14:paraId="54DC410B" w14:textId="77777777" w:rsidR="000B2B7D" w:rsidRPr="007D7E8E" w:rsidRDefault="000B2B7D" w:rsidP="00B01094">
            <w:pPr>
              <w:spacing w:beforeLines="40" w:before="96" w:after="120"/>
              <w:rPr>
                <w:rFonts w:ascii="Arial" w:hAnsi="Arial" w:cs="Arial"/>
                <w:sz w:val="16"/>
                <w:szCs w:val="16"/>
              </w:rPr>
            </w:pPr>
            <w:r>
              <w:rPr>
                <w:rFonts w:ascii="Arial" w:hAnsi="Arial" w:cs="Arial"/>
                <w:sz w:val="16"/>
                <w:szCs w:val="16"/>
              </w:rPr>
              <w:t>Digital Transformation Agency.</w:t>
            </w:r>
          </w:p>
        </w:tc>
      </w:tr>
      <w:tr w:rsidR="000B2B7D" w:rsidRPr="00EE6DAA" w14:paraId="02ECB212" w14:textId="77777777" w:rsidTr="00B01094">
        <w:tblPrEx>
          <w:tblLook w:val="0000" w:firstRow="0" w:lastRow="0" w:firstColumn="0" w:lastColumn="0" w:noHBand="0" w:noVBand="0"/>
        </w:tblPrEx>
        <w:trPr>
          <w:cantSplit/>
          <w:trHeight w:val="397"/>
        </w:trPr>
        <w:tc>
          <w:tcPr>
            <w:tcW w:w="2253" w:type="dxa"/>
          </w:tcPr>
          <w:p w14:paraId="52902B67"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Electoral Act</w:t>
            </w:r>
          </w:p>
        </w:tc>
        <w:tc>
          <w:tcPr>
            <w:tcW w:w="5491" w:type="dxa"/>
          </w:tcPr>
          <w:p w14:paraId="7FDE0181" w14:textId="77777777" w:rsidR="000B2B7D" w:rsidRPr="00B02924" w:rsidRDefault="000B2B7D" w:rsidP="00B01094">
            <w:pPr>
              <w:spacing w:beforeLines="40" w:before="96" w:after="120"/>
              <w:rPr>
                <w:rFonts w:ascii="Arial" w:hAnsi="Arial" w:cs="Arial"/>
                <w:sz w:val="16"/>
                <w:szCs w:val="16"/>
              </w:rPr>
            </w:pPr>
            <w:r w:rsidRPr="00B02924">
              <w:rPr>
                <w:rFonts w:ascii="Arial" w:hAnsi="Arial" w:cs="Arial"/>
                <w:i/>
                <w:sz w:val="16"/>
                <w:szCs w:val="16"/>
              </w:rPr>
              <w:t>Commonwealth Electoral Act 1918.</w:t>
            </w:r>
          </w:p>
        </w:tc>
      </w:tr>
      <w:tr w:rsidR="000B2B7D" w:rsidRPr="00EE6DAA" w14:paraId="4E337ED3" w14:textId="77777777" w:rsidTr="00B01094">
        <w:tblPrEx>
          <w:tblLook w:val="0000" w:firstRow="0" w:lastRow="0" w:firstColumn="0" w:lastColumn="0" w:noHBand="0" w:noVBand="0"/>
        </w:tblPrEx>
        <w:trPr>
          <w:cantSplit/>
          <w:trHeight w:val="397"/>
        </w:trPr>
        <w:tc>
          <w:tcPr>
            <w:tcW w:w="2253" w:type="dxa"/>
          </w:tcPr>
          <w:p w14:paraId="4D7807EC"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Equity or Net Assets</w:t>
            </w:r>
          </w:p>
        </w:tc>
        <w:tc>
          <w:tcPr>
            <w:tcW w:w="5491" w:type="dxa"/>
          </w:tcPr>
          <w:p w14:paraId="10D4C919"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Residual interest in the assets of an entity after deduction of its liabilities.</w:t>
            </w:r>
          </w:p>
        </w:tc>
      </w:tr>
      <w:tr w:rsidR="000B2B7D" w:rsidRPr="00EE6DAA" w14:paraId="115DAD11" w14:textId="77777777" w:rsidTr="00B01094">
        <w:tblPrEx>
          <w:tblLook w:val="0000" w:firstRow="0" w:lastRow="0" w:firstColumn="0" w:lastColumn="0" w:noHBand="0" w:noVBand="0"/>
        </w:tblPrEx>
        <w:trPr>
          <w:cantSplit/>
        </w:trPr>
        <w:tc>
          <w:tcPr>
            <w:tcW w:w="2253" w:type="dxa"/>
          </w:tcPr>
          <w:p w14:paraId="28954E14"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ERC</w:t>
            </w:r>
          </w:p>
        </w:tc>
        <w:tc>
          <w:tcPr>
            <w:tcW w:w="5491" w:type="dxa"/>
          </w:tcPr>
          <w:p w14:paraId="02E11E8D"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Expenditure Review Committee.</w:t>
            </w:r>
          </w:p>
        </w:tc>
      </w:tr>
      <w:tr w:rsidR="000B2B7D" w:rsidRPr="00EE6DAA" w14:paraId="57982C7D" w14:textId="77777777" w:rsidTr="00B01094">
        <w:tblPrEx>
          <w:tblLook w:val="0000" w:firstRow="0" w:lastRow="0" w:firstColumn="0" w:lastColumn="0" w:noHBand="0" w:noVBand="0"/>
        </w:tblPrEx>
        <w:trPr>
          <w:cantSplit/>
        </w:trPr>
        <w:tc>
          <w:tcPr>
            <w:tcW w:w="2253" w:type="dxa"/>
          </w:tcPr>
          <w:p w14:paraId="51C50E3D"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ERF</w:t>
            </w:r>
          </w:p>
        </w:tc>
        <w:tc>
          <w:tcPr>
            <w:tcW w:w="5491" w:type="dxa"/>
          </w:tcPr>
          <w:p w14:paraId="0FC01953"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Emergency Response Fund.</w:t>
            </w:r>
          </w:p>
        </w:tc>
      </w:tr>
      <w:tr w:rsidR="000B2B7D" w:rsidRPr="00EE6DAA" w14:paraId="1ACC5DE6" w14:textId="77777777" w:rsidTr="00B01094">
        <w:tblPrEx>
          <w:tblLook w:val="0000" w:firstRow="0" w:lastRow="0" w:firstColumn="0" w:lastColumn="0" w:noHBand="0" w:noVBand="0"/>
        </w:tblPrEx>
        <w:trPr>
          <w:cantSplit/>
        </w:trPr>
        <w:tc>
          <w:tcPr>
            <w:tcW w:w="2253" w:type="dxa"/>
          </w:tcPr>
          <w:p w14:paraId="03EF9F1D"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ERP</w:t>
            </w:r>
          </w:p>
        </w:tc>
        <w:tc>
          <w:tcPr>
            <w:tcW w:w="5491" w:type="dxa"/>
          </w:tcPr>
          <w:p w14:paraId="1AB7DE00" w14:textId="06960851" w:rsidR="000B2B7D" w:rsidRDefault="000B2B7D" w:rsidP="00B01094">
            <w:pPr>
              <w:spacing w:beforeLines="40" w:before="96" w:after="120"/>
              <w:rPr>
                <w:rFonts w:ascii="Arial" w:hAnsi="Arial" w:cs="Arial"/>
                <w:sz w:val="16"/>
                <w:szCs w:val="16"/>
              </w:rPr>
            </w:pPr>
            <w:r>
              <w:rPr>
                <w:rFonts w:ascii="Arial" w:hAnsi="Arial" w:cs="Arial"/>
                <w:sz w:val="16"/>
                <w:szCs w:val="16"/>
              </w:rPr>
              <w:t>Enterprise Resource Planning</w:t>
            </w:r>
            <w:r w:rsidR="006B72E2">
              <w:rPr>
                <w:rFonts w:ascii="Arial" w:hAnsi="Arial" w:cs="Arial"/>
                <w:sz w:val="16"/>
                <w:szCs w:val="16"/>
              </w:rPr>
              <w:t>.</w:t>
            </w:r>
          </w:p>
        </w:tc>
      </w:tr>
      <w:tr w:rsidR="000B2B7D" w:rsidRPr="00EE6DAA" w14:paraId="3C36C6F2" w14:textId="77777777" w:rsidTr="00B01094">
        <w:tblPrEx>
          <w:tblLook w:val="0000" w:firstRow="0" w:lastRow="0" w:firstColumn="0" w:lastColumn="0" w:noHBand="0" w:noVBand="0"/>
        </w:tblPrEx>
        <w:trPr>
          <w:cantSplit/>
        </w:trPr>
        <w:tc>
          <w:tcPr>
            <w:tcW w:w="2253" w:type="dxa"/>
          </w:tcPr>
          <w:p w14:paraId="2D3B075D"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Expense</w:t>
            </w:r>
          </w:p>
        </w:tc>
        <w:tc>
          <w:tcPr>
            <w:tcW w:w="5491" w:type="dxa"/>
          </w:tcPr>
          <w:p w14:paraId="4C964736"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Total value of all of the resources consumed in producing goods and services or the loss of future economic benefits in the form of reductions in assets or increases in liabilities of an entity. </w:t>
            </w:r>
          </w:p>
        </w:tc>
      </w:tr>
      <w:tr w:rsidR="000B2B7D" w:rsidRPr="00EE6DAA" w14:paraId="64A52E45" w14:textId="77777777" w:rsidTr="00B01094">
        <w:tblPrEx>
          <w:tblLook w:val="0000" w:firstRow="0" w:lastRow="0" w:firstColumn="0" w:lastColumn="0" w:noHBand="0" w:noVBand="0"/>
        </w:tblPrEx>
        <w:trPr>
          <w:cantSplit/>
        </w:trPr>
        <w:tc>
          <w:tcPr>
            <w:tcW w:w="2253" w:type="dxa"/>
          </w:tcPr>
          <w:p w14:paraId="1C7B1413"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lastRenderedPageBreak/>
              <w:br w:type="page"/>
              <w:t>Fair Value</w:t>
            </w:r>
          </w:p>
        </w:tc>
        <w:tc>
          <w:tcPr>
            <w:tcW w:w="5491" w:type="dxa"/>
          </w:tcPr>
          <w:p w14:paraId="38BDCE6E"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0B2B7D" w:rsidRPr="00EE6DAA" w14:paraId="7A6C954B" w14:textId="77777777" w:rsidTr="00B01094">
        <w:tblPrEx>
          <w:tblLook w:val="0000" w:firstRow="0" w:lastRow="0" w:firstColumn="0" w:lastColumn="0" w:noHBand="0" w:noVBand="0"/>
        </w:tblPrEx>
        <w:trPr>
          <w:cantSplit/>
          <w:trHeight w:val="397"/>
        </w:trPr>
        <w:tc>
          <w:tcPr>
            <w:tcW w:w="2253" w:type="dxa"/>
          </w:tcPr>
          <w:p w14:paraId="2FED04E1"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FBO</w:t>
            </w:r>
          </w:p>
        </w:tc>
        <w:tc>
          <w:tcPr>
            <w:tcW w:w="5491" w:type="dxa"/>
          </w:tcPr>
          <w:p w14:paraId="32E0F039"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Final Budget Outcome.</w:t>
            </w:r>
          </w:p>
        </w:tc>
      </w:tr>
      <w:tr w:rsidR="000B2B7D" w:rsidRPr="00EE6DAA" w14:paraId="2EB8A45D" w14:textId="77777777" w:rsidTr="00B01094">
        <w:tblPrEx>
          <w:tblLook w:val="0000" w:firstRow="0" w:lastRow="0" w:firstColumn="0" w:lastColumn="0" w:noHBand="0" w:noVBand="0"/>
        </w:tblPrEx>
        <w:trPr>
          <w:cantSplit/>
          <w:trHeight w:val="397"/>
        </w:trPr>
        <w:tc>
          <w:tcPr>
            <w:tcW w:w="2253" w:type="dxa"/>
          </w:tcPr>
          <w:p w14:paraId="32A84F3D"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FDF</w:t>
            </w:r>
          </w:p>
        </w:tc>
        <w:tc>
          <w:tcPr>
            <w:tcW w:w="5491" w:type="dxa"/>
          </w:tcPr>
          <w:p w14:paraId="7DF4ADB3"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Future Drought Fund.</w:t>
            </w:r>
          </w:p>
        </w:tc>
      </w:tr>
      <w:tr w:rsidR="000B2B7D" w:rsidRPr="00EE6DAA" w14:paraId="41379F65" w14:textId="77777777" w:rsidTr="00B01094">
        <w:tblPrEx>
          <w:tblLook w:val="0000" w:firstRow="0" w:lastRow="0" w:firstColumn="0" w:lastColumn="0" w:noHBand="0" w:noVBand="0"/>
        </w:tblPrEx>
        <w:trPr>
          <w:cantSplit/>
          <w:trHeight w:val="397"/>
        </w:trPr>
        <w:tc>
          <w:tcPr>
            <w:tcW w:w="2253" w:type="dxa"/>
          </w:tcPr>
          <w:p w14:paraId="7C8652D5"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FFMA</w:t>
            </w:r>
          </w:p>
        </w:tc>
        <w:tc>
          <w:tcPr>
            <w:tcW w:w="5491" w:type="dxa"/>
          </w:tcPr>
          <w:p w14:paraId="4824A76B"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Future Fund Management Agency.</w:t>
            </w:r>
          </w:p>
        </w:tc>
      </w:tr>
      <w:tr w:rsidR="000B2B7D" w:rsidRPr="00EE6DAA" w14:paraId="62552002" w14:textId="77777777" w:rsidTr="00B01094">
        <w:tblPrEx>
          <w:tblLook w:val="0000" w:firstRow="0" w:lastRow="0" w:firstColumn="0" w:lastColumn="0" w:noHBand="0" w:noVBand="0"/>
        </w:tblPrEx>
        <w:trPr>
          <w:cantSplit/>
          <w:trHeight w:val="397"/>
        </w:trPr>
        <w:tc>
          <w:tcPr>
            <w:tcW w:w="2253" w:type="dxa"/>
          </w:tcPr>
          <w:p w14:paraId="0DEAB246" w14:textId="77777777" w:rsidR="000B2B7D" w:rsidRDefault="000B2B7D" w:rsidP="00B01094">
            <w:pPr>
              <w:spacing w:beforeLines="40" w:before="96" w:after="120"/>
              <w:rPr>
                <w:rFonts w:ascii="Arial" w:hAnsi="Arial" w:cs="Arial"/>
                <w:sz w:val="16"/>
                <w:szCs w:val="16"/>
              </w:rPr>
            </w:pPr>
            <w:r w:rsidRPr="00F43755">
              <w:rPr>
                <w:rFonts w:ascii="Arial" w:eastAsia="Arial" w:hAnsi="Arial" w:cs="Arial"/>
                <w:bCs/>
                <w:sz w:val="16"/>
                <w:szCs w:val="16"/>
              </w:rPr>
              <w:t>FMiAO</w:t>
            </w:r>
          </w:p>
        </w:tc>
        <w:tc>
          <w:tcPr>
            <w:tcW w:w="5491" w:type="dxa"/>
          </w:tcPr>
          <w:p w14:paraId="7FC5CCF7" w14:textId="0D23FEF3" w:rsidR="000B2B7D" w:rsidRDefault="000B2B7D" w:rsidP="00B01094">
            <w:pPr>
              <w:spacing w:beforeLines="40" w:before="96" w:after="120"/>
              <w:rPr>
                <w:rFonts w:ascii="Arial" w:hAnsi="Arial" w:cs="Arial"/>
                <w:sz w:val="16"/>
                <w:szCs w:val="16"/>
              </w:rPr>
            </w:pPr>
            <w:r w:rsidRPr="00F43755">
              <w:rPr>
                <w:rFonts w:ascii="Arial" w:eastAsia="Arial" w:hAnsi="Arial" w:cs="Arial"/>
                <w:bCs/>
                <w:sz w:val="16"/>
                <w:szCs w:val="16"/>
              </w:rPr>
              <w:t>Future Made in Australia Office</w:t>
            </w:r>
            <w:r w:rsidR="006B72E2">
              <w:rPr>
                <w:rFonts w:ascii="Arial" w:eastAsia="Arial" w:hAnsi="Arial" w:cs="Arial"/>
                <w:bCs/>
                <w:sz w:val="16"/>
                <w:szCs w:val="16"/>
              </w:rPr>
              <w:t>.</w:t>
            </w:r>
          </w:p>
        </w:tc>
      </w:tr>
      <w:tr w:rsidR="000B2B7D" w:rsidRPr="00EE6DAA" w14:paraId="4C12E39F" w14:textId="77777777" w:rsidTr="00B01094">
        <w:tblPrEx>
          <w:tblLook w:val="0000" w:firstRow="0" w:lastRow="0" w:firstColumn="0" w:lastColumn="0" w:noHBand="0" w:noVBand="0"/>
        </w:tblPrEx>
        <w:trPr>
          <w:cantSplit/>
          <w:trHeight w:val="397"/>
        </w:trPr>
        <w:tc>
          <w:tcPr>
            <w:tcW w:w="2253" w:type="dxa"/>
          </w:tcPr>
          <w:p w14:paraId="76B9C55D"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GST</w:t>
            </w:r>
          </w:p>
        </w:tc>
        <w:tc>
          <w:tcPr>
            <w:tcW w:w="5491" w:type="dxa"/>
          </w:tcPr>
          <w:p w14:paraId="4FD57C6B"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Goods and Services Tax.</w:t>
            </w:r>
          </w:p>
        </w:tc>
      </w:tr>
      <w:tr w:rsidR="00E628CE" w:rsidRPr="00EE6DAA" w14:paraId="3F4C594A" w14:textId="77777777" w:rsidTr="00B01094">
        <w:tblPrEx>
          <w:tblLook w:val="0000" w:firstRow="0" w:lastRow="0" w:firstColumn="0" w:lastColumn="0" w:noHBand="0" w:noVBand="0"/>
        </w:tblPrEx>
        <w:trPr>
          <w:cantSplit/>
          <w:trHeight w:val="397"/>
        </w:trPr>
        <w:tc>
          <w:tcPr>
            <w:tcW w:w="2253" w:type="dxa"/>
          </w:tcPr>
          <w:p w14:paraId="53B92127" w14:textId="19E2A11A" w:rsidR="00E628CE" w:rsidRDefault="00E628CE" w:rsidP="00B01094">
            <w:pPr>
              <w:spacing w:beforeLines="40" w:before="96" w:after="120"/>
              <w:rPr>
                <w:rFonts w:ascii="Arial" w:hAnsi="Arial" w:cs="Arial"/>
                <w:sz w:val="16"/>
                <w:szCs w:val="16"/>
              </w:rPr>
            </w:pPr>
            <w:r>
              <w:rPr>
                <w:rFonts w:ascii="Arial" w:hAnsi="Arial" w:cs="Arial"/>
                <w:sz w:val="16"/>
                <w:szCs w:val="16"/>
              </w:rPr>
              <w:t>HAFF</w:t>
            </w:r>
          </w:p>
        </w:tc>
        <w:tc>
          <w:tcPr>
            <w:tcW w:w="5491" w:type="dxa"/>
          </w:tcPr>
          <w:p w14:paraId="0039AA71" w14:textId="3E8F6470" w:rsidR="00E628CE" w:rsidRDefault="00E628CE" w:rsidP="00B01094">
            <w:pPr>
              <w:spacing w:beforeLines="40" w:before="96" w:after="120"/>
              <w:rPr>
                <w:rFonts w:ascii="Arial" w:hAnsi="Arial" w:cs="Arial"/>
                <w:sz w:val="16"/>
                <w:szCs w:val="16"/>
              </w:rPr>
            </w:pPr>
            <w:r>
              <w:rPr>
                <w:rFonts w:ascii="Arial" w:hAnsi="Arial" w:cs="Arial"/>
                <w:sz w:val="16"/>
                <w:szCs w:val="16"/>
              </w:rPr>
              <w:t>Housing Australia Future Fund</w:t>
            </w:r>
            <w:r w:rsidR="006B72E2">
              <w:rPr>
                <w:rFonts w:ascii="Arial" w:hAnsi="Arial" w:cs="Arial"/>
                <w:sz w:val="16"/>
                <w:szCs w:val="16"/>
              </w:rPr>
              <w:t>.</w:t>
            </w:r>
          </w:p>
        </w:tc>
      </w:tr>
      <w:tr w:rsidR="000B2B7D" w:rsidRPr="00EE6DAA" w14:paraId="7CEDB724" w14:textId="77777777" w:rsidTr="00B01094">
        <w:tblPrEx>
          <w:tblLook w:val="0000" w:firstRow="0" w:lastRow="0" w:firstColumn="0" w:lastColumn="0" w:noHBand="0" w:noVBand="0"/>
        </w:tblPrEx>
        <w:trPr>
          <w:cantSplit/>
          <w:trHeight w:val="397"/>
        </w:trPr>
        <w:tc>
          <w:tcPr>
            <w:tcW w:w="2253" w:type="dxa"/>
          </w:tcPr>
          <w:p w14:paraId="0BB320EF"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ICT</w:t>
            </w:r>
          </w:p>
        </w:tc>
        <w:tc>
          <w:tcPr>
            <w:tcW w:w="5491" w:type="dxa"/>
          </w:tcPr>
          <w:p w14:paraId="72031FF4"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Information and Communication Technology.</w:t>
            </w:r>
          </w:p>
        </w:tc>
      </w:tr>
      <w:tr w:rsidR="000B2B7D" w:rsidRPr="00EE6DAA" w14:paraId="60320107" w14:textId="77777777" w:rsidTr="00B01094">
        <w:tblPrEx>
          <w:tblLook w:val="0000" w:firstRow="0" w:lastRow="0" w:firstColumn="0" w:lastColumn="0" w:noHBand="0" w:noVBand="0"/>
        </w:tblPrEx>
        <w:trPr>
          <w:cantSplit/>
          <w:trHeight w:val="397"/>
        </w:trPr>
        <w:tc>
          <w:tcPr>
            <w:tcW w:w="2253" w:type="dxa"/>
          </w:tcPr>
          <w:p w14:paraId="4697E8AC"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IPEA</w:t>
            </w:r>
          </w:p>
        </w:tc>
        <w:tc>
          <w:tcPr>
            <w:tcW w:w="5491" w:type="dxa"/>
          </w:tcPr>
          <w:p w14:paraId="4CC5ED6B"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Independent Parliamentary Expenses Authority.</w:t>
            </w:r>
          </w:p>
        </w:tc>
      </w:tr>
      <w:tr w:rsidR="000B2B7D" w:rsidRPr="00EE6DAA" w14:paraId="2CF9948D" w14:textId="77777777" w:rsidTr="00B01094">
        <w:tblPrEx>
          <w:tblLook w:val="0000" w:firstRow="0" w:lastRow="0" w:firstColumn="0" w:lastColumn="0" w:noHBand="0" w:noVBand="0"/>
        </w:tblPrEx>
        <w:trPr>
          <w:cantSplit/>
          <w:trHeight w:val="397"/>
        </w:trPr>
        <w:tc>
          <w:tcPr>
            <w:tcW w:w="2253" w:type="dxa"/>
          </w:tcPr>
          <w:p w14:paraId="795E5D9B"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IPEA Act</w:t>
            </w:r>
          </w:p>
        </w:tc>
        <w:tc>
          <w:tcPr>
            <w:tcW w:w="5491" w:type="dxa"/>
          </w:tcPr>
          <w:p w14:paraId="3439EB03" w14:textId="77777777" w:rsidR="000B2B7D" w:rsidRPr="001A3997" w:rsidRDefault="000B2B7D" w:rsidP="00B01094">
            <w:pPr>
              <w:spacing w:beforeLines="40" w:before="96" w:after="120"/>
              <w:rPr>
                <w:rFonts w:ascii="Arial" w:hAnsi="Arial" w:cs="Arial"/>
                <w:i/>
                <w:sz w:val="16"/>
                <w:szCs w:val="16"/>
              </w:rPr>
            </w:pPr>
            <w:r w:rsidRPr="001A3997">
              <w:rPr>
                <w:rFonts w:ascii="Arial" w:hAnsi="Arial" w:cs="Arial"/>
                <w:i/>
                <w:sz w:val="16"/>
                <w:szCs w:val="16"/>
              </w:rPr>
              <w:t>Independent Parliamentary Expenses Authority Act 2017</w:t>
            </w:r>
            <w:r w:rsidRPr="000832E4">
              <w:rPr>
                <w:rFonts w:ascii="Arial" w:hAnsi="Arial" w:cs="Arial"/>
                <w:sz w:val="16"/>
                <w:szCs w:val="16"/>
              </w:rPr>
              <w:t>.</w:t>
            </w:r>
          </w:p>
        </w:tc>
      </w:tr>
      <w:tr w:rsidR="000B2B7D" w:rsidRPr="00EE6DAA" w14:paraId="1D87C810" w14:textId="77777777" w:rsidTr="00B01094">
        <w:tblPrEx>
          <w:tblLook w:val="0000" w:firstRow="0" w:lastRow="0" w:firstColumn="0" w:lastColumn="0" w:noHBand="0" w:noVBand="0"/>
        </w:tblPrEx>
        <w:trPr>
          <w:cantSplit/>
          <w:trHeight w:val="397"/>
        </w:trPr>
        <w:tc>
          <w:tcPr>
            <w:tcW w:w="2253" w:type="dxa"/>
          </w:tcPr>
          <w:p w14:paraId="7DC4C37B"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JCPAA</w:t>
            </w:r>
          </w:p>
        </w:tc>
        <w:tc>
          <w:tcPr>
            <w:tcW w:w="5491" w:type="dxa"/>
          </w:tcPr>
          <w:p w14:paraId="008C32DC"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Joint Committee of Public Accounts and Audit.</w:t>
            </w:r>
          </w:p>
        </w:tc>
      </w:tr>
      <w:tr w:rsidR="000B2B7D" w:rsidRPr="00EE6DAA" w14:paraId="6A478EC2" w14:textId="77777777" w:rsidTr="00B01094">
        <w:tblPrEx>
          <w:tblLook w:val="0000" w:firstRow="0" w:lastRow="0" w:firstColumn="0" w:lastColumn="0" w:noHBand="0" w:noVBand="0"/>
        </w:tblPrEx>
        <w:trPr>
          <w:cantSplit/>
          <w:trHeight w:val="397"/>
        </w:trPr>
        <w:tc>
          <w:tcPr>
            <w:tcW w:w="2253" w:type="dxa"/>
          </w:tcPr>
          <w:p w14:paraId="7D12D2BF"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Measure</w:t>
            </w:r>
          </w:p>
        </w:tc>
        <w:tc>
          <w:tcPr>
            <w:tcW w:w="5491" w:type="dxa"/>
          </w:tcPr>
          <w:p w14:paraId="562BD2EC"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A new policy or savings decision of the government with financial impacts. </w:t>
            </w:r>
          </w:p>
        </w:tc>
      </w:tr>
      <w:tr w:rsidR="000B2B7D" w:rsidRPr="00EE6DAA" w14:paraId="3B6DBF29" w14:textId="77777777" w:rsidTr="00B01094">
        <w:tblPrEx>
          <w:tblLook w:val="0000" w:firstRow="0" w:lastRow="0" w:firstColumn="0" w:lastColumn="0" w:noHBand="0" w:noVBand="0"/>
        </w:tblPrEx>
        <w:trPr>
          <w:cantSplit/>
          <w:trHeight w:val="397"/>
        </w:trPr>
        <w:tc>
          <w:tcPr>
            <w:tcW w:w="2253" w:type="dxa"/>
          </w:tcPr>
          <w:p w14:paraId="563C9F50"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MFS</w:t>
            </w:r>
          </w:p>
        </w:tc>
        <w:tc>
          <w:tcPr>
            <w:tcW w:w="5491" w:type="dxa"/>
          </w:tcPr>
          <w:p w14:paraId="6EB89D0C"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Monthly Financial Statements.</w:t>
            </w:r>
          </w:p>
        </w:tc>
      </w:tr>
      <w:tr w:rsidR="000B2B7D" w:rsidRPr="00EE6DAA" w14:paraId="39B93AF0" w14:textId="77777777" w:rsidTr="00B01094">
        <w:tblPrEx>
          <w:tblLook w:val="0000" w:firstRow="0" w:lastRow="0" w:firstColumn="0" w:lastColumn="0" w:noHBand="0" w:noVBand="0"/>
        </w:tblPrEx>
        <w:trPr>
          <w:cantSplit/>
          <w:trHeight w:val="397"/>
        </w:trPr>
        <w:tc>
          <w:tcPr>
            <w:tcW w:w="2253" w:type="dxa"/>
          </w:tcPr>
          <w:p w14:paraId="7C4B4DA6"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MOP(S) Act</w:t>
            </w:r>
          </w:p>
        </w:tc>
        <w:tc>
          <w:tcPr>
            <w:tcW w:w="5491" w:type="dxa"/>
          </w:tcPr>
          <w:p w14:paraId="6FEEDDA0" w14:textId="77777777" w:rsidR="000B2B7D" w:rsidRPr="006342FE" w:rsidRDefault="000B2B7D" w:rsidP="00B01094">
            <w:pPr>
              <w:spacing w:beforeLines="40" w:before="96" w:after="120"/>
              <w:rPr>
                <w:rFonts w:ascii="Arial" w:hAnsi="Arial" w:cs="Arial"/>
                <w:i/>
                <w:sz w:val="16"/>
                <w:szCs w:val="16"/>
              </w:rPr>
            </w:pPr>
            <w:r w:rsidRPr="006342FE">
              <w:rPr>
                <w:rFonts w:ascii="Arial" w:hAnsi="Arial" w:cs="Arial"/>
                <w:i/>
                <w:sz w:val="16"/>
                <w:szCs w:val="16"/>
              </w:rPr>
              <w:t>Members of Parliament (Staff) Act 1984</w:t>
            </w:r>
            <w:r w:rsidRPr="000832E4">
              <w:rPr>
                <w:rFonts w:ascii="Arial" w:hAnsi="Arial" w:cs="Arial"/>
                <w:sz w:val="16"/>
                <w:szCs w:val="16"/>
              </w:rPr>
              <w:t>.</w:t>
            </w:r>
          </w:p>
        </w:tc>
      </w:tr>
      <w:tr w:rsidR="000B2B7D" w:rsidRPr="00EE6DAA" w14:paraId="1E847F6D" w14:textId="77777777" w:rsidTr="00B01094">
        <w:tblPrEx>
          <w:tblLook w:val="0000" w:firstRow="0" w:lastRow="0" w:firstColumn="0" w:lastColumn="0" w:noHBand="0" w:noVBand="0"/>
        </w:tblPrEx>
        <w:trPr>
          <w:cantSplit/>
          <w:trHeight w:val="397"/>
        </w:trPr>
        <w:tc>
          <w:tcPr>
            <w:tcW w:w="2253" w:type="dxa"/>
          </w:tcPr>
          <w:p w14:paraId="1216CDC0"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MRFF</w:t>
            </w:r>
          </w:p>
        </w:tc>
        <w:tc>
          <w:tcPr>
            <w:tcW w:w="5491" w:type="dxa"/>
          </w:tcPr>
          <w:p w14:paraId="0FDFF9F2"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Medical Research Future Fund.</w:t>
            </w:r>
          </w:p>
        </w:tc>
      </w:tr>
      <w:tr w:rsidR="000B2B7D" w:rsidRPr="00EE6DAA" w14:paraId="2F950D0F" w14:textId="77777777" w:rsidTr="00B01094">
        <w:tblPrEx>
          <w:tblLook w:val="0000" w:firstRow="0" w:lastRow="0" w:firstColumn="0" w:lastColumn="0" w:noHBand="0" w:noVBand="0"/>
        </w:tblPrEx>
        <w:trPr>
          <w:cantSplit/>
          <w:trHeight w:val="397"/>
        </w:trPr>
        <w:tc>
          <w:tcPr>
            <w:tcW w:w="2253" w:type="dxa"/>
          </w:tcPr>
          <w:p w14:paraId="5C192926"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MSBS</w:t>
            </w:r>
          </w:p>
        </w:tc>
        <w:tc>
          <w:tcPr>
            <w:tcW w:w="5491" w:type="dxa"/>
          </w:tcPr>
          <w:p w14:paraId="4C4C8B9E"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Military Superannuation and Benefits Scheme.</w:t>
            </w:r>
          </w:p>
        </w:tc>
      </w:tr>
      <w:tr w:rsidR="000B2B7D" w:rsidRPr="00EE6DAA" w14:paraId="5D5D853E" w14:textId="77777777" w:rsidTr="00B01094">
        <w:tblPrEx>
          <w:tblLook w:val="0000" w:firstRow="0" w:lastRow="0" w:firstColumn="0" w:lastColumn="0" w:noHBand="0" w:noVBand="0"/>
        </w:tblPrEx>
        <w:trPr>
          <w:cantSplit/>
          <w:trHeight w:val="397"/>
        </w:trPr>
        <w:tc>
          <w:tcPr>
            <w:tcW w:w="2253" w:type="dxa"/>
          </w:tcPr>
          <w:p w14:paraId="0422B811"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MYEFO</w:t>
            </w:r>
          </w:p>
        </w:tc>
        <w:tc>
          <w:tcPr>
            <w:tcW w:w="5491" w:type="dxa"/>
          </w:tcPr>
          <w:p w14:paraId="42FC1FD2"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Mid-Year Economic and Fiscal Outlook.</w:t>
            </w:r>
          </w:p>
        </w:tc>
      </w:tr>
      <w:tr w:rsidR="000B2B7D" w:rsidRPr="00EE6DAA" w14:paraId="00838243" w14:textId="77777777" w:rsidTr="00B01094">
        <w:tblPrEx>
          <w:tblLook w:val="0000" w:firstRow="0" w:lastRow="0" w:firstColumn="0" w:lastColumn="0" w:noHBand="0" w:noVBand="0"/>
        </w:tblPrEx>
        <w:trPr>
          <w:cantSplit/>
          <w:trHeight w:val="397"/>
        </w:trPr>
        <w:tc>
          <w:tcPr>
            <w:tcW w:w="2253" w:type="dxa"/>
          </w:tcPr>
          <w:p w14:paraId="67CD8013"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Operating Result</w:t>
            </w:r>
          </w:p>
        </w:tc>
        <w:tc>
          <w:tcPr>
            <w:tcW w:w="5491" w:type="dxa"/>
          </w:tcPr>
          <w:p w14:paraId="51B74FF6"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Equals income less expense.</w:t>
            </w:r>
          </w:p>
        </w:tc>
      </w:tr>
      <w:tr w:rsidR="000B2B7D" w:rsidRPr="00EE6DAA" w14:paraId="2C175330" w14:textId="77777777" w:rsidTr="00B01094">
        <w:tblPrEx>
          <w:tblLook w:val="0000" w:firstRow="0" w:lastRow="0" w:firstColumn="0" w:lastColumn="0" w:noHBand="0" w:noVBand="0"/>
        </w:tblPrEx>
        <w:trPr>
          <w:cantSplit/>
          <w:trHeight w:val="283"/>
        </w:trPr>
        <w:tc>
          <w:tcPr>
            <w:tcW w:w="2253" w:type="dxa"/>
          </w:tcPr>
          <w:p w14:paraId="5028FB69"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Outcomes</w:t>
            </w:r>
          </w:p>
        </w:tc>
        <w:tc>
          <w:tcPr>
            <w:tcW w:w="5491" w:type="dxa"/>
          </w:tcPr>
          <w:p w14:paraId="4F41D864"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0B2B7D" w:rsidRPr="00EE6DAA" w14:paraId="361D5807" w14:textId="77777777" w:rsidTr="00B01094">
        <w:tblPrEx>
          <w:tblLook w:val="0000" w:firstRow="0" w:lastRow="0" w:firstColumn="0" w:lastColumn="0" w:noHBand="0" w:noVBand="0"/>
        </w:tblPrEx>
        <w:trPr>
          <w:cantSplit/>
          <w:trHeight w:val="283"/>
        </w:trPr>
        <w:tc>
          <w:tcPr>
            <w:tcW w:w="2253" w:type="dxa"/>
          </w:tcPr>
          <w:p w14:paraId="15DF30A2"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PEMS</w:t>
            </w:r>
          </w:p>
        </w:tc>
        <w:tc>
          <w:tcPr>
            <w:tcW w:w="5491" w:type="dxa"/>
          </w:tcPr>
          <w:p w14:paraId="2E596250"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Parliamentary Expenses Management System.</w:t>
            </w:r>
          </w:p>
        </w:tc>
      </w:tr>
      <w:tr w:rsidR="000B2B7D" w:rsidRPr="00EE6DAA" w14:paraId="0061E4CC" w14:textId="77777777" w:rsidTr="00B01094">
        <w:tblPrEx>
          <w:tblLook w:val="0000" w:firstRow="0" w:lastRow="0" w:firstColumn="0" w:lastColumn="0" w:noHBand="0" w:noVBand="0"/>
        </w:tblPrEx>
        <w:trPr>
          <w:cantSplit/>
          <w:trHeight w:val="283"/>
        </w:trPr>
        <w:tc>
          <w:tcPr>
            <w:tcW w:w="2253" w:type="dxa"/>
          </w:tcPr>
          <w:p w14:paraId="1EC6CA87" w14:textId="77777777" w:rsidR="000B2B7D" w:rsidRDefault="000B2B7D" w:rsidP="00B01094">
            <w:pPr>
              <w:spacing w:beforeLines="40" w:before="96" w:after="120"/>
              <w:rPr>
                <w:rFonts w:ascii="Arial" w:hAnsi="Arial" w:cs="Arial"/>
                <w:sz w:val="16"/>
                <w:szCs w:val="16"/>
              </w:rPr>
            </w:pPr>
            <w:r w:rsidRPr="00EE6DAA">
              <w:rPr>
                <w:rFonts w:ascii="Arial" w:hAnsi="Arial" w:cs="Arial"/>
                <w:sz w:val="16"/>
                <w:szCs w:val="16"/>
              </w:rPr>
              <w:lastRenderedPageBreak/>
              <w:t xml:space="preserve">PGPA Act </w:t>
            </w:r>
          </w:p>
        </w:tc>
        <w:tc>
          <w:tcPr>
            <w:tcW w:w="5491" w:type="dxa"/>
          </w:tcPr>
          <w:p w14:paraId="4B54698B" w14:textId="77777777" w:rsidR="000B2B7D" w:rsidRDefault="000B2B7D" w:rsidP="00B01094">
            <w:pPr>
              <w:spacing w:beforeLines="40" w:before="96" w:after="120"/>
              <w:rPr>
                <w:rFonts w:ascii="Arial" w:hAnsi="Arial" w:cs="Arial"/>
                <w:sz w:val="16"/>
                <w:szCs w:val="16"/>
              </w:rPr>
            </w:pPr>
            <w:r w:rsidRPr="00EE6DAA">
              <w:rPr>
                <w:rFonts w:ascii="Arial" w:hAnsi="Arial" w:cs="Arial"/>
                <w:i/>
                <w:sz w:val="16"/>
                <w:szCs w:val="16"/>
              </w:rPr>
              <w:t>Public Governance, Performance and Accountability Act 2013</w:t>
            </w:r>
            <w:r>
              <w:rPr>
                <w:rFonts w:ascii="Arial" w:hAnsi="Arial" w:cs="Arial"/>
                <w:sz w:val="16"/>
                <w:szCs w:val="16"/>
              </w:rPr>
              <w:t>.</w:t>
            </w:r>
          </w:p>
        </w:tc>
      </w:tr>
      <w:tr w:rsidR="000B2B7D" w:rsidRPr="00EE6DAA" w14:paraId="7D8899E8" w14:textId="77777777" w:rsidTr="00B01094">
        <w:tblPrEx>
          <w:tblLook w:val="0000" w:firstRow="0" w:lastRow="0" w:firstColumn="0" w:lastColumn="0" w:noHBand="0" w:noVBand="0"/>
        </w:tblPrEx>
        <w:trPr>
          <w:cantSplit/>
          <w:trHeight w:val="283"/>
        </w:trPr>
        <w:tc>
          <w:tcPr>
            <w:tcW w:w="2253" w:type="dxa"/>
          </w:tcPr>
          <w:p w14:paraId="46931DC8"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PNG</w:t>
            </w:r>
          </w:p>
        </w:tc>
        <w:tc>
          <w:tcPr>
            <w:tcW w:w="5491" w:type="dxa"/>
          </w:tcPr>
          <w:p w14:paraId="14EA59ED" w14:textId="77777777" w:rsidR="000B2B7D" w:rsidRPr="007D7E8E" w:rsidRDefault="000B2B7D" w:rsidP="00B01094">
            <w:pPr>
              <w:spacing w:beforeLines="40" w:before="96" w:after="120"/>
              <w:rPr>
                <w:rFonts w:ascii="Arial" w:hAnsi="Arial" w:cs="Arial"/>
                <w:sz w:val="16"/>
                <w:szCs w:val="16"/>
              </w:rPr>
            </w:pPr>
            <w:r>
              <w:rPr>
                <w:rFonts w:ascii="Arial" w:hAnsi="Arial" w:cs="Arial"/>
                <w:sz w:val="16"/>
                <w:szCs w:val="16"/>
              </w:rPr>
              <w:t>Papua New Guinea Scheme.</w:t>
            </w:r>
          </w:p>
        </w:tc>
      </w:tr>
      <w:tr w:rsidR="000B2B7D" w:rsidRPr="00EE6DAA" w14:paraId="03E396A4" w14:textId="77777777" w:rsidTr="00B01094">
        <w:tblPrEx>
          <w:tblLook w:val="0000" w:firstRow="0" w:lastRow="0" w:firstColumn="0" w:lastColumn="0" w:noHBand="0" w:noVBand="0"/>
        </w:tblPrEx>
        <w:trPr>
          <w:cantSplit/>
          <w:trHeight w:val="627"/>
        </w:trPr>
        <w:tc>
          <w:tcPr>
            <w:tcW w:w="2253" w:type="dxa"/>
          </w:tcPr>
          <w:p w14:paraId="7C855E0D" w14:textId="77777777" w:rsidR="000B2B7D" w:rsidRPr="00EE6DAA" w:rsidRDefault="000B2B7D" w:rsidP="00B01094">
            <w:pPr>
              <w:spacing w:beforeLines="40" w:before="96" w:after="120"/>
              <w:ind w:left="65" w:hanging="65"/>
              <w:rPr>
                <w:rFonts w:ascii="Arial" w:hAnsi="Arial" w:cs="Arial"/>
                <w:sz w:val="16"/>
                <w:szCs w:val="16"/>
              </w:rPr>
            </w:pPr>
            <w:r w:rsidRPr="00EE6DAA">
              <w:rPr>
                <w:rFonts w:ascii="Arial" w:hAnsi="Arial" w:cs="Arial"/>
                <w:sz w:val="16"/>
                <w:szCs w:val="16"/>
              </w:rPr>
              <w:t>Portfolio</w:t>
            </w:r>
          </w:p>
        </w:tc>
        <w:tc>
          <w:tcPr>
            <w:tcW w:w="5491" w:type="dxa"/>
          </w:tcPr>
          <w:p w14:paraId="237613D5"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A Minister’s area of responsibility as a member of Cabinet. A portfolio consists of one or more Departments of State and a number of entities with similar general objectives and outcomes.</w:t>
            </w:r>
          </w:p>
        </w:tc>
      </w:tr>
      <w:tr w:rsidR="000B2B7D" w:rsidRPr="00EE6DAA" w14:paraId="24791E4D" w14:textId="77777777" w:rsidTr="00B01094">
        <w:tblPrEx>
          <w:tblLook w:val="0000" w:firstRow="0" w:lastRow="0" w:firstColumn="0" w:lastColumn="0" w:noHBand="0" w:noVBand="0"/>
        </w:tblPrEx>
        <w:trPr>
          <w:cantSplit/>
          <w:trHeight w:val="397"/>
        </w:trPr>
        <w:tc>
          <w:tcPr>
            <w:tcW w:w="2253" w:type="dxa"/>
          </w:tcPr>
          <w:p w14:paraId="4D16D743"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PSCP</w:t>
            </w:r>
          </w:p>
        </w:tc>
        <w:tc>
          <w:tcPr>
            <w:tcW w:w="5491" w:type="dxa"/>
          </w:tcPr>
          <w:p w14:paraId="004CFC56" w14:textId="77777777" w:rsidR="000B2B7D" w:rsidRPr="006342FE" w:rsidRDefault="000B2B7D" w:rsidP="00B01094">
            <w:pPr>
              <w:spacing w:beforeLines="40" w:before="96" w:after="120"/>
              <w:rPr>
                <w:rFonts w:ascii="Arial" w:hAnsi="Arial" w:cs="Arial"/>
                <w:sz w:val="16"/>
                <w:szCs w:val="16"/>
              </w:rPr>
            </w:pPr>
            <w:r>
              <w:rPr>
                <w:rFonts w:ascii="Arial" w:hAnsi="Arial" w:cs="Arial"/>
                <w:sz w:val="16"/>
                <w:szCs w:val="16"/>
              </w:rPr>
              <w:t>Property Services Coordinated Procurement.</w:t>
            </w:r>
          </w:p>
        </w:tc>
      </w:tr>
      <w:tr w:rsidR="000B2B7D" w:rsidRPr="00EE6DAA" w14:paraId="2CE41467" w14:textId="77777777" w:rsidTr="00B01094">
        <w:tblPrEx>
          <w:tblLook w:val="0000" w:firstRow="0" w:lastRow="0" w:firstColumn="0" w:lastColumn="0" w:noHBand="0" w:noVBand="0"/>
        </w:tblPrEx>
        <w:trPr>
          <w:cantSplit/>
          <w:trHeight w:val="397"/>
        </w:trPr>
        <w:tc>
          <w:tcPr>
            <w:tcW w:w="2253" w:type="dxa"/>
          </w:tcPr>
          <w:p w14:paraId="558C2625"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PSS</w:t>
            </w:r>
          </w:p>
        </w:tc>
        <w:tc>
          <w:tcPr>
            <w:tcW w:w="5491" w:type="dxa"/>
          </w:tcPr>
          <w:p w14:paraId="7CA04E2D"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Public Sector Superannuation Scheme.</w:t>
            </w:r>
          </w:p>
        </w:tc>
      </w:tr>
      <w:tr w:rsidR="000B2B7D" w:rsidRPr="00EE6DAA" w14:paraId="5A9493D6" w14:textId="77777777" w:rsidTr="00B01094">
        <w:tblPrEx>
          <w:tblLook w:val="0000" w:firstRow="0" w:lastRow="0" w:firstColumn="0" w:lastColumn="0" w:noHBand="0" w:noVBand="0"/>
        </w:tblPrEx>
        <w:trPr>
          <w:cantSplit/>
          <w:trHeight w:val="397"/>
        </w:trPr>
        <w:tc>
          <w:tcPr>
            <w:tcW w:w="2253" w:type="dxa"/>
          </w:tcPr>
          <w:p w14:paraId="44EF773A"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PSSap</w:t>
            </w:r>
          </w:p>
        </w:tc>
        <w:tc>
          <w:tcPr>
            <w:tcW w:w="5491" w:type="dxa"/>
          </w:tcPr>
          <w:p w14:paraId="31BDD4AC" w14:textId="77777777" w:rsidR="000B2B7D" w:rsidRDefault="000B2B7D" w:rsidP="00B01094">
            <w:pPr>
              <w:spacing w:beforeLines="40" w:before="96" w:after="120"/>
              <w:rPr>
                <w:rFonts w:ascii="Arial" w:hAnsi="Arial" w:cs="Arial"/>
                <w:sz w:val="16"/>
                <w:szCs w:val="16"/>
              </w:rPr>
            </w:pPr>
            <w:r>
              <w:rPr>
                <w:rFonts w:ascii="Arial" w:hAnsi="Arial" w:cs="Arial"/>
                <w:sz w:val="16"/>
                <w:szCs w:val="16"/>
              </w:rPr>
              <w:t>Public Sector Superannuation Scheme Accumulation Plan.</w:t>
            </w:r>
          </w:p>
        </w:tc>
      </w:tr>
      <w:tr w:rsidR="000B2B7D" w:rsidRPr="00EE6DAA" w14:paraId="3A495C9D" w14:textId="77777777" w:rsidTr="00B01094">
        <w:tblPrEx>
          <w:tblLook w:val="0000" w:firstRow="0" w:lastRow="0" w:firstColumn="0" w:lastColumn="0" w:noHBand="0" w:noVBand="0"/>
        </w:tblPrEx>
        <w:trPr>
          <w:cantSplit/>
          <w:trHeight w:val="663"/>
        </w:trPr>
        <w:tc>
          <w:tcPr>
            <w:tcW w:w="2253" w:type="dxa"/>
          </w:tcPr>
          <w:p w14:paraId="10F87247"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Revenue</w:t>
            </w:r>
          </w:p>
        </w:tc>
        <w:tc>
          <w:tcPr>
            <w:tcW w:w="5491" w:type="dxa"/>
          </w:tcPr>
          <w:p w14:paraId="2644D919"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Total value of resources earned or received to cover the production of goods and services or increases in future economic benefits in the form of increases in assets or reductions in liabilities of an entity.</w:t>
            </w:r>
          </w:p>
        </w:tc>
      </w:tr>
      <w:tr w:rsidR="000B2B7D" w:rsidRPr="00EE6DAA" w14:paraId="07246260" w14:textId="77777777" w:rsidTr="00B01094">
        <w:tblPrEx>
          <w:tblLook w:val="0000" w:firstRow="0" w:lastRow="0" w:firstColumn="0" w:lastColumn="0" w:noHBand="0" w:noVBand="0"/>
        </w:tblPrEx>
        <w:trPr>
          <w:cantSplit/>
          <w:trHeight w:val="454"/>
        </w:trPr>
        <w:tc>
          <w:tcPr>
            <w:tcW w:w="2253" w:type="dxa"/>
          </w:tcPr>
          <w:p w14:paraId="2B72C648"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ROU</w:t>
            </w:r>
          </w:p>
        </w:tc>
        <w:tc>
          <w:tcPr>
            <w:tcW w:w="5491" w:type="dxa"/>
          </w:tcPr>
          <w:p w14:paraId="6D2D8A6D" w14:textId="77777777" w:rsidR="000B2B7D" w:rsidRPr="00EE6DAA" w:rsidRDefault="000B2B7D" w:rsidP="00B01094">
            <w:pPr>
              <w:spacing w:beforeLines="40" w:before="96" w:after="120"/>
              <w:rPr>
                <w:rFonts w:ascii="Arial" w:hAnsi="Arial" w:cs="Arial"/>
                <w:sz w:val="16"/>
                <w:szCs w:val="16"/>
              </w:rPr>
            </w:pPr>
            <w:r w:rsidRPr="00CE7EF0">
              <w:rPr>
                <w:rFonts w:ascii="Arial" w:hAnsi="Arial" w:cs="Arial"/>
                <w:sz w:val="16"/>
                <w:szCs w:val="16"/>
              </w:rPr>
              <w:t xml:space="preserve">Right-of-Use (ROU) assets under </w:t>
            </w:r>
            <w:r>
              <w:rPr>
                <w:rFonts w:ascii="Arial" w:hAnsi="Arial" w:cs="Arial"/>
                <w:sz w:val="16"/>
                <w:szCs w:val="16"/>
              </w:rPr>
              <w:t xml:space="preserve">Australian Accounting Standard </w:t>
            </w:r>
            <w:r>
              <w:rPr>
                <w:rFonts w:ascii="Arial" w:hAnsi="Arial" w:cs="Arial"/>
                <w:sz w:val="16"/>
                <w:szCs w:val="16"/>
              </w:rPr>
              <w:br/>
            </w:r>
            <w:r w:rsidRPr="0020642B">
              <w:rPr>
                <w:rFonts w:ascii="Arial" w:hAnsi="Arial" w:cs="Arial"/>
                <w:sz w:val="16"/>
                <w:szCs w:val="16"/>
              </w:rPr>
              <w:t>AASB 16 Leases</w:t>
            </w:r>
            <w:r>
              <w:rPr>
                <w:rFonts w:ascii="Arial" w:hAnsi="Arial" w:cs="Arial"/>
                <w:i/>
                <w:sz w:val="16"/>
                <w:szCs w:val="16"/>
              </w:rPr>
              <w:t>.</w:t>
            </w:r>
          </w:p>
        </w:tc>
      </w:tr>
      <w:tr w:rsidR="000B2B7D" w:rsidRPr="00EE6DAA" w14:paraId="10778A82" w14:textId="77777777" w:rsidTr="00B01094">
        <w:tblPrEx>
          <w:tblLook w:val="0000" w:firstRow="0" w:lastRow="0" w:firstColumn="0" w:lastColumn="0" w:noHBand="0" w:noVBand="0"/>
        </w:tblPrEx>
        <w:trPr>
          <w:cantSplit/>
          <w:trHeight w:val="397"/>
        </w:trPr>
        <w:tc>
          <w:tcPr>
            <w:tcW w:w="2253" w:type="dxa"/>
          </w:tcPr>
          <w:p w14:paraId="19DEAA36"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SDO</w:t>
            </w:r>
          </w:p>
        </w:tc>
        <w:tc>
          <w:tcPr>
            <w:tcW w:w="5491" w:type="dxa"/>
          </w:tcPr>
          <w:p w14:paraId="0E3488FA"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Service Delivery Office.</w:t>
            </w:r>
          </w:p>
        </w:tc>
      </w:tr>
      <w:tr w:rsidR="000B2B7D" w:rsidRPr="00EE6DAA" w14:paraId="6071E1FF" w14:textId="77777777" w:rsidTr="00B01094">
        <w:tblPrEx>
          <w:tblLook w:val="0000" w:firstRow="0" w:lastRow="0" w:firstColumn="0" w:lastColumn="0" w:noHBand="0" w:noVBand="0"/>
        </w:tblPrEx>
        <w:trPr>
          <w:cantSplit/>
          <w:trHeight w:val="663"/>
        </w:trPr>
        <w:tc>
          <w:tcPr>
            <w:tcW w:w="2253" w:type="dxa"/>
          </w:tcPr>
          <w:p w14:paraId="55094CBB"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Special Accounts</w:t>
            </w:r>
          </w:p>
        </w:tc>
        <w:tc>
          <w:tcPr>
            <w:tcW w:w="5491" w:type="dxa"/>
          </w:tcPr>
          <w:p w14:paraId="60D181EA"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A type of </w:t>
            </w:r>
            <w:hyperlink r:id="rId165" w:anchor="special_appropriation" w:history="1">
              <w:r w:rsidRPr="00EE6DAA">
                <w:rPr>
                  <w:rFonts w:ascii="Arial" w:hAnsi="Arial" w:cs="Arial"/>
                  <w:sz w:val="16"/>
                  <w:szCs w:val="16"/>
                </w:rPr>
                <w:t>special appropriation</w:t>
              </w:r>
            </w:hyperlink>
            <w:r w:rsidRPr="00EE6DAA">
              <w:rPr>
                <w:rFonts w:ascii="Arial" w:hAnsi="Arial" w:cs="Arial"/>
                <w:sz w:val="16"/>
                <w:szCs w:val="16"/>
              </w:rPr>
              <w:t xml:space="preserve">, limited by amount, criteria or time, which may be established under sections 78 and 80 of the </w:t>
            </w:r>
            <w:r w:rsidRPr="00922C42">
              <w:rPr>
                <w:rFonts w:ascii="Arial" w:hAnsi="Arial" w:cs="Arial"/>
                <w:sz w:val="16"/>
                <w:szCs w:val="16"/>
              </w:rPr>
              <w:t>PGPA Act</w:t>
            </w:r>
            <w:r w:rsidRPr="00EE6DAA">
              <w:rPr>
                <w:rFonts w:ascii="Arial" w:hAnsi="Arial" w:cs="Arial"/>
                <w:sz w:val="16"/>
                <w:szCs w:val="16"/>
              </w:rPr>
              <w:t>.</w:t>
            </w:r>
          </w:p>
        </w:tc>
      </w:tr>
      <w:tr w:rsidR="000B2B7D" w:rsidRPr="00EE6DAA" w14:paraId="7F6C019A" w14:textId="77777777" w:rsidTr="00B01094">
        <w:tblPrEx>
          <w:tblLook w:val="0000" w:firstRow="0" w:lastRow="0" w:firstColumn="0" w:lastColumn="0" w:noHBand="0" w:noVBand="0"/>
        </w:tblPrEx>
        <w:trPr>
          <w:cantSplit/>
          <w:trHeight w:val="350"/>
        </w:trPr>
        <w:tc>
          <w:tcPr>
            <w:tcW w:w="2253" w:type="dxa"/>
          </w:tcPr>
          <w:p w14:paraId="0BF7D45F"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Special Appropriations </w:t>
            </w:r>
          </w:p>
        </w:tc>
        <w:tc>
          <w:tcPr>
            <w:tcW w:w="5491" w:type="dxa"/>
          </w:tcPr>
          <w:p w14:paraId="3D9B0718" w14:textId="77777777" w:rsidR="000B2B7D" w:rsidRPr="00EE6DAA" w:rsidRDefault="000B2B7D" w:rsidP="00B01094">
            <w:pPr>
              <w:spacing w:beforeLines="40" w:before="96" w:after="120"/>
              <w:rPr>
                <w:rFonts w:ascii="Arial" w:hAnsi="Arial" w:cs="Arial"/>
                <w:sz w:val="16"/>
                <w:szCs w:val="16"/>
              </w:rPr>
            </w:pPr>
            <w:r w:rsidRPr="00EE6DAA">
              <w:rPr>
                <w:rFonts w:ascii="Arial" w:hAnsi="Arial" w:cs="Arial"/>
                <w:sz w:val="16"/>
                <w:szCs w:val="16"/>
              </w:rPr>
              <w:t xml:space="preserve">Authority within an Act (other than an </w:t>
            </w:r>
            <w:hyperlink r:id="rId166" w:anchor="annual_appropriations" w:history="1">
              <w:r w:rsidRPr="00EE6DAA">
                <w:rPr>
                  <w:rFonts w:ascii="Arial" w:hAnsi="Arial" w:cs="Arial"/>
                  <w:sz w:val="16"/>
                  <w:szCs w:val="16"/>
                </w:rPr>
                <w:t xml:space="preserve">annual </w:t>
              </w:r>
              <w:r w:rsidRPr="002474C2">
                <w:rPr>
                  <w:rFonts w:ascii="Arial" w:hAnsi="Arial" w:cs="Arial"/>
                  <w:i/>
                  <w:iCs/>
                  <w:sz w:val="16"/>
                  <w:szCs w:val="16"/>
                </w:rPr>
                <w:t>Appropriation</w:t>
              </w:r>
            </w:hyperlink>
            <w:r w:rsidRPr="00EE6DAA">
              <w:rPr>
                <w:rFonts w:ascii="Arial" w:hAnsi="Arial" w:cs="Arial"/>
                <w:sz w:val="16"/>
                <w:szCs w:val="16"/>
              </w:rPr>
              <w:t xml:space="preserve"> </w:t>
            </w:r>
            <w:r w:rsidRPr="002474C2">
              <w:rPr>
                <w:rFonts w:ascii="Arial" w:hAnsi="Arial" w:cs="Arial"/>
                <w:i/>
                <w:iCs/>
                <w:sz w:val="16"/>
                <w:szCs w:val="16"/>
              </w:rPr>
              <w:t>Act</w:t>
            </w:r>
            <w:r w:rsidRPr="00EE6DAA">
              <w:rPr>
                <w:rFonts w:ascii="Arial" w:hAnsi="Arial" w:cs="Arial"/>
                <w:sz w:val="16"/>
                <w:szCs w:val="16"/>
              </w:rPr>
              <w:t xml:space="preserve">) to spend money from the </w:t>
            </w:r>
            <w:hyperlink r:id="rId167" w:anchor="crf" w:history="1">
              <w:r w:rsidRPr="00EE6DAA">
                <w:rPr>
                  <w:rFonts w:ascii="Arial" w:hAnsi="Arial" w:cs="Arial"/>
                  <w:sz w:val="16"/>
                  <w:szCs w:val="16"/>
                </w:rPr>
                <w:t>Consolidated Revenue Fund</w:t>
              </w:r>
            </w:hyperlink>
            <w:r w:rsidRPr="00EE6DAA">
              <w:rPr>
                <w:rFonts w:ascii="Arial" w:hAnsi="Arial" w:cs="Arial"/>
                <w:sz w:val="16"/>
                <w:szCs w:val="16"/>
              </w:rPr>
              <w:t xml:space="preserve"> for particular purposes. </w:t>
            </w:r>
            <w:r w:rsidRPr="00EE6DAA">
              <w:rPr>
                <w:rFonts w:ascii="Arial" w:hAnsi="Arial" w:cs="Arial"/>
                <w:i/>
                <w:sz w:val="16"/>
                <w:szCs w:val="16"/>
              </w:rPr>
              <w:t>The Social Security (Administration) Act 1999</w:t>
            </w:r>
            <w:r w:rsidRPr="00EE6DAA">
              <w:rPr>
                <w:rFonts w:ascii="Arial" w:hAnsi="Arial" w:cs="Arial"/>
                <w:sz w:val="16"/>
                <w:szCs w:val="16"/>
              </w:rPr>
              <w:t>, for example, contains several special appropriations to make social security payments. Special appropriations support around 80% of all government expenditure each year.</w:t>
            </w:r>
          </w:p>
        </w:tc>
      </w:tr>
      <w:tr w:rsidR="000B2B7D" w:rsidRPr="00EE6DAA" w14:paraId="1456D26C" w14:textId="77777777" w:rsidTr="00B01094">
        <w:tblPrEx>
          <w:tblLook w:val="0000" w:firstRow="0" w:lastRow="0" w:firstColumn="0" w:lastColumn="0" w:noHBand="0" w:noVBand="0"/>
        </w:tblPrEx>
        <w:trPr>
          <w:cantSplit/>
          <w:trHeight w:val="397"/>
        </w:trPr>
        <w:tc>
          <w:tcPr>
            <w:tcW w:w="2253" w:type="dxa"/>
          </w:tcPr>
          <w:p w14:paraId="6D8661A3"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WoAG</w:t>
            </w:r>
          </w:p>
        </w:tc>
        <w:tc>
          <w:tcPr>
            <w:tcW w:w="5491" w:type="dxa"/>
          </w:tcPr>
          <w:p w14:paraId="575C8B3F" w14:textId="77777777" w:rsidR="000B2B7D" w:rsidRPr="00EE6DAA" w:rsidRDefault="000B2B7D" w:rsidP="00B01094">
            <w:pPr>
              <w:spacing w:beforeLines="40" w:before="96" w:after="120"/>
              <w:rPr>
                <w:rFonts w:ascii="Arial" w:hAnsi="Arial" w:cs="Arial"/>
                <w:sz w:val="16"/>
                <w:szCs w:val="16"/>
              </w:rPr>
            </w:pPr>
            <w:r>
              <w:rPr>
                <w:rFonts w:ascii="Arial" w:hAnsi="Arial" w:cs="Arial"/>
                <w:sz w:val="16"/>
                <w:szCs w:val="16"/>
              </w:rPr>
              <w:t>Whole of Australian Government.</w:t>
            </w:r>
          </w:p>
        </w:tc>
      </w:tr>
    </w:tbl>
    <w:p w14:paraId="61D3273D" w14:textId="77777777" w:rsidR="000B2B7D" w:rsidRPr="000C3B86" w:rsidRDefault="000B2B7D" w:rsidP="000B2B7D">
      <w:pPr>
        <w:spacing w:before="0" w:after="0" w:line="240" w:lineRule="auto"/>
      </w:pPr>
    </w:p>
    <w:p w14:paraId="3C4D5351" w14:textId="77777777" w:rsidR="00DB42D8" w:rsidRDefault="00DB42D8" w:rsidP="00DB42D8"/>
    <w:p w14:paraId="7D8224F0" w14:textId="77777777" w:rsidR="00DB42D8" w:rsidRDefault="00DB42D8" w:rsidP="00DB42D8"/>
    <w:p w14:paraId="04D00C38" w14:textId="77777777" w:rsidR="00DB42D8" w:rsidRDefault="00DB42D8" w:rsidP="00DB42D8">
      <w:pPr>
        <w:sectPr w:rsidR="00DB42D8" w:rsidSect="008F07DB">
          <w:headerReference w:type="even" r:id="rId168"/>
          <w:headerReference w:type="default" r:id="rId169"/>
          <w:footerReference w:type="even" r:id="rId170"/>
          <w:footerReference w:type="default" r:id="rId171"/>
          <w:headerReference w:type="first" r:id="rId172"/>
          <w:footerReference w:type="first" r:id="rId173"/>
          <w:type w:val="oddPage"/>
          <w:pgSz w:w="11907" w:h="16840" w:code="9"/>
          <w:pgMar w:top="2835" w:right="2098" w:bottom="2466" w:left="2098" w:header="1814" w:footer="1814" w:gutter="0"/>
          <w:cols w:space="708"/>
          <w:titlePg/>
          <w:docGrid w:linePitch="360"/>
        </w:sectPr>
      </w:pPr>
    </w:p>
    <w:p w14:paraId="65F27F4A" w14:textId="77777777" w:rsidR="00376E4F" w:rsidRPr="00DB42D8" w:rsidRDefault="00376E4F" w:rsidP="000B2B7D"/>
    <w:sectPr w:rsidR="00376E4F" w:rsidRPr="00DB42D8" w:rsidSect="005A601A">
      <w:headerReference w:type="even" r:id="rId174"/>
      <w:headerReference w:type="default" r:id="rId175"/>
      <w:headerReference w:type="first" r:id="rId176"/>
      <w:footerReference w:type="first" r:id="rId177"/>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E745" w14:textId="77777777" w:rsidR="008F0713" w:rsidRDefault="008F0713" w:rsidP="00F51DAC">
      <w:pPr>
        <w:spacing w:after="0" w:line="240" w:lineRule="auto"/>
      </w:pPr>
      <w:r>
        <w:separator/>
      </w:r>
    </w:p>
  </w:endnote>
  <w:endnote w:type="continuationSeparator" w:id="0">
    <w:p w14:paraId="465025BB" w14:textId="77777777" w:rsidR="008F0713" w:rsidRDefault="008F0713" w:rsidP="00F51DAC">
      <w:pPr>
        <w:spacing w:after="0" w:line="240" w:lineRule="auto"/>
      </w:pPr>
      <w:r>
        <w:continuationSeparator/>
      </w:r>
    </w:p>
  </w:endnote>
  <w:endnote w:type="continuationNotice" w:id="1">
    <w:p w14:paraId="033F25EB" w14:textId="77777777" w:rsidR="008F0713" w:rsidRDefault="008F07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0A9D" w14:textId="6E110C9F" w:rsidR="00DB42D8" w:rsidRDefault="00DB42D8">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6963" w14:textId="56FF7A56" w:rsidR="00E33F28" w:rsidRPr="00FD105A" w:rsidRDefault="00E33F28" w:rsidP="000A7CC3">
    <w:pPr>
      <w:pStyle w:val="FooterOdd"/>
    </w:pP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3</w:t>
    </w:r>
    <w:r w:rsidRPr="00ED6CC1">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5FBD" w14:textId="2F26B0D6" w:rsidR="00DB42D8" w:rsidRPr="006E442F" w:rsidRDefault="00023728" w:rsidP="006E442F">
    <w:pPr>
      <w:pStyle w:val="FooterOdd"/>
      <w:rPr>
        <w:b/>
        <w:bCs/>
      </w:rPr>
    </w:pPr>
    <w:fldSimple w:instr=" STYLEREF  &quot;Heading 1 - No TOC&quot;  \* MERGEFORMAT ">
      <w:r w:rsidR="00557781" w:rsidRPr="00557781">
        <w:rPr>
          <w:noProof/>
          <w:lang w:val="x-none"/>
        </w:rPr>
        <w:t>User Guide</w:t>
      </w:r>
    </w:fldSimple>
    <w:r w:rsidR="00DB42D8">
      <w:t xml:space="preserve"> | </w:t>
    </w:r>
    <w:r w:rsidR="00DB42D8" w:rsidRPr="006E442F">
      <w:rPr>
        <w:b/>
        <w:bCs/>
      </w:rPr>
      <w:t xml:space="preserve">Page </w:t>
    </w:r>
    <w:r w:rsidR="00DB42D8" w:rsidRPr="006E442F">
      <w:rPr>
        <w:b/>
        <w:bCs/>
      </w:rPr>
      <w:fldChar w:fldCharType="begin"/>
    </w:r>
    <w:r w:rsidR="00DB42D8" w:rsidRPr="006E442F">
      <w:rPr>
        <w:b/>
        <w:bCs/>
      </w:rPr>
      <w:instrText xml:space="preserve"> PAGE   \* MERGEFORMAT </w:instrText>
    </w:r>
    <w:r w:rsidR="00DB42D8" w:rsidRPr="006E442F">
      <w:rPr>
        <w:b/>
        <w:bCs/>
      </w:rPr>
      <w:fldChar w:fldCharType="separate"/>
    </w:r>
    <w:r w:rsidR="00DB42D8">
      <w:rPr>
        <w:b/>
        <w:bCs/>
        <w:noProof/>
      </w:rPr>
      <w:t>vii</w:t>
    </w:r>
    <w:r w:rsidR="00DB42D8" w:rsidRPr="006E442F">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6DB1" w14:textId="77777777" w:rsidR="00DB42D8" w:rsidRPr="00F33D2A" w:rsidRDefault="00DB42D8"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A504" w14:textId="19658BDF" w:rsidR="00FD105A" w:rsidRPr="00FD105A" w:rsidRDefault="00023728" w:rsidP="000A7CC3">
    <w:pPr>
      <w:pStyle w:val="FooterOdd"/>
    </w:pPr>
    <w:fldSimple w:instr=" STYLEREF  &quot;Heading 1 - No TOC&quot;  \* MERGEFORMAT ">
      <w:r w:rsidR="00557781">
        <w:rPr>
          <w:noProof/>
        </w:rPr>
        <w:t>Portfolio overview</w:t>
      </w:r>
    </w:fldSimple>
    <w:r w:rsidR="00FD105A">
      <w:fldChar w:fldCharType="begin"/>
    </w:r>
    <w:r w:rsidR="00FD105A">
      <w:instrText xml:space="preserve"> STYLEREF  "Part Heading" </w:instrText>
    </w:r>
    <w:r w:rsidR="00FD105A">
      <w:fldChar w:fldCharType="end"/>
    </w:r>
    <w:r w:rsidR="00FD105A">
      <w:t xml:space="preserve"> | </w:t>
    </w:r>
    <w:r w:rsidR="00FD105A" w:rsidRPr="00ED6CC1">
      <w:rPr>
        <w:b/>
        <w:bCs/>
      </w:rPr>
      <w:t xml:space="preserve">Page </w:t>
    </w:r>
    <w:r w:rsidR="00FD105A" w:rsidRPr="00ED6CC1">
      <w:rPr>
        <w:b/>
        <w:bCs/>
      </w:rPr>
      <w:fldChar w:fldCharType="begin"/>
    </w:r>
    <w:r w:rsidR="00FD105A" w:rsidRPr="00ED6CC1">
      <w:rPr>
        <w:b/>
        <w:bCs/>
      </w:rPr>
      <w:instrText xml:space="preserve"> PAGE   \* MERGEFORMAT </w:instrText>
    </w:r>
    <w:r w:rsidR="00FD105A" w:rsidRPr="00ED6CC1">
      <w:rPr>
        <w:b/>
        <w:bCs/>
      </w:rPr>
      <w:fldChar w:fldCharType="separate"/>
    </w:r>
    <w:r w:rsidR="00FD105A">
      <w:rPr>
        <w:b/>
        <w:bCs/>
      </w:rPr>
      <w:t>3</w:t>
    </w:r>
    <w:r w:rsidR="00FD105A" w:rsidRPr="00ED6CC1">
      <w:rPr>
        <w:b/>
        <w:bC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69DF" w14:textId="349950DB" w:rsidR="00DB42D8" w:rsidRPr="00B766AA" w:rsidRDefault="00023728" w:rsidP="006E442F">
    <w:pPr>
      <w:pStyle w:val="FooterOdd"/>
    </w:pPr>
    <w:fldSimple w:instr=" STYLEREF  &quot;Heading 1 - No TOC&quot;  \* MERGEFORMAT ">
      <w:r w:rsidR="00557781">
        <w:rPr>
          <w:noProof/>
        </w:rPr>
        <w:t>Portfolio overview</w:t>
      </w:r>
    </w:fldSimple>
    <w:r w:rsidR="00DB42D8">
      <w:fldChar w:fldCharType="begin"/>
    </w:r>
    <w:r w:rsidR="00DB42D8">
      <w:instrText xml:space="preserve"> STYLEREF  "Part Heading" </w:instrText>
    </w:r>
    <w:r w:rsidR="00DB42D8">
      <w:fldChar w:fldCharType="end"/>
    </w:r>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3</w:t>
    </w:r>
    <w:r w:rsidR="00DB42D8" w:rsidRPr="00ED6CC1">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A19C" w14:textId="77777777" w:rsidR="00FD105A" w:rsidRPr="009021EE" w:rsidRDefault="00FD105A" w:rsidP="009021E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CF35" w14:textId="51C45ED8" w:rsidR="00DB42D8" w:rsidRPr="00FE0521" w:rsidRDefault="00DB42D8" w:rsidP="00FE052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860E" w14:textId="248E0446" w:rsidR="00FE0521" w:rsidRPr="00FE0521" w:rsidRDefault="00FE0521" w:rsidP="00BC48B3">
    <w:pPr>
      <w:pStyle w:val="FooterOdd"/>
    </w:pPr>
    <w:r>
      <w:t xml:space="preserve">Department of Finance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11</w:t>
    </w:r>
    <w:r w:rsidRPr="00ED6CC1">
      <w:rPr>
        <w:b/>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4703" w14:textId="1454E1BF" w:rsidR="00186290" w:rsidRPr="00E61077" w:rsidRDefault="00186290" w:rsidP="00E6107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w:t>
    </w:r>
    <w:r w:rsidR="00143ECA">
      <w:rPr>
        <w:noProof/>
      </w:rPr>
      <w:t xml:space="preserve"> </w:t>
    </w:r>
    <w:fldSimple w:instr=" STYLEREF  &quot;Heading 1 - No TOC&quot;  \* MERGEFORMAT ">
      <w:r w:rsidR="00557781">
        <w:rPr>
          <w:noProof/>
        </w:rPr>
        <w:t>Australian Electoral Commission</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9E3" w14:textId="6DD480FA" w:rsidR="00186290" w:rsidRPr="00A94155" w:rsidRDefault="00023728" w:rsidP="00BC48B3">
    <w:pPr>
      <w:pStyle w:val="FooterOdd"/>
    </w:pPr>
    <w:fldSimple w:instr=" STYLEREF  &quot;Heading 1 - No TOC&quot;  \* MERGEFORMAT ">
      <w:r w:rsidR="00557781">
        <w:rPr>
          <w:noProof/>
        </w:rPr>
        <w:t>Australian Electoral Commission</w:t>
      </w:r>
    </w:fldSimple>
    <w:r w:rsidR="00FE0521">
      <w:t xml:space="preserve"> | </w:t>
    </w:r>
    <w:r w:rsidR="00FE0521" w:rsidRPr="00ED6CC1">
      <w:rPr>
        <w:b/>
        <w:bCs/>
      </w:rPr>
      <w:t xml:space="preserve">Page </w:t>
    </w:r>
    <w:r w:rsidR="00FE0521" w:rsidRPr="00ED6CC1">
      <w:rPr>
        <w:b/>
        <w:bCs/>
      </w:rPr>
      <w:fldChar w:fldCharType="begin"/>
    </w:r>
    <w:r w:rsidR="00FE0521" w:rsidRPr="00ED6CC1">
      <w:rPr>
        <w:b/>
        <w:bCs/>
      </w:rPr>
      <w:instrText xml:space="preserve"> PAGE   \* MERGEFORMAT </w:instrText>
    </w:r>
    <w:r w:rsidR="00FE0521" w:rsidRPr="00ED6CC1">
      <w:rPr>
        <w:b/>
        <w:bCs/>
      </w:rPr>
      <w:fldChar w:fldCharType="separate"/>
    </w:r>
    <w:r w:rsidR="00FE0521">
      <w:rPr>
        <w:b/>
        <w:bCs/>
      </w:rPr>
      <w:t>11</w:t>
    </w:r>
    <w:r w:rsidR="00FE0521"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C701" w14:textId="6217C003" w:rsidR="00DB42D8" w:rsidRPr="006E442F" w:rsidRDefault="00DB42D8"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FEE9" w14:textId="27A20460" w:rsidR="00186290" w:rsidRPr="00A65DDF" w:rsidRDefault="00CB7D4C" w:rsidP="00A65DDF">
    <w:pPr>
      <w:pStyle w:val="FooterOdd"/>
    </w:pPr>
    <w:r>
      <w:t xml:space="preserve">Department of Finance </w:t>
    </w:r>
    <w:r w:rsidR="00186290">
      <w:t xml:space="preserve">| </w:t>
    </w:r>
    <w:r w:rsidR="00186290" w:rsidRPr="00ED6CC1">
      <w:rPr>
        <w:b/>
        <w:bCs/>
      </w:rPr>
      <w:t xml:space="preserve">Page </w:t>
    </w:r>
    <w:r w:rsidR="00186290" w:rsidRPr="00ED6CC1">
      <w:rPr>
        <w:b/>
        <w:bCs/>
      </w:rPr>
      <w:fldChar w:fldCharType="begin"/>
    </w:r>
    <w:r w:rsidR="00186290" w:rsidRPr="00ED6CC1">
      <w:rPr>
        <w:b/>
        <w:bCs/>
      </w:rPr>
      <w:instrText xml:space="preserve"> PAGE   \* MERGEFORMAT </w:instrText>
    </w:r>
    <w:r w:rsidR="00186290" w:rsidRPr="00ED6CC1">
      <w:rPr>
        <w:b/>
        <w:bCs/>
      </w:rPr>
      <w:fldChar w:fldCharType="separate"/>
    </w:r>
    <w:r w:rsidR="00186290">
      <w:rPr>
        <w:b/>
        <w:bCs/>
      </w:rPr>
      <w:t>9</w:t>
    </w:r>
    <w:r w:rsidR="00186290" w:rsidRPr="00ED6CC1">
      <w:rPr>
        <w:b/>
        <w:bCs/>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82C0" w14:textId="210A02EE" w:rsidR="00151A65" w:rsidRPr="00A65DDF" w:rsidRDefault="00151A65" w:rsidP="00A65DDF">
    <w:pPr>
      <w:pStyle w:val="FooterOdd"/>
    </w:pPr>
    <w:r w:rsidRPr="00151A65">
      <w:t>Australian Electoral Commission</w:t>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9</w:t>
    </w:r>
    <w:r w:rsidRPr="00ED6CC1">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B0A5" w14:textId="16514C2A" w:rsidR="005A7E93" w:rsidRPr="005A7E93" w:rsidRDefault="005A7E93" w:rsidP="005A7E9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0D05" w14:textId="77777777" w:rsidR="005A7E93" w:rsidRPr="00A65DDF" w:rsidRDefault="005A7E93" w:rsidP="00A65DDF">
    <w:pPr>
      <w:pStyle w:val="FooterOdd"/>
    </w:pPr>
    <w:r w:rsidRPr="00151A65">
      <w:t>Australian Electoral Commission</w:t>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9</w:t>
    </w:r>
    <w:r w:rsidRPr="00ED6CC1">
      <w:rPr>
        <w:b/>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A414" w14:textId="77777777" w:rsidR="00186290" w:rsidRDefault="00186290" w:rsidP="00A65DD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r>
      <w:t>Digital Transformation Agency</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82F4" w14:textId="77777777" w:rsidR="00186290" w:rsidRPr="00A65DDF" w:rsidRDefault="00186290" w:rsidP="00A65DDF">
    <w:pPr>
      <w:pStyle w:val="FooterOdd"/>
    </w:pPr>
    <w:r>
      <w:t xml:space="preserve">Digital Transformation Agency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57</w:t>
    </w:r>
    <w:r w:rsidRPr="00ED6CC1">
      <w:rPr>
        <w:b/>
        <w:bCs/>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09E" w14:textId="6D299B95" w:rsidR="00151A65" w:rsidRPr="00151A65" w:rsidRDefault="00FC35D2" w:rsidP="00BC48B3">
    <w:pPr>
      <w:pStyle w:val="FooterOdd"/>
    </w:pPr>
    <w:r>
      <w:t xml:space="preserve">Digital Transformation Agency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83</w:t>
    </w:r>
    <w:r w:rsidRPr="00ED6CC1">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79F1" w14:textId="77777777" w:rsidR="00FC35D2" w:rsidRPr="00FC35D2" w:rsidRDefault="00FC35D2" w:rsidP="00FC35D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CAB9" w14:textId="01595A73" w:rsidR="00FC35D2" w:rsidRPr="00151A65" w:rsidRDefault="00FC35D2" w:rsidP="00BC48B3">
    <w:pPr>
      <w:pStyle w:val="FooterOdd"/>
    </w:pPr>
    <w:r>
      <w:t xml:space="preserve">Digital Transformation Agency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83</w:t>
    </w:r>
    <w:r w:rsidRPr="00ED6CC1">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A2DB" w14:textId="2979EAAD" w:rsidR="007F67A2" w:rsidRDefault="007F67A2" w:rsidP="007F67A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94</w:t>
    </w:r>
    <w:r w:rsidRPr="006E442F">
      <w:rPr>
        <w:b/>
        <w:bCs/>
        <w:noProof/>
      </w:rPr>
      <w:fldChar w:fldCharType="end"/>
    </w:r>
    <w:r>
      <w:rPr>
        <w:noProof/>
      </w:rPr>
      <w:t xml:space="preserve"> | </w:t>
    </w:r>
    <w:r>
      <w:t>Independent Parliamentary Expenses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81DF" w14:textId="77777777" w:rsidR="009A7A77" w:rsidRPr="009A7A77" w:rsidRDefault="009A7A77" w:rsidP="009A7A7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09E" w14:textId="77777777" w:rsidR="00186290" w:rsidRPr="00A65DDF" w:rsidRDefault="00186290" w:rsidP="00A65DDF">
    <w:pPr>
      <w:pStyle w:val="FooterOdd"/>
    </w:pPr>
    <w:r>
      <w:t xml:space="preserve">Independent Parliamentary Expenses Authority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57</w:t>
    </w:r>
    <w:r w:rsidRPr="00ED6CC1">
      <w:rPr>
        <w:b/>
        <w:bCs/>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1CBF" w14:textId="166DCBAD" w:rsidR="00186290" w:rsidRPr="000A7CC3" w:rsidRDefault="00186290" w:rsidP="000A7CC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5800" w14:textId="13417BF8" w:rsidR="0050190C" w:rsidRPr="00710539" w:rsidRDefault="0050190C" w:rsidP="00BC48B3">
    <w:pPr>
      <w:pStyle w:val="FooterOdd"/>
    </w:pPr>
    <w:r>
      <w:t xml:space="preserve">Independent Parliamentary Expenses Authority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95</w:t>
    </w:r>
    <w:r w:rsidRPr="00ED6CC1">
      <w:rPr>
        <w:b/>
        <w:bCs/>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5EB8" w14:textId="77777777" w:rsidR="0050190C" w:rsidRPr="00BC48B3" w:rsidRDefault="0050190C" w:rsidP="00BC48B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4419" w14:textId="523D9D17" w:rsidR="0050190C" w:rsidRPr="0050190C" w:rsidRDefault="0050190C" w:rsidP="00BC48B3">
    <w:pPr>
      <w:pStyle w:val="FooterOdd"/>
    </w:pPr>
    <w:r>
      <w:t xml:space="preserve">Independent Parliamentary Expenses Authority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97</w:t>
    </w:r>
    <w:r w:rsidRPr="00ED6CC1">
      <w:rPr>
        <w:b/>
        <w:bCs/>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5976" w14:textId="3D6DB848" w:rsidR="00DB42D8" w:rsidRPr="00050FE6" w:rsidRDefault="00DB42D8" w:rsidP="00376E4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fldSimple w:instr=" STYLEREF  &quot;Heading 1&quot;  \* MERGEFORMAT ">
      <w:r w:rsidR="00557781">
        <w:rPr>
          <w:noProof/>
        </w:rPr>
        <w:t>Portfolio glossary</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6CA" w14:textId="4CB29482" w:rsidR="00DB42D8" w:rsidRPr="003A05DA" w:rsidRDefault="00023728" w:rsidP="003A05DA">
    <w:pPr>
      <w:pStyle w:val="FooterOdd"/>
    </w:pPr>
    <w:fldSimple w:instr=" STYLEREF  &quot;Heading 1&quot;  \* MERGEFORMAT ">
      <w:r w:rsidR="00557781">
        <w:rPr>
          <w:noProof/>
        </w:rPr>
        <w:t>Portfolio glossary</w:t>
      </w:r>
    </w:fldSimple>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55</w:t>
    </w:r>
    <w:r w:rsidR="00DB42D8" w:rsidRPr="00ED6CC1">
      <w:rPr>
        <w:b/>
        <w:bCs/>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CAA" w14:textId="0E5748CD" w:rsidR="00DB42D8" w:rsidRPr="0034090B" w:rsidRDefault="00000000" w:rsidP="00BC48B3">
    <w:pPr>
      <w:pStyle w:val="FooterOdd"/>
    </w:pPr>
    <w:fldSimple w:instr=" STYLEREF  &quot;Heading 1&quot;  \* MERGEFORMAT ">
      <w:r w:rsidR="00557781">
        <w:rPr>
          <w:noProof/>
        </w:rPr>
        <w:t>Portfolio glossary</w:t>
      </w:r>
    </w:fldSimple>
    <w:r w:rsidR="009A44E8">
      <w:t xml:space="preserve"> | </w:t>
    </w:r>
    <w:r w:rsidR="009A44E8" w:rsidRPr="00ED6CC1">
      <w:rPr>
        <w:b/>
        <w:bCs/>
      </w:rPr>
      <w:t xml:space="preserve">Page </w:t>
    </w:r>
    <w:r w:rsidR="009A44E8" w:rsidRPr="00ED6CC1">
      <w:rPr>
        <w:b/>
        <w:bCs/>
      </w:rPr>
      <w:fldChar w:fldCharType="begin"/>
    </w:r>
    <w:r w:rsidR="009A44E8" w:rsidRPr="00ED6CC1">
      <w:rPr>
        <w:b/>
        <w:bCs/>
      </w:rPr>
      <w:instrText xml:space="preserve"> PAGE   \* MERGEFORMAT </w:instrText>
    </w:r>
    <w:r w:rsidR="009A44E8" w:rsidRPr="00ED6CC1">
      <w:rPr>
        <w:b/>
        <w:bCs/>
      </w:rPr>
      <w:fldChar w:fldCharType="separate"/>
    </w:r>
    <w:r w:rsidR="009A44E8">
      <w:rPr>
        <w:b/>
        <w:bCs/>
      </w:rPr>
      <w:t>115</w:t>
    </w:r>
    <w:r w:rsidR="009A44E8" w:rsidRPr="00ED6CC1">
      <w:rPr>
        <w:b/>
        <w:bCs/>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D1B3" w14:textId="3E974CD0" w:rsidR="00355DD1" w:rsidRPr="00AC5375" w:rsidRDefault="00355DD1" w:rsidP="00AC5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1B50" w14:textId="77777777" w:rsidR="00DB42D8" w:rsidRDefault="00DB42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7B24" w14:textId="1090DAAD" w:rsidR="00DB42D8" w:rsidRPr="009021EE" w:rsidRDefault="00DA5FA8" w:rsidP="00BC48B3">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viii</w:t>
    </w:r>
    <w:r w:rsidRPr="006E442F">
      <w:rPr>
        <w:b/>
        <w:bCs/>
        <w:noProof/>
      </w:rPr>
      <w:fldChar w:fldCharType="end"/>
    </w:r>
    <w:r>
      <w:rPr>
        <w:noProof/>
      </w:rPr>
      <w:t xml:space="preserve"> | </w:t>
    </w:r>
    <w:fldSimple w:instr=" STYLEREF  &quot;Heading 1 - No TOC&quot;  \* MERGEFORMAT ">
      <w:r w:rsidR="00557781">
        <w:rPr>
          <w:noProof/>
        </w:rPr>
        <w:t>Portfolio overview</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C7CF" w14:textId="77777777" w:rsidR="00DB42D8" w:rsidRDefault="00DB42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AF5" w14:textId="77777777" w:rsidR="00DB42D8" w:rsidRPr="00E401D5" w:rsidRDefault="00DB42D8" w:rsidP="006E442F">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Pr="00E401D5">
      <w:rPr>
        <w:rStyle w:val="PageNumber"/>
        <w:b/>
        <w:bCs/>
        <w:noProof/>
      </w:rPr>
      <w:t>iv</w:t>
    </w:r>
    <w:r w:rsidRPr="00E401D5">
      <w:rPr>
        <w:rStyle w:val="PageNumbe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1C9C" w14:textId="36570712" w:rsidR="00FD105A" w:rsidRPr="00B766AA" w:rsidRDefault="00023728" w:rsidP="00FD105A">
    <w:pPr>
      <w:pStyle w:val="FooterOdd"/>
    </w:pPr>
    <w:fldSimple w:instr=" STYLEREF  &quot;Heading 1 - No TOC&quot;  \* MERGEFORMAT ">
      <w:r>
        <w:rPr>
          <w:noProof/>
        </w:rPr>
        <w:t>User Guide</w:t>
      </w:r>
    </w:fldSimple>
    <w:r w:rsidR="00FD105A">
      <w:t xml:space="preserve"> | </w:t>
    </w:r>
    <w:r w:rsidR="00FD105A" w:rsidRPr="00ED6CC1">
      <w:rPr>
        <w:b/>
        <w:bCs/>
      </w:rPr>
      <w:t xml:space="preserve">Page </w:t>
    </w:r>
    <w:r w:rsidR="00FD105A" w:rsidRPr="00ED6CC1">
      <w:rPr>
        <w:b/>
        <w:bCs/>
      </w:rPr>
      <w:fldChar w:fldCharType="begin"/>
    </w:r>
    <w:r w:rsidR="00FD105A" w:rsidRPr="00ED6CC1">
      <w:rPr>
        <w:b/>
        <w:bCs/>
      </w:rPr>
      <w:instrText xml:space="preserve"> PAGE   \* MERGEFORMAT </w:instrText>
    </w:r>
    <w:r w:rsidR="00FD105A" w:rsidRPr="00ED6CC1">
      <w:rPr>
        <w:b/>
        <w:bCs/>
      </w:rPr>
      <w:fldChar w:fldCharType="separate"/>
    </w:r>
    <w:r w:rsidR="00FD105A">
      <w:rPr>
        <w:b/>
        <w:bCs/>
      </w:rPr>
      <w:t>3</w:t>
    </w:r>
    <w:r w:rsidR="00FD105A" w:rsidRPr="00ED6CC1">
      <w:rPr>
        <w:b/>
        <w:bCs/>
        <w:noProof/>
      </w:rPr>
      <w:fldChar w:fldCharType="end"/>
    </w:r>
  </w:p>
  <w:p w14:paraId="5531F6D4" w14:textId="128C7F44" w:rsidR="00DB42D8" w:rsidRPr="00FD105A" w:rsidRDefault="00DB42D8" w:rsidP="00FD10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967E" w14:textId="77777777" w:rsidR="00DB42D8" w:rsidRPr="000A7CC3" w:rsidRDefault="00DB42D8" w:rsidP="000A7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C219" w14:textId="77777777" w:rsidR="008F0713" w:rsidRDefault="008F0713" w:rsidP="00F51DAC">
      <w:pPr>
        <w:spacing w:after="0" w:line="240" w:lineRule="auto"/>
      </w:pPr>
      <w:bookmarkStart w:id="0" w:name="_Hlk157584729"/>
      <w:bookmarkEnd w:id="0"/>
      <w:r>
        <w:separator/>
      </w:r>
    </w:p>
  </w:footnote>
  <w:footnote w:type="continuationSeparator" w:id="0">
    <w:p w14:paraId="67A9815E" w14:textId="77777777" w:rsidR="008F0713" w:rsidRDefault="008F0713" w:rsidP="00F51DAC">
      <w:pPr>
        <w:spacing w:after="0" w:line="240" w:lineRule="auto"/>
      </w:pPr>
      <w:r>
        <w:continuationSeparator/>
      </w:r>
    </w:p>
  </w:footnote>
  <w:footnote w:type="continuationNotice" w:id="1">
    <w:p w14:paraId="3BD42B8E" w14:textId="77777777" w:rsidR="008F0713" w:rsidRDefault="008F071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74B3" w14:textId="77777777" w:rsidR="00DB42D8" w:rsidRDefault="00DB42D8">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07" w14:textId="77777777" w:rsidR="00DB42D8" w:rsidRPr="006E442F" w:rsidRDefault="00DB42D8" w:rsidP="006E44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A4F9" w14:textId="77777777" w:rsidR="00DB42D8" w:rsidRDefault="00DB42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7C4" w14:textId="77777777" w:rsidR="00DB42D8" w:rsidRDefault="00DB42D8">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F5E5" w14:textId="77777777" w:rsidR="00DB42D8" w:rsidRDefault="00DB42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D32" w14:textId="77777777" w:rsidR="00DB42D8" w:rsidRDefault="00DB42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41CD" w14:textId="77777777" w:rsidR="00DB42D8" w:rsidRDefault="00DB42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5E55CA" w14:paraId="66BF8534" w14:textId="77777777" w:rsidTr="008F07DB">
      <w:trPr>
        <w:trHeight w:hRule="exact" w:val="340"/>
      </w:trPr>
      <w:tc>
        <w:tcPr>
          <w:tcW w:w="7797" w:type="dxa"/>
          <w:shd w:val="clear" w:color="auto" w:fill="auto"/>
        </w:tcPr>
        <w:p w14:paraId="1EF63798" w14:textId="3D24243E" w:rsidR="005E55CA" w:rsidRDefault="005E55CA" w:rsidP="008F07DB">
          <w:pPr>
            <w:pStyle w:val="HeaderEven"/>
            <w:spacing w:after="240" w:line="260" w:lineRule="exact"/>
            <w:ind w:left="-113"/>
            <w:jc w:val="both"/>
          </w:pPr>
        </w:p>
      </w:tc>
    </w:tr>
  </w:tbl>
  <w:p w14:paraId="5C660490" w14:textId="77777777" w:rsidR="00DB42D8" w:rsidRPr="00925624" w:rsidRDefault="00DB42D8" w:rsidP="009256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F384" w14:textId="6E4CEF8D" w:rsidR="00092440" w:rsidRPr="000F712D" w:rsidRDefault="00023728" w:rsidP="00092440">
    <w:pPr>
      <w:pStyle w:val="HeaderOdd"/>
      <w:spacing w:after="240" w:line="260" w:lineRule="exact"/>
    </w:pPr>
    <w:fldSimple w:instr=" TITLE  ">
      <w:r>
        <w:t>Portfolio Additional Estimates Statement</w:t>
      </w:r>
    </w:fldSimple>
    <w:r w:rsidR="00D5597F">
      <w:t>s</w:t>
    </w:r>
    <w:r w:rsidR="00092440" w:rsidRPr="000F712D">
      <w:t xml:space="preserve">  |  </w:t>
    </w:r>
    <w:r w:rsidR="00092440">
      <w:rPr>
        <w:noProof/>
        <w:position w:val="-6"/>
      </w:rPr>
      <w:drawing>
        <wp:inline distT="0" distB="0" distL="0" distR="0" wp14:anchorId="16A3EF50" wp14:editId="2A209A51">
          <wp:extent cx="918000" cy="154800"/>
          <wp:effectExtent l="0" t="0" r="0" b="0"/>
          <wp:docPr id="96988502" name="Picture 9698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BC93" w14:textId="77777777" w:rsidR="00DB42D8" w:rsidRDefault="00DB42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4EBC" w14:textId="77777777" w:rsidR="00DB42D8" w:rsidRPr="00BC48B3" w:rsidRDefault="00DB42D8" w:rsidP="00BC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5391" w14:textId="615D7647" w:rsidR="00DB42D8" w:rsidRDefault="00023728">
    <w:pPr>
      <w:framePr w:wrap="around" w:vAnchor="page" w:hAnchor="margin" w:x="14460" w:y="7939" w:anchorLock="1"/>
    </w:pPr>
    <w:fldSimple w:instr=" TITLE  \* MERGEFORMAT ">
      <w:r>
        <w:t>Portfolio Additional Estimates Statement</w:t>
      </w:r>
    </w:fldSimple>
  </w:p>
  <w:p w14:paraId="3462C45B" w14:textId="77777777" w:rsidR="00DB42D8" w:rsidRDefault="00DB42D8">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186290" w14:paraId="12AAADE0" w14:textId="77777777" w:rsidTr="008F07DB">
      <w:trPr>
        <w:trHeight w:hRule="exact" w:val="340"/>
      </w:trPr>
      <w:tc>
        <w:tcPr>
          <w:tcW w:w="7797" w:type="dxa"/>
          <w:shd w:val="clear" w:color="auto" w:fill="auto"/>
        </w:tcPr>
        <w:p w14:paraId="74CDB521" w14:textId="2DFF3F5C" w:rsidR="00186290" w:rsidRDefault="00186290" w:rsidP="00BC48B3">
          <w:pPr>
            <w:pStyle w:val="Header"/>
          </w:pPr>
          <w:r>
            <w:rPr>
              <w:noProof/>
              <w:position w:val="-6"/>
            </w:rPr>
            <w:drawing>
              <wp:inline distT="0" distB="0" distL="0" distR="0" wp14:anchorId="0C0E105E" wp14:editId="12969A74">
                <wp:extent cx="918000" cy="154800"/>
                <wp:effectExtent l="0" t="0" r="0" b="0"/>
                <wp:docPr id="1956392005" name="Picture 195639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w:t>
          </w:r>
          <w:r w:rsidR="00143ECA">
            <w:t xml:space="preserve">  </w:t>
          </w:r>
          <w:fldSimple w:instr=" TITLE  ">
            <w:r w:rsidR="00023728">
              <w:t>Portfolio Additional Estimates Statement</w:t>
            </w:r>
          </w:fldSimple>
          <w:r w:rsidR="00D5597F">
            <w:t>s</w:t>
          </w:r>
        </w:p>
      </w:tc>
    </w:tr>
  </w:tbl>
  <w:p w14:paraId="38DD19A8" w14:textId="77777777" w:rsidR="00186290" w:rsidRPr="004E6DF0" w:rsidRDefault="00186290" w:rsidP="000A7CC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35D9" w14:textId="452E0280" w:rsidR="00186290" w:rsidRPr="0022642A" w:rsidRDefault="00023728" w:rsidP="00BC48B3">
    <w:pPr>
      <w:pStyle w:val="HeaderOdd"/>
      <w:spacing w:after="240" w:line="260" w:lineRule="exact"/>
    </w:pPr>
    <w:fldSimple w:instr=" TITLE  ">
      <w:r>
        <w:t>Portfolio Additional Estimates Statement</w:t>
      </w:r>
    </w:fldSimple>
    <w:r w:rsidR="0022642A">
      <w:t>s</w:t>
    </w:r>
    <w:r w:rsidR="0022642A" w:rsidRPr="000F712D">
      <w:t xml:space="preserve">  |  </w:t>
    </w:r>
    <w:r w:rsidR="0022642A">
      <w:rPr>
        <w:noProof/>
        <w:position w:val="-6"/>
      </w:rPr>
      <w:drawing>
        <wp:inline distT="0" distB="0" distL="0" distR="0" wp14:anchorId="069991E0" wp14:editId="4C7DFD3D">
          <wp:extent cx="918000" cy="154800"/>
          <wp:effectExtent l="0" t="0" r="0" b="0"/>
          <wp:docPr id="53022894" name="Picture 5302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B4B3" w14:textId="3F8F11D9" w:rsidR="005D26F5" w:rsidRPr="005D26F5" w:rsidRDefault="005D26F5" w:rsidP="005D26F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AFEC" w14:textId="7CE27CA5" w:rsidR="005F3D96" w:rsidRPr="005F3D96" w:rsidRDefault="00023728" w:rsidP="000A7CC3">
    <w:pPr>
      <w:pStyle w:val="HeaderOdd"/>
      <w:spacing w:after="240" w:line="260" w:lineRule="exact"/>
    </w:pPr>
    <w:fldSimple w:instr=" TITLE  ">
      <w:r>
        <w:t>Portfolio Additional Estimates Statement</w:t>
      </w:r>
    </w:fldSimple>
    <w:r w:rsidR="005F3D96">
      <w:t>s</w:t>
    </w:r>
    <w:r w:rsidR="005F3D96" w:rsidRPr="000F712D">
      <w:t xml:space="preserve">  |  </w:t>
    </w:r>
    <w:r w:rsidR="005F3D96">
      <w:rPr>
        <w:noProof/>
        <w:position w:val="-6"/>
      </w:rPr>
      <w:drawing>
        <wp:inline distT="0" distB="0" distL="0" distR="0" wp14:anchorId="25F0C3BD" wp14:editId="2091FF4E">
          <wp:extent cx="918000" cy="154800"/>
          <wp:effectExtent l="0" t="0" r="0" b="0"/>
          <wp:docPr id="1911294729" name="Picture 191129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0485" w14:textId="3F528999" w:rsidR="00422695" w:rsidRPr="00422695" w:rsidRDefault="00FC35D2" w:rsidP="00FC35D2">
    <w:pPr>
      <w:pStyle w:val="Header"/>
      <w:tabs>
        <w:tab w:val="clear" w:pos="4153"/>
        <w:tab w:val="clear" w:pos="8306"/>
        <w:tab w:val="left" w:pos="4836"/>
      </w:tabs>
    </w:pP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01D" w14:textId="77777777" w:rsidR="00FC35D2" w:rsidRPr="00422695" w:rsidRDefault="00FC35D2" w:rsidP="00FC35D2">
    <w:pPr>
      <w:pStyle w:val="Header"/>
      <w:tabs>
        <w:tab w:val="clear" w:pos="4153"/>
        <w:tab w:val="clear" w:pos="8306"/>
        <w:tab w:val="left" w:pos="4836"/>
      </w:tabs>
    </w:pPr>
    <w: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9C6" w14:textId="596623BE" w:rsidR="00FC35D2" w:rsidRPr="000F712D" w:rsidRDefault="00FC35D2" w:rsidP="00FC35D2">
    <w:pPr>
      <w:pStyle w:val="HeaderOdd"/>
      <w:spacing w:after="240" w:line="260" w:lineRule="exact"/>
    </w:pPr>
    <w:r>
      <w:tab/>
    </w:r>
    <w:fldSimple w:instr=" TITLE  ">
      <w:r w:rsidR="00023728">
        <w:t>Portfolio Additional Estimates Statement</w:t>
      </w:r>
    </w:fldSimple>
    <w:r>
      <w:t>s</w:t>
    </w:r>
    <w:r w:rsidRPr="000F712D">
      <w:t xml:space="preserve">  |  </w:t>
    </w:r>
    <w:r>
      <w:rPr>
        <w:noProof/>
        <w:position w:val="-6"/>
      </w:rPr>
      <w:drawing>
        <wp:inline distT="0" distB="0" distL="0" distR="0" wp14:anchorId="69AD9CF3" wp14:editId="446B0E2A">
          <wp:extent cx="918000" cy="154800"/>
          <wp:effectExtent l="0" t="0" r="0" b="0"/>
          <wp:docPr id="242817913" name="Picture 24281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p w14:paraId="2D7F14DB" w14:textId="2573E1E4" w:rsidR="00FC35D2" w:rsidRPr="00422695" w:rsidRDefault="00FC35D2" w:rsidP="00FC35D2">
    <w:pPr>
      <w:pStyle w:val="Header"/>
      <w:tabs>
        <w:tab w:val="clear" w:pos="4153"/>
        <w:tab w:val="clear" w:pos="8306"/>
        <w:tab w:val="left" w:pos="4836"/>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34090B" w14:paraId="00C500CB" w14:textId="77777777" w:rsidTr="008F07DB">
      <w:trPr>
        <w:trHeight w:hRule="exact" w:val="340"/>
      </w:trPr>
      <w:tc>
        <w:tcPr>
          <w:tcW w:w="7797" w:type="dxa"/>
          <w:shd w:val="clear" w:color="auto" w:fill="auto"/>
        </w:tcPr>
        <w:p w14:paraId="56B81674" w14:textId="509EDDE1" w:rsidR="0034090B" w:rsidRPr="00484CB3" w:rsidRDefault="0034090B" w:rsidP="0034090B">
          <w:pPr>
            <w:pStyle w:val="Header"/>
          </w:pPr>
          <w:r>
            <w:rPr>
              <w:noProof/>
              <w:position w:val="-6"/>
            </w:rPr>
            <w:drawing>
              <wp:inline distT="0" distB="0" distL="0" distR="0" wp14:anchorId="6F425088" wp14:editId="5E185CED">
                <wp:extent cx="918000" cy="154800"/>
                <wp:effectExtent l="0" t="0" r="0" b="0"/>
                <wp:docPr id="890668612" name="Picture 89066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rsidR="00023728">
              <w:t>Portfolio Additional Estimates Statement</w:t>
            </w:r>
          </w:fldSimple>
          <w:r>
            <w:t>s</w:t>
          </w:r>
        </w:p>
        <w:p w14:paraId="0FA9D109" w14:textId="77777777" w:rsidR="0034090B" w:rsidRDefault="0034090B" w:rsidP="0034090B">
          <w:pPr>
            <w:pStyle w:val="Header"/>
          </w:pPr>
        </w:p>
      </w:tc>
    </w:tr>
  </w:tbl>
  <w:p w14:paraId="20BC19E7" w14:textId="77777777" w:rsidR="0034090B" w:rsidRPr="004E6DF0" w:rsidRDefault="0034090B" w:rsidP="004E6DF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CCA1" w14:textId="5FC576ED" w:rsidR="00710539" w:rsidRPr="005F3D96" w:rsidRDefault="00023728" w:rsidP="000A7CC3">
    <w:pPr>
      <w:pStyle w:val="HeaderOdd"/>
      <w:spacing w:after="240" w:line="260" w:lineRule="exact"/>
    </w:pPr>
    <w:fldSimple w:instr=" TITLE  ">
      <w:r>
        <w:t>Portfolio Additional Estimates Statement</w:t>
      </w:r>
    </w:fldSimple>
    <w:r w:rsidR="00710539">
      <w:t>s</w:t>
    </w:r>
    <w:r w:rsidR="00710539" w:rsidRPr="000F712D">
      <w:t xml:space="preserve">  |  </w:t>
    </w:r>
    <w:r w:rsidR="00710539">
      <w:rPr>
        <w:noProof/>
        <w:position w:val="-6"/>
      </w:rPr>
      <w:drawing>
        <wp:inline distT="0" distB="0" distL="0" distR="0" wp14:anchorId="22B6954E" wp14:editId="518AA674">
          <wp:extent cx="918000" cy="154800"/>
          <wp:effectExtent l="0" t="0" r="0" b="0"/>
          <wp:docPr id="224388753" name="Picture 22438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292" w14:textId="77777777" w:rsidR="00710539" w:rsidRPr="000A7CC3" w:rsidRDefault="00710539" w:rsidP="000A7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C2F0" w14:textId="77777777" w:rsidR="009A7A77" w:rsidRDefault="009A7A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50190C" w14:paraId="52679EA5" w14:textId="77777777" w:rsidTr="008F07DB">
      <w:trPr>
        <w:trHeight w:hRule="exact" w:val="340"/>
      </w:trPr>
      <w:tc>
        <w:tcPr>
          <w:tcW w:w="7797" w:type="dxa"/>
          <w:shd w:val="clear" w:color="auto" w:fill="auto"/>
        </w:tcPr>
        <w:p w14:paraId="5677F10F" w14:textId="2D8A39EE" w:rsidR="0050190C" w:rsidRDefault="0050190C" w:rsidP="000A7CC3">
          <w:pPr>
            <w:pStyle w:val="Header"/>
          </w:pPr>
          <w:r>
            <w:rPr>
              <w:noProof/>
              <w:position w:val="-6"/>
            </w:rPr>
            <w:drawing>
              <wp:inline distT="0" distB="0" distL="0" distR="0" wp14:anchorId="22228E21" wp14:editId="22B35671">
                <wp:extent cx="918000" cy="154800"/>
                <wp:effectExtent l="0" t="0" r="0" b="0"/>
                <wp:docPr id="1282404897" name="Picture 1282404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rsidR="00023728">
              <w:t>Portfolio Additional Estimates Statement</w:t>
            </w:r>
          </w:fldSimple>
          <w:r>
            <w:t>s</w:t>
          </w:r>
        </w:p>
      </w:tc>
    </w:tr>
  </w:tbl>
  <w:p w14:paraId="6C3E03BE" w14:textId="77777777" w:rsidR="0050190C" w:rsidRPr="004E6DF0" w:rsidRDefault="0050190C" w:rsidP="004E6DF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D254" w14:textId="023CE40C" w:rsidR="003C7218" w:rsidRPr="000F712D" w:rsidRDefault="00023728" w:rsidP="003C7218">
    <w:pPr>
      <w:pStyle w:val="HeaderOdd"/>
      <w:spacing w:after="240" w:line="260" w:lineRule="exact"/>
    </w:pPr>
    <w:fldSimple w:instr=" TITLE  ">
      <w:r>
        <w:t>Portfolio Additional Estimates Statement</w:t>
      </w:r>
    </w:fldSimple>
    <w:r w:rsidR="003C7218">
      <w:t>s</w:t>
    </w:r>
    <w:r w:rsidR="003C7218" w:rsidRPr="000F712D">
      <w:t xml:space="preserve">  |  </w:t>
    </w:r>
    <w:r w:rsidR="003C7218">
      <w:rPr>
        <w:noProof/>
        <w:position w:val="-6"/>
      </w:rPr>
      <w:drawing>
        <wp:inline distT="0" distB="0" distL="0" distR="0" wp14:anchorId="74BDB389" wp14:editId="2C9D7280">
          <wp:extent cx="918000" cy="154800"/>
          <wp:effectExtent l="0" t="0" r="0" b="0"/>
          <wp:docPr id="1474346417" name="Picture 1474346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DB42D8" w14:paraId="11BE23F8" w14:textId="77777777" w:rsidTr="008F07DB">
      <w:trPr>
        <w:trHeight w:hRule="exact" w:val="340"/>
      </w:trPr>
      <w:tc>
        <w:tcPr>
          <w:tcW w:w="7797" w:type="dxa"/>
          <w:shd w:val="clear" w:color="auto" w:fill="auto"/>
        </w:tcPr>
        <w:p w14:paraId="6573422A" w14:textId="35DD6653" w:rsidR="00DB42D8" w:rsidRDefault="00DB42D8" w:rsidP="008F07DB">
          <w:pPr>
            <w:pStyle w:val="HeaderEven"/>
            <w:spacing w:after="240" w:line="260" w:lineRule="exact"/>
            <w:ind w:left="-113"/>
            <w:jc w:val="both"/>
          </w:pPr>
        </w:p>
      </w:tc>
    </w:tr>
  </w:tbl>
  <w:p w14:paraId="4676AB59" w14:textId="77777777" w:rsidR="00DB42D8" w:rsidRPr="004E6DF0" w:rsidRDefault="00DB42D8" w:rsidP="004E6DF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DB42D8" w14:paraId="11857019" w14:textId="77777777" w:rsidTr="008F07DB">
      <w:trPr>
        <w:trHeight w:hRule="exact" w:val="340"/>
      </w:trPr>
      <w:tc>
        <w:tcPr>
          <w:tcW w:w="7797" w:type="dxa"/>
          <w:shd w:val="clear" w:color="auto" w:fill="auto"/>
        </w:tcPr>
        <w:p w14:paraId="5B2ABC44" w14:textId="5C905617" w:rsidR="00DB42D8" w:rsidRPr="000F712D" w:rsidRDefault="00DB42D8" w:rsidP="008F07DB">
          <w:pPr>
            <w:pStyle w:val="HeaderOdd"/>
            <w:spacing w:after="240" w:line="260" w:lineRule="exact"/>
          </w:pPr>
          <w:r w:rsidRPr="000F712D">
            <w:t xml:space="preserve">  </w:t>
          </w:r>
        </w:p>
      </w:tc>
    </w:tr>
  </w:tbl>
  <w:p w14:paraId="472A1811" w14:textId="77777777" w:rsidR="00DB42D8" w:rsidRPr="004E6DF0" w:rsidRDefault="00DB42D8" w:rsidP="004E6DF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8295" w14:textId="77777777" w:rsidR="00DB42D8" w:rsidRPr="00484CB3" w:rsidRDefault="00DB42D8" w:rsidP="00484CB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6DF0" w14:paraId="7F3C0699" w14:textId="77777777" w:rsidTr="008F07DB">
      <w:trPr>
        <w:trHeight w:hRule="exact" w:val="340"/>
      </w:trPr>
      <w:tc>
        <w:tcPr>
          <w:tcW w:w="7797" w:type="dxa"/>
        </w:tcPr>
        <w:p w14:paraId="598C87A1" w14:textId="2376B726" w:rsidR="004E6DF0" w:rsidRDefault="004E6DF0" w:rsidP="004E6DF0">
          <w:pPr>
            <w:pStyle w:val="HeaderEven"/>
            <w:ind w:left="-113"/>
          </w:pPr>
          <w:r w:rsidRPr="000635BE">
            <w:rPr>
              <w:rFonts w:ascii="Arial Bold" w:hAnsi="Arial Bold"/>
              <w:b/>
              <w:bCs/>
              <w:noProof/>
              <w:position w:val="-10"/>
            </w:rPr>
            <w:drawing>
              <wp:inline distT="0" distB="0" distL="0" distR="0" wp14:anchorId="0EA5726C" wp14:editId="7C23632F">
                <wp:extent cx="989308" cy="223483"/>
                <wp:effectExtent l="0" t="0" r="1905"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023728">
              <w:rPr>
                <w:noProof/>
              </w:rPr>
              <w:t>Portfolio Additional Estimates Statements 2023–24</w:t>
            </w:r>
          </w:fldSimple>
        </w:p>
      </w:tc>
    </w:tr>
  </w:tbl>
  <w:p w14:paraId="3CD616FD" w14:textId="77777777" w:rsidR="00355DD1" w:rsidRDefault="00355DD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6DF0" w14:paraId="39EE2B97" w14:textId="77777777" w:rsidTr="008F07DB">
      <w:trPr>
        <w:trHeight w:hRule="exact" w:val="340"/>
      </w:trPr>
      <w:tc>
        <w:tcPr>
          <w:tcW w:w="7797" w:type="dxa"/>
        </w:tcPr>
        <w:p w14:paraId="42D3298F" w14:textId="33B2E935" w:rsidR="004E6DF0" w:rsidRDefault="00023728" w:rsidP="004E6DF0">
          <w:pPr>
            <w:pStyle w:val="HeaderOdd"/>
          </w:pPr>
          <w:fldSimple w:instr=" STYLEREF  &quot;TP Heading 1&quot; ">
            <w:r>
              <w:rPr>
                <w:noProof/>
              </w:rPr>
              <w:t>Portfolio Additional Estimates Statements 2023–24</w:t>
            </w:r>
          </w:fldSimple>
          <w:r w:rsidR="004E6DF0">
            <w:t xml:space="preserve">  |  </w:t>
          </w:r>
          <w:r w:rsidR="004E6DF0" w:rsidRPr="000635BE">
            <w:rPr>
              <w:rFonts w:ascii="Arial Bold" w:hAnsi="Arial Bold"/>
              <w:b/>
              <w:bCs/>
              <w:noProof/>
              <w:position w:val="-10"/>
            </w:rPr>
            <w:drawing>
              <wp:inline distT="0" distB="0" distL="0" distR="0" wp14:anchorId="74A10CFD" wp14:editId="617C3D1F">
                <wp:extent cx="989308" cy="223483"/>
                <wp:effectExtent l="0" t="0" r="190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010B1521" w14:textId="77777777" w:rsidR="00355DD1" w:rsidRPr="004E6DF0" w:rsidRDefault="00355DD1" w:rsidP="004E6DF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84E" w14:textId="77777777" w:rsidR="00355DD1" w:rsidRPr="00484CB3" w:rsidRDefault="00355DD1" w:rsidP="00484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2A5C" w14:textId="77777777" w:rsidR="00DB42D8" w:rsidRDefault="00DB4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FE96" w14:textId="77777777" w:rsidR="00DB42D8" w:rsidRPr="00F53464" w:rsidRDefault="00DB42D8" w:rsidP="00F53464">
    <w:pPr>
      <w:pStyle w:val="Header"/>
      <w:jc w:val="center"/>
    </w:pPr>
    <w:r>
      <w:rPr>
        <w:noProof/>
      </w:rPr>
      <w:drawing>
        <wp:inline distT="0" distB="0" distL="0" distR="0" wp14:anchorId="10224DF2" wp14:editId="0F14E587">
          <wp:extent cx="877570" cy="691515"/>
          <wp:effectExtent l="0" t="0" r="0" b="0"/>
          <wp:docPr id="3" name="Picture 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6915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86B3" w14:textId="77777777" w:rsidR="00DB42D8" w:rsidRPr="00F53464" w:rsidRDefault="00DB42D8" w:rsidP="00F5346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F81" w14:textId="77777777" w:rsidR="00DB42D8" w:rsidRDefault="00DB42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0C66" w14:textId="77777777" w:rsidR="00DB42D8" w:rsidRDefault="00DB42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FDFB" w14:textId="77777777" w:rsidR="00DB42D8" w:rsidRDefault="00DB42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498"/>
    <w:multiLevelType w:val="hybridMultilevel"/>
    <w:tmpl w:val="45D438B2"/>
    <w:lvl w:ilvl="0" w:tplc="84B6BDB2">
      <w:start w:val="1"/>
      <w:numFmt w:val="lowerLetter"/>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E240CE"/>
    <w:multiLevelType w:val="hybridMultilevel"/>
    <w:tmpl w:val="D9529F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94848"/>
    <w:multiLevelType w:val="hybridMultilevel"/>
    <w:tmpl w:val="466C13CE"/>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071F5"/>
    <w:multiLevelType w:val="hybridMultilevel"/>
    <w:tmpl w:val="30DA9762"/>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8" w15:restartNumberingAfterBreak="0">
    <w:nsid w:val="18301CF1"/>
    <w:multiLevelType w:val="hybridMultilevel"/>
    <w:tmpl w:val="B94ADA7E"/>
    <w:lvl w:ilvl="0" w:tplc="FB48A6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C273B2F"/>
    <w:multiLevelType w:val="hybridMultilevel"/>
    <w:tmpl w:val="C560B1BA"/>
    <w:lvl w:ilvl="0" w:tplc="FFFFFFFF">
      <w:start w:val="1"/>
      <w:numFmt w:val="lowerLetter"/>
      <w:lvlText w:val="(%1)"/>
      <w:lvlJc w:val="left"/>
      <w:pPr>
        <w:ind w:left="517" w:hanging="375"/>
      </w:pPr>
      <w:rPr>
        <w:rFonts w:hint="default"/>
        <w:b w:val="0"/>
        <w:i w:val="0"/>
        <w:sz w:val="16"/>
        <w:szCs w:val="16"/>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1F7DB8"/>
    <w:multiLevelType w:val="hybridMultilevel"/>
    <w:tmpl w:val="7EF295E4"/>
    <w:lvl w:ilvl="0" w:tplc="D5F4A84A">
      <w:start w:val="1"/>
      <w:numFmt w:val="lowerLetter"/>
      <w:lvlText w:val="(%1)"/>
      <w:lvlJc w:val="left"/>
      <w:pPr>
        <w:ind w:left="720" w:hanging="360"/>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A159F4"/>
    <w:multiLevelType w:val="hybridMultilevel"/>
    <w:tmpl w:val="6E68FA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30F25E2D"/>
    <w:multiLevelType w:val="hybridMultilevel"/>
    <w:tmpl w:val="3648FB28"/>
    <w:lvl w:ilvl="0" w:tplc="FFFFFFFF">
      <w:start w:val="1"/>
      <w:numFmt w:val="lowerLetter"/>
      <w:lvlText w:val="(%1)"/>
      <w:lvlJc w:val="left"/>
      <w:pPr>
        <w:ind w:left="375" w:hanging="375"/>
      </w:pPr>
      <w:rPr>
        <w:rFonts w:ascii="Arial" w:hAnsi="Arial" w:cs="Arial" w:hint="default"/>
        <w:b w:val="0"/>
        <w:i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201D03"/>
    <w:multiLevelType w:val="hybridMultilevel"/>
    <w:tmpl w:val="BFEAFBA8"/>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4AE03728"/>
    <w:multiLevelType w:val="hybridMultilevel"/>
    <w:tmpl w:val="60CE1DD4"/>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B263A56"/>
    <w:multiLevelType w:val="hybridMultilevel"/>
    <w:tmpl w:val="8A601080"/>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5C9626AE"/>
    <w:multiLevelType w:val="hybridMultilevel"/>
    <w:tmpl w:val="543AB9EA"/>
    <w:lvl w:ilvl="0" w:tplc="0C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29F2BE1"/>
    <w:multiLevelType w:val="hybridMultilevel"/>
    <w:tmpl w:val="A5EE479C"/>
    <w:lvl w:ilvl="0" w:tplc="7062CFFE">
      <w:start w:val="1"/>
      <w:numFmt w:val="lowerLetter"/>
      <w:lvlText w:val="(%1)"/>
      <w:lvlJc w:val="left"/>
      <w:pPr>
        <w:ind w:left="720" w:hanging="360"/>
      </w:pPr>
      <w:rPr>
        <w:rFonts w:hint="default"/>
        <w:b w:val="0"/>
        <w:i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7" w15:restartNumberingAfterBreak="0">
    <w:nsid w:val="65F41E2E"/>
    <w:multiLevelType w:val="hybridMultilevel"/>
    <w:tmpl w:val="ED10053A"/>
    <w:lvl w:ilvl="0" w:tplc="7062CFFE">
      <w:start w:val="1"/>
      <w:numFmt w:val="lowerLetter"/>
      <w:lvlText w:val="(%1)"/>
      <w:lvlJc w:val="left"/>
      <w:pPr>
        <w:tabs>
          <w:tab w:val="num" w:pos="397"/>
        </w:tabs>
        <w:ind w:left="397" w:hanging="397"/>
      </w:pPr>
      <w:rPr>
        <w:rFonts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A3959"/>
    <w:multiLevelType w:val="multilevel"/>
    <w:tmpl w:val="269EC61C"/>
    <w:name w:val="Chart and Table Footnote Alpha Small"/>
    <w:lvl w:ilvl="0">
      <w:start w:val="1"/>
      <w:numFmt w:val="bullet"/>
      <w:pStyle w:val="ChartandTableFootnoteAlphaSmall"/>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DB86B8E"/>
    <w:multiLevelType w:val="hybridMultilevel"/>
    <w:tmpl w:val="3648FB28"/>
    <w:lvl w:ilvl="0" w:tplc="E696CD06">
      <w:start w:val="1"/>
      <w:numFmt w:val="lowerLetter"/>
      <w:lvlText w:val="(%1)"/>
      <w:lvlJc w:val="left"/>
      <w:pPr>
        <w:ind w:left="735" w:hanging="375"/>
      </w:pPr>
      <w:rPr>
        <w:rFonts w:ascii="Arial" w:hAnsi="Arial" w:cs="Arial" w:hint="default"/>
        <w:b w:val="0"/>
        <w:i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960C76"/>
    <w:multiLevelType w:val="hybridMultilevel"/>
    <w:tmpl w:val="8662EB72"/>
    <w:lvl w:ilvl="0" w:tplc="D5F4A84A">
      <w:start w:val="1"/>
      <w:numFmt w:val="lowerLetter"/>
      <w:lvlText w:val="(%1)"/>
      <w:lvlJc w:val="left"/>
      <w:pPr>
        <w:ind w:left="720" w:hanging="360"/>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4A2632"/>
    <w:multiLevelType w:val="multilevel"/>
    <w:tmpl w:val="15CA4D8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b w:val="0"/>
        <w:i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A7721F"/>
    <w:multiLevelType w:val="hybridMultilevel"/>
    <w:tmpl w:val="38603626"/>
    <w:lvl w:ilvl="0" w:tplc="FB48A6C6">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1034919">
    <w:abstractNumId w:val="3"/>
  </w:num>
  <w:num w:numId="2" w16cid:durableId="1950576806">
    <w:abstractNumId w:val="20"/>
  </w:num>
  <w:num w:numId="3" w16cid:durableId="90592523">
    <w:abstractNumId w:val="6"/>
  </w:num>
  <w:num w:numId="4" w16cid:durableId="2019623683">
    <w:abstractNumId w:val="23"/>
  </w:num>
  <w:num w:numId="5" w16cid:durableId="853499218">
    <w:abstractNumId w:val="14"/>
  </w:num>
  <w:num w:numId="6" w16cid:durableId="536236752">
    <w:abstractNumId w:val="5"/>
  </w:num>
  <w:num w:numId="7" w16cid:durableId="1997684247">
    <w:abstractNumId w:val="15"/>
  </w:num>
  <w:num w:numId="8" w16cid:durableId="439373347">
    <w:abstractNumId w:val="11"/>
  </w:num>
  <w:num w:numId="9" w16cid:durableId="1151092566">
    <w:abstractNumId w:val="28"/>
  </w:num>
  <w:num w:numId="10" w16cid:durableId="1574392821">
    <w:abstractNumId w:val="11"/>
  </w:num>
  <w:num w:numId="11" w16cid:durableId="1661233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9677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010501">
    <w:abstractNumId w:val="9"/>
  </w:num>
  <w:num w:numId="14" w16cid:durableId="1525052624">
    <w:abstractNumId w:val="26"/>
  </w:num>
  <w:num w:numId="15" w16cid:durableId="704332731">
    <w:abstractNumId w:val="7"/>
  </w:num>
  <w:num w:numId="16" w16cid:durableId="2085369390">
    <w:abstractNumId w:val="13"/>
  </w:num>
  <w:num w:numId="17" w16cid:durableId="1086728950">
    <w:abstractNumId w:val="27"/>
  </w:num>
  <w:num w:numId="18" w16cid:durableId="1369376765">
    <w:abstractNumId w:val="4"/>
  </w:num>
  <w:num w:numId="19" w16cid:durableId="2026398789">
    <w:abstractNumId w:val="22"/>
  </w:num>
  <w:num w:numId="20" w16cid:durableId="491221292">
    <w:abstractNumId w:val="29"/>
  </w:num>
  <w:num w:numId="21" w16cid:durableId="1673946805">
    <w:abstractNumId w:val="21"/>
  </w:num>
  <w:num w:numId="22" w16cid:durableId="1071542309">
    <w:abstractNumId w:val="2"/>
  </w:num>
  <w:num w:numId="23" w16cid:durableId="1713797576">
    <w:abstractNumId w:val="18"/>
  </w:num>
  <w:num w:numId="24" w16cid:durableId="369495977">
    <w:abstractNumId w:val="34"/>
  </w:num>
  <w:num w:numId="25" w16cid:durableId="112020106">
    <w:abstractNumId w:val="25"/>
  </w:num>
  <w:num w:numId="26" w16cid:durableId="152068825">
    <w:abstractNumId w:val="32"/>
  </w:num>
  <w:num w:numId="27" w16cid:durableId="13650102">
    <w:abstractNumId w:val="31"/>
  </w:num>
  <w:num w:numId="28" w16cid:durableId="355350088">
    <w:abstractNumId w:val="19"/>
  </w:num>
  <w:num w:numId="29" w16cid:durableId="2127578512">
    <w:abstractNumId w:val="24"/>
  </w:num>
  <w:num w:numId="30" w16cid:durableId="1692100421">
    <w:abstractNumId w:val="0"/>
  </w:num>
  <w:num w:numId="31" w16cid:durableId="1328629474">
    <w:abstractNumId w:val="1"/>
  </w:num>
  <w:num w:numId="32" w16cid:durableId="889805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9026262">
    <w:abstractNumId w:val="30"/>
  </w:num>
  <w:num w:numId="34" w16cid:durableId="718669366">
    <w:abstractNumId w:val="10"/>
  </w:num>
  <w:num w:numId="35" w16cid:durableId="1700006342">
    <w:abstractNumId w:val="12"/>
  </w:num>
  <w:num w:numId="36" w16cid:durableId="561411263">
    <w:abstractNumId w:val="8"/>
  </w:num>
  <w:num w:numId="37" w16cid:durableId="1002778886">
    <w:abstractNumId w:val="16"/>
  </w:num>
  <w:num w:numId="38" w16cid:durableId="1680934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7632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9478010">
    <w:abstractNumId w:val="11"/>
  </w:num>
  <w:num w:numId="41" w16cid:durableId="112133303">
    <w:abstractNumId w:val="33"/>
  </w:num>
  <w:num w:numId="42" w16cid:durableId="400369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371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400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9904092">
    <w:abstractNumId w:val="11"/>
  </w:num>
  <w:num w:numId="46" w16cid:durableId="2018379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9871115">
    <w:abstractNumId w:val="11"/>
  </w:num>
  <w:num w:numId="48" w16cid:durableId="491455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0924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8184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88"/>
    <w:rsid w:val="00001A5C"/>
    <w:rsid w:val="00001B60"/>
    <w:rsid w:val="00003E0B"/>
    <w:rsid w:val="00004333"/>
    <w:rsid w:val="00004CE4"/>
    <w:rsid w:val="000051E4"/>
    <w:rsid w:val="00005E29"/>
    <w:rsid w:val="00007854"/>
    <w:rsid w:val="00007B03"/>
    <w:rsid w:val="000117A2"/>
    <w:rsid w:val="000122F0"/>
    <w:rsid w:val="00013FAB"/>
    <w:rsid w:val="000163F8"/>
    <w:rsid w:val="00017CBD"/>
    <w:rsid w:val="00022D85"/>
    <w:rsid w:val="0002340D"/>
    <w:rsid w:val="00023728"/>
    <w:rsid w:val="00023DB7"/>
    <w:rsid w:val="000249BD"/>
    <w:rsid w:val="000267FC"/>
    <w:rsid w:val="00026DDB"/>
    <w:rsid w:val="00032C16"/>
    <w:rsid w:val="00033B4A"/>
    <w:rsid w:val="00034F19"/>
    <w:rsid w:val="00035159"/>
    <w:rsid w:val="00037677"/>
    <w:rsid w:val="00037CB5"/>
    <w:rsid w:val="0004015F"/>
    <w:rsid w:val="0004266F"/>
    <w:rsid w:val="00045DBF"/>
    <w:rsid w:val="00050FE6"/>
    <w:rsid w:val="000518A8"/>
    <w:rsid w:val="00052762"/>
    <w:rsid w:val="00052CB7"/>
    <w:rsid w:val="000541F6"/>
    <w:rsid w:val="00065897"/>
    <w:rsid w:val="00065DC9"/>
    <w:rsid w:val="000662DC"/>
    <w:rsid w:val="000663E4"/>
    <w:rsid w:val="00066C8B"/>
    <w:rsid w:val="00070E92"/>
    <w:rsid w:val="0007194C"/>
    <w:rsid w:val="00075C2E"/>
    <w:rsid w:val="0007721A"/>
    <w:rsid w:val="00081A0B"/>
    <w:rsid w:val="00081DFE"/>
    <w:rsid w:val="00081E07"/>
    <w:rsid w:val="00082113"/>
    <w:rsid w:val="000832F4"/>
    <w:rsid w:val="0008347E"/>
    <w:rsid w:val="00083F72"/>
    <w:rsid w:val="00084EF4"/>
    <w:rsid w:val="00086035"/>
    <w:rsid w:val="0009010F"/>
    <w:rsid w:val="00091B76"/>
    <w:rsid w:val="0009219F"/>
    <w:rsid w:val="00092440"/>
    <w:rsid w:val="000973AB"/>
    <w:rsid w:val="00097F41"/>
    <w:rsid w:val="000A2E41"/>
    <w:rsid w:val="000A3249"/>
    <w:rsid w:val="000A3363"/>
    <w:rsid w:val="000A3463"/>
    <w:rsid w:val="000A3DD8"/>
    <w:rsid w:val="000A75EA"/>
    <w:rsid w:val="000A7CC3"/>
    <w:rsid w:val="000B1F96"/>
    <w:rsid w:val="000B2B7D"/>
    <w:rsid w:val="000B4F23"/>
    <w:rsid w:val="000B5080"/>
    <w:rsid w:val="000B5844"/>
    <w:rsid w:val="000B6397"/>
    <w:rsid w:val="000B70F2"/>
    <w:rsid w:val="000C0433"/>
    <w:rsid w:val="000C2BC5"/>
    <w:rsid w:val="000C3374"/>
    <w:rsid w:val="000C3730"/>
    <w:rsid w:val="000C6C70"/>
    <w:rsid w:val="000D06B5"/>
    <w:rsid w:val="000D289E"/>
    <w:rsid w:val="000D3665"/>
    <w:rsid w:val="000D6B2C"/>
    <w:rsid w:val="000D6DEF"/>
    <w:rsid w:val="000D7280"/>
    <w:rsid w:val="000E33CD"/>
    <w:rsid w:val="000E45E1"/>
    <w:rsid w:val="000F325E"/>
    <w:rsid w:val="000F3538"/>
    <w:rsid w:val="000F37E6"/>
    <w:rsid w:val="000F4AA8"/>
    <w:rsid w:val="000F5283"/>
    <w:rsid w:val="000F6716"/>
    <w:rsid w:val="001000AA"/>
    <w:rsid w:val="0010165B"/>
    <w:rsid w:val="0010221E"/>
    <w:rsid w:val="0010438C"/>
    <w:rsid w:val="00105CF9"/>
    <w:rsid w:val="001063EE"/>
    <w:rsid w:val="00106558"/>
    <w:rsid w:val="00107907"/>
    <w:rsid w:val="00107F3E"/>
    <w:rsid w:val="001108AF"/>
    <w:rsid w:val="00110B9B"/>
    <w:rsid w:val="001130AC"/>
    <w:rsid w:val="00114902"/>
    <w:rsid w:val="00114E90"/>
    <w:rsid w:val="00117283"/>
    <w:rsid w:val="00123689"/>
    <w:rsid w:val="00123BFB"/>
    <w:rsid w:val="00123C54"/>
    <w:rsid w:val="00123CA2"/>
    <w:rsid w:val="001245AC"/>
    <w:rsid w:val="00124BBF"/>
    <w:rsid w:val="001257A7"/>
    <w:rsid w:val="00126251"/>
    <w:rsid w:val="001262AB"/>
    <w:rsid w:val="001268F7"/>
    <w:rsid w:val="001270CB"/>
    <w:rsid w:val="00133E0E"/>
    <w:rsid w:val="00134A55"/>
    <w:rsid w:val="00134C11"/>
    <w:rsid w:val="00135C33"/>
    <w:rsid w:val="00136507"/>
    <w:rsid w:val="00136E15"/>
    <w:rsid w:val="0013756B"/>
    <w:rsid w:val="00137600"/>
    <w:rsid w:val="00140F6E"/>
    <w:rsid w:val="00141D77"/>
    <w:rsid w:val="001436E5"/>
    <w:rsid w:val="00143ECA"/>
    <w:rsid w:val="001463D9"/>
    <w:rsid w:val="00146803"/>
    <w:rsid w:val="0014702B"/>
    <w:rsid w:val="00147274"/>
    <w:rsid w:val="00150040"/>
    <w:rsid w:val="00150DB4"/>
    <w:rsid w:val="00151A65"/>
    <w:rsid w:val="001546BB"/>
    <w:rsid w:val="00154B66"/>
    <w:rsid w:val="001560AB"/>
    <w:rsid w:val="001622F2"/>
    <w:rsid w:val="0016555F"/>
    <w:rsid w:val="00165D31"/>
    <w:rsid w:val="00166AB8"/>
    <w:rsid w:val="001744B6"/>
    <w:rsid w:val="00175180"/>
    <w:rsid w:val="00176054"/>
    <w:rsid w:val="00177649"/>
    <w:rsid w:val="001779AF"/>
    <w:rsid w:val="00180E14"/>
    <w:rsid w:val="00182E22"/>
    <w:rsid w:val="00183126"/>
    <w:rsid w:val="00185D7A"/>
    <w:rsid w:val="00186290"/>
    <w:rsid w:val="00186F6C"/>
    <w:rsid w:val="0018719D"/>
    <w:rsid w:val="00191ABE"/>
    <w:rsid w:val="00192802"/>
    <w:rsid w:val="001928AF"/>
    <w:rsid w:val="0019340E"/>
    <w:rsid w:val="00195563"/>
    <w:rsid w:val="001A186D"/>
    <w:rsid w:val="001A1C55"/>
    <w:rsid w:val="001A3E3A"/>
    <w:rsid w:val="001A5F7A"/>
    <w:rsid w:val="001B184D"/>
    <w:rsid w:val="001B18CE"/>
    <w:rsid w:val="001B1E37"/>
    <w:rsid w:val="001B3395"/>
    <w:rsid w:val="001B3E89"/>
    <w:rsid w:val="001C0A7E"/>
    <w:rsid w:val="001C2164"/>
    <w:rsid w:val="001C2722"/>
    <w:rsid w:val="001C4B8B"/>
    <w:rsid w:val="001C5388"/>
    <w:rsid w:val="001C53F2"/>
    <w:rsid w:val="001C6D06"/>
    <w:rsid w:val="001C760D"/>
    <w:rsid w:val="001C7715"/>
    <w:rsid w:val="001D1D26"/>
    <w:rsid w:val="001D24AA"/>
    <w:rsid w:val="001D4659"/>
    <w:rsid w:val="001D491D"/>
    <w:rsid w:val="001D7807"/>
    <w:rsid w:val="001E0DBC"/>
    <w:rsid w:val="001E1BB6"/>
    <w:rsid w:val="001E2260"/>
    <w:rsid w:val="001E4A2D"/>
    <w:rsid w:val="001E5518"/>
    <w:rsid w:val="001E6ECD"/>
    <w:rsid w:val="001E7047"/>
    <w:rsid w:val="001F0092"/>
    <w:rsid w:val="001F0F3A"/>
    <w:rsid w:val="001F2C3C"/>
    <w:rsid w:val="001F31E7"/>
    <w:rsid w:val="001F46A6"/>
    <w:rsid w:val="001F5243"/>
    <w:rsid w:val="001F766E"/>
    <w:rsid w:val="00200B41"/>
    <w:rsid w:val="002013F8"/>
    <w:rsid w:val="00202CDF"/>
    <w:rsid w:val="00202F2A"/>
    <w:rsid w:val="00203839"/>
    <w:rsid w:val="0020634A"/>
    <w:rsid w:val="0020642B"/>
    <w:rsid w:val="0020754F"/>
    <w:rsid w:val="0020791D"/>
    <w:rsid w:val="0021180E"/>
    <w:rsid w:val="002126C6"/>
    <w:rsid w:val="00213A28"/>
    <w:rsid w:val="00215630"/>
    <w:rsid w:val="00221A4B"/>
    <w:rsid w:val="00221A5A"/>
    <w:rsid w:val="00221E2A"/>
    <w:rsid w:val="00223047"/>
    <w:rsid w:val="00223058"/>
    <w:rsid w:val="0022327D"/>
    <w:rsid w:val="0022642A"/>
    <w:rsid w:val="00230083"/>
    <w:rsid w:val="002303B3"/>
    <w:rsid w:val="002322E9"/>
    <w:rsid w:val="00233AE8"/>
    <w:rsid w:val="002354AC"/>
    <w:rsid w:val="002367F5"/>
    <w:rsid w:val="00237039"/>
    <w:rsid w:val="00237790"/>
    <w:rsid w:val="002406AD"/>
    <w:rsid w:val="00240B7B"/>
    <w:rsid w:val="0024247A"/>
    <w:rsid w:val="00242560"/>
    <w:rsid w:val="0024335E"/>
    <w:rsid w:val="00243A1A"/>
    <w:rsid w:val="00244E40"/>
    <w:rsid w:val="00246884"/>
    <w:rsid w:val="002474C2"/>
    <w:rsid w:val="00250F15"/>
    <w:rsid w:val="00251908"/>
    <w:rsid w:val="00252DC2"/>
    <w:rsid w:val="00255975"/>
    <w:rsid w:val="00257363"/>
    <w:rsid w:val="0026051F"/>
    <w:rsid w:val="002616B5"/>
    <w:rsid w:val="00261BDB"/>
    <w:rsid w:val="00270269"/>
    <w:rsid w:val="00272B20"/>
    <w:rsid w:val="00272BF8"/>
    <w:rsid w:val="00273E70"/>
    <w:rsid w:val="00274EB3"/>
    <w:rsid w:val="00275B51"/>
    <w:rsid w:val="0028230B"/>
    <w:rsid w:val="0028272C"/>
    <w:rsid w:val="00282E82"/>
    <w:rsid w:val="00286697"/>
    <w:rsid w:val="002873DF"/>
    <w:rsid w:val="002935D4"/>
    <w:rsid w:val="00294BCA"/>
    <w:rsid w:val="00295414"/>
    <w:rsid w:val="0029780F"/>
    <w:rsid w:val="002A03CD"/>
    <w:rsid w:val="002A14ED"/>
    <w:rsid w:val="002A1D40"/>
    <w:rsid w:val="002A2A2C"/>
    <w:rsid w:val="002A300D"/>
    <w:rsid w:val="002A70ED"/>
    <w:rsid w:val="002B1603"/>
    <w:rsid w:val="002C2651"/>
    <w:rsid w:val="002C48C5"/>
    <w:rsid w:val="002C505F"/>
    <w:rsid w:val="002C53D2"/>
    <w:rsid w:val="002C781F"/>
    <w:rsid w:val="002D067E"/>
    <w:rsid w:val="002D1B14"/>
    <w:rsid w:val="002D3925"/>
    <w:rsid w:val="002D394D"/>
    <w:rsid w:val="002D5545"/>
    <w:rsid w:val="002D68E9"/>
    <w:rsid w:val="002D69C3"/>
    <w:rsid w:val="002D78B8"/>
    <w:rsid w:val="002E091A"/>
    <w:rsid w:val="002E474B"/>
    <w:rsid w:val="002E4C9E"/>
    <w:rsid w:val="002E5D19"/>
    <w:rsid w:val="002E5E71"/>
    <w:rsid w:val="002E692E"/>
    <w:rsid w:val="002F0A95"/>
    <w:rsid w:val="002F0CC1"/>
    <w:rsid w:val="002F0ED5"/>
    <w:rsid w:val="002F1A44"/>
    <w:rsid w:val="002F24D9"/>
    <w:rsid w:val="002F24EA"/>
    <w:rsid w:val="002F36D9"/>
    <w:rsid w:val="002F4441"/>
    <w:rsid w:val="002F4513"/>
    <w:rsid w:val="002F518B"/>
    <w:rsid w:val="002F560D"/>
    <w:rsid w:val="002F613E"/>
    <w:rsid w:val="002F6364"/>
    <w:rsid w:val="00300BE9"/>
    <w:rsid w:val="00301079"/>
    <w:rsid w:val="00301D67"/>
    <w:rsid w:val="00304D78"/>
    <w:rsid w:val="00304E76"/>
    <w:rsid w:val="00306FF4"/>
    <w:rsid w:val="00307A5C"/>
    <w:rsid w:val="00311DD4"/>
    <w:rsid w:val="00313AEA"/>
    <w:rsid w:val="00314333"/>
    <w:rsid w:val="0031585F"/>
    <w:rsid w:val="003203F2"/>
    <w:rsid w:val="003210D2"/>
    <w:rsid w:val="00323672"/>
    <w:rsid w:val="003250BB"/>
    <w:rsid w:val="003259D0"/>
    <w:rsid w:val="00325A5A"/>
    <w:rsid w:val="00327424"/>
    <w:rsid w:val="00327DD2"/>
    <w:rsid w:val="00330121"/>
    <w:rsid w:val="003305DC"/>
    <w:rsid w:val="003316C0"/>
    <w:rsid w:val="0033185D"/>
    <w:rsid w:val="003336A6"/>
    <w:rsid w:val="00333EF1"/>
    <w:rsid w:val="003349A4"/>
    <w:rsid w:val="003349BD"/>
    <w:rsid w:val="00336EAC"/>
    <w:rsid w:val="00337167"/>
    <w:rsid w:val="0034090B"/>
    <w:rsid w:val="00342CC0"/>
    <w:rsid w:val="0034347C"/>
    <w:rsid w:val="0034541F"/>
    <w:rsid w:val="0035086F"/>
    <w:rsid w:val="00351674"/>
    <w:rsid w:val="003550E7"/>
    <w:rsid w:val="003553EB"/>
    <w:rsid w:val="00355DD1"/>
    <w:rsid w:val="0035612D"/>
    <w:rsid w:val="00356D02"/>
    <w:rsid w:val="00360D95"/>
    <w:rsid w:val="00360F76"/>
    <w:rsid w:val="0036285B"/>
    <w:rsid w:val="003643CB"/>
    <w:rsid w:val="00364F0F"/>
    <w:rsid w:val="003657AA"/>
    <w:rsid w:val="0036637F"/>
    <w:rsid w:val="00370629"/>
    <w:rsid w:val="003709E5"/>
    <w:rsid w:val="00371193"/>
    <w:rsid w:val="00371369"/>
    <w:rsid w:val="003716A5"/>
    <w:rsid w:val="00371CA8"/>
    <w:rsid w:val="00374AD3"/>
    <w:rsid w:val="00375001"/>
    <w:rsid w:val="003756BD"/>
    <w:rsid w:val="00376E4F"/>
    <w:rsid w:val="003829CC"/>
    <w:rsid w:val="00384D69"/>
    <w:rsid w:val="0038522D"/>
    <w:rsid w:val="00387AC5"/>
    <w:rsid w:val="00390354"/>
    <w:rsid w:val="0039195F"/>
    <w:rsid w:val="00391CDB"/>
    <w:rsid w:val="0039259E"/>
    <w:rsid w:val="00393289"/>
    <w:rsid w:val="00393F4C"/>
    <w:rsid w:val="003962BF"/>
    <w:rsid w:val="00396EDD"/>
    <w:rsid w:val="00397AD9"/>
    <w:rsid w:val="003A000B"/>
    <w:rsid w:val="003A05DA"/>
    <w:rsid w:val="003A0EB0"/>
    <w:rsid w:val="003A1C3B"/>
    <w:rsid w:val="003A25BF"/>
    <w:rsid w:val="003A2927"/>
    <w:rsid w:val="003A372A"/>
    <w:rsid w:val="003A6828"/>
    <w:rsid w:val="003A6B64"/>
    <w:rsid w:val="003B67B3"/>
    <w:rsid w:val="003B7884"/>
    <w:rsid w:val="003C0E26"/>
    <w:rsid w:val="003C4535"/>
    <w:rsid w:val="003C5C6A"/>
    <w:rsid w:val="003C7218"/>
    <w:rsid w:val="003C7D75"/>
    <w:rsid w:val="003E0108"/>
    <w:rsid w:val="003E078A"/>
    <w:rsid w:val="003E1859"/>
    <w:rsid w:val="003E364D"/>
    <w:rsid w:val="003E4BAB"/>
    <w:rsid w:val="003E5422"/>
    <w:rsid w:val="003E660C"/>
    <w:rsid w:val="003E6876"/>
    <w:rsid w:val="003F00E0"/>
    <w:rsid w:val="003F1851"/>
    <w:rsid w:val="004009AC"/>
    <w:rsid w:val="00401D29"/>
    <w:rsid w:val="004033E0"/>
    <w:rsid w:val="00411D6F"/>
    <w:rsid w:val="004153A4"/>
    <w:rsid w:val="00415B45"/>
    <w:rsid w:val="00417601"/>
    <w:rsid w:val="00417671"/>
    <w:rsid w:val="00417F08"/>
    <w:rsid w:val="00420013"/>
    <w:rsid w:val="00422025"/>
    <w:rsid w:val="00422695"/>
    <w:rsid w:val="00422E0D"/>
    <w:rsid w:val="0042389B"/>
    <w:rsid w:val="004249BD"/>
    <w:rsid w:val="00426D9F"/>
    <w:rsid w:val="0042737D"/>
    <w:rsid w:val="00430179"/>
    <w:rsid w:val="00431E74"/>
    <w:rsid w:val="004345E7"/>
    <w:rsid w:val="00441AA0"/>
    <w:rsid w:val="00443605"/>
    <w:rsid w:val="004440D3"/>
    <w:rsid w:val="004465BA"/>
    <w:rsid w:val="00446E60"/>
    <w:rsid w:val="00447FEF"/>
    <w:rsid w:val="004503FA"/>
    <w:rsid w:val="00451467"/>
    <w:rsid w:val="00455218"/>
    <w:rsid w:val="004568C0"/>
    <w:rsid w:val="00456A63"/>
    <w:rsid w:val="004600AE"/>
    <w:rsid w:val="0046307D"/>
    <w:rsid w:val="0046338F"/>
    <w:rsid w:val="00465F31"/>
    <w:rsid w:val="0046618B"/>
    <w:rsid w:val="004665E9"/>
    <w:rsid w:val="00470D18"/>
    <w:rsid w:val="004712B7"/>
    <w:rsid w:val="004726ED"/>
    <w:rsid w:val="0047566D"/>
    <w:rsid w:val="00475D5E"/>
    <w:rsid w:val="0047633F"/>
    <w:rsid w:val="004775B2"/>
    <w:rsid w:val="004805C3"/>
    <w:rsid w:val="004825D1"/>
    <w:rsid w:val="00484590"/>
    <w:rsid w:val="00484CB3"/>
    <w:rsid w:val="0048620D"/>
    <w:rsid w:val="00490E0A"/>
    <w:rsid w:val="004927A7"/>
    <w:rsid w:val="00497120"/>
    <w:rsid w:val="004979D5"/>
    <w:rsid w:val="004A2942"/>
    <w:rsid w:val="004A541E"/>
    <w:rsid w:val="004A5D4C"/>
    <w:rsid w:val="004A6255"/>
    <w:rsid w:val="004B2864"/>
    <w:rsid w:val="004B31C5"/>
    <w:rsid w:val="004B4149"/>
    <w:rsid w:val="004B422E"/>
    <w:rsid w:val="004B54F0"/>
    <w:rsid w:val="004B5D08"/>
    <w:rsid w:val="004B5FA1"/>
    <w:rsid w:val="004C04CB"/>
    <w:rsid w:val="004C0BD7"/>
    <w:rsid w:val="004C4F3E"/>
    <w:rsid w:val="004C7038"/>
    <w:rsid w:val="004D3886"/>
    <w:rsid w:val="004D3E2B"/>
    <w:rsid w:val="004D418D"/>
    <w:rsid w:val="004D46D7"/>
    <w:rsid w:val="004D70FE"/>
    <w:rsid w:val="004E017C"/>
    <w:rsid w:val="004E1872"/>
    <w:rsid w:val="004E20FE"/>
    <w:rsid w:val="004E3104"/>
    <w:rsid w:val="004E4187"/>
    <w:rsid w:val="004E5E10"/>
    <w:rsid w:val="004E6DF0"/>
    <w:rsid w:val="004E744C"/>
    <w:rsid w:val="004F068F"/>
    <w:rsid w:val="004F14E4"/>
    <w:rsid w:val="00500554"/>
    <w:rsid w:val="005013B5"/>
    <w:rsid w:val="0050190C"/>
    <w:rsid w:val="00502B76"/>
    <w:rsid w:val="00503E20"/>
    <w:rsid w:val="005042A4"/>
    <w:rsid w:val="00511879"/>
    <w:rsid w:val="00511C5B"/>
    <w:rsid w:val="00512831"/>
    <w:rsid w:val="0051350D"/>
    <w:rsid w:val="00514D8F"/>
    <w:rsid w:val="005151B0"/>
    <w:rsid w:val="005153EC"/>
    <w:rsid w:val="005158AC"/>
    <w:rsid w:val="0051627E"/>
    <w:rsid w:val="0051797E"/>
    <w:rsid w:val="0052037C"/>
    <w:rsid w:val="00520ECC"/>
    <w:rsid w:val="0052227C"/>
    <w:rsid w:val="00523531"/>
    <w:rsid w:val="00524115"/>
    <w:rsid w:val="00524CBA"/>
    <w:rsid w:val="00525A81"/>
    <w:rsid w:val="00526388"/>
    <w:rsid w:val="00526491"/>
    <w:rsid w:val="005269F0"/>
    <w:rsid w:val="005306F2"/>
    <w:rsid w:val="00531663"/>
    <w:rsid w:val="00533B16"/>
    <w:rsid w:val="00533E91"/>
    <w:rsid w:val="00541613"/>
    <w:rsid w:val="00541BE0"/>
    <w:rsid w:val="00542A6D"/>
    <w:rsid w:val="005433AF"/>
    <w:rsid w:val="00543489"/>
    <w:rsid w:val="00543672"/>
    <w:rsid w:val="00544CC4"/>
    <w:rsid w:val="00545927"/>
    <w:rsid w:val="00547016"/>
    <w:rsid w:val="00547069"/>
    <w:rsid w:val="00550253"/>
    <w:rsid w:val="005510CF"/>
    <w:rsid w:val="0055248E"/>
    <w:rsid w:val="00552630"/>
    <w:rsid w:val="00552885"/>
    <w:rsid w:val="005554F9"/>
    <w:rsid w:val="00556996"/>
    <w:rsid w:val="00557137"/>
    <w:rsid w:val="00557781"/>
    <w:rsid w:val="005600B7"/>
    <w:rsid w:val="00560F9E"/>
    <w:rsid w:val="0056239E"/>
    <w:rsid w:val="00562807"/>
    <w:rsid w:val="005644C0"/>
    <w:rsid w:val="00564C0F"/>
    <w:rsid w:val="005724F4"/>
    <w:rsid w:val="005730CE"/>
    <w:rsid w:val="00574D0D"/>
    <w:rsid w:val="00575269"/>
    <w:rsid w:val="00576163"/>
    <w:rsid w:val="005762FE"/>
    <w:rsid w:val="0058396B"/>
    <w:rsid w:val="00584EEB"/>
    <w:rsid w:val="005852E3"/>
    <w:rsid w:val="005866EE"/>
    <w:rsid w:val="005870DA"/>
    <w:rsid w:val="00587CF9"/>
    <w:rsid w:val="00587E84"/>
    <w:rsid w:val="0059350C"/>
    <w:rsid w:val="00593B0B"/>
    <w:rsid w:val="005941AC"/>
    <w:rsid w:val="005966D0"/>
    <w:rsid w:val="00596C82"/>
    <w:rsid w:val="00596F64"/>
    <w:rsid w:val="00597CD8"/>
    <w:rsid w:val="005A0633"/>
    <w:rsid w:val="005A214E"/>
    <w:rsid w:val="005A4A29"/>
    <w:rsid w:val="005A601A"/>
    <w:rsid w:val="005A698A"/>
    <w:rsid w:val="005A7CA4"/>
    <w:rsid w:val="005A7E93"/>
    <w:rsid w:val="005A7EC4"/>
    <w:rsid w:val="005B1BC8"/>
    <w:rsid w:val="005B1EEB"/>
    <w:rsid w:val="005B1F84"/>
    <w:rsid w:val="005B2FBA"/>
    <w:rsid w:val="005B3016"/>
    <w:rsid w:val="005B3509"/>
    <w:rsid w:val="005B3EA0"/>
    <w:rsid w:val="005B5124"/>
    <w:rsid w:val="005B574A"/>
    <w:rsid w:val="005C00E8"/>
    <w:rsid w:val="005C751F"/>
    <w:rsid w:val="005D1C4E"/>
    <w:rsid w:val="005D26F5"/>
    <w:rsid w:val="005D48A6"/>
    <w:rsid w:val="005D73BF"/>
    <w:rsid w:val="005D78DB"/>
    <w:rsid w:val="005E05D7"/>
    <w:rsid w:val="005E11BA"/>
    <w:rsid w:val="005E5074"/>
    <w:rsid w:val="005E55CA"/>
    <w:rsid w:val="005E5C4A"/>
    <w:rsid w:val="005E75DE"/>
    <w:rsid w:val="005F2824"/>
    <w:rsid w:val="005F375D"/>
    <w:rsid w:val="005F384B"/>
    <w:rsid w:val="005F3D96"/>
    <w:rsid w:val="005F3DC1"/>
    <w:rsid w:val="005F6D5F"/>
    <w:rsid w:val="005F71AF"/>
    <w:rsid w:val="005F7AD1"/>
    <w:rsid w:val="00601A87"/>
    <w:rsid w:val="006030AA"/>
    <w:rsid w:val="00604771"/>
    <w:rsid w:val="00604901"/>
    <w:rsid w:val="0061243A"/>
    <w:rsid w:val="00612877"/>
    <w:rsid w:val="00612B55"/>
    <w:rsid w:val="00613250"/>
    <w:rsid w:val="00613646"/>
    <w:rsid w:val="00615249"/>
    <w:rsid w:val="00617C2B"/>
    <w:rsid w:val="00620AE8"/>
    <w:rsid w:val="00621956"/>
    <w:rsid w:val="006223A7"/>
    <w:rsid w:val="00622A38"/>
    <w:rsid w:val="00623714"/>
    <w:rsid w:val="00625CCB"/>
    <w:rsid w:val="00626AFD"/>
    <w:rsid w:val="00626B65"/>
    <w:rsid w:val="00632888"/>
    <w:rsid w:val="00633C3C"/>
    <w:rsid w:val="0063528A"/>
    <w:rsid w:val="0064123B"/>
    <w:rsid w:val="00641257"/>
    <w:rsid w:val="0064198D"/>
    <w:rsid w:val="00642EC1"/>
    <w:rsid w:val="00643B7D"/>
    <w:rsid w:val="00643D07"/>
    <w:rsid w:val="00644502"/>
    <w:rsid w:val="006447EE"/>
    <w:rsid w:val="006465A9"/>
    <w:rsid w:val="00650339"/>
    <w:rsid w:val="00650545"/>
    <w:rsid w:val="00650FD3"/>
    <w:rsid w:val="006511B8"/>
    <w:rsid w:val="00654B5B"/>
    <w:rsid w:val="00657431"/>
    <w:rsid w:val="006579E5"/>
    <w:rsid w:val="0066225A"/>
    <w:rsid w:val="006641EE"/>
    <w:rsid w:val="006654D2"/>
    <w:rsid w:val="006665FC"/>
    <w:rsid w:val="00666B9F"/>
    <w:rsid w:val="00673E7E"/>
    <w:rsid w:val="00674914"/>
    <w:rsid w:val="00674FF1"/>
    <w:rsid w:val="00675904"/>
    <w:rsid w:val="00676087"/>
    <w:rsid w:val="00677CFE"/>
    <w:rsid w:val="00682961"/>
    <w:rsid w:val="0068602E"/>
    <w:rsid w:val="00686F5C"/>
    <w:rsid w:val="006916F5"/>
    <w:rsid w:val="006930EB"/>
    <w:rsid w:val="00693269"/>
    <w:rsid w:val="00694795"/>
    <w:rsid w:val="00696705"/>
    <w:rsid w:val="006A2FB6"/>
    <w:rsid w:val="006A362E"/>
    <w:rsid w:val="006A4182"/>
    <w:rsid w:val="006A5D92"/>
    <w:rsid w:val="006B133C"/>
    <w:rsid w:val="006B32AB"/>
    <w:rsid w:val="006B3603"/>
    <w:rsid w:val="006B3626"/>
    <w:rsid w:val="006B5ED6"/>
    <w:rsid w:val="006B72E2"/>
    <w:rsid w:val="006C0A13"/>
    <w:rsid w:val="006C14DE"/>
    <w:rsid w:val="006C1CEA"/>
    <w:rsid w:val="006C4D86"/>
    <w:rsid w:val="006C6591"/>
    <w:rsid w:val="006D5166"/>
    <w:rsid w:val="006E060B"/>
    <w:rsid w:val="006E16D5"/>
    <w:rsid w:val="006E2555"/>
    <w:rsid w:val="006E26A4"/>
    <w:rsid w:val="006E442F"/>
    <w:rsid w:val="006E4CE9"/>
    <w:rsid w:val="006E6DFC"/>
    <w:rsid w:val="006E77C2"/>
    <w:rsid w:val="006E7940"/>
    <w:rsid w:val="006E7CCA"/>
    <w:rsid w:val="006F19D3"/>
    <w:rsid w:val="006F23BE"/>
    <w:rsid w:val="006F4FF8"/>
    <w:rsid w:val="006F5877"/>
    <w:rsid w:val="006F7895"/>
    <w:rsid w:val="007008EC"/>
    <w:rsid w:val="00701B3C"/>
    <w:rsid w:val="00702A45"/>
    <w:rsid w:val="00703637"/>
    <w:rsid w:val="00703F74"/>
    <w:rsid w:val="00705A4A"/>
    <w:rsid w:val="00705DF7"/>
    <w:rsid w:val="00705F16"/>
    <w:rsid w:val="00706A98"/>
    <w:rsid w:val="00706C4D"/>
    <w:rsid w:val="00706E56"/>
    <w:rsid w:val="00710147"/>
    <w:rsid w:val="00710539"/>
    <w:rsid w:val="0071086F"/>
    <w:rsid w:val="0071097C"/>
    <w:rsid w:val="00710B72"/>
    <w:rsid w:val="00710D7F"/>
    <w:rsid w:val="0071608B"/>
    <w:rsid w:val="0071722D"/>
    <w:rsid w:val="007201ED"/>
    <w:rsid w:val="00720E6D"/>
    <w:rsid w:val="007223E6"/>
    <w:rsid w:val="007227D5"/>
    <w:rsid w:val="00722E5F"/>
    <w:rsid w:val="00723009"/>
    <w:rsid w:val="007246A7"/>
    <w:rsid w:val="0072472C"/>
    <w:rsid w:val="00725558"/>
    <w:rsid w:val="00726A60"/>
    <w:rsid w:val="0072718A"/>
    <w:rsid w:val="00733403"/>
    <w:rsid w:val="00733802"/>
    <w:rsid w:val="00733F83"/>
    <w:rsid w:val="007356B6"/>
    <w:rsid w:val="0073592C"/>
    <w:rsid w:val="00735F57"/>
    <w:rsid w:val="0073762B"/>
    <w:rsid w:val="00737992"/>
    <w:rsid w:val="00742CB6"/>
    <w:rsid w:val="00743187"/>
    <w:rsid w:val="007434AE"/>
    <w:rsid w:val="00746708"/>
    <w:rsid w:val="00746859"/>
    <w:rsid w:val="0075030B"/>
    <w:rsid w:val="0075306B"/>
    <w:rsid w:val="00753125"/>
    <w:rsid w:val="00754E60"/>
    <w:rsid w:val="0075500F"/>
    <w:rsid w:val="00755EB5"/>
    <w:rsid w:val="007565F1"/>
    <w:rsid w:val="00760849"/>
    <w:rsid w:val="00761126"/>
    <w:rsid w:val="0076430D"/>
    <w:rsid w:val="007644BB"/>
    <w:rsid w:val="0076466B"/>
    <w:rsid w:val="007651FA"/>
    <w:rsid w:val="00766C9C"/>
    <w:rsid w:val="0076711B"/>
    <w:rsid w:val="007679DB"/>
    <w:rsid w:val="00771FA1"/>
    <w:rsid w:val="0077308A"/>
    <w:rsid w:val="007752E3"/>
    <w:rsid w:val="00775E78"/>
    <w:rsid w:val="00776A74"/>
    <w:rsid w:val="00776C93"/>
    <w:rsid w:val="00776CAC"/>
    <w:rsid w:val="007814D0"/>
    <w:rsid w:val="0078466D"/>
    <w:rsid w:val="00784E70"/>
    <w:rsid w:val="00785D3F"/>
    <w:rsid w:val="00786174"/>
    <w:rsid w:val="007949D6"/>
    <w:rsid w:val="007963D7"/>
    <w:rsid w:val="00797BBD"/>
    <w:rsid w:val="00797E8B"/>
    <w:rsid w:val="007A248C"/>
    <w:rsid w:val="007A29F8"/>
    <w:rsid w:val="007A369D"/>
    <w:rsid w:val="007A3931"/>
    <w:rsid w:val="007A46ED"/>
    <w:rsid w:val="007A4F9A"/>
    <w:rsid w:val="007B1343"/>
    <w:rsid w:val="007B3DA1"/>
    <w:rsid w:val="007B41EE"/>
    <w:rsid w:val="007B4DB5"/>
    <w:rsid w:val="007B4EA6"/>
    <w:rsid w:val="007B59FB"/>
    <w:rsid w:val="007C0692"/>
    <w:rsid w:val="007C1A42"/>
    <w:rsid w:val="007C23BC"/>
    <w:rsid w:val="007C521E"/>
    <w:rsid w:val="007C7181"/>
    <w:rsid w:val="007D18F8"/>
    <w:rsid w:val="007D25AD"/>
    <w:rsid w:val="007D49E4"/>
    <w:rsid w:val="007D5358"/>
    <w:rsid w:val="007D74C9"/>
    <w:rsid w:val="007E2D33"/>
    <w:rsid w:val="007E327C"/>
    <w:rsid w:val="007E3A67"/>
    <w:rsid w:val="007E57DC"/>
    <w:rsid w:val="007F0646"/>
    <w:rsid w:val="007F19BF"/>
    <w:rsid w:val="007F1B6A"/>
    <w:rsid w:val="007F4DD1"/>
    <w:rsid w:val="007F67A2"/>
    <w:rsid w:val="007F7756"/>
    <w:rsid w:val="007F7AF7"/>
    <w:rsid w:val="00800904"/>
    <w:rsid w:val="00801D0C"/>
    <w:rsid w:val="008041B6"/>
    <w:rsid w:val="008042A4"/>
    <w:rsid w:val="00805D3A"/>
    <w:rsid w:val="00807BC2"/>
    <w:rsid w:val="00810DB8"/>
    <w:rsid w:val="00811E3C"/>
    <w:rsid w:val="00813025"/>
    <w:rsid w:val="0081460B"/>
    <w:rsid w:val="00814FCB"/>
    <w:rsid w:val="00815915"/>
    <w:rsid w:val="0082225F"/>
    <w:rsid w:val="00824734"/>
    <w:rsid w:val="00824F5A"/>
    <w:rsid w:val="008251FF"/>
    <w:rsid w:val="008252CB"/>
    <w:rsid w:val="0082575F"/>
    <w:rsid w:val="0083015C"/>
    <w:rsid w:val="0083291B"/>
    <w:rsid w:val="008330A7"/>
    <w:rsid w:val="00835DDC"/>
    <w:rsid w:val="0083613A"/>
    <w:rsid w:val="00842C17"/>
    <w:rsid w:val="0084422E"/>
    <w:rsid w:val="00844927"/>
    <w:rsid w:val="00845581"/>
    <w:rsid w:val="00845E3E"/>
    <w:rsid w:val="0085031C"/>
    <w:rsid w:val="0085098A"/>
    <w:rsid w:val="00852752"/>
    <w:rsid w:val="008529C5"/>
    <w:rsid w:val="00852F42"/>
    <w:rsid w:val="008534F9"/>
    <w:rsid w:val="00855AF0"/>
    <w:rsid w:val="00855E67"/>
    <w:rsid w:val="00863336"/>
    <w:rsid w:val="00863373"/>
    <w:rsid w:val="00867CBD"/>
    <w:rsid w:val="00870F35"/>
    <w:rsid w:val="008712FF"/>
    <w:rsid w:val="008715E5"/>
    <w:rsid w:val="00871C50"/>
    <w:rsid w:val="0087291D"/>
    <w:rsid w:val="008745EC"/>
    <w:rsid w:val="00875841"/>
    <w:rsid w:val="00876B06"/>
    <w:rsid w:val="0087798D"/>
    <w:rsid w:val="008828CE"/>
    <w:rsid w:val="008846DB"/>
    <w:rsid w:val="00886210"/>
    <w:rsid w:val="00896C2F"/>
    <w:rsid w:val="008979EA"/>
    <w:rsid w:val="008A0393"/>
    <w:rsid w:val="008A06A4"/>
    <w:rsid w:val="008A0B11"/>
    <w:rsid w:val="008A37AB"/>
    <w:rsid w:val="008A43F2"/>
    <w:rsid w:val="008A5F47"/>
    <w:rsid w:val="008A6481"/>
    <w:rsid w:val="008A6813"/>
    <w:rsid w:val="008A753F"/>
    <w:rsid w:val="008B1AFA"/>
    <w:rsid w:val="008B4E7A"/>
    <w:rsid w:val="008B7C04"/>
    <w:rsid w:val="008C1682"/>
    <w:rsid w:val="008C18A5"/>
    <w:rsid w:val="008C30C4"/>
    <w:rsid w:val="008C4186"/>
    <w:rsid w:val="008C521E"/>
    <w:rsid w:val="008D0272"/>
    <w:rsid w:val="008D03F8"/>
    <w:rsid w:val="008D11DE"/>
    <w:rsid w:val="008D30B9"/>
    <w:rsid w:val="008D3959"/>
    <w:rsid w:val="008D4221"/>
    <w:rsid w:val="008D4F88"/>
    <w:rsid w:val="008D5179"/>
    <w:rsid w:val="008D6A75"/>
    <w:rsid w:val="008D6BC4"/>
    <w:rsid w:val="008E03D0"/>
    <w:rsid w:val="008E15E2"/>
    <w:rsid w:val="008E1967"/>
    <w:rsid w:val="008E25FD"/>
    <w:rsid w:val="008E4F47"/>
    <w:rsid w:val="008E6ED8"/>
    <w:rsid w:val="008E728F"/>
    <w:rsid w:val="008F03DF"/>
    <w:rsid w:val="008F0713"/>
    <w:rsid w:val="008F07A6"/>
    <w:rsid w:val="008F07DB"/>
    <w:rsid w:val="008F10C8"/>
    <w:rsid w:val="008F1279"/>
    <w:rsid w:val="008F48B7"/>
    <w:rsid w:val="008F4D64"/>
    <w:rsid w:val="008F5AF1"/>
    <w:rsid w:val="008F754F"/>
    <w:rsid w:val="0090206F"/>
    <w:rsid w:val="009020D9"/>
    <w:rsid w:val="009021EE"/>
    <w:rsid w:val="00902CA6"/>
    <w:rsid w:val="009111C4"/>
    <w:rsid w:val="0091131E"/>
    <w:rsid w:val="009138A0"/>
    <w:rsid w:val="00913A7A"/>
    <w:rsid w:val="00914477"/>
    <w:rsid w:val="00914A3E"/>
    <w:rsid w:val="009157A4"/>
    <w:rsid w:val="00915B72"/>
    <w:rsid w:val="009223F8"/>
    <w:rsid w:val="00922C42"/>
    <w:rsid w:val="00925624"/>
    <w:rsid w:val="0092657C"/>
    <w:rsid w:val="00931DE0"/>
    <w:rsid w:val="00933282"/>
    <w:rsid w:val="009335FC"/>
    <w:rsid w:val="00933704"/>
    <w:rsid w:val="00934C9F"/>
    <w:rsid w:val="00936B35"/>
    <w:rsid w:val="00941438"/>
    <w:rsid w:val="00941A17"/>
    <w:rsid w:val="00942C1A"/>
    <w:rsid w:val="00945357"/>
    <w:rsid w:val="00945FEB"/>
    <w:rsid w:val="00950ADD"/>
    <w:rsid w:val="0095283F"/>
    <w:rsid w:val="00954B7B"/>
    <w:rsid w:val="0095714D"/>
    <w:rsid w:val="00960353"/>
    <w:rsid w:val="00962156"/>
    <w:rsid w:val="0096313B"/>
    <w:rsid w:val="00966AA9"/>
    <w:rsid w:val="0096764F"/>
    <w:rsid w:val="009710B4"/>
    <w:rsid w:val="009739F7"/>
    <w:rsid w:val="009758F8"/>
    <w:rsid w:val="0097614B"/>
    <w:rsid w:val="00976C31"/>
    <w:rsid w:val="00977DD5"/>
    <w:rsid w:val="00980B2C"/>
    <w:rsid w:val="00980F8F"/>
    <w:rsid w:val="00982760"/>
    <w:rsid w:val="0098343F"/>
    <w:rsid w:val="009844AA"/>
    <w:rsid w:val="00984FFB"/>
    <w:rsid w:val="009879EE"/>
    <w:rsid w:val="009879F6"/>
    <w:rsid w:val="009932F5"/>
    <w:rsid w:val="00994A27"/>
    <w:rsid w:val="00995A6E"/>
    <w:rsid w:val="00995BA4"/>
    <w:rsid w:val="00996922"/>
    <w:rsid w:val="009A0EDB"/>
    <w:rsid w:val="009A44E8"/>
    <w:rsid w:val="009A4D07"/>
    <w:rsid w:val="009A5C7D"/>
    <w:rsid w:val="009A6E95"/>
    <w:rsid w:val="009A79C1"/>
    <w:rsid w:val="009A7A77"/>
    <w:rsid w:val="009B4248"/>
    <w:rsid w:val="009B4870"/>
    <w:rsid w:val="009B4F32"/>
    <w:rsid w:val="009B51A2"/>
    <w:rsid w:val="009B5F07"/>
    <w:rsid w:val="009C0F2F"/>
    <w:rsid w:val="009C33E9"/>
    <w:rsid w:val="009C3A33"/>
    <w:rsid w:val="009C4B7C"/>
    <w:rsid w:val="009C5015"/>
    <w:rsid w:val="009D2566"/>
    <w:rsid w:val="009D4599"/>
    <w:rsid w:val="009D4B20"/>
    <w:rsid w:val="009D54F9"/>
    <w:rsid w:val="009D5FE2"/>
    <w:rsid w:val="009D76DE"/>
    <w:rsid w:val="009D777D"/>
    <w:rsid w:val="009D7D47"/>
    <w:rsid w:val="009E207F"/>
    <w:rsid w:val="009E512C"/>
    <w:rsid w:val="009E524D"/>
    <w:rsid w:val="009E52A5"/>
    <w:rsid w:val="009E5300"/>
    <w:rsid w:val="009E6C51"/>
    <w:rsid w:val="009E6CC2"/>
    <w:rsid w:val="009F015F"/>
    <w:rsid w:val="009F1E95"/>
    <w:rsid w:val="009F363C"/>
    <w:rsid w:val="009F38C5"/>
    <w:rsid w:val="009F4C62"/>
    <w:rsid w:val="009F53DA"/>
    <w:rsid w:val="009F5CC1"/>
    <w:rsid w:val="009F5CC2"/>
    <w:rsid w:val="009F6B24"/>
    <w:rsid w:val="009F7339"/>
    <w:rsid w:val="00A00A79"/>
    <w:rsid w:val="00A0282C"/>
    <w:rsid w:val="00A0524E"/>
    <w:rsid w:val="00A073FD"/>
    <w:rsid w:val="00A07E95"/>
    <w:rsid w:val="00A10F6A"/>
    <w:rsid w:val="00A110CB"/>
    <w:rsid w:val="00A11662"/>
    <w:rsid w:val="00A11C96"/>
    <w:rsid w:val="00A1234B"/>
    <w:rsid w:val="00A156A3"/>
    <w:rsid w:val="00A2209E"/>
    <w:rsid w:val="00A23CEE"/>
    <w:rsid w:val="00A245CE"/>
    <w:rsid w:val="00A24674"/>
    <w:rsid w:val="00A24D40"/>
    <w:rsid w:val="00A25986"/>
    <w:rsid w:val="00A25C9D"/>
    <w:rsid w:val="00A25E7B"/>
    <w:rsid w:val="00A26264"/>
    <w:rsid w:val="00A26FF4"/>
    <w:rsid w:val="00A3097B"/>
    <w:rsid w:val="00A309AA"/>
    <w:rsid w:val="00A32C0D"/>
    <w:rsid w:val="00A357EB"/>
    <w:rsid w:val="00A36A85"/>
    <w:rsid w:val="00A40EBD"/>
    <w:rsid w:val="00A411EE"/>
    <w:rsid w:val="00A42A18"/>
    <w:rsid w:val="00A518EB"/>
    <w:rsid w:val="00A5281A"/>
    <w:rsid w:val="00A545D7"/>
    <w:rsid w:val="00A5548A"/>
    <w:rsid w:val="00A55F1D"/>
    <w:rsid w:val="00A56237"/>
    <w:rsid w:val="00A566DC"/>
    <w:rsid w:val="00A577E7"/>
    <w:rsid w:val="00A61DFC"/>
    <w:rsid w:val="00A64635"/>
    <w:rsid w:val="00A657FF"/>
    <w:rsid w:val="00A6684A"/>
    <w:rsid w:val="00A67151"/>
    <w:rsid w:val="00A7055A"/>
    <w:rsid w:val="00A71499"/>
    <w:rsid w:val="00A71B28"/>
    <w:rsid w:val="00A73170"/>
    <w:rsid w:val="00A7318B"/>
    <w:rsid w:val="00A804ED"/>
    <w:rsid w:val="00A81706"/>
    <w:rsid w:val="00A81944"/>
    <w:rsid w:val="00A81E21"/>
    <w:rsid w:val="00A82626"/>
    <w:rsid w:val="00A84050"/>
    <w:rsid w:val="00A84651"/>
    <w:rsid w:val="00A87546"/>
    <w:rsid w:val="00A920F2"/>
    <w:rsid w:val="00A9394D"/>
    <w:rsid w:val="00A93C8E"/>
    <w:rsid w:val="00A94155"/>
    <w:rsid w:val="00A94F3F"/>
    <w:rsid w:val="00AA4559"/>
    <w:rsid w:val="00AA5656"/>
    <w:rsid w:val="00AA6386"/>
    <w:rsid w:val="00AB12A2"/>
    <w:rsid w:val="00AB2DC2"/>
    <w:rsid w:val="00AB2F5F"/>
    <w:rsid w:val="00AB3388"/>
    <w:rsid w:val="00AC145E"/>
    <w:rsid w:val="00AC32A4"/>
    <w:rsid w:val="00AC331E"/>
    <w:rsid w:val="00AC4640"/>
    <w:rsid w:val="00AC530C"/>
    <w:rsid w:val="00AC5375"/>
    <w:rsid w:val="00AC5753"/>
    <w:rsid w:val="00AC6239"/>
    <w:rsid w:val="00AC7891"/>
    <w:rsid w:val="00AD0425"/>
    <w:rsid w:val="00AD097A"/>
    <w:rsid w:val="00AD1826"/>
    <w:rsid w:val="00AD23FC"/>
    <w:rsid w:val="00AD3B76"/>
    <w:rsid w:val="00AD687D"/>
    <w:rsid w:val="00AE22AB"/>
    <w:rsid w:val="00AE29BE"/>
    <w:rsid w:val="00AE6133"/>
    <w:rsid w:val="00AE7172"/>
    <w:rsid w:val="00AF0682"/>
    <w:rsid w:val="00AF18AD"/>
    <w:rsid w:val="00AF1AC3"/>
    <w:rsid w:val="00AF2579"/>
    <w:rsid w:val="00AF2DC9"/>
    <w:rsid w:val="00AF309F"/>
    <w:rsid w:val="00AF489C"/>
    <w:rsid w:val="00AF5E64"/>
    <w:rsid w:val="00AF792F"/>
    <w:rsid w:val="00B043C9"/>
    <w:rsid w:val="00B0689E"/>
    <w:rsid w:val="00B076DF"/>
    <w:rsid w:val="00B07921"/>
    <w:rsid w:val="00B07DE6"/>
    <w:rsid w:val="00B12ED5"/>
    <w:rsid w:val="00B133E0"/>
    <w:rsid w:val="00B13D65"/>
    <w:rsid w:val="00B15017"/>
    <w:rsid w:val="00B208BE"/>
    <w:rsid w:val="00B2167E"/>
    <w:rsid w:val="00B22435"/>
    <w:rsid w:val="00B22D58"/>
    <w:rsid w:val="00B23D94"/>
    <w:rsid w:val="00B242AE"/>
    <w:rsid w:val="00B33BAE"/>
    <w:rsid w:val="00B3505B"/>
    <w:rsid w:val="00B403B3"/>
    <w:rsid w:val="00B40DFE"/>
    <w:rsid w:val="00B43532"/>
    <w:rsid w:val="00B44816"/>
    <w:rsid w:val="00B4522C"/>
    <w:rsid w:val="00B46CAB"/>
    <w:rsid w:val="00B502AD"/>
    <w:rsid w:val="00B50972"/>
    <w:rsid w:val="00B53BA7"/>
    <w:rsid w:val="00B55D66"/>
    <w:rsid w:val="00B567F0"/>
    <w:rsid w:val="00B57EC6"/>
    <w:rsid w:val="00B57FA0"/>
    <w:rsid w:val="00B60748"/>
    <w:rsid w:val="00B62847"/>
    <w:rsid w:val="00B63382"/>
    <w:rsid w:val="00B64E47"/>
    <w:rsid w:val="00B67BD7"/>
    <w:rsid w:val="00B728E5"/>
    <w:rsid w:val="00B7550E"/>
    <w:rsid w:val="00B764DD"/>
    <w:rsid w:val="00B804B6"/>
    <w:rsid w:val="00B80559"/>
    <w:rsid w:val="00B808E9"/>
    <w:rsid w:val="00B80993"/>
    <w:rsid w:val="00B8132B"/>
    <w:rsid w:val="00B81CD9"/>
    <w:rsid w:val="00B82917"/>
    <w:rsid w:val="00B82E6F"/>
    <w:rsid w:val="00B83C78"/>
    <w:rsid w:val="00B908BF"/>
    <w:rsid w:val="00B94BE6"/>
    <w:rsid w:val="00B9552A"/>
    <w:rsid w:val="00BA0C30"/>
    <w:rsid w:val="00BA1B7B"/>
    <w:rsid w:val="00BA1E19"/>
    <w:rsid w:val="00BA60CC"/>
    <w:rsid w:val="00BA764F"/>
    <w:rsid w:val="00BA7716"/>
    <w:rsid w:val="00BA7825"/>
    <w:rsid w:val="00BB21C5"/>
    <w:rsid w:val="00BB4490"/>
    <w:rsid w:val="00BB4AAA"/>
    <w:rsid w:val="00BB60DD"/>
    <w:rsid w:val="00BC1334"/>
    <w:rsid w:val="00BC15C8"/>
    <w:rsid w:val="00BC2B67"/>
    <w:rsid w:val="00BC48B3"/>
    <w:rsid w:val="00BC5753"/>
    <w:rsid w:val="00BD3FDE"/>
    <w:rsid w:val="00BD48EE"/>
    <w:rsid w:val="00BD507F"/>
    <w:rsid w:val="00BD5A4B"/>
    <w:rsid w:val="00BD6A8C"/>
    <w:rsid w:val="00BE0526"/>
    <w:rsid w:val="00BE0F28"/>
    <w:rsid w:val="00BE1A2C"/>
    <w:rsid w:val="00BE31AF"/>
    <w:rsid w:val="00BF1F2E"/>
    <w:rsid w:val="00BF478F"/>
    <w:rsid w:val="00BF5E8A"/>
    <w:rsid w:val="00BF696F"/>
    <w:rsid w:val="00BF6BAA"/>
    <w:rsid w:val="00C01800"/>
    <w:rsid w:val="00C01C8D"/>
    <w:rsid w:val="00C04459"/>
    <w:rsid w:val="00C05D7E"/>
    <w:rsid w:val="00C072EA"/>
    <w:rsid w:val="00C10DE5"/>
    <w:rsid w:val="00C1177A"/>
    <w:rsid w:val="00C11FBD"/>
    <w:rsid w:val="00C11FDA"/>
    <w:rsid w:val="00C12315"/>
    <w:rsid w:val="00C12363"/>
    <w:rsid w:val="00C12900"/>
    <w:rsid w:val="00C12CE2"/>
    <w:rsid w:val="00C13BE3"/>
    <w:rsid w:val="00C144AB"/>
    <w:rsid w:val="00C14CAE"/>
    <w:rsid w:val="00C14DF9"/>
    <w:rsid w:val="00C20167"/>
    <w:rsid w:val="00C2199C"/>
    <w:rsid w:val="00C21F25"/>
    <w:rsid w:val="00C2240B"/>
    <w:rsid w:val="00C22ECB"/>
    <w:rsid w:val="00C22EF2"/>
    <w:rsid w:val="00C247A2"/>
    <w:rsid w:val="00C24F1D"/>
    <w:rsid w:val="00C25A16"/>
    <w:rsid w:val="00C264AC"/>
    <w:rsid w:val="00C27345"/>
    <w:rsid w:val="00C30F82"/>
    <w:rsid w:val="00C32772"/>
    <w:rsid w:val="00C33583"/>
    <w:rsid w:val="00C33871"/>
    <w:rsid w:val="00C37AB2"/>
    <w:rsid w:val="00C42276"/>
    <w:rsid w:val="00C42434"/>
    <w:rsid w:val="00C46874"/>
    <w:rsid w:val="00C47491"/>
    <w:rsid w:val="00C47C8B"/>
    <w:rsid w:val="00C50FF7"/>
    <w:rsid w:val="00C511B8"/>
    <w:rsid w:val="00C52588"/>
    <w:rsid w:val="00C536CB"/>
    <w:rsid w:val="00C61E74"/>
    <w:rsid w:val="00C633FD"/>
    <w:rsid w:val="00C63A65"/>
    <w:rsid w:val="00C66148"/>
    <w:rsid w:val="00C672C8"/>
    <w:rsid w:val="00C67A67"/>
    <w:rsid w:val="00C7148E"/>
    <w:rsid w:val="00C71726"/>
    <w:rsid w:val="00C73746"/>
    <w:rsid w:val="00C768E8"/>
    <w:rsid w:val="00C76E53"/>
    <w:rsid w:val="00C810B5"/>
    <w:rsid w:val="00C810C0"/>
    <w:rsid w:val="00C81AD1"/>
    <w:rsid w:val="00C8459D"/>
    <w:rsid w:val="00C84A5D"/>
    <w:rsid w:val="00C90396"/>
    <w:rsid w:val="00C9155D"/>
    <w:rsid w:val="00C927C5"/>
    <w:rsid w:val="00C92D81"/>
    <w:rsid w:val="00C943B5"/>
    <w:rsid w:val="00C9763A"/>
    <w:rsid w:val="00C97848"/>
    <w:rsid w:val="00CA0013"/>
    <w:rsid w:val="00CA0393"/>
    <w:rsid w:val="00CA2602"/>
    <w:rsid w:val="00CA2A3E"/>
    <w:rsid w:val="00CA3527"/>
    <w:rsid w:val="00CA4ACB"/>
    <w:rsid w:val="00CA5993"/>
    <w:rsid w:val="00CA6362"/>
    <w:rsid w:val="00CB0B94"/>
    <w:rsid w:val="00CB0C07"/>
    <w:rsid w:val="00CB1A8A"/>
    <w:rsid w:val="00CB2419"/>
    <w:rsid w:val="00CB3F14"/>
    <w:rsid w:val="00CB53DE"/>
    <w:rsid w:val="00CB5427"/>
    <w:rsid w:val="00CB5E29"/>
    <w:rsid w:val="00CB72F9"/>
    <w:rsid w:val="00CB7D4C"/>
    <w:rsid w:val="00CC1331"/>
    <w:rsid w:val="00CC16D1"/>
    <w:rsid w:val="00CC7FF7"/>
    <w:rsid w:val="00CD15EB"/>
    <w:rsid w:val="00CD2237"/>
    <w:rsid w:val="00CD4A23"/>
    <w:rsid w:val="00CD61FC"/>
    <w:rsid w:val="00CD6FA0"/>
    <w:rsid w:val="00CE050F"/>
    <w:rsid w:val="00CE099F"/>
    <w:rsid w:val="00CE1F4A"/>
    <w:rsid w:val="00CE3EAC"/>
    <w:rsid w:val="00CE4B10"/>
    <w:rsid w:val="00CE7428"/>
    <w:rsid w:val="00CF087B"/>
    <w:rsid w:val="00CF4272"/>
    <w:rsid w:val="00CF68AB"/>
    <w:rsid w:val="00CF751C"/>
    <w:rsid w:val="00D04586"/>
    <w:rsid w:val="00D11896"/>
    <w:rsid w:val="00D129EE"/>
    <w:rsid w:val="00D1390F"/>
    <w:rsid w:val="00D16B21"/>
    <w:rsid w:val="00D16DED"/>
    <w:rsid w:val="00D20281"/>
    <w:rsid w:val="00D209CC"/>
    <w:rsid w:val="00D21ECD"/>
    <w:rsid w:val="00D22C89"/>
    <w:rsid w:val="00D26F75"/>
    <w:rsid w:val="00D32D05"/>
    <w:rsid w:val="00D33068"/>
    <w:rsid w:val="00D333D3"/>
    <w:rsid w:val="00D34432"/>
    <w:rsid w:val="00D34AF4"/>
    <w:rsid w:val="00D35407"/>
    <w:rsid w:val="00D35707"/>
    <w:rsid w:val="00D35E96"/>
    <w:rsid w:val="00D3654D"/>
    <w:rsid w:val="00D403DE"/>
    <w:rsid w:val="00D416DE"/>
    <w:rsid w:val="00D43787"/>
    <w:rsid w:val="00D4597F"/>
    <w:rsid w:val="00D47F7B"/>
    <w:rsid w:val="00D50B85"/>
    <w:rsid w:val="00D51CA4"/>
    <w:rsid w:val="00D52F41"/>
    <w:rsid w:val="00D53CC4"/>
    <w:rsid w:val="00D5597F"/>
    <w:rsid w:val="00D55CEC"/>
    <w:rsid w:val="00D56B62"/>
    <w:rsid w:val="00D5737A"/>
    <w:rsid w:val="00D57F9F"/>
    <w:rsid w:val="00D60197"/>
    <w:rsid w:val="00D61DBF"/>
    <w:rsid w:val="00D62BC6"/>
    <w:rsid w:val="00D63685"/>
    <w:rsid w:val="00D66BD7"/>
    <w:rsid w:val="00D71AEE"/>
    <w:rsid w:val="00D72565"/>
    <w:rsid w:val="00D73975"/>
    <w:rsid w:val="00D7785C"/>
    <w:rsid w:val="00D77AF6"/>
    <w:rsid w:val="00D81F65"/>
    <w:rsid w:val="00D827D3"/>
    <w:rsid w:val="00D82D30"/>
    <w:rsid w:val="00D839B8"/>
    <w:rsid w:val="00D859C6"/>
    <w:rsid w:val="00D86F00"/>
    <w:rsid w:val="00D91853"/>
    <w:rsid w:val="00D9401B"/>
    <w:rsid w:val="00D944F1"/>
    <w:rsid w:val="00D948BC"/>
    <w:rsid w:val="00D94A96"/>
    <w:rsid w:val="00D95DEB"/>
    <w:rsid w:val="00DA26F7"/>
    <w:rsid w:val="00DA5FA8"/>
    <w:rsid w:val="00DA7FB6"/>
    <w:rsid w:val="00DB2836"/>
    <w:rsid w:val="00DB2C89"/>
    <w:rsid w:val="00DB3198"/>
    <w:rsid w:val="00DB3B0D"/>
    <w:rsid w:val="00DB42D8"/>
    <w:rsid w:val="00DB4FE0"/>
    <w:rsid w:val="00DB60BB"/>
    <w:rsid w:val="00DC12E4"/>
    <w:rsid w:val="00DC46F5"/>
    <w:rsid w:val="00DC4E4E"/>
    <w:rsid w:val="00DC6C39"/>
    <w:rsid w:val="00DD0374"/>
    <w:rsid w:val="00DD2A6D"/>
    <w:rsid w:val="00DD3FDE"/>
    <w:rsid w:val="00DD5B0C"/>
    <w:rsid w:val="00DD620A"/>
    <w:rsid w:val="00DD667D"/>
    <w:rsid w:val="00DD7032"/>
    <w:rsid w:val="00DE0705"/>
    <w:rsid w:val="00DE0C3B"/>
    <w:rsid w:val="00DE17C7"/>
    <w:rsid w:val="00DE2037"/>
    <w:rsid w:val="00DE30DD"/>
    <w:rsid w:val="00DE4BDD"/>
    <w:rsid w:val="00DE565D"/>
    <w:rsid w:val="00DE5930"/>
    <w:rsid w:val="00DE6C0E"/>
    <w:rsid w:val="00DE7FD7"/>
    <w:rsid w:val="00DF37B3"/>
    <w:rsid w:val="00DF634C"/>
    <w:rsid w:val="00DF686C"/>
    <w:rsid w:val="00DF7D6A"/>
    <w:rsid w:val="00E000E6"/>
    <w:rsid w:val="00E040C1"/>
    <w:rsid w:val="00E06AC5"/>
    <w:rsid w:val="00E07355"/>
    <w:rsid w:val="00E1110F"/>
    <w:rsid w:val="00E14944"/>
    <w:rsid w:val="00E158E5"/>
    <w:rsid w:val="00E15CF3"/>
    <w:rsid w:val="00E2105B"/>
    <w:rsid w:val="00E21891"/>
    <w:rsid w:val="00E25360"/>
    <w:rsid w:val="00E25909"/>
    <w:rsid w:val="00E26676"/>
    <w:rsid w:val="00E27AAF"/>
    <w:rsid w:val="00E33F28"/>
    <w:rsid w:val="00E37F17"/>
    <w:rsid w:val="00E40CD0"/>
    <w:rsid w:val="00E41681"/>
    <w:rsid w:val="00E41895"/>
    <w:rsid w:val="00E46BE1"/>
    <w:rsid w:val="00E47FA0"/>
    <w:rsid w:val="00E50612"/>
    <w:rsid w:val="00E53E7C"/>
    <w:rsid w:val="00E54432"/>
    <w:rsid w:val="00E557EB"/>
    <w:rsid w:val="00E6008A"/>
    <w:rsid w:val="00E60DA5"/>
    <w:rsid w:val="00E628CE"/>
    <w:rsid w:val="00E62BE0"/>
    <w:rsid w:val="00E63FC5"/>
    <w:rsid w:val="00E65AAB"/>
    <w:rsid w:val="00E663B3"/>
    <w:rsid w:val="00E67700"/>
    <w:rsid w:val="00E73750"/>
    <w:rsid w:val="00E73A27"/>
    <w:rsid w:val="00E7538C"/>
    <w:rsid w:val="00E75F2E"/>
    <w:rsid w:val="00E81CE6"/>
    <w:rsid w:val="00E83AB7"/>
    <w:rsid w:val="00E85A16"/>
    <w:rsid w:val="00E863EB"/>
    <w:rsid w:val="00E866E9"/>
    <w:rsid w:val="00E9083B"/>
    <w:rsid w:val="00E95167"/>
    <w:rsid w:val="00E95A93"/>
    <w:rsid w:val="00E95DE7"/>
    <w:rsid w:val="00E97015"/>
    <w:rsid w:val="00E971F3"/>
    <w:rsid w:val="00EA0DE0"/>
    <w:rsid w:val="00EA3FDB"/>
    <w:rsid w:val="00EA64B7"/>
    <w:rsid w:val="00EA681F"/>
    <w:rsid w:val="00EA6DF8"/>
    <w:rsid w:val="00EA6F39"/>
    <w:rsid w:val="00EB2171"/>
    <w:rsid w:val="00EB3946"/>
    <w:rsid w:val="00EB6B95"/>
    <w:rsid w:val="00EC17C8"/>
    <w:rsid w:val="00EC4790"/>
    <w:rsid w:val="00EC7014"/>
    <w:rsid w:val="00EC73D1"/>
    <w:rsid w:val="00ED0235"/>
    <w:rsid w:val="00ED0A61"/>
    <w:rsid w:val="00ED20BE"/>
    <w:rsid w:val="00ED5D96"/>
    <w:rsid w:val="00ED6838"/>
    <w:rsid w:val="00ED6CC1"/>
    <w:rsid w:val="00ED7D4B"/>
    <w:rsid w:val="00EE1D34"/>
    <w:rsid w:val="00EE2C73"/>
    <w:rsid w:val="00EE330C"/>
    <w:rsid w:val="00EE374F"/>
    <w:rsid w:val="00EE4489"/>
    <w:rsid w:val="00EE4E08"/>
    <w:rsid w:val="00EE5DD2"/>
    <w:rsid w:val="00EF0627"/>
    <w:rsid w:val="00EF1ECE"/>
    <w:rsid w:val="00EF208D"/>
    <w:rsid w:val="00EF451B"/>
    <w:rsid w:val="00EF65C9"/>
    <w:rsid w:val="00F045E6"/>
    <w:rsid w:val="00F05CAE"/>
    <w:rsid w:val="00F06690"/>
    <w:rsid w:val="00F067B6"/>
    <w:rsid w:val="00F0682F"/>
    <w:rsid w:val="00F068F7"/>
    <w:rsid w:val="00F071B9"/>
    <w:rsid w:val="00F07D36"/>
    <w:rsid w:val="00F11E5D"/>
    <w:rsid w:val="00F11EF2"/>
    <w:rsid w:val="00F14437"/>
    <w:rsid w:val="00F16B1B"/>
    <w:rsid w:val="00F20D6E"/>
    <w:rsid w:val="00F21894"/>
    <w:rsid w:val="00F24A0C"/>
    <w:rsid w:val="00F31908"/>
    <w:rsid w:val="00F32958"/>
    <w:rsid w:val="00F367A3"/>
    <w:rsid w:val="00F367A9"/>
    <w:rsid w:val="00F36897"/>
    <w:rsid w:val="00F450C4"/>
    <w:rsid w:val="00F467C0"/>
    <w:rsid w:val="00F50B89"/>
    <w:rsid w:val="00F51330"/>
    <w:rsid w:val="00F51DAC"/>
    <w:rsid w:val="00F527BC"/>
    <w:rsid w:val="00F53464"/>
    <w:rsid w:val="00F54D50"/>
    <w:rsid w:val="00F55261"/>
    <w:rsid w:val="00F5551F"/>
    <w:rsid w:val="00F561A3"/>
    <w:rsid w:val="00F60ABF"/>
    <w:rsid w:val="00F61A3B"/>
    <w:rsid w:val="00F6252F"/>
    <w:rsid w:val="00F65BC3"/>
    <w:rsid w:val="00F66F84"/>
    <w:rsid w:val="00F74359"/>
    <w:rsid w:val="00F74562"/>
    <w:rsid w:val="00F75C80"/>
    <w:rsid w:val="00F76AB0"/>
    <w:rsid w:val="00F82D79"/>
    <w:rsid w:val="00F84592"/>
    <w:rsid w:val="00F84A3C"/>
    <w:rsid w:val="00F8568F"/>
    <w:rsid w:val="00F862B3"/>
    <w:rsid w:val="00F8636B"/>
    <w:rsid w:val="00F94AF4"/>
    <w:rsid w:val="00F94E54"/>
    <w:rsid w:val="00F95E6A"/>
    <w:rsid w:val="00F95E91"/>
    <w:rsid w:val="00F95F5E"/>
    <w:rsid w:val="00F97634"/>
    <w:rsid w:val="00F9767A"/>
    <w:rsid w:val="00FA0558"/>
    <w:rsid w:val="00FA4915"/>
    <w:rsid w:val="00FB0910"/>
    <w:rsid w:val="00FB1F01"/>
    <w:rsid w:val="00FB2AE1"/>
    <w:rsid w:val="00FB3A2C"/>
    <w:rsid w:val="00FB47DF"/>
    <w:rsid w:val="00FB6D56"/>
    <w:rsid w:val="00FC1BF6"/>
    <w:rsid w:val="00FC1F55"/>
    <w:rsid w:val="00FC21D2"/>
    <w:rsid w:val="00FC35D2"/>
    <w:rsid w:val="00FC3D02"/>
    <w:rsid w:val="00FC3DFF"/>
    <w:rsid w:val="00FC4099"/>
    <w:rsid w:val="00FC430E"/>
    <w:rsid w:val="00FC5CDE"/>
    <w:rsid w:val="00FD105A"/>
    <w:rsid w:val="00FD1569"/>
    <w:rsid w:val="00FD1854"/>
    <w:rsid w:val="00FD1FE6"/>
    <w:rsid w:val="00FD2564"/>
    <w:rsid w:val="00FD2F79"/>
    <w:rsid w:val="00FD351B"/>
    <w:rsid w:val="00FD415F"/>
    <w:rsid w:val="00FD4CA9"/>
    <w:rsid w:val="00FE0521"/>
    <w:rsid w:val="00FE494F"/>
    <w:rsid w:val="00FE4A38"/>
    <w:rsid w:val="00FF0705"/>
    <w:rsid w:val="00FF20C0"/>
    <w:rsid w:val="00FF36EB"/>
    <w:rsid w:val="00FF4162"/>
    <w:rsid w:val="00FF5311"/>
    <w:rsid w:val="00FF6BFC"/>
    <w:rsid w:val="00FF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AF6F"/>
  <w15:chartTrackingRefBased/>
  <w15:docId w15:val="{800A840A-2768-4769-B605-F6FDB29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40"/>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31585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1585F"/>
    <w:pPr>
      <w:spacing w:before="240" w:after="240"/>
      <w:outlineLvl w:val="1"/>
    </w:pPr>
    <w:rPr>
      <w:rFonts w:ascii="Arial Bold" w:hAnsi="Arial Bold"/>
      <w:b/>
      <w:sz w:val="26"/>
    </w:rPr>
  </w:style>
  <w:style w:type="paragraph" w:styleId="Heading3">
    <w:name w:val="heading 3"/>
    <w:basedOn w:val="HeadingBase"/>
    <w:next w:val="Normal"/>
    <w:link w:val="Heading3Char"/>
    <w:qFormat/>
    <w:rsid w:val="0031585F"/>
    <w:pPr>
      <w:spacing w:before="120" w:after="120"/>
      <w:outlineLvl w:val="2"/>
    </w:pPr>
    <w:rPr>
      <w:rFonts w:ascii="Arial Bold" w:hAnsi="Arial Bold"/>
      <w:b/>
      <w:sz w:val="22"/>
    </w:rPr>
  </w:style>
  <w:style w:type="paragraph" w:styleId="Heading4">
    <w:name w:val="heading 4"/>
    <w:basedOn w:val="HeadingBase"/>
    <w:next w:val="Normal"/>
    <w:link w:val="Heading4Char"/>
    <w:qFormat/>
    <w:rsid w:val="0031585F"/>
    <w:pPr>
      <w:spacing w:after="120"/>
      <w:outlineLvl w:val="3"/>
    </w:pPr>
    <w:rPr>
      <w:rFonts w:ascii="Arial Bold" w:hAnsi="Arial Bold"/>
      <w:b/>
      <w:sz w:val="20"/>
    </w:rPr>
  </w:style>
  <w:style w:type="paragraph" w:styleId="Heading5">
    <w:name w:val="heading 5"/>
    <w:basedOn w:val="HeadingBase"/>
    <w:next w:val="Normal"/>
    <w:link w:val="Heading5Char"/>
    <w:qFormat/>
    <w:rsid w:val="0031585F"/>
    <w:pPr>
      <w:spacing w:after="120"/>
      <w:outlineLvl w:val="4"/>
    </w:pPr>
    <w:rPr>
      <w:bCs/>
      <w:i/>
      <w:iCs/>
      <w:sz w:val="20"/>
      <w:szCs w:val="26"/>
    </w:rPr>
  </w:style>
  <w:style w:type="paragraph" w:styleId="Heading6">
    <w:name w:val="heading 6"/>
    <w:basedOn w:val="HeadingBase"/>
    <w:next w:val="Normal"/>
    <w:link w:val="Heading6Char"/>
    <w:rsid w:val="0031585F"/>
    <w:pPr>
      <w:spacing w:after="120"/>
      <w:outlineLvl w:val="5"/>
    </w:pPr>
    <w:rPr>
      <w:bCs/>
      <w:sz w:val="20"/>
      <w:szCs w:val="22"/>
    </w:rPr>
  </w:style>
  <w:style w:type="paragraph" w:styleId="Heading7">
    <w:name w:val="heading 7"/>
    <w:basedOn w:val="HeadingBase"/>
    <w:next w:val="Normal"/>
    <w:link w:val="Heading7Char"/>
    <w:rsid w:val="0031585F"/>
    <w:pPr>
      <w:spacing w:before="120"/>
      <w:outlineLvl w:val="6"/>
    </w:pPr>
    <w:rPr>
      <w:sz w:val="20"/>
      <w:szCs w:val="24"/>
    </w:rPr>
  </w:style>
  <w:style w:type="paragraph" w:styleId="Heading8">
    <w:name w:val="heading 8"/>
    <w:basedOn w:val="HeadingBase"/>
    <w:next w:val="Normal"/>
    <w:link w:val="Heading8Char"/>
    <w:rsid w:val="0031585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1585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31585F"/>
    <w:pPr>
      <w:jc w:val="center"/>
    </w:pPr>
  </w:style>
  <w:style w:type="paragraph" w:customStyle="1" w:styleId="TableColumnHeadingLeft">
    <w:name w:val="Table Column Heading Left"/>
    <w:basedOn w:val="TableColumnHeadingBase"/>
    <w:next w:val="Normal"/>
    <w:rsid w:val="0031585F"/>
  </w:style>
  <w:style w:type="paragraph" w:customStyle="1" w:styleId="TableColumnHeadingRight">
    <w:name w:val="Table Column Heading Right"/>
    <w:basedOn w:val="TableColumnHeadingBase"/>
    <w:next w:val="Normal"/>
    <w:link w:val="TableColumnHeadingRightChar"/>
    <w:rsid w:val="0031585F"/>
    <w:pPr>
      <w:jc w:val="right"/>
    </w:pPr>
  </w:style>
  <w:style w:type="character" w:customStyle="1" w:styleId="TableColumnHeadingRightChar">
    <w:name w:val="Table Column Heading Right Char"/>
    <w:link w:val="TableColumnHeadingRight"/>
    <w:rsid w:val="00A64635"/>
    <w:rPr>
      <w:rFonts w:ascii="Arial Bold" w:hAnsi="Arial Bold"/>
      <w:b/>
      <w:sz w:val="16"/>
    </w:rPr>
  </w:style>
  <w:style w:type="paragraph" w:customStyle="1" w:styleId="Heading3ptafter">
    <w:name w:val="Heading 3 pt after"/>
    <w:basedOn w:val="Heading6"/>
    <w:rsid w:val="00A64635"/>
    <w:pPr>
      <w:spacing w:after="60"/>
    </w:pPr>
    <w:rPr>
      <w:bCs w:val="0"/>
      <w:i/>
      <w:iCs/>
    </w:rPr>
  </w:style>
  <w:style w:type="character" w:customStyle="1" w:styleId="Heading6Char">
    <w:name w:val="Heading 6 Char"/>
    <w:basedOn w:val="DefaultParagraphFont"/>
    <w:link w:val="Heading6"/>
    <w:rsid w:val="0031585F"/>
    <w:rPr>
      <w:rFonts w:ascii="Arial" w:hAnsi="Arial"/>
      <w:bCs/>
      <w:szCs w:val="22"/>
    </w:rPr>
  </w:style>
  <w:style w:type="paragraph" w:customStyle="1" w:styleId="ChartandTableFootnoteAlpha">
    <w:name w:val="Chart and Table Footnote Alpha"/>
    <w:basedOn w:val="HeadingBase"/>
    <w:next w:val="Normal"/>
    <w:rsid w:val="0031585F"/>
    <w:pPr>
      <w:keepNext w:val="0"/>
      <w:numPr>
        <w:numId w:val="10"/>
      </w:numPr>
      <w:spacing w:before="30"/>
    </w:pPr>
    <w:rPr>
      <w:color w:val="000000"/>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31585F"/>
    <w:pPr>
      <w:spacing w:after="0" w:line="240" w:lineRule="auto"/>
      <w:jc w:val="center"/>
    </w:pPr>
    <w:rPr>
      <w:rFonts w:ascii="Arial" w:hAnsi="Arial"/>
      <w:b/>
      <w:sz w:val="52"/>
    </w:rPr>
  </w:style>
  <w:style w:type="character" w:customStyle="1" w:styleId="Heading1Char">
    <w:name w:val="Heading 1 Char"/>
    <w:basedOn w:val="DefaultParagraphFont"/>
    <w:link w:val="Heading1"/>
    <w:rsid w:val="0031585F"/>
    <w:rPr>
      <w:rFonts w:ascii="Arial Bold" w:hAnsi="Arial Bold"/>
      <w:b/>
      <w:kern w:val="34"/>
      <w:sz w:val="36"/>
    </w:rPr>
  </w:style>
  <w:style w:type="character" w:customStyle="1" w:styleId="Heading2Char">
    <w:name w:val="Heading 2 Char"/>
    <w:basedOn w:val="DefaultParagraphFont"/>
    <w:link w:val="Heading2"/>
    <w:rsid w:val="0031585F"/>
    <w:rPr>
      <w:rFonts w:ascii="Arial Bold" w:hAnsi="Arial Bold"/>
      <w:b/>
      <w:sz w:val="26"/>
    </w:rPr>
  </w:style>
  <w:style w:type="character" w:customStyle="1" w:styleId="Heading3Char">
    <w:name w:val="Heading 3 Char"/>
    <w:basedOn w:val="DefaultParagraphFont"/>
    <w:link w:val="Heading3"/>
    <w:rsid w:val="0031585F"/>
    <w:rPr>
      <w:rFonts w:ascii="Arial Bold" w:hAnsi="Arial Bold"/>
      <w:b/>
      <w:sz w:val="22"/>
    </w:rPr>
  </w:style>
  <w:style w:type="character" w:customStyle="1" w:styleId="Heading4Char">
    <w:name w:val="Heading 4 Char"/>
    <w:basedOn w:val="DefaultParagraphFont"/>
    <w:link w:val="Heading4"/>
    <w:rsid w:val="0031585F"/>
    <w:rPr>
      <w:rFonts w:ascii="Arial Bold" w:hAnsi="Arial Bold"/>
      <w:b/>
    </w:rPr>
  </w:style>
  <w:style w:type="character" w:customStyle="1" w:styleId="Heading5Char">
    <w:name w:val="Heading 5 Char"/>
    <w:basedOn w:val="DefaultParagraphFont"/>
    <w:link w:val="Heading5"/>
    <w:rsid w:val="0031585F"/>
    <w:rPr>
      <w:rFonts w:ascii="Arial" w:hAnsi="Arial"/>
      <w:bCs/>
      <w:i/>
      <w:iCs/>
      <w:szCs w:val="26"/>
    </w:rPr>
  </w:style>
  <w:style w:type="paragraph" w:styleId="TOC2">
    <w:name w:val="toc 2"/>
    <w:basedOn w:val="HeadingBase"/>
    <w:next w:val="Normal"/>
    <w:uiPriority w:val="39"/>
    <w:rsid w:val="0031585F"/>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31585F"/>
    <w:pPr>
      <w:jc w:val="center"/>
    </w:pPr>
    <w:rPr>
      <w:sz w:val="20"/>
    </w:rPr>
  </w:style>
  <w:style w:type="paragraph" w:customStyle="1" w:styleId="TableHeading">
    <w:name w:val="Table Heading"/>
    <w:basedOn w:val="HeadingBase"/>
    <w:next w:val="TableGraphic"/>
    <w:link w:val="TableHeadingChar"/>
    <w:qFormat/>
    <w:rsid w:val="0031585F"/>
    <w:pPr>
      <w:spacing w:before="120" w:after="20"/>
    </w:pPr>
    <w:rPr>
      <w:b/>
      <w:sz w:val="20"/>
    </w:rPr>
  </w:style>
  <w:style w:type="paragraph" w:styleId="TOC1">
    <w:name w:val="toc 1"/>
    <w:basedOn w:val="HeaderBase"/>
    <w:next w:val="Normal"/>
    <w:uiPriority w:val="39"/>
    <w:rsid w:val="0031585F"/>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31585F"/>
    <w:pPr>
      <w:tabs>
        <w:tab w:val="center" w:pos="4153"/>
        <w:tab w:val="right" w:pos="8306"/>
      </w:tabs>
    </w:pPr>
    <w:rPr>
      <w:color w:val="auto"/>
    </w:rPr>
  </w:style>
  <w:style w:type="character" w:customStyle="1" w:styleId="HeaderChar">
    <w:name w:val="Header Char"/>
    <w:basedOn w:val="DefaultParagraphFont"/>
    <w:link w:val="Header"/>
    <w:rsid w:val="0031585F"/>
    <w:rPr>
      <w:rFonts w:ascii="Arial" w:hAnsi="Arial"/>
      <w:sz w:val="18"/>
    </w:rPr>
  </w:style>
  <w:style w:type="paragraph" w:styleId="Footer">
    <w:name w:val="footer"/>
    <w:basedOn w:val="FooterBase"/>
    <w:link w:val="FooterChar"/>
    <w:rsid w:val="0031585F"/>
    <w:pPr>
      <w:tabs>
        <w:tab w:val="center" w:pos="4153"/>
        <w:tab w:val="right" w:pos="8306"/>
      </w:tabs>
    </w:pPr>
  </w:style>
  <w:style w:type="character" w:customStyle="1" w:styleId="FooterChar">
    <w:name w:val="Footer Char"/>
    <w:basedOn w:val="DefaultParagraphFont"/>
    <w:link w:val="Footer"/>
    <w:rsid w:val="0031585F"/>
    <w:rPr>
      <w:rFonts w:ascii="Arial" w:hAnsi="Arial"/>
      <w:color w:val="000000" w:themeColor="text1"/>
    </w:rPr>
  </w:style>
  <w:style w:type="character" w:styleId="PageNumber">
    <w:name w:val="page number"/>
    <w:basedOn w:val="DefaultParagraphFont"/>
    <w:rsid w:val="0031585F"/>
    <w:rPr>
      <w:rFonts w:ascii="Arial" w:hAnsi="Arial" w:cs="Arial"/>
      <w:color w:val="auto"/>
    </w:rPr>
  </w:style>
  <w:style w:type="paragraph" w:customStyle="1" w:styleId="ContentsHeading">
    <w:name w:val="Contents Heading"/>
    <w:basedOn w:val="HeadingBase"/>
    <w:next w:val="Normal"/>
    <w:rsid w:val="0031585F"/>
    <w:pPr>
      <w:spacing w:after="720"/>
    </w:pPr>
    <w:rPr>
      <w:b/>
      <w:bCs/>
      <w:sz w:val="36"/>
    </w:rPr>
  </w:style>
  <w:style w:type="paragraph" w:customStyle="1" w:styleId="ExampleText">
    <w:name w:val="Example Text"/>
    <w:basedOn w:val="Normal"/>
    <w:rsid w:val="00A64635"/>
    <w:rPr>
      <w:i/>
      <w:color w:val="FF0000"/>
    </w:rPr>
  </w:style>
  <w:style w:type="paragraph" w:customStyle="1" w:styleId="HeaderEven">
    <w:name w:val="Header Even"/>
    <w:basedOn w:val="HeaderBase"/>
    <w:rsid w:val="0031585F"/>
    <w:rPr>
      <w:color w:val="auto"/>
    </w:rPr>
  </w:style>
  <w:style w:type="paragraph" w:customStyle="1" w:styleId="HeaderOdd">
    <w:name w:val="Header Odd"/>
    <w:basedOn w:val="HeaderBase"/>
    <w:rsid w:val="0031585F"/>
    <w:pPr>
      <w:jc w:val="right"/>
    </w:pPr>
    <w:rPr>
      <w:color w:val="000000" w:themeColor="text1"/>
    </w:rPr>
  </w:style>
  <w:style w:type="paragraph" w:customStyle="1" w:styleId="OverviewParagraph">
    <w:name w:val="Overview Paragraph"/>
    <w:basedOn w:val="Normal"/>
    <w:link w:val="OverviewParagraphChar"/>
    <w:rsid w:val="0031585F"/>
    <w:pPr>
      <w:spacing w:before="120" w:after="120" w:line="240" w:lineRule="auto"/>
    </w:pPr>
  </w:style>
  <w:style w:type="paragraph" w:customStyle="1" w:styleId="SingleParagraph">
    <w:name w:val="Single Paragraph"/>
    <w:basedOn w:val="Normal"/>
    <w:rsid w:val="0031585F"/>
    <w:pPr>
      <w:spacing w:before="0" w:after="0" w:line="240" w:lineRule="auto"/>
    </w:pPr>
  </w:style>
  <w:style w:type="paragraph" w:customStyle="1" w:styleId="PartHeading">
    <w:name w:val="Part Heading"/>
    <w:basedOn w:val="Title"/>
    <w:next w:val="Normal"/>
    <w:rsid w:val="0031585F"/>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rsid w:val="00A64635"/>
    <w:rPr>
      <w:rFonts w:asciiTheme="minorHAnsi" w:hAnsiTheme="minorHAnsi"/>
      <w:sz w:val="19"/>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8529C5"/>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31585F"/>
    <w:pPr>
      <w:spacing w:before="0" w:after="0" w:line="240" w:lineRule="auto"/>
      <w:ind w:right="-113"/>
    </w:p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31585F"/>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31585F"/>
    <w:pPr>
      <w:spacing w:before="120" w:after="20"/>
    </w:pPr>
    <w:rPr>
      <w:b/>
      <w:sz w:val="20"/>
    </w:rPr>
  </w:style>
  <w:style w:type="paragraph" w:customStyle="1" w:styleId="ChartandTableFootnote">
    <w:name w:val="Chart and Table Footnote"/>
    <w:basedOn w:val="HeadingBase"/>
    <w:next w:val="Normal"/>
    <w:link w:val="ChartandTableFootnoteChar"/>
    <w:rsid w:val="0031585F"/>
    <w:pPr>
      <w:keepNext w:val="0"/>
      <w:tabs>
        <w:tab w:val="left" w:pos="709"/>
      </w:tabs>
      <w:spacing w:before="30"/>
    </w:pPr>
    <w:rPr>
      <w:color w:val="000000"/>
      <w:sz w:val="16"/>
    </w:rPr>
  </w:style>
  <w:style w:type="character" w:customStyle="1" w:styleId="TableHeadingChar">
    <w:name w:val="Table Heading Char"/>
    <w:link w:val="TableHeading"/>
    <w:rsid w:val="0031585F"/>
    <w:rPr>
      <w:rFonts w:ascii="Arial" w:hAnsi="Arial"/>
      <w:b/>
    </w:rPr>
  </w:style>
  <w:style w:type="paragraph" w:customStyle="1" w:styleId="TPHeading1">
    <w:name w:val="TP Heading 1"/>
    <w:basedOn w:val="HeadingBase"/>
    <w:rsid w:val="0031585F"/>
    <w:pPr>
      <w:spacing w:before="60" w:after="60"/>
      <w:ind w:left="851"/>
    </w:pPr>
    <w:rPr>
      <w:caps/>
      <w:spacing w:val="-10"/>
      <w:sz w:val="28"/>
    </w:rPr>
  </w:style>
  <w:style w:type="paragraph" w:customStyle="1" w:styleId="TPHeading3">
    <w:name w:val="TP Heading 3"/>
    <w:basedOn w:val="HeadingBase"/>
    <w:rsid w:val="0031585F"/>
    <w:pPr>
      <w:ind w:left="851"/>
    </w:pPr>
    <w:rPr>
      <w:caps/>
      <w:spacing w:val="-10"/>
    </w:rPr>
  </w:style>
  <w:style w:type="paragraph" w:customStyle="1" w:styleId="TPHeading2">
    <w:name w:val="TP Heading 2"/>
    <w:basedOn w:val="HeadingBase"/>
    <w:rsid w:val="0031585F"/>
    <w:pPr>
      <w:ind w:left="851"/>
    </w:pPr>
    <w:rPr>
      <w:b/>
      <w:caps/>
      <w:spacing w:val="-10"/>
      <w:sz w:val="28"/>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HeadingBase"/>
    <w:next w:val="Normal"/>
    <w:uiPriority w:val="2"/>
    <w:unhideWhenUsed/>
    <w:rsid w:val="0031585F"/>
    <w:pPr>
      <w:tabs>
        <w:tab w:val="right" w:leader="dot" w:pos="7700"/>
      </w:tabs>
      <w:spacing w:before="40"/>
      <w:ind w:right="851"/>
    </w:pPr>
    <w:rPr>
      <w:sz w:val="20"/>
    </w:rPr>
  </w:style>
  <w:style w:type="paragraph" w:customStyle="1" w:styleId="Outcomeheading">
    <w:name w:val="Outcome heading"/>
    <w:basedOn w:val="Heading3"/>
    <w:qFormat/>
    <w:rsid w:val="00E15CF3"/>
  </w:style>
  <w:style w:type="character" w:styleId="Hyperlink">
    <w:name w:val="Hyperlink"/>
    <w:uiPriority w:val="99"/>
    <w:unhideWhenUsed/>
    <w:rsid w:val="008529C5"/>
    <w:rPr>
      <w:b w:val="0"/>
      <w:color w:val="auto"/>
      <w:u w:val="single"/>
    </w:rPr>
  </w:style>
  <w:style w:type="character" w:customStyle="1" w:styleId="A5">
    <w:name w:val="A5"/>
    <w:uiPriority w:val="99"/>
    <w:rsid w:val="0031585F"/>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31585F"/>
    <w:pPr>
      <w:numPr>
        <w:numId w:val="6"/>
      </w:numPr>
      <w:spacing w:after="160"/>
    </w:pPr>
  </w:style>
  <w:style w:type="character" w:customStyle="1" w:styleId="BulletChar">
    <w:name w:val="Bullet Char"/>
    <w:link w:val="Bullet"/>
    <w:rsid w:val="0031585F"/>
    <w:rPr>
      <w:rFonts w:ascii="Book Antiqua" w:hAnsi="Book Antiqua"/>
      <w:sz w:val="19"/>
    </w:rPr>
  </w:style>
  <w:style w:type="paragraph" w:customStyle="1" w:styleId="Dash">
    <w:name w:val="Dash"/>
    <w:basedOn w:val="Normal"/>
    <w:link w:val="DashChar"/>
    <w:qFormat/>
    <w:rsid w:val="0031585F"/>
    <w:pPr>
      <w:numPr>
        <w:ilvl w:val="1"/>
        <w:numId w:val="6"/>
      </w:numPr>
      <w:tabs>
        <w:tab w:val="left" w:pos="567"/>
      </w:tabs>
    </w:pPr>
  </w:style>
  <w:style w:type="character" w:customStyle="1" w:styleId="DashChar">
    <w:name w:val="Dash Char"/>
    <w:link w:val="Dash"/>
    <w:rsid w:val="00A64635"/>
    <w:rPr>
      <w:rFonts w:ascii="Book Antiqua" w:hAnsi="Book Antiqua"/>
      <w:sz w:val="19"/>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sz w:val="19"/>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31585F"/>
    <w:rPr>
      <w:rFonts w:ascii="Book Antiqua" w:hAnsi="Book Antiqua"/>
      <w:sz w:val="19"/>
    </w:rPr>
  </w:style>
  <w:style w:type="character" w:customStyle="1" w:styleId="ChartandTableFootnoteChar">
    <w:name w:val="Chart and Table Footnote Char"/>
    <w:link w:val="ChartandTableFootnote"/>
    <w:rsid w:val="0031585F"/>
    <w:rPr>
      <w:rFonts w:ascii="Arial" w:hAnsi="Arial"/>
      <w:color w:val="000000"/>
      <w:sz w:val="16"/>
    </w:rPr>
  </w:style>
  <w:style w:type="paragraph" w:styleId="BodyText">
    <w:name w:val="Body Text"/>
    <w:basedOn w:val="Normal"/>
    <w:link w:val="BodyTextChar"/>
    <w:qFormat/>
    <w:rsid w:val="00AE29BE"/>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Heading1-NoTOC">
    <w:name w:val="Heading 1 - No TOC"/>
    <w:basedOn w:val="Heading1"/>
    <w:rsid w:val="0020791D"/>
    <w:pPr>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8529C5"/>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31585F"/>
    <w:pPr>
      <w:pBdr>
        <w:top w:val="single" w:sz="4" w:space="10" w:color="000000" w:themeColor="text1"/>
      </w:pBdr>
      <w:jc w:val="right"/>
    </w:pPr>
    <w:rPr>
      <w:sz w:val="18"/>
    </w:rPr>
  </w:style>
  <w:style w:type="paragraph" w:customStyle="1" w:styleId="FooterEven">
    <w:name w:val="Footer Even"/>
    <w:basedOn w:val="Footer"/>
    <w:qFormat/>
    <w:rsid w:val="0031585F"/>
    <w:pPr>
      <w:pBdr>
        <w:top w:val="single" w:sz="4" w:space="10" w:color="000000" w:themeColor="text1"/>
      </w:pBdr>
      <w:jc w:val="left"/>
    </w:pPr>
    <w:rPr>
      <w:color w:val="auto"/>
      <w:sz w:val="18"/>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31585F"/>
    <w:pPr>
      <w:numPr>
        <w:numId w:val="2"/>
      </w:numPr>
      <w:tabs>
        <w:tab w:val="clear" w:pos="567"/>
        <w:tab w:val="num" w:pos="360"/>
      </w:tabs>
    </w:pPr>
  </w:style>
  <w:style w:type="paragraph" w:customStyle="1" w:styleId="HeadingBase">
    <w:name w:val="Heading Base"/>
    <w:link w:val="HeadingBaseChar"/>
    <w:rsid w:val="0031585F"/>
    <w:pPr>
      <w:keepNext/>
    </w:pPr>
    <w:rPr>
      <w:rFonts w:ascii="Arial" w:hAnsi="Arial"/>
      <w:sz w:val="24"/>
    </w:rPr>
  </w:style>
  <w:style w:type="character" w:customStyle="1" w:styleId="HeadingBaseChar">
    <w:name w:val="Heading Base Char"/>
    <w:link w:val="HeadingBase"/>
    <w:rsid w:val="0031585F"/>
    <w:rPr>
      <w:rFonts w:ascii="Arial" w:hAnsi="Arial"/>
      <w:sz w:val="24"/>
    </w:rPr>
  </w:style>
  <w:style w:type="paragraph" w:customStyle="1" w:styleId="AppendixHeading">
    <w:name w:val="Appendix Heading"/>
    <w:basedOn w:val="HeadingBase"/>
    <w:semiHidden/>
    <w:rsid w:val="0031585F"/>
    <w:pPr>
      <w:spacing w:after="240"/>
      <w:jc w:val="center"/>
      <w:outlineLvl w:val="3"/>
    </w:pPr>
    <w:rPr>
      <w:b/>
      <w:smallCaps/>
      <w:sz w:val="30"/>
    </w:rPr>
  </w:style>
  <w:style w:type="paragraph" w:customStyle="1" w:styleId="BoxText">
    <w:name w:val="Box Text"/>
    <w:basedOn w:val="Normal"/>
    <w:qFormat/>
    <w:rsid w:val="0031585F"/>
    <w:pPr>
      <w:spacing w:before="120" w:after="120" w:line="240" w:lineRule="auto"/>
    </w:pPr>
  </w:style>
  <w:style w:type="paragraph" w:customStyle="1" w:styleId="BoxBullet">
    <w:name w:val="Box Bullet"/>
    <w:basedOn w:val="BoxText"/>
    <w:rsid w:val="0031585F"/>
    <w:pPr>
      <w:numPr>
        <w:numId w:val="3"/>
      </w:numPr>
    </w:pPr>
  </w:style>
  <w:style w:type="paragraph" w:customStyle="1" w:styleId="BoxDash">
    <w:name w:val="Box Dash"/>
    <w:basedOn w:val="Normal"/>
    <w:rsid w:val="0031585F"/>
    <w:pPr>
      <w:numPr>
        <w:ilvl w:val="1"/>
        <w:numId w:val="4"/>
      </w:numPr>
    </w:pPr>
    <w:rPr>
      <w:color w:val="000000"/>
    </w:rPr>
  </w:style>
  <w:style w:type="paragraph" w:customStyle="1" w:styleId="BoxTextBase">
    <w:name w:val="Box Text Base"/>
    <w:basedOn w:val="Normal"/>
    <w:rsid w:val="0031585F"/>
    <w:pPr>
      <w:spacing w:after="120"/>
    </w:pPr>
    <w:rPr>
      <w:color w:val="000000"/>
    </w:rPr>
  </w:style>
  <w:style w:type="paragraph" w:customStyle="1" w:styleId="BoxDoubleDot">
    <w:name w:val="Box Double Dot"/>
    <w:basedOn w:val="BoxTextBase"/>
    <w:rsid w:val="0031585F"/>
    <w:pPr>
      <w:numPr>
        <w:ilvl w:val="2"/>
        <w:numId w:val="4"/>
      </w:numPr>
    </w:pPr>
  </w:style>
  <w:style w:type="paragraph" w:customStyle="1" w:styleId="BoxHeading">
    <w:name w:val="Box Heading"/>
    <w:basedOn w:val="HeadingBase"/>
    <w:next w:val="BoxText"/>
    <w:rsid w:val="0031585F"/>
    <w:pPr>
      <w:spacing w:before="120" w:after="120"/>
    </w:pPr>
    <w:rPr>
      <w:b/>
      <w:sz w:val="20"/>
    </w:rPr>
  </w:style>
  <w:style w:type="character" w:customStyle="1" w:styleId="BoxHeading-Continued">
    <w:name w:val="Box Heading - Continued"/>
    <w:uiPriority w:val="1"/>
    <w:qFormat/>
    <w:rsid w:val="0031585F"/>
    <w:rPr>
      <w:sz w:val="22"/>
    </w:rPr>
  </w:style>
  <w:style w:type="paragraph" w:customStyle="1" w:styleId="BoxSubHeading">
    <w:name w:val="Box Sub Heading"/>
    <w:basedOn w:val="Heading6"/>
    <w:rsid w:val="0031585F"/>
    <w:pPr>
      <w:spacing w:before="120" w:after="40"/>
    </w:pPr>
  </w:style>
  <w:style w:type="paragraph" w:customStyle="1" w:styleId="ChartandTableFootnoteAlpha-Bullet">
    <w:name w:val="Chart and Table Footnote Alpha - Bullet"/>
    <w:basedOn w:val="ChartandTableFootnoteAlpha"/>
    <w:rsid w:val="0031585F"/>
    <w:pPr>
      <w:numPr>
        <w:numId w:val="5"/>
      </w:numPr>
      <w:tabs>
        <w:tab w:val="left" w:pos="454"/>
      </w:tabs>
    </w:pPr>
    <w:rPr>
      <w:rFonts w:cs="Arial"/>
      <w:szCs w:val="16"/>
    </w:rPr>
  </w:style>
  <w:style w:type="paragraph" w:customStyle="1" w:styleId="ChartHeading">
    <w:name w:val="Chart Heading"/>
    <w:basedOn w:val="HeadingBase"/>
    <w:next w:val="ChartGraphic"/>
    <w:qFormat/>
    <w:rsid w:val="0031585F"/>
    <w:pPr>
      <w:spacing w:before="120" w:after="20"/>
    </w:pPr>
    <w:rPr>
      <w:b/>
      <w:sz w:val="20"/>
    </w:rPr>
  </w:style>
  <w:style w:type="paragraph" w:customStyle="1" w:styleId="ChartLine">
    <w:name w:val="Chart Line"/>
    <w:basedOn w:val="NoSpacing"/>
    <w:autoRedefine/>
    <w:qFormat/>
    <w:rsid w:val="0031585F"/>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31585F"/>
  </w:style>
  <w:style w:type="paragraph" w:customStyle="1" w:styleId="ChartSecondHeading">
    <w:name w:val="Chart Second Heading"/>
    <w:basedOn w:val="HeadingBase"/>
    <w:next w:val="ChartGraphic"/>
    <w:rsid w:val="0031585F"/>
    <w:pPr>
      <w:spacing w:after="60"/>
    </w:pPr>
    <w:rPr>
      <w:sz w:val="19"/>
    </w:rPr>
  </w:style>
  <w:style w:type="paragraph" w:customStyle="1" w:styleId="DepartmentSubtitle">
    <w:name w:val="Department Subtitle"/>
    <w:basedOn w:val="Department"/>
    <w:rsid w:val="0031585F"/>
    <w:rPr>
      <w:sz w:val="44"/>
    </w:rPr>
  </w:style>
  <w:style w:type="paragraph" w:customStyle="1" w:styleId="FileProperties">
    <w:name w:val="File Properties"/>
    <w:basedOn w:val="Normal"/>
    <w:rsid w:val="0031585F"/>
    <w:pPr>
      <w:spacing w:before="0"/>
    </w:pPr>
    <w:rPr>
      <w:i/>
    </w:rPr>
  </w:style>
  <w:style w:type="paragraph" w:customStyle="1" w:styleId="FooterBase">
    <w:name w:val="Footer Base"/>
    <w:rsid w:val="0031585F"/>
    <w:pPr>
      <w:jc w:val="center"/>
    </w:pPr>
    <w:rPr>
      <w:rFonts w:ascii="Arial" w:hAnsi="Arial"/>
      <w:color w:val="000000" w:themeColor="text1"/>
    </w:rPr>
  </w:style>
  <w:style w:type="paragraph" w:styleId="FootnoteText">
    <w:name w:val="footnote text"/>
    <w:basedOn w:val="Normal"/>
    <w:link w:val="FootnoteTextChar"/>
    <w:rsid w:val="0031585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1585F"/>
    <w:rPr>
      <w:rFonts w:asciiTheme="minorHAnsi" w:hAnsiTheme="minorHAnsi"/>
      <w:sz w:val="18"/>
    </w:rPr>
  </w:style>
  <w:style w:type="character" w:customStyle="1" w:styleId="FramedHeader">
    <w:name w:val="Framed Header"/>
    <w:basedOn w:val="DefaultParagraphFont"/>
    <w:rsid w:val="0031585F"/>
    <w:rPr>
      <w:rFonts w:ascii="Book Antiqua" w:hAnsi="Book Antiqua"/>
      <w:i/>
      <w:dstrike w:val="0"/>
      <w:color w:val="auto"/>
      <w:sz w:val="20"/>
      <w:vertAlign w:val="baseline"/>
    </w:rPr>
  </w:style>
  <w:style w:type="paragraph" w:customStyle="1" w:styleId="HeaderBase">
    <w:name w:val="Header Base"/>
    <w:rsid w:val="0031585F"/>
    <w:rPr>
      <w:rFonts w:ascii="Arial" w:hAnsi="Arial"/>
      <w:color w:val="44546A" w:themeColor="text2"/>
      <w:sz w:val="18"/>
    </w:rPr>
  </w:style>
  <w:style w:type="paragraph" w:customStyle="1" w:styleId="Heading3noTOC">
    <w:name w:val="Heading 3 no TOC"/>
    <w:basedOn w:val="Heading3"/>
    <w:rsid w:val="0031585F"/>
    <w:pPr>
      <w:outlineLvl w:val="9"/>
    </w:pPr>
  </w:style>
  <w:style w:type="character" w:customStyle="1" w:styleId="Heading7Char">
    <w:name w:val="Heading 7 Char"/>
    <w:basedOn w:val="DefaultParagraphFont"/>
    <w:link w:val="Heading7"/>
    <w:rsid w:val="0031585F"/>
    <w:rPr>
      <w:rFonts w:ascii="Arial" w:hAnsi="Arial"/>
      <w:szCs w:val="24"/>
    </w:rPr>
  </w:style>
  <w:style w:type="character" w:customStyle="1" w:styleId="Heading8Char">
    <w:name w:val="Heading 8 Char"/>
    <w:basedOn w:val="DefaultParagraphFont"/>
    <w:link w:val="Heading8"/>
    <w:rsid w:val="0031585F"/>
    <w:rPr>
      <w:rFonts w:ascii="Times New Roman" w:hAnsi="Times New Roman"/>
      <w:i/>
      <w:iCs/>
      <w:sz w:val="16"/>
      <w:szCs w:val="24"/>
    </w:rPr>
  </w:style>
  <w:style w:type="character" w:customStyle="1" w:styleId="Heading9Char">
    <w:name w:val="Heading 9 Char"/>
    <w:basedOn w:val="DefaultParagraphFont"/>
    <w:link w:val="Heading9"/>
    <w:uiPriority w:val="9"/>
    <w:rsid w:val="0031585F"/>
    <w:rPr>
      <w:rFonts w:ascii="Cambria" w:hAnsi="Cambria"/>
      <w:sz w:val="22"/>
      <w:szCs w:val="22"/>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uiPriority w:val="34"/>
    <w:qFormat/>
    <w:rsid w:val="0031585F"/>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31585F"/>
    <w:pPr>
      <w:ind w:left="567"/>
    </w:pPr>
  </w:style>
  <w:style w:type="paragraph" w:styleId="NoteHeading">
    <w:name w:val="Note Heading"/>
    <w:basedOn w:val="Normal"/>
    <w:next w:val="Normal"/>
    <w:link w:val="NoteHeadingChar"/>
    <w:rsid w:val="0031585F"/>
  </w:style>
  <w:style w:type="character" w:customStyle="1" w:styleId="NoteHeadingChar">
    <w:name w:val="Note Heading Char"/>
    <w:basedOn w:val="DefaultParagraphFont"/>
    <w:link w:val="NoteHeading"/>
    <w:rsid w:val="0031585F"/>
    <w:rPr>
      <w:rFonts w:asciiTheme="minorHAnsi" w:hAnsiTheme="minorHAnsi"/>
      <w:sz w:val="19"/>
    </w:rPr>
  </w:style>
  <w:style w:type="paragraph" w:customStyle="1" w:styleId="NoteTableHeading">
    <w:name w:val="Note Table Heading"/>
    <w:basedOn w:val="HeadingBase"/>
    <w:next w:val="Normal"/>
    <w:rsid w:val="0031585F"/>
    <w:pPr>
      <w:spacing w:before="240"/>
    </w:pPr>
    <w:rPr>
      <w:b/>
      <w:sz w:val="20"/>
    </w:rPr>
  </w:style>
  <w:style w:type="paragraph" w:customStyle="1" w:styleId="Outcome">
    <w:name w:val="Outcome"/>
    <w:basedOn w:val="Normal"/>
    <w:rsid w:val="0031585F"/>
    <w:pPr>
      <w:spacing w:before="120" w:after="120" w:line="280" w:lineRule="exact"/>
    </w:pPr>
    <w:rPr>
      <w:rFonts w:ascii="Arial" w:hAnsi="Arial" w:cs="Arial"/>
      <w:b/>
    </w:rPr>
  </w:style>
  <w:style w:type="paragraph" w:customStyle="1" w:styleId="ProgramHeading">
    <w:name w:val="Program Heading"/>
    <w:basedOn w:val="HeadingBase"/>
    <w:rsid w:val="0031585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1585F"/>
  </w:style>
  <w:style w:type="paragraph" w:customStyle="1" w:styleId="Statement">
    <w:name w:val="Statement"/>
    <w:basedOn w:val="Normal"/>
    <w:autoRedefine/>
    <w:qFormat/>
    <w:rsid w:val="0031585F"/>
    <w:pPr>
      <w:textboxTightWrap w:val="firstAndLastLine"/>
    </w:pPr>
    <w:rPr>
      <w:rFonts w:cstheme="minorHAnsi"/>
      <w:kern w:val="18"/>
      <w:sz w:val="18"/>
    </w:rPr>
  </w:style>
  <w:style w:type="paragraph" w:customStyle="1" w:styleId="Statement-Bullet">
    <w:name w:val="Statement - Bullet"/>
    <w:basedOn w:val="Bullet"/>
    <w:qFormat/>
    <w:rsid w:val="0031585F"/>
    <w:pPr>
      <w:ind w:left="284" w:hanging="284"/>
    </w:pPr>
  </w:style>
  <w:style w:type="paragraph" w:customStyle="1" w:styleId="TableColumnHeadingBase">
    <w:name w:val="Table Column Heading Base"/>
    <w:basedOn w:val="Normal"/>
    <w:rsid w:val="0031585F"/>
    <w:pPr>
      <w:spacing w:before="40" w:after="40" w:line="240" w:lineRule="auto"/>
    </w:pPr>
    <w:rPr>
      <w:rFonts w:ascii="Arial Bold" w:hAnsi="Arial Bold"/>
      <w:b/>
      <w:sz w:val="16"/>
    </w:rPr>
  </w:style>
  <w:style w:type="paragraph" w:customStyle="1" w:styleId="TableColumnOutgroupHeading">
    <w:name w:val="Table Column Outgroup Heading"/>
    <w:basedOn w:val="Normal"/>
    <w:rsid w:val="0031585F"/>
    <w:pPr>
      <w:spacing w:before="60" w:after="120" w:line="240" w:lineRule="auto"/>
    </w:pPr>
    <w:rPr>
      <w:b/>
      <w:sz w:val="22"/>
    </w:rPr>
  </w:style>
  <w:style w:type="paragraph" w:customStyle="1" w:styleId="TableColumnOutgroupSubheading">
    <w:name w:val="Table Column Outgroup Subheading"/>
    <w:basedOn w:val="Normal"/>
    <w:rsid w:val="0031585F"/>
    <w:pPr>
      <w:spacing w:before="60" w:after="120" w:line="240" w:lineRule="auto"/>
      <w:jc w:val="center"/>
    </w:pPr>
  </w:style>
  <w:style w:type="paragraph" w:customStyle="1" w:styleId="TableHeadingNoTable">
    <w:name w:val="Table Heading No Table"/>
    <w:basedOn w:val="TableHeading"/>
    <w:next w:val="Normal"/>
    <w:rsid w:val="0031585F"/>
    <w:pPr>
      <w:spacing w:after="240"/>
    </w:pPr>
  </w:style>
  <w:style w:type="paragraph" w:customStyle="1" w:styleId="TableLine">
    <w:name w:val="Table Line"/>
    <w:basedOn w:val="Normal"/>
    <w:next w:val="Normal"/>
    <w:autoRedefine/>
    <w:rsid w:val="0031585F"/>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31585F"/>
    <w:pPr>
      <w:spacing w:before="20" w:after="20" w:line="240" w:lineRule="auto"/>
    </w:pPr>
    <w:rPr>
      <w:rFonts w:ascii="Arial" w:hAnsi="Arial"/>
      <w:sz w:val="16"/>
    </w:rPr>
  </w:style>
  <w:style w:type="character" w:customStyle="1" w:styleId="TableTextBaseChar">
    <w:name w:val="Table Text Base Char"/>
    <w:link w:val="TableTextBase"/>
    <w:rsid w:val="0031585F"/>
    <w:rPr>
      <w:rFonts w:ascii="Arial" w:hAnsi="Arial"/>
      <w:sz w:val="16"/>
    </w:rPr>
  </w:style>
  <w:style w:type="paragraph" w:customStyle="1" w:styleId="TableTextBullet">
    <w:name w:val="Table Text Bullet"/>
    <w:basedOn w:val="TableTextBase"/>
    <w:rsid w:val="0031585F"/>
    <w:pPr>
      <w:numPr>
        <w:numId w:val="7"/>
      </w:numPr>
    </w:pPr>
  </w:style>
  <w:style w:type="paragraph" w:customStyle="1" w:styleId="TableTextCentred">
    <w:name w:val="Table Text Centred"/>
    <w:basedOn w:val="TableTextBase"/>
    <w:rsid w:val="0031585F"/>
    <w:pPr>
      <w:jc w:val="center"/>
    </w:pPr>
  </w:style>
  <w:style w:type="paragraph" w:customStyle="1" w:styleId="TableTextDash">
    <w:name w:val="Table Text Dash"/>
    <w:basedOn w:val="TableTextBase"/>
    <w:rsid w:val="0031585F"/>
    <w:pPr>
      <w:numPr>
        <w:ilvl w:val="1"/>
        <w:numId w:val="7"/>
      </w:numPr>
    </w:pPr>
  </w:style>
  <w:style w:type="paragraph" w:customStyle="1" w:styleId="TableTextIndented">
    <w:name w:val="Table Text Indented"/>
    <w:basedOn w:val="TableTextBase"/>
    <w:rsid w:val="0031585F"/>
    <w:pPr>
      <w:ind w:left="284"/>
    </w:pPr>
  </w:style>
  <w:style w:type="paragraph" w:customStyle="1" w:styleId="TableTextJustified0">
    <w:name w:val="Table Text Justified"/>
    <w:basedOn w:val="TableTextBase"/>
    <w:rsid w:val="0031585F"/>
    <w:pPr>
      <w:jc w:val="both"/>
    </w:pPr>
  </w:style>
  <w:style w:type="paragraph" w:customStyle="1" w:styleId="TableTextLeft">
    <w:name w:val="Table Text Left"/>
    <w:basedOn w:val="TableTextBase"/>
    <w:link w:val="TableTextLeftChar"/>
    <w:rsid w:val="0031585F"/>
  </w:style>
  <w:style w:type="character" w:customStyle="1" w:styleId="TableTextLeftChar">
    <w:name w:val="Table Text Left Char"/>
    <w:link w:val="TableTextLeft"/>
    <w:rsid w:val="0031585F"/>
    <w:rPr>
      <w:rFonts w:ascii="Arial" w:hAnsi="Arial"/>
      <w:sz w:val="16"/>
    </w:rPr>
  </w:style>
  <w:style w:type="paragraph" w:customStyle="1" w:styleId="TableTextRight">
    <w:name w:val="Table Text Right"/>
    <w:basedOn w:val="TableTextBase"/>
    <w:rsid w:val="0031585F"/>
    <w:pPr>
      <w:jc w:val="right"/>
    </w:pPr>
  </w:style>
  <w:style w:type="paragraph" w:styleId="TOC4">
    <w:name w:val="toc 4"/>
    <w:basedOn w:val="HeadingBase"/>
    <w:next w:val="Normal"/>
    <w:uiPriority w:val="2"/>
    <w:unhideWhenUsed/>
    <w:rsid w:val="0031585F"/>
    <w:pPr>
      <w:tabs>
        <w:tab w:val="right" w:leader="dot" w:pos="7700"/>
      </w:tabs>
      <w:spacing w:before="40"/>
      <w:ind w:right="851"/>
    </w:pPr>
    <w:rPr>
      <w:sz w:val="20"/>
    </w:rPr>
  </w:style>
  <w:style w:type="paragraph" w:customStyle="1" w:styleId="TPHeading3bold">
    <w:name w:val="TP Heading 3 bold"/>
    <w:basedOn w:val="TPHeading3"/>
    <w:semiHidden/>
    <w:rsid w:val="0031585F"/>
    <w:rPr>
      <w:rFonts w:cs="Arial"/>
      <w:b/>
      <w:sz w:val="22"/>
      <w:szCs w:val="22"/>
    </w:rPr>
  </w:style>
  <w:style w:type="paragraph" w:customStyle="1" w:styleId="TPHEADING3boldspace">
    <w:name w:val="TP HEADING 3 bold space"/>
    <w:basedOn w:val="TPHeading3bold"/>
    <w:semiHidden/>
    <w:rsid w:val="0031585F"/>
    <w:pPr>
      <w:spacing w:after="120"/>
    </w:pPr>
  </w:style>
  <w:style w:type="paragraph" w:customStyle="1" w:styleId="TPHEADING3space">
    <w:name w:val="TP HEADING 3 space"/>
    <w:basedOn w:val="TPHeading3"/>
    <w:semiHidden/>
    <w:rsid w:val="0031585F"/>
    <w:pPr>
      <w:spacing w:before="120" w:after="120"/>
    </w:pPr>
    <w:rPr>
      <w:rFonts w:cs="Arial"/>
      <w:sz w:val="22"/>
      <w:szCs w:val="22"/>
    </w:rPr>
  </w:style>
  <w:style w:type="paragraph" w:customStyle="1" w:styleId="TPHeading4">
    <w:name w:val="TP Heading 4"/>
    <w:basedOn w:val="TPHeading3"/>
    <w:semiHidden/>
    <w:rsid w:val="0031585F"/>
    <w:rPr>
      <w:sz w:val="20"/>
    </w:rPr>
  </w:style>
  <w:style w:type="character" w:styleId="UnresolvedMention">
    <w:name w:val="Unresolved Mention"/>
    <w:basedOn w:val="DefaultParagraphFont"/>
    <w:uiPriority w:val="99"/>
    <w:semiHidden/>
    <w:unhideWhenUsed/>
    <w:rsid w:val="0031585F"/>
    <w:rPr>
      <w:color w:val="605E5C"/>
      <w:shd w:val="clear" w:color="auto" w:fill="E1DFDD"/>
    </w:rPr>
  </w:style>
  <w:style w:type="paragraph" w:customStyle="1" w:styleId="SinglePara">
    <w:name w:val="Single Para"/>
    <w:basedOn w:val="Normal"/>
    <w:rsid w:val="00DB42D8"/>
    <w:pPr>
      <w:spacing w:before="0" w:after="0"/>
    </w:pPr>
  </w:style>
  <w:style w:type="paragraph" w:customStyle="1" w:styleId="ChartandTableFootnote-Dash">
    <w:name w:val="Chart and Table Footnote - Dash"/>
    <w:basedOn w:val="Source"/>
    <w:rsid w:val="00DB42D8"/>
    <w:pPr>
      <w:tabs>
        <w:tab w:val="left" w:pos="680"/>
      </w:tabs>
      <w:ind w:left="681" w:hanging="284"/>
    </w:pPr>
  </w:style>
  <w:style w:type="paragraph" w:customStyle="1" w:styleId="Heading1-LVL2">
    <w:name w:val="Heading 1 - LVL2"/>
    <w:basedOn w:val="Heading1"/>
    <w:rsid w:val="00DB42D8"/>
  </w:style>
  <w:style w:type="paragraph" w:customStyle="1" w:styleId="Heading2-TOC">
    <w:name w:val="Heading 2 - TOC"/>
    <w:rsid w:val="00DB42D8"/>
    <w:pPr>
      <w:spacing w:before="360" w:after="360"/>
      <w:outlineLvl w:val="1"/>
    </w:pPr>
    <w:rPr>
      <w:rFonts w:ascii="Arial" w:hAnsi="Arial"/>
      <w:b/>
      <w:sz w:val="30"/>
    </w:rPr>
  </w:style>
  <w:style w:type="paragraph" w:customStyle="1" w:styleId="Heading2NoTOC">
    <w:name w:val="Heading 2 No TOC"/>
    <w:basedOn w:val="Heading2"/>
    <w:qFormat/>
    <w:rsid w:val="0091131E"/>
    <w:pPr>
      <w:spacing w:before="360" w:after="120"/>
      <w:outlineLvl w:val="9"/>
    </w:pPr>
    <w:rPr>
      <w:rFonts w:ascii="Arial" w:hAnsi="Arial"/>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uiPriority w:val="34"/>
    <w:locked/>
    <w:rsid w:val="00D81F65"/>
    <w:rPr>
      <w:rFonts w:eastAsia="Calibri"/>
      <w:sz w:val="22"/>
      <w:szCs w:val="22"/>
      <w:lang w:val="en-US" w:eastAsia="en-US"/>
    </w:rPr>
  </w:style>
  <w:style w:type="paragraph" w:customStyle="1" w:styleId="Exampletextbullet">
    <w:name w:val="Example text bullet"/>
    <w:basedOn w:val="ExampleText"/>
    <w:semiHidden/>
    <w:rsid w:val="00186290"/>
    <w:rPr>
      <w:lang w:val="x-none" w:eastAsia="x-none"/>
    </w:rPr>
  </w:style>
  <w:style w:type="character" w:styleId="Mention">
    <w:name w:val="Mention"/>
    <w:basedOn w:val="DefaultParagraphFont"/>
    <w:uiPriority w:val="99"/>
    <w:unhideWhenUsed/>
    <w:rsid w:val="00186290"/>
    <w:rPr>
      <w:color w:val="2B579A"/>
      <w:shd w:val="clear" w:color="auto" w:fill="E1DFDD"/>
    </w:rPr>
  </w:style>
  <w:style w:type="paragraph" w:styleId="NormalWeb">
    <w:name w:val="Normal (Web)"/>
    <w:basedOn w:val="Normal"/>
    <w:uiPriority w:val="99"/>
    <w:unhideWhenUsed/>
    <w:rsid w:val="00186290"/>
    <w:pPr>
      <w:spacing w:before="100" w:beforeAutospacing="1" w:after="100" w:afterAutospacing="1" w:line="240" w:lineRule="auto"/>
    </w:pPr>
    <w:rPr>
      <w:rFonts w:ascii="Times New Roman" w:hAnsi="Times New Roman"/>
      <w:sz w:val="24"/>
      <w:szCs w:val="24"/>
    </w:rPr>
  </w:style>
  <w:style w:type="paragraph" w:customStyle="1" w:styleId="ChartandTableFootnoteAlphaSmall">
    <w:name w:val="Chart and Table Footnote Alpha Small"/>
    <w:basedOn w:val="Normal"/>
    <w:next w:val="Normal"/>
    <w:rsid w:val="00186290"/>
    <w:pPr>
      <w:keepNext/>
      <w:numPr>
        <w:numId w:val="20"/>
      </w:numPr>
      <w:spacing w:before="0" w:after="0" w:line="240" w:lineRule="auto"/>
      <w:jc w:val="both"/>
    </w:pPr>
    <w:rPr>
      <w:rFonts w:ascii="Arial" w:hAnsi="Arial"/>
      <w:sz w:val="15"/>
    </w:rPr>
  </w:style>
  <w:style w:type="character" w:styleId="Emphasis">
    <w:name w:val="Emphasis"/>
    <w:basedOn w:val="DefaultParagraphFont"/>
    <w:uiPriority w:val="20"/>
    <w:qFormat/>
    <w:rsid w:val="002A1D40"/>
    <w:rPr>
      <w:i/>
      <w:iCs/>
    </w:rPr>
  </w:style>
  <w:style w:type="paragraph" w:customStyle="1" w:styleId="PartHeading-TOC">
    <w:name w:val="Part Heading - TOC"/>
    <w:basedOn w:val="PartHeading"/>
    <w:rsid w:val="00D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27611221">
      <w:bodyDiv w:val="1"/>
      <w:marLeft w:val="0"/>
      <w:marRight w:val="0"/>
      <w:marTop w:val="0"/>
      <w:marBottom w:val="0"/>
      <w:divBdr>
        <w:top w:val="none" w:sz="0" w:space="0" w:color="auto"/>
        <w:left w:val="none" w:sz="0" w:space="0" w:color="auto"/>
        <w:bottom w:val="none" w:sz="0" w:space="0" w:color="auto"/>
        <w:right w:val="none" w:sz="0" w:space="0" w:color="auto"/>
      </w:divBdr>
    </w:div>
    <w:div w:id="44108891">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2377897">
      <w:bodyDiv w:val="1"/>
      <w:marLeft w:val="0"/>
      <w:marRight w:val="0"/>
      <w:marTop w:val="0"/>
      <w:marBottom w:val="0"/>
      <w:divBdr>
        <w:top w:val="none" w:sz="0" w:space="0" w:color="auto"/>
        <w:left w:val="none" w:sz="0" w:space="0" w:color="auto"/>
        <w:bottom w:val="none" w:sz="0" w:space="0" w:color="auto"/>
        <w:right w:val="none" w:sz="0" w:space="0" w:color="auto"/>
      </w:divBdr>
    </w:div>
    <w:div w:id="309331774">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16831907">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91206749">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59775349">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82247105">
      <w:bodyDiv w:val="1"/>
      <w:marLeft w:val="0"/>
      <w:marRight w:val="0"/>
      <w:marTop w:val="0"/>
      <w:marBottom w:val="0"/>
      <w:divBdr>
        <w:top w:val="none" w:sz="0" w:space="0" w:color="auto"/>
        <w:left w:val="none" w:sz="0" w:space="0" w:color="auto"/>
        <w:bottom w:val="none" w:sz="0" w:space="0" w:color="auto"/>
        <w:right w:val="none" w:sz="0" w:space="0" w:color="auto"/>
      </w:divBdr>
    </w:div>
    <w:div w:id="68964948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1059272">
      <w:bodyDiv w:val="1"/>
      <w:marLeft w:val="0"/>
      <w:marRight w:val="0"/>
      <w:marTop w:val="0"/>
      <w:marBottom w:val="0"/>
      <w:divBdr>
        <w:top w:val="none" w:sz="0" w:space="0" w:color="auto"/>
        <w:left w:val="none" w:sz="0" w:space="0" w:color="auto"/>
        <w:bottom w:val="none" w:sz="0" w:space="0" w:color="auto"/>
        <w:right w:val="none" w:sz="0" w:space="0" w:color="auto"/>
      </w:divBdr>
    </w:div>
    <w:div w:id="739016234">
      <w:bodyDiv w:val="1"/>
      <w:marLeft w:val="0"/>
      <w:marRight w:val="0"/>
      <w:marTop w:val="0"/>
      <w:marBottom w:val="0"/>
      <w:divBdr>
        <w:top w:val="none" w:sz="0" w:space="0" w:color="auto"/>
        <w:left w:val="none" w:sz="0" w:space="0" w:color="auto"/>
        <w:bottom w:val="none" w:sz="0" w:space="0" w:color="auto"/>
        <w:right w:val="none" w:sz="0" w:space="0" w:color="auto"/>
      </w:divBdr>
    </w:div>
    <w:div w:id="763846814">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41432073">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39505383">
      <w:bodyDiv w:val="1"/>
      <w:marLeft w:val="0"/>
      <w:marRight w:val="0"/>
      <w:marTop w:val="0"/>
      <w:marBottom w:val="0"/>
      <w:divBdr>
        <w:top w:val="none" w:sz="0" w:space="0" w:color="auto"/>
        <w:left w:val="none" w:sz="0" w:space="0" w:color="auto"/>
        <w:bottom w:val="none" w:sz="0" w:space="0" w:color="auto"/>
        <w:right w:val="none" w:sz="0" w:space="0" w:color="auto"/>
      </w:divBdr>
    </w:div>
    <w:div w:id="1341083495">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88952647">
      <w:bodyDiv w:val="1"/>
      <w:marLeft w:val="0"/>
      <w:marRight w:val="0"/>
      <w:marTop w:val="0"/>
      <w:marBottom w:val="0"/>
      <w:divBdr>
        <w:top w:val="none" w:sz="0" w:space="0" w:color="auto"/>
        <w:left w:val="none" w:sz="0" w:space="0" w:color="auto"/>
        <w:bottom w:val="none" w:sz="0" w:space="0" w:color="auto"/>
        <w:right w:val="none" w:sz="0" w:space="0" w:color="auto"/>
      </w:divBdr>
    </w:div>
    <w:div w:id="1596015494">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62754052">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71644071">
      <w:bodyDiv w:val="1"/>
      <w:marLeft w:val="0"/>
      <w:marRight w:val="0"/>
      <w:marTop w:val="0"/>
      <w:marBottom w:val="0"/>
      <w:divBdr>
        <w:top w:val="none" w:sz="0" w:space="0" w:color="auto"/>
        <w:left w:val="none" w:sz="0" w:space="0" w:color="auto"/>
        <w:bottom w:val="none" w:sz="0" w:space="0" w:color="auto"/>
        <w:right w:val="none" w:sz="0" w:space="0" w:color="auto"/>
      </w:divBdr>
    </w:div>
    <w:div w:id="2063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1" Type="http://schemas.openxmlformats.org/officeDocument/2006/relationships/hyperlink" Target="http://creativecommons.org/licenses/by/3.0/au/legalcode" TargetMode="External"/><Relationship Id="rId42" Type="http://schemas.openxmlformats.org/officeDocument/2006/relationships/footer" Target="footer10.xml"/><Relationship Id="rId63" Type="http://schemas.openxmlformats.org/officeDocument/2006/relationships/image" Target="media/image11.emf"/><Relationship Id="rId84" Type="http://schemas.openxmlformats.org/officeDocument/2006/relationships/image" Target="media/image32.emf"/><Relationship Id="rId138" Type="http://schemas.openxmlformats.org/officeDocument/2006/relationships/image" Target="media/image70.emf"/><Relationship Id="rId159" Type="http://schemas.openxmlformats.org/officeDocument/2006/relationships/image" Target="media/image81.emf"/><Relationship Id="rId170" Type="http://schemas.openxmlformats.org/officeDocument/2006/relationships/footer" Target="footer35.xml"/><Relationship Id="rId107" Type="http://schemas.openxmlformats.org/officeDocument/2006/relationships/image" Target="media/image47.emf"/><Relationship Id="rId11" Type="http://schemas.openxmlformats.org/officeDocument/2006/relationships/webSettings" Target="webSettings.xml"/><Relationship Id="rId32" Type="http://schemas.openxmlformats.org/officeDocument/2006/relationships/header" Target="header8.xml"/><Relationship Id="rId53" Type="http://schemas.openxmlformats.org/officeDocument/2006/relationships/footer" Target="footer15.xml"/><Relationship Id="rId74" Type="http://schemas.openxmlformats.org/officeDocument/2006/relationships/image" Target="media/image22.emf"/><Relationship Id="rId128" Type="http://schemas.openxmlformats.org/officeDocument/2006/relationships/image" Target="media/image60.emf"/><Relationship Id="rId149" Type="http://schemas.openxmlformats.org/officeDocument/2006/relationships/footer" Target="footer32.xml"/><Relationship Id="rId5" Type="http://schemas.openxmlformats.org/officeDocument/2006/relationships/customXml" Target="../customXml/item5.xml"/><Relationship Id="rId95" Type="http://schemas.openxmlformats.org/officeDocument/2006/relationships/image" Target="media/image43.emf"/><Relationship Id="rId160" Type="http://schemas.openxmlformats.org/officeDocument/2006/relationships/image" Target="media/image82.emf"/><Relationship Id="rId22" Type="http://schemas.openxmlformats.org/officeDocument/2006/relationships/image" Target="media/image1.jpeg"/><Relationship Id="rId43" Type="http://schemas.openxmlformats.org/officeDocument/2006/relationships/footer" Target="footer11.xml"/><Relationship Id="rId64" Type="http://schemas.openxmlformats.org/officeDocument/2006/relationships/image" Target="media/image12.emf"/><Relationship Id="rId118" Type="http://schemas.openxmlformats.org/officeDocument/2006/relationships/image" Target="media/image58.emf"/><Relationship Id="rId139" Type="http://schemas.openxmlformats.org/officeDocument/2006/relationships/image" Target="media/image71.emf"/><Relationship Id="rId85" Type="http://schemas.openxmlformats.org/officeDocument/2006/relationships/image" Target="media/image33.emf"/><Relationship Id="rId150" Type="http://schemas.openxmlformats.org/officeDocument/2006/relationships/footer" Target="footer33.xml"/><Relationship Id="rId171" Type="http://schemas.openxmlformats.org/officeDocument/2006/relationships/footer" Target="footer36.xml"/><Relationship Id="rId12" Type="http://schemas.openxmlformats.org/officeDocument/2006/relationships/footnotes" Target="footnotes.xml"/><Relationship Id="rId33" Type="http://schemas.openxmlformats.org/officeDocument/2006/relationships/footer" Target="footer5.xml"/><Relationship Id="rId108" Type="http://schemas.openxmlformats.org/officeDocument/2006/relationships/image" Target="media/image48.emf"/><Relationship Id="rId129" Type="http://schemas.openxmlformats.org/officeDocument/2006/relationships/image" Target="media/image61.emf"/><Relationship Id="rId54" Type="http://schemas.openxmlformats.org/officeDocument/2006/relationships/header" Target="header19.xml"/><Relationship Id="rId75" Type="http://schemas.openxmlformats.org/officeDocument/2006/relationships/image" Target="media/image23.emf"/><Relationship Id="rId96" Type="http://schemas.openxmlformats.org/officeDocument/2006/relationships/image" Target="media/image44.emf"/><Relationship Id="rId140" Type="http://schemas.openxmlformats.org/officeDocument/2006/relationships/image" Target="media/image72.emf"/><Relationship Id="rId161" Type="http://schemas.openxmlformats.org/officeDocument/2006/relationships/image" Target="media/image83.emf"/><Relationship Id="rId6" Type="http://schemas.openxmlformats.org/officeDocument/2006/relationships/customXml" Target="../customXml/item6.xml"/><Relationship Id="rId23" Type="http://schemas.openxmlformats.org/officeDocument/2006/relationships/hyperlink" Target="http://creativecommons.org/licenses/by/3.0/au/deed.en" TargetMode="External"/><Relationship Id="rId28" Type="http://schemas.openxmlformats.org/officeDocument/2006/relationships/header" Target="header6.xml"/><Relationship Id="rId49" Type="http://schemas.openxmlformats.org/officeDocument/2006/relationships/header" Target="header17.xml"/><Relationship Id="rId114" Type="http://schemas.openxmlformats.org/officeDocument/2006/relationships/image" Target="media/image54.emf"/><Relationship Id="rId119" Type="http://schemas.openxmlformats.org/officeDocument/2006/relationships/image" Target="media/image59.emf"/><Relationship Id="rId44" Type="http://schemas.openxmlformats.org/officeDocument/2006/relationships/header" Target="header13.xml"/><Relationship Id="rId60" Type="http://schemas.openxmlformats.org/officeDocument/2006/relationships/image" Target="media/image8.emf"/><Relationship Id="rId65" Type="http://schemas.openxmlformats.org/officeDocument/2006/relationships/image" Target="media/image13.emf"/><Relationship Id="rId81" Type="http://schemas.openxmlformats.org/officeDocument/2006/relationships/image" Target="media/image29.emf"/><Relationship Id="rId86" Type="http://schemas.openxmlformats.org/officeDocument/2006/relationships/image" Target="media/image34.emf"/><Relationship Id="rId130" Type="http://schemas.openxmlformats.org/officeDocument/2006/relationships/image" Target="media/image62.emf"/><Relationship Id="rId135" Type="http://schemas.openxmlformats.org/officeDocument/2006/relationships/image" Target="media/image67.emf"/><Relationship Id="rId151" Type="http://schemas.openxmlformats.org/officeDocument/2006/relationships/image" Target="media/image73.emf"/><Relationship Id="rId156" Type="http://schemas.openxmlformats.org/officeDocument/2006/relationships/image" Target="media/image78.emf"/><Relationship Id="rId177" Type="http://schemas.openxmlformats.org/officeDocument/2006/relationships/footer" Target="footer38.xml"/><Relationship Id="rId172" Type="http://schemas.openxmlformats.org/officeDocument/2006/relationships/header" Target="header34.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footer" Target="footer8.xml"/><Relationship Id="rId109" Type="http://schemas.openxmlformats.org/officeDocument/2006/relationships/image" Target="media/image49.emf"/><Relationship Id="rId34" Type="http://schemas.openxmlformats.org/officeDocument/2006/relationships/footer" Target="footer6.xml"/><Relationship Id="rId50" Type="http://schemas.openxmlformats.org/officeDocument/2006/relationships/footer" Target="footer13.xml"/><Relationship Id="rId55" Type="http://schemas.openxmlformats.org/officeDocument/2006/relationships/footer" Target="footer16.xml"/><Relationship Id="rId76" Type="http://schemas.openxmlformats.org/officeDocument/2006/relationships/image" Target="media/image24.emf"/><Relationship Id="rId97" Type="http://schemas.openxmlformats.org/officeDocument/2006/relationships/image" Target="media/image45.emf"/><Relationship Id="rId104" Type="http://schemas.openxmlformats.org/officeDocument/2006/relationships/footer" Target="footer21.xml"/><Relationship Id="rId120" Type="http://schemas.openxmlformats.org/officeDocument/2006/relationships/footer" Target="footer23.xml"/><Relationship Id="rId125" Type="http://schemas.openxmlformats.org/officeDocument/2006/relationships/footer" Target="footer26.xml"/><Relationship Id="rId141" Type="http://schemas.openxmlformats.org/officeDocument/2006/relationships/header" Target="header26.xml"/><Relationship Id="rId146" Type="http://schemas.openxmlformats.org/officeDocument/2006/relationships/footer" Target="footer30.xml"/><Relationship Id="rId167" Type="http://schemas.openxmlformats.org/officeDocument/2006/relationships/hyperlink" Target="http://www.finance.gov.au/resource-management/introduction/glossary/" TargetMode="External"/><Relationship Id="rId7" Type="http://schemas.openxmlformats.org/officeDocument/2006/relationships/customXml" Target="../customXml/item7.xml"/><Relationship Id="rId71" Type="http://schemas.openxmlformats.org/officeDocument/2006/relationships/image" Target="media/image19.emf"/><Relationship Id="rId92" Type="http://schemas.openxmlformats.org/officeDocument/2006/relationships/image" Target="media/image40.emf"/><Relationship Id="rId162" Type="http://schemas.openxmlformats.org/officeDocument/2006/relationships/header" Target="header30.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financegovau.sharepoint.com/sites/M365_DoF_50033506/BRF1/Reporting/BdgPap/2.%20PAES/3.9%20PAES%202023-24/www.pmc.gov.au/honours-and-symbols/commonwealth-coat-arms" TargetMode="External"/><Relationship Id="rId40" Type="http://schemas.openxmlformats.org/officeDocument/2006/relationships/header" Target="header12.xml"/><Relationship Id="rId45" Type="http://schemas.openxmlformats.org/officeDocument/2006/relationships/header" Target="header14.xml"/><Relationship Id="rId66" Type="http://schemas.openxmlformats.org/officeDocument/2006/relationships/image" Target="media/image14.emf"/><Relationship Id="rId87" Type="http://schemas.openxmlformats.org/officeDocument/2006/relationships/image" Target="media/image35.emf"/><Relationship Id="rId110" Type="http://schemas.openxmlformats.org/officeDocument/2006/relationships/image" Target="media/image50.emf"/><Relationship Id="rId115" Type="http://schemas.openxmlformats.org/officeDocument/2006/relationships/image" Target="media/image55.emf"/><Relationship Id="rId131" Type="http://schemas.openxmlformats.org/officeDocument/2006/relationships/image" Target="media/image63.emf"/><Relationship Id="rId136" Type="http://schemas.openxmlformats.org/officeDocument/2006/relationships/image" Target="media/image68.emf"/><Relationship Id="rId157" Type="http://schemas.openxmlformats.org/officeDocument/2006/relationships/image" Target="media/image79.emf"/><Relationship Id="rId178" Type="http://schemas.openxmlformats.org/officeDocument/2006/relationships/fontTable" Target="fontTable.xml"/><Relationship Id="rId61" Type="http://schemas.openxmlformats.org/officeDocument/2006/relationships/image" Target="media/image9.emf"/><Relationship Id="rId82" Type="http://schemas.openxmlformats.org/officeDocument/2006/relationships/image" Target="media/image30.emf"/><Relationship Id="rId152" Type="http://schemas.openxmlformats.org/officeDocument/2006/relationships/image" Target="media/image74.emf"/><Relationship Id="rId173" Type="http://schemas.openxmlformats.org/officeDocument/2006/relationships/footer" Target="footer37.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file://mercury.network/dfs/groups/FMG/FRACM/Reporting%20and%20Resourcing/BRF/Reporting/BdgPap/2.%20PAES/3.5%20PAES%202019-20/www.budget.gov.au" TargetMode="External"/><Relationship Id="rId35" Type="http://schemas.openxmlformats.org/officeDocument/2006/relationships/header" Target="header9.xml"/><Relationship Id="rId56" Type="http://schemas.openxmlformats.org/officeDocument/2006/relationships/footer" Target="footer17.xml"/><Relationship Id="rId77" Type="http://schemas.openxmlformats.org/officeDocument/2006/relationships/image" Target="media/image25.emf"/><Relationship Id="rId100" Type="http://schemas.openxmlformats.org/officeDocument/2006/relationships/footer" Target="footer19.xml"/><Relationship Id="rId105" Type="http://schemas.openxmlformats.org/officeDocument/2006/relationships/footer" Target="footer22.xml"/><Relationship Id="rId126" Type="http://schemas.openxmlformats.org/officeDocument/2006/relationships/header" Target="header25.xml"/><Relationship Id="rId147" Type="http://schemas.openxmlformats.org/officeDocument/2006/relationships/header" Target="header29.xml"/><Relationship Id="rId168" Type="http://schemas.openxmlformats.org/officeDocument/2006/relationships/header" Target="header32.xml"/><Relationship Id="rId8" Type="http://schemas.openxmlformats.org/officeDocument/2006/relationships/numbering" Target="numbering.xml"/><Relationship Id="rId51" Type="http://schemas.openxmlformats.org/officeDocument/2006/relationships/header" Target="header18.xml"/><Relationship Id="rId72" Type="http://schemas.openxmlformats.org/officeDocument/2006/relationships/image" Target="media/image20.emf"/><Relationship Id="rId93" Type="http://schemas.openxmlformats.org/officeDocument/2006/relationships/image" Target="media/image41.emf"/><Relationship Id="rId98" Type="http://schemas.openxmlformats.org/officeDocument/2006/relationships/header" Target="header20.xml"/><Relationship Id="rId121" Type="http://schemas.openxmlformats.org/officeDocument/2006/relationships/header" Target="header23.xml"/><Relationship Id="rId142" Type="http://schemas.openxmlformats.org/officeDocument/2006/relationships/footer" Target="footer28.xml"/><Relationship Id="rId163" Type="http://schemas.openxmlformats.org/officeDocument/2006/relationships/header" Target="header31.xml"/><Relationship Id="rId3" Type="http://schemas.openxmlformats.org/officeDocument/2006/relationships/customXml" Target="../customXml/item3.xml"/><Relationship Id="rId25" Type="http://schemas.openxmlformats.org/officeDocument/2006/relationships/image" Target="media/image2.png"/><Relationship Id="rId46" Type="http://schemas.openxmlformats.org/officeDocument/2006/relationships/header" Target="header15.xml"/><Relationship Id="rId67" Type="http://schemas.openxmlformats.org/officeDocument/2006/relationships/image" Target="media/image15.emf"/><Relationship Id="rId116" Type="http://schemas.openxmlformats.org/officeDocument/2006/relationships/image" Target="media/image56.emf"/><Relationship Id="rId137" Type="http://schemas.openxmlformats.org/officeDocument/2006/relationships/image" Target="media/image69.emf"/><Relationship Id="rId158" Type="http://schemas.openxmlformats.org/officeDocument/2006/relationships/image" Target="media/image80.emf"/><Relationship Id="rId20" Type="http://schemas.openxmlformats.org/officeDocument/2006/relationships/hyperlink" Target="http://creativecommons.org/licenses/by/3.0/au/deed.en" TargetMode="External"/><Relationship Id="rId41" Type="http://schemas.openxmlformats.org/officeDocument/2006/relationships/footer" Target="footer9.xml"/><Relationship Id="rId62" Type="http://schemas.openxmlformats.org/officeDocument/2006/relationships/image" Target="media/image10.emf"/><Relationship Id="rId83" Type="http://schemas.openxmlformats.org/officeDocument/2006/relationships/image" Target="media/image31.emf"/><Relationship Id="rId88" Type="http://schemas.openxmlformats.org/officeDocument/2006/relationships/image" Target="media/image36.emf"/><Relationship Id="rId111" Type="http://schemas.openxmlformats.org/officeDocument/2006/relationships/image" Target="media/image51.emf"/><Relationship Id="rId132" Type="http://schemas.openxmlformats.org/officeDocument/2006/relationships/image" Target="media/image64.emf"/><Relationship Id="rId153" Type="http://schemas.openxmlformats.org/officeDocument/2006/relationships/image" Target="media/image75.emf"/><Relationship Id="rId174" Type="http://schemas.openxmlformats.org/officeDocument/2006/relationships/header" Target="header35.xml"/><Relationship Id="rId179"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footer" Target="footer7.xml"/><Relationship Id="rId57" Type="http://schemas.openxmlformats.org/officeDocument/2006/relationships/image" Target="media/image5.emf"/><Relationship Id="rId106" Type="http://schemas.openxmlformats.org/officeDocument/2006/relationships/image" Target="media/image46.emf"/><Relationship Id="rId127" Type="http://schemas.openxmlformats.org/officeDocument/2006/relationships/footer" Target="footer27.xml"/><Relationship Id="rId10" Type="http://schemas.openxmlformats.org/officeDocument/2006/relationships/settings" Target="settings.xml"/><Relationship Id="rId31" Type="http://schemas.openxmlformats.org/officeDocument/2006/relationships/header" Target="header7.xml"/><Relationship Id="rId52" Type="http://schemas.openxmlformats.org/officeDocument/2006/relationships/footer" Target="footer14.xml"/><Relationship Id="rId73" Type="http://schemas.openxmlformats.org/officeDocument/2006/relationships/image" Target="media/image21.emf"/><Relationship Id="rId78" Type="http://schemas.openxmlformats.org/officeDocument/2006/relationships/image" Target="media/image26.emf"/><Relationship Id="rId94" Type="http://schemas.openxmlformats.org/officeDocument/2006/relationships/image" Target="media/image42.emf"/><Relationship Id="rId99" Type="http://schemas.openxmlformats.org/officeDocument/2006/relationships/footer" Target="footer18.xml"/><Relationship Id="rId101" Type="http://schemas.openxmlformats.org/officeDocument/2006/relationships/header" Target="header21.xml"/><Relationship Id="rId122" Type="http://schemas.openxmlformats.org/officeDocument/2006/relationships/footer" Target="footer24.xml"/><Relationship Id="rId143" Type="http://schemas.openxmlformats.org/officeDocument/2006/relationships/header" Target="header27.xml"/><Relationship Id="rId148" Type="http://schemas.openxmlformats.org/officeDocument/2006/relationships/footer" Target="footer31.xml"/><Relationship Id="rId164" Type="http://schemas.openxmlformats.org/officeDocument/2006/relationships/footer" Target="footer34.xml"/><Relationship Id="rId169"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eader" Target="header4.xml"/><Relationship Id="rId47" Type="http://schemas.openxmlformats.org/officeDocument/2006/relationships/footer" Target="footer12.xml"/><Relationship Id="rId68" Type="http://schemas.openxmlformats.org/officeDocument/2006/relationships/image" Target="media/image16.emf"/><Relationship Id="rId89" Type="http://schemas.openxmlformats.org/officeDocument/2006/relationships/image" Target="media/image37.emf"/><Relationship Id="rId112" Type="http://schemas.openxmlformats.org/officeDocument/2006/relationships/image" Target="media/image52.emf"/><Relationship Id="rId133" Type="http://schemas.openxmlformats.org/officeDocument/2006/relationships/image" Target="media/image65.emf"/><Relationship Id="rId154" Type="http://schemas.openxmlformats.org/officeDocument/2006/relationships/image" Target="media/image76.emf"/><Relationship Id="rId175" Type="http://schemas.openxmlformats.org/officeDocument/2006/relationships/header" Target="header36.xml"/><Relationship Id="rId16" Type="http://schemas.openxmlformats.org/officeDocument/2006/relationships/footer" Target="footer1.xml"/><Relationship Id="rId37" Type="http://schemas.openxmlformats.org/officeDocument/2006/relationships/header" Target="header10.xml"/><Relationship Id="rId58" Type="http://schemas.openxmlformats.org/officeDocument/2006/relationships/image" Target="media/image6.emf"/><Relationship Id="rId79" Type="http://schemas.openxmlformats.org/officeDocument/2006/relationships/image" Target="media/image27.emf"/><Relationship Id="rId102" Type="http://schemas.openxmlformats.org/officeDocument/2006/relationships/footer" Target="footer20.xml"/><Relationship Id="rId123" Type="http://schemas.openxmlformats.org/officeDocument/2006/relationships/footer" Target="footer25.xml"/><Relationship Id="rId144" Type="http://schemas.openxmlformats.org/officeDocument/2006/relationships/header" Target="header28.xml"/><Relationship Id="rId90" Type="http://schemas.openxmlformats.org/officeDocument/2006/relationships/image" Target="media/image38.emf"/><Relationship Id="rId165" Type="http://schemas.openxmlformats.org/officeDocument/2006/relationships/hyperlink" Target="http://www.finance.gov.au/resource-management/introduction/glossary/" TargetMode="External"/><Relationship Id="rId27" Type="http://schemas.openxmlformats.org/officeDocument/2006/relationships/header" Target="header5.xml"/><Relationship Id="rId48" Type="http://schemas.openxmlformats.org/officeDocument/2006/relationships/header" Target="header16.xml"/><Relationship Id="rId69" Type="http://schemas.openxmlformats.org/officeDocument/2006/relationships/image" Target="media/image17.emf"/><Relationship Id="rId113" Type="http://schemas.openxmlformats.org/officeDocument/2006/relationships/image" Target="media/image53.emf"/><Relationship Id="rId134" Type="http://schemas.openxmlformats.org/officeDocument/2006/relationships/image" Target="media/image66.emf"/><Relationship Id="rId80" Type="http://schemas.openxmlformats.org/officeDocument/2006/relationships/image" Target="media/image28.emf"/><Relationship Id="rId155" Type="http://schemas.openxmlformats.org/officeDocument/2006/relationships/image" Target="media/image77.emf"/><Relationship Id="rId176" Type="http://schemas.openxmlformats.org/officeDocument/2006/relationships/header" Target="header37.xml"/><Relationship Id="rId17" Type="http://schemas.openxmlformats.org/officeDocument/2006/relationships/footer" Target="footer2.xml"/><Relationship Id="rId38" Type="http://schemas.openxmlformats.org/officeDocument/2006/relationships/header" Target="header11.xml"/><Relationship Id="rId59" Type="http://schemas.openxmlformats.org/officeDocument/2006/relationships/image" Target="media/image7.emf"/><Relationship Id="rId103" Type="http://schemas.openxmlformats.org/officeDocument/2006/relationships/header" Target="header22.xml"/><Relationship Id="rId124" Type="http://schemas.openxmlformats.org/officeDocument/2006/relationships/header" Target="header24.xml"/><Relationship Id="rId70" Type="http://schemas.openxmlformats.org/officeDocument/2006/relationships/image" Target="media/image18.emf"/><Relationship Id="rId91" Type="http://schemas.openxmlformats.org/officeDocument/2006/relationships/image" Target="media/image39.emf"/><Relationship Id="rId145" Type="http://schemas.openxmlformats.org/officeDocument/2006/relationships/footer" Target="footer29.xml"/><Relationship Id="rId166" Type="http://schemas.openxmlformats.org/officeDocument/2006/relationships/hyperlink" Target="http://www.finance.gov.au/resource-management/introduction/glossary/" TargetMode="External"/><Relationship Id="rId1" Type="http://schemas.openxmlformats.org/officeDocument/2006/relationships/customXml" Target="../customXml/item1.xml"/></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84.png"/></Relationships>
</file>

<file path=word/_rels/header36.xml.rels><?xml version="1.0" encoding="UTF-8" standalone="yes"?>
<Relationships xmlns="http://schemas.openxmlformats.org/package/2006/relationships"><Relationship Id="rId1" Type="http://schemas.openxmlformats.org/officeDocument/2006/relationships/image" Target="media/image84.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mel\AppData\Local\Microsoft\Windows\INetCache\Content.Outlook\MMNTA1OY\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2</Value>
      <Value>1</Value>
    </TaxCatchAll>
    <_dlc_DocId xmlns="6a7e9632-768a-49bf-85ac-c69233ab2a52">FIN33506-1566835604-281636</_dlc_DocId>
    <_dlc_DocIdUrl xmlns="6a7e9632-768a-49bf-85ac-c69233ab2a52">
      <Url>https://financegovau.sharepoint.com/sites/M365_DoF_50033506/_layouts/15/DocIdRedir.aspx?ID=FIN33506-1566835604-281636</Url>
      <Description>FIN33506-1566835604-281636</Description>
    </_dlc_DocIdUr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Security_x0020_Classification xmlns="a334ba3b-e131-42d3-95f3-2728f5a41884">OFFICIAL</Security_x0020_Classification>
    <EmID xmlns="http://schemas.microsoft.com/sharepoint/v3/fields" xsi:nil="true"/>
    <EmCompanies xmlns="http://schemas.microsoft.com/sharepoint/v3/fields" xsi:nil="true"/>
    <DocModifiedSaved xmlns="http://schemas.microsoft.com/sharepoint/v3/fields"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Original_x0020_Date_x0020_Created xmlns="a334ba3b-e131-42d3-95f3-2728f5a41884"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EmTo xmlns="http://schemas.microsoft.com/sharepoint/v3/fields" xsi:nil="true"/>
    <EmFrom xmlns="http://schemas.microsoft.com/sharepoint/v3/fields" xsi:nil="true"/>
    <EmToSMTPAddress xmlns="http://schemas.microsoft.com/sharepoint/v3/fields" xsi:nil="true"/>
    <EmDate xmlns="http://schemas.microsoft.com/sharepoint/v3/fields" xsi:nil="true"/>
    <EmSensitivity xmlns="http://schemas.microsoft.com/sharepoint/v3/fields" xsi:nil="true"/>
    <DocCreatedSaved xmlns="http://schemas.microsoft.com/sharepoint/v3/fields" xsi:nil="true"/>
    <EmCategory xmlns="http://schemas.microsoft.com/sharepoint/v3/fields" xsi:nil="true"/>
    <EmBody xmlns="http://schemas.microsoft.com/sharepoint/v3/fields" xsi:nil="true"/>
    <lcf76f155ced4ddcb4097134ff3c332f xmlns="e39afc8f-a215-4bb1-9caf-c1c5d2f63d8a" xsi:nil="true"/>
    <EmFromSMTPAddress xmlns="http://schemas.microsoft.com/sharepoint/v3/fields" xsi:nil="true"/>
    <lf395e0388bc45bfb8642f07b9d090f4 xmlns="a334ba3b-e131-42d3-95f3-2728f5a41884">
      <Terms xmlns="http://schemas.microsoft.com/office/infopath/2007/PartnerControls"/>
    </lf395e0388bc45bfb8642f07b9d090f4>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EmConversationID xmlns="http://schemas.microsoft.com/sharepoint/v3/fields" xsi:nil="true"/>
    <EmConversationIndex xmlns="http://schemas.microsoft.com/sharepoint/v3/fields" xsi:nil="true"/>
    <RelatedIssues xmlns="http://schemas.microsoft.com/sharepoint/v3" xsi:nil="true"/>
  </documentManagement>
</p:properties>
</file>

<file path=customXml/item5.xml><?xml version="1.0" encoding="utf-8"?>
<?mso-contentType ?>
<SharedContentType xmlns="Microsoft.SharePoint.Taxonomy.ContentTypeSync" SourceId="c4b2c377-c74f-46b8-b62e-9cefa93d8fc8" ContentTypeId="0x0101001C4D657DA2BE8146B210E63857B98D39"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Finance Email" ma:contentTypeID="0x0101001C4D657DA2BE8146B210E63857B98D3900934FC3D3E0257B48B9952FC547F07F4E" ma:contentTypeVersion="67" ma:contentTypeDescription="Create a new document." ma:contentTypeScope="" ma:versionID="2921129d7e380e475a5023f876faa700">
  <xsd:schema xmlns:xsd="http://www.w3.org/2001/XMLSchema" xmlns:xs="http://www.w3.org/2001/XMLSchema" xmlns:p="http://schemas.microsoft.com/office/2006/metadata/properties" xmlns:ns1="http://schemas.microsoft.com/sharepoint/v3" xmlns:ns2="http://schemas.microsoft.com/sharepoint/v3/fields" xmlns:ns3="a334ba3b-e131-42d3-95f3-2728f5a41884" xmlns:ns4="e39afc8f-a215-4bb1-9caf-c1c5d2f63d8a" xmlns:ns5="6a7e9632-768a-49bf-85ac-c69233ab2a52" targetNamespace="http://schemas.microsoft.com/office/2006/metadata/properties" ma:root="true" ma:fieldsID="8245206b30cc876675aff34c44a26b33" ns1:_="" ns2:_="" ns3:_="" ns4:_="" ns5:_="">
    <xsd:import namespace="http://schemas.microsoft.com/sharepoint/v3"/>
    <xsd:import namespace="http://schemas.microsoft.com/sharepoint/v3/fields"/>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2:DocModifiedSaved" minOccurs="0"/>
                <xsd:element ref="ns2:DocCreatedSaved" minOccurs="0"/>
                <xsd:element ref="ns3:lf395e0388bc45bfb8642f07b9d090f4" minOccurs="0"/>
                <xsd:element ref="ns3:TaxCatchAll" minOccurs="0"/>
                <xsd:element ref="ns3:TaxCatchAllLabel" minOccurs="0"/>
                <xsd:element ref="ns3:Security_x0020_Classification" minOccurs="0"/>
                <xsd:element ref="ns3:e0fcb3f570964638902a63147cd98219" minOccurs="0"/>
                <xsd:element ref="ns3:f0888ba7078d4a1bac90b097c1ed0fad" minOccurs="0"/>
                <xsd:element ref="ns3:of934ccb37d6451ba60cdb89c1817167" minOccurs="0"/>
                <xsd:element ref="ns3:Original_x0020_Date_x0020_Created" minOccurs="0"/>
                <xsd:element ref="ns3:TaxKeywordTaxHTField" minOccurs="0"/>
                <xsd:element ref="ns1:RelatedIssues" minOccurs="0"/>
                <xsd:element ref="ns4:lcf76f155ced4ddcb4097134ff3c332f"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56"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2" nillable="true" ma:displayName="Email Subject" ma:internalName="EmSubject" ma:readOnly="false">
      <xsd:simpleType>
        <xsd:restriction base="dms:Text"/>
      </xsd:simpleType>
    </xsd:element>
    <xsd:element name="EmTo" ma:index="3" nillable="true" ma:displayName="Email To" ma:internalName="EmTo" ma:readOnly="false">
      <xsd:simpleType>
        <xsd:restriction base="dms:Note"/>
      </xsd:simpleType>
    </xsd:element>
    <xsd:element name="EmCC" ma:index="4" nillable="true" ma:displayName="Email CC" ma:internalName="EmCC" ma:readOnly="false">
      <xsd:simpleType>
        <xsd:restriction base="dms:Note"/>
      </xsd:simpleType>
    </xsd:element>
    <xsd:element name="EmBCC" ma:index="5" nillable="true" ma:displayName="Email BCC" ma:internalName="EmBCC" ma:readOnly="false">
      <xsd:simpleType>
        <xsd:restriction base="dms:Note"/>
      </xsd:simpleType>
    </xsd:element>
    <xsd:element name="EmFrom" ma:index="6" nillable="true" ma:displayName="Email From" ma:internalName="EmFrom" ma:readOnly="false">
      <xsd:simpleType>
        <xsd:restriction base="dms:Text"/>
      </xsd:simpleType>
    </xsd:element>
    <xsd:element name="EmFromName" ma:index="7" nillable="true" ma:displayName="Email From Name" ma:internalName="EmFromNam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Text"/>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ByName" ma:index="28" nillable="true" ma:displayName="Email Received By Name" ma:internalName="EmReceivedByName" ma:readOnly="false">
      <xsd:simpleType>
        <xsd:restriction base="dms:Text"/>
      </xsd:simpleType>
    </xsd:element>
    <xsd:element name="EmReceivedOnBehalfOfName" ma:index="29" nillable="true" ma:displayName="Email Received On Behalf Of Name" ma:internalName="EmReceivedOnBehalfOfName" ma:readOnly="false">
      <xsd:simpleType>
        <xsd:restriction base="dms:Text"/>
      </xsd:simpleType>
    </xsd:element>
    <xsd:element name="EmCompanies" ma:index="30" nillable="true" ma:displayName="Email Companies" ma:internalName="EmCompanies" ma:readOnly="false">
      <xsd:simpleType>
        <xsd:restriction base="dms:Text"/>
      </xsd:simpleType>
    </xsd:element>
    <xsd:element name="EmRetentionPolicyName" ma:index="31" nillable="true" ma:displayName="Email Retention Policy Name" ma:internalName="EmRetentionPolicyName" ma:readOnly="false">
      <xsd:simpleType>
        <xsd:restriction base="dms:Text"/>
      </xsd:simpleType>
    </xsd:element>
    <xsd:element name="EmReplyRecipientNames" ma:index="32" nillable="true" ma:displayName="Email Reply Recipient Names" ma:internalName="EmReplyRecipientNames" ma:readOnly="false">
      <xsd:simpleType>
        <xsd:restriction base="dms:Text"/>
      </xsd:simpleType>
    </xsd:element>
    <xsd:element name="EmReplyRecipients" ma:index="33" nillable="true" ma:displayName="Email Reply Recipients" ma:internalName="EmReplyRecipients" ma:readOnly="false">
      <xsd:simpleType>
        <xsd:restriction base="dms:Text"/>
      </xsd:simpleType>
    </xsd:element>
    <xsd:element name="DocModifiedSaved" ma:index="34" nillable="true" ma:displayName="Document Modified Saved" ma:format="DateTime" ma:internalName="DocModifiedSaved" ma:readOnly="false">
      <xsd:simpleType>
        <xsd:restriction base="dms:DateTime"/>
      </xsd:simpleType>
    </xsd:element>
    <xsd:element name="DocCreatedSaved" ma:index="35" nillable="true" ma:displayName="Document Created Saved" ma:format="DateTime" ma:internalName="DocCreatedSav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lf395e0388bc45bfb8642f07b9d090f4" ma:index="42"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46"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e0fcb3f570964638902a63147cd98219" ma:index="47"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49"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51"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riginal_x0020_Date_x0020_Created" ma:index="53" nillable="true" ma:displayName="Original Date Created" ma:default="" ma:format="DateOnly" ma:internalName="Original_x0020_Date_x0020_Created">
      <xsd:simpleType>
        <xsd:restriction base="dms:DateTime"/>
      </xsd:simpleType>
    </xsd:element>
    <xsd:element name="TaxKeywordTaxHTField" ma:index="5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lcf76f155ced4ddcb4097134ff3c332f" ma:index="5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dexed="true"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8A0EC5C5-2763-472B-B132-597A53B9A60C}">
  <ds:schemaRefs>
    <ds:schemaRef ds:uri="http://schemas.openxmlformats.org/officeDocument/2006/bibliography"/>
  </ds:schemaRefs>
</ds:datastoreItem>
</file>

<file path=customXml/itemProps4.xml><?xml version="1.0" encoding="utf-8"?>
<ds:datastoreItem xmlns:ds="http://schemas.openxmlformats.org/officeDocument/2006/customXml" ds:itemID="{62D3BDC0-36EB-42D2-9686-F6C6E998D50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fields"/>
    <ds:schemaRef ds:uri="e39afc8f-a215-4bb1-9caf-c1c5d2f63d8a"/>
    <ds:schemaRef ds:uri="http://schemas.microsoft.com/sharepoint/v3"/>
  </ds:schemaRefs>
</ds:datastoreItem>
</file>

<file path=customXml/itemProps5.xml><?xml version="1.0" encoding="utf-8"?>
<ds:datastoreItem xmlns:ds="http://schemas.openxmlformats.org/officeDocument/2006/customXml" ds:itemID="{387AF6D3-1906-4FED-8C38-0982FBF12E7C}">
  <ds:schemaRefs>
    <ds:schemaRef ds:uri="Microsoft.SharePoint.Taxonomy.ContentTypeSync"/>
  </ds:schemaRefs>
</ds:datastoreItem>
</file>

<file path=customXml/itemProps6.xml><?xml version="1.0" encoding="utf-8"?>
<ds:datastoreItem xmlns:ds="http://schemas.openxmlformats.org/officeDocument/2006/customXml" ds:itemID="{570CD459-FB4E-46E2-8CF0-82FAE25DA0DB}">
  <ds:schemaRefs>
    <ds:schemaRef ds:uri="http://schemas.microsoft.com/sharepoint/events"/>
  </ds:schemaRefs>
</ds:datastoreItem>
</file>

<file path=customXml/itemProps7.xml><?xml version="1.0" encoding="utf-8"?>
<ds:datastoreItem xmlns:ds="http://schemas.openxmlformats.org/officeDocument/2006/customXml" ds:itemID="{23AEFD1F-7D0D-44B7-A5A1-02E77D2C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PAES Template</Template>
  <TotalTime>72</TotalTime>
  <Pages>127</Pages>
  <Words>10789</Words>
  <Characters>63263</Characters>
  <Application>Microsoft Office Word</Application>
  <DocSecurity>0</DocSecurity>
  <Lines>1690</Lines>
  <Paragraphs>791</Paragraphs>
  <ScaleCrop>false</ScaleCrop>
  <HeadingPairs>
    <vt:vector size="2" baseType="variant">
      <vt:variant>
        <vt:lpstr>Title</vt:lpstr>
      </vt:variant>
      <vt:variant>
        <vt:i4>1</vt:i4>
      </vt:variant>
    </vt:vector>
  </HeadingPairs>
  <TitlesOfParts>
    <vt:vector size="1" baseType="lpstr">
      <vt:lpstr>Portfolio Additional Estimates Statement</vt:lpstr>
    </vt:vector>
  </TitlesOfParts>
  <Company>Australian Government</Company>
  <LinksUpToDate>false</LinksUpToDate>
  <CharactersWithSpaces>73375</CharactersWithSpaces>
  <SharedDoc>false</SharedDoc>
  <HLinks>
    <vt:vector size="144" baseType="variant">
      <vt:variant>
        <vt:i4>1376306</vt:i4>
      </vt:variant>
      <vt:variant>
        <vt:i4>146</vt:i4>
      </vt:variant>
      <vt:variant>
        <vt:i4>0</vt:i4>
      </vt:variant>
      <vt:variant>
        <vt:i4>5</vt:i4>
      </vt:variant>
      <vt:variant>
        <vt:lpwstr/>
      </vt:variant>
      <vt:variant>
        <vt:lpwstr>_Toc152600116</vt:lpwstr>
      </vt:variant>
      <vt:variant>
        <vt:i4>1376306</vt:i4>
      </vt:variant>
      <vt:variant>
        <vt:i4>140</vt:i4>
      </vt:variant>
      <vt:variant>
        <vt:i4>0</vt:i4>
      </vt:variant>
      <vt:variant>
        <vt:i4>5</vt:i4>
      </vt:variant>
      <vt:variant>
        <vt:lpwstr/>
      </vt:variant>
      <vt:variant>
        <vt:lpwstr>_Toc152600115</vt:lpwstr>
      </vt:variant>
      <vt:variant>
        <vt:i4>1376306</vt:i4>
      </vt:variant>
      <vt:variant>
        <vt:i4>134</vt:i4>
      </vt:variant>
      <vt:variant>
        <vt:i4>0</vt:i4>
      </vt:variant>
      <vt:variant>
        <vt:i4>5</vt:i4>
      </vt:variant>
      <vt:variant>
        <vt:lpwstr/>
      </vt:variant>
      <vt:variant>
        <vt:lpwstr>_Toc152600114</vt:lpwstr>
      </vt:variant>
      <vt:variant>
        <vt:i4>1376306</vt:i4>
      </vt:variant>
      <vt:variant>
        <vt:i4>128</vt:i4>
      </vt:variant>
      <vt:variant>
        <vt:i4>0</vt:i4>
      </vt:variant>
      <vt:variant>
        <vt:i4>5</vt:i4>
      </vt:variant>
      <vt:variant>
        <vt:lpwstr/>
      </vt:variant>
      <vt:variant>
        <vt:lpwstr>_Toc152600113</vt:lpwstr>
      </vt:variant>
      <vt:variant>
        <vt:i4>1376306</vt:i4>
      </vt:variant>
      <vt:variant>
        <vt:i4>122</vt:i4>
      </vt:variant>
      <vt:variant>
        <vt:i4>0</vt:i4>
      </vt:variant>
      <vt:variant>
        <vt:i4>5</vt:i4>
      </vt:variant>
      <vt:variant>
        <vt:lpwstr/>
      </vt:variant>
      <vt:variant>
        <vt:lpwstr>_Toc152600112</vt:lpwstr>
      </vt:variant>
      <vt:variant>
        <vt:i4>1376306</vt:i4>
      </vt:variant>
      <vt:variant>
        <vt:i4>116</vt:i4>
      </vt:variant>
      <vt:variant>
        <vt:i4>0</vt:i4>
      </vt:variant>
      <vt:variant>
        <vt:i4>5</vt:i4>
      </vt:variant>
      <vt:variant>
        <vt:lpwstr/>
      </vt:variant>
      <vt:variant>
        <vt:lpwstr>_Toc152600111</vt:lpwstr>
      </vt:variant>
      <vt:variant>
        <vt:i4>1376306</vt:i4>
      </vt:variant>
      <vt:variant>
        <vt:i4>110</vt:i4>
      </vt:variant>
      <vt:variant>
        <vt:i4>0</vt:i4>
      </vt:variant>
      <vt:variant>
        <vt:i4>5</vt:i4>
      </vt:variant>
      <vt:variant>
        <vt:lpwstr/>
      </vt:variant>
      <vt:variant>
        <vt:lpwstr>_Toc152600110</vt:lpwstr>
      </vt:variant>
      <vt:variant>
        <vt:i4>1310770</vt:i4>
      </vt:variant>
      <vt:variant>
        <vt:i4>104</vt:i4>
      </vt:variant>
      <vt:variant>
        <vt:i4>0</vt:i4>
      </vt:variant>
      <vt:variant>
        <vt:i4>5</vt:i4>
      </vt:variant>
      <vt:variant>
        <vt:lpwstr/>
      </vt:variant>
      <vt:variant>
        <vt:lpwstr>_Toc152600109</vt:lpwstr>
      </vt:variant>
      <vt:variant>
        <vt:i4>1310770</vt:i4>
      </vt:variant>
      <vt:variant>
        <vt:i4>98</vt:i4>
      </vt:variant>
      <vt:variant>
        <vt:i4>0</vt:i4>
      </vt:variant>
      <vt:variant>
        <vt:i4>5</vt:i4>
      </vt:variant>
      <vt:variant>
        <vt:lpwstr/>
      </vt:variant>
      <vt:variant>
        <vt:lpwstr>_Toc152600108</vt:lpwstr>
      </vt:variant>
      <vt:variant>
        <vt:i4>1310770</vt:i4>
      </vt:variant>
      <vt:variant>
        <vt:i4>92</vt:i4>
      </vt:variant>
      <vt:variant>
        <vt:i4>0</vt:i4>
      </vt:variant>
      <vt:variant>
        <vt:i4>5</vt:i4>
      </vt:variant>
      <vt:variant>
        <vt:lpwstr/>
      </vt:variant>
      <vt:variant>
        <vt:lpwstr>_Toc152600107</vt:lpwstr>
      </vt:variant>
      <vt:variant>
        <vt:i4>1310770</vt:i4>
      </vt:variant>
      <vt:variant>
        <vt:i4>86</vt:i4>
      </vt:variant>
      <vt:variant>
        <vt:i4>0</vt:i4>
      </vt:variant>
      <vt:variant>
        <vt:i4>5</vt:i4>
      </vt:variant>
      <vt:variant>
        <vt:lpwstr/>
      </vt:variant>
      <vt:variant>
        <vt:lpwstr>_Toc152600106</vt:lpwstr>
      </vt:variant>
      <vt:variant>
        <vt:i4>1310770</vt:i4>
      </vt:variant>
      <vt:variant>
        <vt:i4>80</vt:i4>
      </vt:variant>
      <vt:variant>
        <vt:i4>0</vt:i4>
      </vt:variant>
      <vt:variant>
        <vt:i4>5</vt:i4>
      </vt:variant>
      <vt:variant>
        <vt:lpwstr/>
      </vt:variant>
      <vt:variant>
        <vt:lpwstr>_Toc152600105</vt:lpwstr>
      </vt:variant>
      <vt:variant>
        <vt:i4>1310770</vt:i4>
      </vt:variant>
      <vt:variant>
        <vt:i4>74</vt:i4>
      </vt:variant>
      <vt:variant>
        <vt:i4>0</vt:i4>
      </vt:variant>
      <vt:variant>
        <vt:i4>5</vt:i4>
      </vt:variant>
      <vt:variant>
        <vt:lpwstr/>
      </vt:variant>
      <vt:variant>
        <vt:lpwstr>_Toc152600104</vt:lpwstr>
      </vt:variant>
      <vt:variant>
        <vt:i4>1310770</vt:i4>
      </vt:variant>
      <vt:variant>
        <vt:i4>68</vt:i4>
      </vt:variant>
      <vt:variant>
        <vt:i4>0</vt:i4>
      </vt:variant>
      <vt:variant>
        <vt:i4>5</vt:i4>
      </vt:variant>
      <vt:variant>
        <vt:lpwstr/>
      </vt:variant>
      <vt:variant>
        <vt:lpwstr>_Toc152600103</vt:lpwstr>
      </vt:variant>
      <vt:variant>
        <vt:i4>1507391</vt:i4>
      </vt:variant>
      <vt:variant>
        <vt:i4>59</vt:i4>
      </vt:variant>
      <vt:variant>
        <vt:i4>0</vt:i4>
      </vt:variant>
      <vt:variant>
        <vt:i4>5</vt:i4>
      </vt:variant>
      <vt:variant>
        <vt:lpwstr/>
      </vt:variant>
      <vt:variant>
        <vt:lpwstr>_Toc531095264</vt:lpwstr>
      </vt:variant>
      <vt:variant>
        <vt:i4>1507391</vt:i4>
      </vt:variant>
      <vt:variant>
        <vt:i4>53</vt:i4>
      </vt:variant>
      <vt:variant>
        <vt:i4>0</vt:i4>
      </vt:variant>
      <vt:variant>
        <vt:i4>5</vt:i4>
      </vt:variant>
      <vt:variant>
        <vt:lpwstr/>
      </vt:variant>
      <vt:variant>
        <vt:lpwstr>_Toc531095263</vt:lpwstr>
      </vt:variant>
      <vt:variant>
        <vt:i4>1507391</vt:i4>
      </vt:variant>
      <vt:variant>
        <vt:i4>47</vt:i4>
      </vt:variant>
      <vt:variant>
        <vt:i4>0</vt:i4>
      </vt:variant>
      <vt:variant>
        <vt:i4>5</vt:i4>
      </vt:variant>
      <vt:variant>
        <vt:lpwstr/>
      </vt:variant>
      <vt:variant>
        <vt:lpwstr>_Toc531095262</vt:lpwstr>
      </vt:variant>
      <vt:variant>
        <vt:i4>1507391</vt:i4>
      </vt:variant>
      <vt:variant>
        <vt:i4>41</vt:i4>
      </vt:variant>
      <vt:variant>
        <vt:i4>0</vt:i4>
      </vt:variant>
      <vt:variant>
        <vt:i4>5</vt:i4>
      </vt:variant>
      <vt:variant>
        <vt:lpwstr/>
      </vt:variant>
      <vt:variant>
        <vt:lpwstr>_Toc531095261</vt:lpwstr>
      </vt:variant>
      <vt:variant>
        <vt:i4>1507391</vt:i4>
      </vt:variant>
      <vt:variant>
        <vt:i4>35</vt:i4>
      </vt:variant>
      <vt:variant>
        <vt:i4>0</vt:i4>
      </vt:variant>
      <vt:variant>
        <vt:i4>5</vt:i4>
      </vt:variant>
      <vt:variant>
        <vt:lpwstr/>
      </vt:variant>
      <vt:variant>
        <vt:lpwstr>_Toc531095260</vt:lpwstr>
      </vt:variant>
      <vt:variant>
        <vt:i4>6029373</vt:i4>
      </vt:variant>
      <vt:variant>
        <vt:i4>30</vt:i4>
      </vt:variant>
      <vt:variant>
        <vt:i4>0</vt:i4>
      </vt:variant>
      <vt:variant>
        <vt:i4>5</vt:i4>
      </vt:variant>
      <vt:variant>
        <vt:lpwstr>\\mercury.network\dfs\groups\FMG\FRACM\Reporting and Resourcing\BRF\Reporting\BdgPap\2. PAES\3.5 PAES 2019-20\www.budget.gov.au</vt:lpwstr>
      </vt:variant>
      <vt:variant>
        <vt:lpwstr/>
      </vt:variant>
      <vt:variant>
        <vt:i4>4456475</vt:i4>
      </vt:variant>
      <vt:variant>
        <vt:i4>25</vt:i4>
      </vt:variant>
      <vt:variant>
        <vt:i4>0</vt:i4>
      </vt:variant>
      <vt:variant>
        <vt:i4>5</vt:i4>
      </vt:variant>
      <vt:variant>
        <vt:lpwstr>https://financegovau.sharepoint.com/sites/M365_DoF_50033506/BRF1/Reporting/BdgPap/2. PAES/3.9 PAES 2023-24/www.pmc.gov.au/honours-and-symbols/commonwealth-coat-arms</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dc:title>
  <dc:subject/>
  <dc:creator>Department of Finance</dc:creator>
  <cp:keywords>[SEC=OFFICIAL]</cp:keywords>
  <cp:lastModifiedBy>Minh Truong</cp:lastModifiedBy>
  <cp:revision>13</cp:revision>
  <cp:lastPrinted>2024-02-05T00:04:00Z</cp:lastPrinted>
  <dcterms:created xsi:type="dcterms:W3CDTF">2024-02-02T02:09:00Z</dcterms:created>
  <dcterms:modified xsi:type="dcterms:W3CDTF">2024-02-05T01:33:00Z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0x0101001C4D657DA2BE8146B210E63857B98D3900934FC3D3E0257B48B9952FC547F07F4E</vt:lpwstr>
  </property>
  <property fmtid="{D5CDD505-2E9C-101B-9397-08002B2CF9AE}" pid="3" name="_NewReviewCycle">
    <vt:lpwstr/>
  </property>
  <property fmtid="{D5CDD505-2E9C-101B-9397-08002B2CF9AE}" pid="4" name="TSYRecordClass">
    <vt:lpwstr>78;#AE-20341-Destroy 10 years after action completed|a29f8278-9b5d-472b-8440-da85e58ca657</vt:lpwstr>
  </property>
  <property fmtid="{D5CDD505-2E9C-101B-9397-08002B2CF9AE}" pid="5" name="_dlc_DocId">
    <vt:lpwstr>2018CSSG-528562461-1774</vt:lpwstr>
  </property>
  <property fmtid="{D5CDD505-2E9C-101B-9397-08002B2CF9AE}" pid="6" name="_dlc_DocIdItemGuid">
    <vt:lpwstr>c180c396-bea2-4b96-a5bb-50f65dbdb052</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34;#[SEC=OFFICIAL]|07351cc0-de73-4913-be2f-56f124cbf8bb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TSY Topic">
    <vt:lpwstr/>
  </property>
  <property fmtid="{D5CDD505-2E9C-101B-9397-08002B2CF9AE}" pid="28" name="PM_Namespace">
    <vt:lpwstr>gov.au</vt:lpwstr>
  </property>
  <property fmtid="{D5CDD505-2E9C-101B-9397-08002B2CF9AE}" pid="29" name="PM_Caveats_Count">
    <vt:lpwstr>0</vt:lpwstr>
  </property>
  <property fmtid="{D5CDD505-2E9C-101B-9397-08002B2CF9AE}" pid="30" name="PM_Version">
    <vt:lpwstr>2018.4</vt:lpwstr>
  </property>
  <property fmtid="{D5CDD505-2E9C-101B-9397-08002B2CF9AE}" pid="31" name="PM_Note">
    <vt:lpwstr/>
  </property>
  <property fmtid="{D5CDD505-2E9C-101B-9397-08002B2CF9AE}" pid="32" name="PMHMAC">
    <vt:lpwstr>v=2022.1;a=SHA256;h=179B3E7134228DA62DAF9E7263790866D126E7F9E6811C53020C10FE6EBF78B7</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ProtectiveMarkingValue_Header">
    <vt:lpwstr>OFFICIAL</vt:lpwstr>
  </property>
  <property fmtid="{D5CDD505-2E9C-101B-9397-08002B2CF9AE}" pid="36" name="PM_OriginationTimeStamp">
    <vt:lpwstr>2023-12-04T05:25:32Z</vt:lpwstr>
  </property>
  <property fmtid="{D5CDD505-2E9C-101B-9397-08002B2CF9AE}" pid="37" name="PM_Markers">
    <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Enabled">
    <vt:lpwstr>true</vt:lpwstr>
  </property>
  <property fmtid="{D5CDD505-2E9C-101B-9397-08002B2CF9AE}" pid="41" name="PM_OriginatorUserAccountName_SHA256">
    <vt:lpwstr>3F9C3930C95A80FE14E5E569A96906FECB80D374DD6F0E6814A1821B290CD60B</vt:lpwstr>
  </property>
  <property fmtid="{D5CDD505-2E9C-101B-9397-08002B2CF9AE}" pid="42" name="MSIP_Label_87d6481e-ccdd-4ab6-8b26-05a0df5699e7_SetDate">
    <vt:lpwstr>2023-12-04T05:25:32Z</vt:lpwstr>
  </property>
  <property fmtid="{D5CDD505-2E9C-101B-9397-08002B2CF9AE}" pid="43" name="MSIP_Label_87d6481e-ccdd-4ab6-8b26-05a0df5699e7_Method">
    <vt:lpwstr>Privileged</vt:lpwstr>
  </property>
  <property fmtid="{D5CDD505-2E9C-101B-9397-08002B2CF9AE}" pid="44" name="MSIP_Label_87d6481e-ccdd-4ab6-8b26-05a0df5699e7_ContentBits">
    <vt:lpwstr>0</vt:lpwstr>
  </property>
  <property fmtid="{D5CDD505-2E9C-101B-9397-08002B2CF9AE}" pid="45" name="MSIP_Label_87d6481e-ccdd-4ab6-8b26-05a0df5699e7_ActionId">
    <vt:lpwstr>b46b76e5b9d242e3a93bab4143d0c6b3</vt:lpwstr>
  </property>
  <property fmtid="{D5CDD505-2E9C-101B-9397-08002B2CF9AE}" pid="46" name="PM_InsertionValue">
    <vt:lpwstr>OFFICIAL</vt:lpwstr>
  </property>
  <property fmtid="{D5CDD505-2E9C-101B-9397-08002B2CF9AE}" pid="47" name="PM_Originator_Hash_SHA1">
    <vt:lpwstr>C4E8576B6510B1FB5DEF9BBC04AB3A64E004CBD8</vt:lpwstr>
  </property>
  <property fmtid="{D5CDD505-2E9C-101B-9397-08002B2CF9AE}" pid="48" name="PM_DisplayValueSecClassificationWithQualifier">
    <vt:lpwstr>OFFICIAL</vt:lpwstr>
  </property>
  <property fmtid="{D5CDD505-2E9C-101B-9397-08002B2CF9AE}" pid="49" name="PM_Originating_FileId">
    <vt:lpwstr>06415A504AB84B30976CE41D7536AAFF</vt:lpwstr>
  </property>
  <property fmtid="{D5CDD505-2E9C-101B-9397-08002B2CF9AE}" pid="50" name="PM_ProtectiveMarkingValue_Footer">
    <vt:lpwstr>OFFICIAL</vt:lpwstr>
  </property>
  <property fmtid="{D5CDD505-2E9C-101B-9397-08002B2CF9AE}" pid="51" name="PM_ProtectiveMarkingImage_Header">
    <vt:lpwstr>C:\Program Files\Common Files\janusNET Shared\janusSEAL\Images\DocumentSlashBlue.png</vt:lpwstr>
  </property>
  <property fmtid="{D5CDD505-2E9C-101B-9397-08002B2CF9AE}" pid="52" name="PM_ProtectiveMarkingImage_Footer">
    <vt:lpwstr>C:\Program Files\Common Files\janusNET Shared\janusSEAL\Images\DocumentSlashBlue.png</vt:lpwstr>
  </property>
  <property fmtid="{D5CDD505-2E9C-101B-9397-08002B2CF9AE}" pid="53" name="PM_Display">
    <vt:lpwstr>OFFICIAL</vt:lpwstr>
  </property>
  <property fmtid="{D5CDD505-2E9C-101B-9397-08002B2CF9AE}" pid="54" name="PM_OriginatorDomainName_SHA256">
    <vt:lpwstr>325440F6CA31C4C3BCE4433552DC42928CAAD3E2731ABE35FDE729ECEB763AF0</vt:lpwstr>
  </property>
  <property fmtid="{D5CDD505-2E9C-101B-9397-08002B2CF9AE}" pid="55" name="PMUuid">
    <vt:lpwstr>v=2022.2;d=gov.au;g=46DD6D7C-8107-577B-BC6E-F348953B2E44</vt:lpwstr>
  </property>
  <property fmtid="{D5CDD505-2E9C-101B-9397-08002B2CF9AE}" pid="56" name="PM_Hash_Version">
    <vt:lpwstr>2022.1</vt:lpwstr>
  </property>
  <property fmtid="{D5CDD505-2E9C-101B-9397-08002B2CF9AE}" pid="57" name="PM_Hash_Salt_Prev">
    <vt:lpwstr>13EC4B210F0D97F75D8461F30B93765B</vt:lpwstr>
  </property>
  <property fmtid="{D5CDD505-2E9C-101B-9397-08002B2CF9AE}" pid="58" name="PM_Hash_Salt">
    <vt:lpwstr>A474B5BE7D1F5360613BF059E407A779</vt:lpwstr>
  </property>
  <property fmtid="{D5CDD505-2E9C-101B-9397-08002B2CF9AE}" pid="59" name="PM_Hash_SHA1">
    <vt:lpwstr>A5D8B83984C998870CBA062DC5DB49F1275B8066</vt:lpwstr>
  </property>
  <property fmtid="{D5CDD505-2E9C-101B-9397-08002B2CF9AE}" pid="60" name="MediaServiceImageTags">
    <vt:lpwstr/>
  </property>
  <property fmtid="{D5CDD505-2E9C-101B-9397-08002B2CF9AE}" pid="61" name="Organisation Unit">
    <vt:lpwstr>2;#Accounting FW and Capability Support|17de058c-12f7-44f2-8e7d-03ff49305e52</vt:lpwstr>
  </property>
  <property fmtid="{D5CDD505-2E9C-101B-9397-08002B2CF9AE}" pid="62" name="About Entity">
    <vt:lpwstr>1;#Department of Finance|fd660e8f-8f31-49bd-92a3-d31d4da31afe</vt:lpwstr>
  </property>
  <property fmtid="{D5CDD505-2E9C-101B-9397-08002B2CF9AE}" pid="63" name="Initiating Entity">
    <vt:lpwstr>1;#Department of Finance|fd660e8f-8f31-49bd-92a3-d31d4da31afe</vt:lpwstr>
  </property>
  <property fmtid="{D5CDD505-2E9C-101B-9397-08002B2CF9AE}" pid="64" name="PM_SecurityClassification_Prev">
    <vt:lpwstr>OFFICIAL</vt:lpwstr>
  </property>
  <property fmtid="{D5CDD505-2E9C-101B-9397-08002B2CF9AE}" pid="65" name="PM_Qualifier_Prev">
    <vt:lpwstr/>
  </property>
  <property fmtid="{D5CDD505-2E9C-101B-9397-08002B2CF9AE}" pid="66" name="_DocHome">
    <vt:i4>144753247</vt:i4>
  </property>
</Properties>
</file>