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4454" w14:textId="77777777" w:rsidR="00BF7F57" w:rsidRDefault="00BF7F57"/>
    <w:p w14:paraId="630B91C0" w14:textId="77777777" w:rsidR="00BF7F57" w:rsidRDefault="00BF7F57" w:rsidP="00BF7F57">
      <w:pPr>
        <w:tabs>
          <w:tab w:val="left" w:pos="1060"/>
        </w:tabs>
      </w:pPr>
    </w:p>
    <w:p w14:paraId="3B752C73" w14:textId="77777777" w:rsidR="000C0FC0" w:rsidRPr="000C0FC0" w:rsidRDefault="000C0FC0" w:rsidP="000C0FC0">
      <w:pPr>
        <w:tabs>
          <w:tab w:val="left" w:pos="1060"/>
        </w:tabs>
        <w:rPr>
          <w:b/>
          <w:bCs/>
          <w:sz w:val="24"/>
          <w:szCs w:val="24"/>
        </w:rPr>
      </w:pPr>
    </w:p>
    <w:p w14:paraId="277B3B21" w14:textId="59F5727E" w:rsidR="00BF7F57" w:rsidRPr="00FA6F5D" w:rsidRDefault="0049563E" w:rsidP="000C0FC0">
      <w:pPr>
        <w:tabs>
          <w:tab w:val="left" w:pos="1060"/>
        </w:tabs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 xml:space="preserve">Intergovernmental </w:t>
      </w:r>
      <w:r w:rsidR="0065163A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greement on </w:t>
      </w:r>
      <w:r w:rsidR="0065163A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ata </w:t>
      </w:r>
      <w:r w:rsidR="0065163A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haring</w:t>
      </w:r>
      <w:r w:rsidR="00BF7F57" w:rsidRPr="00FA6F5D">
        <w:rPr>
          <w:b/>
          <w:bCs/>
          <w:sz w:val="28"/>
          <w:szCs w:val="28"/>
        </w:rPr>
        <w:t xml:space="preserve"> </w:t>
      </w:r>
      <w:r w:rsidR="001268B7">
        <w:rPr>
          <w:b/>
          <w:bCs/>
          <w:sz w:val="28"/>
          <w:szCs w:val="28"/>
        </w:rPr>
        <w:t>f</w:t>
      </w:r>
      <w:r w:rsidR="00001BDB">
        <w:rPr>
          <w:b/>
          <w:bCs/>
          <w:sz w:val="28"/>
          <w:szCs w:val="28"/>
        </w:rPr>
        <w:t>actsheet</w:t>
      </w:r>
    </w:p>
    <w:p w14:paraId="0ED9A593" w14:textId="500AB937" w:rsidR="009B3647" w:rsidRDefault="009B3647" w:rsidP="00BF7F57">
      <w:pPr>
        <w:spacing w:after="0" w:line="240" w:lineRule="auto"/>
        <w:rPr>
          <w:rFonts w:eastAsia="Open Sans" w:cstheme="minorHAnsi"/>
          <w:kern w:val="24"/>
        </w:rPr>
        <w:sectPr w:rsidR="009B3647" w:rsidSect="001268B7">
          <w:headerReference w:type="default" r:id="rId13"/>
          <w:footerReference w:type="default" r:id="rId14"/>
          <w:pgSz w:w="11906" w:h="16838"/>
          <w:pgMar w:top="720" w:right="720" w:bottom="720" w:left="720" w:header="708" w:footer="170" w:gutter="0"/>
          <w:cols w:space="708"/>
          <w:docGrid w:linePitch="360"/>
        </w:sectPr>
      </w:pPr>
    </w:p>
    <w:p w14:paraId="72508D79" w14:textId="72E699BE" w:rsidR="009A6CC3" w:rsidRPr="009A6CC3" w:rsidRDefault="00280AEA" w:rsidP="000C360E">
      <w:pPr>
        <w:spacing w:after="120"/>
        <w:jc w:val="both"/>
        <w:rPr>
          <w:rFonts w:eastAsia="Open Sans" w:cstheme="minorHAnsi"/>
          <w:b/>
          <w:bCs/>
          <w:kern w:val="24"/>
        </w:rPr>
      </w:pPr>
      <w:r w:rsidRPr="009A6CC3">
        <w:rPr>
          <w:rFonts w:eastAsia="Open Sans" w:cstheme="minorHAnsi"/>
          <w:b/>
          <w:bCs/>
          <w:kern w:val="24"/>
        </w:rPr>
        <w:t>Overview</w:t>
      </w:r>
    </w:p>
    <w:p w14:paraId="5E528D89" w14:textId="271533E3" w:rsidR="00280AEA" w:rsidRDefault="00083EB8" w:rsidP="00280AEA">
      <w:pPr>
        <w:jc w:val="both"/>
        <w:rPr>
          <w:rFonts w:eastAsia="Open Sans" w:cstheme="minorHAnsi"/>
          <w:kern w:val="24"/>
        </w:rPr>
      </w:pPr>
      <w:r w:rsidRPr="000C360E">
        <w:rPr>
          <w:rFonts w:eastAsia="Open Sans" w:cstheme="minorHAnsi"/>
          <w:kern w:val="24"/>
        </w:rPr>
        <w:t xml:space="preserve">The </w:t>
      </w:r>
      <w:hyperlink r:id="rId15" w:history="1">
        <w:r w:rsidRPr="000C360E">
          <w:rPr>
            <w:rStyle w:val="Hyperlink"/>
            <w:rFonts w:eastAsia="Open Sans" w:cstheme="minorHAnsi"/>
            <w:kern w:val="24"/>
          </w:rPr>
          <w:t>Intergovernmental Agreement on Data Sharing (IGA)</w:t>
        </w:r>
      </w:hyperlink>
      <w:r w:rsidRPr="000C360E">
        <w:rPr>
          <w:rFonts w:eastAsia="Open Sans" w:cstheme="minorHAnsi"/>
          <w:kern w:val="24"/>
        </w:rPr>
        <w:t xml:space="preserve"> was signed by National Cabinet on 9 July 2021</w:t>
      </w:r>
      <w:r w:rsidR="00684DFD">
        <w:rPr>
          <w:rFonts w:eastAsia="Open Sans" w:cstheme="minorHAnsi"/>
          <w:kern w:val="24"/>
        </w:rPr>
        <w:t xml:space="preserve"> and reviewed by Data and Digital Ministers in </w:t>
      </w:r>
      <w:r w:rsidR="00DC1574">
        <w:rPr>
          <w:rFonts w:eastAsia="Open Sans" w:cstheme="minorHAnsi"/>
          <w:kern w:val="24"/>
        </w:rPr>
        <w:t>September</w:t>
      </w:r>
      <w:r w:rsidR="00684DFD">
        <w:rPr>
          <w:rFonts w:eastAsia="Open Sans" w:cstheme="minorHAnsi"/>
          <w:kern w:val="24"/>
        </w:rPr>
        <w:t xml:space="preserve"> </w:t>
      </w:r>
      <w:r w:rsidR="00CB2EEA">
        <w:rPr>
          <w:rFonts w:eastAsia="Open Sans" w:cstheme="minorHAnsi"/>
          <w:kern w:val="24"/>
        </w:rPr>
        <w:t>2023</w:t>
      </w:r>
      <w:r w:rsidRPr="000C360E">
        <w:rPr>
          <w:rFonts w:eastAsia="Open Sans" w:cstheme="minorHAnsi"/>
          <w:kern w:val="24"/>
        </w:rPr>
        <w:t>.</w:t>
      </w:r>
      <w:r w:rsidR="000E189B">
        <w:rPr>
          <w:rFonts w:eastAsia="Open Sans" w:cstheme="minorHAnsi"/>
          <w:kern w:val="24"/>
        </w:rPr>
        <w:t xml:space="preserve"> </w:t>
      </w:r>
      <w:r w:rsidR="00280AEA" w:rsidRPr="000C360E">
        <w:rPr>
          <w:rFonts w:eastAsia="Open Sans" w:cstheme="minorHAnsi"/>
          <w:b/>
          <w:bCs/>
          <w:kern w:val="24"/>
        </w:rPr>
        <w:t xml:space="preserve">The IGA commits all jurisdictions to share public sector data </w:t>
      </w:r>
      <w:r w:rsidR="00D56E1B">
        <w:rPr>
          <w:rFonts w:eastAsia="Open Sans" w:cstheme="minorHAnsi"/>
          <w:b/>
          <w:bCs/>
          <w:kern w:val="24"/>
        </w:rPr>
        <w:t>by</w:t>
      </w:r>
      <w:r w:rsidR="00280AEA" w:rsidRPr="000C360E">
        <w:rPr>
          <w:rFonts w:eastAsia="Open Sans" w:cstheme="minorHAnsi"/>
          <w:b/>
          <w:bCs/>
          <w:kern w:val="24"/>
        </w:rPr>
        <w:t xml:space="preserve"> default, where it can be done securely, safely, lawfully and ethically.</w:t>
      </w:r>
      <w:r w:rsidR="000E189B">
        <w:rPr>
          <w:rFonts w:eastAsia="Open Sans" w:cstheme="minorHAnsi"/>
          <w:kern w:val="24"/>
        </w:rPr>
        <w:t xml:space="preserve"> </w:t>
      </w:r>
      <w:r w:rsidR="00280AEA" w:rsidRPr="000C360E">
        <w:rPr>
          <w:rFonts w:eastAsia="Open Sans" w:cstheme="minorHAnsi"/>
          <w:kern w:val="24"/>
        </w:rPr>
        <w:t xml:space="preserve">The IGA is implemented through the </w:t>
      </w:r>
      <w:hyperlink r:id="rId16" w:history="1">
        <w:r w:rsidR="00280AEA" w:rsidRPr="00165812">
          <w:rPr>
            <w:rStyle w:val="Hyperlink"/>
            <w:rFonts w:eastAsia="Open Sans" w:cstheme="minorHAnsi"/>
            <w:kern w:val="24"/>
          </w:rPr>
          <w:t>Data and Digital Ministers Meeting (DDMM)</w:t>
        </w:r>
      </w:hyperlink>
      <w:r w:rsidR="00280AEA" w:rsidRPr="000C360E">
        <w:rPr>
          <w:rFonts w:eastAsia="Open Sans" w:cstheme="minorHAnsi"/>
          <w:kern w:val="24"/>
        </w:rPr>
        <w:t xml:space="preserve"> and is supported by the National Data Sharing Work Program</w:t>
      </w:r>
      <w:r w:rsidR="00A652E3">
        <w:rPr>
          <w:rFonts w:eastAsia="Open Sans" w:cstheme="minorHAnsi"/>
          <w:kern w:val="24"/>
        </w:rPr>
        <w:t>.</w:t>
      </w:r>
      <w:r w:rsidR="00280AEA" w:rsidRPr="000C360E">
        <w:rPr>
          <w:rFonts w:eastAsia="Open Sans" w:cstheme="minorHAnsi"/>
          <w:kern w:val="24"/>
        </w:rPr>
        <w:t xml:space="preserve"> </w:t>
      </w:r>
    </w:p>
    <w:p w14:paraId="30BD3D38" w14:textId="5A6D7705" w:rsidR="00083EB8" w:rsidRPr="000C360E" w:rsidRDefault="00083EB8" w:rsidP="00280AEA">
      <w:pPr>
        <w:jc w:val="both"/>
        <w:rPr>
          <w:rFonts w:eastAsia="Open Sans" w:cstheme="minorHAnsi"/>
          <w:kern w:val="24"/>
        </w:rPr>
      </w:pPr>
      <w:r w:rsidRPr="009A6CC3">
        <w:rPr>
          <w:noProof/>
          <w:lang w:eastAsia="en-AU"/>
        </w:rPr>
        <w:drawing>
          <wp:inline distT="0" distB="0" distL="0" distR="0" wp14:anchorId="347BD3D5" wp14:editId="0D7A6421">
            <wp:extent cx="2781300" cy="1962150"/>
            <wp:effectExtent l="0" t="0" r="0" b="0"/>
            <wp:docPr id="8" name="Picture 8" descr="1. Intergovernmental Agreement on Data Sharing Principles-based commitment Oversight by Data and Digital Ministers; 2. National Data Sharing work Program Priority inter-jurisditcional data sharing projects; 3. Work Program project teams Commonwealth, State and Territory representatives contribute expertise to projec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7CB50" w14:textId="77777777" w:rsidR="00280AEA" w:rsidRPr="000C360E" w:rsidRDefault="00280AEA" w:rsidP="000C360E">
      <w:pPr>
        <w:spacing w:after="120"/>
        <w:jc w:val="both"/>
        <w:rPr>
          <w:rFonts w:eastAsia="Open Sans" w:cstheme="minorHAnsi"/>
          <w:b/>
          <w:bCs/>
          <w:kern w:val="24"/>
        </w:rPr>
      </w:pPr>
      <w:r w:rsidRPr="000C360E">
        <w:rPr>
          <w:rFonts w:eastAsia="Open Sans" w:cstheme="minorHAnsi"/>
          <w:b/>
          <w:bCs/>
          <w:kern w:val="24"/>
        </w:rPr>
        <w:t>The IGA does:</w:t>
      </w:r>
    </w:p>
    <w:p w14:paraId="2B8F8724" w14:textId="77777777" w:rsidR="00280AEA" w:rsidRPr="000C360E" w:rsidRDefault="00280AEA" w:rsidP="000C360E">
      <w:pPr>
        <w:pStyle w:val="ListParagraph"/>
        <w:numPr>
          <w:ilvl w:val="0"/>
          <w:numId w:val="5"/>
        </w:numPr>
        <w:spacing w:before="0"/>
        <w:ind w:left="714" w:hanging="357"/>
        <w:contextualSpacing w:val="0"/>
        <w:jc w:val="both"/>
        <w:rPr>
          <w:rFonts w:eastAsia="Open Sans" w:cstheme="minorHAnsi"/>
          <w:kern w:val="24"/>
        </w:rPr>
      </w:pPr>
      <w:r w:rsidRPr="000C360E">
        <w:rPr>
          <w:rFonts w:eastAsia="Open Sans" w:cstheme="minorHAnsi"/>
          <w:kern w:val="24"/>
        </w:rPr>
        <w:t>recognise data as a shared national asset and aims to maximise the value of data to deliver outstanding policies and services for Australians.</w:t>
      </w:r>
    </w:p>
    <w:p w14:paraId="3C404A11" w14:textId="77777777" w:rsidR="00280AEA" w:rsidRPr="000C360E" w:rsidRDefault="00280AEA" w:rsidP="00280AEA">
      <w:pPr>
        <w:pStyle w:val="ListParagraph"/>
        <w:numPr>
          <w:ilvl w:val="0"/>
          <w:numId w:val="5"/>
        </w:numPr>
        <w:jc w:val="both"/>
        <w:rPr>
          <w:rFonts w:eastAsia="Open Sans" w:cstheme="minorHAnsi"/>
          <w:kern w:val="24"/>
        </w:rPr>
      </w:pPr>
      <w:r w:rsidRPr="000C360E">
        <w:rPr>
          <w:rFonts w:eastAsia="Open Sans" w:cstheme="minorHAnsi"/>
          <w:kern w:val="24"/>
        </w:rPr>
        <w:t>expect that governments will share data with each other for the design, development, and delivery of policies, programs and services, and other activities in the public interest.</w:t>
      </w:r>
    </w:p>
    <w:p w14:paraId="09664DCA" w14:textId="77777777" w:rsidR="00280AEA" w:rsidRPr="000C360E" w:rsidRDefault="00280AEA" w:rsidP="000C360E">
      <w:pPr>
        <w:spacing w:before="160" w:after="120"/>
        <w:jc w:val="both"/>
        <w:rPr>
          <w:rFonts w:eastAsia="Open Sans" w:cstheme="minorHAnsi"/>
          <w:b/>
          <w:bCs/>
          <w:kern w:val="24"/>
        </w:rPr>
      </w:pPr>
      <w:r w:rsidRPr="000C360E">
        <w:rPr>
          <w:rFonts w:eastAsia="Open Sans" w:cstheme="minorHAnsi"/>
          <w:b/>
          <w:bCs/>
          <w:kern w:val="24"/>
        </w:rPr>
        <w:t>The IGA does not:</w:t>
      </w:r>
    </w:p>
    <w:p w14:paraId="457EED8B" w14:textId="6C0A69A0" w:rsidR="00DB7F8C" w:rsidRPr="00152344" w:rsidRDefault="00280AEA" w:rsidP="00152344">
      <w:pPr>
        <w:pStyle w:val="ListParagraph"/>
        <w:numPr>
          <w:ilvl w:val="0"/>
          <w:numId w:val="5"/>
        </w:numPr>
        <w:spacing w:before="0"/>
        <w:ind w:left="714" w:hanging="357"/>
        <w:contextualSpacing w:val="0"/>
        <w:jc w:val="both"/>
        <w:rPr>
          <w:rFonts w:eastAsia="Open Sans" w:cstheme="minorHAnsi"/>
          <w:b/>
          <w:bCs/>
          <w:kern w:val="24"/>
        </w:rPr>
      </w:pPr>
      <w:r w:rsidRPr="000C360E">
        <w:rPr>
          <w:rFonts w:eastAsia="Open Sans" w:cstheme="minorHAnsi"/>
          <w:kern w:val="24"/>
        </w:rPr>
        <w:t>change or override any existing data sharing agreements</w:t>
      </w:r>
      <w:r w:rsidR="00460C76" w:rsidRPr="00460C76">
        <w:rPr>
          <w:rFonts w:eastAsia="Open Sans" w:cstheme="minorHAnsi"/>
          <w:kern w:val="24"/>
        </w:rPr>
        <w:t xml:space="preserve"> </w:t>
      </w:r>
      <w:r w:rsidR="00460C76">
        <w:rPr>
          <w:rFonts w:eastAsia="Open Sans" w:cstheme="minorHAnsi"/>
          <w:kern w:val="24"/>
        </w:rPr>
        <w:t>or legislation</w:t>
      </w:r>
      <w:r w:rsidRPr="000C360E">
        <w:rPr>
          <w:rFonts w:eastAsia="Open Sans" w:cstheme="minorHAnsi"/>
          <w:kern w:val="24"/>
        </w:rPr>
        <w:t>. It commits all parties to apply their best endeavours to share data across governments, including being responsive to requests and giving clear reasons for refusals.</w:t>
      </w:r>
      <w:r w:rsidRPr="009A6CC3">
        <w:rPr>
          <w:rFonts w:eastAsia="Open Sans" w:cstheme="minorHAnsi"/>
          <w:b/>
          <w:bCs/>
          <w:kern w:val="24"/>
        </w:rPr>
        <w:t xml:space="preserve"> </w:t>
      </w:r>
    </w:p>
    <w:p w14:paraId="3477E599" w14:textId="5B00B725" w:rsidR="00280AEA" w:rsidRPr="009A6CC3" w:rsidRDefault="00280AEA" w:rsidP="000C360E">
      <w:pPr>
        <w:spacing w:before="120" w:after="120"/>
        <w:jc w:val="both"/>
        <w:rPr>
          <w:rFonts w:eastAsia="Open Sans" w:cstheme="minorHAnsi"/>
          <w:b/>
          <w:bCs/>
          <w:kern w:val="24"/>
        </w:rPr>
      </w:pPr>
      <w:r w:rsidRPr="009A6CC3">
        <w:rPr>
          <w:rFonts w:eastAsia="Open Sans" w:cstheme="minorHAnsi"/>
          <w:b/>
          <w:bCs/>
          <w:kern w:val="24"/>
        </w:rPr>
        <w:t>Applying the IGA</w:t>
      </w:r>
    </w:p>
    <w:p w14:paraId="76AFE34A" w14:textId="77777777" w:rsidR="00280AEA" w:rsidRPr="000C360E" w:rsidRDefault="00280AEA" w:rsidP="00280AEA">
      <w:pPr>
        <w:jc w:val="both"/>
        <w:rPr>
          <w:rFonts w:eastAsia="Open Sans" w:cstheme="minorHAnsi"/>
          <w:kern w:val="24"/>
        </w:rPr>
      </w:pPr>
      <w:r w:rsidRPr="000C360E">
        <w:rPr>
          <w:rFonts w:eastAsia="Open Sans" w:cstheme="minorHAnsi"/>
          <w:kern w:val="24"/>
        </w:rPr>
        <w:t>The IGA can be applied to cross-jurisdictional data sharing work. It can be used by data practitioners to help increase the volume and value of data sharing. Some ways to apply the IGA include:</w:t>
      </w:r>
    </w:p>
    <w:p w14:paraId="54AF7D60" w14:textId="67F30774" w:rsidR="00280AEA" w:rsidRPr="000C360E" w:rsidRDefault="00280AEA" w:rsidP="00280AEA">
      <w:pPr>
        <w:pStyle w:val="ListParagraph"/>
        <w:numPr>
          <w:ilvl w:val="0"/>
          <w:numId w:val="5"/>
        </w:numPr>
        <w:jc w:val="both"/>
        <w:rPr>
          <w:rFonts w:eastAsia="Open Sans" w:cstheme="minorHAnsi"/>
          <w:kern w:val="24"/>
        </w:rPr>
      </w:pPr>
      <w:r w:rsidRPr="000C360E">
        <w:rPr>
          <w:rFonts w:eastAsia="Open Sans" w:cstheme="minorHAnsi"/>
          <w:kern w:val="24"/>
        </w:rPr>
        <w:t xml:space="preserve">use best endeavours to share data by default. Review any policies, processes and systems </w:t>
      </w:r>
      <w:r w:rsidR="0030635B">
        <w:rPr>
          <w:rFonts w:eastAsia="Open Sans" w:cstheme="minorHAnsi"/>
          <w:kern w:val="24"/>
        </w:rPr>
        <w:t xml:space="preserve">to align with the IGA and its </w:t>
      </w:r>
      <w:r w:rsidR="001375E6">
        <w:rPr>
          <w:rFonts w:eastAsia="Open Sans" w:cstheme="minorHAnsi"/>
          <w:kern w:val="24"/>
        </w:rPr>
        <w:t>implementation.</w:t>
      </w:r>
    </w:p>
    <w:p w14:paraId="6B69B080" w14:textId="77777777" w:rsidR="00280AEA" w:rsidRPr="000C360E" w:rsidRDefault="00280AEA" w:rsidP="00280AEA">
      <w:pPr>
        <w:pStyle w:val="ListParagraph"/>
        <w:numPr>
          <w:ilvl w:val="0"/>
          <w:numId w:val="5"/>
        </w:numPr>
        <w:jc w:val="both"/>
        <w:rPr>
          <w:rFonts w:eastAsia="Open Sans" w:cstheme="minorHAnsi"/>
          <w:kern w:val="24"/>
        </w:rPr>
      </w:pPr>
      <w:r w:rsidRPr="000C360E">
        <w:rPr>
          <w:rFonts w:eastAsia="Open Sans" w:cstheme="minorHAnsi"/>
          <w:kern w:val="24"/>
        </w:rPr>
        <w:t>apply the guiding principles in the IGA to data sharing negotiations and incorporate relevant principles in data sharing agreements.</w:t>
      </w:r>
    </w:p>
    <w:p w14:paraId="50A51C87" w14:textId="1048AA51" w:rsidR="00280AEA" w:rsidRPr="000C360E" w:rsidRDefault="00280AEA" w:rsidP="00280AEA">
      <w:pPr>
        <w:pStyle w:val="ListParagraph"/>
        <w:numPr>
          <w:ilvl w:val="0"/>
          <w:numId w:val="5"/>
        </w:numPr>
        <w:jc w:val="both"/>
        <w:rPr>
          <w:rFonts w:eastAsia="Open Sans" w:cstheme="minorHAnsi"/>
          <w:kern w:val="24"/>
        </w:rPr>
      </w:pPr>
      <w:r w:rsidRPr="000C360E">
        <w:rPr>
          <w:rFonts w:eastAsia="Open Sans" w:cstheme="minorHAnsi"/>
          <w:kern w:val="24"/>
        </w:rPr>
        <w:t>initiate a data request and apply the schedules in the IGA which set out requirements for data requests (Schedule E) and what to consider when assessing a request (Schedule B).</w:t>
      </w:r>
    </w:p>
    <w:p w14:paraId="694454F6" w14:textId="77777777" w:rsidR="00280AEA" w:rsidRPr="000C360E" w:rsidRDefault="00280AEA" w:rsidP="00280AEA">
      <w:pPr>
        <w:pStyle w:val="ListParagraph"/>
        <w:numPr>
          <w:ilvl w:val="0"/>
          <w:numId w:val="5"/>
        </w:numPr>
        <w:jc w:val="both"/>
        <w:rPr>
          <w:rFonts w:eastAsia="Open Sans" w:cstheme="minorHAnsi"/>
          <w:kern w:val="24"/>
        </w:rPr>
      </w:pPr>
      <w:r w:rsidRPr="000C360E">
        <w:rPr>
          <w:rFonts w:eastAsia="Open Sans" w:cstheme="minorHAnsi"/>
          <w:kern w:val="24"/>
        </w:rPr>
        <w:t>talk to data custodians in your organisation about your data sharing policies and transfer mechanisms to ensure you are well prepared to respond to new data requests.</w:t>
      </w:r>
    </w:p>
    <w:p w14:paraId="7D7C4D1C" w14:textId="77777777" w:rsidR="00280AEA" w:rsidRPr="000C360E" w:rsidRDefault="00280AEA" w:rsidP="00280AEA">
      <w:pPr>
        <w:pStyle w:val="ListParagraph"/>
        <w:numPr>
          <w:ilvl w:val="0"/>
          <w:numId w:val="5"/>
        </w:numPr>
        <w:jc w:val="both"/>
        <w:rPr>
          <w:rFonts w:eastAsia="Open Sans" w:cstheme="minorHAnsi"/>
          <w:kern w:val="24"/>
        </w:rPr>
      </w:pPr>
      <w:r w:rsidRPr="000C360E">
        <w:rPr>
          <w:rFonts w:eastAsia="Open Sans" w:cstheme="minorHAnsi"/>
          <w:kern w:val="24"/>
        </w:rPr>
        <w:t>set up a central data request point in your organisation for other government officials to access, such as a portal, web form or email address.</w:t>
      </w:r>
    </w:p>
    <w:p w14:paraId="24A73305" w14:textId="516549C5" w:rsidR="00280AEA" w:rsidRPr="000C360E" w:rsidRDefault="00280AEA" w:rsidP="00280AEA">
      <w:pPr>
        <w:pStyle w:val="ListParagraph"/>
        <w:numPr>
          <w:ilvl w:val="0"/>
          <w:numId w:val="5"/>
        </w:numPr>
        <w:jc w:val="both"/>
        <w:rPr>
          <w:rFonts w:eastAsia="Open Sans" w:cstheme="minorHAnsi"/>
          <w:kern w:val="24"/>
        </w:rPr>
      </w:pPr>
      <w:r w:rsidRPr="000C360E">
        <w:rPr>
          <w:rFonts w:eastAsia="Open Sans" w:cstheme="minorHAnsi"/>
          <w:kern w:val="24"/>
        </w:rPr>
        <w:t xml:space="preserve">participate in projects under the National Data Sharing Work Program. Projects can be nominated through your jurisdictions’ DDMM Data </w:t>
      </w:r>
      <w:r w:rsidR="00DC1574">
        <w:rPr>
          <w:rFonts w:eastAsia="Open Sans" w:cstheme="minorHAnsi"/>
          <w:kern w:val="24"/>
        </w:rPr>
        <w:t>&amp;</w:t>
      </w:r>
      <w:r w:rsidRPr="000C360E">
        <w:rPr>
          <w:rFonts w:eastAsia="Open Sans" w:cstheme="minorHAnsi"/>
          <w:kern w:val="24"/>
        </w:rPr>
        <w:t xml:space="preserve"> Analytics Working Group member.</w:t>
      </w:r>
      <w:r w:rsidR="00DF0EE5">
        <w:rPr>
          <w:rFonts w:eastAsia="Open Sans" w:cstheme="minorHAnsi"/>
          <w:kern w:val="24"/>
        </w:rPr>
        <w:t xml:space="preserve"> Please contact </w:t>
      </w:r>
      <w:hyperlink r:id="rId18" w:history="1">
        <w:r w:rsidR="00DF0EE5" w:rsidRPr="00D55634">
          <w:rPr>
            <w:rStyle w:val="Hyperlink"/>
            <w:rFonts w:eastAsia="Open Sans" w:cstheme="minorHAnsi"/>
            <w:kern w:val="24"/>
          </w:rPr>
          <w:t>ddmm@finance.gov.au</w:t>
        </w:r>
      </w:hyperlink>
      <w:r w:rsidR="00DF0EE5">
        <w:rPr>
          <w:rFonts w:eastAsia="Open Sans" w:cstheme="minorHAnsi"/>
          <w:kern w:val="24"/>
        </w:rPr>
        <w:t xml:space="preserve"> for further information. </w:t>
      </w:r>
    </w:p>
    <w:p w14:paraId="3D5D066E" w14:textId="77777777" w:rsidR="00280AEA" w:rsidRPr="009A6CC3" w:rsidRDefault="00280AEA" w:rsidP="000C360E">
      <w:pPr>
        <w:spacing w:before="160" w:after="120"/>
        <w:jc w:val="both"/>
        <w:rPr>
          <w:rFonts w:eastAsia="Open Sans" w:cstheme="minorHAnsi"/>
          <w:b/>
          <w:bCs/>
          <w:kern w:val="24"/>
        </w:rPr>
      </w:pPr>
      <w:r w:rsidRPr="009A6CC3">
        <w:rPr>
          <w:rFonts w:eastAsia="Open Sans" w:cstheme="minorHAnsi"/>
          <w:b/>
          <w:bCs/>
          <w:kern w:val="24"/>
        </w:rPr>
        <w:t>Ensuring privacy and data security</w:t>
      </w:r>
    </w:p>
    <w:p w14:paraId="34CC8BF8" w14:textId="7171DD3B" w:rsidR="00280AEA" w:rsidRPr="000C360E" w:rsidRDefault="00280AEA" w:rsidP="00280AEA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0C360E">
        <w:rPr>
          <w:rFonts w:asciiTheme="minorHAnsi" w:hAnsiTheme="minorHAnsi" w:cstheme="minorHAnsi"/>
          <w:sz w:val="22"/>
          <w:szCs w:val="22"/>
        </w:rPr>
        <w:t xml:space="preserve">Data shared </w:t>
      </w:r>
      <w:r w:rsidR="00883558">
        <w:rPr>
          <w:rFonts w:asciiTheme="minorHAnsi" w:hAnsiTheme="minorHAnsi" w:cstheme="minorHAnsi"/>
          <w:sz w:val="22"/>
          <w:szCs w:val="22"/>
        </w:rPr>
        <w:t>in accordance with</w:t>
      </w:r>
      <w:r w:rsidR="00883558" w:rsidRPr="000C360E">
        <w:rPr>
          <w:rFonts w:asciiTheme="minorHAnsi" w:hAnsiTheme="minorHAnsi" w:cstheme="minorHAnsi"/>
          <w:sz w:val="22"/>
          <w:szCs w:val="22"/>
        </w:rPr>
        <w:t xml:space="preserve"> </w:t>
      </w:r>
      <w:r w:rsidRPr="000C360E">
        <w:rPr>
          <w:rFonts w:asciiTheme="minorHAnsi" w:hAnsiTheme="minorHAnsi" w:cstheme="minorHAnsi"/>
          <w:sz w:val="22"/>
          <w:szCs w:val="22"/>
        </w:rPr>
        <w:t xml:space="preserve">the IGA must be in accordance with established privacy and security standards and policies, </w:t>
      </w:r>
      <w:r w:rsidR="0006760E">
        <w:rPr>
          <w:rFonts w:asciiTheme="minorHAnsi" w:hAnsiTheme="minorHAnsi" w:cstheme="minorHAnsi"/>
          <w:sz w:val="22"/>
          <w:szCs w:val="22"/>
        </w:rPr>
        <w:t>and within existing legislative conditions,</w:t>
      </w:r>
      <w:r w:rsidRPr="000C360E">
        <w:rPr>
          <w:rFonts w:asciiTheme="minorHAnsi" w:hAnsiTheme="minorHAnsi" w:cstheme="minorHAnsi"/>
          <w:sz w:val="22"/>
          <w:szCs w:val="22"/>
        </w:rPr>
        <w:t xml:space="preserve"> including complaints handling processes. </w:t>
      </w:r>
    </w:p>
    <w:p w14:paraId="2622730D" w14:textId="38411672" w:rsidR="00280AEA" w:rsidRPr="000C360E" w:rsidRDefault="00280AEA" w:rsidP="00280AEA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0C360E">
        <w:rPr>
          <w:rFonts w:asciiTheme="minorHAnsi" w:hAnsiTheme="minorHAnsi" w:cstheme="minorHAnsi"/>
          <w:sz w:val="22"/>
          <w:szCs w:val="22"/>
        </w:rPr>
        <w:t xml:space="preserve">For example, the Office of the Australian Information Commissioner (OAIC)’s </w:t>
      </w:r>
      <w:hyperlink r:id="rId19" w:history="1">
        <w:r w:rsidRPr="000C360E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Data Breach Preparation and </w:t>
        </w:r>
        <w:r w:rsidR="00CC7DEC">
          <w:rPr>
            <w:rStyle w:val="Hyperlink"/>
            <w:rFonts w:asciiTheme="minorHAnsi" w:hAnsiTheme="minorHAnsi" w:cstheme="minorHAnsi"/>
            <w:sz w:val="22"/>
            <w:szCs w:val="22"/>
          </w:rPr>
          <w:t>R</w:t>
        </w:r>
        <w:r w:rsidRPr="000C360E">
          <w:rPr>
            <w:rStyle w:val="Hyperlink"/>
            <w:rFonts w:asciiTheme="minorHAnsi" w:hAnsiTheme="minorHAnsi" w:cstheme="minorHAnsi"/>
            <w:sz w:val="22"/>
            <w:szCs w:val="22"/>
          </w:rPr>
          <w:t>esponse Guide</w:t>
        </w:r>
      </w:hyperlink>
      <w:r w:rsidRPr="000C360E">
        <w:rPr>
          <w:rFonts w:asciiTheme="minorHAnsi" w:hAnsiTheme="minorHAnsi" w:cstheme="minorHAnsi"/>
          <w:sz w:val="22"/>
          <w:szCs w:val="22"/>
        </w:rPr>
        <w:t xml:space="preserve"> outlines how you can comply with the Australian Privacy Principles</w:t>
      </w:r>
      <w:r w:rsidR="00875C1A">
        <w:rPr>
          <w:rFonts w:asciiTheme="minorHAnsi" w:hAnsiTheme="minorHAnsi" w:cstheme="minorHAnsi"/>
          <w:sz w:val="22"/>
          <w:szCs w:val="22"/>
        </w:rPr>
        <w:t>, and state and territory equivalents,</w:t>
      </w:r>
      <w:r w:rsidRPr="000C360E">
        <w:rPr>
          <w:rFonts w:asciiTheme="minorHAnsi" w:hAnsiTheme="minorHAnsi" w:cstheme="minorHAnsi"/>
          <w:sz w:val="22"/>
          <w:szCs w:val="22"/>
        </w:rPr>
        <w:t xml:space="preserve"> and contains templates to help you prepare a data breach response plan. </w:t>
      </w:r>
    </w:p>
    <w:p w14:paraId="6D1DDF6F" w14:textId="77777777" w:rsidR="00152344" w:rsidRDefault="0006628E" w:rsidP="00152344">
      <w:pPr>
        <w:jc w:val="both"/>
      </w:pPr>
      <w:r>
        <w:rPr>
          <w:rFonts w:cstheme="minorHAnsi"/>
        </w:rPr>
        <w:t>Commonwealth</w:t>
      </w:r>
      <w:r w:rsidR="00280AEA" w:rsidRPr="000C360E">
        <w:rPr>
          <w:rFonts w:cstheme="minorHAnsi"/>
        </w:rPr>
        <w:t xml:space="preserve"> entities must also comply with the </w:t>
      </w:r>
      <w:hyperlink r:id="rId20" w:history="1">
        <w:r w:rsidR="00280AEA" w:rsidRPr="000C360E">
          <w:rPr>
            <w:rStyle w:val="Hyperlink"/>
            <w:rFonts w:cstheme="minorHAnsi"/>
          </w:rPr>
          <w:t>Protective Security Policy Framework</w:t>
        </w:r>
      </w:hyperlink>
      <w:r w:rsidR="00280AEA" w:rsidRPr="000C360E">
        <w:rPr>
          <w:rFonts w:cstheme="minorHAnsi"/>
        </w:rPr>
        <w:t>. The framework contains 16 policies that set out the core requirements for Australian Government entities to protect their people, information and asse</w:t>
      </w:r>
      <w:bookmarkStart w:id="0" w:name="_Toc148437112"/>
      <w:bookmarkStart w:id="1" w:name="_Toc148604789"/>
      <w:bookmarkStart w:id="2" w:name="_Toc148604912"/>
      <w:bookmarkStart w:id="3" w:name="_Toc148604970"/>
      <w:r w:rsidR="00280AEA" w:rsidRPr="000C360E">
        <w:rPr>
          <w:rFonts w:cstheme="minorHAnsi"/>
        </w:rPr>
        <w:t>ts.</w:t>
      </w:r>
      <w:bookmarkEnd w:id="0"/>
      <w:bookmarkEnd w:id="1"/>
      <w:bookmarkEnd w:id="2"/>
      <w:bookmarkEnd w:id="3"/>
      <w:r w:rsidR="00850E42" w:rsidRPr="000C360E">
        <w:t xml:space="preserve"> </w:t>
      </w:r>
    </w:p>
    <w:p w14:paraId="1A2425DF" w14:textId="4EED263B" w:rsidR="006C3E4E" w:rsidRPr="000E189B" w:rsidRDefault="00152344" w:rsidP="000E189B">
      <w:pPr>
        <w:jc w:val="both"/>
        <w:rPr>
          <w:rFonts w:eastAsia="Open Sans" w:cstheme="minorHAnsi"/>
          <w:b/>
          <w:bCs/>
          <w:kern w:val="24"/>
        </w:rPr>
      </w:pPr>
      <w:r w:rsidRPr="000C360E">
        <w:t>The IGA was reviewed in September 2023</w:t>
      </w:r>
      <w:r>
        <w:rPr>
          <w:rStyle w:val="normaltextrun"/>
          <w:color w:val="000000"/>
          <w:shd w:val="clear" w:color="auto" w:fill="FFFFFF"/>
          <w:lang w:val="en-GB"/>
        </w:rPr>
        <w:t xml:space="preserve"> </w:t>
      </w:r>
      <w:r w:rsidRPr="000C360E">
        <w:rPr>
          <w:rStyle w:val="normaltextrun"/>
          <w:color w:val="000000"/>
          <w:shd w:val="clear" w:color="auto" w:fill="FFFFFF"/>
          <w:lang w:val="en-GB"/>
        </w:rPr>
        <w:t xml:space="preserve">and will be reviewed again in 2026. </w:t>
      </w:r>
      <w:r>
        <w:rPr>
          <w:rStyle w:val="normaltextrun"/>
          <w:color w:val="000000"/>
          <w:shd w:val="clear" w:color="auto" w:fill="FFFFFF"/>
          <w:lang w:val="en-GB"/>
        </w:rPr>
        <w:t>The 2023 review found that no changes to the IGA are needed.</w:t>
      </w:r>
    </w:p>
    <w:sectPr w:rsidR="006C3E4E" w:rsidRPr="000E189B" w:rsidSect="00947F07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847E6" w14:textId="77777777" w:rsidR="00DC2754" w:rsidRDefault="00DC2754" w:rsidP="00BF7F57">
      <w:pPr>
        <w:spacing w:after="0" w:line="240" w:lineRule="auto"/>
      </w:pPr>
      <w:r>
        <w:separator/>
      </w:r>
    </w:p>
  </w:endnote>
  <w:endnote w:type="continuationSeparator" w:id="0">
    <w:p w14:paraId="23C0D3A3" w14:textId="77777777" w:rsidR="00DC2754" w:rsidRDefault="00DC2754" w:rsidP="00BF7F57">
      <w:pPr>
        <w:spacing w:after="0" w:line="240" w:lineRule="auto"/>
      </w:pPr>
      <w:r>
        <w:continuationSeparator/>
      </w:r>
    </w:p>
  </w:endnote>
  <w:endnote w:type="continuationNotice" w:id="1">
    <w:p w14:paraId="5588035C" w14:textId="77777777" w:rsidR="00DC2754" w:rsidRDefault="00DC27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36FF" w14:textId="6411203C" w:rsidR="001268B7" w:rsidRDefault="00785996" w:rsidP="001268B7">
    <w:pPr>
      <w:pStyle w:val="Footer"/>
      <w:jc w:val="right"/>
    </w:pPr>
    <w:r>
      <w:t>December</w:t>
    </w:r>
    <w:r w:rsidR="001268B7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DD9E4" w14:textId="77777777" w:rsidR="00DC2754" w:rsidRDefault="00DC2754" w:rsidP="00BF7F57">
      <w:pPr>
        <w:spacing w:after="0" w:line="240" w:lineRule="auto"/>
      </w:pPr>
      <w:r>
        <w:separator/>
      </w:r>
    </w:p>
  </w:footnote>
  <w:footnote w:type="continuationSeparator" w:id="0">
    <w:p w14:paraId="7A2B7230" w14:textId="77777777" w:rsidR="00DC2754" w:rsidRDefault="00DC2754" w:rsidP="00BF7F57">
      <w:pPr>
        <w:spacing w:after="0" w:line="240" w:lineRule="auto"/>
      </w:pPr>
      <w:r>
        <w:continuationSeparator/>
      </w:r>
    </w:p>
  </w:footnote>
  <w:footnote w:type="continuationNotice" w:id="1">
    <w:p w14:paraId="7BD44DAB" w14:textId="77777777" w:rsidR="00DC2754" w:rsidRDefault="00DC27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A1B5" w14:textId="1661CE08" w:rsidR="00BF7F57" w:rsidRDefault="00F22D4A">
    <w:pPr>
      <w:pStyle w:val="Header"/>
    </w:pPr>
    <w:r w:rsidRPr="00665818">
      <w:rPr>
        <w:rFonts w:ascii="Segoe UI" w:hAnsi="Segoe UI"/>
        <w:caps/>
        <w:noProof/>
        <w:color w:val="C00000"/>
        <w:sz w:val="18"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3A42BF" wp14:editId="370DC98C">
              <wp:simplePos x="0" y="0"/>
              <wp:positionH relativeFrom="page">
                <wp:align>right</wp:align>
              </wp:positionH>
              <wp:positionV relativeFrom="paragraph">
                <wp:posOffset>-449208</wp:posOffset>
              </wp:positionV>
              <wp:extent cx="10679502" cy="1163955"/>
              <wp:effectExtent l="0" t="0" r="762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9502" cy="1163955"/>
                      </a:xfrm>
                      <a:prstGeom prst="rect">
                        <a:avLst/>
                      </a:prstGeom>
                      <a:solidFill>
                        <a:srgbClr val="B1DDE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1D62AF" id="Rectangle 1" o:spid="_x0000_s1026" style="position:absolute;margin-left:789.7pt;margin-top:-35.35pt;width:840.9pt;height:91.6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" fillcolor="#b1dde1" stroked="f" strokeweight="1pt">
              <w10:wrap anchorx="page"/>
            </v:rect>
          </w:pict>
        </mc:Fallback>
      </mc:AlternateContent>
    </w:r>
    <w:r w:rsidR="00BF7F57" w:rsidRPr="00665818">
      <w:rPr>
        <w:rFonts w:ascii="Segoe UI" w:hAnsi="Segoe UI"/>
        <w:caps/>
        <w:noProof/>
        <w:color w:val="C00000"/>
        <w:sz w:val="18"/>
        <w:lang w:eastAsia="en-AU"/>
      </w:rPr>
      <w:drawing>
        <wp:anchor distT="0" distB="0" distL="114300" distR="114300" simplePos="0" relativeHeight="251657728" behindDoc="0" locked="0" layoutInCell="1" allowOverlap="1" wp14:anchorId="7CB332C0" wp14:editId="66B159F2">
          <wp:simplePos x="0" y="0"/>
          <wp:positionH relativeFrom="margin">
            <wp:align>left</wp:align>
          </wp:positionH>
          <wp:positionV relativeFrom="paragraph">
            <wp:posOffset>-233296</wp:posOffset>
          </wp:positionV>
          <wp:extent cx="2289175" cy="634676"/>
          <wp:effectExtent l="0" t="0" r="0" b="0"/>
          <wp:wrapNone/>
          <wp:docPr id="1973997746" name="Picture 1973997746" descr="Short wor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ort word bann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13" t="13287" r="53999" b="54989"/>
                  <a:stretch/>
                </pic:blipFill>
                <pic:spPr bwMode="auto">
                  <a:xfrm>
                    <a:off x="0" y="0"/>
                    <a:ext cx="2289175" cy="6346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316F"/>
    <w:multiLevelType w:val="hybridMultilevel"/>
    <w:tmpl w:val="4AFAE174"/>
    <w:lvl w:ilvl="0" w:tplc="D1BA5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4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4AE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C84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B49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2B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328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2F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DA3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9A2D42"/>
    <w:multiLevelType w:val="hybridMultilevel"/>
    <w:tmpl w:val="139CA900"/>
    <w:lvl w:ilvl="0" w:tplc="1A3A7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C3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D4D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83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7AE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0E9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8C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CD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433ABB"/>
    <w:multiLevelType w:val="hybridMultilevel"/>
    <w:tmpl w:val="98A0C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C6B3A"/>
    <w:multiLevelType w:val="hybridMultilevel"/>
    <w:tmpl w:val="D22429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747C3"/>
    <w:multiLevelType w:val="hybridMultilevel"/>
    <w:tmpl w:val="A5308CEA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512797381">
    <w:abstractNumId w:val="1"/>
  </w:num>
  <w:num w:numId="2" w16cid:durableId="34893152">
    <w:abstractNumId w:val="0"/>
  </w:num>
  <w:num w:numId="3" w16cid:durableId="1453742658">
    <w:abstractNumId w:val="4"/>
  </w:num>
  <w:num w:numId="4" w16cid:durableId="513492393">
    <w:abstractNumId w:val="2"/>
  </w:num>
  <w:num w:numId="5" w16cid:durableId="1326593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57"/>
    <w:rsid w:val="00001BA0"/>
    <w:rsid w:val="00001BDB"/>
    <w:rsid w:val="0004055C"/>
    <w:rsid w:val="00053D47"/>
    <w:rsid w:val="0006504A"/>
    <w:rsid w:val="0006628E"/>
    <w:rsid w:val="0006760E"/>
    <w:rsid w:val="00074F04"/>
    <w:rsid w:val="00081AE2"/>
    <w:rsid w:val="00083EB8"/>
    <w:rsid w:val="000A45DE"/>
    <w:rsid w:val="000B2D70"/>
    <w:rsid w:val="000B515A"/>
    <w:rsid w:val="000C0FC0"/>
    <w:rsid w:val="000C360E"/>
    <w:rsid w:val="000E189B"/>
    <w:rsid w:val="000F390B"/>
    <w:rsid w:val="001268B7"/>
    <w:rsid w:val="001375E6"/>
    <w:rsid w:val="00152344"/>
    <w:rsid w:val="00163020"/>
    <w:rsid w:val="00165812"/>
    <w:rsid w:val="001701E9"/>
    <w:rsid w:val="00193EEE"/>
    <w:rsid w:val="00197B4C"/>
    <w:rsid w:val="001A0810"/>
    <w:rsid w:val="001B19D1"/>
    <w:rsid w:val="001E35EC"/>
    <w:rsid w:val="001F4ECA"/>
    <w:rsid w:val="001F7571"/>
    <w:rsid w:val="0021208C"/>
    <w:rsid w:val="00224D52"/>
    <w:rsid w:val="0023418C"/>
    <w:rsid w:val="00240606"/>
    <w:rsid w:val="0025274D"/>
    <w:rsid w:val="00266097"/>
    <w:rsid w:val="00275445"/>
    <w:rsid w:val="00280AEA"/>
    <w:rsid w:val="0028305B"/>
    <w:rsid w:val="00296C59"/>
    <w:rsid w:val="002B70CD"/>
    <w:rsid w:val="002D6B25"/>
    <w:rsid w:val="002F033F"/>
    <w:rsid w:val="00302922"/>
    <w:rsid w:val="00303088"/>
    <w:rsid w:val="0030635B"/>
    <w:rsid w:val="003849A7"/>
    <w:rsid w:val="00392158"/>
    <w:rsid w:val="00393688"/>
    <w:rsid w:val="003D78B1"/>
    <w:rsid w:val="003E5CFE"/>
    <w:rsid w:val="003F4742"/>
    <w:rsid w:val="00411234"/>
    <w:rsid w:val="00415992"/>
    <w:rsid w:val="00456061"/>
    <w:rsid w:val="00460C76"/>
    <w:rsid w:val="00462158"/>
    <w:rsid w:val="00462301"/>
    <w:rsid w:val="004725E3"/>
    <w:rsid w:val="00474DF1"/>
    <w:rsid w:val="0049105B"/>
    <w:rsid w:val="004947A6"/>
    <w:rsid w:val="0049563E"/>
    <w:rsid w:val="004B143F"/>
    <w:rsid w:val="004D1EEB"/>
    <w:rsid w:val="004F3022"/>
    <w:rsid w:val="00574E26"/>
    <w:rsid w:val="005770B0"/>
    <w:rsid w:val="00584E95"/>
    <w:rsid w:val="005C0B92"/>
    <w:rsid w:val="005D0D9C"/>
    <w:rsid w:val="006166C1"/>
    <w:rsid w:val="0062121D"/>
    <w:rsid w:val="00625C25"/>
    <w:rsid w:val="00634E64"/>
    <w:rsid w:val="00647EE1"/>
    <w:rsid w:val="0065163A"/>
    <w:rsid w:val="00675C0C"/>
    <w:rsid w:val="00684DFD"/>
    <w:rsid w:val="00685D08"/>
    <w:rsid w:val="00697FB6"/>
    <w:rsid w:val="006A47D6"/>
    <w:rsid w:val="006A7AA1"/>
    <w:rsid w:val="006C05A4"/>
    <w:rsid w:val="006C21BF"/>
    <w:rsid w:val="006C3E4E"/>
    <w:rsid w:val="006F3166"/>
    <w:rsid w:val="006F7635"/>
    <w:rsid w:val="00744D92"/>
    <w:rsid w:val="007636D7"/>
    <w:rsid w:val="007728A2"/>
    <w:rsid w:val="007828A7"/>
    <w:rsid w:val="00784ECD"/>
    <w:rsid w:val="00785996"/>
    <w:rsid w:val="00785DAF"/>
    <w:rsid w:val="007C61F0"/>
    <w:rsid w:val="007C7402"/>
    <w:rsid w:val="007D71A2"/>
    <w:rsid w:val="0080586C"/>
    <w:rsid w:val="00805C82"/>
    <w:rsid w:val="00812C19"/>
    <w:rsid w:val="00815B00"/>
    <w:rsid w:val="00816E21"/>
    <w:rsid w:val="00834CEC"/>
    <w:rsid w:val="00837EBB"/>
    <w:rsid w:val="00850E42"/>
    <w:rsid w:val="00855553"/>
    <w:rsid w:val="00865A6F"/>
    <w:rsid w:val="0086696A"/>
    <w:rsid w:val="00875C1A"/>
    <w:rsid w:val="008832EE"/>
    <w:rsid w:val="00883558"/>
    <w:rsid w:val="008942E4"/>
    <w:rsid w:val="008948CC"/>
    <w:rsid w:val="008B4157"/>
    <w:rsid w:val="0094353F"/>
    <w:rsid w:val="00945796"/>
    <w:rsid w:val="00945C20"/>
    <w:rsid w:val="00947F07"/>
    <w:rsid w:val="0096718A"/>
    <w:rsid w:val="00983389"/>
    <w:rsid w:val="009A6CC3"/>
    <w:rsid w:val="009B3647"/>
    <w:rsid w:val="009C0251"/>
    <w:rsid w:val="00A010E6"/>
    <w:rsid w:val="00A11449"/>
    <w:rsid w:val="00A161A7"/>
    <w:rsid w:val="00A652E3"/>
    <w:rsid w:val="00A73CE7"/>
    <w:rsid w:val="00A94451"/>
    <w:rsid w:val="00AB31EC"/>
    <w:rsid w:val="00AB49D3"/>
    <w:rsid w:val="00AD4B9D"/>
    <w:rsid w:val="00AE30CD"/>
    <w:rsid w:val="00B14F02"/>
    <w:rsid w:val="00B24B4B"/>
    <w:rsid w:val="00B31569"/>
    <w:rsid w:val="00B330A6"/>
    <w:rsid w:val="00B3477C"/>
    <w:rsid w:val="00B47D88"/>
    <w:rsid w:val="00BA1F9A"/>
    <w:rsid w:val="00BB22CD"/>
    <w:rsid w:val="00BF12E3"/>
    <w:rsid w:val="00BF7F57"/>
    <w:rsid w:val="00C14BBC"/>
    <w:rsid w:val="00C17FD1"/>
    <w:rsid w:val="00C22BC2"/>
    <w:rsid w:val="00C40C1F"/>
    <w:rsid w:val="00C41DE7"/>
    <w:rsid w:val="00C47414"/>
    <w:rsid w:val="00C5501E"/>
    <w:rsid w:val="00C92CBE"/>
    <w:rsid w:val="00C96553"/>
    <w:rsid w:val="00CA4C8A"/>
    <w:rsid w:val="00CB2EEA"/>
    <w:rsid w:val="00CB50B5"/>
    <w:rsid w:val="00CC05DB"/>
    <w:rsid w:val="00CC1A9E"/>
    <w:rsid w:val="00CC6745"/>
    <w:rsid w:val="00CC7DEC"/>
    <w:rsid w:val="00CD61AF"/>
    <w:rsid w:val="00D20078"/>
    <w:rsid w:val="00D316AA"/>
    <w:rsid w:val="00D378A8"/>
    <w:rsid w:val="00D56E1B"/>
    <w:rsid w:val="00D644F8"/>
    <w:rsid w:val="00DA5B19"/>
    <w:rsid w:val="00DB7F8C"/>
    <w:rsid w:val="00DC1574"/>
    <w:rsid w:val="00DC2754"/>
    <w:rsid w:val="00DC3616"/>
    <w:rsid w:val="00DD0CFF"/>
    <w:rsid w:val="00DE1510"/>
    <w:rsid w:val="00DE1CE1"/>
    <w:rsid w:val="00DF0EE5"/>
    <w:rsid w:val="00DF5DB3"/>
    <w:rsid w:val="00DF6C55"/>
    <w:rsid w:val="00E4027D"/>
    <w:rsid w:val="00E414BE"/>
    <w:rsid w:val="00E569A7"/>
    <w:rsid w:val="00E658DD"/>
    <w:rsid w:val="00E71DA0"/>
    <w:rsid w:val="00E9048F"/>
    <w:rsid w:val="00E9692E"/>
    <w:rsid w:val="00EA4677"/>
    <w:rsid w:val="00ED263B"/>
    <w:rsid w:val="00EE45B7"/>
    <w:rsid w:val="00EE61AD"/>
    <w:rsid w:val="00EE7ECD"/>
    <w:rsid w:val="00EF5552"/>
    <w:rsid w:val="00F01145"/>
    <w:rsid w:val="00F1628A"/>
    <w:rsid w:val="00F22136"/>
    <w:rsid w:val="00F22D4A"/>
    <w:rsid w:val="00F35740"/>
    <w:rsid w:val="00F41A49"/>
    <w:rsid w:val="00F52653"/>
    <w:rsid w:val="00F813BC"/>
    <w:rsid w:val="00F94566"/>
    <w:rsid w:val="00FA6F5D"/>
    <w:rsid w:val="00FC6CCD"/>
    <w:rsid w:val="00FD2EA1"/>
    <w:rsid w:val="00FF6D21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31D17"/>
  <w15:chartTrackingRefBased/>
  <w15:docId w15:val="{191A9B17-7B78-427C-B189-B7F5FCBE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2"/>
    <w:qFormat/>
    <w:rsid w:val="007728A2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4472C4" w:themeColor="accent1"/>
      <w:kern w:val="0"/>
      <w:sz w:val="36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F57"/>
  </w:style>
  <w:style w:type="paragraph" w:styleId="Footer">
    <w:name w:val="footer"/>
    <w:basedOn w:val="Normal"/>
    <w:link w:val="FooterChar"/>
    <w:uiPriority w:val="99"/>
    <w:unhideWhenUsed/>
    <w:rsid w:val="00BF7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F57"/>
  </w:style>
  <w:style w:type="paragraph" w:styleId="ListParagraph">
    <w:name w:val="List Paragraph"/>
    <w:basedOn w:val="Normal"/>
    <w:uiPriority w:val="34"/>
    <w:qFormat/>
    <w:rsid w:val="00BF7F57"/>
    <w:pPr>
      <w:suppressAutoHyphens/>
      <w:spacing w:before="180" w:after="60" w:line="280" w:lineRule="atLeast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F7B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B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5501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3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36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36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6D7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625C25"/>
  </w:style>
  <w:style w:type="character" w:styleId="Emphasis">
    <w:name w:val="Emphasis"/>
    <w:basedOn w:val="DefaultParagraphFont"/>
    <w:uiPriority w:val="20"/>
    <w:qFormat/>
    <w:rsid w:val="00C4741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2"/>
    <w:rsid w:val="007728A2"/>
    <w:rPr>
      <w:rFonts w:asciiTheme="majorHAnsi" w:eastAsiaTheme="majorEastAsia" w:hAnsiTheme="majorHAnsi" w:cstheme="majorBidi"/>
      <w:color w:val="4472C4" w:themeColor="accent1"/>
      <w:kern w:val="0"/>
      <w:sz w:val="36"/>
      <w:szCs w:val="28"/>
      <w14:ligatures w14:val="none"/>
    </w:rPr>
  </w:style>
  <w:style w:type="paragraph" w:styleId="BodyText">
    <w:name w:val="Body Text"/>
    <w:basedOn w:val="Normal"/>
    <w:link w:val="BodyTextChar"/>
    <w:qFormat/>
    <w:rsid w:val="007728A2"/>
    <w:pPr>
      <w:spacing w:after="120" w:line="264" w:lineRule="auto"/>
    </w:pPr>
    <w:rPr>
      <w:rFonts w:ascii="Calibri" w:hAnsi="Calibri"/>
      <w:color w:val="262626" w:themeColor="text1" w:themeTint="D9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7728A2"/>
    <w:rPr>
      <w:rFonts w:ascii="Calibri" w:hAnsi="Calibri"/>
      <w:color w:val="262626" w:themeColor="text1" w:themeTint="D9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mailto:ddmm@finance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finance.gov.au/government/public-data/data-and-digital-ministers-meeting/terms-reference" TargetMode="External"/><Relationship Id="rId20" Type="http://schemas.openxmlformats.org/officeDocument/2006/relationships/hyperlink" Target="https://www.protectivesecurity.gov.au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inance.gov.au/government/public-data/data-and-digital-ministers-meeting/intergovernmental-agreement-data-sharing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oaic.gov.au/__data/assets/pdf_file/0017/1691/data-breach-preparation-and-response.pdf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E1ADAD7CEE1BFA459BC41B75EE72E93F" ma:contentTypeVersion="31" ma:contentTypeDescription="Create a new document." ma:contentTypeScope="" ma:versionID="7c208ad9edbc3cb4de6f7b2f1bf3ee38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6a7e9632-768a-49bf-85ac-c69233ab2a52" xmlns:ns4="504ade58-52d8-45bd-a1d8-d9ddaa66ada1" targetNamespace="http://schemas.microsoft.com/office/2006/metadata/properties" ma:root="true" ma:fieldsID="8398c7e4d0cd3858309a94f9b894ced4" ns1:_="" ns2:_="" ns3:_="" ns4:_="">
    <xsd:import namespace="http://schemas.microsoft.com/sharepoint/v3"/>
    <xsd:import namespace="a334ba3b-e131-42d3-95f3-2728f5a41884"/>
    <xsd:import namespace="6a7e9632-768a-49bf-85ac-c69233ab2a52"/>
    <xsd:import namespace="504ade58-52d8-45bd-a1d8-d9ddaa66ada1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fd4359c2-3dc1-48ce-a55a-432c6599103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Intergovernmental Strategy|f43b7191-16eb-4f21-a2d7-119e52192e96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fd4359c2-3dc1-48ce-a55a-432c6599103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ade58-52d8-45bd-a1d8-d9ddaa66a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2</Value>
      <Value>1</Value>
      <Value>43</Value>
    </TaxCatchAll>
    <lcf76f155ced4ddcb4097134ff3c332f xmlns="504ade58-52d8-45bd-a1d8-d9ddaa66ada1">
      <Terms xmlns="http://schemas.microsoft.com/office/infopath/2007/PartnerControls"/>
    </lcf76f155ced4ddcb4097134ff3c332f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Intergovernmental Strategy</TermName>
          <TermId xmlns="http://schemas.microsoft.com/office/infopath/2007/PartnerControls">f43b7191-16eb-4f21-a2d7-119e52192e96</TermId>
        </TermInfo>
      </Terms>
    </e0fcb3f570964638902a63147cd98219>
    <_ip_UnifiedCompliancePolicyProperties xmlns="http://schemas.microsoft.com/sharepoint/v3" xsi:nil="true"/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FIN11408-1680745608-20199</_dlc_DocId>
    <_dlc_DocIdUrl xmlns="6a7e9632-768a-49bf-85ac-c69233ab2a52">
      <Url>https://financegovau.sharepoint.com/sites/M365_DoF_51011408/_layouts/15/DocIdRedir.aspx?ID=FIN11408-1680745608-20199</Url>
      <Description>FIN11408-1680745608-20199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1FEB70-10F5-43A4-96F2-2C8612C6676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8EA5805-5735-404A-A086-43C0C172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0DD3F-ABDC-4429-BE78-7A1D8BE4E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6a7e9632-768a-49bf-85ac-c69233ab2a52"/>
    <ds:schemaRef ds:uri="504ade58-52d8-45bd-a1d8-d9ddaa66a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91EDAD-3888-4F30-8908-5435AB30064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CB86BD-95A2-4D18-9DD7-CFA77F7C10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334ba3b-e131-42d3-95f3-2728f5a41884"/>
    <ds:schemaRef ds:uri="504ade58-52d8-45bd-a1d8-d9ddaa66ada1"/>
    <ds:schemaRef ds:uri="6a7e9632-768a-49bf-85ac-c69233ab2a52"/>
  </ds:schemaRefs>
</ds:datastoreItem>
</file>

<file path=customXml/itemProps6.xml><?xml version="1.0" encoding="utf-8"?>
<ds:datastoreItem xmlns:ds="http://schemas.openxmlformats.org/officeDocument/2006/customXml" ds:itemID="{1FC293DC-81D0-4DB7-A395-F2F5E42971B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2716</Characters>
  <Application>Microsoft Office Word</Application>
  <DocSecurity>0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Links>
    <vt:vector size="18" baseType="variant">
      <vt:variant>
        <vt:i4>8257588</vt:i4>
      </vt:variant>
      <vt:variant>
        <vt:i4>6</vt:i4>
      </vt:variant>
      <vt:variant>
        <vt:i4>0</vt:i4>
      </vt:variant>
      <vt:variant>
        <vt:i4>5</vt:i4>
      </vt:variant>
      <vt:variant>
        <vt:lpwstr>https://www.protectivesecurity.gov.au/</vt:lpwstr>
      </vt:variant>
      <vt:variant>
        <vt:lpwstr/>
      </vt:variant>
      <vt:variant>
        <vt:i4>1769576</vt:i4>
      </vt:variant>
      <vt:variant>
        <vt:i4>3</vt:i4>
      </vt:variant>
      <vt:variant>
        <vt:i4>0</vt:i4>
      </vt:variant>
      <vt:variant>
        <vt:i4>5</vt:i4>
      </vt:variant>
      <vt:variant>
        <vt:lpwstr>https://www.oaic.gov.au/__data/assets/pdf_file/0017/1691/data-breach-preparation-and-response.pdf</vt:lpwstr>
      </vt:variant>
      <vt:variant>
        <vt:lpwstr/>
      </vt:variant>
      <vt:variant>
        <vt:i4>1376262</vt:i4>
      </vt:variant>
      <vt:variant>
        <vt:i4>0</vt:i4>
      </vt:variant>
      <vt:variant>
        <vt:i4>0</vt:i4>
      </vt:variant>
      <vt:variant>
        <vt:i4>5</vt:i4>
      </vt:variant>
      <vt:variant>
        <vt:lpwstr>https://www.finance.gov.au/government/public-data/data-and-digital-ministers-meeting/intergovernmental-agreement-data-sharing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Intergovernmental Agreement on Data Sharing Summary</dc:title>
  <dc:subject/>
  <dc:creator>Department of Finance</dc:creator>
  <cp:keywords>[SEC=OFFICIAL]</cp:keywords>
  <dc:description/>
  <cp:lastModifiedBy>Truong, Minh</cp:lastModifiedBy>
  <cp:revision>7</cp:revision>
  <dcterms:created xsi:type="dcterms:W3CDTF">2023-12-13T01:18:00Z</dcterms:created>
  <dcterms:modified xsi:type="dcterms:W3CDTF">2023-12-17T22:01:00Z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2023-10-31T01:29:26Z</vt:lpwstr>
  </property>
  <property fmtid="{D5CDD505-2E9C-101B-9397-08002B2CF9AE}" pid="10" name="PM_Markers">
    <vt:lpwstr/>
  </property>
  <property fmtid="{D5CDD505-2E9C-101B-9397-08002B2CF9AE}" pid="11" name="MSIP_Label_87d6481e-ccdd-4ab6-8b26-05a0df5699e7_Name">
    <vt:lpwstr>OFFICIAL</vt:lpwstr>
  </property>
  <property fmtid="{D5CDD505-2E9C-101B-9397-08002B2CF9AE}" pid="12" name="MSIP_Label_87d6481e-ccdd-4ab6-8b26-05a0df5699e7_SiteId">
    <vt:lpwstr>08954cee-4782-4ff6-9ad5-1997dccef4b0</vt:lpwstr>
  </property>
  <property fmtid="{D5CDD505-2E9C-101B-9397-08002B2CF9AE}" pid="13" name="MSIP_Label_87d6481e-ccdd-4ab6-8b26-05a0df5699e7_Enabled">
    <vt:lpwstr>true</vt:lpwstr>
  </property>
  <property fmtid="{D5CDD505-2E9C-101B-9397-08002B2CF9AE}" pid="14" name="MSIP_Label_87d6481e-ccdd-4ab6-8b26-05a0df5699e7_SetDate">
    <vt:lpwstr>2023-10-31T01:29:26Z</vt:lpwstr>
  </property>
  <property fmtid="{D5CDD505-2E9C-101B-9397-08002B2CF9AE}" pid="15" name="MSIP_Label_87d6481e-ccdd-4ab6-8b26-05a0df5699e7_Method">
    <vt:lpwstr>Privileged</vt:lpwstr>
  </property>
  <property fmtid="{D5CDD505-2E9C-101B-9397-08002B2CF9AE}" pid="16" name="MSIP_Label_87d6481e-ccdd-4ab6-8b26-05a0df5699e7_ContentBits">
    <vt:lpwstr>0</vt:lpwstr>
  </property>
  <property fmtid="{D5CDD505-2E9C-101B-9397-08002B2CF9AE}" pid="17" name="PM_InsertionValue">
    <vt:lpwstr>OFFICIAL</vt:lpwstr>
  </property>
  <property fmtid="{D5CDD505-2E9C-101B-9397-08002B2CF9AE}" pid="18" name="PM_DisplayValueSecClassificationWithQualifier">
    <vt:lpwstr>OFFICIAL</vt:lpwstr>
  </property>
  <property fmtid="{D5CDD505-2E9C-101B-9397-08002B2CF9AE}" pid="19" name="PM_Originating_FileId">
    <vt:lpwstr>637C9B8CE4454D85A55A93111D9A13DF</vt:lpwstr>
  </property>
  <property fmtid="{D5CDD505-2E9C-101B-9397-08002B2CF9AE}" pid="20" name="PM_ProtectiveMarkingValue_Footer">
    <vt:lpwstr>OFFICIAL</vt:lpwstr>
  </property>
  <property fmtid="{D5CDD505-2E9C-101B-9397-08002B2CF9AE}" pid="21" name="PM_ProtectiveMarkingImage_Header">
    <vt:lpwstr>C:\Program Files\Common Files\janusNET Shared\janusSEAL\Images\DocumentSlashBlue.png</vt:lpwstr>
  </property>
  <property fmtid="{D5CDD505-2E9C-101B-9397-08002B2CF9AE}" pid="22" name="PM_ProtectiveMarkingImage_Footer">
    <vt:lpwstr>C:\Program Files\Common Files\janusNET Shared\janusSEAL\Images\DocumentSlashBlue.png</vt:lpwstr>
  </property>
  <property fmtid="{D5CDD505-2E9C-101B-9397-08002B2CF9AE}" pid="23" name="PM_Display">
    <vt:lpwstr>OFFICIAL</vt:lpwstr>
  </property>
  <property fmtid="{D5CDD505-2E9C-101B-9397-08002B2CF9AE}" pid="24" name="PM_OriginatorDomainName_SHA256">
    <vt:lpwstr>325440F6CA31C4C3BCE4433552DC42928CAAD3E2731ABE35FDE729ECEB763AF0</vt:lpwstr>
  </property>
  <property fmtid="{D5CDD505-2E9C-101B-9397-08002B2CF9AE}" pid="25" name="PMUuid">
    <vt:lpwstr>v=2022.2;d=gov.au;g=46DD6D7C-8107-577B-BC6E-F348953B2E44</vt:lpwstr>
  </property>
  <property fmtid="{D5CDD505-2E9C-101B-9397-08002B2CF9AE}" pid="26" name="PM_Hash_Version">
    <vt:lpwstr>2022.1</vt:lpwstr>
  </property>
  <property fmtid="{D5CDD505-2E9C-101B-9397-08002B2CF9AE}" pid="27" name="ContentTypeId">
    <vt:lpwstr>0x010100B7B479F47583304BA8B631462CC772D700E1ADAD7CEE1BFA459BC41B75EE72E93F</vt:lpwstr>
  </property>
  <property fmtid="{D5CDD505-2E9C-101B-9397-08002B2CF9AE}" pid="28" name="TaxKeyword">
    <vt:lpwstr>43;#[SEC=OFFICIAL]|07351cc0-de73-4913-be2f-56f124cbf8bb</vt:lpwstr>
  </property>
  <property fmtid="{D5CDD505-2E9C-101B-9397-08002B2CF9AE}" pid="29" name="_dlc_DocIdItemGuid">
    <vt:lpwstr>c5ee8812-5ffe-4a8c-8656-8a645b50fe28</vt:lpwstr>
  </property>
  <property fmtid="{D5CDD505-2E9C-101B-9397-08002B2CF9AE}" pid="30" name="About Entity">
    <vt:lpwstr>1;#Department of Finance|fd660e8f-8f31-49bd-92a3-d31d4da31afe</vt:lpwstr>
  </property>
  <property fmtid="{D5CDD505-2E9C-101B-9397-08002B2CF9AE}" pid="31" name="Initiating Entity">
    <vt:lpwstr>1;#Department of Finance|fd660e8f-8f31-49bd-92a3-d31d4da31afe</vt:lpwstr>
  </property>
  <property fmtid="{D5CDD505-2E9C-101B-9397-08002B2CF9AE}" pid="32" name="Organisation Unit">
    <vt:lpwstr>2;#Intergovernmental Strategy|f43b7191-16eb-4f21-a2d7-119e52192e96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MediaServiceImageTags">
    <vt:lpwstr/>
  </property>
  <property fmtid="{D5CDD505-2E9C-101B-9397-08002B2CF9AE}" pid="36" name="Function and Activity">
    <vt:lpwstr/>
  </property>
  <property fmtid="{D5CDD505-2E9C-101B-9397-08002B2CF9AE}" pid="37" name="PMHMAC">
    <vt:lpwstr>v=2022.1;a=SHA256;h=2C839B79AE3F1B27B900A6B14C024E5F698A8FCCB73644352451FDAE946B094F</vt:lpwstr>
  </property>
  <property fmtid="{D5CDD505-2E9C-101B-9397-08002B2CF9AE}" pid="38" name="PM_OriginatorUserAccountName_SHA256">
    <vt:lpwstr>3F9C3930C95A80FE14E5E569A96906FECB80D374DD6F0E6814A1821B290CD60B</vt:lpwstr>
  </property>
  <property fmtid="{D5CDD505-2E9C-101B-9397-08002B2CF9AE}" pid="39" name="MSIP_Label_87d6481e-ccdd-4ab6-8b26-05a0df5699e7_ActionId">
    <vt:lpwstr>b6e9170f57b5469893fb14a0a4cd8443</vt:lpwstr>
  </property>
  <property fmtid="{D5CDD505-2E9C-101B-9397-08002B2CF9AE}" pid="40" name="PM_Originator_Hash_SHA1">
    <vt:lpwstr>C4E8576B6510B1FB5DEF9BBC04AB3A64E004CBD8</vt:lpwstr>
  </property>
  <property fmtid="{D5CDD505-2E9C-101B-9397-08002B2CF9AE}" pid="41" name="PM_Hash_Salt_Prev">
    <vt:lpwstr>0B4F6707B2FEE75E1074F9CECD0420F6</vt:lpwstr>
  </property>
  <property fmtid="{D5CDD505-2E9C-101B-9397-08002B2CF9AE}" pid="42" name="PM_Hash_Salt">
    <vt:lpwstr>105973132A291AB016B3876F2BD8BC19</vt:lpwstr>
  </property>
  <property fmtid="{D5CDD505-2E9C-101B-9397-08002B2CF9AE}" pid="43" name="PM_Hash_SHA1">
    <vt:lpwstr>5EC0F6BDEF7C015A299D2D080577E29717E0F0DD</vt:lpwstr>
  </property>
</Properties>
</file>