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F1CEF" w14:textId="77777777" w:rsidR="00123B25" w:rsidRDefault="00123B25" w:rsidP="00E3086B">
      <w:pPr>
        <w:pStyle w:val="ChartandTableFootnoteAlpha"/>
        <w:spacing w:before="60"/>
      </w:pPr>
    </w:p>
    <w:p w14:paraId="1E91B591" w14:textId="5B1ECB0E" w:rsidR="00B205BF" w:rsidRPr="005A7C0B" w:rsidRDefault="00B205BF" w:rsidP="005A7C0B">
      <w:pPr>
        <w:pStyle w:val="PartHeading"/>
      </w:pPr>
      <w:r>
        <w:t xml:space="preserve">Australian Electoral </w:t>
      </w:r>
      <w:r w:rsidR="00435E13">
        <w:t>Commission</w:t>
      </w:r>
    </w:p>
    <w:p w14:paraId="56EF2DFE" w14:textId="77777777" w:rsidR="00B205BF" w:rsidRDefault="00B205BF" w:rsidP="005A7C0B">
      <w:pPr>
        <w:pStyle w:val="PartHeading"/>
      </w:pPr>
    </w:p>
    <w:p w14:paraId="30C43D3B" w14:textId="77777777" w:rsidR="00B205BF" w:rsidRDefault="00B205BF" w:rsidP="006B7542">
      <w:pPr>
        <w:pStyle w:val="PartHeading-TOC"/>
      </w:pPr>
      <w:bookmarkStart w:id="0" w:name="_Toc65243501"/>
      <w:bookmarkStart w:id="1" w:name="_Toc133165287"/>
      <w:r>
        <w:t>Entity resources and planned performance</w:t>
      </w:r>
      <w:bookmarkEnd w:id="0"/>
      <w:bookmarkEnd w:id="1"/>
    </w:p>
    <w:p w14:paraId="736DDB65" w14:textId="77777777" w:rsidR="00B205BF" w:rsidRDefault="00B205BF" w:rsidP="005A7C0B">
      <w:pPr>
        <w:pStyle w:val="PartHeading"/>
        <w:sectPr w:rsidR="00B205BF" w:rsidSect="00E3086B">
          <w:footerReference w:type="default" r:id="rId14"/>
          <w:type w:val="oddPage"/>
          <w:pgSz w:w="11906" w:h="16838" w:code="9"/>
          <w:pgMar w:top="2835" w:right="2098" w:bottom="2466" w:left="2098" w:header="1814" w:footer="1814" w:gutter="0"/>
          <w:cols w:space="708"/>
          <w:vAlign w:val="center"/>
          <w:titlePg/>
          <w:docGrid w:linePitch="360"/>
        </w:sectPr>
      </w:pPr>
    </w:p>
    <w:p w14:paraId="002A63E3" w14:textId="1AE16B87" w:rsidR="00FB62CA" w:rsidRPr="008115BD" w:rsidRDefault="00B205BF" w:rsidP="008115BD">
      <w:pPr>
        <w:pStyle w:val="ContentsHeading"/>
        <w:rPr>
          <w:noProof/>
        </w:rPr>
      </w:pPr>
      <w:r>
        <w:lastRenderedPageBreak/>
        <w:t>Australian Electoral Commission</w:t>
      </w:r>
      <w:r>
        <w:fldChar w:fldCharType="begin"/>
      </w:r>
      <w:r>
        <w:instrText xml:space="preserve"> TOC \h \z \t "Heading 2,1,Heading 3,2" </w:instrText>
      </w:r>
      <w:r>
        <w:fldChar w:fldCharType="separate"/>
      </w:r>
    </w:p>
    <w:p w14:paraId="7546A0C7" w14:textId="2F36A2A6" w:rsidR="00FB62CA" w:rsidRDefault="00CB3115">
      <w:pPr>
        <w:pStyle w:val="TOC1"/>
        <w:rPr>
          <w:rFonts w:asciiTheme="minorHAnsi" w:eastAsiaTheme="minorEastAsia" w:hAnsiTheme="minorHAnsi" w:cstheme="minorBidi"/>
          <w:b w:val="0"/>
          <w:noProof/>
          <w:sz w:val="22"/>
          <w:szCs w:val="22"/>
        </w:rPr>
      </w:pPr>
      <w:hyperlink w:anchor="_Toc134035371" w:history="1">
        <w:r w:rsidR="00FB62CA" w:rsidRPr="000B5A89">
          <w:rPr>
            <w:rStyle w:val="Hyperlink"/>
            <w:noProof/>
          </w:rPr>
          <w:t>Section 1: Entity overview and resources</w:t>
        </w:r>
        <w:r w:rsidR="00FB62CA">
          <w:rPr>
            <w:noProof/>
            <w:webHidden/>
          </w:rPr>
          <w:tab/>
        </w:r>
        <w:r w:rsidR="00FB62CA">
          <w:rPr>
            <w:noProof/>
            <w:webHidden/>
          </w:rPr>
          <w:fldChar w:fldCharType="begin"/>
        </w:r>
        <w:r w:rsidR="00FB62CA">
          <w:rPr>
            <w:noProof/>
            <w:webHidden/>
          </w:rPr>
          <w:instrText xml:space="preserve"> PAGEREF _Toc134035371 \h </w:instrText>
        </w:r>
        <w:r w:rsidR="00FB62CA">
          <w:rPr>
            <w:noProof/>
            <w:webHidden/>
          </w:rPr>
        </w:r>
        <w:r w:rsidR="00FB62CA">
          <w:rPr>
            <w:noProof/>
            <w:webHidden/>
          </w:rPr>
          <w:fldChar w:fldCharType="separate"/>
        </w:r>
        <w:r w:rsidR="00992EC9">
          <w:rPr>
            <w:noProof/>
            <w:webHidden/>
          </w:rPr>
          <w:t>85</w:t>
        </w:r>
        <w:r w:rsidR="00FB62CA">
          <w:rPr>
            <w:noProof/>
            <w:webHidden/>
          </w:rPr>
          <w:fldChar w:fldCharType="end"/>
        </w:r>
      </w:hyperlink>
    </w:p>
    <w:p w14:paraId="3192DDAB" w14:textId="550D9631" w:rsidR="00FB62CA" w:rsidRDefault="00CB3115">
      <w:pPr>
        <w:pStyle w:val="TOC2"/>
        <w:rPr>
          <w:rFonts w:asciiTheme="minorHAnsi" w:eastAsiaTheme="minorEastAsia" w:hAnsiTheme="minorHAnsi" w:cstheme="minorBidi"/>
          <w:noProof/>
          <w:sz w:val="22"/>
          <w:szCs w:val="22"/>
        </w:rPr>
      </w:pPr>
      <w:hyperlink w:anchor="_Toc134035372" w:history="1">
        <w:r w:rsidR="00FB62CA" w:rsidRPr="000B5A89">
          <w:rPr>
            <w:rStyle w:val="Hyperlink"/>
            <w:noProof/>
          </w:rPr>
          <w:t>1.1</w:t>
        </w:r>
        <w:r w:rsidR="00FB62CA">
          <w:rPr>
            <w:rFonts w:asciiTheme="minorHAnsi" w:eastAsiaTheme="minorEastAsia" w:hAnsiTheme="minorHAnsi" w:cstheme="minorBidi"/>
            <w:noProof/>
            <w:sz w:val="22"/>
            <w:szCs w:val="22"/>
          </w:rPr>
          <w:tab/>
        </w:r>
        <w:r w:rsidR="00FB62CA" w:rsidRPr="000B5A89">
          <w:rPr>
            <w:rStyle w:val="Hyperlink"/>
            <w:noProof/>
          </w:rPr>
          <w:t>Strategic direction statement</w:t>
        </w:r>
        <w:r w:rsidR="00FB62CA">
          <w:rPr>
            <w:noProof/>
            <w:webHidden/>
          </w:rPr>
          <w:tab/>
        </w:r>
        <w:r w:rsidR="00FB62CA">
          <w:rPr>
            <w:noProof/>
            <w:webHidden/>
          </w:rPr>
          <w:fldChar w:fldCharType="begin"/>
        </w:r>
        <w:r w:rsidR="00FB62CA">
          <w:rPr>
            <w:noProof/>
            <w:webHidden/>
          </w:rPr>
          <w:instrText xml:space="preserve"> PAGEREF _Toc134035372 \h </w:instrText>
        </w:r>
        <w:r w:rsidR="00FB62CA">
          <w:rPr>
            <w:noProof/>
            <w:webHidden/>
          </w:rPr>
        </w:r>
        <w:r w:rsidR="00FB62CA">
          <w:rPr>
            <w:noProof/>
            <w:webHidden/>
          </w:rPr>
          <w:fldChar w:fldCharType="separate"/>
        </w:r>
        <w:r w:rsidR="00992EC9">
          <w:rPr>
            <w:noProof/>
            <w:webHidden/>
          </w:rPr>
          <w:t>85</w:t>
        </w:r>
        <w:r w:rsidR="00FB62CA">
          <w:rPr>
            <w:noProof/>
            <w:webHidden/>
          </w:rPr>
          <w:fldChar w:fldCharType="end"/>
        </w:r>
      </w:hyperlink>
    </w:p>
    <w:p w14:paraId="6A4EB638" w14:textId="2D06F746" w:rsidR="00FB62CA" w:rsidRDefault="00CB3115">
      <w:pPr>
        <w:pStyle w:val="TOC2"/>
        <w:rPr>
          <w:rFonts w:asciiTheme="minorHAnsi" w:eastAsiaTheme="minorEastAsia" w:hAnsiTheme="minorHAnsi" w:cstheme="minorBidi"/>
          <w:noProof/>
          <w:sz w:val="22"/>
          <w:szCs w:val="22"/>
        </w:rPr>
      </w:pPr>
      <w:hyperlink w:anchor="_Toc134035373" w:history="1">
        <w:r w:rsidR="00FB62CA" w:rsidRPr="000B5A89">
          <w:rPr>
            <w:rStyle w:val="Hyperlink"/>
            <w:noProof/>
          </w:rPr>
          <w:t>1.2</w:t>
        </w:r>
        <w:r w:rsidR="00FB62CA">
          <w:rPr>
            <w:rFonts w:asciiTheme="minorHAnsi" w:eastAsiaTheme="minorEastAsia" w:hAnsiTheme="minorHAnsi" w:cstheme="minorBidi"/>
            <w:noProof/>
            <w:sz w:val="22"/>
            <w:szCs w:val="22"/>
          </w:rPr>
          <w:tab/>
        </w:r>
        <w:r w:rsidR="00FB62CA" w:rsidRPr="000B5A89">
          <w:rPr>
            <w:rStyle w:val="Hyperlink"/>
            <w:noProof/>
          </w:rPr>
          <w:t>Entity resource statement</w:t>
        </w:r>
        <w:r w:rsidR="00FB62CA">
          <w:rPr>
            <w:noProof/>
            <w:webHidden/>
          </w:rPr>
          <w:tab/>
        </w:r>
        <w:r w:rsidR="00FB62CA">
          <w:rPr>
            <w:noProof/>
            <w:webHidden/>
          </w:rPr>
          <w:fldChar w:fldCharType="begin"/>
        </w:r>
        <w:r w:rsidR="00FB62CA">
          <w:rPr>
            <w:noProof/>
            <w:webHidden/>
          </w:rPr>
          <w:instrText xml:space="preserve"> PAGEREF _Toc134035373 \h </w:instrText>
        </w:r>
        <w:r w:rsidR="00FB62CA">
          <w:rPr>
            <w:noProof/>
            <w:webHidden/>
          </w:rPr>
        </w:r>
        <w:r w:rsidR="00FB62CA">
          <w:rPr>
            <w:noProof/>
            <w:webHidden/>
          </w:rPr>
          <w:fldChar w:fldCharType="separate"/>
        </w:r>
        <w:r w:rsidR="00992EC9">
          <w:rPr>
            <w:noProof/>
            <w:webHidden/>
          </w:rPr>
          <w:t>86</w:t>
        </w:r>
        <w:r w:rsidR="00FB62CA">
          <w:rPr>
            <w:noProof/>
            <w:webHidden/>
          </w:rPr>
          <w:fldChar w:fldCharType="end"/>
        </w:r>
      </w:hyperlink>
    </w:p>
    <w:p w14:paraId="68B17F06" w14:textId="2EFBAD83" w:rsidR="00FB62CA" w:rsidRDefault="00CB3115">
      <w:pPr>
        <w:pStyle w:val="TOC2"/>
        <w:rPr>
          <w:rFonts w:asciiTheme="minorHAnsi" w:eastAsiaTheme="minorEastAsia" w:hAnsiTheme="minorHAnsi" w:cstheme="minorBidi"/>
          <w:noProof/>
          <w:sz w:val="22"/>
          <w:szCs w:val="22"/>
        </w:rPr>
      </w:pPr>
      <w:hyperlink w:anchor="_Toc134035374" w:history="1">
        <w:r w:rsidR="00FB62CA" w:rsidRPr="000B5A89">
          <w:rPr>
            <w:rStyle w:val="Hyperlink"/>
            <w:noProof/>
          </w:rPr>
          <w:t>1.3</w:t>
        </w:r>
        <w:r w:rsidR="00FB62CA">
          <w:rPr>
            <w:rFonts w:asciiTheme="minorHAnsi" w:eastAsiaTheme="minorEastAsia" w:hAnsiTheme="minorHAnsi" w:cstheme="minorBidi"/>
            <w:noProof/>
            <w:sz w:val="22"/>
            <w:szCs w:val="22"/>
          </w:rPr>
          <w:tab/>
        </w:r>
        <w:r w:rsidR="00FB62CA" w:rsidRPr="000B5A89">
          <w:rPr>
            <w:rStyle w:val="Hyperlink"/>
            <w:noProof/>
          </w:rPr>
          <w:t>Budget measures</w:t>
        </w:r>
        <w:r w:rsidR="00FB62CA">
          <w:rPr>
            <w:noProof/>
            <w:webHidden/>
          </w:rPr>
          <w:tab/>
        </w:r>
        <w:r w:rsidR="00FB62CA">
          <w:rPr>
            <w:noProof/>
            <w:webHidden/>
          </w:rPr>
          <w:fldChar w:fldCharType="begin"/>
        </w:r>
        <w:r w:rsidR="00FB62CA">
          <w:rPr>
            <w:noProof/>
            <w:webHidden/>
          </w:rPr>
          <w:instrText xml:space="preserve"> PAGEREF _Toc134035374 \h </w:instrText>
        </w:r>
        <w:r w:rsidR="00FB62CA">
          <w:rPr>
            <w:noProof/>
            <w:webHidden/>
          </w:rPr>
        </w:r>
        <w:r w:rsidR="00FB62CA">
          <w:rPr>
            <w:noProof/>
            <w:webHidden/>
          </w:rPr>
          <w:fldChar w:fldCharType="separate"/>
        </w:r>
        <w:r w:rsidR="00992EC9">
          <w:rPr>
            <w:noProof/>
            <w:webHidden/>
          </w:rPr>
          <w:t>88</w:t>
        </w:r>
        <w:r w:rsidR="00FB62CA">
          <w:rPr>
            <w:noProof/>
            <w:webHidden/>
          </w:rPr>
          <w:fldChar w:fldCharType="end"/>
        </w:r>
      </w:hyperlink>
    </w:p>
    <w:p w14:paraId="7C62EC9B" w14:textId="090D84D9" w:rsidR="00FB62CA" w:rsidRDefault="00CB3115">
      <w:pPr>
        <w:pStyle w:val="TOC1"/>
        <w:rPr>
          <w:rFonts w:asciiTheme="minorHAnsi" w:eastAsiaTheme="minorEastAsia" w:hAnsiTheme="minorHAnsi" w:cstheme="minorBidi"/>
          <w:b w:val="0"/>
          <w:noProof/>
          <w:sz w:val="22"/>
          <w:szCs w:val="22"/>
        </w:rPr>
      </w:pPr>
      <w:hyperlink w:anchor="_Toc134035375" w:history="1">
        <w:r w:rsidR="00FB62CA" w:rsidRPr="000B5A89">
          <w:rPr>
            <w:rStyle w:val="Hyperlink"/>
            <w:noProof/>
          </w:rPr>
          <w:t>Section 2: Outcomes and planned performance</w:t>
        </w:r>
        <w:r w:rsidR="00FB62CA">
          <w:rPr>
            <w:noProof/>
            <w:webHidden/>
          </w:rPr>
          <w:tab/>
        </w:r>
        <w:r w:rsidR="00FB62CA">
          <w:rPr>
            <w:noProof/>
            <w:webHidden/>
          </w:rPr>
          <w:fldChar w:fldCharType="begin"/>
        </w:r>
        <w:r w:rsidR="00FB62CA">
          <w:rPr>
            <w:noProof/>
            <w:webHidden/>
          </w:rPr>
          <w:instrText xml:space="preserve"> PAGEREF _Toc134035375 \h </w:instrText>
        </w:r>
        <w:r w:rsidR="00FB62CA">
          <w:rPr>
            <w:noProof/>
            <w:webHidden/>
          </w:rPr>
        </w:r>
        <w:r w:rsidR="00FB62CA">
          <w:rPr>
            <w:noProof/>
            <w:webHidden/>
          </w:rPr>
          <w:fldChar w:fldCharType="separate"/>
        </w:r>
        <w:r w:rsidR="00992EC9">
          <w:rPr>
            <w:noProof/>
            <w:webHidden/>
          </w:rPr>
          <w:t>89</w:t>
        </w:r>
        <w:r w:rsidR="00FB62CA">
          <w:rPr>
            <w:noProof/>
            <w:webHidden/>
          </w:rPr>
          <w:fldChar w:fldCharType="end"/>
        </w:r>
      </w:hyperlink>
    </w:p>
    <w:p w14:paraId="7A1BF7EE" w14:textId="45EEC174" w:rsidR="00FB62CA" w:rsidRDefault="00CB3115">
      <w:pPr>
        <w:pStyle w:val="TOC2"/>
        <w:rPr>
          <w:rFonts w:asciiTheme="minorHAnsi" w:eastAsiaTheme="minorEastAsia" w:hAnsiTheme="minorHAnsi" w:cstheme="minorBidi"/>
          <w:noProof/>
          <w:sz w:val="22"/>
          <w:szCs w:val="22"/>
        </w:rPr>
      </w:pPr>
      <w:hyperlink w:anchor="_Toc134035376" w:history="1">
        <w:r w:rsidR="00FB62CA" w:rsidRPr="000B5A89">
          <w:rPr>
            <w:rStyle w:val="Hyperlink"/>
            <w:noProof/>
          </w:rPr>
          <w:t xml:space="preserve">2.1 </w:t>
        </w:r>
        <w:r w:rsidR="00FB62CA">
          <w:rPr>
            <w:rFonts w:asciiTheme="minorHAnsi" w:eastAsiaTheme="minorEastAsia" w:hAnsiTheme="minorHAnsi" w:cstheme="minorBidi"/>
            <w:noProof/>
            <w:sz w:val="22"/>
            <w:szCs w:val="22"/>
          </w:rPr>
          <w:tab/>
        </w:r>
        <w:r w:rsidR="00FB62CA" w:rsidRPr="000B5A89">
          <w:rPr>
            <w:rStyle w:val="Hyperlink"/>
            <w:noProof/>
          </w:rPr>
          <w:t>Budgeted expenses and performance for Outcome 1</w:t>
        </w:r>
        <w:r w:rsidR="00FB62CA">
          <w:rPr>
            <w:noProof/>
            <w:webHidden/>
          </w:rPr>
          <w:tab/>
        </w:r>
        <w:r w:rsidR="00FB62CA">
          <w:rPr>
            <w:noProof/>
            <w:webHidden/>
          </w:rPr>
          <w:fldChar w:fldCharType="begin"/>
        </w:r>
        <w:r w:rsidR="00FB62CA">
          <w:rPr>
            <w:noProof/>
            <w:webHidden/>
          </w:rPr>
          <w:instrText xml:space="preserve"> PAGEREF _Toc134035376 \h </w:instrText>
        </w:r>
        <w:r w:rsidR="00FB62CA">
          <w:rPr>
            <w:noProof/>
            <w:webHidden/>
          </w:rPr>
        </w:r>
        <w:r w:rsidR="00FB62CA">
          <w:rPr>
            <w:noProof/>
            <w:webHidden/>
          </w:rPr>
          <w:fldChar w:fldCharType="separate"/>
        </w:r>
        <w:r w:rsidR="00992EC9">
          <w:rPr>
            <w:noProof/>
            <w:webHidden/>
          </w:rPr>
          <w:t>90</w:t>
        </w:r>
        <w:r w:rsidR="00FB62CA">
          <w:rPr>
            <w:noProof/>
            <w:webHidden/>
          </w:rPr>
          <w:fldChar w:fldCharType="end"/>
        </w:r>
      </w:hyperlink>
    </w:p>
    <w:p w14:paraId="1E036EF5" w14:textId="1DCB67E4" w:rsidR="00FB62CA" w:rsidRDefault="00CB3115">
      <w:pPr>
        <w:pStyle w:val="TOC1"/>
        <w:rPr>
          <w:rFonts w:asciiTheme="minorHAnsi" w:eastAsiaTheme="minorEastAsia" w:hAnsiTheme="minorHAnsi" w:cstheme="minorBidi"/>
          <w:b w:val="0"/>
          <w:noProof/>
          <w:sz w:val="22"/>
          <w:szCs w:val="22"/>
        </w:rPr>
      </w:pPr>
      <w:hyperlink w:anchor="_Toc134035377" w:history="1">
        <w:r w:rsidR="00FB62CA" w:rsidRPr="000B5A89">
          <w:rPr>
            <w:rStyle w:val="Hyperlink"/>
            <w:noProof/>
          </w:rPr>
          <w:t>Section 3: Budgeted financial statements</w:t>
        </w:r>
        <w:r w:rsidR="00FB62CA">
          <w:rPr>
            <w:noProof/>
            <w:webHidden/>
          </w:rPr>
          <w:tab/>
        </w:r>
        <w:r w:rsidR="00FB62CA">
          <w:rPr>
            <w:noProof/>
            <w:webHidden/>
          </w:rPr>
          <w:fldChar w:fldCharType="begin"/>
        </w:r>
        <w:r w:rsidR="00FB62CA">
          <w:rPr>
            <w:noProof/>
            <w:webHidden/>
          </w:rPr>
          <w:instrText xml:space="preserve"> PAGEREF _Toc134035377 \h </w:instrText>
        </w:r>
        <w:r w:rsidR="00FB62CA">
          <w:rPr>
            <w:noProof/>
            <w:webHidden/>
          </w:rPr>
        </w:r>
        <w:r w:rsidR="00FB62CA">
          <w:rPr>
            <w:noProof/>
            <w:webHidden/>
          </w:rPr>
          <w:fldChar w:fldCharType="separate"/>
        </w:r>
        <w:r w:rsidR="00992EC9">
          <w:rPr>
            <w:noProof/>
            <w:webHidden/>
          </w:rPr>
          <w:t>96</w:t>
        </w:r>
        <w:r w:rsidR="00FB62CA">
          <w:rPr>
            <w:noProof/>
            <w:webHidden/>
          </w:rPr>
          <w:fldChar w:fldCharType="end"/>
        </w:r>
      </w:hyperlink>
    </w:p>
    <w:p w14:paraId="7E820BA9" w14:textId="5DB74E9F" w:rsidR="00FB62CA" w:rsidRDefault="00CB3115">
      <w:pPr>
        <w:pStyle w:val="TOC2"/>
        <w:rPr>
          <w:rFonts w:asciiTheme="minorHAnsi" w:eastAsiaTheme="minorEastAsia" w:hAnsiTheme="minorHAnsi" w:cstheme="minorBidi"/>
          <w:noProof/>
          <w:sz w:val="22"/>
          <w:szCs w:val="22"/>
        </w:rPr>
      </w:pPr>
      <w:hyperlink w:anchor="_Toc134035379" w:history="1">
        <w:r w:rsidR="00FB62CA" w:rsidRPr="000B5A89">
          <w:rPr>
            <w:rStyle w:val="Hyperlink"/>
            <w:noProof/>
          </w:rPr>
          <w:t>3.1</w:t>
        </w:r>
        <w:r w:rsidR="00FB62CA">
          <w:rPr>
            <w:rFonts w:asciiTheme="minorHAnsi" w:eastAsiaTheme="minorEastAsia" w:hAnsiTheme="minorHAnsi" w:cstheme="minorBidi"/>
            <w:noProof/>
            <w:sz w:val="22"/>
            <w:szCs w:val="22"/>
          </w:rPr>
          <w:tab/>
        </w:r>
        <w:r w:rsidR="00FB62CA" w:rsidRPr="000B5A89">
          <w:rPr>
            <w:rStyle w:val="Hyperlink"/>
            <w:noProof/>
          </w:rPr>
          <w:t>Budgeted financial statements</w:t>
        </w:r>
        <w:r w:rsidR="00FB62CA">
          <w:rPr>
            <w:noProof/>
            <w:webHidden/>
          </w:rPr>
          <w:tab/>
        </w:r>
        <w:r w:rsidR="00FB62CA">
          <w:rPr>
            <w:noProof/>
            <w:webHidden/>
          </w:rPr>
          <w:fldChar w:fldCharType="begin"/>
        </w:r>
        <w:r w:rsidR="00FB62CA">
          <w:rPr>
            <w:noProof/>
            <w:webHidden/>
          </w:rPr>
          <w:instrText xml:space="preserve"> PAGEREF _Toc134035379 \h </w:instrText>
        </w:r>
        <w:r w:rsidR="00FB62CA">
          <w:rPr>
            <w:noProof/>
            <w:webHidden/>
          </w:rPr>
        </w:r>
        <w:r w:rsidR="00FB62CA">
          <w:rPr>
            <w:noProof/>
            <w:webHidden/>
          </w:rPr>
          <w:fldChar w:fldCharType="separate"/>
        </w:r>
        <w:r w:rsidR="00992EC9">
          <w:rPr>
            <w:noProof/>
            <w:webHidden/>
          </w:rPr>
          <w:t>96</w:t>
        </w:r>
        <w:r w:rsidR="00FB62CA">
          <w:rPr>
            <w:noProof/>
            <w:webHidden/>
          </w:rPr>
          <w:fldChar w:fldCharType="end"/>
        </w:r>
      </w:hyperlink>
    </w:p>
    <w:p w14:paraId="5E064AF4" w14:textId="05873289" w:rsidR="00FB62CA" w:rsidRDefault="00CB3115">
      <w:pPr>
        <w:pStyle w:val="TOC2"/>
        <w:rPr>
          <w:rFonts w:asciiTheme="minorHAnsi" w:eastAsiaTheme="minorEastAsia" w:hAnsiTheme="minorHAnsi" w:cstheme="minorBidi"/>
          <w:noProof/>
          <w:sz w:val="22"/>
          <w:szCs w:val="22"/>
        </w:rPr>
      </w:pPr>
      <w:hyperlink w:anchor="_Toc134035380" w:history="1">
        <w:r w:rsidR="00FB62CA" w:rsidRPr="000B5A89">
          <w:rPr>
            <w:rStyle w:val="Hyperlink"/>
            <w:noProof/>
          </w:rPr>
          <w:t>3.2</w:t>
        </w:r>
        <w:r w:rsidR="00FB62CA">
          <w:rPr>
            <w:rFonts w:asciiTheme="minorHAnsi" w:eastAsiaTheme="minorEastAsia" w:hAnsiTheme="minorHAnsi" w:cstheme="minorBidi"/>
            <w:noProof/>
            <w:sz w:val="22"/>
            <w:szCs w:val="22"/>
          </w:rPr>
          <w:tab/>
        </w:r>
        <w:r w:rsidR="00FB62CA" w:rsidRPr="000B5A89">
          <w:rPr>
            <w:rStyle w:val="Hyperlink"/>
            <w:noProof/>
          </w:rPr>
          <w:t>Budgeted financial statements tables</w:t>
        </w:r>
        <w:r w:rsidR="00FB62CA">
          <w:rPr>
            <w:noProof/>
            <w:webHidden/>
          </w:rPr>
          <w:tab/>
        </w:r>
        <w:r w:rsidR="00FB62CA">
          <w:rPr>
            <w:noProof/>
            <w:webHidden/>
          </w:rPr>
          <w:fldChar w:fldCharType="begin"/>
        </w:r>
        <w:r w:rsidR="00FB62CA">
          <w:rPr>
            <w:noProof/>
            <w:webHidden/>
          </w:rPr>
          <w:instrText xml:space="preserve"> PAGEREF _Toc134035380 \h </w:instrText>
        </w:r>
        <w:r w:rsidR="00FB62CA">
          <w:rPr>
            <w:noProof/>
            <w:webHidden/>
          </w:rPr>
        </w:r>
        <w:r w:rsidR="00FB62CA">
          <w:rPr>
            <w:noProof/>
            <w:webHidden/>
          </w:rPr>
          <w:fldChar w:fldCharType="separate"/>
        </w:r>
        <w:r w:rsidR="00992EC9">
          <w:rPr>
            <w:noProof/>
            <w:webHidden/>
          </w:rPr>
          <w:t>97</w:t>
        </w:r>
        <w:r w:rsidR="00FB62CA">
          <w:rPr>
            <w:noProof/>
            <w:webHidden/>
          </w:rPr>
          <w:fldChar w:fldCharType="end"/>
        </w:r>
      </w:hyperlink>
    </w:p>
    <w:p w14:paraId="02D16097" w14:textId="0E14614C" w:rsidR="00B205BF" w:rsidRDefault="00B205BF" w:rsidP="003E2B5E">
      <w:pPr>
        <w:pStyle w:val="TOC1"/>
      </w:pPr>
      <w:r>
        <w:fldChar w:fldCharType="end"/>
      </w:r>
    </w:p>
    <w:p w14:paraId="35734172" w14:textId="77777777" w:rsidR="00B205BF" w:rsidRPr="008B5AFD" w:rsidRDefault="00B205BF" w:rsidP="008B5AFD"/>
    <w:p w14:paraId="21A27BEC" w14:textId="77777777" w:rsidR="00B205BF" w:rsidRDefault="00B205BF" w:rsidP="00257FF4">
      <w:pPr>
        <w:sectPr w:rsidR="00B205BF" w:rsidSect="00782467">
          <w:headerReference w:type="first" r:id="rId15"/>
          <w:footerReference w:type="first" r:id="rId16"/>
          <w:type w:val="oddPage"/>
          <w:pgSz w:w="11906" w:h="16838" w:code="9"/>
          <w:pgMar w:top="2835" w:right="2098" w:bottom="2466" w:left="2098" w:header="1814" w:footer="1814" w:gutter="0"/>
          <w:cols w:space="708"/>
          <w:titlePg/>
          <w:docGrid w:linePitch="360"/>
        </w:sectPr>
      </w:pPr>
    </w:p>
    <w:p w14:paraId="7178DE7A" w14:textId="131FD88C" w:rsidR="00B205BF" w:rsidRDefault="00B205BF" w:rsidP="00834F9A">
      <w:pPr>
        <w:pStyle w:val="Heading1"/>
      </w:pPr>
      <w:bookmarkStart w:id="2" w:name="_Toc133165288"/>
      <w:r>
        <w:lastRenderedPageBreak/>
        <w:t xml:space="preserve">Australian Electoral </w:t>
      </w:r>
      <w:bookmarkEnd w:id="2"/>
      <w:r w:rsidR="00435E13">
        <w:t>Commission</w:t>
      </w:r>
    </w:p>
    <w:p w14:paraId="44FBF50B" w14:textId="77777777" w:rsidR="00B205BF" w:rsidRPr="002C4D41" w:rsidRDefault="00B205BF" w:rsidP="00257FF4">
      <w:pPr>
        <w:pStyle w:val="Heading2"/>
      </w:pPr>
      <w:bookmarkStart w:id="3" w:name="_Toc133144985"/>
      <w:bookmarkStart w:id="4" w:name="_Toc133145426"/>
      <w:bookmarkStart w:id="5" w:name="_Toc133145524"/>
      <w:bookmarkStart w:id="6" w:name="_Toc133145644"/>
      <w:bookmarkStart w:id="7" w:name="_Toc133145735"/>
      <w:bookmarkStart w:id="8" w:name="_Toc133145826"/>
      <w:bookmarkStart w:id="9" w:name="_Toc133150005"/>
      <w:bookmarkStart w:id="10" w:name="_Toc134035371"/>
      <w:bookmarkStart w:id="11" w:name="_Toc134103317"/>
      <w:bookmarkStart w:id="12" w:name="_Toc134109236"/>
      <w:bookmarkStart w:id="13" w:name="_Toc134109369"/>
      <w:bookmarkStart w:id="14" w:name="_Toc134109636"/>
      <w:bookmarkStart w:id="15" w:name="_Toc134173899"/>
      <w:bookmarkStart w:id="16" w:name="_Toc134174025"/>
      <w:bookmarkStart w:id="17" w:name="_Toc134174219"/>
      <w:bookmarkStart w:id="18" w:name="_Toc134174327"/>
      <w:bookmarkStart w:id="19" w:name="_Toc134174462"/>
      <w:r w:rsidRPr="002C4D41">
        <w:t xml:space="preserve">Section 1: Entity overview and </w:t>
      </w:r>
      <w:r>
        <w:t>reso</w:t>
      </w:r>
      <w:r w:rsidRPr="002C4D41">
        <w:t>urces</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10F47141" w14:textId="77777777" w:rsidR="00B205BF" w:rsidRDefault="00B205BF" w:rsidP="00257FF4">
      <w:pPr>
        <w:pStyle w:val="Heading3"/>
      </w:pPr>
      <w:bookmarkStart w:id="20" w:name="_Toc133144986"/>
      <w:bookmarkStart w:id="21" w:name="_Toc133145427"/>
      <w:bookmarkStart w:id="22" w:name="_Toc133145525"/>
      <w:bookmarkStart w:id="23" w:name="_Toc133145645"/>
      <w:bookmarkStart w:id="24" w:name="_Toc133145736"/>
      <w:bookmarkStart w:id="25" w:name="_Toc133145827"/>
      <w:bookmarkStart w:id="26" w:name="_Toc133150006"/>
      <w:bookmarkStart w:id="27" w:name="_Toc134035372"/>
      <w:bookmarkStart w:id="28" w:name="_Toc134103318"/>
      <w:bookmarkStart w:id="29" w:name="_Toc134109237"/>
      <w:bookmarkStart w:id="30" w:name="_Toc134109370"/>
      <w:bookmarkStart w:id="31" w:name="_Toc134109637"/>
      <w:bookmarkStart w:id="32" w:name="_Toc134173900"/>
      <w:bookmarkStart w:id="33" w:name="_Toc134174026"/>
      <w:bookmarkStart w:id="34" w:name="_Toc134174220"/>
      <w:bookmarkStart w:id="35" w:name="_Toc134174328"/>
      <w:bookmarkStart w:id="36" w:name="_Toc134174463"/>
      <w:r>
        <w:t>1.1</w:t>
      </w:r>
      <w:r>
        <w:tab/>
        <w:t>Strategic direction statement</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0CA97E51" w14:textId="77777777" w:rsidR="00B205BF" w:rsidRDefault="00B205BF" w:rsidP="00554FB3">
      <w:pPr>
        <w:rPr>
          <w:rFonts w:cs="Arial"/>
        </w:rPr>
      </w:pPr>
      <w:r w:rsidRPr="003D1E65">
        <w:rPr>
          <w:rFonts w:cs="Arial"/>
        </w:rPr>
        <w:t xml:space="preserve">The Australian Electoral Commission (AEC) administers the </w:t>
      </w:r>
      <w:r w:rsidRPr="003D1E65">
        <w:rPr>
          <w:rFonts w:cs="Arial"/>
          <w:i/>
        </w:rPr>
        <w:t>Commonwealth Electoral Act 1918</w:t>
      </w:r>
      <w:r w:rsidRPr="003D1E65">
        <w:rPr>
          <w:rFonts w:cs="Arial"/>
        </w:rPr>
        <w:t xml:space="preserve"> (the Electoral Act), making it responsible for</w:t>
      </w:r>
      <w:r>
        <w:rPr>
          <w:rFonts w:cs="Arial"/>
        </w:rPr>
        <w:t>:</w:t>
      </w:r>
    </w:p>
    <w:p w14:paraId="5D5FA9A3"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conducting electoral events, including federal elections, by-elections and referendums, and industrial elections and ballots</w:t>
      </w:r>
    </w:p>
    <w:p w14:paraId="39FBC59B"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ensuring confidence in the Commonwealth Electoral Roll</w:t>
      </w:r>
    </w:p>
    <w:p w14:paraId="0AD89AA9"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regulating political party registrations and financial disclosure</w:t>
      </w:r>
    </w:p>
    <w:p w14:paraId="32B20695"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supporting electoral redistributions</w:t>
      </w:r>
    </w:p>
    <w:p w14:paraId="72B35D04"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undertaking public awareness activities.</w:t>
      </w:r>
    </w:p>
    <w:p w14:paraId="660448F4" w14:textId="77777777" w:rsidR="00B205BF" w:rsidRDefault="00B205BF" w:rsidP="00554FB3">
      <w:pPr>
        <w:rPr>
          <w:rFonts w:cs="Arial"/>
        </w:rPr>
      </w:pPr>
      <w:r w:rsidRPr="003D1E65">
        <w:rPr>
          <w:rFonts w:cs="Arial"/>
        </w:rPr>
        <w:t>The AEC also provide</w:t>
      </w:r>
      <w:r>
        <w:rPr>
          <w:rFonts w:cs="Arial"/>
        </w:rPr>
        <w:t>s</w:t>
      </w:r>
      <w:r w:rsidRPr="003D1E65">
        <w:rPr>
          <w:rFonts w:cs="Arial"/>
        </w:rPr>
        <w:t xml:space="preserve"> a range of electoral information and education programs both in Australia and in support of Australia’s international interests.  </w:t>
      </w:r>
    </w:p>
    <w:p w14:paraId="4D6FA510" w14:textId="77777777" w:rsidR="00B205BF" w:rsidRPr="003D1E65" w:rsidRDefault="00B205BF" w:rsidP="00554FB3">
      <w:pPr>
        <w:rPr>
          <w:rFonts w:cs="Arial"/>
        </w:rPr>
      </w:pPr>
      <w:r w:rsidRPr="003D1E65">
        <w:rPr>
          <w:rFonts w:cs="Arial"/>
        </w:rPr>
        <w:t>The AEC’s actions impact on the Australian community as stated in its outcome:</w:t>
      </w:r>
    </w:p>
    <w:p w14:paraId="4F1C2A48" w14:textId="77777777" w:rsidR="00B205BF" w:rsidRDefault="00B205BF" w:rsidP="00554FB3">
      <w:r w:rsidRPr="003D1E65">
        <w:rPr>
          <w:rFonts w:cs="Arial"/>
          <w:i/>
        </w:rPr>
        <w:t>Maintain an impartial and independent electoral system for eligible voters through active electoral roll management, efficient delivery of polling services, and targeted education and public awareness programs</w:t>
      </w:r>
      <w:r w:rsidRPr="003D1E65">
        <w:rPr>
          <w:rFonts w:cs="Arial"/>
        </w:rPr>
        <w:t>.</w:t>
      </w:r>
    </w:p>
    <w:p w14:paraId="068EF356" w14:textId="77777777" w:rsidR="00B205BF" w:rsidRDefault="00B205BF" w:rsidP="0079797F">
      <w:pPr>
        <w:pStyle w:val="Heading3"/>
      </w:pPr>
      <w:r w:rsidRPr="0079797F">
        <w:br w:type="page"/>
      </w:r>
      <w:bookmarkStart w:id="37" w:name="_Toc133144987"/>
      <w:bookmarkStart w:id="38" w:name="_Toc133145428"/>
      <w:bookmarkStart w:id="39" w:name="_Toc133145526"/>
      <w:bookmarkStart w:id="40" w:name="_Toc133145646"/>
      <w:bookmarkStart w:id="41" w:name="_Toc133145737"/>
      <w:bookmarkStart w:id="42" w:name="_Toc133145828"/>
      <w:bookmarkStart w:id="43" w:name="_Toc133150007"/>
      <w:bookmarkStart w:id="44" w:name="_Toc134035373"/>
      <w:bookmarkStart w:id="45" w:name="_Toc134103319"/>
      <w:bookmarkStart w:id="46" w:name="_Toc134109238"/>
      <w:bookmarkStart w:id="47" w:name="_Toc134109371"/>
      <w:bookmarkStart w:id="48" w:name="_Toc134109638"/>
      <w:bookmarkStart w:id="49" w:name="_Toc134173901"/>
      <w:bookmarkStart w:id="50" w:name="_Toc134174027"/>
      <w:bookmarkStart w:id="51" w:name="_Toc134174221"/>
      <w:bookmarkStart w:id="52" w:name="_Toc134174329"/>
      <w:bookmarkStart w:id="53" w:name="_Toc134174464"/>
      <w:r>
        <w:lastRenderedPageBreak/>
        <w:t>1.2</w:t>
      </w:r>
      <w:r>
        <w:tab/>
        <w:t>Entity resource statement</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3519E24A" w14:textId="77777777" w:rsidR="00B205BF" w:rsidRDefault="00B205BF" w:rsidP="00CC7B58">
      <w:r>
        <w:t>Table 1.1 shows the total funding from all sources available to the entity for its operations and to deliver programs and services on behalf of the Government.</w:t>
      </w:r>
    </w:p>
    <w:p w14:paraId="3D0B05A1" w14:textId="77777777" w:rsidR="00B205BF" w:rsidRDefault="00B205BF" w:rsidP="00CC7B58">
      <w:r>
        <w:t>The table summarises how resources will be applied by outcome (government strategic policy objectives) and by administered (on behalf of the Government or the public) and departmental (for the entity’s operations) classification.</w:t>
      </w:r>
    </w:p>
    <w:p w14:paraId="6AE3B5AC" w14:textId="77777777" w:rsidR="00B205BF" w:rsidRDefault="00B205BF" w:rsidP="00CC7B58">
      <w:r>
        <w:t xml:space="preserve">For more detailed information on special accounts and special appropriations, please refer to the </w:t>
      </w:r>
      <w:r w:rsidRPr="00412C0B">
        <w:rPr>
          <w:i/>
        </w:rPr>
        <w:t>Budget Paper No. 4 – Agency Resourcing</w:t>
      </w:r>
      <w:r>
        <w:t>.</w:t>
      </w:r>
    </w:p>
    <w:p w14:paraId="3CBD6C90" w14:textId="77777777" w:rsidR="00B205BF" w:rsidRDefault="00B205BF" w:rsidP="00CC7B58">
      <w:r>
        <w:t>Information in this table is presented on a resourcing (that is, appropriations/cash available) basis, whilst the ‘Budgeted expenses by Outcome 1’ tables in Section 2 and the financial statements in Section 3 are presented on an accrual basis.</w:t>
      </w:r>
    </w:p>
    <w:p w14:paraId="49FAAB80" w14:textId="77777777" w:rsidR="00B205BF" w:rsidRPr="005A5C0F" w:rsidRDefault="00B205BF" w:rsidP="00371B6D">
      <w:pPr>
        <w:pStyle w:val="TableHeading"/>
      </w:pPr>
      <w:r>
        <w:br w:type="page"/>
      </w:r>
      <w:r w:rsidRPr="00D44150">
        <w:lastRenderedPageBreak/>
        <w:t xml:space="preserve">Table 1.1: </w:t>
      </w:r>
      <w:r>
        <w:t>Australian Electoral Commission</w:t>
      </w:r>
      <w:r w:rsidRPr="00D44150">
        <w:t xml:space="preserve"> resource statement</w:t>
      </w:r>
      <w:r>
        <w:t xml:space="preserve"> — Budget estimates for 2023-24 </w:t>
      </w:r>
      <w:r w:rsidRPr="00D44150">
        <w:t xml:space="preserve">as at Budget </w:t>
      </w:r>
      <w:r>
        <w:t>May 2023</w:t>
      </w:r>
    </w:p>
    <w:p w14:paraId="30922983" w14:textId="1C24497B" w:rsidR="00B205BF" w:rsidRDefault="0064497E" w:rsidP="009763C1">
      <w:pPr>
        <w:pStyle w:val="TableGraphic"/>
        <w:rPr>
          <w:noProof/>
        </w:rPr>
      </w:pPr>
      <w:r w:rsidRPr="0064497E">
        <w:rPr>
          <w:noProof/>
        </w:rPr>
        <w:drawing>
          <wp:inline distT="0" distB="0" distL="0" distR="0" wp14:anchorId="4707A388" wp14:editId="43F1A144">
            <wp:extent cx="4895850" cy="26149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95850" cy="2614930"/>
                    </a:xfrm>
                    <a:prstGeom prst="rect">
                      <a:avLst/>
                    </a:prstGeom>
                    <a:noFill/>
                    <a:ln>
                      <a:noFill/>
                    </a:ln>
                  </pic:spPr>
                </pic:pic>
              </a:graphicData>
            </a:graphic>
          </wp:inline>
        </w:drawing>
      </w:r>
    </w:p>
    <w:p w14:paraId="724F6286" w14:textId="77777777" w:rsidR="00B205BF" w:rsidRPr="00CB2844" w:rsidRDefault="00B205BF" w:rsidP="00CC7B58">
      <w:pPr>
        <w:pStyle w:val="ChartandTableFootnote"/>
      </w:pPr>
      <w:r w:rsidRPr="00696AA8">
        <w:t>All figures shown above are GST exclusive - these may not match figures in the cash flow statement.</w:t>
      </w:r>
    </w:p>
    <w:p w14:paraId="6A83AA02" w14:textId="77777777" w:rsidR="00B205BF" w:rsidRDefault="00B205BF" w:rsidP="00CC7B58">
      <w:pPr>
        <w:pStyle w:val="ChartandTableFootnote"/>
      </w:pPr>
      <w:r>
        <w:t>Prepared on a resourcing (that is, appropriations available) basis.</w:t>
      </w:r>
    </w:p>
    <w:p w14:paraId="581E0E54" w14:textId="77777777" w:rsidR="00B205BF" w:rsidRPr="00077105" w:rsidRDefault="00B205BF" w:rsidP="00E829D5">
      <w:pPr>
        <w:pStyle w:val="ChartandTableFootnoteAlpha"/>
        <w:numPr>
          <w:ilvl w:val="0"/>
          <w:numId w:val="64"/>
        </w:numPr>
      </w:pPr>
      <w:r w:rsidRPr="00077105">
        <w:t>Appropriation Bill (No. 1) 2023-24.</w:t>
      </w:r>
    </w:p>
    <w:p w14:paraId="1418932C" w14:textId="77777777" w:rsidR="00B205BF" w:rsidRPr="00077105" w:rsidRDefault="00B205BF" w:rsidP="00E829D5">
      <w:pPr>
        <w:pStyle w:val="ChartandTableFootnoteAlpha"/>
        <w:numPr>
          <w:ilvl w:val="0"/>
          <w:numId w:val="64"/>
        </w:numPr>
      </w:pPr>
      <w:r w:rsidRPr="00077105">
        <w:t>Estimated External Revenue receipts under section 74 of the PGPA Act.</w:t>
      </w:r>
    </w:p>
    <w:p w14:paraId="0DD2AC9E" w14:textId="77777777" w:rsidR="00B205BF" w:rsidRPr="00077105" w:rsidRDefault="00B205BF" w:rsidP="00E829D5">
      <w:pPr>
        <w:pStyle w:val="ChartandTableFootnoteAlpha"/>
        <w:numPr>
          <w:ilvl w:val="0"/>
          <w:numId w:val="64"/>
        </w:numPr>
      </w:pPr>
      <w:r w:rsidRPr="00077105">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6634F4A0" w14:textId="2FE466D9" w:rsidR="00B205BF" w:rsidRPr="00077105" w:rsidRDefault="00B205BF" w:rsidP="00E829D5">
      <w:pPr>
        <w:pStyle w:val="ChartandTableFootnoteAlpha"/>
        <w:numPr>
          <w:ilvl w:val="0"/>
          <w:numId w:val="64"/>
        </w:numPr>
      </w:pPr>
      <w:r w:rsidRPr="00077105">
        <w:t xml:space="preserve">Excludes trust moneys held in Services for Other Entities and Trust Moneys (SOETM) and other special accounts. For further information on special accounts, please refer to the Budget Paper No. 4 - Agency Resourcing. Please also see Table 2.1 for further information on outcome and program expenses broken down by various funding sources, </w:t>
      </w:r>
      <w:proofErr w:type="gramStart"/>
      <w:r w:rsidRPr="00077105">
        <w:t>e.g.</w:t>
      </w:r>
      <w:proofErr w:type="gramEnd"/>
      <w:r w:rsidRPr="00077105">
        <w:t xml:space="preserve"> annual appropriations, special appropriations and special accounts.</w:t>
      </w:r>
    </w:p>
    <w:p w14:paraId="1899860E" w14:textId="77777777" w:rsidR="00B205BF" w:rsidRPr="005A7C0B" w:rsidRDefault="00B205BF" w:rsidP="00AD42E2">
      <w:pPr>
        <w:pStyle w:val="Heading3"/>
        <w:spacing w:before="0"/>
      </w:pPr>
      <w:r>
        <w:br w:type="page"/>
      </w:r>
      <w:bookmarkStart w:id="54" w:name="_Toc133144988"/>
      <w:bookmarkStart w:id="55" w:name="_Toc133145429"/>
      <w:bookmarkStart w:id="56" w:name="_Toc133145527"/>
      <w:bookmarkStart w:id="57" w:name="_Toc133145647"/>
      <w:bookmarkStart w:id="58" w:name="_Toc133145738"/>
      <w:bookmarkStart w:id="59" w:name="_Toc133145829"/>
      <w:bookmarkStart w:id="60" w:name="_Toc133150008"/>
      <w:bookmarkStart w:id="61" w:name="_Toc134035374"/>
      <w:bookmarkStart w:id="62" w:name="_Toc134103320"/>
      <w:bookmarkStart w:id="63" w:name="_Toc134109239"/>
      <w:bookmarkStart w:id="64" w:name="_Toc134109372"/>
      <w:bookmarkStart w:id="65" w:name="_Toc134109639"/>
      <w:bookmarkStart w:id="66" w:name="_Toc134173902"/>
      <w:bookmarkStart w:id="67" w:name="_Toc134174028"/>
      <w:bookmarkStart w:id="68" w:name="_Toc134174222"/>
      <w:bookmarkStart w:id="69" w:name="_Toc134174330"/>
      <w:bookmarkStart w:id="70" w:name="_Toc134174465"/>
      <w:r w:rsidRPr="005A7C0B">
        <w:lastRenderedPageBreak/>
        <w:t>1.</w:t>
      </w:r>
      <w:r>
        <w:t>3</w:t>
      </w:r>
      <w:r w:rsidRPr="005A7C0B">
        <w:tab/>
        <w:t>Budget measures</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54B87817" w14:textId="77777777" w:rsidR="00B205BF" w:rsidRDefault="00B205BF" w:rsidP="00CC7B58">
      <w:r w:rsidRPr="00DC32EC">
        <w:t xml:space="preserve">Budget measures </w:t>
      </w:r>
      <w:r>
        <w:t xml:space="preserve">in Part 1 </w:t>
      </w:r>
      <w:r w:rsidRPr="00DC32EC">
        <w:t>relating to</w:t>
      </w:r>
      <w:r>
        <w:t xml:space="preserve"> Australian Electoral Commission</w:t>
      </w:r>
      <w:r w:rsidRPr="00DC32EC">
        <w:t xml:space="preserve"> a</w:t>
      </w:r>
      <w:r>
        <w:t>re detailed in the Budget Paper No. </w:t>
      </w:r>
      <w:r w:rsidRPr="00DC32EC">
        <w:t>2</w:t>
      </w:r>
      <w:r>
        <w:t xml:space="preserve"> and are summarised below.</w:t>
      </w:r>
    </w:p>
    <w:p w14:paraId="43E3DC41" w14:textId="77777777" w:rsidR="00B205BF" w:rsidRPr="009A40DD" w:rsidRDefault="00B205BF" w:rsidP="00CC7B58">
      <w:pPr>
        <w:pStyle w:val="TableHeading"/>
      </w:pPr>
      <w:r w:rsidRPr="009A40DD">
        <w:t xml:space="preserve">Table 1.2: </w:t>
      </w:r>
      <w:r>
        <w:t xml:space="preserve">Australian Electoral Commission 2023-24 </w:t>
      </w:r>
      <w:r w:rsidRPr="009A40DD">
        <w:t>Budget measures</w:t>
      </w:r>
    </w:p>
    <w:p w14:paraId="1785718C" w14:textId="77777777" w:rsidR="00B205BF" w:rsidRDefault="00B205BF" w:rsidP="00CC7B58">
      <w:pPr>
        <w:pStyle w:val="TableGraphic"/>
        <w:ind w:right="0"/>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October Budget</w:t>
      </w:r>
    </w:p>
    <w:p w14:paraId="7561C9B8" w14:textId="69CE0475" w:rsidR="00B205BF" w:rsidRDefault="003A60BF" w:rsidP="007D0894">
      <w:pPr>
        <w:pStyle w:val="ChartandTableFootnote"/>
        <w:spacing w:before="0"/>
        <w:ind w:right="-113"/>
        <w:rPr>
          <w:noProof/>
        </w:rPr>
      </w:pPr>
      <w:r w:rsidRPr="003A60BF">
        <w:rPr>
          <w:noProof/>
        </w:rPr>
        <w:drawing>
          <wp:inline distT="0" distB="0" distL="0" distR="0" wp14:anchorId="093AA674" wp14:editId="040BB519">
            <wp:extent cx="4895850" cy="158686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95850" cy="1586865"/>
                    </a:xfrm>
                    <a:prstGeom prst="rect">
                      <a:avLst/>
                    </a:prstGeom>
                    <a:noFill/>
                    <a:ln>
                      <a:noFill/>
                    </a:ln>
                  </pic:spPr>
                </pic:pic>
              </a:graphicData>
            </a:graphic>
          </wp:inline>
        </w:drawing>
      </w:r>
    </w:p>
    <w:p w14:paraId="4C285A10" w14:textId="1BB80BD8" w:rsidR="00B205BF" w:rsidRPr="00832A43" w:rsidRDefault="00832A43" w:rsidP="007D0894">
      <w:pPr>
        <w:pStyle w:val="NoSpacing"/>
        <w:spacing w:before="30"/>
        <w:rPr>
          <w:rFonts w:ascii="Arial" w:hAnsi="Arial" w:cs="Arial"/>
          <w:sz w:val="16"/>
          <w:szCs w:val="16"/>
        </w:rPr>
      </w:pPr>
      <w:r w:rsidRPr="00832A43">
        <w:rPr>
          <w:rFonts w:ascii="Arial" w:hAnsi="Arial" w:cs="Arial"/>
          <w:sz w:val="16"/>
          <w:szCs w:val="16"/>
        </w:rPr>
        <w:t>Prepared on a Government Finance Statistics (Underlying Cash) basis. Figures displayed as a negative (-) represent a decrease in funds and a positive (+) represent an increase in funds.</w:t>
      </w:r>
    </w:p>
    <w:p w14:paraId="29D8E552" w14:textId="4A690785" w:rsidR="00832A43" w:rsidRPr="00832A43" w:rsidRDefault="00832A43" w:rsidP="00227C85">
      <w:pPr>
        <w:pStyle w:val="ChartandTableFootnoteAlpha"/>
        <w:numPr>
          <w:ilvl w:val="0"/>
          <w:numId w:val="44"/>
        </w:numPr>
        <w:spacing w:before="60"/>
        <w:rPr>
          <w:rFonts w:cs="Arial"/>
          <w:szCs w:val="16"/>
        </w:rPr>
      </w:pPr>
      <w:r w:rsidRPr="00832A43">
        <w:rPr>
          <w:rFonts w:cs="Arial"/>
          <w:szCs w:val="16"/>
        </w:rPr>
        <w:t xml:space="preserve">The measure titled </w:t>
      </w:r>
      <w:r w:rsidR="00C943A1" w:rsidRPr="00C943A1">
        <w:rPr>
          <w:rFonts w:cs="Arial"/>
          <w:i/>
          <w:iCs/>
          <w:szCs w:val="16"/>
        </w:rPr>
        <w:t>Delivering the Referendum to Recognise Aboriginal and Torres Strait Peoples in the Constitution Through a Voice to Parliament</w:t>
      </w:r>
      <w:r w:rsidR="00C943A1">
        <w:rPr>
          <w:rFonts w:cs="Arial"/>
          <w:szCs w:val="16"/>
        </w:rPr>
        <w:t xml:space="preserve"> </w:t>
      </w:r>
      <w:r w:rsidRPr="00832A43">
        <w:rPr>
          <w:rFonts w:cs="Arial"/>
          <w:szCs w:val="16"/>
        </w:rPr>
        <w:t xml:space="preserve">is </w:t>
      </w:r>
      <w:r w:rsidR="00F71157">
        <w:rPr>
          <w:rFonts w:cs="Arial"/>
          <w:szCs w:val="16"/>
        </w:rPr>
        <w:t xml:space="preserve">a cross portfolio measure. </w:t>
      </w:r>
      <w:r w:rsidRPr="00832A43">
        <w:rPr>
          <w:rFonts w:cs="Arial"/>
          <w:szCs w:val="16"/>
        </w:rPr>
        <w:t>The full measure description and package details appear in</w:t>
      </w:r>
      <w:r w:rsidR="001F2FF2">
        <w:rPr>
          <w:rFonts w:cs="Arial"/>
          <w:szCs w:val="16"/>
        </w:rPr>
        <w:t xml:space="preserve"> </w:t>
      </w:r>
      <w:r w:rsidRPr="00832A43">
        <w:rPr>
          <w:rFonts w:cs="Arial"/>
          <w:szCs w:val="16"/>
        </w:rPr>
        <w:t>2023</w:t>
      </w:r>
      <w:r w:rsidRPr="00832A43">
        <w:rPr>
          <w:rFonts w:cs="Arial"/>
          <w:szCs w:val="16"/>
        </w:rPr>
        <w:noBreakHyphen/>
        <w:t xml:space="preserve">24 Budget Paper No. 2 under </w:t>
      </w:r>
      <w:r w:rsidR="00F71157">
        <w:rPr>
          <w:rFonts w:cs="Arial"/>
          <w:szCs w:val="16"/>
        </w:rPr>
        <w:t>Cross</w:t>
      </w:r>
      <w:r w:rsidRPr="00832A43">
        <w:rPr>
          <w:rFonts w:cs="Arial"/>
          <w:szCs w:val="16"/>
        </w:rPr>
        <w:t xml:space="preserve"> </w:t>
      </w:r>
      <w:r w:rsidR="00F71157">
        <w:rPr>
          <w:rFonts w:cs="Arial"/>
          <w:szCs w:val="16"/>
        </w:rPr>
        <w:t>P</w:t>
      </w:r>
      <w:r w:rsidRPr="00832A43">
        <w:rPr>
          <w:rFonts w:cs="Arial"/>
          <w:szCs w:val="16"/>
        </w:rPr>
        <w:t>ortfolio.</w:t>
      </w:r>
    </w:p>
    <w:p w14:paraId="00E2444C" w14:textId="704D9865" w:rsidR="00832A43" w:rsidRPr="00627994" w:rsidRDefault="00832A43" w:rsidP="00227C85">
      <w:pPr>
        <w:pStyle w:val="ChartandTableFootnoteAlpha"/>
        <w:numPr>
          <w:ilvl w:val="0"/>
          <w:numId w:val="40"/>
        </w:numPr>
        <w:spacing w:before="60"/>
      </w:pPr>
      <w:r w:rsidRPr="00832A43">
        <w:rPr>
          <w:rFonts w:cs="Arial"/>
          <w:szCs w:val="16"/>
        </w:rPr>
        <w:t xml:space="preserve">The lead entity for measure titled </w:t>
      </w:r>
      <w:r w:rsidRPr="00267580">
        <w:rPr>
          <w:rFonts w:cs="Arial"/>
          <w:i/>
          <w:iCs/>
          <w:szCs w:val="16"/>
        </w:rPr>
        <w:t>Electoral Commission - critical ICT replacement (second tranche)</w:t>
      </w:r>
      <w:r w:rsidRPr="00832A43">
        <w:rPr>
          <w:rFonts w:cs="Arial"/>
          <w:szCs w:val="16"/>
        </w:rPr>
        <w:t xml:space="preserve"> is the Australian Electoral Commission. The full measure description and package details appear in the 2023</w:t>
      </w:r>
      <w:r w:rsidRPr="00832A43">
        <w:rPr>
          <w:rFonts w:cs="Arial"/>
          <w:szCs w:val="16"/>
        </w:rPr>
        <w:noBreakHyphen/>
        <w:t>24 Budget Paper No. 2 under the Finance portfolio</w:t>
      </w:r>
      <w:r w:rsidRPr="00627994">
        <w:t>.</w:t>
      </w:r>
      <w:r w:rsidR="002D2BF1">
        <w:t xml:space="preserve"> The financials are not for publication due to commercial sensitivities.</w:t>
      </w:r>
    </w:p>
    <w:p w14:paraId="4314000A" w14:textId="77777777" w:rsidR="00B205BF" w:rsidRDefault="00B205BF">
      <w:pPr>
        <w:spacing w:after="0" w:line="240" w:lineRule="auto"/>
        <w:rPr>
          <w:rFonts w:ascii="Arial Bold" w:hAnsi="Arial Bold"/>
          <w:b/>
        </w:rPr>
      </w:pPr>
      <w:r>
        <w:br w:type="page"/>
      </w:r>
    </w:p>
    <w:p w14:paraId="71524C82" w14:textId="77777777" w:rsidR="00B205BF" w:rsidRPr="00810C6A" w:rsidRDefault="00B205BF" w:rsidP="00810C6A">
      <w:pPr>
        <w:pStyle w:val="Heading2"/>
      </w:pPr>
      <w:bookmarkStart w:id="71" w:name="_Toc133144989"/>
      <w:bookmarkStart w:id="72" w:name="_Toc133145430"/>
      <w:bookmarkStart w:id="73" w:name="_Toc133145528"/>
      <w:bookmarkStart w:id="74" w:name="_Toc133145648"/>
      <w:bookmarkStart w:id="75" w:name="_Toc133145739"/>
      <w:bookmarkStart w:id="76" w:name="_Toc133145830"/>
      <w:bookmarkStart w:id="77" w:name="_Toc133150009"/>
      <w:bookmarkStart w:id="78" w:name="_Toc134035375"/>
      <w:bookmarkStart w:id="79" w:name="_Toc134103321"/>
      <w:bookmarkStart w:id="80" w:name="_Toc134109240"/>
      <w:bookmarkStart w:id="81" w:name="_Toc134109373"/>
      <w:bookmarkStart w:id="82" w:name="_Toc134109640"/>
      <w:bookmarkStart w:id="83" w:name="_Toc134173903"/>
      <w:bookmarkStart w:id="84" w:name="_Toc134174029"/>
      <w:bookmarkStart w:id="85" w:name="_Toc134174223"/>
      <w:bookmarkStart w:id="86" w:name="_Toc134174331"/>
      <w:bookmarkStart w:id="87" w:name="_Toc134174466"/>
      <w:r w:rsidRPr="00810C6A">
        <w:lastRenderedPageBreak/>
        <w:t>Section 2: Outcomes and planned performance</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7D4DFF00" w14:textId="77777777" w:rsidR="00B205BF" w:rsidRPr="005E6F2B" w:rsidRDefault="00B205BF" w:rsidP="00CC7B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43C92DE" w14:textId="77777777" w:rsidR="00B205BF" w:rsidRPr="00A63C00" w:rsidRDefault="00B205BF" w:rsidP="00CC7B58">
      <w:pPr>
        <w:rPr>
          <w:i/>
        </w:rPr>
      </w:pPr>
      <w:r w:rsidRPr="005E6F2B">
        <w:t>Each outcome is described below together with its related programs. The following provides detailed information on expenses for each outcome and program, further broken down by funding source</w:t>
      </w:r>
      <w:r w:rsidRPr="00A63C00">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423FF9C8" w14:textId="77777777" w:rsidTr="001C6402">
        <w:tc>
          <w:tcPr>
            <w:tcW w:w="7700" w:type="dxa"/>
            <w:shd w:val="clear" w:color="auto" w:fill="auto"/>
          </w:tcPr>
          <w:p w14:paraId="12DB2FD5" w14:textId="77777777" w:rsidR="00B205BF" w:rsidRPr="001C6402" w:rsidRDefault="00B205BF" w:rsidP="00CC7B58">
            <w:pPr>
              <w:spacing w:before="120" w:after="120" w:line="240" w:lineRule="auto"/>
              <w:jc w:val="both"/>
              <w:rPr>
                <w:b/>
              </w:rPr>
            </w:pPr>
            <w:r w:rsidRPr="001C6402">
              <w:rPr>
                <w:b/>
              </w:rPr>
              <w:t>Note:</w:t>
            </w:r>
          </w:p>
          <w:p w14:paraId="7DC6C868" w14:textId="77777777" w:rsidR="00B205BF" w:rsidRPr="001C6402" w:rsidRDefault="00B205BF" w:rsidP="00CC7B58">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E03294E" w14:textId="77777777" w:rsidR="00B205BF" w:rsidRPr="001C6402" w:rsidRDefault="00B205BF" w:rsidP="00CC7B58">
            <w:pPr>
              <w:jc w:val="both"/>
            </w:pPr>
            <w:r w:rsidRPr="001C6402">
              <w:t xml:space="preserve">The most recent corporate plan for </w:t>
            </w:r>
            <w:r>
              <w:t xml:space="preserve">the Australian Electoral Commission </w:t>
            </w:r>
            <w:r w:rsidRPr="001C6402">
              <w:t xml:space="preserve">can be found at: </w:t>
            </w:r>
            <w:hyperlink r:id="rId19" w:history="1">
              <w:r w:rsidRPr="003D1E65">
                <w:rPr>
                  <w:u w:val="single"/>
                </w:rPr>
                <w:t>AEC Corporate Plan 202</w:t>
              </w:r>
              <w:r>
                <w:rPr>
                  <w:u w:val="single"/>
                </w:rPr>
                <w:t>2</w:t>
              </w:r>
              <w:r w:rsidRPr="003D1E65">
                <w:rPr>
                  <w:u w:val="single"/>
                </w:rPr>
                <w:t>-2</w:t>
              </w:r>
            </w:hyperlink>
            <w:r>
              <w:rPr>
                <w:u w:val="single"/>
              </w:rPr>
              <w:t>3</w:t>
            </w:r>
            <w:r w:rsidRPr="001C6402">
              <w:t>.</w:t>
            </w:r>
          </w:p>
          <w:p w14:paraId="6A5461FC" w14:textId="77777777" w:rsidR="00B205BF" w:rsidRPr="001C6402" w:rsidRDefault="00B205BF" w:rsidP="00CC7B58">
            <w:pPr>
              <w:jc w:val="both"/>
            </w:pPr>
            <w:r w:rsidRPr="001C6402">
              <w:t xml:space="preserve">The most recent annual performance statement can be found at: </w:t>
            </w:r>
            <w:hyperlink r:id="rId20" w:history="1">
              <w:r>
                <w:rPr>
                  <w:u w:val="single"/>
                </w:rPr>
                <w:t>2021-22 Annual Performance Statements</w:t>
              </w:r>
            </w:hyperlink>
            <w:r w:rsidRPr="001C6402">
              <w:t>.</w:t>
            </w:r>
          </w:p>
        </w:tc>
      </w:tr>
    </w:tbl>
    <w:p w14:paraId="2B5E4373" w14:textId="77777777" w:rsidR="00B205BF" w:rsidRDefault="00B205BF" w:rsidP="00BE7D58">
      <w:pPr>
        <w:rPr>
          <w:highlight w:val="yellow"/>
        </w:rPr>
      </w:pPr>
    </w:p>
    <w:p w14:paraId="5A4E6BCA" w14:textId="77777777" w:rsidR="00B205BF" w:rsidRDefault="00B205BF" w:rsidP="003876AB">
      <w:pPr>
        <w:pStyle w:val="Heading3"/>
        <w:sectPr w:rsidR="00B205BF" w:rsidSect="00971BCB">
          <w:headerReference w:type="even" r:id="rId21"/>
          <w:headerReference w:type="default" r:id="rId22"/>
          <w:footerReference w:type="even" r:id="rId23"/>
          <w:headerReference w:type="first" r:id="rId24"/>
          <w:footerReference w:type="first" r:id="rId25"/>
          <w:type w:val="oddPage"/>
          <w:pgSz w:w="11906" w:h="16838" w:code="9"/>
          <w:pgMar w:top="2835" w:right="2098" w:bottom="2466" w:left="2098" w:header="1814" w:footer="1814" w:gutter="0"/>
          <w:pgNumType w:start="85"/>
          <w:cols w:space="708"/>
          <w:titlePg/>
          <w:docGrid w:linePitch="360"/>
        </w:sectPr>
      </w:pPr>
    </w:p>
    <w:p w14:paraId="0D8A1C7F" w14:textId="37980085" w:rsidR="00B205BF" w:rsidRPr="00F743D8" w:rsidRDefault="00B205BF" w:rsidP="00697E42">
      <w:pPr>
        <w:pStyle w:val="Heading3"/>
      </w:pPr>
      <w:bookmarkStart w:id="88" w:name="_Toc133144990"/>
      <w:bookmarkStart w:id="89" w:name="_Toc133145431"/>
      <w:bookmarkStart w:id="90" w:name="_Toc133145529"/>
      <w:bookmarkStart w:id="91" w:name="_Toc133145649"/>
      <w:bookmarkStart w:id="92" w:name="_Toc133145740"/>
      <w:bookmarkStart w:id="93" w:name="_Toc133145831"/>
      <w:bookmarkStart w:id="94" w:name="_Toc133150010"/>
      <w:bookmarkStart w:id="95" w:name="_Toc134035376"/>
      <w:bookmarkStart w:id="96" w:name="_Toc134103322"/>
      <w:bookmarkStart w:id="97" w:name="_Toc134109241"/>
      <w:bookmarkStart w:id="98" w:name="_Toc134109374"/>
      <w:bookmarkStart w:id="99" w:name="_Toc134109641"/>
      <w:bookmarkStart w:id="100" w:name="_Toc134173904"/>
      <w:bookmarkStart w:id="101" w:name="_Toc134174030"/>
      <w:bookmarkStart w:id="102" w:name="_Toc134174224"/>
      <w:bookmarkStart w:id="103" w:name="_Toc134174332"/>
      <w:bookmarkStart w:id="104" w:name="_Toc134174467"/>
      <w:r>
        <w:lastRenderedPageBreak/>
        <w:t>2.1</w:t>
      </w:r>
      <w:r w:rsidRPr="00F743D8">
        <w:tab/>
        <w:t xml:space="preserve">Budgeted expenses and performance for Outcome </w:t>
      </w:r>
      <w:r>
        <w:t>1</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1C6402" w14:paraId="28835875" w14:textId="77777777" w:rsidTr="00F474BC">
        <w:tc>
          <w:tcPr>
            <w:tcW w:w="7704" w:type="dxa"/>
            <w:shd w:val="clear" w:color="auto" w:fill="E6E6E6"/>
          </w:tcPr>
          <w:p w14:paraId="0673EE23" w14:textId="77777777" w:rsidR="00B205BF" w:rsidRPr="005E6F2B" w:rsidRDefault="00B205BF" w:rsidP="00ED04AA">
            <w:pPr>
              <w:pStyle w:val="TableColumnHeadingLeft"/>
              <w:spacing w:before="60" w:after="60"/>
            </w:pPr>
            <w:r w:rsidRPr="005E6F2B">
              <w:t xml:space="preserve">Outcome </w:t>
            </w:r>
            <w:r>
              <w:t>1</w:t>
            </w:r>
            <w:r w:rsidRPr="005E6F2B">
              <w:t xml:space="preserve">: </w:t>
            </w:r>
            <w:r w:rsidRPr="00617538">
              <w:rPr>
                <w:rFonts w:cs="Arial"/>
              </w:rPr>
              <w:t>Maintain an impartial and independent electoral system for eligible voters through active electoral roll management, efficient delivery of polling services, and targeted education and public awareness programs.</w:t>
            </w:r>
          </w:p>
        </w:tc>
      </w:tr>
    </w:tbl>
    <w:p w14:paraId="51E54CA1" w14:textId="77777777" w:rsidR="00B205BF" w:rsidRPr="005E6F2B" w:rsidRDefault="00B205BF" w:rsidP="00451501">
      <w:pPr>
        <w:pStyle w:val="NoSpacing"/>
      </w:pPr>
    </w:p>
    <w:p w14:paraId="64B9AB4E" w14:textId="77777777" w:rsidR="00B205BF" w:rsidRPr="00446612" w:rsidRDefault="00B205BF" w:rsidP="00F00984">
      <w:pPr>
        <w:pStyle w:val="Heading5"/>
      </w:pPr>
      <w:r w:rsidRPr="00446612">
        <w:t xml:space="preserve">Budgeted expenses for Outcome </w:t>
      </w:r>
      <w:r>
        <w:t>1</w:t>
      </w:r>
    </w:p>
    <w:p w14:paraId="41EDC1FA" w14:textId="77777777" w:rsidR="00B205BF" w:rsidRDefault="00B205BF" w:rsidP="00ED04AA">
      <w:r w:rsidRPr="00950281">
        <w:t>This table shows how much the entity intends to spend (on an accrual basis) on achieving the outcome, broken down by program, as well as by Administered an</w:t>
      </w:r>
      <w:r>
        <w:t>d Departmental funding sources.</w:t>
      </w:r>
    </w:p>
    <w:p w14:paraId="59376A36" w14:textId="77777777" w:rsidR="00B205BF" w:rsidRDefault="00B205BF">
      <w:pPr>
        <w:spacing w:before="0" w:after="0" w:line="240" w:lineRule="auto"/>
        <w:rPr>
          <w:rFonts w:ascii="Arial" w:hAnsi="Arial"/>
          <w:b/>
          <w:sz w:val="20"/>
        </w:rPr>
      </w:pPr>
      <w:r>
        <w:br w:type="page"/>
      </w:r>
    </w:p>
    <w:p w14:paraId="3DF28404" w14:textId="77777777" w:rsidR="00B205BF" w:rsidRPr="006E4DF1" w:rsidRDefault="00B205BF" w:rsidP="00E36F77">
      <w:pPr>
        <w:pStyle w:val="TableHeading"/>
      </w:pPr>
      <w:r w:rsidRPr="006E4DF1">
        <w:lastRenderedPageBreak/>
        <w:t>Table 2.</w:t>
      </w:r>
      <w:r>
        <w:t>1</w:t>
      </w:r>
      <w:r w:rsidRPr="006E4DF1">
        <w:t xml:space="preserve">.1: Budgeted expenses for Outcome </w:t>
      </w:r>
      <w:r>
        <w:t>1</w:t>
      </w:r>
    </w:p>
    <w:p w14:paraId="1BBF6499" w14:textId="64EC1636" w:rsidR="00B205BF" w:rsidRDefault="00CC347C" w:rsidP="00446EE2">
      <w:pPr>
        <w:pStyle w:val="TableGraphic"/>
        <w:rPr>
          <w:noProof/>
        </w:rPr>
      </w:pPr>
      <w:r w:rsidRPr="00CC347C">
        <w:rPr>
          <w:noProof/>
        </w:rPr>
        <w:drawing>
          <wp:inline distT="0" distB="0" distL="0" distR="0" wp14:anchorId="229977C4" wp14:editId="5D4DF8E0">
            <wp:extent cx="4895850" cy="48679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5850" cy="4867910"/>
                    </a:xfrm>
                    <a:prstGeom prst="rect">
                      <a:avLst/>
                    </a:prstGeom>
                    <a:noFill/>
                    <a:ln>
                      <a:noFill/>
                    </a:ln>
                  </pic:spPr>
                </pic:pic>
              </a:graphicData>
            </a:graphic>
          </wp:inline>
        </w:drawing>
      </w:r>
    </w:p>
    <w:p w14:paraId="1882FE94" w14:textId="77777777" w:rsidR="00B205BF" w:rsidRPr="00950281" w:rsidRDefault="00B205BF" w:rsidP="00E829D5">
      <w:pPr>
        <w:pStyle w:val="ChartandTableFootnoteAlpha"/>
        <w:numPr>
          <w:ilvl w:val="0"/>
          <w:numId w:val="43"/>
        </w:numPr>
      </w:pPr>
      <w:r w:rsidRPr="00950281">
        <w:t>E</w:t>
      </w:r>
      <w:r>
        <w:t>stimated e</w:t>
      </w:r>
      <w:r w:rsidRPr="00950281">
        <w:t xml:space="preserve">xpenses </w:t>
      </w:r>
      <w:r>
        <w:t>incurred in relation to receipts retained under section 74 of the PGPA Act</w:t>
      </w:r>
      <w:r w:rsidRPr="006922DC">
        <w:t>.</w:t>
      </w:r>
    </w:p>
    <w:p w14:paraId="746D21B2" w14:textId="77777777" w:rsidR="00B205BF" w:rsidRPr="00446EE2" w:rsidRDefault="00B205BF" w:rsidP="00E829D5">
      <w:pPr>
        <w:pStyle w:val="ChartandTableFootnoteAlpha"/>
        <w:numPr>
          <w:ilvl w:val="0"/>
          <w:numId w:val="43"/>
        </w:numPr>
      </w:pPr>
      <w:r w:rsidRPr="00446EE2">
        <w:t xml:space="preserve">Expenses not requiring appropriation in the Budget year are made up of depreciation expenses, amortisation expenses, make good expenses, </w:t>
      </w:r>
      <w:r>
        <w:t xml:space="preserve">and </w:t>
      </w:r>
      <w:r w:rsidRPr="00446EE2">
        <w:t>audit fees</w:t>
      </w:r>
      <w:r>
        <w:t>.</w:t>
      </w:r>
    </w:p>
    <w:p w14:paraId="19B290C5" w14:textId="77777777" w:rsidR="00B205BF" w:rsidRPr="00446612" w:rsidRDefault="00B205BF" w:rsidP="00615DF4">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726886A4" w14:textId="77777777" w:rsidR="00B205BF" w:rsidRPr="00446612" w:rsidRDefault="00B205BF" w:rsidP="00B86CCD">
      <w:pPr>
        <w:pStyle w:val="NoSpacing"/>
      </w:pPr>
    </w:p>
    <w:p w14:paraId="2F0240CF" w14:textId="77777777" w:rsidR="00B205BF" w:rsidRPr="00F71634" w:rsidRDefault="00B205BF" w:rsidP="00964C70">
      <w:pPr>
        <w:spacing w:after="0"/>
      </w:pPr>
      <w:r>
        <w:rPr>
          <w:highlight w:val="yellow"/>
        </w:rPr>
        <w:br w:type="page"/>
      </w:r>
    </w:p>
    <w:p w14:paraId="047D092A" w14:textId="77777777" w:rsidR="00B205BF" w:rsidRPr="00F71634" w:rsidRDefault="00B205BF" w:rsidP="00697E42">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w:t>
      </w:r>
    </w:p>
    <w:p w14:paraId="4BD53A11" w14:textId="77777777" w:rsidR="00B205BF" w:rsidRPr="00F71634" w:rsidRDefault="00B205BF" w:rsidP="00ED04AA">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7"/>
      </w:tblGrid>
      <w:tr w:rsidR="00057563" w:rsidRPr="00131776" w14:paraId="1B0F2BBC" w14:textId="77777777" w:rsidTr="00F0766C">
        <w:trPr>
          <w:trHeight w:val="569"/>
        </w:trPr>
        <w:tc>
          <w:tcPr>
            <w:tcW w:w="7795" w:type="dxa"/>
            <w:gridSpan w:val="3"/>
            <w:shd w:val="clear" w:color="auto" w:fill="F2F2F2"/>
          </w:tcPr>
          <w:p w14:paraId="36ACB7AD" w14:textId="77777777" w:rsidR="00057563" w:rsidRPr="00131776" w:rsidRDefault="00057563" w:rsidP="00ED04AA">
            <w:pPr>
              <w:pStyle w:val="TableColumnHeadingLeft"/>
              <w:spacing w:before="60" w:after="60"/>
              <w:rPr>
                <w:rFonts w:ascii="Arial" w:hAnsi="Arial" w:cs="Arial"/>
              </w:rPr>
            </w:pPr>
            <w:r w:rsidRPr="0063348D">
              <w:rPr>
                <w:rStyle w:val="TableHeadingChar"/>
                <w:rFonts w:cs="Arial"/>
                <w:b/>
                <w:szCs w:val="16"/>
              </w:rPr>
              <w:t>Outcome 1</w:t>
            </w:r>
            <w:r w:rsidRPr="0063348D">
              <w:rPr>
                <w:rFonts w:ascii="Arial" w:hAnsi="Arial" w:cs="Arial"/>
                <w:szCs w:val="16"/>
              </w:rPr>
              <w:t xml:space="preserve"> </w:t>
            </w:r>
            <w:r w:rsidRPr="0063348D">
              <w:rPr>
                <w:rFonts w:ascii="Arial" w:hAnsi="Arial" w:cs="Arial"/>
                <w:b w:val="0"/>
                <w:szCs w:val="16"/>
              </w:rPr>
              <w:t xml:space="preserve">– </w:t>
            </w:r>
            <w:r w:rsidRPr="0063348D">
              <w:rPr>
                <w:rFonts w:ascii="Arial" w:hAnsi="Arial" w:cs="Arial"/>
                <w:b w:val="0"/>
                <w:bCs/>
                <w:szCs w:val="16"/>
              </w:rPr>
              <w:t>Maintain an impartial and independent electoral system for eligible voters through active electoral roll management, efficient delivery of polling services, and targeted education and public awareness programs.</w:t>
            </w:r>
          </w:p>
        </w:tc>
      </w:tr>
      <w:tr w:rsidR="00057563" w:rsidRPr="001B2F81" w14:paraId="1406DE1A" w14:textId="77777777" w:rsidTr="00ED04AA">
        <w:trPr>
          <w:trHeight w:val="289"/>
        </w:trPr>
        <w:tc>
          <w:tcPr>
            <w:tcW w:w="7795" w:type="dxa"/>
            <w:gridSpan w:val="3"/>
            <w:shd w:val="clear" w:color="auto" w:fill="F2F2F2"/>
          </w:tcPr>
          <w:p w14:paraId="300D9481" w14:textId="77777777" w:rsidR="00057563" w:rsidRPr="00667383" w:rsidRDefault="00057563" w:rsidP="00ED04AA">
            <w:pPr>
              <w:pStyle w:val="TableTextLeft"/>
              <w:spacing w:before="60" w:after="60"/>
              <w:rPr>
                <w:b/>
              </w:rPr>
            </w:pPr>
            <w:r w:rsidRPr="00667383">
              <w:rPr>
                <w:rFonts w:cs="Arial"/>
                <w:b/>
                <w:szCs w:val="16"/>
              </w:rPr>
              <w:t>Program 1.1- Deliver electoral events</w:t>
            </w:r>
          </w:p>
        </w:tc>
      </w:tr>
      <w:tr w:rsidR="00057563" w:rsidRPr="00CE559F" w14:paraId="375F852E" w14:textId="77777777" w:rsidTr="00F0766C">
        <w:trPr>
          <w:trHeight w:val="694"/>
        </w:trPr>
        <w:tc>
          <w:tcPr>
            <w:tcW w:w="1560" w:type="dxa"/>
            <w:tcBorders>
              <w:bottom w:val="double" w:sz="4" w:space="0" w:color="auto"/>
            </w:tcBorders>
          </w:tcPr>
          <w:p w14:paraId="668338A0" w14:textId="77777777" w:rsidR="00057563" w:rsidRPr="00160C23" w:rsidRDefault="00057563" w:rsidP="00F0766C">
            <w:pPr>
              <w:pStyle w:val="TableColumnHeadingLeft"/>
              <w:spacing w:before="60" w:after="60"/>
            </w:pPr>
            <w:r w:rsidRPr="00160C23">
              <w:t xml:space="preserve">Key Activities </w:t>
            </w:r>
          </w:p>
        </w:tc>
        <w:tc>
          <w:tcPr>
            <w:tcW w:w="6235" w:type="dxa"/>
            <w:gridSpan w:val="2"/>
            <w:tcBorders>
              <w:bottom w:val="double" w:sz="4" w:space="0" w:color="auto"/>
            </w:tcBorders>
          </w:tcPr>
          <w:p w14:paraId="53204045" w14:textId="77777777" w:rsidR="00057563" w:rsidRPr="00667383" w:rsidRDefault="00057563" w:rsidP="00E829D5">
            <w:pPr>
              <w:pStyle w:val="ListParagraph"/>
              <w:numPr>
                <w:ilvl w:val="0"/>
                <w:numId w:val="53"/>
              </w:numPr>
              <w:autoSpaceDE w:val="0"/>
              <w:autoSpaceDN w:val="0"/>
              <w:spacing w:before="60" w:after="60" w:line="240" w:lineRule="auto"/>
              <w:ind w:left="527" w:hanging="357"/>
              <w:rPr>
                <w:rFonts w:ascii="Arial" w:hAnsi="Arial" w:cs="Arial"/>
                <w:sz w:val="16"/>
                <w:szCs w:val="16"/>
              </w:rPr>
            </w:pPr>
            <w:r w:rsidRPr="00667383">
              <w:rPr>
                <w:rFonts w:ascii="Arial" w:hAnsi="Arial" w:cs="Arial"/>
                <w:sz w:val="16"/>
                <w:szCs w:val="16"/>
              </w:rPr>
              <w:t xml:space="preserve">Maintain the integrity of electoral and regulatory </w:t>
            </w:r>
            <w:proofErr w:type="gramStart"/>
            <w:r w:rsidRPr="00667383">
              <w:rPr>
                <w:rFonts w:ascii="Arial" w:hAnsi="Arial" w:cs="Arial"/>
                <w:sz w:val="16"/>
                <w:szCs w:val="16"/>
              </w:rPr>
              <w:t>processes</w:t>
            </w:r>
            <w:proofErr w:type="gramEnd"/>
          </w:p>
          <w:p w14:paraId="174E715C" w14:textId="77777777" w:rsidR="00057563" w:rsidRPr="00667383" w:rsidRDefault="00057563" w:rsidP="00E829D5">
            <w:pPr>
              <w:pStyle w:val="ListParagraph"/>
              <w:numPr>
                <w:ilvl w:val="0"/>
                <w:numId w:val="53"/>
              </w:numPr>
              <w:autoSpaceDE w:val="0"/>
              <w:autoSpaceDN w:val="0"/>
              <w:spacing w:before="60" w:after="60" w:line="240" w:lineRule="auto"/>
              <w:ind w:left="527" w:hanging="357"/>
              <w:rPr>
                <w:rFonts w:ascii="Arial" w:hAnsi="Arial" w:cs="Arial"/>
                <w:sz w:val="16"/>
                <w:szCs w:val="16"/>
              </w:rPr>
            </w:pPr>
            <w:r w:rsidRPr="00667383">
              <w:rPr>
                <w:rFonts w:ascii="Arial" w:hAnsi="Arial" w:cs="Arial"/>
                <w:sz w:val="16"/>
                <w:szCs w:val="16"/>
              </w:rPr>
              <w:t>Prepare for and deliver electoral events</w:t>
            </w:r>
          </w:p>
        </w:tc>
      </w:tr>
      <w:tr w:rsidR="00057563" w:rsidRPr="00160C23" w14:paraId="63FA6D39" w14:textId="77777777" w:rsidTr="00F0766C">
        <w:trPr>
          <w:trHeight w:val="258"/>
        </w:trPr>
        <w:tc>
          <w:tcPr>
            <w:tcW w:w="1560" w:type="dxa"/>
            <w:tcBorders>
              <w:top w:val="double" w:sz="4" w:space="0" w:color="auto"/>
              <w:bottom w:val="single" w:sz="4" w:space="0" w:color="auto"/>
              <w:right w:val="single" w:sz="4" w:space="0" w:color="auto"/>
            </w:tcBorders>
          </w:tcPr>
          <w:p w14:paraId="6684F65F" w14:textId="77777777" w:rsidR="00057563" w:rsidRPr="00160C23" w:rsidRDefault="00057563" w:rsidP="00F0766C">
            <w:pPr>
              <w:pStyle w:val="TableColumnHeadingLeft"/>
              <w:spacing w:before="60" w:after="60"/>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15EC915A" w14:textId="77777777" w:rsidR="00057563" w:rsidRPr="00160C23" w:rsidRDefault="00057563" w:rsidP="00F0766C">
            <w:pPr>
              <w:pStyle w:val="TableColumnHeadingLeft"/>
              <w:spacing w:before="60" w:after="60"/>
              <w:rPr>
                <w:rFonts w:cs="Arial"/>
              </w:rPr>
            </w:pPr>
            <w:r w:rsidRPr="00160C23">
              <w:rPr>
                <w:rFonts w:cs="Arial"/>
              </w:rPr>
              <w:t>Performance measures</w:t>
            </w:r>
          </w:p>
        </w:tc>
        <w:tc>
          <w:tcPr>
            <w:tcW w:w="3117" w:type="dxa"/>
            <w:tcBorders>
              <w:top w:val="double" w:sz="4" w:space="0" w:color="auto"/>
              <w:left w:val="single" w:sz="4" w:space="0" w:color="auto"/>
              <w:bottom w:val="single" w:sz="4" w:space="0" w:color="auto"/>
            </w:tcBorders>
          </w:tcPr>
          <w:p w14:paraId="2F90E052" w14:textId="77777777" w:rsidR="00057563" w:rsidRPr="00160C23" w:rsidRDefault="00057563" w:rsidP="00F0766C">
            <w:pPr>
              <w:pStyle w:val="TableColumnHeadingLeft"/>
              <w:spacing w:before="60" w:after="60"/>
              <w:rPr>
                <w:rFonts w:cs="Arial"/>
              </w:rPr>
            </w:pPr>
            <w:r w:rsidRPr="00160C23">
              <w:rPr>
                <w:rFonts w:cs="Arial"/>
              </w:rPr>
              <w:t>Expected Performance Results</w:t>
            </w:r>
          </w:p>
        </w:tc>
      </w:tr>
      <w:tr w:rsidR="00057563" w:rsidRPr="00A04CCB" w14:paraId="7B1FFF20" w14:textId="77777777" w:rsidTr="00F0766C">
        <w:trPr>
          <w:trHeight w:val="642"/>
        </w:trPr>
        <w:tc>
          <w:tcPr>
            <w:tcW w:w="1560" w:type="dxa"/>
            <w:tcBorders>
              <w:top w:val="single" w:sz="4" w:space="0" w:color="auto"/>
              <w:bottom w:val="nil"/>
              <w:right w:val="single" w:sz="4" w:space="0" w:color="auto"/>
            </w:tcBorders>
          </w:tcPr>
          <w:p w14:paraId="193D0FD5" w14:textId="77777777" w:rsidR="00057563" w:rsidRDefault="00057563" w:rsidP="00ED04AA">
            <w:pPr>
              <w:pStyle w:val="TableTextLeft"/>
              <w:spacing w:before="60" w:after="60"/>
            </w:pPr>
            <w:r>
              <w:t>Current Year</w:t>
            </w:r>
          </w:p>
          <w:p w14:paraId="569515FA" w14:textId="77777777" w:rsidR="00057563" w:rsidRPr="00160C23" w:rsidRDefault="00057563" w:rsidP="00ED04AA">
            <w:pPr>
              <w:pStyle w:val="TableTextLeft"/>
              <w:spacing w:before="60" w:after="60"/>
            </w:pPr>
            <w:r w:rsidRPr="008A7370">
              <w:t>2022-23</w:t>
            </w:r>
          </w:p>
        </w:tc>
        <w:tc>
          <w:tcPr>
            <w:tcW w:w="3118" w:type="dxa"/>
            <w:tcBorders>
              <w:top w:val="single" w:sz="4" w:space="0" w:color="auto"/>
              <w:left w:val="single" w:sz="4" w:space="0" w:color="auto"/>
              <w:bottom w:val="nil"/>
              <w:right w:val="single" w:sz="4" w:space="0" w:color="auto"/>
            </w:tcBorders>
          </w:tcPr>
          <w:p w14:paraId="3078E91E" w14:textId="77777777" w:rsidR="00057563" w:rsidRPr="008A7370" w:rsidRDefault="00057563" w:rsidP="00A1493A">
            <w:pPr>
              <w:tabs>
                <w:tab w:val="left" w:pos="709"/>
              </w:tabs>
              <w:spacing w:before="60" w:after="60" w:line="240" w:lineRule="auto"/>
              <w:rPr>
                <w:rFonts w:ascii="Arial" w:hAnsi="Arial" w:cs="Arial"/>
                <w:b/>
                <w:sz w:val="16"/>
                <w:szCs w:val="16"/>
              </w:rPr>
            </w:pPr>
            <w:r w:rsidRPr="008A7370">
              <w:rPr>
                <w:rFonts w:ascii="Arial" w:hAnsi="Arial" w:cs="Arial"/>
                <w:b/>
                <w:sz w:val="16"/>
                <w:szCs w:val="16"/>
              </w:rPr>
              <w:t xml:space="preserve">Electoral Roll Management </w:t>
            </w:r>
          </w:p>
          <w:p w14:paraId="299400D0" w14:textId="77777777" w:rsidR="00057563" w:rsidRPr="009E4941" w:rsidRDefault="00057563" w:rsidP="00E829D5">
            <w:pPr>
              <w:pStyle w:val="ListParagraph"/>
              <w:numPr>
                <w:ilvl w:val="0"/>
                <w:numId w:val="51"/>
              </w:numPr>
              <w:autoSpaceDE w:val="0"/>
              <w:autoSpaceDN w:val="0"/>
              <w:spacing w:before="60" w:after="60" w:line="240" w:lineRule="auto"/>
              <w:ind w:left="527" w:hanging="357"/>
              <w:contextualSpacing w:val="0"/>
              <w:rPr>
                <w:rFonts w:ascii="Arial" w:hAnsi="Arial" w:cs="Arial"/>
                <w:sz w:val="16"/>
                <w:szCs w:val="16"/>
              </w:rPr>
            </w:pPr>
            <w:r w:rsidRPr="009E4941">
              <w:rPr>
                <w:rFonts w:ascii="Arial" w:hAnsi="Arial" w:cs="Arial"/>
                <w:sz w:val="16"/>
                <w:szCs w:val="16"/>
              </w:rPr>
              <w:t>Percentage of eligible voters enrolled (enrolment rate).</w:t>
            </w:r>
          </w:p>
          <w:p w14:paraId="2DEFE808" w14:textId="77777777" w:rsidR="00057563" w:rsidRPr="00160C23" w:rsidRDefault="00057563" w:rsidP="00F0766C">
            <w:pPr>
              <w:autoSpaceDE w:val="0"/>
              <w:autoSpaceDN w:val="0"/>
              <w:spacing w:before="60" w:after="60" w:line="240" w:lineRule="auto"/>
              <w:ind w:left="527" w:hanging="357"/>
              <w:rPr>
                <w:i/>
                <w:color w:val="0070C0"/>
                <w:szCs w:val="16"/>
              </w:rPr>
            </w:pPr>
          </w:p>
        </w:tc>
        <w:tc>
          <w:tcPr>
            <w:tcW w:w="3117" w:type="dxa"/>
            <w:tcBorders>
              <w:top w:val="single" w:sz="4" w:space="0" w:color="auto"/>
              <w:left w:val="single" w:sz="4" w:space="0" w:color="auto"/>
              <w:bottom w:val="nil"/>
            </w:tcBorders>
          </w:tcPr>
          <w:p w14:paraId="67A544C9" w14:textId="77777777" w:rsidR="00057563" w:rsidRPr="00667383" w:rsidRDefault="00057563" w:rsidP="00A1493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 95% reported annually and at close of rolls for a federal election or referendum.</w:t>
            </w:r>
          </w:p>
          <w:p w14:paraId="4A4CB09B" w14:textId="77777777" w:rsidR="00057563" w:rsidRPr="00A04CCB" w:rsidRDefault="00057563" w:rsidP="00A1493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The enrolment rate at 31 December 2022 was 97.1% and is expected to remain above target.</w:t>
            </w:r>
          </w:p>
        </w:tc>
      </w:tr>
      <w:tr w:rsidR="00057563" w:rsidRPr="00A04CCB" w14:paraId="7542DCF9" w14:textId="77777777" w:rsidTr="00F0766C">
        <w:trPr>
          <w:trHeight w:val="642"/>
        </w:trPr>
        <w:tc>
          <w:tcPr>
            <w:tcW w:w="1560" w:type="dxa"/>
            <w:tcBorders>
              <w:top w:val="nil"/>
              <w:bottom w:val="nil"/>
              <w:right w:val="single" w:sz="4" w:space="0" w:color="auto"/>
            </w:tcBorders>
          </w:tcPr>
          <w:p w14:paraId="158B6025" w14:textId="77777777" w:rsidR="00057563" w:rsidRDefault="00057563" w:rsidP="00F0766C">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1EF4261D" w14:textId="77777777" w:rsidR="00057563" w:rsidRPr="00250C7B" w:rsidRDefault="00057563" w:rsidP="00E829D5">
            <w:pPr>
              <w:pStyle w:val="ListParagraph"/>
              <w:numPr>
                <w:ilvl w:val="0"/>
                <w:numId w:val="52"/>
              </w:numPr>
              <w:autoSpaceDE w:val="0"/>
              <w:autoSpaceDN w:val="0"/>
              <w:spacing w:before="60" w:after="60" w:line="240" w:lineRule="auto"/>
              <w:ind w:left="527" w:hanging="357"/>
              <w:contextualSpacing w:val="0"/>
              <w:rPr>
                <w:rFonts w:ascii="Arial" w:hAnsi="Arial" w:cs="Arial"/>
                <w:sz w:val="16"/>
                <w:szCs w:val="16"/>
              </w:rPr>
            </w:pPr>
            <w:r w:rsidRPr="00250C7B">
              <w:rPr>
                <w:rFonts w:ascii="Arial" w:hAnsi="Arial" w:cs="Arial"/>
                <w:sz w:val="16"/>
                <w:szCs w:val="16"/>
              </w:rPr>
              <w:t>Redistributions determined</w:t>
            </w:r>
            <w:r>
              <w:rPr>
                <w:rFonts w:ascii="Arial" w:hAnsi="Arial" w:cs="Arial"/>
                <w:sz w:val="16"/>
                <w:szCs w:val="16"/>
              </w:rPr>
              <w:t xml:space="preserve"> in</w:t>
            </w:r>
            <w:r w:rsidRPr="00250C7B">
              <w:rPr>
                <w:rFonts w:ascii="Arial" w:hAnsi="Arial" w:cs="Arial"/>
                <w:sz w:val="16"/>
                <w:szCs w:val="16"/>
              </w:rPr>
              <w:t xml:space="preserve"> accordance with the</w:t>
            </w:r>
            <w:r w:rsidRPr="009E4941">
              <w:rPr>
                <w:rFonts w:ascii="Arial" w:hAnsi="Arial" w:cs="Arial"/>
                <w:sz w:val="16"/>
                <w:szCs w:val="16"/>
              </w:rPr>
              <w:t xml:space="preserve"> </w:t>
            </w:r>
            <w:r w:rsidRPr="00667383">
              <w:rPr>
                <w:rFonts w:ascii="Arial" w:hAnsi="Arial" w:cs="Arial"/>
                <w:i/>
                <w:iCs/>
                <w:sz w:val="16"/>
                <w:szCs w:val="16"/>
              </w:rPr>
              <w:t>Commonwealth Electoral Act 1918</w:t>
            </w:r>
            <w:r w:rsidRPr="00250C7B">
              <w:rPr>
                <w:rFonts w:ascii="Arial" w:hAnsi="Arial" w:cs="Arial"/>
                <w:sz w:val="16"/>
                <w:szCs w:val="16"/>
              </w:rPr>
              <w:t>.</w:t>
            </w:r>
          </w:p>
          <w:p w14:paraId="1766E2A1" w14:textId="77777777" w:rsidR="00057563" w:rsidRPr="009964A0" w:rsidRDefault="00057563" w:rsidP="00F0766C">
            <w:pPr>
              <w:autoSpaceDE w:val="0"/>
              <w:autoSpaceDN w:val="0"/>
              <w:spacing w:before="60" w:after="60" w:line="240" w:lineRule="auto"/>
              <w:ind w:left="527" w:hanging="357"/>
              <w:rPr>
                <w:rFonts w:ascii="Arial" w:hAnsi="Arial" w:cs="Arial"/>
                <w:b/>
                <w:sz w:val="16"/>
                <w:szCs w:val="16"/>
              </w:rPr>
            </w:pPr>
          </w:p>
        </w:tc>
        <w:tc>
          <w:tcPr>
            <w:tcW w:w="3117" w:type="dxa"/>
            <w:tcBorders>
              <w:top w:val="nil"/>
              <w:left w:val="single" w:sz="4" w:space="0" w:color="auto"/>
              <w:bottom w:val="dotted" w:sz="4" w:space="0" w:color="auto"/>
            </w:tcBorders>
          </w:tcPr>
          <w:p w14:paraId="611107E3" w14:textId="77777777" w:rsidR="00057563" w:rsidRPr="00667383" w:rsidRDefault="00057563" w:rsidP="00A1493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All redistributions are determined in accordance with the planned determination date and impacted electors are notified prior to the relevant federal election.</w:t>
            </w:r>
          </w:p>
          <w:p w14:paraId="656881A7" w14:textId="77777777" w:rsidR="00057563" w:rsidRPr="00A04CCB" w:rsidRDefault="00057563" w:rsidP="00A1493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No redistributions were undertaken in the relevant period. The New South Wales federal redistribution has been deferred and is due to commence after July 2023.</w:t>
            </w:r>
          </w:p>
        </w:tc>
      </w:tr>
      <w:tr w:rsidR="00057563" w:rsidRPr="00A04CCB" w14:paraId="48AF7A7A" w14:textId="77777777" w:rsidTr="00F0766C">
        <w:trPr>
          <w:trHeight w:val="642"/>
        </w:trPr>
        <w:tc>
          <w:tcPr>
            <w:tcW w:w="1560" w:type="dxa"/>
            <w:tcBorders>
              <w:top w:val="nil"/>
              <w:bottom w:val="single" w:sz="4" w:space="0" w:color="auto"/>
              <w:right w:val="single" w:sz="4" w:space="0" w:color="auto"/>
            </w:tcBorders>
          </w:tcPr>
          <w:p w14:paraId="21243F95" w14:textId="77777777" w:rsidR="00057563" w:rsidRDefault="00057563" w:rsidP="00F0766C">
            <w:pPr>
              <w:pStyle w:val="TableTextLeft"/>
              <w:spacing w:before="60" w:after="60"/>
            </w:pPr>
          </w:p>
        </w:tc>
        <w:tc>
          <w:tcPr>
            <w:tcW w:w="3118" w:type="dxa"/>
            <w:tcBorders>
              <w:top w:val="dotted" w:sz="4" w:space="0" w:color="auto"/>
              <w:left w:val="single" w:sz="4" w:space="0" w:color="auto"/>
              <w:bottom w:val="single" w:sz="4" w:space="0" w:color="auto"/>
              <w:right w:val="single" w:sz="4" w:space="0" w:color="auto"/>
            </w:tcBorders>
          </w:tcPr>
          <w:p w14:paraId="06A80C2D" w14:textId="77777777" w:rsidR="00057563" w:rsidRPr="00667383" w:rsidRDefault="00057563" w:rsidP="00A1493A">
            <w:pPr>
              <w:tabs>
                <w:tab w:val="left" w:pos="709"/>
              </w:tabs>
              <w:spacing w:before="60" w:after="60" w:line="240" w:lineRule="auto"/>
              <w:rPr>
                <w:rFonts w:ascii="Arial" w:hAnsi="Arial" w:cs="Arial"/>
                <w:b/>
                <w:sz w:val="16"/>
                <w:szCs w:val="16"/>
              </w:rPr>
            </w:pPr>
            <w:r w:rsidRPr="00667383">
              <w:rPr>
                <w:rFonts w:ascii="Arial" w:hAnsi="Arial" w:cs="Arial"/>
                <w:b/>
                <w:sz w:val="16"/>
                <w:szCs w:val="16"/>
              </w:rPr>
              <w:t>Elections, By-elections and Referendums</w:t>
            </w:r>
          </w:p>
          <w:p w14:paraId="13BE7E98" w14:textId="011AD433" w:rsidR="00057563" w:rsidRPr="00D94CF6" w:rsidRDefault="00057563"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 xml:space="preserve">The election result – for each event – is delivered in accordance with the </w:t>
            </w:r>
            <w:r w:rsidRPr="00667383">
              <w:rPr>
                <w:rFonts w:ascii="Arial" w:hAnsi="Arial" w:cs="Arial"/>
                <w:bCs/>
                <w:i/>
                <w:iCs/>
                <w:sz w:val="16"/>
                <w:szCs w:val="16"/>
              </w:rPr>
              <w:t>Commonwealth Electoral Act 1918.</w:t>
            </w:r>
          </w:p>
        </w:tc>
        <w:tc>
          <w:tcPr>
            <w:tcW w:w="3117" w:type="dxa"/>
            <w:tcBorders>
              <w:top w:val="dotted" w:sz="4" w:space="0" w:color="auto"/>
              <w:left w:val="single" w:sz="4" w:space="0" w:color="auto"/>
              <w:bottom w:val="single" w:sz="4" w:space="0" w:color="auto"/>
            </w:tcBorders>
          </w:tcPr>
          <w:p w14:paraId="0E0B438C" w14:textId="77777777" w:rsidR="00057563" w:rsidRPr="00667383" w:rsidRDefault="00057563" w:rsidP="00ED04A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The writs for a federal election event are issued and returned in accordance with legislative requirements and timeframes.</w:t>
            </w:r>
          </w:p>
          <w:p w14:paraId="612AF96B" w14:textId="77777777" w:rsidR="00057563" w:rsidRPr="00A04CCB" w:rsidRDefault="00057563" w:rsidP="00ED04A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No federal elections or referendums were held. For the Aston by-election, writs were issued in accordance with legislation and timeframes.</w:t>
            </w:r>
          </w:p>
        </w:tc>
      </w:tr>
    </w:tbl>
    <w:p w14:paraId="206F306B" w14:textId="77777777" w:rsidR="00057563" w:rsidRDefault="00057563" w:rsidP="005628BB">
      <w:pPr>
        <w:spacing w:before="30" w:after="0" w:line="240" w:lineRule="auto"/>
        <w:rPr>
          <w:b/>
        </w:rPr>
      </w:pPr>
      <w:r>
        <w:rPr>
          <w:rFonts w:ascii="Arial" w:hAnsi="Arial" w:cs="Arial"/>
          <w:sz w:val="16"/>
          <w:szCs w:val="16"/>
          <w:lang w:eastAsia="x-none"/>
        </w:rPr>
        <w:t>Table continues on next page</w:t>
      </w:r>
      <w:r>
        <w:rPr>
          <w:b/>
        </w:rPr>
        <w:t xml:space="preserve"> </w:t>
      </w:r>
    </w:p>
    <w:p w14:paraId="19625F26" w14:textId="77777777" w:rsidR="00057563" w:rsidRDefault="00057563">
      <w:pPr>
        <w:spacing w:before="0" w:after="0" w:line="240" w:lineRule="auto"/>
        <w:rPr>
          <w:b/>
        </w:rPr>
      </w:pPr>
      <w:r>
        <w:rPr>
          <w:b/>
        </w:rPr>
        <w:br w:type="page"/>
      </w:r>
    </w:p>
    <w:p w14:paraId="25CCE947"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01245" w:rsidRPr="001B2F81" w14:paraId="25549D3A" w14:textId="77777777" w:rsidTr="007C3F36">
        <w:trPr>
          <w:trHeight w:val="289"/>
        </w:trPr>
        <w:tc>
          <w:tcPr>
            <w:tcW w:w="7796" w:type="dxa"/>
            <w:gridSpan w:val="3"/>
            <w:shd w:val="clear" w:color="auto" w:fill="F2F2F2"/>
          </w:tcPr>
          <w:p w14:paraId="42111B64" w14:textId="77777777" w:rsidR="00D01245" w:rsidRPr="001B2F81" w:rsidRDefault="00D01245" w:rsidP="007C3F36">
            <w:pPr>
              <w:pStyle w:val="TableTextLeft"/>
              <w:spacing w:before="60" w:after="60"/>
            </w:pPr>
            <w:bookmarkStart w:id="105" w:name="_Hlk134033196"/>
            <w:r w:rsidRPr="00667383">
              <w:rPr>
                <w:b/>
              </w:rPr>
              <w:t xml:space="preserve">Program 1.1- Deliver electoral events </w:t>
            </w:r>
          </w:p>
        </w:tc>
      </w:tr>
      <w:tr w:rsidR="00D01245" w:rsidRPr="00D35E38" w14:paraId="2D2A46B1" w14:textId="77777777" w:rsidTr="007C3F36">
        <w:trPr>
          <w:trHeight w:val="343"/>
        </w:trPr>
        <w:tc>
          <w:tcPr>
            <w:tcW w:w="1560" w:type="dxa"/>
            <w:tcBorders>
              <w:top w:val="single" w:sz="4" w:space="0" w:color="auto"/>
              <w:left w:val="single" w:sz="4" w:space="0" w:color="auto"/>
              <w:bottom w:val="single" w:sz="4" w:space="0" w:color="auto"/>
              <w:right w:val="single" w:sz="4" w:space="0" w:color="auto"/>
            </w:tcBorders>
          </w:tcPr>
          <w:p w14:paraId="3A208201" w14:textId="77777777" w:rsidR="00D01245" w:rsidRPr="00D35E38" w:rsidRDefault="00D01245" w:rsidP="007C3F36">
            <w:pPr>
              <w:pStyle w:val="TableColumnHeadingLeft"/>
              <w:spacing w:before="60" w:after="60"/>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0C28223B" w14:textId="77777777" w:rsidR="00D01245" w:rsidRPr="00D35E38" w:rsidRDefault="00D01245" w:rsidP="007C3F36">
            <w:pPr>
              <w:pStyle w:val="TableColumnHeadingLeft"/>
              <w:spacing w:before="60" w:after="60"/>
            </w:pPr>
            <w:r w:rsidRPr="00D35E38">
              <w:t>Performance measures</w:t>
            </w:r>
          </w:p>
        </w:tc>
        <w:tc>
          <w:tcPr>
            <w:tcW w:w="3118" w:type="dxa"/>
            <w:tcBorders>
              <w:top w:val="single" w:sz="4" w:space="0" w:color="auto"/>
              <w:left w:val="single" w:sz="4" w:space="0" w:color="auto"/>
              <w:bottom w:val="single" w:sz="4" w:space="0" w:color="auto"/>
              <w:right w:val="single" w:sz="4" w:space="0" w:color="auto"/>
            </w:tcBorders>
          </w:tcPr>
          <w:p w14:paraId="7AB5D7F2" w14:textId="77777777" w:rsidR="00D01245" w:rsidRPr="00D35E38" w:rsidRDefault="00D01245" w:rsidP="007C3F36">
            <w:pPr>
              <w:pStyle w:val="TableColumnHeadingLeft"/>
              <w:spacing w:before="60" w:after="60"/>
            </w:pPr>
            <w:r w:rsidRPr="00D35E38">
              <w:t>Expected Performance Results</w:t>
            </w:r>
          </w:p>
        </w:tc>
      </w:tr>
      <w:tr w:rsidR="00D01245" w:rsidRPr="006806D5" w14:paraId="63E2C816" w14:textId="77777777" w:rsidTr="007C3F36">
        <w:trPr>
          <w:trHeight w:val="642"/>
        </w:trPr>
        <w:tc>
          <w:tcPr>
            <w:tcW w:w="1560" w:type="dxa"/>
            <w:tcBorders>
              <w:top w:val="single" w:sz="4" w:space="0" w:color="auto"/>
              <w:bottom w:val="nil"/>
              <w:right w:val="single" w:sz="4" w:space="0" w:color="auto"/>
            </w:tcBorders>
          </w:tcPr>
          <w:p w14:paraId="49E6BDCE" w14:textId="77777777" w:rsidR="00D01245" w:rsidRPr="00667383" w:rsidRDefault="00D01245" w:rsidP="007C3F36">
            <w:pPr>
              <w:pStyle w:val="TableTextLeft"/>
              <w:spacing w:before="60" w:after="60"/>
            </w:pPr>
            <w:r w:rsidRPr="00667383">
              <w:t>Current Year</w:t>
            </w:r>
          </w:p>
          <w:p w14:paraId="340C68F2" w14:textId="77777777" w:rsidR="00D01245" w:rsidRPr="00667383" w:rsidRDefault="00D01245" w:rsidP="007C3F36">
            <w:pPr>
              <w:pStyle w:val="TableTextLeft"/>
              <w:spacing w:before="60" w:after="60"/>
            </w:pPr>
            <w:r w:rsidRPr="00667383">
              <w:t>2022-23</w:t>
            </w:r>
          </w:p>
          <w:p w14:paraId="5B22CEF9" w14:textId="77777777" w:rsidR="00D01245" w:rsidRDefault="00D01245" w:rsidP="007C3F36">
            <w:pPr>
              <w:pStyle w:val="TableTextLeft"/>
              <w:spacing w:before="60" w:after="60"/>
            </w:pPr>
            <w:r w:rsidRPr="00667383">
              <w:t>(continued)</w:t>
            </w:r>
          </w:p>
        </w:tc>
        <w:tc>
          <w:tcPr>
            <w:tcW w:w="3118" w:type="dxa"/>
            <w:tcBorders>
              <w:top w:val="single" w:sz="4" w:space="0" w:color="auto"/>
              <w:left w:val="single" w:sz="4" w:space="0" w:color="auto"/>
              <w:bottom w:val="dotted" w:sz="4" w:space="0" w:color="auto"/>
              <w:right w:val="single" w:sz="4" w:space="0" w:color="auto"/>
            </w:tcBorders>
          </w:tcPr>
          <w:p w14:paraId="616B1619" w14:textId="77777777" w:rsidR="00D01245" w:rsidRPr="00667383" w:rsidRDefault="00D01245" w:rsidP="00E829D5">
            <w:pPr>
              <w:pStyle w:val="ListParagraph"/>
              <w:numPr>
                <w:ilvl w:val="0"/>
                <w:numId w:val="54"/>
              </w:numPr>
              <w:tabs>
                <w:tab w:val="left" w:pos="709"/>
              </w:tabs>
              <w:spacing w:before="60" w:after="60" w:line="240" w:lineRule="auto"/>
              <w:ind w:left="527" w:hanging="357"/>
              <w:rPr>
                <w:rFonts w:ascii="Arial" w:hAnsi="Arial" w:cs="Arial"/>
                <w:b/>
                <w:sz w:val="16"/>
                <w:szCs w:val="16"/>
              </w:rPr>
            </w:pPr>
            <w:r w:rsidRPr="00667383">
              <w:rPr>
                <w:rFonts w:ascii="Arial" w:hAnsi="Arial" w:cs="Arial"/>
                <w:bCs/>
                <w:sz w:val="16"/>
                <w:szCs w:val="16"/>
              </w:rPr>
              <w:t>Industrial election and ballot results are delivered with integrity and withstand scrutiny.</w:t>
            </w:r>
          </w:p>
        </w:tc>
        <w:tc>
          <w:tcPr>
            <w:tcW w:w="3118" w:type="dxa"/>
            <w:tcBorders>
              <w:top w:val="single" w:sz="4" w:space="0" w:color="auto"/>
              <w:left w:val="single" w:sz="4" w:space="0" w:color="auto"/>
              <w:bottom w:val="dotted" w:sz="4" w:space="0" w:color="auto"/>
            </w:tcBorders>
          </w:tcPr>
          <w:p w14:paraId="643BAFA5" w14:textId="77777777" w:rsidR="00D01245" w:rsidRPr="00667383" w:rsidRDefault="00D01245" w:rsidP="007C3F36">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No targets. The AEC will report on the number of events and their outcomes in which the AEC's conduct is challenged before a court.</w:t>
            </w:r>
          </w:p>
          <w:p w14:paraId="60CE42BA" w14:textId="77777777" w:rsidR="00D01245" w:rsidRPr="006806D5" w:rsidRDefault="00D01245" w:rsidP="007C3F36">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There were no challenges on the AEC’s conduct of the delivery of industrial elections and ballots.</w:t>
            </w:r>
          </w:p>
        </w:tc>
      </w:tr>
      <w:tr w:rsidR="00D01245" w:rsidRPr="00A04CCB" w14:paraId="734CC668" w14:textId="77777777" w:rsidTr="007C3F36">
        <w:trPr>
          <w:trHeight w:val="642"/>
        </w:trPr>
        <w:tc>
          <w:tcPr>
            <w:tcW w:w="1560" w:type="dxa"/>
            <w:tcBorders>
              <w:top w:val="nil"/>
              <w:bottom w:val="nil"/>
              <w:right w:val="single" w:sz="4" w:space="0" w:color="auto"/>
            </w:tcBorders>
          </w:tcPr>
          <w:p w14:paraId="0E22F120" w14:textId="77777777" w:rsidR="00D01245" w:rsidRDefault="00D01245" w:rsidP="007C3F36">
            <w:pPr>
              <w:pStyle w:val="TableTextLeft"/>
              <w:spacing w:before="60" w:after="60"/>
            </w:pPr>
          </w:p>
        </w:tc>
        <w:tc>
          <w:tcPr>
            <w:tcW w:w="3118" w:type="dxa"/>
            <w:tcBorders>
              <w:top w:val="dotted" w:sz="4" w:space="0" w:color="auto"/>
              <w:left w:val="single" w:sz="4" w:space="0" w:color="auto"/>
              <w:bottom w:val="dotted" w:sz="4" w:space="0" w:color="auto"/>
              <w:right w:val="single" w:sz="4" w:space="0" w:color="auto"/>
            </w:tcBorders>
          </w:tcPr>
          <w:p w14:paraId="6D891923" w14:textId="77777777" w:rsidR="00D01245" w:rsidRPr="009964A0" w:rsidRDefault="00D01245" w:rsidP="007C3F36">
            <w:pPr>
              <w:spacing w:before="60" w:after="60" w:line="240" w:lineRule="auto"/>
              <w:rPr>
                <w:rFonts w:ascii="Arial" w:hAnsi="Arial" w:cs="Arial"/>
                <w:b/>
                <w:sz w:val="16"/>
                <w:szCs w:val="16"/>
              </w:rPr>
            </w:pPr>
            <w:r w:rsidRPr="009964A0">
              <w:rPr>
                <w:rFonts w:ascii="Arial" w:hAnsi="Arial" w:cs="Arial"/>
                <w:b/>
                <w:sz w:val="16"/>
                <w:szCs w:val="16"/>
              </w:rPr>
              <w:t>Public Awareness</w:t>
            </w:r>
          </w:p>
          <w:p w14:paraId="3F963C9D" w14:textId="77777777" w:rsidR="00D01245" w:rsidRPr="00667383" w:rsidRDefault="00D01245"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Deliver public awareness and education products that target all Australian citizens aged 18 years and over.</w:t>
            </w:r>
          </w:p>
          <w:p w14:paraId="01A03844" w14:textId="77777777" w:rsidR="00D01245" w:rsidRPr="009964A0" w:rsidRDefault="00D01245" w:rsidP="007C3F36">
            <w:pPr>
              <w:autoSpaceDE w:val="0"/>
              <w:autoSpaceDN w:val="0"/>
              <w:spacing w:before="60" w:after="60" w:line="240" w:lineRule="auto"/>
              <w:rPr>
                <w:rFonts w:ascii="Arial" w:hAnsi="Arial" w:cs="Arial"/>
                <w:sz w:val="16"/>
                <w:szCs w:val="16"/>
              </w:rPr>
            </w:pPr>
          </w:p>
        </w:tc>
        <w:tc>
          <w:tcPr>
            <w:tcW w:w="3118" w:type="dxa"/>
            <w:tcBorders>
              <w:top w:val="dotted" w:sz="4" w:space="0" w:color="auto"/>
              <w:left w:val="single" w:sz="4" w:space="0" w:color="auto"/>
              <w:bottom w:val="dotted" w:sz="4" w:space="0" w:color="auto"/>
            </w:tcBorders>
          </w:tcPr>
          <w:p w14:paraId="7A9B4B63" w14:textId="77777777" w:rsidR="00D01245" w:rsidRPr="00667383" w:rsidRDefault="00D01245" w:rsidP="007C3F36">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The AEC's public awareness campaign is delivered in accordance with key objectives outlined in the campaign strategy.</w:t>
            </w:r>
          </w:p>
          <w:p w14:paraId="32A80822" w14:textId="77777777" w:rsidR="00D01245" w:rsidRPr="00A04CCB" w:rsidRDefault="00D01245" w:rsidP="007C3F36">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A comprehensive external evaluation of the 2022 federal election public awareness campaign was undertaken. The campaign performed well and achieved reach among target audiences.</w:t>
            </w:r>
          </w:p>
        </w:tc>
      </w:tr>
      <w:tr w:rsidR="00D01245" w:rsidRPr="00A04CCB" w14:paraId="20B5648B" w14:textId="77777777" w:rsidTr="007C3F36">
        <w:trPr>
          <w:trHeight w:val="642"/>
        </w:trPr>
        <w:tc>
          <w:tcPr>
            <w:tcW w:w="1560" w:type="dxa"/>
            <w:tcBorders>
              <w:top w:val="nil"/>
              <w:bottom w:val="nil"/>
              <w:right w:val="single" w:sz="4" w:space="0" w:color="auto"/>
            </w:tcBorders>
          </w:tcPr>
          <w:p w14:paraId="63647D9D" w14:textId="77777777" w:rsidR="00D01245" w:rsidRDefault="00D01245" w:rsidP="007C3F36">
            <w:pPr>
              <w:pStyle w:val="TableTextLeft"/>
              <w:spacing w:before="60" w:after="60"/>
            </w:pPr>
          </w:p>
        </w:tc>
        <w:tc>
          <w:tcPr>
            <w:tcW w:w="3118" w:type="dxa"/>
            <w:tcBorders>
              <w:top w:val="dotted" w:sz="4" w:space="0" w:color="auto"/>
              <w:left w:val="single" w:sz="4" w:space="0" w:color="auto"/>
              <w:bottom w:val="nil"/>
              <w:right w:val="single" w:sz="4" w:space="0" w:color="auto"/>
            </w:tcBorders>
          </w:tcPr>
          <w:p w14:paraId="2133D75D" w14:textId="77777777" w:rsidR="00D01245" w:rsidRPr="00250C7B" w:rsidRDefault="00D01245" w:rsidP="007C3F36">
            <w:pPr>
              <w:spacing w:before="0" w:after="120" w:line="240" w:lineRule="auto"/>
              <w:rPr>
                <w:rFonts w:ascii="Arial" w:hAnsi="Arial" w:cs="Arial"/>
                <w:b/>
                <w:sz w:val="16"/>
                <w:szCs w:val="16"/>
              </w:rPr>
            </w:pPr>
            <w:r w:rsidRPr="00250C7B">
              <w:rPr>
                <w:rFonts w:ascii="Arial" w:hAnsi="Arial" w:cs="Arial"/>
                <w:b/>
                <w:sz w:val="16"/>
                <w:szCs w:val="16"/>
              </w:rPr>
              <w:t>Party Registration and Financial Disclosure</w:t>
            </w:r>
          </w:p>
          <w:p w14:paraId="5CD9D0C4" w14:textId="77777777" w:rsidR="00D01245" w:rsidRDefault="00D01245"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The AEC maintains an up-to-date public register of political parties.</w:t>
            </w:r>
          </w:p>
          <w:p w14:paraId="2B2AE212" w14:textId="77777777" w:rsidR="00D01245" w:rsidRPr="00807D96" w:rsidRDefault="00D01245" w:rsidP="007C3F36">
            <w:pPr>
              <w:tabs>
                <w:tab w:val="left" w:pos="709"/>
              </w:tabs>
              <w:spacing w:before="60" w:after="60" w:line="240" w:lineRule="auto"/>
              <w:rPr>
                <w:rFonts w:ascii="Arial" w:hAnsi="Arial" w:cs="Arial"/>
                <w:b/>
                <w:sz w:val="16"/>
                <w:szCs w:val="16"/>
              </w:rPr>
            </w:pPr>
          </w:p>
        </w:tc>
        <w:tc>
          <w:tcPr>
            <w:tcW w:w="3118" w:type="dxa"/>
            <w:tcBorders>
              <w:top w:val="dotted" w:sz="4" w:space="0" w:color="auto"/>
              <w:left w:val="single" w:sz="4" w:space="0" w:color="auto"/>
              <w:bottom w:val="nil"/>
            </w:tcBorders>
          </w:tcPr>
          <w:p w14:paraId="272F917A" w14:textId="77777777" w:rsidR="00D01245" w:rsidRPr="006A405E" w:rsidRDefault="00D01245" w:rsidP="007C3F36">
            <w:pPr>
              <w:autoSpaceDE w:val="0"/>
              <w:autoSpaceDN w:val="0"/>
              <w:spacing w:before="0" w:after="120" w:line="240" w:lineRule="auto"/>
              <w:rPr>
                <w:rFonts w:ascii="Arial" w:hAnsi="Arial" w:cs="Arial"/>
                <w:sz w:val="16"/>
                <w:szCs w:val="16"/>
              </w:rPr>
            </w:pPr>
            <w:r w:rsidRPr="00F7726A">
              <w:rPr>
                <w:rFonts w:ascii="Arial" w:hAnsi="Arial" w:cs="Arial"/>
                <w:b/>
                <w:bCs/>
                <w:sz w:val="16"/>
                <w:szCs w:val="16"/>
              </w:rPr>
              <w:t>Target:</w:t>
            </w:r>
            <w:r>
              <w:rPr>
                <w:rFonts w:ascii="Arial" w:hAnsi="Arial" w:cs="Arial"/>
                <w:sz w:val="16"/>
                <w:szCs w:val="16"/>
              </w:rPr>
              <w:t xml:space="preserve"> </w:t>
            </w:r>
            <w:r w:rsidRPr="00651EBB">
              <w:rPr>
                <w:rFonts w:ascii="Arial" w:hAnsi="Arial" w:cs="Arial"/>
                <w:sz w:val="16"/>
                <w:szCs w:val="16"/>
              </w:rPr>
              <w:t xml:space="preserve">Compliance with </w:t>
            </w:r>
            <w:r>
              <w:rPr>
                <w:rFonts w:ascii="Arial" w:hAnsi="Arial" w:cs="Arial"/>
                <w:sz w:val="16"/>
                <w:szCs w:val="16"/>
              </w:rPr>
              <w:t xml:space="preserve">s125(1) of </w:t>
            </w:r>
            <w:r w:rsidRPr="00651EBB">
              <w:rPr>
                <w:rFonts w:ascii="Arial" w:hAnsi="Arial" w:cs="Arial"/>
                <w:sz w:val="16"/>
                <w:szCs w:val="16"/>
              </w:rPr>
              <w:t xml:space="preserve">Part XI of the </w:t>
            </w:r>
            <w:r w:rsidRPr="00651EBB">
              <w:rPr>
                <w:rFonts w:ascii="Arial" w:eastAsia="Calibri" w:hAnsi="Arial" w:cs="Arial"/>
                <w:i/>
                <w:sz w:val="16"/>
                <w:szCs w:val="16"/>
                <w:lang w:val="en-US"/>
              </w:rPr>
              <w:t>Commonwealth Electoral Act 1918</w:t>
            </w:r>
            <w:r w:rsidRPr="00651EBB">
              <w:rPr>
                <w:rFonts w:ascii="Arial" w:eastAsia="Calibri" w:hAnsi="Arial" w:cs="Arial"/>
                <w:sz w:val="16"/>
                <w:szCs w:val="16"/>
                <w:lang w:val="en-US"/>
              </w:rPr>
              <w:t>.</w:t>
            </w:r>
          </w:p>
          <w:p w14:paraId="66ECACFD" w14:textId="77777777" w:rsidR="00D01245" w:rsidRPr="00A04CCB" w:rsidRDefault="00D01245" w:rsidP="007C3F36">
            <w:pPr>
              <w:autoSpaceDE w:val="0"/>
              <w:autoSpaceDN w:val="0"/>
              <w:adjustRightInd w:val="0"/>
              <w:spacing w:before="60" w:after="60" w:line="240" w:lineRule="auto"/>
              <w:rPr>
                <w:rFonts w:ascii="Arial" w:hAnsi="Arial" w:cs="Arial"/>
                <w:sz w:val="16"/>
                <w:szCs w:val="16"/>
              </w:rPr>
            </w:pPr>
            <w:r w:rsidRPr="00161087">
              <w:rPr>
                <w:rFonts w:ascii="Arial" w:hAnsi="Arial" w:cs="Arial"/>
                <w:b/>
                <w:bCs/>
                <w:sz w:val="16"/>
                <w:szCs w:val="16"/>
              </w:rPr>
              <w:t>Performance:</w:t>
            </w:r>
            <w:r w:rsidRPr="00161087">
              <w:rPr>
                <w:rFonts w:ascii="Arial" w:hAnsi="Arial" w:cs="Arial"/>
                <w:sz w:val="16"/>
                <w:szCs w:val="16"/>
              </w:rPr>
              <w:t xml:space="preserve"> </w:t>
            </w:r>
            <w:r w:rsidRPr="00352D91">
              <w:rPr>
                <w:rFonts w:ascii="Arial" w:hAnsi="Arial" w:cs="Arial"/>
                <w:sz w:val="16"/>
                <w:szCs w:val="16"/>
              </w:rPr>
              <w:t>Met.</w:t>
            </w:r>
            <w:r w:rsidRPr="095D56D8">
              <w:rPr>
                <w:rFonts w:ascii="Arial" w:hAnsi="Arial" w:cs="Arial"/>
                <w:sz w:val="16"/>
                <w:szCs w:val="16"/>
              </w:rPr>
              <w:t xml:space="preserve"> The AEC has continued to maintain an up-to-date public register of political parties.</w:t>
            </w:r>
          </w:p>
        </w:tc>
      </w:tr>
      <w:tr w:rsidR="00D01245" w:rsidRPr="00A04CCB" w14:paraId="6B18252E" w14:textId="77777777" w:rsidTr="007C3F36">
        <w:trPr>
          <w:trHeight w:val="642"/>
        </w:trPr>
        <w:tc>
          <w:tcPr>
            <w:tcW w:w="1560" w:type="dxa"/>
            <w:tcBorders>
              <w:top w:val="nil"/>
              <w:bottom w:val="single" w:sz="4" w:space="0" w:color="auto"/>
              <w:right w:val="single" w:sz="4" w:space="0" w:color="auto"/>
            </w:tcBorders>
          </w:tcPr>
          <w:p w14:paraId="69DEDAEC" w14:textId="77777777" w:rsidR="00D01245" w:rsidRDefault="00D01245" w:rsidP="007C3F36">
            <w:pPr>
              <w:pStyle w:val="TableTextLeft"/>
              <w:spacing w:before="60" w:after="60"/>
            </w:pPr>
          </w:p>
        </w:tc>
        <w:tc>
          <w:tcPr>
            <w:tcW w:w="3118" w:type="dxa"/>
            <w:tcBorders>
              <w:top w:val="nil"/>
              <w:left w:val="single" w:sz="4" w:space="0" w:color="auto"/>
              <w:bottom w:val="single" w:sz="4" w:space="0" w:color="auto"/>
              <w:right w:val="single" w:sz="4" w:space="0" w:color="auto"/>
            </w:tcBorders>
          </w:tcPr>
          <w:p w14:paraId="258172F1" w14:textId="77777777" w:rsidR="00D01245" w:rsidRPr="00807D96" w:rsidRDefault="00D01245" w:rsidP="00E829D5">
            <w:pPr>
              <w:pStyle w:val="ListParagraph"/>
              <w:numPr>
                <w:ilvl w:val="0"/>
                <w:numId w:val="54"/>
              </w:numPr>
              <w:spacing w:before="60" w:after="60" w:line="240" w:lineRule="auto"/>
              <w:ind w:left="527" w:hanging="357"/>
              <w:rPr>
                <w:rFonts w:ascii="Arial" w:hAnsi="Arial" w:cs="Arial"/>
                <w:b/>
                <w:sz w:val="16"/>
                <w:szCs w:val="16"/>
              </w:rPr>
            </w:pPr>
            <w:r w:rsidRPr="00807D96">
              <w:rPr>
                <w:rFonts w:ascii="Arial" w:hAnsi="Arial" w:cs="Arial"/>
                <w:bCs/>
                <w:sz w:val="16"/>
                <w:szCs w:val="16"/>
              </w:rPr>
              <w:t xml:space="preserve">Disclosure returns are published and regulated in accordance with timeframes in the </w:t>
            </w:r>
            <w:r w:rsidRPr="000A4DC4">
              <w:rPr>
                <w:rFonts w:ascii="Arial" w:hAnsi="Arial" w:cs="Arial"/>
                <w:bCs/>
                <w:i/>
                <w:iCs/>
                <w:sz w:val="16"/>
                <w:szCs w:val="16"/>
              </w:rPr>
              <w:t>Commonwealth Electoral Act 1918</w:t>
            </w:r>
            <w:r w:rsidRPr="00807D96">
              <w:rPr>
                <w:rFonts w:ascii="Arial" w:hAnsi="Arial" w:cs="Arial"/>
                <w:bCs/>
                <w:sz w:val="16"/>
                <w:szCs w:val="16"/>
              </w:rPr>
              <w:t>.</w:t>
            </w:r>
          </w:p>
        </w:tc>
        <w:tc>
          <w:tcPr>
            <w:tcW w:w="3118" w:type="dxa"/>
            <w:tcBorders>
              <w:top w:val="nil"/>
              <w:left w:val="single" w:sz="4" w:space="0" w:color="auto"/>
              <w:bottom w:val="single" w:sz="4" w:space="0" w:color="auto"/>
              <w:right w:val="single" w:sz="4" w:space="0" w:color="auto"/>
            </w:tcBorders>
          </w:tcPr>
          <w:p w14:paraId="72234DE8" w14:textId="2C0C36D5" w:rsidR="00D01245" w:rsidRPr="00D70A4B" w:rsidRDefault="00D01245" w:rsidP="007C3F36">
            <w:pPr>
              <w:autoSpaceDE w:val="0"/>
              <w:autoSpaceDN w:val="0"/>
              <w:spacing w:before="60" w:after="60" w:line="240" w:lineRule="auto"/>
              <w:rPr>
                <w:rFonts w:ascii="Arial" w:hAnsi="Arial" w:cs="Arial"/>
                <w:b/>
                <w:bCs/>
                <w:sz w:val="16"/>
                <w:szCs w:val="16"/>
              </w:rPr>
            </w:pPr>
            <w:r w:rsidRPr="00D70A4B">
              <w:rPr>
                <w:rFonts w:ascii="Arial" w:hAnsi="Arial" w:cs="Arial"/>
                <w:b/>
                <w:bCs/>
                <w:sz w:val="16"/>
                <w:szCs w:val="16"/>
              </w:rPr>
              <w:t xml:space="preserve">Target: </w:t>
            </w:r>
            <w:r w:rsidRPr="00D70A4B">
              <w:rPr>
                <w:rFonts w:ascii="Arial" w:hAnsi="Arial" w:cs="Arial"/>
                <w:sz w:val="16"/>
                <w:szCs w:val="16"/>
              </w:rPr>
              <w:t>Annual returns published on the first working day in February</w:t>
            </w:r>
            <w:r w:rsidRPr="00D70A4B">
              <w:rPr>
                <w:rFonts w:ascii="Arial" w:hAnsi="Arial" w:cs="Arial"/>
                <w:b/>
                <w:bCs/>
                <w:sz w:val="16"/>
                <w:szCs w:val="16"/>
              </w:rPr>
              <w:t>.</w:t>
            </w:r>
          </w:p>
          <w:p w14:paraId="4F70ACA0" w14:textId="77777777" w:rsidR="00D01245" w:rsidRPr="00D70A4B" w:rsidRDefault="00D01245" w:rsidP="007C3F36">
            <w:pPr>
              <w:autoSpaceDE w:val="0"/>
              <w:autoSpaceDN w:val="0"/>
              <w:spacing w:before="60" w:after="60" w:line="240" w:lineRule="auto"/>
              <w:rPr>
                <w:rFonts w:ascii="Arial" w:hAnsi="Arial" w:cs="Arial"/>
                <w:sz w:val="16"/>
                <w:szCs w:val="16"/>
              </w:rPr>
            </w:pPr>
            <w:r w:rsidRPr="00D70A4B">
              <w:rPr>
                <w:rFonts w:ascii="Arial" w:hAnsi="Arial" w:cs="Arial"/>
                <w:b/>
                <w:bCs/>
                <w:sz w:val="16"/>
                <w:szCs w:val="16"/>
              </w:rPr>
              <w:t>Performance</w:t>
            </w:r>
            <w:r w:rsidRPr="00D70A4B">
              <w:rPr>
                <w:rFonts w:ascii="Arial" w:hAnsi="Arial" w:cs="Arial"/>
                <w:sz w:val="16"/>
                <w:szCs w:val="16"/>
              </w:rPr>
              <w:t>: Met. 2021-22 annual disclosure returns received by the AEC were published, as planned, on the first working day in February 2023.</w:t>
            </w:r>
          </w:p>
          <w:p w14:paraId="309B4CF8" w14:textId="77777777" w:rsidR="00D01245" w:rsidRPr="00D70A4B" w:rsidRDefault="00D01245" w:rsidP="007C3F36">
            <w:pPr>
              <w:autoSpaceDE w:val="0"/>
              <w:autoSpaceDN w:val="0"/>
              <w:spacing w:before="60" w:after="60" w:line="240" w:lineRule="auto"/>
              <w:rPr>
                <w:rFonts w:ascii="Arial" w:hAnsi="Arial" w:cs="Arial"/>
                <w:sz w:val="16"/>
                <w:szCs w:val="16"/>
              </w:rPr>
            </w:pPr>
            <w:r w:rsidRPr="00D70A4B">
              <w:rPr>
                <w:rFonts w:ascii="Arial" w:hAnsi="Arial" w:cs="Arial"/>
                <w:b/>
                <w:bCs/>
                <w:sz w:val="16"/>
                <w:szCs w:val="16"/>
              </w:rPr>
              <w:t xml:space="preserve">Target: </w:t>
            </w:r>
            <w:r w:rsidRPr="00D70A4B">
              <w:rPr>
                <w:rFonts w:ascii="Arial" w:hAnsi="Arial" w:cs="Arial"/>
                <w:sz w:val="16"/>
                <w:szCs w:val="16"/>
              </w:rPr>
              <w:t>Election returns published 24 weeks after polling day for each electoral event.</w:t>
            </w:r>
          </w:p>
          <w:p w14:paraId="50E48D93" w14:textId="77777777" w:rsidR="00D01245" w:rsidRPr="00F7726A" w:rsidRDefault="00D01245" w:rsidP="007C3F36">
            <w:pPr>
              <w:autoSpaceDE w:val="0"/>
              <w:autoSpaceDN w:val="0"/>
              <w:spacing w:before="60" w:after="60" w:line="240" w:lineRule="auto"/>
              <w:rPr>
                <w:rFonts w:ascii="Arial" w:hAnsi="Arial" w:cs="Arial"/>
                <w:b/>
                <w:bCs/>
                <w:sz w:val="16"/>
                <w:szCs w:val="16"/>
              </w:rPr>
            </w:pPr>
            <w:r w:rsidRPr="00D70A4B">
              <w:rPr>
                <w:rFonts w:ascii="Arial" w:hAnsi="Arial" w:cs="Arial"/>
                <w:b/>
                <w:bCs/>
                <w:sz w:val="16"/>
                <w:szCs w:val="16"/>
              </w:rPr>
              <w:t>Performance</w:t>
            </w:r>
            <w:r w:rsidRPr="00D70A4B">
              <w:rPr>
                <w:rFonts w:ascii="Arial" w:hAnsi="Arial" w:cs="Arial"/>
                <w:sz w:val="16"/>
                <w:szCs w:val="16"/>
              </w:rPr>
              <w:t>: Met. The 2022 federal election returns were published on Transparency Register on the due date of 7 November 2022.</w:t>
            </w:r>
          </w:p>
        </w:tc>
      </w:tr>
    </w:tbl>
    <w:bookmarkEnd w:id="105"/>
    <w:p w14:paraId="720BC581" w14:textId="41A5552C" w:rsidR="00057563" w:rsidRPr="00FE59E1" w:rsidRDefault="00057563" w:rsidP="00D01245">
      <w:pPr>
        <w:pStyle w:val="TableGraphic"/>
        <w:spacing w:before="30"/>
        <w:ind w:right="0"/>
        <w:rPr>
          <w:rFonts w:ascii="Arial" w:hAnsi="Arial" w:cs="Arial"/>
          <w:sz w:val="16"/>
          <w:szCs w:val="16"/>
        </w:rPr>
      </w:pPr>
      <w:r>
        <w:rPr>
          <w:rFonts w:ascii="Arial" w:hAnsi="Arial" w:cs="Arial"/>
          <w:sz w:val="16"/>
          <w:szCs w:val="16"/>
          <w:lang w:eastAsia="x-none"/>
        </w:rPr>
        <w:t>Table continues on next page</w:t>
      </w:r>
    </w:p>
    <w:p w14:paraId="7797DCE2" w14:textId="64A141B3" w:rsidR="00B205BF" w:rsidRDefault="00B205BF" w:rsidP="00057563">
      <w:pPr>
        <w:spacing w:before="60" w:after="60" w:line="240" w:lineRule="auto"/>
      </w:pPr>
      <w:r>
        <w:rPr>
          <w:b/>
        </w:rPr>
        <w:br w:type="page"/>
      </w:r>
    </w:p>
    <w:p w14:paraId="004FB041"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057563" w:rsidRPr="001B2F81" w14:paraId="583AD4D2" w14:textId="77777777" w:rsidTr="00316F8E">
        <w:trPr>
          <w:trHeight w:val="289"/>
        </w:trPr>
        <w:tc>
          <w:tcPr>
            <w:tcW w:w="7796" w:type="dxa"/>
            <w:gridSpan w:val="3"/>
            <w:shd w:val="clear" w:color="auto" w:fill="F2F2F2"/>
          </w:tcPr>
          <w:p w14:paraId="29846C48" w14:textId="2AD662A3" w:rsidR="00057563" w:rsidRPr="00316F8E" w:rsidRDefault="00057563" w:rsidP="00F0766C">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r>
              <w:rPr>
                <w:b/>
              </w:rPr>
              <w:t>Deliver electoral Events</w:t>
            </w:r>
          </w:p>
        </w:tc>
      </w:tr>
      <w:tr w:rsidR="00057563" w:rsidRPr="001C6402" w14:paraId="1CB9A723" w14:textId="77777777" w:rsidTr="00F0766C">
        <w:trPr>
          <w:trHeight w:val="100"/>
        </w:trPr>
        <w:tc>
          <w:tcPr>
            <w:tcW w:w="1560" w:type="dxa"/>
            <w:tcBorders>
              <w:top w:val="single" w:sz="4" w:space="0" w:color="auto"/>
              <w:bottom w:val="single" w:sz="4" w:space="0" w:color="auto"/>
              <w:right w:val="single" w:sz="4" w:space="0" w:color="auto"/>
            </w:tcBorders>
          </w:tcPr>
          <w:p w14:paraId="6403629A" w14:textId="77777777" w:rsidR="00057563" w:rsidRPr="00160C23" w:rsidRDefault="00057563" w:rsidP="00F0766C">
            <w:pPr>
              <w:pStyle w:val="TableColumnHeadingLeft"/>
              <w:spacing w:before="60" w:after="60"/>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70EA9C16" w14:textId="77777777" w:rsidR="00057563" w:rsidRPr="00160C23" w:rsidRDefault="00057563" w:rsidP="00F0766C">
            <w:pPr>
              <w:pStyle w:val="TableColumnHeadingLeft"/>
              <w:spacing w:before="60" w:after="60"/>
            </w:pPr>
            <w:r w:rsidRPr="00160C23">
              <w:t>Performance measures</w:t>
            </w:r>
          </w:p>
        </w:tc>
        <w:tc>
          <w:tcPr>
            <w:tcW w:w="3118" w:type="dxa"/>
            <w:tcBorders>
              <w:top w:val="single" w:sz="4" w:space="0" w:color="auto"/>
              <w:left w:val="single" w:sz="4" w:space="0" w:color="auto"/>
              <w:bottom w:val="single" w:sz="4" w:space="0" w:color="auto"/>
            </w:tcBorders>
          </w:tcPr>
          <w:p w14:paraId="7372F8A4" w14:textId="77777777" w:rsidR="00057563" w:rsidRPr="00160C23" w:rsidRDefault="00057563" w:rsidP="00F0766C">
            <w:pPr>
              <w:pStyle w:val="TableColumnHeadingLeft"/>
              <w:spacing w:before="60" w:after="60"/>
            </w:pPr>
            <w:r>
              <w:t>Planned</w:t>
            </w:r>
            <w:r w:rsidRPr="00160C23">
              <w:t xml:space="preserve"> Performance Results</w:t>
            </w:r>
          </w:p>
        </w:tc>
      </w:tr>
      <w:tr w:rsidR="00057563" w:rsidRPr="001C6402" w14:paraId="6DCF081B" w14:textId="77777777" w:rsidTr="00F0766C">
        <w:trPr>
          <w:trHeight w:val="100"/>
        </w:trPr>
        <w:tc>
          <w:tcPr>
            <w:tcW w:w="1560" w:type="dxa"/>
            <w:tcBorders>
              <w:top w:val="single" w:sz="4" w:space="0" w:color="auto"/>
              <w:bottom w:val="nil"/>
              <w:right w:val="single" w:sz="4" w:space="0" w:color="auto"/>
            </w:tcBorders>
          </w:tcPr>
          <w:p w14:paraId="194DB16D" w14:textId="77777777" w:rsidR="00057563" w:rsidRDefault="00057563" w:rsidP="00316F8E">
            <w:pPr>
              <w:pStyle w:val="TableTextLeft"/>
              <w:spacing w:before="60" w:after="60"/>
            </w:pPr>
            <w:r w:rsidRPr="001B2F81">
              <w:t xml:space="preserve">Budget Year </w:t>
            </w:r>
          </w:p>
          <w:p w14:paraId="549C4F8E" w14:textId="77777777" w:rsidR="00057563" w:rsidRPr="001B2F81" w:rsidRDefault="00057563" w:rsidP="00316F8E">
            <w:pPr>
              <w:pStyle w:val="TableTextLeft"/>
              <w:spacing w:before="60" w:after="60"/>
            </w:pPr>
            <w:r w:rsidRPr="001B2F81">
              <w:t>202</w:t>
            </w:r>
            <w:r>
              <w:t>3-24</w:t>
            </w:r>
          </w:p>
        </w:tc>
        <w:tc>
          <w:tcPr>
            <w:tcW w:w="3118" w:type="dxa"/>
            <w:tcBorders>
              <w:top w:val="single" w:sz="4" w:space="0" w:color="auto"/>
              <w:left w:val="single" w:sz="4" w:space="0" w:color="auto"/>
              <w:bottom w:val="nil"/>
              <w:right w:val="single" w:sz="4" w:space="0" w:color="auto"/>
            </w:tcBorders>
          </w:tcPr>
          <w:p w14:paraId="0BA4D3D4" w14:textId="77777777" w:rsidR="00057563" w:rsidRPr="009964A0" w:rsidRDefault="00057563" w:rsidP="00316F8E">
            <w:pPr>
              <w:autoSpaceDE w:val="0"/>
              <w:autoSpaceDN w:val="0"/>
              <w:spacing w:before="60" w:after="60" w:line="240" w:lineRule="auto"/>
              <w:rPr>
                <w:rFonts w:ascii="Arial" w:hAnsi="Arial" w:cs="Arial"/>
                <w:b/>
                <w:sz w:val="16"/>
                <w:szCs w:val="16"/>
              </w:rPr>
            </w:pPr>
            <w:r w:rsidRPr="009964A0">
              <w:rPr>
                <w:rFonts w:ascii="Arial" w:hAnsi="Arial" w:cs="Arial"/>
                <w:b/>
                <w:sz w:val="16"/>
                <w:szCs w:val="16"/>
              </w:rPr>
              <w:t xml:space="preserve">Electoral Roll Management </w:t>
            </w:r>
          </w:p>
          <w:p w14:paraId="4D5F2C4E" w14:textId="77777777" w:rsidR="00057563" w:rsidRPr="00160C23" w:rsidRDefault="00057563" w:rsidP="00E829D5">
            <w:pPr>
              <w:numPr>
                <w:ilvl w:val="0"/>
                <w:numId w:val="46"/>
              </w:numPr>
              <w:autoSpaceDE w:val="0"/>
              <w:autoSpaceDN w:val="0"/>
              <w:spacing w:before="60" w:after="60" w:line="240" w:lineRule="auto"/>
              <w:ind w:left="527" w:hanging="357"/>
              <w:rPr>
                <w:i/>
                <w:color w:val="0070C0"/>
              </w:rPr>
            </w:pPr>
            <w:r w:rsidRPr="009964A0">
              <w:rPr>
                <w:rFonts w:ascii="Arial" w:hAnsi="Arial" w:cs="Arial"/>
                <w:sz w:val="16"/>
                <w:szCs w:val="16"/>
              </w:rPr>
              <w:t>Percentage of eligible voters enrolled (enrolment rate).</w:t>
            </w:r>
          </w:p>
        </w:tc>
        <w:tc>
          <w:tcPr>
            <w:tcW w:w="3118" w:type="dxa"/>
            <w:tcBorders>
              <w:top w:val="single" w:sz="4" w:space="0" w:color="auto"/>
              <w:left w:val="single" w:sz="4" w:space="0" w:color="auto"/>
              <w:bottom w:val="nil"/>
            </w:tcBorders>
          </w:tcPr>
          <w:p w14:paraId="57338054" w14:textId="77777777" w:rsidR="00057563" w:rsidRPr="00563199"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C37DDE">
              <w:rPr>
                <w:rFonts w:ascii="Arial" w:hAnsi="Arial" w:cs="Arial"/>
                <w:sz w:val="16"/>
                <w:szCs w:val="16"/>
              </w:rPr>
              <w:t>≥ 95% reported annually and at close of rolls for a federal election or referendum.</w:t>
            </w:r>
          </w:p>
        </w:tc>
      </w:tr>
      <w:tr w:rsidR="00057563" w:rsidRPr="001C6402" w14:paraId="680D316C" w14:textId="77777777" w:rsidTr="00F0766C">
        <w:trPr>
          <w:trHeight w:val="100"/>
        </w:trPr>
        <w:tc>
          <w:tcPr>
            <w:tcW w:w="1560" w:type="dxa"/>
            <w:tcBorders>
              <w:top w:val="nil"/>
              <w:bottom w:val="nil"/>
              <w:right w:val="single" w:sz="4" w:space="0" w:color="auto"/>
            </w:tcBorders>
          </w:tcPr>
          <w:p w14:paraId="3A76DBBC" w14:textId="77777777" w:rsidR="00057563" w:rsidRPr="001B2F81" w:rsidRDefault="00057563" w:rsidP="00F0766C">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7CD892BC"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D70A4B">
              <w:rPr>
                <w:rFonts w:ascii="Arial" w:hAnsi="Arial" w:cs="Arial"/>
                <w:sz w:val="16"/>
                <w:szCs w:val="16"/>
              </w:rPr>
              <w:t>Percentage of 18- to 24-year-old Australians enrolled (youth enrolment rate).</w:t>
            </w:r>
          </w:p>
          <w:p w14:paraId="1B823587" w14:textId="77777777" w:rsidR="00057563"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D70A4B">
              <w:rPr>
                <w:rFonts w:ascii="Arial" w:eastAsia="Times New Roman" w:hAnsi="Arial" w:cs="Arial"/>
                <w:sz w:val="16"/>
                <w:szCs w:val="16"/>
                <w:lang w:val="en-AU" w:eastAsia="en-AU"/>
              </w:rPr>
              <w:t>Percentage of voters enrolled who turn out to vote at all federal electoral events (turnout rate).</w:t>
            </w:r>
          </w:p>
          <w:p w14:paraId="6D4C4000" w14:textId="77777777" w:rsidR="00057563" w:rsidRDefault="00057563" w:rsidP="00F0766C">
            <w:pPr>
              <w:spacing w:before="60" w:after="60" w:line="240" w:lineRule="auto"/>
              <w:ind w:left="170"/>
              <w:rPr>
                <w:rFonts w:ascii="Arial" w:hAnsi="Arial" w:cs="Arial"/>
                <w:sz w:val="16"/>
                <w:szCs w:val="16"/>
              </w:rPr>
            </w:pPr>
          </w:p>
          <w:p w14:paraId="2140368A" w14:textId="77777777" w:rsidR="00057563" w:rsidRPr="00D70A4B" w:rsidRDefault="00057563" w:rsidP="00F0766C">
            <w:pPr>
              <w:spacing w:before="60" w:after="60" w:line="240" w:lineRule="auto"/>
              <w:rPr>
                <w:rFonts w:ascii="Arial" w:hAnsi="Arial" w:cs="Arial"/>
                <w:sz w:val="16"/>
                <w:szCs w:val="16"/>
              </w:rPr>
            </w:pPr>
          </w:p>
          <w:p w14:paraId="37790D65" w14:textId="77777777" w:rsidR="00057563" w:rsidRPr="003F1F6C"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6A0F21">
              <w:rPr>
                <w:rFonts w:ascii="Arial" w:hAnsi="Arial" w:cs="Arial"/>
                <w:sz w:val="16"/>
                <w:szCs w:val="16"/>
              </w:rPr>
              <w:t>Percentage of votes cast formally for the House of Representatives and Senate at next federal election or at a referendum or for by-elections (if any held).</w:t>
            </w:r>
          </w:p>
          <w:p w14:paraId="3A03BD8C" w14:textId="77777777" w:rsidR="00057563" w:rsidRPr="00D70A4B" w:rsidRDefault="00057563" w:rsidP="00F0766C">
            <w:pPr>
              <w:pStyle w:val="ListParagraph"/>
              <w:spacing w:before="60" w:after="60" w:line="240" w:lineRule="auto"/>
              <w:ind w:left="527"/>
              <w:rPr>
                <w:rFonts w:ascii="Arial" w:eastAsia="Times New Roman" w:hAnsi="Arial" w:cs="Arial"/>
                <w:sz w:val="16"/>
                <w:szCs w:val="16"/>
                <w:lang w:val="en-AU" w:eastAsia="en-AU"/>
              </w:rPr>
            </w:pPr>
          </w:p>
          <w:p w14:paraId="3C8B863E" w14:textId="77777777" w:rsidR="00057563" w:rsidRPr="003F1F6C"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6A0F21">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p w14:paraId="4FA9BEF5" w14:textId="77777777" w:rsidR="00057563" w:rsidRPr="00D70A4B"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A51481">
              <w:rPr>
                <w:rFonts w:ascii="Arial" w:hAnsi="Arial" w:cs="Arial"/>
                <w:sz w:val="16"/>
                <w:szCs w:val="16"/>
              </w:rPr>
              <w:t xml:space="preserve">Redistributions determined in </w:t>
            </w:r>
            <w:r w:rsidRPr="00C37DDE">
              <w:rPr>
                <w:rFonts w:ascii="Arial" w:hAnsi="Arial" w:cs="Arial"/>
                <w:sz w:val="16"/>
                <w:szCs w:val="16"/>
              </w:rPr>
              <w:t>accordance with the</w:t>
            </w:r>
            <w:r w:rsidRPr="00C37DDE">
              <w:rPr>
                <w:rFonts w:ascii="Arial" w:hAnsi="Arial" w:cs="Arial"/>
                <w:i/>
                <w:sz w:val="16"/>
                <w:szCs w:val="16"/>
              </w:rPr>
              <w:t xml:space="preserve"> Commonwealth Electoral Act 1918</w:t>
            </w:r>
            <w:r w:rsidRPr="00C37DDE">
              <w:rPr>
                <w:rFonts w:ascii="Arial" w:hAnsi="Arial" w:cs="Arial"/>
                <w:sz w:val="16"/>
                <w:szCs w:val="16"/>
              </w:rPr>
              <w:t>.</w:t>
            </w:r>
          </w:p>
        </w:tc>
        <w:tc>
          <w:tcPr>
            <w:tcW w:w="3118" w:type="dxa"/>
            <w:tcBorders>
              <w:top w:val="nil"/>
              <w:left w:val="single" w:sz="4" w:space="0" w:color="auto"/>
              <w:bottom w:val="dotted" w:sz="4" w:space="0" w:color="auto"/>
            </w:tcBorders>
          </w:tcPr>
          <w:p w14:paraId="3E0F8CF4"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87%</w:t>
            </w:r>
          </w:p>
          <w:p w14:paraId="7948DAE6" w14:textId="77777777" w:rsidR="00057563" w:rsidRDefault="00057563" w:rsidP="00F0766C">
            <w:pPr>
              <w:autoSpaceDE w:val="0"/>
              <w:autoSpaceDN w:val="0"/>
              <w:spacing w:before="60" w:after="60" w:line="240" w:lineRule="auto"/>
              <w:rPr>
                <w:rFonts w:ascii="Arial" w:hAnsi="Arial" w:cs="Arial"/>
                <w:sz w:val="16"/>
                <w:szCs w:val="16"/>
              </w:rPr>
            </w:pPr>
          </w:p>
          <w:p w14:paraId="7B029320"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xml:space="preserve">≥ 90% voter turnout rate for elections for the Senate and House of Representatives.  </w:t>
            </w:r>
          </w:p>
          <w:p w14:paraId="2CD33048" w14:textId="77777777" w:rsidR="00057563" w:rsidRDefault="00057563" w:rsidP="00316F8E">
            <w:pPr>
              <w:pStyle w:val="ListParagraph"/>
              <w:autoSpaceDE w:val="0"/>
              <w:autoSpaceDN w:val="0"/>
              <w:spacing w:before="60" w:after="60" w:line="240" w:lineRule="auto"/>
              <w:ind w:left="527" w:hanging="357"/>
              <w:contextualSpacing w:val="0"/>
              <w:rPr>
                <w:rFonts w:ascii="Arial" w:hAnsi="Arial" w:cs="Arial"/>
                <w:sz w:val="16"/>
                <w:szCs w:val="16"/>
              </w:rPr>
            </w:pPr>
            <w:r>
              <w:rPr>
                <w:rFonts w:ascii="Arial" w:hAnsi="Arial" w:cs="Arial"/>
                <w:sz w:val="16"/>
                <w:szCs w:val="16"/>
              </w:rPr>
              <w:t xml:space="preserve">        </w:t>
            </w:r>
            <w:r w:rsidRPr="00D70A4B">
              <w:rPr>
                <w:rFonts w:ascii="Arial" w:hAnsi="Arial" w:cs="Arial"/>
                <w:sz w:val="16"/>
                <w:szCs w:val="16"/>
              </w:rPr>
              <w:t>Where applicable, turnout rate will be reported for by-elections.</w:t>
            </w:r>
          </w:p>
          <w:p w14:paraId="3CF00529" w14:textId="77777777" w:rsidR="00057563" w:rsidRDefault="00057563" w:rsidP="00316F8E">
            <w:pPr>
              <w:pStyle w:val="ListParagraph"/>
              <w:autoSpaceDE w:val="0"/>
              <w:autoSpaceDN w:val="0"/>
              <w:spacing w:before="60" w:after="60" w:line="240" w:lineRule="auto"/>
              <w:ind w:left="527"/>
              <w:contextualSpacing w:val="0"/>
              <w:rPr>
                <w:rFonts w:ascii="Arial" w:hAnsi="Arial" w:cs="Arial"/>
                <w:sz w:val="16"/>
                <w:szCs w:val="16"/>
              </w:rPr>
            </w:pPr>
          </w:p>
          <w:p w14:paraId="5F02C8EA" w14:textId="77777777" w:rsidR="00057563" w:rsidRPr="003F1F6C" w:rsidRDefault="00057563" w:rsidP="00E829D5">
            <w:pPr>
              <w:pStyle w:val="ListParagraph"/>
              <w:numPr>
                <w:ilvl w:val="0"/>
                <w:numId w:val="56"/>
              </w:numPr>
              <w:autoSpaceDE w:val="0"/>
              <w:autoSpaceDN w:val="0"/>
              <w:spacing w:before="60" w:after="60" w:line="240" w:lineRule="auto"/>
              <w:ind w:left="527" w:hanging="357"/>
              <w:contextualSpacing w:val="0"/>
              <w:rPr>
                <w:rFonts w:ascii="Arial" w:hAnsi="Arial" w:cs="Arial"/>
                <w:sz w:val="16"/>
                <w:szCs w:val="16"/>
              </w:rPr>
            </w:pPr>
            <w:r w:rsidRPr="003F1F6C">
              <w:rPr>
                <w:rFonts w:ascii="Arial" w:hAnsi="Arial" w:cs="Arial"/>
                <w:sz w:val="16"/>
                <w:szCs w:val="16"/>
              </w:rPr>
              <w:t>≥ 90% formality rate for Senate and House of Representatives.</w:t>
            </w:r>
          </w:p>
          <w:p w14:paraId="08E29CBE" w14:textId="77777777" w:rsidR="00057563" w:rsidRPr="003F1F6C" w:rsidRDefault="00057563" w:rsidP="00316F8E">
            <w:pPr>
              <w:pStyle w:val="ListParagraph"/>
              <w:autoSpaceDE w:val="0"/>
              <w:autoSpaceDN w:val="0"/>
              <w:spacing w:before="60" w:after="60" w:line="240" w:lineRule="auto"/>
              <w:ind w:left="527"/>
              <w:contextualSpacing w:val="0"/>
              <w:rPr>
                <w:rFonts w:ascii="Arial" w:hAnsi="Arial" w:cs="Arial"/>
                <w:sz w:val="16"/>
                <w:szCs w:val="16"/>
              </w:rPr>
            </w:pPr>
            <w:r w:rsidRPr="003F1F6C">
              <w:rPr>
                <w:rFonts w:ascii="Arial" w:hAnsi="Arial" w:cs="Arial"/>
                <w:sz w:val="16"/>
                <w:szCs w:val="16"/>
              </w:rPr>
              <w:t>Where applicable, formality rate    will be reported for by-elections.</w:t>
            </w:r>
          </w:p>
          <w:p w14:paraId="78A3CF6E" w14:textId="77777777" w:rsidR="00057563" w:rsidRPr="00D70A4B" w:rsidRDefault="00057563" w:rsidP="00316F8E">
            <w:pPr>
              <w:pStyle w:val="ListParagraph"/>
              <w:autoSpaceDE w:val="0"/>
              <w:autoSpaceDN w:val="0"/>
              <w:spacing w:before="60" w:after="60" w:line="240" w:lineRule="auto"/>
              <w:ind w:left="527"/>
              <w:contextualSpacing w:val="0"/>
              <w:rPr>
                <w:rFonts w:ascii="Arial" w:hAnsi="Arial" w:cs="Arial"/>
                <w:sz w:val="16"/>
                <w:szCs w:val="16"/>
              </w:rPr>
            </w:pPr>
          </w:p>
          <w:p w14:paraId="24B17B11" w14:textId="77777777" w:rsidR="00EF22D3"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95% Division</w:t>
            </w:r>
            <w:r w:rsidR="00EF22D3">
              <w:rPr>
                <w:rFonts w:ascii="Arial" w:hAnsi="Arial" w:cs="Arial"/>
                <w:sz w:val="16"/>
                <w:szCs w:val="16"/>
              </w:rPr>
              <w:t xml:space="preserve"> and</w:t>
            </w:r>
          </w:p>
          <w:p w14:paraId="6D87FCAD" w14:textId="049ACFBC" w:rsidR="00057563" w:rsidRPr="00EF22D3" w:rsidRDefault="00057563" w:rsidP="00EF22D3">
            <w:pPr>
              <w:pStyle w:val="ListParagraph"/>
              <w:autoSpaceDE w:val="0"/>
              <w:autoSpaceDN w:val="0"/>
              <w:spacing w:before="60" w:after="60" w:line="240" w:lineRule="auto"/>
              <w:ind w:left="527"/>
              <w:contextualSpacing w:val="0"/>
              <w:rPr>
                <w:rFonts w:ascii="Arial" w:hAnsi="Arial" w:cs="Arial"/>
                <w:sz w:val="16"/>
                <w:szCs w:val="16"/>
              </w:rPr>
            </w:pPr>
            <w:r w:rsidRPr="00EF22D3">
              <w:rPr>
                <w:rFonts w:ascii="Arial" w:hAnsi="Arial" w:cs="Arial"/>
                <w:sz w:val="16"/>
                <w:szCs w:val="16"/>
              </w:rPr>
              <w:t>≥ 90% Address.</w:t>
            </w:r>
          </w:p>
          <w:p w14:paraId="26742D71" w14:textId="77777777" w:rsidR="00057563" w:rsidRDefault="00057563" w:rsidP="00F0766C">
            <w:pPr>
              <w:autoSpaceDE w:val="0"/>
              <w:autoSpaceDN w:val="0"/>
              <w:spacing w:before="60" w:after="60" w:line="240" w:lineRule="auto"/>
              <w:rPr>
                <w:rFonts w:ascii="Arial" w:hAnsi="Arial" w:cs="Arial"/>
                <w:sz w:val="16"/>
                <w:szCs w:val="16"/>
              </w:rPr>
            </w:pPr>
          </w:p>
          <w:p w14:paraId="52001407"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All redistributions are determined in accordance with the planned determination date and impacted electors are notified prior to the relevant federal election.</w:t>
            </w:r>
          </w:p>
        </w:tc>
      </w:tr>
      <w:tr w:rsidR="00057563" w:rsidRPr="001C6402" w14:paraId="264F619C" w14:textId="77777777" w:rsidTr="00F0766C">
        <w:trPr>
          <w:trHeight w:val="100"/>
        </w:trPr>
        <w:tc>
          <w:tcPr>
            <w:tcW w:w="1560" w:type="dxa"/>
            <w:tcBorders>
              <w:top w:val="nil"/>
              <w:bottom w:val="nil"/>
              <w:right w:val="single" w:sz="4" w:space="0" w:color="auto"/>
            </w:tcBorders>
          </w:tcPr>
          <w:p w14:paraId="5D2DF71E" w14:textId="77777777" w:rsidR="00057563" w:rsidRPr="001B2F81" w:rsidRDefault="00057563" w:rsidP="00F0766C">
            <w:pPr>
              <w:pStyle w:val="TableTextLeft"/>
              <w:spacing w:before="60" w:after="60"/>
            </w:pPr>
          </w:p>
        </w:tc>
        <w:tc>
          <w:tcPr>
            <w:tcW w:w="3118" w:type="dxa"/>
            <w:tcBorders>
              <w:top w:val="dotted" w:sz="4" w:space="0" w:color="auto"/>
              <w:left w:val="single" w:sz="4" w:space="0" w:color="auto"/>
              <w:bottom w:val="nil"/>
              <w:right w:val="single" w:sz="4" w:space="0" w:color="auto"/>
            </w:tcBorders>
          </w:tcPr>
          <w:p w14:paraId="476E0F8B" w14:textId="77777777" w:rsidR="00057563" w:rsidRPr="003F1F6C" w:rsidRDefault="00057563" w:rsidP="00F0766C">
            <w:pPr>
              <w:autoSpaceDE w:val="0"/>
              <w:autoSpaceDN w:val="0"/>
              <w:spacing w:before="60" w:after="60" w:line="240" w:lineRule="auto"/>
              <w:rPr>
                <w:rFonts w:ascii="Arial" w:hAnsi="Arial" w:cs="Arial"/>
                <w:sz w:val="16"/>
                <w:szCs w:val="16"/>
              </w:rPr>
            </w:pPr>
            <w:r w:rsidRPr="003F1F6C">
              <w:rPr>
                <w:rFonts w:ascii="Arial" w:hAnsi="Arial" w:cs="Arial"/>
                <w:b/>
                <w:sz w:val="16"/>
                <w:szCs w:val="16"/>
              </w:rPr>
              <w:t>Regulatory Functions</w:t>
            </w:r>
          </w:p>
          <w:p w14:paraId="64571293"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A51481">
              <w:rPr>
                <w:rFonts w:ascii="Arial" w:hAnsi="Arial" w:cs="Arial"/>
                <w:sz w:val="16"/>
                <w:szCs w:val="16"/>
              </w:rPr>
              <w:t>The AEC maintains an up-to-date public register of political parties.</w:t>
            </w:r>
          </w:p>
          <w:p w14:paraId="7B706B63" w14:textId="77777777" w:rsidR="00057563" w:rsidRDefault="00057563" w:rsidP="00537F24">
            <w:pPr>
              <w:autoSpaceDE w:val="0"/>
              <w:autoSpaceDN w:val="0"/>
              <w:spacing w:before="60" w:after="60" w:line="240" w:lineRule="auto"/>
              <w:ind w:left="527"/>
              <w:rPr>
                <w:rFonts w:ascii="Arial" w:hAnsi="Arial" w:cs="Arial"/>
                <w:sz w:val="16"/>
                <w:szCs w:val="16"/>
              </w:rPr>
            </w:pPr>
          </w:p>
          <w:p w14:paraId="22D4BAF0" w14:textId="77777777" w:rsidR="00057563" w:rsidRPr="007C2B56"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3F1F6C">
              <w:rPr>
                <w:rFonts w:ascii="Arial" w:hAnsi="Arial" w:cs="Arial"/>
                <w:sz w:val="16"/>
                <w:szCs w:val="16"/>
              </w:rPr>
              <w:t xml:space="preserve">Disclosure returns are published and regulated in accordance with timeframes in the </w:t>
            </w:r>
            <w:r w:rsidRPr="003F1F6C">
              <w:rPr>
                <w:rFonts w:ascii="Arial" w:hAnsi="Arial" w:cs="Arial"/>
                <w:i/>
                <w:iCs/>
                <w:sz w:val="16"/>
                <w:szCs w:val="16"/>
              </w:rPr>
              <w:t xml:space="preserve">Commonwealth Electoral Act 1918 </w:t>
            </w:r>
            <w:r w:rsidRPr="000B4EE2">
              <w:rPr>
                <w:rFonts w:ascii="Arial" w:hAnsi="Arial" w:cs="Arial"/>
                <w:sz w:val="16"/>
                <w:szCs w:val="16"/>
              </w:rPr>
              <w:t>and the</w:t>
            </w:r>
            <w:r w:rsidRPr="003F1F6C">
              <w:rPr>
                <w:rFonts w:ascii="Arial" w:hAnsi="Arial" w:cs="Arial"/>
                <w:i/>
                <w:iCs/>
                <w:sz w:val="16"/>
                <w:szCs w:val="16"/>
              </w:rPr>
              <w:t xml:space="preserve"> Referendum (Machinery Provisions) Act 1984</w:t>
            </w:r>
            <w:r w:rsidRPr="003F1F6C">
              <w:rPr>
                <w:rFonts w:ascii="Arial" w:hAnsi="Arial" w:cs="Arial"/>
                <w:sz w:val="16"/>
                <w:szCs w:val="16"/>
              </w:rPr>
              <w:t>.</w:t>
            </w:r>
          </w:p>
        </w:tc>
        <w:tc>
          <w:tcPr>
            <w:tcW w:w="3118" w:type="dxa"/>
            <w:tcBorders>
              <w:top w:val="dotted" w:sz="4" w:space="0" w:color="auto"/>
              <w:left w:val="single" w:sz="4" w:space="0" w:color="auto"/>
              <w:bottom w:val="nil"/>
            </w:tcBorders>
          </w:tcPr>
          <w:p w14:paraId="56145A55" w14:textId="77777777" w:rsidR="00057563" w:rsidRDefault="00057563" w:rsidP="00F0766C">
            <w:pPr>
              <w:autoSpaceDE w:val="0"/>
              <w:autoSpaceDN w:val="0"/>
              <w:spacing w:before="60" w:after="60" w:line="240" w:lineRule="auto"/>
              <w:ind w:left="527"/>
              <w:rPr>
                <w:rFonts w:ascii="Arial" w:hAnsi="Arial" w:cs="Arial"/>
                <w:sz w:val="16"/>
                <w:szCs w:val="16"/>
              </w:rPr>
            </w:pPr>
          </w:p>
          <w:p w14:paraId="65DA6437"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 xml:space="preserve">Compliance with s125(1) of Part XI of </w:t>
            </w:r>
            <w:r w:rsidRPr="00815F9B">
              <w:rPr>
                <w:rFonts w:ascii="Arial" w:hAnsi="Arial" w:cs="Arial"/>
                <w:i/>
                <w:iCs/>
                <w:sz w:val="16"/>
                <w:szCs w:val="16"/>
              </w:rPr>
              <w:t>Commonwealth Electoral Act 1918</w:t>
            </w:r>
            <w:r>
              <w:rPr>
                <w:rFonts w:ascii="Arial" w:hAnsi="Arial" w:cs="Arial"/>
                <w:sz w:val="16"/>
                <w:szCs w:val="16"/>
              </w:rPr>
              <w:t>.</w:t>
            </w:r>
          </w:p>
          <w:p w14:paraId="06437D0F" w14:textId="77777777" w:rsidR="00057563" w:rsidRPr="006614A5"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Annual returns published on the first working day in February</w:t>
            </w:r>
            <w:r>
              <w:rPr>
                <w:rFonts w:ascii="Arial" w:hAnsi="Arial" w:cs="Arial"/>
                <w:sz w:val="16"/>
                <w:szCs w:val="16"/>
              </w:rPr>
              <w:t>.</w:t>
            </w:r>
            <w:r w:rsidRPr="00F31D09">
              <w:rPr>
                <w:rFonts w:ascii="Arial" w:hAnsi="Arial" w:cs="Arial"/>
                <w:sz w:val="16"/>
                <w:szCs w:val="16"/>
              </w:rPr>
              <w:t xml:space="preserve"> </w:t>
            </w:r>
          </w:p>
          <w:p w14:paraId="66214B37" w14:textId="77777777" w:rsidR="00057563" w:rsidRPr="00BF0558"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 xml:space="preserve">Election </w:t>
            </w:r>
            <w:r>
              <w:rPr>
                <w:rFonts w:ascii="Arial" w:hAnsi="Arial" w:cs="Arial"/>
                <w:sz w:val="16"/>
                <w:szCs w:val="16"/>
              </w:rPr>
              <w:t xml:space="preserve">and referendum </w:t>
            </w:r>
            <w:r w:rsidRPr="00F31D09">
              <w:rPr>
                <w:rFonts w:ascii="Arial" w:hAnsi="Arial" w:cs="Arial"/>
                <w:sz w:val="16"/>
                <w:szCs w:val="16"/>
              </w:rPr>
              <w:t>returns published 24 weeks after polling day for each electoral event</w:t>
            </w:r>
            <w:r>
              <w:rPr>
                <w:rFonts w:ascii="Arial" w:hAnsi="Arial" w:cs="Arial"/>
                <w:sz w:val="16"/>
                <w:szCs w:val="16"/>
              </w:rPr>
              <w:t>.</w:t>
            </w:r>
          </w:p>
        </w:tc>
      </w:tr>
      <w:tr w:rsidR="00057563" w:rsidRPr="001C6402" w14:paraId="00C1D348" w14:textId="77777777" w:rsidTr="00F0766C">
        <w:trPr>
          <w:trHeight w:val="100"/>
        </w:trPr>
        <w:tc>
          <w:tcPr>
            <w:tcW w:w="1560" w:type="dxa"/>
            <w:tcBorders>
              <w:top w:val="nil"/>
              <w:bottom w:val="single" w:sz="4" w:space="0" w:color="auto"/>
              <w:right w:val="single" w:sz="4" w:space="0" w:color="auto"/>
            </w:tcBorders>
          </w:tcPr>
          <w:p w14:paraId="4E607556" w14:textId="77777777" w:rsidR="00057563" w:rsidRPr="001B2F81" w:rsidRDefault="00057563" w:rsidP="00F0766C">
            <w:pPr>
              <w:pStyle w:val="TableTextLeft"/>
              <w:spacing w:before="60" w:after="60"/>
            </w:pPr>
          </w:p>
        </w:tc>
        <w:tc>
          <w:tcPr>
            <w:tcW w:w="3118" w:type="dxa"/>
            <w:tcBorders>
              <w:top w:val="nil"/>
              <w:left w:val="single" w:sz="4" w:space="0" w:color="auto"/>
              <w:bottom w:val="single" w:sz="4" w:space="0" w:color="auto"/>
              <w:right w:val="single" w:sz="4" w:space="0" w:color="auto"/>
            </w:tcBorders>
          </w:tcPr>
          <w:p w14:paraId="65825203" w14:textId="77777777" w:rsidR="00057563" w:rsidRPr="003F1F6C" w:rsidRDefault="00057563"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3F1F6C">
              <w:rPr>
                <w:rFonts w:ascii="Arial" w:eastAsia="Times New Roman" w:hAnsi="Arial" w:cs="Arial"/>
                <w:sz w:val="16"/>
                <w:szCs w:val="16"/>
                <w:lang w:val="en-AU" w:eastAsia="en-AU"/>
              </w:rPr>
              <w:t>The AEC conducts compliance reviews in line with the approved program.</w:t>
            </w:r>
          </w:p>
        </w:tc>
        <w:tc>
          <w:tcPr>
            <w:tcW w:w="3118" w:type="dxa"/>
            <w:tcBorders>
              <w:top w:val="nil"/>
              <w:left w:val="single" w:sz="4" w:space="0" w:color="auto"/>
              <w:bottom w:val="single" w:sz="4" w:space="0" w:color="auto"/>
            </w:tcBorders>
          </w:tcPr>
          <w:p w14:paraId="53911AE6" w14:textId="77777777" w:rsidR="00057563" w:rsidRPr="007C2B56"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Compliance reviews completed annually compared to the approved program</w:t>
            </w:r>
            <w:r>
              <w:rPr>
                <w:rFonts w:ascii="Arial" w:hAnsi="Arial" w:cs="Arial"/>
                <w:sz w:val="16"/>
                <w:szCs w:val="16"/>
              </w:rPr>
              <w:t>.</w:t>
            </w:r>
          </w:p>
        </w:tc>
      </w:tr>
    </w:tbl>
    <w:p w14:paraId="68EF654C" w14:textId="77777777" w:rsidR="00057563" w:rsidRDefault="00057563" w:rsidP="005628BB">
      <w:pPr>
        <w:pStyle w:val="TableGraphic"/>
        <w:spacing w:before="30"/>
        <w:ind w:right="0"/>
        <w:rPr>
          <w:rFonts w:ascii="Arial" w:hAnsi="Arial" w:cs="Arial"/>
          <w:sz w:val="16"/>
          <w:szCs w:val="16"/>
          <w:lang w:eastAsia="x-none"/>
        </w:rPr>
      </w:pPr>
      <w:r>
        <w:rPr>
          <w:rFonts w:ascii="Arial" w:hAnsi="Arial" w:cs="Arial"/>
          <w:sz w:val="16"/>
          <w:szCs w:val="16"/>
          <w:lang w:eastAsia="x-none"/>
        </w:rPr>
        <w:t>Table continues on next page</w:t>
      </w:r>
    </w:p>
    <w:p w14:paraId="0A6D0D57" w14:textId="77777777" w:rsidR="00057563" w:rsidRDefault="00057563">
      <w:pPr>
        <w:spacing w:before="0" w:after="0" w:line="240" w:lineRule="auto"/>
        <w:rPr>
          <w:rFonts w:ascii="Arial" w:hAnsi="Arial" w:cs="Arial"/>
          <w:sz w:val="16"/>
          <w:szCs w:val="16"/>
          <w:lang w:eastAsia="x-none"/>
        </w:rPr>
      </w:pPr>
      <w:r>
        <w:rPr>
          <w:rFonts w:ascii="Arial" w:hAnsi="Arial" w:cs="Arial"/>
          <w:sz w:val="16"/>
          <w:szCs w:val="16"/>
          <w:lang w:eastAsia="x-none"/>
        </w:rPr>
        <w:br w:type="page"/>
      </w:r>
    </w:p>
    <w:p w14:paraId="63AECE6A"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829D5" w:rsidRPr="001B2F81" w14:paraId="7084DCA1" w14:textId="77777777" w:rsidTr="007C3F36">
        <w:trPr>
          <w:trHeight w:val="289"/>
        </w:trPr>
        <w:tc>
          <w:tcPr>
            <w:tcW w:w="7796" w:type="dxa"/>
            <w:gridSpan w:val="3"/>
            <w:shd w:val="clear" w:color="auto" w:fill="F2F2F2"/>
          </w:tcPr>
          <w:p w14:paraId="6DDA7344" w14:textId="77777777" w:rsidR="00E829D5" w:rsidRPr="00355A3E" w:rsidRDefault="00E829D5" w:rsidP="007C3F36">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r>
              <w:rPr>
                <w:b/>
              </w:rPr>
              <w:t>Deliver electoral Events</w:t>
            </w:r>
          </w:p>
        </w:tc>
      </w:tr>
      <w:tr w:rsidR="00E829D5" w:rsidRPr="003C32E7" w14:paraId="32818AE2" w14:textId="77777777" w:rsidTr="007C3F36">
        <w:trPr>
          <w:trHeight w:val="100"/>
        </w:trPr>
        <w:tc>
          <w:tcPr>
            <w:tcW w:w="1560" w:type="dxa"/>
            <w:tcBorders>
              <w:top w:val="single" w:sz="4" w:space="0" w:color="auto"/>
              <w:bottom w:val="single" w:sz="4" w:space="0" w:color="auto"/>
            </w:tcBorders>
          </w:tcPr>
          <w:p w14:paraId="3411001B" w14:textId="77777777" w:rsidR="00E829D5" w:rsidRPr="003C32E7" w:rsidRDefault="00E829D5" w:rsidP="007C3F36">
            <w:pPr>
              <w:pStyle w:val="TableColumnHeadingLeft"/>
              <w:spacing w:before="60" w:after="60"/>
            </w:pPr>
            <w:r w:rsidRPr="00160C23">
              <w:t>Year</w:t>
            </w:r>
          </w:p>
        </w:tc>
        <w:tc>
          <w:tcPr>
            <w:tcW w:w="3118" w:type="dxa"/>
            <w:tcBorders>
              <w:top w:val="single" w:sz="4" w:space="0" w:color="auto"/>
              <w:bottom w:val="single" w:sz="4" w:space="0" w:color="auto"/>
            </w:tcBorders>
          </w:tcPr>
          <w:p w14:paraId="0B3DC9C7" w14:textId="77777777" w:rsidR="00E829D5" w:rsidRPr="003C32E7" w:rsidRDefault="00E829D5" w:rsidP="007C3F36">
            <w:pPr>
              <w:pStyle w:val="TableColumnHeadingLeft"/>
              <w:spacing w:before="60" w:after="60"/>
            </w:pPr>
            <w:r w:rsidRPr="00160C23">
              <w:t>Performance measures</w:t>
            </w:r>
          </w:p>
        </w:tc>
        <w:tc>
          <w:tcPr>
            <w:tcW w:w="3118" w:type="dxa"/>
            <w:tcBorders>
              <w:top w:val="single" w:sz="4" w:space="0" w:color="auto"/>
              <w:bottom w:val="single" w:sz="4" w:space="0" w:color="auto"/>
            </w:tcBorders>
          </w:tcPr>
          <w:p w14:paraId="5C729316" w14:textId="77777777" w:rsidR="00E829D5" w:rsidRPr="003C32E7" w:rsidRDefault="00E829D5" w:rsidP="007C3F36">
            <w:pPr>
              <w:pStyle w:val="TableColumnHeadingLeft"/>
              <w:spacing w:before="60" w:after="60"/>
            </w:pPr>
            <w:r>
              <w:t>Planned</w:t>
            </w:r>
            <w:r w:rsidRPr="00160C23">
              <w:t xml:space="preserve"> Performance Results</w:t>
            </w:r>
          </w:p>
        </w:tc>
      </w:tr>
      <w:tr w:rsidR="00E829D5" w:rsidRPr="00A04CCB" w14:paraId="7606E1CD" w14:textId="77777777" w:rsidTr="007C3F36">
        <w:trPr>
          <w:trHeight w:val="100"/>
        </w:trPr>
        <w:tc>
          <w:tcPr>
            <w:tcW w:w="1560" w:type="dxa"/>
            <w:tcBorders>
              <w:top w:val="single" w:sz="4" w:space="0" w:color="auto"/>
              <w:bottom w:val="nil"/>
              <w:right w:val="single" w:sz="4" w:space="0" w:color="auto"/>
            </w:tcBorders>
          </w:tcPr>
          <w:p w14:paraId="2EB9DC6A" w14:textId="77777777" w:rsidR="00E829D5" w:rsidRDefault="00E829D5" w:rsidP="007C3F36">
            <w:pPr>
              <w:pStyle w:val="TableTextLeft"/>
              <w:spacing w:before="60" w:after="60"/>
            </w:pPr>
            <w:r w:rsidRPr="001B2F81">
              <w:t xml:space="preserve">Budget Year </w:t>
            </w:r>
          </w:p>
          <w:p w14:paraId="2B499FF5" w14:textId="77777777" w:rsidR="00E829D5" w:rsidRDefault="00E829D5" w:rsidP="007C3F36">
            <w:pPr>
              <w:pStyle w:val="TableTextLeft"/>
              <w:spacing w:before="60" w:after="60"/>
            </w:pPr>
            <w:r w:rsidRPr="001B2F81">
              <w:t>202</w:t>
            </w:r>
            <w:r>
              <w:t>3</w:t>
            </w:r>
            <w:r w:rsidRPr="001B2F81">
              <w:t>-</w:t>
            </w:r>
            <w:r>
              <w:t>24</w:t>
            </w:r>
          </w:p>
          <w:p w14:paraId="428A3E7D" w14:textId="77777777" w:rsidR="00E829D5" w:rsidRPr="001B2F81" w:rsidRDefault="00E829D5" w:rsidP="007C3F36">
            <w:pPr>
              <w:pStyle w:val="TableTextLeft"/>
              <w:spacing w:before="60" w:after="60"/>
            </w:pPr>
            <w:r>
              <w:t>(continued)</w:t>
            </w:r>
          </w:p>
        </w:tc>
        <w:tc>
          <w:tcPr>
            <w:tcW w:w="3118" w:type="dxa"/>
            <w:tcBorders>
              <w:top w:val="single" w:sz="4" w:space="0" w:color="auto"/>
              <w:left w:val="single" w:sz="4" w:space="0" w:color="auto"/>
              <w:bottom w:val="nil"/>
              <w:right w:val="single" w:sz="4" w:space="0" w:color="auto"/>
            </w:tcBorders>
          </w:tcPr>
          <w:p w14:paraId="4C8C1BFF" w14:textId="77777777" w:rsidR="00E829D5" w:rsidRDefault="00E829D5" w:rsidP="007C3F36">
            <w:pPr>
              <w:spacing w:before="60" w:after="60" w:line="240" w:lineRule="auto"/>
              <w:rPr>
                <w:rFonts w:ascii="Arial" w:hAnsi="Arial" w:cs="Arial"/>
                <w:b/>
                <w:sz w:val="16"/>
                <w:szCs w:val="16"/>
              </w:rPr>
            </w:pPr>
            <w:r>
              <w:rPr>
                <w:rFonts w:ascii="Arial" w:hAnsi="Arial" w:cs="Arial"/>
                <w:b/>
                <w:sz w:val="16"/>
                <w:szCs w:val="16"/>
              </w:rPr>
              <w:t xml:space="preserve">Election Readiness </w:t>
            </w:r>
          </w:p>
          <w:p w14:paraId="361AF6A1"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 xml:space="preserve">AEC-wide readiness achieved by the directed level of </w:t>
            </w:r>
            <w:r>
              <w:rPr>
                <w:rFonts w:ascii="Arial" w:hAnsi="Arial" w:cs="Arial"/>
                <w:bCs/>
                <w:sz w:val="16"/>
                <w:szCs w:val="16"/>
              </w:rPr>
              <w:t xml:space="preserve">electoral </w:t>
            </w:r>
            <w:r w:rsidRPr="002E7DF2">
              <w:rPr>
                <w:rFonts w:ascii="Arial" w:hAnsi="Arial" w:cs="Arial"/>
                <w:bCs/>
                <w:sz w:val="16"/>
                <w:szCs w:val="16"/>
              </w:rPr>
              <w:t>event readiness date</w:t>
            </w:r>
            <w:r w:rsidRPr="00A04CCB">
              <w:rPr>
                <w:rFonts w:ascii="Arial" w:hAnsi="Arial" w:cs="Arial"/>
                <w:sz w:val="16"/>
                <w:szCs w:val="16"/>
              </w:rPr>
              <w:t>.</w:t>
            </w:r>
          </w:p>
          <w:p w14:paraId="43745508" w14:textId="77777777" w:rsidR="00E829D5" w:rsidRPr="00856826"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Deliver public awareness and education products that target all Australian citizens aged 18 years and over</w:t>
            </w:r>
            <w:r>
              <w:rPr>
                <w:rFonts w:ascii="Arial" w:hAnsi="Arial" w:cs="Arial"/>
                <w:bCs/>
                <w:sz w:val="16"/>
                <w:szCs w:val="16"/>
              </w:rPr>
              <w:t>.</w:t>
            </w:r>
          </w:p>
          <w:p w14:paraId="60EEE5E0" w14:textId="77777777" w:rsidR="00E829D5" w:rsidRPr="002A2161" w:rsidRDefault="00E829D5" w:rsidP="007C3F36">
            <w:pPr>
              <w:autoSpaceDE w:val="0"/>
              <w:autoSpaceDN w:val="0"/>
              <w:spacing w:before="60" w:after="60" w:line="240" w:lineRule="auto"/>
              <w:rPr>
                <w:rFonts w:ascii="Arial" w:hAnsi="Arial" w:cs="Arial"/>
                <w:sz w:val="16"/>
                <w:szCs w:val="16"/>
              </w:rPr>
            </w:pPr>
          </w:p>
        </w:tc>
        <w:tc>
          <w:tcPr>
            <w:tcW w:w="3118" w:type="dxa"/>
            <w:tcBorders>
              <w:top w:val="single" w:sz="4" w:space="0" w:color="auto"/>
              <w:left w:val="single" w:sz="4" w:space="0" w:color="auto"/>
              <w:bottom w:val="nil"/>
              <w:right w:val="single" w:sz="4" w:space="0" w:color="auto"/>
            </w:tcBorders>
          </w:tcPr>
          <w:p w14:paraId="47F5B7A3" w14:textId="77777777" w:rsidR="00E829D5" w:rsidRDefault="00E829D5" w:rsidP="007C3F36">
            <w:pPr>
              <w:pStyle w:val="ListParagraph"/>
              <w:autoSpaceDE w:val="0"/>
              <w:autoSpaceDN w:val="0"/>
              <w:spacing w:before="60" w:after="60" w:line="240" w:lineRule="auto"/>
              <w:ind w:left="527"/>
              <w:rPr>
                <w:rFonts w:ascii="Arial" w:hAnsi="Arial" w:cs="Arial"/>
                <w:sz w:val="16"/>
                <w:szCs w:val="16"/>
              </w:rPr>
            </w:pPr>
          </w:p>
          <w:p w14:paraId="3892CC52" w14:textId="77777777" w:rsidR="00E829D5" w:rsidRDefault="00E829D5"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sz w:val="16"/>
                <w:szCs w:val="16"/>
              </w:rPr>
              <w:t xml:space="preserve">Agency wide readiness meets the directed level of </w:t>
            </w:r>
            <w:r>
              <w:rPr>
                <w:rFonts w:ascii="Arial" w:hAnsi="Arial" w:cs="Arial"/>
                <w:sz w:val="16"/>
                <w:szCs w:val="16"/>
              </w:rPr>
              <w:t xml:space="preserve">electoral </w:t>
            </w:r>
            <w:r w:rsidRPr="002E7DF2">
              <w:rPr>
                <w:rFonts w:ascii="Arial" w:hAnsi="Arial" w:cs="Arial"/>
                <w:sz w:val="16"/>
                <w:szCs w:val="16"/>
              </w:rPr>
              <w:t>event readiness date</w:t>
            </w:r>
            <w:r>
              <w:rPr>
                <w:rFonts w:ascii="Arial" w:hAnsi="Arial" w:cs="Arial"/>
                <w:sz w:val="16"/>
                <w:szCs w:val="16"/>
              </w:rPr>
              <w:t>.</w:t>
            </w:r>
          </w:p>
          <w:p w14:paraId="72B5330A" w14:textId="77777777" w:rsidR="00E829D5" w:rsidRDefault="00E829D5" w:rsidP="007C3F36">
            <w:pPr>
              <w:pStyle w:val="ListParagraph"/>
              <w:autoSpaceDE w:val="0"/>
              <w:autoSpaceDN w:val="0"/>
              <w:spacing w:before="60" w:after="60" w:line="240" w:lineRule="auto"/>
              <w:ind w:left="527"/>
              <w:rPr>
                <w:rFonts w:ascii="Arial" w:hAnsi="Arial" w:cs="Arial"/>
                <w:sz w:val="16"/>
                <w:szCs w:val="16"/>
              </w:rPr>
            </w:pPr>
          </w:p>
          <w:p w14:paraId="2C73EAE3" w14:textId="77777777" w:rsidR="00E829D5" w:rsidRPr="00C94549" w:rsidRDefault="00E829D5"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A51481">
              <w:rPr>
                <w:rFonts w:ascii="Arial" w:hAnsi="Arial" w:cs="Arial"/>
                <w:sz w:val="16"/>
                <w:szCs w:val="16"/>
              </w:rPr>
              <w:t>The AEC's public awareness campaign is delivered in accordance with key objectives outlined in the campaign strategy</w:t>
            </w:r>
            <w:r>
              <w:rPr>
                <w:rFonts w:ascii="Arial" w:hAnsi="Arial" w:cs="Arial"/>
                <w:sz w:val="16"/>
                <w:szCs w:val="16"/>
              </w:rPr>
              <w:t>.</w:t>
            </w:r>
          </w:p>
        </w:tc>
      </w:tr>
      <w:tr w:rsidR="00E829D5" w:rsidRPr="00A04CCB" w14:paraId="21C5FBF0" w14:textId="77777777" w:rsidTr="007C3F36">
        <w:trPr>
          <w:trHeight w:val="100"/>
        </w:trPr>
        <w:tc>
          <w:tcPr>
            <w:tcW w:w="1560" w:type="dxa"/>
            <w:tcBorders>
              <w:top w:val="nil"/>
              <w:left w:val="single" w:sz="4" w:space="0" w:color="auto"/>
              <w:bottom w:val="nil"/>
              <w:right w:val="single" w:sz="4" w:space="0" w:color="auto"/>
            </w:tcBorders>
          </w:tcPr>
          <w:p w14:paraId="01115F6D" w14:textId="77777777" w:rsidR="00E829D5" w:rsidRPr="001B2F81" w:rsidRDefault="00E829D5" w:rsidP="007C3F36">
            <w:pPr>
              <w:pStyle w:val="TableTextLeft"/>
              <w:spacing w:before="60" w:after="60"/>
            </w:pPr>
          </w:p>
        </w:tc>
        <w:tc>
          <w:tcPr>
            <w:tcW w:w="3118" w:type="dxa"/>
            <w:tcBorders>
              <w:top w:val="nil"/>
              <w:left w:val="single" w:sz="4" w:space="0" w:color="auto"/>
              <w:bottom w:val="nil"/>
              <w:right w:val="single" w:sz="4" w:space="0" w:color="auto"/>
            </w:tcBorders>
          </w:tcPr>
          <w:p w14:paraId="12868615" w14:textId="77777777" w:rsidR="00E829D5" w:rsidRPr="00C94549"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Percentage of TEW employees completing election training relevant to their role</w:t>
            </w:r>
            <w:r>
              <w:rPr>
                <w:rFonts w:ascii="Arial" w:hAnsi="Arial" w:cs="Arial"/>
                <w:bCs/>
                <w:sz w:val="16"/>
                <w:szCs w:val="16"/>
              </w:rPr>
              <w:t>.</w:t>
            </w:r>
          </w:p>
        </w:tc>
        <w:tc>
          <w:tcPr>
            <w:tcW w:w="3118" w:type="dxa"/>
            <w:tcBorders>
              <w:top w:val="nil"/>
              <w:left w:val="single" w:sz="4" w:space="0" w:color="auto"/>
              <w:bottom w:val="nil"/>
              <w:right w:val="single" w:sz="4" w:space="0" w:color="auto"/>
            </w:tcBorders>
          </w:tcPr>
          <w:p w14:paraId="4DD290EC" w14:textId="77777777" w:rsidR="00E829D5" w:rsidRPr="00C94549" w:rsidRDefault="00E829D5" w:rsidP="00E829D5">
            <w:pPr>
              <w:pStyle w:val="ListParagraph"/>
              <w:numPr>
                <w:ilvl w:val="0"/>
                <w:numId w:val="94"/>
              </w:numPr>
              <w:autoSpaceDE w:val="0"/>
              <w:autoSpaceDN w:val="0"/>
              <w:spacing w:before="60" w:after="60" w:line="240" w:lineRule="auto"/>
              <w:ind w:left="527" w:hanging="357"/>
              <w:rPr>
                <w:rFonts w:ascii="Arial" w:hAnsi="Arial" w:cs="Arial"/>
                <w:sz w:val="16"/>
                <w:szCs w:val="16"/>
              </w:rPr>
            </w:pPr>
            <w:r w:rsidRPr="002E7DF2">
              <w:rPr>
                <w:rFonts w:ascii="Arial" w:hAnsi="Arial" w:cs="Arial"/>
                <w:sz w:val="16"/>
                <w:szCs w:val="16"/>
              </w:rPr>
              <w:t>≥ 95%</w:t>
            </w:r>
          </w:p>
          <w:p w14:paraId="220E830B" w14:textId="77777777" w:rsidR="00E829D5" w:rsidRDefault="00E829D5" w:rsidP="007C3F36">
            <w:pPr>
              <w:pStyle w:val="ListParagraph"/>
              <w:autoSpaceDE w:val="0"/>
              <w:autoSpaceDN w:val="0"/>
              <w:spacing w:before="60" w:after="60" w:line="240" w:lineRule="auto"/>
              <w:ind w:left="527" w:hanging="357"/>
              <w:rPr>
                <w:rFonts w:ascii="Arial" w:hAnsi="Arial" w:cs="Arial"/>
                <w:sz w:val="16"/>
                <w:szCs w:val="16"/>
              </w:rPr>
            </w:pPr>
          </w:p>
        </w:tc>
      </w:tr>
      <w:tr w:rsidR="00E829D5" w:rsidRPr="00A04CCB" w14:paraId="6E906DB5" w14:textId="77777777" w:rsidTr="007C3F36">
        <w:trPr>
          <w:trHeight w:val="100"/>
        </w:trPr>
        <w:tc>
          <w:tcPr>
            <w:tcW w:w="1560" w:type="dxa"/>
            <w:tcBorders>
              <w:top w:val="nil"/>
              <w:left w:val="single" w:sz="4" w:space="0" w:color="auto"/>
              <w:bottom w:val="nil"/>
              <w:right w:val="single" w:sz="4" w:space="0" w:color="auto"/>
            </w:tcBorders>
          </w:tcPr>
          <w:p w14:paraId="435EEFD8" w14:textId="77777777" w:rsidR="00E829D5" w:rsidRPr="001B2F81" w:rsidRDefault="00E829D5" w:rsidP="007C3F36">
            <w:pPr>
              <w:pStyle w:val="TableTextLeft"/>
              <w:spacing w:before="60" w:after="60"/>
            </w:pPr>
          </w:p>
        </w:tc>
        <w:tc>
          <w:tcPr>
            <w:tcW w:w="3118" w:type="dxa"/>
            <w:tcBorders>
              <w:top w:val="nil"/>
              <w:left w:val="single" w:sz="4" w:space="0" w:color="auto"/>
              <w:bottom w:val="nil"/>
              <w:right w:val="single" w:sz="4" w:space="0" w:color="auto"/>
            </w:tcBorders>
          </w:tcPr>
          <w:p w14:paraId="2C23FA27" w14:textId="77777777" w:rsidR="00E829D5" w:rsidRPr="00C94549"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3F1F6C">
              <w:rPr>
                <w:rFonts w:ascii="Arial" w:hAnsi="Arial" w:cs="Arial"/>
                <w:sz w:val="16"/>
                <w:szCs w:val="16"/>
              </w:rPr>
              <w:t>Voting locations (including early voting centres and polling places) published on the AEC website before polling commences.</w:t>
            </w:r>
          </w:p>
        </w:tc>
        <w:tc>
          <w:tcPr>
            <w:tcW w:w="3118" w:type="dxa"/>
            <w:tcBorders>
              <w:top w:val="nil"/>
              <w:left w:val="single" w:sz="4" w:space="0" w:color="auto"/>
              <w:bottom w:val="nil"/>
              <w:right w:val="single" w:sz="4" w:space="0" w:color="auto"/>
            </w:tcBorders>
          </w:tcPr>
          <w:p w14:paraId="7B4064FC" w14:textId="77777777" w:rsidR="00E829D5" w:rsidRPr="00C94549" w:rsidRDefault="00E829D5" w:rsidP="00E829D5">
            <w:pPr>
              <w:pStyle w:val="ListParagraph"/>
              <w:numPr>
                <w:ilvl w:val="0"/>
                <w:numId w:val="94"/>
              </w:numPr>
              <w:autoSpaceDE w:val="0"/>
              <w:autoSpaceDN w:val="0"/>
              <w:spacing w:before="60" w:after="60" w:line="240" w:lineRule="auto"/>
              <w:ind w:left="527" w:hanging="357"/>
              <w:rPr>
                <w:rFonts w:ascii="Arial" w:hAnsi="Arial" w:cs="Arial"/>
                <w:sz w:val="16"/>
                <w:szCs w:val="16"/>
              </w:rPr>
            </w:pPr>
            <w:r w:rsidRPr="00C94549">
              <w:rPr>
                <w:rFonts w:ascii="Arial" w:hAnsi="Arial" w:cs="Arial"/>
                <w:sz w:val="16"/>
                <w:szCs w:val="16"/>
              </w:rPr>
              <w:t>100% of polling locations are published.</w:t>
            </w:r>
          </w:p>
          <w:p w14:paraId="706F07F0" w14:textId="77777777" w:rsidR="00E829D5" w:rsidRPr="00C94549" w:rsidRDefault="00E829D5" w:rsidP="007C3F36">
            <w:pPr>
              <w:autoSpaceDE w:val="0"/>
              <w:autoSpaceDN w:val="0"/>
              <w:spacing w:before="60" w:after="60" w:line="240" w:lineRule="auto"/>
              <w:ind w:left="527" w:hanging="357"/>
              <w:rPr>
                <w:rFonts w:ascii="Arial" w:hAnsi="Arial" w:cs="Arial"/>
                <w:sz w:val="16"/>
                <w:szCs w:val="16"/>
              </w:rPr>
            </w:pPr>
          </w:p>
        </w:tc>
      </w:tr>
      <w:tr w:rsidR="00E829D5" w:rsidRPr="00A04CCB" w14:paraId="336F8697" w14:textId="77777777" w:rsidTr="007C3F36">
        <w:trPr>
          <w:trHeight w:val="100"/>
        </w:trPr>
        <w:tc>
          <w:tcPr>
            <w:tcW w:w="1560" w:type="dxa"/>
            <w:tcBorders>
              <w:top w:val="nil"/>
              <w:left w:val="single" w:sz="4" w:space="0" w:color="auto"/>
              <w:bottom w:val="nil"/>
              <w:right w:val="single" w:sz="4" w:space="0" w:color="auto"/>
            </w:tcBorders>
          </w:tcPr>
          <w:p w14:paraId="35CDABC5" w14:textId="77777777" w:rsidR="00E829D5" w:rsidRPr="001B2F81" w:rsidRDefault="00E829D5" w:rsidP="007C3F36">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2E437783" w14:textId="77777777" w:rsidR="00E829D5" w:rsidRPr="003F1F6C"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C94549">
              <w:rPr>
                <w:rFonts w:ascii="Arial" w:hAnsi="Arial" w:cs="Arial"/>
                <w:bCs/>
                <w:sz w:val="16"/>
                <w:szCs w:val="16"/>
              </w:rPr>
              <w:t>Undertake a lessons management approach to delivering electoral events.</w:t>
            </w:r>
          </w:p>
        </w:tc>
        <w:tc>
          <w:tcPr>
            <w:tcW w:w="3118" w:type="dxa"/>
            <w:tcBorders>
              <w:top w:val="nil"/>
              <w:left w:val="single" w:sz="4" w:space="0" w:color="auto"/>
              <w:bottom w:val="dotted" w:sz="4" w:space="0" w:color="auto"/>
              <w:right w:val="single" w:sz="4" w:space="0" w:color="auto"/>
            </w:tcBorders>
          </w:tcPr>
          <w:p w14:paraId="6D4CB959" w14:textId="77777777" w:rsidR="00E829D5" w:rsidRPr="00C94549" w:rsidRDefault="00E829D5" w:rsidP="00E829D5">
            <w:pPr>
              <w:pStyle w:val="ListParagraph"/>
              <w:numPr>
                <w:ilvl w:val="0"/>
                <w:numId w:val="93"/>
              </w:numPr>
              <w:autoSpaceDE w:val="0"/>
              <w:autoSpaceDN w:val="0"/>
              <w:spacing w:before="60" w:after="60" w:line="240" w:lineRule="auto"/>
              <w:ind w:left="527" w:hanging="357"/>
              <w:rPr>
                <w:rFonts w:ascii="Arial" w:hAnsi="Arial" w:cs="Arial"/>
                <w:sz w:val="16"/>
                <w:szCs w:val="16"/>
              </w:rPr>
            </w:pPr>
            <w:r w:rsidRPr="00C94549">
              <w:rPr>
                <w:rFonts w:ascii="Arial" w:hAnsi="Arial" w:cs="Arial"/>
                <w:sz w:val="16"/>
                <w:szCs w:val="16"/>
              </w:rPr>
              <w:t>Agency lessons identified from the previous federal election are to be considered and implemented at the next electoral event.</w:t>
            </w:r>
          </w:p>
        </w:tc>
      </w:tr>
      <w:tr w:rsidR="00E829D5" w:rsidRPr="009964A0" w14:paraId="604EFA40" w14:textId="77777777" w:rsidTr="007C3F36">
        <w:trPr>
          <w:trHeight w:val="100"/>
        </w:trPr>
        <w:tc>
          <w:tcPr>
            <w:tcW w:w="1560" w:type="dxa"/>
            <w:tcBorders>
              <w:top w:val="nil"/>
              <w:bottom w:val="dotted" w:sz="4" w:space="0" w:color="auto"/>
              <w:right w:val="single" w:sz="4" w:space="0" w:color="auto"/>
            </w:tcBorders>
          </w:tcPr>
          <w:p w14:paraId="588B210D" w14:textId="77777777" w:rsidR="00E829D5" w:rsidRPr="001B2F81" w:rsidRDefault="00E829D5" w:rsidP="007C3F36">
            <w:pPr>
              <w:pStyle w:val="TableTextLeft"/>
              <w:spacing w:before="60" w:after="60"/>
            </w:pPr>
          </w:p>
        </w:tc>
        <w:tc>
          <w:tcPr>
            <w:tcW w:w="3118" w:type="dxa"/>
            <w:tcBorders>
              <w:top w:val="dotted" w:sz="4" w:space="0" w:color="auto"/>
              <w:left w:val="single" w:sz="4" w:space="0" w:color="auto"/>
              <w:bottom w:val="dotted" w:sz="4" w:space="0" w:color="auto"/>
              <w:right w:val="single" w:sz="4" w:space="0" w:color="auto"/>
            </w:tcBorders>
          </w:tcPr>
          <w:p w14:paraId="6C7FD386" w14:textId="77777777" w:rsidR="00E829D5" w:rsidRDefault="00E829D5" w:rsidP="007C3F36">
            <w:pPr>
              <w:autoSpaceDE w:val="0"/>
              <w:autoSpaceDN w:val="0"/>
              <w:spacing w:before="60" w:after="60" w:line="240" w:lineRule="auto"/>
              <w:rPr>
                <w:rFonts w:ascii="Arial" w:hAnsi="Arial" w:cs="Arial"/>
                <w:b/>
                <w:bCs/>
                <w:sz w:val="16"/>
                <w:szCs w:val="16"/>
              </w:rPr>
            </w:pPr>
            <w:r w:rsidRPr="00856826">
              <w:rPr>
                <w:rFonts w:ascii="Arial" w:hAnsi="Arial" w:cs="Arial"/>
                <w:b/>
                <w:bCs/>
                <w:sz w:val="16"/>
                <w:szCs w:val="16"/>
              </w:rPr>
              <w:t>Elections, By-elections and Referendums</w:t>
            </w:r>
          </w:p>
          <w:p w14:paraId="7EE2B9C8" w14:textId="77777777" w:rsidR="00E829D5" w:rsidRPr="00856826" w:rsidRDefault="00E829D5" w:rsidP="00E829D5">
            <w:pPr>
              <w:pStyle w:val="ListParagraph"/>
              <w:numPr>
                <w:ilvl w:val="0"/>
                <w:numId w:val="57"/>
              </w:numPr>
              <w:autoSpaceDE w:val="0"/>
              <w:autoSpaceDN w:val="0"/>
              <w:spacing w:before="60" w:after="60" w:line="240" w:lineRule="auto"/>
              <w:ind w:left="527" w:hanging="357"/>
              <w:contextualSpacing w:val="0"/>
              <w:rPr>
                <w:rFonts w:ascii="Arial" w:hAnsi="Arial" w:cs="Arial"/>
                <w:sz w:val="16"/>
                <w:szCs w:val="16"/>
              </w:rPr>
            </w:pPr>
            <w:r w:rsidRPr="00856826">
              <w:rPr>
                <w:rFonts w:ascii="Arial" w:hAnsi="Arial" w:cs="Arial"/>
                <w:sz w:val="16"/>
                <w:szCs w:val="16"/>
              </w:rPr>
              <w:t xml:space="preserve">The result – for each event – is delivered in accordance with the </w:t>
            </w:r>
            <w:r w:rsidRPr="00856826">
              <w:rPr>
                <w:rFonts w:ascii="Arial" w:hAnsi="Arial" w:cs="Arial"/>
                <w:i/>
                <w:iCs/>
                <w:sz w:val="16"/>
                <w:szCs w:val="16"/>
              </w:rPr>
              <w:t>Commonwealth Electoral Act 1918</w:t>
            </w:r>
            <w:r w:rsidRPr="00856826">
              <w:rPr>
                <w:rFonts w:ascii="Arial" w:hAnsi="Arial" w:cs="Arial"/>
                <w:sz w:val="16"/>
                <w:szCs w:val="16"/>
              </w:rPr>
              <w:t xml:space="preserve"> or the </w:t>
            </w:r>
            <w:r w:rsidRPr="00856826">
              <w:rPr>
                <w:rFonts w:ascii="Arial" w:hAnsi="Arial" w:cs="Arial"/>
                <w:i/>
                <w:iCs/>
                <w:sz w:val="16"/>
                <w:szCs w:val="16"/>
              </w:rPr>
              <w:t>Referendum (Machinery Provisions) Act 1984</w:t>
            </w:r>
            <w:r>
              <w:rPr>
                <w:rFonts w:ascii="Arial" w:hAnsi="Arial" w:cs="Arial"/>
                <w:i/>
                <w:iCs/>
                <w:sz w:val="16"/>
                <w:szCs w:val="16"/>
              </w:rPr>
              <w:t>.</w:t>
            </w:r>
          </w:p>
          <w:p w14:paraId="5AFE227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627D3653"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7899FB1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4642CBF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0B97B380"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55CDF723" w14:textId="77777777" w:rsidR="00E829D5" w:rsidRPr="00856826" w:rsidRDefault="00E829D5" w:rsidP="007C3F36">
            <w:pPr>
              <w:autoSpaceDE w:val="0"/>
              <w:autoSpaceDN w:val="0"/>
              <w:spacing w:before="60" w:after="60" w:line="240" w:lineRule="auto"/>
              <w:rPr>
                <w:rFonts w:ascii="Arial" w:hAnsi="Arial" w:cs="Arial"/>
                <w:sz w:val="16"/>
                <w:szCs w:val="16"/>
              </w:rPr>
            </w:pPr>
          </w:p>
          <w:p w14:paraId="598ED80C" w14:textId="77777777" w:rsidR="00E829D5" w:rsidRPr="00856826" w:rsidRDefault="00E829D5" w:rsidP="00E829D5">
            <w:pPr>
              <w:pStyle w:val="ListParagraph"/>
              <w:numPr>
                <w:ilvl w:val="0"/>
                <w:numId w:val="57"/>
              </w:numPr>
              <w:autoSpaceDE w:val="0"/>
              <w:autoSpaceDN w:val="0"/>
              <w:spacing w:before="60" w:after="60" w:line="240" w:lineRule="auto"/>
              <w:ind w:left="527" w:hanging="357"/>
              <w:contextualSpacing w:val="0"/>
              <w:rPr>
                <w:rFonts w:ascii="Arial" w:hAnsi="Arial" w:cs="Arial"/>
                <w:sz w:val="16"/>
                <w:szCs w:val="16"/>
              </w:rPr>
            </w:pPr>
            <w:r w:rsidRPr="00856826">
              <w:rPr>
                <w:rFonts w:ascii="Arial" w:hAnsi="Arial" w:cs="Arial"/>
                <w:sz w:val="16"/>
                <w:szCs w:val="16"/>
              </w:rPr>
              <w:t>Industrial election and ballot results are delivered with integrity and withstand scrutiny.</w:t>
            </w:r>
          </w:p>
        </w:tc>
        <w:tc>
          <w:tcPr>
            <w:tcW w:w="3118" w:type="dxa"/>
            <w:tcBorders>
              <w:top w:val="dotted" w:sz="4" w:space="0" w:color="auto"/>
              <w:left w:val="single" w:sz="4" w:space="0" w:color="auto"/>
              <w:bottom w:val="dotted" w:sz="4" w:space="0" w:color="auto"/>
            </w:tcBorders>
          </w:tcPr>
          <w:p w14:paraId="5803387F" w14:textId="77777777" w:rsidR="00E829D5" w:rsidRDefault="00E829D5" w:rsidP="007C3F36">
            <w:pPr>
              <w:autoSpaceDE w:val="0"/>
              <w:autoSpaceDN w:val="0"/>
              <w:spacing w:before="0" w:after="120" w:line="240" w:lineRule="auto"/>
              <w:rPr>
                <w:rFonts w:ascii="Arial" w:hAnsi="Arial" w:cs="Arial"/>
                <w:sz w:val="16"/>
                <w:szCs w:val="16"/>
              </w:rPr>
            </w:pPr>
          </w:p>
          <w:p w14:paraId="0E9B4ECF" w14:textId="77777777" w:rsidR="00E829D5" w:rsidRDefault="00E829D5" w:rsidP="007C3F36">
            <w:pPr>
              <w:autoSpaceDE w:val="0"/>
              <w:autoSpaceDN w:val="0"/>
              <w:spacing w:before="0" w:after="120" w:line="240" w:lineRule="auto"/>
              <w:rPr>
                <w:rFonts w:ascii="Arial" w:hAnsi="Arial" w:cs="Arial"/>
                <w:sz w:val="16"/>
                <w:szCs w:val="16"/>
              </w:rPr>
            </w:pPr>
          </w:p>
          <w:p w14:paraId="772B1989"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Pr>
                <w:rFonts w:ascii="Arial" w:hAnsi="Arial" w:cs="Arial"/>
                <w:sz w:val="16"/>
                <w:szCs w:val="16"/>
              </w:rPr>
              <w:t>For each event, t</w:t>
            </w:r>
            <w:r w:rsidRPr="006631F2">
              <w:rPr>
                <w:rFonts w:ascii="Arial" w:hAnsi="Arial" w:cs="Arial"/>
                <w:sz w:val="16"/>
                <w:szCs w:val="16"/>
              </w:rPr>
              <w:t>he writs are issued and returned in accordance with legislative requirements and timeframes.</w:t>
            </w:r>
          </w:p>
          <w:p w14:paraId="4B7FA1C4"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7F0B99">
              <w:rPr>
                <w:rFonts w:ascii="Arial" w:hAnsi="Arial" w:cs="Arial"/>
                <w:sz w:val="16"/>
                <w:szCs w:val="16"/>
              </w:rPr>
              <w:t>The AEC will report on the number of Court of Disputed Returns matters which challenge AEC conduct, and whether these challenges are dismissed or upheld in favour of the AEC</w:t>
            </w:r>
            <w:r>
              <w:rPr>
                <w:rFonts w:ascii="Arial" w:hAnsi="Arial" w:cs="Arial"/>
                <w:sz w:val="16"/>
                <w:szCs w:val="16"/>
              </w:rPr>
              <w:t>.</w:t>
            </w:r>
          </w:p>
          <w:p w14:paraId="7A6DC5EC" w14:textId="77777777" w:rsidR="00E829D5" w:rsidRPr="00B72686"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6631F2">
              <w:rPr>
                <w:rFonts w:ascii="Arial" w:hAnsi="Arial" w:cs="Arial"/>
                <w:sz w:val="16"/>
                <w:szCs w:val="16"/>
              </w:rPr>
              <w:t>The AEC will report on the outcomes and number of events in which the AEC's conduct is challenged before a court.</w:t>
            </w:r>
          </w:p>
        </w:tc>
      </w:tr>
      <w:tr w:rsidR="00E829D5" w:rsidRPr="00160C23" w14:paraId="169A8ECE" w14:textId="77777777" w:rsidTr="007C3F36">
        <w:trPr>
          <w:trHeight w:val="491"/>
        </w:trPr>
        <w:tc>
          <w:tcPr>
            <w:tcW w:w="1560" w:type="dxa"/>
            <w:tcBorders>
              <w:top w:val="dotted" w:sz="4" w:space="0" w:color="auto"/>
              <w:bottom w:val="single" w:sz="4" w:space="0" w:color="auto"/>
              <w:right w:val="single" w:sz="4" w:space="0" w:color="auto"/>
            </w:tcBorders>
          </w:tcPr>
          <w:p w14:paraId="4CA95E6F" w14:textId="77777777" w:rsidR="001378D2" w:rsidRDefault="00E829D5" w:rsidP="001378D2">
            <w:pPr>
              <w:tabs>
                <w:tab w:val="left" w:pos="709"/>
              </w:tabs>
              <w:spacing w:before="60" w:after="60" w:line="240" w:lineRule="auto"/>
              <w:rPr>
                <w:rFonts w:ascii="Arial" w:hAnsi="Arial" w:cs="Arial"/>
                <w:sz w:val="16"/>
                <w:szCs w:val="16"/>
                <w:lang w:eastAsia="en-US"/>
              </w:rPr>
            </w:pPr>
            <w:r w:rsidRPr="001378D2">
              <w:rPr>
                <w:rFonts w:ascii="Arial" w:hAnsi="Arial" w:cs="Arial"/>
                <w:sz w:val="16"/>
                <w:szCs w:val="16"/>
                <w:lang w:eastAsia="en-US"/>
              </w:rPr>
              <w:t xml:space="preserve">Forward </w:t>
            </w:r>
          </w:p>
          <w:p w14:paraId="50E34B7B" w14:textId="2D05A576" w:rsidR="00E829D5" w:rsidRPr="001378D2" w:rsidRDefault="00E829D5" w:rsidP="001378D2">
            <w:pPr>
              <w:tabs>
                <w:tab w:val="left" w:pos="709"/>
              </w:tabs>
              <w:spacing w:before="60" w:after="60" w:line="240" w:lineRule="auto"/>
              <w:rPr>
                <w:rFonts w:ascii="Arial" w:hAnsi="Arial" w:cs="Arial"/>
                <w:sz w:val="16"/>
                <w:szCs w:val="16"/>
                <w:lang w:eastAsia="en-US"/>
              </w:rPr>
            </w:pPr>
            <w:r w:rsidRPr="001378D2">
              <w:rPr>
                <w:rFonts w:ascii="Arial" w:hAnsi="Arial" w:cs="Arial"/>
                <w:sz w:val="16"/>
                <w:szCs w:val="16"/>
                <w:lang w:eastAsia="en-US"/>
              </w:rPr>
              <w:t xml:space="preserve">Estimates </w:t>
            </w:r>
          </w:p>
          <w:p w14:paraId="3AD38C8B" w14:textId="77777777" w:rsidR="00E829D5" w:rsidRPr="001B2F81" w:rsidRDefault="00E829D5" w:rsidP="001378D2">
            <w:pPr>
              <w:tabs>
                <w:tab w:val="left" w:pos="709"/>
              </w:tabs>
              <w:spacing w:before="60" w:after="60" w:line="240" w:lineRule="auto"/>
              <w:rPr>
                <w:b/>
              </w:rPr>
            </w:pPr>
            <w:r w:rsidRPr="001378D2">
              <w:rPr>
                <w:rFonts w:ascii="Arial" w:hAnsi="Arial" w:cs="Arial"/>
                <w:sz w:val="16"/>
                <w:szCs w:val="16"/>
                <w:lang w:eastAsia="en-US"/>
              </w:rPr>
              <w:t>2024-27</w:t>
            </w:r>
          </w:p>
        </w:tc>
        <w:tc>
          <w:tcPr>
            <w:tcW w:w="3118" w:type="dxa"/>
            <w:tcBorders>
              <w:top w:val="dotted" w:sz="4" w:space="0" w:color="auto"/>
              <w:left w:val="single" w:sz="4" w:space="0" w:color="auto"/>
              <w:bottom w:val="single" w:sz="4" w:space="0" w:color="auto"/>
              <w:right w:val="single" w:sz="4" w:space="0" w:color="auto"/>
            </w:tcBorders>
          </w:tcPr>
          <w:p w14:paraId="60C388AF" w14:textId="77777777" w:rsidR="00E829D5" w:rsidRPr="00160C23" w:rsidRDefault="00E829D5" w:rsidP="007C3F36">
            <w:pPr>
              <w:pStyle w:val="TableTextBase"/>
              <w:spacing w:before="60" w:after="60"/>
              <w:rPr>
                <w:b/>
                <w:color w:val="0070C0"/>
              </w:rPr>
            </w:pPr>
            <w:r w:rsidRPr="00A04CCB">
              <w:rPr>
                <w:rFonts w:eastAsia="Calibri" w:cs="Arial"/>
                <w:szCs w:val="16"/>
                <w:lang w:val="en-US" w:eastAsia="en-US"/>
              </w:rPr>
              <w:t>As per 202</w:t>
            </w:r>
            <w:r>
              <w:rPr>
                <w:rFonts w:eastAsia="Calibri" w:cs="Arial"/>
                <w:szCs w:val="16"/>
                <w:lang w:val="en-US" w:eastAsia="en-US"/>
              </w:rPr>
              <w:t>3</w:t>
            </w:r>
            <w:r w:rsidRPr="00A04CCB">
              <w:rPr>
                <w:rFonts w:eastAsia="Calibri" w:cs="Arial"/>
                <w:szCs w:val="16"/>
                <w:lang w:val="en-US" w:eastAsia="en-US"/>
              </w:rPr>
              <w:t>-2</w:t>
            </w:r>
            <w:r>
              <w:rPr>
                <w:rFonts w:eastAsia="Calibri" w:cs="Arial"/>
                <w:szCs w:val="16"/>
                <w:lang w:val="en-US" w:eastAsia="en-US"/>
              </w:rPr>
              <w:t>4</w:t>
            </w:r>
          </w:p>
        </w:tc>
        <w:tc>
          <w:tcPr>
            <w:tcW w:w="3118" w:type="dxa"/>
            <w:tcBorders>
              <w:top w:val="dotted" w:sz="4" w:space="0" w:color="auto"/>
              <w:left w:val="single" w:sz="4" w:space="0" w:color="auto"/>
              <w:bottom w:val="single" w:sz="4" w:space="0" w:color="auto"/>
            </w:tcBorders>
          </w:tcPr>
          <w:p w14:paraId="485F99C2" w14:textId="77777777" w:rsidR="00E829D5" w:rsidRPr="008F0D1E" w:rsidRDefault="00E829D5" w:rsidP="007C3F36">
            <w:pPr>
              <w:pStyle w:val="TableTextBase"/>
              <w:spacing w:before="60" w:after="60"/>
              <w:rPr>
                <w:rFonts w:cs="Arial"/>
                <w:b/>
                <w:color w:val="0070C0"/>
                <w:szCs w:val="16"/>
              </w:rPr>
            </w:pPr>
            <w:r w:rsidRPr="008F0D1E">
              <w:rPr>
                <w:rFonts w:eastAsia="Calibri" w:cs="Arial"/>
                <w:szCs w:val="16"/>
                <w:lang w:val="en-US" w:eastAsia="en-US"/>
              </w:rPr>
              <w:t>As per 202</w:t>
            </w:r>
            <w:r>
              <w:rPr>
                <w:rFonts w:eastAsia="Calibri" w:cs="Arial"/>
                <w:szCs w:val="16"/>
                <w:lang w:val="en-US" w:eastAsia="en-US"/>
              </w:rPr>
              <w:t>3</w:t>
            </w:r>
            <w:r w:rsidRPr="008F0D1E">
              <w:rPr>
                <w:rFonts w:eastAsia="Calibri" w:cs="Arial"/>
                <w:szCs w:val="16"/>
                <w:lang w:val="en-US" w:eastAsia="en-US"/>
              </w:rPr>
              <w:t>-2</w:t>
            </w:r>
            <w:r>
              <w:rPr>
                <w:rFonts w:eastAsia="Calibri" w:cs="Arial"/>
                <w:szCs w:val="16"/>
                <w:lang w:val="en-US" w:eastAsia="en-US"/>
              </w:rPr>
              <w:t>4</w:t>
            </w:r>
          </w:p>
        </w:tc>
      </w:tr>
      <w:tr w:rsidR="00E829D5" w:rsidRPr="00160C23" w14:paraId="408E56CB" w14:textId="77777777" w:rsidTr="007C3F36">
        <w:trPr>
          <w:trHeight w:val="291"/>
        </w:trPr>
        <w:tc>
          <w:tcPr>
            <w:tcW w:w="7796" w:type="dxa"/>
            <w:gridSpan w:val="3"/>
            <w:tcBorders>
              <w:bottom w:val="single" w:sz="4" w:space="0" w:color="auto"/>
            </w:tcBorders>
          </w:tcPr>
          <w:p w14:paraId="42653AD2" w14:textId="77777777" w:rsidR="00E829D5" w:rsidRPr="00160C23" w:rsidRDefault="00E829D5" w:rsidP="007C3F36">
            <w:pPr>
              <w:pStyle w:val="TableTextLeft"/>
              <w:spacing w:before="60" w:after="60"/>
              <w:rPr>
                <w:rFonts w:eastAsia="Cambria"/>
                <w:bCs/>
                <w:iCs/>
                <w:color w:val="0070C0"/>
                <w:spacing w:val="-6"/>
                <w:lang w:val="x-none"/>
              </w:rPr>
            </w:pPr>
            <w:r w:rsidRPr="00160C23">
              <w:t xml:space="preserve">Material changes to Program </w:t>
            </w:r>
            <w:r>
              <w:t>1</w:t>
            </w:r>
            <w:r w:rsidRPr="00160C23">
              <w:t>.</w:t>
            </w:r>
            <w:r>
              <w:t>1</w:t>
            </w:r>
            <w:r w:rsidRPr="00160C23">
              <w:t xml:space="preserve"> resulting from </w:t>
            </w:r>
            <w:r>
              <w:t>2023-24</w:t>
            </w:r>
            <w:r w:rsidRPr="00160C23">
              <w:t xml:space="preserve"> Budget Measures:</w:t>
            </w:r>
            <w:r>
              <w:t xml:space="preserve"> Nil</w:t>
            </w:r>
            <w:r w:rsidRPr="001C6402">
              <w:rPr>
                <w:bCs/>
                <w:iCs/>
                <w:color w:val="2E74B5"/>
                <w:spacing w:val="-6"/>
              </w:rPr>
              <w:t xml:space="preserve"> </w:t>
            </w:r>
          </w:p>
        </w:tc>
      </w:tr>
    </w:tbl>
    <w:p w14:paraId="47289B6A" w14:textId="10107D97" w:rsidR="00057563" w:rsidRPr="00FE59E1" w:rsidRDefault="00057563" w:rsidP="00057563">
      <w:pPr>
        <w:pStyle w:val="TableGraphic"/>
        <w:spacing w:before="30"/>
        <w:ind w:right="0"/>
        <w:rPr>
          <w:rFonts w:ascii="Arial" w:hAnsi="Arial" w:cs="Arial"/>
          <w:sz w:val="16"/>
          <w:szCs w:val="16"/>
        </w:rPr>
      </w:pPr>
    </w:p>
    <w:p w14:paraId="0DBFB702" w14:textId="430DFB43" w:rsidR="00B205BF" w:rsidRPr="00057563" w:rsidRDefault="00B205BF" w:rsidP="00302833">
      <w:pPr>
        <w:pStyle w:val="Heading2"/>
        <w:rPr>
          <w:rFonts w:ascii="Arial" w:hAnsi="Arial" w:cs="Arial"/>
          <w:sz w:val="16"/>
          <w:szCs w:val="16"/>
          <w:lang w:eastAsia="x-none"/>
        </w:rPr>
      </w:pPr>
      <w:r w:rsidRPr="006913EB">
        <w:br w:type="page"/>
      </w:r>
      <w:bookmarkStart w:id="106" w:name="_Toc133144991"/>
      <w:bookmarkStart w:id="107" w:name="_Toc133145432"/>
      <w:bookmarkStart w:id="108" w:name="_Toc133145530"/>
      <w:bookmarkStart w:id="109" w:name="_Toc133145650"/>
      <w:bookmarkStart w:id="110" w:name="_Toc133145741"/>
      <w:bookmarkStart w:id="111" w:name="_Toc133145832"/>
      <w:bookmarkStart w:id="112" w:name="_Toc133150011"/>
      <w:bookmarkStart w:id="113" w:name="_Toc134035377"/>
      <w:bookmarkStart w:id="114" w:name="_Toc134103323"/>
      <w:bookmarkStart w:id="115" w:name="_Toc134109242"/>
      <w:bookmarkStart w:id="116" w:name="_Toc134109375"/>
      <w:bookmarkStart w:id="117" w:name="_Toc134109642"/>
      <w:bookmarkStart w:id="118" w:name="_Toc134173905"/>
      <w:bookmarkStart w:id="119" w:name="_Toc134174031"/>
      <w:bookmarkStart w:id="120" w:name="_Toc134174225"/>
      <w:bookmarkStart w:id="121" w:name="_Toc134174333"/>
      <w:bookmarkStart w:id="122" w:name="_Toc134174468"/>
      <w:r w:rsidRPr="006913EB">
        <w:lastRenderedPageBreak/>
        <w:t>S</w:t>
      </w:r>
      <w:r w:rsidRPr="00302833">
        <w:t>ection 3: Budgeted financial statements</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0EDC7057" w14:textId="77777777" w:rsidR="00B205BF" w:rsidRPr="00302833" w:rsidRDefault="00B205BF" w:rsidP="00697E42">
      <w:pPr>
        <w:pStyle w:val="Heading3"/>
        <w:spacing w:before="240" w:after="240" w:line="240" w:lineRule="exact"/>
        <w:rPr>
          <w:rFonts w:ascii="Book Antiqua" w:hAnsi="Book Antiqua"/>
          <w:b w:val="0"/>
          <w:sz w:val="19"/>
        </w:rPr>
      </w:pPr>
      <w:bookmarkStart w:id="123" w:name="_Toc133144992"/>
      <w:bookmarkStart w:id="124" w:name="_Toc133145266"/>
      <w:bookmarkStart w:id="125" w:name="_Toc133145433"/>
      <w:bookmarkStart w:id="126" w:name="_Toc133145531"/>
      <w:bookmarkStart w:id="127" w:name="_Toc133145651"/>
      <w:bookmarkStart w:id="128" w:name="_Toc133145742"/>
      <w:bookmarkStart w:id="129" w:name="_Toc133145833"/>
      <w:bookmarkStart w:id="130" w:name="_Toc133150012"/>
      <w:bookmarkStart w:id="131" w:name="_Toc134035378"/>
      <w:bookmarkStart w:id="132" w:name="_Toc134103324"/>
      <w:bookmarkStart w:id="133" w:name="_Toc134109243"/>
      <w:bookmarkStart w:id="134" w:name="_Toc134109376"/>
      <w:bookmarkStart w:id="135" w:name="_Toc134109643"/>
      <w:bookmarkStart w:id="136" w:name="_Toc134173906"/>
      <w:bookmarkStart w:id="137" w:name="_Toc134174032"/>
      <w:bookmarkStart w:id="138" w:name="_Toc134174226"/>
      <w:bookmarkStart w:id="139" w:name="_Toc134174334"/>
      <w:bookmarkStart w:id="140" w:name="_Toc134174469"/>
      <w:r w:rsidRPr="00302833">
        <w:rPr>
          <w:rFonts w:ascii="Book Antiqua" w:hAnsi="Book Antiqua"/>
          <w:b w:val="0"/>
          <w:sz w:val="19"/>
        </w:rPr>
        <w:t>Section 3 presents budgeted financial statements which provide a comprehensive snapshot of entity finances for the 2023-24 budget year, including the impact of budget measures and resourcing on financial statements.</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39CE7E51" w14:textId="77777777" w:rsidR="00B205BF" w:rsidRPr="005328A9" w:rsidRDefault="00B205BF" w:rsidP="005328A9">
      <w:pPr>
        <w:pStyle w:val="Heading3"/>
      </w:pPr>
      <w:bookmarkStart w:id="141" w:name="_Toc133144993"/>
      <w:bookmarkStart w:id="142" w:name="_Toc133145434"/>
      <w:bookmarkStart w:id="143" w:name="_Toc133145532"/>
      <w:bookmarkStart w:id="144" w:name="_Toc133145652"/>
      <w:bookmarkStart w:id="145" w:name="_Toc133145743"/>
      <w:bookmarkStart w:id="146" w:name="_Toc133145834"/>
      <w:bookmarkStart w:id="147" w:name="_Toc133150013"/>
      <w:bookmarkStart w:id="148" w:name="_Toc134035379"/>
      <w:bookmarkStart w:id="149" w:name="_Toc134103325"/>
      <w:bookmarkStart w:id="150" w:name="_Toc134109244"/>
      <w:bookmarkStart w:id="151" w:name="_Toc134109377"/>
      <w:bookmarkStart w:id="152" w:name="_Toc134109644"/>
      <w:bookmarkStart w:id="153" w:name="_Toc134173907"/>
      <w:bookmarkStart w:id="154" w:name="_Toc134174033"/>
      <w:bookmarkStart w:id="155" w:name="_Toc134174227"/>
      <w:bookmarkStart w:id="156" w:name="_Toc134174335"/>
      <w:bookmarkStart w:id="157" w:name="_Toc134174470"/>
      <w:r w:rsidRPr="005328A9">
        <w:t>3.1</w:t>
      </w:r>
      <w:r w:rsidRPr="005328A9">
        <w:tab/>
        <w:t>Budgeted financial statements</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41D0B28E" w14:textId="77777777" w:rsidR="00B205BF" w:rsidRDefault="00B205BF" w:rsidP="00E4582E">
      <w:pPr>
        <w:pStyle w:val="Heading4"/>
      </w:pPr>
      <w:r>
        <w:t>3.1.1</w:t>
      </w:r>
      <w:r>
        <w:tab/>
        <w:t>Differences between entity resourcing and financial statements</w:t>
      </w:r>
    </w:p>
    <w:p w14:paraId="7E5ED636" w14:textId="77777777" w:rsidR="00B205BF" w:rsidRPr="00A952A3" w:rsidRDefault="00B205BF" w:rsidP="00697E42">
      <w:pPr>
        <w:pStyle w:val="ExampleText0"/>
        <w:rPr>
          <w:i w:val="0"/>
          <w:iCs/>
          <w:color w:val="auto"/>
        </w:rPr>
      </w:pPr>
      <w:r w:rsidRPr="00A952A3">
        <w:rPr>
          <w:i w:val="0"/>
          <w:iCs/>
          <w:color w:val="auto"/>
        </w:rPr>
        <w:t>No material differences exist between entity resourcing and financial statements.</w:t>
      </w:r>
    </w:p>
    <w:p w14:paraId="174CD3A6" w14:textId="77777777" w:rsidR="00B205BF" w:rsidRDefault="00B205BF" w:rsidP="00E4582E">
      <w:pPr>
        <w:pStyle w:val="Heading4"/>
      </w:pPr>
      <w:r>
        <w:t>3.1.2</w:t>
      </w:r>
      <w:r>
        <w:tab/>
        <w:t>Explanatory notes and analysis of budgeted financial statements</w:t>
      </w:r>
    </w:p>
    <w:p w14:paraId="79604EDC" w14:textId="77777777" w:rsidR="00B205BF" w:rsidRPr="00A952A3" w:rsidRDefault="00B205BF" w:rsidP="00697E42">
      <w:pPr>
        <w:pStyle w:val="ExampleText0"/>
        <w:rPr>
          <w:i w:val="0"/>
          <w:iCs/>
          <w:color w:val="auto"/>
        </w:rPr>
      </w:pPr>
      <w:r w:rsidRPr="00A952A3">
        <w:rPr>
          <w:i w:val="0"/>
          <w:iCs/>
          <w:color w:val="auto"/>
        </w:rPr>
        <w:t>The budgeted financial statements have not changed materially compared with the last official published position.</w:t>
      </w:r>
    </w:p>
    <w:p w14:paraId="7EBE39AA" w14:textId="52D282D9" w:rsidR="00B205BF" w:rsidRPr="00E36F77" w:rsidRDefault="00B205BF" w:rsidP="00BB7DEB">
      <w:pPr>
        <w:pStyle w:val="Heading3"/>
      </w:pPr>
      <w:r w:rsidRPr="00E36F77">
        <w:br w:type="page"/>
      </w:r>
      <w:bookmarkStart w:id="158" w:name="_Toc134035380"/>
      <w:bookmarkStart w:id="159" w:name="_Toc134103326"/>
      <w:bookmarkStart w:id="160" w:name="_Toc134109245"/>
      <w:bookmarkStart w:id="161" w:name="_Toc134109378"/>
      <w:bookmarkStart w:id="162" w:name="_Toc134109645"/>
      <w:bookmarkStart w:id="163" w:name="_Toc134173908"/>
      <w:bookmarkStart w:id="164" w:name="_Toc134174034"/>
      <w:bookmarkStart w:id="165" w:name="_Toc134174228"/>
      <w:bookmarkStart w:id="166" w:name="_Toc134174336"/>
      <w:bookmarkStart w:id="167" w:name="_Toc134174471"/>
      <w:r w:rsidR="00FB62CA" w:rsidRPr="004E055E">
        <w:lastRenderedPageBreak/>
        <w:t>3.2</w:t>
      </w:r>
      <w:r w:rsidR="00FB62CA" w:rsidRPr="004E055E">
        <w:tab/>
        <w:t>Budgeted financial statements tables</w:t>
      </w:r>
      <w:bookmarkEnd w:id="158"/>
      <w:bookmarkEnd w:id="159"/>
      <w:bookmarkEnd w:id="160"/>
      <w:bookmarkEnd w:id="161"/>
      <w:bookmarkEnd w:id="162"/>
      <w:bookmarkEnd w:id="163"/>
      <w:bookmarkEnd w:id="164"/>
      <w:bookmarkEnd w:id="165"/>
      <w:bookmarkEnd w:id="166"/>
      <w:bookmarkEnd w:id="167"/>
    </w:p>
    <w:p w14:paraId="62B736C0" w14:textId="77777777" w:rsidR="00B205BF" w:rsidRDefault="00B205BF" w:rsidP="00146B5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w:t>
      </w:r>
      <w:proofErr w:type="gramStart"/>
      <w:r>
        <w:rPr>
          <w:snapToGrid w:val="0"/>
        </w:rPr>
        <w:t>June</w:t>
      </w:r>
      <w:proofErr w:type="gramEnd"/>
    </w:p>
    <w:p w14:paraId="29BC57AA" w14:textId="0C016A03" w:rsidR="00B205BF" w:rsidRDefault="00B644ED" w:rsidP="00392DD1">
      <w:pPr>
        <w:pStyle w:val="TableGraphic"/>
        <w:rPr>
          <w:rFonts w:ascii="Arial" w:hAnsi="Arial" w:cs="Arial"/>
          <w:sz w:val="16"/>
        </w:rPr>
      </w:pPr>
      <w:r w:rsidRPr="00B644ED">
        <w:rPr>
          <w:rFonts w:ascii="Arial" w:hAnsi="Arial" w:cs="Arial"/>
          <w:noProof/>
          <w:sz w:val="16"/>
        </w:rPr>
        <w:drawing>
          <wp:inline distT="0" distB="0" distL="0" distR="0" wp14:anchorId="3DAE79DF" wp14:editId="070C7AB9">
            <wp:extent cx="4895850" cy="3934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5850" cy="3934460"/>
                    </a:xfrm>
                    <a:prstGeom prst="rect">
                      <a:avLst/>
                    </a:prstGeom>
                    <a:noFill/>
                    <a:ln>
                      <a:noFill/>
                    </a:ln>
                  </pic:spPr>
                </pic:pic>
              </a:graphicData>
            </a:graphic>
          </wp:inline>
        </w:drawing>
      </w:r>
    </w:p>
    <w:p w14:paraId="397BEE86" w14:textId="77777777" w:rsidR="00B205BF" w:rsidRPr="00626EE3" w:rsidRDefault="00B205BF" w:rsidP="00615DF4">
      <w:pPr>
        <w:pStyle w:val="TableGraphic"/>
        <w:spacing w:before="30"/>
        <w:ind w:right="0"/>
        <w:rPr>
          <w:rFonts w:ascii="Arial" w:hAnsi="Arial" w:cs="Arial"/>
          <w:sz w:val="16"/>
        </w:rPr>
      </w:pPr>
      <w:r w:rsidRPr="00626EE3">
        <w:rPr>
          <w:rFonts w:ascii="Arial" w:hAnsi="Arial" w:cs="Arial"/>
          <w:sz w:val="16"/>
        </w:rPr>
        <w:t xml:space="preserve">Table continues on next </w:t>
      </w:r>
      <w:proofErr w:type="gramStart"/>
      <w:r w:rsidRPr="00626EE3">
        <w:rPr>
          <w:rFonts w:ascii="Arial" w:hAnsi="Arial" w:cs="Arial"/>
          <w:sz w:val="16"/>
        </w:rPr>
        <w:t>page</w:t>
      </w:r>
      <w:proofErr w:type="gramEnd"/>
    </w:p>
    <w:p w14:paraId="627A5562" w14:textId="77777777" w:rsidR="00B205BF" w:rsidRDefault="00B205BF" w:rsidP="00146B5E">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0A2A6E1E" w14:textId="77777777" w:rsidR="00B205BF" w:rsidRPr="003819E1" w:rsidRDefault="00B205BF" w:rsidP="00E36F77">
      <w:pPr>
        <w:pStyle w:val="SingleParagraph"/>
      </w:pPr>
    </w:p>
    <w:p w14:paraId="18CF1C63" w14:textId="77777777" w:rsidR="00B205BF" w:rsidRPr="003819E1" w:rsidRDefault="00B205BF" w:rsidP="00CD6D33">
      <w:pPr>
        <w:pStyle w:val="TableHeadingNoTable"/>
        <w:spacing w:after="0"/>
      </w:pPr>
      <w:r w:rsidRPr="003819E1">
        <w:t>Note: Impact of net cash appropriation arrangements</w:t>
      </w:r>
    </w:p>
    <w:p w14:paraId="5C80D13D" w14:textId="52AD4FCB" w:rsidR="00B205BF" w:rsidRDefault="00C2090A" w:rsidP="00392DD1">
      <w:pPr>
        <w:pStyle w:val="TableGraphic"/>
        <w:rPr>
          <w:noProof/>
        </w:rPr>
      </w:pPr>
      <w:r w:rsidRPr="00C2090A">
        <w:rPr>
          <w:noProof/>
        </w:rPr>
        <w:drawing>
          <wp:inline distT="0" distB="0" distL="0" distR="0" wp14:anchorId="6C05D670" wp14:editId="29D2F2D2">
            <wp:extent cx="4895850" cy="166560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95850" cy="1665605"/>
                    </a:xfrm>
                    <a:prstGeom prst="rect">
                      <a:avLst/>
                    </a:prstGeom>
                    <a:noFill/>
                    <a:ln>
                      <a:noFill/>
                    </a:ln>
                  </pic:spPr>
                </pic:pic>
              </a:graphicData>
            </a:graphic>
          </wp:inline>
        </w:drawing>
      </w:r>
    </w:p>
    <w:p w14:paraId="54E7F1BE" w14:textId="77777777" w:rsidR="00B205BF" w:rsidRDefault="00B205BF" w:rsidP="00615DF4">
      <w:pPr>
        <w:pStyle w:val="Source"/>
        <w:spacing w:after="0"/>
        <w:ind w:left="0" w:firstLine="0"/>
        <w:rPr>
          <w:rFonts w:cs="Arial"/>
        </w:rPr>
      </w:pPr>
      <w:r w:rsidRPr="009D54F3">
        <w:rPr>
          <w:rFonts w:cs="Arial"/>
        </w:rPr>
        <w:t>Prepared on Australian Accounting Standards basis.</w:t>
      </w:r>
    </w:p>
    <w:p w14:paraId="6131E508" w14:textId="77777777" w:rsidR="00B205BF" w:rsidRDefault="00B205BF" w:rsidP="00E829D5">
      <w:pPr>
        <w:pStyle w:val="ChartandTableFootnoteAlpha"/>
        <w:numPr>
          <w:ilvl w:val="0"/>
          <w:numId w:val="42"/>
        </w:numPr>
        <w:spacing w:before="60"/>
        <w:rPr>
          <w:rFonts w:cs="Arial"/>
        </w:rPr>
      </w:pPr>
      <w:r w:rsidRPr="009D54F3">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522C4A08" w14:textId="5C7FC330" w:rsidR="00B205BF" w:rsidRPr="002A0F2E" w:rsidRDefault="00B205BF" w:rsidP="00E829D5">
      <w:pPr>
        <w:pStyle w:val="ChartandTableFootnoteAlpha"/>
        <w:numPr>
          <w:ilvl w:val="0"/>
          <w:numId w:val="42"/>
        </w:numPr>
        <w:spacing w:before="60"/>
      </w:pPr>
      <w:r w:rsidRPr="00D52088">
        <w:t xml:space="preserve">Applies </w:t>
      </w:r>
      <w:r w:rsidR="00BD507D">
        <w:t xml:space="preserve">to </w:t>
      </w:r>
      <w:r w:rsidRPr="00D52088">
        <w:t xml:space="preserve">leases under AASB 16 </w:t>
      </w:r>
      <w:r w:rsidRPr="00371B6D">
        <w:rPr>
          <w:i/>
          <w:iCs/>
        </w:rPr>
        <w:t>Leases</w:t>
      </w:r>
      <w:r w:rsidRPr="00D52088">
        <w:t>.</w:t>
      </w:r>
    </w:p>
    <w:p w14:paraId="082104DA" w14:textId="77777777" w:rsidR="00B205BF" w:rsidRDefault="00B205BF" w:rsidP="00626EE3">
      <w:pPr>
        <w:pStyle w:val="TableHeading"/>
      </w:pPr>
      <w:r>
        <w:br w:type="page"/>
      </w: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75C3E0E8" w14:textId="7ECF7370" w:rsidR="00B205BF" w:rsidRPr="00F626C2" w:rsidRDefault="00C2090A" w:rsidP="00392DD1">
      <w:pPr>
        <w:pStyle w:val="TableGraphic"/>
      </w:pPr>
      <w:r w:rsidRPr="00C2090A">
        <w:rPr>
          <w:noProof/>
        </w:rPr>
        <w:drawing>
          <wp:inline distT="0" distB="0" distL="0" distR="0" wp14:anchorId="7E295069" wp14:editId="3285084D">
            <wp:extent cx="4895850" cy="533717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5850" cy="5337175"/>
                    </a:xfrm>
                    <a:prstGeom prst="rect">
                      <a:avLst/>
                    </a:prstGeom>
                    <a:noFill/>
                    <a:ln>
                      <a:noFill/>
                    </a:ln>
                  </pic:spPr>
                </pic:pic>
              </a:graphicData>
            </a:graphic>
          </wp:inline>
        </w:drawing>
      </w:r>
    </w:p>
    <w:p w14:paraId="76980995" w14:textId="77777777" w:rsidR="00B205BF" w:rsidRPr="00132F9E" w:rsidRDefault="00B205BF" w:rsidP="00615DF4">
      <w:pPr>
        <w:pStyle w:val="ChartandTableFootnote"/>
      </w:pPr>
      <w:r w:rsidRPr="00132F9E">
        <w:t xml:space="preserve">Prepared on </w:t>
      </w:r>
      <w:r w:rsidRPr="00446EE2">
        <w:rPr>
          <w:rStyle w:val="ChartandTableFootnoteChar"/>
        </w:rPr>
        <w:t>Australian</w:t>
      </w:r>
      <w:r w:rsidRPr="00132F9E">
        <w:t xml:space="preserve"> Accounting Standards basis.</w:t>
      </w:r>
    </w:p>
    <w:p w14:paraId="41B48926" w14:textId="77777777" w:rsidR="00B205BF" w:rsidRPr="00132F9E" w:rsidRDefault="00B205BF" w:rsidP="00615DF4">
      <w:pPr>
        <w:pStyle w:val="ChartandTableFootnote"/>
        <w:rPr>
          <w:rFonts w:cs="Arial"/>
        </w:rPr>
      </w:pPr>
      <w:r w:rsidRPr="00132F9E">
        <w:rPr>
          <w:rFonts w:cs="Arial"/>
        </w:rPr>
        <w:t>*‘Equity’ is the residual interest in assets after deduction of liabilities.</w:t>
      </w:r>
    </w:p>
    <w:p w14:paraId="45FE3F8F" w14:textId="77777777" w:rsidR="00B205BF" w:rsidRDefault="00B205BF" w:rsidP="009763C1">
      <w:pPr>
        <w:pStyle w:val="TableHeading"/>
        <w:rPr>
          <w:rFonts w:ascii="Times New Roman" w:hAnsi="Times New Roman"/>
        </w:rPr>
      </w:pPr>
      <w:r>
        <w:br w:type="page"/>
      </w:r>
      <w:r w:rsidRPr="00AD42E2">
        <w:lastRenderedPageBreak/>
        <w:t>Table 3.3: Departmental statement of changes in equity — summary of</w:t>
      </w:r>
      <w:r>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45D93919" w14:textId="572EE595" w:rsidR="00B205BF" w:rsidRDefault="00B205BF" w:rsidP="00392DD1">
      <w:pPr>
        <w:pStyle w:val="TableGraphic"/>
      </w:pPr>
      <w:r>
        <w:fldChar w:fldCharType="end"/>
      </w:r>
      <w:r w:rsidR="0061168F" w:rsidRPr="0061168F">
        <w:rPr>
          <w:noProof/>
        </w:rPr>
        <w:drawing>
          <wp:inline distT="0" distB="0" distL="0" distR="0" wp14:anchorId="100A4532" wp14:editId="21D3390E">
            <wp:extent cx="4895850" cy="2942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95850" cy="2942590"/>
                    </a:xfrm>
                    <a:prstGeom prst="rect">
                      <a:avLst/>
                    </a:prstGeom>
                    <a:noFill/>
                    <a:ln>
                      <a:noFill/>
                    </a:ln>
                  </pic:spPr>
                </pic:pic>
              </a:graphicData>
            </a:graphic>
          </wp:inline>
        </w:drawing>
      </w:r>
    </w:p>
    <w:p w14:paraId="0F46B847" w14:textId="45437EDE" w:rsidR="00B205BF" w:rsidRPr="00747783" w:rsidRDefault="00B205BF" w:rsidP="00747783">
      <w:pPr>
        <w:pStyle w:val="ChartandTableFootnote"/>
        <w:rPr>
          <w:szCs w:val="16"/>
        </w:rPr>
      </w:pPr>
      <w:r w:rsidRPr="00D606C2">
        <w:t>Prepared on Australian Accounting Standards basis</w:t>
      </w:r>
      <w:r w:rsidR="00747783">
        <w:t>.</w:t>
      </w:r>
    </w:p>
    <w:p w14:paraId="27183318" w14:textId="77777777" w:rsidR="00B205BF" w:rsidRPr="00A00283" w:rsidRDefault="00B205BF">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666CD524" w14:textId="7CF66811" w:rsidR="00B205BF" w:rsidRDefault="000017DB" w:rsidP="00601A28">
      <w:pPr>
        <w:pStyle w:val="TableGraphic"/>
        <w:tabs>
          <w:tab w:val="left" w:pos="6237"/>
        </w:tabs>
        <w:rPr>
          <w:noProof/>
        </w:rPr>
      </w:pPr>
      <w:r w:rsidRPr="000017DB">
        <w:rPr>
          <w:noProof/>
        </w:rPr>
        <w:drawing>
          <wp:inline distT="0" distB="0" distL="0" distR="0" wp14:anchorId="772C7034" wp14:editId="2040BB42">
            <wp:extent cx="4895850" cy="49631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5850" cy="4963160"/>
                    </a:xfrm>
                    <a:prstGeom prst="rect">
                      <a:avLst/>
                    </a:prstGeom>
                    <a:noFill/>
                    <a:ln>
                      <a:noFill/>
                    </a:ln>
                  </pic:spPr>
                </pic:pic>
              </a:graphicData>
            </a:graphic>
          </wp:inline>
        </w:drawing>
      </w:r>
    </w:p>
    <w:p w14:paraId="58A70A4A" w14:textId="55CA16F8" w:rsidR="00B205BF" w:rsidRPr="00615DF4" w:rsidRDefault="00B205BF" w:rsidP="00615DF4">
      <w:pPr>
        <w:pStyle w:val="ChartandTableFootnote"/>
      </w:pPr>
      <w:r w:rsidRPr="00132F9E">
        <w:t>Prepared on Australian Accounting Standards basis.</w:t>
      </w:r>
    </w:p>
    <w:p w14:paraId="1B4290ED" w14:textId="77777777" w:rsidR="00B205BF" w:rsidRPr="00A00283" w:rsidRDefault="00B205BF" w:rsidP="00697E42">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63BE97FB" w14:textId="31BFC815" w:rsidR="00B205BF" w:rsidRDefault="00AB04BB" w:rsidP="00392DD1">
      <w:pPr>
        <w:pStyle w:val="TableGraphic"/>
        <w:rPr>
          <w:noProof/>
        </w:rPr>
      </w:pPr>
      <w:r w:rsidRPr="00AB04BB">
        <w:rPr>
          <w:noProof/>
        </w:rPr>
        <w:drawing>
          <wp:inline distT="0" distB="0" distL="0" distR="0" wp14:anchorId="225C8475" wp14:editId="51D53CF0">
            <wp:extent cx="4895850" cy="25482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95850" cy="2548255"/>
                    </a:xfrm>
                    <a:prstGeom prst="rect">
                      <a:avLst/>
                    </a:prstGeom>
                    <a:noFill/>
                    <a:ln>
                      <a:noFill/>
                    </a:ln>
                  </pic:spPr>
                </pic:pic>
              </a:graphicData>
            </a:graphic>
          </wp:inline>
        </w:drawing>
      </w:r>
    </w:p>
    <w:p w14:paraId="21D967C1" w14:textId="77777777" w:rsidR="00B205BF" w:rsidRPr="00132F9E" w:rsidRDefault="00B205BF" w:rsidP="00BD33C1">
      <w:pPr>
        <w:pStyle w:val="ChartandTableFootnote"/>
      </w:pPr>
      <w:r w:rsidRPr="00132F9E">
        <w:t>Prepared on Australian Accounting Standards basis.</w:t>
      </w:r>
    </w:p>
    <w:p w14:paraId="2C6E1C59" w14:textId="77777777" w:rsidR="00B205BF" w:rsidRDefault="00B205BF" w:rsidP="0061675B">
      <w:pPr>
        <w:pStyle w:val="NoSpacing"/>
      </w:pPr>
    </w:p>
    <w:p w14:paraId="174255E1" w14:textId="77777777" w:rsidR="00B205BF" w:rsidRDefault="00B205BF" w:rsidP="0061675B">
      <w:pPr>
        <w:pStyle w:val="ExampleText0"/>
        <w:sectPr w:rsidR="00B205BF" w:rsidSect="00AF04D8">
          <w:headerReference w:type="even" r:id="rId33"/>
          <w:headerReference w:type="default" r:id="rId34"/>
          <w:footerReference w:type="default" r:id="rId35"/>
          <w:headerReference w:type="first" r:id="rId36"/>
          <w:footerReference w:type="first" r:id="rId37"/>
          <w:pgSz w:w="11906" w:h="16838" w:code="9"/>
          <w:pgMar w:top="2835" w:right="2098" w:bottom="2466" w:left="2098" w:header="1814" w:footer="1814" w:gutter="0"/>
          <w:cols w:space="708"/>
          <w:titlePg/>
          <w:docGrid w:linePitch="360"/>
        </w:sectPr>
      </w:pPr>
    </w:p>
    <w:p w14:paraId="66E56084" w14:textId="77777777" w:rsidR="00B205BF" w:rsidRDefault="00B205BF" w:rsidP="00171489">
      <w:pPr>
        <w:pStyle w:val="TableHeading"/>
      </w:pPr>
      <w:r w:rsidRPr="00D30CBA">
        <w:lastRenderedPageBreak/>
        <w:t>Table</w:t>
      </w:r>
      <w:r>
        <w:t xml:space="preserve"> 3.6</w:t>
      </w:r>
      <w:r w:rsidRPr="00D30CBA">
        <w:t xml:space="preserve">: </w:t>
      </w:r>
      <w:r>
        <w:t>Statement of departmental asset movements (Budget year 2023-24)</w:t>
      </w:r>
    </w:p>
    <w:p w14:paraId="08B4A89C" w14:textId="2EBB9963" w:rsidR="00B205BF" w:rsidRPr="006943D1" w:rsidRDefault="00BD507D" w:rsidP="00171489">
      <w:pPr>
        <w:pStyle w:val="TableGraphic"/>
        <w:jc w:val="both"/>
      </w:pPr>
      <w:r w:rsidRPr="00BD507D">
        <w:rPr>
          <w:noProof/>
        </w:rPr>
        <w:drawing>
          <wp:inline distT="0" distB="0" distL="0" distR="0" wp14:anchorId="5137F30F" wp14:editId="270CCE04">
            <wp:extent cx="4895850" cy="4286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95850" cy="4286250"/>
                    </a:xfrm>
                    <a:prstGeom prst="rect">
                      <a:avLst/>
                    </a:prstGeom>
                    <a:noFill/>
                    <a:ln>
                      <a:noFill/>
                    </a:ln>
                  </pic:spPr>
                </pic:pic>
              </a:graphicData>
            </a:graphic>
          </wp:inline>
        </w:drawing>
      </w:r>
    </w:p>
    <w:p w14:paraId="15B5176E" w14:textId="77777777" w:rsidR="00B205BF" w:rsidRPr="002E5D24" w:rsidRDefault="00B205BF" w:rsidP="00171489">
      <w:pPr>
        <w:pStyle w:val="ChartandTableFootnote"/>
      </w:pPr>
      <w:r w:rsidRPr="00132F9E">
        <w:t>Prepared on Australian Accounting Standards basis.</w:t>
      </w:r>
    </w:p>
    <w:p w14:paraId="5F50979F" w14:textId="23163BBF" w:rsidR="00B205BF" w:rsidRPr="00626EE3" w:rsidRDefault="00131926" w:rsidP="00E829D5">
      <w:pPr>
        <w:pStyle w:val="ChartandTableFootnoteAlpha"/>
        <w:numPr>
          <w:ilvl w:val="0"/>
          <w:numId w:val="41"/>
        </w:numPr>
        <w:spacing w:before="60"/>
        <w:rPr>
          <w:rFonts w:cs="Arial"/>
          <w:szCs w:val="16"/>
        </w:rPr>
      </w:pPr>
      <w:r>
        <w:rPr>
          <w:rFonts w:cs="Arial"/>
          <w:szCs w:val="16"/>
        </w:rPr>
        <w:t>‘</w:t>
      </w:r>
      <w:r w:rsidRPr="00131926">
        <w:rPr>
          <w:rFonts w:cs="Arial"/>
          <w:szCs w:val="16"/>
        </w:rPr>
        <w:t>Appropriation ordinary annual services’ refers to funding provided through Appropriation Bill (No. 1) 2023-24 for depreciation/amortisation expenses, DCBs or other operational expenses</w:t>
      </w:r>
      <w:r w:rsidR="00B205BF" w:rsidRPr="00626EE3">
        <w:rPr>
          <w:rFonts w:cs="Arial"/>
          <w:szCs w:val="16"/>
        </w:rPr>
        <w:t>.</w:t>
      </w:r>
    </w:p>
    <w:p w14:paraId="116405DE" w14:textId="500845BF" w:rsidR="00D501B4" w:rsidRDefault="00D501B4">
      <w:pPr>
        <w:spacing w:before="0" w:after="0" w:line="240" w:lineRule="auto"/>
      </w:pPr>
      <w:r>
        <w:br w:type="page"/>
      </w:r>
    </w:p>
    <w:p w14:paraId="68688DAC" w14:textId="77777777" w:rsidR="00B205BF" w:rsidRPr="00152B2B" w:rsidRDefault="00B205BF" w:rsidP="00D501B4">
      <w:pPr>
        <w:spacing w:before="0" w:after="0" w:line="240" w:lineRule="auto"/>
        <w:sectPr w:rsidR="00B205BF" w:rsidRPr="00152B2B" w:rsidSect="005D7D64">
          <w:headerReference w:type="even" r:id="rId39"/>
          <w:headerReference w:type="default" r:id="rId40"/>
          <w:footerReference w:type="even" r:id="rId41"/>
          <w:footerReference w:type="default" r:id="rId42"/>
          <w:headerReference w:type="first" r:id="rId43"/>
          <w:footerReference w:type="first" r:id="rId44"/>
          <w:pgSz w:w="11906" w:h="16838" w:code="9"/>
          <w:pgMar w:top="2835" w:right="2098" w:bottom="2466" w:left="2098" w:header="1814" w:footer="1814" w:gutter="0"/>
          <w:cols w:space="708"/>
          <w:titlePg/>
          <w:docGrid w:linePitch="360"/>
        </w:sectPr>
      </w:pPr>
    </w:p>
    <w:p w14:paraId="6C3EBB91" w14:textId="77777777" w:rsidR="00B205BF" w:rsidRDefault="00B205BF" w:rsidP="00146B5E">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3DAE937A" w14:textId="052469E8" w:rsidR="00B205BF" w:rsidRDefault="00AB04BB" w:rsidP="0044552A">
      <w:pPr>
        <w:pStyle w:val="TableGraphic"/>
        <w:rPr>
          <w:noProof/>
        </w:rPr>
      </w:pPr>
      <w:r w:rsidRPr="00AB04BB">
        <w:rPr>
          <w:noProof/>
        </w:rPr>
        <w:drawing>
          <wp:inline distT="0" distB="0" distL="0" distR="0" wp14:anchorId="48EBE813" wp14:editId="0D35E475">
            <wp:extent cx="4895850" cy="2971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95850" cy="2971800"/>
                    </a:xfrm>
                    <a:prstGeom prst="rect">
                      <a:avLst/>
                    </a:prstGeom>
                    <a:noFill/>
                    <a:ln>
                      <a:noFill/>
                    </a:ln>
                  </pic:spPr>
                </pic:pic>
              </a:graphicData>
            </a:graphic>
          </wp:inline>
        </w:drawing>
      </w:r>
    </w:p>
    <w:p w14:paraId="5C92B9DC" w14:textId="1EC11D3F" w:rsidR="002948FA" w:rsidRDefault="00B205BF" w:rsidP="002948FA">
      <w:pPr>
        <w:pStyle w:val="ChartandTableFootnote"/>
      </w:pPr>
      <w:r w:rsidRPr="00E4582E">
        <w:t>Prepared on Australian Accounting Standards basis</w:t>
      </w:r>
      <w:r>
        <w:t>.</w:t>
      </w:r>
    </w:p>
    <w:p w14:paraId="718BB394" w14:textId="2AC59721" w:rsidR="002948FA" w:rsidRDefault="002948FA" w:rsidP="002948FA"/>
    <w:p w14:paraId="7943A9F9" w14:textId="77777777" w:rsidR="002948FA" w:rsidRPr="002948FA" w:rsidRDefault="002948FA" w:rsidP="002948FA"/>
    <w:p w14:paraId="359FA885" w14:textId="2E840C72" w:rsidR="00B205BF" w:rsidRDefault="00B205BF" w:rsidP="00697E42">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64246D92" w14:textId="79B98B1B" w:rsidR="002948FA" w:rsidRDefault="00B205BF" w:rsidP="002948FA">
      <w:pPr>
        <w:pStyle w:val="ChartandTableFootnoteAlpha"/>
        <w:spacing w:before="240" w:after="240" w:line="240" w:lineRule="exact"/>
        <w:rPr>
          <w:rFonts w:ascii="Book Antiqua" w:hAnsi="Book Antiqua"/>
          <w:iCs/>
          <w:color w:val="auto"/>
          <w:sz w:val="19"/>
        </w:rPr>
      </w:pPr>
      <w:r w:rsidRPr="009962A7">
        <w:rPr>
          <w:rFonts w:ascii="Book Antiqua" w:hAnsi="Book Antiqua"/>
          <w:iCs/>
          <w:color w:val="auto"/>
          <w:sz w:val="19"/>
        </w:rPr>
        <w:t>The AEC has no budgeted assets and liabilities administered on behalf of the Government.</w:t>
      </w:r>
    </w:p>
    <w:p w14:paraId="08A1A985" w14:textId="77777777" w:rsidR="002948FA" w:rsidRDefault="002948FA">
      <w:pPr>
        <w:spacing w:before="0" w:after="0" w:line="240" w:lineRule="auto"/>
        <w:rPr>
          <w:iCs/>
        </w:rPr>
      </w:pPr>
      <w:bookmarkStart w:id="168" w:name="OLE_LINK1"/>
      <w:r>
        <w:rPr>
          <w:iCs/>
        </w:rPr>
        <w:br w:type="page"/>
      </w:r>
    </w:p>
    <w:p w14:paraId="648C5A06" w14:textId="08463666" w:rsidR="00B205BF" w:rsidRPr="002948FA" w:rsidRDefault="00B205BF" w:rsidP="002948FA">
      <w:pPr>
        <w:spacing w:before="120" w:after="20" w:line="240" w:lineRule="auto"/>
        <w:rPr>
          <w:rFonts w:ascii="Arial" w:hAnsi="Arial"/>
          <w:b/>
          <w:sz w:val="20"/>
        </w:rPr>
      </w:pPr>
      <w:r w:rsidRPr="002948FA">
        <w:rPr>
          <w:rFonts w:ascii="Arial" w:hAnsi="Arial"/>
          <w:b/>
          <w:sz w:val="20"/>
        </w:rPr>
        <w:lastRenderedPageBreak/>
        <w:t>Table 3.9: Schedule of budgeted administered cash flows (for the period ended 30 June)</w:t>
      </w:r>
    </w:p>
    <w:p w14:paraId="77667CCE" w14:textId="3F88B538" w:rsidR="00B205BF" w:rsidRDefault="00AB04BB" w:rsidP="009A5F36">
      <w:pPr>
        <w:pStyle w:val="TableGraphic"/>
        <w:rPr>
          <w:noProof/>
        </w:rPr>
      </w:pPr>
      <w:r w:rsidRPr="00AB04BB">
        <w:rPr>
          <w:noProof/>
        </w:rPr>
        <w:drawing>
          <wp:inline distT="0" distB="0" distL="0" distR="0" wp14:anchorId="3CDBE771" wp14:editId="543845A0">
            <wp:extent cx="4895850" cy="30054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95850" cy="3005455"/>
                    </a:xfrm>
                    <a:prstGeom prst="rect">
                      <a:avLst/>
                    </a:prstGeom>
                    <a:noFill/>
                    <a:ln>
                      <a:noFill/>
                    </a:ln>
                  </pic:spPr>
                </pic:pic>
              </a:graphicData>
            </a:graphic>
          </wp:inline>
        </w:drawing>
      </w:r>
    </w:p>
    <w:bookmarkEnd w:id="168"/>
    <w:p w14:paraId="31CEE8DE" w14:textId="77777777" w:rsidR="00B205BF" w:rsidRDefault="00B205BF" w:rsidP="00D501B4">
      <w:pPr>
        <w:pStyle w:val="ChartandTableFootnote"/>
      </w:pPr>
      <w:r>
        <w:t>Prepared on Australian Accounting Standards basis.</w:t>
      </w:r>
    </w:p>
    <w:p w14:paraId="69C85434" w14:textId="3D9507F4" w:rsidR="00B205BF" w:rsidRDefault="00B205BF" w:rsidP="004E67B6">
      <w:pPr>
        <w:pStyle w:val="ChartandTableFootnote"/>
      </w:pPr>
    </w:p>
    <w:p w14:paraId="195EF22F" w14:textId="77777777" w:rsidR="002948FA" w:rsidRPr="002948FA" w:rsidRDefault="002948FA" w:rsidP="002948FA"/>
    <w:p w14:paraId="24FD60B3" w14:textId="2BA665FF" w:rsidR="00B205BF" w:rsidRDefault="00B205BF" w:rsidP="00697E42">
      <w:pPr>
        <w:pStyle w:val="ChartandTableFootnote"/>
        <w:spacing w:before="120" w:after="20"/>
      </w:pPr>
      <w:r w:rsidRPr="00365338">
        <w:rPr>
          <w:rFonts w:ascii="Arial Bold" w:hAnsi="Arial Bold"/>
          <w:b/>
          <w:color w:val="auto"/>
          <w:sz w:val="20"/>
        </w:rPr>
        <w:t>Table 3.10: Schedule of administered capital budget statement (for the period ended 30 June)</w:t>
      </w:r>
    </w:p>
    <w:p w14:paraId="12FEFFB7" w14:textId="6F149FA1" w:rsidR="00B205BF" w:rsidRPr="00697E42" w:rsidRDefault="00B205BF" w:rsidP="00697E42">
      <w:pPr>
        <w:jc w:val="both"/>
        <w:rPr>
          <w:szCs w:val="19"/>
        </w:rPr>
      </w:pPr>
      <w:r w:rsidRPr="006D4578">
        <w:rPr>
          <w:szCs w:val="19"/>
        </w:rPr>
        <w:t xml:space="preserve">The AEC </w:t>
      </w:r>
      <w:proofErr w:type="gramStart"/>
      <w:r w:rsidRPr="006D4578">
        <w:rPr>
          <w:szCs w:val="19"/>
        </w:rPr>
        <w:t>has  no</w:t>
      </w:r>
      <w:proofErr w:type="gramEnd"/>
      <w:r w:rsidRPr="006D4578">
        <w:rPr>
          <w:szCs w:val="19"/>
        </w:rPr>
        <w:t xml:space="preserve"> budgeted capital administered on behalf of the Government. </w:t>
      </w:r>
    </w:p>
    <w:p w14:paraId="5ED474C3" w14:textId="519558D9" w:rsidR="00B205BF" w:rsidRDefault="00B205BF" w:rsidP="00697E42">
      <w:pPr>
        <w:pStyle w:val="TableHeading"/>
        <w:keepNext w:val="0"/>
        <w:jc w:val="both"/>
      </w:pPr>
      <w:r>
        <w:t>Table 3.11: Statement of administered asset movements (Budget year 2023-24)</w:t>
      </w:r>
    </w:p>
    <w:p w14:paraId="2CF97F7B" w14:textId="0405A86E" w:rsidR="009B4DCC" w:rsidRDefault="00B205BF" w:rsidP="009B4DCC">
      <w:pPr>
        <w:jc w:val="both"/>
        <w:rPr>
          <w:szCs w:val="19"/>
        </w:rPr>
      </w:pPr>
      <w:r w:rsidRPr="006D4578">
        <w:rPr>
          <w:szCs w:val="19"/>
        </w:rPr>
        <w:t>The AEC has no budgeted non-financial assets administered on behalf of the Governmen</w:t>
      </w:r>
      <w:r w:rsidR="009B4DCC">
        <w:rPr>
          <w:szCs w:val="19"/>
        </w:rPr>
        <w:t>t.</w:t>
      </w:r>
    </w:p>
    <w:p w14:paraId="681B2C0C" w14:textId="77777777" w:rsidR="00A9351B" w:rsidRDefault="00A9351B" w:rsidP="009B4DCC">
      <w:pPr>
        <w:jc w:val="both"/>
        <w:rPr>
          <w:szCs w:val="19"/>
        </w:rPr>
      </w:pPr>
    </w:p>
    <w:p w14:paraId="23D7F99D" w14:textId="3E42B80F" w:rsidR="00E3086B" w:rsidRPr="009B4DCC" w:rsidRDefault="00E3086B" w:rsidP="009B4DCC">
      <w:pPr>
        <w:jc w:val="both"/>
        <w:rPr>
          <w:szCs w:val="19"/>
        </w:rPr>
        <w:sectPr w:rsidR="00E3086B" w:rsidRPr="009B4DCC" w:rsidSect="00503FD8">
          <w:headerReference w:type="even" r:id="rId47"/>
          <w:headerReference w:type="default" r:id="rId48"/>
          <w:footerReference w:type="default" r:id="rId49"/>
          <w:headerReference w:type="first" r:id="rId50"/>
          <w:footerReference w:type="first" r:id="rId51"/>
          <w:pgSz w:w="11906" w:h="16838" w:code="9"/>
          <w:pgMar w:top="2835" w:right="2098" w:bottom="2466" w:left="2098" w:header="1814" w:footer="1814" w:gutter="0"/>
          <w:cols w:space="708"/>
          <w:titlePg/>
          <w:docGrid w:linePitch="360"/>
        </w:sectPr>
      </w:pPr>
    </w:p>
    <w:p w14:paraId="1596386B" w14:textId="43380ABB" w:rsidR="000C3B86" w:rsidRPr="000C3B86" w:rsidRDefault="000C3B86" w:rsidP="00EB2F4A">
      <w:pPr>
        <w:pStyle w:val="PartHeading"/>
        <w:jc w:val="left"/>
      </w:pPr>
    </w:p>
    <w:sectPr w:rsidR="000C3B86" w:rsidRPr="000C3B86" w:rsidSect="00EB2F4A">
      <w:headerReference w:type="first" r:id="rId52"/>
      <w:footerReference w:type="first" r:id="rId53"/>
      <w:type w:val="oddPage"/>
      <w:pgSz w:w="11906" w:h="16838" w:code="9"/>
      <w:pgMar w:top="2835" w:right="2098" w:bottom="2466" w:left="2098" w:header="1814" w:footer="1814" w:gutter="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9DE5E" w14:textId="77777777" w:rsidR="009F3ABF" w:rsidRDefault="009F3ABF" w:rsidP="00C07DEC">
      <w:r>
        <w:separator/>
      </w:r>
    </w:p>
  </w:endnote>
  <w:endnote w:type="continuationSeparator" w:id="0">
    <w:p w14:paraId="7C7E74E4" w14:textId="77777777" w:rsidR="009F3ABF" w:rsidRDefault="009F3AB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1C252068-D977-40E5-8690-517A5EC4D78A}"/>
  </w:font>
  <w:font w:name="Times New Roman">
    <w:panose1 w:val="02020603050405020304"/>
    <w:charset w:val="00"/>
    <w:family w:val="roman"/>
    <w:pitch w:val="variable"/>
    <w:sig w:usb0="E0002EFF" w:usb1="C000785B" w:usb2="00000009" w:usb3="00000000" w:csb0="000001FF" w:csb1="00000000"/>
    <w:embedRegular r:id="rId2" w:fontKey="{38507446-8A3A-4589-9E4D-2BCA735D24DA}"/>
    <w:embedBold r:id="rId3" w:fontKey="{1A011369-B015-4C3F-987E-D7B2634C2B43}"/>
    <w:embedItalic r:id="rId4" w:fontKey="{B04419ED-1F5A-4A02-9E2E-B965650AACA4}"/>
    <w:embedBoldItalic r:id="rId5" w:fontKey="{A37E4461-66BC-441F-845E-77215E0308A9}"/>
  </w:font>
  <w:font w:name="Arial">
    <w:panose1 w:val="020B0604020202020204"/>
    <w:charset w:val="00"/>
    <w:family w:val="swiss"/>
    <w:pitch w:val="variable"/>
    <w:sig w:usb0="E0002EFF" w:usb1="C000785B" w:usb2="00000009" w:usb3="00000000" w:csb0="000001FF" w:csb1="00000000"/>
    <w:embedRegular r:id="rId6" w:fontKey="{B58E95A7-FF71-415F-91E2-6465A6A1AF1D}"/>
    <w:embedBold r:id="rId7" w:fontKey="{655EB32B-0C67-4B0E-AA15-F6864F288200}"/>
    <w:embedItalic r:id="rId8" w:fontKey="{851BA1B5-6114-49CE-B0DF-135E483640D7}"/>
    <w:embedBoldItalic r:id="rId9" w:fontKey="{FC54A604-CF50-4B9E-9E73-3406A246C8B6}"/>
  </w:font>
  <w:font w:name="Wingdings">
    <w:panose1 w:val="05000000000000000000"/>
    <w:charset w:val="02"/>
    <w:family w:val="auto"/>
    <w:pitch w:val="variable"/>
    <w:sig w:usb0="00000000" w:usb1="10000000" w:usb2="00000000" w:usb3="00000000" w:csb0="80000000" w:csb1="00000000"/>
    <w:embedRegular r:id="rId10" w:fontKey="{6284C382-FA68-4B2B-B4B5-7BAF81CD3E36}"/>
  </w:font>
  <w:font w:name="Courier New">
    <w:panose1 w:val="02070309020205020404"/>
    <w:charset w:val="00"/>
    <w:family w:val="modern"/>
    <w:pitch w:val="fixed"/>
    <w:sig w:usb0="E0002EFF" w:usb1="C0007843" w:usb2="00000009" w:usb3="00000000" w:csb0="000001FF" w:csb1="00000000"/>
    <w:embedRegular r:id="rId11" w:fontKey="{5E21ED96-FCC2-47C6-A261-F9F261A9B432}"/>
  </w:font>
  <w:font w:name="Book Antiqua">
    <w:panose1 w:val="02040602050305030304"/>
    <w:charset w:val="00"/>
    <w:family w:val="roman"/>
    <w:pitch w:val="variable"/>
    <w:sig w:usb0="00000287" w:usb1="00000000" w:usb2="00000000" w:usb3="00000000" w:csb0="0000009F" w:csb1="00000000"/>
    <w:embedRegular r:id="rId12" w:fontKey="{37F5EDF4-DB92-4011-B727-7805DEA7D3A5}"/>
    <w:embedBold r:id="rId13" w:fontKey="{A12C91FB-34D9-45C0-994A-AC926DA837F0}"/>
    <w:embedItalic r:id="rId14" w:fontKey="{8AE97900-CAFE-4E54-A632-BE752490F608}"/>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80BC48C2-FB77-45D3-AF56-FED9EB880A50}"/>
  </w:font>
  <w:font w:name="Tahoma">
    <w:panose1 w:val="020B0604030504040204"/>
    <w:charset w:val="00"/>
    <w:family w:val="swiss"/>
    <w:pitch w:val="variable"/>
    <w:sig w:usb0="E1002EFF" w:usb1="C000605B" w:usb2="00000029" w:usb3="00000000" w:csb0="000101FF" w:csb1="00000000"/>
    <w:embedRegular r:id="rId16" w:fontKey="{A88A1746-544C-4488-BB85-3E02BB0AD19B}"/>
  </w:font>
  <w:font w:name="Helvetica">
    <w:panose1 w:val="020B0604020202020204"/>
    <w:charset w:val="00"/>
    <w:family w:val="swiss"/>
    <w:pitch w:val="variable"/>
    <w:sig w:usb0="E0002EFF" w:usb1="C000785B" w:usb2="00000009" w:usb3="00000000" w:csb0="000001FF" w:csb1="00000000"/>
    <w:embedBold r:id="rId17" w:fontKey="{3F749E8D-DA95-4E2B-81A9-58ED8568378A}"/>
  </w:font>
  <w:font w:name="Calibri">
    <w:panose1 w:val="020F0502020204030204"/>
    <w:charset w:val="00"/>
    <w:family w:val="swiss"/>
    <w:pitch w:val="variable"/>
    <w:sig w:usb0="E4002EFF" w:usb1="C000247B" w:usb2="00000009" w:usb3="00000000" w:csb0="000001FF" w:csb1="00000000"/>
    <w:embedRegular r:id="rId18" w:fontKey="{CC7EF9CD-0AEF-4585-85A8-6C28FE364837}"/>
    <w:embedBold r:id="rId19" w:fontKey="{072D19D0-CFE4-4964-9EC8-372C4DB61F53}"/>
    <w:embedItalic r:id="rId20" w:fontKey="{3930A26A-F096-43B3-84C9-C6CE0D1561A3}"/>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3AC41F12-348F-4CCA-944E-9D36A192C6E9}"/>
    <w:embedItalic r:id="rId22" w:fontKey="{8D6E71C2-AD14-4B93-9903-706C8AF761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8EC1C" w14:textId="11C6E6CA" w:rsidR="00971BCB" w:rsidRPr="00971BCB" w:rsidRDefault="00971BCB" w:rsidP="00971BCB">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B3115">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85</w:t>
    </w:r>
    <w:r w:rsidRPr="00B628E8">
      <w:rPr>
        <w:b/>
        <w:bCs/>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57082" w14:textId="2F99F57F"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B3115">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21</w:t>
    </w:r>
    <w:r w:rsidRPr="00B628E8">
      <w:rPr>
        <w:rStyle w:val="PageNumber"/>
        <w:rFonts w:cs="Times New Roman"/>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E7C7A" w14:textId="5C11345B" w:rsidR="009F0008" w:rsidRPr="00EC6429" w:rsidRDefault="009F0008" w:rsidP="00EC6429">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102</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B3115">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DA234" w14:textId="0F3D0933" w:rsidR="00A52FDF" w:rsidRPr="00A52FDF" w:rsidRDefault="00A52FDF" w:rsidP="00A52FD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302E8" w14:textId="1CCA304A" w:rsidR="00B205BF" w:rsidRPr="000050FD" w:rsidRDefault="00B205BF" w:rsidP="000050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3F5D" w14:textId="5EC99D01" w:rsidR="003A5165" w:rsidRPr="003A5165" w:rsidRDefault="003A5165" w:rsidP="003A5165">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78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B3115">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81D18" w14:textId="66846EA3"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B3115">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3526A" w14:textId="48A637A9"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B3115">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6385B" w14:textId="1FBDD9A2" w:rsidR="00395205" w:rsidRPr="00395205" w:rsidRDefault="00395205" w:rsidP="00395205">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88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B3115">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265EF" w14:textId="60EFA9F3" w:rsidR="00B205BF" w:rsidRPr="009F0008" w:rsidRDefault="009F0008" w:rsidP="009F0008">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104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992EC9">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E09AC" w14:textId="77777777" w:rsidR="00B205BF" w:rsidRPr="00D232B7" w:rsidRDefault="00B205BF">
    <w:pPr>
      <w:pStyle w:val="Footer"/>
      <w:rPr>
        <w:rStyle w:val="PageNumber"/>
        <w:rFonts w:cs="Times New Roman"/>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14123" w14:textId="781F5FC3" w:rsidR="00B205BF" w:rsidRPr="009F0008" w:rsidRDefault="009F0008" w:rsidP="009F0008">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B3115">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101</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15C1" w14:textId="77777777" w:rsidR="009F3ABF" w:rsidRDefault="009F3ABF" w:rsidP="00C07DEC">
      <w:r>
        <w:separator/>
      </w:r>
    </w:p>
  </w:footnote>
  <w:footnote w:type="continuationSeparator" w:id="0">
    <w:p w14:paraId="5ECA7050" w14:textId="77777777" w:rsidR="009F3ABF" w:rsidRDefault="009F3AB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53AFD" w14:textId="77777777" w:rsidR="005F2701" w:rsidRDefault="005F270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D7D64" w14:paraId="489A7DF1" w14:textId="77777777" w:rsidTr="0040406A">
      <w:trPr>
        <w:trHeight w:hRule="exact" w:val="340"/>
      </w:trPr>
      <w:tc>
        <w:tcPr>
          <w:tcW w:w="7797" w:type="dxa"/>
        </w:tcPr>
        <w:p w14:paraId="2162065A" w14:textId="77777777" w:rsidR="005D7D64" w:rsidRDefault="005D7D64" w:rsidP="005D7D64">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2025B11" wp14:editId="7F6C486E">
                <wp:extent cx="919093" cy="154800"/>
                <wp:effectExtent l="0" t="0" r="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EEFD23B" w14:textId="77777777" w:rsidR="00B205BF" w:rsidRPr="002F2256" w:rsidRDefault="00B205BF" w:rsidP="0049200C">
    <w:pPr>
      <w:pStyle w:val="Header"/>
    </w:pPr>
    <w:r>
      <w:rPr>
        <w:noProof/>
      </w:rPr>
      <mc:AlternateContent>
        <mc:Choice Requires="wps">
          <w:drawing>
            <wp:anchor distT="0" distB="0" distL="114300" distR="114300" simplePos="0" relativeHeight="251663360" behindDoc="0" locked="0" layoutInCell="1" allowOverlap="1" wp14:anchorId="16430417" wp14:editId="24009BC8">
              <wp:simplePos x="0" y="0"/>
              <wp:positionH relativeFrom="column">
                <wp:posOffset>7560945</wp:posOffset>
              </wp:positionH>
              <wp:positionV relativeFrom="margin">
                <wp:align>top</wp:align>
              </wp:positionV>
              <wp:extent cx="399415" cy="48958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56C365D9" w14:textId="77777777" w:rsidR="00B205BF" w:rsidRPr="00137C7E" w:rsidRDefault="00B205BF" w:rsidP="004E67B6">
                          <w:pPr>
                            <w:pStyle w:val="HeaderOdd"/>
                            <w:jc w:val="left"/>
                          </w:pPr>
                          <w:r w:rsidRPr="00D47C6E">
                            <w:rPr>
                              <w:noProof/>
                              <w:position w:val="-6"/>
                            </w:rPr>
                            <w:drawing>
                              <wp:inline distT="0" distB="0" distL="0" distR="0" wp14:anchorId="715A991F" wp14:editId="3BB12ABB">
                                <wp:extent cx="919093" cy="154800"/>
                                <wp:effectExtent l="1270" t="0" r="0" b="0"/>
                                <wp:docPr id="491" name="Pictur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30417" id="_x0000_t202" coordsize="21600,21600" o:spt="202" path="m,l,21600r21600,l21600,xe">
              <v:stroke joinstyle="miter"/>
              <v:path gradientshapeok="t" o:connecttype="rect"/>
            </v:shapetype>
            <v:shape id="Text Box 22" o:spid="_x0000_s1030" type="#_x0000_t202" style="position:absolute;margin-left:595.35pt;margin-top:0;width:31.45pt;height:385.5pt;z-index:25166336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Ql7A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" stroked="f">
              <v:textbox style="layout-flow:vertical" inset="0,0,0,0">
                <w:txbxContent>
                  <w:p w14:paraId="56C365D9" w14:textId="77777777" w:rsidR="00B205BF" w:rsidRPr="00137C7E" w:rsidRDefault="00B205BF" w:rsidP="004E67B6">
                    <w:pPr>
                      <w:pStyle w:val="HeaderOdd"/>
                      <w:jc w:val="left"/>
                    </w:pPr>
                    <w:r w:rsidRPr="00D47C6E">
                      <w:rPr>
                        <w:noProof/>
                        <w:position w:val="-6"/>
                      </w:rPr>
                      <w:drawing>
                        <wp:inline distT="0" distB="0" distL="0" distR="0" wp14:anchorId="715A991F" wp14:editId="3BB12ABB">
                          <wp:extent cx="919093" cy="154800"/>
                          <wp:effectExtent l="1270" t="0" r="0" b="0"/>
                          <wp:docPr id="491" name="Pictur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v:textbox>
              <w10:wrap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8013"/>
    </w:tblGrid>
    <w:tr w:rsidR="00DE0FFF" w:rsidRPr="001C6402" w14:paraId="4953BDD5" w14:textId="77777777" w:rsidTr="0040406A">
      <w:trPr>
        <w:trHeight w:hRule="exact" w:val="340"/>
      </w:trPr>
      <w:tc>
        <w:tcPr>
          <w:tcW w:w="7797" w:type="dxa"/>
          <w:shd w:val="clear" w:color="auto" w:fill="auto"/>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E0FFF" w14:paraId="684CD13E" w14:textId="77777777" w:rsidTr="0040406A">
            <w:trPr>
              <w:trHeight w:hRule="exact" w:val="340"/>
            </w:trPr>
            <w:tc>
              <w:tcPr>
                <w:tcW w:w="7797" w:type="dxa"/>
              </w:tcPr>
              <w:p w14:paraId="1BC82554" w14:textId="77777777" w:rsidR="00DE0FFF" w:rsidRDefault="00DE0FFF" w:rsidP="00DE0FFF">
                <w:pPr>
                  <w:pStyle w:val="HeaderEven"/>
                  <w:ind w:left="-113"/>
                </w:pPr>
                <w:r w:rsidRPr="00D47C6E">
                  <w:rPr>
                    <w:noProof/>
                    <w:position w:val="-6"/>
                  </w:rPr>
                  <w:drawing>
                    <wp:inline distT="0" distB="0" distL="0" distR="0" wp14:anchorId="058F06A9" wp14:editId="5AFF395D">
                      <wp:extent cx="919093" cy="154800"/>
                      <wp:effectExtent l="0" t="0" r="0" b="0"/>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66042D89" w14:textId="77777777" w:rsidR="00DE0FFF" w:rsidRPr="00434130" w:rsidRDefault="00DE0FFF" w:rsidP="00DE0FFF">
          <w:pPr>
            <w:pStyle w:val="HeaderOdd"/>
            <w:spacing w:after="240" w:line="260" w:lineRule="exact"/>
            <w:jc w:val="left"/>
          </w:pPr>
        </w:p>
      </w:tc>
    </w:tr>
  </w:tbl>
  <w:p w14:paraId="07BFBDA5" w14:textId="77777777" w:rsidR="00B205BF" w:rsidRPr="00F00984" w:rsidRDefault="00B205BF" w:rsidP="00F00984">
    <w:pPr>
      <w:pStyle w:val="HeaderEven"/>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8013"/>
    </w:tblGrid>
    <w:tr w:rsidR="00B205BF" w:rsidRPr="001C6402" w14:paraId="2F45CA8F" w14:textId="77777777" w:rsidTr="001C6402">
      <w:trPr>
        <w:trHeight w:hRule="exact" w:val="340"/>
      </w:trPr>
      <w:tc>
        <w:tcPr>
          <w:tcW w:w="7797" w:type="dxa"/>
          <w:shd w:val="clear" w:color="auto" w:fill="auto"/>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43A42" w14:paraId="7C783861" w14:textId="77777777" w:rsidTr="0040406A">
            <w:trPr>
              <w:trHeight w:hRule="exact" w:val="340"/>
            </w:trPr>
            <w:tc>
              <w:tcPr>
                <w:tcW w:w="7797" w:type="dxa"/>
              </w:tcPr>
              <w:p w14:paraId="3E206966" w14:textId="77777777" w:rsidR="00043A42" w:rsidRDefault="00043A42" w:rsidP="00043A42">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F447162" wp14:editId="0FBE90F9">
                      <wp:extent cx="919093" cy="154800"/>
                      <wp:effectExtent l="0" t="0" r="0" b="0"/>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DD3BEA7" w14:textId="366205AA" w:rsidR="00B205BF" w:rsidRPr="00434130" w:rsidRDefault="00043A42" w:rsidP="00043A42">
          <w:pPr>
            <w:pStyle w:val="Header"/>
          </w:pPr>
          <w:r>
            <w:rPr>
              <w:noProof/>
            </w:rPr>
            <mc:AlternateContent>
              <mc:Choice Requires="wps">
                <w:drawing>
                  <wp:anchor distT="0" distB="0" distL="114300" distR="114300" simplePos="0" relativeHeight="251674624" behindDoc="0" locked="0" layoutInCell="1" allowOverlap="1" wp14:anchorId="1CCC682A" wp14:editId="68C4E693">
                    <wp:simplePos x="0" y="0"/>
                    <wp:positionH relativeFrom="column">
                      <wp:posOffset>7560945</wp:posOffset>
                    </wp:positionH>
                    <wp:positionV relativeFrom="margin">
                      <wp:align>top</wp:align>
                    </wp:positionV>
                    <wp:extent cx="399415" cy="489585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78919AC5" w14:textId="77777777" w:rsidR="00043A42" w:rsidRPr="00137C7E" w:rsidRDefault="00043A42" w:rsidP="00043A42">
                                <w:pPr>
                                  <w:pStyle w:val="HeaderOdd"/>
                                  <w:jc w:val="left"/>
                                </w:pPr>
                                <w:r w:rsidRPr="00D47C6E">
                                  <w:rPr>
                                    <w:noProof/>
                                    <w:position w:val="-6"/>
                                  </w:rPr>
                                  <w:drawing>
                                    <wp:inline distT="0" distB="0" distL="0" distR="0" wp14:anchorId="568A0751" wp14:editId="08479B60">
                                      <wp:extent cx="919093" cy="154800"/>
                                      <wp:effectExtent l="1270" t="0" r="0" b="0"/>
                                      <wp:docPr id="495" name="Picture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C682A" id="_x0000_t202" coordsize="21600,21600" o:spt="202" path="m,l,21600r21600,l21600,xe">
                    <v:stroke joinstyle="miter"/>
                    <v:path gradientshapeok="t" o:connecttype="rect"/>
                  </v:shapetype>
                  <v:shape id="Text Box 82" o:spid="_x0000_s1031" type="#_x0000_t202" style="position:absolute;margin-left:595.35pt;margin-top:0;width:31.45pt;height:385.5pt;z-index:25167462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J5w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LL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OvQnnDtAQAAwQMAAA4AAAAAAAAAAAAAAAAALgIAAGRycy9lMm9E&#10;b2MueG1sUEsBAi0AFAAGAAgAAAAhAHQ0ILLfAAAACgEAAA8AAAAAAAAAAAAAAAAARwQAAGRycy9k&#10;b3ducmV2LnhtbFBLBQYAAAAABAAEAPMAAABTBQAAAAA=&#10;" stroked="f">
                    <v:textbox style="layout-flow:vertical" inset="0,0,0,0">
                      <w:txbxContent>
                        <w:p w14:paraId="78919AC5" w14:textId="77777777" w:rsidR="00043A42" w:rsidRPr="00137C7E" w:rsidRDefault="00043A42" w:rsidP="00043A42">
                          <w:pPr>
                            <w:pStyle w:val="HeaderOdd"/>
                            <w:jc w:val="left"/>
                          </w:pPr>
                          <w:r w:rsidRPr="00D47C6E">
                            <w:rPr>
                              <w:noProof/>
                              <w:position w:val="-6"/>
                            </w:rPr>
                            <w:drawing>
                              <wp:inline distT="0" distB="0" distL="0" distR="0" wp14:anchorId="568A0751" wp14:editId="08479B60">
                                <wp:extent cx="919093" cy="154800"/>
                                <wp:effectExtent l="1270" t="0" r="0" b="0"/>
                                <wp:docPr id="495" name="Picture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v:textbox>
                    <w10:wrap anchory="margin"/>
                  </v:shape>
                </w:pict>
              </mc:Fallback>
            </mc:AlternateContent>
          </w:r>
          <w:r>
            <w:rPr>
              <w:noProof/>
            </w:rPr>
            <mc:AlternateContent>
              <mc:Choice Requires="wps">
                <w:drawing>
                  <wp:anchor distT="0" distB="0" distL="114300" distR="114300" simplePos="0" relativeHeight="251672576" behindDoc="0" locked="0" layoutInCell="1" allowOverlap="1" wp14:anchorId="32FF0D75" wp14:editId="7DB41BB7">
                    <wp:simplePos x="0" y="0"/>
                    <wp:positionH relativeFrom="column">
                      <wp:posOffset>7560945</wp:posOffset>
                    </wp:positionH>
                    <wp:positionV relativeFrom="margin">
                      <wp:align>top</wp:align>
                    </wp:positionV>
                    <wp:extent cx="399415" cy="4895850"/>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7F1F6CF" w14:textId="77777777" w:rsidR="00043A42" w:rsidRPr="00137C7E" w:rsidRDefault="00043A42" w:rsidP="00043A42">
                                <w:pPr>
                                  <w:pStyle w:val="HeaderOdd"/>
                                  <w:jc w:val="left"/>
                                </w:pPr>
                                <w:r w:rsidRPr="00D47C6E">
                                  <w:rPr>
                                    <w:noProof/>
                                    <w:position w:val="-6"/>
                                  </w:rPr>
                                  <w:drawing>
                                    <wp:inline distT="0" distB="0" distL="0" distR="0" wp14:anchorId="712A39EE" wp14:editId="7BFD5984">
                                      <wp:extent cx="919093" cy="154800"/>
                                      <wp:effectExtent l="1270" t="0" r="0" b="0"/>
                                      <wp:docPr id="496" name="Picture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F0D75" id="Text Box 77" o:spid="_x0000_s1032" type="#_x0000_t202" style="position:absolute;margin-left:595.35pt;margin-top:0;width:31.45pt;height:385.5pt;z-index:25167257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D7HYY7tAQAAwQMAAA4AAAAAAAAAAAAAAAAALgIAAGRycy9lMm9E&#10;b2MueG1sUEsBAi0AFAAGAAgAAAAhAHQ0ILLfAAAACgEAAA8AAAAAAAAAAAAAAAAARwQAAGRycy9k&#10;b3ducmV2LnhtbFBLBQYAAAAABAAEAPMAAABTBQAAAAA=&#10;" stroked="f">
                    <v:textbox style="layout-flow:vertical" inset="0,0,0,0">
                      <w:txbxContent>
                        <w:p w14:paraId="17F1F6CF" w14:textId="77777777" w:rsidR="00043A42" w:rsidRPr="00137C7E" w:rsidRDefault="00043A42" w:rsidP="00043A42">
                          <w:pPr>
                            <w:pStyle w:val="HeaderOdd"/>
                            <w:jc w:val="left"/>
                          </w:pPr>
                          <w:r w:rsidRPr="00D47C6E">
                            <w:rPr>
                              <w:noProof/>
                              <w:position w:val="-6"/>
                            </w:rPr>
                            <w:drawing>
                              <wp:inline distT="0" distB="0" distL="0" distR="0" wp14:anchorId="712A39EE" wp14:editId="7BFD5984">
                                <wp:extent cx="919093" cy="154800"/>
                                <wp:effectExtent l="1270" t="0" r="0" b="0"/>
                                <wp:docPr id="496" name="Picture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w:t>
                          </w:r>
                          <w:r w:rsidRPr="00AE5C25">
                            <w:t xml:space="preserve">| </w:t>
                          </w:r>
                          <w:r>
                            <w:t xml:space="preserve"> </w:t>
                          </w:r>
                          <w:r w:rsidRPr="00AE5C25">
                            <w:t>Portfolio Budget Statements</w:t>
                          </w:r>
                        </w:p>
                      </w:txbxContent>
                    </v:textbox>
                    <w10:wrap anchory="margin"/>
                  </v:shape>
                </w:pict>
              </mc:Fallback>
            </mc:AlternateContent>
          </w:r>
        </w:p>
      </w:tc>
    </w:tr>
  </w:tbl>
  <w:p w14:paraId="2378AB24" w14:textId="77777777" w:rsidR="00B205BF" w:rsidRDefault="00B205BF" w:rsidP="00F00984">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B205BF" w:rsidRPr="001C6402" w14:paraId="193E3168" w14:textId="77777777" w:rsidTr="001C6402">
      <w:trPr>
        <w:trHeight w:hRule="exact" w:val="340"/>
      </w:trPr>
      <w:tc>
        <w:tcPr>
          <w:tcW w:w="7797" w:type="dxa"/>
          <w:shd w:val="clear" w:color="auto" w:fill="auto"/>
        </w:tcPr>
        <w:p w14:paraId="27B65741" w14:textId="3FEF6BE7" w:rsidR="00B205BF" w:rsidRPr="00434130" w:rsidRDefault="00B205BF" w:rsidP="00EC6429">
          <w:pPr>
            <w:pStyle w:val="HeaderOdd"/>
            <w:spacing w:after="240" w:line="260" w:lineRule="exact"/>
            <w:jc w:val="left"/>
          </w:pPr>
        </w:p>
      </w:tc>
    </w:tr>
  </w:tbl>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13217" w14:paraId="324A558A" w14:textId="77777777" w:rsidTr="00177DF3">
      <w:trPr>
        <w:trHeight w:hRule="exact" w:val="340"/>
      </w:trPr>
      <w:tc>
        <w:tcPr>
          <w:tcW w:w="7797" w:type="dxa"/>
        </w:tcPr>
        <w:p w14:paraId="6A17E8C9" w14:textId="77777777" w:rsidR="00B13217" w:rsidRDefault="00B13217" w:rsidP="00B13217">
          <w:pPr>
            <w:pStyle w:val="HeaderEven"/>
            <w:ind w:left="-113"/>
          </w:pPr>
          <w:r w:rsidRPr="00D47C6E">
            <w:rPr>
              <w:noProof/>
              <w:position w:val="-6"/>
            </w:rPr>
            <w:drawing>
              <wp:inline distT="0" distB="0" distL="0" distR="0" wp14:anchorId="38120F6F" wp14:editId="27E6D7DD">
                <wp:extent cx="919093" cy="154800"/>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01FA1FA1" w14:textId="77777777" w:rsidR="00B205BF" w:rsidRPr="00F00984" w:rsidRDefault="00B205BF" w:rsidP="00B13217">
    <w:pPr>
      <w:pStyle w:val="HeaderEven"/>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B7D28" w14:textId="77777777" w:rsidR="00A56649" w:rsidRPr="00970E65" w:rsidRDefault="00A56649" w:rsidP="004E144D">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F2701" w14:paraId="27849F5A" w14:textId="77777777" w:rsidTr="0040406A">
      <w:trPr>
        <w:trHeight w:hRule="exact" w:val="340"/>
      </w:trPr>
      <w:tc>
        <w:tcPr>
          <w:tcW w:w="7797" w:type="dxa"/>
        </w:tcPr>
        <w:p w14:paraId="7D224A2D" w14:textId="77777777" w:rsidR="005F2701" w:rsidRDefault="005F2701" w:rsidP="005F2701">
          <w:pPr>
            <w:pStyle w:val="HeaderEven"/>
            <w:ind w:left="-113"/>
          </w:pPr>
        </w:p>
      </w:tc>
    </w:tr>
    <w:tr w:rsidR="005F2701" w14:paraId="6D4DF633" w14:textId="77777777" w:rsidTr="0040406A">
      <w:trPr>
        <w:trHeight w:hRule="exact" w:val="340"/>
      </w:trPr>
      <w:tc>
        <w:tcPr>
          <w:tcW w:w="7797" w:type="dxa"/>
        </w:tcPr>
        <w:p w14:paraId="25E2150A" w14:textId="77777777" w:rsidR="005F2701" w:rsidRDefault="005F2701" w:rsidP="005F2701">
          <w:pPr>
            <w:pStyle w:val="HeaderEven"/>
            <w:ind w:left="-113"/>
          </w:pPr>
          <w:r w:rsidRPr="00D47C6E">
            <w:rPr>
              <w:noProof/>
              <w:position w:val="-6"/>
            </w:rPr>
            <w:drawing>
              <wp:inline distT="0" distB="0" distL="0" distR="0" wp14:anchorId="6992F72F" wp14:editId="4621AC47">
                <wp:extent cx="919093" cy="154800"/>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6A5B1711" w14:textId="77777777" w:rsidR="00B205BF" w:rsidRPr="00F00984" w:rsidRDefault="00B205BF" w:rsidP="00A02E16">
    <w:pPr>
      <w:pStyle w:val="HeaderEve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7A4C1C1F" w14:textId="77777777" w:rsidTr="009F13AD">
      <w:trPr>
        <w:trHeight w:hRule="exact" w:val="340"/>
      </w:trPr>
      <w:tc>
        <w:tcPr>
          <w:tcW w:w="7797" w:type="dxa"/>
        </w:tcPr>
        <w:p w14:paraId="23FE9FFB" w14:textId="77777777" w:rsidR="00B205BF" w:rsidRPr="005E4F9D" w:rsidRDefault="00B205BF" w:rsidP="00577DFB">
          <w:pPr>
            <w:pStyle w:val="HeaderOdd"/>
            <w:rPr>
              <w:color w:val="auto"/>
            </w:rPr>
          </w:pPr>
          <w:r w:rsidRPr="005E4F9D">
            <w:rPr>
              <w:color w:val="auto"/>
            </w:rPr>
            <w:t xml:space="preserve">Portfolio Budget </w:t>
          </w:r>
          <w:proofErr w:type="gramStart"/>
          <w:r w:rsidRPr="005E4F9D">
            <w:rPr>
              <w:color w:val="auto"/>
            </w:rPr>
            <w:t>Statements  |</w:t>
          </w:r>
          <w:proofErr w:type="gramEnd"/>
          <w:r w:rsidRPr="005E4F9D">
            <w:rPr>
              <w:color w:val="auto"/>
            </w:rPr>
            <w:t xml:space="preserve">  </w:t>
          </w:r>
          <w:r w:rsidRPr="005E4F9D">
            <w:rPr>
              <w:noProof/>
              <w:color w:val="auto"/>
              <w:position w:val="-6"/>
            </w:rPr>
            <w:drawing>
              <wp:inline distT="0" distB="0" distL="0" distR="0" wp14:anchorId="433E7508" wp14:editId="4E1C7B50">
                <wp:extent cx="919093" cy="154800"/>
                <wp:effectExtent l="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4DFDD74" w14:textId="77777777" w:rsidR="00B205BF" w:rsidRDefault="00B205BF" w:rsidP="00A02E16">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37501" w14:paraId="2D8F8EA9" w14:textId="77777777" w:rsidTr="0040406A">
      <w:trPr>
        <w:trHeight w:hRule="exact" w:val="340"/>
      </w:trPr>
      <w:tc>
        <w:tcPr>
          <w:tcW w:w="7797" w:type="dxa"/>
        </w:tcPr>
        <w:p w14:paraId="750074D9" w14:textId="77777777" w:rsidR="00C37501" w:rsidRDefault="00C37501" w:rsidP="00C37501">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5554304C" wp14:editId="19CDB372">
                <wp:extent cx="919093" cy="154800"/>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E02ECAF" w14:textId="77777777" w:rsidR="00B205BF" w:rsidRPr="00B4084B" w:rsidRDefault="00B205BF" w:rsidP="00C37501">
    <w:pPr>
      <w:pStyle w:val="HeaderOdd"/>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1150E906" w14:textId="77777777" w:rsidTr="009F13AD">
      <w:trPr>
        <w:trHeight w:hRule="exact" w:val="340"/>
      </w:trPr>
      <w:tc>
        <w:tcPr>
          <w:tcW w:w="7797" w:type="dxa"/>
        </w:tcPr>
        <w:p w14:paraId="2C10887D" w14:textId="77777777" w:rsidR="00B205BF" w:rsidRDefault="00B205BF" w:rsidP="008F3D78">
          <w:pPr>
            <w:pStyle w:val="HeaderEven"/>
            <w:ind w:left="-113"/>
          </w:pPr>
          <w:r w:rsidRPr="00D47C6E">
            <w:rPr>
              <w:noProof/>
              <w:position w:val="-6"/>
            </w:rPr>
            <w:drawing>
              <wp:inline distT="0" distB="0" distL="0" distR="0" wp14:anchorId="35B389E0" wp14:editId="43BD19BC">
                <wp:extent cx="919093" cy="154800"/>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680834D6" w14:textId="77777777" w:rsidR="00B205BF" w:rsidRPr="00F00984" w:rsidRDefault="00B205BF" w:rsidP="00F00984">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3B4AA52" w14:textId="77777777" w:rsidTr="009F13AD">
      <w:trPr>
        <w:trHeight w:hRule="exact" w:val="340"/>
      </w:trPr>
      <w:tc>
        <w:tcPr>
          <w:tcW w:w="7797" w:type="dxa"/>
        </w:tcPr>
        <w:p w14:paraId="33DF971B"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8912673" wp14:editId="037CEBDD">
                <wp:extent cx="919093" cy="1548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4F6D884" w14:textId="77777777" w:rsidR="00B205BF" w:rsidRDefault="00B205BF" w:rsidP="00F00984">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95205" w14:paraId="6DF4BC85" w14:textId="77777777" w:rsidTr="0040406A">
      <w:trPr>
        <w:trHeight w:hRule="exact" w:val="340"/>
      </w:trPr>
      <w:tc>
        <w:tcPr>
          <w:tcW w:w="7797" w:type="dxa"/>
        </w:tcPr>
        <w:p w14:paraId="19FF3082" w14:textId="77777777" w:rsidR="00395205" w:rsidRDefault="00395205" w:rsidP="00395205">
          <w:pPr>
            <w:pStyle w:val="HeaderEven"/>
            <w:ind w:left="-113"/>
          </w:pPr>
        </w:p>
      </w:tc>
    </w:tr>
    <w:tr w:rsidR="00395205" w14:paraId="21D4ACB0" w14:textId="77777777" w:rsidTr="0040406A">
      <w:trPr>
        <w:trHeight w:hRule="exact" w:val="340"/>
      </w:trPr>
      <w:tc>
        <w:tcPr>
          <w:tcW w:w="7797" w:type="dxa"/>
        </w:tcPr>
        <w:p w14:paraId="60F13D97" w14:textId="77777777" w:rsidR="00395205" w:rsidRDefault="00395205" w:rsidP="00395205">
          <w:pPr>
            <w:pStyle w:val="HeaderEven"/>
            <w:ind w:left="-113"/>
          </w:pPr>
          <w:r w:rsidRPr="00D47C6E">
            <w:rPr>
              <w:noProof/>
              <w:position w:val="-6"/>
            </w:rPr>
            <w:drawing>
              <wp:inline distT="0" distB="0" distL="0" distR="0" wp14:anchorId="2F732083" wp14:editId="6EB3167B">
                <wp:extent cx="919093" cy="154800"/>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0CD6F463" w14:textId="77777777" w:rsidR="00B205BF" w:rsidRPr="00395205" w:rsidRDefault="00B205BF" w:rsidP="0039520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00E4" w14:textId="77777777" w:rsidR="00B205BF" w:rsidRPr="00850462" w:rsidRDefault="00B205BF"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32DD129B" w14:textId="77777777" w:rsidR="00B205BF" w:rsidRPr="003364C1" w:rsidRDefault="00B205BF" w:rsidP="003364C1">
    <w:pPr>
      <w:pStyle w:val="Header"/>
    </w:pPr>
    <w:r>
      <w:rPr>
        <w:noProof/>
      </w:rPr>
      <mc:AlternateContent>
        <mc:Choice Requires="wps">
          <w:drawing>
            <wp:anchor distT="0" distB="0" distL="114300" distR="114300" simplePos="0" relativeHeight="251662336" behindDoc="0" locked="0" layoutInCell="1" allowOverlap="1" wp14:anchorId="677593FD" wp14:editId="24BB3F48">
              <wp:simplePos x="0" y="0"/>
              <wp:positionH relativeFrom="column">
                <wp:posOffset>7560945</wp:posOffset>
              </wp:positionH>
              <wp:positionV relativeFrom="margin">
                <wp:posOffset>0</wp:posOffset>
              </wp:positionV>
              <wp:extent cx="399415" cy="48958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7A8E1B22" w14:textId="77777777" w:rsidR="00B205BF" w:rsidRPr="00137C7E" w:rsidRDefault="00B205BF" w:rsidP="00F936E6">
                          <w:pPr>
                            <w:pStyle w:val="HeaderEven"/>
                          </w:pPr>
                          <w:r w:rsidRPr="00D47C6E">
                            <w:rPr>
                              <w:noProof/>
                              <w:position w:val="-6"/>
                            </w:rPr>
                            <w:drawing>
                              <wp:inline distT="0" distB="0" distL="0" distR="0" wp14:anchorId="68C42489" wp14:editId="47BA8737">
                                <wp:extent cx="919093" cy="154800"/>
                                <wp:effectExtent l="1270" t="0" r="0" b="0"/>
                                <wp:docPr id="481" name="Pictur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rsidRPr="00F936E6">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93FD" id="_x0000_t202" coordsize="21600,21600" o:spt="202" path="m,l,21600r21600,l21600,xe">
              <v:stroke joinstyle="miter"/>
              <v:path gradientshapeok="t" o:connecttype="rect"/>
            </v:shapetype>
            <v:shape id="Text Box 14" o:spid="_x0000_s1026" type="#_x0000_t202" style="position:absolute;margin-left:595.35pt;margin-top:0;width:31.45pt;height:38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" stroked="f">
              <v:textbox style="layout-flow:vertical" inset="0,0,0,0">
                <w:txbxContent>
                  <w:p w14:paraId="7A8E1B22" w14:textId="77777777" w:rsidR="00B205BF" w:rsidRPr="00137C7E" w:rsidRDefault="00B205BF" w:rsidP="00F936E6">
                    <w:pPr>
                      <w:pStyle w:val="HeaderEven"/>
                    </w:pPr>
                    <w:r w:rsidRPr="00D47C6E">
                      <w:rPr>
                        <w:noProof/>
                        <w:position w:val="-6"/>
                      </w:rPr>
                      <w:drawing>
                        <wp:inline distT="0" distB="0" distL="0" distR="0" wp14:anchorId="68C42489" wp14:editId="47BA8737">
                          <wp:extent cx="919093" cy="154800"/>
                          <wp:effectExtent l="1270" t="0" r="0" b="0"/>
                          <wp:docPr id="481" name="Pictur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rsidRPr="00F936E6">
                      <w:t xml:space="preserve">  |  Portfolio Budget Statements</w:t>
                    </w:r>
                  </w:p>
                </w:txbxContent>
              </v:textbox>
              <w10:wrap anchory="margin"/>
            </v:shape>
          </w:pict>
        </mc:Fallback>
      </mc:AlternateContent>
    </w:r>
    <w:r>
      <w:rPr>
        <w:noProof/>
      </w:rPr>
      <mc:AlternateContent>
        <mc:Choice Requires="wps">
          <w:drawing>
            <wp:anchor distT="0" distB="0" distL="114300" distR="114300" simplePos="0" relativeHeight="251660288" behindDoc="0" locked="0" layoutInCell="1" allowOverlap="1" wp14:anchorId="3E7775FD" wp14:editId="07F633AB">
              <wp:simplePos x="0" y="0"/>
              <wp:positionH relativeFrom="column">
                <wp:posOffset>-541020</wp:posOffset>
              </wp:positionH>
              <wp:positionV relativeFrom="margin">
                <wp:posOffset>0</wp:posOffset>
              </wp:positionV>
              <wp:extent cx="399415" cy="489585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59E234F3" w14:textId="06F57455" w:rsidR="00B205BF" w:rsidRDefault="00B205B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sidRPr="00B05C96">
                            <w:rPr>
                              <w:b/>
                              <w:bCs/>
                              <w:noProof/>
                            </w:rPr>
                            <w:t>54</w:t>
                          </w:r>
                          <w:r w:rsidRPr="00B3705D">
                            <w:rPr>
                              <w:b/>
                              <w:bCs/>
                            </w:rPr>
                            <w:fldChar w:fldCharType="end"/>
                          </w:r>
                          <w:r w:rsidRPr="00B3705D">
                            <w:t xml:space="preserve">  |  </w:t>
                          </w:r>
                          <w:fldSimple w:instr=" STYLEREF  &quot;Heading 1&quot;  \* MERGEFORMAT ">
                            <w:r w:rsidR="00992EC9">
                              <w:rPr>
                                <w:noProof/>
                              </w:rPr>
                              <w:t>Australian Electoral Commission</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75FD" id="Text Box 15" o:spid="_x0000_s1027" type="#_x0000_t202" style="position:absolute;margin-left:-42.6pt;margin-top:0;width:31.45pt;height:3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M8iRFwLAgAA&#10;+QMAAA4AAAAAAAAAAAAAAAAALgIAAGRycy9lMm9Eb2MueG1sUEsBAi0AFAAGAAgAAAAhAMl+Tiff&#10;AAAACAEAAA8AAAAAAAAAAAAAAAAAZQQAAGRycy9kb3ducmV2LnhtbFBLBQYAAAAABAAEAPMAAABx&#10;BQAAAAA=&#10;" stroked="f">
              <v:textbox style="layout-flow:vertical" inset="0,0,0,0">
                <w:txbxContent>
                  <w:p w14:paraId="59E234F3" w14:textId="06F57455" w:rsidR="00B205BF" w:rsidRDefault="00B205B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sidRPr="00B05C96">
                      <w:rPr>
                        <w:b/>
                        <w:bCs/>
                        <w:noProof/>
                      </w:rPr>
                      <w:t>54</w:t>
                    </w:r>
                    <w:r w:rsidRPr="00B3705D">
                      <w:rPr>
                        <w:b/>
                        <w:bCs/>
                      </w:rPr>
                      <w:fldChar w:fldCharType="end"/>
                    </w:r>
                    <w:r w:rsidRPr="00B3705D">
                      <w:t xml:space="preserve">  |  </w:t>
                    </w:r>
                    <w:fldSimple w:instr=" STYLEREF  &quot;Heading 1&quot;  \* MERGEFORMAT ">
                      <w:r w:rsidR="00992EC9">
                        <w:rPr>
                          <w:noProof/>
                        </w:rPr>
                        <w:t>Australian Electoral Commission</w:t>
                      </w:r>
                    </w:fldSimple>
                  </w:p>
                </w:txbxContent>
              </v:textbox>
              <w10:wrap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D65CC" w14:textId="77777777" w:rsidR="00B205BF" w:rsidRDefault="00B205BF" w:rsidP="003B3684">
    <w:pPr>
      <w:pStyle w:val="HeaderEven"/>
    </w:pPr>
    <w:r>
      <w:rPr>
        <w:noProof/>
      </w:rPr>
      <mc:AlternateContent>
        <mc:Choice Requires="wps">
          <w:drawing>
            <wp:anchor distT="0" distB="0" distL="114300" distR="114300" simplePos="0" relativeHeight="251661312" behindDoc="0" locked="0" layoutInCell="1" allowOverlap="1" wp14:anchorId="0B28E8E9" wp14:editId="3B7BF88E">
              <wp:simplePos x="0" y="0"/>
              <wp:positionH relativeFrom="column">
                <wp:posOffset>7560945</wp:posOffset>
              </wp:positionH>
              <wp:positionV relativeFrom="margin">
                <wp:align>top</wp:align>
              </wp:positionV>
              <wp:extent cx="399415" cy="489585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2F55074C" w14:textId="77777777" w:rsidR="00B205BF" w:rsidRPr="00137C7E" w:rsidRDefault="00B205BF" w:rsidP="00316759">
                          <w:pPr>
                            <w:pStyle w:val="HeaderOdd"/>
                          </w:pPr>
                          <w:r w:rsidRPr="00AE5C25">
                            <w:t xml:space="preserve">Portfolio Budget </w:t>
                          </w:r>
                          <w:r w:rsidRPr="00AE5C25">
                            <w:t xml:space="preserve">Statements  |  </w:t>
                          </w:r>
                          <w:r w:rsidRPr="00AE5C25">
                            <w:rPr>
                              <w:noProof/>
                              <w:position w:val="-6"/>
                            </w:rPr>
                            <w:drawing>
                              <wp:inline distT="0" distB="0" distL="0" distR="0" wp14:anchorId="3540D171" wp14:editId="12AFA8DB">
                                <wp:extent cx="919093" cy="154800"/>
                                <wp:effectExtent l="1270" t="0" r="0" b="0"/>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8E8E9" id="_x0000_t202" coordsize="21600,21600" o:spt="202" path="m,l,21600r21600,l21600,xe">
              <v:stroke joinstyle="miter"/>
              <v:path gradientshapeok="t" o:connecttype="rect"/>
            </v:shapetype>
            <v:shape id="Text Box 16" o:spid="_x0000_s1028" type="#_x0000_t202" style="position:absolute;margin-left:595.35pt;margin-top:0;width:31.45pt;height:385.5pt;z-index:25166131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LMLuwPtAQAAwQMAAA4AAAAAAAAAAAAAAAAALgIAAGRycy9lMm9E&#10;b2MueG1sUEsBAi0AFAAGAAgAAAAhAHQ0ILLfAAAACgEAAA8AAAAAAAAAAAAAAAAARwQAAGRycy9k&#10;b3ducmV2LnhtbFBLBQYAAAAABAAEAPMAAABTBQAAAAA=&#10;" stroked="f">
              <v:textbox style="layout-flow:vertical" inset="0,0,0,0">
                <w:txbxContent>
                  <w:p w14:paraId="2F55074C" w14:textId="77777777" w:rsidR="00B205BF" w:rsidRPr="00137C7E" w:rsidRDefault="00B205BF" w:rsidP="00316759">
                    <w:pPr>
                      <w:pStyle w:val="HeaderOdd"/>
                    </w:pPr>
                    <w:r w:rsidRPr="00AE5C25">
                      <w:t xml:space="preserve">Portfolio Budget </w:t>
                    </w:r>
                    <w:r w:rsidRPr="00AE5C25">
                      <w:t xml:space="preserve">Statements  |  </w:t>
                    </w:r>
                    <w:r w:rsidRPr="00AE5C25">
                      <w:rPr>
                        <w:noProof/>
                        <w:position w:val="-6"/>
                      </w:rPr>
                      <w:drawing>
                        <wp:inline distT="0" distB="0" distL="0" distR="0" wp14:anchorId="3540D171" wp14:editId="12AFA8DB">
                          <wp:extent cx="919093" cy="154800"/>
                          <wp:effectExtent l="1270" t="0" r="0" b="0"/>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Pr>
        <w:noProof/>
      </w:rPr>
      <mc:AlternateContent>
        <mc:Choice Requires="wps">
          <w:drawing>
            <wp:anchor distT="0" distB="0" distL="114300" distR="114300" simplePos="0" relativeHeight="251659264" behindDoc="0" locked="0" layoutInCell="1" allowOverlap="1" wp14:anchorId="1DFB251F" wp14:editId="46CBDF51">
              <wp:simplePos x="0" y="0"/>
              <wp:positionH relativeFrom="column">
                <wp:posOffset>-541020</wp:posOffset>
              </wp:positionH>
              <wp:positionV relativeFrom="margin">
                <wp:posOffset>0</wp:posOffset>
              </wp:positionV>
              <wp:extent cx="399415" cy="489585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77ED9400" w14:textId="72A7C07D" w:rsidR="00B205BF" w:rsidRDefault="00CB3115" w:rsidP="0062706E">
                          <w:pPr>
                            <w:pStyle w:val="FooterOdd"/>
                          </w:pPr>
                          <w:r>
                            <w:fldChar w:fldCharType="begin"/>
                          </w:r>
                          <w:r>
                            <w:instrText xml:space="preserve"> STYLEREF  "Heading 1"  \* MERGEFORMAT </w:instrText>
                          </w:r>
                          <w:r>
                            <w:fldChar w:fldCharType="separate"/>
                          </w:r>
                          <w:r w:rsidR="00992EC9">
                            <w:rPr>
                              <w:noProof/>
                            </w:rPr>
                            <w:t>Australian Electoral Commission</w:t>
                          </w:r>
                          <w:r>
                            <w:rPr>
                              <w:noProof/>
                            </w:rPr>
                            <w:fldChar w:fldCharType="end"/>
                          </w:r>
                          <w:r w:rsidR="00B205BF" w:rsidRPr="00B3705D">
                            <w:t xml:space="preserve">  |  </w:t>
                          </w:r>
                          <w:r w:rsidR="00B205BF" w:rsidRPr="00B3705D">
                            <w:rPr>
                              <w:b/>
                              <w:bCs/>
                            </w:rPr>
                            <w:t xml:space="preserve">Page </w:t>
                          </w:r>
                          <w:r w:rsidR="00B205BF" w:rsidRPr="00B3705D">
                            <w:rPr>
                              <w:b/>
                              <w:bCs/>
                            </w:rPr>
                            <w:fldChar w:fldCharType="begin"/>
                          </w:r>
                          <w:r w:rsidR="00B205BF" w:rsidRPr="00B3705D">
                            <w:rPr>
                              <w:b/>
                              <w:bCs/>
                            </w:rPr>
                            <w:instrText xml:space="preserve"> PAGE  \* Arabic  \* MERGEFORMAT </w:instrText>
                          </w:r>
                          <w:r w:rsidR="00B205BF" w:rsidRPr="00B3705D">
                            <w:rPr>
                              <w:b/>
                              <w:bCs/>
                            </w:rPr>
                            <w:fldChar w:fldCharType="separate"/>
                          </w:r>
                          <w:r w:rsidR="00B205BF">
                            <w:rPr>
                              <w:b/>
                              <w:bCs/>
                              <w:noProof/>
                            </w:rPr>
                            <w:t>53</w:t>
                          </w:r>
                          <w:r w:rsidR="00B205BF" w:rsidRPr="00B3705D">
                            <w:rPr>
                              <w:b/>
                              <w:bCs/>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B251F" id="Text Box 23" o:spid="_x0000_s1029" type="#_x0000_t202" style="position:absolute;margin-left:-42.6pt;margin-top:0;width:31.45pt;height:3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" stroked="f">
              <v:textbox style="layout-flow:vertical" inset="0,0,0,0">
                <w:txbxContent>
                  <w:p w14:paraId="77ED9400" w14:textId="72A7C07D" w:rsidR="00B205BF" w:rsidRDefault="00CB3115" w:rsidP="0062706E">
                    <w:pPr>
                      <w:pStyle w:val="FooterOdd"/>
                    </w:pPr>
                    <w:r>
                      <w:fldChar w:fldCharType="begin"/>
                    </w:r>
                    <w:r>
                      <w:instrText xml:space="preserve"> STYLEREF  "Heading 1"  \* MERGEFORMAT </w:instrText>
                    </w:r>
                    <w:r>
                      <w:fldChar w:fldCharType="separate"/>
                    </w:r>
                    <w:r w:rsidR="00992EC9">
                      <w:rPr>
                        <w:noProof/>
                      </w:rPr>
                      <w:t>Australian Electoral Commission</w:t>
                    </w:r>
                    <w:r>
                      <w:rPr>
                        <w:noProof/>
                      </w:rPr>
                      <w:fldChar w:fldCharType="end"/>
                    </w:r>
                    <w:r w:rsidR="00B205BF" w:rsidRPr="00B3705D">
                      <w:t xml:space="preserve">  |  </w:t>
                    </w:r>
                    <w:r w:rsidR="00B205BF" w:rsidRPr="00B3705D">
                      <w:rPr>
                        <w:b/>
                        <w:bCs/>
                      </w:rPr>
                      <w:t xml:space="preserve">Page </w:t>
                    </w:r>
                    <w:r w:rsidR="00B205BF" w:rsidRPr="00B3705D">
                      <w:rPr>
                        <w:b/>
                        <w:bCs/>
                      </w:rPr>
                      <w:fldChar w:fldCharType="begin"/>
                    </w:r>
                    <w:r w:rsidR="00B205BF" w:rsidRPr="00B3705D">
                      <w:rPr>
                        <w:b/>
                        <w:bCs/>
                      </w:rPr>
                      <w:instrText xml:space="preserve"> PAGE  \* Arabic  \* MERGEFORMAT </w:instrText>
                    </w:r>
                    <w:r w:rsidR="00B205BF" w:rsidRPr="00B3705D">
                      <w:rPr>
                        <w:b/>
                        <w:bCs/>
                      </w:rPr>
                      <w:fldChar w:fldCharType="separate"/>
                    </w:r>
                    <w:r w:rsidR="00B205BF">
                      <w:rPr>
                        <w:b/>
                        <w:bCs/>
                        <w:noProof/>
                      </w:rPr>
                      <w:t>53</w:t>
                    </w:r>
                    <w:r w:rsidR="00B205BF" w:rsidRPr="00B3705D">
                      <w:rPr>
                        <w:b/>
                        <w:bCs/>
                      </w:rPr>
                      <w:fldChar w:fldCharType="end"/>
                    </w:r>
                  </w:p>
                </w:txbxContent>
              </v:textbox>
              <w10:wrap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C1F"/>
    <w:multiLevelType w:val="hybridMultilevel"/>
    <w:tmpl w:val="B0B6C3E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2C0E3D"/>
    <w:multiLevelType w:val="hybridMultilevel"/>
    <w:tmpl w:val="11B82CD4"/>
    <w:lvl w:ilvl="0" w:tplc="D02E0BC6">
      <w:start w:val="1"/>
      <w:numFmt w:val="bullet"/>
      <w:lvlText w:val=""/>
      <w:lvlJc w:val="left"/>
      <w:pPr>
        <w:ind w:left="284" w:hanging="284"/>
      </w:pPr>
      <w:rPr>
        <w:rFonts w:ascii="Symbol" w:hAnsi="Symbol" w:hint="default"/>
      </w:rPr>
    </w:lvl>
    <w:lvl w:ilvl="1" w:tplc="89CCF3FC">
      <w:numFmt w:val="bullet"/>
      <w:lvlText w:val="-"/>
      <w:lvlJc w:val="left"/>
      <w:pPr>
        <w:ind w:left="1790" w:hanging="71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37584"/>
    <w:multiLevelType w:val="hybridMultilevel"/>
    <w:tmpl w:val="15FAA0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A34498"/>
    <w:multiLevelType w:val="hybridMultilevel"/>
    <w:tmpl w:val="45D438B2"/>
    <w:lvl w:ilvl="0" w:tplc="84B6BDB2">
      <w:start w:val="1"/>
      <w:numFmt w:val="lowerLetter"/>
      <w:lvlText w:val="%1)"/>
      <w:lvlJc w:val="left"/>
      <w:pPr>
        <w:ind w:left="360" w:hanging="360"/>
      </w:pPr>
      <w:rPr>
        <w:i w:val="0"/>
        <w:iCs/>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E240CE"/>
    <w:multiLevelType w:val="hybridMultilevel"/>
    <w:tmpl w:val="D9529F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CD051B"/>
    <w:multiLevelType w:val="hybridMultilevel"/>
    <w:tmpl w:val="346EE5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A40C8"/>
    <w:multiLevelType w:val="hybridMultilevel"/>
    <w:tmpl w:val="156052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141FE4"/>
    <w:multiLevelType w:val="hybridMultilevel"/>
    <w:tmpl w:val="35BCD95A"/>
    <w:lvl w:ilvl="0" w:tplc="92D8F7F4">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7A4AEE"/>
    <w:multiLevelType w:val="hybridMultilevel"/>
    <w:tmpl w:val="A9E896DC"/>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1A486F"/>
    <w:multiLevelType w:val="multilevel"/>
    <w:tmpl w:val="DE7A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EB34E8"/>
    <w:multiLevelType w:val="hybridMultilevel"/>
    <w:tmpl w:val="D6A03A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4" w15:restartNumberingAfterBreak="0">
    <w:nsid w:val="11941B5F"/>
    <w:multiLevelType w:val="hybridMultilevel"/>
    <w:tmpl w:val="9FCE0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197971"/>
    <w:multiLevelType w:val="hybridMultilevel"/>
    <w:tmpl w:val="78C6E6D8"/>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6"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18" w15:restartNumberingAfterBreak="0">
    <w:nsid w:val="187167E8"/>
    <w:multiLevelType w:val="hybridMultilevel"/>
    <w:tmpl w:val="1FA2F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766C04"/>
    <w:multiLevelType w:val="multilevel"/>
    <w:tmpl w:val="36AE30DE"/>
    <w:lvl w:ilvl="0">
      <w:start w:val="1"/>
      <w:numFmt w:val="lowerLetter"/>
      <w:lvlText w:val="%1)"/>
      <w:lvlJc w:val="left"/>
      <w:pPr>
        <w:ind w:left="426" w:hanging="284"/>
      </w:pPr>
      <w:rPr>
        <w:rFonts w:hint="default"/>
        <w:b w:val="0"/>
        <w:i w:val="0"/>
        <w:color w:val="000000"/>
        <w:sz w:val="16"/>
      </w:rPr>
    </w:lvl>
    <w:lvl w:ilvl="1">
      <w:start w:val="1"/>
      <w:numFmt w:val="lowerLetter"/>
      <w:lvlText w:val="%2)"/>
      <w:lvlJc w:val="left"/>
      <w:pPr>
        <w:ind w:left="862" w:hanging="360"/>
      </w:pPr>
      <w:rPr>
        <w:rFonts w:hint="default"/>
      </w:rPr>
    </w:lvl>
    <w:lvl w:ilvl="2">
      <w:start w:val="1"/>
      <w:numFmt w:val="lowerRoman"/>
      <w:lvlText w:val="%3)"/>
      <w:lvlJc w:val="left"/>
      <w:pPr>
        <w:ind w:left="1222" w:hanging="360"/>
      </w:pPr>
      <w:rPr>
        <w:rFonts w:hint="default"/>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20" w15:restartNumberingAfterBreak="0">
    <w:nsid w:val="1BAC5539"/>
    <w:multiLevelType w:val="hybridMultilevel"/>
    <w:tmpl w:val="B25C06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454D12"/>
    <w:multiLevelType w:val="hybridMultilevel"/>
    <w:tmpl w:val="D92C0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FE0"/>
    <w:multiLevelType w:val="multilevel"/>
    <w:tmpl w:val="85BE4270"/>
    <w:lvl w:ilvl="0">
      <w:start w:val="1"/>
      <w:numFmt w:val="decimal"/>
      <w:lvlText w:val="%1"/>
      <w:lvlJc w:val="left"/>
      <w:pPr>
        <w:ind w:left="360" w:hanging="360"/>
      </w:pPr>
      <w:rPr>
        <w:rFonts w:ascii="Arial" w:hAnsi="Arial" w:cs="Arial" w:hint="default"/>
        <w:i w:val="0"/>
        <w:color w:val="auto"/>
        <w:sz w:val="16"/>
      </w:rPr>
    </w:lvl>
    <w:lvl w:ilvl="1">
      <w:start w:val="3"/>
      <w:numFmt w:val="decimal"/>
      <w:lvlText w:val="%1.%2"/>
      <w:lvlJc w:val="left"/>
      <w:pPr>
        <w:ind w:left="360" w:hanging="360"/>
      </w:pPr>
      <w:rPr>
        <w:rFonts w:ascii="Arial" w:hAnsi="Arial" w:cs="Arial" w:hint="default"/>
        <w:i w:val="0"/>
        <w:color w:val="auto"/>
        <w:sz w:val="16"/>
      </w:rPr>
    </w:lvl>
    <w:lvl w:ilvl="2">
      <w:start w:val="1"/>
      <w:numFmt w:val="decimal"/>
      <w:lvlText w:val="%1.%2.%3"/>
      <w:lvlJc w:val="left"/>
      <w:pPr>
        <w:ind w:left="720" w:hanging="720"/>
      </w:pPr>
      <w:rPr>
        <w:rFonts w:ascii="Arial" w:hAnsi="Arial" w:cs="Arial" w:hint="default"/>
        <w:i w:val="0"/>
        <w:color w:val="auto"/>
        <w:sz w:val="16"/>
      </w:rPr>
    </w:lvl>
    <w:lvl w:ilvl="3">
      <w:start w:val="1"/>
      <w:numFmt w:val="decimal"/>
      <w:lvlText w:val="%1.%2.%3.%4"/>
      <w:lvlJc w:val="left"/>
      <w:pPr>
        <w:ind w:left="720" w:hanging="720"/>
      </w:pPr>
      <w:rPr>
        <w:rFonts w:ascii="Arial" w:hAnsi="Arial" w:cs="Arial" w:hint="default"/>
        <w:i w:val="0"/>
        <w:color w:val="auto"/>
        <w:sz w:val="16"/>
      </w:rPr>
    </w:lvl>
    <w:lvl w:ilvl="4">
      <w:start w:val="1"/>
      <w:numFmt w:val="decimal"/>
      <w:lvlText w:val="%1.%2.%3.%4.%5"/>
      <w:lvlJc w:val="left"/>
      <w:pPr>
        <w:ind w:left="1080" w:hanging="1080"/>
      </w:pPr>
      <w:rPr>
        <w:rFonts w:ascii="Arial" w:hAnsi="Arial" w:cs="Arial" w:hint="default"/>
        <w:i w:val="0"/>
        <w:color w:val="auto"/>
        <w:sz w:val="16"/>
      </w:rPr>
    </w:lvl>
    <w:lvl w:ilvl="5">
      <w:start w:val="1"/>
      <w:numFmt w:val="decimal"/>
      <w:lvlText w:val="%1.%2.%3.%4.%5.%6"/>
      <w:lvlJc w:val="left"/>
      <w:pPr>
        <w:ind w:left="1080" w:hanging="1080"/>
      </w:pPr>
      <w:rPr>
        <w:rFonts w:ascii="Arial" w:hAnsi="Arial" w:cs="Arial" w:hint="default"/>
        <w:i w:val="0"/>
        <w:color w:val="auto"/>
        <w:sz w:val="16"/>
      </w:rPr>
    </w:lvl>
    <w:lvl w:ilvl="6">
      <w:start w:val="1"/>
      <w:numFmt w:val="decimal"/>
      <w:lvlText w:val="%1.%2.%3.%4.%5.%6.%7"/>
      <w:lvlJc w:val="left"/>
      <w:pPr>
        <w:ind w:left="1440" w:hanging="1440"/>
      </w:pPr>
      <w:rPr>
        <w:rFonts w:ascii="Arial" w:hAnsi="Arial" w:cs="Arial" w:hint="default"/>
        <w:i w:val="0"/>
        <w:color w:val="auto"/>
        <w:sz w:val="16"/>
      </w:rPr>
    </w:lvl>
    <w:lvl w:ilvl="7">
      <w:start w:val="1"/>
      <w:numFmt w:val="decimal"/>
      <w:lvlText w:val="%1.%2.%3.%4.%5.%6.%7.%8"/>
      <w:lvlJc w:val="left"/>
      <w:pPr>
        <w:ind w:left="1440" w:hanging="1440"/>
      </w:pPr>
      <w:rPr>
        <w:rFonts w:ascii="Arial" w:hAnsi="Arial" w:cs="Arial" w:hint="default"/>
        <w:i w:val="0"/>
        <w:color w:val="auto"/>
        <w:sz w:val="16"/>
      </w:rPr>
    </w:lvl>
    <w:lvl w:ilvl="8">
      <w:start w:val="1"/>
      <w:numFmt w:val="decimal"/>
      <w:lvlText w:val="%1.%2.%3.%4.%5.%6.%7.%8.%9"/>
      <w:lvlJc w:val="left"/>
      <w:pPr>
        <w:ind w:left="1440" w:hanging="1440"/>
      </w:pPr>
      <w:rPr>
        <w:rFonts w:ascii="Arial" w:hAnsi="Arial" w:cs="Arial" w:hint="default"/>
        <w:i w:val="0"/>
        <w:color w:val="auto"/>
        <w:sz w:val="16"/>
      </w:rPr>
    </w:lvl>
  </w:abstractNum>
  <w:abstractNum w:abstractNumId="24"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25F30A8C"/>
    <w:multiLevelType w:val="hybridMultilevel"/>
    <w:tmpl w:val="8D72B2A6"/>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284065F4"/>
    <w:multiLevelType w:val="hybridMultilevel"/>
    <w:tmpl w:val="015A1918"/>
    <w:lvl w:ilvl="0" w:tplc="22F442E8">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3454A"/>
    <w:multiLevelType w:val="hybridMultilevel"/>
    <w:tmpl w:val="6EC60822"/>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8B857E8"/>
    <w:multiLevelType w:val="multilevel"/>
    <w:tmpl w:val="3FE0FEEE"/>
    <w:lvl w:ilvl="0">
      <w:start w:val="1"/>
      <w:numFmt w:val="decimal"/>
      <w:lvlText w:val="%1"/>
      <w:lvlJc w:val="left"/>
      <w:pPr>
        <w:ind w:left="360" w:hanging="360"/>
      </w:pPr>
      <w:rPr>
        <w:rFonts w:hint="default"/>
      </w:rPr>
    </w:lvl>
    <w:lvl w:ilvl="1">
      <w:start w:val="1"/>
      <w:numFmt w:val="decimal"/>
      <w:lvlText w:val="%1.%2"/>
      <w:lvlJc w:val="left"/>
      <w:rPr>
        <w:rFonts w:ascii="Arial" w:hAnsi="Arial" w:cs="Arial" w:hint="default"/>
        <w:i w:val="0"/>
        <w:iCs/>
        <w:color w:val="auto"/>
        <w:sz w:val="16"/>
        <w:szCs w:val="16"/>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CC133C4"/>
    <w:multiLevelType w:val="hybridMultilevel"/>
    <w:tmpl w:val="41561586"/>
    <w:lvl w:ilvl="0" w:tplc="5BBC9562">
      <w:start w:val="1"/>
      <w:numFmt w:val="bullet"/>
      <w:lvlText w:val=""/>
      <w:lvlJc w:val="left"/>
      <w:pPr>
        <w:ind w:left="502"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2D497F50"/>
    <w:multiLevelType w:val="hybridMultilevel"/>
    <w:tmpl w:val="EB5256EE"/>
    <w:lvl w:ilvl="0" w:tplc="0C090017">
      <w:start w:val="1"/>
      <w:numFmt w:val="lowerLetter"/>
      <w:lvlText w:val="%1)"/>
      <w:lvlJc w:val="left"/>
      <w:pPr>
        <w:ind w:left="4329" w:hanging="360"/>
      </w:pPr>
    </w:lvl>
    <w:lvl w:ilvl="1" w:tplc="0C090019" w:tentative="1">
      <w:start w:val="1"/>
      <w:numFmt w:val="lowerLetter"/>
      <w:lvlText w:val="%2."/>
      <w:lvlJc w:val="left"/>
      <w:pPr>
        <w:ind w:left="5049" w:hanging="360"/>
      </w:pPr>
    </w:lvl>
    <w:lvl w:ilvl="2" w:tplc="0C09001B" w:tentative="1">
      <w:start w:val="1"/>
      <w:numFmt w:val="lowerRoman"/>
      <w:lvlText w:val="%3."/>
      <w:lvlJc w:val="right"/>
      <w:pPr>
        <w:ind w:left="5769" w:hanging="180"/>
      </w:pPr>
    </w:lvl>
    <w:lvl w:ilvl="3" w:tplc="0C09000F" w:tentative="1">
      <w:start w:val="1"/>
      <w:numFmt w:val="decimal"/>
      <w:lvlText w:val="%4."/>
      <w:lvlJc w:val="left"/>
      <w:pPr>
        <w:ind w:left="6489" w:hanging="360"/>
      </w:pPr>
    </w:lvl>
    <w:lvl w:ilvl="4" w:tplc="0C090019" w:tentative="1">
      <w:start w:val="1"/>
      <w:numFmt w:val="lowerLetter"/>
      <w:lvlText w:val="%5."/>
      <w:lvlJc w:val="left"/>
      <w:pPr>
        <w:ind w:left="7209" w:hanging="360"/>
      </w:pPr>
    </w:lvl>
    <w:lvl w:ilvl="5" w:tplc="0C09001B" w:tentative="1">
      <w:start w:val="1"/>
      <w:numFmt w:val="lowerRoman"/>
      <w:lvlText w:val="%6."/>
      <w:lvlJc w:val="right"/>
      <w:pPr>
        <w:ind w:left="7929" w:hanging="180"/>
      </w:pPr>
    </w:lvl>
    <w:lvl w:ilvl="6" w:tplc="0C09000F" w:tentative="1">
      <w:start w:val="1"/>
      <w:numFmt w:val="decimal"/>
      <w:lvlText w:val="%7."/>
      <w:lvlJc w:val="left"/>
      <w:pPr>
        <w:ind w:left="8649" w:hanging="360"/>
      </w:pPr>
    </w:lvl>
    <w:lvl w:ilvl="7" w:tplc="0C090019" w:tentative="1">
      <w:start w:val="1"/>
      <w:numFmt w:val="lowerLetter"/>
      <w:lvlText w:val="%8."/>
      <w:lvlJc w:val="left"/>
      <w:pPr>
        <w:ind w:left="9369" w:hanging="360"/>
      </w:pPr>
    </w:lvl>
    <w:lvl w:ilvl="8" w:tplc="0C09001B" w:tentative="1">
      <w:start w:val="1"/>
      <w:numFmt w:val="lowerRoman"/>
      <w:lvlText w:val="%9."/>
      <w:lvlJc w:val="right"/>
      <w:pPr>
        <w:ind w:left="10089" w:hanging="180"/>
      </w:pPr>
    </w:lvl>
  </w:abstractNum>
  <w:abstractNum w:abstractNumId="33" w15:restartNumberingAfterBreak="0">
    <w:nsid w:val="30271644"/>
    <w:multiLevelType w:val="hybridMultilevel"/>
    <w:tmpl w:val="E9F63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1AC537F"/>
    <w:multiLevelType w:val="hybridMultilevel"/>
    <w:tmpl w:val="1206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34525"/>
    <w:multiLevelType w:val="hybridMultilevel"/>
    <w:tmpl w:val="671E4070"/>
    <w:lvl w:ilvl="0" w:tplc="0C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47817E8"/>
    <w:multiLevelType w:val="hybridMultilevel"/>
    <w:tmpl w:val="A7608A42"/>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4C111E4"/>
    <w:multiLevelType w:val="multilevel"/>
    <w:tmpl w:val="27E85D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D37145"/>
    <w:multiLevelType w:val="hybridMultilevel"/>
    <w:tmpl w:val="83DAD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D23C76"/>
    <w:multiLevelType w:val="hybridMultilevel"/>
    <w:tmpl w:val="75F01A0A"/>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D1226A9"/>
    <w:multiLevelType w:val="hybridMultilevel"/>
    <w:tmpl w:val="C3C01C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D441726"/>
    <w:multiLevelType w:val="hybridMultilevel"/>
    <w:tmpl w:val="5CD2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255C95"/>
    <w:multiLevelType w:val="multilevel"/>
    <w:tmpl w:val="B48CEBE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1495959"/>
    <w:multiLevelType w:val="hybridMultilevel"/>
    <w:tmpl w:val="ECCE49AC"/>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6" w15:restartNumberingAfterBreak="0">
    <w:nsid w:val="41F77181"/>
    <w:multiLevelType w:val="hybridMultilevel"/>
    <w:tmpl w:val="6D7A5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48" w15:restartNumberingAfterBreak="0">
    <w:nsid w:val="453241CC"/>
    <w:multiLevelType w:val="hybridMultilevel"/>
    <w:tmpl w:val="F6E8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677158A"/>
    <w:multiLevelType w:val="hybridMultilevel"/>
    <w:tmpl w:val="D7F2F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BF51E8"/>
    <w:multiLevelType w:val="hybridMultilevel"/>
    <w:tmpl w:val="DC6CDD1A"/>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8CF7815"/>
    <w:multiLevelType w:val="hybridMultilevel"/>
    <w:tmpl w:val="1BAC1AE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8DD7E77"/>
    <w:multiLevelType w:val="hybridMultilevel"/>
    <w:tmpl w:val="CE6491C0"/>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9662066"/>
    <w:multiLevelType w:val="hybridMultilevel"/>
    <w:tmpl w:val="7EC6E1A0"/>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A9F7F66"/>
    <w:multiLevelType w:val="hybridMultilevel"/>
    <w:tmpl w:val="0B1CAC38"/>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2A5E22"/>
    <w:multiLevelType w:val="hybridMultilevel"/>
    <w:tmpl w:val="0562EC80"/>
    <w:lvl w:ilvl="0" w:tplc="0C090017">
      <w:start w:val="1"/>
      <w:numFmt w:val="lowerLetter"/>
      <w:lvlText w:val="%1)"/>
      <w:lvlJc w:val="left"/>
      <w:pPr>
        <w:ind w:left="360" w:hanging="360"/>
      </w:pPr>
      <w:rPr>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4B7C0B02"/>
    <w:multiLevelType w:val="hybridMultilevel"/>
    <w:tmpl w:val="EB547E9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7" w15:restartNumberingAfterBreak="0">
    <w:nsid w:val="4F8D088C"/>
    <w:multiLevelType w:val="hybridMultilevel"/>
    <w:tmpl w:val="9BA80166"/>
    <w:lvl w:ilvl="0" w:tplc="0C090001">
      <w:start w:val="1"/>
      <w:numFmt w:val="bullet"/>
      <w:lvlText w:val=""/>
      <w:lvlJc w:val="left"/>
      <w:pPr>
        <w:ind w:left="465" w:hanging="358"/>
      </w:pPr>
      <w:rPr>
        <w:rFonts w:ascii="Symbol" w:hAnsi="Symbol" w:hint="default"/>
        <w:w w:val="100"/>
        <w:sz w:val="16"/>
        <w:szCs w:val="16"/>
        <w:lang w:val="en-AU" w:eastAsia="en-US" w:bidi="ar-SA"/>
      </w:rPr>
    </w:lvl>
    <w:lvl w:ilvl="1" w:tplc="FFFFFFFF">
      <w:numFmt w:val="bullet"/>
      <w:lvlText w:val="•"/>
      <w:lvlJc w:val="left"/>
      <w:pPr>
        <w:ind w:left="1017" w:hanging="358"/>
      </w:pPr>
      <w:rPr>
        <w:rFonts w:hint="default"/>
        <w:lang w:val="en-AU" w:eastAsia="en-US" w:bidi="ar-SA"/>
      </w:rPr>
    </w:lvl>
    <w:lvl w:ilvl="2" w:tplc="FFFFFFFF">
      <w:numFmt w:val="bullet"/>
      <w:lvlText w:val="•"/>
      <w:lvlJc w:val="left"/>
      <w:pPr>
        <w:ind w:left="1574" w:hanging="358"/>
      </w:pPr>
      <w:rPr>
        <w:rFonts w:hint="default"/>
        <w:lang w:val="en-AU" w:eastAsia="en-US" w:bidi="ar-SA"/>
      </w:rPr>
    </w:lvl>
    <w:lvl w:ilvl="3" w:tplc="FFFFFFFF">
      <w:numFmt w:val="bullet"/>
      <w:lvlText w:val="•"/>
      <w:lvlJc w:val="left"/>
      <w:pPr>
        <w:ind w:left="2131" w:hanging="358"/>
      </w:pPr>
      <w:rPr>
        <w:rFonts w:hint="default"/>
        <w:lang w:val="en-AU" w:eastAsia="en-US" w:bidi="ar-SA"/>
      </w:rPr>
    </w:lvl>
    <w:lvl w:ilvl="4" w:tplc="FFFFFFFF">
      <w:numFmt w:val="bullet"/>
      <w:lvlText w:val="•"/>
      <w:lvlJc w:val="left"/>
      <w:pPr>
        <w:ind w:left="2688" w:hanging="358"/>
      </w:pPr>
      <w:rPr>
        <w:rFonts w:hint="default"/>
        <w:lang w:val="en-AU" w:eastAsia="en-US" w:bidi="ar-SA"/>
      </w:rPr>
    </w:lvl>
    <w:lvl w:ilvl="5" w:tplc="FFFFFFFF">
      <w:numFmt w:val="bullet"/>
      <w:lvlText w:val="•"/>
      <w:lvlJc w:val="left"/>
      <w:pPr>
        <w:ind w:left="3245" w:hanging="358"/>
      </w:pPr>
      <w:rPr>
        <w:rFonts w:hint="default"/>
        <w:lang w:val="en-AU" w:eastAsia="en-US" w:bidi="ar-SA"/>
      </w:rPr>
    </w:lvl>
    <w:lvl w:ilvl="6" w:tplc="FFFFFFFF">
      <w:numFmt w:val="bullet"/>
      <w:lvlText w:val="•"/>
      <w:lvlJc w:val="left"/>
      <w:pPr>
        <w:ind w:left="3802" w:hanging="358"/>
      </w:pPr>
      <w:rPr>
        <w:rFonts w:hint="default"/>
        <w:lang w:val="en-AU" w:eastAsia="en-US" w:bidi="ar-SA"/>
      </w:rPr>
    </w:lvl>
    <w:lvl w:ilvl="7" w:tplc="FFFFFFFF">
      <w:numFmt w:val="bullet"/>
      <w:lvlText w:val="•"/>
      <w:lvlJc w:val="left"/>
      <w:pPr>
        <w:ind w:left="4359" w:hanging="358"/>
      </w:pPr>
      <w:rPr>
        <w:rFonts w:hint="default"/>
        <w:lang w:val="en-AU" w:eastAsia="en-US" w:bidi="ar-SA"/>
      </w:rPr>
    </w:lvl>
    <w:lvl w:ilvl="8" w:tplc="FFFFFFFF">
      <w:numFmt w:val="bullet"/>
      <w:lvlText w:val="•"/>
      <w:lvlJc w:val="left"/>
      <w:pPr>
        <w:ind w:left="4916" w:hanging="358"/>
      </w:pPr>
      <w:rPr>
        <w:rFonts w:hint="default"/>
        <w:lang w:val="en-AU" w:eastAsia="en-US" w:bidi="ar-SA"/>
      </w:rPr>
    </w:lvl>
  </w:abstractNum>
  <w:abstractNum w:abstractNumId="58" w15:restartNumberingAfterBreak="0">
    <w:nsid w:val="54395C04"/>
    <w:multiLevelType w:val="hybridMultilevel"/>
    <w:tmpl w:val="8AB828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4853B62"/>
    <w:multiLevelType w:val="hybridMultilevel"/>
    <w:tmpl w:val="AE0202D4"/>
    <w:lvl w:ilvl="0" w:tplc="0C090001">
      <w:start w:val="1"/>
      <w:numFmt w:val="bullet"/>
      <w:lvlText w:val=""/>
      <w:lvlJc w:val="left"/>
      <w:pPr>
        <w:ind w:left="360" w:hanging="360"/>
      </w:pPr>
      <w:rPr>
        <w:rFonts w:ascii="Symbol" w:hAnsi="Symbol" w:hint="default"/>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5875D5B"/>
    <w:multiLevelType w:val="hybridMultilevel"/>
    <w:tmpl w:val="4920B0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7DD7823"/>
    <w:multiLevelType w:val="hybridMultilevel"/>
    <w:tmpl w:val="68A894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3" w15:restartNumberingAfterBreak="0">
    <w:nsid w:val="58A31FC0"/>
    <w:multiLevelType w:val="hybridMultilevel"/>
    <w:tmpl w:val="754C6CB4"/>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A1239E6"/>
    <w:multiLevelType w:val="hybridMultilevel"/>
    <w:tmpl w:val="C4CC3C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B9D57E4"/>
    <w:multiLevelType w:val="hybridMultilevel"/>
    <w:tmpl w:val="BE30D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BF76B40"/>
    <w:multiLevelType w:val="hybridMultilevel"/>
    <w:tmpl w:val="A9EEB35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C9626AE"/>
    <w:multiLevelType w:val="hybridMultilevel"/>
    <w:tmpl w:val="543AB9EA"/>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5E151EF5"/>
    <w:multiLevelType w:val="hybridMultilevel"/>
    <w:tmpl w:val="C8FE67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ED442FC"/>
    <w:multiLevelType w:val="hybridMultilevel"/>
    <w:tmpl w:val="738EA670"/>
    <w:lvl w:ilvl="0" w:tplc="0F0455EA">
      <w:start w:val="1"/>
      <w:numFmt w:val="lowerLetter"/>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FE76B57"/>
    <w:multiLevelType w:val="hybridMultilevel"/>
    <w:tmpl w:val="7B807B76"/>
    <w:lvl w:ilvl="0" w:tplc="D1DA16E6">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29E0527"/>
    <w:multiLevelType w:val="multilevel"/>
    <w:tmpl w:val="D8F85FC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2B8784D"/>
    <w:multiLevelType w:val="hybridMultilevel"/>
    <w:tmpl w:val="0E54EF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E4769F"/>
    <w:multiLevelType w:val="hybridMultilevel"/>
    <w:tmpl w:val="F886DA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5" w15:restartNumberingAfterBreak="0">
    <w:nsid w:val="689858B4"/>
    <w:multiLevelType w:val="hybridMultilevel"/>
    <w:tmpl w:val="6F80FB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7" w15:restartNumberingAfterBreak="0">
    <w:nsid w:val="6A4D6D20"/>
    <w:multiLevelType w:val="hybridMultilevel"/>
    <w:tmpl w:val="5F6ACAC6"/>
    <w:lvl w:ilvl="0" w:tplc="914C8B12">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AF759DD"/>
    <w:multiLevelType w:val="hybridMultilevel"/>
    <w:tmpl w:val="6AA80C9C"/>
    <w:lvl w:ilvl="0" w:tplc="112657A6">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0" w15:restartNumberingAfterBreak="0">
    <w:nsid w:val="6BA26558"/>
    <w:multiLevelType w:val="hybridMultilevel"/>
    <w:tmpl w:val="6FD80C96"/>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1" w15:restartNumberingAfterBreak="0">
    <w:nsid w:val="6C624117"/>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6E520799"/>
    <w:multiLevelType w:val="hybridMultilevel"/>
    <w:tmpl w:val="62524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E8833EC"/>
    <w:multiLevelType w:val="hybridMultilevel"/>
    <w:tmpl w:val="46CA3616"/>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245C91"/>
    <w:multiLevelType w:val="hybridMultilevel"/>
    <w:tmpl w:val="E904F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D1831"/>
    <w:multiLevelType w:val="hybridMultilevel"/>
    <w:tmpl w:val="6AE41D02"/>
    <w:lvl w:ilvl="0" w:tplc="7D1C26F4">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6" w15:restartNumberingAfterBreak="0">
    <w:nsid w:val="74E546D5"/>
    <w:multiLevelType w:val="multilevel"/>
    <w:tmpl w:val="096CD18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51A2587"/>
    <w:multiLevelType w:val="hybridMultilevel"/>
    <w:tmpl w:val="B48A8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7AD70CD"/>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77D875ED"/>
    <w:multiLevelType w:val="hybridMultilevel"/>
    <w:tmpl w:val="506A531C"/>
    <w:lvl w:ilvl="0" w:tplc="0C090001">
      <w:start w:val="1"/>
      <w:numFmt w:val="bullet"/>
      <w:lvlText w:val=""/>
      <w:lvlJc w:val="left"/>
      <w:pPr>
        <w:ind w:left="360" w:hanging="360"/>
      </w:pPr>
      <w:rPr>
        <w:rFonts w:ascii="Symbol" w:hAnsi="Symbol" w:hint="default"/>
        <w:color w:val="auto"/>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8371D6A"/>
    <w:multiLevelType w:val="hybridMultilevel"/>
    <w:tmpl w:val="528C27FE"/>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9371826"/>
    <w:multiLevelType w:val="hybridMultilevel"/>
    <w:tmpl w:val="75C6A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A253E1C"/>
    <w:multiLevelType w:val="hybridMultilevel"/>
    <w:tmpl w:val="A4AE3BFA"/>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AC47B2C"/>
    <w:multiLevelType w:val="hybridMultilevel"/>
    <w:tmpl w:val="3EB63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CA237F6"/>
    <w:multiLevelType w:val="hybridMultilevel"/>
    <w:tmpl w:val="4308FAF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DA571AC"/>
    <w:multiLevelType w:val="hybridMultilevel"/>
    <w:tmpl w:val="4C6E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6985629">
    <w:abstractNumId w:val="47"/>
  </w:num>
  <w:num w:numId="2" w16cid:durableId="2040348769">
    <w:abstractNumId w:val="12"/>
  </w:num>
  <w:num w:numId="3" w16cid:durableId="1923836042">
    <w:abstractNumId w:val="31"/>
  </w:num>
  <w:num w:numId="4" w16cid:durableId="1202285435">
    <w:abstractNumId w:val="62"/>
  </w:num>
  <w:num w:numId="5" w16cid:durableId="804203970">
    <w:abstractNumId w:val="26"/>
  </w:num>
  <w:num w:numId="6" w16cid:durableId="80950844">
    <w:abstractNumId w:val="13"/>
  </w:num>
  <w:num w:numId="7" w16cid:durableId="1041788880">
    <w:abstractNumId w:val="74"/>
  </w:num>
  <w:num w:numId="8" w16cid:durableId="443039418">
    <w:abstractNumId w:val="17"/>
  </w:num>
  <w:num w:numId="9" w16cid:durableId="149370246">
    <w:abstractNumId w:val="8"/>
  </w:num>
  <w:num w:numId="10" w16cid:durableId="1074857463">
    <w:abstractNumId w:val="36"/>
  </w:num>
  <w:num w:numId="11" w16cid:durableId="1870413401">
    <w:abstractNumId w:val="94"/>
  </w:num>
  <w:num w:numId="12" w16cid:durableId="643044158">
    <w:abstractNumId w:val="70"/>
  </w:num>
  <w:num w:numId="13" w16cid:durableId="1724333498">
    <w:abstractNumId w:val="77"/>
  </w:num>
  <w:num w:numId="14" w16cid:durableId="1849177675">
    <w:abstractNumId w:val="27"/>
  </w:num>
  <w:num w:numId="15" w16cid:durableId="2104523317">
    <w:abstractNumId w:val="10"/>
  </w:num>
  <w:num w:numId="16" w16cid:durableId="849176775">
    <w:abstractNumId w:val="1"/>
  </w:num>
  <w:num w:numId="17" w16cid:durableId="2140301041">
    <w:abstractNumId w:val="55"/>
  </w:num>
  <w:num w:numId="18" w16cid:durableId="812527024">
    <w:abstractNumId w:val="52"/>
  </w:num>
  <w:num w:numId="19" w16cid:durableId="1662997894">
    <w:abstractNumId w:val="68"/>
  </w:num>
  <w:num w:numId="20" w16cid:durableId="930814000">
    <w:abstractNumId w:val="19"/>
  </w:num>
  <w:num w:numId="21" w16cid:durableId="355350088">
    <w:abstractNumId w:val="41"/>
  </w:num>
  <w:num w:numId="22" w16cid:durableId="2127578512">
    <w:abstractNumId w:val="67"/>
  </w:num>
  <w:num w:numId="23" w16cid:durableId="1692100421">
    <w:abstractNumId w:val="3"/>
  </w:num>
  <w:num w:numId="24" w16cid:durableId="1372264471">
    <w:abstractNumId w:val="88"/>
  </w:num>
  <w:num w:numId="25" w16cid:durableId="219026262">
    <w:abstractNumId w:val="81"/>
  </w:num>
  <w:num w:numId="26" w16cid:durableId="2054453213">
    <w:abstractNumId w:val="56"/>
  </w:num>
  <w:num w:numId="27" w16cid:durableId="1079137195">
    <w:abstractNumId w:val="16"/>
  </w:num>
  <w:num w:numId="28" w16cid:durableId="797794287">
    <w:abstractNumId w:val="40"/>
  </w:num>
  <w:num w:numId="29" w16cid:durableId="1828470371">
    <w:abstractNumId w:val="83"/>
  </w:num>
  <w:num w:numId="30" w16cid:durableId="1227913363">
    <w:abstractNumId w:val="6"/>
  </w:num>
  <w:num w:numId="31" w16cid:durableId="1723360985">
    <w:abstractNumId w:val="48"/>
  </w:num>
  <w:num w:numId="32" w16cid:durableId="884563409">
    <w:abstractNumId w:val="95"/>
  </w:num>
  <w:num w:numId="33" w16cid:durableId="1778255564">
    <w:abstractNumId w:val="14"/>
  </w:num>
  <w:num w:numId="34" w16cid:durableId="1662732100">
    <w:abstractNumId w:val="46"/>
  </w:num>
  <w:num w:numId="35" w16cid:durableId="277372546">
    <w:abstractNumId w:val="38"/>
  </w:num>
  <w:num w:numId="36" w16cid:durableId="1433285353">
    <w:abstractNumId w:val="34"/>
  </w:num>
  <w:num w:numId="37" w16cid:durableId="2000890180">
    <w:abstractNumId w:val="2"/>
  </w:num>
  <w:num w:numId="38" w16cid:durableId="614799064">
    <w:abstractNumId w:val="45"/>
  </w:num>
  <w:num w:numId="39" w16cid:durableId="1040402329">
    <w:abstractNumId w:val="80"/>
  </w:num>
  <w:num w:numId="40" w16cid:durableId="1800296866">
    <w:abstractNumId w:val="21"/>
  </w:num>
  <w:num w:numId="41" w16cid:durableId="1644501794">
    <w:abstractNumId w:val="21"/>
    <w:lvlOverride w:ilvl="0">
      <w:startOverride w:val="1"/>
    </w:lvlOverride>
  </w:num>
  <w:num w:numId="42" w16cid:durableId="1075132165">
    <w:abstractNumId w:val="21"/>
    <w:lvlOverride w:ilvl="0">
      <w:startOverride w:val="1"/>
    </w:lvlOverride>
  </w:num>
  <w:num w:numId="43" w16cid:durableId="1435133847">
    <w:abstractNumId w:val="21"/>
    <w:lvlOverride w:ilvl="0">
      <w:startOverride w:val="1"/>
    </w:lvlOverride>
  </w:num>
  <w:num w:numId="44" w16cid:durableId="2065592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9698851">
    <w:abstractNumId w:val="24"/>
  </w:num>
  <w:num w:numId="46" w16cid:durableId="125634127">
    <w:abstractNumId w:val="79"/>
  </w:num>
  <w:num w:numId="47" w16cid:durableId="1000155295">
    <w:abstractNumId w:val="65"/>
  </w:num>
  <w:num w:numId="48" w16cid:durableId="1346440502">
    <w:abstractNumId w:val="72"/>
  </w:num>
  <w:num w:numId="49" w16cid:durableId="2069571835">
    <w:abstractNumId w:val="61"/>
  </w:num>
  <w:num w:numId="50" w16cid:durableId="1036078320">
    <w:abstractNumId w:val="20"/>
  </w:num>
  <w:num w:numId="51" w16cid:durableId="625812948">
    <w:abstractNumId w:val="85"/>
  </w:num>
  <w:num w:numId="52" w16cid:durableId="1917476349">
    <w:abstractNumId w:val="78"/>
  </w:num>
  <w:num w:numId="53" w16cid:durableId="488403785">
    <w:abstractNumId w:val="22"/>
  </w:num>
  <w:num w:numId="54" w16cid:durableId="1674065796">
    <w:abstractNumId w:val="43"/>
  </w:num>
  <w:num w:numId="55" w16cid:durableId="1021080690">
    <w:abstractNumId w:val="91"/>
  </w:num>
  <w:num w:numId="56" w16cid:durableId="2100909036">
    <w:abstractNumId w:val="7"/>
  </w:num>
  <w:num w:numId="57" w16cid:durableId="1295478906">
    <w:abstractNumId w:val="30"/>
  </w:num>
  <w:num w:numId="58" w16cid:durableId="2062750413">
    <w:abstractNumId w:val="35"/>
  </w:num>
  <w:num w:numId="59" w16cid:durableId="1013145053">
    <w:abstractNumId w:val="90"/>
  </w:num>
  <w:num w:numId="60" w16cid:durableId="1357735566">
    <w:abstractNumId w:val="50"/>
  </w:num>
  <w:num w:numId="61" w16cid:durableId="133564950">
    <w:abstractNumId w:val="54"/>
  </w:num>
  <w:num w:numId="62" w16cid:durableId="2074884077">
    <w:abstractNumId w:val="53"/>
  </w:num>
  <w:num w:numId="63" w16cid:durableId="433403808">
    <w:abstractNumId w:val="28"/>
  </w:num>
  <w:num w:numId="64" w16cid:durableId="166949684">
    <w:abstractNumId w:val="44"/>
  </w:num>
  <w:num w:numId="65" w16cid:durableId="1649358730">
    <w:abstractNumId w:val="71"/>
  </w:num>
  <w:num w:numId="66" w16cid:durableId="689181799">
    <w:abstractNumId w:val="60"/>
  </w:num>
  <w:num w:numId="67" w16cid:durableId="724528065">
    <w:abstractNumId w:val="11"/>
  </w:num>
  <w:num w:numId="68" w16cid:durableId="1554611130">
    <w:abstractNumId w:val="82"/>
  </w:num>
  <w:num w:numId="69" w16cid:durableId="1998921785">
    <w:abstractNumId w:val="0"/>
  </w:num>
  <w:num w:numId="70" w16cid:durableId="1817138960">
    <w:abstractNumId w:val="66"/>
  </w:num>
  <w:num w:numId="71" w16cid:durableId="29842383">
    <w:abstractNumId w:val="92"/>
  </w:num>
  <w:num w:numId="72" w16cid:durableId="855267452">
    <w:abstractNumId w:val="15"/>
  </w:num>
  <w:num w:numId="73" w16cid:durableId="1117676586">
    <w:abstractNumId w:val="89"/>
  </w:num>
  <w:num w:numId="74" w16cid:durableId="1302535808">
    <w:abstractNumId w:val="59"/>
  </w:num>
  <w:num w:numId="75" w16cid:durableId="355736960">
    <w:abstractNumId w:val="84"/>
  </w:num>
  <w:num w:numId="76" w16cid:durableId="491603608">
    <w:abstractNumId w:val="9"/>
  </w:num>
  <w:num w:numId="77" w16cid:durableId="137259883">
    <w:abstractNumId w:val="29"/>
  </w:num>
  <w:num w:numId="78" w16cid:durableId="1120227984">
    <w:abstractNumId w:val="37"/>
  </w:num>
  <w:num w:numId="79" w16cid:durableId="426853027">
    <w:abstractNumId w:val="18"/>
  </w:num>
  <w:num w:numId="80" w16cid:durableId="12078196">
    <w:abstractNumId w:val="57"/>
  </w:num>
  <w:num w:numId="81" w16cid:durableId="22093001">
    <w:abstractNumId w:val="93"/>
  </w:num>
  <w:num w:numId="82" w16cid:durableId="62876070">
    <w:abstractNumId w:val="58"/>
  </w:num>
  <w:num w:numId="83" w16cid:durableId="1434398191">
    <w:abstractNumId w:val="73"/>
  </w:num>
  <w:num w:numId="84" w16cid:durableId="1113207934">
    <w:abstractNumId w:val="5"/>
  </w:num>
  <w:num w:numId="85" w16cid:durableId="154420631">
    <w:abstractNumId w:val="87"/>
  </w:num>
  <w:num w:numId="86" w16cid:durableId="348795755">
    <w:abstractNumId w:val="42"/>
  </w:num>
  <w:num w:numId="87" w16cid:durableId="1475833908">
    <w:abstractNumId w:val="25"/>
  </w:num>
  <w:num w:numId="88" w16cid:durableId="1941644345">
    <w:abstractNumId w:val="64"/>
  </w:num>
  <w:num w:numId="89" w16cid:durableId="586815082">
    <w:abstractNumId w:val="86"/>
  </w:num>
  <w:num w:numId="90" w16cid:durableId="115028219">
    <w:abstractNumId w:val="51"/>
  </w:num>
  <w:num w:numId="91" w16cid:durableId="1328629474">
    <w:abstractNumId w:val="4"/>
  </w:num>
  <w:num w:numId="92" w16cid:durableId="316805295">
    <w:abstractNumId w:val="23"/>
  </w:num>
  <w:num w:numId="93" w16cid:durableId="290979849">
    <w:abstractNumId w:val="49"/>
  </w:num>
  <w:num w:numId="94" w16cid:durableId="291903561">
    <w:abstractNumId w:val="33"/>
  </w:num>
  <w:num w:numId="95" w16cid:durableId="1429158479">
    <w:abstractNumId w:val="32"/>
  </w:num>
  <w:num w:numId="96" w16cid:durableId="486097583">
    <w:abstractNumId w:val="69"/>
  </w:num>
  <w:num w:numId="97" w16cid:durableId="2082361078">
    <w:abstractNumId w:val="75"/>
  </w:num>
  <w:num w:numId="98" w16cid:durableId="1247810535">
    <w:abstractNumId w:val="6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hideSpellingErrors/>
  <w:hideGrammaticalError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396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7DB"/>
    <w:rsid w:val="0000358C"/>
    <w:rsid w:val="00003777"/>
    <w:rsid w:val="00003AC4"/>
    <w:rsid w:val="00003CA0"/>
    <w:rsid w:val="00003FFA"/>
    <w:rsid w:val="000050FD"/>
    <w:rsid w:val="00006AE4"/>
    <w:rsid w:val="00006B50"/>
    <w:rsid w:val="0000711B"/>
    <w:rsid w:val="0001294C"/>
    <w:rsid w:val="00012BB0"/>
    <w:rsid w:val="00012FC0"/>
    <w:rsid w:val="00013D25"/>
    <w:rsid w:val="0001438C"/>
    <w:rsid w:val="00014AEA"/>
    <w:rsid w:val="00015387"/>
    <w:rsid w:val="0001591F"/>
    <w:rsid w:val="00015BB7"/>
    <w:rsid w:val="0001615A"/>
    <w:rsid w:val="000164FA"/>
    <w:rsid w:val="00016D95"/>
    <w:rsid w:val="00017619"/>
    <w:rsid w:val="00017840"/>
    <w:rsid w:val="00020373"/>
    <w:rsid w:val="00020573"/>
    <w:rsid w:val="000216BF"/>
    <w:rsid w:val="00021DA6"/>
    <w:rsid w:val="000220B0"/>
    <w:rsid w:val="000237D7"/>
    <w:rsid w:val="00023CED"/>
    <w:rsid w:val="000253EF"/>
    <w:rsid w:val="0002583A"/>
    <w:rsid w:val="00025CB2"/>
    <w:rsid w:val="00027A37"/>
    <w:rsid w:val="000300D7"/>
    <w:rsid w:val="000304FC"/>
    <w:rsid w:val="00030FDA"/>
    <w:rsid w:val="00031219"/>
    <w:rsid w:val="00031341"/>
    <w:rsid w:val="00031D22"/>
    <w:rsid w:val="00032560"/>
    <w:rsid w:val="000332B5"/>
    <w:rsid w:val="000336ED"/>
    <w:rsid w:val="0003384E"/>
    <w:rsid w:val="00033F08"/>
    <w:rsid w:val="00034C41"/>
    <w:rsid w:val="0003503B"/>
    <w:rsid w:val="00036095"/>
    <w:rsid w:val="000364F3"/>
    <w:rsid w:val="000366AE"/>
    <w:rsid w:val="00036956"/>
    <w:rsid w:val="000369AC"/>
    <w:rsid w:val="0003724F"/>
    <w:rsid w:val="00037B40"/>
    <w:rsid w:val="00037BA1"/>
    <w:rsid w:val="000413D4"/>
    <w:rsid w:val="00041FB7"/>
    <w:rsid w:val="00042B54"/>
    <w:rsid w:val="00042FDD"/>
    <w:rsid w:val="00043A42"/>
    <w:rsid w:val="0004484D"/>
    <w:rsid w:val="00044CF1"/>
    <w:rsid w:val="0004509D"/>
    <w:rsid w:val="000450C0"/>
    <w:rsid w:val="00045667"/>
    <w:rsid w:val="00045777"/>
    <w:rsid w:val="000476D8"/>
    <w:rsid w:val="0005030D"/>
    <w:rsid w:val="00050A97"/>
    <w:rsid w:val="0005242F"/>
    <w:rsid w:val="00054A04"/>
    <w:rsid w:val="00054CC3"/>
    <w:rsid w:val="00055415"/>
    <w:rsid w:val="00055934"/>
    <w:rsid w:val="0005600E"/>
    <w:rsid w:val="00056031"/>
    <w:rsid w:val="00056260"/>
    <w:rsid w:val="0005722F"/>
    <w:rsid w:val="00057563"/>
    <w:rsid w:val="00057DD5"/>
    <w:rsid w:val="000606CB"/>
    <w:rsid w:val="00060890"/>
    <w:rsid w:val="00060D51"/>
    <w:rsid w:val="00061415"/>
    <w:rsid w:val="0006199A"/>
    <w:rsid w:val="00061FD8"/>
    <w:rsid w:val="00063C44"/>
    <w:rsid w:val="00063CE1"/>
    <w:rsid w:val="000641DA"/>
    <w:rsid w:val="00065053"/>
    <w:rsid w:val="00065126"/>
    <w:rsid w:val="000655E4"/>
    <w:rsid w:val="000656AD"/>
    <w:rsid w:val="00065C71"/>
    <w:rsid w:val="00066BBA"/>
    <w:rsid w:val="000671B7"/>
    <w:rsid w:val="00067B6F"/>
    <w:rsid w:val="00067E1D"/>
    <w:rsid w:val="0007064C"/>
    <w:rsid w:val="00070923"/>
    <w:rsid w:val="000712EE"/>
    <w:rsid w:val="00071794"/>
    <w:rsid w:val="00071AE5"/>
    <w:rsid w:val="000725C0"/>
    <w:rsid w:val="00072D63"/>
    <w:rsid w:val="00073619"/>
    <w:rsid w:val="00074288"/>
    <w:rsid w:val="000742A2"/>
    <w:rsid w:val="00074CE6"/>
    <w:rsid w:val="0007562C"/>
    <w:rsid w:val="000768A5"/>
    <w:rsid w:val="00077277"/>
    <w:rsid w:val="0007743A"/>
    <w:rsid w:val="00080069"/>
    <w:rsid w:val="00080125"/>
    <w:rsid w:val="00080351"/>
    <w:rsid w:val="00080F4F"/>
    <w:rsid w:val="00081CBC"/>
    <w:rsid w:val="00081F5B"/>
    <w:rsid w:val="00082159"/>
    <w:rsid w:val="00082571"/>
    <w:rsid w:val="00083380"/>
    <w:rsid w:val="0008449F"/>
    <w:rsid w:val="000846ED"/>
    <w:rsid w:val="0008499D"/>
    <w:rsid w:val="00084B7B"/>
    <w:rsid w:val="00085F28"/>
    <w:rsid w:val="00086489"/>
    <w:rsid w:val="00090681"/>
    <w:rsid w:val="00091678"/>
    <w:rsid w:val="000924A7"/>
    <w:rsid w:val="00093452"/>
    <w:rsid w:val="000939A7"/>
    <w:rsid w:val="00093D43"/>
    <w:rsid w:val="00093D79"/>
    <w:rsid w:val="00094177"/>
    <w:rsid w:val="00094B28"/>
    <w:rsid w:val="00094B9A"/>
    <w:rsid w:val="00095671"/>
    <w:rsid w:val="00096568"/>
    <w:rsid w:val="00096DEE"/>
    <w:rsid w:val="00096F39"/>
    <w:rsid w:val="00097063"/>
    <w:rsid w:val="00097336"/>
    <w:rsid w:val="000974CE"/>
    <w:rsid w:val="000975DA"/>
    <w:rsid w:val="00097F9C"/>
    <w:rsid w:val="000A07AF"/>
    <w:rsid w:val="000A0BDF"/>
    <w:rsid w:val="000A0C96"/>
    <w:rsid w:val="000A175D"/>
    <w:rsid w:val="000A1920"/>
    <w:rsid w:val="000A1A89"/>
    <w:rsid w:val="000A1C91"/>
    <w:rsid w:val="000A24C4"/>
    <w:rsid w:val="000A337A"/>
    <w:rsid w:val="000A345B"/>
    <w:rsid w:val="000A372A"/>
    <w:rsid w:val="000A395D"/>
    <w:rsid w:val="000A4DC4"/>
    <w:rsid w:val="000A5074"/>
    <w:rsid w:val="000A532C"/>
    <w:rsid w:val="000A554D"/>
    <w:rsid w:val="000A56A5"/>
    <w:rsid w:val="000A5C86"/>
    <w:rsid w:val="000A6897"/>
    <w:rsid w:val="000A6DBE"/>
    <w:rsid w:val="000A7E1F"/>
    <w:rsid w:val="000B1FC4"/>
    <w:rsid w:val="000B21D6"/>
    <w:rsid w:val="000B2404"/>
    <w:rsid w:val="000B36D8"/>
    <w:rsid w:val="000B3B7D"/>
    <w:rsid w:val="000B3C5F"/>
    <w:rsid w:val="000B3D89"/>
    <w:rsid w:val="000B4EE2"/>
    <w:rsid w:val="000B4F9B"/>
    <w:rsid w:val="000B67E7"/>
    <w:rsid w:val="000B6E38"/>
    <w:rsid w:val="000C0525"/>
    <w:rsid w:val="000C056F"/>
    <w:rsid w:val="000C0A2A"/>
    <w:rsid w:val="000C0D3D"/>
    <w:rsid w:val="000C1442"/>
    <w:rsid w:val="000C1900"/>
    <w:rsid w:val="000C1928"/>
    <w:rsid w:val="000C19B3"/>
    <w:rsid w:val="000C19EF"/>
    <w:rsid w:val="000C1C5A"/>
    <w:rsid w:val="000C2A99"/>
    <w:rsid w:val="000C2D7D"/>
    <w:rsid w:val="000C34AB"/>
    <w:rsid w:val="000C3B86"/>
    <w:rsid w:val="000C3C4A"/>
    <w:rsid w:val="000C47D9"/>
    <w:rsid w:val="000C4A46"/>
    <w:rsid w:val="000C4F54"/>
    <w:rsid w:val="000C55A6"/>
    <w:rsid w:val="000C6A39"/>
    <w:rsid w:val="000C6FB8"/>
    <w:rsid w:val="000D0547"/>
    <w:rsid w:val="000D13E5"/>
    <w:rsid w:val="000D28EB"/>
    <w:rsid w:val="000D308C"/>
    <w:rsid w:val="000D4262"/>
    <w:rsid w:val="000D43DE"/>
    <w:rsid w:val="000D55B5"/>
    <w:rsid w:val="000D5853"/>
    <w:rsid w:val="000D58A1"/>
    <w:rsid w:val="000D5D59"/>
    <w:rsid w:val="000D7E54"/>
    <w:rsid w:val="000E04C6"/>
    <w:rsid w:val="000E0A5A"/>
    <w:rsid w:val="000E0A85"/>
    <w:rsid w:val="000E1C65"/>
    <w:rsid w:val="000E2365"/>
    <w:rsid w:val="000E2A70"/>
    <w:rsid w:val="000E2EEE"/>
    <w:rsid w:val="000E2F5F"/>
    <w:rsid w:val="000E3CD4"/>
    <w:rsid w:val="000E3D23"/>
    <w:rsid w:val="000E46E2"/>
    <w:rsid w:val="000E6810"/>
    <w:rsid w:val="000E68E3"/>
    <w:rsid w:val="000E6DDB"/>
    <w:rsid w:val="000E6E76"/>
    <w:rsid w:val="000E72AB"/>
    <w:rsid w:val="000E74A6"/>
    <w:rsid w:val="000F03B1"/>
    <w:rsid w:val="000F08AE"/>
    <w:rsid w:val="000F0DA6"/>
    <w:rsid w:val="000F0FBC"/>
    <w:rsid w:val="000F1402"/>
    <w:rsid w:val="000F14D8"/>
    <w:rsid w:val="000F1AAB"/>
    <w:rsid w:val="000F2392"/>
    <w:rsid w:val="000F25F6"/>
    <w:rsid w:val="000F2D33"/>
    <w:rsid w:val="000F3B69"/>
    <w:rsid w:val="000F4133"/>
    <w:rsid w:val="000F43F4"/>
    <w:rsid w:val="000F440E"/>
    <w:rsid w:val="000F6647"/>
    <w:rsid w:val="000F7057"/>
    <w:rsid w:val="000F73B7"/>
    <w:rsid w:val="000F76DF"/>
    <w:rsid w:val="000F794F"/>
    <w:rsid w:val="000F7E7B"/>
    <w:rsid w:val="001002F8"/>
    <w:rsid w:val="00101A74"/>
    <w:rsid w:val="00102654"/>
    <w:rsid w:val="001028CC"/>
    <w:rsid w:val="00103810"/>
    <w:rsid w:val="001045F9"/>
    <w:rsid w:val="0010472B"/>
    <w:rsid w:val="00104C1F"/>
    <w:rsid w:val="00104F95"/>
    <w:rsid w:val="001053FF"/>
    <w:rsid w:val="00105D26"/>
    <w:rsid w:val="0010657F"/>
    <w:rsid w:val="001078E6"/>
    <w:rsid w:val="00111159"/>
    <w:rsid w:val="00111E96"/>
    <w:rsid w:val="0011221E"/>
    <w:rsid w:val="00112D0F"/>
    <w:rsid w:val="00112E6D"/>
    <w:rsid w:val="001133E0"/>
    <w:rsid w:val="0011390F"/>
    <w:rsid w:val="00114227"/>
    <w:rsid w:val="00115DE5"/>
    <w:rsid w:val="001163D6"/>
    <w:rsid w:val="00116933"/>
    <w:rsid w:val="00116985"/>
    <w:rsid w:val="00116C76"/>
    <w:rsid w:val="001170F0"/>
    <w:rsid w:val="0011726A"/>
    <w:rsid w:val="00117E04"/>
    <w:rsid w:val="0012022D"/>
    <w:rsid w:val="00120B5E"/>
    <w:rsid w:val="0012108F"/>
    <w:rsid w:val="001214EC"/>
    <w:rsid w:val="00121A76"/>
    <w:rsid w:val="00121EB0"/>
    <w:rsid w:val="0012228D"/>
    <w:rsid w:val="00122518"/>
    <w:rsid w:val="00123218"/>
    <w:rsid w:val="001237BA"/>
    <w:rsid w:val="00123925"/>
    <w:rsid w:val="00123B25"/>
    <w:rsid w:val="00125988"/>
    <w:rsid w:val="00126641"/>
    <w:rsid w:val="00126954"/>
    <w:rsid w:val="001273EC"/>
    <w:rsid w:val="00127B15"/>
    <w:rsid w:val="00127D2D"/>
    <w:rsid w:val="00127FAE"/>
    <w:rsid w:val="00130FE2"/>
    <w:rsid w:val="00131926"/>
    <w:rsid w:val="00132153"/>
    <w:rsid w:val="001325EE"/>
    <w:rsid w:val="00132F9E"/>
    <w:rsid w:val="00133D3A"/>
    <w:rsid w:val="001352EE"/>
    <w:rsid w:val="00135505"/>
    <w:rsid w:val="001364A7"/>
    <w:rsid w:val="00136827"/>
    <w:rsid w:val="001375D4"/>
    <w:rsid w:val="001378D2"/>
    <w:rsid w:val="00143750"/>
    <w:rsid w:val="00143E88"/>
    <w:rsid w:val="00144689"/>
    <w:rsid w:val="001455D8"/>
    <w:rsid w:val="00146B5E"/>
    <w:rsid w:val="0014790A"/>
    <w:rsid w:val="00150E70"/>
    <w:rsid w:val="001512C6"/>
    <w:rsid w:val="00151609"/>
    <w:rsid w:val="00151975"/>
    <w:rsid w:val="00151ABB"/>
    <w:rsid w:val="00152B2B"/>
    <w:rsid w:val="00153E84"/>
    <w:rsid w:val="001540CB"/>
    <w:rsid w:val="00154447"/>
    <w:rsid w:val="001549BE"/>
    <w:rsid w:val="00154CDE"/>
    <w:rsid w:val="00154F5B"/>
    <w:rsid w:val="00155A40"/>
    <w:rsid w:val="00156D50"/>
    <w:rsid w:val="0016039B"/>
    <w:rsid w:val="00160C23"/>
    <w:rsid w:val="0016135D"/>
    <w:rsid w:val="00161DAC"/>
    <w:rsid w:val="00162B55"/>
    <w:rsid w:val="00162D8B"/>
    <w:rsid w:val="00163101"/>
    <w:rsid w:val="00163451"/>
    <w:rsid w:val="001638E9"/>
    <w:rsid w:val="00164004"/>
    <w:rsid w:val="00165824"/>
    <w:rsid w:val="001666EA"/>
    <w:rsid w:val="00167406"/>
    <w:rsid w:val="0017111A"/>
    <w:rsid w:val="00171489"/>
    <w:rsid w:val="00171A85"/>
    <w:rsid w:val="0017367E"/>
    <w:rsid w:val="00173F5C"/>
    <w:rsid w:val="00174186"/>
    <w:rsid w:val="00174565"/>
    <w:rsid w:val="001748E2"/>
    <w:rsid w:val="00174EC9"/>
    <w:rsid w:val="00175BB3"/>
    <w:rsid w:val="00177A9A"/>
    <w:rsid w:val="00177CDF"/>
    <w:rsid w:val="001808A4"/>
    <w:rsid w:val="00180FF3"/>
    <w:rsid w:val="001815A5"/>
    <w:rsid w:val="00181CF8"/>
    <w:rsid w:val="00181F30"/>
    <w:rsid w:val="00182740"/>
    <w:rsid w:val="00182D09"/>
    <w:rsid w:val="00183767"/>
    <w:rsid w:val="00184071"/>
    <w:rsid w:val="001852C5"/>
    <w:rsid w:val="00185A3B"/>
    <w:rsid w:val="001863C0"/>
    <w:rsid w:val="00186850"/>
    <w:rsid w:val="001904A5"/>
    <w:rsid w:val="00192104"/>
    <w:rsid w:val="001923C8"/>
    <w:rsid w:val="0019383C"/>
    <w:rsid w:val="001939FF"/>
    <w:rsid w:val="00194DE8"/>
    <w:rsid w:val="00196F4E"/>
    <w:rsid w:val="00197990"/>
    <w:rsid w:val="001A00B3"/>
    <w:rsid w:val="001A0106"/>
    <w:rsid w:val="001A02CB"/>
    <w:rsid w:val="001A02FD"/>
    <w:rsid w:val="001A0DC6"/>
    <w:rsid w:val="001A11DB"/>
    <w:rsid w:val="001A1B52"/>
    <w:rsid w:val="001A1BF1"/>
    <w:rsid w:val="001A1E53"/>
    <w:rsid w:val="001A33F4"/>
    <w:rsid w:val="001A3944"/>
    <w:rsid w:val="001A50DE"/>
    <w:rsid w:val="001A53AE"/>
    <w:rsid w:val="001A54D2"/>
    <w:rsid w:val="001A6256"/>
    <w:rsid w:val="001A6F29"/>
    <w:rsid w:val="001A72C2"/>
    <w:rsid w:val="001A74B5"/>
    <w:rsid w:val="001A789B"/>
    <w:rsid w:val="001A792D"/>
    <w:rsid w:val="001B03CC"/>
    <w:rsid w:val="001B0C75"/>
    <w:rsid w:val="001B142B"/>
    <w:rsid w:val="001B2010"/>
    <w:rsid w:val="001B25D8"/>
    <w:rsid w:val="001B2A29"/>
    <w:rsid w:val="001B2DEE"/>
    <w:rsid w:val="001B368E"/>
    <w:rsid w:val="001B44C2"/>
    <w:rsid w:val="001B4EC1"/>
    <w:rsid w:val="001B5A3F"/>
    <w:rsid w:val="001B659F"/>
    <w:rsid w:val="001B6699"/>
    <w:rsid w:val="001B6C77"/>
    <w:rsid w:val="001B7399"/>
    <w:rsid w:val="001B7655"/>
    <w:rsid w:val="001B7767"/>
    <w:rsid w:val="001B7BAD"/>
    <w:rsid w:val="001B7F09"/>
    <w:rsid w:val="001C1166"/>
    <w:rsid w:val="001C1587"/>
    <w:rsid w:val="001C261E"/>
    <w:rsid w:val="001C26AB"/>
    <w:rsid w:val="001C289F"/>
    <w:rsid w:val="001C3AC7"/>
    <w:rsid w:val="001C3CF0"/>
    <w:rsid w:val="001C42D0"/>
    <w:rsid w:val="001C541B"/>
    <w:rsid w:val="001C5421"/>
    <w:rsid w:val="001C6402"/>
    <w:rsid w:val="001C6776"/>
    <w:rsid w:val="001C7B78"/>
    <w:rsid w:val="001C7FB4"/>
    <w:rsid w:val="001D04A8"/>
    <w:rsid w:val="001D0A25"/>
    <w:rsid w:val="001D0BA6"/>
    <w:rsid w:val="001D1354"/>
    <w:rsid w:val="001D1903"/>
    <w:rsid w:val="001D1925"/>
    <w:rsid w:val="001D1942"/>
    <w:rsid w:val="001D1AA1"/>
    <w:rsid w:val="001D1D2A"/>
    <w:rsid w:val="001D1DDB"/>
    <w:rsid w:val="001D3621"/>
    <w:rsid w:val="001D3F7C"/>
    <w:rsid w:val="001D4879"/>
    <w:rsid w:val="001D53EA"/>
    <w:rsid w:val="001D55E6"/>
    <w:rsid w:val="001D6ECF"/>
    <w:rsid w:val="001D6F7C"/>
    <w:rsid w:val="001E0156"/>
    <w:rsid w:val="001E10D7"/>
    <w:rsid w:val="001E12A5"/>
    <w:rsid w:val="001E1BF9"/>
    <w:rsid w:val="001E1EDB"/>
    <w:rsid w:val="001E22C2"/>
    <w:rsid w:val="001E2441"/>
    <w:rsid w:val="001E3A18"/>
    <w:rsid w:val="001E4CC0"/>
    <w:rsid w:val="001E6A6B"/>
    <w:rsid w:val="001E7093"/>
    <w:rsid w:val="001E717D"/>
    <w:rsid w:val="001E71F5"/>
    <w:rsid w:val="001E7D86"/>
    <w:rsid w:val="001F1221"/>
    <w:rsid w:val="001F1D83"/>
    <w:rsid w:val="001F2FF2"/>
    <w:rsid w:val="001F377B"/>
    <w:rsid w:val="001F3CF9"/>
    <w:rsid w:val="001F430C"/>
    <w:rsid w:val="001F4501"/>
    <w:rsid w:val="001F55E5"/>
    <w:rsid w:val="001F5CB9"/>
    <w:rsid w:val="001F5CC6"/>
    <w:rsid w:val="002003A1"/>
    <w:rsid w:val="00200DC3"/>
    <w:rsid w:val="002011E2"/>
    <w:rsid w:val="002018DD"/>
    <w:rsid w:val="00201BB9"/>
    <w:rsid w:val="00202925"/>
    <w:rsid w:val="00202B84"/>
    <w:rsid w:val="00202C70"/>
    <w:rsid w:val="00205076"/>
    <w:rsid w:val="002050B0"/>
    <w:rsid w:val="00205D80"/>
    <w:rsid w:val="00206401"/>
    <w:rsid w:val="00207F52"/>
    <w:rsid w:val="00210874"/>
    <w:rsid w:val="0021093F"/>
    <w:rsid w:val="00212C8D"/>
    <w:rsid w:val="00212E25"/>
    <w:rsid w:val="002133CA"/>
    <w:rsid w:val="00213592"/>
    <w:rsid w:val="002146B5"/>
    <w:rsid w:val="00214B42"/>
    <w:rsid w:val="00214FA2"/>
    <w:rsid w:val="00215281"/>
    <w:rsid w:val="00215783"/>
    <w:rsid w:val="0021644B"/>
    <w:rsid w:val="00216489"/>
    <w:rsid w:val="002167C9"/>
    <w:rsid w:val="0021699F"/>
    <w:rsid w:val="00216C5C"/>
    <w:rsid w:val="00216DC9"/>
    <w:rsid w:val="00217467"/>
    <w:rsid w:val="00217CA0"/>
    <w:rsid w:val="002202EB"/>
    <w:rsid w:val="00220390"/>
    <w:rsid w:val="00220DD7"/>
    <w:rsid w:val="00220FCF"/>
    <w:rsid w:val="00221705"/>
    <w:rsid w:val="00221972"/>
    <w:rsid w:val="00222894"/>
    <w:rsid w:val="002231C8"/>
    <w:rsid w:val="002237FA"/>
    <w:rsid w:val="00224154"/>
    <w:rsid w:val="00224375"/>
    <w:rsid w:val="002246D5"/>
    <w:rsid w:val="0022522A"/>
    <w:rsid w:val="00227C85"/>
    <w:rsid w:val="00230194"/>
    <w:rsid w:val="0023065B"/>
    <w:rsid w:val="00230DC1"/>
    <w:rsid w:val="00231923"/>
    <w:rsid w:val="00231967"/>
    <w:rsid w:val="002328CE"/>
    <w:rsid w:val="002329C3"/>
    <w:rsid w:val="002332AE"/>
    <w:rsid w:val="002333C2"/>
    <w:rsid w:val="002339F7"/>
    <w:rsid w:val="00233F2D"/>
    <w:rsid w:val="00234040"/>
    <w:rsid w:val="00235D67"/>
    <w:rsid w:val="00236088"/>
    <w:rsid w:val="0023626B"/>
    <w:rsid w:val="002376AD"/>
    <w:rsid w:val="0024096B"/>
    <w:rsid w:val="0024114B"/>
    <w:rsid w:val="00241BF3"/>
    <w:rsid w:val="00242F07"/>
    <w:rsid w:val="00243020"/>
    <w:rsid w:val="002431A3"/>
    <w:rsid w:val="00244D22"/>
    <w:rsid w:val="00246C09"/>
    <w:rsid w:val="002470E4"/>
    <w:rsid w:val="00247262"/>
    <w:rsid w:val="00250061"/>
    <w:rsid w:val="00251054"/>
    <w:rsid w:val="0025144C"/>
    <w:rsid w:val="00251FDA"/>
    <w:rsid w:val="00254191"/>
    <w:rsid w:val="0025616B"/>
    <w:rsid w:val="00256CB0"/>
    <w:rsid w:val="00257285"/>
    <w:rsid w:val="00257FF4"/>
    <w:rsid w:val="0026072A"/>
    <w:rsid w:val="002608CE"/>
    <w:rsid w:val="00261660"/>
    <w:rsid w:val="0026171F"/>
    <w:rsid w:val="0026279C"/>
    <w:rsid w:val="00262CD3"/>
    <w:rsid w:val="00263BB1"/>
    <w:rsid w:val="00264181"/>
    <w:rsid w:val="00264BB2"/>
    <w:rsid w:val="00265289"/>
    <w:rsid w:val="00266613"/>
    <w:rsid w:val="00266FE9"/>
    <w:rsid w:val="00267580"/>
    <w:rsid w:val="002675EA"/>
    <w:rsid w:val="00267A03"/>
    <w:rsid w:val="00267FA2"/>
    <w:rsid w:val="00270FF2"/>
    <w:rsid w:val="0027170E"/>
    <w:rsid w:val="00272396"/>
    <w:rsid w:val="00272788"/>
    <w:rsid w:val="00273D98"/>
    <w:rsid w:val="00275A4E"/>
    <w:rsid w:val="00275D63"/>
    <w:rsid w:val="00275ECA"/>
    <w:rsid w:val="0027614D"/>
    <w:rsid w:val="0027651A"/>
    <w:rsid w:val="002770A1"/>
    <w:rsid w:val="00277F04"/>
    <w:rsid w:val="0028001E"/>
    <w:rsid w:val="002808D7"/>
    <w:rsid w:val="00280D53"/>
    <w:rsid w:val="00281377"/>
    <w:rsid w:val="00281CF6"/>
    <w:rsid w:val="00281EA5"/>
    <w:rsid w:val="00282C69"/>
    <w:rsid w:val="0028359B"/>
    <w:rsid w:val="0028443D"/>
    <w:rsid w:val="00284441"/>
    <w:rsid w:val="00284EB6"/>
    <w:rsid w:val="0028520D"/>
    <w:rsid w:val="002852F7"/>
    <w:rsid w:val="002857FE"/>
    <w:rsid w:val="00286227"/>
    <w:rsid w:val="00290351"/>
    <w:rsid w:val="00290933"/>
    <w:rsid w:val="00290E11"/>
    <w:rsid w:val="0029106B"/>
    <w:rsid w:val="002918BB"/>
    <w:rsid w:val="00291E57"/>
    <w:rsid w:val="00292D6A"/>
    <w:rsid w:val="0029312A"/>
    <w:rsid w:val="0029325C"/>
    <w:rsid w:val="00293B2D"/>
    <w:rsid w:val="00293B46"/>
    <w:rsid w:val="002948FA"/>
    <w:rsid w:val="00294E5F"/>
    <w:rsid w:val="0029608A"/>
    <w:rsid w:val="002960B7"/>
    <w:rsid w:val="00297643"/>
    <w:rsid w:val="00297760"/>
    <w:rsid w:val="00297824"/>
    <w:rsid w:val="00297942"/>
    <w:rsid w:val="002A0F2E"/>
    <w:rsid w:val="002A0F7B"/>
    <w:rsid w:val="002A153F"/>
    <w:rsid w:val="002A1681"/>
    <w:rsid w:val="002A1CC2"/>
    <w:rsid w:val="002A3246"/>
    <w:rsid w:val="002A3268"/>
    <w:rsid w:val="002A32FD"/>
    <w:rsid w:val="002A3323"/>
    <w:rsid w:val="002A3442"/>
    <w:rsid w:val="002A40DC"/>
    <w:rsid w:val="002A4534"/>
    <w:rsid w:val="002A49E3"/>
    <w:rsid w:val="002A5329"/>
    <w:rsid w:val="002A5C2D"/>
    <w:rsid w:val="002A5C2E"/>
    <w:rsid w:val="002A5CB3"/>
    <w:rsid w:val="002A61E5"/>
    <w:rsid w:val="002A66FE"/>
    <w:rsid w:val="002A7255"/>
    <w:rsid w:val="002A74DD"/>
    <w:rsid w:val="002A7FC8"/>
    <w:rsid w:val="002B0A81"/>
    <w:rsid w:val="002B0D05"/>
    <w:rsid w:val="002B1CE7"/>
    <w:rsid w:val="002B1D6D"/>
    <w:rsid w:val="002B2E84"/>
    <w:rsid w:val="002B2F0F"/>
    <w:rsid w:val="002B3F5B"/>
    <w:rsid w:val="002B4418"/>
    <w:rsid w:val="002B569D"/>
    <w:rsid w:val="002B595D"/>
    <w:rsid w:val="002B5F6A"/>
    <w:rsid w:val="002B7744"/>
    <w:rsid w:val="002B779E"/>
    <w:rsid w:val="002B784A"/>
    <w:rsid w:val="002B7D6F"/>
    <w:rsid w:val="002B7D78"/>
    <w:rsid w:val="002B7DD2"/>
    <w:rsid w:val="002C0552"/>
    <w:rsid w:val="002C0961"/>
    <w:rsid w:val="002C1CF7"/>
    <w:rsid w:val="002C1D11"/>
    <w:rsid w:val="002C25D0"/>
    <w:rsid w:val="002C280B"/>
    <w:rsid w:val="002C2DB0"/>
    <w:rsid w:val="002C321A"/>
    <w:rsid w:val="002C4896"/>
    <w:rsid w:val="002C4D41"/>
    <w:rsid w:val="002C512E"/>
    <w:rsid w:val="002C6754"/>
    <w:rsid w:val="002C75B0"/>
    <w:rsid w:val="002C7703"/>
    <w:rsid w:val="002C7A63"/>
    <w:rsid w:val="002C7E40"/>
    <w:rsid w:val="002D0153"/>
    <w:rsid w:val="002D0985"/>
    <w:rsid w:val="002D2BF1"/>
    <w:rsid w:val="002D403A"/>
    <w:rsid w:val="002D4262"/>
    <w:rsid w:val="002D46B7"/>
    <w:rsid w:val="002D5193"/>
    <w:rsid w:val="002D6163"/>
    <w:rsid w:val="002D7BEE"/>
    <w:rsid w:val="002D7D8A"/>
    <w:rsid w:val="002E0249"/>
    <w:rsid w:val="002E1064"/>
    <w:rsid w:val="002E2362"/>
    <w:rsid w:val="002E2551"/>
    <w:rsid w:val="002E281E"/>
    <w:rsid w:val="002E323F"/>
    <w:rsid w:val="002E426C"/>
    <w:rsid w:val="002E5554"/>
    <w:rsid w:val="002E59C4"/>
    <w:rsid w:val="002E5D24"/>
    <w:rsid w:val="002E5EBA"/>
    <w:rsid w:val="002E6BB9"/>
    <w:rsid w:val="002F0B81"/>
    <w:rsid w:val="002F0FC4"/>
    <w:rsid w:val="002F114E"/>
    <w:rsid w:val="002F12D2"/>
    <w:rsid w:val="002F1B12"/>
    <w:rsid w:val="002F2256"/>
    <w:rsid w:val="002F3C19"/>
    <w:rsid w:val="002F3F3E"/>
    <w:rsid w:val="002F3F40"/>
    <w:rsid w:val="002F43AB"/>
    <w:rsid w:val="002F4C02"/>
    <w:rsid w:val="002F530C"/>
    <w:rsid w:val="002F591B"/>
    <w:rsid w:val="002F5C70"/>
    <w:rsid w:val="002F6891"/>
    <w:rsid w:val="002F7B47"/>
    <w:rsid w:val="00300013"/>
    <w:rsid w:val="0030032D"/>
    <w:rsid w:val="003006F8"/>
    <w:rsid w:val="00300BF2"/>
    <w:rsid w:val="0030166D"/>
    <w:rsid w:val="003027C1"/>
    <w:rsid w:val="00302833"/>
    <w:rsid w:val="00302A25"/>
    <w:rsid w:val="00303686"/>
    <w:rsid w:val="00303B85"/>
    <w:rsid w:val="00303C4E"/>
    <w:rsid w:val="00304900"/>
    <w:rsid w:val="00304C13"/>
    <w:rsid w:val="003051CE"/>
    <w:rsid w:val="00305718"/>
    <w:rsid w:val="00305ADB"/>
    <w:rsid w:val="00305EC5"/>
    <w:rsid w:val="00306107"/>
    <w:rsid w:val="003077B8"/>
    <w:rsid w:val="00307C8E"/>
    <w:rsid w:val="003109FE"/>
    <w:rsid w:val="00311186"/>
    <w:rsid w:val="003111F8"/>
    <w:rsid w:val="00311E64"/>
    <w:rsid w:val="0031204A"/>
    <w:rsid w:val="0031272B"/>
    <w:rsid w:val="00314020"/>
    <w:rsid w:val="00314DD2"/>
    <w:rsid w:val="00315435"/>
    <w:rsid w:val="003155CE"/>
    <w:rsid w:val="00316759"/>
    <w:rsid w:val="00316BD4"/>
    <w:rsid w:val="00316F8E"/>
    <w:rsid w:val="00317BF9"/>
    <w:rsid w:val="0032038C"/>
    <w:rsid w:val="00321889"/>
    <w:rsid w:val="00321DEB"/>
    <w:rsid w:val="003232BF"/>
    <w:rsid w:val="00325C5E"/>
    <w:rsid w:val="0032738E"/>
    <w:rsid w:val="00331B40"/>
    <w:rsid w:val="00331C5F"/>
    <w:rsid w:val="003325B9"/>
    <w:rsid w:val="00332B4A"/>
    <w:rsid w:val="00332E95"/>
    <w:rsid w:val="00333074"/>
    <w:rsid w:val="00333223"/>
    <w:rsid w:val="00333A43"/>
    <w:rsid w:val="00333C39"/>
    <w:rsid w:val="00333DF2"/>
    <w:rsid w:val="00334F7E"/>
    <w:rsid w:val="00335627"/>
    <w:rsid w:val="003364C1"/>
    <w:rsid w:val="00336AA7"/>
    <w:rsid w:val="003370CA"/>
    <w:rsid w:val="00337B91"/>
    <w:rsid w:val="00337EC4"/>
    <w:rsid w:val="00337F82"/>
    <w:rsid w:val="00340640"/>
    <w:rsid w:val="00340810"/>
    <w:rsid w:val="003435D6"/>
    <w:rsid w:val="00344F9E"/>
    <w:rsid w:val="003458E0"/>
    <w:rsid w:val="00345CCD"/>
    <w:rsid w:val="003463E0"/>
    <w:rsid w:val="0035003C"/>
    <w:rsid w:val="00350139"/>
    <w:rsid w:val="003511CE"/>
    <w:rsid w:val="00351909"/>
    <w:rsid w:val="00352BE0"/>
    <w:rsid w:val="0035333E"/>
    <w:rsid w:val="003538F0"/>
    <w:rsid w:val="00355A3E"/>
    <w:rsid w:val="00357B4E"/>
    <w:rsid w:val="00357DA2"/>
    <w:rsid w:val="00357DAE"/>
    <w:rsid w:val="003602A5"/>
    <w:rsid w:val="00360CB2"/>
    <w:rsid w:val="00361259"/>
    <w:rsid w:val="0036141B"/>
    <w:rsid w:val="00361429"/>
    <w:rsid w:val="00361732"/>
    <w:rsid w:val="00362149"/>
    <w:rsid w:val="00362AA7"/>
    <w:rsid w:val="003631B6"/>
    <w:rsid w:val="00363B11"/>
    <w:rsid w:val="00365BF2"/>
    <w:rsid w:val="003671B6"/>
    <w:rsid w:val="003671C6"/>
    <w:rsid w:val="003672D6"/>
    <w:rsid w:val="003705BF"/>
    <w:rsid w:val="003706C4"/>
    <w:rsid w:val="00370935"/>
    <w:rsid w:val="00371C1A"/>
    <w:rsid w:val="003755CC"/>
    <w:rsid w:val="00375E52"/>
    <w:rsid w:val="00376826"/>
    <w:rsid w:val="00377183"/>
    <w:rsid w:val="003775AB"/>
    <w:rsid w:val="00380888"/>
    <w:rsid w:val="00380D9F"/>
    <w:rsid w:val="003819E1"/>
    <w:rsid w:val="00382234"/>
    <w:rsid w:val="003841B1"/>
    <w:rsid w:val="003842E5"/>
    <w:rsid w:val="00384463"/>
    <w:rsid w:val="003852C0"/>
    <w:rsid w:val="00385A6A"/>
    <w:rsid w:val="00385FBB"/>
    <w:rsid w:val="00386053"/>
    <w:rsid w:val="0038672F"/>
    <w:rsid w:val="00386BC9"/>
    <w:rsid w:val="00386F24"/>
    <w:rsid w:val="00387676"/>
    <w:rsid w:val="003876AB"/>
    <w:rsid w:val="00387957"/>
    <w:rsid w:val="00387F6F"/>
    <w:rsid w:val="0039053D"/>
    <w:rsid w:val="00390B45"/>
    <w:rsid w:val="00390C8F"/>
    <w:rsid w:val="00391BAD"/>
    <w:rsid w:val="00392B4C"/>
    <w:rsid w:val="00392B8A"/>
    <w:rsid w:val="00392DD1"/>
    <w:rsid w:val="00393612"/>
    <w:rsid w:val="00393613"/>
    <w:rsid w:val="003940A2"/>
    <w:rsid w:val="0039449C"/>
    <w:rsid w:val="00394547"/>
    <w:rsid w:val="00395205"/>
    <w:rsid w:val="00395BC3"/>
    <w:rsid w:val="00395E02"/>
    <w:rsid w:val="0039684C"/>
    <w:rsid w:val="003A0290"/>
    <w:rsid w:val="003A0AE3"/>
    <w:rsid w:val="003A1C8E"/>
    <w:rsid w:val="003A25BB"/>
    <w:rsid w:val="003A2C1C"/>
    <w:rsid w:val="003A300D"/>
    <w:rsid w:val="003A31B5"/>
    <w:rsid w:val="003A3865"/>
    <w:rsid w:val="003A3E7B"/>
    <w:rsid w:val="003A422E"/>
    <w:rsid w:val="003A4566"/>
    <w:rsid w:val="003A5165"/>
    <w:rsid w:val="003A5535"/>
    <w:rsid w:val="003A5CF8"/>
    <w:rsid w:val="003A60BF"/>
    <w:rsid w:val="003A6EB3"/>
    <w:rsid w:val="003A6F56"/>
    <w:rsid w:val="003A7067"/>
    <w:rsid w:val="003B05C4"/>
    <w:rsid w:val="003B09F6"/>
    <w:rsid w:val="003B0B94"/>
    <w:rsid w:val="003B0D03"/>
    <w:rsid w:val="003B133A"/>
    <w:rsid w:val="003B1905"/>
    <w:rsid w:val="003B1F0A"/>
    <w:rsid w:val="003B2C1F"/>
    <w:rsid w:val="003B329D"/>
    <w:rsid w:val="003B3684"/>
    <w:rsid w:val="003B397E"/>
    <w:rsid w:val="003B4441"/>
    <w:rsid w:val="003B4C9B"/>
    <w:rsid w:val="003B4DAB"/>
    <w:rsid w:val="003B4E0D"/>
    <w:rsid w:val="003B5006"/>
    <w:rsid w:val="003B5533"/>
    <w:rsid w:val="003B5A85"/>
    <w:rsid w:val="003B6792"/>
    <w:rsid w:val="003B71EE"/>
    <w:rsid w:val="003B72E8"/>
    <w:rsid w:val="003B7621"/>
    <w:rsid w:val="003B7789"/>
    <w:rsid w:val="003B7C64"/>
    <w:rsid w:val="003B7F5F"/>
    <w:rsid w:val="003C0593"/>
    <w:rsid w:val="003C13A6"/>
    <w:rsid w:val="003C1615"/>
    <w:rsid w:val="003C1EB4"/>
    <w:rsid w:val="003C2A44"/>
    <w:rsid w:val="003C3874"/>
    <w:rsid w:val="003C4E3A"/>
    <w:rsid w:val="003C5C8F"/>
    <w:rsid w:val="003C63C3"/>
    <w:rsid w:val="003C75D8"/>
    <w:rsid w:val="003D065E"/>
    <w:rsid w:val="003D0E1C"/>
    <w:rsid w:val="003D1E47"/>
    <w:rsid w:val="003D2992"/>
    <w:rsid w:val="003D3662"/>
    <w:rsid w:val="003D3C14"/>
    <w:rsid w:val="003D40A4"/>
    <w:rsid w:val="003D40B3"/>
    <w:rsid w:val="003D4188"/>
    <w:rsid w:val="003D4557"/>
    <w:rsid w:val="003D4660"/>
    <w:rsid w:val="003D543D"/>
    <w:rsid w:val="003D59FD"/>
    <w:rsid w:val="003D745A"/>
    <w:rsid w:val="003D7819"/>
    <w:rsid w:val="003E0E4B"/>
    <w:rsid w:val="003E10B8"/>
    <w:rsid w:val="003E122D"/>
    <w:rsid w:val="003E13F5"/>
    <w:rsid w:val="003E1978"/>
    <w:rsid w:val="003E2B5E"/>
    <w:rsid w:val="003E3093"/>
    <w:rsid w:val="003E3FF4"/>
    <w:rsid w:val="003E4E15"/>
    <w:rsid w:val="003E53E8"/>
    <w:rsid w:val="003E584B"/>
    <w:rsid w:val="003E5912"/>
    <w:rsid w:val="003E5AE8"/>
    <w:rsid w:val="003E68C4"/>
    <w:rsid w:val="003F07EE"/>
    <w:rsid w:val="003F0C8B"/>
    <w:rsid w:val="003F1409"/>
    <w:rsid w:val="003F1607"/>
    <w:rsid w:val="003F1BB8"/>
    <w:rsid w:val="003F29F2"/>
    <w:rsid w:val="003F3C77"/>
    <w:rsid w:val="003F3FF9"/>
    <w:rsid w:val="003F458D"/>
    <w:rsid w:val="003F47DF"/>
    <w:rsid w:val="003F5BDA"/>
    <w:rsid w:val="003F6209"/>
    <w:rsid w:val="003F6DB1"/>
    <w:rsid w:val="00400A8B"/>
    <w:rsid w:val="00401831"/>
    <w:rsid w:val="0040237E"/>
    <w:rsid w:val="0040314A"/>
    <w:rsid w:val="004054F4"/>
    <w:rsid w:val="00405DAB"/>
    <w:rsid w:val="00405E90"/>
    <w:rsid w:val="0040629D"/>
    <w:rsid w:val="004065CE"/>
    <w:rsid w:val="00406802"/>
    <w:rsid w:val="00406BD7"/>
    <w:rsid w:val="00407A61"/>
    <w:rsid w:val="004105DD"/>
    <w:rsid w:val="00410DCE"/>
    <w:rsid w:val="00410EC5"/>
    <w:rsid w:val="00411214"/>
    <w:rsid w:val="00412C0B"/>
    <w:rsid w:val="00413D59"/>
    <w:rsid w:val="0041404E"/>
    <w:rsid w:val="0041429D"/>
    <w:rsid w:val="004147D0"/>
    <w:rsid w:val="00414E1F"/>
    <w:rsid w:val="0041581E"/>
    <w:rsid w:val="004161E5"/>
    <w:rsid w:val="004171D2"/>
    <w:rsid w:val="0041765C"/>
    <w:rsid w:val="00417706"/>
    <w:rsid w:val="004201FF"/>
    <w:rsid w:val="00420837"/>
    <w:rsid w:val="00421B9E"/>
    <w:rsid w:val="00421EEC"/>
    <w:rsid w:val="00422933"/>
    <w:rsid w:val="00422F4B"/>
    <w:rsid w:val="00423003"/>
    <w:rsid w:val="004248B4"/>
    <w:rsid w:val="00424C66"/>
    <w:rsid w:val="0042526D"/>
    <w:rsid w:val="004254A2"/>
    <w:rsid w:val="004259D7"/>
    <w:rsid w:val="004262BB"/>
    <w:rsid w:val="004264BD"/>
    <w:rsid w:val="00426D71"/>
    <w:rsid w:val="004273D1"/>
    <w:rsid w:val="00427EB9"/>
    <w:rsid w:val="00430256"/>
    <w:rsid w:val="00430E3D"/>
    <w:rsid w:val="0043194D"/>
    <w:rsid w:val="00431BF1"/>
    <w:rsid w:val="00433D22"/>
    <w:rsid w:val="00434130"/>
    <w:rsid w:val="004342F8"/>
    <w:rsid w:val="0043466A"/>
    <w:rsid w:val="00434A2F"/>
    <w:rsid w:val="00434B63"/>
    <w:rsid w:val="004357CB"/>
    <w:rsid w:val="00435E13"/>
    <w:rsid w:val="004363B0"/>
    <w:rsid w:val="0043669B"/>
    <w:rsid w:val="0043739B"/>
    <w:rsid w:val="00437C89"/>
    <w:rsid w:val="0044083A"/>
    <w:rsid w:val="004408FA"/>
    <w:rsid w:val="00441119"/>
    <w:rsid w:val="00441E6B"/>
    <w:rsid w:val="0044246A"/>
    <w:rsid w:val="00443D77"/>
    <w:rsid w:val="00444245"/>
    <w:rsid w:val="0044526E"/>
    <w:rsid w:val="0044552A"/>
    <w:rsid w:val="00445663"/>
    <w:rsid w:val="004461A4"/>
    <w:rsid w:val="00446612"/>
    <w:rsid w:val="00446EE2"/>
    <w:rsid w:val="00450E44"/>
    <w:rsid w:val="00451501"/>
    <w:rsid w:val="004521E9"/>
    <w:rsid w:val="00452501"/>
    <w:rsid w:val="004528D0"/>
    <w:rsid w:val="00452FC8"/>
    <w:rsid w:val="00453C86"/>
    <w:rsid w:val="004541AE"/>
    <w:rsid w:val="004544C8"/>
    <w:rsid w:val="00454564"/>
    <w:rsid w:val="004562E5"/>
    <w:rsid w:val="00456C21"/>
    <w:rsid w:val="004576A9"/>
    <w:rsid w:val="00457BC3"/>
    <w:rsid w:val="00457E21"/>
    <w:rsid w:val="0046034D"/>
    <w:rsid w:val="00460F33"/>
    <w:rsid w:val="00461801"/>
    <w:rsid w:val="00462272"/>
    <w:rsid w:val="004626B5"/>
    <w:rsid w:val="004627C3"/>
    <w:rsid w:val="0046390C"/>
    <w:rsid w:val="00464569"/>
    <w:rsid w:val="004648A9"/>
    <w:rsid w:val="004657E8"/>
    <w:rsid w:val="00465D4E"/>
    <w:rsid w:val="00465F64"/>
    <w:rsid w:val="00466381"/>
    <w:rsid w:val="00466530"/>
    <w:rsid w:val="00467393"/>
    <w:rsid w:val="00467BDD"/>
    <w:rsid w:val="004717F6"/>
    <w:rsid w:val="0047364D"/>
    <w:rsid w:val="00473CBF"/>
    <w:rsid w:val="004745B7"/>
    <w:rsid w:val="0047481E"/>
    <w:rsid w:val="00474918"/>
    <w:rsid w:val="00475EAF"/>
    <w:rsid w:val="004761FC"/>
    <w:rsid w:val="0047681C"/>
    <w:rsid w:val="004802D0"/>
    <w:rsid w:val="00480748"/>
    <w:rsid w:val="00480B17"/>
    <w:rsid w:val="00480F28"/>
    <w:rsid w:val="004815F8"/>
    <w:rsid w:val="00481907"/>
    <w:rsid w:val="00481E32"/>
    <w:rsid w:val="00482140"/>
    <w:rsid w:val="004831ED"/>
    <w:rsid w:val="004831FC"/>
    <w:rsid w:val="00483454"/>
    <w:rsid w:val="004836A7"/>
    <w:rsid w:val="00483BDD"/>
    <w:rsid w:val="004847B4"/>
    <w:rsid w:val="00484921"/>
    <w:rsid w:val="00486614"/>
    <w:rsid w:val="004866D6"/>
    <w:rsid w:val="00487DE2"/>
    <w:rsid w:val="00487E11"/>
    <w:rsid w:val="00487FB8"/>
    <w:rsid w:val="004900FE"/>
    <w:rsid w:val="00490434"/>
    <w:rsid w:val="004919D4"/>
    <w:rsid w:val="00491FB2"/>
    <w:rsid w:val="0049200C"/>
    <w:rsid w:val="0049212C"/>
    <w:rsid w:val="0049226D"/>
    <w:rsid w:val="00492490"/>
    <w:rsid w:val="004925EE"/>
    <w:rsid w:val="004945CB"/>
    <w:rsid w:val="00494BCA"/>
    <w:rsid w:val="00495C39"/>
    <w:rsid w:val="004975DB"/>
    <w:rsid w:val="00497DCB"/>
    <w:rsid w:val="004A0D12"/>
    <w:rsid w:val="004A1224"/>
    <w:rsid w:val="004A14CB"/>
    <w:rsid w:val="004A1ABD"/>
    <w:rsid w:val="004A247B"/>
    <w:rsid w:val="004A2535"/>
    <w:rsid w:val="004A28C5"/>
    <w:rsid w:val="004A2AD1"/>
    <w:rsid w:val="004A2F59"/>
    <w:rsid w:val="004A3218"/>
    <w:rsid w:val="004A33BF"/>
    <w:rsid w:val="004A3865"/>
    <w:rsid w:val="004A3E9B"/>
    <w:rsid w:val="004A5E53"/>
    <w:rsid w:val="004A64B4"/>
    <w:rsid w:val="004A660C"/>
    <w:rsid w:val="004A6B44"/>
    <w:rsid w:val="004A6E0E"/>
    <w:rsid w:val="004A76FF"/>
    <w:rsid w:val="004B0B19"/>
    <w:rsid w:val="004B0EF4"/>
    <w:rsid w:val="004B1E81"/>
    <w:rsid w:val="004B2C7A"/>
    <w:rsid w:val="004B35F0"/>
    <w:rsid w:val="004B37A7"/>
    <w:rsid w:val="004B4426"/>
    <w:rsid w:val="004B44E1"/>
    <w:rsid w:val="004B52DA"/>
    <w:rsid w:val="004B52EE"/>
    <w:rsid w:val="004B549D"/>
    <w:rsid w:val="004B5F2A"/>
    <w:rsid w:val="004B74B2"/>
    <w:rsid w:val="004B7585"/>
    <w:rsid w:val="004C103D"/>
    <w:rsid w:val="004C1303"/>
    <w:rsid w:val="004C1399"/>
    <w:rsid w:val="004C1C09"/>
    <w:rsid w:val="004C21AE"/>
    <w:rsid w:val="004C2A17"/>
    <w:rsid w:val="004C2B0E"/>
    <w:rsid w:val="004C45F5"/>
    <w:rsid w:val="004C5507"/>
    <w:rsid w:val="004D0D6B"/>
    <w:rsid w:val="004D1219"/>
    <w:rsid w:val="004D1E12"/>
    <w:rsid w:val="004D1E1A"/>
    <w:rsid w:val="004D1EFF"/>
    <w:rsid w:val="004D23A9"/>
    <w:rsid w:val="004D2683"/>
    <w:rsid w:val="004D29F5"/>
    <w:rsid w:val="004D2F90"/>
    <w:rsid w:val="004D538B"/>
    <w:rsid w:val="004D660D"/>
    <w:rsid w:val="004D6B45"/>
    <w:rsid w:val="004D7804"/>
    <w:rsid w:val="004D7ECE"/>
    <w:rsid w:val="004E0308"/>
    <w:rsid w:val="004E055E"/>
    <w:rsid w:val="004E144D"/>
    <w:rsid w:val="004E2562"/>
    <w:rsid w:val="004E2825"/>
    <w:rsid w:val="004E3079"/>
    <w:rsid w:val="004E3276"/>
    <w:rsid w:val="004E3836"/>
    <w:rsid w:val="004E3B3F"/>
    <w:rsid w:val="004E4087"/>
    <w:rsid w:val="004E5062"/>
    <w:rsid w:val="004E5C12"/>
    <w:rsid w:val="004E62E4"/>
    <w:rsid w:val="004E67B6"/>
    <w:rsid w:val="004E7C41"/>
    <w:rsid w:val="004F0911"/>
    <w:rsid w:val="004F0987"/>
    <w:rsid w:val="004F0E90"/>
    <w:rsid w:val="004F0F5B"/>
    <w:rsid w:val="004F1212"/>
    <w:rsid w:val="004F12CE"/>
    <w:rsid w:val="004F22B8"/>
    <w:rsid w:val="004F2437"/>
    <w:rsid w:val="004F38E1"/>
    <w:rsid w:val="004F3CF9"/>
    <w:rsid w:val="004F44A3"/>
    <w:rsid w:val="004F4624"/>
    <w:rsid w:val="004F5573"/>
    <w:rsid w:val="004F5776"/>
    <w:rsid w:val="004F5D8B"/>
    <w:rsid w:val="004F634F"/>
    <w:rsid w:val="004F7556"/>
    <w:rsid w:val="004F78BF"/>
    <w:rsid w:val="00500700"/>
    <w:rsid w:val="0050141B"/>
    <w:rsid w:val="00501DAA"/>
    <w:rsid w:val="00501EEB"/>
    <w:rsid w:val="00502638"/>
    <w:rsid w:val="005029BC"/>
    <w:rsid w:val="00502B87"/>
    <w:rsid w:val="0050346A"/>
    <w:rsid w:val="0050370D"/>
    <w:rsid w:val="00503FD8"/>
    <w:rsid w:val="00504472"/>
    <w:rsid w:val="005048E3"/>
    <w:rsid w:val="00504C7C"/>
    <w:rsid w:val="00505A77"/>
    <w:rsid w:val="00505CB3"/>
    <w:rsid w:val="00505E16"/>
    <w:rsid w:val="005067C7"/>
    <w:rsid w:val="00506EB0"/>
    <w:rsid w:val="00506ED8"/>
    <w:rsid w:val="005073F3"/>
    <w:rsid w:val="0050798C"/>
    <w:rsid w:val="0051112F"/>
    <w:rsid w:val="0051207B"/>
    <w:rsid w:val="005136CD"/>
    <w:rsid w:val="00513C8B"/>
    <w:rsid w:val="00514146"/>
    <w:rsid w:val="00514B1A"/>
    <w:rsid w:val="00514E2B"/>
    <w:rsid w:val="005150C5"/>
    <w:rsid w:val="00516415"/>
    <w:rsid w:val="00517351"/>
    <w:rsid w:val="0051793F"/>
    <w:rsid w:val="005205A5"/>
    <w:rsid w:val="00520963"/>
    <w:rsid w:val="00521860"/>
    <w:rsid w:val="00521D74"/>
    <w:rsid w:val="005222CC"/>
    <w:rsid w:val="00522622"/>
    <w:rsid w:val="00522833"/>
    <w:rsid w:val="00522947"/>
    <w:rsid w:val="00522DFA"/>
    <w:rsid w:val="00523B5E"/>
    <w:rsid w:val="00524295"/>
    <w:rsid w:val="00524EBD"/>
    <w:rsid w:val="005250EE"/>
    <w:rsid w:val="00525AB1"/>
    <w:rsid w:val="00526B01"/>
    <w:rsid w:val="00526B9E"/>
    <w:rsid w:val="00526C61"/>
    <w:rsid w:val="00527492"/>
    <w:rsid w:val="005277F5"/>
    <w:rsid w:val="00527E99"/>
    <w:rsid w:val="00530986"/>
    <w:rsid w:val="00530DA7"/>
    <w:rsid w:val="005310C1"/>
    <w:rsid w:val="00531934"/>
    <w:rsid w:val="005328A9"/>
    <w:rsid w:val="005328C7"/>
    <w:rsid w:val="00532994"/>
    <w:rsid w:val="005329BE"/>
    <w:rsid w:val="00532FCD"/>
    <w:rsid w:val="00533515"/>
    <w:rsid w:val="00533AC5"/>
    <w:rsid w:val="005342DE"/>
    <w:rsid w:val="0053466C"/>
    <w:rsid w:val="00534AC0"/>
    <w:rsid w:val="00535416"/>
    <w:rsid w:val="005354D9"/>
    <w:rsid w:val="00535557"/>
    <w:rsid w:val="0053592A"/>
    <w:rsid w:val="0053606A"/>
    <w:rsid w:val="005369C0"/>
    <w:rsid w:val="00536B92"/>
    <w:rsid w:val="00537F24"/>
    <w:rsid w:val="00540811"/>
    <w:rsid w:val="00540B25"/>
    <w:rsid w:val="00540D82"/>
    <w:rsid w:val="00541254"/>
    <w:rsid w:val="00541773"/>
    <w:rsid w:val="005421CC"/>
    <w:rsid w:val="0054272E"/>
    <w:rsid w:val="00542BA5"/>
    <w:rsid w:val="00542F84"/>
    <w:rsid w:val="00543A85"/>
    <w:rsid w:val="00544841"/>
    <w:rsid w:val="00544869"/>
    <w:rsid w:val="0054577F"/>
    <w:rsid w:val="00545C70"/>
    <w:rsid w:val="00547058"/>
    <w:rsid w:val="005471F3"/>
    <w:rsid w:val="00547CD4"/>
    <w:rsid w:val="00547E34"/>
    <w:rsid w:val="00547EB8"/>
    <w:rsid w:val="0055113D"/>
    <w:rsid w:val="00552FC2"/>
    <w:rsid w:val="00553541"/>
    <w:rsid w:val="00553DA2"/>
    <w:rsid w:val="00554220"/>
    <w:rsid w:val="005543FB"/>
    <w:rsid w:val="00554B40"/>
    <w:rsid w:val="00554FB3"/>
    <w:rsid w:val="00555623"/>
    <w:rsid w:val="00555C0F"/>
    <w:rsid w:val="005562DC"/>
    <w:rsid w:val="00556725"/>
    <w:rsid w:val="00556C29"/>
    <w:rsid w:val="005572A7"/>
    <w:rsid w:val="005576C3"/>
    <w:rsid w:val="00557A85"/>
    <w:rsid w:val="005606B5"/>
    <w:rsid w:val="00560E2D"/>
    <w:rsid w:val="00561031"/>
    <w:rsid w:val="00561498"/>
    <w:rsid w:val="005628BB"/>
    <w:rsid w:val="00562BAD"/>
    <w:rsid w:val="00562FD4"/>
    <w:rsid w:val="0056365E"/>
    <w:rsid w:val="00563C6E"/>
    <w:rsid w:val="005645A8"/>
    <w:rsid w:val="005652CF"/>
    <w:rsid w:val="00565A95"/>
    <w:rsid w:val="00565C77"/>
    <w:rsid w:val="00566181"/>
    <w:rsid w:val="005700E3"/>
    <w:rsid w:val="005708BD"/>
    <w:rsid w:val="00571FB4"/>
    <w:rsid w:val="005721AA"/>
    <w:rsid w:val="00572955"/>
    <w:rsid w:val="0057317E"/>
    <w:rsid w:val="005731D3"/>
    <w:rsid w:val="0057391F"/>
    <w:rsid w:val="00573C7D"/>
    <w:rsid w:val="005746DC"/>
    <w:rsid w:val="00574906"/>
    <w:rsid w:val="00574E91"/>
    <w:rsid w:val="00574E9E"/>
    <w:rsid w:val="005752BC"/>
    <w:rsid w:val="0057557B"/>
    <w:rsid w:val="00576130"/>
    <w:rsid w:val="0057622F"/>
    <w:rsid w:val="00576FB6"/>
    <w:rsid w:val="00577772"/>
    <w:rsid w:val="00577977"/>
    <w:rsid w:val="00577DFB"/>
    <w:rsid w:val="0058060D"/>
    <w:rsid w:val="005809D8"/>
    <w:rsid w:val="00581719"/>
    <w:rsid w:val="00581D30"/>
    <w:rsid w:val="0058259C"/>
    <w:rsid w:val="00583261"/>
    <w:rsid w:val="00583362"/>
    <w:rsid w:val="005833A7"/>
    <w:rsid w:val="00584245"/>
    <w:rsid w:val="00584C2D"/>
    <w:rsid w:val="00584D80"/>
    <w:rsid w:val="00585BCF"/>
    <w:rsid w:val="00586535"/>
    <w:rsid w:val="00586BB5"/>
    <w:rsid w:val="00586DFB"/>
    <w:rsid w:val="0058771E"/>
    <w:rsid w:val="00587800"/>
    <w:rsid w:val="00587C83"/>
    <w:rsid w:val="005905BC"/>
    <w:rsid w:val="005909CB"/>
    <w:rsid w:val="00590B75"/>
    <w:rsid w:val="00590CB4"/>
    <w:rsid w:val="00590DAA"/>
    <w:rsid w:val="00591B21"/>
    <w:rsid w:val="00591F12"/>
    <w:rsid w:val="0059205C"/>
    <w:rsid w:val="00592349"/>
    <w:rsid w:val="00592B80"/>
    <w:rsid w:val="00592D49"/>
    <w:rsid w:val="00593365"/>
    <w:rsid w:val="0059457D"/>
    <w:rsid w:val="005949F7"/>
    <w:rsid w:val="005955BA"/>
    <w:rsid w:val="00596F3F"/>
    <w:rsid w:val="00596F9B"/>
    <w:rsid w:val="00597EEF"/>
    <w:rsid w:val="005A02CB"/>
    <w:rsid w:val="005A1C4E"/>
    <w:rsid w:val="005A2D1C"/>
    <w:rsid w:val="005A2E0C"/>
    <w:rsid w:val="005A3678"/>
    <w:rsid w:val="005A3C8E"/>
    <w:rsid w:val="005A3DAF"/>
    <w:rsid w:val="005A4251"/>
    <w:rsid w:val="005A4A1A"/>
    <w:rsid w:val="005A5810"/>
    <w:rsid w:val="005A5C0F"/>
    <w:rsid w:val="005A5EE5"/>
    <w:rsid w:val="005A61D3"/>
    <w:rsid w:val="005A6D23"/>
    <w:rsid w:val="005A7196"/>
    <w:rsid w:val="005A7C0B"/>
    <w:rsid w:val="005A7E70"/>
    <w:rsid w:val="005B1A53"/>
    <w:rsid w:val="005B2AF7"/>
    <w:rsid w:val="005B2B33"/>
    <w:rsid w:val="005B40E8"/>
    <w:rsid w:val="005B493E"/>
    <w:rsid w:val="005B589D"/>
    <w:rsid w:val="005B647C"/>
    <w:rsid w:val="005B6A94"/>
    <w:rsid w:val="005B6A9B"/>
    <w:rsid w:val="005B6DAA"/>
    <w:rsid w:val="005B7314"/>
    <w:rsid w:val="005B753B"/>
    <w:rsid w:val="005B7C27"/>
    <w:rsid w:val="005B7D8B"/>
    <w:rsid w:val="005C03F6"/>
    <w:rsid w:val="005C0475"/>
    <w:rsid w:val="005C1569"/>
    <w:rsid w:val="005C1B2B"/>
    <w:rsid w:val="005C224F"/>
    <w:rsid w:val="005C25ED"/>
    <w:rsid w:val="005C2EFC"/>
    <w:rsid w:val="005C348A"/>
    <w:rsid w:val="005C3C1A"/>
    <w:rsid w:val="005C4604"/>
    <w:rsid w:val="005C460E"/>
    <w:rsid w:val="005C46D8"/>
    <w:rsid w:val="005C4BEE"/>
    <w:rsid w:val="005C4D71"/>
    <w:rsid w:val="005C5B3B"/>
    <w:rsid w:val="005C6E74"/>
    <w:rsid w:val="005C732E"/>
    <w:rsid w:val="005C781C"/>
    <w:rsid w:val="005D0878"/>
    <w:rsid w:val="005D0C3B"/>
    <w:rsid w:val="005D1340"/>
    <w:rsid w:val="005D13ED"/>
    <w:rsid w:val="005D181E"/>
    <w:rsid w:val="005D1E16"/>
    <w:rsid w:val="005D1F9E"/>
    <w:rsid w:val="005D2218"/>
    <w:rsid w:val="005D330E"/>
    <w:rsid w:val="005D4576"/>
    <w:rsid w:val="005D4967"/>
    <w:rsid w:val="005D520F"/>
    <w:rsid w:val="005D645A"/>
    <w:rsid w:val="005D6E07"/>
    <w:rsid w:val="005D73D4"/>
    <w:rsid w:val="005D7A35"/>
    <w:rsid w:val="005D7D64"/>
    <w:rsid w:val="005E034F"/>
    <w:rsid w:val="005E09A7"/>
    <w:rsid w:val="005E14A8"/>
    <w:rsid w:val="005E198B"/>
    <w:rsid w:val="005E19D9"/>
    <w:rsid w:val="005E1D35"/>
    <w:rsid w:val="005E2A31"/>
    <w:rsid w:val="005E39C2"/>
    <w:rsid w:val="005E3D2F"/>
    <w:rsid w:val="005E442F"/>
    <w:rsid w:val="005E4909"/>
    <w:rsid w:val="005E49C7"/>
    <w:rsid w:val="005E54A3"/>
    <w:rsid w:val="005E5625"/>
    <w:rsid w:val="005E61D8"/>
    <w:rsid w:val="005E6F2B"/>
    <w:rsid w:val="005E7E2C"/>
    <w:rsid w:val="005F1ADE"/>
    <w:rsid w:val="005F2701"/>
    <w:rsid w:val="005F29CD"/>
    <w:rsid w:val="005F3175"/>
    <w:rsid w:val="005F333A"/>
    <w:rsid w:val="005F3436"/>
    <w:rsid w:val="005F3506"/>
    <w:rsid w:val="005F41D8"/>
    <w:rsid w:val="005F4739"/>
    <w:rsid w:val="005F4B23"/>
    <w:rsid w:val="005F6228"/>
    <w:rsid w:val="005F642B"/>
    <w:rsid w:val="005F67FC"/>
    <w:rsid w:val="005F6E70"/>
    <w:rsid w:val="006001F9"/>
    <w:rsid w:val="00601630"/>
    <w:rsid w:val="00601A28"/>
    <w:rsid w:val="0060209E"/>
    <w:rsid w:val="006026E1"/>
    <w:rsid w:val="00603A90"/>
    <w:rsid w:val="00605163"/>
    <w:rsid w:val="006065BF"/>
    <w:rsid w:val="00606F5E"/>
    <w:rsid w:val="00606FD5"/>
    <w:rsid w:val="006070EA"/>
    <w:rsid w:val="00607ABE"/>
    <w:rsid w:val="00607F53"/>
    <w:rsid w:val="006103D0"/>
    <w:rsid w:val="006104F7"/>
    <w:rsid w:val="00610C53"/>
    <w:rsid w:val="0061103A"/>
    <w:rsid w:val="0061168F"/>
    <w:rsid w:val="00611EAE"/>
    <w:rsid w:val="0061364A"/>
    <w:rsid w:val="00613BEA"/>
    <w:rsid w:val="0061402C"/>
    <w:rsid w:val="006140F2"/>
    <w:rsid w:val="0061595F"/>
    <w:rsid w:val="00615A79"/>
    <w:rsid w:val="00615DF4"/>
    <w:rsid w:val="00616179"/>
    <w:rsid w:val="006165BB"/>
    <w:rsid w:val="0061675B"/>
    <w:rsid w:val="0062052B"/>
    <w:rsid w:val="00620797"/>
    <w:rsid w:val="00620EB3"/>
    <w:rsid w:val="00620F8F"/>
    <w:rsid w:val="00621264"/>
    <w:rsid w:val="00621A86"/>
    <w:rsid w:val="00622D2E"/>
    <w:rsid w:val="00623401"/>
    <w:rsid w:val="0062344D"/>
    <w:rsid w:val="006254EC"/>
    <w:rsid w:val="006258B8"/>
    <w:rsid w:val="00625C40"/>
    <w:rsid w:val="0062706E"/>
    <w:rsid w:val="00627CD7"/>
    <w:rsid w:val="00627E7C"/>
    <w:rsid w:val="00627EE9"/>
    <w:rsid w:val="00630CFF"/>
    <w:rsid w:val="0063112D"/>
    <w:rsid w:val="00631369"/>
    <w:rsid w:val="00631477"/>
    <w:rsid w:val="006314FC"/>
    <w:rsid w:val="00632481"/>
    <w:rsid w:val="0063262D"/>
    <w:rsid w:val="0063268B"/>
    <w:rsid w:val="006326BE"/>
    <w:rsid w:val="0063348D"/>
    <w:rsid w:val="0063390E"/>
    <w:rsid w:val="00634673"/>
    <w:rsid w:val="006348BC"/>
    <w:rsid w:val="00636BB7"/>
    <w:rsid w:val="00636E1E"/>
    <w:rsid w:val="0063781E"/>
    <w:rsid w:val="00637BBD"/>
    <w:rsid w:val="00640D17"/>
    <w:rsid w:val="00641A99"/>
    <w:rsid w:val="00641CCA"/>
    <w:rsid w:val="00642768"/>
    <w:rsid w:val="00642A84"/>
    <w:rsid w:val="0064411F"/>
    <w:rsid w:val="0064465F"/>
    <w:rsid w:val="0064497E"/>
    <w:rsid w:val="00644C77"/>
    <w:rsid w:val="00644FFE"/>
    <w:rsid w:val="006453CB"/>
    <w:rsid w:val="00645983"/>
    <w:rsid w:val="00645E69"/>
    <w:rsid w:val="00646130"/>
    <w:rsid w:val="00646ACE"/>
    <w:rsid w:val="00646DB2"/>
    <w:rsid w:val="006474C0"/>
    <w:rsid w:val="00647927"/>
    <w:rsid w:val="00650B2D"/>
    <w:rsid w:val="00650D5C"/>
    <w:rsid w:val="00651B5E"/>
    <w:rsid w:val="00652B9B"/>
    <w:rsid w:val="00652F78"/>
    <w:rsid w:val="00653743"/>
    <w:rsid w:val="00653DD9"/>
    <w:rsid w:val="00654119"/>
    <w:rsid w:val="00654943"/>
    <w:rsid w:val="00654E6A"/>
    <w:rsid w:val="00654EC2"/>
    <w:rsid w:val="006551FC"/>
    <w:rsid w:val="006562BD"/>
    <w:rsid w:val="006569D8"/>
    <w:rsid w:val="00656DF0"/>
    <w:rsid w:val="006575F3"/>
    <w:rsid w:val="00660871"/>
    <w:rsid w:val="00660BA6"/>
    <w:rsid w:val="0066176D"/>
    <w:rsid w:val="00661D2C"/>
    <w:rsid w:val="00662809"/>
    <w:rsid w:val="00663823"/>
    <w:rsid w:val="006641E6"/>
    <w:rsid w:val="00664E08"/>
    <w:rsid w:val="006650D0"/>
    <w:rsid w:val="00665306"/>
    <w:rsid w:val="00665FA2"/>
    <w:rsid w:val="0066774D"/>
    <w:rsid w:val="00667A64"/>
    <w:rsid w:val="00667F42"/>
    <w:rsid w:val="00670BE9"/>
    <w:rsid w:val="00671284"/>
    <w:rsid w:val="00671E3E"/>
    <w:rsid w:val="006727FC"/>
    <w:rsid w:val="00673906"/>
    <w:rsid w:val="00673AFD"/>
    <w:rsid w:val="00673CDE"/>
    <w:rsid w:val="006747B4"/>
    <w:rsid w:val="006756CD"/>
    <w:rsid w:val="00675766"/>
    <w:rsid w:val="00675F49"/>
    <w:rsid w:val="006763E3"/>
    <w:rsid w:val="00676E5B"/>
    <w:rsid w:val="006776E8"/>
    <w:rsid w:val="00677D6B"/>
    <w:rsid w:val="00680795"/>
    <w:rsid w:val="00681523"/>
    <w:rsid w:val="00682713"/>
    <w:rsid w:val="00683451"/>
    <w:rsid w:val="00683579"/>
    <w:rsid w:val="0068376C"/>
    <w:rsid w:val="006843F4"/>
    <w:rsid w:val="00684598"/>
    <w:rsid w:val="006854CE"/>
    <w:rsid w:val="00686B47"/>
    <w:rsid w:val="0068751F"/>
    <w:rsid w:val="0068790B"/>
    <w:rsid w:val="00687C36"/>
    <w:rsid w:val="006903BB"/>
    <w:rsid w:val="006906E4"/>
    <w:rsid w:val="006913EB"/>
    <w:rsid w:val="00691902"/>
    <w:rsid w:val="00691C54"/>
    <w:rsid w:val="00691E49"/>
    <w:rsid w:val="006922DC"/>
    <w:rsid w:val="0069272B"/>
    <w:rsid w:val="006928E4"/>
    <w:rsid w:val="00693B7D"/>
    <w:rsid w:val="006941DD"/>
    <w:rsid w:val="006943D1"/>
    <w:rsid w:val="0069466B"/>
    <w:rsid w:val="00694795"/>
    <w:rsid w:val="00695014"/>
    <w:rsid w:val="00695AB6"/>
    <w:rsid w:val="0069648D"/>
    <w:rsid w:val="00696AA8"/>
    <w:rsid w:val="00697E42"/>
    <w:rsid w:val="006A257C"/>
    <w:rsid w:val="006A2615"/>
    <w:rsid w:val="006A2AF9"/>
    <w:rsid w:val="006A2BF2"/>
    <w:rsid w:val="006A325D"/>
    <w:rsid w:val="006A4158"/>
    <w:rsid w:val="006A41A9"/>
    <w:rsid w:val="006A447C"/>
    <w:rsid w:val="006A4553"/>
    <w:rsid w:val="006A4AA7"/>
    <w:rsid w:val="006A4E15"/>
    <w:rsid w:val="006A4EE2"/>
    <w:rsid w:val="006A552F"/>
    <w:rsid w:val="006A5866"/>
    <w:rsid w:val="006A5E4F"/>
    <w:rsid w:val="006A643C"/>
    <w:rsid w:val="006A76A9"/>
    <w:rsid w:val="006B0044"/>
    <w:rsid w:val="006B0F54"/>
    <w:rsid w:val="006B12C6"/>
    <w:rsid w:val="006B3967"/>
    <w:rsid w:val="006B39C1"/>
    <w:rsid w:val="006B415B"/>
    <w:rsid w:val="006B4C95"/>
    <w:rsid w:val="006B4CBA"/>
    <w:rsid w:val="006B575C"/>
    <w:rsid w:val="006B59AD"/>
    <w:rsid w:val="006B5C23"/>
    <w:rsid w:val="006B6FEB"/>
    <w:rsid w:val="006B7499"/>
    <w:rsid w:val="006B7542"/>
    <w:rsid w:val="006C0A59"/>
    <w:rsid w:val="006C1382"/>
    <w:rsid w:val="006C19EE"/>
    <w:rsid w:val="006C1B99"/>
    <w:rsid w:val="006C1BFF"/>
    <w:rsid w:val="006C2E46"/>
    <w:rsid w:val="006C34E2"/>
    <w:rsid w:val="006C3B05"/>
    <w:rsid w:val="006C4003"/>
    <w:rsid w:val="006C49CB"/>
    <w:rsid w:val="006C4E45"/>
    <w:rsid w:val="006C5EE1"/>
    <w:rsid w:val="006C61B1"/>
    <w:rsid w:val="006C6780"/>
    <w:rsid w:val="006C6DB8"/>
    <w:rsid w:val="006D0273"/>
    <w:rsid w:val="006D0669"/>
    <w:rsid w:val="006D1D4E"/>
    <w:rsid w:val="006D2EDF"/>
    <w:rsid w:val="006D3771"/>
    <w:rsid w:val="006D440A"/>
    <w:rsid w:val="006D4578"/>
    <w:rsid w:val="006D5599"/>
    <w:rsid w:val="006D56AE"/>
    <w:rsid w:val="006D592F"/>
    <w:rsid w:val="006D62BE"/>
    <w:rsid w:val="006D69D8"/>
    <w:rsid w:val="006D72EB"/>
    <w:rsid w:val="006D7B71"/>
    <w:rsid w:val="006D7E93"/>
    <w:rsid w:val="006E0006"/>
    <w:rsid w:val="006E01BB"/>
    <w:rsid w:val="006E098A"/>
    <w:rsid w:val="006E0DF6"/>
    <w:rsid w:val="006E1AFD"/>
    <w:rsid w:val="006E1BDE"/>
    <w:rsid w:val="006E336C"/>
    <w:rsid w:val="006E35A9"/>
    <w:rsid w:val="006E3B9E"/>
    <w:rsid w:val="006E4A27"/>
    <w:rsid w:val="006E4B48"/>
    <w:rsid w:val="006E4BCA"/>
    <w:rsid w:val="006E4DF1"/>
    <w:rsid w:val="006E5699"/>
    <w:rsid w:val="006E5828"/>
    <w:rsid w:val="006E6BB9"/>
    <w:rsid w:val="006E784F"/>
    <w:rsid w:val="006F0B4F"/>
    <w:rsid w:val="006F0E97"/>
    <w:rsid w:val="006F1484"/>
    <w:rsid w:val="006F1592"/>
    <w:rsid w:val="006F2DF3"/>
    <w:rsid w:val="006F2DF9"/>
    <w:rsid w:val="006F3C6F"/>
    <w:rsid w:val="006F3CDB"/>
    <w:rsid w:val="006F41C6"/>
    <w:rsid w:val="006F43EB"/>
    <w:rsid w:val="006F5A68"/>
    <w:rsid w:val="006F5DD9"/>
    <w:rsid w:val="006F69B9"/>
    <w:rsid w:val="006F6FA2"/>
    <w:rsid w:val="007001D0"/>
    <w:rsid w:val="00700CE3"/>
    <w:rsid w:val="00701498"/>
    <w:rsid w:val="00701E70"/>
    <w:rsid w:val="00702A38"/>
    <w:rsid w:val="00704BB6"/>
    <w:rsid w:val="00704F47"/>
    <w:rsid w:val="00705001"/>
    <w:rsid w:val="00705BC0"/>
    <w:rsid w:val="007072C2"/>
    <w:rsid w:val="0070746B"/>
    <w:rsid w:val="007075CA"/>
    <w:rsid w:val="00707852"/>
    <w:rsid w:val="00710156"/>
    <w:rsid w:val="00710C02"/>
    <w:rsid w:val="0071151E"/>
    <w:rsid w:val="007117F8"/>
    <w:rsid w:val="007118AC"/>
    <w:rsid w:val="00711FC7"/>
    <w:rsid w:val="0071339C"/>
    <w:rsid w:val="0071482B"/>
    <w:rsid w:val="00714C8F"/>
    <w:rsid w:val="00715A2A"/>
    <w:rsid w:val="00715A32"/>
    <w:rsid w:val="007163DA"/>
    <w:rsid w:val="00716CCB"/>
    <w:rsid w:val="00716F57"/>
    <w:rsid w:val="0071715E"/>
    <w:rsid w:val="00717A74"/>
    <w:rsid w:val="00720493"/>
    <w:rsid w:val="00720EA2"/>
    <w:rsid w:val="00721409"/>
    <w:rsid w:val="00721CE0"/>
    <w:rsid w:val="007221A2"/>
    <w:rsid w:val="00722621"/>
    <w:rsid w:val="00722935"/>
    <w:rsid w:val="0072305F"/>
    <w:rsid w:val="00723BA8"/>
    <w:rsid w:val="00724257"/>
    <w:rsid w:val="0072568C"/>
    <w:rsid w:val="00726075"/>
    <w:rsid w:val="00726B85"/>
    <w:rsid w:val="00726FDE"/>
    <w:rsid w:val="00727815"/>
    <w:rsid w:val="007301A7"/>
    <w:rsid w:val="00730E31"/>
    <w:rsid w:val="007313A4"/>
    <w:rsid w:val="00732A56"/>
    <w:rsid w:val="007346F8"/>
    <w:rsid w:val="00734D66"/>
    <w:rsid w:val="00734E06"/>
    <w:rsid w:val="00735B3E"/>
    <w:rsid w:val="0073624C"/>
    <w:rsid w:val="00736E9D"/>
    <w:rsid w:val="007373FA"/>
    <w:rsid w:val="00737E7D"/>
    <w:rsid w:val="00737F55"/>
    <w:rsid w:val="0074063F"/>
    <w:rsid w:val="00740EF1"/>
    <w:rsid w:val="00741BF8"/>
    <w:rsid w:val="0074250E"/>
    <w:rsid w:val="0074360C"/>
    <w:rsid w:val="007437BA"/>
    <w:rsid w:val="0074438A"/>
    <w:rsid w:val="007444E7"/>
    <w:rsid w:val="00744DBD"/>
    <w:rsid w:val="00745398"/>
    <w:rsid w:val="0074539B"/>
    <w:rsid w:val="00746FC3"/>
    <w:rsid w:val="00747783"/>
    <w:rsid w:val="00747B90"/>
    <w:rsid w:val="00750B2E"/>
    <w:rsid w:val="00750B57"/>
    <w:rsid w:val="0075240A"/>
    <w:rsid w:val="00752EC7"/>
    <w:rsid w:val="00754870"/>
    <w:rsid w:val="007561F0"/>
    <w:rsid w:val="0075622A"/>
    <w:rsid w:val="00756632"/>
    <w:rsid w:val="0075754A"/>
    <w:rsid w:val="007577AA"/>
    <w:rsid w:val="00757CB2"/>
    <w:rsid w:val="00760554"/>
    <w:rsid w:val="0076083D"/>
    <w:rsid w:val="00761DC2"/>
    <w:rsid w:val="007627AC"/>
    <w:rsid w:val="00762969"/>
    <w:rsid w:val="00762B1E"/>
    <w:rsid w:val="007637CD"/>
    <w:rsid w:val="00763DB6"/>
    <w:rsid w:val="00764B94"/>
    <w:rsid w:val="007652E2"/>
    <w:rsid w:val="0076582E"/>
    <w:rsid w:val="00765A82"/>
    <w:rsid w:val="00766434"/>
    <w:rsid w:val="00770D2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778"/>
    <w:rsid w:val="00782098"/>
    <w:rsid w:val="00782467"/>
    <w:rsid w:val="00782F65"/>
    <w:rsid w:val="00783D75"/>
    <w:rsid w:val="00783E41"/>
    <w:rsid w:val="007857E3"/>
    <w:rsid w:val="00786231"/>
    <w:rsid w:val="00786706"/>
    <w:rsid w:val="0079000B"/>
    <w:rsid w:val="007900CB"/>
    <w:rsid w:val="007905B2"/>
    <w:rsid w:val="00790E9B"/>
    <w:rsid w:val="0079130F"/>
    <w:rsid w:val="007917E7"/>
    <w:rsid w:val="007927C6"/>
    <w:rsid w:val="00793191"/>
    <w:rsid w:val="0079341D"/>
    <w:rsid w:val="0079348E"/>
    <w:rsid w:val="00793EEB"/>
    <w:rsid w:val="0079405B"/>
    <w:rsid w:val="00795679"/>
    <w:rsid w:val="007959B4"/>
    <w:rsid w:val="00795B29"/>
    <w:rsid w:val="00796B27"/>
    <w:rsid w:val="0079758D"/>
    <w:rsid w:val="0079797F"/>
    <w:rsid w:val="007A05F4"/>
    <w:rsid w:val="007A0BB9"/>
    <w:rsid w:val="007A0F08"/>
    <w:rsid w:val="007A14E8"/>
    <w:rsid w:val="007A1D73"/>
    <w:rsid w:val="007A3FD7"/>
    <w:rsid w:val="007A4023"/>
    <w:rsid w:val="007A410C"/>
    <w:rsid w:val="007A4A00"/>
    <w:rsid w:val="007A5445"/>
    <w:rsid w:val="007A5A94"/>
    <w:rsid w:val="007A5E11"/>
    <w:rsid w:val="007A6C47"/>
    <w:rsid w:val="007A73F1"/>
    <w:rsid w:val="007B0AAC"/>
    <w:rsid w:val="007B31F7"/>
    <w:rsid w:val="007B347F"/>
    <w:rsid w:val="007B39F6"/>
    <w:rsid w:val="007B4481"/>
    <w:rsid w:val="007B5232"/>
    <w:rsid w:val="007B58A3"/>
    <w:rsid w:val="007B5A98"/>
    <w:rsid w:val="007B5E30"/>
    <w:rsid w:val="007B5E45"/>
    <w:rsid w:val="007C1DB0"/>
    <w:rsid w:val="007C2270"/>
    <w:rsid w:val="007C27D4"/>
    <w:rsid w:val="007C292C"/>
    <w:rsid w:val="007C3139"/>
    <w:rsid w:val="007C322F"/>
    <w:rsid w:val="007C4720"/>
    <w:rsid w:val="007C4C47"/>
    <w:rsid w:val="007C4CCE"/>
    <w:rsid w:val="007C570A"/>
    <w:rsid w:val="007C5BE6"/>
    <w:rsid w:val="007C74E1"/>
    <w:rsid w:val="007C7D49"/>
    <w:rsid w:val="007C7DE5"/>
    <w:rsid w:val="007D0894"/>
    <w:rsid w:val="007D0EEB"/>
    <w:rsid w:val="007D1D99"/>
    <w:rsid w:val="007D259E"/>
    <w:rsid w:val="007D4D2A"/>
    <w:rsid w:val="007D5112"/>
    <w:rsid w:val="007D5256"/>
    <w:rsid w:val="007D5B26"/>
    <w:rsid w:val="007D5E52"/>
    <w:rsid w:val="007D763D"/>
    <w:rsid w:val="007D77A3"/>
    <w:rsid w:val="007E00B1"/>
    <w:rsid w:val="007E01C4"/>
    <w:rsid w:val="007E0749"/>
    <w:rsid w:val="007E0A7A"/>
    <w:rsid w:val="007E1411"/>
    <w:rsid w:val="007E2023"/>
    <w:rsid w:val="007E2F87"/>
    <w:rsid w:val="007E2FA1"/>
    <w:rsid w:val="007E334F"/>
    <w:rsid w:val="007E37FA"/>
    <w:rsid w:val="007E3AC7"/>
    <w:rsid w:val="007E4155"/>
    <w:rsid w:val="007E57B5"/>
    <w:rsid w:val="007E5D39"/>
    <w:rsid w:val="007E66C8"/>
    <w:rsid w:val="007E67BD"/>
    <w:rsid w:val="007E6BBD"/>
    <w:rsid w:val="007F06E1"/>
    <w:rsid w:val="007F0C09"/>
    <w:rsid w:val="007F3E75"/>
    <w:rsid w:val="007F465D"/>
    <w:rsid w:val="007F517F"/>
    <w:rsid w:val="007F5858"/>
    <w:rsid w:val="007F6391"/>
    <w:rsid w:val="007F672E"/>
    <w:rsid w:val="007F6CAD"/>
    <w:rsid w:val="007F6DE0"/>
    <w:rsid w:val="007F6FB8"/>
    <w:rsid w:val="007F7051"/>
    <w:rsid w:val="007F7481"/>
    <w:rsid w:val="007F76FF"/>
    <w:rsid w:val="007F7A4C"/>
    <w:rsid w:val="007F7E83"/>
    <w:rsid w:val="00801491"/>
    <w:rsid w:val="008015A7"/>
    <w:rsid w:val="008019E9"/>
    <w:rsid w:val="00801B8F"/>
    <w:rsid w:val="00801EF6"/>
    <w:rsid w:val="00802648"/>
    <w:rsid w:val="00802AEC"/>
    <w:rsid w:val="00803099"/>
    <w:rsid w:val="008030A8"/>
    <w:rsid w:val="00803906"/>
    <w:rsid w:val="0080406C"/>
    <w:rsid w:val="00804A47"/>
    <w:rsid w:val="0080562C"/>
    <w:rsid w:val="0080648A"/>
    <w:rsid w:val="008071D0"/>
    <w:rsid w:val="0081037F"/>
    <w:rsid w:val="008104F0"/>
    <w:rsid w:val="0081066B"/>
    <w:rsid w:val="00810809"/>
    <w:rsid w:val="00810C6A"/>
    <w:rsid w:val="00810C86"/>
    <w:rsid w:val="008115BD"/>
    <w:rsid w:val="00812350"/>
    <w:rsid w:val="00812369"/>
    <w:rsid w:val="00812741"/>
    <w:rsid w:val="008128E3"/>
    <w:rsid w:val="00812B12"/>
    <w:rsid w:val="00813DE6"/>
    <w:rsid w:val="0081464E"/>
    <w:rsid w:val="00815264"/>
    <w:rsid w:val="00815871"/>
    <w:rsid w:val="00821319"/>
    <w:rsid w:val="00821789"/>
    <w:rsid w:val="0082180B"/>
    <w:rsid w:val="00821BC9"/>
    <w:rsid w:val="008221B2"/>
    <w:rsid w:val="00822F98"/>
    <w:rsid w:val="00823236"/>
    <w:rsid w:val="00824DEE"/>
    <w:rsid w:val="00825147"/>
    <w:rsid w:val="00825B07"/>
    <w:rsid w:val="00825D4F"/>
    <w:rsid w:val="008265EB"/>
    <w:rsid w:val="00827FDF"/>
    <w:rsid w:val="00830017"/>
    <w:rsid w:val="00830787"/>
    <w:rsid w:val="00830CEC"/>
    <w:rsid w:val="00830DC9"/>
    <w:rsid w:val="00831489"/>
    <w:rsid w:val="008315B8"/>
    <w:rsid w:val="00831828"/>
    <w:rsid w:val="00831FFE"/>
    <w:rsid w:val="00832A43"/>
    <w:rsid w:val="00832CD2"/>
    <w:rsid w:val="008339E3"/>
    <w:rsid w:val="00833A6A"/>
    <w:rsid w:val="00833E2F"/>
    <w:rsid w:val="0083423B"/>
    <w:rsid w:val="00834240"/>
    <w:rsid w:val="00834C62"/>
    <w:rsid w:val="00834F9A"/>
    <w:rsid w:val="008368F3"/>
    <w:rsid w:val="008400A8"/>
    <w:rsid w:val="008401E9"/>
    <w:rsid w:val="0084156A"/>
    <w:rsid w:val="00841C82"/>
    <w:rsid w:val="008425BD"/>
    <w:rsid w:val="008427B1"/>
    <w:rsid w:val="00844965"/>
    <w:rsid w:val="008449FF"/>
    <w:rsid w:val="00845E77"/>
    <w:rsid w:val="0084601D"/>
    <w:rsid w:val="008462FB"/>
    <w:rsid w:val="00846C73"/>
    <w:rsid w:val="008500CD"/>
    <w:rsid w:val="00850462"/>
    <w:rsid w:val="0085161D"/>
    <w:rsid w:val="008519B6"/>
    <w:rsid w:val="0085245C"/>
    <w:rsid w:val="00852EEF"/>
    <w:rsid w:val="00852F55"/>
    <w:rsid w:val="00855597"/>
    <w:rsid w:val="00855780"/>
    <w:rsid w:val="008557AA"/>
    <w:rsid w:val="00855B9B"/>
    <w:rsid w:val="00855BD6"/>
    <w:rsid w:val="00856178"/>
    <w:rsid w:val="008567C0"/>
    <w:rsid w:val="00856C69"/>
    <w:rsid w:val="008570AB"/>
    <w:rsid w:val="00860947"/>
    <w:rsid w:val="00862222"/>
    <w:rsid w:val="00862545"/>
    <w:rsid w:val="00862D3A"/>
    <w:rsid w:val="00862D62"/>
    <w:rsid w:val="008631E5"/>
    <w:rsid w:val="00863356"/>
    <w:rsid w:val="00863BA1"/>
    <w:rsid w:val="0086428A"/>
    <w:rsid w:val="00864544"/>
    <w:rsid w:val="00865304"/>
    <w:rsid w:val="008653B5"/>
    <w:rsid w:val="00865A26"/>
    <w:rsid w:val="00865A76"/>
    <w:rsid w:val="008663D7"/>
    <w:rsid w:val="00866836"/>
    <w:rsid w:val="00866EF3"/>
    <w:rsid w:val="0086730B"/>
    <w:rsid w:val="008674DC"/>
    <w:rsid w:val="008679E6"/>
    <w:rsid w:val="00867A0F"/>
    <w:rsid w:val="00871127"/>
    <w:rsid w:val="00871811"/>
    <w:rsid w:val="00871D0A"/>
    <w:rsid w:val="008723A0"/>
    <w:rsid w:val="00872E1F"/>
    <w:rsid w:val="00873942"/>
    <w:rsid w:val="0087400E"/>
    <w:rsid w:val="008745A0"/>
    <w:rsid w:val="00874A32"/>
    <w:rsid w:val="00875413"/>
    <w:rsid w:val="008777A8"/>
    <w:rsid w:val="00880558"/>
    <w:rsid w:val="00881436"/>
    <w:rsid w:val="00881DD6"/>
    <w:rsid w:val="00882ED0"/>
    <w:rsid w:val="008836F6"/>
    <w:rsid w:val="00883894"/>
    <w:rsid w:val="008840D4"/>
    <w:rsid w:val="00885DA2"/>
    <w:rsid w:val="00885E17"/>
    <w:rsid w:val="00886342"/>
    <w:rsid w:val="00886DDF"/>
    <w:rsid w:val="008875DE"/>
    <w:rsid w:val="00887D7F"/>
    <w:rsid w:val="008903B0"/>
    <w:rsid w:val="0089074D"/>
    <w:rsid w:val="0089092F"/>
    <w:rsid w:val="00891573"/>
    <w:rsid w:val="00893594"/>
    <w:rsid w:val="008947EA"/>
    <w:rsid w:val="00894ABF"/>
    <w:rsid w:val="00895FFF"/>
    <w:rsid w:val="00896FF4"/>
    <w:rsid w:val="0089725A"/>
    <w:rsid w:val="008A0E85"/>
    <w:rsid w:val="008A15CB"/>
    <w:rsid w:val="008A1DDE"/>
    <w:rsid w:val="008A2544"/>
    <w:rsid w:val="008A25C3"/>
    <w:rsid w:val="008A2EF0"/>
    <w:rsid w:val="008A32B1"/>
    <w:rsid w:val="008A34CE"/>
    <w:rsid w:val="008A371D"/>
    <w:rsid w:val="008A40A7"/>
    <w:rsid w:val="008A5443"/>
    <w:rsid w:val="008A55A8"/>
    <w:rsid w:val="008A566F"/>
    <w:rsid w:val="008A5AD7"/>
    <w:rsid w:val="008A5B0A"/>
    <w:rsid w:val="008A5F01"/>
    <w:rsid w:val="008A6B66"/>
    <w:rsid w:val="008A6F1E"/>
    <w:rsid w:val="008A7078"/>
    <w:rsid w:val="008A7AD0"/>
    <w:rsid w:val="008B079B"/>
    <w:rsid w:val="008B0969"/>
    <w:rsid w:val="008B11D0"/>
    <w:rsid w:val="008B31C6"/>
    <w:rsid w:val="008B32B6"/>
    <w:rsid w:val="008B4464"/>
    <w:rsid w:val="008B4BF2"/>
    <w:rsid w:val="008B4F4B"/>
    <w:rsid w:val="008B56E5"/>
    <w:rsid w:val="008B5AFD"/>
    <w:rsid w:val="008B5C7E"/>
    <w:rsid w:val="008B6650"/>
    <w:rsid w:val="008B6B53"/>
    <w:rsid w:val="008B729C"/>
    <w:rsid w:val="008B7A4E"/>
    <w:rsid w:val="008C0728"/>
    <w:rsid w:val="008C084A"/>
    <w:rsid w:val="008C08E3"/>
    <w:rsid w:val="008C1506"/>
    <w:rsid w:val="008C2052"/>
    <w:rsid w:val="008C232A"/>
    <w:rsid w:val="008C2D30"/>
    <w:rsid w:val="008C2F43"/>
    <w:rsid w:val="008C33F2"/>
    <w:rsid w:val="008C3D5D"/>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E4C"/>
    <w:rsid w:val="008D7F82"/>
    <w:rsid w:val="008E00FD"/>
    <w:rsid w:val="008E04B1"/>
    <w:rsid w:val="008E07C6"/>
    <w:rsid w:val="008E0B83"/>
    <w:rsid w:val="008E152D"/>
    <w:rsid w:val="008E21B5"/>
    <w:rsid w:val="008E3214"/>
    <w:rsid w:val="008E32E9"/>
    <w:rsid w:val="008E33EA"/>
    <w:rsid w:val="008E4180"/>
    <w:rsid w:val="008E49E5"/>
    <w:rsid w:val="008E4ECE"/>
    <w:rsid w:val="008E5BB7"/>
    <w:rsid w:val="008E5F84"/>
    <w:rsid w:val="008E6747"/>
    <w:rsid w:val="008E6A1B"/>
    <w:rsid w:val="008E6CE5"/>
    <w:rsid w:val="008E6F3E"/>
    <w:rsid w:val="008E6FAD"/>
    <w:rsid w:val="008E6FF6"/>
    <w:rsid w:val="008E72E5"/>
    <w:rsid w:val="008E79F9"/>
    <w:rsid w:val="008E7DCC"/>
    <w:rsid w:val="008F0EA9"/>
    <w:rsid w:val="008F19F2"/>
    <w:rsid w:val="008F1B1E"/>
    <w:rsid w:val="008F1EFB"/>
    <w:rsid w:val="008F271E"/>
    <w:rsid w:val="008F2B7E"/>
    <w:rsid w:val="008F31DF"/>
    <w:rsid w:val="008F38F6"/>
    <w:rsid w:val="008F3C2A"/>
    <w:rsid w:val="008F411D"/>
    <w:rsid w:val="008F4ACA"/>
    <w:rsid w:val="008F4D31"/>
    <w:rsid w:val="008F53F5"/>
    <w:rsid w:val="008F56A2"/>
    <w:rsid w:val="008F5FF0"/>
    <w:rsid w:val="008F61F2"/>
    <w:rsid w:val="008F63BC"/>
    <w:rsid w:val="008F6485"/>
    <w:rsid w:val="008F710C"/>
    <w:rsid w:val="008F743D"/>
    <w:rsid w:val="008F746C"/>
    <w:rsid w:val="008F7B17"/>
    <w:rsid w:val="008F7F78"/>
    <w:rsid w:val="00900316"/>
    <w:rsid w:val="00900E16"/>
    <w:rsid w:val="009010D0"/>
    <w:rsid w:val="0090122A"/>
    <w:rsid w:val="00901F73"/>
    <w:rsid w:val="00902F59"/>
    <w:rsid w:val="0090368F"/>
    <w:rsid w:val="0090394F"/>
    <w:rsid w:val="009054D3"/>
    <w:rsid w:val="00905587"/>
    <w:rsid w:val="009057D3"/>
    <w:rsid w:val="00907B9D"/>
    <w:rsid w:val="00910CFA"/>
    <w:rsid w:val="0091118B"/>
    <w:rsid w:val="0091227C"/>
    <w:rsid w:val="009125D2"/>
    <w:rsid w:val="00912BD3"/>
    <w:rsid w:val="009136BE"/>
    <w:rsid w:val="00914007"/>
    <w:rsid w:val="00914443"/>
    <w:rsid w:val="00915E3F"/>
    <w:rsid w:val="00915E87"/>
    <w:rsid w:val="00915F49"/>
    <w:rsid w:val="00915F97"/>
    <w:rsid w:val="009179EB"/>
    <w:rsid w:val="0092273F"/>
    <w:rsid w:val="009235B5"/>
    <w:rsid w:val="0092385B"/>
    <w:rsid w:val="009238F1"/>
    <w:rsid w:val="0092396B"/>
    <w:rsid w:val="00923CBD"/>
    <w:rsid w:val="009246DC"/>
    <w:rsid w:val="009249B4"/>
    <w:rsid w:val="00926716"/>
    <w:rsid w:val="009270DB"/>
    <w:rsid w:val="00927A0A"/>
    <w:rsid w:val="00930BEB"/>
    <w:rsid w:val="009323DF"/>
    <w:rsid w:val="0093282B"/>
    <w:rsid w:val="00932AFC"/>
    <w:rsid w:val="00932E76"/>
    <w:rsid w:val="0093389C"/>
    <w:rsid w:val="00933A7D"/>
    <w:rsid w:val="00933DA9"/>
    <w:rsid w:val="0093452F"/>
    <w:rsid w:val="0093491F"/>
    <w:rsid w:val="00935E14"/>
    <w:rsid w:val="00936F3D"/>
    <w:rsid w:val="00937703"/>
    <w:rsid w:val="0094110F"/>
    <w:rsid w:val="00941E4F"/>
    <w:rsid w:val="00942454"/>
    <w:rsid w:val="00942909"/>
    <w:rsid w:val="009447D3"/>
    <w:rsid w:val="0094480E"/>
    <w:rsid w:val="00947B5B"/>
    <w:rsid w:val="00947C16"/>
    <w:rsid w:val="00950281"/>
    <w:rsid w:val="009507B6"/>
    <w:rsid w:val="00951BD3"/>
    <w:rsid w:val="00951C97"/>
    <w:rsid w:val="009529FD"/>
    <w:rsid w:val="00952B8F"/>
    <w:rsid w:val="00953E12"/>
    <w:rsid w:val="00954951"/>
    <w:rsid w:val="0095496C"/>
    <w:rsid w:val="00954E2D"/>
    <w:rsid w:val="0095542A"/>
    <w:rsid w:val="0095569B"/>
    <w:rsid w:val="009559F2"/>
    <w:rsid w:val="009562CC"/>
    <w:rsid w:val="00956941"/>
    <w:rsid w:val="0095695E"/>
    <w:rsid w:val="00956A49"/>
    <w:rsid w:val="00957310"/>
    <w:rsid w:val="0095750D"/>
    <w:rsid w:val="00957F07"/>
    <w:rsid w:val="00960B83"/>
    <w:rsid w:val="0096164B"/>
    <w:rsid w:val="00961CB4"/>
    <w:rsid w:val="00962B8F"/>
    <w:rsid w:val="00963441"/>
    <w:rsid w:val="009637E4"/>
    <w:rsid w:val="00963FE7"/>
    <w:rsid w:val="00964464"/>
    <w:rsid w:val="00964655"/>
    <w:rsid w:val="00965665"/>
    <w:rsid w:val="0096590C"/>
    <w:rsid w:val="0096632E"/>
    <w:rsid w:val="009663B1"/>
    <w:rsid w:val="009666B2"/>
    <w:rsid w:val="00966813"/>
    <w:rsid w:val="00966D4F"/>
    <w:rsid w:val="00967CB1"/>
    <w:rsid w:val="00970E65"/>
    <w:rsid w:val="0097102C"/>
    <w:rsid w:val="0097133A"/>
    <w:rsid w:val="00971798"/>
    <w:rsid w:val="00971BCB"/>
    <w:rsid w:val="00971CBF"/>
    <w:rsid w:val="00971F52"/>
    <w:rsid w:val="0097202E"/>
    <w:rsid w:val="0097203E"/>
    <w:rsid w:val="00972E0B"/>
    <w:rsid w:val="00973773"/>
    <w:rsid w:val="00973DFD"/>
    <w:rsid w:val="009742E0"/>
    <w:rsid w:val="0097462D"/>
    <w:rsid w:val="009748F0"/>
    <w:rsid w:val="00974A7C"/>
    <w:rsid w:val="0097587B"/>
    <w:rsid w:val="009763C1"/>
    <w:rsid w:val="0097664B"/>
    <w:rsid w:val="009766FE"/>
    <w:rsid w:val="00976AEC"/>
    <w:rsid w:val="00977715"/>
    <w:rsid w:val="009778FB"/>
    <w:rsid w:val="00980439"/>
    <w:rsid w:val="00982444"/>
    <w:rsid w:val="00982BA7"/>
    <w:rsid w:val="00982D92"/>
    <w:rsid w:val="00982F10"/>
    <w:rsid w:val="009834A0"/>
    <w:rsid w:val="0098412C"/>
    <w:rsid w:val="009843A8"/>
    <w:rsid w:val="009845DE"/>
    <w:rsid w:val="009846A1"/>
    <w:rsid w:val="00984993"/>
    <w:rsid w:val="00984CA2"/>
    <w:rsid w:val="009854F1"/>
    <w:rsid w:val="00985882"/>
    <w:rsid w:val="00986A97"/>
    <w:rsid w:val="00986F31"/>
    <w:rsid w:val="0098714A"/>
    <w:rsid w:val="00990428"/>
    <w:rsid w:val="00991451"/>
    <w:rsid w:val="009918DD"/>
    <w:rsid w:val="009926C3"/>
    <w:rsid w:val="00992EC9"/>
    <w:rsid w:val="00993EA1"/>
    <w:rsid w:val="0099496C"/>
    <w:rsid w:val="00995582"/>
    <w:rsid w:val="00996230"/>
    <w:rsid w:val="00996569"/>
    <w:rsid w:val="009A035E"/>
    <w:rsid w:val="009A057B"/>
    <w:rsid w:val="009A06F0"/>
    <w:rsid w:val="009A14DE"/>
    <w:rsid w:val="009A1E91"/>
    <w:rsid w:val="009A2294"/>
    <w:rsid w:val="009A22CA"/>
    <w:rsid w:val="009A40DD"/>
    <w:rsid w:val="009A5F07"/>
    <w:rsid w:val="009A5F36"/>
    <w:rsid w:val="009A6DED"/>
    <w:rsid w:val="009A72B5"/>
    <w:rsid w:val="009A75E8"/>
    <w:rsid w:val="009A7BC2"/>
    <w:rsid w:val="009B011C"/>
    <w:rsid w:val="009B011E"/>
    <w:rsid w:val="009B0387"/>
    <w:rsid w:val="009B0C7E"/>
    <w:rsid w:val="009B0FA5"/>
    <w:rsid w:val="009B180F"/>
    <w:rsid w:val="009B1897"/>
    <w:rsid w:val="009B1BB7"/>
    <w:rsid w:val="009B1C51"/>
    <w:rsid w:val="009B241F"/>
    <w:rsid w:val="009B273F"/>
    <w:rsid w:val="009B2EA0"/>
    <w:rsid w:val="009B4156"/>
    <w:rsid w:val="009B48D4"/>
    <w:rsid w:val="009B4B9F"/>
    <w:rsid w:val="009B4DCC"/>
    <w:rsid w:val="009B5464"/>
    <w:rsid w:val="009B6FE1"/>
    <w:rsid w:val="009B751B"/>
    <w:rsid w:val="009B77A7"/>
    <w:rsid w:val="009C0616"/>
    <w:rsid w:val="009C0992"/>
    <w:rsid w:val="009C0C48"/>
    <w:rsid w:val="009C1830"/>
    <w:rsid w:val="009C18A6"/>
    <w:rsid w:val="009C23DA"/>
    <w:rsid w:val="009C24B3"/>
    <w:rsid w:val="009C2737"/>
    <w:rsid w:val="009C2C09"/>
    <w:rsid w:val="009C2E5A"/>
    <w:rsid w:val="009C4E41"/>
    <w:rsid w:val="009C5611"/>
    <w:rsid w:val="009C594B"/>
    <w:rsid w:val="009C6214"/>
    <w:rsid w:val="009C645A"/>
    <w:rsid w:val="009C672A"/>
    <w:rsid w:val="009C6A62"/>
    <w:rsid w:val="009C703A"/>
    <w:rsid w:val="009C7151"/>
    <w:rsid w:val="009C71E7"/>
    <w:rsid w:val="009C7B18"/>
    <w:rsid w:val="009C7C46"/>
    <w:rsid w:val="009C7D55"/>
    <w:rsid w:val="009C7F52"/>
    <w:rsid w:val="009D07F2"/>
    <w:rsid w:val="009D14E1"/>
    <w:rsid w:val="009D1884"/>
    <w:rsid w:val="009D1FF4"/>
    <w:rsid w:val="009D24A3"/>
    <w:rsid w:val="009D2FD6"/>
    <w:rsid w:val="009D3295"/>
    <w:rsid w:val="009D3665"/>
    <w:rsid w:val="009D3C84"/>
    <w:rsid w:val="009D3CEB"/>
    <w:rsid w:val="009D40C6"/>
    <w:rsid w:val="009D476F"/>
    <w:rsid w:val="009D4A43"/>
    <w:rsid w:val="009D54F3"/>
    <w:rsid w:val="009D5DA3"/>
    <w:rsid w:val="009D6065"/>
    <w:rsid w:val="009D6969"/>
    <w:rsid w:val="009D7470"/>
    <w:rsid w:val="009D7546"/>
    <w:rsid w:val="009D77D9"/>
    <w:rsid w:val="009D7A58"/>
    <w:rsid w:val="009E0638"/>
    <w:rsid w:val="009E0828"/>
    <w:rsid w:val="009E0CED"/>
    <w:rsid w:val="009E17A2"/>
    <w:rsid w:val="009E23BB"/>
    <w:rsid w:val="009E2D23"/>
    <w:rsid w:val="009E4043"/>
    <w:rsid w:val="009E43C1"/>
    <w:rsid w:val="009E4941"/>
    <w:rsid w:val="009E54AE"/>
    <w:rsid w:val="009E5FC3"/>
    <w:rsid w:val="009E69CA"/>
    <w:rsid w:val="009E69DC"/>
    <w:rsid w:val="009E6DF1"/>
    <w:rsid w:val="009E7935"/>
    <w:rsid w:val="009F0008"/>
    <w:rsid w:val="009F0564"/>
    <w:rsid w:val="009F3ABF"/>
    <w:rsid w:val="009F3AE2"/>
    <w:rsid w:val="009F3BA0"/>
    <w:rsid w:val="009F3F5D"/>
    <w:rsid w:val="009F43CB"/>
    <w:rsid w:val="009F4CB9"/>
    <w:rsid w:val="009F608F"/>
    <w:rsid w:val="00A00283"/>
    <w:rsid w:val="00A01C02"/>
    <w:rsid w:val="00A02958"/>
    <w:rsid w:val="00A02D24"/>
    <w:rsid w:val="00A02E16"/>
    <w:rsid w:val="00A05113"/>
    <w:rsid w:val="00A054DC"/>
    <w:rsid w:val="00A069AE"/>
    <w:rsid w:val="00A06C1B"/>
    <w:rsid w:val="00A07859"/>
    <w:rsid w:val="00A10119"/>
    <w:rsid w:val="00A10389"/>
    <w:rsid w:val="00A1133E"/>
    <w:rsid w:val="00A11888"/>
    <w:rsid w:val="00A11E62"/>
    <w:rsid w:val="00A11E8F"/>
    <w:rsid w:val="00A12369"/>
    <w:rsid w:val="00A12969"/>
    <w:rsid w:val="00A13522"/>
    <w:rsid w:val="00A14357"/>
    <w:rsid w:val="00A1493A"/>
    <w:rsid w:val="00A1524F"/>
    <w:rsid w:val="00A15E63"/>
    <w:rsid w:val="00A167D9"/>
    <w:rsid w:val="00A16DB9"/>
    <w:rsid w:val="00A17474"/>
    <w:rsid w:val="00A17672"/>
    <w:rsid w:val="00A2053A"/>
    <w:rsid w:val="00A20A6B"/>
    <w:rsid w:val="00A20B45"/>
    <w:rsid w:val="00A20C5D"/>
    <w:rsid w:val="00A217EF"/>
    <w:rsid w:val="00A222CA"/>
    <w:rsid w:val="00A225E3"/>
    <w:rsid w:val="00A239CC"/>
    <w:rsid w:val="00A23BC2"/>
    <w:rsid w:val="00A24436"/>
    <w:rsid w:val="00A245F2"/>
    <w:rsid w:val="00A248C9"/>
    <w:rsid w:val="00A2591E"/>
    <w:rsid w:val="00A26820"/>
    <w:rsid w:val="00A26F01"/>
    <w:rsid w:val="00A279AC"/>
    <w:rsid w:val="00A27A30"/>
    <w:rsid w:val="00A27B33"/>
    <w:rsid w:val="00A307EB"/>
    <w:rsid w:val="00A30C5D"/>
    <w:rsid w:val="00A310F1"/>
    <w:rsid w:val="00A31C68"/>
    <w:rsid w:val="00A31FFF"/>
    <w:rsid w:val="00A325AE"/>
    <w:rsid w:val="00A326A6"/>
    <w:rsid w:val="00A342D9"/>
    <w:rsid w:val="00A35E30"/>
    <w:rsid w:val="00A35FAA"/>
    <w:rsid w:val="00A3685D"/>
    <w:rsid w:val="00A37AA5"/>
    <w:rsid w:val="00A40163"/>
    <w:rsid w:val="00A409BC"/>
    <w:rsid w:val="00A40D47"/>
    <w:rsid w:val="00A40FC3"/>
    <w:rsid w:val="00A41D7C"/>
    <w:rsid w:val="00A42F6D"/>
    <w:rsid w:val="00A43C9A"/>
    <w:rsid w:val="00A44612"/>
    <w:rsid w:val="00A44720"/>
    <w:rsid w:val="00A4575C"/>
    <w:rsid w:val="00A45D11"/>
    <w:rsid w:val="00A46164"/>
    <w:rsid w:val="00A46A8E"/>
    <w:rsid w:val="00A51337"/>
    <w:rsid w:val="00A522F4"/>
    <w:rsid w:val="00A527D4"/>
    <w:rsid w:val="00A527DD"/>
    <w:rsid w:val="00A52FDF"/>
    <w:rsid w:val="00A537E5"/>
    <w:rsid w:val="00A540A5"/>
    <w:rsid w:val="00A54248"/>
    <w:rsid w:val="00A552FD"/>
    <w:rsid w:val="00A55B6F"/>
    <w:rsid w:val="00A56649"/>
    <w:rsid w:val="00A569DF"/>
    <w:rsid w:val="00A57AFF"/>
    <w:rsid w:val="00A61BD0"/>
    <w:rsid w:val="00A63163"/>
    <w:rsid w:val="00A635D1"/>
    <w:rsid w:val="00A6388E"/>
    <w:rsid w:val="00A63C00"/>
    <w:rsid w:val="00A64BC6"/>
    <w:rsid w:val="00A64FD7"/>
    <w:rsid w:val="00A659CB"/>
    <w:rsid w:val="00A67199"/>
    <w:rsid w:val="00A67E9E"/>
    <w:rsid w:val="00A70398"/>
    <w:rsid w:val="00A709AD"/>
    <w:rsid w:val="00A70D03"/>
    <w:rsid w:val="00A7134D"/>
    <w:rsid w:val="00A71441"/>
    <w:rsid w:val="00A721F1"/>
    <w:rsid w:val="00A72DA9"/>
    <w:rsid w:val="00A733CB"/>
    <w:rsid w:val="00A739DF"/>
    <w:rsid w:val="00A740A0"/>
    <w:rsid w:val="00A745EF"/>
    <w:rsid w:val="00A7463F"/>
    <w:rsid w:val="00A751AD"/>
    <w:rsid w:val="00A76045"/>
    <w:rsid w:val="00A76935"/>
    <w:rsid w:val="00A76CC8"/>
    <w:rsid w:val="00A773CD"/>
    <w:rsid w:val="00A775CF"/>
    <w:rsid w:val="00A77853"/>
    <w:rsid w:val="00A77FAF"/>
    <w:rsid w:val="00A8031F"/>
    <w:rsid w:val="00A805EB"/>
    <w:rsid w:val="00A80C87"/>
    <w:rsid w:val="00A816A6"/>
    <w:rsid w:val="00A81EED"/>
    <w:rsid w:val="00A82EEE"/>
    <w:rsid w:val="00A84503"/>
    <w:rsid w:val="00A867DA"/>
    <w:rsid w:val="00A87202"/>
    <w:rsid w:val="00A8782F"/>
    <w:rsid w:val="00A90568"/>
    <w:rsid w:val="00A90D7B"/>
    <w:rsid w:val="00A91671"/>
    <w:rsid w:val="00A9167D"/>
    <w:rsid w:val="00A916B3"/>
    <w:rsid w:val="00A91895"/>
    <w:rsid w:val="00A92D25"/>
    <w:rsid w:val="00A9351B"/>
    <w:rsid w:val="00A9401F"/>
    <w:rsid w:val="00A94689"/>
    <w:rsid w:val="00A94DDB"/>
    <w:rsid w:val="00A94F82"/>
    <w:rsid w:val="00A950A1"/>
    <w:rsid w:val="00A953E9"/>
    <w:rsid w:val="00A9569A"/>
    <w:rsid w:val="00A965CD"/>
    <w:rsid w:val="00A96970"/>
    <w:rsid w:val="00A977BC"/>
    <w:rsid w:val="00AA1BEC"/>
    <w:rsid w:val="00AA2194"/>
    <w:rsid w:val="00AA26B7"/>
    <w:rsid w:val="00AA27AA"/>
    <w:rsid w:val="00AA28C9"/>
    <w:rsid w:val="00AA2DF3"/>
    <w:rsid w:val="00AA3F47"/>
    <w:rsid w:val="00AA4145"/>
    <w:rsid w:val="00AA4761"/>
    <w:rsid w:val="00AA50BC"/>
    <w:rsid w:val="00AA6AE4"/>
    <w:rsid w:val="00AB04BB"/>
    <w:rsid w:val="00AB1095"/>
    <w:rsid w:val="00AB1814"/>
    <w:rsid w:val="00AB24E7"/>
    <w:rsid w:val="00AB31A1"/>
    <w:rsid w:val="00AB3237"/>
    <w:rsid w:val="00AB3917"/>
    <w:rsid w:val="00AB3A2D"/>
    <w:rsid w:val="00AB3A7B"/>
    <w:rsid w:val="00AB4AC8"/>
    <w:rsid w:val="00AB4FBC"/>
    <w:rsid w:val="00AB5E21"/>
    <w:rsid w:val="00AB662C"/>
    <w:rsid w:val="00AB6960"/>
    <w:rsid w:val="00AB6AD4"/>
    <w:rsid w:val="00AB75AE"/>
    <w:rsid w:val="00AB76EC"/>
    <w:rsid w:val="00AB7933"/>
    <w:rsid w:val="00AB7947"/>
    <w:rsid w:val="00AC07C2"/>
    <w:rsid w:val="00AC13C9"/>
    <w:rsid w:val="00AC2D58"/>
    <w:rsid w:val="00AC3071"/>
    <w:rsid w:val="00AC3838"/>
    <w:rsid w:val="00AC3A08"/>
    <w:rsid w:val="00AC3D18"/>
    <w:rsid w:val="00AC4014"/>
    <w:rsid w:val="00AC514D"/>
    <w:rsid w:val="00AC5598"/>
    <w:rsid w:val="00AC5BB5"/>
    <w:rsid w:val="00AC6332"/>
    <w:rsid w:val="00AD068B"/>
    <w:rsid w:val="00AD09DF"/>
    <w:rsid w:val="00AD10CF"/>
    <w:rsid w:val="00AD2FC0"/>
    <w:rsid w:val="00AD3581"/>
    <w:rsid w:val="00AD35EA"/>
    <w:rsid w:val="00AD3BC7"/>
    <w:rsid w:val="00AD3D42"/>
    <w:rsid w:val="00AD42E2"/>
    <w:rsid w:val="00AD47AF"/>
    <w:rsid w:val="00AD4967"/>
    <w:rsid w:val="00AD4CBB"/>
    <w:rsid w:val="00AD562E"/>
    <w:rsid w:val="00AD5A81"/>
    <w:rsid w:val="00AD5B1B"/>
    <w:rsid w:val="00AD66BE"/>
    <w:rsid w:val="00AD6DB9"/>
    <w:rsid w:val="00AE12A9"/>
    <w:rsid w:val="00AE226B"/>
    <w:rsid w:val="00AE2459"/>
    <w:rsid w:val="00AE29C2"/>
    <w:rsid w:val="00AE2B3B"/>
    <w:rsid w:val="00AE2BC3"/>
    <w:rsid w:val="00AE3D23"/>
    <w:rsid w:val="00AE472E"/>
    <w:rsid w:val="00AE4CEC"/>
    <w:rsid w:val="00AE4EC8"/>
    <w:rsid w:val="00AE517C"/>
    <w:rsid w:val="00AE599E"/>
    <w:rsid w:val="00AE5C25"/>
    <w:rsid w:val="00AE5D9F"/>
    <w:rsid w:val="00AE5F15"/>
    <w:rsid w:val="00AE609B"/>
    <w:rsid w:val="00AE61C0"/>
    <w:rsid w:val="00AE72C2"/>
    <w:rsid w:val="00AE7597"/>
    <w:rsid w:val="00AE76C9"/>
    <w:rsid w:val="00AF06B4"/>
    <w:rsid w:val="00AF0C7E"/>
    <w:rsid w:val="00AF0EB2"/>
    <w:rsid w:val="00AF2791"/>
    <w:rsid w:val="00AF2EF5"/>
    <w:rsid w:val="00AF3117"/>
    <w:rsid w:val="00AF326B"/>
    <w:rsid w:val="00AF32F0"/>
    <w:rsid w:val="00AF3811"/>
    <w:rsid w:val="00AF3BCF"/>
    <w:rsid w:val="00AF412C"/>
    <w:rsid w:val="00AF418D"/>
    <w:rsid w:val="00AF560E"/>
    <w:rsid w:val="00AF6220"/>
    <w:rsid w:val="00AF6F95"/>
    <w:rsid w:val="00AF70EE"/>
    <w:rsid w:val="00AF7618"/>
    <w:rsid w:val="00AF7703"/>
    <w:rsid w:val="00B00449"/>
    <w:rsid w:val="00B00A77"/>
    <w:rsid w:val="00B00B01"/>
    <w:rsid w:val="00B01538"/>
    <w:rsid w:val="00B01FB3"/>
    <w:rsid w:val="00B02BFC"/>
    <w:rsid w:val="00B02C2A"/>
    <w:rsid w:val="00B02E0A"/>
    <w:rsid w:val="00B02EB9"/>
    <w:rsid w:val="00B03653"/>
    <w:rsid w:val="00B04047"/>
    <w:rsid w:val="00B04550"/>
    <w:rsid w:val="00B04964"/>
    <w:rsid w:val="00B04CBD"/>
    <w:rsid w:val="00B05143"/>
    <w:rsid w:val="00B05C96"/>
    <w:rsid w:val="00B1047A"/>
    <w:rsid w:val="00B10605"/>
    <w:rsid w:val="00B10F95"/>
    <w:rsid w:val="00B1132C"/>
    <w:rsid w:val="00B11B0A"/>
    <w:rsid w:val="00B11E51"/>
    <w:rsid w:val="00B12331"/>
    <w:rsid w:val="00B124AD"/>
    <w:rsid w:val="00B13217"/>
    <w:rsid w:val="00B13ABA"/>
    <w:rsid w:val="00B13CE3"/>
    <w:rsid w:val="00B14004"/>
    <w:rsid w:val="00B14310"/>
    <w:rsid w:val="00B14317"/>
    <w:rsid w:val="00B1473E"/>
    <w:rsid w:val="00B154B3"/>
    <w:rsid w:val="00B15870"/>
    <w:rsid w:val="00B158E7"/>
    <w:rsid w:val="00B15B71"/>
    <w:rsid w:val="00B15CF7"/>
    <w:rsid w:val="00B16085"/>
    <w:rsid w:val="00B166C6"/>
    <w:rsid w:val="00B17022"/>
    <w:rsid w:val="00B1777D"/>
    <w:rsid w:val="00B205BF"/>
    <w:rsid w:val="00B2131F"/>
    <w:rsid w:val="00B21941"/>
    <w:rsid w:val="00B21BAF"/>
    <w:rsid w:val="00B21EB4"/>
    <w:rsid w:val="00B21FAF"/>
    <w:rsid w:val="00B22A5B"/>
    <w:rsid w:val="00B23A82"/>
    <w:rsid w:val="00B24A34"/>
    <w:rsid w:val="00B25F8E"/>
    <w:rsid w:val="00B26529"/>
    <w:rsid w:val="00B2691D"/>
    <w:rsid w:val="00B26C44"/>
    <w:rsid w:val="00B27820"/>
    <w:rsid w:val="00B279EB"/>
    <w:rsid w:val="00B306EA"/>
    <w:rsid w:val="00B30944"/>
    <w:rsid w:val="00B3104B"/>
    <w:rsid w:val="00B315B1"/>
    <w:rsid w:val="00B31759"/>
    <w:rsid w:val="00B327B6"/>
    <w:rsid w:val="00B32928"/>
    <w:rsid w:val="00B32AAC"/>
    <w:rsid w:val="00B33F4D"/>
    <w:rsid w:val="00B3636F"/>
    <w:rsid w:val="00B36CFC"/>
    <w:rsid w:val="00B37148"/>
    <w:rsid w:val="00B37AC7"/>
    <w:rsid w:val="00B37AFC"/>
    <w:rsid w:val="00B40255"/>
    <w:rsid w:val="00B405D0"/>
    <w:rsid w:val="00B4084B"/>
    <w:rsid w:val="00B40E32"/>
    <w:rsid w:val="00B41232"/>
    <w:rsid w:val="00B42B56"/>
    <w:rsid w:val="00B45864"/>
    <w:rsid w:val="00B460B5"/>
    <w:rsid w:val="00B47998"/>
    <w:rsid w:val="00B47F4C"/>
    <w:rsid w:val="00B50032"/>
    <w:rsid w:val="00B5018E"/>
    <w:rsid w:val="00B50958"/>
    <w:rsid w:val="00B51374"/>
    <w:rsid w:val="00B51526"/>
    <w:rsid w:val="00B51ABB"/>
    <w:rsid w:val="00B51EA1"/>
    <w:rsid w:val="00B52229"/>
    <w:rsid w:val="00B5276B"/>
    <w:rsid w:val="00B567D8"/>
    <w:rsid w:val="00B56FB1"/>
    <w:rsid w:val="00B57A34"/>
    <w:rsid w:val="00B57ADB"/>
    <w:rsid w:val="00B60985"/>
    <w:rsid w:val="00B60F6F"/>
    <w:rsid w:val="00B61A52"/>
    <w:rsid w:val="00B6230B"/>
    <w:rsid w:val="00B628E8"/>
    <w:rsid w:val="00B63C3C"/>
    <w:rsid w:val="00B63CA4"/>
    <w:rsid w:val="00B644ED"/>
    <w:rsid w:val="00B64DE4"/>
    <w:rsid w:val="00B65561"/>
    <w:rsid w:val="00B65AD5"/>
    <w:rsid w:val="00B66B65"/>
    <w:rsid w:val="00B676B8"/>
    <w:rsid w:val="00B70250"/>
    <w:rsid w:val="00B7054B"/>
    <w:rsid w:val="00B70C9E"/>
    <w:rsid w:val="00B70F85"/>
    <w:rsid w:val="00B71222"/>
    <w:rsid w:val="00B7174A"/>
    <w:rsid w:val="00B71843"/>
    <w:rsid w:val="00B72DC7"/>
    <w:rsid w:val="00B73332"/>
    <w:rsid w:val="00B7358B"/>
    <w:rsid w:val="00B7388C"/>
    <w:rsid w:val="00B73E0D"/>
    <w:rsid w:val="00B74006"/>
    <w:rsid w:val="00B74FAA"/>
    <w:rsid w:val="00B7521F"/>
    <w:rsid w:val="00B756CE"/>
    <w:rsid w:val="00B75B26"/>
    <w:rsid w:val="00B769A4"/>
    <w:rsid w:val="00B76DBA"/>
    <w:rsid w:val="00B7793A"/>
    <w:rsid w:val="00B80456"/>
    <w:rsid w:val="00B812A4"/>
    <w:rsid w:val="00B82E69"/>
    <w:rsid w:val="00B830A1"/>
    <w:rsid w:val="00B83160"/>
    <w:rsid w:val="00B8365B"/>
    <w:rsid w:val="00B83705"/>
    <w:rsid w:val="00B83B20"/>
    <w:rsid w:val="00B83CA0"/>
    <w:rsid w:val="00B84243"/>
    <w:rsid w:val="00B84EDB"/>
    <w:rsid w:val="00B853A1"/>
    <w:rsid w:val="00B85C34"/>
    <w:rsid w:val="00B86383"/>
    <w:rsid w:val="00B86963"/>
    <w:rsid w:val="00B86CCD"/>
    <w:rsid w:val="00B86D87"/>
    <w:rsid w:val="00B876C0"/>
    <w:rsid w:val="00B87806"/>
    <w:rsid w:val="00B878C2"/>
    <w:rsid w:val="00B92B09"/>
    <w:rsid w:val="00B92C99"/>
    <w:rsid w:val="00B93884"/>
    <w:rsid w:val="00B93D53"/>
    <w:rsid w:val="00B93FD6"/>
    <w:rsid w:val="00B94405"/>
    <w:rsid w:val="00B94A65"/>
    <w:rsid w:val="00B94ADF"/>
    <w:rsid w:val="00B94D1A"/>
    <w:rsid w:val="00B94FB4"/>
    <w:rsid w:val="00B95D2D"/>
    <w:rsid w:val="00B9607C"/>
    <w:rsid w:val="00B9631B"/>
    <w:rsid w:val="00B9676C"/>
    <w:rsid w:val="00B9688C"/>
    <w:rsid w:val="00B97661"/>
    <w:rsid w:val="00BA0666"/>
    <w:rsid w:val="00BA0966"/>
    <w:rsid w:val="00BA0F2F"/>
    <w:rsid w:val="00BA13C0"/>
    <w:rsid w:val="00BA28F3"/>
    <w:rsid w:val="00BA379F"/>
    <w:rsid w:val="00BA434D"/>
    <w:rsid w:val="00BA47CD"/>
    <w:rsid w:val="00BA6777"/>
    <w:rsid w:val="00BA6C18"/>
    <w:rsid w:val="00BA7D14"/>
    <w:rsid w:val="00BB033B"/>
    <w:rsid w:val="00BB0573"/>
    <w:rsid w:val="00BB224B"/>
    <w:rsid w:val="00BB2A98"/>
    <w:rsid w:val="00BB3AB5"/>
    <w:rsid w:val="00BB3DA8"/>
    <w:rsid w:val="00BB498B"/>
    <w:rsid w:val="00BB559C"/>
    <w:rsid w:val="00BB5A84"/>
    <w:rsid w:val="00BB604F"/>
    <w:rsid w:val="00BB6D23"/>
    <w:rsid w:val="00BB721D"/>
    <w:rsid w:val="00BB7455"/>
    <w:rsid w:val="00BB7DEB"/>
    <w:rsid w:val="00BC05D4"/>
    <w:rsid w:val="00BC12C2"/>
    <w:rsid w:val="00BC29A9"/>
    <w:rsid w:val="00BC2C65"/>
    <w:rsid w:val="00BC3233"/>
    <w:rsid w:val="00BC337F"/>
    <w:rsid w:val="00BC3472"/>
    <w:rsid w:val="00BC3A58"/>
    <w:rsid w:val="00BC3CAB"/>
    <w:rsid w:val="00BC3F11"/>
    <w:rsid w:val="00BC42CE"/>
    <w:rsid w:val="00BC4451"/>
    <w:rsid w:val="00BC6702"/>
    <w:rsid w:val="00BC6EB3"/>
    <w:rsid w:val="00BC76B4"/>
    <w:rsid w:val="00BD06EC"/>
    <w:rsid w:val="00BD0712"/>
    <w:rsid w:val="00BD210E"/>
    <w:rsid w:val="00BD2A05"/>
    <w:rsid w:val="00BD2A36"/>
    <w:rsid w:val="00BD2CB2"/>
    <w:rsid w:val="00BD33C1"/>
    <w:rsid w:val="00BD343A"/>
    <w:rsid w:val="00BD34C3"/>
    <w:rsid w:val="00BD40CB"/>
    <w:rsid w:val="00BD4954"/>
    <w:rsid w:val="00BD507D"/>
    <w:rsid w:val="00BD6FCB"/>
    <w:rsid w:val="00BD7349"/>
    <w:rsid w:val="00BD78D5"/>
    <w:rsid w:val="00BD7A73"/>
    <w:rsid w:val="00BE0401"/>
    <w:rsid w:val="00BE0659"/>
    <w:rsid w:val="00BE0A68"/>
    <w:rsid w:val="00BE1843"/>
    <w:rsid w:val="00BE2BB2"/>
    <w:rsid w:val="00BE3E61"/>
    <w:rsid w:val="00BE537C"/>
    <w:rsid w:val="00BE6D85"/>
    <w:rsid w:val="00BE70B3"/>
    <w:rsid w:val="00BE7D58"/>
    <w:rsid w:val="00BF0270"/>
    <w:rsid w:val="00BF0E14"/>
    <w:rsid w:val="00BF164E"/>
    <w:rsid w:val="00BF1A33"/>
    <w:rsid w:val="00BF23C3"/>
    <w:rsid w:val="00BF2EFF"/>
    <w:rsid w:val="00BF3D35"/>
    <w:rsid w:val="00BF48DF"/>
    <w:rsid w:val="00BF4FDE"/>
    <w:rsid w:val="00BF6D42"/>
    <w:rsid w:val="00BF6DE8"/>
    <w:rsid w:val="00BF7350"/>
    <w:rsid w:val="00BF77FD"/>
    <w:rsid w:val="00BF7ED9"/>
    <w:rsid w:val="00C00AA5"/>
    <w:rsid w:val="00C00B3B"/>
    <w:rsid w:val="00C0235B"/>
    <w:rsid w:val="00C02450"/>
    <w:rsid w:val="00C02544"/>
    <w:rsid w:val="00C0321E"/>
    <w:rsid w:val="00C038D0"/>
    <w:rsid w:val="00C0441E"/>
    <w:rsid w:val="00C0477D"/>
    <w:rsid w:val="00C066AF"/>
    <w:rsid w:val="00C06CE4"/>
    <w:rsid w:val="00C07DEC"/>
    <w:rsid w:val="00C07F1C"/>
    <w:rsid w:val="00C1005F"/>
    <w:rsid w:val="00C10734"/>
    <w:rsid w:val="00C107D2"/>
    <w:rsid w:val="00C11CE3"/>
    <w:rsid w:val="00C11D68"/>
    <w:rsid w:val="00C11F05"/>
    <w:rsid w:val="00C11F2F"/>
    <w:rsid w:val="00C12D0A"/>
    <w:rsid w:val="00C13681"/>
    <w:rsid w:val="00C13DA0"/>
    <w:rsid w:val="00C157A7"/>
    <w:rsid w:val="00C159BF"/>
    <w:rsid w:val="00C15DEF"/>
    <w:rsid w:val="00C17B32"/>
    <w:rsid w:val="00C2053F"/>
    <w:rsid w:val="00C2090A"/>
    <w:rsid w:val="00C20E76"/>
    <w:rsid w:val="00C2116F"/>
    <w:rsid w:val="00C23647"/>
    <w:rsid w:val="00C2476F"/>
    <w:rsid w:val="00C24BB1"/>
    <w:rsid w:val="00C2641F"/>
    <w:rsid w:val="00C276B1"/>
    <w:rsid w:val="00C3009E"/>
    <w:rsid w:val="00C31E81"/>
    <w:rsid w:val="00C3200E"/>
    <w:rsid w:val="00C3239B"/>
    <w:rsid w:val="00C3249E"/>
    <w:rsid w:val="00C32727"/>
    <w:rsid w:val="00C3303C"/>
    <w:rsid w:val="00C3324A"/>
    <w:rsid w:val="00C342CD"/>
    <w:rsid w:val="00C34390"/>
    <w:rsid w:val="00C34C59"/>
    <w:rsid w:val="00C359BA"/>
    <w:rsid w:val="00C36775"/>
    <w:rsid w:val="00C37501"/>
    <w:rsid w:val="00C37785"/>
    <w:rsid w:val="00C37ACA"/>
    <w:rsid w:val="00C37BFF"/>
    <w:rsid w:val="00C40598"/>
    <w:rsid w:val="00C40689"/>
    <w:rsid w:val="00C41058"/>
    <w:rsid w:val="00C41D55"/>
    <w:rsid w:val="00C42089"/>
    <w:rsid w:val="00C428E6"/>
    <w:rsid w:val="00C42C72"/>
    <w:rsid w:val="00C42D37"/>
    <w:rsid w:val="00C431A3"/>
    <w:rsid w:val="00C431FB"/>
    <w:rsid w:val="00C43709"/>
    <w:rsid w:val="00C43DF8"/>
    <w:rsid w:val="00C44BE3"/>
    <w:rsid w:val="00C44C1D"/>
    <w:rsid w:val="00C450A9"/>
    <w:rsid w:val="00C451AE"/>
    <w:rsid w:val="00C456A0"/>
    <w:rsid w:val="00C45903"/>
    <w:rsid w:val="00C45E52"/>
    <w:rsid w:val="00C46399"/>
    <w:rsid w:val="00C463CE"/>
    <w:rsid w:val="00C46D0E"/>
    <w:rsid w:val="00C47739"/>
    <w:rsid w:val="00C47826"/>
    <w:rsid w:val="00C50473"/>
    <w:rsid w:val="00C51235"/>
    <w:rsid w:val="00C51CBB"/>
    <w:rsid w:val="00C53762"/>
    <w:rsid w:val="00C53EF2"/>
    <w:rsid w:val="00C54FE8"/>
    <w:rsid w:val="00C55846"/>
    <w:rsid w:val="00C57987"/>
    <w:rsid w:val="00C61294"/>
    <w:rsid w:val="00C61EA2"/>
    <w:rsid w:val="00C62EC2"/>
    <w:rsid w:val="00C6305B"/>
    <w:rsid w:val="00C63109"/>
    <w:rsid w:val="00C63C1F"/>
    <w:rsid w:val="00C63ED7"/>
    <w:rsid w:val="00C64659"/>
    <w:rsid w:val="00C65397"/>
    <w:rsid w:val="00C6609A"/>
    <w:rsid w:val="00C66319"/>
    <w:rsid w:val="00C66801"/>
    <w:rsid w:val="00C674D7"/>
    <w:rsid w:val="00C705DA"/>
    <w:rsid w:val="00C71313"/>
    <w:rsid w:val="00C715F0"/>
    <w:rsid w:val="00C7243B"/>
    <w:rsid w:val="00C7356F"/>
    <w:rsid w:val="00C73D8A"/>
    <w:rsid w:val="00C74126"/>
    <w:rsid w:val="00C74C39"/>
    <w:rsid w:val="00C74DA9"/>
    <w:rsid w:val="00C74E8D"/>
    <w:rsid w:val="00C7533D"/>
    <w:rsid w:val="00C753BA"/>
    <w:rsid w:val="00C75A4F"/>
    <w:rsid w:val="00C7638D"/>
    <w:rsid w:val="00C763EA"/>
    <w:rsid w:val="00C76CF5"/>
    <w:rsid w:val="00C77417"/>
    <w:rsid w:val="00C8049D"/>
    <w:rsid w:val="00C81A4D"/>
    <w:rsid w:val="00C81E1B"/>
    <w:rsid w:val="00C82B5A"/>
    <w:rsid w:val="00C82FED"/>
    <w:rsid w:val="00C854F5"/>
    <w:rsid w:val="00C85875"/>
    <w:rsid w:val="00C85E77"/>
    <w:rsid w:val="00C86988"/>
    <w:rsid w:val="00C86D90"/>
    <w:rsid w:val="00C872C5"/>
    <w:rsid w:val="00C8748F"/>
    <w:rsid w:val="00C87885"/>
    <w:rsid w:val="00C87FB8"/>
    <w:rsid w:val="00C91347"/>
    <w:rsid w:val="00C91CF4"/>
    <w:rsid w:val="00C92123"/>
    <w:rsid w:val="00C943A1"/>
    <w:rsid w:val="00C94505"/>
    <w:rsid w:val="00C946DC"/>
    <w:rsid w:val="00C95596"/>
    <w:rsid w:val="00C95850"/>
    <w:rsid w:val="00C95B85"/>
    <w:rsid w:val="00C95DDE"/>
    <w:rsid w:val="00C967D2"/>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656F"/>
    <w:rsid w:val="00CA709C"/>
    <w:rsid w:val="00CA739B"/>
    <w:rsid w:val="00CA7A51"/>
    <w:rsid w:val="00CB1F59"/>
    <w:rsid w:val="00CB2844"/>
    <w:rsid w:val="00CB3115"/>
    <w:rsid w:val="00CB405B"/>
    <w:rsid w:val="00CB431C"/>
    <w:rsid w:val="00CB4589"/>
    <w:rsid w:val="00CB54F0"/>
    <w:rsid w:val="00CB588E"/>
    <w:rsid w:val="00CB60C9"/>
    <w:rsid w:val="00CB62C0"/>
    <w:rsid w:val="00CB6D24"/>
    <w:rsid w:val="00CB795F"/>
    <w:rsid w:val="00CB7EB1"/>
    <w:rsid w:val="00CC0486"/>
    <w:rsid w:val="00CC04BE"/>
    <w:rsid w:val="00CC0B67"/>
    <w:rsid w:val="00CC0D15"/>
    <w:rsid w:val="00CC12AE"/>
    <w:rsid w:val="00CC1880"/>
    <w:rsid w:val="00CC2A06"/>
    <w:rsid w:val="00CC347C"/>
    <w:rsid w:val="00CC36A5"/>
    <w:rsid w:val="00CC4867"/>
    <w:rsid w:val="00CC4E7C"/>
    <w:rsid w:val="00CC5AB0"/>
    <w:rsid w:val="00CC6371"/>
    <w:rsid w:val="00CC6AFF"/>
    <w:rsid w:val="00CC7B58"/>
    <w:rsid w:val="00CC7ED8"/>
    <w:rsid w:val="00CC7F08"/>
    <w:rsid w:val="00CD0293"/>
    <w:rsid w:val="00CD12CE"/>
    <w:rsid w:val="00CD1BF3"/>
    <w:rsid w:val="00CD1FC8"/>
    <w:rsid w:val="00CD3382"/>
    <w:rsid w:val="00CD4CD6"/>
    <w:rsid w:val="00CD6887"/>
    <w:rsid w:val="00CD6D33"/>
    <w:rsid w:val="00CD734A"/>
    <w:rsid w:val="00CD73EB"/>
    <w:rsid w:val="00CE0085"/>
    <w:rsid w:val="00CE0472"/>
    <w:rsid w:val="00CE1409"/>
    <w:rsid w:val="00CE179F"/>
    <w:rsid w:val="00CE2B6C"/>
    <w:rsid w:val="00CE2C1A"/>
    <w:rsid w:val="00CE390E"/>
    <w:rsid w:val="00CE3F53"/>
    <w:rsid w:val="00CE4134"/>
    <w:rsid w:val="00CE443B"/>
    <w:rsid w:val="00CE4D05"/>
    <w:rsid w:val="00CE558E"/>
    <w:rsid w:val="00CE5774"/>
    <w:rsid w:val="00CE7933"/>
    <w:rsid w:val="00CF164C"/>
    <w:rsid w:val="00CF2389"/>
    <w:rsid w:val="00CF2BA9"/>
    <w:rsid w:val="00CF2C6F"/>
    <w:rsid w:val="00CF4131"/>
    <w:rsid w:val="00CF5085"/>
    <w:rsid w:val="00CF5FDC"/>
    <w:rsid w:val="00CF6AF2"/>
    <w:rsid w:val="00CF7E38"/>
    <w:rsid w:val="00D00382"/>
    <w:rsid w:val="00D0086A"/>
    <w:rsid w:val="00D01245"/>
    <w:rsid w:val="00D015AC"/>
    <w:rsid w:val="00D01F5A"/>
    <w:rsid w:val="00D02046"/>
    <w:rsid w:val="00D0233D"/>
    <w:rsid w:val="00D02C8E"/>
    <w:rsid w:val="00D02EF1"/>
    <w:rsid w:val="00D04747"/>
    <w:rsid w:val="00D05419"/>
    <w:rsid w:val="00D05719"/>
    <w:rsid w:val="00D06C9B"/>
    <w:rsid w:val="00D06CAE"/>
    <w:rsid w:val="00D07A8D"/>
    <w:rsid w:val="00D1024D"/>
    <w:rsid w:val="00D11F5B"/>
    <w:rsid w:val="00D120BF"/>
    <w:rsid w:val="00D127F7"/>
    <w:rsid w:val="00D143EC"/>
    <w:rsid w:val="00D1469B"/>
    <w:rsid w:val="00D14902"/>
    <w:rsid w:val="00D14962"/>
    <w:rsid w:val="00D15792"/>
    <w:rsid w:val="00D16547"/>
    <w:rsid w:val="00D16F88"/>
    <w:rsid w:val="00D1741D"/>
    <w:rsid w:val="00D174C3"/>
    <w:rsid w:val="00D17D15"/>
    <w:rsid w:val="00D17E55"/>
    <w:rsid w:val="00D17E77"/>
    <w:rsid w:val="00D20614"/>
    <w:rsid w:val="00D2179B"/>
    <w:rsid w:val="00D2181D"/>
    <w:rsid w:val="00D21AB8"/>
    <w:rsid w:val="00D21F46"/>
    <w:rsid w:val="00D22699"/>
    <w:rsid w:val="00D2316C"/>
    <w:rsid w:val="00D232B7"/>
    <w:rsid w:val="00D23531"/>
    <w:rsid w:val="00D24D0C"/>
    <w:rsid w:val="00D24ED3"/>
    <w:rsid w:val="00D24FF4"/>
    <w:rsid w:val="00D2785D"/>
    <w:rsid w:val="00D303AC"/>
    <w:rsid w:val="00D30A84"/>
    <w:rsid w:val="00D30CBA"/>
    <w:rsid w:val="00D323B5"/>
    <w:rsid w:val="00D3247D"/>
    <w:rsid w:val="00D327B7"/>
    <w:rsid w:val="00D32E63"/>
    <w:rsid w:val="00D34371"/>
    <w:rsid w:val="00D3564F"/>
    <w:rsid w:val="00D35913"/>
    <w:rsid w:val="00D36333"/>
    <w:rsid w:val="00D363D9"/>
    <w:rsid w:val="00D3661A"/>
    <w:rsid w:val="00D376D6"/>
    <w:rsid w:val="00D37A7B"/>
    <w:rsid w:val="00D37C36"/>
    <w:rsid w:val="00D37F4D"/>
    <w:rsid w:val="00D4187B"/>
    <w:rsid w:val="00D42173"/>
    <w:rsid w:val="00D422A8"/>
    <w:rsid w:val="00D428B3"/>
    <w:rsid w:val="00D43E58"/>
    <w:rsid w:val="00D44150"/>
    <w:rsid w:val="00D44D21"/>
    <w:rsid w:val="00D456C4"/>
    <w:rsid w:val="00D459CF"/>
    <w:rsid w:val="00D459F5"/>
    <w:rsid w:val="00D46A7B"/>
    <w:rsid w:val="00D46D74"/>
    <w:rsid w:val="00D50123"/>
    <w:rsid w:val="00D501B4"/>
    <w:rsid w:val="00D50441"/>
    <w:rsid w:val="00D5073A"/>
    <w:rsid w:val="00D50C9B"/>
    <w:rsid w:val="00D52088"/>
    <w:rsid w:val="00D52483"/>
    <w:rsid w:val="00D54230"/>
    <w:rsid w:val="00D549BF"/>
    <w:rsid w:val="00D551E1"/>
    <w:rsid w:val="00D55763"/>
    <w:rsid w:val="00D569B1"/>
    <w:rsid w:val="00D5708A"/>
    <w:rsid w:val="00D576B5"/>
    <w:rsid w:val="00D57849"/>
    <w:rsid w:val="00D579C5"/>
    <w:rsid w:val="00D60439"/>
    <w:rsid w:val="00D606C2"/>
    <w:rsid w:val="00D60BB2"/>
    <w:rsid w:val="00D60F74"/>
    <w:rsid w:val="00D6199A"/>
    <w:rsid w:val="00D62AB4"/>
    <w:rsid w:val="00D63300"/>
    <w:rsid w:val="00D634BA"/>
    <w:rsid w:val="00D6594B"/>
    <w:rsid w:val="00D6661E"/>
    <w:rsid w:val="00D6714F"/>
    <w:rsid w:val="00D6743A"/>
    <w:rsid w:val="00D67722"/>
    <w:rsid w:val="00D67B64"/>
    <w:rsid w:val="00D67BEE"/>
    <w:rsid w:val="00D7052B"/>
    <w:rsid w:val="00D7087F"/>
    <w:rsid w:val="00D70BF5"/>
    <w:rsid w:val="00D70EB2"/>
    <w:rsid w:val="00D715EF"/>
    <w:rsid w:val="00D720BB"/>
    <w:rsid w:val="00D724F9"/>
    <w:rsid w:val="00D729FE"/>
    <w:rsid w:val="00D75924"/>
    <w:rsid w:val="00D75DD0"/>
    <w:rsid w:val="00D7602E"/>
    <w:rsid w:val="00D76996"/>
    <w:rsid w:val="00D76B7B"/>
    <w:rsid w:val="00D77522"/>
    <w:rsid w:val="00D77C45"/>
    <w:rsid w:val="00D81071"/>
    <w:rsid w:val="00D8167E"/>
    <w:rsid w:val="00D821E0"/>
    <w:rsid w:val="00D82879"/>
    <w:rsid w:val="00D835A8"/>
    <w:rsid w:val="00D83B82"/>
    <w:rsid w:val="00D83BE5"/>
    <w:rsid w:val="00D85D3F"/>
    <w:rsid w:val="00D86FFD"/>
    <w:rsid w:val="00D87182"/>
    <w:rsid w:val="00D87479"/>
    <w:rsid w:val="00D90C95"/>
    <w:rsid w:val="00D9150D"/>
    <w:rsid w:val="00D92B42"/>
    <w:rsid w:val="00D93254"/>
    <w:rsid w:val="00D936C9"/>
    <w:rsid w:val="00D941F7"/>
    <w:rsid w:val="00D942E1"/>
    <w:rsid w:val="00D94CF6"/>
    <w:rsid w:val="00D94FCD"/>
    <w:rsid w:val="00D9508B"/>
    <w:rsid w:val="00D952A8"/>
    <w:rsid w:val="00D95B00"/>
    <w:rsid w:val="00D961F2"/>
    <w:rsid w:val="00D97687"/>
    <w:rsid w:val="00D9775E"/>
    <w:rsid w:val="00D97CC9"/>
    <w:rsid w:val="00DA023C"/>
    <w:rsid w:val="00DA1610"/>
    <w:rsid w:val="00DA1773"/>
    <w:rsid w:val="00DA1A11"/>
    <w:rsid w:val="00DA1BEF"/>
    <w:rsid w:val="00DA28A8"/>
    <w:rsid w:val="00DA3143"/>
    <w:rsid w:val="00DA340C"/>
    <w:rsid w:val="00DA4EAE"/>
    <w:rsid w:val="00DA51BA"/>
    <w:rsid w:val="00DA55D4"/>
    <w:rsid w:val="00DA6854"/>
    <w:rsid w:val="00DA6D4F"/>
    <w:rsid w:val="00DA6FB4"/>
    <w:rsid w:val="00DA7AC3"/>
    <w:rsid w:val="00DA7B65"/>
    <w:rsid w:val="00DB0746"/>
    <w:rsid w:val="00DB10A8"/>
    <w:rsid w:val="00DB22B0"/>
    <w:rsid w:val="00DB4C98"/>
    <w:rsid w:val="00DB584E"/>
    <w:rsid w:val="00DB6511"/>
    <w:rsid w:val="00DB69D9"/>
    <w:rsid w:val="00DB73CB"/>
    <w:rsid w:val="00DB7B57"/>
    <w:rsid w:val="00DC0777"/>
    <w:rsid w:val="00DC126B"/>
    <w:rsid w:val="00DC16AF"/>
    <w:rsid w:val="00DC32EC"/>
    <w:rsid w:val="00DC4099"/>
    <w:rsid w:val="00DC4790"/>
    <w:rsid w:val="00DC6737"/>
    <w:rsid w:val="00DC67A5"/>
    <w:rsid w:val="00DC69EB"/>
    <w:rsid w:val="00DC7873"/>
    <w:rsid w:val="00DD051E"/>
    <w:rsid w:val="00DD05B3"/>
    <w:rsid w:val="00DD0BA0"/>
    <w:rsid w:val="00DD1046"/>
    <w:rsid w:val="00DD21B0"/>
    <w:rsid w:val="00DD36E9"/>
    <w:rsid w:val="00DD48A5"/>
    <w:rsid w:val="00DD53A9"/>
    <w:rsid w:val="00DD5856"/>
    <w:rsid w:val="00DD6197"/>
    <w:rsid w:val="00DD72A6"/>
    <w:rsid w:val="00DD7B40"/>
    <w:rsid w:val="00DD7DF0"/>
    <w:rsid w:val="00DE0FFF"/>
    <w:rsid w:val="00DE117E"/>
    <w:rsid w:val="00DE12AA"/>
    <w:rsid w:val="00DE1987"/>
    <w:rsid w:val="00DE1EF9"/>
    <w:rsid w:val="00DE2A71"/>
    <w:rsid w:val="00DE2AC1"/>
    <w:rsid w:val="00DE2CA6"/>
    <w:rsid w:val="00DE36CF"/>
    <w:rsid w:val="00DE39F1"/>
    <w:rsid w:val="00DE42BA"/>
    <w:rsid w:val="00DE480B"/>
    <w:rsid w:val="00DE488B"/>
    <w:rsid w:val="00DE4D7D"/>
    <w:rsid w:val="00DE50C2"/>
    <w:rsid w:val="00DE566F"/>
    <w:rsid w:val="00DE5DF9"/>
    <w:rsid w:val="00DE5E0C"/>
    <w:rsid w:val="00DE71C0"/>
    <w:rsid w:val="00DF0728"/>
    <w:rsid w:val="00DF1ADC"/>
    <w:rsid w:val="00DF1C72"/>
    <w:rsid w:val="00DF2249"/>
    <w:rsid w:val="00DF2347"/>
    <w:rsid w:val="00DF2C5D"/>
    <w:rsid w:val="00DF30D5"/>
    <w:rsid w:val="00DF363A"/>
    <w:rsid w:val="00DF382E"/>
    <w:rsid w:val="00DF4173"/>
    <w:rsid w:val="00DF4488"/>
    <w:rsid w:val="00DF4AA6"/>
    <w:rsid w:val="00DF4B5E"/>
    <w:rsid w:val="00DF4CA9"/>
    <w:rsid w:val="00DF5312"/>
    <w:rsid w:val="00DF53E8"/>
    <w:rsid w:val="00DF61C8"/>
    <w:rsid w:val="00DF6323"/>
    <w:rsid w:val="00DF6B26"/>
    <w:rsid w:val="00DF744E"/>
    <w:rsid w:val="00DF7F40"/>
    <w:rsid w:val="00E00258"/>
    <w:rsid w:val="00E0068F"/>
    <w:rsid w:val="00E01B7C"/>
    <w:rsid w:val="00E03003"/>
    <w:rsid w:val="00E048B4"/>
    <w:rsid w:val="00E054BA"/>
    <w:rsid w:val="00E05967"/>
    <w:rsid w:val="00E06F9F"/>
    <w:rsid w:val="00E1051A"/>
    <w:rsid w:val="00E1099E"/>
    <w:rsid w:val="00E10D3F"/>
    <w:rsid w:val="00E1129E"/>
    <w:rsid w:val="00E11917"/>
    <w:rsid w:val="00E120DB"/>
    <w:rsid w:val="00E121DD"/>
    <w:rsid w:val="00E12264"/>
    <w:rsid w:val="00E146B9"/>
    <w:rsid w:val="00E15A7E"/>
    <w:rsid w:val="00E160CA"/>
    <w:rsid w:val="00E16113"/>
    <w:rsid w:val="00E1675C"/>
    <w:rsid w:val="00E16977"/>
    <w:rsid w:val="00E16BE1"/>
    <w:rsid w:val="00E17DAB"/>
    <w:rsid w:val="00E20209"/>
    <w:rsid w:val="00E20628"/>
    <w:rsid w:val="00E2103B"/>
    <w:rsid w:val="00E223BE"/>
    <w:rsid w:val="00E22A07"/>
    <w:rsid w:val="00E235C3"/>
    <w:rsid w:val="00E253F7"/>
    <w:rsid w:val="00E25F3F"/>
    <w:rsid w:val="00E26003"/>
    <w:rsid w:val="00E27198"/>
    <w:rsid w:val="00E273FF"/>
    <w:rsid w:val="00E27A1A"/>
    <w:rsid w:val="00E27B91"/>
    <w:rsid w:val="00E27DAF"/>
    <w:rsid w:val="00E3011D"/>
    <w:rsid w:val="00E306E7"/>
    <w:rsid w:val="00E3076A"/>
    <w:rsid w:val="00E3086B"/>
    <w:rsid w:val="00E3087C"/>
    <w:rsid w:val="00E30E1D"/>
    <w:rsid w:val="00E30FE2"/>
    <w:rsid w:val="00E31C42"/>
    <w:rsid w:val="00E335C8"/>
    <w:rsid w:val="00E359A2"/>
    <w:rsid w:val="00E3664F"/>
    <w:rsid w:val="00E36F77"/>
    <w:rsid w:val="00E37BA9"/>
    <w:rsid w:val="00E37F9B"/>
    <w:rsid w:val="00E41555"/>
    <w:rsid w:val="00E42411"/>
    <w:rsid w:val="00E42C8A"/>
    <w:rsid w:val="00E436F2"/>
    <w:rsid w:val="00E43965"/>
    <w:rsid w:val="00E43E3B"/>
    <w:rsid w:val="00E43EBD"/>
    <w:rsid w:val="00E4452C"/>
    <w:rsid w:val="00E4582E"/>
    <w:rsid w:val="00E46611"/>
    <w:rsid w:val="00E46AB8"/>
    <w:rsid w:val="00E473B3"/>
    <w:rsid w:val="00E479CE"/>
    <w:rsid w:val="00E47E4E"/>
    <w:rsid w:val="00E50E8D"/>
    <w:rsid w:val="00E518B1"/>
    <w:rsid w:val="00E51F1C"/>
    <w:rsid w:val="00E526B1"/>
    <w:rsid w:val="00E53F1A"/>
    <w:rsid w:val="00E54111"/>
    <w:rsid w:val="00E54185"/>
    <w:rsid w:val="00E5444F"/>
    <w:rsid w:val="00E55ABA"/>
    <w:rsid w:val="00E5653C"/>
    <w:rsid w:val="00E56C6B"/>
    <w:rsid w:val="00E57CA7"/>
    <w:rsid w:val="00E60902"/>
    <w:rsid w:val="00E61C5E"/>
    <w:rsid w:val="00E61EC0"/>
    <w:rsid w:val="00E62415"/>
    <w:rsid w:val="00E62B36"/>
    <w:rsid w:val="00E62DF5"/>
    <w:rsid w:val="00E63BDC"/>
    <w:rsid w:val="00E63D9E"/>
    <w:rsid w:val="00E647C8"/>
    <w:rsid w:val="00E64EFB"/>
    <w:rsid w:val="00E67C82"/>
    <w:rsid w:val="00E702CE"/>
    <w:rsid w:val="00E705E8"/>
    <w:rsid w:val="00E70F0A"/>
    <w:rsid w:val="00E71156"/>
    <w:rsid w:val="00E71844"/>
    <w:rsid w:val="00E731D7"/>
    <w:rsid w:val="00E7371B"/>
    <w:rsid w:val="00E73765"/>
    <w:rsid w:val="00E7448A"/>
    <w:rsid w:val="00E74ACE"/>
    <w:rsid w:val="00E74CD3"/>
    <w:rsid w:val="00E75A0F"/>
    <w:rsid w:val="00E77379"/>
    <w:rsid w:val="00E77C06"/>
    <w:rsid w:val="00E82723"/>
    <w:rsid w:val="00E829D5"/>
    <w:rsid w:val="00E831F7"/>
    <w:rsid w:val="00E835D7"/>
    <w:rsid w:val="00E83939"/>
    <w:rsid w:val="00E855E0"/>
    <w:rsid w:val="00E860B7"/>
    <w:rsid w:val="00E8660F"/>
    <w:rsid w:val="00E8780D"/>
    <w:rsid w:val="00E9216C"/>
    <w:rsid w:val="00E9221F"/>
    <w:rsid w:val="00E92644"/>
    <w:rsid w:val="00E9274F"/>
    <w:rsid w:val="00E9325D"/>
    <w:rsid w:val="00E93C24"/>
    <w:rsid w:val="00E94499"/>
    <w:rsid w:val="00E95DB8"/>
    <w:rsid w:val="00E95E3B"/>
    <w:rsid w:val="00E97411"/>
    <w:rsid w:val="00E97527"/>
    <w:rsid w:val="00E9782A"/>
    <w:rsid w:val="00EA0539"/>
    <w:rsid w:val="00EA186C"/>
    <w:rsid w:val="00EA2DA1"/>
    <w:rsid w:val="00EA46A8"/>
    <w:rsid w:val="00EA5A9E"/>
    <w:rsid w:val="00EA63CB"/>
    <w:rsid w:val="00EA63DD"/>
    <w:rsid w:val="00EA6556"/>
    <w:rsid w:val="00EA6842"/>
    <w:rsid w:val="00EA6D25"/>
    <w:rsid w:val="00EB1B80"/>
    <w:rsid w:val="00EB2F4A"/>
    <w:rsid w:val="00EB36B8"/>
    <w:rsid w:val="00EB4C26"/>
    <w:rsid w:val="00EB5127"/>
    <w:rsid w:val="00EB53F2"/>
    <w:rsid w:val="00EB548C"/>
    <w:rsid w:val="00EB57E0"/>
    <w:rsid w:val="00EB5E1B"/>
    <w:rsid w:val="00EB74BF"/>
    <w:rsid w:val="00EB7803"/>
    <w:rsid w:val="00EC0295"/>
    <w:rsid w:val="00EC0454"/>
    <w:rsid w:val="00EC113D"/>
    <w:rsid w:val="00EC19FA"/>
    <w:rsid w:val="00EC1F39"/>
    <w:rsid w:val="00EC2226"/>
    <w:rsid w:val="00EC260A"/>
    <w:rsid w:val="00EC2948"/>
    <w:rsid w:val="00EC4F0F"/>
    <w:rsid w:val="00EC5F86"/>
    <w:rsid w:val="00EC6429"/>
    <w:rsid w:val="00EC7D7E"/>
    <w:rsid w:val="00ED04AA"/>
    <w:rsid w:val="00ED0940"/>
    <w:rsid w:val="00ED0CE4"/>
    <w:rsid w:val="00ED1C70"/>
    <w:rsid w:val="00ED25CE"/>
    <w:rsid w:val="00ED3A55"/>
    <w:rsid w:val="00ED3B06"/>
    <w:rsid w:val="00ED402C"/>
    <w:rsid w:val="00ED511B"/>
    <w:rsid w:val="00ED6969"/>
    <w:rsid w:val="00ED7DD7"/>
    <w:rsid w:val="00EE084C"/>
    <w:rsid w:val="00EE0ACF"/>
    <w:rsid w:val="00EE1BFA"/>
    <w:rsid w:val="00EE1EF1"/>
    <w:rsid w:val="00EE22E3"/>
    <w:rsid w:val="00EE2E89"/>
    <w:rsid w:val="00EE2ED0"/>
    <w:rsid w:val="00EE37DE"/>
    <w:rsid w:val="00EE3D4A"/>
    <w:rsid w:val="00EE67C5"/>
    <w:rsid w:val="00EF0D50"/>
    <w:rsid w:val="00EF18EF"/>
    <w:rsid w:val="00EF22D3"/>
    <w:rsid w:val="00EF374B"/>
    <w:rsid w:val="00EF4031"/>
    <w:rsid w:val="00EF45CE"/>
    <w:rsid w:val="00EF4C71"/>
    <w:rsid w:val="00EF6636"/>
    <w:rsid w:val="00EF6884"/>
    <w:rsid w:val="00EF695C"/>
    <w:rsid w:val="00EF7FE7"/>
    <w:rsid w:val="00F0032B"/>
    <w:rsid w:val="00F00984"/>
    <w:rsid w:val="00F0108D"/>
    <w:rsid w:val="00F01CA1"/>
    <w:rsid w:val="00F01FF7"/>
    <w:rsid w:val="00F021D6"/>
    <w:rsid w:val="00F0242C"/>
    <w:rsid w:val="00F02CC2"/>
    <w:rsid w:val="00F0309D"/>
    <w:rsid w:val="00F05908"/>
    <w:rsid w:val="00F05D47"/>
    <w:rsid w:val="00F0659E"/>
    <w:rsid w:val="00F06B82"/>
    <w:rsid w:val="00F06FF2"/>
    <w:rsid w:val="00F07207"/>
    <w:rsid w:val="00F10305"/>
    <w:rsid w:val="00F1076B"/>
    <w:rsid w:val="00F10D71"/>
    <w:rsid w:val="00F11B9B"/>
    <w:rsid w:val="00F11D20"/>
    <w:rsid w:val="00F120D0"/>
    <w:rsid w:val="00F1349A"/>
    <w:rsid w:val="00F1363A"/>
    <w:rsid w:val="00F13E0D"/>
    <w:rsid w:val="00F15DFF"/>
    <w:rsid w:val="00F15F6A"/>
    <w:rsid w:val="00F162A2"/>
    <w:rsid w:val="00F16A98"/>
    <w:rsid w:val="00F1759C"/>
    <w:rsid w:val="00F175CA"/>
    <w:rsid w:val="00F20A2E"/>
    <w:rsid w:val="00F20B6E"/>
    <w:rsid w:val="00F20DCD"/>
    <w:rsid w:val="00F20FF5"/>
    <w:rsid w:val="00F2147D"/>
    <w:rsid w:val="00F226EA"/>
    <w:rsid w:val="00F23129"/>
    <w:rsid w:val="00F23D13"/>
    <w:rsid w:val="00F23F24"/>
    <w:rsid w:val="00F245EE"/>
    <w:rsid w:val="00F248EC"/>
    <w:rsid w:val="00F24BCF"/>
    <w:rsid w:val="00F24C64"/>
    <w:rsid w:val="00F2639B"/>
    <w:rsid w:val="00F271F4"/>
    <w:rsid w:val="00F276EE"/>
    <w:rsid w:val="00F27732"/>
    <w:rsid w:val="00F30B18"/>
    <w:rsid w:val="00F30CCF"/>
    <w:rsid w:val="00F30E17"/>
    <w:rsid w:val="00F31DCD"/>
    <w:rsid w:val="00F3255F"/>
    <w:rsid w:val="00F33271"/>
    <w:rsid w:val="00F34DE7"/>
    <w:rsid w:val="00F3510E"/>
    <w:rsid w:val="00F35B8D"/>
    <w:rsid w:val="00F373DC"/>
    <w:rsid w:val="00F37EF3"/>
    <w:rsid w:val="00F403D6"/>
    <w:rsid w:val="00F40782"/>
    <w:rsid w:val="00F40846"/>
    <w:rsid w:val="00F421D1"/>
    <w:rsid w:val="00F422EF"/>
    <w:rsid w:val="00F42894"/>
    <w:rsid w:val="00F42F84"/>
    <w:rsid w:val="00F43755"/>
    <w:rsid w:val="00F43800"/>
    <w:rsid w:val="00F43E26"/>
    <w:rsid w:val="00F44F1D"/>
    <w:rsid w:val="00F4532B"/>
    <w:rsid w:val="00F45CF2"/>
    <w:rsid w:val="00F470EA"/>
    <w:rsid w:val="00F47B25"/>
    <w:rsid w:val="00F5038E"/>
    <w:rsid w:val="00F506AE"/>
    <w:rsid w:val="00F51346"/>
    <w:rsid w:val="00F5138A"/>
    <w:rsid w:val="00F51E7D"/>
    <w:rsid w:val="00F5235B"/>
    <w:rsid w:val="00F52781"/>
    <w:rsid w:val="00F52DD1"/>
    <w:rsid w:val="00F54947"/>
    <w:rsid w:val="00F54F7B"/>
    <w:rsid w:val="00F55CD7"/>
    <w:rsid w:val="00F560DC"/>
    <w:rsid w:val="00F56916"/>
    <w:rsid w:val="00F56AD0"/>
    <w:rsid w:val="00F56CB1"/>
    <w:rsid w:val="00F60D27"/>
    <w:rsid w:val="00F626C2"/>
    <w:rsid w:val="00F630EF"/>
    <w:rsid w:val="00F63F85"/>
    <w:rsid w:val="00F64C94"/>
    <w:rsid w:val="00F64D16"/>
    <w:rsid w:val="00F65819"/>
    <w:rsid w:val="00F66865"/>
    <w:rsid w:val="00F66981"/>
    <w:rsid w:val="00F67A6B"/>
    <w:rsid w:val="00F70B5B"/>
    <w:rsid w:val="00F71157"/>
    <w:rsid w:val="00F713C0"/>
    <w:rsid w:val="00F71634"/>
    <w:rsid w:val="00F7244F"/>
    <w:rsid w:val="00F727F5"/>
    <w:rsid w:val="00F72962"/>
    <w:rsid w:val="00F72D23"/>
    <w:rsid w:val="00F734C5"/>
    <w:rsid w:val="00F737FB"/>
    <w:rsid w:val="00F73E5C"/>
    <w:rsid w:val="00F743D8"/>
    <w:rsid w:val="00F74CB0"/>
    <w:rsid w:val="00F75495"/>
    <w:rsid w:val="00F7639C"/>
    <w:rsid w:val="00F765EB"/>
    <w:rsid w:val="00F76679"/>
    <w:rsid w:val="00F76FD9"/>
    <w:rsid w:val="00F773A0"/>
    <w:rsid w:val="00F80C2E"/>
    <w:rsid w:val="00F80C69"/>
    <w:rsid w:val="00F80F7D"/>
    <w:rsid w:val="00F81CE4"/>
    <w:rsid w:val="00F81DF9"/>
    <w:rsid w:val="00F822BA"/>
    <w:rsid w:val="00F827BE"/>
    <w:rsid w:val="00F836EA"/>
    <w:rsid w:val="00F8435D"/>
    <w:rsid w:val="00F84D49"/>
    <w:rsid w:val="00F8673B"/>
    <w:rsid w:val="00F86E8F"/>
    <w:rsid w:val="00F87522"/>
    <w:rsid w:val="00F87BEE"/>
    <w:rsid w:val="00F908F8"/>
    <w:rsid w:val="00F92442"/>
    <w:rsid w:val="00F926C8"/>
    <w:rsid w:val="00F936E6"/>
    <w:rsid w:val="00F9370E"/>
    <w:rsid w:val="00F939DB"/>
    <w:rsid w:val="00F94E8C"/>
    <w:rsid w:val="00F95D70"/>
    <w:rsid w:val="00F964B0"/>
    <w:rsid w:val="00F973F0"/>
    <w:rsid w:val="00F97B52"/>
    <w:rsid w:val="00F97D2D"/>
    <w:rsid w:val="00FA05A4"/>
    <w:rsid w:val="00FA0A66"/>
    <w:rsid w:val="00FA2D24"/>
    <w:rsid w:val="00FA2F87"/>
    <w:rsid w:val="00FA30C2"/>
    <w:rsid w:val="00FA31D8"/>
    <w:rsid w:val="00FA63B6"/>
    <w:rsid w:val="00FA6958"/>
    <w:rsid w:val="00FA7135"/>
    <w:rsid w:val="00FA784C"/>
    <w:rsid w:val="00FA7B56"/>
    <w:rsid w:val="00FB06E1"/>
    <w:rsid w:val="00FB0CA2"/>
    <w:rsid w:val="00FB1A25"/>
    <w:rsid w:val="00FB21B4"/>
    <w:rsid w:val="00FB2EA5"/>
    <w:rsid w:val="00FB32F3"/>
    <w:rsid w:val="00FB4A9E"/>
    <w:rsid w:val="00FB55F3"/>
    <w:rsid w:val="00FB62CA"/>
    <w:rsid w:val="00FB66AB"/>
    <w:rsid w:val="00FB6912"/>
    <w:rsid w:val="00FB6F6F"/>
    <w:rsid w:val="00FC00DD"/>
    <w:rsid w:val="00FC017B"/>
    <w:rsid w:val="00FC0A72"/>
    <w:rsid w:val="00FC1247"/>
    <w:rsid w:val="00FC13E2"/>
    <w:rsid w:val="00FC14D9"/>
    <w:rsid w:val="00FC1C66"/>
    <w:rsid w:val="00FC27D4"/>
    <w:rsid w:val="00FC33C7"/>
    <w:rsid w:val="00FC3CD4"/>
    <w:rsid w:val="00FC4E2A"/>
    <w:rsid w:val="00FC6CC9"/>
    <w:rsid w:val="00FC6CF3"/>
    <w:rsid w:val="00FC6F4F"/>
    <w:rsid w:val="00FC7872"/>
    <w:rsid w:val="00FD06B3"/>
    <w:rsid w:val="00FD165E"/>
    <w:rsid w:val="00FD1B30"/>
    <w:rsid w:val="00FD3D3E"/>
    <w:rsid w:val="00FD420C"/>
    <w:rsid w:val="00FD4772"/>
    <w:rsid w:val="00FD4975"/>
    <w:rsid w:val="00FD5051"/>
    <w:rsid w:val="00FD522D"/>
    <w:rsid w:val="00FD55DC"/>
    <w:rsid w:val="00FD5958"/>
    <w:rsid w:val="00FD5A0F"/>
    <w:rsid w:val="00FD5E8E"/>
    <w:rsid w:val="00FD756D"/>
    <w:rsid w:val="00FD7972"/>
    <w:rsid w:val="00FD79EA"/>
    <w:rsid w:val="00FD7AA5"/>
    <w:rsid w:val="00FD7ABC"/>
    <w:rsid w:val="00FE059A"/>
    <w:rsid w:val="00FE0767"/>
    <w:rsid w:val="00FE0781"/>
    <w:rsid w:val="00FE1091"/>
    <w:rsid w:val="00FE201B"/>
    <w:rsid w:val="00FE2022"/>
    <w:rsid w:val="00FE2311"/>
    <w:rsid w:val="00FE28B9"/>
    <w:rsid w:val="00FE29AF"/>
    <w:rsid w:val="00FE3287"/>
    <w:rsid w:val="00FE395C"/>
    <w:rsid w:val="00FE3BF2"/>
    <w:rsid w:val="00FE3DE9"/>
    <w:rsid w:val="00FE54AE"/>
    <w:rsid w:val="00FF046D"/>
    <w:rsid w:val="00FF1E56"/>
    <w:rsid w:val="00FF2122"/>
    <w:rsid w:val="00FF2339"/>
    <w:rsid w:val="00FF2430"/>
    <w:rsid w:val="00FF26B9"/>
    <w:rsid w:val="00FF33AA"/>
    <w:rsid w:val="00FF371D"/>
    <w:rsid w:val="00FF4513"/>
    <w:rsid w:val="00FF47BE"/>
    <w:rsid w:val="00FF4B33"/>
    <w:rsid w:val="00FF4C9F"/>
    <w:rsid w:val="00FF581C"/>
    <w:rsid w:val="00FF5B6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6289"/>
    <o:shapelayout v:ext="edit">
      <o:idmap v:ext="edit" data="1"/>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6"/>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3"/>
      </w:numPr>
    </w:pPr>
  </w:style>
  <w:style w:type="paragraph" w:customStyle="1" w:styleId="Exampletextdash">
    <w:name w:val="Example text dash"/>
    <w:basedOn w:val="Exampletextbullet"/>
    <w:semiHidden/>
    <w:rsid w:val="00BE1843"/>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3"/>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4"/>
      </w:numPr>
    </w:pPr>
    <w:rPr>
      <w:color w:val="000000"/>
    </w:rPr>
  </w:style>
  <w:style w:type="paragraph" w:customStyle="1" w:styleId="BoxDoubleDot">
    <w:name w:val="Box Double Dot"/>
    <w:basedOn w:val="BoxTextBase"/>
    <w:rsid w:val="00BE1843"/>
    <w:pPr>
      <w:numPr>
        <w:ilvl w:val="2"/>
        <w:numId w:val="4"/>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uiPriority w:val="99"/>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5"/>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qFormat/>
    <w:rsid w:val="00B24A34"/>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B24A34"/>
    <w:rPr>
      <w:rFonts w:ascii="Cambria" w:eastAsia="Cambria" w:hAnsi="Cambria"/>
      <w:sz w:val="22"/>
      <w:szCs w:val="22"/>
      <w:lang w:val="x-none" w:eastAsia="en-US"/>
    </w:rPr>
  </w:style>
  <w:style w:type="paragraph" w:customStyle="1" w:styleId="ChartandTableFootnoteAlphaSmall">
    <w:name w:val="Chart and Table Footnote Alpha Small"/>
    <w:basedOn w:val="HeadingBase"/>
    <w:next w:val="Normal"/>
    <w:rsid w:val="00B24A34"/>
    <w:pPr>
      <w:tabs>
        <w:tab w:val="num" w:pos="284"/>
      </w:tabs>
      <w:ind w:left="284" w:hanging="284"/>
      <w:jc w:val="both"/>
    </w:pPr>
    <w:rPr>
      <w:sz w:val="15"/>
    </w:rPr>
  </w:style>
  <w:style w:type="paragraph" w:styleId="NormalWeb">
    <w:name w:val="Normal (Web)"/>
    <w:basedOn w:val="Normal"/>
    <w:uiPriority w:val="99"/>
    <w:unhideWhenUsed/>
    <w:rsid w:val="00B24A34"/>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locked/>
    <w:rsid w:val="00B71843"/>
    <w:rPr>
      <w:rFonts w:ascii="Calibri" w:eastAsia="Calibri" w:hAnsi="Calibri"/>
      <w:sz w:val="22"/>
      <w:szCs w:val="22"/>
      <w:lang w:val="en-US" w:eastAsia="en-US"/>
    </w:rPr>
  </w:style>
  <w:style w:type="paragraph" w:customStyle="1" w:styleId="TableParagraph">
    <w:name w:val="Table Paragraph"/>
    <w:basedOn w:val="Normal"/>
    <w:uiPriority w:val="1"/>
    <w:qFormat/>
    <w:rsid w:val="004627C3"/>
    <w:pPr>
      <w:widowControl w:val="0"/>
      <w:autoSpaceDE w:val="0"/>
      <w:autoSpaceDN w:val="0"/>
      <w:spacing w:before="0" w:after="0" w:line="240" w:lineRule="auto"/>
    </w:pPr>
    <w:rPr>
      <w:rFonts w:ascii="Arial" w:eastAsia="Arial" w:hAnsi="Arial" w:cs="Arial"/>
      <w:sz w:val="22"/>
      <w:szCs w:val="22"/>
      <w:lang w:eastAsia="en-US"/>
    </w:rPr>
  </w:style>
  <w:style w:type="paragraph" w:customStyle="1" w:styleId="paragraph">
    <w:name w:val="paragraph"/>
    <w:basedOn w:val="Normal"/>
    <w:rsid w:val="00E7448A"/>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593365"/>
    <w:rPr>
      <w:color w:val="605E5C"/>
      <w:shd w:val="clear" w:color="auto" w:fill="E1DFDD"/>
    </w:rPr>
  </w:style>
  <w:style w:type="paragraph" w:customStyle="1" w:styleId="xtabletextbase">
    <w:name w:val="x_tabletextbase"/>
    <w:basedOn w:val="Normal"/>
    <w:rsid w:val="00B205BF"/>
    <w:pPr>
      <w:spacing w:before="20" w:after="20" w:line="240" w:lineRule="auto"/>
    </w:pPr>
    <w:rPr>
      <w:rFonts w:ascii="Arial" w:eastAsiaTheme="minorHAnsi"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114526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9587079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8520567">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2.emf"/><Relationship Id="rId26" Type="http://schemas.openxmlformats.org/officeDocument/2006/relationships/image" Target="media/image4.emf"/><Relationship Id="rId39" Type="http://schemas.openxmlformats.org/officeDocument/2006/relationships/header" Target="header8.xml"/><Relationship Id="rId21" Type="http://schemas.openxmlformats.org/officeDocument/2006/relationships/header" Target="header2.xml"/><Relationship Id="rId34" Type="http://schemas.openxmlformats.org/officeDocument/2006/relationships/header" Target="header6.xml"/><Relationship Id="rId42" Type="http://schemas.openxmlformats.org/officeDocument/2006/relationships/footer" Target="footer8.xml"/><Relationship Id="rId47" Type="http://schemas.openxmlformats.org/officeDocument/2006/relationships/header" Target="header11.xml"/><Relationship Id="rId50" Type="http://schemas.openxmlformats.org/officeDocument/2006/relationships/header" Target="header13.xml"/><Relationship Id="rId55"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7.emf"/><Relationship Id="rId11" Type="http://schemas.openxmlformats.org/officeDocument/2006/relationships/webSettings" Target="webSettings.xml"/><Relationship Id="rId24" Type="http://schemas.openxmlformats.org/officeDocument/2006/relationships/header" Target="header4.xml"/><Relationship Id="rId32" Type="http://schemas.openxmlformats.org/officeDocument/2006/relationships/image" Target="media/image10.emf"/><Relationship Id="rId37" Type="http://schemas.openxmlformats.org/officeDocument/2006/relationships/footer" Target="footer6.xml"/><Relationship Id="rId40" Type="http://schemas.openxmlformats.org/officeDocument/2006/relationships/header" Target="header9.xml"/><Relationship Id="rId45" Type="http://schemas.openxmlformats.org/officeDocument/2006/relationships/image" Target="media/image12.emf"/><Relationship Id="rId53" Type="http://schemas.openxmlformats.org/officeDocument/2006/relationships/footer" Target="footer12.xm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hyperlink" Target="https://www.transparency.gov.au/sites/default/files/reports/2022-23_australian_electoral_commission_corporate_plan.pdf" TargetMode="External"/><Relationship Id="rId31" Type="http://schemas.openxmlformats.org/officeDocument/2006/relationships/image" Target="media/image9.emf"/><Relationship Id="rId44" Type="http://schemas.openxmlformats.org/officeDocument/2006/relationships/footer" Target="footer9.xml"/><Relationship Id="rId52"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header" Target="header3.xm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footer" Target="footer5.xml"/><Relationship Id="rId43" Type="http://schemas.openxmlformats.org/officeDocument/2006/relationships/header" Target="header10.xml"/><Relationship Id="rId48" Type="http://schemas.openxmlformats.org/officeDocument/2006/relationships/header" Target="header12.xml"/><Relationship Id="rId8" Type="http://schemas.openxmlformats.org/officeDocument/2006/relationships/numbering" Target="numbering.xml"/><Relationship Id="rId51" Type="http://schemas.openxmlformats.org/officeDocument/2006/relationships/footer" Target="footer1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1.emf"/><Relationship Id="rId25" Type="http://schemas.openxmlformats.org/officeDocument/2006/relationships/footer" Target="footer4.xml"/><Relationship Id="rId33" Type="http://schemas.openxmlformats.org/officeDocument/2006/relationships/header" Target="header5.xml"/><Relationship Id="rId38" Type="http://schemas.openxmlformats.org/officeDocument/2006/relationships/image" Target="media/image11.emf"/><Relationship Id="rId46" Type="http://schemas.openxmlformats.org/officeDocument/2006/relationships/image" Target="media/image13.emf"/><Relationship Id="rId20" Type="http://schemas.openxmlformats.org/officeDocument/2006/relationships/hyperlink" Target="https://www.transparency.gov.au/annual-reports/australian-electoral-commission/reporting-year/2021-22-33" TargetMode="External"/><Relationship Id="rId41" Type="http://schemas.openxmlformats.org/officeDocument/2006/relationships/footer" Target="footer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footer" Target="footer3.xml"/><Relationship Id="rId28" Type="http://schemas.openxmlformats.org/officeDocument/2006/relationships/image" Target="media/image6.emf"/><Relationship Id="rId36" Type="http://schemas.openxmlformats.org/officeDocument/2006/relationships/header" Target="header7.xml"/><Relationship Id="rId49"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67aa1fc43d3d4526be5b6f380d0b47ea">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b2009adb104d49e8a826e99c5ae010e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ma:readOnly="false">
      <xsd:simpleType>
        <xsd:restriction base="dms:Choice">
          <xsd:enumeration value="1 High"/>
          <xsd:enumeration value="2 Medium High"/>
          <xsd:enumeration value="3 Medium"/>
          <xsd:enumeration value="4 Medium Low"/>
          <xsd:enumeration value="5 Low"/>
        </xsd:restriction>
      </xsd:simpleType>
    </xsd:element>
    <xsd:element name="ReviewDate" ma:index="9" nillable="true" ma:displayName="Review Date"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0" ma:format="Dropdown" ma:internalName="CalendarYear">
      <xsd:simpleType>
        <xsd:restriction base="dms:Choice">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restriction>
      </xsd:simpleType>
    </xsd:element>
    <xsd:element name="EconomicRound" ma:index="14" nillable="true" ma:displayName="Economic Round" ma:default="2020-21 Budget" ma:description="" ma:format="Dropdown" ma:internalName="EconomicRound">
      <xsd:simpleType>
        <xsd:restriction base="dms:Choice">
          <xsd:enumeration value="2020-21 Budget"/>
          <xsd:enumeration value="2020-21 MYEFO"/>
          <xsd:enumeration value="2021-22 Budget"/>
          <xsd:enumeration value="2021-22 MYEFO"/>
          <xsd:enumeration value="2022-23 Budget"/>
          <xsd:enumeration value="2022-23 MYEFO"/>
          <xsd:enumeration value="2019-20 Budget"/>
          <xsd:enumeration value="2019-20 MYEFO"/>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34</Value>
      <Value>1</Value>
    </TaxCatchAll>
    <_dlc_DocId xmlns="ff022cd0-6843-4ff4-ad72-b30c3a526f0e">3ZCJYKYSACN2-71197128-930</_dlc_DocId>
    <_dlc_DocIdUrl xmlns="ff022cd0-6843-4ff4-ad72-b30c3a526f0e">
      <Url>https://f1.prdmgd.finance.gov.au/sites/sbwsbudgetwiki/_layouts/15/DocIdRedir.aspx?ID=3ZCJYKYSACN2-71197128-930</Url>
      <Description>3ZCJYKYSACN2-71197128-930</Description>
    </_dlc_DocIdUrl>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2020</CalendarYear>
    <c8b9a6c9b8f74ea891e60fc766ad2751 xmlns="82ff9d9b-d3fc-4aad-bc42-9949ee83b815">
      <Terms xmlns="http://schemas.microsoft.com/office/infopath/2007/PartnerControls"/>
    </c8b9a6c9b8f74ea891e60fc766ad2751>
    <LastModDate xmlns="82ff9d9b-d3fc-4aad-bc42-9949ee83b815" xsi:nil="true"/>
    <FinYear xmlns="82ff9d9b-d3fc-4aad-bc42-9949ee83b815" xsi:nil="true"/>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2020-21 Budget</EconomicRound>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haredContentType xmlns="Microsoft.SharePoint.Taxonomy.ContentTypeSync" SourceId="c5fb5116-7131-45fb-9d92-926478776364" ContentTypeId="0x010100B321FEA60C5BA343A52BC94EC00ABC9E0B" PreviousValue="false"/>
</file>

<file path=customXml/item7.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2.xml><?xml version="1.0" encoding="utf-8"?>
<ds:datastoreItem xmlns:ds="http://schemas.openxmlformats.org/officeDocument/2006/customXml" ds:itemID="{354C4CB0-EA8B-4A80-A3AB-1F105CBCE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4.xml><?xml version="1.0" encoding="utf-8"?>
<ds:datastoreItem xmlns:ds="http://schemas.openxmlformats.org/officeDocument/2006/customXml" ds:itemID="{CDBC25DD-C713-48E0-93FD-5A73F13C6FDC}">
  <ds:schemaRefs>
    <ds:schemaRef ds:uri="http://purl.org/dc/elements/1.1/"/>
    <ds:schemaRef ds:uri="http://schemas.microsoft.com/office/2006/documentManagement/types"/>
    <ds:schemaRef ds:uri="a334ba3b-e131-42d3-95f3-2728f5a41884"/>
    <ds:schemaRef ds:uri="e39afc8f-a215-4bb1-9caf-c1c5d2f63d8a"/>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a7e9632-768a-49bf-85ac-c69233ab2a52"/>
    <ds:schemaRef ds:uri="http://www.w3.org/XML/1998/namespace"/>
    <ds:schemaRef ds:uri="82ff9d9b-d3fc-4aad-bc42-9949ee83b815"/>
    <ds:schemaRef ds:uri="ff022cd0-6843-4ff4-ad72-b30c3a526f0e"/>
  </ds:schemaRefs>
</ds:datastoreItem>
</file>

<file path=customXml/itemProps5.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6.xml><?xml version="1.0" encoding="utf-8"?>
<ds:datastoreItem xmlns:ds="http://schemas.openxmlformats.org/officeDocument/2006/customXml" ds:itemID="{7FD984D0-3DFF-40B6-87B3-4B68EAC5FD3D}">
  <ds:schemaRefs>
    <ds:schemaRef ds:uri="Microsoft.SharePoint.Taxonomy.ContentTypeSync"/>
  </ds:schemaRefs>
</ds:datastoreItem>
</file>

<file path=customXml/itemProps7.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27</Pages>
  <Words>2577</Words>
  <Characters>15438</Characters>
  <Application>Microsoft Office Word</Application>
  <DocSecurity>0</DocSecurity>
  <Lines>513</Lines>
  <Paragraphs>207</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17891</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2023-05-08T09:14:00Z</dcterms:created>
  <dcterms:modified xsi:type="dcterms:W3CDTF">2023-05-08T11:58:00Z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adc0db03-d717-4120-b8a3-bea3c0eb2486</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775211C06C8BF9E8A5A8431F6DA1F11C7CCEB0BC</vt:lpwstr>
  </property>
  <property fmtid="{D5CDD505-2E9C-101B-9397-08002B2CF9AE}" pid="66" name="PM_OriginationTimeStamp">
    <vt:lpwstr>2023-03-03T00:43:28Z</vt:lpwstr>
  </property>
  <property fmtid="{D5CDD505-2E9C-101B-9397-08002B2CF9AE}" pid="67" name="PM_ProtectiveMarkingValue_Header">
    <vt:lpwstr>OFFICIAL</vt:lpwstr>
  </property>
  <property fmtid="{D5CDD505-2E9C-101B-9397-08002B2CF9AE}" pid="68" name="PM_ProtectiveMarkingImage_Footer">
    <vt:lpwstr>C:\Program Files\Common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v=2022.2;d=gov.au;g=46DD6D7C-8107-577B-BC6E-F348953B2E44</vt:lpwstr>
  </property>
  <property fmtid="{D5CDD505-2E9C-101B-9397-08002B2CF9AE}" pid="75" name="PM_Hash_Version">
    <vt:lpwstr>2022.1</vt:lpwstr>
  </property>
  <property fmtid="{D5CDD505-2E9C-101B-9397-08002B2CF9AE}" pid="76" name="PM_Hash_Salt_Prev">
    <vt:lpwstr>22311FC11A2E032570BC707F3DF8FF87</vt:lpwstr>
  </property>
  <property fmtid="{D5CDD505-2E9C-101B-9397-08002B2CF9AE}" pid="77" name="PM_Hash_Salt">
    <vt:lpwstr>681A497678B93FFF934A1BEEAB0D3006</vt:lpwstr>
  </property>
  <property fmtid="{D5CDD505-2E9C-101B-9397-08002B2CF9AE}" pid="78" name="PM_Hash_SHA1">
    <vt:lpwstr>C96C8D24FA3EF25CDFC350BF841B196F5D4D1806</vt:lpwstr>
  </property>
  <property fmtid="{D5CDD505-2E9C-101B-9397-08002B2CF9AE}" pid="79" name="MSIP_Label_87d6481e-ccdd-4ab6-8b26-05a0df5699e7_SetDate">
    <vt:lpwstr>2023-03-03T00:43:28Z</vt:lpwstr>
  </property>
  <property fmtid="{D5CDD505-2E9C-101B-9397-08002B2CF9AE}" pid="80" name="PM_OriginatorUserAccountName_SHA256">
    <vt:lpwstr>FC169B8D4EF086C34AC639C4640401A43C0FCC31DA277028A3D57C355A4B1F85</vt:lpwstr>
  </property>
  <property fmtid="{D5CDD505-2E9C-101B-9397-08002B2CF9AE}" pid="81" name="PM_OriginatorDomainName_SHA256">
    <vt:lpwstr>325440F6CA31C4C3BCE4433552DC42928CAAD3E2731ABE35FDE729ECEB763AF0</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v=2022.1;a=SHA256;h=272D381B861B0E7F7E66BF3FCE36DC7ADD382E3BEF28B7753268190583D0B61A</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686f96667407469fbed46a0d0a665782</vt:lpwstr>
  </property>
</Properties>
</file>