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DA32" w14:textId="3F52C439" w:rsidR="00645300" w:rsidRDefault="00000000" w:rsidP="00645A37">
      <w:pPr>
        <w:pStyle w:val="Title"/>
      </w:pPr>
      <w:bookmarkStart w:id="0" w:name="_Toc53573191"/>
      <w:bookmarkStart w:id="1" w:name="_Toc53573619"/>
      <w:r>
        <w:rPr>
          <w:noProof/>
        </w:rPr>
        <w:pict w14:anchorId="49A930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70.9pt;margin-top:-70.85pt;width:594.45pt;height:184.35pt;z-index:-251658240;mso-position-horizontal-relative:text;mso-position-vertical-relative:text;mso-width-relative:page;mso-height-relative:page">
            <v:imagedata r:id="rId8" o:title="Short word banner2"/>
          </v:shape>
        </w:pict>
      </w:r>
      <w:r w:rsidR="008801E7">
        <w:t>C</w:t>
      </w:r>
      <w:r w:rsidR="008801E7" w:rsidRPr="008801E7">
        <w:t>harging Risk Assessment (CRA) Information Sheet</w:t>
      </w:r>
    </w:p>
    <w:p w14:paraId="41C87681" w14:textId="77777777" w:rsidR="00F30238" w:rsidRDefault="008801E7" w:rsidP="00F30238">
      <w:pPr>
        <w:keepNext/>
        <w:keepLines/>
        <w:numPr>
          <w:ilvl w:val="1"/>
          <w:numId w:val="0"/>
        </w:numPr>
        <w:spacing w:before="0" w:after="0" w:line="260" w:lineRule="atLeast"/>
        <w:contextualSpacing/>
        <w:outlineLvl w:val="0"/>
        <w:rPr>
          <w:rFonts w:ascii="Calibri" w:eastAsiaTheme="majorEastAsia" w:hAnsi="Calibri" w:cs="Calibri"/>
          <w:b/>
          <w:bCs/>
          <w:iCs/>
          <w:color w:val="1C1C1C" w:themeColor="text2"/>
          <w:sz w:val="24"/>
          <w:szCs w:val="24"/>
        </w:rPr>
      </w:pPr>
      <w:bookmarkStart w:id="2" w:name="_Toc53573620"/>
      <w:bookmarkEnd w:id="0"/>
      <w:bookmarkEnd w:id="1"/>
      <w:r w:rsidRPr="008801E7">
        <w:rPr>
          <w:rFonts w:ascii="Calibri" w:eastAsiaTheme="majorEastAsia" w:hAnsi="Calibri" w:cs="Calibri"/>
          <w:b/>
          <w:bCs/>
          <w:iCs/>
          <w:color w:val="1C1C1C" w:themeColor="text2"/>
          <w:sz w:val="24"/>
          <w:szCs w:val="24"/>
        </w:rPr>
        <w:t xml:space="preserve">Assess the complexity, materiality and sensitivity of charging </w:t>
      </w:r>
      <w:proofErr w:type="gramStart"/>
      <w:r w:rsidRPr="008801E7">
        <w:rPr>
          <w:rFonts w:ascii="Calibri" w:eastAsiaTheme="majorEastAsia" w:hAnsi="Calibri" w:cs="Calibri"/>
          <w:b/>
          <w:bCs/>
          <w:iCs/>
          <w:color w:val="1C1C1C" w:themeColor="text2"/>
          <w:sz w:val="24"/>
          <w:szCs w:val="24"/>
        </w:rPr>
        <w:t>activities</w:t>
      </w:r>
      <w:bookmarkStart w:id="3" w:name="_Toc53573621"/>
      <w:bookmarkEnd w:id="2"/>
      <w:proofErr w:type="gramEnd"/>
    </w:p>
    <w:p w14:paraId="6A68FB7E" w14:textId="77777777" w:rsidR="00F30238" w:rsidRDefault="00F30238" w:rsidP="00F30238">
      <w:pPr>
        <w:keepNext/>
        <w:keepLines/>
        <w:numPr>
          <w:ilvl w:val="1"/>
          <w:numId w:val="0"/>
        </w:numPr>
        <w:spacing w:before="0" w:after="0" w:line="260" w:lineRule="atLeast"/>
        <w:contextualSpacing/>
        <w:jc w:val="center"/>
        <w:outlineLvl w:val="0"/>
        <w:rPr>
          <w:rFonts w:ascii="Calibri" w:eastAsiaTheme="majorEastAsia" w:hAnsi="Calibri" w:cs="Calibri"/>
          <w:b/>
          <w:bCs/>
          <w:iCs/>
          <w:color w:val="1C1C1C" w:themeColor="text2"/>
          <w:sz w:val="24"/>
          <w:szCs w:val="24"/>
        </w:rPr>
      </w:pPr>
    </w:p>
    <w:p w14:paraId="2E7896A9" w14:textId="0BB5C2F1" w:rsidR="00EC52AD" w:rsidRPr="00F957CE" w:rsidRDefault="008801E7" w:rsidP="00F30238">
      <w:pPr>
        <w:keepNext/>
        <w:keepLines/>
        <w:numPr>
          <w:ilvl w:val="1"/>
          <w:numId w:val="0"/>
        </w:numPr>
        <w:spacing w:before="0" w:after="0" w:line="260" w:lineRule="atLeast"/>
        <w:contextualSpacing/>
        <w:jc w:val="center"/>
        <w:outlineLvl w:val="0"/>
        <w:rPr>
          <w:rFonts w:ascii="Calibri" w:eastAsiaTheme="majorEastAsia" w:hAnsi="Calibri" w:cs="Calibri"/>
          <w:b/>
          <w:bCs/>
          <w:iCs/>
          <w:color w:val="1C1C1C" w:themeColor="text2"/>
          <w:sz w:val="24"/>
          <w:szCs w:val="24"/>
        </w:rPr>
        <w:sectPr w:rsidR="00EC52AD" w:rsidRPr="00F957CE" w:rsidSect="00EC52AD">
          <w:headerReference w:type="default" r:id="rId9"/>
          <w:footerReference w:type="default" r:id="rId10"/>
          <w:type w:val="continuous"/>
          <w:pgSz w:w="11906" w:h="16838" w:code="9"/>
          <w:pgMar w:top="1418" w:right="1418" w:bottom="1418" w:left="1418" w:header="567" w:footer="624" w:gutter="0"/>
          <w:cols w:space="708"/>
          <w:docGrid w:linePitch="360"/>
        </w:sectPr>
      </w:pPr>
      <w:r w:rsidRPr="00F30238">
        <w:rPr>
          <w:rFonts w:ascii="Calibri" w:hAnsi="Calibri" w:cs="Calibri"/>
          <w:spacing w:val="-6"/>
          <w:sz w:val="20"/>
          <w:szCs w:val="20"/>
          <w:lang w:val="en-US"/>
        </w:rPr>
        <w:t>T</w:t>
      </w:r>
      <w:r w:rsidRPr="00F30238">
        <w:rPr>
          <w:rFonts w:ascii="Calibri" w:hAnsi="Calibri" w:cs="Calibri"/>
          <w:sz w:val="20"/>
          <w:szCs w:val="20"/>
        </w:rPr>
        <w:t xml:space="preserve">his information should be read in conjunction with </w:t>
      </w:r>
      <w:hyperlink r:id="rId11" w:history="1">
        <w:r w:rsidRPr="00F30238">
          <w:rPr>
            <w:rStyle w:val="Hyperlink"/>
            <w:rFonts w:ascii="Calibri" w:hAnsi="Calibri" w:cs="Calibri"/>
            <w:sz w:val="20"/>
            <w:szCs w:val="20"/>
          </w:rPr>
          <w:t xml:space="preserve">Resource Management Guide 302 </w:t>
        </w:r>
        <w:r w:rsidR="00F957CE" w:rsidRPr="00F30238">
          <w:rPr>
            <w:rStyle w:val="Hyperlink"/>
            <w:rFonts w:ascii="Calibri" w:hAnsi="Calibri" w:cs="Calibri"/>
            <w:sz w:val="20"/>
            <w:szCs w:val="20"/>
          </w:rPr>
          <w:t>Implementing the Charging</w:t>
        </w:r>
        <w:r w:rsidRPr="00F30238">
          <w:rPr>
            <w:rStyle w:val="Hyperlink"/>
            <w:rFonts w:ascii="Calibri" w:hAnsi="Calibri" w:cs="Calibri"/>
            <w:sz w:val="20"/>
            <w:szCs w:val="20"/>
          </w:rPr>
          <w:t xml:space="preserve"> Framework</w:t>
        </w:r>
      </w:hyperlink>
      <w:r w:rsidRPr="00F30238">
        <w:rPr>
          <w:sz w:val="20"/>
          <w:szCs w:val="20"/>
        </w:rPr>
        <w:t xml:space="preserve"> </w:t>
      </w:r>
      <w:bookmarkEnd w:id="3"/>
      <w:r w:rsidR="00F30238" w:rsidRPr="00F30238">
        <w:rPr>
          <w:sz w:val="18"/>
          <w:szCs w:val="18"/>
        </w:rPr>
        <w:t>.</w:t>
      </w:r>
      <w:r w:rsidR="00F30238">
        <w:rPr>
          <w:sz w:val="16"/>
          <w:szCs w:val="16"/>
        </w:rPr>
        <w:br/>
      </w:r>
    </w:p>
    <w:p w14:paraId="352D8DE6" w14:textId="45C7133A" w:rsidR="00EC52AD" w:rsidRPr="00EC52AD" w:rsidRDefault="00EC52AD" w:rsidP="00EC52AD">
      <w:pPr>
        <w:pStyle w:val="BodyText1"/>
        <w:rPr>
          <w:rFonts w:ascii="Calibri" w:hAnsi="Calibri" w:cs="Calibri"/>
          <w:sz w:val="20"/>
          <w:szCs w:val="20"/>
        </w:rPr>
      </w:pPr>
      <w:r w:rsidRPr="00EC52AD">
        <w:rPr>
          <w:rFonts w:ascii="Calibri" w:hAnsi="Calibri" w:cs="Calibri"/>
          <w:sz w:val="20"/>
          <w:szCs w:val="20"/>
        </w:rPr>
        <w:t>Charging risk assessment involves ongoing review and management of risk that may adversely impact the policy intend for the charging activity. Entities must self-assess the risks associated with a new or amended regulatory charging activity. Entities delivering non-regulatory charging activities are encouraged to apply the same process to evaluate and engage with the risk. The self-assessment process should consider the entity’s operating environment and factors that influence charging across three areas:</w:t>
      </w:r>
    </w:p>
    <w:p w14:paraId="2FA96EAC" w14:textId="77777777" w:rsidR="00EC52AD" w:rsidRPr="00E17C29" w:rsidRDefault="00EC52AD" w:rsidP="00683893">
      <w:pPr>
        <w:numPr>
          <w:ilvl w:val="1"/>
          <w:numId w:val="22"/>
        </w:numPr>
        <w:shd w:val="clear" w:color="auto" w:fill="FFFFFF"/>
        <w:suppressAutoHyphens w:val="0"/>
        <w:spacing w:before="100" w:beforeAutospacing="1" w:after="240" w:line="240" w:lineRule="auto"/>
        <w:ind w:left="0"/>
        <w:rPr>
          <w:rFonts w:ascii="Calibri" w:eastAsia="Times New Roman" w:hAnsi="Calibri" w:cs="Calibri"/>
          <w:color w:val="212529"/>
          <w:sz w:val="20"/>
          <w:szCs w:val="20"/>
          <w:lang w:eastAsia="en-AU"/>
        </w:rPr>
      </w:pPr>
      <w:r w:rsidRPr="00683893">
        <w:rPr>
          <w:rFonts w:ascii="Calibri" w:eastAsia="Times New Roman" w:hAnsi="Calibri" w:cs="Calibri"/>
          <w:b/>
          <w:bCs/>
          <w:color w:val="212529"/>
          <w:lang w:eastAsia="en-AU"/>
        </w:rPr>
        <w:t>complexity</w:t>
      </w:r>
      <w:r w:rsidRPr="00E17C29">
        <w:rPr>
          <w:rFonts w:ascii="Calibri" w:eastAsia="Times New Roman" w:hAnsi="Calibri" w:cs="Calibri"/>
          <w:color w:val="212529"/>
          <w:sz w:val="20"/>
          <w:szCs w:val="20"/>
          <w:lang w:eastAsia="en-AU"/>
        </w:rPr>
        <w:t xml:space="preserve">, which relates to the structures, processes, and implementation of the specific activity. Complexity may be influenced by the number of outputs of the activity being charged; the design of charges (e.g. </w:t>
      </w:r>
      <w:r>
        <w:rPr>
          <w:rFonts w:ascii="Calibri" w:eastAsia="Times New Roman" w:hAnsi="Calibri" w:cs="Calibri"/>
          <w:color w:val="212529"/>
          <w:sz w:val="20"/>
          <w:szCs w:val="20"/>
          <w:lang w:eastAsia="en-AU"/>
        </w:rPr>
        <w:t>for</w:t>
      </w:r>
      <w:r w:rsidRPr="00E17C29">
        <w:rPr>
          <w:rFonts w:ascii="Calibri" w:eastAsia="Times New Roman" w:hAnsi="Calibri" w:cs="Calibri"/>
          <w:color w:val="212529"/>
          <w:sz w:val="20"/>
          <w:szCs w:val="20"/>
          <w:lang w:eastAsia="en-AU"/>
        </w:rPr>
        <w:t xml:space="preserve"> regulatory (cost recovery) levy based on complex proxies or a combination of fees and levies); the involvement of third parties in the activity; the involvement of a state or territory government or a contracted non-government organisation; tight timeframes; multiple items of relevant legislation; multiple cost drivers; difficulties in forecasting demand; or the type and number of stakeholders involved (e.g. the number of government entities and/or industry sectors)</w:t>
      </w:r>
    </w:p>
    <w:p w14:paraId="120791B8" w14:textId="77777777" w:rsidR="00EC52AD" w:rsidRPr="00E17C29" w:rsidRDefault="00EC52AD" w:rsidP="00EC52AD">
      <w:pPr>
        <w:numPr>
          <w:ilvl w:val="1"/>
          <w:numId w:val="22"/>
        </w:numPr>
        <w:shd w:val="clear" w:color="auto" w:fill="FFFFFF"/>
        <w:suppressAutoHyphens w:val="0"/>
        <w:spacing w:before="100" w:beforeAutospacing="1" w:after="240" w:line="240" w:lineRule="auto"/>
        <w:ind w:left="0"/>
        <w:rPr>
          <w:rFonts w:ascii="Calibri" w:eastAsia="Times New Roman" w:hAnsi="Calibri" w:cs="Calibri"/>
          <w:color w:val="212529"/>
          <w:sz w:val="20"/>
          <w:szCs w:val="20"/>
          <w:lang w:eastAsia="en-AU"/>
        </w:rPr>
      </w:pPr>
      <w:r w:rsidRPr="00683893">
        <w:rPr>
          <w:rFonts w:ascii="Calibri" w:eastAsia="Times New Roman" w:hAnsi="Calibri" w:cs="Calibri"/>
          <w:b/>
          <w:bCs/>
          <w:color w:val="212529"/>
          <w:lang w:eastAsia="en-AU"/>
        </w:rPr>
        <w:t>materiality</w:t>
      </w:r>
      <w:r w:rsidRPr="00E17C29">
        <w:rPr>
          <w:rFonts w:ascii="Calibri" w:eastAsia="Times New Roman" w:hAnsi="Calibri" w:cs="Calibri"/>
          <w:color w:val="212529"/>
          <w:sz w:val="20"/>
          <w:szCs w:val="20"/>
          <w:lang w:eastAsia="en-AU"/>
        </w:rPr>
        <w:t>, which</w:t>
      </w:r>
      <w:r w:rsidRPr="00E17C29">
        <w:rPr>
          <w:rFonts w:ascii="Calibri" w:eastAsia="Times New Roman" w:hAnsi="Calibri" w:cs="Calibri"/>
          <w:b/>
          <w:bCs/>
          <w:color w:val="212529"/>
          <w:sz w:val="20"/>
          <w:szCs w:val="20"/>
          <w:lang w:eastAsia="en-AU"/>
        </w:rPr>
        <w:t xml:space="preserve"> </w:t>
      </w:r>
      <w:r w:rsidRPr="00E17C29">
        <w:rPr>
          <w:rFonts w:ascii="Calibri" w:eastAsia="Times New Roman" w:hAnsi="Calibri" w:cs="Calibri"/>
          <w:color w:val="212529"/>
          <w:sz w:val="20"/>
          <w:szCs w:val="20"/>
          <w:lang w:eastAsia="en-AU"/>
        </w:rPr>
        <w:t xml:space="preserve">relates to the financial value of the activity and involves the total revenue from charging and the amounts of the individual </w:t>
      </w:r>
      <w:proofErr w:type="gramStart"/>
      <w:r w:rsidRPr="00E17C29">
        <w:rPr>
          <w:rFonts w:ascii="Calibri" w:eastAsia="Times New Roman" w:hAnsi="Calibri" w:cs="Calibri"/>
          <w:color w:val="212529"/>
          <w:sz w:val="20"/>
          <w:szCs w:val="20"/>
          <w:lang w:eastAsia="en-AU"/>
        </w:rPr>
        <w:t>charges</w:t>
      </w:r>
      <w:proofErr w:type="gramEnd"/>
    </w:p>
    <w:p w14:paraId="60C76AC4" w14:textId="1028038B" w:rsidR="00EC52AD" w:rsidRPr="00F30238" w:rsidRDefault="00EC52AD" w:rsidP="00EC52AD">
      <w:pPr>
        <w:numPr>
          <w:ilvl w:val="1"/>
          <w:numId w:val="22"/>
        </w:numPr>
        <w:shd w:val="clear" w:color="auto" w:fill="FFFFFF"/>
        <w:suppressAutoHyphens w:val="0"/>
        <w:spacing w:before="100" w:beforeAutospacing="1" w:after="0" w:line="240" w:lineRule="auto"/>
        <w:ind w:left="0"/>
        <w:rPr>
          <w:rFonts w:ascii="Calibri" w:hAnsi="Calibri" w:cs="Calibri"/>
          <w:b/>
        </w:rPr>
      </w:pPr>
      <w:r w:rsidRPr="00683893">
        <w:rPr>
          <w:rFonts w:ascii="Calibri" w:eastAsia="Times New Roman" w:hAnsi="Calibri" w:cs="Calibri"/>
          <w:b/>
          <w:bCs/>
          <w:color w:val="212529"/>
          <w:lang w:eastAsia="en-AU"/>
        </w:rPr>
        <w:t>sensitivity</w:t>
      </w:r>
      <w:r w:rsidRPr="00EC52AD">
        <w:rPr>
          <w:rFonts w:ascii="Calibri" w:eastAsia="Times New Roman" w:hAnsi="Calibri" w:cs="Calibri"/>
          <w:color w:val="212529"/>
          <w:sz w:val="20"/>
          <w:szCs w:val="20"/>
          <w:lang w:eastAsia="en-AU"/>
        </w:rPr>
        <w:t>, which relates to the level of interest in the activity from government stakeholders, non-government stakeholders, the media, and the Parliament. Key considerations include whether, when and why any sensitivities exist. The reasons for sensitivities may include the nature of the charges; the nature of the industry; existing government charges faced by industry; tight timeframes for implementation; and limited consultation.</w:t>
      </w:r>
      <w:r w:rsidR="00F30238">
        <w:rPr>
          <w:rFonts w:ascii="Calibri" w:eastAsia="Times New Roman" w:hAnsi="Calibri" w:cs="Calibri"/>
          <w:color w:val="212529"/>
          <w:sz w:val="20"/>
          <w:szCs w:val="20"/>
          <w:lang w:eastAsia="en-AU"/>
        </w:rPr>
        <w:br/>
      </w:r>
    </w:p>
    <w:p w14:paraId="1C46AA9C" w14:textId="77777777" w:rsidR="00683893" w:rsidRDefault="00EC52AD" w:rsidP="00EC52AD">
      <w:pPr>
        <w:pStyle w:val="BodyText1"/>
        <w:rPr>
          <w:rFonts w:ascii="Calibri" w:hAnsi="Calibri" w:cs="Calibri"/>
          <w:b/>
          <w:szCs w:val="22"/>
        </w:rPr>
      </w:pPr>
      <w:r>
        <w:rPr>
          <w:rFonts w:ascii="Calibri" w:hAnsi="Calibri" w:cs="Calibri"/>
          <w:b/>
          <w:szCs w:val="22"/>
        </w:rPr>
        <w:t>Determining CRA rating</w:t>
      </w:r>
    </w:p>
    <w:p w14:paraId="6DC45643" w14:textId="4D1D84EB" w:rsidR="00EC52AD" w:rsidRDefault="00EC52AD" w:rsidP="00EC52AD">
      <w:pPr>
        <w:pStyle w:val="BodyText1"/>
        <w:rPr>
          <w:rFonts w:ascii="Calibri" w:hAnsi="Calibri" w:cs="Calibri"/>
          <w:sz w:val="20"/>
          <w:szCs w:val="20"/>
        </w:rPr>
      </w:pPr>
      <w:r w:rsidRPr="00225A75">
        <w:rPr>
          <w:rFonts w:ascii="Calibri" w:hAnsi="Calibri" w:cs="Calibri"/>
          <w:sz w:val="20"/>
          <w:szCs w:val="20"/>
        </w:rPr>
        <w:t xml:space="preserve">Based on the number of responses to the questions, </w:t>
      </w:r>
      <w:r>
        <w:rPr>
          <w:rFonts w:ascii="Calibri" w:hAnsi="Calibri" w:cs="Calibri"/>
          <w:sz w:val="20"/>
          <w:szCs w:val="20"/>
        </w:rPr>
        <w:t>the templates support t</w:t>
      </w:r>
      <w:r w:rsidRPr="00934A5B">
        <w:rPr>
          <w:rFonts w:ascii="Calibri" w:hAnsi="Calibri" w:cs="Calibri"/>
          <w:sz w:val="20"/>
          <w:szCs w:val="20"/>
        </w:rPr>
        <w:t xml:space="preserve">he risk </w:t>
      </w:r>
      <w:r w:rsidRPr="00225A75">
        <w:rPr>
          <w:rFonts w:ascii="Calibri" w:hAnsi="Calibri" w:cs="Calibri"/>
          <w:sz w:val="20"/>
          <w:szCs w:val="20"/>
        </w:rPr>
        <w:t>assessment process</w:t>
      </w:r>
      <w:r>
        <w:rPr>
          <w:rFonts w:ascii="Calibri" w:hAnsi="Calibri" w:cs="Calibri"/>
          <w:sz w:val="20"/>
          <w:szCs w:val="20"/>
        </w:rPr>
        <w:t xml:space="preserve">. </w:t>
      </w:r>
      <w:r w:rsidRPr="00934A5B">
        <w:rPr>
          <w:rFonts w:ascii="Calibri" w:hAnsi="Calibri" w:cs="Calibri"/>
          <w:sz w:val="20"/>
          <w:szCs w:val="20"/>
        </w:rPr>
        <w:t xml:space="preserve"> The </w:t>
      </w:r>
      <w:r>
        <w:rPr>
          <w:rFonts w:ascii="Calibri" w:hAnsi="Calibri" w:cs="Calibri"/>
          <w:sz w:val="20"/>
          <w:szCs w:val="20"/>
        </w:rPr>
        <w:t>table below outlines how to determine the CRA rating.</w:t>
      </w:r>
      <w:r w:rsidR="00F30238">
        <w:rPr>
          <w:rFonts w:ascii="Calibri" w:hAnsi="Calibri" w:cs="Calibri"/>
          <w:sz w:val="20"/>
          <w:szCs w:val="20"/>
        </w:rPr>
        <w:br/>
      </w:r>
    </w:p>
    <w:p w14:paraId="31A2C6B9" w14:textId="77777777" w:rsidR="00EC52AD" w:rsidRPr="000D7CF2" w:rsidRDefault="00EC52AD" w:rsidP="00EC52AD">
      <w:pPr>
        <w:pStyle w:val="BodyText1"/>
        <w:spacing w:after="0"/>
        <w:rPr>
          <w:rFonts w:ascii="Calibri" w:hAnsi="Calibri" w:cs="Calibri"/>
          <w:b/>
          <w:szCs w:val="22"/>
        </w:rPr>
      </w:pPr>
      <w:r>
        <w:rPr>
          <w:rFonts w:ascii="Calibri" w:hAnsi="Calibri" w:cs="Calibri"/>
          <w:b/>
          <w:szCs w:val="22"/>
        </w:rPr>
        <w:t>New Regulatory Activity</w:t>
      </w:r>
    </w:p>
    <w:p w14:paraId="4CAE779B" w14:textId="77777777" w:rsidR="00EC52AD" w:rsidRDefault="00EC52AD" w:rsidP="00EC52AD">
      <w:pPr>
        <w:pStyle w:val="BodyText1"/>
        <w:spacing w:after="0"/>
        <w:rPr>
          <w:rFonts w:ascii="Calibri" w:hAnsi="Calibri" w:cs="Calibri"/>
          <w:sz w:val="20"/>
          <w:szCs w:val="20"/>
        </w:rPr>
      </w:pPr>
      <w:r w:rsidRPr="00C01733">
        <w:rPr>
          <w:rFonts w:ascii="Calibri" w:hAnsi="Calibri" w:cs="Calibri"/>
          <w:sz w:val="20"/>
          <w:szCs w:val="20"/>
        </w:rPr>
        <w:t>The self-assessed risk rating and supporting analysis, including the justification of the rating and mitigation strategies</w:t>
      </w:r>
      <w:r>
        <w:rPr>
          <w:rFonts w:ascii="Calibri" w:hAnsi="Calibri" w:cs="Calibri"/>
          <w:sz w:val="20"/>
          <w:szCs w:val="20"/>
        </w:rPr>
        <w:t xml:space="preserve"> needs to be agreed by Finance. Entities should </w:t>
      </w:r>
      <w:r w:rsidRPr="00C01733">
        <w:rPr>
          <w:rFonts w:ascii="Calibri" w:hAnsi="Calibri" w:cs="Calibri"/>
          <w:sz w:val="20"/>
          <w:szCs w:val="20"/>
        </w:rPr>
        <w:t>provide</w:t>
      </w:r>
      <w:r>
        <w:rPr>
          <w:rFonts w:ascii="Calibri" w:hAnsi="Calibri" w:cs="Calibri"/>
          <w:sz w:val="20"/>
          <w:szCs w:val="20"/>
        </w:rPr>
        <w:t xml:space="preserve"> their CRA</w:t>
      </w:r>
      <w:r w:rsidRPr="00C01733">
        <w:rPr>
          <w:rFonts w:ascii="Calibri" w:hAnsi="Calibri" w:cs="Calibri"/>
          <w:sz w:val="20"/>
          <w:szCs w:val="20"/>
        </w:rPr>
        <w:t xml:space="preserve"> to the </w:t>
      </w:r>
      <w:r>
        <w:rPr>
          <w:rFonts w:ascii="Calibri" w:hAnsi="Calibri" w:cs="Calibri"/>
          <w:sz w:val="20"/>
          <w:szCs w:val="20"/>
        </w:rPr>
        <w:t xml:space="preserve">Charging Policy </w:t>
      </w:r>
      <w:r w:rsidRPr="00650E73">
        <w:rPr>
          <w:rFonts w:ascii="Calibri" w:hAnsi="Calibri" w:cs="Calibri"/>
          <w:sz w:val="20"/>
          <w:szCs w:val="20"/>
        </w:rPr>
        <w:t xml:space="preserve">alongside any costing information. </w:t>
      </w:r>
      <w:r>
        <w:rPr>
          <w:rFonts w:ascii="Calibri" w:hAnsi="Calibri" w:cs="Calibri"/>
          <w:sz w:val="20"/>
          <w:szCs w:val="20"/>
        </w:rPr>
        <w:t xml:space="preserve">The final CRA, </w:t>
      </w:r>
      <w:r w:rsidRPr="00650E73">
        <w:rPr>
          <w:rFonts w:ascii="Calibri" w:hAnsi="Calibri" w:cs="Calibri"/>
          <w:sz w:val="20"/>
          <w:szCs w:val="20"/>
        </w:rPr>
        <w:t>and supporting analysis, must reflect agreed costs.</w:t>
      </w:r>
      <w:r>
        <w:rPr>
          <w:rFonts w:ascii="Calibri" w:hAnsi="Calibri" w:cs="Calibri"/>
          <w:sz w:val="20"/>
          <w:szCs w:val="20"/>
        </w:rPr>
        <w:t xml:space="preserve"> </w:t>
      </w:r>
      <w:r w:rsidRPr="00C01733">
        <w:rPr>
          <w:rFonts w:ascii="Calibri" w:hAnsi="Calibri" w:cs="Calibri"/>
          <w:sz w:val="20"/>
          <w:szCs w:val="20"/>
        </w:rPr>
        <w:t>The agreed risk rating must be included in the NPP.</w:t>
      </w:r>
      <w:r>
        <w:rPr>
          <w:rFonts w:ascii="Calibri" w:hAnsi="Calibri" w:cs="Calibri"/>
          <w:sz w:val="20"/>
          <w:szCs w:val="20"/>
        </w:rPr>
        <w:t xml:space="preserve"> The risk rating will determine the approval process for the Cost Recovery Implementation Statement (CRIS). </w:t>
      </w:r>
    </w:p>
    <w:p w14:paraId="5C2F4B53" w14:textId="77777777" w:rsidR="00EC52AD" w:rsidRPr="00225A75" w:rsidRDefault="00EC52AD" w:rsidP="00EC52AD">
      <w:pPr>
        <w:pStyle w:val="BodyText1"/>
        <w:spacing w:before="120" w:after="0"/>
        <w:ind w:right="-142"/>
        <w:rPr>
          <w:rFonts w:ascii="Calibri" w:hAnsi="Calibri" w:cs="Calibri"/>
          <w:b/>
          <w:szCs w:val="22"/>
        </w:rPr>
      </w:pPr>
      <w:r w:rsidRPr="00225A75">
        <w:rPr>
          <w:rFonts w:ascii="Calibri" w:hAnsi="Calibri" w:cs="Calibri"/>
          <w:b/>
          <w:szCs w:val="22"/>
        </w:rPr>
        <w:t>Existing Regulatory Activity</w:t>
      </w:r>
    </w:p>
    <w:p w14:paraId="1D699D13" w14:textId="77777777" w:rsidR="00EC52AD" w:rsidRDefault="00EC52AD" w:rsidP="00EC52AD">
      <w:pPr>
        <w:pStyle w:val="BodyText1"/>
        <w:spacing w:before="120" w:after="0"/>
        <w:ind w:right="-142"/>
        <w:rPr>
          <w:rFonts w:ascii="Calibri" w:hAnsi="Calibri" w:cs="Calibri"/>
          <w:sz w:val="20"/>
          <w:szCs w:val="20"/>
        </w:rPr>
      </w:pPr>
      <w:r w:rsidRPr="00F608EE">
        <w:rPr>
          <w:rFonts w:ascii="Calibri" w:hAnsi="Calibri" w:cs="Calibri"/>
          <w:sz w:val="20"/>
          <w:szCs w:val="20"/>
        </w:rPr>
        <w:t xml:space="preserve">Once </w:t>
      </w:r>
      <w:r>
        <w:rPr>
          <w:rFonts w:ascii="Calibri" w:hAnsi="Calibri" w:cs="Calibri"/>
          <w:sz w:val="20"/>
          <w:szCs w:val="20"/>
        </w:rPr>
        <w:t xml:space="preserve">regulatory charging is </w:t>
      </w:r>
      <w:r w:rsidRPr="00F608EE">
        <w:rPr>
          <w:rFonts w:ascii="Calibri" w:hAnsi="Calibri" w:cs="Calibri"/>
          <w:sz w:val="20"/>
          <w:szCs w:val="20"/>
        </w:rPr>
        <w:t xml:space="preserve">implemented, entities may need to </w:t>
      </w:r>
      <w:r>
        <w:rPr>
          <w:rFonts w:ascii="Calibri" w:hAnsi="Calibri" w:cs="Calibri"/>
          <w:sz w:val="20"/>
          <w:szCs w:val="20"/>
        </w:rPr>
        <w:t xml:space="preserve">amend </w:t>
      </w:r>
      <w:r w:rsidRPr="00F608EE">
        <w:rPr>
          <w:rFonts w:ascii="Calibri" w:hAnsi="Calibri" w:cs="Calibri"/>
          <w:sz w:val="20"/>
          <w:szCs w:val="20"/>
        </w:rPr>
        <w:t>the charging activities, either as a result of stakeholder feedback or internal monitoring and evaluat</w:t>
      </w:r>
      <w:r>
        <w:rPr>
          <w:rFonts w:ascii="Calibri" w:hAnsi="Calibri" w:cs="Calibri"/>
          <w:sz w:val="20"/>
          <w:szCs w:val="20"/>
        </w:rPr>
        <w:t>ion. The risk rating will determine the approval process</w:t>
      </w:r>
      <w:r w:rsidRPr="00F608EE">
        <w:rPr>
          <w:rFonts w:ascii="Calibri" w:hAnsi="Calibri" w:cs="Calibri"/>
          <w:sz w:val="20"/>
          <w:szCs w:val="20"/>
        </w:rPr>
        <w:t xml:space="preserve"> for </w:t>
      </w:r>
      <w:r>
        <w:rPr>
          <w:rFonts w:ascii="Calibri" w:hAnsi="Calibri" w:cs="Calibri"/>
          <w:sz w:val="20"/>
          <w:szCs w:val="20"/>
        </w:rPr>
        <w:t xml:space="preserve">any </w:t>
      </w:r>
      <w:r w:rsidRPr="00F608EE">
        <w:rPr>
          <w:rFonts w:ascii="Calibri" w:hAnsi="Calibri" w:cs="Calibri"/>
          <w:sz w:val="20"/>
          <w:szCs w:val="20"/>
        </w:rPr>
        <w:t>changes</w:t>
      </w:r>
      <w:r>
        <w:rPr>
          <w:rFonts w:ascii="Calibri" w:hAnsi="Calibri" w:cs="Calibri"/>
          <w:sz w:val="20"/>
          <w:szCs w:val="20"/>
        </w:rPr>
        <w:t xml:space="preserve"> proposed and the CRIS. </w:t>
      </w:r>
    </w:p>
    <w:p w14:paraId="77BBA748" w14:textId="77777777" w:rsidR="00EC52AD" w:rsidRPr="00C13570" w:rsidRDefault="00EC52AD" w:rsidP="00EC52AD">
      <w:pPr>
        <w:pStyle w:val="BodyText1"/>
        <w:spacing w:before="120" w:after="0"/>
        <w:ind w:right="-142"/>
        <w:rPr>
          <w:rFonts w:ascii="Calibri" w:hAnsi="Calibri" w:cs="Calibri"/>
          <w:sz w:val="20"/>
          <w:szCs w:val="20"/>
        </w:rPr>
      </w:pPr>
      <w:r>
        <w:rPr>
          <w:rFonts w:ascii="Calibri" w:hAnsi="Calibri" w:cs="Calibri"/>
          <w:sz w:val="20"/>
          <w:szCs w:val="20"/>
        </w:rPr>
        <w:t xml:space="preserve">If the change is to the policy authority, legislation or significant changes to the charge activity, Finance and the entity may agree a high rating and/or recommend further consideration by the Government. The responsible entity should consult with Finance before the updated CRIS is </w:t>
      </w:r>
      <w:r w:rsidRPr="00C13570">
        <w:rPr>
          <w:rFonts w:ascii="Calibri" w:hAnsi="Calibri" w:cs="Calibri"/>
          <w:sz w:val="20"/>
          <w:szCs w:val="20"/>
        </w:rPr>
        <w:t xml:space="preserve">published if uncertain about the risk rating. </w:t>
      </w:r>
    </w:p>
    <w:p w14:paraId="750D7D00" w14:textId="77777777" w:rsidR="00EC52AD" w:rsidRPr="00C13570" w:rsidRDefault="00EC52AD" w:rsidP="00EC52AD">
      <w:pPr>
        <w:pStyle w:val="BodyText1"/>
        <w:spacing w:before="120" w:after="0"/>
        <w:ind w:right="-142"/>
        <w:rPr>
          <w:rFonts w:ascii="Calibri" w:hAnsi="Calibri" w:cs="Calibri"/>
          <w:b/>
          <w:szCs w:val="22"/>
        </w:rPr>
      </w:pPr>
      <w:r w:rsidRPr="00C13570">
        <w:rPr>
          <w:rFonts w:ascii="Calibri" w:hAnsi="Calibri" w:cs="Calibri"/>
          <w:b/>
          <w:szCs w:val="22"/>
        </w:rPr>
        <w:t>Cost Recovery Implementation Statements</w:t>
      </w:r>
    </w:p>
    <w:p w14:paraId="21814EFB" w14:textId="77777777" w:rsidR="00EC52AD" w:rsidRPr="00C13570" w:rsidRDefault="00EC52AD" w:rsidP="00EC52AD">
      <w:pPr>
        <w:spacing w:before="0" w:after="0" w:line="180" w:lineRule="atLeast"/>
        <w:ind w:right="-142"/>
        <w:rPr>
          <w:rFonts w:ascii="Calibri" w:hAnsi="Calibri" w:cs="Calibri"/>
          <w:sz w:val="20"/>
          <w:szCs w:val="20"/>
        </w:rPr>
      </w:pPr>
      <w:r w:rsidRPr="00C13570">
        <w:rPr>
          <w:rFonts w:ascii="Calibri" w:hAnsi="Calibri" w:cs="Calibri"/>
          <w:sz w:val="20"/>
          <w:szCs w:val="20"/>
        </w:rPr>
        <w:t xml:space="preserve">The CRA rating determines the approval process for the Cost Recovery Implementation Statement (CRIS) for a new or proposed change to a regulatory charging activity. </w:t>
      </w:r>
    </w:p>
    <w:p w14:paraId="78BFAEE6" w14:textId="77777777" w:rsidR="00EC52AD" w:rsidRPr="00C13570" w:rsidRDefault="00EC52AD" w:rsidP="00EC52AD">
      <w:pPr>
        <w:spacing w:before="0" w:after="0" w:line="180" w:lineRule="atLeast"/>
        <w:ind w:right="-142"/>
        <w:rPr>
          <w:rFonts w:ascii="Calibri" w:hAnsi="Calibri" w:cs="Calibri"/>
          <w:sz w:val="20"/>
          <w:szCs w:val="20"/>
        </w:rPr>
      </w:pPr>
      <w:r w:rsidRPr="00C13570">
        <w:rPr>
          <w:rFonts w:ascii="Calibri" w:hAnsi="Calibri" w:cs="Calibri"/>
          <w:sz w:val="20"/>
          <w:szCs w:val="20"/>
        </w:rPr>
        <w:t>If a low/medium risk rating is agreed, the CRIS is certified by the relevant Accountable Authority and approved by the responsible Minister before charging commences or changes.</w:t>
      </w:r>
    </w:p>
    <w:p w14:paraId="6CA5A4D7" w14:textId="77777777" w:rsidR="00EC52AD" w:rsidRPr="00C13570" w:rsidRDefault="00EC52AD" w:rsidP="00EC52AD">
      <w:pPr>
        <w:spacing w:before="0" w:after="0" w:line="180" w:lineRule="atLeast"/>
        <w:ind w:right="-142"/>
        <w:rPr>
          <w:rFonts w:ascii="Calibri" w:hAnsi="Calibri" w:cs="Calibri"/>
          <w:sz w:val="20"/>
          <w:szCs w:val="20"/>
        </w:rPr>
      </w:pPr>
    </w:p>
    <w:p w14:paraId="46F61A99" w14:textId="11AF0BEE" w:rsidR="00683893" w:rsidRPr="00C13570" w:rsidRDefault="00EC52AD" w:rsidP="00683893">
      <w:pPr>
        <w:pStyle w:val="BodyText1"/>
        <w:ind w:right="-213"/>
        <w:rPr>
          <w:rFonts w:ascii="Calibri" w:hAnsi="Calibri" w:cs="Calibri"/>
          <w:sz w:val="20"/>
          <w:szCs w:val="20"/>
        </w:rPr>
      </w:pPr>
      <w:r w:rsidRPr="00C13570">
        <w:rPr>
          <w:rFonts w:ascii="Calibri" w:hAnsi="Calibri" w:cs="Calibri"/>
          <w:sz w:val="20"/>
          <w:szCs w:val="20"/>
        </w:rPr>
        <w:t xml:space="preserve">If a </w:t>
      </w:r>
      <w:proofErr w:type="gramStart"/>
      <w:r w:rsidRPr="00C13570">
        <w:rPr>
          <w:rFonts w:ascii="Calibri" w:hAnsi="Calibri" w:cs="Calibri"/>
          <w:sz w:val="20"/>
          <w:szCs w:val="20"/>
        </w:rPr>
        <w:t>high risk</w:t>
      </w:r>
      <w:proofErr w:type="gramEnd"/>
      <w:r w:rsidRPr="00C13570">
        <w:rPr>
          <w:rFonts w:ascii="Calibri" w:hAnsi="Calibri" w:cs="Calibri"/>
          <w:sz w:val="20"/>
          <w:szCs w:val="20"/>
        </w:rPr>
        <w:t xml:space="preserve"> rating is agreed, the CRIS requires the Finance Minister to agree the release of the CRIS. The entity should consult with Charging Policy at Finance on the draft CRIS before the responsible Minister writes to the </w:t>
      </w:r>
      <w:proofErr w:type="gramStart"/>
      <w:r w:rsidRPr="00C13570">
        <w:rPr>
          <w:rFonts w:ascii="Calibri" w:hAnsi="Calibri" w:cs="Calibri"/>
          <w:sz w:val="20"/>
          <w:szCs w:val="20"/>
        </w:rPr>
        <w:t>Finance Minister</w:t>
      </w:r>
      <w:proofErr w:type="gramEnd"/>
      <w:r w:rsidRPr="00C13570">
        <w:rPr>
          <w:rFonts w:ascii="Calibri" w:hAnsi="Calibri" w:cs="Calibri"/>
          <w:sz w:val="20"/>
          <w:szCs w:val="20"/>
        </w:rPr>
        <w:t xml:space="preserve">. </w:t>
      </w:r>
      <w:r w:rsidR="00683893">
        <w:rPr>
          <w:rFonts w:ascii="Calibri" w:hAnsi="Calibri" w:cs="Calibri"/>
          <w:sz w:val="20"/>
          <w:szCs w:val="20"/>
        </w:rPr>
        <w:t xml:space="preserve"> </w:t>
      </w:r>
    </w:p>
    <w:tbl>
      <w:tblPr>
        <w:tblStyle w:val="TableGrid"/>
        <w:tblpPr w:leftFromText="180" w:rightFromText="180" w:vertAnchor="text" w:horzAnchor="margin" w:tblpY="1395"/>
        <w:tblW w:w="4962" w:type="dxa"/>
        <w:tblCellMar>
          <w:left w:w="113" w:type="dxa"/>
          <w:right w:w="113" w:type="dxa"/>
        </w:tblCellMar>
        <w:tblLook w:val="04A0" w:firstRow="1" w:lastRow="0" w:firstColumn="1" w:lastColumn="0" w:noHBand="0" w:noVBand="1"/>
      </w:tblPr>
      <w:tblGrid>
        <w:gridCol w:w="2943"/>
        <w:gridCol w:w="2019"/>
      </w:tblGrid>
      <w:tr w:rsidR="00EC52AD" w:rsidRPr="000D7CF2" w14:paraId="4D9545B0" w14:textId="77777777" w:rsidTr="00683893">
        <w:trPr>
          <w:trHeight w:val="321"/>
        </w:trPr>
        <w:tc>
          <w:tcPr>
            <w:tcW w:w="2943" w:type="dxa"/>
            <w:vAlign w:val="center"/>
          </w:tcPr>
          <w:p w14:paraId="46B333E3" w14:textId="77777777" w:rsidR="00EC52AD" w:rsidRPr="000D7CF2" w:rsidRDefault="00EC52AD" w:rsidP="00683893">
            <w:pPr>
              <w:spacing w:before="0" w:after="0" w:line="240" w:lineRule="auto"/>
              <w:rPr>
                <w:rFonts w:ascii="Calibri" w:hAnsi="Calibri" w:cs="Calibri"/>
                <w:b/>
                <w:sz w:val="18"/>
                <w:szCs w:val="18"/>
              </w:rPr>
            </w:pPr>
            <w:r w:rsidRPr="000D7CF2">
              <w:rPr>
                <w:rFonts w:ascii="Calibri" w:hAnsi="Calibri" w:cs="Calibri"/>
                <w:b/>
                <w:sz w:val="18"/>
                <w:szCs w:val="18"/>
              </w:rPr>
              <w:t>Number of responses to questions</w:t>
            </w:r>
          </w:p>
        </w:tc>
        <w:tc>
          <w:tcPr>
            <w:tcW w:w="2019" w:type="dxa"/>
            <w:vAlign w:val="center"/>
          </w:tcPr>
          <w:p w14:paraId="63DA6D05" w14:textId="77777777" w:rsidR="00EC52AD" w:rsidRPr="000D7CF2" w:rsidRDefault="00EC52AD" w:rsidP="00683893">
            <w:pPr>
              <w:spacing w:before="0" w:after="0" w:line="240" w:lineRule="auto"/>
              <w:rPr>
                <w:rFonts w:ascii="Calibri" w:hAnsi="Calibri" w:cs="Calibri"/>
                <w:b/>
                <w:sz w:val="18"/>
                <w:szCs w:val="18"/>
              </w:rPr>
            </w:pPr>
            <w:r w:rsidRPr="000D7CF2">
              <w:rPr>
                <w:rFonts w:ascii="Calibri" w:hAnsi="Calibri" w:cs="Calibri"/>
                <w:b/>
                <w:sz w:val="18"/>
                <w:szCs w:val="18"/>
              </w:rPr>
              <w:t>Risk rating as a</w:t>
            </w:r>
            <w:r>
              <w:rPr>
                <w:rFonts w:ascii="Calibri" w:hAnsi="Calibri" w:cs="Calibri"/>
                <w:b/>
                <w:sz w:val="18"/>
                <w:szCs w:val="18"/>
              </w:rPr>
              <w:t>n</w:t>
            </w:r>
            <w:r w:rsidRPr="000D7CF2">
              <w:rPr>
                <w:rFonts w:ascii="Calibri" w:hAnsi="Calibri" w:cs="Calibri"/>
                <w:b/>
                <w:sz w:val="18"/>
                <w:szCs w:val="18"/>
              </w:rPr>
              <w:t xml:space="preserve"> </w:t>
            </w:r>
            <w:r>
              <w:rPr>
                <w:rFonts w:ascii="Calibri" w:hAnsi="Calibri" w:cs="Calibri"/>
                <w:b/>
                <w:sz w:val="18"/>
                <w:szCs w:val="18"/>
              </w:rPr>
              <w:t>impact</w:t>
            </w:r>
          </w:p>
        </w:tc>
      </w:tr>
      <w:tr w:rsidR="00EC52AD" w:rsidRPr="000D7CF2" w14:paraId="4FDA0C75" w14:textId="77777777" w:rsidTr="00683893">
        <w:trPr>
          <w:trHeight w:val="285"/>
        </w:trPr>
        <w:tc>
          <w:tcPr>
            <w:tcW w:w="2943" w:type="dxa"/>
            <w:vAlign w:val="center"/>
          </w:tcPr>
          <w:p w14:paraId="729F47DA" w14:textId="77777777" w:rsidR="00EC52AD" w:rsidRPr="000D7CF2" w:rsidRDefault="00EC52AD" w:rsidP="00683893">
            <w:pPr>
              <w:spacing w:before="0" w:after="0" w:line="240" w:lineRule="auto"/>
              <w:rPr>
                <w:rFonts w:ascii="Calibri" w:hAnsi="Calibri" w:cs="Calibri"/>
                <w:sz w:val="18"/>
                <w:szCs w:val="18"/>
              </w:rPr>
            </w:pPr>
            <w:r w:rsidRPr="000D7CF2">
              <w:rPr>
                <w:rFonts w:ascii="Calibri" w:hAnsi="Calibri" w:cs="Calibri"/>
                <w:sz w:val="18"/>
                <w:szCs w:val="18"/>
              </w:rPr>
              <w:t>At least three ‘high’</w:t>
            </w:r>
          </w:p>
        </w:tc>
        <w:tc>
          <w:tcPr>
            <w:tcW w:w="2019" w:type="dxa"/>
          </w:tcPr>
          <w:p w14:paraId="63946B02" w14:textId="77777777" w:rsidR="00EC52AD" w:rsidRPr="000D7CF2" w:rsidRDefault="00EC52AD" w:rsidP="00683893">
            <w:pPr>
              <w:spacing w:before="0" w:after="0" w:line="240" w:lineRule="auto"/>
              <w:rPr>
                <w:rFonts w:ascii="Calibri" w:hAnsi="Calibri" w:cs="Calibri"/>
                <w:sz w:val="18"/>
                <w:szCs w:val="18"/>
              </w:rPr>
            </w:pPr>
            <w:r w:rsidRPr="000D7CF2">
              <w:rPr>
                <w:rFonts w:ascii="Calibri" w:hAnsi="Calibri" w:cs="Calibri"/>
                <w:sz w:val="18"/>
                <w:szCs w:val="18"/>
              </w:rPr>
              <w:t>High</w:t>
            </w:r>
          </w:p>
        </w:tc>
      </w:tr>
      <w:tr w:rsidR="00EC52AD" w:rsidRPr="000D7CF2" w14:paraId="4BB87229" w14:textId="77777777" w:rsidTr="00683893">
        <w:trPr>
          <w:trHeight w:val="236"/>
        </w:trPr>
        <w:tc>
          <w:tcPr>
            <w:tcW w:w="2943" w:type="dxa"/>
            <w:vAlign w:val="center"/>
          </w:tcPr>
          <w:p w14:paraId="7B1CD172" w14:textId="77777777" w:rsidR="00EC52AD" w:rsidRPr="000D7CF2" w:rsidRDefault="00EC52AD" w:rsidP="00683893">
            <w:pPr>
              <w:spacing w:before="0" w:after="0" w:line="240" w:lineRule="auto"/>
              <w:rPr>
                <w:rFonts w:ascii="Calibri" w:hAnsi="Calibri" w:cs="Calibri"/>
                <w:sz w:val="18"/>
                <w:szCs w:val="18"/>
              </w:rPr>
            </w:pPr>
            <w:r w:rsidRPr="000D7CF2">
              <w:rPr>
                <w:rFonts w:ascii="Calibri" w:hAnsi="Calibri" w:cs="Calibri"/>
                <w:sz w:val="18"/>
                <w:szCs w:val="18"/>
              </w:rPr>
              <w:t>At least one ‘medium’ or ‘high’</w:t>
            </w:r>
          </w:p>
        </w:tc>
        <w:tc>
          <w:tcPr>
            <w:tcW w:w="2019" w:type="dxa"/>
          </w:tcPr>
          <w:p w14:paraId="1B9C06AA" w14:textId="77777777" w:rsidR="00EC52AD" w:rsidRPr="000D7CF2" w:rsidRDefault="00EC52AD" w:rsidP="00683893">
            <w:pPr>
              <w:spacing w:before="0" w:after="0" w:line="240" w:lineRule="auto"/>
              <w:rPr>
                <w:rFonts w:ascii="Calibri" w:hAnsi="Calibri" w:cs="Calibri"/>
                <w:sz w:val="18"/>
                <w:szCs w:val="18"/>
              </w:rPr>
            </w:pPr>
            <w:r w:rsidRPr="000D7CF2">
              <w:rPr>
                <w:rFonts w:ascii="Calibri" w:hAnsi="Calibri" w:cs="Calibri"/>
                <w:sz w:val="18"/>
                <w:szCs w:val="18"/>
              </w:rPr>
              <w:t>Medium</w:t>
            </w:r>
          </w:p>
        </w:tc>
      </w:tr>
      <w:tr w:rsidR="00EC52AD" w:rsidRPr="000D7CF2" w14:paraId="4BB9C1E5" w14:textId="77777777" w:rsidTr="00683893">
        <w:trPr>
          <w:trHeight w:val="214"/>
        </w:trPr>
        <w:tc>
          <w:tcPr>
            <w:tcW w:w="2943" w:type="dxa"/>
            <w:vAlign w:val="center"/>
          </w:tcPr>
          <w:p w14:paraId="7E0076E4" w14:textId="77777777" w:rsidR="00EC52AD" w:rsidRPr="000D7CF2" w:rsidRDefault="00EC52AD" w:rsidP="00683893">
            <w:pPr>
              <w:spacing w:before="0" w:after="0" w:line="240" w:lineRule="auto"/>
              <w:rPr>
                <w:rFonts w:ascii="Calibri" w:hAnsi="Calibri" w:cs="Calibri"/>
                <w:sz w:val="18"/>
                <w:szCs w:val="18"/>
              </w:rPr>
            </w:pPr>
            <w:r w:rsidRPr="000D7CF2">
              <w:rPr>
                <w:rFonts w:ascii="Calibri" w:hAnsi="Calibri" w:cs="Calibri"/>
                <w:sz w:val="18"/>
                <w:szCs w:val="18"/>
              </w:rPr>
              <w:t>All ‘low’</w:t>
            </w:r>
          </w:p>
        </w:tc>
        <w:tc>
          <w:tcPr>
            <w:tcW w:w="2019" w:type="dxa"/>
          </w:tcPr>
          <w:p w14:paraId="72DE0D86" w14:textId="77777777" w:rsidR="00EC52AD" w:rsidRPr="000D7CF2" w:rsidRDefault="00EC52AD" w:rsidP="00683893">
            <w:pPr>
              <w:spacing w:before="0" w:after="0" w:line="240" w:lineRule="auto"/>
              <w:rPr>
                <w:rFonts w:ascii="Calibri" w:hAnsi="Calibri" w:cs="Calibri"/>
                <w:sz w:val="18"/>
                <w:szCs w:val="18"/>
              </w:rPr>
            </w:pPr>
            <w:r w:rsidRPr="000D7CF2">
              <w:rPr>
                <w:rFonts w:ascii="Calibri" w:hAnsi="Calibri" w:cs="Calibri"/>
                <w:sz w:val="18"/>
                <w:szCs w:val="18"/>
              </w:rPr>
              <w:t>Low</w:t>
            </w:r>
          </w:p>
        </w:tc>
      </w:tr>
    </w:tbl>
    <w:p w14:paraId="19C0162D" w14:textId="405CFE82" w:rsidR="00683893" w:rsidRDefault="00F30238" w:rsidP="00F957CE">
      <w:pPr>
        <w:pStyle w:val="BodyText1"/>
        <w:ind w:right="-425"/>
        <w:rPr>
          <w:rFonts w:ascii="Calibri" w:hAnsi="Calibri" w:cs="Calibri"/>
          <w:sz w:val="20"/>
          <w:szCs w:val="20"/>
        </w:rPr>
        <w:sectPr w:rsidR="00683893" w:rsidSect="00EC52AD">
          <w:type w:val="continuous"/>
          <w:pgSz w:w="11906" w:h="16838" w:code="9"/>
          <w:pgMar w:top="1134" w:right="707" w:bottom="1134" w:left="709" w:header="567" w:footer="624" w:gutter="0"/>
          <w:cols w:num="2" w:space="709"/>
          <w:docGrid w:linePitch="360"/>
        </w:sectPr>
      </w:pPr>
      <w:r w:rsidRPr="00F30238">
        <w:rPr>
          <w:rFonts w:ascii="Calibri" w:hAnsi="Calibri" w:cs="Calibri"/>
          <w:noProof/>
          <w:sz w:val="20"/>
          <w:szCs w:val="20"/>
        </w:rPr>
        <mc:AlternateContent>
          <mc:Choice Requires="wps">
            <w:drawing>
              <wp:anchor distT="45720" distB="45720" distL="114300" distR="114300" simplePos="0" relativeHeight="251657216" behindDoc="0" locked="0" layoutInCell="1" allowOverlap="1" wp14:anchorId="4A9C8B55" wp14:editId="05D58AE4">
                <wp:simplePos x="0" y="0"/>
                <wp:positionH relativeFrom="column">
                  <wp:posOffset>-81849</wp:posOffset>
                </wp:positionH>
                <wp:positionV relativeFrom="paragraph">
                  <wp:posOffset>13676</wp:posOffset>
                </wp:positionV>
                <wp:extent cx="3275463"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463" cy="1404620"/>
                        </a:xfrm>
                        <a:prstGeom prst="rect">
                          <a:avLst/>
                        </a:prstGeom>
                        <a:noFill/>
                        <a:ln w="9525">
                          <a:noFill/>
                          <a:miter lim="800000"/>
                          <a:headEnd/>
                          <a:tailEnd/>
                        </a:ln>
                      </wps:spPr>
                      <wps:txbx>
                        <w:txbxContent>
                          <w:p w14:paraId="6A2CADDD" w14:textId="6802E5FB" w:rsidR="00F30238" w:rsidRDefault="00F30238" w:rsidP="00F30238">
                            <w:pPr>
                              <w:pStyle w:val="BodyText1"/>
                              <w:spacing w:after="0"/>
                              <w:rPr>
                                <w:rFonts w:ascii="Calibri" w:hAnsi="Calibri" w:cs="Calibri"/>
                                <w:sz w:val="20"/>
                                <w:szCs w:val="20"/>
                              </w:rPr>
                            </w:pPr>
                            <w:r w:rsidRPr="00C13570">
                              <w:rPr>
                                <w:rFonts w:ascii="Calibri" w:hAnsi="Calibri" w:cs="Calibri"/>
                                <w:sz w:val="20"/>
                                <w:szCs w:val="20"/>
                              </w:rPr>
                              <w:t xml:space="preserve">More information on CRIS requirements and process are available in the </w:t>
                            </w:r>
                            <w:r>
                              <w:rPr>
                                <w:rFonts w:ascii="Calibri" w:hAnsi="Calibri" w:cs="Calibri"/>
                                <w:sz w:val="20"/>
                                <w:szCs w:val="20"/>
                              </w:rPr>
                              <w:t>RMG</w:t>
                            </w:r>
                            <w:r w:rsidRPr="00C13570">
                              <w:rPr>
                                <w:rFonts w:ascii="Calibri" w:hAnsi="Calibri" w:cs="Calibri"/>
                                <w:sz w:val="20"/>
                                <w:szCs w:val="20"/>
                              </w:rPr>
                              <w:t>.</w:t>
                            </w:r>
                          </w:p>
                          <w:p w14:paraId="5E4FA92A" w14:textId="523DB0DD" w:rsidR="00F30238" w:rsidRDefault="00F30238" w:rsidP="00F30238">
                            <w:r>
                              <w:rPr>
                                <w:rFonts w:ascii="Calibri" w:hAnsi="Calibri" w:cs="Calibri"/>
                                <w:sz w:val="20"/>
                                <w:szCs w:val="20"/>
                              </w:rPr>
                              <w:t>S</w:t>
                            </w:r>
                            <w:r w:rsidRPr="00C01733">
                              <w:rPr>
                                <w:rFonts w:ascii="Calibri" w:hAnsi="Calibri" w:cs="Calibri"/>
                                <w:sz w:val="20"/>
                                <w:szCs w:val="20"/>
                              </w:rPr>
                              <w:t>hould you have any questions or require support or assistance in completing your Charging Risk Assessment,</w:t>
                            </w:r>
                            <w:r>
                              <w:rPr>
                                <w:rFonts w:ascii="Calibri" w:hAnsi="Calibri" w:cs="Calibri"/>
                                <w:sz w:val="20"/>
                                <w:szCs w:val="20"/>
                              </w:rPr>
                              <w:t xml:space="preserve"> </w:t>
                            </w:r>
                            <w:r w:rsidRPr="00C01733">
                              <w:rPr>
                                <w:rFonts w:ascii="Calibri" w:hAnsi="Calibri" w:cs="Calibri"/>
                                <w:sz w:val="20"/>
                                <w:szCs w:val="20"/>
                              </w:rPr>
                              <w:t>please c</w:t>
                            </w:r>
                            <w:r>
                              <w:rPr>
                                <w:rFonts w:ascii="Calibri" w:hAnsi="Calibri" w:cs="Calibri"/>
                                <w:sz w:val="20"/>
                                <w:szCs w:val="20"/>
                              </w:rPr>
                              <w:t xml:space="preserve">ontact the Charging Policy Team – </w:t>
                            </w:r>
                            <w:hyperlink r:id="rId12" w:history="1">
                              <w:r w:rsidRPr="00442C5A">
                                <w:rPr>
                                  <w:rStyle w:val="Hyperlink"/>
                                  <w:rFonts w:ascii="Calibri" w:hAnsi="Calibri" w:cs="Calibri"/>
                                  <w:sz w:val="20"/>
                                  <w:szCs w:val="20"/>
                                </w:rPr>
                                <w:t>Chargingpolicy@finance.gov.au</w:t>
                              </w:r>
                            </w:hyperlink>
                            <w:r>
                              <w:rPr>
                                <w:rStyle w:val="Hyperlink"/>
                                <w:rFonts w:ascii="Calibri" w:hAnsi="Calibri" w:cs="Calibr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A9C8B55" id="_x0000_t202" coordsize="21600,21600" o:spt="202" path="m,l,21600r21600,l21600,xe">
                <v:stroke joinstyle="miter"/>
                <v:path gradientshapeok="t" o:connecttype="rect"/>
              </v:shapetype>
              <v:shape id="Text Box 2" o:spid="_x0000_s1026" type="#_x0000_t202" style="position:absolute;margin-left:-6.45pt;margin-top:1.1pt;width:257.9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" filled="f" stroked="f">
                <v:textbox style="mso-fit-shape-to-text:t">
                  <w:txbxContent>
                    <w:p w14:paraId="6A2CADDD" w14:textId="6802E5FB" w:rsidR="00F30238" w:rsidRDefault="00F30238" w:rsidP="00F30238">
                      <w:pPr>
                        <w:pStyle w:val="BodyText1"/>
                        <w:spacing w:after="0"/>
                        <w:rPr>
                          <w:rFonts w:ascii="Calibri" w:hAnsi="Calibri" w:cs="Calibri"/>
                          <w:sz w:val="20"/>
                          <w:szCs w:val="20"/>
                        </w:rPr>
                      </w:pPr>
                      <w:r w:rsidRPr="00C13570">
                        <w:rPr>
                          <w:rFonts w:ascii="Calibri" w:hAnsi="Calibri" w:cs="Calibri"/>
                          <w:sz w:val="20"/>
                          <w:szCs w:val="20"/>
                        </w:rPr>
                        <w:t xml:space="preserve">More information on CRIS requirements and process are available in the </w:t>
                      </w:r>
                      <w:r>
                        <w:rPr>
                          <w:rFonts w:ascii="Calibri" w:hAnsi="Calibri" w:cs="Calibri"/>
                          <w:sz w:val="20"/>
                          <w:szCs w:val="20"/>
                        </w:rPr>
                        <w:t>RMG</w:t>
                      </w:r>
                      <w:r w:rsidRPr="00C13570">
                        <w:rPr>
                          <w:rFonts w:ascii="Calibri" w:hAnsi="Calibri" w:cs="Calibri"/>
                          <w:sz w:val="20"/>
                          <w:szCs w:val="20"/>
                        </w:rPr>
                        <w:t>.</w:t>
                      </w:r>
                    </w:p>
                    <w:p w14:paraId="5E4FA92A" w14:textId="523DB0DD" w:rsidR="00F30238" w:rsidRDefault="00F30238" w:rsidP="00F30238">
                      <w:r>
                        <w:rPr>
                          <w:rFonts w:ascii="Calibri" w:hAnsi="Calibri" w:cs="Calibri"/>
                          <w:sz w:val="20"/>
                          <w:szCs w:val="20"/>
                        </w:rPr>
                        <w:t>S</w:t>
                      </w:r>
                      <w:r w:rsidRPr="00C01733">
                        <w:rPr>
                          <w:rFonts w:ascii="Calibri" w:hAnsi="Calibri" w:cs="Calibri"/>
                          <w:sz w:val="20"/>
                          <w:szCs w:val="20"/>
                        </w:rPr>
                        <w:t>hould you have any questions or require support or assistance in completing your Charging Risk Assessment,</w:t>
                      </w:r>
                      <w:r>
                        <w:rPr>
                          <w:rFonts w:ascii="Calibri" w:hAnsi="Calibri" w:cs="Calibri"/>
                          <w:sz w:val="20"/>
                          <w:szCs w:val="20"/>
                        </w:rPr>
                        <w:t xml:space="preserve"> </w:t>
                      </w:r>
                      <w:r w:rsidRPr="00C01733">
                        <w:rPr>
                          <w:rFonts w:ascii="Calibri" w:hAnsi="Calibri" w:cs="Calibri"/>
                          <w:sz w:val="20"/>
                          <w:szCs w:val="20"/>
                        </w:rPr>
                        <w:t>please c</w:t>
                      </w:r>
                      <w:r>
                        <w:rPr>
                          <w:rFonts w:ascii="Calibri" w:hAnsi="Calibri" w:cs="Calibri"/>
                          <w:sz w:val="20"/>
                          <w:szCs w:val="20"/>
                        </w:rPr>
                        <w:t xml:space="preserve">ontact the Charging Policy Team – </w:t>
                      </w:r>
                      <w:hyperlink r:id="rId13" w:history="1">
                        <w:r w:rsidRPr="00442C5A">
                          <w:rPr>
                            <w:rStyle w:val="Hyperlink"/>
                            <w:rFonts w:ascii="Calibri" w:hAnsi="Calibri" w:cs="Calibri"/>
                            <w:sz w:val="20"/>
                            <w:szCs w:val="20"/>
                          </w:rPr>
                          <w:t>Chargingpolicy@finance.gov.au</w:t>
                        </w:r>
                      </w:hyperlink>
                      <w:r>
                        <w:rPr>
                          <w:rStyle w:val="Hyperlink"/>
                          <w:rFonts w:ascii="Calibri" w:hAnsi="Calibri" w:cs="Calibri"/>
                          <w:sz w:val="20"/>
                          <w:szCs w:val="20"/>
                        </w:rPr>
                        <w:t>.</w:t>
                      </w:r>
                    </w:p>
                  </w:txbxContent>
                </v:textbox>
              </v:shape>
            </w:pict>
          </mc:Fallback>
        </mc:AlternateContent>
      </w:r>
    </w:p>
    <w:p w14:paraId="61EE734A" w14:textId="04522E4C" w:rsidR="004E058F" w:rsidRDefault="00683893" w:rsidP="00683893">
      <w:pPr>
        <w:pStyle w:val="BodyText1"/>
      </w:pPr>
      <w:r>
        <w:rPr>
          <w:rFonts w:ascii="Calibri" w:hAnsi="Calibri" w:cs="Calibri"/>
          <w:sz w:val="20"/>
          <w:szCs w:val="20"/>
        </w:rPr>
        <w:t xml:space="preserve"> </w:t>
      </w:r>
    </w:p>
    <w:tbl>
      <w:tblPr>
        <w:tblStyle w:val="DOFDwithheader"/>
        <w:tblW w:w="10768" w:type="dxa"/>
        <w:jc w:val="center"/>
        <w:tblLayout w:type="fixed"/>
        <w:tblLook w:val="04A0" w:firstRow="1" w:lastRow="0" w:firstColumn="1" w:lastColumn="0" w:noHBand="0" w:noVBand="1"/>
      </w:tblPr>
      <w:tblGrid>
        <w:gridCol w:w="3539"/>
        <w:gridCol w:w="480"/>
        <w:gridCol w:w="1930"/>
        <w:gridCol w:w="425"/>
        <w:gridCol w:w="1985"/>
        <w:gridCol w:w="425"/>
        <w:gridCol w:w="1984"/>
      </w:tblGrid>
      <w:tr w:rsidR="00EC52AD" w14:paraId="5E832462" w14:textId="77777777" w:rsidTr="00EC52AD">
        <w:trPr>
          <w:cnfStyle w:val="100000000000" w:firstRow="1" w:lastRow="0" w:firstColumn="0" w:lastColumn="0" w:oddVBand="0" w:evenVBand="0" w:oddHBand="0" w:evenHBand="0" w:firstRowFirstColumn="0" w:firstRowLastColumn="0" w:lastRowFirstColumn="0" w:lastRowLastColumn="0"/>
          <w:trHeight w:val="465"/>
          <w:jc w:val="center"/>
        </w:trPr>
        <w:tc>
          <w:tcPr>
            <w:tcW w:w="3539" w:type="dxa"/>
            <w:shd w:val="clear" w:color="auto" w:fill="EBF7F7" w:themeFill="accent1" w:themeFillTint="33"/>
          </w:tcPr>
          <w:p w14:paraId="76A98BCA" w14:textId="77777777" w:rsidR="00EC52AD" w:rsidRPr="00785354" w:rsidRDefault="00EC52AD" w:rsidP="003F1F8A">
            <w:pPr>
              <w:rPr>
                <w:b/>
              </w:rPr>
            </w:pPr>
            <w:r w:rsidRPr="00785354">
              <w:rPr>
                <w:b/>
              </w:rPr>
              <w:lastRenderedPageBreak/>
              <w:t>Implementation risks</w:t>
            </w:r>
          </w:p>
        </w:tc>
        <w:tc>
          <w:tcPr>
            <w:tcW w:w="2410" w:type="dxa"/>
            <w:gridSpan w:val="2"/>
            <w:shd w:val="clear" w:color="auto" w:fill="EBF7F7" w:themeFill="accent1" w:themeFillTint="33"/>
            <w:vAlign w:val="center"/>
          </w:tcPr>
          <w:p w14:paraId="6164A9E9" w14:textId="77777777" w:rsidR="00EC52AD" w:rsidRPr="00785354" w:rsidRDefault="00EC52AD" w:rsidP="003F1F8A">
            <w:pPr>
              <w:rPr>
                <w:b/>
              </w:rPr>
            </w:pPr>
            <w:r w:rsidRPr="00785354">
              <w:rPr>
                <w:b/>
              </w:rPr>
              <w:t>Low</w:t>
            </w:r>
          </w:p>
        </w:tc>
        <w:tc>
          <w:tcPr>
            <w:tcW w:w="2410" w:type="dxa"/>
            <w:gridSpan w:val="2"/>
            <w:shd w:val="clear" w:color="auto" w:fill="EBF7F7" w:themeFill="accent1" w:themeFillTint="33"/>
            <w:vAlign w:val="center"/>
          </w:tcPr>
          <w:p w14:paraId="6DD72E47" w14:textId="77777777" w:rsidR="00EC52AD" w:rsidRPr="00785354" w:rsidRDefault="00EC52AD" w:rsidP="003F1F8A">
            <w:pPr>
              <w:rPr>
                <w:b/>
              </w:rPr>
            </w:pPr>
            <w:r w:rsidRPr="00785354">
              <w:rPr>
                <w:b/>
              </w:rPr>
              <w:t>Medium</w:t>
            </w:r>
          </w:p>
        </w:tc>
        <w:tc>
          <w:tcPr>
            <w:tcW w:w="2409" w:type="dxa"/>
            <w:gridSpan w:val="2"/>
            <w:shd w:val="clear" w:color="auto" w:fill="EBF7F7" w:themeFill="accent1" w:themeFillTint="33"/>
            <w:vAlign w:val="center"/>
          </w:tcPr>
          <w:p w14:paraId="73174370" w14:textId="77777777" w:rsidR="00EC52AD" w:rsidRPr="00785354" w:rsidRDefault="00EC52AD" w:rsidP="003F1F8A">
            <w:pPr>
              <w:rPr>
                <w:b/>
              </w:rPr>
            </w:pPr>
            <w:r w:rsidRPr="00785354">
              <w:rPr>
                <w:b/>
              </w:rPr>
              <w:t>High</w:t>
            </w:r>
          </w:p>
        </w:tc>
      </w:tr>
      <w:tr w:rsidR="00E67970" w14:paraId="3B2492FA" w14:textId="77777777" w:rsidTr="00EC52AD">
        <w:trPr>
          <w:trHeight w:val="804"/>
          <w:jc w:val="center"/>
        </w:trPr>
        <w:tc>
          <w:tcPr>
            <w:tcW w:w="3539" w:type="dxa"/>
          </w:tcPr>
          <w:p w14:paraId="6817B7D0" w14:textId="77777777" w:rsidR="00E67970" w:rsidRPr="00266878" w:rsidRDefault="00E67970" w:rsidP="00E67970">
            <w:pPr>
              <w:pStyle w:val="Tablebodytext"/>
              <w:numPr>
                <w:ilvl w:val="0"/>
                <w:numId w:val="24"/>
              </w:numPr>
              <w:spacing w:line="220" w:lineRule="atLeast"/>
              <w:ind w:left="431"/>
            </w:pPr>
            <w:r w:rsidRPr="00266878">
              <w:t xml:space="preserve">What is the </w:t>
            </w:r>
            <w:r>
              <w:t>expected</w:t>
            </w:r>
            <w:r w:rsidRPr="00266878">
              <w:t xml:space="preserve"> </w:t>
            </w:r>
            <w:r>
              <w:t>percentage change in total annual revenue after the proposed changes?</w:t>
            </w:r>
          </w:p>
        </w:tc>
        <w:tc>
          <w:tcPr>
            <w:tcW w:w="480" w:type="dxa"/>
          </w:tcPr>
          <w:sdt>
            <w:sdtPr>
              <w:rPr>
                <w:rFonts w:ascii="Wingdings" w:eastAsia="Wingdings" w:hAnsi="Wingdings" w:cs="Wingdings"/>
              </w:rPr>
              <w:id w:val="1748535879"/>
              <w14:checkbox>
                <w14:checked w14:val="0"/>
                <w14:checkedState w14:val="2612" w14:font="MS Gothic"/>
                <w14:uncheckedState w14:val="2610" w14:font="MS Gothic"/>
              </w14:checkbox>
            </w:sdtPr>
            <w:sdtContent>
              <w:p w14:paraId="70F39C32" w14:textId="57B85377" w:rsidR="00E67970" w:rsidRPr="00890958" w:rsidRDefault="00E67970" w:rsidP="00E67970">
                <w:pPr>
                  <w:pStyle w:val="Tablebodytext"/>
                  <w:jc w:val="center"/>
                </w:pPr>
                <w:r>
                  <w:rPr>
                    <w:rFonts w:ascii="MS Gothic" w:eastAsia="MS Gothic" w:hAnsi="MS Gothic" w:cs="Wingdings" w:hint="eastAsia"/>
                  </w:rPr>
                  <w:t>☐</w:t>
                </w:r>
              </w:p>
            </w:sdtContent>
          </w:sdt>
        </w:tc>
        <w:tc>
          <w:tcPr>
            <w:tcW w:w="1930" w:type="dxa"/>
          </w:tcPr>
          <w:p w14:paraId="4CBC311C" w14:textId="77777777" w:rsidR="00E67970" w:rsidRPr="00890958" w:rsidRDefault="00E67970" w:rsidP="00E67970">
            <w:pPr>
              <w:pStyle w:val="Tablebodytext"/>
            </w:pPr>
            <w:r>
              <w:t xml:space="preserve">0 to </w:t>
            </w:r>
            <w:r w:rsidRPr="000E7F2A">
              <w:t>10%</w:t>
            </w:r>
          </w:p>
        </w:tc>
        <w:tc>
          <w:tcPr>
            <w:tcW w:w="425" w:type="dxa"/>
          </w:tcPr>
          <w:sdt>
            <w:sdtPr>
              <w:rPr>
                <w:rFonts w:ascii="Wingdings" w:eastAsia="Wingdings" w:hAnsi="Wingdings" w:cs="Wingdings"/>
              </w:rPr>
              <w:id w:val="-1425101835"/>
              <w14:checkbox>
                <w14:checked w14:val="0"/>
                <w14:checkedState w14:val="2612" w14:font="MS Gothic"/>
                <w14:uncheckedState w14:val="2610" w14:font="MS Gothic"/>
              </w14:checkbox>
            </w:sdtPr>
            <w:sdtContent>
              <w:p w14:paraId="6AB4DE41" w14:textId="1D2C1DA4" w:rsidR="00E67970" w:rsidRPr="00890958"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37BF50B6" w14:textId="77777777" w:rsidR="00E67970" w:rsidRPr="00890958" w:rsidRDefault="00E67970" w:rsidP="00E67970">
            <w:pPr>
              <w:pStyle w:val="Tablebodytext"/>
            </w:pPr>
            <w:r>
              <w:t>11 to 20</w:t>
            </w:r>
            <w:r w:rsidRPr="000E7F2A">
              <w:t>%</w:t>
            </w:r>
          </w:p>
        </w:tc>
        <w:tc>
          <w:tcPr>
            <w:tcW w:w="425" w:type="dxa"/>
          </w:tcPr>
          <w:sdt>
            <w:sdtPr>
              <w:rPr>
                <w:rFonts w:ascii="Wingdings" w:eastAsia="Wingdings" w:hAnsi="Wingdings" w:cs="Wingdings"/>
              </w:rPr>
              <w:id w:val="-1091924888"/>
              <w14:checkbox>
                <w14:checked w14:val="0"/>
                <w14:checkedState w14:val="2612" w14:font="MS Gothic"/>
                <w14:uncheckedState w14:val="2610" w14:font="MS Gothic"/>
              </w14:checkbox>
            </w:sdtPr>
            <w:sdtContent>
              <w:p w14:paraId="41881B93" w14:textId="645A7C47" w:rsidR="00E67970" w:rsidRPr="00890958"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1D96BEDB" w14:textId="77777777" w:rsidR="00E67970" w:rsidRPr="00890958" w:rsidRDefault="00E67970" w:rsidP="00E67970">
            <w:pPr>
              <w:pStyle w:val="Tablebodytext"/>
            </w:pPr>
            <w:r w:rsidRPr="000E7F2A">
              <w:t xml:space="preserve">&gt;20% </w:t>
            </w:r>
          </w:p>
        </w:tc>
      </w:tr>
      <w:tr w:rsidR="00E67970" w14:paraId="7C3A43DB" w14:textId="77777777" w:rsidTr="00EC52AD">
        <w:trPr>
          <w:trHeight w:val="831"/>
          <w:jc w:val="center"/>
        </w:trPr>
        <w:tc>
          <w:tcPr>
            <w:tcW w:w="3539" w:type="dxa"/>
          </w:tcPr>
          <w:p w14:paraId="05275C3D" w14:textId="77777777" w:rsidR="00E67970" w:rsidRPr="00266878" w:rsidRDefault="00E67970" w:rsidP="00E67970">
            <w:pPr>
              <w:pStyle w:val="Tablebodytext"/>
              <w:numPr>
                <w:ilvl w:val="0"/>
                <w:numId w:val="24"/>
              </w:numPr>
              <w:spacing w:line="220" w:lineRule="atLeast"/>
              <w:ind w:left="431"/>
            </w:pPr>
            <w:r w:rsidRPr="00266878">
              <w:t xml:space="preserve">What is the </w:t>
            </w:r>
            <w:r>
              <w:t xml:space="preserve">expected change in </w:t>
            </w:r>
            <w:r w:rsidRPr="00266878">
              <w:t xml:space="preserve">total annual revenue </w:t>
            </w:r>
            <w:r>
              <w:t>after the proposed changes</w:t>
            </w:r>
            <w:r w:rsidRPr="00266878">
              <w:t>?</w:t>
            </w:r>
          </w:p>
        </w:tc>
        <w:tc>
          <w:tcPr>
            <w:tcW w:w="480" w:type="dxa"/>
          </w:tcPr>
          <w:sdt>
            <w:sdtPr>
              <w:rPr>
                <w:rFonts w:ascii="Wingdings" w:eastAsia="Wingdings" w:hAnsi="Wingdings" w:cs="Wingdings"/>
              </w:rPr>
              <w:id w:val="1972478212"/>
              <w14:checkbox>
                <w14:checked w14:val="0"/>
                <w14:checkedState w14:val="2612" w14:font="MS Gothic"/>
                <w14:uncheckedState w14:val="2610" w14:font="MS Gothic"/>
              </w14:checkbox>
            </w:sdtPr>
            <w:sdtContent>
              <w:p w14:paraId="520A345A" w14:textId="67D2CA3B" w:rsidR="00E67970" w:rsidRPr="00890958"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6C873044" w14:textId="77777777" w:rsidR="00E67970" w:rsidRPr="00890958" w:rsidRDefault="00E67970" w:rsidP="00E67970">
            <w:pPr>
              <w:pStyle w:val="Tablebodytext"/>
            </w:pPr>
            <w:r>
              <w:t xml:space="preserve">0 to </w:t>
            </w:r>
            <w:r w:rsidRPr="00890958">
              <w:t>$</w:t>
            </w:r>
            <w:r>
              <w:t>10</w:t>
            </w:r>
            <w:r w:rsidRPr="00890958">
              <w:t>m</w:t>
            </w:r>
          </w:p>
        </w:tc>
        <w:tc>
          <w:tcPr>
            <w:tcW w:w="425" w:type="dxa"/>
          </w:tcPr>
          <w:sdt>
            <w:sdtPr>
              <w:rPr>
                <w:rFonts w:ascii="Wingdings" w:eastAsia="Wingdings" w:hAnsi="Wingdings" w:cs="Wingdings"/>
              </w:rPr>
              <w:id w:val="1006402971"/>
              <w14:checkbox>
                <w14:checked w14:val="0"/>
                <w14:checkedState w14:val="2612" w14:font="MS Gothic"/>
                <w14:uncheckedState w14:val="2610" w14:font="MS Gothic"/>
              </w14:checkbox>
            </w:sdtPr>
            <w:sdtContent>
              <w:p w14:paraId="19539D29" w14:textId="79A1AC84" w:rsidR="00E67970" w:rsidRPr="00890958"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37C0FC7F" w14:textId="77777777" w:rsidR="00E67970" w:rsidRPr="00890958" w:rsidRDefault="00E67970" w:rsidP="00E67970">
            <w:pPr>
              <w:pStyle w:val="Tablebodytext"/>
            </w:pPr>
            <w:r w:rsidRPr="00890958">
              <w:t>$</w:t>
            </w:r>
            <w:r>
              <w:t xml:space="preserve">11m to </w:t>
            </w:r>
            <w:r w:rsidRPr="00890958">
              <w:t>$</w:t>
            </w:r>
            <w:r>
              <w:t>2</w:t>
            </w:r>
            <w:r w:rsidRPr="00890958">
              <w:t>0m</w:t>
            </w:r>
          </w:p>
        </w:tc>
        <w:tc>
          <w:tcPr>
            <w:tcW w:w="425" w:type="dxa"/>
          </w:tcPr>
          <w:sdt>
            <w:sdtPr>
              <w:rPr>
                <w:rFonts w:ascii="Wingdings" w:eastAsia="Wingdings" w:hAnsi="Wingdings" w:cs="Wingdings"/>
              </w:rPr>
              <w:id w:val="501091187"/>
              <w14:checkbox>
                <w14:checked w14:val="0"/>
                <w14:checkedState w14:val="2612" w14:font="MS Gothic"/>
                <w14:uncheckedState w14:val="2610" w14:font="MS Gothic"/>
              </w14:checkbox>
            </w:sdtPr>
            <w:sdtContent>
              <w:p w14:paraId="01A35C5F" w14:textId="43A823CD" w:rsidR="00E67970" w:rsidRPr="00890958"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731B5FE2" w14:textId="77777777" w:rsidR="00E67970" w:rsidRPr="00890958" w:rsidRDefault="00E67970" w:rsidP="00E67970">
            <w:pPr>
              <w:pStyle w:val="Tablebodytext"/>
            </w:pPr>
            <w:r w:rsidRPr="00890958">
              <w:t>$</w:t>
            </w:r>
            <w:r>
              <w:t>20m</w:t>
            </w:r>
            <w:r w:rsidRPr="00890958">
              <w:t>+</w:t>
            </w:r>
          </w:p>
        </w:tc>
      </w:tr>
      <w:tr w:rsidR="00E67970" w14:paraId="3AF50F84" w14:textId="77777777" w:rsidTr="00EC52AD">
        <w:trPr>
          <w:trHeight w:val="820"/>
          <w:jc w:val="center"/>
        </w:trPr>
        <w:tc>
          <w:tcPr>
            <w:tcW w:w="3539" w:type="dxa"/>
          </w:tcPr>
          <w:p w14:paraId="624A1D5F" w14:textId="77777777" w:rsidR="00E67970" w:rsidRPr="00266878" w:rsidRDefault="00E67970" w:rsidP="00E67970">
            <w:pPr>
              <w:pStyle w:val="Tablebodytext"/>
              <w:numPr>
                <w:ilvl w:val="0"/>
                <w:numId w:val="24"/>
              </w:numPr>
              <w:spacing w:line="220" w:lineRule="atLeast"/>
              <w:ind w:left="431"/>
            </w:pPr>
            <w:r w:rsidRPr="00266878">
              <w:t xml:space="preserve">What is the </w:t>
            </w:r>
            <w:r>
              <w:t>highest percentage increase</w:t>
            </w:r>
            <w:r w:rsidRPr="00266878">
              <w:t xml:space="preserve"> in </w:t>
            </w:r>
            <w:r>
              <w:t>price a payer</w:t>
            </w:r>
            <w:r>
              <w:rPr>
                <w:rFonts w:cs="Arial"/>
                <w:vertAlign w:val="superscript"/>
              </w:rPr>
              <w:t>†</w:t>
            </w:r>
            <w:r>
              <w:t xml:space="preserve"> may experience</w:t>
            </w:r>
            <w:r w:rsidRPr="00266878">
              <w:t>?</w:t>
            </w:r>
          </w:p>
        </w:tc>
        <w:tc>
          <w:tcPr>
            <w:tcW w:w="480" w:type="dxa"/>
          </w:tcPr>
          <w:sdt>
            <w:sdtPr>
              <w:rPr>
                <w:rFonts w:ascii="Wingdings" w:eastAsia="Wingdings" w:hAnsi="Wingdings" w:cs="Wingdings"/>
              </w:rPr>
              <w:id w:val="254329615"/>
              <w14:checkbox>
                <w14:checked w14:val="0"/>
                <w14:checkedState w14:val="2612" w14:font="MS Gothic"/>
                <w14:uncheckedState w14:val="2610" w14:font="MS Gothic"/>
              </w14:checkbox>
            </w:sdtPr>
            <w:sdtContent>
              <w:p w14:paraId="5055A63E" w14:textId="3D03BBBA" w:rsidR="00E67970" w:rsidRPr="00890958"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00D78579" w14:textId="77777777" w:rsidR="00E67970" w:rsidRPr="00890958" w:rsidRDefault="00E67970" w:rsidP="00E67970">
            <w:pPr>
              <w:pStyle w:val="Tablebodytext"/>
            </w:pPr>
            <w:r>
              <w:t>0 to 5</w:t>
            </w:r>
            <w:r w:rsidRPr="00890958">
              <w:t>%</w:t>
            </w:r>
          </w:p>
        </w:tc>
        <w:tc>
          <w:tcPr>
            <w:tcW w:w="425" w:type="dxa"/>
          </w:tcPr>
          <w:sdt>
            <w:sdtPr>
              <w:rPr>
                <w:rFonts w:ascii="Wingdings" w:eastAsia="Wingdings" w:hAnsi="Wingdings" w:cs="Wingdings"/>
              </w:rPr>
              <w:id w:val="92221484"/>
              <w14:checkbox>
                <w14:checked w14:val="0"/>
                <w14:checkedState w14:val="2612" w14:font="MS Gothic"/>
                <w14:uncheckedState w14:val="2610" w14:font="MS Gothic"/>
              </w14:checkbox>
            </w:sdtPr>
            <w:sdtContent>
              <w:p w14:paraId="67282A7A" w14:textId="34FE512D" w:rsidR="00E67970" w:rsidRPr="00890958"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0AF27B04" w14:textId="77777777" w:rsidR="00E67970" w:rsidRPr="00890958" w:rsidRDefault="00E67970" w:rsidP="00E67970">
            <w:pPr>
              <w:pStyle w:val="Tablebodytext"/>
            </w:pPr>
            <w:r>
              <w:t>6 to 10</w:t>
            </w:r>
            <w:r w:rsidRPr="00890958">
              <w:t>%</w:t>
            </w:r>
          </w:p>
        </w:tc>
        <w:tc>
          <w:tcPr>
            <w:tcW w:w="425" w:type="dxa"/>
          </w:tcPr>
          <w:sdt>
            <w:sdtPr>
              <w:rPr>
                <w:rFonts w:ascii="Wingdings" w:eastAsia="Wingdings" w:hAnsi="Wingdings" w:cs="Wingdings"/>
              </w:rPr>
              <w:id w:val="-1610268607"/>
              <w14:checkbox>
                <w14:checked w14:val="0"/>
                <w14:checkedState w14:val="2612" w14:font="MS Gothic"/>
                <w14:uncheckedState w14:val="2610" w14:font="MS Gothic"/>
              </w14:checkbox>
            </w:sdtPr>
            <w:sdtContent>
              <w:p w14:paraId="13660E97" w14:textId="2786D44E" w:rsidR="00E67970" w:rsidRPr="00890958"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4D4A6AEE" w14:textId="77777777" w:rsidR="00E67970" w:rsidRPr="00890958" w:rsidRDefault="00E67970" w:rsidP="00E67970">
            <w:pPr>
              <w:pStyle w:val="Tablebodytext"/>
            </w:pPr>
            <w:r>
              <w:t xml:space="preserve">&gt;10% </w:t>
            </w:r>
          </w:p>
        </w:tc>
      </w:tr>
      <w:tr w:rsidR="00E67970" w14:paraId="77DC2772" w14:textId="77777777" w:rsidTr="00EC52AD">
        <w:trPr>
          <w:trHeight w:val="534"/>
          <w:jc w:val="center"/>
        </w:trPr>
        <w:tc>
          <w:tcPr>
            <w:tcW w:w="3539" w:type="dxa"/>
          </w:tcPr>
          <w:p w14:paraId="666119BC" w14:textId="77777777" w:rsidR="00E67970" w:rsidRPr="00266878" w:rsidRDefault="00E67970" w:rsidP="00E67970">
            <w:pPr>
              <w:pStyle w:val="Tablebodytext"/>
              <w:numPr>
                <w:ilvl w:val="0"/>
                <w:numId w:val="24"/>
              </w:numPr>
              <w:spacing w:line="220" w:lineRule="atLeast"/>
              <w:ind w:left="431"/>
            </w:pPr>
            <w:r>
              <w:t>What type of charges are changing?</w:t>
            </w:r>
          </w:p>
        </w:tc>
        <w:tc>
          <w:tcPr>
            <w:tcW w:w="480" w:type="dxa"/>
          </w:tcPr>
          <w:sdt>
            <w:sdtPr>
              <w:rPr>
                <w:rFonts w:ascii="Wingdings" w:eastAsia="Wingdings" w:hAnsi="Wingdings" w:cs="Wingdings"/>
              </w:rPr>
              <w:id w:val="1572070593"/>
              <w14:checkbox>
                <w14:checked w14:val="0"/>
                <w14:checkedState w14:val="2612" w14:font="MS Gothic"/>
                <w14:uncheckedState w14:val="2610" w14:font="MS Gothic"/>
              </w14:checkbox>
            </w:sdtPr>
            <w:sdtContent>
              <w:p w14:paraId="362538E2" w14:textId="17A4CE64" w:rsidR="00E67970" w:rsidRPr="00890958"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4D040C0B" w14:textId="77777777" w:rsidR="00E67970" w:rsidRPr="00D37C9B" w:rsidRDefault="00E67970" w:rsidP="00E67970">
            <w:pPr>
              <w:pStyle w:val="Tablebodytext"/>
            </w:pPr>
            <w:r w:rsidRPr="00D37C9B">
              <w:t>Fees only</w:t>
            </w:r>
          </w:p>
        </w:tc>
        <w:tc>
          <w:tcPr>
            <w:tcW w:w="425" w:type="dxa"/>
          </w:tcPr>
          <w:sdt>
            <w:sdtPr>
              <w:rPr>
                <w:rFonts w:ascii="Wingdings" w:eastAsia="Wingdings" w:hAnsi="Wingdings" w:cs="Wingdings"/>
              </w:rPr>
              <w:id w:val="1305656901"/>
              <w14:checkbox>
                <w14:checked w14:val="0"/>
                <w14:checkedState w14:val="2612" w14:font="MS Gothic"/>
                <w14:uncheckedState w14:val="2610" w14:font="MS Gothic"/>
              </w14:checkbox>
            </w:sdtPr>
            <w:sdtContent>
              <w:p w14:paraId="2F4EE8F3" w14:textId="581EA1B4" w:rsidR="00E67970" w:rsidRPr="00D37C9B"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014B7BC9" w14:textId="77777777" w:rsidR="00E67970" w:rsidRPr="00D37C9B" w:rsidRDefault="00E67970" w:rsidP="00E67970">
            <w:pPr>
              <w:pStyle w:val="Tablebodytext"/>
            </w:pPr>
            <w:r w:rsidRPr="00D37C9B">
              <w:t>Levies only or fees and levies</w:t>
            </w:r>
          </w:p>
        </w:tc>
        <w:tc>
          <w:tcPr>
            <w:tcW w:w="425" w:type="dxa"/>
          </w:tcPr>
          <w:sdt>
            <w:sdtPr>
              <w:rPr>
                <w:rFonts w:ascii="Wingdings" w:eastAsia="Wingdings" w:hAnsi="Wingdings" w:cs="Wingdings"/>
              </w:rPr>
              <w:id w:val="-1565331884"/>
              <w14:checkbox>
                <w14:checked w14:val="0"/>
                <w14:checkedState w14:val="2612" w14:font="MS Gothic"/>
                <w14:uncheckedState w14:val="2610" w14:font="MS Gothic"/>
              </w14:checkbox>
            </w:sdtPr>
            <w:sdtContent>
              <w:p w14:paraId="47D888C3" w14:textId="3CFFA720" w:rsidR="00E67970" w:rsidRPr="00890958"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59038A44" w14:textId="77777777" w:rsidR="00E67970" w:rsidRPr="00890958" w:rsidRDefault="00E67970" w:rsidP="00E67970">
            <w:pPr>
              <w:pStyle w:val="Tablebodytext"/>
            </w:pPr>
            <w:r w:rsidRPr="00890958">
              <w:t>Fees, levies and other charges</w:t>
            </w:r>
            <w:r w:rsidRPr="003D2031">
              <w:rPr>
                <w:rFonts w:cs="Arial"/>
                <w:sz w:val="16"/>
                <w:vertAlign w:val="superscript"/>
              </w:rPr>
              <w:t>†</w:t>
            </w:r>
          </w:p>
        </w:tc>
      </w:tr>
      <w:tr w:rsidR="00E67970" w14:paraId="63E785E6" w14:textId="77777777" w:rsidTr="00EC52AD">
        <w:trPr>
          <w:trHeight w:val="1071"/>
          <w:jc w:val="center"/>
        </w:trPr>
        <w:tc>
          <w:tcPr>
            <w:tcW w:w="3539" w:type="dxa"/>
          </w:tcPr>
          <w:p w14:paraId="53E22AF6" w14:textId="77777777" w:rsidR="00E67970" w:rsidRPr="00266878" w:rsidRDefault="00E67970" w:rsidP="00E67970">
            <w:pPr>
              <w:pStyle w:val="Tablebodytext"/>
              <w:numPr>
                <w:ilvl w:val="0"/>
                <w:numId w:val="24"/>
              </w:numPr>
              <w:spacing w:line="220" w:lineRule="atLeast"/>
              <w:ind w:left="431"/>
            </w:pPr>
            <w:r w:rsidRPr="00266878">
              <w:t xml:space="preserve">What does the </w:t>
            </w:r>
            <w:r>
              <w:t xml:space="preserve">revised </w:t>
            </w:r>
            <w:r w:rsidRPr="00266878">
              <w:t>proposal involve?</w:t>
            </w:r>
          </w:p>
        </w:tc>
        <w:tc>
          <w:tcPr>
            <w:tcW w:w="480" w:type="dxa"/>
          </w:tcPr>
          <w:sdt>
            <w:sdtPr>
              <w:rPr>
                <w:rFonts w:ascii="Wingdings" w:eastAsia="Wingdings" w:hAnsi="Wingdings" w:cs="Wingdings"/>
              </w:rPr>
              <w:id w:val="8658801"/>
              <w14:checkbox>
                <w14:checked w14:val="0"/>
                <w14:checkedState w14:val="2612" w14:font="MS Gothic"/>
                <w14:uncheckedState w14:val="2610" w14:font="MS Gothic"/>
              </w14:checkbox>
            </w:sdtPr>
            <w:sdtContent>
              <w:p w14:paraId="26970499" w14:textId="3804A503" w:rsidR="00E67970"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0A982446" w14:textId="77777777" w:rsidR="00E67970" w:rsidRPr="0086041C" w:rsidRDefault="00E67970" w:rsidP="00E67970">
            <w:pPr>
              <w:pStyle w:val="Tablebodytext"/>
            </w:pPr>
            <w:r w:rsidRPr="0086041C">
              <w:t>Change in the level of existing regulatory charges only</w:t>
            </w:r>
          </w:p>
        </w:tc>
        <w:tc>
          <w:tcPr>
            <w:tcW w:w="425" w:type="dxa"/>
          </w:tcPr>
          <w:sdt>
            <w:sdtPr>
              <w:rPr>
                <w:rFonts w:ascii="Wingdings" w:eastAsia="Wingdings" w:hAnsi="Wingdings" w:cs="Wingdings"/>
              </w:rPr>
              <w:id w:val="-1660914664"/>
              <w14:checkbox>
                <w14:checked w14:val="0"/>
                <w14:checkedState w14:val="2612" w14:font="MS Gothic"/>
                <w14:uncheckedState w14:val="2610" w14:font="MS Gothic"/>
              </w14:checkbox>
            </w:sdtPr>
            <w:sdtContent>
              <w:p w14:paraId="09B437DF" w14:textId="0F77F1BC" w:rsidR="00E67970"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61D02074" w14:textId="77777777" w:rsidR="00E67970" w:rsidRPr="00890958" w:rsidRDefault="00E67970" w:rsidP="00E67970">
            <w:pPr>
              <w:pStyle w:val="Tablebodytext"/>
            </w:pPr>
            <w:r w:rsidRPr="00890958">
              <w:t xml:space="preserve">Change in the structure of existing </w:t>
            </w:r>
            <w:r>
              <w:t>regulatory</w:t>
            </w:r>
            <w:r w:rsidRPr="00890958">
              <w:t xml:space="preserve"> charges and/or composition of pay</w:t>
            </w:r>
            <w:r>
              <w:t>ee</w:t>
            </w:r>
            <w:r w:rsidRPr="00890958">
              <w:t>s</w:t>
            </w:r>
          </w:p>
        </w:tc>
        <w:tc>
          <w:tcPr>
            <w:tcW w:w="425" w:type="dxa"/>
          </w:tcPr>
          <w:sdt>
            <w:sdtPr>
              <w:rPr>
                <w:rFonts w:ascii="Wingdings" w:eastAsia="Wingdings" w:hAnsi="Wingdings" w:cs="Wingdings"/>
              </w:rPr>
              <w:id w:val="-1850864036"/>
              <w14:checkbox>
                <w14:checked w14:val="0"/>
                <w14:checkedState w14:val="2612" w14:font="MS Gothic"/>
                <w14:uncheckedState w14:val="2610" w14:font="MS Gothic"/>
              </w14:checkbox>
            </w:sdtPr>
            <w:sdtContent>
              <w:p w14:paraId="0879F60F" w14:textId="1E5A5E2F" w:rsidR="00E67970"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49E150DA" w14:textId="77777777" w:rsidR="00E67970" w:rsidRPr="00890958" w:rsidRDefault="00E67970" w:rsidP="00E67970">
            <w:pPr>
              <w:pStyle w:val="Tablebodytext"/>
            </w:pPr>
            <w:r>
              <w:t>Commencing charging</w:t>
            </w:r>
            <w:r w:rsidRPr="00890958">
              <w:t xml:space="preserve"> for an existing activity (or</w:t>
            </w:r>
            <w:r>
              <w:t xml:space="preserve"> some of</w:t>
            </w:r>
            <w:r w:rsidRPr="00890958">
              <w:t xml:space="preserve"> its components) </w:t>
            </w:r>
          </w:p>
        </w:tc>
      </w:tr>
      <w:tr w:rsidR="00E67970" w:rsidRPr="00611DD3" w14:paraId="26EABB4A" w14:textId="77777777" w:rsidTr="00EC52AD">
        <w:trPr>
          <w:trHeight w:val="1572"/>
          <w:jc w:val="center"/>
        </w:trPr>
        <w:tc>
          <w:tcPr>
            <w:tcW w:w="3539" w:type="dxa"/>
          </w:tcPr>
          <w:p w14:paraId="4408A611" w14:textId="77777777" w:rsidR="00E67970" w:rsidRDefault="00E67970" w:rsidP="00E67970">
            <w:pPr>
              <w:pStyle w:val="Tablebodytext"/>
              <w:numPr>
                <w:ilvl w:val="0"/>
                <w:numId w:val="24"/>
              </w:numPr>
              <w:spacing w:line="220" w:lineRule="atLeast"/>
              <w:ind w:left="431"/>
            </w:pPr>
            <w:r>
              <w:t>Does the revision require legislative changes</w:t>
            </w:r>
            <w:r w:rsidRPr="00266878">
              <w:t>?</w:t>
            </w:r>
          </w:p>
          <w:p w14:paraId="1AD7A807" w14:textId="77777777" w:rsidR="00E67970" w:rsidRDefault="00E67970" w:rsidP="00E67970">
            <w:pPr>
              <w:pStyle w:val="Tablebodytext"/>
              <w:numPr>
                <w:ilvl w:val="1"/>
                <w:numId w:val="25"/>
              </w:numPr>
              <w:spacing w:line="220" w:lineRule="atLeast"/>
              <w:ind w:left="851"/>
              <w:rPr>
                <w:i/>
                <w:sz w:val="16"/>
                <w:szCs w:val="16"/>
              </w:rPr>
            </w:pPr>
            <w:r w:rsidRPr="00AA2D0C">
              <w:rPr>
                <w:i/>
                <w:sz w:val="16"/>
                <w:szCs w:val="16"/>
              </w:rPr>
              <w:t>Primary legislation (enabling Act or taxation Act)</w:t>
            </w:r>
          </w:p>
          <w:p w14:paraId="5E55E3D1" w14:textId="77777777" w:rsidR="00E67970" w:rsidRPr="006135ED" w:rsidRDefault="00E67970" w:rsidP="00E67970">
            <w:pPr>
              <w:pStyle w:val="Tablebodytext"/>
              <w:numPr>
                <w:ilvl w:val="1"/>
                <w:numId w:val="25"/>
              </w:numPr>
              <w:spacing w:line="220" w:lineRule="atLeast"/>
              <w:ind w:left="851"/>
              <w:rPr>
                <w:i/>
                <w:sz w:val="16"/>
                <w:szCs w:val="16"/>
              </w:rPr>
            </w:pPr>
            <w:r w:rsidRPr="006135ED">
              <w:rPr>
                <w:i/>
                <w:sz w:val="16"/>
                <w:szCs w:val="16"/>
              </w:rPr>
              <w:t>Subordinate legislation (Regulations, Determinations)</w:t>
            </w:r>
          </w:p>
        </w:tc>
        <w:tc>
          <w:tcPr>
            <w:tcW w:w="480" w:type="dxa"/>
          </w:tcPr>
          <w:sdt>
            <w:sdtPr>
              <w:rPr>
                <w:rFonts w:ascii="Wingdings" w:eastAsia="Wingdings" w:hAnsi="Wingdings" w:cs="Wingdings"/>
              </w:rPr>
              <w:id w:val="-615512538"/>
              <w14:checkbox>
                <w14:checked w14:val="0"/>
                <w14:checkedState w14:val="2612" w14:font="MS Gothic"/>
                <w14:uncheckedState w14:val="2610" w14:font="MS Gothic"/>
              </w14:checkbox>
            </w:sdtPr>
            <w:sdtContent>
              <w:p w14:paraId="2011A983" w14:textId="0E78F80C" w:rsidR="00E67970"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60A0BF3C" w14:textId="77777777" w:rsidR="00E67970" w:rsidRPr="00890958" w:rsidRDefault="00E67970" w:rsidP="00E67970">
            <w:pPr>
              <w:pStyle w:val="Tablebodytext"/>
            </w:pPr>
            <w:r>
              <w:t>Existing legislative mechanisms are in place and only requires a change to subordinate legislation to specify the $ value of fees and/ or charges</w:t>
            </w:r>
          </w:p>
        </w:tc>
        <w:tc>
          <w:tcPr>
            <w:tcW w:w="425" w:type="dxa"/>
          </w:tcPr>
          <w:sdt>
            <w:sdtPr>
              <w:rPr>
                <w:rFonts w:ascii="Wingdings" w:eastAsia="Wingdings" w:hAnsi="Wingdings" w:cs="Wingdings"/>
              </w:rPr>
              <w:id w:val="329565886"/>
              <w14:checkbox>
                <w14:checked w14:val="0"/>
                <w14:checkedState w14:val="2612" w14:font="MS Gothic"/>
                <w14:uncheckedState w14:val="2610" w14:font="MS Gothic"/>
              </w14:checkbox>
            </w:sdtPr>
            <w:sdtContent>
              <w:p w14:paraId="11D546ED" w14:textId="6EEA3252" w:rsidR="00E67970"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3E0EBBAD" w14:textId="77777777" w:rsidR="00E67970" w:rsidRPr="00890958" w:rsidRDefault="00E67970" w:rsidP="00E67970">
            <w:pPr>
              <w:pStyle w:val="Tablebodytext"/>
            </w:pPr>
            <w:r>
              <w:t>Requires a change to existing legislative mechanism/s</w:t>
            </w:r>
          </w:p>
        </w:tc>
        <w:tc>
          <w:tcPr>
            <w:tcW w:w="425" w:type="dxa"/>
          </w:tcPr>
          <w:sdt>
            <w:sdtPr>
              <w:rPr>
                <w:rFonts w:ascii="Wingdings" w:eastAsia="Wingdings" w:hAnsi="Wingdings" w:cs="Wingdings"/>
              </w:rPr>
              <w:id w:val="585578204"/>
              <w14:checkbox>
                <w14:checked w14:val="0"/>
                <w14:checkedState w14:val="2612" w14:font="MS Gothic"/>
                <w14:uncheckedState w14:val="2610" w14:font="MS Gothic"/>
              </w14:checkbox>
            </w:sdtPr>
            <w:sdtContent>
              <w:p w14:paraId="5642C3EC" w14:textId="77A21B3C" w:rsidR="00E67970"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5A631A09" w14:textId="77777777" w:rsidR="00E67970" w:rsidRPr="00890958" w:rsidRDefault="00E67970" w:rsidP="00E67970">
            <w:pPr>
              <w:pStyle w:val="Tablebodytext"/>
            </w:pPr>
            <w:r>
              <w:t>Requires</w:t>
            </w:r>
            <w:r w:rsidRPr="00890958">
              <w:t xml:space="preserve"> a</w:t>
            </w:r>
            <w:r>
              <w:t xml:space="preserve"> new</w:t>
            </w:r>
            <w:r w:rsidRPr="00890958">
              <w:t xml:space="preserve"> </w:t>
            </w:r>
            <w:r>
              <w:t>primary legislative mechanism or new subordinate legislative mechanism</w:t>
            </w:r>
          </w:p>
        </w:tc>
      </w:tr>
      <w:tr w:rsidR="00E67970" w:rsidRPr="00611DD3" w14:paraId="34FC0A4F" w14:textId="77777777" w:rsidTr="00EC52AD">
        <w:trPr>
          <w:trHeight w:val="1411"/>
          <w:jc w:val="center"/>
        </w:trPr>
        <w:tc>
          <w:tcPr>
            <w:tcW w:w="3539" w:type="dxa"/>
          </w:tcPr>
          <w:p w14:paraId="161FCE91" w14:textId="77777777" w:rsidR="00E67970" w:rsidRDefault="00E67970" w:rsidP="00E67970">
            <w:pPr>
              <w:pStyle w:val="Tablebodytext"/>
              <w:numPr>
                <w:ilvl w:val="0"/>
                <w:numId w:val="24"/>
              </w:numPr>
              <w:spacing w:line="220" w:lineRule="atLeast"/>
              <w:ind w:left="431"/>
            </w:pPr>
            <w:r>
              <w:t xml:space="preserve">What will </w:t>
            </w:r>
            <w:r w:rsidRPr="00266878">
              <w:t>the impact on payers</w:t>
            </w:r>
            <w:r w:rsidRPr="003D2031">
              <w:rPr>
                <w:rFonts w:cs="Arial"/>
                <w:sz w:val="16"/>
                <w:vertAlign w:val="superscript"/>
              </w:rPr>
              <w:t>††</w:t>
            </w:r>
            <w:r>
              <w:t xml:space="preserve"> be</w:t>
            </w:r>
            <w:r w:rsidRPr="00266878">
              <w:t xml:space="preserve">? </w:t>
            </w:r>
          </w:p>
          <w:p w14:paraId="5D444B7E" w14:textId="77777777" w:rsidR="00E67970" w:rsidRPr="002A4ED1" w:rsidRDefault="00E67970" w:rsidP="00E67970">
            <w:pPr>
              <w:pStyle w:val="Tablebodytext"/>
              <w:ind w:left="431"/>
              <w:rPr>
                <w:i/>
                <w:sz w:val="16"/>
                <w:szCs w:val="16"/>
              </w:rPr>
            </w:pPr>
            <w:r w:rsidRPr="002A4ED1">
              <w:rPr>
                <w:i/>
                <w:sz w:val="16"/>
                <w:szCs w:val="16"/>
              </w:rPr>
              <w:t>Have you considered:</w:t>
            </w:r>
          </w:p>
          <w:p w14:paraId="2011112B" w14:textId="77777777" w:rsidR="00E67970" w:rsidRPr="002A4ED1" w:rsidRDefault="00E67970" w:rsidP="00E67970">
            <w:pPr>
              <w:pStyle w:val="Tablebullets1stindent"/>
              <w:spacing w:line="220" w:lineRule="atLeast"/>
              <w:ind w:left="601"/>
              <w:rPr>
                <w:i/>
                <w:sz w:val="16"/>
                <w:szCs w:val="16"/>
              </w:rPr>
            </w:pPr>
            <w:r>
              <w:rPr>
                <w:i/>
                <w:sz w:val="16"/>
                <w:szCs w:val="16"/>
              </w:rPr>
              <w:t>T</w:t>
            </w:r>
            <w:r w:rsidRPr="002A4ED1">
              <w:rPr>
                <w:i/>
                <w:sz w:val="16"/>
                <w:szCs w:val="16"/>
              </w:rPr>
              <w:t xml:space="preserve">he number of people </w:t>
            </w:r>
            <w:proofErr w:type="gramStart"/>
            <w:r w:rsidRPr="002A4ED1">
              <w:rPr>
                <w:i/>
                <w:sz w:val="16"/>
                <w:szCs w:val="16"/>
              </w:rPr>
              <w:t>affected</w:t>
            </w:r>
            <w:proofErr w:type="gramEnd"/>
          </w:p>
          <w:p w14:paraId="49CC63C8" w14:textId="77777777" w:rsidR="00E67970" w:rsidRPr="00214D19" w:rsidRDefault="00E67970" w:rsidP="00E67970">
            <w:pPr>
              <w:pStyle w:val="Tablebullets1stindent"/>
              <w:spacing w:line="220" w:lineRule="atLeast"/>
              <w:ind w:left="601"/>
              <w:rPr>
                <w:i/>
              </w:rPr>
            </w:pPr>
            <w:r>
              <w:rPr>
                <w:i/>
                <w:sz w:val="16"/>
                <w:szCs w:val="16"/>
              </w:rPr>
              <w:t>T</w:t>
            </w:r>
            <w:r w:rsidRPr="002A4ED1">
              <w:rPr>
                <w:i/>
                <w:sz w:val="16"/>
                <w:szCs w:val="16"/>
              </w:rPr>
              <w:t xml:space="preserve">he nature of who will be charged (individuals, </w:t>
            </w:r>
            <w:r>
              <w:rPr>
                <w:i/>
                <w:sz w:val="16"/>
                <w:szCs w:val="16"/>
              </w:rPr>
              <w:t>S/M/L</w:t>
            </w:r>
            <w:r w:rsidRPr="002A4ED1">
              <w:rPr>
                <w:i/>
                <w:sz w:val="16"/>
                <w:szCs w:val="16"/>
              </w:rPr>
              <w:t xml:space="preserve"> business)</w:t>
            </w:r>
          </w:p>
        </w:tc>
        <w:tc>
          <w:tcPr>
            <w:tcW w:w="480" w:type="dxa"/>
          </w:tcPr>
          <w:sdt>
            <w:sdtPr>
              <w:rPr>
                <w:rFonts w:ascii="Wingdings" w:eastAsia="Wingdings" w:hAnsi="Wingdings" w:cs="Wingdings"/>
              </w:rPr>
              <w:id w:val="-1861815587"/>
              <w14:checkbox>
                <w14:checked w14:val="0"/>
                <w14:checkedState w14:val="2612" w14:font="MS Gothic"/>
                <w14:uncheckedState w14:val="2610" w14:font="MS Gothic"/>
              </w14:checkbox>
            </w:sdtPr>
            <w:sdtContent>
              <w:p w14:paraId="411CBC3C" w14:textId="3182ADC2" w:rsidR="00E67970" w:rsidRPr="00611DD3"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066E15B4" w14:textId="77777777" w:rsidR="00E67970" w:rsidRPr="00611DD3" w:rsidRDefault="00E67970" w:rsidP="00E67970">
            <w:pPr>
              <w:pStyle w:val="Tablebodytext"/>
              <w:tabs>
                <w:tab w:val="left" w:pos="1107"/>
              </w:tabs>
            </w:pPr>
            <w:r>
              <w:t>Low</w:t>
            </w:r>
          </w:p>
        </w:tc>
        <w:tc>
          <w:tcPr>
            <w:tcW w:w="425" w:type="dxa"/>
          </w:tcPr>
          <w:sdt>
            <w:sdtPr>
              <w:rPr>
                <w:rFonts w:ascii="Wingdings" w:eastAsia="Wingdings" w:hAnsi="Wingdings" w:cs="Wingdings"/>
              </w:rPr>
              <w:id w:val="-30115498"/>
              <w14:checkbox>
                <w14:checked w14:val="0"/>
                <w14:checkedState w14:val="2612" w14:font="MS Gothic"/>
                <w14:uncheckedState w14:val="2610" w14:font="MS Gothic"/>
              </w14:checkbox>
            </w:sdtPr>
            <w:sdtContent>
              <w:p w14:paraId="48434DF1" w14:textId="13CDDB3A" w:rsidR="00E67970" w:rsidRPr="00611DD3"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5911EF31" w14:textId="77777777" w:rsidR="00E67970" w:rsidRPr="00611DD3" w:rsidRDefault="00E67970" w:rsidP="00E67970">
            <w:pPr>
              <w:pStyle w:val="Tablebodytext"/>
            </w:pPr>
            <w:r>
              <w:t>Medium</w:t>
            </w:r>
          </w:p>
        </w:tc>
        <w:tc>
          <w:tcPr>
            <w:tcW w:w="425" w:type="dxa"/>
          </w:tcPr>
          <w:sdt>
            <w:sdtPr>
              <w:rPr>
                <w:rFonts w:ascii="Wingdings" w:eastAsia="Wingdings" w:hAnsi="Wingdings" w:cs="Wingdings"/>
              </w:rPr>
              <w:id w:val="-253828507"/>
              <w14:checkbox>
                <w14:checked w14:val="0"/>
                <w14:checkedState w14:val="2612" w14:font="MS Gothic"/>
                <w14:uncheckedState w14:val="2610" w14:font="MS Gothic"/>
              </w14:checkbox>
            </w:sdtPr>
            <w:sdtContent>
              <w:p w14:paraId="20120012" w14:textId="4BE00168" w:rsidR="00E67970" w:rsidRPr="00611DD3"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6D998123" w14:textId="77777777" w:rsidR="00E67970" w:rsidRPr="00611DD3" w:rsidRDefault="00E67970" w:rsidP="00E67970">
            <w:pPr>
              <w:pStyle w:val="Tablebodytext"/>
            </w:pPr>
            <w:r>
              <w:t>High / Unknown</w:t>
            </w:r>
          </w:p>
        </w:tc>
      </w:tr>
      <w:tr w:rsidR="00E67970" w14:paraId="4492A8CD" w14:textId="77777777" w:rsidTr="00EC52AD">
        <w:trPr>
          <w:trHeight w:val="981"/>
          <w:jc w:val="center"/>
        </w:trPr>
        <w:tc>
          <w:tcPr>
            <w:tcW w:w="3539" w:type="dxa"/>
          </w:tcPr>
          <w:p w14:paraId="4424566F" w14:textId="77777777" w:rsidR="00E67970" w:rsidRPr="00266878" w:rsidRDefault="00E67970" w:rsidP="00E67970">
            <w:pPr>
              <w:pStyle w:val="Tablebodytext"/>
              <w:numPr>
                <w:ilvl w:val="0"/>
                <w:numId w:val="24"/>
              </w:numPr>
              <w:spacing w:line="220" w:lineRule="atLeast"/>
              <w:ind w:left="431"/>
            </w:pPr>
            <w:r w:rsidRPr="00266878">
              <w:t>Does the proposal involve working with other Commonwealth, State/Territory and/or local government entities?</w:t>
            </w:r>
          </w:p>
        </w:tc>
        <w:tc>
          <w:tcPr>
            <w:tcW w:w="480" w:type="dxa"/>
          </w:tcPr>
          <w:sdt>
            <w:sdtPr>
              <w:rPr>
                <w:rFonts w:ascii="Wingdings" w:eastAsia="Wingdings" w:hAnsi="Wingdings" w:cs="Wingdings"/>
              </w:rPr>
              <w:id w:val="987288345"/>
              <w14:checkbox>
                <w14:checked w14:val="0"/>
                <w14:checkedState w14:val="2612" w14:font="MS Gothic"/>
                <w14:uncheckedState w14:val="2610" w14:font="MS Gothic"/>
              </w14:checkbox>
            </w:sdtPr>
            <w:sdtContent>
              <w:p w14:paraId="4114C314" w14:textId="5F4E0736" w:rsidR="00E67970" w:rsidRPr="00890958"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548CBF8A" w14:textId="77777777" w:rsidR="00E67970" w:rsidRPr="00890958" w:rsidRDefault="00E67970" w:rsidP="00E67970">
            <w:pPr>
              <w:pStyle w:val="Tablebodytext"/>
            </w:pPr>
            <w:r w:rsidRPr="00890958">
              <w:t>No</w:t>
            </w:r>
          </w:p>
        </w:tc>
        <w:tc>
          <w:tcPr>
            <w:tcW w:w="425" w:type="dxa"/>
          </w:tcPr>
          <w:sdt>
            <w:sdtPr>
              <w:rPr>
                <w:rFonts w:ascii="Wingdings" w:eastAsia="Wingdings" w:hAnsi="Wingdings" w:cs="Wingdings"/>
              </w:rPr>
              <w:id w:val="423459152"/>
              <w14:checkbox>
                <w14:checked w14:val="0"/>
                <w14:checkedState w14:val="2612" w14:font="MS Gothic"/>
                <w14:uncheckedState w14:val="2610" w14:font="MS Gothic"/>
              </w14:checkbox>
            </w:sdtPr>
            <w:sdtContent>
              <w:p w14:paraId="369CF2D7" w14:textId="2C25E985" w:rsidR="00E67970" w:rsidRPr="00890958"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3E1CF68D" w14:textId="77777777" w:rsidR="00E67970" w:rsidRPr="00890958" w:rsidRDefault="00E67970" w:rsidP="00E67970">
            <w:pPr>
              <w:pStyle w:val="Tablebodytext"/>
            </w:pPr>
            <w:r>
              <w:t xml:space="preserve">Other </w:t>
            </w:r>
            <w:r w:rsidRPr="00890958">
              <w:t>Commonwealth entities only</w:t>
            </w:r>
          </w:p>
        </w:tc>
        <w:tc>
          <w:tcPr>
            <w:tcW w:w="425" w:type="dxa"/>
          </w:tcPr>
          <w:sdt>
            <w:sdtPr>
              <w:rPr>
                <w:rFonts w:ascii="Wingdings" w:eastAsia="Wingdings" w:hAnsi="Wingdings" w:cs="Wingdings"/>
              </w:rPr>
              <w:id w:val="-1109499932"/>
              <w14:checkbox>
                <w14:checked w14:val="0"/>
                <w14:checkedState w14:val="2612" w14:font="MS Gothic"/>
                <w14:uncheckedState w14:val="2610" w14:font="MS Gothic"/>
              </w14:checkbox>
            </w:sdtPr>
            <w:sdtContent>
              <w:p w14:paraId="782B4DE5" w14:textId="0298A719" w:rsidR="00E67970" w:rsidRPr="00890958"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30583FC1" w14:textId="77777777" w:rsidR="00E67970" w:rsidRPr="00890958" w:rsidRDefault="00E67970" w:rsidP="00E67970">
            <w:pPr>
              <w:pStyle w:val="Tablebodytext"/>
            </w:pPr>
            <w:r>
              <w:t xml:space="preserve">Commonwealth, </w:t>
            </w:r>
            <w:r w:rsidRPr="00890958">
              <w:t xml:space="preserve">State/Territory </w:t>
            </w:r>
            <w:r>
              <w:t xml:space="preserve">and/or </w:t>
            </w:r>
            <w:r w:rsidRPr="00266878">
              <w:t>local government</w:t>
            </w:r>
            <w:r>
              <w:t xml:space="preserve"> entities</w:t>
            </w:r>
          </w:p>
        </w:tc>
      </w:tr>
      <w:tr w:rsidR="00E67970" w:rsidRPr="00611DD3" w14:paraId="6A09C3CE" w14:textId="77777777" w:rsidTr="00EC52AD">
        <w:trPr>
          <w:trHeight w:val="629"/>
          <w:jc w:val="center"/>
        </w:trPr>
        <w:tc>
          <w:tcPr>
            <w:tcW w:w="3539" w:type="dxa"/>
          </w:tcPr>
          <w:p w14:paraId="4962AA92" w14:textId="77777777" w:rsidR="00E67970" w:rsidRPr="00611DD3" w:rsidRDefault="00E67970" w:rsidP="00E67970">
            <w:pPr>
              <w:pStyle w:val="Tablebodytext"/>
              <w:numPr>
                <w:ilvl w:val="0"/>
                <w:numId w:val="24"/>
              </w:numPr>
              <w:spacing w:line="220" w:lineRule="atLeast"/>
              <w:ind w:left="431"/>
            </w:pPr>
            <w:r w:rsidRPr="00611DD3">
              <w:t xml:space="preserve">What consultation has occurred with payers and other stakeholders about the proposed </w:t>
            </w:r>
            <w:r>
              <w:t>charges</w:t>
            </w:r>
            <w:r w:rsidRPr="00611DD3">
              <w:t>?</w:t>
            </w:r>
          </w:p>
        </w:tc>
        <w:tc>
          <w:tcPr>
            <w:tcW w:w="480" w:type="dxa"/>
          </w:tcPr>
          <w:sdt>
            <w:sdtPr>
              <w:rPr>
                <w:rFonts w:ascii="Wingdings" w:eastAsia="Wingdings" w:hAnsi="Wingdings" w:cs="Wingdings"/>
              </w:rPr>
              <w:id w:val="1944492180"/>
              <w14:checkbox>
                <w14:checked w14:val="0"/>
                <w14:checkedState w14:val="2612" w14:font="MS Gothic"/>
                <w14:uncheckedState w14:val="2610" w14:font="MS Gothic"/>
              </w14:checkbox>
            </w:sdtPr>
            <w:sdtContent>
              <w:p w14:paraId="693684AB" w14:textId="69E53A79" w:rsidR="00E67970" w:rsidRPr="00611DD3" w:rsidRDefault="00E67970" w:rsidP="00E67970">
                <w:pPr>
                  <w:pStyle w:val="Tablebodytext"/>
                  <w:jc w:val="center"/>
                </w:pPr>
                <w:r w:rsidRPr="00CD2E1A">
                  <w:rPr>
                    <w:rFonts w:ascii="MS Gothic" w:eastAsia="MS Gothic" w:hAnsi="MS Gothic" w:cs="Wingdings" w:hint="eastAsia"/>
                  </w:rPr>
                  <w:t>☐</w:t>
                </w:r>
              </w:p>
            </w:sdtContent>
          </w:sdt>
        </w:tc>
        <w:tc>
          <w:tcPr>
            <w:tcW w:w="1930" w:type="dxa"/>
          </w:tcPr>
          <w:p w14:paraId="6B8C87F5" w14:textId="77777777" w:rsidR="00E67970" w:rsidRDefault="00E67970" w:rsidP="00E67970">
            <w:pPr>
              <w:pStyle w:val="Tablebodytext"/>
            </w:pPr>
            <w:r w:rsidRPr="00611DD3">
              <w:t xml:space="preserve">Consulted - no significant issues </w:t>
            </w:r>
            <w:proofErr w:type="gramStart"/>
            <w:r w:rsidRPr="00611DD3">
              <w:t>raised</w:t>
            </w:r>
            <w:proofErr w:type="gramEnd"/>
          </w:p>
          <w:p w14:paraId="0948BB2B" w14:textId="77777777" w:rsidR="00E67970" w:rsidRDefault="00E67970" w:rsidP="00E67970">
            <w:pPr>
              <w:pStyle w:val="Tablebodytext"/>
            </w:pPr>
            <w:r>
              <w:t xml:space="preserve">Indexation/admin changes previously consulted on. </w:t>
            </w:r>
          </w:p>
          <w:p w14:paraId="46410928" w14:textId="77777777" w:rsidR="00E67970" w:rsidRPr="00611DD3" w:rsidRDefault="00E67970" w:rsidP="00E67970">
            <w:pPr>
              <w:pStyle w:val="Tablebodytext"/>
            </w:pPr>
          </w:p>
        </w:tc>
        <w:tc>
          <w:tcPr>
            <w:tcW w:w="425" w:type="dxa"/>
          </w:tcPr>
          <w:sdt>
            <w:sdtPr>
              <w:rPr>
                <w:rFonts w:ascii="Wingdings" w:eastAsia="Wingdings" w:hAnsi="Wingdings" w:cs="Wingdings"/>
              </w:rPr>
              <w:id w:val="-1586301914"/>
              <w14:checkbox>
                <w14:checked w14:val="0"/>
                <w14:checkedState w14:val="2612" w14:font="MS Gothic"/>
                <w14:uncheckedState w14:val="2610" w14:font="MS Gothic"/>
              </w14:checkbox>
            </w:sdtPr>
            <w:sdtContent>
              <w:p w14:paraId="480927A3" w14:textId="687A4033" w:rsidR="00E67970" w:rsidRPr="00611DD3" w:rsidRDefault="00E67970" w:rsidP="00E67970">
                <w:pPr>
                  <w:pStyle w:val="Tablebodytext"/>
                  <w:jc w:val="center"/>
                </w:pPr>
                <w:r w:rsidRPr="00A65EE0">
                  <w:rPr>
                    <w:rFonts w:ascii="MS Gothic" w:eastAsia="MS Gothic" w:hAnsi="MS Gothic" w:cs="Wingdings" w:hint="eastAsia"/>
                  </w:rPr>
                  <w:t>☐</w:t>
                </w:r>
              </w:p>
            </w:sdtContent>
          </w:sdt>
        </w:tc>
        <w:tc>
          <w:tcPr>
            <w:tcW w:w="1985" w:type="dxa"/>
          </w:tcPr>
          <w:p w14:paraId="22426578" w14:textId="77777777" w:rsidR="00E67970" w:rsidRPr="00785354" w:rsidRDefault="00E67970" w:rsidP="00E67970">
            <w:pPr>
              <w:pStyle w:val="Tablebodytext"/>
              <w:rPr>
                <w:b/>
              </w:rPr>
            </w:pPr>
            <w:r w:rsidRPr="00611DD3">
              <w:t>Consulted –</w:t>
            </w:r>
            <w:r>
              <w:t xml:space="preserve"> </w:t>
            </w:r>
            <w:r w:rsidRPr="00611DD3">
              <w:t xml:space="preserve">issues raised but can be addressed </w:t>
            </w:r>
          </w:p>
        </w:tc>
        <w:tc>
          <w:tcPr>
            <w:tcW w:w="425" w:type="dxa"/>
          </w:tcPr>
          <w:sdt>
            <w:sdtPr>
              <w:rPr>
                <w:rFonts w:ascii="Wingdings" w:eastAsia="Wingdings" w:hAnsi="Wingdings" w:cs="Wingdings"/>
              </w:rPr>
              <w:id w:val="1766273177"/>
              <w14:checkbox>
                <w14:checked w14:val="0"/>
                <w14:checkedState w14:val="2612" w14:font="MS Gothic"/>
                <w14:uncheckedState w14:val="2610" w14:font="MS Gothic"/>
              </w14:checkbox>
            </w:sdtPr>
            <w:sdtContent>
              <w:p w14:paraId="683B6A7B" w14:textId="5AC131DD" w:rsidR="00E67970" w:rsidRPr="00611DD3" w:rsidRDefault="00E67970" w:rsidP="00E67970">
                <w:pPr>
                  <w:pStyle w:val="Tablebodytext"/>
                  <w:jc w:val="center"/>
                </w:pPr>
                <w:r w:rsidRPr="00302A85">
                  <w:rPr>
                    <w:rFonts w:ascii="MS Gothic" w:eastAsia="MS Gothic" w:hAnsi="MS Gothic" w:cs="Wingdings" w:hint="eastAsia"/>
                  </w:rPr>
                  <w:t>☐</w:t>
                </w:r>
              </w:p>
            </w:sdtContent>
          </w:sdt>
        </w:tc>
        <w:tc>
          <w:tcPr>
            <w:tcW w:w="1984" w:type="dxa"/>
          </w:tcPr>
          <w:p w14:paraId="4A70F23C" w14:textId="77777777" w:rsidR="00E67970" w:rsidRPr="00611DD3" w:rsidRDefault="00E67970" w:rsidP="00E67970">
            <w:pPr>
              <w:pStyle w:val="Tablebodytext"/>
            </w:pPr>
            <w:r w:rsidRPr="00611DD3">
              <w:t xml:space="preserve">Not consulted </w:t>
            </w:r>
            <w:r w:rsidRPr="00611DD3">
              <w:rPr>
                <w:u w:val="single"/>
              </w:rPr>
              <w:t>or</w:t>
            </w:r>
            <w:r w:rsidRPr="00611DD3">
              <w:t xml:space="preserve"> consulted and significant issues raised but ongoing sensitivities</w:t>
            </w:r>
          </w:p>
        </w:tc>
      </w:tr>
      <w:tr w:rsidR="00E67970" w:rsidRPr="00611DD3" w14:paraId="071F52AA" w14:textId="77777777" w:rsidTr="00EC52AD">
        <w:trPr>
          <w:trHeight w:val="629"/>
          <w:jc w:val="center"/>
        </w:trPr>
        <w:tc>
          <w:tcPr>
            <w:tcW w:w="3539" w:type="dxa"/>
            <w:shd w:val="clear" w:color="auto" w:fill="EBF7F7" w:themeFill="accent1" w:themeFillTint="33"/>
          </w:tcPr>
          <w:p w14:paraId="13A9B824" w14:textId="77777777" w:rsidR="00E67970" w:rsidRDefault="00E67970" w:rsidP="00E67970">
            <w:pPr>
              <w:pStyle w:val="Tablebodytext"/>
              <w:spacing w:line="220" w:lineRule="atLeast"/>
              <w:rPr>
                <w:b/>
              </w:rPr>
            </w:pPr>
            <w:r>
              <w:rPr>
                <w:b/>
              </w:rPr>
              <w:t>Overall CR</w:t>
            </w:r>
            <w:r w:rsidRPr="00F50391">
              <w:rPr>
                <w:b/>
              </w:rPr>
              <w:t>A rating:</w:t>
            </w:r>
          </w:p>
        </w:tc>
        <w:tc>
          <w:tcPr>
            <w:tcW w:w="480" w:type="dxa"/>
            <w:shd w:val="clear" w:color="auto" w:fill="EBF7F7" w:themeFill="accent1" w:themeFillTint="33"/>
          </w:tcPr>
          <w:sdt>
            <w:sdtPr>
              <w:rPr>
                <w:rFonts w:ascii="Wingdings" w:eastAsia="Wingdings" w:hAnsi="Wingdings" w:cs="Wingdings"/>
              </w:rPr>
              <w:id w:val="1942884053"/>
              <w14:checkbox>
                <w14:checked w14:val="0"/>
                <w14:checkedState w14:val="2612" w14:font="MS Gothic"/>
                <w14:uncheckedState w14:val="2610" w14:font="MS Gothic"/>
              </w14:checkbox>
            </w:sdtPr>
            <w:sdtContent>
              <w:p w14:paraId="7109EBAE" w14:textId="2D91507A" w:rsidR="00E67970" w:rsidRPr="00611DD3" w:rsidRDefault="00E67970" w:rsidP="00E67970">
                <w:pPr>
                  <w:pStyle w:val="Tablebodytext"/>
                  <w:jc w:val="center"/>
                </w:pPr>
                <w:r w:rsidRPr="00CD2E1A">
                  <w:rPr>
                    <w:rFonts w:ascii="MS Gothic" w:eastAsia="MS Gothic" w:hAnsi="MS Gothic" w:cs="Wingdings" w:hint="eastAsia"/>
                  </w:rPr>
                  <w:t>☐</w:t>
                </w:r>
              </w:p>
            </w:sdtContent>
          </w:sdt>
        </w:tc>
        <w:tc>
          <w:tcPr>
            <w:tcW w:w="1930" w:type="dxa"/>
            <w:shd w:val="clear" w:color="auto" w:fill="EBF7F7" w:themeFill="accent1" w:themeFillTint="33"/>
          </w:tcPr>
          <w:p w14:paraId="24A371AA" w14:textId="77777777" w:rsidR="00E67970" w:rsidRDefault="00E67970" w:rsidP="00E67970">
            <w:pPr>
              <w:pStyle w:val="Tablebodytext"/>
              <w:rPr>
                <w:b/>
              </w:rPr>
            </w:pPr>
            <w:r w:rsidRPr="00F50391">
              <w:rPr>
                <w:b/>
              </w:rPr>
              <w:t>LOW</w:t>
            </w:r>
            <w:r>
              <w:rPr>
                <w:b/>
              </w:rPr>
              <w:t xml:space="preserve"> </w:t>
            </w:r>
          </w:p>
          <w:p w14:paraId="2D4C5F8D" w14:textId="77777777" w:rsidR="00E67970" w:rsidRPr="00F50391" w:rsidRDefault="00E67970" w:rsidP="00E67970">
            <w:pPr>
              <w:pStyle w:val="Tablebodytext"/>
              <w:rPr>
                <w:b/>
              </w:rPr>
            </w:pPr>
            <w:r>
              <w:rPr>
                <w:b/>
              </w:rPr>
              <w:t>(all “Low”)</w:t>
            </w:r>
          </w:p>
        </w:tc>
        <w:tc>
          <w:tcPr>
            <w:tcW w:w="425" w:type="dxa"/>
            <w:shd w:val="clear" w:color="auto" w:fill="EBF7F7" w:themeFill="accent1" w:themeFillTint="33"/>
          </w:tcPr>
          <w:sdt>
            <w:sdtPr>
              <w:rPr>
                <w:rFonts w:ascii="Wingdings" w:eastAsia="Wingdings" w:hAnsi="Wingdings" w:cs="Wingdings"/>
              </w:rPr>
              <w:id w:val="300196582"/>
              <w14:checkbox>
                <w14:checked w14:val="0"/>
                <w14:checkedState w14:val="2612" w14:font="MS Gothic"/>
                <w14:uncheckedState w14:val="2610" w14:font="MS Gothic"/>
              </w14:checkbox>
            </w:sdtPr>
            <w:sdtContent>
              <w:p w14:paraId="65FA6110" w14:textId="6325E1E3" w:rsidR="00E67970" w:rsidRPr="00611DD3" w:rsidRDefault="00E67970" w:rsidP="00E67970">
                <w:pPr>
                  <w:pStyle w:val="Tablebodytext"/>
                  <w:jc w:val="center"/>
                </w:pPr>
                <w:r w:rsidRPr="00A65EE0">
                  <w:rPr>
                    <w:rFonts w:ascii="MS Gothic" w:eastAsia="MS Gothic" w:hAnsi="MS Gothic" w:cs="Wingdings" w:hint="eastAsia"/>
                  </w:rPr>
                  <w:t>☐</w:t>
                </w:r>
              </w:p>
            </w:sdtContent>
          </w:sdt>
        </w:tc>
        <w:tc>
          <w:tcPr>
            <w:tcW w:w="1985" w:type="dxa"/>
            <w:shd w:val="clear" w:color="auto" w:fill="EBF7F7" w:themeFill="accent1" w:themeFillTint="33"/>
          </w:tcPr>
          <w:p w14:paraId="516A8F88" w14:textId="77777777" w:rsidR="00E67970" w:rsidRPr="00F50391" w:rsidRDefault="00E67970" w:rsidP="00E67970">
            <w:pPr>
              <w:pStyle w:val="Tablebodytext"/>
              <w:rPr>
                <w:b/>
              </w:rPr>
            </w:pPr>
            <w:r w:rsidRPr="00F50391">
              <w:rPr>
                <w:b/>
              </w:rPr>
              <w:t>MEDIUM</w:t>
            </w:r>
          </w:p>
        </w:tc>
        <w:tc>
          <w:tcPr>
            <w:tcW w:w="425" w:type="dxa"/>
            <w:shd w:val="clear" w:color="auto" w:fill="EBF7F7" w:themeFill="accent1" w:themeFillTint="33"/>
          </w:tcPr>
          <w:sdt>
            <w:sdtPr>
              <w:rPr>
                <w:rFonts w:ascii="Wingdings" w:eastAsia="Wingdings" w:hAnsi="Wingdings" w:cs="Wingdings"/>
              </w:rPr>
              <w:id w:val="-2088991528"/>
              <w14:checkbox>
                <w14:checked w14:val="0"/>
                <w14:checkedState w14:val="2612" w14:font="MS Gothic"/>
                <w14:uncheckedState w14:val="2610" w14:font="MS Gothic"/>
              </w14:checkbox>
            </w:sdtPr>
            <w:sdtContent>
              <w:p w14:paraId="001143C1" w14:textId="60D84ECA" w:rsidR="00E67970" w:rsidRPr="00611DD3" w:rsidRDefault="00E67970" w:rsidP="00E67970">
                <w:pPr>
                  <w:pStyle w:val="Tablebodytext"/>
                  <w:jc w:val="center"/>
                </w:pPr>
                <w:r w:rsidRPr="00302A85">
                  <w:rPr>
                    <w:rFonts w:ascii="MS Gothic" w:eastAsia="MS Gothic" w:hAnsi="MS Gothic" w:cs="Wingdings" w:hint="eastAsia"/>
                  </w:rPr>
                  <w:t>☐</w:t>
                </w:r>
              </w:p>
            </w:sdtContent>
          </w:sdt>
        </w:tc>
        <w:tc>
          <w:tcPr>
            <w:tcW w:w="1984" w:type="dxa"/>
            <w:shd w:val="clear" w:color="auto" w:fill="EBF7F7" w:themeFill="accent1" w:themeFillTint="33"/>
          </w:tcPr>
          <w:p w14:paraId="3160F371" w14:textId="77777777" w:rsidR="00E67970" w:rsidRDefault="00E67970" w:rsidP="00E67970">
            <w:pPr>
              <w:pStyle w:val="Tablebodytext"/>
              <w:rPr>
                <w:b/>
              </w:rPr>
            </w:pPr>
            <w:r w:rsidRPr="00F50391">
              <w:rPr>
                <w:b/>
              </w:rPr>
              <w:t>HIGH</w:t>
            </w:r>
            <w:r>
              <w:rPr>
                <w:b/>
              </w:rPr>
              <w:t xml:space="preserve"> </w:t>
            </w:r>
          </w:p>
          <w:p w14:paraId="6F6815F5" w14:textId="77777777" w:rsidR="00E67970" w:rsidRPr="00F50391" w:rsidRDefault="00E67970" w:rsidP="00E67970">
            <w:pPr>
              <w:pStyle w:val="Tablebodytext"/>
              <w:rPr>
                <w:b/>
              </w:rPr>
            </w:pPr>
            <w:r>
              <w:rPr>
                <w:b/>
              </w:rPr>
              <w:t>(three or more “High”)</w:t>
            </w:r>
          </w:p>
        </w:tc>
      </w:tr>
    </w:tbl>
    <w:tbl>
      <w:tblPr>
        <w:tblStyle w:val="DOFDplain"/>
        <w:tblW w:w="10768" w:type="dxa"/>
        <w:jc w:val="center"/>
        <w:tblLook w:val="04A0" w:firstRow="1" w:lastRow="0" w:firstColumn="1" w:lastColumn="0" w:noHBand="0" w:noVBand="1"/>
      </w:tblPr>
      <w:tblGrid>
        <w:gridCol w:w="1563"/>
        <w:gridCol w:w="2245"/>
        <w:gridCol w:w="4494"/>
        <w:gridCol w:w="2466"/>
      </w:tblGrid>
      <w:tr w:rsidR="00EC52AD" w:rsidRPr="00F50391" w14:paraId="719335A5" w14:textId="77777777" w:rsidTr="00EC52AD">
        <w:trPr>
          <w:cnfStyle w:val="100000000000" w:firstRow="1" w:lastRow="0" w:firstColumn="0" w:lastColumn="0" w:oddVBand="0" w:evenVBand="0" w:oddHBand="0" w:evenHBand="0" w:firstRowFirstColumn="0" w:firstRowLastColumn="0" w:lastRowFirstColumn="0" w:lastRowLastColumn="0"/>
          <w:trHeight w:val="1070"/>
          <w:jc w:val="center"/>
        </w:trPr>
        <w:tc>
          <w:tcPr>
            <w:tcW w:w="10768" w:type="dxa"/>
            <w:gridSpan w:val="4"/>
          </w:tcPr>
          <w:p w14:paraId="7912799C" w14:textId="77777777" w:rsidR="00EC52AD" w:rsidRDefault="00EC52AD" w:rsidP="003F1F8A">
            <w:pPr>
              <w:pStyle w:val="Tablebodytext"/>
              <w:rPr>
                <w:b/>
              </w:rPr>
            </w:pPr>
            <w:r w:rsidRPr="00F50391">
              <w:rPr>
                <w:b/>
              </w:rPr>
              <w:t>Supporting analysis</w:t>
            </w:r>
            <w:r>
              <w:rPr>
                <w:b/>
              </w:rPr>
              <w:t xml:space="preserve"> &amp; risk mitigation strategy</w:t>
            </w:r>
            <w:r w:rsidRPr="00F50391">
              <w:rPr>
                <w:b/>
              </w:rPr>
              <w:t>:</w:t>
            </w:r>
          </w:p>
          <w:p w14:paraId="44F82F41" w14:textId="77777777" w:rsidR="00F30238" w:rsidRDefault="00F30238" w:rsidP="00DB3E7A">
            <w:pPr>
              <w:pStyle w:val="Tablebodytext"/>
              <w:ind w:left="0"/>
              <w:rPr>
                <w:b/>
              </w:rPr>
            </w:pPr>
          </w:p>
          <w:p w14:paraId="5C2B2F0B" w14:textId="77777777" w:rsidR="00DB3E7A" w:rsidRDefault="00DB3E7A" w:rsidP="00DB3E7A">
            <w:pPr>
              <w:pStyle w:val="Tablebodytext"/>
              <w:ind w:left="0"/>
              <w:rPr>
                <w:b/>
              </w:rPr>
            </w:pPr>
          </w:p>
          <w:p w14:paraId="3F16239D" w14:textId="77777777" w:rsidR="00F30238" w:rsidRDefault="00F30238" w:rsidP="00F30238">
            <w:pPr>
              <w:pStyle w:val="Tablebodytext"/>
              <w:ind w:left="0"/>
              <w:rPr>
                <w:b/>
              </w:rPr>
            </w:pPr>
          </w:p>
          <w:p w14:paraId="03731903" w14:textId="72764A87" w:rsidR="00DB3E7A" w:rsidRPr="00F50391" w:rsidRDefault="00DB3E7A" w:rsidP="00F30238">
            <w:pPr>
              <w:pStyle w:val="Tablebodytext"/>
              <w:ind w:left="0"/>
              <w:rPr>
                <w:b/>
              </w:rPr>
            </w:pPr>
          </w:p>
        </w:tc>
      </w:tr>
      <w:tr w:rsidR="00EC52AD" w:rsidRPr="00F50391" w14:paraId="1BBA00A8" w14:textId="77777777" w:rsidTr="00DB3E7A">
        <w:trPr>
          <w:trHeight w:val="1084"/>
          <w:jc w:val="center"/>
        </w:trPr>
        <w:tc>
          <w:tcPr>
            <w:tcW w:w="1563" w:type="dxa"/>
            <w:shd w:val="clear" w:color="auto" w:fill="EBF7F7" w:themeFill="accent1" w:themeFillTint="33"/>
          </w:tcPr>
          <w:p w14:paraId="69EE0A7E" w14:textId="77777777" w:rsidR="00EC52AD" w:rsidRDefault="00EC52AD" w:rsidP="003F1F8A">
            <w:pPr>
              <w:pStyle w:val="Tablebodytext"/>
              <w:rPr>
                <w:b/>
              </w:rPr>
            </w:pPr>
            <w:r w:rsidRPr="00302FDB">
              <w:rPr>
                <w:b/>
              </w:rPr>
              <w:t>Entity sign-off:</w:t>
            </w:r>
          </w:p>
          <w:p w14:paraId="105DE088" w14:textId="77777777" w:rsidR="00DB3E7A" w:rsidRDefault="00DB3E7A" w:rsidP="003F1F8A">
            <w:pPr>
              <w:pStyle w:val="Tablebodytext"/>
              <w:rPr>
                <w:b/>
              </w:rPr>
            </w:pPr>
          </w:p>
          <w:p w14:paraId="26655D9B" w14:textId="77777777" w:rsidR="00DB3E7A" w:rsidRDefault="00DB3E7A" w:rsidP="003F1F8A">
            <w:pPr>
              <w:pStyle w:val="Tablebodytext"/>
              <w:rPr>
                <w:b/>
              </w:rPr>
            </w:pPr>
          </w:p>
          <w:p w14:paraId="377DE591" w14:textId="7C7B6F2F" w:rsidR="00DB3E7A" w:rsidRPr="00302FDB" w:rsidRDefault="00DB3E7A" w:rsidP="003F1F8A">
            <w:pPr>
              <w:pStyle w:val="Tablebodytext"/>
              <w:rPr>
                <w:b/>
              </w:rPr>
            </w:pPr>
          </w:p>
        </w:tc>
        <w:tc>
          <w:tcPr>
            <w:tcW w:w="2245" w:type="dxa"/>
            <w:shd w:val="clear" w:color="auto" w:fill="EBF7F7" w:themeFill="accent1" w:themeFillTint="33"/>
          </w:tcPr>
          <w:p w14:paraId="73DCB16E" w14:textId="77777777" w:rsidR="00EC52AD" w:rsidRPr="00302FDB" w:rsidRDefault="00EC52AD" w:rsidP="003F1F8A">
            <w:pPr>
              <w:pStyle w:val="Tablebodytext"/>
              <w:rPr>
                <w:b/>
              </w:rPr>
            </w:pPr>
            <w:r w:rsidRPr="00302FDB">
              <w:rPr>
                <w:b/>
              </w:rPr>
              <w:t>Date</w:t>
            </w:r>
          </w:p>
        </w:tc>
        <w:tc>
          <w:tcPr>
            <w:tcW w:w="4494" w:type="dxa"/>
            <w:shd w:val="clear" w:color="auto" w:fill="EBF7F7" w:themeFill="accent1" w:themeFillTint="33"/>
          </w:tcPr>
          <w:p w14:paraId="748FCD48" w14:textId="77777777" w:rsidR="00EC52AD" w:rsidRPr="00302FDB" w:rsidRDefault="00EC52AD" w:rsidP="003F1F8A">
            <w:pPr>
              <w:pStyle w:val="Tablebodytext"/>
              <w:rPr>
                <w:b/>
              </w:rPr>
            </w:pPr>
            <w:r w:rsidRPr="00302FDB">
              <w:rPr>
                <w:b/>
              </w:rPr>
              <w:t>Finance comment</w:t>
            </w:r>
          </w:p>
        </w:tc>
        <w:tc>
          <w:tcPr>
            <w:tcW w:w="2466" w:type="dxa"/>
            <w:shd w:val="clear" w:color="auto" w:fill="EBF7F7" w:themeFill="accent1" w:themeFillTint="33"/>
          </w:tcPr>
          <w:p w14:paraId="4BC33AF7" w14:textId="19C4BCC8" w:rsidR="00F30238" w:rsidRPr="00302FDB" w:rsidRDefault="00EC52AD" w:rsidP="00DB3E7A">
            <w:pPr>
              <w:pStyle w:val="Tablebodytext"/>
              <w:rPr>
                <w:b/>
              </w:rPr>
            </w:pPr>
            <w:r w:rsidRPr="00302FDB">
              <w:rPr>
                <w:b/>
              </w:rPr>
              <w:t>Date</w:t>
            </w:r>
          </w:p>
        </w:tc>
      </w:tr>
    </w:tbl>
    <w:p w14:paraId="218D6D5C" w14:textId="77777777" w:rsidR="005D3E0C" w:rsidRPr="00AF2050" w:rsidRDefault="005D3E0C" w:rsidP="00DB3E7A">
      <w:pPr>
        <w:pStyle w:val="TableSourceNotes"/>
        <w:ind w:left="0" w:firstLine="0"/>
      </w:pPr>
    </w:p>
    <w:sectPr w:rsidR="005D3E0C" w:rsidRPr="00AF2050" w:rsidSect="00EC52AD">
      <w:type w:val="continuous"/>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E786" w14:textId="77777777" w:rsidR="005B30B2" w:rsidRDefault="005B30B2" w:rsidP="00EF4574">
      <w:pPr>
        <w:spacing w:before="0" w:after="0" w:line="240" w:lineRule="auto"/>
      </w:pPr>
      <w:r>
        <w:separator/>
      </w:r>
    </w:p>
    <w:p w14:paraId="0CB0F938" w14:textId="77777777" w:rsidR="005B30B2" w:rsidRDefault="005B30B2"/>
  </w:endnote>
  <w:endnote w:type="continuationSeparator" w:id="0">
    <w:p w14:paraId="76E03ECA" w14:textId="77777777" w:rsidR="005B30B2" w:rsidRDefault="005B30B2" w:rsidP="00EF4574">
      <w:pPr>
        <w:spacing w:before="0" w:after="0" w:line="240" w:lineRule="auto"/>
      </w:pPr>
      <w:r>
        <w:continuationSeparator/>
      </w:r>
    </w:p>
    <w:p w14:paraId="13D5BCE7" w14:textId="77777777" w:rsidR="005B30B2" w:rsidRDefault="005B3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284A"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0F6AB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12DD" w14:textId="77777777" w:rsidR="005B30B2" w:rsidRDefault="005B30B2" w:rsidP="0020122A">
      <w:pPr>
        <w:pStyle w:val="FootnoteSeparator"/>
      </w:pPr>
    </w:p>
  </w:footnote>
  <w:footnote w:type="continuationSeparator" w:id="0">
    <w:p w14:paraId="0355338D" w14:textId="77777777" w:rsidR="005B30B2" w:rsidRDefault="005B30B2" w:rsidP="00EF4574">
      <w:pPr>
        <w:spacing w:before="0" w:after="0" w:line="240" w:lineRule="auto"/>
      </w:pPr>
      <w:r>
        <w:continuationSeparator/>
      </w:r>
    </w:p>
    <w:p w14:paraId="76A756D3" w14:textId="77777777" w:rsidR="005B30B2" w:rsidRDefault="005B3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9D55" w14:textId="77777777" w:rsidR="005D3E0C" w:rsidRDefault="005D3E0C">
    <w:pPr>
      <w:pStyle w:val="Header"/>
      <w:rPr>
        <w:b/>
      </w:rPr>
    </w:pPr>
    <w:r w:rsidRPr="00DB6D69">
      <w:rPr>
        <w:b/>
      </w:rPr>
      <w:t>Department of Finance</w:t>
    </w:r>
  </w:p>
  <w:p w14:paraId="20C998E7" w14:textId="77777777" w:rsidR="0082589D" w:rsidRPr="00DB6D69" w:rsidRDefault="0082589D">
    <w:pPr>
      <w:pStyle w:val="Header"/>
      <w:rPr>
        <w:b/>
      </w:rPr>
    </w:pPr>
    <w:r>
      <w:rPr>
        <w:b/>
      </w:rPr>
      <w:t>Document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E64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30B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38A8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B289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20D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C4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5CE0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A2FB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9EA0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DEA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B8575A2"/>
    <w:multiLevelType w:val="hybridMultilevel"/>
    <w:tmpl w:val="1D720CDA"/>
    <w:lvl w:ilvl="0" w:tplc="0C09000F">
      <w:start w:val="1"/>
      <w:numFmt w:val="decimal"/>
      <w:lvlText w:val="%1."/>
      <w:lvlJc w:val="left"/>
      <w:pPr>
        <w:ind w:left="816" w:hanging="360"/>
      </w:pPr>
    </w:lvl>
    <w:lvl w:ilvl="1" w:tplc="0C090001">
      <w:start w:val="1"/>
      <w:numFmt w:val="bullet"/>
      <w:lvlText w:val=""/>
      <w:lvlJc w:val="left"/>
      <w:pPr>
        <w:ind w:left="1536" w:hanging="360"/>
      </w:pPr>
      <w:rPr>
        <w:rFonts w:ascii="Symbol" w:hAnsi="Symbol" w:hint="default"/>
      </w:r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DEF70DC"/>
    <w:multiLevelType w:val="hybridMultilevel"/>
    <w:tmpl w:val="6D40BCBA"/>
    <w:lvl w:ilvl="0" w:tplc="0C09000F">
      <w:start w:val="1"/>
      <w:numFmt w:val="decimal"/>
      <w:lvlText w:val="%1."/>
      <w:lvlJc w:val="left"/>
      <w:pPr>
        <w:ind w:left="816" w:hanging="360"/>
      </w:pPr>
    </w:lvl>
    <w:lvl w:ilvl="1" w:tplc="0C090019">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abstractNum w:abstractNumId="16"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F06A17"/>
    <w:multiLevelType w:val="multilevel"/>
    <w:tmpl w:val="8BEAF466"/>
    <w:lvl w:ilvl="0">
      <w:start w:val="5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122526427">
    <w:abstractNumId w:val="20"/>
  </w:num>
  <w:num w:numId="2" w16cid:durableId="599683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9408643">
    <w:abstractNumId w:val="10"/>
  </w:num>
  <w:num w:numId="4" w16cid:durableId="941693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288454">
    <w:abstractNumId w:val="14"/>
  </w:num>
  <w:num w:numId="6" w16cid:durableId="118185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4588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185043">
    <w:abstractNumId w:val="11"/>
  </w:num>
  <w:num w:numId="9" w16cid:durableId="37051664">
    <w:abstractNumId w:val="18"/>
  </w:num>
  <w:num w:numId="10" w16cid:durableId="1282687779">
    <w:abstractNumId w:val="19"/>
  </w:num>
  <w:num w:numId="11" w16cid:durableId="1023938748">
    <w:abstractNumId w:val="9"/>
  </w:num>
  <w:num w:numId="12" w16cid:durableId="1667174358">
    <w:abstractNumId w:val="7"/>
  </w:num>
  <w:num w:numId="13" w16cid:durableId="162478500">
    <w:abstractNumId w:val="6"/>
  </w:num>
  <w:num w:numId="14" w16cid:durableId="945700822">
    <w:abstractNumId w:val="5"/>
  </w:num>
  <w:num w:numId="15" w16cid:durableId="59908237">
    <w:abstractNumId w:val="4"/>
  </w:num>
  <w:num w:numId="16" w16cid:durableId="1649238595">
    <w:abstractNumId w:val="8"/>
  </w:num>
  <w:num w:numId="17" w16cid:durableId="97457525">
    <w:abstractNumId w:val="3"/>
  </w:num>
  <w:num w:numId="18" w16cid:durableId="439835467">
    <w:abstractNumId w:val="2"/>
  </w:num>
  <w:num w:numId="19" w16cid:durableId="1667855485">
    <w:abstractNumId w:val="1"/>
  </w:num>
  <w:num w:numId="20" w16cid:durableId="1390768034">
    <w:abstractNumId w:val="0"/>
  </w:num>
  <w:num w:numId="21" w16cid:durableId="1606890155">
    <w:abstractNumId w:val="16"/>
  </w:num>
  <w:num w:numId="22" w16cid:durableId="545990055">
    <w:abstractNumId w:val="17"/>
  </w:num>
  <w:num w:numId="23" w16cid:durableId="98111610">
    <w:abstractNumId w:val="13"/>
  </w:num>
  <w:num w:numId="24" w16cid:durableId="1572035787">
    <w:abstractNumId w:val="15"/>
  </w:num>
  <w:num w:numId="25" w16cid:durableId="6026890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2782F"/>
    <w:rsid w:val="00054E4D"/>
    <w:rsid w:val="00060073"/>
    <w:rsid w:val="000603C7"/>
    <w:rsid w:val="000829F4"/>
    <w:rsid w:val="000A4B30"/>
    <w:rsid w:val="000A6A8B"/>
    <w:rsid w:val="000C2A48"/>
    <w:rsid w:val="000C5F75"/>
    <w:rsid w:val="000D60B1"/>
    <w:rsid w:val="000F6AB6"/>
    <w:rsid w:val="00136530"/>
    <w:rsid w:val="001541EA"/>
    <w:rsid w:val="001612A4"/>
    <w:rsid w:val="001D7EB4"/>
    <w:rsid w:val="001E1DC0"/>
    <w:rsid w:val="0020122A"/>
    <w:rsid w:val="0028602A"/>
    <w:rsid w:val="0028775C"/>
    <w:rsid w:val="002B7879"/>
    <w:rsid w:val="002F5017"/>
    <w:rsid w:val="00301144"/>
    <w:rsid w:val="003148B7"/>
    <w:rsid w:val="003158C3"/>
    <w:rsid w:val="003274CD"/>
    <w:rsid w:val="0035119D"/>
    <w:rsid w:val="003A71C5"/>
    <w:rsid w:val="003B4F12"/>
    <w:rsid w:val="003C0E5E"/>
    <w:rsid w:val="00423F31"/>
    <w:rsid w:val="00431899"/>
    <w:rsid w:val="00437E87"/>
    <w:rsid w:val="00486804"/>
    <w:rsid w:val="004B3775"/>
    <w:rsid w:val="004C2A06"/>
    <w:rsid w:val="004E058F"/>
    <w:rsid w:val="004E3B87"/>
    <w:rsid w:val="00510921"/>
    <w:rsid w:val="00510AD3"/>
    <w:rsid w:val="00513348"/>
    <w:rsid w:val="00533B5D"/>
    <w:rsid w:val="005570E8"/>
    <w:rsid w:val="00576566"/>
    <w:rsid w:val="00583831"/>
    <w:rsid w:val="005970EA"/>
    <w:rsid w:val="005B30B2"/>
    <w:rsid w:val="005C37F0"/>
    <w:rsid w:val="005D2D36"/>
    <w:rsid w:val="005D3E0C"/>
    <w:rsid w:val="00623BA1"/>
    <w:rsid w:val="0062589C"/>
    <w:rsid w:val="006346BC"/>
    <w:rsid w:val="00645300"/>
    <w:rsid w:val="00645A37"/>
    <w:rsid w:val="00666291"/>
    <w:rsid w:val="0066652A"/>
    <w:rsid w:val="00682167"/>
    <w:rsid w:val="00683893"/>
    <w:rsid w:val="006C42AF"/>
    <w:rsid w:val="006C4DD1"/>
    <w:rsid w:val="00711D8E"/>
    <w:rsid w:val="00712672"/>
    <w:rsid w:val="00734E3F"/>
    <w:rsid w:val="00736985"/>
    <w:rsid w:val="00737A13"/>
    <w:rsid w:val="00755521"/>
    <w:rsid w:val="007B6200"/>
    <w:rsid w:val="007D29D9"/>
    <w:rsid w:val="00801B9F"/>
    <w:rsid w:val="0082589D"/>
    <w:rsid w:val="008801E7"/>
    <w:rsid w:val="00880B3F"/>
    <w:rsid w:val="008A4A14"/>
    <w:rsid w:val="008B62C7"/>
    <w:rsid w:val="008D4A99"/>
    <w:rsid w:val="008F1C43"/>
    <w:rsid w:val="0090309A"/>
    <w:rsid w:val="00906134"/>
    <w:rsid w:val="00910823"/>
    <w:rsid w:val="009A2DA7"/>
    <w:rsid w:val="009B4D3B"/>
    <w:rsid w:val="009D7407"/>
    <w:rsid w:val="009E0866"/>
    <w:rsid w:val="00A20E8E"/>
    <w:rsid w:val="00A24A62"/>
    <w:rsid w:val="00A31C9F"/>
    <w:rsid w:val="00A57A97"/>
    <w:rsid w:val="00AB19CF"/>
    <w:rsid w:val="00AC164A"/>
    <w:rsid w:val="00AF2050"/>
    <w:rsid w:val="00B60352"/>
    <w:rsid w:val="00B770C4"/>
    <w:rsid w:val="00BB26C5"/>
    <w:rsid w:val="00BF4DE6"/>
    <w:rsid w:val="00C27965"/>
    <w:rsid w:val="00C42CDE"/>
    <w:rsid w:val="00CA37B1"/>
    <w:rsid w:val="00CB1959"/>
    <w:rsid w:val="00D0296C"/>
    <w:rsid w:val="00D2253C"/>
    <w:rsid w:val="00D22869"/>
    <w:rsid w:val="00D46D82"/>
    <w:rsid w:val="00DB3E7A"/>
    <w:rsid w:val="00DB6D69"/>
    <w:rsid w:val="00DC430B"/>
    <w:rsid w:val="00DF25F7"/>
    <w:rsid w:val="00E357B7"/>
    <w:rsid w:val="00E400CC"/>
    <w:rsid w:val="00E44D53"/>
    <w:rsid w:val="00E53800"/>
    <w:rsid w:val="00E6081F"/>
    <w:rsid w:val="00E67970"/>
    <w:rsid w:val="00EA04B2"/>
    <w:rsid w:val="00EA20F3"/>
    <w:rsid w:val="00EC52AD"/>
    <w:rsid w:val="00ED43D1"/>
    <w:rsid w:val="00EE4EE1"/>
    <w:rsid w:val="00EF4574"/>
    <w:rsid w:val="00F2684E"/>
    <w:rsid w:val="00F30238"/>
    <w:rsid w:val="00F729EF"/>
    <w:rsid w:val="00F77CAE"/>
    <w:rsid w:val="00F957CE"/>
    <w:rsid w:val="00F96BB9"/>
    <w:rsid w:val="00FB44AA"/>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5BCB3F0"/>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F6AB6"/>
    <w:pPr>
      <w:outlineLvl w:val="4"/>
    </w:pPr>
    <w:rPr>
      <w:i/>
      <w:color w:val="6D6EC0" w:themeColor="accent2"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18885"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645300"/>
    <w:pPr>
      <w:spacing w:before="720"/>
    </w:pPr>
  </w:style>
  <w:style w:type="character" w:customStyle="1" w:styleId="TitleChar">
    <w:name w:val="Title Char"/>
    <w:basedOn w:val="DefaultParagraphFont"/>
    <w:link w:val="Title"/>
    <w:uiPriority w:val="10"/>
    <w:rsid w:val="00645300"/>
    <w:rPr>
      <w:rFonts w:asciiTheme="majorHAnsi" w:eastAsiaTheme="majorEastAsia" w:hAnsiTheme="majorHAnsi" w:cstheme="majorBidi"/>
      <w:bCs/>
      <w:color w:val="1C1C1C" w:themeColor="text2"/>
      <w:sz w:val="40"/>
      <w:szCs w:val="28"/>
    </w:rPr>
  </w:style>
  <w:style w:type="paragraph" w:styleId="Subtitle">
    <w:name w:val="Subtitle"/>
    <w:basedOn w:val="Title"/>
    <w:next w:val="Normal"/>
    <w:link w:val="SubtitleChar"/>
    <w:uiPriority w:val="11"/>
    <w:qFormat/>
    <w:rsid w:val="00645300"/>
    <w:pPr>
      <w:numPr>
        <w:ilvl w:val="1"/>
      </w:numPr>
      <w:spacing w:before="0" w:after="480" w:line="260" w:lineRule="atLeast"/>
    </w:pPr>
    <w:rPr>
      <w:b/>
      <w:iCs/>
      <w:sz w:val="24"/>
      <w:szCs w:val="24"/>
    </w:rPr>
  </w:style>
  <w:style w:type="character" w:customStyle="1" w:styleId="SubtitleChar">
    <w:name w:val="Subtitle Char"/>
    <w:basedOn w:val="DefaultParagraphFont"/>
    <w:link w:val="Subtitle"/>
    <w:uiPriority w:val="11"/>
    <w:rsid w:val="00645300"/>
    <w:rPr>
      <w:rFonts w:asciiTheme="majorHAnsi" w:eastAsiaTheme="majorEastAsia" w:hAnsiTheme="majorHAnsi" w:cstheme="majorBidi"/>
      <w:b/>
      <w:bCs/>
      <w:iCs/>
      <w:color w:val="1C1C1C" w:themeColor="text2"/>
      <w:sz w:val="24"/>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82589D"/>
    <w:pPr>
      <w:numPr>
        <w:ilvl w:val="1"/>
        <w:numId w:val="5"/>
      </w:numPr>
      <w:ind w:left="851" w:hanging="851"/>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F6AB6"/>
    <w:pPr>
      <w:pBdr>
        <w:bottom w:val="single" w:sz="4" w:space="6" w:color="B4B5DF" w:themeColor="accent2"/>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0F6AB6"/>
    <w:rPr>
      <w:rFonts w:asciiTheme="majorHAnsi" w:eastAsiaTheme="majorEastAsia" w:hAnsiTheme="majorHAnsi" w:cstheme="majorBidi"/>
      <w:bCs/>
      <w:i/>
      <w:iCs/>
      <w:color w:val="6D6EC0" w:themeColor="accent2"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18885"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18885"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0F6AB6"/>
    <w:pPr>
      <w:pBdr>
        <w:top w:val="single" w:sz="4" w:space="14" w:color="EFEFF8" w:themeColor="accent2" w:themeTint="33"/>
        <w:left w:val="single" w:sz="4" w:space="14" w:color="EFEFF8" w:themeColor="accent2" w:themeTint="33"/>
        <w:bottom w:val="single" w:sz="4" w:space="14" w:color="EFEFF8" w:themeColor="accent2" w:themeTint="33"/>
        <w:right w:val="single" w:sz="4" w:space="14" w:color="EFEFF8" w:themeColor="accent2" w:themeTint="33"/>
      </w:pBdr>
      <w:shd w:val="clear" w:color="auto" w:fill="EFEFF8" w:themeFill="accent2" w:themeFillTint="33"/>
      <w:ind w:left="284" w:right="284"/>
    </w:pPr>
  </w:style>
  <w:style w:type="paragraph" w:customStyle="1" w:styleId="Boxed1Heading">
    <w:name w:val="Boxed 1 Heading"/>
    <w:basedOn w:val="Boxed1Text"/>
    <w:qFormat/>
    <w:rsid w:val="000F6AB6"/>
    <w:rPr>
      <w:b/>
      <w:sz w:val="24"/>
    </w:rPr>
  </w:style>
  <w:style w:type="paragraph" w:customStyle="1" w:styleId="Boxed2Text">
    <w:name w:val="Boxed 2 Text"/>
    <w:basedOn w:val="Boxed1Text"/>
    <w:qFormat/>
    <w:rsid w:val="000F6AB6"/>
    <w:pPr>
      <w:pBdr>
        <w:top w:val="single" w:sz="4" w:space="14" w:color="B4B5DF" w:themeColor="accent2"/>
        <w:left w:val="single" w:sz="4" w:space="14" w:color="B4B5DF" w:themeColor="accent2"/>
        <w:bottom w:val="single" w:sz="4" w:space="14" w:color="B4B5DF" w:themeColor="accent2"/>
        <w:right w:val="single" w:sz="4" w:space="14" w:color="B4B5DF" w:themeColor="accent2"/>
      </w:pBdr>
      <w:shd w:val="clear" w:color="auto" w:fill="B4B5DF" w:themeFill="accent2"/>
    </w:pPr>
  </w:style>
  <w:style w:type="paragraph" w:customStyle="1" w:styleId="Boxed2Heading">
    <w:name w:val="Boxed 2 Heading"/>
    <w:basedOn w:val="Boxed2Text"/>
    <w:qFormat/>
    <w:rsid w:val="000F6AB6"/>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F6AB6"/>
    <w:pPr>
      <w:pBdr>
        <w:top w:val="single" w:sz="4" w:space="10" w:color="B4B5DF" w:themeColor="accent2"/>
        <w:bottom w:val="single" w:sz="4" w:space="10" w:color="B4B5DF" w:themeColor="accent2"/>
      </w:pBdr>
      <w:spacing w:before="360" w:after="360"/>
      <w:ind w:left="864" w:right="864"/>
      <w:jc w:val="center"/>
    </w:pPr>
    <w:rPr>
      <w:i/>
      <w:iCs/>
      <w:color w:val="6D6EC0" w:themeColor="accent2" w:themeShade="BF"/>
    </w:rPr>
  </w:style>
  <w:style w:type="character" w:customStyle="1" w:styleId="IntenseQuoteChar">
    <w:name w:val="Intense Quote Char"/>
    <w:basedOn w:val="DefaultParagraphFont"/>
    <w:link w:val="IntenseQuote"/>
    <w:uiPriority w:val="30"/>
    <w:rsid w:val="000F6AB6"/>
    <w:rPr>
      <w:i/>
      <w:iCs/>
      <w:color w:val="6D6EC0" w:themeColor="accent2" w:themeShade="BF"/>
    </w:rPr>
  </w:style>
  <w:style w:type="character" w:styleId="IntenseReference">
    <w:name w:val="Intense Reference"/>
    <w:basedOn w:val="DefaultParagraphFont"/>
    <w:uiPriority w:val="32"/>
    <w:qFormat/>
    <w:rsid w:val="000F6AB6"/>
    <w:rPr>
      <w:b/>
      <w:bCs/>
      <w:smallCaps/>
      <w:color w:val="6D6EC0" w:themeColor="accent2" w:themeShade="BF"/>
      <w:spacing w:val="5"/>
    </w:rPr>
  </w:style>
  <w:style w:type="character" w:styleId="CommentReference">
    <w:name w:val="annotation reference"/>
    <w:basedOn w:val="DefaultParagraphFont"/>
    <w:uiPriority w:val="99"/>
    <w:semiHidden/>
    <w:unhideWhenUsed/>
    <w:rsid w:val="00EC52AD"/>
    <w:rPr>
      <w:sz w:val="16"/>
      <w:szCs w:val="16"/>
    </w:rPr>
  </w:style>
  <w:style w:type="paragraph" w:styleId="CommentText">
    <w:name w:val="annotation text"/>
    <w:basedOn w:val="Normal"/>
    <w:link w:val="CommentTextChar"/>
    <w:uiPriority w:val="99"/>
    <w:semiHidden/>
    <w:unhideWhenUsed/>
    <w:rsid w:val="00EC52AD"/>
    <w:pPr>
      <w:spacing w:line="240" w:lineRule="auto"/>
    </w:pPr>
    <w:rPr>
      <w:sz w:val="20"/>
      <w:szCs w:val="20"/>
    </w:rPr>
  </w:style>
  <w:style w:type="character" w:customStyle="1" w:styleId="CommentTextChar">
    <w:name w:val="Comment Text Char"/>
    <w:basedOn w:val="DefaultParagraphFont"/>
    <w:link w:val="CommentText"/>
    <w:uiPriority w:val="99"/>
    <w:semiHidden/>
    <w:rsid w:val="00EC52AD"/>
    <w:rPr>
      <w:sz w:val="20"/>
      <w:szCs w:val="20"/>
    </w:rPr>
  </w:style>
  <w:style w:type="paragraph" w:customStyle="1" w:styleId="BodyText1">
    <w:name w:val="Body Text1"/>
    <w:basedOn w:val="Normal"/>
    <w:qFormat/>
    <w:rsid w:val="00EC52AD"/>
    <w:pPr>
      <w:suppressAutoHyphens w:val="0"/>
      <w:spacing w:before="0" w:after="120" w:line="240" w:lineRule="auto"/>
    </w:pPr>
    <w:rPr>
      <w:rFonts w:ascii="Cambria" w:eastAsia="Times New Roman" w:hAnsi="Cambria" w:cs="Times New Roman"/>
      <w:szCs w:val="24"/>
    </w:rPr>
  </w:style>
  <w:style w:type="paragraph" w:customStyle="1" w:styleId="Bullets1stindent">
    <w:name w:val="Bullets (1st indent)"/>
    <w:basedOn w:val="Normal"/>
    <w:rsid w:val="00EC52AD"/>
    <w:pPr>
      <w:numPr>
        <w:numId w:val="23"/>
      </w:numPr>
      <w:suppressAutoHyphens w:val="0"/>
      <w:spacing w:before="0" w:after="120" w:line="240" w:lineRule="auto"/>
    </w:pPr>
    <w:rPr>
      <w:rFonts w:ascii="Cambria" w:eastAsia="Times New Roman" w:hAnsi="Cambria" w:cs="Times New Roman"/>
      <w:szCs w:val="24"/>
    </w:rPr>
  </w:style>
  <w:style w:type="paragraph" w:customStyle="1" w:styleId="Bullets2ndindent">
    <w:name w:val="Bullets (2nd indent)"/>
    <w:basedOn w:val="Normal"/>
    <w:rsid w:val="00EC52AD"/>
    <w:pPr>
      <w:numPr>
        <w:ilvl w:val="1"/>
        <w:numId w:val="23"/>
      </w:numPr>
      <w:suppressAutoHyphens w:val="0"/>
      <w:spacing w:before="0" w:after="120" w:line="240" w:lineRule="auto"/>
    </w:pPr>
    <w:rPr>
      <w:rFonts w:ascii="Cambria" w:eastAsia="Times New Roman" w:hAnsi="Cambria" w:cs="Times New Roman"/>
      <w:szCs w:val="24"/>
    </w:rPr>
  </w:style>
  <w:style w:type="numbering" w:customStyle="1" w:styleId="Bullets">
    <w:name w:val="Bullets"/>
    <w:basedOn w:val="NoList"/>
    <w:uiPriority w:val="99"/>
    <w:rsid w:val="00EC52AD"/>
    <w:pPr>
      <w:numPr>
        <w:numId w:val="23"/>
      </w:numPr>
    </w:pPr>
  </w:style>
  <w:style w:type="paragraph" w:customStyle="1" w:styleId="Bulletslast1stindent">
    <w:name w:val="Bullets last (1st indent)"/>
    <w:basedOn w:val="Normal"/>
    <w:rsid w:val="00EC52AD"/>
    <w:pPr>
      <w:numPr>
        <w:ilvl w:val="2"/>
        <w:numId w:val="23"/>
      </w:numPr>
      <w:suppressAutoHyphens w:val="0"/>
      <w:spacing w:before="0" w:after="120" w:line="240" w:lineRule="auto"/>
    </w:pPr>
    <w:rPr>
      <w:rFonts w:ascii="Cambria" w:eastAsia="Times New Roman" w:hAnsi="Cambria" w:cs="Times New Roman"/>
      <w:szCs w:val="24"/>
    </w:rPr>
  </w:style>
  <w:style w:type="paragraph" w:customStyle="1" w:styleId="Bulletslast2ndindent">
    <w:name w:val="Bullets last (2nd indent)"/>
    <w:basedOn w:val="Normal"/>
    <w:rsid w:val="00EC52AD"/>
    <w:pPr>
      <w:numPr>
        <w:ilvl w:val="3"/>
        <w:numId w:val="23"/>
      </w:numPr>
      <w:suppressAutoHyphens w:val="0"/>
      <w:spacing w:before="0" w:after="57" w:line="240" w:lineRule="auto"/>
    </w:pPr>
    <w:rPr>
      <w:rFonts w:ascii="Cambria" w:eastAsia="Times New Roman" w:hAnsi="Cambria" w:cs="Times New Roman"/>
      <w:szCs w:val="24"/>
    </w:rPr>
  </w:style>
  <w:style w:type="paragraph" w:customStyle="1" w:styleId="Tablebodytext">
    <w:name w:val="Table body text"/>
    <w:qFormat/>
    <w:rsid w:val="00EC52AD"/>
    <w:pPr>
      <w:spacing w:after="0" w:line="240" w:lineRule="auto"/>
    </w:pPr>
    <w:rPr>
      <w:rFonts w:ascii="Arial" w:eastAsia="Times New Roman" w:hAnsi="Arial" w:cs="Times New Roman"/>
      <w:sz w:val="18"/>
      <w:szCs w:val="24"/>
    </w:rPr>
  </w:style>
  <w:style w:type="paragraph" w:customStyle="1" w:styleId="Tablebullets2ndindent">
    <w:name w:val="Table bullets (2nd indent)"/>
    <w:basedOn w:val="Tablebodytext"/>
    <w:qFormat/>
    <w:rsid w:val="00EC52AD"/>
    <w:pPr>
      <w:numPr>
        <w:ilvl w:val="6"/>
        <w:numId w:val="23"/>
      </w:numPr>
    </w:pPr>
  </w:style>
  <w:style w:type="paragraph" w:customStyle="1" w:styleId="Tablebullets1stindent">
    <w:name w:val="Table bullets (1st indent)"/>
    <w:basedOn w:val="Tablebodytext"/>
    <w:qFormat/>
    <w:rsid w:val="00EC52AD"/>
    <w:pPr>
      <w:numPr>
        <w:ilvl w:val="5"/>
        <w:numId w:val="23"/>
      </w:numPr>
    </w:pPr>
  </w:style>
  <w:style w:type="table" w:customStyle="1" w:styleId="DOFDwithheader">
    <w:name w:val="DOFD with header"/>
    <w:basedOn w:val="TableNormal"/>
    <w:uiPriority w:val="99"/>
    <w:qFormat/>
    <w:rsid w:val="00EC52AD"/>
    <w:pPr>
      <w:spacing w:before="57" w:after="0" w:line="220" w:lineRule="atLeast"/>
      <w:ind w:left="96" w:right="96"/>
    </w:pPr>
    <w:rPr>
      <w:rFonts w:ascii="Arial" w:eastAsia="Times New Roman" w:hAnsi="Arial" w:cs="Times New Roman"/>
      <w:sz w:val="20"/>
      <w:szCs w:val="20"/>
      <w:lang w:eastAsia="en-AU"/>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pPr>
        <w:keepNext/>
        <w:wordWrap/>
      </w:pPr>
      <w:rPr>
        <w:b w:val="0"/>
      </w:rPr>
      <w:tblPr/>
      <w:tcPr>
        <w:shd w:val="clear" w:color="auto" w:fill="DDF3FA"/>
      </w:tcPr>
    </w:tblStylePr>
  </w:style>
  <w:style w:type="table" w:customStyle="1" w:styleId="DOFDplain">
    <w:name w:val="DOFD plain"/>
    <w:basedOn w:val="TableNormal"/>
    <w:uiPriority w:val="99"/>
    <w:qFormat/>
    <w:rsid w:val="00EC52AD"/>
    <w:pPr>
      <w:spacing w:before="57" w:after="0" w:line="220" w:lineRule="atLeast"/>
      <w:ind w:left="96" w:right="96"/>
    </w:pPr>
    <w:rPr>
      <w:rFonts w:ascii="Arial" w:eastAsia="Times New Roman" w:hAnsi="Arial" w:cs="Times New Roman"/>
      <w:sz w:val="17"/>
      <w:szCs w:val="20"/>
      <w:lang w:eastAsia="en-AU"/>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tblStylePr w:type="firstRow">
      <w:pPr>
        <w:keepNext/>
        <w:wordWrap/>
      </w:pPr>
      <w:rPr>
        <w:rFonts w:ascii="Arial" w:hAnsi="Arial"/>
        <w:b w:val="0"/>
      </w:rPr>
      <w:tblPr/>
      <w:trPr>
        <w:tblHeader/>
      </w:trPr>
    </w:tblStylePr>
  </w:style>
  <w:style w:type="character" w:styleId="UnresolvedMention">
    <w:name w:val="Unresolved Mention"/>
    <w:basedOn w:val="DefaultParagraphFont"/>
    <w:uiPriority w:val="99"/>
    <w:semiHidden/>
    <w:unhideWhenUsed/>
    <w:rsid w:val="00683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argingpolicy@financ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gingpolicy@financ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gov.au/government/managing-commonwealth-resources/managing-money-property/managing-money/australian-government-charging-frame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8C03-41C4-4F7B-9A31-1872AD36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949</Words>
  <Characters>5272</Characters>
  <Application>Microsoft Office Word</Application>
  <DocSecurity>0</DocSecurity>
  <Lines>240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[SEC=UNOFFICIAL]</cp:keywords>
  <dc:description/>
  <cp:lastModifiedBy>Truong, Minh</cp:lastModifiedBy>
  <cp:revision>7</cp:revision>
  <cp:lastPrinted>2013-10-29T09:49:00Z</cp:lastPrinted>
  <dcterms:created xsi:type="dcterms:W3CDTF">2023-05-17T02:53:00Z</dcterms:created>
  <dcterms:modified xsi:type="dcterms:W3CDTF">2024-02-05T23:18:00Z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2023-05-03T04:43:09Z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v=2022.1;a=SHA256;h=6D81F526E117DF675E7E945D0238A7AE9F9A1E2CEF39712B6C9D14AAB16D46D5</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2023-05-03T04:43:09Z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bb9b6833b6154865a3bc78ec9ce8c1c9</vt:lpwstr>
  </property>
  <property fmtid="{D5CDD505-2E9C-101B-9397-08002B2CF9AE}" pid="20" name="PM_InsertionValue">
    <vt:lpwstr>UNOFFICIAL</vt:lpwstr>
  </property>
  <property fmtid="{D5CDD505-2E9C-101B-9397-08002B2CF9AE}" pid="21" name="PM_Originator_Hash_SHA1">
    <vt:lpwstr>C4E8576B6510B1FB5DEF9BBC04AB3A64E004CBD8</vt:lpwstr>
  </property>
  <property fmtid="{D5CDD505-2E9C-101B-9397-08002B2CF9AE}" pid="22" name="PM_DisplayValueSecClassificationWithQualifier">
    <vt:lpwstr>UNOFFICIAL</vt:lpwstr>
  </property>
  <property fmtid="{D5CDD505-2E9C-101B-9397-08002B2CF9AE}" pid="23" name="PM_Originating_FileId">
    <vt:lpwstr>EF02F763472242888E19F71F7F209BDA</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3F9C3930C95A80FE14E5E569A96906FECB80D374DD6F0E6814A1821B290CD60B</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8A4F6BA13AED2C1B187393A4B2997809</vt:lpwstr>
  </property>
  <property fmtid="{D5CDD505-2E9C-101B-9397-08002B2CF9AE}" pid="32" name="PM_Hash_Salt">
    <vt:lpwstr>4941FB7F8A0D0F8F23ADEE3ABD4C21EF</vt:lpwstr>
  </property>
  <property fmtid="{D5CDD505-2E9C-101B-9397-08002B2CF9AE}" pid="33" name="PM_Hash_SHA1">
    <vt:lpwstr>5608A32CEA70D3ABF046248FFE9EA13D290869DA</vt:lpwstr>
  </property>
  <property fmtid="{D5CDD505-2E9C-101B-9397-08002B2CF9AE}" pid="34" name="PM_SecurityClassification_Prev">
    <vt:lpwstr>UNOFFICIAL</vt:lpwstr>
  </property>
  <property fmtid="{D5CDD505-2E9C-101B-9397-08002B2CF9AE}" pid="35" name="PM_Qualifier_Prev">
    <vt:lpwstr/>
  </property>
</Properties>
</file>