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9DF7F" w14:textId="77777777" w:rsidR="00257FF4" w:rsidRPr="005A7C0B" w:rsidRDefault="00257FF4" w:rsidP="005212E4">
      <w:pPr>
        <w:pStyle w:val="PartHeading"/>
      </w:pPr>
      <w:r w:rsidRPr="005A7C0B">
        <w:t xml:space="preserve">Department of </w:t>
      </w:r>
      <w:r w:rsidR="004B772F">
        <w:t>Finance</w:t>
      </w:r>
    </w:p>
    <w:p w14:paraId="2239DF80" w14:textId="77777777" w:rsidR="005A7C0B" w:rsidRDefault="005A7C0B" w:rsidP="005A7C0B">
      <w:pPr>
        <w:pStyle w:val="PartHeading"/>
      </w:pPr>
    </w:p>
    <w:p w14:paraId="2239DF81" w14:textId="77777777" w:rsidR="00257FF4" w:rsidRDefault="007E6BBD" w:rsidP="006B7542">
      <w:pPr>
        <w:pStyle w:val="PartHeading-TOC"/>
      </w:pPr>
      <w:bookmarkStart w:id="0" w:name="_Toc116465543"/>
      <w:r>
        <w:t xml:space="preserve">Entity </w:t>
      </w:r>
      <w:r w:rsidR="00605163">
        <w:t>resources and planned performance</w:t>
      </w:r>
      <w:bookmarkEnd w:id="0"/>
    </w:p>
    <w:p w14:paraId="2239DF82" w14:textId="77777777" w:rsidR="00257FF4" w:rsidRDefault="00257FF4" w:rsidP="005A7C0B">
      <w:pPr>
        <w:pStyle w:val="PartHeading"/>
        <w:sectPr w:rsidR="00257FF4" w:rsidSect="00782467">
          <w:footerReference w:type="even" r:id="rId14"/>
          <w:footerReference w:type="default" r:id="rId15"/>
          <w:type w:val="oddPage"/>
          <w:pgSz w:w="11906" w:h="16838" w:code="9"/>
          <w:pgMar w:top="2835" w:right="2098" w:bottom="2466" w:left="2098" w:header="1814" w:footer="1814" w:gutter="0"/>
          <w:cols w:space="708"/>
          <w:vAlign w:val="center"/>
          <w:titlePg/>
          <w:docGrid w:linePitch="360"/>
        </w:sectPr>
      </w:pPr>
    </w:p>
    <w:p w14:paraId="2239DF83" w14:textId="77777777" w:rsidR="00257FF4" w:rsidRPr="00E36F77" w:rsidRDefault="00257FF4" w:rsidP="00E36F77">
      <w:pPr>
        <w:pStyle w:val="ContentsHeading"/>
      </w:pPr>
      <w:bookmarkStart w:id="1" w:name="_Toc190766150"/>
      <w:r w:rsidRPr="00E36F77">
        <w:lastRenderedPageBreak/>
        <w:t>Department of</w:t>
      </w:r>
      <w:r w:rsidR="004B772F">
        <w:t xml:space="preserve"> Finance</w:t>
      </w:r>
      <w:bookmarkEnd w:id="1"/>
    </w:p>
    <w:p w14:paraId="751F15B3" w14:textId="40A4580F" w:rsidR="009D7FAB" w:rsidRDefault="00915F49">
      <w:pPr>
        <w:pStyle w:val="TOC1"/>
        <w:rPr>
          <w:rFonts w:asciiTheme="minorHAnsi" w:eastAsiaTheme="minorEastAsia" w:hAnsiTheme="minorHAnsi" w:cstheme="minorBidi"/>
          <w:b w:val="0"/>
          <w:noProof/>
          <w:sz w:val="22"/>
          <w:szCs w:val="22"/>
        </w:rPr>
      </w:pPr>
      <w:r>
        <w:fldChar w:fldCharType="begin"/>
      </w:r>
      <w:r>
        <w:instrText xml:space="preserve"> TOC \h \z \t "Heading 2,1,Heading 3,2"</w:instrText>
      </w:r>
      <w:r w:rsidR="00E71F73">
        <w:instrText xml:space="preserve"> \b FINANCE</w:instrText>
      </w:r>
      <w:r>
        <w:instrText xml:space="preserve"> </w:instrText>
      </w:r>
      <w:r>
        <w:fldChar w:fldCharType="separate"/>
      </w:r>
      <w:hyperlink w:anchor="_Toc117027154" w:history="1">
        <w:r w:rsidR="009D7FAB" w:rsidRPr="00386A3A">
          <w:rPr>
            <w:rStyle w:val="Hyperlink"/>
            <w:noProof/>
          </w:rPr>
          <w:t>Section 1: Entity overview and resources</w:t>
        </w:r>
        <w:r w:rsidR="009D7FAB">
          <w:rPr>
            <w:noProof/>
            <w:webHidden/>
          </w:rPr>
          <w:tab/>
        </w:r>
        <w:r w:rsidR="009D7FAB">
          <w:rPr>
            <w:noProof/>
            <w:webHidden/>
          </w:rPr>
          <w:fldChar w:fldCharType="begin"/>
        </w:r>
        <w:r w:rsidR="009D7FAB">
          <w:rPr>
            <w:noProof/>
            <w:webHidden/>
          </w:rPr>
          <w:instrText xml:space="preserve"> PAGEREF _Toc117027154 \h </w:instrText>
        </w:r>
        <w:r w:rsidR="009D7FAB">
          <w:rPr>
            <w:noProof/>
            <w:webHidden/>
          </w:rPr>
        </w:r>
        <w:r w:rsidR="009D7FAB">
          <w:rPr>
            <w:noProof/>
            <w:webHidden/>
          </w:rPr>
          <w:fldChar w:fldCharType="separate"/>
        </w:r>
        <w:r w:rsidR="009428F5">
          <w:rPr>
            <w:noProof/>
            <w:webHidden/>
          </w:rPr>
          <w:t>13</w:t>
        </w:r>
        <w:r w:rsidR="009D7FAB">
          <w:rPr>
            <w:noProof/>
            <w:webHidden/>
          </w:rPr>
          <w:fldChar w:fldCharType="end"/>
        </w:r>
      </w:hyperlink>
    </w:p>
    <w:p w14:paraId="449061A6" w14:textId="6BB290E6" w:rsidR="009D7FAB" w:rsidRDefault="00BB564F">
      <w:pPr>
        <w:pStyle w:val="TOC2"/>
        <w:rPr>
          <w:rFonts w:asciiTheme="minorHAnsi" w:eastAsiaTheme="minorEastAsia" w:hAnsiTheme="minorHAnsi" w:cstheme="minorBidi"/>
          <w:noProof/>
          <w:sz w:val="22"/>
          <w:szCs w:val="22"/>
        </w:rPr>
      </w:pPr>
      <w:hyperlink w:anchor="_Toc117027155" w:history="1">
        <w:r w:rsidR="009D7FAB" w:rsidRPr="00386A3A">
          <w:rPr>
            <w:rStyle w:val="Hyperlink"/>
            <w:noProof/>
          </w:rPr>
          <w:t>1.1</w:t>
        </w:r>
        <w:r w:rsidR="009D7FAB">
          <w:rPr>
            <w:rFonts w:asciiTheme="minorHAnsi" w:eastAsiaTheme="minorEastAsia" w:hAnsiTheme="minorHAnsi" w:cstheme="minorBidi"/>
            <w:noProof/>
            <w:sz w:val="22"/>
            <w:szCs w:val="22"/>
          </w:rPr>
          <w:tab/>
        </w:r>
        <w:r w:rsidR="009D7FAB" w:rsidRPr="00386A3A">
          <w:rPr>
            <w:rStyle w:val="Hyperlink"/>
            <w:noProof/>
          </w:rPr>
          <w:t>Strategic direction statement</w:t>
        </w:r>
        <w:r w:rsidR="009D7FAB">
          <w:rPr>
            <w:noProof/>
            <w:webHidden/>
          </w:rPr>
          <w:tab/>
        </w:r>
        <w:r w:rsidR="009D7FAB">
          <w:rPr>
            <w:noProof/>
            <w:webHidden/>
          </w:rPr>
          <w:fldChar w:fldCharType="begin"/>
        </w:r>
        <w:r w:rsidR="009D7FAB">
          <w:rPr>
            <w:noProof/>
            <w:webHidden/>
          </w:rPr>
          <w:instrText xml:space="preserve"> PAGEREF _Toc117027155 \h </w:instrText>
        </w:r>
        <w:r w:rsidR="009D7FAB">
          <w:rPr>
            <w:noProof/>
            <w:webHidden/>
          </w:rPr>
        </w:r>
        <w:r w:rsidR="009D7FAB">
          <w:rPr>
            <w:noProof/>
            <w:webHidden/>
          </w:rPr>
          <w:fldChar w:fldCharType="separate"/>
        </w:r>
        <w:r w:rsidR="009428F5">
          <w:rPr>
            <w:noProof/>
            <w:webHidden/>
          </w:rPr>
          <w:t>13</w:t>
        </w:r>
        <w:r w:rsidR="009D7FAB">
          <w:rPr>
            <w:noProof/>
            <w:webHidden/>
          </w:rPr>
          <w:fldChar w:fldCharType="end"/>
        </w:r>
      </w:hyperlink>
    </w:p>
    <w:p w14:paraId="71FEED40" w14:textId="558D6929" w:rsidR="009D7FAB" w:rsidRDefault="00BB564F">
      <w:pPr>
        <w:pStyle w:val="TOC2"/>
        <w:rPr>
          <w:rFonts w:asciiTheme="minorHAnsi" w:eastAsiaTheme="minorEastAsia" w:hAnsiTheme="minorHAnsi" w:cstheme="minorBidi"/>
          <w:noProof/>
          <w:sz w:val="22"/>
          <w:szCs w:val="22"/>
        </w:rPr>
      </w:pPr>
      <w:hyperlink w:anchor="_Toc117027156" w:history="1">
        <w:r w:rsidR="009D7FAB" w:rsidRPr="00386A3A">
          <w:rPr>
            <w:rStyle w:val="Hyperlink"/>
            <w:noProof/>
          </w:rPr>
          <w:t>1.2</w:t>
        </w:r>
        <w:r w:rsidR="009D7FAB">
          <w:rPr>
            <w:rFonts w:asciiTheme="minorHAnsi" w:eastAsiaTheme="minorEastAsia" w:hAnsiTheme="minorHAnsi" w:cstheme="minorBidi"/>
            <w:noProof/>
            <w:sz w:val="22"/>
            <w:szCs w:val="22"/>
          </w:rPr>
          <w:tab/>
        </w:r>
        <w:r w:rsidR="009D7FAB" w:rsidRPr="00386A3A">
          <w:rPr>
            <w:rStyle w:val="Hyperlink"/>
            <w:noProof/>
          </w:rPr>
          <w:t>Entity resource statement</w:t>
        </w:r>
        <w:r w:rsidR="009D7FAB">
          <w:rPr>
            <w:noProof/>
            <w:webHidden/>
          </w:rPr>
          <w:tab/>
        </w:r>
        <w:r w:rsidR="009D7FAB">
          <w:rPr>
            <w:noProof/>
            <w:webHidden/>
          </w:rPr>
          <w:fldChar w:fldCharType="begin"/>
        </w:r>
        <w:r w:rsidR="009D7FAB">
          <w:rPr>
            <w:noProof/>
            <w:webHidden/>
          </w:rPr>
          <w:instrText xml:space="preserve"> PAGEREF _Toc117027156 \h </w:instrText>
        </w:r>
        <w:r w:rsidR="009D7FAB">
          <w:rPr>
            <w:noProof/>
            <w:webHidden/>
          </w:rPr>
        </w:r>
        <w:r w:rsidR="009D7FAB">
          <w:rPr>
            <w:noProof/>
            <w:webHidden/>
          </w:rPr>
          <w:fldChar w:fldCharType="separate"/>
        </w:r>
        <w:r w:rsidR="009428F5">
          <w:rPr>
            <w:noProof/>
            <w:webHidden/>
          </w:rPr>
          <w:t>15</w:t>
        </w:r>
        <w:r w:rsidR="009D7FAB">
          <w:rPr>
            <w:noProof/>
            <w:webHidden/>
          </w:rPr>
          <w:fldChar w:fldCharType="end"/>
        </w:r>
      </w:hyperlink>
    </w:p>
    <w:p w14:paraId="5BE0A92F" w14:textId="2E01C171" w:rsidR="009D7FAB" w:rsidRDefault="00BB564F">
      <w:pPr>
        <w:pStyle w:val="TOC2"/>
        <w:rPr>
          <w:rFonts w:asciiTheme="minorHAnsi" w:eastAsiaTheme="minorEastAsia" w:hAnsiTheme="minorHAnsi" w:cstheme="minorBidi"/>
          <w:noProof/>
          <w:sz w:val="22"/>
          <w:szCs w:val="22"/>
        </w:rPr>
      </w:pPr>
      <w:hyperlink w:anchor="_Toc117027157" w:history="1">
        <w:r w:rsidR="009D7FAB" w:rsidRPr="00386A3A">
          <w:rPr>
            <w:rStyle w:val="Hyperlink"/>
            <w:noProof/>
          </w:rPr>
          <w:t>1.3</w:t>
        </w:r>
        <w:r w:rsidR="009D7FAB">
          <w:rPr>
            <w:rFonts w:asciiTheme="minorHAnsi" w:eastAsiaTheme="minorEastAsia" w:hAnsiTheme="minorHAnsi" w:cstheme="minorBidi"/>
            <w:noProof/>
            <w:sz w:val="22"/>
            <w:szCs w:val="22"/>
          </w:rPr>
          <w:tab/>
        </w:r>
        <w:r w:rsidR="009D7FAB" w:rsidRPr="00386A3A">
          <w:rPr>
            <w:rStyle w:val="Hyperlink"/>
            <w:noProof/>
          </w:rPr>
          <w:t>Budget measures</w:t>
        </w:r>
        <w:r w:rsidR="009D7FAB">
          <w:rPr>
            <w:noProof/>
            <w:webHidden/>
          </w:rPr>
          <w:tab/>
        </w:r>
        <w:r w:rsidR="009D7FAB">
          <w:rPr>
            <w:noProof/>
            <w:webHidden/>
          </w:rPr>
          <w:fldChar w:fldCharType="begin"/>
        </w:r>
        <w:r w:rsidR="009D7FAB">
          <w:rPr>
            <w:noProof/>
            <w:webHidden/>
          </w:rPr>
          <w:instrText xml:space="preserve"> PAGEREF _Toc117027157 \h </w:instrText>
        </w:r>
        <w:r w:rsidR="009D7FAB">
          <w:rPr>
            <w:noProof/>
            <w:webHidden/>
          </w:rPr>
        </w:r>
        <w:r w:rsidR="009D7FAB">
          <w:rPr>
            <w:noProof/>
            <w:webHidden/>
          </w:rPr>
          <w:fldChar w:fldCharType="separate"/>
        </w:r>
        <w:r w:rsidR="009428F5">
          <w:rPr>
            <w:noProof/>
            <w:webHidden/>
          </w:rPr>
          <w:t>19</w:t>
        </w:r>
        <w:r w:rsidR="009D7FAB">
          <w:rPr>
            <w:noProof/>
            <w:webHidden/>
          </w:rPr>
          <w:fldChar w:fldCharType="end"/>
        </w:r>
      </w:hyperlink>
    </w:p>
    <w:p w14:paraId="54C75082" w14:textId="49381CE4" w:rsidR="009D7FAB" w:rsidRDefault="00BB564F">
      <w:pPr>
        <w:pStyle w:val="TOC1"/>
        <w:rPr>
          <w:rFonts w:asciiTheme="minorHAnsi" w:eastAsiaTheme="minorEastAsia" w:hAnsiTheme="minorHAnsi" w:cstheme="minorBidi"/>
          <w:b w:val="0"/>
          <w:noProof/>
          <w:sz w:val="22"/>
          <w:szCs w:val="22"/>
        </w:rPr>
      </w:pPr>
      <w:hyperlink w:anchor="_Toc117027158" w:history="1">
        <w:r w:rsidR="009D7FAB" w:rsidRPr="00386A3A">
          <w:rPr>
            <w:rStyle w:val="Hyperlink"/>
            <w:noProof/>
          </w:rPr>
          <w:t>Section 2: Outcomes and planned performance</w:t>
        </w:r>
        <w:r w:rsidR="009D7FAB">
          <w:rPr>
            <w:noProof/>
            <w:webHidden/>
          </w:rPr>
          <w:tab/>
        </w:r>
        <w:r w:rsidR="009D7FAB">
          <w:rPr>
            <w:noProof/>
            <w:webHidden/>
          </w:rPr>
          <w:fldChar w:fldCharType="begin"/>
        </w:r>
        <w:r w:rsidR="009D7FAB">
          <w:rPr>
            <w:noProof/>
            <w:webHidden/>
          </w:rPr>
          <w:instrText xml:space="preserve"> PAGEREF _Toc117027158 \h </w:instrText>
        </w:r>
        <w:r w:rsidR="009D7FAB">
          <w:rPr>
            <w:noProof/>
            <w:webHidden/>
          </w:rPr>
        </w:r>
        <w:r w:rsidR="009D7FAB">
          <w:rPr>
            <w:noProof/>
            <w:webHidden/>
          </w:rPr>
          <w:fldChar w:fldCharType="separate"/>
        </w:r>
        <w:r w:rsidR="009428F5">
          <w:rPr>
            <w:noProof/>
            <w:webHidden/>
          </w:rPr>
          <w:t>21</w:t>
        </w:r>
        <w:r w:rsidR="009D7FAB">
          <w:rPr>
            <w:noProof/>
            <w:webHidden/>
          </w:rPr>
          <w:fldChar w:fldCharType="end"/>
        </w:r>
      </w:hyperlink>
    </w:p>
    <w:p w14:paraId="7D685C4C" w14:textId="423C90ED" w:rsidR="009D7FAB" w:rsidRDefault="00BB564F">
      <w:pPr>
        <w:pStyle w:val="TOC2"/>
        <w:rPr>
          <w:rFonts w:asciiTheme="minorHAnsi" w:eastAsiaTheme="minorEastAsia" w:hAnsiTheme="minorHAnsi" w:cstheme="minorBidi"/>
          <w:noProof/>
          <w:sz w:val="22"/>
          <w:szCs w:val="22"/>
        </w:rPr>
      </w:pPr>
      <w:hyperlink w:anchor="_Toc117027159" w:history="1">
        <w:r w:rsidR="009D7FAB" w:rsidRPr="00386A3A">
          <w:rPr>
            <w:rStyle w:val="Hyperlink"/>
            <w:noProof/>
          </w:rPr>
          <w:t xml:space="preserve">2.1 </w:t>
        </w:r>
        <w:r w:rsidR="009D7FAB">
          <w:rPr>
            <w:rFonts w:asciiTheme="minorHAnsi" w:eastAsiaTheme="minorEastAsia" w:hAnsiTheme="minorHAnsi" w:cstheme="minorBidi"/>
            <w:noProof/>
            <w:sz w:val="22"/>
            <w:szCs w:val="22"/>
          </w:rPr>
          <w:tab/>
        </w:r>
        <w:r w:rsidR="009D7FAB" w:rsidRPr="00386A3A">
          <w:rPr>
            <w:rStyle w:val="Hyperlink"/>
            <w:noProof/>
          </w:rPr>
          <w:t>Budgeted expenses and performance for Outcome 1</w:t>
        </w:r>
        <w:r w:rsidR="009D7FAB">
          <w:rPr>
            <w:noProof/>
            <w:webHidden/>
          </w:rPr>
          <w:tab/>
        </w:r>
        <w:r w:rsidR="009D7FAB">
          <w:rPr>
            <w:noProof/>
            <w:webHidden/>
          </w:rPr>
          <w:fldChar w:fldCharType="begin"/>
        </w:r>
        <w:r w:rsidR="009D7FAB">
          <w:rPr>
            <w:noProof/>
            <w:webHidden/>
          </w:rPr>
          <w:instrText xml:space="preserve"> PAGEREF _Toc117027159 \h </w:instrText>
        </w:r>
        <w:r w:rsidR="009D7FAB">
          <w:rPr>
            <w:noProof/>
            <w:webHidden/>
          </w:rPr>
        </w:r>
        <w:r w:rsidR="009D7FAB">
          <w:rPr>
            <w:noProof/>
            <w:webHidden/>
          </w:rPr>
          <w:fldChar w:fldCharType="separate"/>
        </w:r>
        <w:r w:rsidR="009428F5">
          <w:rPr>
            <w:noProof/>
            <w:webHidden/>
          </w:rPr>
          <w:t>22</w:t>
        </w:r>
        <w:r w:rsidR="009D7FAB">
          <w:rPr>
            <w:noProof/>
            <w:webHidden/>
          </w:rPr>
          <w:fldChar w:fldCharType="end"/>
        </w:r>
      </w:hyperlink>
    </w:p>
    <w:p w14:paraId="27A9BDFB" w14:textId="4EE11F37" w:rsidR="009D7FAB" w:rsidRDefault="00BB564F">
      <w:pPr>
        <w:pStyle w:val="TOC2"/>
        <w:rPr>
          <w:rFonts w:asciiTheme="minorHAnsi" w:eastAsiaTheme="minorEastAsia" w:hAnsiTheme="minorHAnsi" w:cstheme="minorBidi"/>
          <w:noProof/>
          <w:sz w:val="22"/>
          <w:szCs w:val="22"/>
        </w:rPr>
      </w:pPr>
      <w:hyperlink w:anchor="_Toc117027160" w:history="1">
        <w:r w:rsidR="009D7FAB" w:rsidRPr="00386A3A">
          <w:rPr>
            <w:rStyle w:val="Hyperlink"/>
            <w:noProof/>
          </w:rPr>
          <w:t xml:space="preserve">2.2 </w:t>
        </w:r>
        <w:r w:rsidR="009D7FAB">
          <w:rPr>
            <w:rFonts w:asciiTheme="minorHAnsi" w:eastAsiaTheme="minorEastAsia" w:hAnsiTheme="minorHAnsi" w:cstheme="minorBidi"/>
            <w:noProof/>
            <w:sz w:val="22"/>
            <w:szCs w:val="22"/>
          </w:rPr>
          <w:tab/>
        </w:r>
        <w:r w:rsidR="009D7FAB" w:rsidRPr="00386A3A">
          <w:rPr>
            <w:rStyle w:val="Hyperlink"/>
            <w:noProof/>
          </w:rPr>
          <w:t>Budgeted expenses and performance for Outcome 2</w:t>
        </w:r>
        <w:r w:rsidR="009D7FAB">
          <w:rPr>
            <w:noProof/>
            <w:webHidden/>
          </w:rPr>
          <w:tab/>
        </w:r>
        <w:r w:rsidR="009D7FAB">
          <w:rPr>
            <w:noProof/>
            <w:webHidden/>
          </w:rPr>
          <w:fldChar w:fldCharType="begin"/>
        </w:r>
        <w:r w:rsidR="009D7FAB">
          <w:rPr>
            <w:noProof/>
            <w:webHidden/>
          </w:rPr>
          <w:instrText xml:space="preserve"> PAGEREF _Toc117027160 \h </w:instrText>
        </w:r>
        <w:r w:rsidR="009D7FAB">
          <w:rPr>
            <w:noProof/>
            <w:webHidden/>
          </w:rPr>
        </w:r>
        <w:r w:rsidR="009D7FAB">
          <w:rPr>
            <w:noProof/>
            <w:webHidden/>
          </w:rPr>
          <w:fldChar w:fldCharType="separate"/>
        </w:r>
        <w:r w:rsidR="009428F5">
          <w:rPr>
            <w:noProof/>
            <w:webHidden/>
          </w:rPr>
          <w:t>26</w:t>
        </w:r>
        <w:r w:rsidR="009D7FAB">
          <w:rPr>
            <w:noProof/>
            <w:webHidden/>
          </w:rPr>
          <w:fldChar w:fldCharType="end"/>
        </w:r>
      </w:hyperlink>
    </w:p>
    <w:p w14:paraId="35EA0F17" w14:textId="59090342" w:rsidR="009D7FAB" w:rsidRDefault="00BB564F">
      <w:pPr>
        <w:pStyle w:val="TOC2"/>
        <w:rPr>
          <w:rFonts w:asciiTheme="minorHAnsi" w:eastAsiaTheme="minorEastAsia" w:hAnsiTheme="minorHAnsi" w:cstheme="minorBidi"/>
          <w:noProof/>
          <w:sz w:val="22"/>
          <w:szCs w:val="22"/>
        </w:rPr>
      </w:pPr>
      <w:hyperlink w:anchor="_Toc117027161" w:history="1">
        <w:r w:rsidR="009D7FAB" w:rsidRPr="00386A3A">
          <w:rPr>
            <w:rStyle w:val="Hyperlink"/>
            <w:noProof/>
          </w:rPr>
          <w:t xml:space="preserve">2.3 </w:t>
        </w:r>
        <w:r w:rsidR="009D7FAB">
          <w:rPr>
            <w:rFonts w:asciiTheme="minorHAnsi" w:eastAsiaTheme="minorEastAsia" w:hAnsiTheme="minorHAnsi" w:cstheme="minorBidi"/>
            <w:noProof/>
            <w:sz w:val="22"/>
            <w:szCs w:val="22"/>
          </w:rPr>
          <w:tab/>
        </w:r>
        <w:r w:rsidR="009D7FAB" w:rsidRPr="00386A3A">
          <w:rPr>
            <w:rStyle w:val="Hyperlink"/>
            <w:noProof/>
          </w:rPr>
          <w:t>Budgeted expenses and performance for Outcome 3</w:t>
        </w:r>
        <w:r w:rsidR="009D7FAB">
          <w:rPr>
            <w:noProof/>
            <w:webHidden/>
          </w:rPr>
          <w:tab/>
        </w:r>
        <w:r w:rsidR="009D7FAB">
          <w:rPr>
            <w:noProof/>
            <w:webHidden/>
          </w:rPr>
          <w:fldChar w:fldCharType="begin"/>
        </w:r>
        <w:r w:rsidR="009D7FAB">
          <w:rPr>
            <w:noProof/>
            <w:webHidden/>
          </w:rPr>
          <w:instrText xml:space="preserve"> PAGEREF _Toc117027161 \h </w:instrText>
        </w:r>
        <w:r w:rsidR="009D7FAB">
          <w:rPr>
            <w:noProof/>
            <w:webHidden/>
          </w:rPr>
        </w:r>
        <w:r w:rsidR="009D7FAB">
          <w:rPr>
            <w:noProof/>
            <w:webHidden/>
          </w:rPr>
          <w:fldChar w:fldCharType="separate"/>
        </w:r>
        <w:r w:rsidR="009428F5">
          <w:rPr>
            <w:noProof/>
            <w:webHidden/>
          </w:rPr>
          <w:t>55</w:t>
        </w:r>
        <w:r w:rsidR="009D7FAB">
          <w:rPr>
            <w:noProof/>
            <w:webHidden/>
          </w:rPr>
          <w:fldChar w:fldCharType="end"/>
        </w:r>
      </w:hyperlink>
    </w:p>
    <w:p w14:paraId="6F51B514" w14:textId="217BE86F" w:rsidR="009D7FAB" w:rsidRDefault="00BB564F">
      <w:pPr>
        <w:pStyle w:val="TOC1"/>
        <w:rPr>
          <w:rFonts w:asciiTheme="minorHAnsi" w:eastAsiaTheme="minorEastAsia" w:hAnsiTheme="minorHAnsi" w:cstheme="minorBidi"/>
          <w:b w:val="0"/>
          <w:noProof/>
          <w:sz w:val="22"/>
          <w:szCs w:val="22"/>
        </w:rPr>
      </w:pPr>
      <w:hyperlink w:anchor="_Toc117027162" w:history="1">
        <w:r w:rsidR="009D7FAB" w:rsidRPr="00386A3A">
          <w:rPr>
            <w:rStyle w:val="Hyperlink"/>
            <w:noProof/>
          </w:rPr>
          <w:t>Section 3: Budgeted financial statements</w:t>
        </w:r>
        <w:r w:rsidR="009D7FAB">
          <w:rPr>
            <w:noProof/>
            <w:webHidden/>
          </w:rPr>
          <w:tab/>
        </w:r>
        <w:r w:rsidR="009D7FAB">
          <w:rPr>
            <w:noProof/>
            <w:webHidden/>
          </w:rPr>
          <w:fldChar w:fldCharType="begin"/>
        </w:r>
        <w:r w:rsidR="009D7FAB">
          <w:rPr>
            <w:noProof/>
            <w:webHidden/>
          </w:rPr>
          <w:instrText xml:space="preserve"> PAGEREF _Toc117027162 \h </w:instrText>
        </w:r>
        <w:r w:rsidR="009D7FAB">
          <w:rPr>
            <w:noProof/>
            <w:webHidden/>
          </w:rPr>
        </w:r>
        <w:r w:rsidR="009D7FAB">
          <w:rPr>
            <w:noProof/>
            <w:webHidden/>
          </w:rPr>
          <w:fldChar w:fldCharType="separate"/>
        </w:r>
        <w:r w:rsidR="009428F5">
          <w:rPr>
            <w:noProof/>
            <w:webHidden/>
          </w:rPr>
          <w:t>60</w:t>
        </w:r>
        <w:r w:rsidR="009D7FAB">
          <w:rPr>
            <w:noProof/>
            <w:webHidden/>
          </w:rPr>
          <w:fldChar w:fldCharType="end"/>
        </w:r>
      </w:hyperlink>
    </w:p>
    <w:p w14:paraId="2C9CA44C" w14:textId="2C952C8D" w:rsidR="009D7FAB" w:rsidRDefault="00BB564F">
      <w:pPr>
        <w:pStyle w:val="TOC2"/>
        <w:rPr>
          <w:rFonts w:asciiTheme="minorHAnsi" w:eastAsiaTheme="minorEastAsia" w:hAnsiTheme="minorHAnsi" w:cstheme="minorBidi"/>
          <w:noProof/>
          <w:sz w:val="22"/>
          <w:szCs w:val="22"/>
        </w:rPr>
      </w:pPr>
      <w:hyperlink w:anchor="_Toc117027163" w:history="1">
        <w:r w:rsidR="009D7FAB" w:rsidRPr="00386A3A">
          <w:rPr>
            <w:rStyle w:val="Hyperlink"/>
            <w:noProof/>
          </w:rPr>
          <w:t>3.1</w:t>
        </w:r>
        <w:r w:rsidR="009D7FAB">
          <w:rPr>
            <w:rFonts w:asciiTheme="minorHAnsi" w:eastAsiaTheme="minorEastAsia" w:hAnsiTheme="minorHAnsi" w:cstheme="minorBidi"/>
            <w:noProof/>
            <w:sz w:val="22"/>
            <w:szCs w:val="22"/>
          </w:rPr>
          <w:tab/>
        </w:r>
        <w:r w:rsidR="009D7FAB" w:rsidRPr="00386A3A">
          <w:rPr>
            <w:rStyle w:val="Hyperlink"/>
            <w:noProof/>
          </w:rPr>
          <w:t>Budgeted financial statements</w:t>
        </w:r>
        <w:r w:rsidR="009D7FAB">
          <w:rPr>
            <w:noProof/>
            <w:webHidden/>
          </w:rPr>
          <w:tab/>
        </w:r>
        <w:r w:rsidR="009D7FAB">
          <w:rPr>
            <w:noProof/>
            <w:webHidden/>
          </w:rPr>
          <w:fldChar w:fldCharType="begin"/>
        </w:r>
        <w:r w:rsidR="009D7FAB">
          <w:rPr>
            <w:noProof/>
            <w:webHidden/>
          </w:rPr>
          <w:instrText xml:space="preserve"> PAGEREF _Toc117027163 \h </w:instrText>
        </w:r>
        <w:r w:rsidR="009D7FAB">
          <w:rPr>
            <w:noProof/>
            <w:webHidden/>
          </w:rPr>
        </w:r>
        <w:r w:rsidR="009D7FAB">
          <w:rPr>
            <w:noProof/>
            <w:webHidden/>
          </w:rPr>
          <w:fldChar w:fldCharType="separate"/>
        </w:r>
        <w:r w:rsidR="009428F5">
          <w:rPr>
            <w:noProof/>
            <w:webHidden/>
          </w:rPr>
          <w:t>60</w:t>
        </w:r>
        <w:r w:rsidR="009D7FAB">
          <w:rPr>
            <w:noProof/>
            <w:webHidden/>
          </w:rPr>
          <w:fldChar w:fldCharType="end"/>
        </w:r>
      </w:hyperlink>
    </w:p>
    <w:p w14:paraId="1057BDF8" w14:textId="757372F1" w:rsidR="009D7FAB" w:rsidRDefault="00BB564F">
      <w:pPr>
        <w:pStyle w:val="TOC2"/>
        <w:rPr>
          <w:rFonts w:asciiTheme="minorHAnsi" w:eastAsiaTheme="minorEastAsia" w:hAnsiTheme="minorHAnsi" w:cstheme="minorBidi"/>
          <w:noProof/>
          <w:sz w:val="22"/>
          <w:szCs w:val="22"/>
        </w:rPr>
      </w:pPr>
      <w:hyperlink w:anchor="_Toc117027164" w:history="1">
        <w:r w:rsidR="009D7FAB" w:rsidRPr="00386A3A">
          <w:rPr>
            <w:rStyle w:val="Hyperlink"/>
            <w:noProof/>
          </w:rPr>
          <w:t>3.2</w:t>
        </w:r>
        <w:r w:rsidR="009D7FAB">
          <w:rPr>
            <w:rFonts w:asciiTheme="minorHAnsi" w:eastAsiaTheme="minorEastAsia" w:hAnsiTheme="minorHAnsi" w:cstheme="minorBidi"/>
            <w:noProof/>
            <w:sz w:val="22"/>
            <w:szCs w:val="22"/>
          </w:rPr>
          <w:tab/>
        </w:r>
        <w:r w:rsidR="009D7FAB" w:rsidRPr="00386A3A">
          <w:rPr>
            <w:rStyle w:val="Hyperlink"/>
            <w:noProof/>
          </w:rPr>
          <w:t>Budgeted financial statements tables</w:t>
        </w:r>
        <w:r w:rsidR="009D7FAB">
          <w:rPr>
            <w:noProof/>
            <w:webHidden/>
          </w:rPr>
          <w:tab/>
        </w:r>
        <w:r w:rsidR="009D7FAB">
          <w:rPr>
            <w:noProof/>
            <w:webHidden/>
          </w:rPr>
          <w:fldChar w:fldCharType="begin"/>
        </w:r>
        <w:r w:rsidR="009D7FAB">
          <w:rPr>
            <w:noProof/>
            <w:webHidden/>
          </w:rPr>
          <w:instrText xml:space="preserve"> PAGEREF _Toc117027164 \h </w:instrText>
        </w:r>
        <w:r w:rsidR="009D7FAB">
          <w:rPr>
            <w:noProof/>
            <w:webHidden/>
          </w:rPr>
        </w:r>
        <w:r w:rsidR="009D7FAB">
          <w:rPr>
            <w:noProof/>
            <w:webHidden/>
          </w:rPr>
          <w:fldChar w:fldCharType="separate"/>
        </w:r>
        <w:r w:rsidR="009428F5">
          <w:rPr>
            <w:noProof/>
            <w:webHidden/>
          </w:rPr>
          <w:t>62</w:t>
        </w:r>
        <w:r w:rsidR="009D7FAB">
          <w:rPr>
            <w:noProof/>
            <w:webHidden/>
          </w:rPr>
          <w:fldChar w:fldCharType="end"/>
        </w:r>
      </w:hyperlink>
    </w:p>
    <w:p w14:paraId="2BB49B1F" w14:textId="7A6E50CF" w:rsidR="00D6631A" w:rsidRDefault="00915F49" w:rsidP="00D6631A">
      <w:pPr>
        <w:pStyle w:val="TOC1"/>
      </w:pPr>
      <w:r>
        <w:fldChar w:fldCharType="end"/>
      </w:r>
    </w:p>
    <w:p w14:paraId="55998C15" w14:textId="1056F254" w:rsidR="00257FF4" w:rsidRPr="00D6631A" w:rsidRDefault="00D6631A" w:rsidP="00D6631A">
      <w:pPr>
        <w:tabs>
          <w:tab w:val="left" w:pos="585"/>
        </w:tabs>
        <w:sectPr w:rsidR="00257FF4" w:rsidRPr="00D6631A" w:rsidSect="003606D1">
          <w:footerReference w:type="first" r:id="rId16"/>
          <w:type w:val="oddPage"/>
          <w:pgSz w:w="11906" w:h="16838" w:code="9"/>
          <w:pgMar w:top="2835" w:right="2098" w:bottom="2466" w:left="2098" w:header="1814" w:footer="1814" w:gutter="0"/>
          <w:cols w:space="708"/>
          <w:titlePg/>
          <w:docGrid w:linePitch="360"/>
        </w:sectPr>
      </w:pPr>
      <w:r>
        <w:tab/>
      </w:r>
    </w:p>
    <w:p w14:paraId="2239DF91" w14:textId="4F856CF0" w:rsidR="00257FF4" w:rsidRDefault="00257FF4" w:rsidP="00834F9A">
      <w:pPr>
        <w:pStyle w:val="Heading1"/>
      </w:pPr>
      <w:bookmarkStart w:id="2" w:name="_Toc116465544"/>
      <w:bookmarkStart w:id="3" w:name="FINANCE"/>
      <w:r>
        <w:lastRenderedPageBreak/>
        <w:t xml:space="preserve">Department of </w:t>
      </w:r>
      <w:r w:rsidR="004C63EA">
        <w:t>Finance</w:t>
      </w:r>
      <w:bookmarkEnd w:id="2"/>
    </w:p>
    <w:p w14:paraId="2239DF92" w14:textId="77777777" w:rsidR="00257FF4" w:rsidRPr="002C4D41" w:rsidRDefault="00257FF4" w:rsidP="00257FF4">
      <w:pPr>
        <w:pStyle w:val="Heading2"/>
      </w:pPr>
      <w:bookmarkStart w:id="4" w:name="_Toc190682308"/>
      <w:bookmarkStart w:id="5" w:name="_Toc190682526"/>
      <w:bookmarkStart w:id="6" w:name="_Toc444523508"/>
      <w:bookmarkStart w:id="7" w:name="_Toc116742490"/>
      <w:bookmarkStart w:id="8" w:name="_Toc117027154"/>
      <w:bookmarkStart w:id="9" w:name="_Toc117070780"/>
      <w:bookmarkStart w:id="10" w:name="_Toc117071034"/>
      <w:bookmarkStart w:id="11" w:name="_Toc117078068"/>
      <w:r w:rsidRPr="002C4D41">
        <w:t xml:space="preserve">Section 1: </w:t>
      </w:r>
      <w:r w:rsidR="007E6BBD" w:rsidRPr="002C4D41">
        <w:t xml:space="preserve">Entity </w:t>
      </w:r>
      <w:r w:rsidR="00605163" w:rsidRPr="002C4D41">
        <w:t xml:space="preserve">overview and </w:t>
      </w:r>
      <w:r w:rsidR="006B59AD">
        <w:t>reso</w:t>
      </w:r>
      <w:r w:rsidR="00605163" w:rsidRPr="002C4D41">
        <w:t>urces</w:t>
      </w:r>
      <w:bookmarkEnd w:id="4"/>
      <w:bookmarkEnd w:id="5"/>
      <w:bookmarkEnd w:id="6"/>
      <w:bookmarkEnd w:id="7"/>
      <w:bookmarkEnd w:id="8"/>
      <w:bookmarkEnd w:id="9"/>
      <w:bookmarkEnd w:id="10"/>
      <w:bookmarkEnd w:id="11"/>
    </w:p>
    <w:p w14:paraId="2239DF93" w14:textId="77777777" w:rsidR="00257FF4" w:rsidRDefault="00257FF4" w:rsidP="00257FF4">
      <w:pPr>
        <w:pStyle w:val="Heading3"/>
      </w:pPr>
      <w:bookmarkStart w:id="12" w:name="_Toc190682309"/>
      <w:bookmarkStart w:id="13" w:name="_Toc190682527"/>
      <w:bookmarkStart w:id="14" w:name="_Toc444523509"/>
      <w:bookmarkStart w:id="15" w:name="_Toc116742491"/>
      <w:bookmarkStart w:id="16" w:name="_Toc117027155"/>
      <w:bookmarkStart w:id="17" w:name="_Toc117070781"/>
      <w:bookmarkStart w:id="18" w:name="_Toc117071035"/>
      <w:bookmarkStart w:id="19" w:name="_Toc117078069"/>
      <w:r>
        <w:t>1.1</w:t>
      </w:r>
      <w:r>
        <w:tab/>
        <w:t xml:space="preserve">Strategic </w:t>
      </w:r>
      <w:r w:rsidR="00D81071">
        <w:t>direction</w:t>
      </w:r>
      <w:bookmarkEnd w:id="12"/>
      <w:bookmarkEnd w:id="13"/>
      <w:r w:rsidR="00D81071">
        <w:t xml:space="preserve"> </w:t>
      </w:r>
      <w:r w:rsidR="00605163">
        <w:t>statement</w:t>
      </w:r>
      <w:bookmarkEnd w:id="14"/>
      <w:bookmarkEnd w:id="15"/>
      <w:bookmarkEnd w:id="16"/>
      <w:bookmarkEnd w:id="17"/>
      <w:bookmarkEnd w:id="18"/>
      <w:bookmarkEnd w:id="19"/>
    </w:p>
    <w:p w14:paraId="4D6052FA" w14:textId="77777777" w:rsidR="00FF7133" w:rsidRPr="00F717BF" w:rsidRDefault="00FF7133" w:rsidP="00FF7133">
      <w:pPr>
        <w:autoSpaceDE w:val="0"/>
        <w:autoSpaceDN w:val="0"/>
        <w:spacing w:before="0" w:after="200" w:line="240" w:lineRule="auto"/>
        <w:contextualSpacing/>
        <w:jc w:val="both"/>
        <w:rPr>
          <w:rFonts w:eastAsia="Calibri"/>
          <w:lang w:val="en-US"/>
        </w:rPr>
      </w:pPr>
      <w:bookmarkStart w:id="20" w:name="_Toc190682310"/>
      <w:bookmarkStart w:id="21" w:name="_Toc190682528"/>
      <w:bookmarkStart w:id="22" w:name="_Toc444523510"/>
    </w:p>
    <w:p w14:paraId="00CF5BA9" w14:textId="77777777" w:rsidR="008F1E0E" w:rsidRDefault="008F1E0E" w:rsidP="008F1E0E">
      <w:r>
        <w:t xml:space="preserve">The Department of Finance’s (Finance) purpose is to assist the Government to achieve its fiscal and policy objectives by advising on expenditure, providing effective governance and stewardship of public sector resourcing and reporting, driving public sector transformation, and delivering efficient, cost-effective services to, and for, government. </w:t>
      </w:r>
    </w:p>
    <w:p w14:paraId="2DFC0995" w14:textId="145807CD" w:rsidR="008F1E0E" w:rsidRDefault="008F1E0E" w:rsidP="008F1E0E">
      <w:r>
        <w:t>Our work supports sustainable Australian Government finances, an efficient and high performing public sector and</w:t>
      </w:r>
      <w:r w:rsidR="00C92E3C">
        <w:t xml:space="preserve"> supports</w:t>
      </w:r>
      <w:r>
        <w:t xml:space="preserve"> parliamentarians and others</w:t>
      </w:r>
      <w:r w:rsidR="00C92E3C">
        <w:t xml:space="preserve"> as required by the Australian Government</w:t>
      </w:r>
      <w:r>
        <w:t xml:space="preserve">. </w:t>
      </w:r>
    </w:p>
    <w:p w14:paraId="390872E5" w14:textId="080788AC" w:rsidR="008F1E0E" w:rsidRDefault="008F1E0E" w:rsidP="008F1E0E">
      <w:r>
        <w:t>Finance achieves this by providing considered and meaningful policy, budgetary and financial advice and administration, fostering leadership in public sector governance and accountability, the delivering of professional services, and promoting a whole-of-government approach to data and digital policy coordination and regulatory policy and reform. Finance supports entities across the A</w:t>
      </w:r>
      <w:r w:rsidR="002076B4">
        <w:t xml:space="preserve">ustralian </w:t>
      </w:r>
      <w:r>
        <w:t>P</w:t>
      </w:r>
      <w:r w:rsidR="002076B4">
        <w:t xml:space="preserve">ublic </w:t>
      </w:r>
      <w:r>
        <w:t>S</w:t>
      </w:r>
      <w:r w:rsidR="002076B4">
        <w:t>ervice (APS)</w:t>
      </w:r>
      <w:r>
        <w:t xml:space="preserve"> to achieve their objectives, to improve outcomes for the Government and the Australian community. </w:t>
      </w:r>
    </w:p>
    <w:p w14:paraId="142C9166" w14:textId="77777777" w:rsidR="008F1E0E" w:rsidRDefault="008F1E0E" w:rsidP="00BC1269">
      <w:pPr>
        <w:contextualSpacing/>
      </w:pPr>
      <w:r>
        <w:t xml:space="preserve">Our priorities to achieve this over 2022-23 include: </w:t>
      </w:r>
    </w:p>
    <w:p w14:paraId="12D54981" w14:textId="549D877D" w:rsidR="006610FF" w:rsidRPr="006610FF" w:rsidRDefault="006610FF" w:rsidP="00C8474A">
      <w:pPr>
        <w:pStyle w:val="Exampletextbullet"/>
        <w:numPr>
          <w:ilvl w:val="0"/>
          <w:numId w:val="79"/>
        </w:numPr>
        <w:ind w:left="400"/>
        <w:contextualSpacing/>
        <w:rPr>
          <w:i w:val="0"/>
          <w:color w:val="auto"/>
        </w:rPr>
      </w:pPr>
      <w:r w:rsidRPr="006610FF">
        <w:rPr>
          <w:i w:val="0"/>
          <w:color w:val="auto"/>
        </w:rPr>
        <w:t>Supporting the delivery of the Budget and key economic updates</w:t>
      </w:r>
      <w:r w:rsidR="00C67F8C">
        <w:rPr>
          <w:i w:val="0"/>
          <w:color w:val="auto"/>
          <w:lang w:val="en-AU"/>
        </w:rPr>
        <w:t>.</w:t>
      </w:r>
    </w:p>
    <w:p w14:paraId="13F115EA" w14:textId="492E7C49" w:rsidR="009453AF" w:rsidRPr="006610FF" w:rsidRDefault="006610FF" w:rsidP="00C8474A">
      <w:pPr>
        <w:pStyle w:val="Exampletextbullet"/>
        <w:numPr>
          <w:ilvl w:val="0"/>
          <w:numId w:val="79"/>
        </w:numPr>
        <w:ind w:left="400"/>
        <w:contextualSpacing/>
        <w:rPr>
          <w:i w:val="0"/>
          <w:color w:val="auto"/>
        </w:rPr>
      </w:pPr>
      <w:r>
        <w:rPr>
          <w:i w:val="0"/>
          <w:color w:val="auto"/>
          <w:lang w:val="en-AU"/>
        </w:rPr>
        <w:t>Establishing a Future Made in Australia Office</w:t>
      </w:r>
      <w:r w:rsidR="00C67F8C">
        <w:rPr>
          <w:i w:val="0"/>
          <w:color w:val="auto"/>
          <w:lang w:val="en-AU"/>
        </w:rPr>
        <w:t>.</w:t>
      </w:r>
    </w:p>
    <w:p w14:paraId="7DEFACE4" w14:textId="5F02C2C6" w:rsidR="006610FF" w:rsidRPr="00BC1269" w:rsidRDefault="006610FF" w:rsidP="00C8474A">
      <w:pPr>
        <w:pStyle w:val="Exampletextbullet"/>
        <w:numPr>
          <w:ilvl w:val="0"/>
          <w:numId w:val="79"/>
        </w:numPr>
        <w:ind w:left="400"/>
        <w:contextualSpacing/>
        <w:rPr>
          <w:i w:val="0"/>
          <w:color w:val="auto"/>
        </w:rPr>
      </w:pPr>
      <w:r>
        <w:rPr>
          <w:i w:val="0"/>
          <w:color w:val="auto"/>
        </w:rPr>
        <w:t xml:space="preserve">Conducting the </w:t>
      </w:r>
      <w:r>
        <w:rPr>
          <w:i w:val="0"/>
          <w:color w:val="auto"/>
          <w:lang w:val="en-AU"/>
        </w:rPr>
        <w:t xml:space="preserve">Government Spending Audit </w:t>
      </w:r>
      <w:r>
        <w:rPr>
          <w:i w:val="0"/>
          <w:color w:val="auto"/>
        </w:rPr>
        <w:t>and Audit of E</w:t>
      </w:r>
      <w:r w:rsidR="002A79D5">
        <w:rPr>
          <w:i w:val="0"/>
          <w:color w:val="auto"/>
        </w:rPr>
        <w:t>mployment within the APS</w:t>
      </w:r>
      <w:r w:rsidR="00C67F8C">
        <w:rPr>
          <w:i w:val="0"/>
          <w:color w:val="auto"/>
          <w:lang w:val="en-AU"/>
        </w:rPr>
        <w:t>.</w:t>
      </w:r>
    </w:p>
    <w:p w14:paraId="1D896AD9" w14:textId="340B3583" w:rsidR="006610FF" w:rsidRPr="00BC1269" w:rsidRDefault="006610FF" w:rsidP="00C8474A">
      <w:pPr>
        <w:pStyle w:val="Exampletextbullet"/>
        <w:numPr>
          <w:ilvl w:val="0"/>
          <w:numId w:val="79"/>
        </w:numPr>
        <w:ind w:left="400"/>
        <w:contextualSpacing/>
        <w:rPr>
          <w:i w:val="0"/>
          <w:color w:val="auto"/>
        </w:rPr>
      </w:pPr>
      <w:r w:rsidRPr="00BC1269">
        <w:rPr>
          <w:i w:val="0"/>
          <w:color w:val="auto"/>
        </w:rPr>
        <w:t xml:space="preserve">Working with agencies to support commercial investment decisions </w:t>
      </w:r>
      <w:r>
        <w:rPr>
          <w:i w:val="0"/>
          <w:color w:val="auto"/>
          <w:lang w:val="en-AU"/>
        </w:rPr>
        <w:t xml:space="preserve">and major transactions including </w:t>
      </w:r>
      <w:r w:rsidR="00105E1A" w:rsidRPr="00BC1269">
        <w:rPr>
          <w:i w:val="0"/>
          <w:color w:val="auto"/>
        </w:rPr>
        <w:t>supporting key secto</w:t>
      </w:r>
      <w:r w:rsidR="00105E1A">
        <w:rPr>
          <w:i w:val="0"/>
          <w:color w:val="auto"/>
        </w:rPr>
        <w:t xml:space="preserve">rs in South East Asia/Pacific, </w:t>
      </w:r>
      <w:r w:rsidR="00105E1A">
        <w:rPr>
          <w:i w:val="0"/>
          <w:color w:val="auto"/>
          <w:lang w:val="en-AU"/>
        </w:rPr>
        <w:t xml:space="preserve">Australia’s Nuclear Science and </w:t>
      </w:r>
      <w:r w:rsidR="00105E1A">
        <w:rPr>
          <w:i w:val="0"/>
          <w:color w:val="auto"/>
        </w:rPr>
        <w:t>Technology Organisation</w:t>
      </w:r>
      <w:r w:rsidR="00105E1A" w:rsidRPr="00BC1269">
        <w:rPr>
          <w:i w:val="0"/>
          <w:color w:val="auto"/>
        </w:rPr>
        <w:t xml:space="preserve"> and Defence Capabilities including submar</w:t>
      </w:r>
      <w:r w:rsidR="00105E1A">
        <w:rPr>
          <w:i w:val="0"/>
          <w:color w:val="auto"/>
        </w:rPr>
        <w:t>ines and related infrastructure</w:t>
      </w:r>
      <w:r w:rsidR="00C67F8C">
        <w:rPr>
          <w:i w:val="0"/>
          <w:color w:val="auto"/>
          <w:lang w:val="en-AU"/>
        </w:rPr>
        <w:t>.</w:t>
      </w:r>
    </w:p>
    <w:p w14:paraId="390F3E81" w14:textId="47CBD307" w:rsidR="006610FF" w:rsidRPr="00BC1269" w:rsidRDefault="006610FF" w:rsidP="00C8474A">
      <w:pPr>
        <w:pStyle w:val="Exampletextbullet"/>
        <w:numPr>
          <w:ilvl w:val="0"/>
          <w:numId w:val="79"/>
        </w:numPr>
        <w:ind w:left="400"/>
        <w:contextualSpacing/>
        <w:rPr>
          <w:i w:val="0"/>
          <w:color w:val="auto"/>
        </w:rPr>
      </w:pPr>
      <w:r w:rsidRPr="00BC1269">
        <w:rPr>
          <w:i w:val="0"/>
          <w:color w:val="auto"/>
        </w:rPr>
        <w:t xml:space="preserve">Establishing and managing new investment funds </w:t>
      </w:r>
      <w:r w:rsidR="00866FA7" w:rsidRPr="00866FA7">
        <w:rPr>
          <w:i w:val="0"/>
          <w:color w:val="auto"/>
        </w:rPr>
        <w:t>including the Housing Australia Future Fund and the Disaster Ready Fund</w:t>
      </w:r>
      <w:r w:rsidR="00C67F8C">
        <w:rPr>
          <w:i w:val="0"/>
          <w:color w:val="auto"/>
          <w:lang w:val="en-AU"/>
        </w:rPr>
        <w:t>.</w:t>
      </w:r>
    </w:p>
    <w:p w14:paraId="2B862689" w14:textId="08FD1A67" w:rsidR="006610FF" w:rsidRPr="00BC1269" w:rsidRDefault="006610FF" w:rsidP="00C8474A">
      <w:pPr>
        <w:pStyle w:val="Exampletextbullet"/>
        <w:numPr>
          <w:ilvl w:val="0"/>
          <w:numId w:val="79"/>
        </w:numPr>
        <w:ind w:left="400"/>
        <w:contextualSpacing/>
        <w:rPr>
          <w:i w:val="0"/>
          <w:color w:val="auto"/>
        </w:rPr>
      </w:pPr>
      <w:r w:rsidRPr="00BC1269">
        <w:rPr>
          <w:i w:val="0"/>
          <w:color w:val="auto"/>
        </w:rPr>
        <w:t xml:space="preserve">Enhancing the governance framework for </w:t>
      </w:r>
      <w:r>
        <w:rPr>
          <w:i w:val="0"/>
          <w:color w:val="auto"/>
          <w:lang w:val="en-AU"/>
        </w:rPr>
        <w:t>GBEs</w:t>
      </w:r>
      <w:r w:rsidR="00C67F8C">
        <w:rPr>
          <w:i w:val="0"/>
          <w:color w:val="auto"/>
          <w:lang w:val="en-AU"/>
        </w:rPr>
        <w:t>.</w:t>
      </w:r>
      <w:r w:rsidRPr="00BC1269">
        <w:rPr>
          <w:i w:val="0"/>
          <w:color w:val="auto"/>
        </w:rPr>
        <w:t xml:space="preserve"> </w:t>
      </w:r>
    </w:p>
    <w:p w14:paraId="72FB67C1" w14:textId="4AC65177" w:rsidR="006610FF" w:rsidRPr="00BC1269" w:rsidRDefault="006610FF" w:rsidP="00C8474A">
      <w:pPr>
        <w:pStyle w:val="Exampletextbullet"/>
        <w:numPr>
          <w:ilvl w:val="0"/>
          <w:numId w:val="79"/>
        </w:numPr>
        <w:ind w:left="400"/>
        <w:contextualSpacing/>
        <w:rPr>
          <w:i w:val="0"/>
          <w:color w:val="auto"/>
        </w:rPr>
      </w:pPr>
      <w:r w:rsidRPr="00BC1269">
        <w:rPr>
          <w:i w:val="0"/>
          <w:color w:val="auto"/>
        </w:rPr>
        <w:t>Managing the Commonwealth’s investment in purpose-built quarantine centres</w:t>
      </w:r>
      <w:r w:rsidR="00C67F8C">
        <w:rPr>
          <w:i w:val="0"/>
          <w:color w:val="auto"/>
          <w:lang w:val="en-AU"/>
        </w:rPr>
        <w:t>.</w:t>
      </w:r>
    </w:p>
    <w:p w14:paraId="21AEC269" w14:textId="0A04185E" w:rsidR="006610FF" w:rsidRDefault="006610FF" w:rsidP="00C8474A">
      <w:pPr>
        <w:pStyle w:val="Exampletextbullet"/>
        <w:numPr>
          <w:ilvl w:val="0"/>
          <w:numId w:val="79"/>
        </w:numPr>
        <w:ind w:left="400"/>
        <w:contextualSpacing/>
        <w:rPr>
          <w:i w:val="0"/>
          <w:color w:val="auto"/>
        </w:rPr>
      </w:pPr>
      <w:r w:rsidRPr="009453AF">
        <w:rPr>
          <w:i w:val="0"/>
          <w:color w:val="auto"/>
        </w:rPr>
        <w:t>Progressing a National Security Office Precinct in Barton, Australian Capital Territory</w:t>
      </w:r>
      <w:r w:rsidR="00C67F8C">
        <w:rPr>
          <w:i w:val="0"/>
          <w:color w:val="auto"/>
          <w:lang w:val="en-AU"/>
        </w:rPr>
        <w:t>.</w:t>
      </w:r>
      <w:r w:rsidRPr="009453AF">
        <w:rPr>
          <w:i w:val="0"/>
          <w:color w:val="auto"/>
        </w:rPr>
        <w:t xml:space="preserve">  </w:t>
      </w:r>
    </w:p>
    <w:p w14:paraId="36B8D7C0" w14:textId="0420883C" w:rsidR="009453AF" w:rsidRPr="00866FA7" w:rsidRDefault="009453AF" w:rsidP="00C8474A">
      <w:pPr>
        <w:pStyle w:val="Exampletextbullet"/>
        <w:numPr>
          <w:ilvl w:val="0"/>
          <w:numId w:val="79"/>
        </w:numPr>
        <w:ind w:left="400"/>
        <w:contextualSpacing/>
        <w:rPr>
          <w:i w:val="0"/>
          <w:color w:val="auto"/>
        </w:rPr>
      </w:pPr>
      <w:r w:rsidRPr="009453AF">
        <w:rPr>
          <w:i w:val="0"/>
          <w:color w:val="auto"/>
        </w:rPr>
        <w:t xml:space="preserve">Supporting the </w:t>
      </w:r>
      <w:r w:rsidR="00866FA7" w:rsidRPr="00866FA7">
        <w:rPr>
          <w:i w:val="0"/>
          <w:color w:val="auto"/>
        </w:rPr>
        <w:t xml:space="preserve">delivery </w:t>
      </w:r>
      <w:r w:rsidRPr="009453AF">
        <w:rPr>
          <w:i w:val="0"/>
          <w:color w:val="auto"/>
        </w:rPr>
        <w:t>of a First Nations</w:t>
      </w:r>
      <w:r>
        <w:rPr>
          <w:i w:val="0"/>
          <w:color w:val="auto"/>
        </w:rPr>
        <w:t xml:space="preserve"> Voice to Parliament Referendum</w:t>
      </w:r>
      <w:r w:rsidR="00C67F8C">
        <w:rPr>
          <w:i w:val="0"/>
          <w:color w:val="auto"/>
          <w:lang w:val="en-AU"/>
        </w:rPr>
        <w:t>.</w:t>
      </w:r>
    </w:p>
    <w:p w14:paraId="08E8C3E9" w14:textId="3ED95622" w:rsidR="00105E1A" w:rsidRPr="00866FA7" w:rsidRDefault="00105E1A" w:rsidP="00C8474A">
      <w:pPr>
        <w:pStyle w:val="Exampletextbullet"/>
        <w:numPr>
          <w:ilvl w:val="0"/>
          <w:numId w:val="79"/>
        </w:numPr>
        <w:ind w:left="400"/>
        <w:contextualSpacing/>
        <w:rPr>
          <w:i w:val="0"/>
          <w:color w:val="auto"/>
        </w:rPr>
      </w:pPr>
      <w:r w:rsidRPr="00866FA7">
        <w:rPr>
          <w:i w:val="0"/>
          <w:color w:val="auto"/>
        </w:rPr>
        <w:t xml:space="preserve">Updating the </w:t>
      </w:r>
      <w:r w:rsidRPr="00866FA7">
        <w:rPr>
          <w:color w:val="auto"/>
        </w:rPr>
        <w:t>Commonwealth Grants Rules and Guidelines</w:t>
      </w:r>
      <w:r w:rsidRPr="00866FA7">
        <w:rPr>
          <w:i w:val="0"/>
          <w:color w:val="auto"/>
        </w:rPr>
        <w:t xml:space="preserve"> </w:t>
      </w:r>
      <w:r w:rsidR="00866FA7">
        <w:rPr>
          <w:i w:val="0"/>
          <w:color w:val="auto"/>
        </w:rPr>
        <w:t xml:space="preserve">and </w:t>
      </w:r>
      <w:r w:rsidR="00866FA7">
        <w:rPr>
          <w:i w:val="0"/>
          <w:color w:val="auto"/>
          <w:lang w:val="en-AU"/>
        </w:rPr>
        <w:t xml:space="preserve">continuing </w:t>
      </w:r>
      <w:r w:rsidR="00866FA7" w:rsidRPr="00866FA7">
        <w:rPr>
          <w:i w:val="0"/>
          <w:color w:val="auto"/>
        </w:rPr>
        <w:t>to improve the Shared Services grants hub model</w:t>
      </w:r>
      <w:r w:rsidR="00C67F8C">
        <w:rPr>
          <w:i w:val="0"/>
          <w:color w:val="auto"/>
          <w:lang w:val="en-AU"/>
        </w:rPr>
        <w:t>.</w:t>
      </w:r>
      <w:r w:rsidR="00866FA7" w:rsidRPr="00866FA7">
        <w:rPr>
          <w:i w:val="0"/>
          <w:color w:val="auto"/>
        </w:rPr>
        <w:t xml:space="preserve"> </w:t>
      </w:r>
    </w:p>
    <w:p w14:paraId="6C0755ED" w14:textId="23714B3C" w:rsidR="00105E1A" w:rsidRPr="00BC1269" w:rsidRDefault="00105E1A" w:rsidP="00C8474A">
      <w:pPr>
        <w:pStyle w:val="Exampletextbullet"/>
        <w:numPr>
          <w:ilvl w:val="0"/>
          <w:numId w:val="79"/>
        </w:numPr>
        <w:ind w:left="400"/>
        <w:contextualSpacing/>
        <w:rPr>
          <w:i w:val="0"/>
          <w:color w:val="auto"/>
        </w:rPr>
      </w:pPr>
      <w:r w:rsidRPr="00BC1269">
        <w:rPr>
          <w:i w:val="0"/>
          <w:color w:val="auto"/>
        </w:rPr>
        <w:t xml:space="preserve">Delivering the </w:t>
      </w:r>
      <w:r>
        <w:rPr>
          <w:i w:val="0"/>
          <w:color w:val="auto"/>
          <w:lang w:val="en-AU"/>
        </w:rPr>
        <w:t>w</w:t>
      </w:r>
      <w:r w:rsidRPr="00C92E3C">
        <w:rPr>
          <w:i w:val="0"/>
          <w:color w:val="auto"/>
        </w:rPr>
        <w:t>hole-of-Australian-Government</w:t>
      </w:r>
      <w:r w:rsidRPr="00BC1269">
        <w:rPr>
          <w:i w:val="0"/>
          <w:color w:val="auto"/>
        </w:rPr>
        <w:t xml:space="preserve"> Management Advisory Services and People Panels</w:t>
      </w:r>
      <w:r w:rsidR="00C67F8C">
        <w:rPr>
          <w:i w:val="0"/>
          <w:color w:val="auto"/>
          <w:lang w:val="en-AU"/>
        </w:rPr>
        <w:t>.</w:t>
      </w:r>
    </w:p>
    <w:p w14:paraId="676C82CA" w14:textId="21F59F7C" w:rsidR="00105E1A" w:rsidRPr="00BC1269" w:rsidRDefault="00105E1A" w:rsidP="00C8474A">
      <w:pPr>
        <w:pStyle w:val="Exampletextbullet"/>
        <w:numPr>
          <w:ilvl w:val="0"/>
          <w:numId w:val="79"/>
        </w:numPr>
        <w:ind w:left="400"/>
        <w:contextualSpacing/>
        <w:rPr>
          <w:i w:val="0"/>
          <w:color w:val="auto"/>
        </w:rPr>
      </w:pPr>
      <w:r w:rsidRPr="00BC1269">
        <w:rPr>
          <w:i w:val="0"/>
          <w:color w:val="auto"/>
        </w:rPr>
        <w:t xml:space="preserve">Delivering the revised </w:t>
      </w:r>
      <w:r w:rsidRPr="001A65D2">
        <w:rPr>
          <w:color w:val="auto"/>
        </w:rPr>
        <w:t>Commonwealth Risk Management Policy</w:t>
      </w:r>
      <w:r w:rsidR="00C67F8C" w:rsidRPr="00C67F8C">
        <w:rPr>
          <w:i w:val="0"/>
          <w:color w:val="auto"/>
          <w:lang w:val="en-AU"/>
        </w:rPr>
        <w:t>.</w:t>
      </w:r>
      <w:r w:rsidRPr="00BC1269">
        <w:rPr>
          <w:i w:val="0"/>
          <w:color w:val="auto"/>
        </w:rPr>
        <w:t xml:space="preserve"> </w:t>
      </w:r>
    </w:p>
    <w:p w14:paraId="1309DDFD" w14:textId="52A5C906" w:rsidR="00105E1A" w:rsidRPr="009453AF" w:rsidRDefault="00105E1A" w:rsidP="00C8474A">
      <w:pPr>
        <w:pStyle w:val="Exampletextbullet"/>
        <w:numPr>
          <w:ilvl w:val="0"/>
          <w:numId w:val="79"/>
        </w:numPr>
        <w:ind w:left="400"/>
        <w:contextualSpacing/>
        <w:rPr>
          <w:i w:val="0"/>
          <w:color w:val="auto"/>
        </w:rPr>
      </w:pPr>
      <w:r w:rsidRPr="009453AF">
        <w:rPr>
          <w:i w:val="0"/>
          <w:color w:val="auto"/>
        </w:rPr>
        <w:t>Supporting the implementation of the Government’s commitment to APS Reform</w:t>
      </w:r>
      <w:r w:rsidR="00C67F8C">
        <w:rPr>
          <w:i w:val="0"/>
          <w:color w:val="auto"/>
          <w:lang w:val="en-AU"/>
        </w:rPr>
        <w:t>.</w:t>
      </w:r>
    </w:p>
    <w:p w14:paraId="2CF66384" w14:textId="1D586623" w:rsidR="00105E1A" w:rsidRPr="00BC1269" w:rsidRDefault="00105E1A" w:rsidP="00C8474A">
      <w:pPr>
        <w:pStyle w:val="Exampletextbullet"/>
        <w:numPr>
          <w:ilvl w:val="0"/>
          <w:numId w:val="79"/>
        </w:numPr>
        <w:ind w:left="400"/>
        <w:contextualSpacing/>
        <w:rPr>
          <w:i w:val="0"/>
          <w:color w:val="auto"/>
        </w:rPr>
      </w:pPr>
      <w:r w:rsidRPr="00BC1269">
        <w:rPr>
          <w:i w:val="0"/>
          <w:color w:val="auto"/>
        </w:rPr>
        <w:t>Supporting the implementation of the Set the Standard Report recommendations</w:t>
      </w:r>
      <w:r w:rsidR="00C67F8C">
        <w:rPr>
          <w:i w:val="0"/>
          <w:color w:val="auto"/>
          <w:lang w:val="en-AU"/>
        </w:rPr>
        <w:t>.</w:t>
      </w:r>
      <w:r w:rsidRPr="00BC1269">
        <w:rPr>
          <w:i w:val="0"/>
          <w:color w:val="auto"/>
        </w:rPr>
        <w:t xml:space="preserve"> </w:t>
      </w:r>
    </w:p>
    <w:p w14:paraId="106E5BF4" w14:textId="627EED62" w:rsidR="00105E1A" w:rsidRPr="00BC1269" w:rsidRDefault="00105E1A" w:rsidP="00C8474A">
      <w:pPr>
        <w:pStyle w:val="Exampletextbullet"/>
        <w:numPr>
          <w:ilvl w:val="0"/>
          <w:numId w:val="79"/>
        </w:numPr>
        <w:ind w:left="400"/>
        <w:contextualSpacing/>
        <w:rPr>
          <w:i w:val="0"/>
          <w:color w:val="auto"/>
        </w:rPr>
      </w:pPr>
      <w:r>
        <w:rPr>
          <w:i w:val="0"/>
          <w:color w:val="auto"/>
          <w:lang w:val="en-AU"/>
        </w:rPr>
        <w:lastRenderedPageBreak/>
        <w:t>Progressing the</w:t>
      </w:r>
      <w:r w:rsidRPr="00BC1269">
        <w:rPr>
          <w:i w:val="0"/>
          <w:color w:val="auto"/>
        </w:rPr>
        <w:t xml:space="preserve"> Government’s commitment to reduce APS emissions to net zero by </w:t>
      </w:r>
      <w:r w:rsidR="00C67F8C" w:rsidRPr="00BC1269">
        <w:rPr>
          <w:i w:val="0"/>
          <w:color w:val="auto"/>
        </w:rPr>
        <w:t xml:space="preserve">2030 </w:t>
      </w:r>
      <w:r w:rsidR="00C67F8C">
        <w:rPr>
          <w:i w:val="0"/>
          <w:color w:val="auto"/>
          <w:lang w:val="en-AU"/>
        </w:rPr>
        <w:t>and implementing the low emissions vehicle target for the Commonwealth fleet.</w:t>
      </w:r>
    </w:p>
    <w:p w14:paraId="72354739" w14:textId="25E29823" w:rsidR="00105E1A" w:rsidRPr="00C67F8C" w:rsidRDefault="00105E1A" w:rsidP="00C67F8C">
      <w:pPr>
        <w:pStyle w:val="Exampletextbullet"/>
        <w:numPr>
          <w:ilvl w:val="0"/>
          <w:numId w:val="79"/>
        </w:numPr>
        <w:ind w:left="400"/>
        <w:contextualSpacing/>
        <w:rPr>
          <w:i w:val="0"/>
          <w:color w:val="auto"/>
        </w:rPr>
      </w:pPr>
      <w:r w:rsidRPr="00BC1269">
        <w:rPr>
          <w:i w:val="0"/>
          <w:color w:val="auto"/>
        </w:rPr>
        <w:t>Progressing</w:t>
      </w:r>
      <w:r w:rsidR="00C67F8C">
        <w:rPr>
          <w:i w:val="0"/>
          <w:color w:val="auto"/>
        </w:rPr>
        <w:t xml:space="preserve"> Shared Services transformation.</w:t>
      </w:r>
    </w:p>
    <w:p w14:paraId="2CDF6F4D" w14:textId="4AA778CE" w:rsidR="00105E1A" w:rsidRPr="00BC1269" w:rsidRDefault="00105E1A" w:rsidP="00C8474A">
      <w:pPr>
        <w:pStyle w:val="Exampletextbullet"/>
        <w:numPr>
          <w:ilvl w:val="0"/>
          <w:numId w:val="79"/>
        </w:numPr>
        <w:ind w:left="400"/>
        <w:contextualSpacing/>
        <w:rPr>
          <w:i w:val="0"/>
          <w:color w:val="auto"/>
        </w:rPr>
      </w:pPr>
      <w:r w:rsidRPr="00BC1269">
        <w:rPr>
          <w:i w:val="0"/>
          <w:color w:val="auto"/>
        </w:rPr>
        <w:t xml:space="preserve">Implementing the </w:t>
      </w:r>
      <w:r w:rsidRPr="001A65D2">
        <w:rPr>
          <w:color w:val="auto"/>
        </w:rPr>
        <w:t>Data Availability and Transparency Act 2022</w:t>
      </w:r>
      <w:r w:rsidR="00C67F8C">
        <w:rPr>
          <w:color w:val="auto"/>
          <w:lang w:val="en-AU"/>
        </w:rPr>
        <w:t>.</w:t>
      </w:r>
    </w:p>
    <w:p w14:paraId="52749429" w14:textId="371CA925" w:rsidR="00105E1A" w:rsidRPr="00BC1269" w:rsidRDefault="00105E1A" w:rsidP="00C8474A">
      <w:pPr>
        <w:pStyle w:val="Exampletextbullet"/>
        <w:numPr>
          <w:ilvl w:val="0"/>
          <w:numId w:val="79"/>
        </w:numPr>
        <w:ind w:left="400"/>
        <w:contextualSpacing/>
        <w:rPr>
          <w:i w:val="0"/>
          <w:color w:val="auto"/>
        </w:rPr>
      </w:pPr>
      <w:r w:rsidRPr="00BC1269">
        <w:rPr>
          <w:i w:val="0"/>
          <w:color w:val="auto"/>
        </w:rPr>
        <w:t>Implementing the National Data Sharing Work Program</w:t>
      </w:r>
      <w:r w:rsidR="00C67F8C">
        <w:rPr>
          <w:i w:val="0"/>
          <w:color w:val="auto"/>
          <w:lang w:val="en-AU"/>
        </w:rPr>
        <w:t>.</w:t>
      </w:r>
      <w:r w:rsidRPr="00BC1269">
        <w:rPr>
          <w:i w:val="0"/>
          <w:color w:val="auto"/>
        </w:rPr>
        <w:t xml:space="preserve"> </w:t>
      </w:r>
    </w:p>
    <w:p w14:paraId="0D8D964A" w14:textId="6124649A" w:rsidR="00866FA7" w:rsidRPr="00C67F8C" w:rsidRDefault="00105E1A" w:rsidP="00C67F8C">
      <w:pPr>
        <w:pStyle w:val="Exampletextbullet"/>
        <w:numPr>
          <w:ilvl w:val="0"/>
          <w:numId w:val="79"/>
        </w:numPr>
        <w:ind w:left="400"/>
        <w:contextualSpacing/>
        <w:rPr>
          <w:i w:val="0"/>
          <w:color w:val="auto"/>
        </w:rPr>
      </w:pPr>
      <w:r w:rsidRPr="00BC1269">
        <w:rPr>
          <w:i w:val="0"/>
          <w:color w:val="auto"/>
        </w:rPr>
        <w:t xml:space="preserve">Progressing regulatory reform to improve productivity </w:t>
      </w:r>
      <w:r w:rsidR="00C67F8C">
        <w:rPr>
          <w:i w:val="0"/>
          <w:color w:val="auto"/>
          <w:lang w:val="en-AU"/>
        </w:rPr>
        <w:t>.</w:t>
      </w:r>
    </w:p>
    <w:p w14:paraId="59DB2961" w14:textId="1A035982" w:rsidR="00BC1269" w:rsidRPr="00C67F8C" w:rsidRDefault="00BC1269" w:rsidP="00C67F8C">
      <w:r w:rsidRPr="00BC1269">
        <w:t>Following the 1 July 2022 machinery-of-government changes, the Finance portfolio assumed responsibility for whole-of-government data and digital policy coordination, and delivery of a whole-of-government approach to regulatory policy and regulatory reform. These changes are reflected in new performance measures under Section 2: Outcomes and planned performance:</w:t>
      </w:r>
    </w:p>
    <w:p w14:paraId="267514A9" w14:textId="2D7FD7B5" w:rsidR="008F1E0E" w:rsidRPr="007D477A" w:rsidRDefault="008F1E0E" w:rsidP="00BC1269">
      <w:pPr>
        <w:pStyle w:val="Exampletextbullet"/>
        <w:tabs>
          <w:tab w:val="num" w:pos="284"/>
        </w:tabs>
        <w:ind w:left="284" w:hanging="284"/>
        <w:contextualSpacing/>
        <w:rPr>
          <w:i w:val="0"/>
          <w:color w:val="auto"/>
        </w:rPr>
      </w:pPr>
      <w:r w:rsidRPr="007D477A">
        <w:rPr>
          <w:i w:val="0"/>
          <w:color w:val="auto"/>
        </w:rPr>
        <w:t>•</w:t>
      </w:r>
      <w:r w:rsidRPr="007D477A">
        <w:rPr>
          <w:i w:val="0"/>
          <w:color w:val="auto"/>
        </w:rPr>
        <w:tab/>
        <w:t>Whole-of-government approach to regulatory policy and re</w:t>
      </w:r>
      <w:r w:rsidR="00BC1269">
        <w:rPr>
          <w:i w:val="0"/>
          <w:color w:val="auto"/>
        </w:rPr>
        <w:t>gulatory reform (Table 2.2.2</w:t>
      </w:r>
      <w:r w:rsidR="00BC1269" w:rsidRPr="00BC1269">
        <w:rPr>
          <w:i w:val="0"/>
          <w:color w:val="auto"/>
        </w:rPr>
        <w:t>,</w:t>
      </w:r>
      <w:r w:rsidR="00BC1269">
        <w:rPr>
          <w:i w:val="0"/>
          <w:color w:val="auto"/>
        </w:rPr>
        <w:t xml:space="preserve"> </w:t>
      </w:r>
      <w:r w:rsidR="00F6694E">
        <w:rPr>
          <w:i w:val="0"/>
          <w:color w:val="auto"/>
        </w:rPr>
        <w:t xml:space="preserve">page </w:t>
      </w:r>
      <w:r w:rsidR="00E014DB">
        <w:rPr>
          <w:i w:val="0"/>
          <w:color w:val="auto"/>
        </w:rPr>
        <w:t>37</w:t>
      </w:r>
      <w:r w:rsidR="00C67F8C">
        <w:rPr>
          <w:i w:val="0"/>
          <w:color w:val="auto"/>
        </w:rPr>
        <w:t>).</w:t>
      </w:r>
    </w:p>
    <w:p w14:paraId="1ECAE641" w14:textId="5F8E55E0" w:rsidR="00CB2DCA" w:rsidRDefault="008F1E0E" w:rsidP="00BC1269">
      <w:pPr>
        <w:pStyle w:val="Exampletextbullet"/>
        <w:tabs>
          <w:tab w:val="num" w:pos="284"/>
        </w:tabs>
        <w:ind w:left="284" w:hanging="284"/>
        <w:contextualSpacing/>
      </w:pPr>
      <w:r w:rsidRPr="007D477A">
        <w:rPr>
          <w:i w:val="0"/>
          <w:color w:val="auto"/>
        </w:rPr>
        <w:t>•</w:t>
      </w:r>
      <w:r w:rsidRPr="007D477A">
        <w:rPr>
          <w:i w:val="0"/>
          <w:color w:val="auto"/>
        </w:rPr>
        <w:tab/>
        <w:t>Participation in</w:t>
      </w:r>
      <w:r w:rsidR="00BC1269">
        <w:rPr>
          <w:i w:val="0"/>
          <w:color w:val="auto"/>
        </w:rPr>
        <w:t xml:space="preserve"> the DATA Scheme (Table 2.2.2,</w:t>
      </w:r>
      <w:r w:rsidRPr="007D477A">
        <w:rPr>
          <w:i w:val="0"/>
          <w:color w:val="auto"/>
        </w:rPr>
        <w:t xml:space="preserve"> </w:t>
      </w:r>
      <w:r w:rsidR="00F6694E">
        <w:rPr>
          <w:i w:val="0"/>
          <w:color w:val="auto"/>
        </w:rPr>
        <w:t xml:space="preserve">page </w:t>
      </w:r>
      <w:r w:rsidR="00E014DB">
        <w:rPr>
          <w:i w:val="0"/>
          <w:color w:val="auto"/>
          <w:lang w:val="en-AU"/>
        </w:rPr>
        <w:t>40</w:t>
      </w:r>
      <w:r w:rsidRPr="007D477A">
        <w:rPr>
          <w:i w:val="0"/>
          <w:color w:val="auto"/>
        </w:rPr>
        <w:t>).</w:t>
      </w:r>
      <w:r w:rsidR="00CB2DCA">
        <w:br w:type="page"/>
      </w:r>
    </w:p>
    <w:p w14:paraId="2239DFA7" w14:textId="362AB0BC" w:rsidR="00257FF4" w:rsidRDefault="00257FF4" w:rsidP="00CB2DCA">
      <w:pPr>
        <w:pStyle w:val="Heading3"/>
      </w:pPr>
      <w:bookmarkStart w:id="23" w:name="_Toc116742492"/>
      <w:bookmarkStart w:id="24" w:name="_Toc117027156"/>
      <w:bookmarkStart w:id="25" w:name="_Toc117070782"/>
      <w:bookmarkStart w:id="26" w:name="_Toc117071036"/>
      <w:bookmarkStart w:id="27" w:name="_Toc117078070"/>
      <w:r>
        <w:lastRenderedPageBreak/>
        <w:t>1.2</w:t>
      </w:r>
      <w:r>
        <w:tab/>
      </w:r>
      <w:r w:rsidR="007E6BBD">
        <w:t xml:space="preserve">Entity </w:t>
      </w:r>
      <w:r>
        <w:t>resource statement</w:t>
      </w:r>
      <w:bookmarkEnd w:id="20"/>
      <w:bookmarkEnd w:id="21"/>
      <w:bookmarkEnd w:id="22"/>
      <w:bookmarkEnd w:id="23"/>
      <w:bookmarkEnd w:id="24"/>
      <w:bookmarkEnd w:id="25"/>
      <w:bookmarkEnd w:id="26"/>
      <w:bookmarkEnd w:id="27"/>
    </w:p>
    <w:p w14:paraId="2239DFA8" w14:textId="77777777" w:rsidR="00E1129E" w:rsidRDefault="00257FF4" w:rsidP="00257FF4">
      <w:bookmarkStart w:id="28" w:name="OLE_LINK11"/>
      <w:bookmarkStart w:id="29" w:name="OLE_LINK12"/>
      <w:r>
        <w:t xml:space="preserve">Table 1.1 shows the total </w:t>
      </w:r>
      <w:r w:rsidR="00E1129E">
        <w:t xml:space="preserve">funding </w:t>
      </w:r>
      <w:r>
        <w:t>from all</w:t>
      </w:r>
      <w:r w:rsidR="00BB721D">
        <w:t xml:space="preserve"> sources</w:t>
      </w:r>
      <w:r w:rsidR="00331B40">
        <w:t xml:space="preserve"> available to the entity for its operations and to deliver </w:t>
      </w:r>
      <w:r w:rsidR="00290933">
        <w:t>programs</w:t>
      </w:r>
      <w:r w:rsidR="00331B40">
        <w:t xml:space="preserve"> and servic</w:t>
      </w:r>
      <w:r w:rsidR="00705BC0">
        <w:t>es on behalf of the G</w:t>
      </w:r>
      <w:r w:rsidR="00331B40">
        <w:t>overnment</w:t>
      </w:r>
      <w:r w:rsidR="005A7C0B">
        <w:t>.</w:t>
      </w:r>
    </w:p>
    <w:p w14:paraId="2239DFA9" w14:textId="77777777" w:rsidR="00257FF4" w:rsidRDefault="00257FF4" w:rsidP="00257FF4">
      <w:r>
        <w:t xml:space="preserve">The table summarises how resources will be applied by outcome </w:t>
      </w:r>
      <w:r w:rsidR="00331B40">
        <w:t>(government strategic policy objectives</w:t>
      </w:r>
      <w:r w:rsidR="00E1129E">
        <w:t>)</w:t>
      </w:r>
      <w:r w:rsidR="00705BC0">
        <w:t xml:space="preserve"> </w:t>
      </w:r>
      <w:r>
        <w:t xml:space="preserve">and by administered </w:t>
      </w:r>
      <w:r w:rsidR="00705BC0">
        <w:t>(on behalf of the G</w:t>
      </w:r>
      <w:bookmarkStart w:id="30" w:name="_GoBack"/>
      <w:bookmarkEnd w:id="30"/>
      <w:r w:rsidR="00331B40">
        <w:t xml:space="preserve">overnment or the public) </w:t>
      </w:r>
      <w:r>
        <w:t xml:space="preserve">and departmental </w:t>
      </w:r>
      <w:r w:rsidR="00331B40">
        <w:t xml:space="preserve">(for the entity’s operations) </w:t>
      </w:r>
      <w:r>
        <w:t>classification.</w:t>
      </w:r>
    </w:p>
    <w:p w14:paraId="2239DFAA" w14:textId="77777777" w:rsidR="009F43CB" w:rsidRDefault="00331B40" w:rsidP="00257FF4">
      <w:r>
        <w:t>For more detailed information on special accounts and special appropriations, please refer to</w:t>
      </w:r>
      <w:r w:rsidR="007D5B26">
        <w:t xml:space="preserve"> the </w:t>
      </w:r>
      <w:r w:rsidR="007D5B26" w:rsidRPr="00B47998">
        <w:t>October</w:t>
      </w:r>
      <w:r>
        <w:t xml:space="preserve"> </w:t>
      </w:r>
      <w:r w:rsidRPr="00412C0B">
        <w:rPr>
          <w:i/>
        </w:rPr>
        <w:t>Budget Paper No. 4 – Agency Resourcing</w:t>
      </w:r>
      <w:r>
        <w:t>.</w:t>
      </w:r>
    </w:p>
    <w:p w14:paraId="2239DFAB" w14:textId="0D8BB70D" w:rsidR="00645E69" w:rsidRDefault="00645E69" w:rsidP="00257FF4">
      <w:r>
        <w:t>Information in this table is presented on a resourcing (</w:t>
      </w:r>
      <w:r w:rsidR="005A7C0B">
        <w:t>that is,</w:t>
      </w:r>
      <w:r>
        <w:t xml:space="preserve"> </w:t>
      </w:r>
      <w:r w:rsidR="00061FD8">
        <w:t>appropriations/cash</w:t>
      </w:r>
      <w:r w:rsidR="00565C77">
        <w:t xml:space="preserve"> available</w:t>
      </w:r>
      <w:r>
        <w:t xml:space="preserve">) basis, whilst the </w:t>
      </w:r>
      <w:r w:rsidR="00E1129E">
        <w:t xml:space="preserve">‘Budgeted expenses by </w:t>
      </w:r>
      <w:r w:rsidR="00691CA6">
        <w:t>Outcome</w:t>
      </w:r>
      <w:r w:rsidR="00E7371B">
        <w:t xml:space="preserve">’ </w:t>
      </w:r>
      <w:r>
        <w:t>tables in Section 2 and the financial statements in Section 3 are</w:t>
      </w:r>
      <w:r w:rsidR="00831489">
        <w:t xml:space="preserve"> presented on an accrual basis.</w:t>
      </w:r>
    </w:p>
    <w:bookmarkEnd w:id="28"/>
    <w:bookmarkEnd w:id="29"/>
    <w:p w14:paraId="2239DFAD" w14:textId="636199BC" w:rsidR="002567A5" w:rsidRPr="008A056A" w:rsidRDefault="00E92644" w:rsidP="008A056A">
      <w:pPr>
        <w:pStyle w:val="TableHeading"/>
      </w:pPr>
      <w:r>
        <w:br w:type="page"/>
      </w:r>
      <w:r w:rsidR="00741BF8" w:rsidRPr="00D44150">
        <w:lastRenderedPageBreak/>
        <w:t xml:space="preserve">Table 1.1: </w:t>
      </w:r>
      <w:r w:rsidR="00B94B09">
        <w:t xml:space="preserve">Department of Finance </w:t>
      </w:r>
      <w:r w:rsidR="00741BF8" w:rsidRPr="00D44150">
        <w:t>resource statement</w:t>
      </w:r>
      <w:r w:rsidR="0066176D">
        <w:t xml:space="preserve"> — Budget estimates for </w:t>
      </w:r>
      <w:r w:rsidR="00400A8B">
        <w:t>2022</w:t>
      </w:r>
      <w:r w:rsidR="00FC6CF3">
        <w:t>-</w:t>
      </w:r>
      <w:r w:rsidR="00400A8B">
        <w:t xml:space="preserve">23 </w:t>
      </w:r>
      <w:r w:rsidR="00741BF8" w:rsidRPr="00D44150">
        <w:t xml:space="preserve">as at </w:t>
      </w:r>
      <w:r w:rsidR="00B47998">
        <w:t>October</w:t>
      </w:r>
      <w:r w:rsidR="00B47998" w:rsidRPr="00D44150">
        <w:t xml:space="preserve"> </w:t>
      </w:r>
      <w:r w:rsidR="00741BF8" w:rsidRPr="00D44150">
        <w:t xml:space="preserve">Budget </w:t>
      </w:r>
      <w:r w:rsidR="00400A8B">
        <w:t>2022</w:t>
      </w:r>
      <w:r w:rsidR="003344AE" w:rsidRPr="003344AE">
        <w:rPr>
          <w:noProof/>
        </w:rPr>
        <w:drawing>
          <wp:inline distT="0" distB="0" distL="0" distR="0" wp14:anchorId="17865C0C" wp14:editId="06D65823">
            <wp:extent cx="4895850" cy="4682751"/>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95850" cy="4682751"/>
                    </a:xfrm>
                    <a:prstGeom prst="rect">
                      <a:avLst/>
                    </a:prstGeom>
                    <a:noFill/>
                    <a:ln>
                      <a:noFill/>
                    </a:ln>
                  </pic:spPr>
                </pic:pic>
              </a:graphicData>
            </a:graphic>
          </wp:inline>
        </w:drawing>
      </w:r>
    </w:p>
    <w:p w14:paraId="2239DFAE" w14:textId="17776EE2" w:rsidR="002567A5" w:rsidRPr="00321EC0" w:rsidRDefault="002567A5" w:rsidP="009D6A68">
      <w:pPr>
        <w:pStyle w:val="ChartandTableFootnoteAlpha"/>
      </w:pPr>
      <w:r w:rsidRPr="00082FED">
        <w:t>Table continues on next page</w:t>
      </w:r>
    </w:p>
    <w:p w14:paraId="2239DFAF" w14:textId="77777777" w:rsidR="002567A5" w:rsidRPr="002567A5" w:rsidRDefault="002567A5" w:rsidP="002567A5">
      <w:pPr>
        <w:rPr>
          <w:lang w:val="x-none" w:eastAsia="x-none"/>
        </w:rPr>
      </w:pPr>
    </w:p>
    <w:p w14:paraId="31068ADD" w14:textId="77777777" w:rsidR="00DE4042" w:rsidRPr="00DE4042" w:rsidRDefault="00DE4042" w:rsidP="00DE4042"/>
    <w:p w14:paraId="15EC6B8D" w14:textId="77777777" w:rsidR="00DE4042" w:rsidRPr="00DE4042" w:rsidRDefault="00DE4042" w:rsidP="00DE4042"/>
    <w:p w14:paraId="11CDD41C" w14:textId="77777777" w:rsidR="00DE4042" w:rsidRPr="00DE4042" w:rsidRDefault="00DE4042" w:rsidP="00DE4042"/>
    <w:p w14:paraId="0E3B38EB" w14:textId="77777777" w:rsidR="00DE4042" w:rsidRPr="00DE4042" w:rsidRDefault="00DE4042" w:rsidP="00DE4042">
      <w:pPr>
        <w:jc w:val="center"/>
      </w:pPr>
    </w:p>
    <w:p w14:paraId="2F05F591" w14:textId="2A5D989E" w:rsidR="00DE4042" w:rsidRDefault="00DE4042" w:rsidP="00FC031B">
      <w:pPr>
        <w:pStyle w:val="TableHeading"/>
      </w:pPr>
    </w:p>
    <w:p w14:paraId="63B4B9B1" w14:textId="7A083C51" w:rsidR="00DE4042" w:rsidRDefault="00DE4042" w:rsidP="00FC031B">
      <w:pPr>
        <w:pStyle w:val="TableHeading"/>
      </w:pPr>
    </w:p>
    <w:p w14:paraId="2DEC7A35" w14:textId="77777777" w:rsidR="00D95B2F" w:rsidRDefault="00D44150" w:rsidP="00FC031B">
      <w:pPr>
        <w:pStyle w:val="TableHeading"/>
        <w:rPr>
          <w:b w:val="0"/>
        </w:rPr>
      </w:pPr>
      <w:r w:rsidRPr="00DE4042">
        <w:br w:type="page"/>
      </w:r>
      <w:r w:rsidR="0066176D" w:rsidRPr="00D44150">
        <w:lastRenderedPageBreak/>
        <w:t xml:space="preserve">Table 1.1: </w:t>
      </w:r>
      <w:r w:rsidR="00553A03">
        <w:t xml:space="preserve">Department of Finance </w:t>
      </w:r>
      <w:r w:rsidR="0066176D" w:rsidRPr="00D44150">
        <w:t>resource statement</w:t>
      </w:r>
      <w:r w:rsidR="0066176D">
        <w:t xml:space="preserve"> — Budget estimates for </w:t>
      </w:r>
      <w:r w:rsidR="00400A8B">
        <w:t>2022</w:t>
      </w:r>
      <w:r w:rsidR="00FC6CF3">
        <w:t>-</w:t>
      </w:r>
      <w:r w:rsidR="00400A8B">
        <w:t xml:space="preserve">23 </w:t>
      </w:r>
      <w:r w:rsidR="0066176D" w:rsidRPr="00D44150">
        <w:t xml:space="preserve">as at </w:t>
      </w:r>
      <w:r w:rsidR="00B47998">
        <w:t xml:space="preserve">October </w:t>
      </w:r>
      <w:r w:rsidR="0066176D" w:rsidRPr="00D44150">
        <w:t xml:space="preserve">Budget </w:t>
      </w:r>
      <w:r w:rsidR="00400A8B">
        <w:t xml:space="preserve">2022 </w:t>
      </w:r>
      <w:r w:rsidR="0066176D">
        <w:t>(continued)</w:t>
      </w:r>
      <w:r w:rsidR="00FC031B" w:rsidRPr="00FC031B">
        <w:rPr>
          <w:b w:val="0"/>
        </w:rPr>
        <w:t xml:space="preserve"> </w:t>
      </w:r>
      <w:bookmarkStart w:id="31" w:name="OLE_LINK2"/>
    </w:p>
    <w:p w14:paraId="28FEF76C" w14:textId="224E38F9" w:rsidR="002567A5" w:rsidRDefault="003344AE" w:rsidP="00FC031B">
      <w:pPr>
        <w:pStyle w:val="TableHeading"/>
      </w:pPr>
      <w:r w:rsidRPr="003344AE">
        <w:rPr>
          <w:b w:val="0"/>
          <w:noProof/>
        </w:rPr>
        <w:drawing>
          <wp:inline distT="0" distB="0" distL="0" distR="0" wp14:anchorId="672D7184" wp14:editId="7B814873">
            <wp:extent cx="4895850" cy="2050099"/>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95850" cy="2050099"/>
                    </a:xfrm>
                    <a:prstGeom prst="rect">
                      <a:avLst/>
                    </a:prstGeom>
                    <a:noFill/>
                    <a:ln>
                      <a:noFill/>
                    </a:ln>
                  </pic:spPr>
                </pic:pic>
              </a:graphicData>
            </a:graphic>
          </wp:inline>
        </w:drawing>
      </w:r>
      <w:r w:rsidR="00BB5356" w:rsidRPr="00FC031B">
        <w:rPr>
          <w:b w:val="0"/>
          <w:color w:val="000000"/>
          <w:sz w:val="16"/>
        </w:rPr>
        <w:t>All figures shown above</w:t>
      </w:r>
      <w:r w:rsidR="002567A5" w:rsidRPr="00FC031B">
        <w:rPr>
          <w:b w:val="0"/>
          <w:color w:val="000000"/>
          <w:sz w:val="16"/>
        </w:rPr>
        <w:t xml:space="preserve"> exclusive </w:t>
      </w:r>
      <w:r w:rsidR="00BB5356" w:rsidRPr="00FC031B">
        <w:rPr>
          <w:b w:val="0"/>
          <w:color w:val="000000"/>
          <w:sz w:val="16"/>
        </w:rPr>
        <w:t xml:space="preserve">of goods and services tax (GST) </w:t>
      </w:r>
      <w:r w:rsidR="002567A5" w:rsidRPr="00FC031B">
        <w:rPr>
          <w:b w:val="0"/>
          <w:color w:val="000000"/>
          <w:sz w:val="16"/>
        </w:rPr>
        <w:t>- these may not match figures in the cash flow statement.</w:t>
      </w:r>
    </w:p>
    <w:p w14:paraId="2239DFB3" w14:textId="77777777" w:rsidR="002567A5" w:rsidRPr="004111A7" w:rsidRDefault="002567A5" w:rsidP="00FB00DA">
      <w:pPr>
        <w:pStyle w:val="ChartandTableFootnote"/>
        <w:spacing w:before="60"/>
      </w:pPr>
      <w:r>
        <w:t>Prepared</w:t>
      </w:r>
      <w:r w:rsidRPr="004111A7">
        <w:t xml:space="preserve"> on a resourcing (that is, appropriations available) basis</w:t>
      </w:r>
      <w:bookmarkEnd w:id="31"/>
      <w:r w:rsidRPr="004111A7">
        <w:t>.</w:t>
      </w:r>
    </w:p>
    <w:p w14:paraId="2239DFB4" w14:textId="78006E0B" w:rsidR="002567A5" w:rsidRPr="004111A7" w:rsidRDefault="002567A5" w:rsidP="00BA1132">
      <w:pPr>
        <w:pStyle w:val="ChartandTableFootnoteAlpha"/>
        <w:numPr>
          <w:ilvl w:val="0"/>
          <w:numId w:val="11"/>
        </w:numPr>
        <w:spacing w:before="60"/>
        <w:ind w:left="284" w:hanging="284"/>
      </w:pPr>
      <w:r>
        <w:t>Appropriation Bill (No. 1) 2022-23</w:t>
      </w:r>
      <w:r w:rsidR="007476F2">
        <w:t xml:space="preserve">, Supply Bill (No. 3) 2022-23 and </w:t>
      </w:r>
      <w:r w:rsidR="007476F2" w:rsidRPr="00084B16">
        <w:rPr>
          <w:i/>
        </w:rPr>
        <w:t>Supply Act (No.</w:t>
      </w:r>
      <w:r w:rsidR="006B1DD8">
        <w:rPr>
          <w:i/>
        </w:rPr>
        <w:t xml:space="preserve"> </w:t>
      </w:r>
      <w:r w:rsidR="007476F2" w:rsidRPr="00084B16">
        <w:rPr>
          <w:i/>
        </w:rPr>
        <w:t>1) 2022-</w:t>
      </w:r>
      <w:r w:rsidR="00084B16" w:rsidRPr="00084B16">
        <w:rPr>
          <w:i/>
        </w:rPr>
        <w:t>20</w:t>
      </w:r>
      <w:r w:rsidR="007476F2" w:rsidRPr="00084B16">
        <w:rPr>
          <w:i/>
        </w:rPr>
        <w:t>23</w:t>
      </w:r>
      <w:r w:rsidR="007476F2">
        <w:t>.</w:t>
      </w:r>
    </w:p>
    <w:p w14:paraId="2239DFB5" w14:textId="01E8AD8C" w:rsidR="002567A5" w:rsidRPr="004111A7" w:rsidRDefault="002567A5" w:rsidP="00BA1132">
      <w:pPr>
        <w:pStyle w:val="ChartandTableFootnoteAlpha"/>
        <w:numPr>
          <w:ilvl w:val="0"/>
          <w:numId w:val="11"/>
        </w:numPr>
        <w:spacing w:before="60"/>
        <w:ind w:left="284" w:hanging="284"/>
      </w:pPr>
      <w:bookmarkStart w:id="32" w:name="OLE_LINK3"/>
      <w:r w:rsidRPr="004111A7">
        <w:t>Represents estimated unspent ap</w:t>
      </w:r>
      <w:r>
        <w:t>pro</w:t>
      </w:r>
      <w:r w:rsidR="007476F2">
        <w:t>priations available from 2021-22</w:t>
      </w:r>
      <w:r w:rsidR="00084B16">
        <w:t xml:space="preserve">, excluding $200.0m withheld under section 51 of the </w:t>
      </w:r>
      <w:r w:rsidR="00084B16" w:rsidRPr="00BB5356">
        <w:rPr>
          <w:i/>
        </w:rPr>
        <w:t>Public Governance, Performance and Accountability Act 2013</w:t>
      </w:r>
      <w:r w:rsidR="00084B16" w:rsidRPr="004111A7">
        <w:t xml:space="preserve"> (PGPA Act)</w:t>
      </w:r>
      <w:r w:rsidR="00084B16">
        <w:t>.</w:t>
      </w:r>
    </w:p>
    <w:p w14:paraId="2239DFB6" w14:textId="4BF879CA" w:rsidR="002567A5" w:rsidRPr="004111A7" w:rsidRDefault="002567A5" w:rsidP="00BA1132">
      <w:pPr>
        <w:pStyle w:val="ChartandTableFootnoteAlpha"/>
        <w:numPr>
          <w:ilvl w:val="0"/>
          <w:numId w:val="11"/>
        </w:numPr>
        <w:spacing w:before="60"/>
        <w:ind w:left="284" w:hanging="284"/>
      </w:pPr>
      <w:r w:rsidRPr="004111A7">
        <w:t>Excludes de</w:t>
      </w:r>
      <w:r>
        <w:t>partmental capital budget (DCB).</w:t>
      </w:r>
    </w:p>
    <w:p w14:paraId="2239DFB7" w14:textId="41134B8A" w:rsidR="002567A5" w:rsidRPr="004111A7" w:rsidRDefault="002567A5" w:rsidP="00BA1132">
      <w:pPr>
        <w:pStyle w:val="ChartandTableFootnoteAlpha"/>
        <w:numPr>
          <w:ilvl w:val="0"/>
          <w:numId w:val="11"/>
        </w:numPr>
        <w:spacing w:before="60"/>
        <w:ind w:left="284" w:hanging="284"/>
      </w:pPr>
      <w:r w:rsidRPr="004111A7">
        <w:t>Estimated retained revenue receipts under section 74 of the PGPA Act.</w:t>
      </w:r>
    </w:p>
    <w:p w14:paraId="2239DFB8" w14:textId="0CF7C33E" w:rsidR="002567A5" w:rsidRPr="004111A7" w:rsidRDefault="002567A5" w:rsidP="00BA1132">
      <w:pPr>
        <w:pStyle w:val="ChartandTableFootnoteAlpha"/>
        <w:numPr>
          <w:ilvl w:val="0"/>
          <w:numId w:val="11"/>
        </w:numPr>
        <w:spacing w:before="60"/>
        <w:ind w:left="284" w:hanging="284"/>
      </w:pPr>
      <w:r w:rsidRPr="004111A7">
        <w:t>D</w:t>
      </w:r>
      <w:r w:rsidR="007476F2">
        <w:t xml:space="preserve">CBs </w:t>
      </w:r>
      <w:r w:rsidRPr="004111A7">
        <w:t>are not separately identified in Appropriation Bill (No.</w:t>
      </w:r>
      <w:r w:rsidR="006B1DD8">
        <w:t xml:space="preserve"> </w:t>
      </w:r>
      <w:r w:rsidRPr="004111A7">
        <w:t>1) and form part of ordinary annual services items. Please refer to Table 3.5 for further details. For accounting purposes, this amount has been designated as a 'contribution by owner'.</w:t>
      </w:r>
    </w:p>
    <w:p w14:paraId="2239DFB9" w14:textId="5AC3CE97" w:rsidR="002567A5" w:rsidRPr="004111A7" w:rsidRDefault="002567A5" w:rsidP="00BA1132">
      <w:pPr>
        <w:pStyle w:val="ChartandTableFootnoteAlpha"/>
        <w:numPr>
          <w:ilvl w:val="0"/>
          <w:numId w:val="11"/>
        </w:numPr>
        <w:spacing w:before="60"/>
        <w:ind w:left="284" w:hanging="284"/>
      </w:pPr>
      <w:r>
        <w:t>Appropriation Bill (No. 2) 2022-23</w:t>
      </w:r>
      <w:r w:rsidR="007476F2">
        <w:t xml:space="preserve">, Supply Bill (No. 4) 2022-23 and </w:t>
      </w:r>
      <w:r w:rsidR="007476F2" w:rsidRPr="00084B16">
        <w:rPr>
          <w:i/>
        </w:rPr>
        <w:t>Supply Act (No.</w:t>
      </w:r>
      <w:r w:rsidR="006B1DD8">
        <w:rPr>
          <w:i/>
        </w:rPr>
        <w:t xml:space="preserve"> </w:t>
      </w:r>
      <w:r w:rsidR="007476F2" w:rsidRPr="00084B16">
        <w:rPr>
          <w:i/>
        </w:rPr>
        <w:t>2) 2022-</w:t>
      </w:r>
      <w:r w:rsidR="00084B16" w:rsidRPr="00084B16">
        <w:rPr>
          <w:i/>
        </w:rPr>
        <w:t>20</w:t>
      </w:r>
      <w:r w:rsidR="007476F2" w:rsidRPr="00084B16">
        <w:rPr>
          <w:i/>
        </w:rPr>
        <w:t>23</w:t>
      </w:r>
      <w:r w:rsidR="00084B16">
        <w:t>.</w:t>
      </w:r>
    </w:p>
    <w:p w14:paraId="2239DFBA" w14:textId="36B5D920" w:rsidR="002567A5" w:rsidRPr="004111A7" w:rsidRDefault="002567A5" w:rsidP="00BA1132">
      <w:pPr>
        <w:pStyle w:val="ChartandTableFootnoteAlpha"/>
        <w:numPr>
          <w:ilvl w:val="0"/>
          <w:numId w:val="11"/>
        </w:numPr>
        <w:spacing w:before="60"/>
        <w:ind w:left="284" w:hanging="284"/>
      </w:pPr>
      <w:r w:rsidRPr="004111A7">
        <w:t xml:space="preserve">For further information on special appropriations and special accounts, please refer to </w:t>
      </w:r>
      <w:r w:rsidR="006B1DD8">
        <w:rPr>
          <w:i/>
        </w:rPr>
        <w:t>Budget Paper No. </w:t>
      </w:r>
      <w:r w:rsidRPr="00BB5356">
        <w:rPr>
          <w:i/>
        </w:rPr>
        <w:t>4 - Agency Resourcing</w:t>
      </w:r>
      <w:r w:rsidRPr="004111A7">
        <w:t>. Please also refer to Table 2.1.1, 2.2.1 and 2.3.1 for further information on outcome and program expenses broken down by various funding sources, e.g. annual appropriations, special appropriations and special accounts.</w:t>
      </w:r>
    </w:p>
    <w:p w14:paraId="2239DFBB" w14:textId="77777777" w:rsidR="002567A5" w:rsidRPr="004111A7" w:rsidRDefault="002567A5" w:rsidP="00BA1132">
      <w:pPr>
        <w:pStyle w:val="ChartandTableFootnoteAlpha"/>
        <w:numPr>
          <w:ilvl w:val="0"/>
          <w:numId w:val="11"/>
        </w:numPr>
        <w:spacing w:before="60"/>
        <w:ind w:left="284" w:hanging="284"/>
      </w:pPr>
      <w:r w:rsidRPr="004111A7">
        <w:t>Amounts credited to the special account(s) from Finance’s annual and special appropriations.</w:t>
      </w:r>
    </w:p>
    <w:p w14:paraId="062D4FFF" w14:textId="60FE574F" w:rsidR="00A61B84" w:rsidRDefault="002567A5" w:rsidP="00BA1132">
      <w:pPr>
        <w:pStyle w:val="ChartandTableFootnoteAlpha"/>
        <w:numPr>
          <w:ilvl w:val="0"/>
          <w:numId w:val="11"/>
        </w:numPr>
        <w:spacing w:before="60"/>
        <w:ind w:left="284" w:hanging="284"/>
      </w:pPr>
      <w:r w:rsidRPr="004111A7">
        <w:t xml:space="preserve">Administered capital budgets </w:t>
      </w:r>
      <w:r w:rsidR="00084B16">
        <w:t xml:space="preserve">(ACB) </w:t>
      </w:r>
      <w:r w:rsidRPr="004111A7">
        <w:t>are not separately identified in Appropriation Bill (No. 1) and form part of ordinary annual services items. Please refer to Table 3.10 for further details. For accounting purposes, this amount is designated as a 'contribution by owner'</w:t>
      </w:r>
      <w:bookmarkEnd w:id="32"/>
      <w:r w:rsidR="00A61B84">
        <w:t>.</w:t>
      </w:r>
      <w:r w:rsidR="00A61B84">
        <w:br w:type="page"/>
      </w:r>
    </w:p>
    <w:p w14:paraId="2239DFBD" w14:textId="2AF7F98D" w:rsidR="007B20B0" w:rsidRPr="00A61B84" w:rsidRDefault="007B20B0" w:rsidP="00A61B84">
      <w:pPr>
        <w:pStyle w:val="ChartandTableFootnoteAlpha"/>
        <w:jc w:val="both"/>
      </w:pPr>
      <w:r w:rsidRPr="00A61B84">
        <w:rPr>
          <w:b/>
          <w:color w:val="auto"/>
          <w:sz w:val="20"/>
        </w:rPr>
        <w:lastRenderedPageBreak/>
        <w:t>Table 1.1: Department of Finance resource statement — Budget estimates for 2022-23 as at October Budget 2022 (continued)</w:t>
      </w:r>
    </w:p>
    <w:p w14:paraId="2239DFC0" w14:textId="23A4E212" w:rsidR="007B20B0" w:rsidRPr="0044701E" w:rsidRDefault="00C7638D" w:rsidP="003F388C">
      <w:pPr>
        <w:pStyle w:val="TableHeading"/>
        <w:spacing w:before="60" w:after="0"/>
      </w:pPr>
      <w:r w:rsidRPr="005C4BEE">
        <w:t xml:space="preserve">Third party payments from and on behalf of other </w:t>
      </w:r>
      <w:bookmarkStart w:id="33" w:name="_Toc190682311"/>
      <w:bookmarkStart w:id="34" w:name="_Toc190682529"/>
      <w:r w:rsidR="00A61B84">
        <w:t>entitie</w:t>
      </w:r>
      <w:r w:rsidR="00A90EB6">
        <w:rPr>
          <w:noProof/>
        </w:rPr>
        <w:t>s</w:t>
      </w:r>
      <w:r w:rsidR="00AF0ACA" w:rsidRPr="00AF0ACA">
        <w:rPr>
          <w:noProof/>
        </w:rPr>
        <w:drawing>
          <wp:inline distT="0" distB="0" distL="0" distR="0" wp14:anchorId="6C5940E1" wp14:editId="04502936">
            <wp:extent cx="4895850" cy="4789602"/>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95850" cy="4789602"/>
                    </a:xfrm>
                    <a:prstGeom prst="rect">
                      <a:avLst/>
                    </a:prstGeom>
                    <a:noFill/>
                    <a:ln>
                      <a:noFill/>
                    </a:ln>
                  </pic:spPr>
                </pic:pic>
              </a:graphicData>
            </a:graphic>
          </wp:inline>
        </w:drawing>
      </w:r>
      <w:r w:rsidR="007B20B0" w:rsidRPr="003F388C">
        <w:rPr>
          <w:b w:val="0"/>
          <w:sz w:val="16"/>
          <w:szCs w:val="16"/>
        </w:rPr>
        <w:t>All figures shown above are GST exclusive - these may not match figures in the cash flow statement.</w:t>
      </w:r>
    </w:p>
    <w:p w14:paraId="2239DFC1" w14:textId="77777777" w:rsidR="007B20B0" w:rsidRPr="0044701E" w:rsidRDefault="007B20B0" w:rsidP="00FB00DA">
      <w:pPr>
        <w:pStyle w:val="ChartandTableFootnote"/>
        <w:spacing w:before="60"/>
        <w:rPr>
          <w:color w:val="auto"/>
        </w:rPr>
      </w:pPr>
      <w:r w:rsidRPr="0044701E">
        <w:rPr>
          <w:color w:val="auto"/>
        </w:rPr>
        <w:t>Prepared on a resourcing (that is, appropriations available) basis.</w:t>
      </w:r>
    </w:p>
    <w:p w14:paraId="2239DFC2" w14:textId="77777777" w:rsidR="007B20B0" w:rsidRPr="0044701E" w:rsidRDefault="007B20B0" w:rsidP="00BA1132">
      <w:pPr>
        <w:pStyle w:val="ChartandTableFootnoteAlpha"/>
        <w:numPr>
          <w:ilvl w:val="0"/>
          <w:numId w:val="12"/>
        </w:numPr>
        <w:spacing w:before="60"/>
        <w:ind w:left="284" w:hanging="284"/>
      </w:pPr>
      <w:bookmarkStart w:id="35" w:name="OLE_LINK4"/>
      <w:r w:rsidRPr="0044701E">
        <w:t>Compensation and legal payments.</w:t>
      </w:r>
    </w:p>
    <w:p w14:paraId="2239DFC3" w14:textId="77777777" w:rsidR="007B20B0" w:rsidRPr="0044701E" w:rsidRDefault="007B20B0" w:rsidP="00BA1132">
      <w:pPr>
        <w:pStyle w:val="ChartandTableFootnoteAlpha"/>
        <w:numPr>
          <w:ilvl w:val="0"/>
          <w:numId w:val="12"/>
        </w:numPr>
        <w:spacing w:before="60"/>
        <w:ind w:left="284" w:hanging="284"/>
      </w:pPr>
      <w:r w:rsidRPr="0044701E">
        <w:t>Act of grace payments</w:t>
      </w:r>
      <w:bookmarkEnd w:id="35"/>
      <w:r w:rsidRPr="0044701E">
        <w:t>.</w:t>
      </w:r>
    </w:p>
    <w:p w14:paraId="2239DFC4" w14:textId="77777777" w:rsidR="007B20B0" w:rsidRPr="007B20B0" w:rsidRDefault="007B20B0" w:rsidP="007B20B0">
      <w:pPr>
        <w:pStyle w:val="ChartandTableFootnoteAlpha"/>
        <w:spacing w:before="0"/>
        <w:ind w:left="360"/>
        <w:jc w:val="both"/>
      </w:pPr>
    </w:p>
    <w:p w14:paraId="2239DFC5" w14:textId="77777777" w:rsidR="0008449F" w:rsidRPr="005A7C0B" w:rsidRDefault="00E06F9F" w:rsidP="00AD42E2">
      <w:pPr>
        <w:pStyle w:val="Heading3"/>
        <w:spacing w:before="0"/>
      </w:pPr>
      <w:r>
        <w:br w:type="page"/>
      </w:r>
      <w:bookmarkStart w:id="36" w:name="_Toc444523511"/>
      <w:bookmarkStart w:id="37" w:name="_Toc116742493"/>
      <w:bookmarkStart w:id="38" w:name="_Toc117027157"/>
      <w:bookmarkStart w:id="39" w:name="_Toc117070783"/>
      <w:bookmarkStart w:id="40" w:name="_Toc117071037"/>
      <w:bookmarkStart w:id="41" w:name="_Toc117078071"/>
      <w:r w:rsidR="0008449F" w:rsidRPr="005A7C0B">
        <w:lastRenderedPageBreak/>
        <w:t>1.3</w:t>
      </w:r>
      <w:r w:rsidR="0008449F" w:rsidRPr="005A7C0B">
        <w:tab/>
        <w:t>Budget measures</w:t>
      </w:r>
      <w:bookmarkEnd w:id="33"/>
      <w:bookmarkEnd w:id="34"/>
      <w:bookmarkEnd w:id="36"/>
      <w:bookmarkEnd w:id="37"/>
      <w:bookmarkEnd w:id="38"/>
      <w:bookmarkEnd w:id="39"/>
      <w:bookmarkEnd w:id="40"/>
      <w:bookmarkEnd w:id="41"/>
    </w:p>
    <w:p w14:paraId="2239DFC6" w14:textId="77777777" w:rsidR="00F20B6E" w:rsidRDefault="00DC32EC" w:rsidP="0008449F">
      <w:r w:rsidRPr="00DC32EC">
        <w:t xml:space="preserve">Budget measures </w:t>
      </w:r>
      <w:r w:rsidR="005C4BEE">
        <w:t xml:space="preserve">in Part 1 </w:t>
      </w:r>
      <w:r w:rsidRPr="00DC32EC">
        <w:t>relating to</w:t>
      </w:r>
      <w:r w:rsidR="001B03CC">
        <w:t xml:space="preserve"> entity </w:t>
      </w:r>
      <w:r w:rsidR="0049437D">
        <w:t>Finance</w:t>
      </w:r>
      <w:r w:rsidRPr="00DC32EC">
        <w:t xml:space="preserve"> a</w:t>
      </w:r>
      <w:r w:rsidR="00CB4589">
        <w:t xml:space="preserve">re detailed in </w:t>
      </w:r>
      <w:r w:rsidR="00B47998">
        <w:t xml:space="preserve">the October </w:t>
      </w:r>
      <w:r w:rsidR="00CB4589">
        <w:t>Budget Paper No. </w:t>
      </w:r>
      <w:r w:rsidRPr="00DC32EC">
        <w:t>2</w:t>
      </w:r>
      <w:r w:rsidR="00C2641F">
        <w:t xml:space="preserve"> and are summarised </w:t>
      </w:r>
      <w:r w:rsidR="002C7703">
        <w:t>below</w:t>
      </w:r>
      <w:r w:rsidR="003D4188">
        <w:t>.</w:t>
      </w:r>
    </w:p>
    <w:p w14:paraId="211E02D9" w14:textId="77777777" w:rsidR="00EB3169" w:rsidRPr="009A40DD" w:rsidRDefault="00EB3169" w:rsidP="00EB3169">
      <w:pPr>
        <w:pStyle w:val="TableHeading"/>
      </w:pPr>
      <w:r w:rsidRPr="009A40DD">
        <w:t xml:space="preserve">Table 1.2: </w:t>
      </w:r>
      <w:r>
        <w:t>Department of Finance</w:t>
      </w:r>
      <w:r w:rsidRPr="009A40DD">
        <w:t xml:space="preserve"> </w:t>
      </w:r>
      <w:r>
        <w:t xml:space="preserve">October 2022-23 </w:t>
      </w:r>
      <w:r w:rsidRPr="009A40DD">
        <w:t>Budget measures</w:t>
      </w:r>
    </w:p>
    <w:p w14:paraId="4910CF1B" w14:textId="6CD00EE2" w:rsidR="00E83DA4" w:rsidRDefault="00EB3169" w:rsidP="005545DF">
      <w:pPr>
        <w:spacing w:before="0" w:after="0" w:line="240" w:lineRule="auto"/>
        <w:rPr>
          <w:rFonts w:ascii="Arial Bold" w:hAnsi="Arial Bold"/>
          <w:b/>
        </w:rPr>
      </w:pPr>
      <w:r>
        <w:rPr>
          <w:rFonts w:ascii="Arial Bold" w:hAnsi="Arial Bold"/>
          <w:b/>
        </w:rPr>
        <w:t xml:space="preserve">Part 1: </w:t>
      </w: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2022-23 March Budget</w:t>
      </w:r>
    </w:p>
    <w:p w14:paraId="20A2A09D" w14:textId="442B57E4" w:rsidR="00EB3169" w:rsidRPr="005545DF" w:rsidRDefault="00F137A8" w:rsidP="008B10FE">
      <w:pPr>
        <w:spacing w:before="30" w:after="0" w:line="240" w:lineRule="auto"/>
        <w:rPr>
          <w:rFonts w:ascii="Arial Bold" w:hAnsi="Arial Bold"/>
          <w:b/>
        </w:rPr>
      </w:pPr>
      <w:r w:rsidRPr="00E54E35">
        <w:rPr>
          <w:rFonts w:ascii="Arial" w:hAnsi="Arial" w:cs="Arial"/>
          <w:noProof/>
          <w:sz w:val="16"/>
          <w:szCs w:val="16"/>
        </w:rPr>
        <w:drawing>
          <wp:inline distT="0" distB="0" distL="0" distR="0" wp14:anchorId="4DD7B1B9" wp14:editId="66C9F5A0">
            <wp:extent cx="4762500" cy="607555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70153" cy="6085313"/>
                    </a:xfrm>
                    <a:prstGeom prst="rect">
                      <a:avLst/>
                    </a:prstGeom>
                    <a:noFill/>
                    <a:ln>
                      <a:noFill/>
                    </a:ln>
                  </pic:spPr>
                </pic:pic>
              </a:graphicData>
            </a:graphic>
          </wp:inline>
        </w:drawing>
      </w:r>
      <w:r w:rsidR="00EB3169" w:rsidRPr="00E83DA4">
        <w:rPr>
          <w:rFonts w:ascii="Arial" w:hAnsi="Arial" w:cs="Arial"/>
          <w:sz w:val="16"/>
          <w:szCs w:val="16"/>
        </w:rPr>
        <w:t>Table continues on next page</w:t>
      </w:r>
      <w:r w:rsidR="00EB3169">
        <w:br w:type="page"/>
      </w:r>
    </w:p>
    <w:p w14:paraId="2239DFC7" w14:textId="779EC2C3" w:rsidR="00AF3811" w:rsidRPr="00EB3169" w:rsidRDefault="00AF3811" w:rsidP="00EB3169">
      <w:pPr>
        <w:pStyle w:val="TableHeading"/>
      </w:pPr>
      <w:r w:rsidRPr="009A40DD">
        <w:lastRenderedPageBreak/>
        <w:t xml:space="preserve">Table 1.2: </w:t>
      </w:r>
      <w:r w:rsidR="0049437D">
        <w:t>Department of Finance</w:t>
      </w:r>
      <w:r w:rsidR="007E6BBD" w:rsidRPr="009A40DD">
        <w:t xml:space="preserve"> </w:t>
      </w:r>
      <w:r w:rsidR="00B47998">
        <w:t xml:space="preserve">October </w:t>
      </w:r>
      <w:r w:rsidR="00400A8B">
        <w:t>2022</w:t>
      </w:r>
      <w:r w:rsidR="00FC6CF3">
        <w:t>-</w:t>
      </w:r>
      <w:r w:rsidR="00400A8B">
        <w:t xml:space="preserve">23 </w:t>
      </w:r>
      <w:r w:rsidRPr="009A40DD">
        <w:t>Budget measures</w:t>
      </w:r>
      <w:r w:rsidR="00EB3169">
        <w:t xml:space="preserve"> (continued)</w:t>
      </w:r>
    </w:p>
    <w:p w14:paraId="1A433DDB" w14:textId="1291E96C" w:rsidR="00196223" w:rsidRPr="00875189" w:rsidRDefault="00C65397" w:rsidP="00196223">
      <w:pPr>
        <w:pStyle w:val="TableHeading"/>
        <w:spacing w:before="60" w:after="0"/>
        <w:rPr>
          <w:sz w:val="19"/>
          <w:szCs w:val="19"/>
        </w:rPr>
      </w:pPr>
      <w:r w:rsidRPr="00875189">
        <w:rPr>
          <w:sz w:val="19"/>
          <w:szCs w:val="19"/>
        </w:rPr>
        <w:t xml:space="preserve">Part 1: </w:t>
      </w:r>
      <w:r w:rsidR="007F6CAD" w:rsidRPr="00875189">
        <w:rPr>
          <w:sz w:val="19"/>
          <w:szCs w:val="19"/>
        </w:rPr>
        <w:t xml:space="preserve">Measures announced </w:t>
      </w:r>
      <w:r w:rsidR="00FC6CF3" w:rsidRPr="00875189">
        <w:rPr>
          <w:sz w:val="19"/>
          <w:szCs w:val="19"/>
        </w:rPr>
        <w:t xml:space="preserve">since </w:t>
      </w:r>
      <w:r w:rsidR="007F6CAD" w:rsidRPr="00875189">
        <w:rPr>
          <w:sz w:val="19"/>
          <w:szCs w:val="19"/>
        </w:rPr>
        <w:t xml:space="preserve">the </w:t>
      </w:r>
      <w:r w:rsidR="00400A8B" w:rsidRPr="00875189">
        <w:rPr>
          <w:sz w:val="19"/>
          <w:szCs w:val="19"/>
        </w:rPr>
        <w:t>202</w:t>
      </w:r>
      <w:r w:rsidR="00772A9B" w:rsidRPr="00875189">
        <w:rPr>
          <w:sz w:val="19"/>
          <w:szCs w:val="19"/>
        </w:rPr>
        <w:t>2</w:t>
      </w:r>
      <w:r w:rsidR="00FC6CF3" w:rsidRPr="00875189">
        <w:rPr>
          <w:sz w:val="19"/>
          <w:szCs w:val="19"/>
        </w:rPr>
        <w:t>-</w:t>
      </w:r>
      <w:r w:rsidR="002E59C4" w:rsidRPr="00875189">
        <w:rPr>
          <w:sz w:val="19"/>
          <w:szCs w:val="19"/>
        </w:rPr>
        <w:t>2</w:t>
      </w:r>
      <w:r w:rsidR="00772A9B" w:rsidRPr="00875189">
        <w:rPr>
          <w:sz w:val="19"/>
          <w:szCs w:val="19"/>
        </w:rPr>
        <w:t>3</w:t>
      </w:r>
      <w:r w:rsidR="002E59C4" w:rsidRPr="00875189">
        <w:rPr>
          <w:sz w:val="19"/>
          <w:szCs w:val="19"/>
        </w:rPr>
        <w:t xml:space="preserve"> </w:t>
      </w:r>
      <w:r w:rsidR="00772A9B" w:rsidRPr="00875189">
        <w:rPr>
          <w:sz w:val="19"/>
          <w:szCs w:val="19"/>
        </w:rPr>
        <w:t>March Budget</w:t>
      </w:r>
    </w:p>
    <w:p w14:paraId="02B4986C" w14:textId="77777777" w:rsidR="003F6675" w:rsidRPr="003F6675" w:rsidRDefault="003F6675" w:rsidP="003F6675">
      <w:pPr>
        <w:pStyle w:val="TableGraphic"/>
      </w:pPr>
    </w:p>
    <w:p w14:paraId="0EF336AA" w14:textId="77777777" w:rsidR="00196223" w:rsidRPr="00196223" w:rsidRDefault="00196223" w:rsidP="00DD0B93">
      <w:pPr>
        <w:pStyle w:val="TableGraphic"/>
        <w:spacing w:before="60"/>
        <w:ind w:right="0"/>
        <w:rPr>
          <w:rFonts w:ascii="Arial" w:hAnsi="Arial" w:cs="Arial"/>
          <w:sz w:val="16"/>
          <w:szCs w:val="16"/>
        </w:rPr>
      </w:pPr>
      <w:r w:rsidRPr="00196223">
        <w:rPr>
          <w:rFonts w:ascii="Arial" w:hAnsi="Arial" w:cs="Arial"/>
          <w:sz w:val="16"/>
          <w:szCs w:val="16"/>
        </w:rPr>
        <w:t>"Prepared on a Government Financial Statistics (Underlying Cash) basis. Figures displayed as a negative (-) represent a decrease in funds and a positive (+) represent an increase in funds."</w:t>
      </w:r>
    </w:p>
    <w:p w14:paraId="14F12AA5" w14:textId="7350F4A5" w:rsidR="00622DDE" w:rsidRPr="00622DDE" w:rsidRDefault="00622DDE" w:rsidP="00BA1132">
      <w:pPr>
        <w:pStyle w:val="TableGraphic"/>
        <w:spacing w:before="60"/>
        <w:ind w:left="284" w:right="0" w:hanging="284"/>
        <w:rPr>
          <w:rFonts w:ascii="Arial" w:hAnsi="Arial" w:cs="Arial"/>
          <w:sz w:val="16"/>
          <w:szCs w:val="16"/>
        </w:rPr>
      </w:pPr>
      <w:bookmarkStart w:id="42" w:name="_Toc444523512"/>
      <w:bookmarkStart w:id="43" w:name="_Toc116742494"/>
      <w:bookmarkStart w:id="44" w:name="_Toc190682312"/>
      <w:bookmarkStart w:id="45" w:name="_Toc190682530"/>
      <w:r>
        <w:t>a</w:t>
      </w:r>
      <w:r w:rsidRPr="00622DDE">
        <w:rPr>
          <w:rFonts w:ascii="Arial" w:hAnsi="Arial" w:cs="Arial"/>
          <w:sz w:val="16"/>
          <w:szCs w:val="16"/>
        </w:rPr>
        <w:t>)</w:t>
      </w:r>
      <w:r w:rsidRPr="00622DDE">
        <w:rPr>
          <w:rFonts w:ascii="Arial" w:hAnsi="Arial" w:cs="Arial"/>
          <w:sz w:val="16"/>
          <w:szCs w:val="16"/>
        </w:rPr>
        <w:tab/>
      </w:r>
      <w:r w:rsidR="00606300" w:rsidRPr="00606300">
        <w:rPr>
          <w:rFonts w:ascii="Arial" w:hAnsi="Arial" w:cs="Arial"/>
          <w:sz w:val="16"/>
          <w:szCs w:val="16"/>
        </w:rPr>
        <w:t xml:space="preserve">The lead entity for measure titled </w:t>
      </w:r>
      <w:r w:rsidR="00606300" w:rsidRPr="00606300">
        <w:rPr>
          <w:rFonts w:ascii="Arial" w:hAnsi="Arial" w:cs="Arial"/>
          <w:i/>
          <w:sz w:val="16"/>
          <w:szCs w:val="16"/>
        </w:rPr>
        <w:t>Safer and More Affordable Housing</w:t>
      </w:r>
      <w:r w:rsidR="00606300" w:rsidRPr="00606300">
        <w:rPr>
          <w:rFonts w:ascii="Arial" w:hAnsi="Arial" w:cs="Arial"/>
          <w:sz w:val="16"/>
          <w:szCs w:val="16"/>
        </w:rPr>
        <w:t xml:space="preserve"> is the Department of the Treasury a</w:t>
      </w:r>
      <w:r w:rsidR="006A7227">
        <w:rPr>
          <w:rFonts w:ascii="Arial" w:hAnsi="Arial" w:cs="Arial"/>
          <w:sz w:val="16"/>
          <w:szCs w:val="16"/>
        </w:rPr>
        <w:t>nd the amounts are held in the contingency r</w:t>
      </w:r>
      <w:r w:rsidR="00606300" w:rsidRPr="00606300">
        <w:rPr>
          <w:rFonts w:ascii="Arial" w:hAnsi="Arial" w:cs="Arial"/>
          <w:sz w:val="16"/>
          <w:szCs w:val="16"/>
        </w:rPr>
        <w:t>eserve. The full measure description and package details appear in the October Budget Paper No.</w:t>
      </w:r>
      <w:r w:rsidR="0075199B">
        <w:rPr>
          <w:rFonts w:ascii="Arial" w:hAnsi="Arial" w:cs="Arial"/>
          <w:sz w:val="16"/>
          <w:szCs w:val="16"/>
        </w:rPr>
        <w:t xml:space="preserve"> </w:t>
      </w:r>
      <w:r w:rsidR="00312D77">
        <w:rPr>
          <w:rFonts w:ascii="Arial" w:hAnsi="Arial" w:cs="Arial"/>
          <w:sz w:val="16"/>
          <w:szCs w:val="16"/>
        </w:rPr>
        <w:t>2 under the Treasury p</w:t>
      </w:r>
      <w:r w:rsidR="00606300" w:rsidRPr="00606300">
        <w:rPr>
          <w:rFonts w:ascii="Arial" w:hAnsi="Arial" w:cs="Arial"/>
          <w:sz w:val="16"/>
          <w:szCs w:val="16"/>
        </w:rPr>
        <w:t>ortfolio.</w:t>
      </w:r>
    </w:p>
    <w:p w14:paraId="02FDC41A" w14:textId="77777777" w:rsidR="00622DDE" w:rsidRPr="00622DDE" w:rsidRDefault="00622DDE" w:rsidP="00BA1132">
      <w:pPr>
        <w:pStyle w:val="TableGraphic"/>
        <w:spacing w:before="60"/>
        <w:ind w:left="284" w:right="0" w:hanging="284"/>
        <w:rPr>
          <w:rFonts w:ascii="Arial" w:hAnsi="Arial" w:cs="Arial"/>
          <w:sz w:val="16"/>
          <w:szCs w:val="16"/>
        </w:rPr>
      </w:pPr>
      <w:r w:rsidRPr="00622DDE">
        <w:rPr>
          <w:rFonts w:ascii="Arial" w:hAnsi="Arial" w:cs="Arial"/>
          <w:sz w:val="16"/>
          <w:szCs w:val="16"/>
        </w:rPr>
        <w:t>b)</w:t>
      </w:r>
      <w:r w:rsidRPr="00622DDE">
        <w:rPr>
          <w:rFonts w:ascii="Arial" w:hAnsi="Arial" w:cs="Arial"/>
          <w:sz w:val="16"/>
          <w:szCs w:val="16"/>
        </w:rPr>
        <w:tab/>
        <w:t xml:space="preserve">The lead entity for measure titled </w:t>
      </w:r>
      <w:r w:rsidRPr="00040818">
        <w:rPr>
          <w:rFonts w:ascii="Arial" w:hAnsi="Arial" w:cs="Arial"/>
          <w:i/>
          <w:sz w:val="16"/>
          <w:szCs w:val="16"/>
        </w:rPr>
        <w:t>Abolish the Cashless Debit Card</w:t>
      </w:r>
      <w:r w:rsidRPr="00622DDE">
        <w:rPr>
          <w:rFonts w:ascii="Arial" w:hAnsi="Arial" w:cs="Arial"/>
          <w:sz w:val="16"/>
          <w:szCs w:val="16"/>
        </w:rPr>
        <w:t xml:space="preserve"> is the Department of Social Services. The full measure description and package details appear in the October Budget Paper No. 2 under the Social Services portfolio. </w:t>
      </w:r>
    </w:p>
    <w:p w14:paraId="5C58C9D9" w14:textId="1CEAA9AC" w:rsidR="00622DDE" w:rsidRPr="00622DDE" w:rsidRDefault="00622DDE" w:rsidP="00BA1132">
      <w:pPr>
        <w:pStyle w:val="TableGraphic"/>
        <w:spacing w:before="60"/>
        <w:ind w:left="284" w:right="0" w:hanging="284"/>
        <w:rPr>
          <w:rFonts w:ascii="Arial" w:hAnsi="Arial" w:cs="Arial"/>
          <w:sz w:val="16"/>
          <w:szCs w:val="16"/>
        </w:rPr>
      </w:pPr>
      <w:r w:rsidRPr="00622DDE">
        <w:rPr>
          <w:rFonts w:ascii="Arial" w:hAnsi="Arial" w:cs="Arial"/>
          <w:sz w:val="16"/>
          <w:szCs w:val="16"/>
        </w:rPr>
        <w:t>c)</w:t>
      </w:r>
      <w:r w:rsidRPr="00622DDE">
        <w:rPr>
          <w:rFonts w:ascii="Arial" w:hAnsi="Arial" w:cs="Arial"/>
          <w:sz w:val="16"/>
          <w:szCs w:val="16"/>
        </w:rPr>
        <w:tab/>
      </w:r>
      <w:r w:rsidR="00250B66" w:rsidRPr="00250B66">
        <w:rPr>
          <w:rFonts w:ascii="Arial" w:hAnsi="Arial" w:cs="Arial"/>
          <w:sz w:val="16"/>
          <w:szCs w:val="16"/>
        </w:rPr>
        <w:t xml:space="preserve">The lead entity for measure titled </w:t>
      </w:r>
      <w:r w:rsidR="00250B66" w:rsidRPr="00250B66">
        <w:rPr>
          <w:rFonts w:ascii="Arial" w:hAnsi="Arial" w:cs="Arial"/>
          <w:i/>
          <w:sz w:val="16"/>
          <w:szCs w:val="16"/>
        </w:rPr>
        <w:t>An Ambitious and Enduring APS Reform Plan</w:t>
      </w:r>
      <w:r w:rsidR="00250B66" w:rsidRPr="00250B66">
        <w:rPr>
          <w:rFonts w:ascii="Arial" w:hAnsi="Arial" w:cs="Arial"/>
          <w:sz w:val="16"/>
          <w:szCs w:val="16"/>
        </w:rPr>
        <w:t xml:space="preserve"> is the Department of the Prime Minister and Cabinet. The full measure description and package details appear in the October Budget Paper No. 2 under the Prime Minister and Cabinet portfolio.</w:t>
      </w:r>
    </w:p>
    <w:p w14:paraId="554470B6" w14:textId="77777777" w:rsidR="00622DDE" w:rsidRPr="00622DDE" w:rsidRDefault="00622DDE" w:rsidP="00BA1132">
      <w:pPr>
        <w:pStyle w:val="TableGraphic"/>
        <w:spacing w:before="60"/>
        <w:ind w:left="284" w:right="0" w:hanging="284"/>
        <w:rPr>
          <w:rFonts w:ascii="Arial" w:hAnsi="Arial" w:cs="Arial"/>
          <w:sz w:val="16"/>
          <w:szCs w:val="16"/>
        </w:rPr>
      </w:pPr>
      <w:r w:rsidRPr="00622DDE">
        <w:rPr>
          <w:rFonts w:ascii="Arial" w:hAnsi="Arial" w:cs="Arial"/>
          <w:sz w:val="16"/>
          <w:szCs w:val="16"/>
        </w:rPr>
        <w:t>d)</w:t>
      </w:r>
      <w:r w:rsidRPr="00622DDE">
        <w:rPr>
          <w:rFonts w:ascii="Arial" w:hAnsi="Arial" w:cs="Arial"/>
          <w:sz w:val="16"/>
          <w:szCs w:val="16"/>
        </w:rPr>
        <w:tab/>
        <w:t xml:space="preserve">The lead entity for measure titled </w:t>
      </w:r>
      <w:r w:rsidRPr="00040818">
        <w:rPr>
          <w:rFonts w:ascii="Arial" w:hAnsi="Arial" w:cs="Arial"/>
          <w:i/>
          <w:sz w:val="16"/>
          <w:szCs w:val="16"/>
        </w:rPr>
        <w:t>Buy Australian Plan</w:t>
      </w:r>
      <w:r w:rsidRPr="00622DDE">
        <w:rPr>
          <w:rFonts w:ascii="Arial" w:hAnsi="Arial" w:cs="Arial"/>
          <w:sz w:val="16"/>
          <w:szCs w:val="16"/>
        </w:rPr>
        <w:t xml:space="preserve"> is the Department of Finance. The full measure description and package details appear in the October Budget Paper No. 2 under the Finance portfolio. </w:t>
      </w:r>
    </w:p>
    <w:p w14:paraId="3DA4CFA8" w14:textId="3AB4947E" w:rsidR="00622DDE" w:rsidRPr="00622DDE" w:rsidRDefault="00622DDE" w:rsidP="00BA1132">
      <w:pPr>
        <w:pStyle w:val="TableGraphic"/>
        <w:spacing w:before="60"/>
        <w:ind w:left="284" w:right="0" w:hanging="284"/>
        <w:rPr>
          <w:rFonts w:ascii="Arial" w:hAnsi="Arial" w:cs="Arial"/>
          <w:sz w:val="16"/>
          <w:szCs w:val="16"/>
        </w:rPr>
      </w:pPr>
      <w:r w:rsidRPr="00622DDE">
        <w:rPr>
          <w:rFonts w:ascii="Arial" w:hAnsi="Arial" w:cs="Arial"/>
          <w:sz w:val="16"/>
          <w:szCs w:val="16"/>
        </w:rPr>
        <w:t>e)</w:t>
      </w:r>
      <w:r w:rsidRPr="00622DDE">
        <w:rPr>
          <w:rFonts w:ascii="Arial" w:hAnsi="Arial" w:cs="Arial"/>
          <w:sz w:val="16"/>
          <w:szCs w:val="16"/>
        </w:rPr>
        <w:tab/>
      </w:r>
      <w:r w:rsidR="00471520" w:rsidRPr="00471520">
        <w:rPr>
          <w:rFonts w:ascii="Arial" w:hAnsi="Arial" w:cs="Arial"/>
          <w:sz w:val="16"/>
          <w:szCs w:val="16"/>
        </w:rPr>
        <w:t xml:space="preserve">The lead entity for measure titled </w:t>
      </w:r>
      <w:r w:rsidR="00471520" w:rsidRPr="00471520">
        <w:rPr>
          <w:rFonts w:ascii="Arial" w:hAnsi="Arial" w:cs="Arial"/>
          <w:i/>
          <w:sz w:val="16"/>
          <w:szCs w:val="16"/>
        </w:rPr>
        <w:t>Delivery of a First Nations Voice to Parliament Referendum</w:t>
      </w:r>
      <w:r w:rsidR="00431B84">
        <w:rPr>
          <w:rFonts w:ascii="Arial" w:hAnsi="Arial" w:cs="Arial"/>
          <w:i/>
          <w:sz w:val="16"/>
          <w:szCs w:val="16"/>
        </w:rPr>
        <w:t xml:space="preserve"> –</w:t>
      </w:r>
      <w:r w:rsidR="00471520" w:rsidRPr="00471520">
        <w:rPr>
          <w:rFonts w:ascii="Arial" w:hAnsi="Arial" w:cs="Arial"/>
          <w:i/>
          <w:sz w:val="16"/>
          <w:szCs w:val="16"/>
        </w:rPr>
        <w:t xml:space="preserve"> preparatory work</w:t>
      </w:r>
      <w:r w:rsidR="00471520" w:rsidRPr="00471520">
        <w:rPr>
          <w:rFonts w:ascii="Arial" w:hAnsi="Arial" w:cs="Arial"/>
          <w:sz w:val="16"/>
          <w:szCs w:val="16"/>
        </w:rPr>
        <w:t xml:space="preserve"> is the Australian Electoral Commission. The full measure description and package details appear in the October Budget Paper No. 2 under the Prime Minister and Cabinet portfolio.</w:t>
      </w:r>
    </w:p>
    <w:p w14:paraId="76BF3C31" w14:textId="77777777" w:rsidR="00622DDE" w:rsidRPr="00622DDE" w:rsidRDefault="00622DDE" w:rsidP="00BA1132">
      <w:pPr>
        <w:pStyle w:val="TableGraphic"/>
        <w:spacing w:before="60"/>
        <w:ind w:left="284" w:right="0" w:hanging="284"/>
        <w:rPr>
          <w:rFonts w:ascii="Arial" w:hAnsi="Arial" w:cs="Arial"/>
          <w:sz w:val="16"/>
          <w:szCs w:val="16"/>
        </w:rPr>
      </w:pPr>
      <w:r w:rsidRPr="00622DDE">
        <w:rPr>
          <w:rFonts w:ascii="Arial" w:hAnsi="Arial" w:cs="Arial"/>
          <w:sz w:val="16"/>
          <w:szCs w:val="16"/>
        </w:rPr>
        <w:t>f)</w:t>
      </w:r>
      <w:r w:rsidRPr="00622DDE">
        <w:rPr>
          <w:rFonts w:ascii="Arial" w:hAnsi="Arial" w:cs="Arial"/>
          <w:sz w:val="16"/>
          <w:szCs w:val="16"/>
        </w:rPr>
        <w:tab/>
        <w:t xml:space="preserve">The lead entity for measure titled </w:t>
      </w:r>
      <w:r w:rsidRPr="00040818">
        <w:rPr>
          <w:rFonts w:ascii="Arial" w:hAnsi="Arial" w:cs="Arial"/>
          <w:i/>
          <w:sz w:val="16"/>
          <w:szCs w:val="16"/>
        </w:rPr>
        <w:t>Implementing Aged Care Reform</w:t>
      </w:r>
      <w:r w:rsidRPr="00622DDE">
        <w:rPr>
          <w:rFonts w:ascii="Arial" w:hAnsi="Arial" w:cs="Arial"/>
          <w:sz w:val="16"/>
          <w:szCs w:val="16"/>
        </w:rPr>
        <w:t xml:space="preserve"> is the Department of Health and Aged Care. The full measure description and package details appear in the October Budget Paper No. 2 under the Health and Aged Care portfolio. </w:t>
      </w:r>
    </w:p>
    <w:p w14:paraId="21750DAD" w14:textId="7321F15D" w:rsidR="00622DDE" w:rsidRPr="00622DDE" w:rsidRDefault="00622DDE" w:rsidP="00BA1132">
      <w:pPr>
        <w:pStyle w:val="TableGraphic"/>
        <w:spacing w:before="60"/>
        <w:ind w:left="284" w:right="0" w:hanging="284"/>
        <w:rPr>
          <w:rFonts w:ascii="Arial" w:hAnsi="Arial" w:cs="Arial"/>
          <w:sz w:val="16"/>
          <w:szCs w:val="16"/>
        </w:rPr>
      </w:pPr>
      <w:r w:rsidRPr="00622DDE">
        <w:rPr>
          <w:rFonts w:ascii="Arial" w:hAnsi="Arial" w:cs="Arial"/>
          <w:sz w:val="16"/>
          <w:szCs w:val="16"/>
        </w:rPr>
        <w:t>g)</w:t>
      </w:r>
      <w:r w:rsidRPr="00622DDE">
        <w:rPr>
          <w:rFonts w:ascii="Arial" w:hAnsi="Arial" w:cs="Arial"/>
          <w:sz w:val="16"/>
          <w:szCs w:val="16"/>
        </w:rPr>
        <w:tab/>
        <w:t xml:space="preserve">The lead entity for measure titled </w:t>
      </w:r>
      <w:r w:rsidR="00431B84">
        <w:rPr>
          <w:rFonts w:ascii="Arial" w:hAnsi="Arial" w:cs="Arial"/>
          <w:i/>
          <w:sz w:val="16"/>
          <w:szCs w:val="16"/>
        </w:rPr>
        <w:t xml:space="preserve">National Reconstruction Fund </w:t>
      </w:r>
      <w:r w:rsidR="00431B84" w:rsidRPr="00431B84">
        <w:rPr>
          <w:rFonts w:ascii="Arial" w:hAnsi="Arial" w:cs="Arial"/>
          <w:i/>
          <w:sz w:val="16"/>
          <w:szCs w:val="16"/>
        </w:rPr>
        <w:t xml:space="preserve">– </w:t>
      </w:r>
      <w:r w:rsidRPr="00040818">
        <w:rPr>
          <w:rFonts w:ascii="Arial" w:hAnsi="Arial" w:cs="Arial"/>
          <w:i/>
          <w:sz w:val="16"/>
          <w:szCs w:val="16"/>
        </w:rPr>
        <w:t>establishment</w:t>
      </w:r>
      <w:r w:rsidRPr="00622DDE">
        <w:rPr>
          <w:rFonts w:ascii="Arial" w:hAnsi="Arial" w:cs="Arial"/>
          <w:sz w:val="16"/>
          <w:szCs w:val="16"/>
        </w:rPr>
        <w:t xml:space="preserve"> is the Department of Industry, Science and Resources. The full measure description and package details appear in the October Budget Paper No. 2 under the Industry, Science and Resources portfolio. </w:t>
      </w:r>
    </w:p>
    <w:p w14:paraId="229A72A7" w14:textId="77777777" w:rsidR="00622DDE" w:rsidRPr="00622DDE" w:rsidRDefault="00622DDE" w:rsidP="00BA1132">
      <w:pPr>
        <w:pStyle w:val="TableGraphic"/>
        <w:spacing w:before="60"/>
        <w:ind w:left="284" w:right="0" w:hanging="284"/>
        <w:rPr>
          <w:rFonts w:ascii="Arial" w:hAnsi="Arial" w:cs="Arial"/>
          <w:sz w:val="16"/>
          <w:szCs w:val="16"/>
        </w:rPr>
      </w:pPr>
      <w:r w:rsidRPr="00622DDE">
        <w:rPr>
          <w:rFonts w:ascii="Arial" w:hAnsi="Arial" w:cs="Arial"/>
          <w:sz w:val="16"/>
          <w:szCs w:val="16"/>
        </w:rPr>
        <w:t>h)</w:t>
      </w:r>
      <w:r w:rsidRPr="00622DDE">
        <w:rPr>
          <w:rFonts w:ascii="Arial" w:hAnsi="Arial" w:cs="Arial"/>
          <w:sz w:val="16"/>
          <w:szCs w:val="16"/>
        </w:rPr>
        <w:tab/>
        <w:t xml:space="preserve">The lead entity for measure titled </w:t>
      </w:r>
      <w:r w:rsidRPr="00040818">
        <w:rPr>
          <w:rFonts w:ascii="Arial" w:hAnsi="Arial" w:cs="Arial"/>
          <w:i/>
          <w:sz w:val="16"/>
          <w:szCs w:val="16"/>
        </w:rPr>
        <w:t>National Security Office Precinct</w:t>
      </w:r>
      <w:r w:rsidRPr="00622DDE">
        <w:rPr>
          <w:rFonts w:ascii="Arial" w:hAnsi="Arial" w:cs="Arial"/>
          <w:sz w:val="16"/>
          <w:szCs w:val="16"/>
        </w:rPr>
        <w:t xml:space="preserve"> is the Department of Finance. The full measure description and package details appear in the October Budget Paper No. 2 under the Finance portfolio. The financials are not for publication due to commercial and national security sensitivities.</w:t>
      </w:r>
    </w:p>
    <w:p w14:paraId="1A2D2B1D" w14:textId="77777777" w:rsidR="00622DDE" w:rsidRPr="00622DDE" w:rsidRDefault="00622DDE" w:rsidP="00BA1132">
      <w:pPr>
        <w:pStyle w:val="TableGraphic"/>
        <w:spacing w:before="60"/>
        <w:ind w:left="284" w:right="0" w:hanging="284"/>
        <w:rPr>
          <w:rFonts w:ascii="Arial" w:hAnsi="Arial" w:cs="Arial"/>
          <w:sz w:val="16"/>
          <w:szCs w:val="16"/>
        </w:rPr>
      </w:pPr>
      <w:proofErr w:type="spellStart"/>
      <w:r w:rsidRPr="00622DDE">
        <w:rPr>
          <w:rFonts w:ascii="Arial" w:hAnsi="Arial" w:cs="Arial"/>
          <w:sz w:val="16"/>
          <w:szCs w:val="16"/>
        </w:rPr>
        <w:t>i</w:t>
      </w:r>
      <w:proofErr w:type="spellEnd"/>
      <w:r w:rsidRPr="00622DDE">
        <w:rPr>
          <w:rFonts w:ascii="Arial" w:hAnsi="Arial" w:cs="Arial"/>
          <w:sz w:val="16"/>
          <w:szCs w:val="16"/>
        </w:rPr>
        <w:t>)</w:t>
      </w:r>
      <w:r w:rsidRPr="00622DDE">
        <w:rPr>
          <w:rFonts w:ascii="Arial" w:hAnsi="Arial" w:cs="Arial"/>
          <w:sz w:val="16"/>
          <w:szCs w:val="16"/>
        </w:rPr>
        <w:tab/>
        <w:t xml:space="preserve">The lead entity for measure titled </w:t>
      </w:r>
      <w:r w:rsidRPr="00040818">
        <w:rPr>
          <w:rFonts w:ascii="Arial" w:hAnsi="Arial" w:cs="Arial"/>
          <w:i/>
          <w:sz w:val="16"/>
          <w:szCs w:val="16"/>
        </w:rPr>
        <w:t>Pacific Security and Engagement Initiatives</w:t>
      </w:r>
      <w:r w:rsidRPr="00622DDE">
        <w:rPr>
          <w:rFonts w:ascii="Arial" w:hAnsi="Arial" w:cs="Arial"/>
          <w:sz w:val="16"/>
          <w:szCs w:val="16"/>
        </w:rPr>
        <w:t xml:space="preserve"> is the Department of Foreign Affairs and Trade. The full measure description and package details appear in the October Budget Paper No. 2 under the Foreign Affairs and Trade portfolio. The financials are not for publication due to commercial sensitivities.</w:t>
      </w:r>
    </w:p>
    <w:p w14:paraId="51DBC516" w14:textId="21EE13B9" w:rsidR="00622DDE" w:rsidRPr="00622DDE" w:rsidRDefault="00622DDE" w:rsidP="00BA1132">
      <w:pPr>
        <w:pStyle w:val="TableGraphic"/>
        <w:spacing w:before="60"/>
        <w:ind w:left="284" w:right="0" w:hanging="284"/>
        <w:rPr>
          <w:rFonts w:ascii="Arial" w:hAnsi="Arial" w:cs="Arial"/>
          <w:sz w:val="16"/>
          <w:szCs w:val="16"/>
        </w:rPr>
      </w:pPr>
      <w:r w:rsidRPr="00622DDE">
        <w:rPr>
          <w:rFonts w:ascii="Arial" w:hAnsi="Arial" w:cs="Arial"/>
          <w:sz w:val="16"/>
          <w:szCs w:val="16"/>
        </w:rPr>
        <w:t>j)</w:t>
      </w:r>
      <w:r w:rsidRPr="00622DDE">
        <w:rPr>
          <w:rFonts w:ascii="Arial" w:hAnsi="Arial" w:cs="Arial"/>
          <w:sz w:val="16"/>
          <w:szCs w:val="16"/>
        </w:rPr>
        <w:tab/>
        <w:t xml:space="preserve">The lead entity for the measure </w:t>
      </w:r>
      <w:r w:rsidR="00AD5F5E">
        <w:rPr>
          <w:rFonts w:ascii="Arial" w:hAnsi="Arial" w:cs="Arial"/>
          <w:sz w:val="16"/>
          <w:szCs w:val="16"/>
        </w:rPr>
        <w:t xml:space="preserve">titled </w:t>
      </w:r>
      <w:r w:rsidRPr="00040818">
        <w:rPr>
          <w:rFonts w:ascii="Arial" w:hAnsi="Arial" w:cs="Arial"/>
          <w:i/>
          <w:sz w:val="16"/>
          <w:szCs w:val="16"/>
        </w:rPr>
        <w:t>Powering Australia – Commonwealth Fleet Leases</w:t>
      </w:r>
      <w:r w:rsidRPr="00622DDE">
        <w:rPr>
          <w:rFonts w:ascii="Arial" w:hAnsi="Arial" w:cs="Arial"/>
          <w:sz w:val="16"/>
          <w:szCs w:val="16"/>
        </w:rPr>
        <w:t xml:space="preserve"> is the Department of Finance. The measure includes $15.5 million provisioned in the contingency reserve to be a</w:t>
      </w:r>
      <w:r w:rsidR="00AD5F5E">
        <w:rPr>
          <w:rFonts w:ascii="Arial" w:hAnsi="Arial" w:cs="Arial"/>
          <w:sz w:val="16"/>
          <w:szCs w:val="16"/>
        </w:rPr>
        <w:t xml:space="preserve">llocated to eligible entities. </w:t>
      </w:r>
      <w:r w:rsidRPr="00622DDE">
        <w:rPr>
          <w:rFonts w:ascii="Arial" w:hAnsi="Arial" w:cs="Arial"/>
          <w:sz w:val="16"/>
          <w:szCs w:val="16"/>
        </w:rPr>
        <w:t>The full measure description and package details appear in the October Budget Paper No.</w:t>
      </w:r>
      <w:r w:rsidR="00CE44E1">
        <w:rPr>
          <w:rFonts w:ascii="Arial" w:hAnsi="Arial" w:cs="Arial"/>
          <w:sz w:val="16"/>
          <w:szCs w:val="16"/>
        </w:rPr>
        <w:t xml:space="preserve"> </w:t>
      </w:r>
      <w:r w:rsidRPr="00622DDE">
        <w:rPr>
          <w:rFonts w:ascii="Arial" w:hAnsi="Arial" w:cs="Arial"/>
          <w:sz w:val="16"/>
          <w:szCs w:val="16"/>
        </w:rPr>
        <w:t>2 under the Finance portfolio</w:t>
      </w:r>
    </w:p>
    <w:p w14:paraId="7724B6C1" w14:textId="77777777" w:rsidR="00622DDE" w:rsidRPr="00622DDE" w:rsidRDefault="00622DDE" w:rsidP="00BA1132">
      <w:pPr>
        <w:pStyle w:val="TableGraphic"/>
        <w:spacing w:before="60"/>
        <w:ind w:left="284" w:right="0" w:hanging="284"/>
        <w:rPr>
          <w:rFonts w:ascii="Arial" w:hAnsi="Arial" w:cs="Arial"/>
          <w:sz w:val="16"/>
          <w:szCs w:val="16"/>
        </w:rPr>
      </w:pPr>
      <w:r w:rsidRPr="00622DDE">
        <w:rPr>
          <w:rFonts w:ascii="Arial" w:hAnsi="Arial" w:cs="Arial"/>
          <w:sz w:val="16"/>
          <w:szCs w:val="16"/>
        </w:rPr>
        <w:t>k)</w:t>
      </w:r>
      <w:r w:rsidRPr="00622DDE">
        <w:rPr>
          <w:rFonts w:ascii="Arial" w:hAnsi="Arial" w:cs="Arial"/>
          <w:sz w:val="16"/>
          <w:szCs w:val="16"/>
        </w:rPr>
        <w:tab/>
        <w:t xml:space="preserve">The lead entity for measure titled </w:t>
      </w:r>
      <w:r w:rsidRPr="00040818">
        <w:rPr>
          <w:rFonts w:ascii="Arial" w:hAnsi="Arial" w:cs="Arial"/>
          <w:i/>
          <w:sz w:val="16"/>
          <w:szCs w:val="16"/>
        </w:rPr>
        <w:t>Purpose-Built Quarantine Facilities – maintenance</w:t>
      </w:r>
      <w:r w:rsidRPr="00622DDE">
        <w:rPr>
          <w:rFonts w:ascii="Arial" w:hAnsi="Arial" w:cs="Arial"/>
          <w:sz w:val="16"/>
          <w:szCs w:val="16"/>
        </w:rPr>
        <w:t xml:space="preserve"> is the Department of Finance. The full measure description and package details appear in the October Budget Paper No. 2 under the Finance portfolio. The financials are not for publication due to commercial sensitivities.</w:t>
      </w:r>
    </w:p>
    <w:p w14:paraId="5683FB2E" w14:textId="4626B493" w:rsidR="00622DDE" w:rsidRPr="00622DDE" w:rsidRDefault="00622DDE" w:rsidP="00BA1132">
      <w:pPr>
        <w:pStyle w:val="TableGraphic"/>
        <w:spacing w:before="60"/>
        <w:ind w:left="284" w:right="0" w:hanging="284"/>
        <w:rPr>
          <w:rFonts w:ascii="Arial" w:hAnsi="Arial" w:cs="Arial"/>
          <w:sz w:val="16"/>
          <w:szCs w:val="16"/>
        </w:rPr>
      </w:pPr>
      <w:r w:rsidRPr="00622DDE">
        <w:rPr>
          <w:rFonts w:ascii="Arial" w:hAnsi="Arial" w:cs="Arial"/>
          <w:sz w:val="16"/>
          <w:szCs w:val="16"/>
        </w:rPr>
        <w:t>l)</w:t>
      </w:r>
      <w:r w:rsidRPr="00622DDE">
        <w:rPr>
          <w:rFonts w:ascii="Arial" w:hAnsi="Arial" w:cs="Arial"/>
          <w:sz w:val="16"/>
          <w:szCs w:val="16"/>
        </w:rPr>
        <w:tab/>
      </w:r>
      <w:r w:rsidR="00AF6F0D" w:rsidRPr="00AF6F0D">
        <w:rPr>
          <w:rFonts w:ascii="Arial" w:hAnsi="Arial" w:cs="Arial"/>
          <w:sz w:val="16"/>
          <w:szCs w:val="16"/>
        </w:rPr>
        <w:t xml:space="preserve">The lead entity for measure titled </w:t>
      </w:r>
      <w:r w:rsidR="00AF6F0D" w:rsidRPr="00AF6F0D">
        <w:rPr>
          <w:rFonts w:ascii="Arial" w:hAnsi="Arial" w:cs="Arial"/>
          <w:i/>
          <w:sz w:val="16"/>
          <w:szCs w:val="16"/>
        </w:rPr>
        <w:t>Savings from External Labour, and Savings from Advertising, Travel and Legal Expenses</w:t>
      </w:r>
      <w:r w:rsidR="00AF6F0D" w:rsidRPr="00AF6F0D">
        <w:rPr>
          <w:rFonts w:ascii="Arial" w:hAnsi="Arial" w:cs="Arial"/>
          <w:sz w:val="16"/>
          <w:szCs w:val="16"/>
        </w:rPr>
        <w:t xml:space="preserve"> is the Department of the Prime Minister and Cabinet. The full measure description and package details appear in the October Budget Paper No. 2 under the Prime Minister and Cabinet portfolio.</w:t>
      </w:r>
    </w:p>
    <w:p w14:paraId="4EB480EB" w14:textId="74E5B575" w:rsidR="00196223" w:rsidRPr="00667F67" w:rsidRDefault="00622DDE" w:rsidP="00667F67">
      <w:pPr>
        <w:pStyle w:val="TableGraphic"/>
        <w:spacing w:before="60"/>
        <w:ind w:left="284" w:right="0" w:hanging="284"/>
        <w:rPr>
          <w:rFonts w:ascii="Arial" w:hAnsi="Arial" w:cs="Arial"/>
          <w:sz w:val="16"/>
          <w:szCs w:val="16"/>
        </w:rPr>
      </w:pPr>
      <w:r w:rsidRPr="00622DDE">
        <w:rPr>
          <w:rFonts w:ascii="Arial" w:hAnsi="Arial" w:cs="Arial"/>
          <w:sz w:val="16"/>
          <w:szCs w:val="16"/>
        </w:rPr>
        <w:t>m)</w:t>
      </w:r>
      <w:r w:rsidRPr="00622DDE">
        <w:rPr>
          <w:rFonts w:ascii="Arial" w:hAnsi="Arial" w:cs="Arial"/>
          <w:sz w:val="16"/>
          <w:szCs w:val="16"/>
        </w:rPr>
        <w:tab/>
        <w:t xml:space="preserve">The lead entity for measure titled </w:t>
      </w:r>
      <w:r w:rsidRPr="00040818">
        <w:rPr>
          <w:rFonts w:ascii="Arial" w:hAnsi="Arial" w:cs="Arial"/>
          <w:i/>
          <w:sz w:val="16"/>
          <w:szCs w:val="16"/>
        </w:rPr>
        <w:t>Supporting Australia's Resources</w:t>
      </w:r>
      <w:r w:rsidRPr="00622DDE">
        <w:rPr>
          <w:rFonts w:ascii="Arial" w:hAnsi="Arial" w:cs="Arial"/>
          <w:sz w:val="16"/>
          <w:szCs w:val="16"/>
        </w:rPr>
        <w:t xml:space="preserve"> is the Department of Industry, Science and Resources. The full measure description and package details appear in the October Budget Paper No. 2 under the Industry, Science and Resources portfolio. The financials are not for publication due to commercial sensitivities.</w:t>
      </w:r>
      <w:r w:rsidR="00196223">
        <w:br w:type="page"/>
      </w:r>
    </w:p>
    <w:p w14:paraId="2239DFD8" w14:textId="01E1CE50" w:rsidR="00BE7D58" w:rsidRPr="00FB5B69" w:rsidRDefault="00BE7D58" w:rsidP="009D7FAB">
      <w:pPr>
        <w:pStyle w:val="Heading2"/>
      </w:pPr>
      <w:bookmarkStart w:id="46" w:name="_Toc117027158"/>
      <w:bookmarkStart w:id="47" w:name="_Toc117070784"/>
      <w:bookmarkStart w:id="48" w:name="_Toc117071038"/>
      <w:bookmarkStart w:id="49" w:name="_Toc117078072"/>
      <w:r w:rsidRPr="00FB5B69">
        <w:lastRenderedPageBreak/>
        <w:t xml:space="preserve">Section 2: Outcomes and </w:t>
      </w:r>
      <w:r w:rsidR="00CD3382" w:rsidRPr="00FB5B69">
        <w:t>p</w:t>
      </w:r>
      <w:r w:rsidR="0069466B" w:rsidRPr="00FB5B69">
        <w:t>lanned</w:t>
      </w:r>
      <w:r w:rsidRPr="00FB5B69">
        <w:t xml:space="preserve"> performance</w:t>
      </w:r>
      <w:bookmarkEnd w:id="42"/>
      <w:bookmarkEnd w:id="43"/>
      <w:bookmarkEnd w:id="46"/>
      <w:bookmarkEnd w:id="47"/>
      <w:bookmarkEnd w:id="48"/>
      <w:bookmarkEnd w:id="49"/>
    </w:p>
    <w:p w14:paraId="2239DFD9" w14:textId="77777777" w:rsidR="00BE7D58" w:rsidRPr="005E6F2B" w:rsidRDefault="00BE7D58" w:rsidP="00BE7D58">
      <w:r w:rsidRPr="005E6F2B">
        <w:t xml:space="preserve">Government outcomes are the intended results, impacts or consequences of actions by the Government on the Australian community. </w:t>
      </w:r>
      <w:r w:rsidR="004E62E4" w:rsidRPr="005E6F2B">
        <w:t xml:space="preserve">Commonwealth </w:t>
      </w:r>
      <w:r w:rsidR="00290933" w:rsidRPr="005E6F2B">
        <w:t>programs</w:t>
      </w:r>
      <w:r w:rsidR="004E62E4" w:rsidRPr="005E6F2B">
        <w:t xml:space="preserve"> are </w:t>
      </w:r>
      <w:r w:rsidR="00CC5AB0" w:rsidRPr="005E6F2B">
        <w:t xml:space="preserve">the primary vehicle </w:t>
      </w:r>
      <w:r w:rsidR="004E62E4" w:rsidRPr="005E6F2B">
        <w:t xml:space="preserve">by which </w:t>
      </w:r>
      <w:r w:rsidR="00A239CC" w:rsidRPr="005E6F2B">
        <w:t xml:space="preserve">government </w:t>
      </w:r>
      <w:r w:rsidR="007E6BBD" w:rsidRPr="005E6F2B">
        <w:t xml:space="preserve">entities </w:t>
      </w:r>
      <w:r w:rsidR="004E62E4" w:rsidRPr="005E6F2B">
        <w:t xml:space="preserve">achieve the intended results of their outcome statements. </w:t>
      </w:r>
      <w:r w:rsidR="007E6BBD" w:rsidRPr="005E6F2B">
        <w:t xml:space="preserve">Entities </w:t>
      </w:r>
      <w:r w:rsidRPr="005E6F2B">
        <w:t xml:space="preserve">are required to identify the </w:t>
      </w:r>
      <w:r w:rsidR="00290933" w:rsidRPr="005E6F2B">
        <w:t>programs</w:t>
      </w:r>
      <w:r w:rsidRPr="005E6F2B">
        <w:t xml:space="preserve"> which contribute to </w:t>
      </w:r>
      <w:r w:rsidR="00A239CC" w:rsidRPr="005E6F2B">
        <w:t xml:space="preserve">government </w:t>
      </w:r>
      <w:r w:rsidRPr="005E6F2B">
        <w:t>outcomes over the Budget and forward years.</w:t>
      </w:r>
    </w:p>
    <w:p w14:paraId="2239DFDA" w14:textId="3DB8665F" w:rsidR="00A61BD0" w:rsidRPr="00084B16" w:rsidRDefault="00BE7D58" w:rsidP="00BE7D58">
      <w:pPr>
        <w:rPr>
          <w:i/>
        </w:rPr>
      </w:pPr>
      <w:r w:rsidRPr="005E6F2B">
        <w:t xml:space="preserve">Each outcome is described below together with its related </w:t>
      </w:r>
      <w:r w:rsidR="00290933" w:rsidRPr="005E6F2B">
        <w:t>programs</w:t>
      </w:r>
      <w:r w:rsidRPr="005E6F2B">
        <w:t>.</w:t>
      </w:r>
      <w:r w:rsidR="001D1903" w:rsidRPr="005E6F2B">
        <w:t xml:space="preserve"> </w:t>
      </w:r>
      <w:r w:rsidR="00A61BD0" w:rsidRPr="005E6F2B">
        <w:t xml:space="preserve">The following provides detailed </w:t>
      </w:r>
      <w:r w:rsidR="00A61BD0" w:rsidRPr="00084B16">
        <w:t>information on expenses for each outcome</w:t>
      </w:r>
      <w:r w:rsidR="001D1903" w:rsidRPr="00084B16">
        <w:t xml:space="preserve"> and </w:t>
      </w:r>
      <w:r w:rsidR="00290933" w:rsidRPr="00084B16">
        <w:t>program,</w:t>
      </w:r>
      <w:r w:rsidR="001D1903" w:rsidRPr="00084B16">
        <w:t xml:space="preserve"> further broken down by funding source</w:t>
      </w:r>
      <w:r w:rsidR="003959E6">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CE4D05" w:rsidRPr="001C6402" w14:paraId="2239DFDF" w14:textId="77777777" w:rsidTr="001C6402">
        <w:tc>
          <w:tcPr>
            <w:tcW w:w="7700" w:type="dxa"/>
            <w:shd w:val="clear" w:color="auto" w:fill="auto"/>
          </w:tcPr>
          <w:p w14:paraId="2239DFDB" w14:textId="77777777" w:rsidR="00CE4D05" w:rsidRPr="001C6402" w:rsidRDefault="00CE4D05" w:rsidP="001C6402">
            <w:pPr>
              <w:spacing w:before="120" w:after="120" w:line="240" w:lineRule="auto"/>
              <w:jc w:val="both"/>
              <w:rPr>
                <w:b/>
              </w:rPr>
            </w:pPr>
            <w:r w:rsidRPr="001C6402">
              <w:rPr>
                <w:b/>
              </w:rPr>
              <w:t>Note:</w:t>
            </w:r>
          </w:p>
          <w:p w14:paraId="2239DFDC" w14:textId="38DA32AD" w:rsidR="00CE4D05" w:rsidRPr="001C6402" w:rsidRDefault="00CE4D05" w:rsidP="001C6402">
            <w:pPr>
              <w:jc w:val="both"/>
            </w:pPr>
            <w:r w:rsidRPr="001C6402">
              <w:t>Performance reporting requirements in the Portfolio Budget Statements are part of the Commonwealth performance framework established by the</w:t>
            </w:r>
            <w:r w:rsidRPr="00BB5356">
              <w:t xml:space="preserve"> </w:t>
            </w:r>
            <w:r w:rsidR="00BB5356" w:rsidRPr="00BB5356">
              <w:t>PGPA Act</w:t>
            </w:r>
            <w:r w:rsidRPr="001C6402">
              <w:t xml:space="preserve">. It is anticipated that the performance </w:t>
            </w:r>
            <w:r w:rsidR="001A50DE" w:rsidRPr="001C6402">
              <w:t xml:space="preserve">measure </w:t>
            </w:r>
            <w:r w:rsidRPr="001C6402">
              <w:t>described in Portfolio Budget Statements will be read with broader information provided in an entity’s corporate plans and annual performance statements – included in Annual Reports - to provide a complete picture of an entity’s planned and actual performance.</w:t>
            </w:r>
          </w:p>
          <w:p w14:paraId="2239DFDD" w14:textId="19FF2177" w:rsidR="00F66EA4" w:rsidRPr="00836544" w:rsidRDefault="00F66EA4" w:rsidP="00F66EA4">
            <w:r w:rsidRPr="00836544">
              <w:t xml:space="preserve">The most recent corporate plan for Finance can be found at: </w:t>
            </w:r>
            <w:r w:rsidRPr="00A21EC8">
              <w:rPr>
                <w:u w:val="single"/>
              </w:rPr>
              <w:t>https://www.finance.gov.au/publications/corpo</w:t>
            </w:r>
            <w:r w:rsidR="00F71C70">
              <w:rPr>
                <w:u w:val="single"/>
              </w:rPr>
              <w:t>rate-plan/corporate-plan-2022-23</w:t>
            </w:r>
            <w:r w:rsidRPr="00836544">
              <w:t>.</w:t>
            </w:r>
          </w:p>
          <w:p w14:paraId="2239DFDE" w14:textId="1E214DE9" w:rsidR="00CE4D05" w:rsidRPr="001C6402" w:rsidRDefault="00F66EA4" w:rsidP="00F66EA4">
            <w:pPr>
              <w:jc w:val="both"/>
            </w:pPr>
            <w:r w:rsidRPr="00836544">
              <w:t xml:space="preserve">The most recent annual performance statement can be found at: </w:t>
            </w:r>
            <w:r w:rsidRPr="00A21EC8">
              <w:rPr>
                <w:u w:val="single"/>
              </w:rPr>
              <w:t>https://www.finance.gov.au/publications/ann</w:t>
            </w:r>
            <w:r w:rsidR="00084B16">
              <w:rPr>
                <w:u w:val="single"/>
              </w:rPr>
              <w:t>ual-report/annual-report-2021-22</w:t>
            </w:r>
            <w:r w:rsidRPr="00836544">
              <w:t xml:space="preserve"> and </w:t>
            </w:r>
            <w:r w:rsidRPr="00A21EC8">
              <w:rPr>
                <w:u w:val="single"/>
              </w:rPr>
              <w:t>https://www.transparency.gov.au/annual</w:t>
            </w:r>
            <w:r w:rsidRPr="00A21EC8">
              <w:rPr>
                <w:u w:val="single"/>
              </w:rPr>
              <w:noBreakHyphen/>
              <w:t>reports/departmen</w:t>
            </w:r>
            <w:r w:rsidR="00084B16">
              <w:rPr>
                <w:u w:val="single"/>
              </w:rPr>
              <w:t>t</w:t>
            </w:r>
            <w:r w:rsidR="00084B16">
              <w:rPr>
                <w:u w:val="single"/>
              </w:rPr>
              <w:noBreakHyphen/>
              <w:t>finance/reporting-year/2021-22</w:t>
            </w:r>
            <w:r w:rsidRPr="00836544">
              <w:t>.</w:t>
            </w:r>
          </w:p>
        </w:tc>
      </w:tr>
    </w:tbl>
    <w:p w14:paraId="46C279B5" w14:textId="77777777" w:rsidR="002025E5" w:rsidRDefault="002025E5" w:rsidP="00EB75B0">
      <w:pPr>
        <w:pStyle w:val="Heading3"/>
        <w:spacing w:after="20"/>
      </w:pPr>
      <w:bookmarkStart w:id="50" w:name="_Toc444523513"/>
      <w:bookmarkStart w:id="51" w:name="_Toc116742495"/>
      <w:r>
        <w:br w:type="page"/>
      </w:r>
    </w:p>
    <w:p w14:paraId="1BC2A6A7" w14:textId="0ADA8F9A" w:rsidR="007D2376" w:rsidRPr="007D2376" w:rsidRDefault="008462FB" w:rsidP="00203FE6">
      <w:pPr>
        <w:pStyle w:val="Heading3"/>
      </w:pPr>
      <w:bookmarkStart w:id="52" w:name="_Toc117027159"/>
      <w:bookmarkStart w:id="53" w:name="_Toc117070785"/>
      <w:bookmarkStart w:id="54" w:name="_Toc117071039"/>
      <w:bookmarkStart w:id="55" w:name="_Toc117078073"/>
      <w:r>
        <w:lastRenderedPageBreak/>
        <w:t>2.1</w:t>
      </w:r>
      <w:r w:rsidR="003876AB" w:rsidRPr="00F743D8">
        <w:t xml:space="preserve"> </w:t>
      </w:r>
      <w:r w:rsidR="003876AB" w:rsidRPr="00F743D8">
        <w:tab/>
        <w:t xml:space="preserve">Budgeted expenses and performance for Outcome </w:t>
      </w:r>
      <w:r w:rsidR="00E21F7C">
        <w:t>1</w:t>
      </w:r>
      <w:bookmarkEnd w:id="50"/>
      <w:bookmarkEnd w:id="51"/>
      <w:bookmarkEnd w:id="52"/>
      <w:bookmarkEnd w:id="53"/>
      <w:bookmarkEnd w:id="54"/>
      <w:bookmarkEnd w:id="55"/>
    </w:p>
    <w:tbl>
      <w:tblPr>
        <w:tblW w:w="77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7D2376" w:rsidRPr="005E6F2B" w14:paraId="07CAF36D" w14:textId="77777777" w:rsidTr="00DB35A1">
        <w:tc>
          <w:tcPr>
            <w:tcW w:w="7705" w:type="dxa"/>
            <w:shd w:val="clear" w:color="auto" w:fill="E6E6E6"/>
          </w:tcPr>
          <w:p w14:paraId="2758769C" w14:textId="79F0A2ED" w:rsidR="007D2376" w:rsidRPr="005E6F2B" w:rsidRDefault="007D2376" w:rsidP="00674B58">
            <w:pPr>
              <w:pStyle w:val="TableColumnHeadingLeft"/>
              <w:spacing w:before="60" w:after="60"/>
            </w:pPr>
            <w:r w:rsidRPr="007D2376">
              <w:t>Outcome 1: Support sustainable Australian Government finances through providing high quality policy advice and operational support to the government and Commonwealth entities to maintain effective and efficient use of public resources.</w:t>
            </w:r>
          </w:p>
        </w:tc>
      </w:tr>
    </w:tbl>
    <w:p w14:paraId="2239DFE7" w14:textId="7A879588" w:rsidR="00E21F7C" w:rsidRPr="005E6F2B" w:rsidRDefault="00E21F7C" w:rsidP="00451501">
      <w:pPr>
        <w:pStyle w:val="NoSpacing"/>
      </w:pPr>
    </w:p>
    <w:p w14:paraId="2239DFE8" w14:textId="77777777" w:rsidR="00B86CCD" w:rsidRPr="00446612" w:rsidRDefault="00B86CCD" w:rsidP="00F00984">
      <w:pPr>
        <w:pStyle w:val="Heading5"/>
      </w:pPr>
      <w:r w:rsidRPr="00446612">
        <w:t xml:space="preserve">Budgeted expenses for Outcome </w:t>
      </w:r>
      <w:r w:rsidR="0096136C">
        <w:t>1</w:t>
      </w:r>
    </w:p>
    <w:p w14:paraId="2239DFE9" w14:textId="77777777" w:rsidR="0051207B" w:rsidRDefault="0051207B" w:rsidP="0051207B">
      <w:r w:rsidRPr="00950281">
        <w:t xml:space="preserve">This table shows how much the entity intends to spend (on an accrual basis) on achieving the outcome, broken down by </w:t>
      </w:r>
      <w:r w:rsidR="00290933" w:rsidRPr="00950281">
        <w:t>program,</w:t>
      </w:r>
      <w:r w:rsidRPr="00950281">
        <w:t xml:space="preserve"> as well as by Administered an</w:t>
      </w:r>
      <w:r w:rsidR="00B166C6">
        <w:t>d Departmental funding sources.</w:t>
      </w:r>
    </w:p>
    <w:p w14:paraId="2239DFEB" w14:textId="42434218" w:rsidR="00DF2C5D" w:rsidRDefault="006E4DF1" w:rsidP="00D5334A">
      <w:pPr>
        <w:pStyle w:val="TableHeading"/>
      </w:pPr>
      <w:r w:rsidRPr="006E4DF1">
        <w:t>Table 2.</w:t>
      </w:r>
      <w:r w:rsidR="0096136C">
        <w:t>1</w:t>
      </w:r>
      <w:r w:rsidRPr="006E4DF1">
        <w:t xml:space="preserve">.1: Budgeted expenses for Outcome </w:t>
      </w:r>
      <w:r w:rsidR="0096136C">
        <w:t>1</w:t>
      </w:r>
      <w:r w:rsidR="00EC0A97" w:rsidRPr="00EC0A97">
        <w:rPr>
          <w:noProof/>
        </w:rPr>
        <w:drawing>
          <wp:inline distT="0" distB="0" distL="0" distR="0" wp14:anchorId="624C6BF9" wp14:editId="03806F81">
            <wp:extent cx="4895850" cy="2956209"/>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95850" cy="2956209"/>
                    </a:xfrm>
                    <a:prstGeom prst="rect">
                      <a:avLst/>
                    </a:prstGeom>
                    <a:noFill/>
                    <a:ln>
                      <a:noFill/>
                    </a:ln>
                  </pic:spPr>
                </pic:pic>
              </a:graphicData>
            </a:graphic>
          </wp:inline>
        </w:drawing>
      </w:r>
    </w:p>
    <w:p w14:paraId="32F3562D" w14:textId="77777777" w:rsidR="00442D9D" w:rsidRPr="00680496" w:rsidRDefault="00442D9D" w:rsidP="00C8474A">
      <w:pPr>
        <w:pStyle w:val="ChartandTableFootnoteAlpha"/>
        <w:numPr>
          <w:ilvl w:val="0"/>
          <w:numId w:val="13"/>
        </w:numPr>
        <w:spacing w:before="60"/>
        <w:ind w:left="284" w:hanging="284"/>
        <w:rPr>
          <w:lang w:val="x-none" w:eastAsia="x-none"/>
        </w:rPr>
      </w:pPr>
      <w:r>
        <w:rPr>
          <w:lang w:eastAsia="x-none"/>
        </w:rPr>
        <w:t>Includes estimated expenses in relation to receipts retained under</w:t>
      </w:r>
      <w:r w:rsidRPr="00680496">
        <w:rPr>
          <w:lang w:val="x-none" w:eastAsia="x-none"/>
        </w:rPr>
        <w:t xml:space="preserve"> section 74 of the PGPA Act.</w:t>
      </w:r>
    </w:p>
    <w:p w14:paraId="2239DFED" w14:textId="77777777" w:rsidR="008A0B42" w:rsidRPr="00865D8C" w:rsidRDefault="008A0B42" w:rsidP="00C8474A">
      <w:pPr>
        <w:pStyle w:val="ChartandTableFootnoteAlpha"/>
        <w:numPr>
          <w:ilvl w:val="0"/>
          <w:numId w:val="13"/>
        </w:numPr>
        <w:spacing w:before="60"/>
        <w:ind w:left="284" w:hanging="284"/>
        <w:rPr>
          <w:lang w:val="x-none" w:eastAsia="x-none"/>
        </w:rPr>
      </w:pPr>
      <w:r w:rsidRPr="009D50FC">
        <w:rPr>
          <w:lang w:val="x-none" w:eastAsia="x-none"/>
        </w:rPr>
        <w:t>Expenses not requiring appropriation in the Budget year is made up of depreciation expenses and amortisation expenses.</w:t>
      </w:r>
    </w:p>
    <w:p w14:paraId="2239DFEE" w14:textId="77777777" w:rsidR="008A0B42" w:rsidRPr="008A0B42" w:rsidRDefault="008A0B42" w:rsidP="00FC1D6A">
      <w:pPr>
        <w:pStyle w:val="ChartandTableFootnote"/>
      </w:pPr>
      <w:r w:rsidRPr="008A0B42">
        <w:t>Note: Departmental appropriation splits and totals are indicative estimates and may change in the course of the Budget year as government priorities change.</w:t>
      </w:r>
    </w:p>
    <w:p w14:paraId="2239DFEF" w14:textId="77777777" w:rsidR="00C91347" w:rsidRDefault="00C91347" w:rsidP="008A0B42">
      <w:pPr>
        <w:pStyle w:val="TableHeading"/>
      </w:pPr>
    </w:p>
    <w:p w14:paraId="2239DFF0" w14:textId="77777777" w:rsidR="00B86CCD" w:rsidRPr="00446612" w:rsidRDefault="00221972" w:rsidP="008A0B42">
      <w:pPr>
        <w:pStyle w:val="TableHeadingcontinued"/>
      </w:pPr>
      <w:r w:rsidRPr="00221972">
        <w:br w:type="page"/>
      </w:r>
    </w:p>
    <w:p w14:paraId="2239DFF1" w14:textId="77777777" w:rsidR="00C854F5" w:rsidRPr="008A0B42" w:rsidRDefault="008E5BB7" w:rsidP="008A0B42">
      <w:pPr>
        <w:spacing w:after="0"/>
        <w:rPr>
          <w:rFonts w:ascii="Arial Bold" w:hAnsi="Arial Bold"/>
          <w:b/>
          <w:sz w:val="20"/>
        </w:rPr>
      </w:pPr>
      <w:bookmarkStart w:id="56" w:name="_Toc190682315"/>
      <w:bookmarkStart w:id="57" w:name="_Toc190682532"/>
      <w:bookmarkEnd w:id="44"/>
      <w:bookmarkEnd w:id="45"/>
      <w:r w:rsidRPr="008A0B42">
        <w:rPr>
          <w:rFonts w:ascii="Arial Bold" w:hAnsi="Arial Bold"/>
          <w:b/>
          <w:sz w:val="20"/>
        </w:rPr>
        <w:lastRenderedPageBreak/>
        <w:t>Table 2.</w:t>
      </w:r>
      <w:r w:rsidR="00F11C4E" w:rsidRPr="008A0B42">
        <w:rPr>
          <w:rFonts w:ascii="Arial Bold" w:hAnsi="Arial Bold"/>
          <w:b/>
          <w:sz w:val="20"/>
        </w:rPr>
        <w:t>1</w:t>
      </w:r>
      <w:r w:rsidR="008A0B42">
        <w:rPr>
          <w:rFonts w:ascii="Arial Bold" w:hAnsi="Arial Bold"/>
          <w:b/>
          <w:sz w:val="20"/>
        </w:rPr>
        <w:t>.2</w:t>
      </w:r>
      <w:r w:rsidRPr="008A0B42">
        <w:rPr>
          <w:rFonts w:ascii="Arial Bold" w:hAnsi="Arial Bold"/>
          <w:b/>
          <w:sz w:val="20"/>
        </w:rPr>
        <w:t xml:space="preserve">: Performance </w:t>
      </w:r>
      <w:r w:rsidR="001A50DE" w:rsidRPr="008A0B42">
        <w:rPr>
          <w:rFonts w:ascii="Arial Bold" w:hAnsi="Arial Bold"/>
          <w:b/>
          <w:sz w:val="20"/>
        </w:rPr>
        <w:t xml:space="preserve">measure </w:t>
      </w:r>
      <w:r w:rsidRPr="008A0B42">
        <w:rPr>
          <w:rFonts w:ascii="Arial Bold" w:hAnsi="Arial Bold"/>
          <w:b/>
          <w:sz w:val="20"/>
        </w:rPr>
        <w:t xml:space="preserve">for Outcome </w:t>
      </w:r>
      <w:r w:rsidR="00F11C4E" w:rsidRPr="008A0B42">
        <w:rPr>
          <w:rFonts w:ascii="Arial Bold" w:hAnsi="Arial Bold"/>
          <w:b/>
          <w:sz w:val="20"/>
        </w:rPr>
        <w:t>1</w:t>
      </w:r>
    </w:p>
    <w:p w14:paraId="2239DFF2" w14:textId="77777777" w:rsidR="00691E49" w:rsidRPr="00C41E1F" w:rsidRDefault="00E12264" w:rsidP="00C41E1F">
      <w:r w:rsidRPr="00C41E1F">
        <w:t>Table 2.</w:t>
      </w:r>
      <w:r w:rsidR="00F11C4E" w:rsidRPr="00C41E1F">
        <w:t>1</w:t>
      </w:r>
      <w:r w:rsidRPr="00C41E1F">
        <w:t>.</w:t>
      </w:r>
      <w:r w:rsidR="008A0B42" w:rsidRPr="00C41E1F">
        <w:t>2</w:t>
      </w:r>
      <w:r w:rsidRPr="00C41E1F">
        <w:t xml:space="preserve"> details the performance measures for each program associated with Outcome </w:t>
      </w:r>
      <w:r w:rsidR="00411E4D" w:rsidRPr="00C41E1F">
        <w:t>1</w:t>
      </w:r>
      <w:r w:rsidRPr="00C41E1F">
        <w:t xml:space="preserve">.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w:t>
      </w:r>
      <w:r w:rsidR="009F0564" w:rsidRPr="00C41E1F">
        <w:t xml:space="preserve">the October </w:t>
      </w:r>
      <w:r w:rsidRPr="00C41E1F">
        <w:t xml:space="preserve">2022-23 Budget measures that have created new programs or materially changed existing programs are provided. </w:t>
      </w:r>
    </w:p>
    <w:tbl>
      <w:tblPr>
        <w:tblW w:w="7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2257"/>
        <w:gridCol w:w="4010"/>
      </w:tblGrid>
      <w:tr w:rsidR="00CB4F3C" w:rsidRPr="00C41058" w14:paraId="2239DFF4" w14:textId="77777777" w:rsidTr="000146E1">
        <w:trPr>
          <w:trHeight w:val="567"/>
          <w:tblHeader/>
        </w:trPr>
        <w:tc>
          <w:tcPr>
            <w:tcW w:w="7795" w:type="dxa"/>
            <w:gridSpan w:val="3"/>
            <w:shd w:val="clear" w:color="auto" w:fill="F2F2F2"/>
          </w:tcPr>
          <w:p w14:paraId="2239DFF3" w14:textId="280ECFAC" w:rsidR="00CB4F3C" w:rsidRPr="00C41058" w:rsidRDefault="00F45412" w:rsidP="002B3C61">
            <w:pPr>
              <w:pStyle w:val="TableColumnHeadingLeft"/>
              <w:autoSpaceDE w:val="0"/>
              <w:autoSpaceDN w:val="0"/>
              <w:adjustRightInd w:val="0"/>
              <w:spacing w:before="60" w:after="60"/>
              <w:contextualSpacing/>
            </w:pPr>
            <w:r w:rsidRPr="00F45412">
              <w:rPr>
                <w:rStyle w:val="TableHeadingChar"/>
                <w:b/>
              </w:rPr>
              <w:t xml:space="preserve">Outcome 1 – </w:t>
            </w:r>
            <w:r w:rsidRPr="00F45412">
              <w:rPr>
                <w:rStyle w:val="TableHeadingChar"/>
              </w:rPr>
              <w:t>Support sustainable Australian Government finances through providing high-quality policy advice and operational support to the Government and Commonwealth entities to maintain effective and efficient use of public resources.</w:t>
            </w:r>
          </w:p>
        </w:tc>
      </w:tr>
      <w:tr w:rsidR="00CB4F3C" w:rsidRPr="001B2F81" w14:paraId="2239DFF7" w14:textId="77777777" w:rsidTr="000146E1">
        <w:trPr>
          <w:trHeight w:val="526"/>
          <w:tblHeader/>
        </w:trPr>
        <w:tc>
          <w:tcPr>
            <w:tcW w:w="7795" w:type="dxa"/>
            <w:gridSpan w:val="3"/>
            <w:shd w:val="clear" w:color="auto" w:fill="F2F2F2"/>
          </w:tcPr>
          <w:p w14:paraId="671D8102" w14:textId="77777777" w:rsidR="00F45412" w:rsidRPr="00F45412" w:rsidRDefault="00F45412" w:rsidP="002B3C61">
            <w:pPr>
              <w:pStyle w:val="TableTextLeft"/>
              <w:autoSpaceDE w:val="0"/>
              <w:autoSpaceDN w:val="0"/>
              <w:adjustRightInd w:val="0"/>
              <w:spacing w:before="60" w:after="60"/>
              <w:contextualSpacing/>
              <w:rPr>
                <w:b/>
                <w:szCs w:val="18"/>
              </w:rPr>
            </w:pPr>
            <w:r w:rsidRPr="00F45412">
              <w:rPr>
                <w:b/>
                <w:szCs w:val="18"/>
              </w:rPr>
              <w:t>Program 1.1 - Budget and Financial Management</w:t>
            </w:r>
          </w:p>
          <w:p w14:paraId="2239DFF6" w14:textId="71EB1073" w:rsidR="00CB4F3C" w:rsidRPr="00F45412" w:rsidRDefault="00F45412" w:rsidP="002B3C61">
            <w:pPr>
              <w:pStyle w:val="TableTextLeft"/>
              <w:autoSpaceDE w:val="0"/>
              <w:autoSpaceDN w:val="0"/>
              <w:adjustRightInd w:val="0"/>
              <w:spacing w:before="60" w:after="60"/>
              <w:contextualSpacing/>
            </w:pPr>
            <w:r w:rsidRPr="00F45412">
              <w:rPr>
                <w:szCs w:val="18"/>
              </w:rPr>
              <w:t>This program contributes to the outcome through advising the Finance Minister and Expenditure Review Committee (ERC) on fiscal and economic policies and related matters; supporting the Finance Minister in meeting their financial reporting responsibilities; and supporting the delivery of the Budget.</w:t>
            </w:r>
          </w:p>
        </w:tc>
      </w:tr>
      <w:tr w:rsidR="00CB4F3C" w:rsidRPr="00160C23" w14:paraId="2239DFFB" w14:textId="77777777" w:rsidTr="000146E1">
        <w:trPr>
          <w:trHeight w:val="700"/>
        </w:trPr>
        <w:tc>
          <w:tcPr>
            <w:tcW w:w="1528" w:type="dxa"/>
            <w:tcBorders>
              <w:bottom w:val="double" w:sz="4" w:space="0" w:color="auto"/>
            </w:tcBorders>
          </w:tcPr>
          <w:p w14:paraId="2239DFF8" w14:textId="40EE1190" w:rsidR="00CB4F3C" w:rsidRPr="00160C23" w:rsidRDefault="00CB4F3C" w:rsidP="002B3C61">
            <w:pPr>
              <w:tabs>
                <w:tab w:val="left" w:pos="709"/>
              </w:tabs>
              <w:spacing w:before="60" w:after="60" w:line="240" w:lineRule="auto"/>
              <w:rPr>
                <w:rFonts w:ascii="Arial" w:hAnsi="Arial" w:cs="Arial"/>
                <w:b/>
                <w:sz w:val="16"/>
                <w:szCs w:val="16"/>
              </w:rPr>
            </w:pPr>
            <w:r>
              <w:rPr>
                <w:rFonts w:ascii="Arial" w:hAnsi="Arial" w:cs="Arial"/>
                <w:b/>
                <w:sz w:val="16"/>
                <w:szCs w:val="16"/>
              </w:rPr>
              <w:t>Key Activities</w:t>
            </w:r>
          </w:p>
        </w:tc>
        <w:tc>
          <w:tcPr>
            <w:tcW w:w="6267" w:type="dxa"/>
            <w:gridSpan w:val="2"/>
            <w:tcBorders>
              <w:bottom w:val="double" w:sz="4" w:space="0" w:color="auto"/>
            </w:tcBorders>
          </w:tcPr>
          <w:p w14:paraId="30D93677" w14:textId="529DABB9" w:rsidR="00F45412" w:rsidRPr="00F45412" w:rsidRDefault="005A08ED" w:rsidP="002B3C61">
            <w:pPr>
              <w:tabs>
                <w:tab w:val="left" w:pos="709"/>
              </w:tabs>
              <w:spacing w:before="60" w:after="60" w:line="240" w:lineRule="auto"/>
              <w:rPr>
                <w:rFonts w:ascii="Arial" w:hAnsi="Arial" w:cs="Arial"/>
                <w:b/>
                <w:bCs/>
                <w:sz w:val="16"/>
                <w:szCs w:val="16"/>
              </w:rPr>
            </w:pPr>
            <w:r>
              <w:rPr>
                <w:rFonts w:ascii="Arial" w:hAnsi="Arial" w:cs="Arial"/>
                <w:b/>
                <w:bCs/>
                <w:sz w:val="16"/>
                <w:szCs w:val="16"/>
              </w:rPr>
              <w:t>Deliver Budget u</w:t>
            </w:r>
            <w:r w:rsidR="00F45412" w:rsidRPr="00F45412">
              <w:rPr>
                <w:rFonts w:ascii="Arial" w:hAnsi="Arial" w:cs="Arial"/>
                <w:b/>
                <w:bCs/>
                <w:sz w:val="16"/>
                <w:szCs w:val="16"/>
              </w:rPr>
              <w:t xml:space="preserve">pdates, Appropriation Bills and Financial Statements </w:t>
            </w:r>
          </w:p>
          <w:p w14:paraId="180B4FEB" w14:textId="6CA54A75" w:rsidR="00F45412" w:rsidRPr="00F45412" w:rsidRDefault="00F45412" w:rsidP="002B3C61">
            <w:pPr>
              <w:tabs>
                <w:tab w:val="left" w:pos="709"/>
              </w:tabs>
              <w:spacing w:before="60" w:after="60" w:line="240" w:lineRule="auto"/>
              <w:rPr>
                <w:rFonts w:ascii="Arial" w:hAnsi="Arial" w:cs="Arial"/>
                <w:bCs/>
                <w:sz w:val="16"/>
                <w:szCs w:val="16"/>
              </w:rPr>
            </w:pPr>
            <w:r w:rsidRPr="00F45412">
              <w:rPr>
                <w:rFonts w:ascii="Arial" w:hAnsi="Arial" w:cs="Arial"/>
                <w:bCs/>
                <w:sz w:val="16"/>
                <w:szCs w:val="16"/>
              </w:rPr>
              <w:t xml:space="preserve">Coordinate, prepare and advise the Minister for Finance and the </w:t>
            </w:r>
            <w:r w:rsidR="00F71C70">
              <w:rPr>
                <w:rFonts w:ascii="Arial" w:hAnsi="Arial" w:cs="Arial"/>
                <w:bCs/>
                <w:sz w:val="16"/>
                <w:szCs w:val="16"/>
              </w:rPr>
              <w:t>ERC</w:t>
            </w:r>
            <w:r w:rsidRPr="00F45412">
              <w:rPr>
                <w:rFonts w:ascii="Arial" w:hAnsi="Arial" w:cs="Arial"/>
                <w:bCs/>
                <w:sz w:val="16"/>
                <w:szCs w:val="16"/>
              </w:rPr>
              <w:t xml:space="preserve"> of Cabinet on the delivery of the Budget and related economic updates, including appropriations legislation and the Government’s financial statements, to contribute to promoting the Government’s fiscal strategy and policy objectives.</w:t>
            </w:r>
          </w:p>
          <w:p w14:paraId="477C11DA" w14:textId="0E64E836" w:rsidR="00F45412" w:rsidRPr="00F45412" w:rsidRDefault="00F45412" w:rsidP="002B3C61">
            <w:pPr>
              <w:tabs>
                <w:tab w:val="left" w:pos="709"/>
              </w:tabs>
              <w:spacing w:before="60" w:after="60" w:line="240" w:lineRule="auto"/>
              <w:rPr>
                <w:rFonts w:ascii="Arial" w:hAnsi="Arial" w:cs="Arial"/>
                <w:b/>
                <w:bCs/>
                <w:sz w:val="16"/>
                <w:szCs w:val="16"/>
              </w:rPr>
            </w:pPr>
            <w:r w:rsidRPr="00F45412">
              <w:rPr>
                <w:rFonts w:ascii="Arial" w:hAnsi="Arial" w:cs="Arial"/>
                <w:b/>
                <w:bCs/>
                <w:sz w:val="16"/>
                <w:szCs w:val="16"/>
              </w:rPr>
              <w:t>Provide Central Cash Management</w:t>
            </w:r>
          </w:p>
          <w:p w14:paraId="2239DFFA" w14:textId="7DC5B4A7" w:rsidR="00CB4F3C" w:rsidRPr="00F45412" w:rsidRDefault="00F45412" w:rsidP="002B3C61">
            <w:pPr>
              <w:tabs>
                <w:tab w:val="left" w:pos="709"/>
              </w:tabs>
              <w:spacing w:before="60" w:after="60" w:line="240" w:lineRule="auto"/>
              <w:rPr>
                <w:rFonts w:ascii="Arial" w:hAnsi="Arial" w:cs="Arial"/>
                <w:bCs/>
                <w:sz w:val="16"/>
                <w:szCs w:val="16"/>
              </w:rPr>
            </w:pPr>
            <w:r w:rsidRPr="00F45412">
              <w:rPr>
                <w:rFonts w:ascii="Arial" w:hAnsi="Arial" w:cs="Arial"/>
                <w:bCs/>
                <w:sz w:val="16"/>
                <w:szCs w:val="16"/>
              </w:rPr>
              <w:t>Intra-day disbursements through the central cash management system so that entities have access to near real-time funds as required to deliver on the Government’s policy objectives.</w:t>
            </w:r>
          </w:p>
        </w:tc>
      </w:tr>
      <w:tr w:rsidR="00CB4F3C" w:rsidRPr="002A0954" w14:paraId="2239DFFF" w14:textId="77777777" w:rsidTr="000146E1">
        <w:trPr>
          <w:trHeight w:val="312"/>
        </w:trPr>
        <w:tc>
          <w:tcPr>
            <w:tcW w:w="1528" w:type="dxa"/>
            <w:tcBorders>
              <w:top w:val="double" w:sz="4" w:space="0" w:color="auto"/>
              <w:bottom w:val="single" w:sz="4" w:space="0" w:color="auto"/>
              <w:right w:val="single" w:sz="4" w:space="0" w:color="auto"/>
            </w:tcBorders>
          </w:tcPr>
          <w:p w14:paraId="2239DFFC" w14:textId="77777777" w:rsidR="00CB4F3C" w:rsidRPr="002A0954" w:rsidRDefault="00CB4F3C" w:rsidP="002B3C61">
            <w:pPr>
              <w:tabs>
                <w:tab w:val="left" w:pos="709"/>
              </w:tabs>
              <w:spacing w:before="60" w:after="60"/>
              <w:rPr>
                <w:rFonts w:ascii="Arial" w:hAnsi="Arial" w:cs="Arial"/>
                <w:b/>
                <w:bCs/>
                <w:sz w:val="16"/>
                <w:szCs w:val="16"/>
              </w:rPr>
            </w:pPr>
            <w:r w:rsidRPr="00221251">
              <w:rPr>
                <w:rFonts w:ascii="Arial" w:hAnsi="Arial" w:cs="Arial"/>
                <w:b/>
                <w:bCs/>
                <w:sz w:val="16"/>
                <w:szCs w:val="16"/>
              </w:rPr>
              <w:t>Year</w:t>
            </w:r>
          </w:p>
        </w:tc>
        <w:tc>
          <w:tcPr>
            <w:tcW w:w="2257" w:type="dxa"/>
            <w:tcBorders>
              <w:top w:val="double" w:sz="4" w:space="0" w:color="auto"/>
              <w:left w:val="single" w:sz="4" w:space="0" w:color="auto"/>
              <w:bottom w:val="single" w:sz="4" w:space="0" w:color="auto"/>
              <w:right w:val="single" w:sz="4" w:space="0" w:color="auto"/>
            </w:tcBorders>
          </w:tcPr>
          <w:p w14:paraId="2239DFFD" w14:textId="77777777" w:rsidR="00CB4F3C" w:rsidRPr="002A0954" w:rsidRDefault="00CB4F3C" w:rsidP="002B3C61">
            <w:pPr>
              <w:tabs>
                <w:tab w:val="left" w:pos="709"/>
                <w:tab w:val="center" w:pos="1818"/>
              </w:tabs>
              <w:spacing w:before="60" w:after="60"/>
              <w:rPr>
                <w:rFonts w:ascii="Arial" w:hAnsi="Arial" w:cs="Arial"/>
                <w:b/>
                <w:bCs/>
                <w:sz w:val="16"/>
                <w:szCs w:val="16"/>
              </w:rPr>
            </w:pPr>
            <w:r w:rsidRPr="00221251">
              <w:rPr>
                <w:rFonts w:ascii="Arial" w:hAnsi="Arial" w:cs="Arial"/>
                <w:b/>
                <w:bCs/>
                <w:sz w:val="16"/>
                <w:szCs w:val="16"/>
              </w:rPr>
              <w:t>Performance measures</w:t>
            </w:r>
          </w:p>
        </w:tc>
        <w:tc>
          <w:tcPr>
            <w:tcW w:w="4010" w:type="dxa"/>
            <w:tcBorders>
              <w:top w:val="double" w:sz="4" w:space="0" w:color="auto"/>
              <w:left w:val="single" w:sz="4" w:space="0" w:color="auto"/>
              <w:bottom w:val="single" w:sz="4" w:space="0" w:color="auto"/>
            </w:tcBorders>
          </w:tcPr>
          <w:p w14:paraId="2239DFFE" w14:textId="77777777" w:rsidR="00CB4F3C" w:rsidRPr="002A0954" w:rsidRDefault="00CB4F3C" w:rsidP="002B3C61">
            <w:pPr>
              <w:tabs>
                <w:tab w:val="left" w:pos="709"/>
              </w:tabs>
              <w:spacing w:before="60" w:after="60"/>
              <w:rPr>
                <w:rFonts w:ascii="Arial" w:hAnsi="Arial" w:cs="Arial"/>
                <w:b/>
                <w:bCs/>
                <w:sz w:val="16"/>
                <w:szCs w:val="16"/>
              </w:rPr>
            </w:pPr>
            <w:r w:rsidRPr="00221251">
              <w:rPr>
                <w:rFonts w:ascii="Arial" w:hAnsi="Arial" w:cs="Arial"/>
                <w:b/>
                <w:bCs/>
                <w:sz w:val="16"/>
                <w:szCs w:val="16"/>
              </w:rPr>
              <w:t>Expected Performance Results</w:t>
            </w:r>
          </w:p>
        </w:tc>
      </w:tr>
      <w:tr w:rsidR="00CB4F3C" w:rsidRPr="008C2E0D" w14:paraId="2239E00D" w14:textId="77777777" w:rsidTr="000146E1">
        <w:trPr>
          <w:trHeight w:val="642"/>
        </w:trPr>
        <w:tc>
          <w:tcPr>
            <w:tcW w:w="1528" w:type="dxa"/>
            <w:tcBorders>
              <w:top w:val="single" w:sz="4" w:space="0" w:color="auto"/>
              <w:right w:val="single" w:sz="4" w:space="0" w:color="auto"/>
            </w:tcBorders>
          </w:tcPr>
          <w:p w14:paraId="2239E000" w14:textId="77777777" w:rsidR="00C44428" w:rsidRPr="00792862" w:rsidRDefault="00C44428" w:rsidP="002B3C61">
            <w:pPr>
              <w:pStyle w:val="TableTextLeft"/>
              <w:spacing w:before="60" w:after="60"/>
              <w:rPr>
                <w:rFonts w:cs="Arial"/>
                <w:szCs w:val="16"/>
              </w:rPr>
            </w:pPr>
            <w:r w:rsidRPr="00792862">
              <w:rPr>
                <w:rFonts w:cs="Arial"/>
                <w:szCs w:val="16"/>
              </w:rPr>
              <w:t xml:space="preserve">Prior year </w:t>
            </w:r>
          </w:p>
          <w:p w14:paraId="2239E002" w14:textId="77777777" w:rsidR="00CB4F3C" w:rsidRPr="00792862" w:rsidRDefault="00C44428" w:rsidP="002B3C61">
            <w:pPr>
              <w:tabs>
                <w:tab w:val="left" w:pos="709"/>
              </w:tabs>
              <w:spacing w:before="60" w:after="60" w:line="240" w:lineRule="auto"/>
              <w:rPr>
                <w:rFonts w:ascii="Arial" w:hAnsi="Arial" w:cs="Arial"/>
                <w:sz w:val="16"/>
                <w:szCs w:val="16"/>
              </w:rPr>
            </w:pPr>
            <w:r w:rsidRPr="00792862">
              <w:rPr>
                <w:rFonts w:ascii="Arial" w:hAnsi="Arial" w:cs="Arial"/>
                <w:sz w:val="16"/>
                <w:szCs w:val="16"/>
              </w:rPr>
              <w:t>2021-22</w:t>
            </w:r>
          </w:p>
        </w:tc>
        <w:tc>
          <w:tcPr>
            <w:tcW w:w="2257" w:type="dxa"/>
            <w:tcBorders>
              <w:top w:val="single" w:sz="4" w:space="0" w:color="auto"/>
              <w:left w:val="single" w:sz="4" w:space="0" w:color="auto"/>
              <w:bottom w:val="single" w:sz="4" w:space="0" w:color="auto"/>
              <w:right w:val="single" w:sz="4" w:space="0" w:color="auto"/>
            </w:tcBorders>
          </w:tcPr>
          <w:p w14:paraId="75C2A314" w14:textId="4234502C" w:rsidR="00FF5512" w:rsidRPr="00792862" w:rsidRDefault="00F45412" w:rsidP="002B3C61">
            <w:pPr>
              <w:tabs>
                <w:tab w:val="left" w:pos="709"/>
              </w:tabs>
              <w:autoSpaceDE w:val="0"/>
              <w:autoSpaceDN w:val="0"/>
              <w:adjustRightInd w:val="0"/>
              <w:spacing w:before="60" w:after="60" w:line="240" w:lineRule="auto"/>
              <w:rPr>
                <w:rFonts w:ascii="Arial" w:hAnsi="Arial" w:cs="Arial"/>
                <w:b/>
                <w:sz w:val="16"/>
                <w:szCs w:val="16"/>
              </w:rPr>
            </w:pPr>
            <w:r w:rsidRPr="00792862">
              <w:rPr>
                <w:rFonts w:ascii="Arial" w:eastAsia="Arial" w:hAnsi="Arial" w:cs="Arial"/>
                <w:b/>
                <w:sz w:val="16"/>
                <w:szCs w:val="16"/>
              </w:rPr>
              <w:t xml:space="preserve">Budget updates and </w:t>
            </w:r>
            <w:r w:rsidRPr="00792862">
              <w:rPr>
                <w:rFonts w:ascii="Arial" w:hAnsi="Arial" w:cs="Arial"/>
                <w:b/>
                <w:sz w:val="16"/>
                <w:szCs w:val="16"/>
              </w:rPr>
              <w:t>Appropriation Bills</w:t>
            </w:r>
          </w:p>
          <w:p w14:paraId="2239E004" w14:textId="46613371" w:rsidR="00CB4F3C" w:rsidRPr="00792862" w:rsidRDefault="00F45412" w:rsidP="00F71C70">
            <w:pPr>
              <w:tabs>
                <w:tab w:val="left" w:pos="709"/>
              </w:tabs>
              <w:autoSpaceDE w:val="0"/>
              <w:autoSpaceDN w:val="0"/>
              <w:adjustRightInd w:val="0"/>
              <w:spacing w:before="60" w:after="60" w:line="240" w:lineRule="auto"/>
              <w:rPr>
                <w:rFonts w:ascii="Arial" w:hAnsi="Arial" w:cs="Arial"/>
              </w:rPr>
            </w:pPr>
            <w:r w:rsidRPr="00792862">
              <w:rPr>
                <w:rFonts w:ascii="Arial" w:hAnsi="Arial" w:cs="Arial"/>
                <w:sz w:val="16"/>
                <w:szCs w:val="16"/>
              </w:rPr>
              <w:t>Budget papers, related</w:t>
            </w:r>
            <w:r w:rsidRPr="00792862">
              <w:rPr>
                <w:rFonts w:ascii="Arial" w:eastAsia="Arial" w:hAnsi="Arial" w:cs="Arial"/>
                <w:sz w:val="16"/>
                <w:szCs w:val="16"/>
              </w:rPr>
              <w:t xml:space="preserve"> updates (e.g. the M</w:t>
            </w:r>
            <w:r w:rsidR="00F71C70">
              <w:rPr>
                <w:rFonts w:ascii="Arial" w:eastAsia="Arial" w:hAnsi="Arial" w:cs="Arial"/>
                <w:sz w:val="16"/>
                <w:szCs w:val="16"/>
              </w:rPr>
              <w:t>id-Year Fiscal and Economic Outlook (MYEFO)</w:t>
            </w:r>
            <w:r w:rsidRPr="00792862">
              <w:rPr>
                <w:rFonts w:ascii="Arial" w:eastAsia="Arial" w:hAnsi="Arial" w:cs="Arial"/>
                <w:sz w:val="16"/>
                <w:szCs w:val="16"/>
              </w:rPr>
              <w:t xml:space="preserve"> and Appropriation Bills are accurate, consistent with external reporting standards, delivered within required timeframes and meet the Government’s fiscal and policy objectives and legislative obligations</w:t>
            </w:r>
            <w:r w:rsidR="00370E9E" w:rsidRPr="00792862">
              <w:rPr>
                <w:rFonts w:ascii="Arial" w:eastAsia="Arial" w:hAnsi="Arial" w:cs="Arial"/>
                <w:sz w:val="16"/>
                <w:szCs w:val="16"/>
              </w:rPr>
              <w:t>.</w:t>
            </w:r>
          </w:p>
        </w:tc>
        <w:tc>
          <w:tcPr>
            <w:tcW w:w="4010" w:type="dxa"/>
            <w:tcBorders>
              <w:top w:val="single" w:sz="4" w:space="0" w:color="auto"/>
              <w:left w:val="single" w:sz="4" w:space="0" w:color="auto"/>
              <w:bottom w:val="single" w:sz="4" w:space="0" w:color="auto"/>
            </w:tcBorders>
          </w:tcPr>
          <w:p w14:paraId="2401AFD1" w14:textId="2136ECB8" w:rsidR="00F45412" w:rsidRPr="00792862" w:rsidRDefault="00F45412" w:rsidP="002B3C61">
            <w:pPr>
              <w:autoSpaceDE w:val="0"/>
              <w:autoSpaceDN w:val="0"/>
              <w:adjustRightInd w:val="0"/>
              <w:spacing w:before="60" w:after="60" w:line="240" w:lineRule="auto"/>
              <w:contextualSpacing/>
              <w:rPr>
                <w:rFonts w:ascii="Arial" w:hAnsi="Arial" w:cs="Arial"/>
                <w:b/>
                <w:bCs/>
                <w:sz w:val="16"/>
                <w:szCs w:val="16"/>
              </w:rPr>
            </w:pPr>
            <w:r w:rsidRPr="00792862">
              <w:rPr>
                <w:rFonts w:ascii="Arial" w:hAnsi="Arial" w:cs="Arial"/>
                <w:b/>
                <w:bCs/>
                <w:sz w:val="16"/>
                <w:szCs w:val="16"/>
              </w:rPr>
              <w:t xml:space="preserve">Substantially achieved </w:t>
            </w:r>
          </w:p>
          <w:p w14:paraId="6FC29A59" w14:textId="5D42CCA2" w:rsidR="00F45412" w:rsidRPr="00792862" w:rsidRDefault="00F45412" w:rsidP="002B3C61">
            <w:pPr>
              <w:autoSpaceDE w:val="0"/>
              <w:autoSpaceDN w:val="0"/>
              <w:adjustRightInd w:val="0"/>
              <w:spacing w:before="60" w:after="60" w:line="240" w:lineRule="auto"/>
              <w:contextualSpacing/>
              <w:rPr>
                <w:rFonts w:ascii="Arial" w:hAnsi="Arial" w:cs="Arial"/>
                <w:bCs/>
                <w:sz w:val="16"/>
                <w:szCs w:val="16"/>
                <w:u w:val="single"/>
              </w:rPr>
            </w:pPr>
            <w:r w:rsidRPr="00792862">
              <w:rPr>
                <w:rFonts w:ascii="Arial" w:hAnsi="Arial" w:cs="Arial"/>
                <w:bCs/>
                <w:sz w:val="16"/>
                <w:szCs w:val="16"/>
                <w:u w:val="single"/>
              </w:rPr>
              <w:t>Budget and related papers met timeframes:</w:t>
            </w:r>
          </w:p>
          <w:p w14:paraId="17A835BB" w14:textId="3AC678E9" w:rsidR="00F45412" w:rsidRPr="00792862" w:rsidRDefault="00F45412" w:rsidP="008F5AA4">
            <w:pPr>
              <w:pStyle w:val="ListParagraph"/>
              <w:numPr>
                <w:ilvl w:val="0"/>
                <w:numId w:val="54"/>
              </w:numPr>
              <w:autoSpaceDE w:val="0"/>
              <w:autoSpaceDN w:val="0"/>
              <w:adjustRightInd w:val="0"/>
              <w:spacing w:before="60" w:after="60" w:line="240" w:lineRule="auto"/>
              <w:ind w:left="527" w:hanging="357"/>
              <w:contextualSpacing w:val="0"/>
              <w:rPr>
                <w:rFonts w:ascii="Arial" w:hAnsi="Arial" w:cs="Arial"/>
                <w:sz w:val="16"/>
                <w:szCs w:val="16"/>
              </w:rPr>
            </w:pPr>
            <w:r w:rsidRPr="00792862">
              <w:rPr>
                <w:rFonts w:ascii="Arial" w:hAnsi="Arial" w:cs="Arial"/>
                <w:sz w:val="16"/>
                <w:szCs w:val="16"/>
              </w:rPr>
              <w:t>The 2020-21 Final Budget Outcome</w:t>
            </w:r>
            <w:r w:rsidR="00792862" w:rsidRPr="00792862">
              <w:rPr>
                <w:rFonts w:ascii="Arial" w:hAnsi="Arial" w:cs="Arial"/>
                <w:sz w:val="16"/>
                <w:szCs w:val="16"/>
              </w:rPr>
              <w:t xml:space="preserve"> (FBO)</w:t>
            </w:r>
            <w:r w:rsidRPr="00792862">
              <w:rPr>
                <w:rFonts w:ascii="Arial" w:hAnsi="Arial" w:cs="Arial"/>
                <w:sz w:val="16"/>
                <w:szCs w:val="16"/>
              </w:rPr>
              <w:t xml:space="preserve"> was released on 30 September 2021. </w:t>
            </w:r>
          </w:p>
          <w:p w14:paraId="52AFD2E2" w14:textId="3B16473F" w:rsidR="00F45412" w:rsidRPr="00F71C70" w:rsidRDefault="00F45412" w:rsidP="008F5AA4">
            <w:pPr>
              <w:pStyle w:val="ListParagraph"/>
              <w:numPr>
                <w:ilvl w:val="0"/>
                <w:numId w:val="54"/>
              </w:numPr>
              <w:autoSpaceDE w:val="0"/>
              <w:autoSpaceDN w:val="0"/>
              <w:adjustRightInd w:val="0"/>
              <w:spacing w:before="60" w:after="60" w:line="240" w:lineRule="auto"/>
              <w:ind w:left="527" w:hanging="357"/>
              <w:contextualSpacing w:val="0"/>
              <w:rPr>
                <w:rFonts w:ascii="Arial" w:hAnsi="Arial" w:cs="Arial"/>
                <w:sz w:val="16"/>
                <w:szCs w:val="16"/>
              </w:rPr>
            </w:pPr>
            <w:r w:rsidRPr="00792862">
              <w:rPr>
                <w:rFonts w:ascii="Arial" w:hAnsi="Arial" w:cs="Arial"/>
                <w:sz w:val="16"/>
                <w:szCs w:val="16"/>
              </w:rPr>
              <w:t xml:space="preserve">The 2021-22 MYEFO was released </w:t>
            </w:r>
            <w:r w:rsidRPr="00F71C70">
              <w:rPr>
                <w:rFonts w:ascii="Arial" w:hAnsi="Arial" w:cs="Arial"/>
                <w:sz w:val="16"/>
                <w:szCs w:val="16"/>
              </w:rPr>
              <w:t>16</w:t>
            </w:r>
            <w:r w:rsidR="00F71C70">
              <w:rPr>
                <w:rFonts w:ascii="Arial" w:hAnsi="Arial" w:cs="Arial"/>
                <w:sz w:val="16"/>
                <w:szCs w:val="16"/>
              </w:rPr>
              <w:t> </w:t>
            </w:r>
            <w:r w:rsidRPr="00F71C70">
              <w:rPr>
                <w:rFonts w:ascii="Arial" w:hAnsi="Arial" w:cs="Arial"/>
                <w:sz w:val="16"/>
                <w:szCs w:val="16"/>
              </w:rPr>
              <w:t>December</w:t>
            </w:r>
            <w:r w:rsidR="00F71C70">
              <w:rPr>
                <w:rFonts w:ascii="Arial" w:hAnsi="Arial" w:cs="Arial"/>
                <w:sz w:val="16"/>
                <w:szCs w:val="16"/>
              </w:rPr>
              <w:t> </w:t>
            </w:r>
            <w:r w:rsidRPr="00F71C70">
              <w:rPr>
                <w:rFonts w:ascii="Arial" w:hAnsi="Arial" w:cs="Arial"/>
                <w:sz w:val="16"/>
                <w:szCs w:val="16"/>
              </w:rPr>
              <w:t>2021.</w:t>
            </w:r>
          </w:p>
          <w:p w14:paraId="3E3A0B62" w14:textId="128EA6DD" w:rsidR="00F45412" w:rsidRPr="00792862" w:rsidRDefault="00F45412" w:rsidP="008F5AA4">
            <w:pPr>
              <w:pStyle w:val="ListParagraph"/>
              <w:numPr>
                <w:ilvl w:val="0"/>
                <w:numId w:val="54"/>
              </w:numPr>
              <w:autoSpaceDE w:val="0"/>
              <w:autoSpaceDN w:val="0"/>
              <w:adjustRightInd w:val="0"/>
              <w:spacing w:before="60" w:after="60" w:line="240" w:lineRule="auto"/>
              <w:ind w:left="527" w:hanging="357"/>
              <w:contextualSpacing w:val="0"/>
              <w:rPr>
                <w:rFonts w:ascii="Arial" w:hAnsi="Arial" w:cs="Arial"/>
                <w:sz w:val="16"/>
                <w:szCs w:val="16"/>
              </w:rPr>
            </w:pPr>
            <w:r w:rsidRPr="00792862">
              <w:rPr>
                <w:rFonts w:ascii="Arial" w:hAnsi="Arial" w:cs="Arial"/>
                <w:sz w:val="16"/>
                <w:szCs w:val="16"/>
              </w:rPr>
              <w:t>The 2022-23 M</w:t>
            </w:r>
            <w:r w:rsidR="00F71C70">
              <w:rPr>
                <w:rFonts w:ascii="Arial" w:hAnsi="Arial" w:cs="Arial"/>
                <w:sz w:val="16"/>
                <w:szCs w:val="16"/>
              </w:rPr>
              <w:t>arch Budget was delivered on 29 March </w:t>
            </w:r>
            <w:r w:rsidRPr="00792862">
              <w:rPr>
                <w:rFonts w:ascii="Arial" w:hAnsi="Arial" w:cs="Arial"/>
                <w:sz w:val="16"/>
                <w:szCs w:val="16"/>
              </w:rPr>
              <w:t>2022.</w:t>
            </w:r>
          </w:p>
          <w:p w14:paraId="53D37BED" w14:textId="34EAF6EB" w:rsidR="00F45412" w:rsidRPr="00792862" w:rsidRDefault="00F45412" w:rsidP="008F5AA4">
            <w:pPr>
              <w:pStyle w:val="ListParagraph"/>
              <w:numPr>
                <w:ilvl w:val="0"/>
                <w:numId w:val="54"/>
              </w:numPr>
              <w:autoSpaceDE w:val="0"/>
              <w:autoSpaceDN w:val="0"/>
              <w:adjustRightInd w:val="0"/>
              <w:spacing w:before="60" w:after="60" w:line="240" w:lineRule="auto"/>
              <w:ind w:left="527" w:hanging="357"/>
              <w:contextualSpacing w:val="0"/>
              <w:rPr>
                <w:rFonts w:ascii="Arial" w:hAnsi="Arial" w:cs="Arial"/>
                <w:sz w:val="16"/>
                <w:szCs w:val="16"/>
              </w:rPr>
            </w:pPr>
            <w:r w:rsidRPr="00792862">
              <w:rPr>
                <w:rFonts w:ascii="Arial" w:hAnsi="Arial" w:cs="Arial"/>
                <w:sz w:val="16"/>
                <w:szCs w:val="16"/>
              </w:rPr>
              <w:t>The 2022 Pre-election Economic and Fiscal O</w:t>
            </w:r>
            <w:r w:rsidR="00F71C70">
              <w:rPr>
                <w:rFonts w:ascii="Arial" w:hAnsi="Arial" w:cs="Arial"/>
                <w:sz w:val="16"/>
                <w:szCs w:val="16"/>
              </w:rPr>
              <w:t>utlook was released on 20 April </w:t>
            </w:r>
            <w:r w:rsidRPr="00792862">
              <w:rPr>
                <w:rFonts w:ascii="Arial" w:hAnsi="Arial" w:cs="Arial"/>
                <w:sz w:val="16"/>
                <w:szCs w:val="16"/>
              </w:rPr>
              <w:t xml:space="preserve">2022. </w:t>
            </w:r>
          </w:p>
          <w:p w14:paraId="73461E51" w14:textId="0DA565E8" w:rsidR="00F45412" w:rsidRPr="00792862" w:rsidRDefault="00F45412" w:rsidP="002B3C61">
            <w:pPr>
              <w:autoSpaceDE w:val="0"/>
              <w:autoSpaceDN w:val="0"/>
              <w:adjustRightInd w:val="0"/>
              <w:spacing w:before="60" w:after="60" w:line="240" w:lineRule="auto"/>
              <w:contextualSpacing/>
              <w:rPr>
                <w:rFonts w:ascii="Arial" w:hAnsi="Arial" w:cs="Arial"/>
                <w:bCs/>
                <w:sz w:val="16"/>
                <w:szCs w:val="16"/>
                <w:u w:val="single"/>
              </w:rPr>
            </w:pPr>
            <w:r w:rsidRPr="00792862">
              <w:rPr>
                <w:rFonts w:ascii="Arial" w:hAnsi="Arial" w:cs="Arial"/>
                <w:bCs/>
                <w:sz w:val="16"/>
                <w:szCs w:val="16"/>
                <w:u w:val="single"/>
              </w:rPr>
              <w:t xml:space="preserve">Accuracy of Budget Estimates: </w:t>
            </w:r>
          </w:p>
          <w:p w14:paraId="640606DB" w14:textId="17BA89A7" w:rsidR="00F45412" w:rsidRPr="00792862" w:rsidRDefault="00F45412" w:rsidP="002B3C61">
            <w:pPr>
              <w:autoSpaceDE w:val="0"/>
              <w:autoSpaceDN w:val="0"/>
              <w:adjustRightInd w:val="0"/>
              <w:spacing w:before="60" w:after="60" w:line="240" w:lineRule="auto"/>
              <w:contextualSpacing/>
              <w:rPr>
                <w:rFonts w:ascii="Arial" w:hAnsi="Arial" w:cs="Arial"/>
                <w:bCs/>
                <w:sz w:val="16"/>
                <w:szCs w:val="16"/>
              </w:rPr>
            </w:pPr>
            <w:r w:rsidRPr="00792862">
              <w:rPr>
                <w:rFonts w:ascii="Arial" w:hAnsi="Arial" w:cs="Arial"/>
                <w:bCs/>
                <w:sz w:val="16"/>
                <w:szCs w:val="16"/>
              </w:rPr>
              <w:t>Budget estimates were based on external reporting standards and any departures from external reporting standards were identified, consistent with requirements set out in the Charter of Budget Honest</w:t>
            </w:r>
            <w:r w:rsidR="00F71C70">
              <w:rPr>
                <w:rFonts w:ascii="Arial" w:hAnsi="Arial" w:cs="Arial"/>
                <w:bCs/>
                <w:sz w:val="16"/>
                <w:szCs w:val="16"/>
              </w:rPr>
              <w:t>y</w:t>
            </w:r>
            <w:r w:rsidRPr="00792862">
              <w:rPr>
                <w:rFonts w:ascii="Arial" w:hAnsi="Arial" w:cs="Arial"/>
                <w:bCs/>
                <w:sz w:val="16"/>
                <w:szCs w:val="16"/>
              </w:rPr>
              <w:t>.</w:t>
            </w:r>
          </w:p>
          <w:p w14:paraId="2239E00C" w14:textId="44FFCA53" w:rsidR="00CB4F3C" w:rsidRPr="00792862" w:rsidRDefault="00CB4F3C" w:rsidP="002B3C61">
            <w:pPr>
              <w:tabs>
                <w:tab w:val="left" w:pos="709"/>
              </w:tabs>
              <w:autoSpaceDE w:val="0"/>
              <w:autoSpaceDN w:val="0"/>
              <w:adjustRightInd w:val="0"/>
              <w:spacing w:before="60" w:after="60" w:line="240" w:lineRule="auto"/>
              <w:contextualSpacing/>
              <w:rPr>
                <w:rFonts w:ascii="Arial" w:eastAsia="Arial" w:hAnsi="Arial" w:cs="Arial"/>
                <w:sz w:val="16"/>
                <w:szCs w:val="16"/>
              </w:rPr>
            </w:pPr>
          </w:p>
        </w:tc>
      </w:tr>
    </w:tbl>
    <w:p w14:paraId="379F0B92" w14:textId="77777777" w:rsidR="00A754B9" w:rsidRDefault="00CB4F3C" w:rsidP="00E83DA4">
      <w:pPr>
        <w:pStyle w:val="ChartandTableFootnote"/>
      </w:pPr>
      <w:r w:rsidRPr="00CB4F3C">
        <w:t>Table continues on next page</w:t>
      </w:r>
      <w:r w:rsidR="00A754B9">
        <w:br w:type="page"/>
      </w:r>
    </w:p>
    <w:p w14:paraId="2239E012" w14:textId="441A14DC" w:rsidR="00CB4F3C" w:rsidRDefault="00CB4F3C" w:rsidP="00A754B9">
      <w:pPr>
        <w:pStyle w:val="TableHeading"/>
      </w:pPr>
      <w:r w:rsidRPr="00393D23">
        <w:lastRenderedPageBreak/>
        <w:t>Table 2.1.2: Performance measure for Outcome 1</w:t>
      </w:r>
      <w:r>
        <w:t xml:space="preserve"> (continued)</w:t>
      </w:r>
    </w:p>
    <w:tbl>
      <w:tblPr>
        <w:tblW w:w="7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256"/>
        <w:gridCol w:w="4008"/>
      </w:tblGrid>
      <w:tr w:rsidR="00CB4F3C" w:rsidRPr="00736B8E" w14:paraId="2239E014" w14:textId="77777777" w:rsidTr="002B3C61">
        <w:trPr>
          <w:trHeight w:val="527"/>
        </w:trPr>
        <w:tc>
          <w:tcPr>
            <w:tcW w:w="7795" w:type="dxa"/>
            <w:gridSpan w:val="3"/>
            <w:shd w:val="clear" w:color="auto" w:fill="F2F2F2" w:themeFill="background1" w:themeFillShade="F2"/>
          </w:tcPr>
          <w:p w14:paraId="31533E90" w14:textId="77777777" w:rsidR="00F45412" w:rsidRPr="00F45412" w:rsidRDefault="00F45412" w:rsidP="002B3C61">
            <w:pPr>
              <w:pStyle w:val="TableTextLeft"/>
              <w:autoSpaceDE w:val="0"/>
              <w:autoSpaceDN w:val="0"/>
              <w:adjustRightInd w:val="0"/>
              <w:spacing w:before="60" w:after="60"/>
              <w:contextualSpacing/>
              <w:rPr>
                <w:b/>
                <w:szCs w:val="18"/>
              </w:rPr>
            </w:pPr>
            <w:r w:rsidRPr="00F45412">
              <w:rPr>
                <w:b/>
                <w:szCs w:val="18"/>
              </w:rPr>
              <w:t>Program 1.1 - Budget and Financial Management</w:t>
            </w:r>
          </w:p>
          <w:p w14:paraId="2239E013" w14:textId="55502F46" w:rsidR="00CB4F3C" w:rsidRPr="00736B8E" w:rsidRDefault="00F45412" w:rsidP="0018432E">
            <w:pPr>
              <w:pStyle w:val="TableTextLeft"/>
              <w:autoSpaceDE w:val="0"/>
              <w:autoSpaceDN w:val="0"/>
              <w:adjustRightInd w:val="0"/>
              <w:spacing w:before="60" w:after="60"/>
              <w:contextualSpacing/>
              <w:rPr>
                <w:szCs w:val="18"/>
              </w:rPr>
            </w:pPr>
            <w:r w:rsidRPr="00736B8E">
              <w:rPr>
                <w:szCs w:val="18"/>
              </w:rPr>
              <w:t xml:space="preserve">This program contributes to the outcome through advising the Finance Minister and </w:t>
            </w:r>
            <w:r w:rsidR="0018432E">
              <w:rPr>
                <w:szCs w:val="18"/>
              </w:rPr>
              <w:t>ERC</w:t>
            </w:r>
            <w:r w:rsidRPr="00736B8E">
              <w:rPr>
                <w:szCs w:val="18"/>
              </w:rPr>
              <w:t xml:space="preserve"> on fiscal and economic policies and related matters; supporting the Finance Minister in meeting their financial reporting responsibilities; and supporting the delivery of the Budget.</w:t>
            </w:r>
          </w:p>
        </w:tc>
      </w:tr>
      <w:tr w:rsidR="00CB4F3C" w:rsidRPr="008C2E0D" w14:paraId="2239E026" w14:textId="77777777" w:rsidTr="002B3C61">
        <w:trPr>
          <w:trHeight w:val="642"/>
        </w:trPr>
        <w:tc>
          <w:tcPr>
            <w:tcW w:w="1531" w:type="dxa"/>
            <w:tcBorders>
              <w:top w:val="single" w:sz="4" w:space="0" w:color="auto"/>
              <w:bottom w:val="nil"/>
              <w:right w:val="single" w:sz="4" w:space="0" w:color="auto"/>
            </w:tcBorders>
          </w:tcPr>
          <w:p w14:paraId="2239E015" w14:textId="77777777" w:rsidR="00C44428" w:rsidRPr="00C44428" w:rsidRDefault="00C44428" w:rsidP="006207B7">
            <w:pPr>
              <w:pStyle w:val="TableTextLeft"/>
              <w:spacing w:before="60" w:after="60"/>
              <w:rPr>
                <w:rFonts w:cs="Arial"/>
                <w:szCs w:val="16"/>
              </w:rPr>
            </w:pPr>
            <w:r w:rsidRPr="00C44428">
              <w:rPr>
                <w:rFonts w:cs="Arial"/>
                <w:szCs w:val="16"/>
              </w:rPr>
              <w:t xml:space="preserve">Prior year </w:t>
            </w:r>
          </w:p>
          <w:p w14:paraId="2239E017" w14:textId="77777777" w:rsidR="00CB4F3C" w:rsidRPr="00361E69" w:rsidRDefault="00C44428" w:rsidP="006207B7">
            <w:pPr>
              <w:tabs>
                <w:tab w:val="left" w:pos="709"/>
              </w:tabs>
              <w:spacing w:before="60" w:after="60" w:line="240" w:lineRule="auto"/>
              <w:rPr>
                <w:rFonts w:ascii="Arial" w:hAnsi="Arial" w:cs="Arial"/>
                <w:sz w:val="16"/>
                <w:szCs w:val="16"/>
              </w:rPr>
            </w:pPr>
            <w:r w:rsidRPr="00C44428">
              <w:rPr>
                <w:rFonts w:ascii="Arial" w:hAnsi="Arial" w:cs="Arial"/>
                <w:sz w:val="16"/>
                <w:szCs w:val="16"/>
              </w:rPr>
              <w:t>2021-22</w:t>
            </w:r>
            <w:r w:rsidR="00CB4F3C">
              <w:rPr>
                <w:rFonts w:ascii="Arial" w:hAnsi="Arial" w:cs="Arial"/>
                <w:sz w:val="16"/>
                <w:szCs w:val="16"/>
              </w:rPr>
              <w:t xml:space="preserve"> (continued)</w:t>
            </w:r>
          </w:p>
        </w:tc>
        <w:tc>
          <w:tcPr>
            <w:tcW w:w="2256" w:type="dxa"/>
            <w:tcBorders>
              <w:top w:val="single" w:sz="4" w:space="0" w:color="auto"/>
              <w:left w:val="single" w:sz="4" w:space="0" w:color="auto"/>
              <w:bottom w:val="dotted" w:sz="4" w:space="0" w:color="auto"/>
              <w:right w:val="single" w:sz="4" w:space="0" w:color="auto"/>
            </w:tcBorders>
          </w:tcPr>
          <w:p w14:paraId="2239E018" w14:textId="77777777" w:rsidR="00CB4F3C" w:rsidRDefault="00CB4F3C" w:rsidP="002B3C61">
            <w:pPr>
              <w:tabs>
                <w:tab w:val="left" w:pos="709"/>
              </w:tabs>
              <w:spacing w:before="60" w:after="60" w:line="240" w:lineRule="auto"/>
              <w:rPr>
                <w:rFonts w:ascii="Arial" w:hAnsi="Arial" w:cs="Arial"/>
                <w:sz w:val="16"/>
                <w:szCs w:val="16"/>
              </w:rPr>
            </w:pPr>
          </w:p>
          <w:p w14:paraId="2239E019" w14:textId="77777777" w:rsidR="00CB4F3C" w:rsidRDefault="00CB4F3C" w:rsidP="002B3C61">
            <w:pPr>
              <w:tabs>
                <w:tab w:val="left" w:pos="709"/>
              </w:tabs>
              <w:spacing w:before="60" w:after="60" w:line="240" w:lineRule="auto"/>
              <w:rPr>
                <w:rFonts w:ascii="Arial" w:hAnsi="Arial" w:cs="Arial"/>
                <w:sz w:val="16"/>
                <w:szCs w:val="16"/>
              </w:rPr>
            </w:pPr>
          </w:p>
          <w:p w14:paraId="2239E01A" w14:textId="77777777" w:rsidR="00CB4F3C" w:rsidRDefault="00CB4F3C" w:rsidP="002B3C61">
            <w:pPr>
              <w:tabs>
                <w:tab w:val="left" w:pos="709"/>
              </w:tabs>
              <w:spacing w:before="60" w:after="60" w:line="240" w:lineRule="auto"/>
              <w:rPr>
                <w:rFonts w:ascii="Arial" w:hAnsi="Arial" w:cs="Arial"/>
                <w:sz w:val="16"/>
                <w:szCs w:val="16"/>
              </w:rPr>
            </w:pPr>
          </w:p>
          <w:p w14:paraId="2239E01B" w14:textId="77777777" w:rsidR="00CB4F3C" w:rsidRDefault="00CB4F3C" w:rsidP="002B3C61">
            <w:pPr>
              <w:tabs>
                <w:tab w:val="left" w:pos="709"/>
              </w:tabs>
              <w:spacing w:before="60" w:after="60" w:line="240" w:lineRule="auto"/>
              <w:rPr>
                <w:rFonts w:ascii="Arial" w:hAnsi="Arial" w:cs="Arial"/>
                <w:sz w:val="16"/>
                <w:szCs w:val="16"/>
              </w:rPr>
            </w:pPr>
          </w:p>
          <w:p w14:paraId="2239E020" w14:textId="1199AEDD" w:rsidR="00CB4F3C" w:rsidRPr="00A43E54" w:rsidRDefault="00CB4F3C" w:rsidP="002B3C61">
            <w:pPr>
              <w:tabs>
                <w:tab w:val="left" w:pos="709"/>
              </w:tabs>
              <w:autoSpaceDE w:val="0"/>
              <w:autoSpaceDN w:val="0"/>
              <w:adjustRightInd w:val="0"/>
              <w:spacing w:before="60" w:after="60" w:line="240" w:lineRule="auto"/>
              <w:contextualSpacing/>
              <w:rPr>
                <w:rFonts w:ascii="Arial" w:hAnsi="Arial" w:cs="Arial"/>
                <w:sz w:val="16"/>
                <w:szCs w:val="16"/>
              </w:rPr>
            </w:pPr>
          </w:p>
        </w:tc>
        <w:tc>
          <w:tcPr>
            <w:tcW w:w="4008" w:type="dxa"/>
            <w:tcBorders>
              <w:top w:val="single" w:sz="4" w:space="0" w:color="auto"/>
              <w:left w:val="single" w:sz="4" w:space="0" w:color="auto"/>
              <w:bottom w:val="dotted" w:sz="4" w:space="0" w:color="auto"/>
            </w:tcBorders>
          </w:tcPr>
          <w:p w14:paraId="2D100BBF" w14:textId="1BC18BEE" w:rsidR="00370E9E" w:rsidRPr="00370E9E" w:rsidRDefault="00370E9E" w:rsidP="002B3C61">
            <w:pPr>
              <w:autoSpaceDE w:val="0"/>
              <w:autoSpaceDN w:val="0"/>
              <w:adjustRightInd w:val="0"/>
              <w:spacing w:before="60" w:after="60" w:line="240" w:lineRule="auto"/>
              <w:contextualSpacing/>
              <w:rPr>
                <w:rFonts w:ascii="Arial" w:hAnsi="Arial" w:cs="Arial"/>
                <w:bCs/>
                <w:sz w:val="16"/>
                <w:szCs w:val="16"/>
                <w:u w:val="single"/>
              </w:rPr>
            </w:pPr>
            <w:r w:rsidRPr="00370E9E">
              <w:rPr>
                <w:rFonts w:ascii="Arial" w:hAnsi="Arial" w:cs="Arial"/>
                <w:bCs/>
                <w:sz w:val="16"/>
                <w:szCs w:val="16"/>
                <w:u w:val="single"/>
              </w:rPr>
              <w:t>Timeliness of Appropriation Bills:</w:t>
            </w:r>
          </w:p>
          <w:p w14:paraId="5B9F7980" w14:textId="715B7362" w:rsidR="00370E9E" w:rsidRPr="00370E9E" w:rsidRDefault="00370E9E" w:rsidP="008F5AA4">
            <w:pPr>
              <w:pStyle w:val="ListParagraph"/>
              <w:numPr>
                <w:ilvl w:val="0"/>
                <w:numId w:val="55"/>
              </w:numPr>
              <w:autoSpaceDE w:val="0"/>
              <w:autoSpaceDN w:val="0"/>
              <w:adjustRightInd w:val="0"/>
              <w:spacing w:before="60" w:after="60" w:line="240" w:lineRule="auto"/>
              <w:ind w:left="527" w:hanging="357"/>
              <w:contextualSpacing w:val="0"/>
              <w:rPr>
                <w:rFonts w:ascii="Arial" w:hAnsi="Arial" w:cs="Arial"/>
                <w:bCs/>
                <w:sz w:val="16"/>
                <w:szCs w:val="16"/>
              </w:rPr>
            </w:pPr>
            <w:r w:rsidRPr="00370E9E">
              <w:rPr>
                <w:rFonts w:ascii="Arial" w:hAnsi="Arial" w:cs="Arial"/>
                <w:bCs/>
                <w:sz w:val="16"/>
                <w:szCs w:val="16"/>
              </w:rPr>
              <w:t xml:space="preserve">The Appropriation (Coronavirus Response) </w:t>
            </w:r>
          </w:p>
          <w:p w14:paraId="1004F88C" w14:textId="29E3D015" w:rsidR="00370E9E" w:rsidRPr="00370E9E" w:rsidRDefault="005D48BF" w:rsidP="008F5AA4">
            <w:pPr>
              <w:pStyle w:val="ListParagraph"/>
              <w:numPr>
                <w:ilvl w:val="0"/>
                <w:numId w:val="55"/>
              </w:numPr>
              <w:autoSpaceDE w:val="0"/>
              <w:autoSpaceDN w:val="0"/>
              <w:adjustRightInd w:val="0"/>
              <w:spacing w:before="60" w:after="60" w:line="240" w:lineRule="auto"/>
              <w:ind w:left="527" w:hanging="357"/>
              <w:contextualSpacing w:val="0"/>
              <w:rPr>
                <w:rFonts w:ascii="Arial" w:hAnsi="Arial" w:cs="Arial"/>
                <w:bCs/>
                <w:sz w:val="16"/>
                <w:szCs w:val="16"/>
              </w:rPr>
            </w:pPr>
            <w:r>
              <w:rPr>
                <w:rFonts w:ascii="Arial" w:hAnsi="Arial" w:cs="Arial"/>
                <w:bCs/>
                <w:sz w:val="16"/>
                <w:szCs w:val="16"/>
              </w:rPr>
              <w:t>2021-</w:t>
            </w:r>
            <w:r w:rsidR="00370E9E" w:rsidRPr="00370E9E">
              <w:rPr>
                <w:rFonts w:ascii="Arial" w:hAnsi="Arial" w:cs="Arial"/>
                <w:bCs/>
                <w:sz w:val="16"/>
                <w:szCs w:val="16"/>
              </w:rPr>
              <w:t>22 Bills wer</w:t>
            </w:r>
            <w:r w:rsidR="0018432E">
              <w:rPr>
                <w:rFonts w:ascii="Arial" w:hAnsi="Arial" w:cs="Arial"/>
                <w:bCs/>
                <w:sz w:val="16"/>
                <w:szCs w:val="16"/>
              </w:rPr>
              <w:t>e introduced to Parliament on 9 </w:t>
            </w:r>
            <w:r w:rsidR="00370E9E" w:rsidRPr="00370E9E">
              <w:rPr>
                <w:rFonts w:ascii="Arial" w:hAnsi="Arial" w:cs="Arial"/>
                <w:bCs/>
                <w:sz w:val="16"/>
                <w:szCs w:val="16"/>
              </w:rPr>
              <w:t>February</w:t>
            </w:r>
            <w:r w:rsidR="0018432E">
              <w:rPr>
                <w:rFonts w:ascii="Arial" w:hAnsi="Arial" w:cs="Arial"/>
                <w:bCs/>
                <w:sz w:val="16"/>
                <w:szCs w:val="16"/>
              </w:rPr>
              <w:t> </w:t>
            </w:r>
            <w:r w:rsidR="00370E9E" w:rsidRPr="00370E9E">
              <w:rPr>
                <w:rFonts w:ascii="Arial" w:hAnsi="Arial" w:cs="Arial"/>
                <w:bCs/>
                <w:sz w:val="16"/>
                <w:szCs w:val="16"/>
              </w:rPr>
              <w:t>2022.</w:t>
            </w:r>
          </w:p>
          <w:p w14:paraId="2239E025" w14:textId="4BD2B0DD" w:rsidR="00370E9E" w:rsidRPr="001373A8" w:rsidRDefault="00370E9E" w:rsidP="008F5AA4">
            <w:pPr>
              <w:pStyle w:val="ListParagraph"/>
              <w:numPr>
                <w:ilvl w:val="0"/>
                <w:numId w:val="55"/>
              </w:numPr>
              <w:autoSpaceDE w:val="0"/>
              <w:autoSpaceDN w:val="0"/>
              <w:adjustRightInd w:val="0"/>
              <w:spacing w:before="60" w:after="60" w:line="240" w:lineRule="auto"/>
              <w:ind w:left="527" w:hanging="357"/>
              <w:contextualSpacing w:val="0"/>
              <w:rPr>
                <w:rFonts w:ascii="Arial" w:hAnsi="Arial" w:cs="Arial"/>
                <w:bCs/>
                <w:sz w:val="16"/>
                <w:szCs w:val="16"/>
              </w:rPr>
            </w:pPr>
            <w:r w:rsidRPr="00370E9E">
              <w:rPr>
                <w:rFonts w:ascii="Arial" w:hAnsi="Arial" w:cs="Arial"/>
                <w:bCs/>
                <w:sz w:val="16"/>
                <w:szCs w:val="16"/>
              </w:rPr>
              <w:t>The Additional Estimates Bills for 2021-22 were</w:t>
            </w:r>
            <w:r w:rsidR="00F71C70">
              <w:rPr>
                <w:rFonts w:ascii="Arial" w:hAnsi="Arial" w:cs="Arial"/>
                <w:bCs/>
                <w:sz w:val="16"/>
                <w:szCs w:val="16"/>
              </w:rPr>
              <w:t xml:space="preserve"> introduced to Parliament on 10 </w:t>
            </w:r>
            <w:r w:rsidRPr="00370E9E">
              <w:rPr>
                <w:rFonts w:ascii="Arial" w:hAnsi="Arial" w:cs="Arial"/>
                <w:bCs/>
                <w:sz w:val="16"/>
                <w:szCs w:val="16"/>
              </w:rPr>
              <w:t>February</w:t>
            </w:r>
            <w:r w:rsidR="00F71C70">
              <w:rPr>
                <w:rFonts w:ascii="Arial" w:hAnsi="Arial" w:cs="Arial"/>
                <w:bCs/>
                <w:sz w:val="16"/>
                <w:szCs w:val="16"/>
              </w:rPr>
              <w:t> </w:t>
            </w:r>
            <w:r w:rsidRPr="00370E9E">
              <w:rPr>
                <w:rFonts w:ascii="Arial" w:hAnsi="Arial" w:cs="Arial"/>
                <w:bCs/>
                <w:sz w:val="16"/>
                <w:szCs w:val="16"/>
              </w:rPr>
              <w:t>2022.</w:t>
            </w:r>
          </w:p>
        </w:tc>
      </w:tr>
      <w:tr w:rsidR="00CB4F3C" w:rsidRPr="008C2E0D" w14:paraId="2239E02E" w14:textId="77777777" w:rsidTr="002B3C61">
        <w:trPr>
          <w:trHeight w:val="642"/>
        </w:trPr>
        <w:tc>
          <w:tcPr>
            <w:tcW w:w="1531" w:type="dxa"/>
            <w:tcBorders>
              <w:top w:val="nil"/>
              <w:bottom w:val="nil"/>
              <w:right w:val="single" w:sz="4" w:space="0" w:color="auto"/>
            </w:tcBorders>
          </w:tcPr>
          <w:p w14:paraId="2239E027" w14:textId="77777777" w:rsidR="00CB4F3C" w:rsidRPr="00361E69" w:rsidRDefault="00CB4F3C" w:rsidP="002B3C61">
            <w:pPr>
              <w:tabs>
                <w:tab w:val="left" w:pos="709"/>
              </w:tabs>
              <w:spacing w:before="60" w:after="60" w:line="240" w:lineRule="auto"/>
              <w:rPr>
                <w:rFonts w:ascii="Arial" w:hAnsi="Arial" w:cs="Arial"/>
                <w:sz w:val="16"/>
                <w:szCs w:val="16"/>
              </w:rPr>
            </w:pPr>
          </w:p>
        </w:tc>
        <w:tc>
          <w:tcPr>
            <w:tcW w:w="2256" w:type="dxa"/>
            <w:tcBorders>
              <w:top w:val="dotted" w:sz="4" w:space="0" w:color="auto"/>
              <w:left w:val="single" w:sz="4" w:space="0" w:color="auto"/>
              <w:bottom w:val="dotted" w:sz="4" w:space="0" w:color="auto"/>
              <w:right w:val="single" w:sz="4" w:space="0" w:color="auto"/>
            </w:tcBorders>
          </w:tcPr>
          <w:p w14:paraId="53CA9AE8" w14:textId="372B445C" w:rsidR="00FF5512" w:rsidRPr="00736B8E" w:rsidRDefault="00736B8E" w:rsidP="002B3C61">
            <w:pPr>
              <w:tabs>
                <w:tab w:val="left" w:pos="709"/>
              </w:tabs>
              <w:autoSpaceDE w:val="0"/>
              <w:autoSpaceDN w:val="0"/>
              <w:adjustRightInd w:val="0"/>
              <w:spacing w:before="60" w:after="60" w:line="240" w:lineRule="auto"/>
              <w:rPr>
                <w:rFonts w:ascii="Arial" w:hAnsi="Arial" w:cs="Arial"/>
                <w:b/>
                <w:sz w:val="16"/>
                <w:szCs w:val="16"/>
              </w:rPr>
            </w:pPr>
            <w:r w:rsidRPr="00736B8E">
              <w:rPr>
                <w:rFonts w:ascii="Arial" w:hAnsi="Arial" w:cs="Arial"/>
                <w:b/>
                <w:sz w:val="16"/>
                <w:szCs w:val="16"/>
              </w:rPr>
              <w:t>Financial statements</w:t>
            </w:r>
          </w:p>
          <w:p w14:paraId="2239E02A" w14:textId="5A59F85D" w:rsidR="00CB4F3C" w:rsidRDefault="00736B8E" w:rsidP="002B3C61">
            <w:pPr>
              <w:tabs>
                <w:tab w:val="left" w:pos="709"/>
              </w:tabs>
              <w:autoSpaceDE w:val="0"/>
              <w:autoSpaceDN w:val="0"/>
              <w:adjustRightInd w:val="0"/>
              <w:spacing w:before="60" w:after="60" w:line="240" w:lineRule="auto"/>
              <w:rPr>
                <w:rFonts w:ascii="Arial" w:hAnsi="Arial" w:cs="Arial"/>
                <w:sz w:val="16"/>
                <w:szCs w:val="16"/>
              </w:rPr>
            </w:pPr>
            <w:r w:rsidRPr="00736B8E">
              <w:rPr>
                <w:rFonts w:ascii="Arial" w:hAnsi="Arial" w:cs="Arial"/>
                <w:sz w:val="16"/>
                <w:szCs w:val="16"/>
              </w:rPr>
              <w:t>The Government’s financial statements, including monthly statements, are complete, fairly presented and released publicly within timeframes agreed with the Government</w:t>
            </w:r>
            <w:r w:rsidR="001373A8">
              <w:rPr>
                <w:rFonts w:ascii="Arial" w:hAnsi="Arial" w:cs="Arial"/>
                <w:sz w:val="16"/>
                <w:szCs w:val="16"/>
              </w:rPr>
              <w:t xml:space="preserve">. </w:t>
            </w:r>
          </w:p>
        </w:tc>
        <w:tc>
          <w:tcPr>
            <w:tcW w:w="4008" w:type="dxa"/>
            <w:tcBorders>
              <w:top w:val="dotted" w:sz="4" w:space="0" w:color="auto"/>
              <w:left w:val="single" w:sz="4" w:space="0" w:color="auto"/>
              <w:bottom w:val="dotted" w:sz="4" w:space="0" w:color="auto"/>
            </w:tcBorders>
          </w:tcPr>
          <w:p w14:paraId="46F4014B" w14:textId="77777777" w:rsidR="00736B8E" w:rsidRDefault="00736B8E" w:rsidP="002B3C61">
            <w:pPr>
              <w:autoSpaceDE w:val="0"/>
              <w:autoSpaceDN w:val="0"/>
              <w:adjustRightInd w:val="0"/>
              <w:spacing w:before="60" w:after="60" w:line="240" w:lineRule="auto"/>
              <w:rPr>
                <w:rFonts w:ascii="Arial" w:hAnsi="Arial" w:cs="Arial"/>
                <w:b/>
                <w:sz w:val="16"/>
                <w:szCs w:val="16"/>
              </w:rPr>
            </w:pPr>
            <w:r w:rsidRPr="00736B8E">
              <w:rPr>
                <w:rFonts w:ascii="Arial" w:hAnsi="Arial" w:cs="Arial"/>
                <w:b/>
                <w:sz w:val="16"/>
                <w:szCs w:val="16"/>
              </w:rPr>
              <w:t>Achieved</w:t>
            </w:r>
          </w:p>
          <w:p w14:paraId="07B0532F" w14:textId="77777777" w:rsidR="00736B8E" w:rsidRPr="00736B8E" w:rsidRDefault="00736B8E" w:rsidP="002B3C61">
            <w:pPr>
              <w:autoSpaceDE w:val="0"/>
              <w:autoSpaceDN w:val="0"/>
              <w:adjustRightInd w:val="0"/>
              <w:spacing w:before="60" w:after="60" w:line="240" w:lineRule="auto"/>
              <w:rPr>
                <w:rFonts w:ascii="Arial" w:hAnsi="Arial" w:cs="Arial"/>
                <w:sz w:val="16"/>
                <w:szCs w:val="16"/>
              </w:rPr>
            </w:pPr>
            <w:r w:rsidRPr="00736B8E">
              <w:rPr>
                <w:rFonts w:ascii="Arial" w:hAnsi="Arial" w:cs="Arial"/>
                <w:sz w:val="16"/>
                <w:szCs w:val="16"/>
              </w:rPr>
              <w:t>The 2021-22 monthly financial statements were provided to the Minister for Finance on average within 21 days of the end of each month since the release of FBO.</w:t>
            </w:r>
          </w:p>
          <w:p w14:paraId="2239E02D" w14:textId="58450DEB" w:rsidR="00CB4F3C" w:rsidRPr="00A43E54" w:rsidRDefault="00736B8E" w:rsidP="002B3C61">
            <w:pPr>
              <w:autoSpaceDE w:val="0"/>
              <w:autoSpaceDN w:val="0"/>
              <w:adjustRightInd w:val="0"/>
              <w:spacing w:before="60" w:after="60" w:line="240" w:lineRule="auto"/>
              <w:rPr>
                <w:rFonts w:ascii="Arial" w:hAnsi="Arial" w:cs="Arial"/>
                <w:sz w:val="16"/>
                <w:szCs w:val="16"/>
                <w:u w:val="single"/>
              </w:rPr>
            </w:pPr>
            <w:r w:rsidRPr="00736B8E">
              <w:rPr>
                <w:rFonts w:ascii="Arial" w:hAnsi="Arial" w:cs="Arial"/>
                <w:sz w:val="16"/>
                <w:szCs w:val="16"/>
              </w:rPr>
              <w:t>The Auditor-General issued an unmodified audit report on the 2020-21 Consolid</w:t>
            </w:r>
            <w:r w:rsidR="0018432E">
              <w:rPr>
                <w:rFonts w:ascii="Arial" w:hAnsi="Arial" w:cs="Arial"/>
                <w:sz w:val="16"/>
                <w:szCs w:val="16"/>
              </w:rPr>
              <w:t>ated Financial Statements on 15 November </w:t>
            </w:r>
            <w:r w:rsidRPr="00736B8E">
              <w:rPr>
                <w:rFonts w:ascii="Arial" w:hAnsi="Arial" w:cs="Arial"/>
                <w:sz w:val="16"/>
                <w:szCs w:val="16"/>
              </w:rPr>
              <w:t>2021.</w:t>
            </w:r>
          </w:p>
        </w:tc>
      </w:tr>
      <w:tr w:rsidR="00CB4F3C" w:rsidRPr="008C2E0D" w14:paraId="2239E033" w14:textId="77777777" w:rsidTr="002B3C61">
        <w:trPr>
          <w:trHeight w:val="642"/>
        </w:trPr>
        <w:tc>
          <w:tcPr>
            <w:tcW w:w="1531" w:type="dxa"/>
            <w:tcBorders>
              <w:top w:val="nil"/>
              <w:right w:val="single" w:sz="4" w:space="0" w:color="auto"/>
            </w:tcBorders>
          </w:tcPr>
          <w:p w14:paraId="2239E02F" w14:textId="77777777" w:rsidR="00CB4F3C" w:rsidRPr="00361E69" w:rsidRDefault="00CB4F3C" w:rsidP="002B3C61">
            <w:pPr>
              <w:tabs>
                <w:tab w:val="left" w:pos="709"/>
              </w:tabs>
              <w:spacing w:before="60" w:after="60" w:line="240" w:lineRule="auto"/>
              <w:rPr>
                <w:rFonts w:ascii="Arial" w:hAnsi="Arial" w:cs="Arial"/>
                <w:sz w:val="16"/>
                <w:szCs w:val="16"/>
              </w:rPr>
            </w:pPr>
          </w:p>
        </w:tc>
        <w:tc>
          <w:tcPr>
            <w:tcW w:w="2256" w:type="dxa"/>
            <w:tcBorders>
              <w:top w:val="dotted" w:sz="4" w:space="0" w:color="auto"/>
              <w:left w:val="single" w:sz="4" w:space="0" w:color="auto"/>
              <w:bottom w:val="single" w:sz="4" w:space="0" w:color="auto"/>
              <w:right w:val="single" w:sz="4" w:space="0" w:color="auto"/>
            </w:tcBorders>
          </w:tcPr>
          <w:p w14:paraId="2239E030" w14:textId="77777777" w:rsidR="00CB4F3C" w:rsidRPr="00370F86" w:rsidRDefault="00CB4F3C" w:rsidP="002B3C61">
            <w:pPr>
              <w:tabs>
                <w:tab w:val="left" w:pos="709"/>
              </w:tabs>
              <w:autoSpaceDE w:val="0"/>
              <w:autoSpaceDN w:val="0"/>
              <w:adjustRightInd w:val="0"/>
              <w:spacing w:before="60" w:after="60" w:line="240" w:lineRule="auto"/>
              <w:rPr>
                <w:rFonts w:ascii="Arial" w:hAnsi="Arial" w:cs="Arial"/>
                <w:b/>
                <w:sz w:val="16"/>
                <w:szCs w:val="16"/>
              </w:rPr>
            </w:pPr>
            <w:r w:rsidRPr="00370F86">
              <w:rPr>
                <w:rFonts w:ascii="Arial" w:hAnsi="Arial" w:cs="Arial"/>
                <w:b/>
                <w:sz w:val="16"/>
                <w:szCs w:val="16"/>
              </w:rPr>
              <w:t>Daily disbursement of cash</w:t>
            </w:r>
          </w:p>
          <w:p w14:paraId="2239E031" w14:textId="6595EA78" w:rsidR="001373A8" w:rsidRDefault="00154503" w:rsidP="002B3C61">
            <w:pPr>
              <w:tabs>
                <w:tab w:val="left" w:pos="709"/>
              </w:tabs>
              <w:spacing w:before="60" w:after="60" w:line="240" w:lineRule="auto"/>
              <w:rPr>
                <w:rFonts w:ascii="Arial" w:hAnsi="Arial" w:cs="Arial"/>
                <w:sz w:val="16"/>
                <w:szCs w:val="16"/>
              </w:rPr>
            </w:pPr>
            <w:r w:rsidRPr="00154503">
              <w:rPr>
                <w:rFonts w:ascii="Arial" w:hAnsi="Arial" w:cs="Arial"/>
                <w:sz w:val="16"/>
                <w:szCs w:val="16"/>
              </w:rPr>
              <w:t>Commonwealth entities have access to cash, in near real-time, as required.</w:t>
            </w:r>
          </w:p>
        </w:tc>
        <w:tc>
          <w:tcPr>
            <w:tcW w:w="4008" w:type="dxa"/>
            <w:tcBorders>
              <w:top w:val="dotted" w:sz="4" w:space="0" w:color="auto"/>
              <w:left w:val="single" w:sz="4" w:space="0" w:color="auto"/>
              <w:bottom w:val="single" w:sz="4" w:space="0" w:color="auto"/>
            </w:tcBorders>
          </w:tcPr>
          <w:p w14:paraId="2A791B02" w14:textId="77777777" w:rsidR="00154503" w:rsidRPr="00154503" w:rsidRDefault="00154503" w:rsidP="002B3C61">
            <w:pPr>
              <w:autoSpaceDE w:val="0"/>
              <w:autoSpaceDN w:val="0"/>
              <w:adjustRightInd w:val="0"/>
              <w:spacing w:before="60" w:after="60" w:line="240" w:lineRule="auto"/>
              <w:rPr>
                <w:rFonts w:ascii="Arial" w:hAnsi="Arial" w:cs="Arial"/>
                <w:b/>
                <w:sz w:val="16"/>
                <w:szCs w:val="16"/>
              </w:rPr>
            </w:pPr>
            <w:r w:rsidRPr="00154503">
              <w:rPr>
                <w:rFonts w:ascii="Arial" w:hAnsi="Arial" w:cs="Arial"/>
                <w:b/>
                <w:sz w:val="16"/>
                <w:szCs w:val="16"/>
              </w:rPr>
              <w:t>Achieved</w:t>
            </w:r>
          </w:p>
          <w:p w14:paraId="2239E032" w14:textId="030DEBAE" w:rsidR="00CB4F3C" w:rsidRPr="00A43E54" w:rsidRDefault="00154503" w:rsidP="002B3C61">
            <w:pPr>
              <w:autoSpaceDE w:val="0"/>
              <w:autoSpaceDN w:val="0"/>
              <w:adjustRightInd w:val="0"/>
              <w:spacing w:before="60" w:after="60" w:line="240" w:lineRule="auto"/>
              <w:rPr>
                <w:rFonts w:ascii="Arial" w:hAnsi="Arial" w:cs="Arial"/>
                <w:sz w:val="16"/>
                <w:szCs w:val="16"/>
                <w:u w:val="single"/>
              </w:rPr>
            </w:pPr>
            <w:r w:rsidRPr="00154503">
              <w:rPr>
                <w:rFonts w:ascii="Arial" w:hAnsi="Arial" w:cs="Arial"/>
                <w:sz w:val="16"/>
                <w:szCs w:val="16"/>
              </w:rPr>
              <w:t>All payment requests from entities were met in requested timeframes, across the entire reporting period.</w:t>
            </w:r>
          </w:p>
        </w:tc>
      </w:tr>
    </w:tbl>
    <w:p w14:paraId="3AAE257F" w14:textId="77777777" w:rsidR="001373A8" w:rsidRDefault="00CB4F3C" w:rsidP="001373A8">
      <w:pPr>
        <w:pStyle w:val="ChartandTableFootnote"/>
      </w:pPr>
      <w:r w:rsidRPr="00CB4F3C">
        <w:t>Table continues on next page</w:t>
      </w:r>
      <w:r w:rsidR="001373A8">
        <w:br w:type="page"/>
      </w:r>
    </w:p>
    <w:p w14:paraId="2239E040" w14:textId="0CAF431B" w:rsidR="00CB4F3C" w:rsidRDefault="00CB4F3C" w:rsidP="001373A8">
      <w:pPr>
        <w:pStyle w:val="TableHeading"/>
      </w:pPr>
      <w:r w:rsidRPr="00393D23">
        <w:lastRenderedPageBreak/>
        <w:t>Table 2.1.2: Performance measure for Outcome 1</w:t>
      </w:r>
      <w:r>
        <w:t xml:space="preserve"> (continued)</w:t>
      </w:r>
    </w:p>
    <w:tbl>
      <w:tblPr>
        <w:tblW w:w="7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289"/>
        <w:gridCol w:w="4092"/>
      </w:tblGrid>
      <w:tr w:rsidR="00CB4F3C" w:rsidRPr="004F082C" w14:paraId="2239E042" w14:textId="77777777" w:rsidTr="006207B7">
        <w:trPr>
          <w:trHeight w:val="527"/>
        </w:trPr>
        <w:tc>
          <w:tcPr>
            <w:tcW w:w="7795" w:type="dxa"/>
            <w:gridSpan w:val="3"/>
            <w:shd w:val="clear" w:color="auto" w:fill="F2F2F2" w:themeFill="background1" w:themeFillShade="F2"/>
          </w:tcPr>
          <w:p w14:paraId="70A802D6" w14:textId="77777777" w:rsidR="004F082C" w:rsidRPr="004F082C" w:rsidRDefault="004F082C" w:rsidP="006207B7">
            <w:pPr>
              <w:pStyle w:val="TableTextLeft"/>
              <w:autoSpaceDE w:val="0"/>
              <w:autoSpaceDN w:val="0"/>
              <w:adjustRightInd w:val="0"/>
              <w:spacing w:before="60" w:after="60"/>
              <w:contextualSpacing/>
              <w:rPr>
                <w:b/>
                <w:szCs w:val="18"/>
              </w:rPr>
            </w:pPr>
            <w:r w:rsidRPr="004F082C">
              <w:rPr>
                <w:b/>
                <w:szCs w:val="18"/>
              </w:rPr>
              <w:t>Program 1.1 - Budget and Financial Management</w:t>
            </w:r>
          </w:p>
          <w:p w14:paraId="2239E041" w14:textId="1466F867" w:rsidR="00CB4F3C" w:rsidRPr="004F082C" w:rsidRDefault="004F082C" w:rsidP="0018432E">
            <w:pPr>
              <w:pStyle w:val="TableTextLeft"/>
              <w:autoSpaceDE w:val="0"/>
              <w:autoSpaceDN w:val="0"/>
              <w:adjustRightInd w:val="0"/>
              <w:spacing w:before="60" w:after="60"/>
              <w:contextualSpacing/>
              <w:rPr>
                <w:szCs w:val="18"/>
              </w:rPr>
            </w:pPr>
            <w:r w:rsidRPr="004F082C">
              <w:rPr>
                <w:szCs w:val="18"/>
              </w:rPr>
              <w:t xml:space="preserve">This program contributes to the outcome through advising the Finance Minister and </w:t>
            </w:r>
            <w:r w:rsidR="0018432E">
              <w:rPr>
                <w:szCs w:val="18"/>
              </w:rPr>
              <w:t>ERC</w:t>
            </w:r>
            <w:r w:rsidRPr="004F082C">
              <w:rPr>
                <w:szCs w:val="18"/>
              </w:rPr>
              <w:t xml:space="preserve"> on fiscal and economic policies and related matters; supporting the Finance Minister in meeting their financial reporting responsibilities; and supporting the delivery of the Budget</w:t>
            </w:r>
            <w:r w:rsidR="00F35311">
              <w:rPr>
                <w:szCs w:val="18"/>
              </w:rPr>
              <w:t>.</w:t>
            </w:r>
          </w:p>
        </w:tc>
      </w:tr>
      <w:tr w:rsidR="00CB4F3C" w:rsidRPr="002A0954" w14:paraId="2239E046" w14:textId="77777777" w:rsidTr="006207B7">
        <w:trPr>
          <w:trHeight w:val="312"/>
        </w:trPr>
        <w:tc>
          <w:tcPr>
            <w:tcW w:w="1414" w:type="dxa"/>
            <w:tcBorders>
              <w:top w:val="single" w:sz="4" w:space="0" w:color="auto"/>
              <w:bottom w:val="single" w:sz="4" w:space="0" w:color="auto"/>
              <w:right w:val="single" w:sz="4" w:space="0" w:color="auto"/>
            </w:tcBorders>
          </w:tcPr>
          <w:p w14:paraId="2239E043" w14:textId="77777777" w:rsidR="00CB4F3C" w:rsidRPr="00313067" w:rsidRDefault="00CB4F3C" w:rsidP="00251007">
            <w:pPr>
              <w:tabs>
                <w:tab w:val="left" w:pos="709"/>
              </w:tabs>
              <w:spacing w:before="20" w:after="20"/>
              <w:rPr>
                <w:rFonts w:ascii="Arial" w:hAnsi="Arial" w:cs="Arial"/>
                <w:sz w:val="16"/>
                <w:szCs w:val="16"/>
              </w:rPr>
            </w:pPr>
            <w:r w:rsidRPr="00313067">
              <w:rPr>
                <w:rFonts w:ascii="Arial" w:hAnsi="Arial" w:cs="Arial"/>
                <w:b/>
                <w:bCs/>
                <w:sz w:val="16"/>
                <w:szCs w:val="16"/>
              </w:rPr>
              <w:t>Year</w:t>
            </w:r>
          </w:p>
        </w:tc>
        <w:tc>
          <w:tcPr>
            <w:tcW w:w="2289" w:type="dxa"/>
            <w:tcBorders>
              <w:top w:val="single" w:sz="4" w:space="0" w:color="auto"/>
              <w:left w:val="single" w:sz="4" w:space="0" w:color="auto"/>
              <w:bottom w:val="single" w:sz="4" w:space="0" w:color="auto"/>
              <w:right w:val="single" w:sz="4" w:space="0" w:color="auto"/>
            </w:tcBorders>
          </w:tcPr>
          <w:p w14:paraId="2239E044" w14:textId="77777777" w:rsidR="00CB4F3C" w:rsidRPr="00313067" w:rsidRDefault="00CB4F3C" w:rsidP="00251007">
            <w:pPr>
              <w:tabs>
                <w:tab w:val="left" w:pos="709"/>
              </w:tabs>
              <w:spacing w:before="20" w:after="20"/>
              <w:rPr>
                <w:rFonts w:ascii="Arial" w:hAnsi="Arial" w:cs="Arial"/>
                <w:sz w:val="16"/>
                <w:szCs w:val="16"/>
              </w:rPr>
            </w:pPr>
            <w:r>
              <w:rPr>
                <w:rFonts w:ascii="Arial" w:hAnsi="Arial" w:cs="Arial"/>
                <w:b/>
                <w:bCs/>
                <w:sz w:val="16"/>
                <w:szCs w:val="16"/>
              </w:rPr>
              <w:t>Performance measures</w:t>
            </w:r>
          </w:p>
        </w:tc>
        <w:tc>
          <w:tcPr>
            <w:tcW w:w="4092" w:type="dxa"/>
            <w:tcBorders>
              <w:top w:val="single" w:sz="4" w:space="0" w:color="auto"/>
              <w:left w:val="single" w:sz="4" w:space="0" w:color="auto"/>
              <w:bottom w:val="single" w:sz="4" w:space="0" w:color="auto"/>
              <w:right w:val="single" w:sz="4" w:space="0" w:color="auto"/>
            </w:tcBorders>
          </w:tcPr>
          <w:p w14:paraId="2239E045" w14:textId="77777777" w:rsidR="00CB4F3C" w:rsidRPr="00313067" w:rsidRDefault="00CB4F3C" w:rsidP="00251007">
            <w:pPr>
              <w:tabs>
                <w:tab w:val="left" w:pos="709"/>
              </w:tabs>
              <w:spacing w:before="20" w:after="20"/>
              <w:rPr>
                <w:rFonts w:ascii="Arial" w:hAnsi="Arial" w:cs="Arial"/>
                <w:i/>
                <w:iCs/>
                <w:sz w:val="16"/>
                <w:szCs w:val="16"/>
              </w:rPr>
            </w:pPr>
            <w:r w:rsidRPr="00313067">
              <w:rPr>
                <w:rFonts w:ascii="Arial" w:hAnsi="Arial" w:cs="Arial"/>
                <w:b/>
                <w:bCs/>
                <w:sz w:val="16"/>
                <w:szCs w:val="16"/>
              </w:rPr>
              <w:t>Planned Performance Results</w:t>
            </w:r>
          </w:p>
        </w:tc>
      </w:tr>
      <w:tr w:rsidR="00CB4F3C" w:rsidRPr="002A0954" w14:paraId="2239E055" w14:textId="77777777" w:rsidTr="006207B7">
        <w:trPr>
          <w:trHeight w:val="100"/>
        </w:trPr>
        <w:tc>
          <w:tcPr>
            <w:tcW w:w="1414" w:type="dxa"/>
            <w:tcBorders>
              <w:top w:val="single" w:sz="4" w:space="0" w:color="auto"/>
              <w:bottom w:val="nil"/>
              <w:right w:val="single" w:sz="4" w:space="0" w:color="auto"/>
            </w:tcBorders>
          </w:tcPr>
          <w:p w14:paraId="2239E047" w14:textId="77777777" w:rsidR="00CB4F3C" w:rsidRPr="004E15D3" w:rsidRDefault="00CB4F3C" w:rsidP="006207B7">
            <w:pPr>
              <w:tabs>
                <w:tab w:val="left" w:pos="709"/>
              </w:tabs>
              <w:spacing w:before="60" w:after="60" w:line="240" w:lineRule="auto"/>
              <w:rPr>
                <w:rFonts w:ascii="Arial" w:hAnsi="Arial" w:cs="Arial"/>
                <w:sz w:val="16"/>
                <w:szCs w:val="16"/>
              </w:rPr>
            </w:pPr>
            <w:r w:rsidRPr="004E15D3">
              <w:rPr>
                <w:rFonts w:ascii="Arial" w:hAnsi="Arial" w:cs="Arial"/>
                <w:sz w:val="16"/>
                <w:szCs w:val="16"/>
                <w:lang w:eastAsia="en-US"/>
              </w:rPr>
              <w:t>Budget Year 2022-23</w:t>
            </w:r>
          </w:p>
        </w:tc>
        <w:tc>
          <w:tcPr>
            <w:tcW w:w="2289" w:type="dxa"/>
            <w:tcBorders>
              <w:top w:val="single" w:sz="4" w:space="0" w:color="auto"/>
              <w:left w:val="single" w:sz="4" w:space="0" w:color="auto"/>
              <w:bottom w:val="dotted" w:sz="4" w:space="0" w:color="auto"/>
              <w:right w:val="single" w:sz="4" w:space="0" w:color="auto"/>
            </w:tcBorders>
          </w:tcPr>
          <w:p w14:paraId="2239E048" w14:textId="77777777" w:rsidR="00CB4F3C" w:rsidRPr="00C33F82" w:rsidRDefault="00CB4F3C" w:rsidP="006207B7">
            <w:pPr>
              <w:tabs>
                <w:tab w:val="left" w:pos="709"/>
              </w:tabs>
              <w:autoSpaceDE w:val="0"/>
              <w:autoSpaceDN w:val="0"/>
              <w:adjustRightInd w:val="0"/>
              <w:spacing w:before="60" w:after="60" w:line="240" w:lineRule="auto"/>
              <w:rPr>
                <w:rFonts w:ascii="Arial" w:hAnsi="Arial" w:cs="Arial"/>
                <w:b/>
                <w:sz w:val="16"/>
                <w:szCs w:val="16"/>
              </w:rPr>
            </w:pPr>
            <w:r w:rsidRPr="00C33F82">
              <w:rPr>
                <w:rFonts w:ascii="Arial" w:hAnsi="Arial" w:cs="Arial"/>
                <w:b/>
                <w:sz w:val="16"/>
                <w:szCs w:val="16"/>
              </w:rPr>
              <w:t>Budget updates and Appropriation Bills</w:t>
            </w:r>
          </w:p>
          <w:p w14:paraId="2239E049" w14:textId="4845741F" w:rsidR="00CB4F3C" w:rsidRPr="00C33F82" w:rsidRDefault="00AF0F5E" w:rsidP="006207B7">
            <w:pPr>
              <w:autoSpaceDE w:val="0"/>
              <w:autoSpaceDN w:val="0"/>
              <w:adjustRightInd w:val="0"/>
              <w:spacing w:before="60" w:after="60" w:line="240" w:lineRule="auto"/>
              <w:contextualSpacing/>
              <w:rPr>
                <w:rFonts w:ascii="Arial" w:hAnsi="Arial" w:cs="Arial"/>
                <w:i/>
                <w:iCs/>
                <w:sz w:val="18"/>
                <w:szCs w:val="18"/>
              </w:rPr>
            </w:pPr>
            <w:r w:rsidRPr="00AF0F5E">
              <w:rPr>
                <w:rFonts w:ascii="Arial" w:eastAsia="Arial" w:hAnsi="Arial" w:cs="Arial"/>
                <w:sz w:val="16"/>
                <w:szCs w:val="16"/>
              </w:rPr>
              <w:t>Budget papers, related updates (e.g. the MYEFO) and Appropriation Bills are accurate, consistent with external reporting standards, delivered within required timeframes and meets the Government’s fiscal and policy objectives and legislative obligations.</w:t>
            </w:r>
          </w:p>
        </w:tc>
        <w:tc>
          <w:tcPr>
            <w:tcW w:w="4092" w:type="dxa"/>
            <w:tcBorders>
              <w:top w:val="single" w:sz="4" w:space="0" w:color="auto"/>
              <w:left w:val="single" w:sz="4" w:space="0" w:color="auto"/>
              <w:bottom w:val="dotted" w:sz="4" w:space="0" w:color="auto"/>
            </w:tcBorders>
          </w:tcPr>
          <w:p w14:paraId="2239E04A" w14:textId="77777777" w:rsidR="00CB4F3C" w:rsidRPr="00C33F82" w:rsidRDefault="00CB4F3C" w:rsidP="006207B7">
            <w:pPr>
              <w:autoSpaceDE w:val="0"/>
              <w:autoSpaceDN w:val="0"/>
              <w:adjustRightInd w:val="0"/>
              <w:spacing w:before="60" w:after="60" w:line="240" w:lineRule="auto"/>
              <w:rPr>
                <w:rFonts w:ascii="Arial" w:hAnsi="Arial" w:cs="Arial"/>
                <w:sz w:val="16"/>
                <w:szCs w:val="16"/>
              </w:rPr>
            </w:pPr>
            <w:r w:rsidRPr="00C33F82">
              <w:rPr>
                <w:rFonts w:ascii="Arial" w:hAnsi="Arial" w:cs="Arial"/>
                <w:sz w:val="16"/>
                <w:szCs w:val="16"/>
              </w:rPr>
              <w:t>Accuracy of Budget Estimates.</w:t>
            </w:r>
          </w:p>
          <w:p w14:paraId="2239E04B" w14:textId="1E2E8A6B" w:rsidR="00CB4F3C" w:rsidRPr="00C33F82" w:rsidRDefault="00AF0F5E" w:rsidP="008F5AA4">
            <w:pPr>
              <w:tabs>
                <w:tab w:val="left" w:pos="709"/>
              </w:tabs>
              <w:suppressAutoHyphens/>
              <w:spacing w:before="60" w:after="60" w:line="240" w:lineRule="auto"/>
              <w:rPr>
                <w:rFonts w:ascii="Arial" w:eastAsia="Arial" w:hAnsi="Arial" w:cs="Arial"/>
                <w:sz w:val="16"/>
                <w:szCs w:val="16"/>
              </w:rPr>
            </w:pPr>
            <w:r w:rsidRPr="00AF0F5E">
              <w:rPr>
                <w:rFonts w:ascii="Arial" w:eastAsia="Arial" w:hAnsi="Arial" w:cs="Arial"/>
                <w:sz w:val="16"/>
                <w:szCs w:val="16"/>
              </w:rPr>
              <w:t>Variances between estimated expenses and final ou</w:t>
            </w:r>
            <w:r>
              <w:rPr>
                <w:rFonts w:ascii="Arial" w:eastAsia="Arial" w:hAnsi="Arial" w:cs="Arial"/>
                <w:sz w:val="16"/>
                <w:szCs w:val="16"/>
              </w:rPr>
              <w:t>tcome are within set parameters</w:t>
            </w:r>
            <w:r w:rsidR="00CB4F3C" w:rsidRPr="00C33F82">
              <w:rPr>
                <w:rFonts w:ascii="Arial" w:eastAsia="Arial" w:hAnsi="Arial" w:cs="Arial"/>
                <w:sz w:val="16"/>
                <w:szCs w:val="16"/>
              </w:rPr>
              <w:t>.</w:t>
            </w:r>
          </w:p>
          <w:p w14:paraId="2239E04C" w14:textId="1EF9E9C7" w:rsidR="00CB4F3C" w:rsidRPr="00C33F82" w:rsidRDefault="00CB4F3C" w:rsidP="008F5AA4">
            <w:pPr>
              <w:pStyle w:val="ListParagraph"/>
              <w:numPr>
                <w:ilvl w:val="0"/>
                <w:numId w:val="56"/>
              </w:numPr>
              <w:autoSpaceDE w:val="0"/>
              <w:autoSpaceDN w:val="0"/>
              <w:adjustRightInd w:val="0"/>
              <w:spacing w:before="60" w:after="60" w:line="240" w:lineRule="auto"/>
              <w:ind w:left="527" w:hanging="357"/>
              <w:contextualSpacing w:val="0"/>
              <w:rPr>
                <w:rFonts w:ascii="Arial" w:hAnsi="Arial" w:cs="Arial"/>
                <w:sz w:val="16"/>
                <w:szCs w:val="16"/>
              </w:rPr>
            </w:pPr>
            <w:r w:rsidRPr="00C33F82">
              <w:rPr>
                <w:rFonts w:ascii="Arial" w:hAnsi="Arial" w:cs="Arial"/>
                <w:sz w:val="16"/>
                <w:szCs w:val="16"/>
              </w:rPr>
              <w:t>First for</w:t>
            </w:r>
            <w:r w:rsidR="00AF0F5E">
              <w:rPr>
                <w:rFonts w:ascii="Arial" w:hAnsi="Arial" w:cs="Arial"/>
                <w:sz w:val="16"/>
                <w:szCs w:val="16"/>
              </w:rPr>
              <w:t xml:space="preserve">ward year – difference between </w:t>
            </w:r>
            <w:r w:rsidRPr="00C33F82">
              <w:rPr>
                <w:rFonts w:ascii="Arial" w:hAnsi="Arial" w:cs="Arial"/>
                <w:sz w:val="16"/>
                <w:szCs w:val="16"/>
              </w:rPr>
              <w:t>estimated expenses and FBO &lt;2%.</w:t>
            </w:r>
          </w:p>
          <w:p w14:paraId="2239E04D" w14:textId="77777777" w:rsidR="00CB4F3C" w:rsidRPr="00C33F82" w:rsidRDefault="00CB4F3C" w:rsidP="008F5AA4">
            <w:pPr>
              <w:pStyle w:val="ListParagraph"/>
              <w:numPr>
                <w:ilvl w:val="0"/>
                <w:numId w:val="56"/>
              </w:numPr>
              <w:autoSpaceDE w:val="0"/>
              <w:autoSpaceDN w:val="0"/>
              <w:adjustRightInd w:val="0"/>
              <w:spacing w:before="60" w:after="60" w:line="240" w:lineRule="auto"/>
              <w:ind w:left="527" w:hanging="357"/>
              <w:contextualSpacing w:val="0"/>
              <w:rPr>
                <w:rFonts w:ascii="Arial" w:hAnsi="Arial" w:cs="Arial"/>
                <w:sz w:val="16"/>
                <w:szCs w:val="16"/>
              </w:rPr>
            </w:pPr>
            <w:r w:rsidRPr="00C33F82">
              <w:rPr>
                <w:rFonts w:ascii="Arial" w:hAnsi="Arial" w:cs="Arial"/>
                <w:sz w:val="16"/>
                <w:szCs w:val="16"/>
              </w:rPr>
              <w:t>Budget year – difference between Budget estimated expenses and FBO &lt;1.5%.</w:t>
            </w:r>
          </w:p>
          <w:p w14:paraId="2239E04E" w14:textId="77777777" w:rsidR="00CB4F3C" w:rsidRPr="00C33F82" w:rsidRDefault="00CB4F3C" w:rsidP="008F5AA4">
            <w:pPr>
              <w:pStyle w:val="ListParagraph"/>
              <w:numPr>
                <w:ilvl w:val="0"/>
                <w:numId w:val="56"/>
              </w:numPr>
              <w:autoSpaceDE w:val="0"/>
              <w:autoSpaceDN w:val="0"/>
              <w:adjustRightInd w:val="0"/>
              <w:spacing w:before="60" w:after="60" w:line="240" w:lineRule="auto"/>
              <w:ind w:left="527" w:hanging="357"/>
              <w:contextualSpacing w:val="0"/>
              <w:rPr>
                <w:rFonts w:ascii="Arial" w:hAnsi="Arial" w:cs="Arial"/>
                <w:sz w:val="16"/>
                <w:szCs w:val="16"/>
              </w:rPr>
            </w:pPr>
            <w:r w:rsidRPr="00C33F82">
              <w:rPr>
                <w:rFonts w:ascii="Arial" w:hAnsi="Arial" w:cs="Arial"/>
                <w:sz w:val="16"/>
                <w:szCs w:val="16"/>
              </w:rPr>
              <w:t>Current year – difference between the revised current year estimates at MYEFO and FBO &lt;1%.</w:t>
            </w:r>
          </w:p>
          <w:p w14:paraId="2239E04F" w14:textId="22627802" w:rsidR="00CB4F3C" w:rsidRPr="00C33F82" w:rsidRDefault="00CB4F3C" w:rsidP="008F5AA4">
            <w:pPr>
              <w:pStyle w:val="ListParagraph"/>
              <w:numPr>
                <w:ilvl w:val="0"/>
                <w:numId w:val="56"/>
              </w:numPr>
              <w:autoSpaceDE w:val="0"/>
              <w:autoSpaceDN w:val="0"/>
              <w:adjustRightInd w:val="0"/>
              <w:spacing w:before="60" w:after="60" w:line="240" w:lineRule="auto"/>
              <w:ind w:left="527" w:hanging="357"/>
              <w:contextualSpacing w:val="0"/>
              <w:rPr>
                <w:rFonts w:ascii="Arial" w:hAnsi="Arial" w:cs="Arial"/>
                <w:sz w:val="16"/>
                <w:szCs w:val="16"/>
              </w:rPr>
            </w:pPr>
            <w:r w:rsidRPr="00C33F82">
              <w:rPr>
                <w:rFonts w:ascii="Arial" w:hAnsi="Arial" w:cs="Arial"/>
                <w:sz w:val="16"/>
                <w:szCs w:val="16"/>
              </w:rPr>
              <w:t xml:space="preserve">Current year – difference between the current year estimates at budget time and </w:t>
            </w:r>
            <w:r w:rsidR="00651D84">
              <w:rPr>
                <w:rFonts w:ascii="Arial" w:hAnsi="Arial" w:cs="Arial"/>
                <w:sz w:val="16"/>
                <w:szCs w:val="16"/>
              </w:rPr>
              <w:t xml:space="preserve">FBO </w:t>
            </w:r>
            <w:r w:rsidRPr="00C33F82">
              <w:rPr>
                <w:rFonts w:ascii="Arial" w:hAnsi="Arial" w:cs="Arial"/>
                <w:sz w:val="16"/>
                <w:szCs w:val="16"/>
              </w:rPr>
              <w:t>&lt;0.5%.</w:t>
            </w:r>
          </w:p>
          <w:p w14:paraId="2239E050" w14:textId="77777777" w:rsidR="00CB4F3C" w:rsidRPr="00C33F82" w:rsidRDefault="00CB4F3C" w:rsidP="006207B7">
            <w:pPr>
              <w:tabs>
                <w:tab w:val="left" w:pos="709"/>
              </w:tabs>
              <w:suppressAutoHyphens/>
              <w:spacing w:before="60" w:after="60" w:line="240" w:lineRule="auto"/>
              <w:rPr>
                <w:rFonts w:ascii="Arial" w:eastAsia="Arial" w:hAnsi="Arial" w:cs="Arial"/>
                <w:sz w:val="16"/>
                <w:szCs w:val="16"/>
              </w:rPr>
            </w:pPr>
            <w:r w:rsidRPr="00C33F82">
              <w:rPr>
                <w:rFonts w:ascii="Arial" w:eastAsia="Arial" w:hAnsi="Arial" w:cs="Arial"/>
                <w:sz w:val="16"/>
                <w:szCs w:val="16"/>
              </w:rPr>
              <w:t>Significant variances between estimated expenses and final outcome are explained.</w:t>
            </w:r>
          </w:p>
          <w:p w14:paraId="2239E051" w14:textId="77777777" w:rsidR="00CB4F3C" w:rsidRPr="00C33F82" w:rsidRDefault="00CB4F3C" w:rsidP="008F5AA4">
            <w:pPr>
              <w:tabs>
                <w:tab w:val="left" w:pos="709"/>
              </w:tabs>
              <w:suppressAutoHyphens/>
              <w:spacing w:before="60" w:after="60" w:line="240" w:lineRule="auto"/>
              <w:rPr>
                <w:rFonts w:ascii="Arial" w:eastAsia="Arial" w:hAnsi="Arial" w:cs="Arial"/>
                <w:sz w:val="16"/>
                <w:szCs w:val="16"/>
              </w:rPr>
            </w:pPr>
            <w:r w:rsidRPr="00C33F82">
              <w:rPr>
                <w:rFonts w:ascii="Arial" w:eastAsia="Arial" w:hAnsi="Arial" w:cs="Arial"/>
                <w:sz w:val="16"/>
                <w:szCs w:val="16"/>
              </w:rPr>
              <w:t>Timeliness of Budget Estimate Updates and Appropriation Bills.</w:t>
            </w:r>
          </w:p>
          <w:p w14:paraId="2239E052" w14:textId="013F2DA5" w:rsidR="00CB4F3C" w:rsidRPr="00C33F82" w:rsidRDefault="00CB4F3C" w:rsidP="008F5AA4">
            <w:pPr>
              <w:pStyle w:val="ListParagraph"/>
              <w:numPr>
                <w:ilvl w:val="0"/>
                <w:numId w:val="57"/>
              </w:numPr>
              <w:autoSpaceDE w:val="0"/>
              <w:autoSpaceDN w:val="0"/>
              <w:adjustRightInd w:val="0"/>
              <w:spacing w:before="60" w:after="60" w:line="240" w:lineRule="auto"/>
              <w:ind w:left="527" w:hanging="357"/>
              <w:contextualSpacing w:val="0"/>
              <w:rPr>
                <w:rFonts w:ascii="Arial" w:hAnsi="Arial" w:cs="Arial"/>
                <w:sz w:val="16"/>
                <w:szCs w:val="16"/>
              </w:rPr>
            </w:pPr>
            <w:r w:rsidRPr="00C33F82">
              <w:rPr>
                <w:rFonts w:ascii="Arial" w:hAnsi="Arial" w:cs="Arial"/>
                <w:sz w:val="16"/>
                <w:szCs w:val="16"/>
              </w:rPr>
              <w:t xml:space="preserve">Budget papers and related updates meet timeframes set out in the </w:t>
            </w:r>
            <w:r w:rsidRPr="0018432E">
              <w:rPr>
                <w:rFonts w:ascii="Arial" w:hAnsi="Arial" w:cs="Arial"/>
                <w:sz w:val="16"/>
                <w:szCs w:val="16"/>
              </w:rPr>
              <w:t>Charter of Budget Honesty</w:t>
            </w:r>
            <w:r w:rsidRPr="00C33F82">
              <w:rPr>
                <w:rFonts w:ascii="Arial" w:hAnsi="Arial" w:cs="Arial"/>
                <w:sz w:val="16"/>
                <w:szCs w:val="16"/>
              </w:rPr>
              <w:t>.</w:t>
            </w:r>
          </w:p>
          <w:p w14:paraId="2239E053" w14:textId="77777777" w:rsidR="00CB4F3C" w:rsidRPr="00C33F82" w:rsidRDefault="00CB4F3C" w:rsidP="008F5AA4">
            <w:pPr>
              <w:pStyle w:val="ListParagraph"/>
              <w:numPr>
                <w:ilvl w:val="0"/>
                <w:numId w:val="57"/>
              </w:numPr>
              <w:autoSpaceDE w:val="0"/>
              <w:autoSpaceDN w:val="0"/>
              <w:adjustRightInd w:val="0"/>
              <w:spacing w:before="60" w:after="60" w:line="240" w:lineRule="auto"/>
              <w:ind w:left="527" w:hanging="357"/>
              <w:contextualSpacing w:val="0"/>
              <w:rPr>
                <w:rFonts w:ascii="Arial" w:hAnsi="Arial" w:cs="Arial"/>
                <w:sz w:val="16"/>
                <w:szCs w:val="16"/>
              </w:rPr>
            </w:pPr>
            <w:r w:rsidRPr="00C33F82">
              <w:rPr>
                <w:rFonts w:ascii="Arial" w:hAnsi="Arial" w:cs="Arial"/>
                <w:sz w:val="16"/>
                <w:szCs w:val="16"/>
              </w:rPr>
              <w:t>Appropriation Bills introduced at times intended by government.</w:t>
            </w:r>
          </w:p>
          <w:p w14:paraId="2239E054" w14:textId="77777777" w:rsidR="00CB4F3C" w:rsidRPr="00C33F82" w:rsidRDefault="00CB4F3C" w:rsidP="008F5AA4">
            <w:pPr>
              <w:tabs>
                <w:tab w:val="left" w:pos="709"/>
              </w:tabs>
              <w:spacing w:before="60" w:after="60" w:line="240" w:lineRule="auto"/>
              <w:rPr>
                <w:rFonts w:ascii="Arial" w:hAnsi="Arial" w:cs="Arial"/>
                <w:i/>
                <w:iCs/>
                <w:sz w:val="18"/>
                <w:szCs w:val="18"/>
              </w:rPr>
            </w:pPr>
            <w:r w:rsidRPr="00C33F82">
              <w:rPr>
                <w:rFonts w:ascii="Arial" w:eastAsia="Arial" w:hAnsi="Arial" w:cs="Arial"/>
                <w:sz w:val="16"/>
                <w:szCs w:val="16"/>
              </w:rPr>
              <w:t>External reporting standards and legislative requirements are met.</w:t>
            </w:r>
          </w:p>
        </w:tc>
      </w:tr>
      <w:tr w:rsidR="00CB4F3C" w:rsidRPr="00D82E0C" w14:paraId="2239E05E" w14:textId="77777777" w:rsidTr="006207B7">
        <w:trPr>
          <w:trHeight w:val="100"/>
        </w:trPr>
        <w:tc>
          <w:tcPr>
            <w:tcW w:w="1414" w:type="dxa"/>
            <w:tcBorders>
              <w:top w:val="nil"/>
              <w:left w:val="single" w:sz="4" w:space="0" w:color="auto"/>
              <w:bottom w:val="nil"/>
              <w:right w:val="single" w:sz="4" w:space="0" w:color="auto"/>
            </w:tcBorders>
          </w:tcPr>
          <w:p w14:paraId="2239E056" w14:textId="77777777" w:rsidR="00CB4F3C" w:rsidRPr="00370F86" w:rsidRDefault="00CB4F3C" w:rsidP="006207B7">
            <w:pPr>
              <w:tabs>
                <w:tab w:val="left" w:pos="709"/>
              </w:tabs>
              <w:spacing w:before="60" w:after="60" w:line="240" w:lineRule="auto"/>
              <w:rPr>
                <w:rFonts w:ascii="Arial" w:hAnsi="Arial" w:cs="Arial"/>
                <w:sz w:val="16"/>
                <w:szCs w:val="16"/>
                <w:lang w:eastAsia="en-US"/>
              </w:rPr>
            </w:pPr>
          </w:p>
        </w:tc>
        <w:tc>
          <w:tcPr>
            <w:tcW w:w="2289" w:type="dxa"/>
            <w:tcBorders>
              <w:top w:val="dotted" w:sz="4" w:space="0" w:color="auto"/>
              <w:left w:val="single" w:sz="4" w:space="0" w:color="auto"/>
              <w:bottom w:val="dotted" w:sz="4" w:space="0" w:color="auto"/>
              <w:right w:val="single" w:sz="4" w:space="0" w:color="auto"/>
            </w:tcBorders>
          </w:tcPr>
          <w:p w14:paraId="2239E057" w14:textId="77777777" w:rsidR="00CB4F3C" w:rsidRPr="00C33F82" w:rsidRDefault="00CB4F3C" w:rsidP="006207B7">
            <w:pPr>
              <w:tabs>
                <w:tab w:val="left" w:pos="709"/>
              </w:tabs>
              <w:autoSpaceDE w:val="0"/>
              <w:autoSpaceDN w:val="0"/>
              <w:adjustRightInd w:val="0"/>
              <w:spacing w:before="60" w:after="60" w:line="240" w:lineRule="auto"/>
              <w:rPr>
                <w:rFonts w:ascii="Arial" w:eastAsia="Arial" w:hAnsi="Arial" w:cs="Arial"/>
                <w:b/>
                <w:bCs/>
                <w:sz w:val="16"/>
                <w:szCs w:val="16"/>
              </w:rPr>
            </w:pPr>
            <w:r w:rsidRPr="00C33F82">
              <w:rPr>
                <w:rFonts w:ascii="Arial" w:eastAsia="Arial" w:hAnsi="Arial" w:cs="Arial"/>
                <w:b/>
                <w:bCs/>
                <w:sz w:val="16"/>
                <w:szCs w:val="16"/>
              </w:rPr>
              <w:t>Financial statements</w:t>
            </w:r>
          </w:p>
          <w:p w14:paraId="2239E058" w14:textId="77777777" w:rsidR="00CB4F3C" w:rsidRPr="00C33F82" w:rsidRDefault="00CB4F3C" w:rsidP="006207B7">
            <w:pPr>
              <w:tabs>
                <w:tab w:val="left" w:pos="709"/>
              </w:tabs>
              <w:autoSpaceDE w:val="0"/>
              <w:autoSpaceDN w:val="0"/>
              <w:adjustRightInd w:val="0"/>
              <w:spacing w:before="60" w:after="60" w:line="240" w:lineRule="auto"/>
              <w:rPr>
                <w:rFonts w:ascii="Arial" w:eastAsia="Arial" w:hAnsi="Arial" w:cs="Arial"/>
                <w:bCs/>
                <w:sz w:val="16"/>
                <w:szCs w:val="16"/>
              </w:rPr>
            </w:pPr>
            <w:r w:rsidRPr="00C33F82">
              <w:rPr>
                <w:rFonts w:ascii="Arial" w:eastAsia="Arial" w:hAnsi="Arial" w:cs="Arial"/>
                <w:bCs/>
                <w:sz w:val="16"/>
                <w:szCs w:val="16"/>
              </w:rPr>
              <w:t xml:space="preserve">The Government’s financial statements, including monthly statements, are complete, fairly presented and released publicly on timeframes agreed with the Government. </w:t>
            </w:r>
          </w:p>
        </w:tc>
        <w:tc>
          <w:tcPr>
            <w:tcW w:w="4092" w:type="dxa"/>
            <w:tcBorders>
              <w:top w:val="dotted" w:sz="4" w:space="0" w:color="auto"/>
              <w:left w:val="single" w:sz="4" w:space="0" w:color="auto"/>
              <w:bottom w:val="dotted" w:sz="4" w:space="0" w:color="auto"/>
              <w:right w:val="single" w:sz="4" w:space="0" w:color="auto"/>
            </w:tcBorders>
          </w:tcPr>
          <w:p w14:paraId="2239E059" w14:textId="77777777" w:rsidR="00CB4F3C" w:rsidRPr="00C33F82" w:rsidRDefault="00CB4F3C" w:rsidP="006207B7">
            <w:pPr>
              <w:autoSpaceDE w:val="0"/>
              <w:autoSpaceDN w:val="0"/>
              <w:adjustRightInd w:val="0"/>
              <w:spacing w:before="60" w:after="60" w:line="240" w:lineRule="auto"/>
              <w:rPr>
                <w:rFonts w:ascii="Arial" w:hAnsi="Arial" w:cs="Arial"/>
                <w:sz w:val="16"/>
                <w:szCs w:val="16"/>
              </w:rPr>
            </w:pPr>
            <w:r w:rsidRPr="00C33F82">
              <w:rPr>
                <w:rFonts w:ascii="Arial" w:hAnsi="Arial" w:cs="Arial"/>
                <w:sz w:val="16"/>
                <w:szCs w:val="16"/>
              </w:rPr>
              <w:t>Complete and fairly presented Financial Statements.</w:t>
            </w:r>
          </w:p>
          <w:p w14:paraId="2239E05A" w14:textId="08986A64" w:rsidR="00CB4F3C" w:rsidRPr="00C33F82" w:rsidRDefault="00CB4F3C" w:rsidP="00C8474A">
            <w:pPr>
              <w:pStyle w:val="ListParagraph"/>
              <w:numPr>
                <w:ilvl w:val="0"/>
                <w:numId w:val="58"/>
              </w:numPr>
              <w:autoSpaceDE w:val="0"/>
              <w:autoSpaceDN w:val="0"/>
              <w:adjustRightInd w:val="0"/>
              <w:spacing w:before="60" w:after="60" w:line="240" w:lineRule="auto"/>
              <w:ind w:left="527" w:hanging="357"/>
              <w:rPr>
                <w:rFonts w:ascii="Arial" w:hAnsi="Arial" w:cs="Arial"/>
                <w:sz w:val="16"/>
                <w:szCs w:val="16"/>
              </w:rPr>
            </w:pPr>
            <w:r w:rsidRPr="00C33F82">
              <w:rPr>
                <w:rFonts w:ascii="Arial" w:hAnsi="Arial" w:cs="Arial"/>
                <w:sz w:val="16"/>
                <w:szCs w:val="16"/>
              </w:rPr>
              <w:t>The Auditor-Gen</w:t>
            </w:r>
            <w:r w:rsidR="006207B7">
              <w:rPr>
                <w:rFonts w:ascii="Arial" w:hAnsi="Arial" w:cs="Arial"/>
                <w:sz w:val="16"/>
                <w:szCs w:val="16"/>
              </w:rPr>
              <w:t xml:space="preserve">eral issues an unmodified audit </w:t>
            </w:r>
            <w:r w:rsidRPr="00C33F82">
              <w:rPr>
                <w:rFonts w:ascii="Arial" w:hAnsi="Arial" w:cs="Arial"/>
                <w:sz w:val="16"/>
                <w:szCs w:val="16"/>
              </w:rPr>
              <w:t>report on consolidated financial statements.</w:t>
            </w:r>
          </w:p>
          <w:p w14:paraId="2239E05B" w14:textId="77777777" w:rsidR="00CB4F3C" w:rsidRPr="00C33F82" w:rsidRDefault="00CB4F3C" w:rsidP="008F5AA4">
            <w:pPr>
              <w:autoSpaceDE w:val="0"/>
              <w:autoSpaceDN w:val="0"/>
              <w:adjustRightInd w:val="0"/>
              <w:spacing w:before="60" w:after="60" w:line="240" w:lineRule="auto"/>
              <w:ind w:left="357" w:hanging="357"/>
              <w:rPr>
                <w:rFonts w:ascii="Arial" w:hAnsi="Arial" w:cs="Arial"/>
                <w:sz w:val="16"/>
                <w:szCs w:val="16"/>
              </w:rPr>
            </w:pPr>
            <w:r w:rsidRPr="00C33F82">
              <w:rPr>
                <w:rFonts w:ascii="Arial" w:hAnsi="Arial" w:cs="Arial"/>
                <w:sz w:val="16"/>
                <w:szCs w:val="16"/>
              </w:rPr>
              <w:t>Timeliness of Financial Statements.</w:t>
            </w:r>
          </w:p>
          <w:p w14:paraId="5AE690A0" w14:textId="07FC6AC5" w:rsidR="00603950" w:rsidRPr="00603950" w:rsidRDefault="002B0782" w:rsidP="008F5AA4">
            <w:pPr>
              <w:pStyle w:val="ListParagraph"/>
              <w:numPr>
                <w:ilvl w:val="0"/>
                <w:numId w:val="58"/>
              </w:numPr>
              <w:autoSpaceDE w:val="0"/>
              <w:autoSpaceDN w:val="0"/>
              <w:adjustRightInd w:val="0"/>
              <w:spacing w:before="60" w:after="60" w:line="240" w:lineRule="auto"/>
              <w:ind w:left="527" w:hanging="357"/>
              <w:contextualSpacing w:val="0"/>
              <w:rPr>
                <w:rFonts w:ascii="Arial" w:hAnsi="Arial" w:cs="Arial"/>
                <w:sz w:val="16"/>
                <w:szCs w:val="16"/>
              </w:rPr>
            </w:pPr>
            <w:r w:rsidRPr="002B0782">
              <w:rPr>
                <w:rFonts w:ascii="Arial" w:hAnsi="Arial" w:cs="Arial"/>
                <w:sz w:val="16"/>
                <w:szCs w:val="16"/>
              </w:rPr>
              <w:t>Monthly financial statements (MFS) prepared within 21 days of the end of month, on average excluding June to August. June MFS is excluded because from this performance criteria as it is incorporated into FBO. The July and August MFS are also excluded as they are delivered following the release of FBO.</w:t>
            </w:r>
          </w:p>
          <w:p w14:paraId="2239E05D" w14:textId="21BF5190" w:rsidR="00CB4F3C" w:rsidRPr="00C33F82" w:rsidRDefault="00606D21" w:rsidP="00AF5C60">
            <w:pPr>
              <w:pStyle w:val="ListParagraph"/>
              <w:numPr>
                <w:ilvl w:val="0"/>
                <w:numId w:val="58"/>
              </w:numPr>
              <w:autoSpaceDE w:val="0"/>
              <w:autoSpaceDN w:val="0"/>
              <w:adjustRightInd w:val="0"/>
              <w:spacing w:before="60" w:after="60" w:line="240" w:lineRule="auto"/>
              <w:ind w:left="527" w:hanging="357"/>
              <w:contextualSpacing w:val="0"/>
              <w:jc w:val="both"/>
              <w:rPr>
                <w:rFonts w:ascii="Arial" w:hAnsi="Arial" w:cs="Arial"/>
                <w:sz w:val="16"/>
                <w:szCs w:val="16"/>
              </w:rPr>
            </w:pPr>
            <w:r w:rsidRPr="00606D21">
              <w:rPr>
                <w:rFonts w:ascii="Arial" w:hAnsi="Arial" w:cs="Arial"/>
                <w:sz w:val="16"/>
                <w:szCs w:val="16"/>
              </w:rPr>
              <w:t>Consolidated financial statements provided to the Auditor-General by 30 November each year.</w:t>
            </w:r>
          </w:p>
        </w:tc>
      </w:tr>
      <w:tr w:rsidR="00CB4F3C" w:rsidRPr="00D82E0C" w14:paraId="2239E063" w14:textId="77777777" w:rsidTr="006207B7">
        <w:trPr>
          <w:trHeight w:val="100"/>
        </w:trPr>
        <w:tc>
          <w:tcPr>
            <w:tcW w:w="1414" w:type="dxa"/>
            <w:tcBorders>
              <w:top w:val="nil"/>
              <w:left w:val="single" w:sz="4" w:space="0" w:color="auto"/>
              <w:bottom w:val="single" w:sz="4" w:space="0" w:color="auto"/>
              <w:right w:val="single" w:sz="4" w:space="0" w:color="auto"/>
            </w:tcBorders>
          </w:tcPr>
          <w:p w14:paraId="2239E05F" w14:textId="77777777" w:rsidR="00CB4F3C" w:rsidRPr="00370F86" w:rsidRDefault="00CB4F3C" w:rsidP="006207B7">
            <w:pPr>
              <w:tabs>
                <w:tab w:val="left" w:pos="709"/>
              </w:tabs>
              <w:spacing w:before="60" w:after="60" w:line="240" w:lineRule="auto"/>
              <w:rPr>
                <w:rFonts w:ascii="Arial" w:hAnsi="Arial" w:cs="Arial"/>
                <w:sz w:val="16"/>
                <w:szCs w:val="16"/>
                <w:lang w:eastAsia="en-US"/>
              </w:rPr>
            </w:pPr>
          </w:p>
        </w:tc>
        <w:tc>
          <w:tcPr>
            <w:tcW w:w="2289" w:type="dxa"/>
            <w:tcBorders>
              <w:top w:val="dotted" w:sz="4" w:space="0" w:color="auto"/>
              <w:left w:val="single" w:sz="4" w:space="0" w:color="auto"/>
              <w:bottom w:val="single" w:sz="4" w:space="0" w:color="auto"/>
              <w:right w:val="single" w:sz="4" w:space="0" w:color="auto"/>
            </w:tcBorders>
          </w:tcPr>
          <w:p w14:paraId="2239E060" w14:textId="77777777" w:rsidR="00CB4F3C" w:rsidRPr="00D82E0C" w:rsidRDefault="00CB4F3C" w:rsidP="006207B7">
            <w:pPr>
              <w:tabs>
                <w:tab w:val="left" w:pos="709"/>
              </w:tabs>
              <w:autoSpaceDE w:val="0"/>
              <w:autoSpaceDN w:val="0"/>
              <w:adjustRightInd w:val="0"/>
              <w:spacing w:before="60" w:after="60" w:line="240" w:lineRule="auto"/>
              <w:rPr>
                <w:rFonts w:ascii="Arial" w:eastAsia="Arial" w:hAnsi="Arial" w:cs="Arial"/>
                <w:b/>
                <w:bCs/>
                <w:sz w:val="16"/>
                <w:szCs w:val="16"/>
              </w:rPr>
            </w:pPr>
            <w:r w:rsidRPr="00D82E0C">
              <w:rPr>
                <w:rFonts w:ascii="Arial" w:eastAsia="Arial" w:hAnsi="Arial" w:cs="Arial"/>
                <w:b/>
                <w:bCs/>
                <w:sz w:val="16"/>
                <w:szCs w:val="16"/>
              </w:rPr>
              <w:t>Daily disbursement of cash</w:t>
            </w:r>
          </w:p>
          <w:p w14:paraId="2239E061" w14:textId="77777777" w:rsidR="00CB4F3C" w:rsidRPr="00370F86" w:rsidRDefault="00CB4F3C" w:rsidP="006207B7">
            <w:pPr>
              <w:tabs>
                <w:tab w:val="left" w:pos="709"/>
              </w:tabs>
              <w:autoSpaceDE w:val="0"/>
              <w:autoSpaceDN w:val="0"/>
              <w:adjustRightInd w:val="0"/>
              <w:spacing w:before="60" w:after="60" w:line="240" w:lineRule="auto"/>
              <w:rPr>
                <w:rFonts w:ascii="Arial" w:eastAsia="Arial" w:hAnsi="Arial" w:cs="Arial"/>
                <w:b/>
                <w:bCs/>
                <w:sz w:val="16"/>
                <w:szCs w:val="16"/>
              </w:rPr>
            </w:pPr>
            <w:r w:rsidRPr="00370F86">
              <w:rPr>
                <w:rFonts w:ascii="Arial" w:eastAsia="Arial" w:hAnsi="Arial" w:cs="Arial"/>
                <w:bCs/>
                <w:sz w:val="16"/>
                <w:szCs w:val="16"/>
              </w:rPr>
              <w:t>Commonwealth entities have access to cash, in near real-time, as required</w:t>
            </w:r>
            <w:r w:rsidRPr="00370F86">
              <w:rPr>
                <w:rFonts w:ascii="Arial" w:eastAsia="Arial" w:hAnsi="Arial" w:cs="Arial"/>
                <w:b/>
                <w:bCs/>
                <w:sz w:val="16"/>
                <w:szCs w:val="16"/>
              </w:rPr>
              <w:t>.</w:t>
            </w:r>
          </w:p>
        </w:tc>
        <w:tc>
          <w:tcPr>
            <w:tcW w:w="4092" w:type="dxa"/>
            <w:tcBorders>
              <w:top w:val="dotted" w:sz="4" w:space="0" w:color="auto"/>
              <w:left w:val="single" w:sz="4" w:space="0" w:color="auto"/>
              <w:bottom w:val="single" w:sz="4" w:space="0" w:color="auto"/>
              <w:right w:val="single" w:sz="4" w:space="0" w:color="auto"/>
            </w:tcBorders>
          </w:tcPr>
          <w:p w14:paraId="2239E062" w14:textId="145CC737" w:rsidR="00CB4F3C" w:rsidRPr="00370F86" w:rsidRDefault="00311B18" w:rsidP="006207B7">
            <w:pPr>
              <w:autoSpaceDE w:val="0"/>
              <w:autoSpaceDN w:val="0"/>
              <w:adjustRightInd w:val="0"/>
              <w:spacing w:before="60" w:after="60" w:line="240" w:lineRule="auto"/>
              <w:rPr>
                <w:rFonts w:ascii="Arial" w:hAnsi="Arial" w:cs="Arial"/>
                <w:sz w:val="16"/>
                <w:szCs w:val="16"/>
              </w:rPr>
            </w:pPr>
            <w:r w:rsidRPr="00311B18">
              <w:rPr>
                <w:rFonts w:ascii="Arial" w:hAnsi="Arial" w:cs="Arial"/>
                <w:sz w:val="16"/>
                <w:szCs w:val="16"/>
              </w:rPr>
              <w:t>Cash needs of all entities are met in near real-time each day (including outside business hours) in the financial year.</w:t>
            </w:r>
          </w:p>
        </w:tc>
      </w:tr>
      <w:tr w:rsidR="00CB4F3C" w:rsidRPr="00D82E0C" w14:paraId="2239E067" w14:textId="77777777" w:rsidTr="006207B7">
        <w:trPr>
          <w:trHeight w:val="100"/>
        </w:trPr>
        <w:tc>
          <w:tcPr>
            <w:tcW w:w="1414" w:type="dxa"/>
            <w:tcBorders>
              <w:top w:val="single" w:sz="4" w:space="0" w:color="auto"/>
              <w:left w:val="single" w:sz="4" w:space="0" w:color="auto"/>
              <w:bottom w:val="single" w:sz="4" w:space="0" w:color="auto"/>
              <w:right w:val="single" w:sz="4" w:space="0" w:color="auto"/>
            </w:tcBorders>
          </w:tcPr>
          <w:p w14:paraId="2239E064" w14:textId="77777777" w:rsidR="00CB4F3C" w:rsidRPr="00370F86" w:rsidRDefault="00CB4F3C" w:rsidP="00251007">
            <w:pPr>
              <w:tabs>
                <w:tab w:val="left" w:pos="709"/>
              </w:tabs>
              <w:spacing w:before="20" w:after="20" w:line="240" w:lineRule="auto"/>
              <w:rPr>
                <w:rFonts w:ascii="Arial" w:hAnsi="Arial" w:cs="Arial"/>
                <w:sz w:val="16"/>
                <w:szCs w:val="16"/>
                <w:lang w:eastAsia="en-US"/>
              </w:rPr>
            </w:pPr>
            <w:r w:rsidRPr="00370F86">
              <w:rPr>
                <w:rFonts w:ascii="Arial" w:hAnsi="Arial" w:cs="Arial"/>
                <w:sz w:val="16"/>
                <w:szCs w:val="16"/>
                <w:lang w:eastAsia="en-US"/>
              </w:rPr>
              <w:t xml:space="preserve">Forward Estimates </w:t>
            </w:r>
            <w:r>
              <w:rPr>
                <w:rFonts w:ascii="Arial" w:hAnsi="Arial" w:cs="Arial"/>
                <w:sz w:val="16"/>
                <w:szCs w:val="16"/>
                <w:lang w:eastAsia="en-US"/>
              </w:rPr>
              <w:br/>
            </w:r>
            <w:r w:rsidRPr="00370F86">
              <w:rPr>
                <w:rFonts w:ascii="Arial" w:hAnsi="Arial" w:cs="Arial"/>
                <w:sz w:val="16"/>
                <w:szCs w:val="16"/>
                <w:lang w:eastAsia="en-US"/>
              </w:rPr>
              <w:t>2023-26</w:t>
            </w:r>
          </w:p>
        </w:tc>
        <w:tc>
          <w:tcPr>
            <w:tcW w:w="2289" w:type="dxa"/>
            <w:tcBorders>
              <w:top w:val="single" w:sz="4" w:space="0" w:color="auto"/>
              <w:left w:val="single" w:sz="4" w:space="0" w:color="auto"/>
              <w:bottom w:val="single" w:sz="4" w:space="0" w:color="auto"/>
              <w:right w:val="single" w:sz="4" w:space="0" w:color="auto"/>
            </w:tcBorders>
          </w:tcPr>
          <w:p w14:paraId="2239E065" w14:textId="212BFEEC" w:rsidR="00CB4F3C" w:rsidRPr="00370F86" w:rsidRDefault="003D4CD3" w:rsidP="00251007">
            <w:pPr>
              <w:tabs>
                <w:tab w:val="left" w:pos="709"/>
              </w:tabs>
              <w:suppressAutoHyphens/>
              <w:spacing w:before="20" w:after="20" w:line="240" w:lineRule="auto"/>
              <w:rPr>
                <w:rFonts w:ascii="Arial" w:eastAsia="Arial" w:hAnsi="Arial" w:cs="Arial"/>
                <w:bCs/>
                <w:sz w:val="16"/>
                <w:szCs w:val="16"/>
              </w:rPr>
            </w:pPr>
            <w:r>
              <w:rPr>
                <w:rFonts w:ascii="Arial" w:eastAsia="Arial" w:hAnsi="Arial" w:cs="Arial"/>
                <w:bCs/>
                <w:sz w:val="16"/>
                <w:szCs w:val="16"/>
              </w:rPr>
              <w:t>As per 2022-23</w:t>
            </w:r>
          </w:p>
        </w:tc>
        <w:tc>
          <w:tcPr>
            <w:tcW w:w="4092" w:type="dxa"/>
            <w:tcBorders>
              <w:top w:val="single" w:sz="4" w:space="0" w:color="auto"/>
              <w:left w:val="single" w:sz="4" w:space="0" w:color="auto"/>
              <w:bottom w:val="single" w:sz="4" w:space="0" w:color="auto"/>
              <w:right w:val="single" w:sz="4" w:space="0" w:color="auto"/>
            </w:tcBorders>
          </w:tcPr>
          <w:p w14:paraId="2239E066" w14:textId="20928FD6" w:rsidR="00CB4F3C" w:rsidRPr="00370F86" w:rsidRDefault="003D4CD3" w:rsidP="00251007">
            <w:pPr>
              <w:autoSpaceDE w:val="0"/>
              <w:autoSpaceDN w:val="0"/>
              <w:adjustRightInd w:val="0"/>
              <w:spacing w:before="20" w:after="20" w:line="240" w:lineRule="auto"/>
              <w:rPr>
                <w:rFonts w:ascii="Arial" w:hAnsi="Arial" w:cs="Arial"/>
                <w:sz w:val="16"/>
                <w:szCs w:val="16"/>
              </w:rPr>
            </w:pPr>
            <w:r>
              <w:rPr>
                <w:rFonts w:ascii="Arial" w:hAnsi="Arial" w:cs="Arial"/>
                <w:sz w:val="16"/>
                <w:szCs w:val="16"/>
              </w:rPr>
              <w:t>As per 2022-23</w:t>
            </w:r>
          </w:p>
        </w:tc>
      </w:tr>
      <w:tr w:rsidR="00CB4F3C" w:rsidRPr="00D82E0C" w14:paraId="2239E069" w14:textId="77777777" w:rsidTr="006207B7">
        <w:trPr>
          <w:trHeight w:val="291"/>
        </w:trPr>
        <w:tc>
          <w:tcPr>
            <w:tcW w:w="7795" w:type="dxa"/>
            <w:gridSpan w:val="3"/>
          </w:tcPr>
          <w:p w14:paraId="2239E068" w14:textId="48607321" w:rsidR="00CB4F3C" w:rsidRPr="00D82E0C" w:rsidRDefault="003D4CD3" w:rsidP="00251007">
            <w:pPr>
              <w:tabs>
                <w:tab w:val="left" w:pos="709"/>
              </w:tabs>
              <w:spacing w:before="20" w:after="20"/>
              <w:rPr>
                <w:rFonts w:ascii="Arial" w:eastAsia="Cambria" w:hAnsi="Arial" w:cs="Arial"/>
                <w:spacing w:val="-6"/>
                <w:sz w:val="16"/>
                <w:szCs w:val="16"/>
              </w:rPr>
            </w:pPr>
            <w:r w:rsidRPr="003D4CD3">
              <w:rPr>
                <w:rFonts w:ascii="Arial" w:eastAsia="Cambria" w:hAnsi="Arial" w:cs="Arial"/>
                <w:spacing w:val="-6"/>
                <w:sz w:val="16"/>
                <w:szCs w:val="16"/>
              </w:rPr>
              <w:t>Material changes to Program 1.1 resulting from October 2022-23 Budget Measures: Nil</w:t>
            </w:r>
          </w:p>
        </w:tc>
      </w:tr>
    </w:tbl>
    <w:p w14:paraId="2239E06C" w14:textId="646B99F2" w:rsidR="00F0167C" w:rsidRPr="00F743D8" w:rsidRDefault="00F0167C" w:rsidP="00F0167C">
      <w:pPr>
        <w:pStyle w:val="Heading3"/>
      </w:pPr>
      <w:bookmarkStart w:id="58" w:name="_Toc98181310"/>
      <w:bookmarkStart w:id="59" w:name="_Toc116742496"/>
      <w:bookmarkStart w:id="60" w:name="_Toc117027160"/>
      <w:bookmarkStart w:id="61" w:name="_Toc117070786"/>
      <w:bookmarkStart w:id="62" w:name="_Toc117071040"/>
      <w:bookmarkStart w:id="63" w:name="_Toc117078074"/>
      <w:bookmarkEnd w:id="56"/>
      <w:bookmarkEnd w:id="57"/>
      <w:r>
        <w:lastRenderedPageBreak/>
        <w:t>2.2</w:t>
      </w:r>
      <w:r w:rsidRPr="00F743D8">
        <w:t xml:space="preserve"> </w:t>
      </w:r>
      <w:r w:rsidRPr="00F743D8">
        <w:tab/>
        <w:t xml:space="preserve">Budgeted expenses and performance for Outcome </w:t>
      </w:r>
      <w:r>
        <w:t>2</w:t>
      </w:r>
      <w:bookmarkEnd w:id="58"/>
      <w:bookmarkEnd w:id="59"/>
      <w:bookmarkEnd w:id="60"/>
      <w:bookmarkEnd w:id="61"/>
      <w:bookmarkEnd w:id="62"/>
      <w:bookmarkEnd w:id="63"/>
    </w:p>
    <w:tbl>
      <w:tblPr>
        <w:tblW w:w="77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F0167C" w:rsidRPr="005E6F2B" w14:paraId="2239E06E" w14:textId="77777777" w:rsidTr="00DB35A1">
        <w:tc>
          <w:tcPr>
            <w:tcW w:w="7705" w:type="dxa"/>
            <w:shd w:val="clear" w:color="auto" w:fill="E6E6E6"/>
          </w:tcPr>
          <w:p w14:paraId="2239E06D" w14:textId="435F5F23" w:rsidR="00F0167C" w:rsidRPr="005E6F2B" w:rsidRDefault="000A7265" w:rsidP="00674B58">
            <w:pPr>
              <w:pStyle w:val="TableColumnHeadingLeft"/>
              <w:spacing w:before="60" w:after="60"/>
            </w:pPr>
            <w:r w:rsidRPr="000A7265">
              <w:t>Outcome 2 – Support an efficient and high-performing public sector through providing leadership to Commonwealth entities in ongoing improvements to public sector governance, including through systems, frameworks, policy, advice and service delivery.</w:t>
            </w:r>
          </w:p>
        </w:tc>
      </w:tr>
    </w:tbl>
    <w:p w14:paraId="2239E06F" w14:textId="77777777" w:rsidR="00F0167C" w:rsidRPr="005E6F2B" w:rsidRDefault="00F0167C" w:rsidP="00F0167C">
      <w:pPr>
        <w:pStyle w:val="NoSpacing"/>
      </w:pPr>
    </w:p>
    <w:p w14:paraId="2239E070" w14:textId="77777777" w:rsidR="00F0167C" w:rsidRPr="005E6F2B" w:rsidRDefault="00F0167C" w:rsidP="00F0167C">
      <w:pPr>
        <w:pStyle w:val="Heading4"/>
      </w:pPr>
      <w:r w:rsidRPr="005E6F2B">
        <w:t>Linked programs</w:t>
      </w:r>
    </w:p>
    <w:tbl>
      <w:tblPr>
        <w:tblW w:w="7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9"/>
      </w:tblGrid>
      <w:tr w:rsidR="00F0167C" w:rsidRPr="005E6F2B" w14:paraId="2239E072" w14:textId="77777777" w:rsidTr="00DB35A1">
        <w:trPr>
          <w:trHeight w:val="113"/>
          <w:tblHeader/>
        </w:trPr>
        <w:tc>
          <w:tcPr>
            <w:tcW w:w="7699" w:type="dxa"/>
            <w:tcBorders>
              <w:bottom w:val="dotted" w:sz="4" w:space="0" w:color="auto"/>
            </w:tcBorders>
          </w:tcPr>
          <w:p w14:paraId="2239E071" w14:textId="77777777" w:rsidR="00F0167C" w:rsidRPr="00A22804" w:rsidRDefault="00F0167C" w:rsidP="00BF56B5">
            <w:pPr>
              <w:pStyle w:val="ExampleText0"/>
              <w:spacing w:before="60" w:after="60" w:line="240" w:lineRule="auto"/>
              <w:rPr>
                <w:rFonts w:ascii="Arial" w:hAnsi="Arial" w:cs="Arial"/>
                <w:color w:val="auto"/>
                <w:sz w:val="20"/>
              </w:rPr>
            </w:pPr>
            <w:r w:rsidRPr="00A22804">
              <w:rPr>
                <w:rStyle w:val="ExampletextCharChar"/>
                <w:rFonts w:ascii="Arial" w:hAnsi="Arial" w:cs="Arial"/>
                <w:b/>
                <w:color w:val="auto"/>
                <w:sz w:val="20"/>
              </w:rPr>
              <w:t>Commonwealth Superannuation Corporation</w:t>
            </w:r>
          </w:p>
        </w:tc>
      </w:tr>
      <w:tr w:rsidR="00F0167C" w:rsidRPr="005E6F2B" w14:paraId="2239E075" w14:textId="77777777" w:rsidTr="00DB35A1">
        <w:trPr>
          <w:trHeight w:val="113"/>
        </w:trPr>
        <w:tc>
          <w:tcPr>
            <w:tcW w:w="7699" w:type="dxa"/>
            <w:tcBorders>
              <w:top w:val="dotted" w:sz="4" w:space="0" w:color="auto"/>
              <w:bottom w:val="single" w:sz="4" w:space="0" w:color="auto"/>
            </w:tcBorders>
          </w:tcPr>
          <w:p w14:paraId="2239E073" w14:textId="77777777" w:rsidR="00F0167C" w:rsidRPr="00E50974" w:rsidRDefault="00F0167C" w:rsidP="00BF56B5">
            <w:pPr>
              <w:spacing w:before="60" w:after="60" w:line="240" w:lineRule="auto"/>
              <w:rPr>
                <w:rStyle w:val="ExampletextCharChar"/>
                <w:rFonts w:ascii="Book Antiqua" w:hAnsi="Book Antiqua"/>
                <w:b/>
                <w:i w:val="0"/>
                <w:color w:val="auto"/>
              </w:rPr>
            </w:pPr>
            <w:r w:rsidRPr="00E50974">
              <w:rPr>
                <w:rStyle w:val="ExampletextCharChar"/>
                <w:rFonts w:ascii="Book Antiqua" w:hAnsi="Book Antiqua"/>
                <w:b/>
                <w:i w:val="0"/>
                <w:color w:val="auto"/>
              </w:rPr>
              <w:t>Program</w:t>
            </w:r>
          </w:p>
          <w:p w14:paraId="2239E074" w14:textId="77777777" w:rsidR="00F0167C" w:rsidRPr="00E50974" w:rsidRDefault="00F0167C" w:rsidP="00E84594">
            <w:pPr>
              <w:numPr>
                <w:ilvl w:val="0"/>
                <w:numId w:val="8"/>
              </w:numPr>
              <w:spacing w:before="120" w:after="120" w:line="240" w:lineRule="auto"/>
              <w:ind w:left="527" w:hanging="357"/>
              <w:rPr>
                <w:rStyle w:val="ExampletextCharChar"/>
                <w:i w:val="0"/>
                <w:color w:val="auto"/>
              </w:rPr>
            </w:pPr>
            <w:r w:rsidRPr="00E50974">
              <w:rPr>
                <w:rStyle w:val="ExampletextCharChar"/>
                <w:rFonts w:ascii="Book Antiqua" w:hAnsi="Book Antiqua"/>
                <w:i w:val="0"/>
                <w:color w:val="auto"/>
              </w:rPr>
              <w:t>Program 1.1 – Superannuation Scheme Governance</w:t>
            </w:r>
          </w:p>
        </w:tc>
      </w:tr>
      <w:tr w:rsidR="00F0167C" w:rsidRPr="005E6F2B" w14:paraId="2239E077" w14:textId="77777777" w:rsidTr="00DB35A1">
        <w:trPr>
          <w:trHeight w:val="113"/>
        </w:trPr>
        <w:tc>
          <w:tcPr>
            <w:tcW w:w="7699" w:type="dxa"/>
            <w:tcBorders>
              <w:bottom w:val="dotted" w:sz="4" w:space="0" w:color="auto"/>
            </w:tcBorders>
          </w:tcPr>
          <w:p w14:paraId="2239E076" w14:textId="77777777" w:rsidR="00F0167C" w:rsidRPr="00E50974" w:rsidRDefault="00F0167C" w:rsidP="00BF56B5">
            <w:pPr>
              <w:pStyle w:val="ExampleText0"/>
              <w:spacing w:before="60" w:after="60" w:line="240" w:lineRule="auto"/>
              <w:rPr>
                <w:color w:val="auto"/>
              </w:rPr>
            </w:pPr>
            <w:r w:rsidRPr="00E50974">
              <w:rPr>
                <w:rStyle w:val="ExampletextCharChar"/>
                <w:rFonts w:ascii="Arial" w:hAnsi="Arial" w:cs="Arial"/>
                <w:b/>
                <w:color w:val="auto"/>
                <w:sz w:val="20"/>
              </w:rPr>
              <w:t>Future Fund Management Agency</w:t>
            </w:r>
          </w:p>
        </w:tc>
      </w:tr>
      <w:tr w:rsidR="00F0167C" w:rsidRPr="005E6F2B" w14:paraId="2239E07B" w14:textId="77777777" w:rsidTr="00DB35A1">
        <w:trPr>
          <w:trHeight w:val="113"/>
        </w:trPr>
        <w:tc>
          <w:tcPr>
            <w:tcW w:w="7699" w:type="dxa"/>
            <w:tcBorders>
              <w:top w:val="dotted" w:sz="4" w:space="0" w:color="auto"/>
              <w:bottom w:val="single" w:sz="4" w:space="0" w:color="auto"/>
            </w:tcBorders>
          </w:tcPr>
          <w:p w14:paraId="2239E078" w14:textId="77777777" w:rsidR="00F0167C" w:rsidRPr="00E50974" w:rsidRDefault="00F0167C" w:rsidP="00BF56B5">
            <w:pPr>
              <w:spacing w:before="60" w:after="60" w:line="240" w:lineRule="auto"/>
              <w:rPr>
                <w:rStyle w:val="ExampletextCharChar"/>
                <w:rFonts w:ascii="Book Antiqua" w:hAnsi="Book Antiqua"/>
                <w:b/>
                <w:i w:val="0"/>
                <w:color w:val="auto"/>
              </w:rPr>
            </w:pPr>
            <w:r w:rsidRPr="00E50974">
              <w:rPr>
                <w:rStyle w:val="ExampletextCharChar"/>
                <w:rFonts w:ascii="Book Antiqua" w:hAnsi="Book Antiqua"/>
                <w:b/>
                <w:i w:val="0"/>
                <w:color w:val="auto"/>
              </w:rPr>
              <w:t>Programs</w:t>
            </w:r>
          </w:p>
          <w:p w14:paraId="2239E079" w14:textId="77777777" w:rsidR="00F0167C" w:rsidRPr="004F7B15" w:rsidRDefault="00F0167C" w:rsidP="00E84594">
            <w:pPr>
              <w:numPr>
                <w:ilvl w:val="0"/>
                <w:numId w:val="8"/>
              </w:numPr>
              <w:spacing w:before="120" w:after="120" w:line="240" w:lineRule="auto"/>
              <w:ind w:left="527" w:hanging="357"/>
            </w:pPr>
            <w:r w:rsidRPr="004F7B15">
              <w:t>Program 1.1 – Management of the Investment of the Future Fund</w:t>
            </w:r>
          </w:p>
          <w:p w14:paraId="2239E07A" w14:textId="275FB06A" w:rsidR="00F0167C" w:rsidRPr="00E50974" w:rsidRDefault="004F7B15" w:rsidP="00E84594">
            <w:pPr>
              <w:numPr>
                <w:ilvl w:val="0"/>
                <w:numId w:val="8"/>
              </w:numPr>
              <w:spacing w:before="120" w:after="120" w:line="240" w:lineRule="auto"/>
              <w:ind w:left="527" w:hanging="357"/>
              <w:rPr>
                <w:rStyle w:val="ExampletextCharChar"/>
                <w:i w:val="0"/>
                <w:color w:val="auto"/>
              </w:rPr>
            </w:pPr>
            <w:r w:rsidRPr="004F7B15">
              <w:t xml:space="preserve">Program </w:t>
            </w:r>
            <w:r w:rsidR="00F0167C" w:rsidRPr="004F7B15">
              <w:t>1.2 – Management of the Investment of the Australian Government Investment Funds</w:t>
            </w:r>
          </w:p>
        </w:tc>
      </w:tr>
      <w:tr w:rsidR="00F0167C" w:rsidRPr="005E6F2B" w14:paraId="2239E07F" w14:textId="77777777" w:rsidTr="00DB35A1">
        <w:trPr>
          <w:trHeight w:val="1864"/>
        </w:trPr>
        <w:tc>
          <w:tcPr>
            <w:tcW w:w="7699" w:type="dxa"/>
            <w:tcBorders>
              <w:bottom w:val="single" w:sz="4" w:space="0" w:color="auto"/>
            </w:tcBorders>
          </w:tcPr>
          <w:p w14:paraId="2239E07C" w14:textId="77777777" w:rsidR="00F0167C" w:rsidRPr="00E50974" w:rsidRDefault="00F0167C" w:rsidP="00A9560E">
            <w:pPr>
              <w:spacing w:before="120" w:after="120" w:line="240" w:lineRule="auto"/>
              <w:rPr>
                <w:rStyle w:val="ExampletextCharChar"/>
                <w:rFonts w:ascii="Book Antiqua" w:hAnsi="Book Antiqua"/>
                <w:b/>
                <w:i w:val="0"/>
                <w:color w:val="auto"/>
              </w:rPr>
            </w:pPr>
            <w:r w:rsidRPr="00E50974">
              <w:rPr>
                <w:rStyle w:val="ExampletextCharChar"/>
                <w:rFonts w:ascii="Book Antiqua" w:hAnsi="Book Antiqua"/>
                <w:b/>
                <w:i w:val="0"/>
                <w:color w:val="auto"/>
              </w:rPr>
              <w:t>Contribution to Outcome 2 made by linked programs</w:t>
            </w:r>
          </w:p>
          <w:p w14:paraId="2239E07D" w14:textId="77777777" w:rsidR="00F0167C" w:rsidRPr="00E50974" w:rsidRDefault="00F0167C" w:rsidP="00A9560E">
            <w:pPr>
              <w:autoSpaceDE w:val="0"/>
              <w:autoSpaceDN w:val="0"/>
              <w:adjustRightInd w:val="0"/>
              <w:rPr>
                <w:rStyle w:val="ExampletextCharChar"/>
                <w:rFonts w:ascii="Book Antiqua" w:hAnsi="Book Antiqua"/>
                <w:i w:val="0"/>
                <w:color w:val="auto"/>
              </w:rPr>
            </w:pPr>
            <w:r w:rsidRPr="00E50974">
              <w:rPr>
                <w:rStyle w:val="ExampletextCharChar"/>
                <w:rFonts w:ascii="Book Antiqua" w:hAnsi="Book Antiqua"/>
                <w:i w:val="0"/>
                <w:color w:val="auto"/>
              </w:rPr>
              <w:t>Finance works with the Commonwealth Superannuation Corporation to ensure that the management of public sector superannuation is consistent with legislative obligations.</w:t>
            </w:r>
          </w:p>
          <w:p w14:paraId="2239E07E" w14:textId="77777777" w:rsidR="00F0167C" w:rsidRPr="00CB4F3C" w:rsidRDefault="00F0167C" w:rsidP="00A9560E">
            <w:pPr>
              <w:autoSpaceDE w:val="0"/>
              <w:autoSpaceDN w:val="0"/>
              <w:adjustRightInd w:val="0"/>
              <w:rPr>
                <w:rStyle w:val="ExampletextCharChar"/>
                <w:color w:val="auto"/>
              </w:rPr>
            </w:pPr>
            <w:r w:rsidRPr="00E50974">
              <w:rPr>
                <w:rStyle w:val="ExampletextCharChar"/>
                <w:rFonts w:ascii="Book Antiqua" w:hAnsi="Book Antiqua"/>
                <w:i w:val="0"/>
                <w:color w:val="auto"/>
              </w:rPr>
              <w:t>Finance works with the Future Fund Management Agency to ensure that the management of the Future Fund and the Australian Government Investment Funds is consistent with legislation and maximises returns to taxpayers.</w:t>
            </w:r>
          </w:p>
        </w:tc>
      </w:tr>
    </w:tbl>
    <w:p w14:paraId="4F2B20D4" w14:textId="77777777" w:rsidR="009A31C4" w:rsidRDefault="009A31C4" w:rsidP="009A31C4">
      <w:pPr>
        <w:tabs>
          <w:tab w:val="left" w:pos="5510"/>
        </w:tabs>
        <w:rPr>
          <w:rFonts w:ascii="Arial" w:hAnsi="Arial"/>
          <w:bCs/>
          <w:i/>
          <w:iCs/>
          <w:sz w:val="20"/>
          <w:szCs w:val="26"/>
        </w:rPr>
      </w:pPr>
      <w:r>
        <w:rPr>
          <w:rFonts w:ascii="Arial" w:hAnsi="Arial"/>
          <w:bCs/>
          <w:i/>
          <w:iCs/>
          <w:sz w:val="20"/>
          <w:szCs w:val="26"/>
        </w:rPr>
        <w:br w:type="page"/>
      </w:r>
    </w:p>
    <w:p w14:paraId="2239E089" w14:textId="7BE9B0A8" w:rsidR="00F0167C" w:rsidRPr="00203FE6" w:rsidRDefault="00F0167C" w:rsidP="00203FE6">
      <w:pPr>
        <w:pStyle w:val="Heading5"/>
      </w:pPr>
      <w:r w:rsidRPr="0005753C">
        <w:lastRenderedPageBreak/>
        <w:t>Budgeted expenses for Outcome 2</w:t>
      </w:r>
    </w:p>
    <w:p w14:paraId="14F857AF" w14:textId="77777777" w:rsidR="00011AE8" w:rsidRDefault="00F0167C" w:rsidP="00011AE8">
      <w:r w:rsidRPr="00C41E1F">
        <w:t>This table shows how much the entity intends to spend (on an accrual basis) on achieving the outcome, broken down by program, as well as by Administered and Departmental funding sources.</w:t>
      </w:r>
    </w:p>
    <w:p w14:paraId="04D5788E" w14:textId="4EDB9962" w:rsidR="00D228F8" w:rsidRDefault="00F0167C" w:rsidP="000A2424">
      <w:pPr>
        <w:pStyle w:val="TableHeading"/>
        <w:rPr>
          <w:noProof/>
        </w:rPr>
      </w:pPr>
      <w:r w:rsidRPr="00011AE8">
        <w:t>Table 2.2.1:</w:t>
      </w:r>
      <w:r w:rsidR="009A31C4" w:rsidRPr="00011AE8">
        <w:t xml:space="preserve"> Budgeted expenses for Outcome 2</w:t>
      </w:r>
    </w:p>
    <w:p w14:paraId="59982A0E" w14:textId="7961EA72" w:rsidR="00EC0A97" w:rsidRPr="00EC0A97" w:rsidRDefault="00EC0A97" w:rsidP="00EC0A97">
      <w:pPr>
        <w:pStyle w:val="TableGraphic"/>
      </w:pPr>
      <w:r w:rsidRPr="00EC0A97">
        <w:rPr>
          <w:noProof/>
        </w:rPr>
        <w:drawing>
          <wp:inline distT="0" distB="0" distL="0" distR="0" wp14:anchorId="3727370A" wp14:editId="2B4B1D28">
            <wp:extent cx="4895850" cy="3764202"/>
            <wp:effectExtent l="0" t="0" r="0" b="825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95850" cy="3764202"/>
                    </a:xfrm>
                    <a:prstGeom prst="rect">
                      <a:avLst/>
                    </a:prstGeom>
                    <a:noFill/>
                    <a:ln>
                      <a:noFill/>
                    </a:ln>
                  </pic:spPr>
                </pic:pic>
              </a:graphicData>
            </a:graphic>
          </wp:inline>
        </w:drawing>
      </w:r>
    </w:p>
    <w:p w14:paraId="2239E08C" w14:textId="6A228019" w:rsidR="00F0167C" w:rsidRPr="00011AE8" w:rsidRDefault="00F0167C" w:rsidP="00011AE8">
      <w:pPr>
        <w:spacing w:before="30" w:after="0" w:line="240" w:lineRule="auto"/>
        <w:rPr>
          <w:b/>
        </w:rPr>
      </w:pPr>
      <w:r w:rsidRPr="009A31C4">
        <w:rPr>
          <w:rFonts w:ascii="Arial" w:hAnsi="Arial" w:cs="Arial"/>
          <w:sz w:val="16"/>
          <w:szCs w:val="16"/>
        </w:rPr>
        <w:t>Table continues on next page</w:t>
      </w:r>
    </w:p>
    <w:p w14:paraId="5B47B541" w14:textId="0CBD0F46" w:rsidR="00731940" w:rsidRDefault="00F0167C" w:rsidP="006F6736">
      <w:pPr>
        <w:pStyle w:val="TableHeading"/>
      </w:pPr>
      <w:r>
        <w:br w:type="page"/>
      </w:r>
      <w:r w:rsidRPr="009E6F01">
        <w:lastRenderedPageBreak/>
        <w:t>Table 2.2.1: Budgeted expenses for Outcome 2 (continued)</w:t>
      </w:r>
    </w:p>
    <w:p w14:paraId="4BFFB61D" w14:textId="1BB0C313" w:rsidR="006F6736" w:rsidRPr="006F6736" w:rsidRDefault="00EC0A97" w:rsidP="006F6736">
      <w:pPr>
        <w:pStyle w:val="TableGraphic"/>
      </w:pPr>
      <w:r w:rsidRPr="00EC0A97">
        <w:rPr>
          <w:noProof/>
        </w:rPr>
        <w:drawing>
          <wp:inline distT="0" distB="0" distL="0" distR="0" wp14:anchorId="79D00B9A" wp14:editId="75095D10">
            <wp:extent cx="4895850" cy="5438908"/>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95850" cy="5438908"/>
                    </a:xfrm>
                    <a:prstGeom prst="rect">
                      <a:avLst/>
                    </a:prstGeom>
                    <a:noFill/>
                    <a:ln>
                      <a:noFill/>
                    </a:ln>
                  </pic:spPr>
                </pic:pic>
              </a:graphicData>
            </a:graphic>
          </wp:inline>
        </w:drawing>
      </w:r>
    </w:p>
    <w:p w14:paraId="2239E08F" w14:textId="1007B921" w:rsidR="00F0167C" w:rsidRPr="00AE58BF" w:rsidRDefault="00F0167C" w:rsidP="00311622">
      <w:pPr>
        <w:pStyle w:val="TableGraphic"/>
        <w:spacing w:before="30"/>
        <w:ind w:right="0"/>
      </w:pPr>
      <w:r w:rsidRPr="00353C44">
        <w:rPr>
          <w:rFonts w:ascii="Arial" w:hAnsi="Arial" w:cs="Arial"/>
          <w:sz w:val="16"/>
          <w:szCs w:val="16"/>
        </w:rPr>
        <w:t>Table continues on next page</w:t>
      </w:r>
    </w:p>
    <w:p w14:paraId="22B83BFA" w14:textId="7D85DF15" w:rsidR="006F74F4" w:rsidRDefault="00F0167C" w:rsidP="006F6736">
      <w:pPr>
        <w:pStyle w:val="TableHeadingcontinued"/>
        <w:rPr>
          <w:rFonts w:ascii="Arial" w:hAnsi="Arial"/>
          <w:color w:val="000000"/>
          <w:lang w:val="x-none" w:eastAsia="x-none"/>
        </w:rPr>
      </w:pPr>
      <w:r w:rsidRPr="00221972">
        <w:br w:type="page"/>
      </w:r>
      <w:r w:rsidRPr="00FC1DFE">
        <w:rPr>
          <w:rFonts w:ascii="Arial" w:hAnsi="Arial"/>
          <w:color w:val="000000"/>
          <w:lang w:val="x-none" w:eastAsia="x-none"/>
        </w:rPr>
        <w:lastRenderedPageBreak/>
        <w:t>Table 2.2.1: Budgeted expenses for Outcome 2 (continued)</w:t>
      </w:r>
    </w:p>
    <w:p w14:paraId="13CC2DEE" w14:textId="1F696575" w:rsidR="006F6736" w:rsidRPr="006F6736" w:rsidRDefault="001B1E05" w:rsidP="006F6736">
      <w:pPr>
        <w:pStyle w:val="TableGraphic"/>
        <w:rPr>
          <w:lang w:val="x-none" w:eastAsia="x-none"/>
        </w:rPr>
      </w:pPr>
      <w:r w:rsidRPr="001B1E05">
        <w:rPr>
          <w:noProof/>
        </w:rPr>
        <w:drawing>
          <wp:inline distT="0" distB="0" distL="0" distR="0" wp14:anchorId="6A377F4D" wp14:editId="11F4F7C0">
            <wp:extent cx="4895850" cy="4254509"/>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95850" cy="4254509"/>
                    </a:xfrm>
                    <a:prstGeom prst="rect">
                      <a:avLst/>
                    </a:prstGeom>
                    <a:noFill/>
                    <a:ln>
                      <a:noFill/>
                    </a:ln>
                  </pic:spPr>
                </pic:pic>
              </a:graphicData>
            </a:graphic>
          </wp:inline>
        </w:drawing>
      </w:r>
    </w:p>
    <w:p w14:paraId="2239E092" w14:textId="77777777" w:rsidR="00F0167C" w:rsidRPr="00AE58BF" w:rsidRDefault="00F0167C" w:rsidP="006F74F4">
      <w:pPr>
        <w:pStyle w:val="TableHeading"/>
        <w:spacing w:before="30" w:after="0"/>
        <w:rPr>
          <w:b w:val="0"/>
        </w:rPr>
      </w:pPr>
      <w:r w:rsidRPr="00AE58BF">
        <w:rPr>
          <w:rFonts w:cs="Arial"/>
          <w:b w:val="0"/>
          <w:sz w:val="16"/>
          <w:szCs w:val="16"/>
        </w:rPr>
        <w:t>Table continues on next page</w:t>
      </w:r>
    </w:p>
    <w:p w14:paraId="2239E093" w14:textId="063C7204" w:rsidR="00F0167C" w:rsidRDefault="00F0167C" w:rsidP="00F0167C">
      <w:pPr>
        <w:pStyle w:val="TableGraphic"/>
      </w:pPr>
    </w:p>
    <w:p w14:paraId="2239E094" w14:textId="77777777" w:rsidR="00F0167C" w:rsidRDefault="00F0167C" w:rsidP="00F0167C"/>
    <w:p w14:paraId="2239E095" w14:textId="3661A175" w:rsidR="00F0167C" w:rsidRDefault="00311622" w:rsidP="00311622">
      <w:pPr>
        <w:tabs>
          <w:tab w:val="left" w:pos="2758"/>
        </w:tabs>
      </w:pPr>
      <w:r>
        <w:tab/>
      </w:r>
    </w:p>
    <w:p w14:paraId="2239E096" w14:textId="77777777" w:rsidR="00F0167C" w:rsidRDefault="00F0167C" w:rsidP="00F0167C"/>
    <w:p w14:paraId="2239E09A" w14:textId="323ADB8F" w:rsidR="00F0167C" w:rsidRPr="00382A0F" w:rsidRDefault="00F0167C" w:rsidP="00382A0F">
      <w:pPr>
        <w:pStyle w:val="TableHeadingcontinued"/>
        <w:rPr>
          <w:rFonts w:ascii="Arial" w:hAnsi="Arial"/>
          <w:color w:val="000000"/>
          <w:lang w:val="x-none" w:eastAsia="x-none"/>
        </w:rPr>
      </w:pPr>
      <w:r w:rsidRPr="00FC1DFE">
        <w:rPr>
          <w:rFonts w:ascii="Arial" w:hAnsi="Arial"/>
          <w:color w:val="000000"/>
          <w:lang w:val="x-none" w:eastAsia="x-none"/>
        </w:rPr>
        <w:lastRenderedPageBreak/>
        <w:t>Table 2.2.1: Budgeted expenses for Outcome 2 (continued)</w:t>
      </w:r>
      <w:r w:rsidR="00025EAC" w:rsidRPr="00025EAC">
        <w:rPr>
          <w:rFonts w:ascii="Arial" w:hAnsi="Arial"/>
          <w:b w:val="0"/>
          <w:color w:val="000000"/>
          <w:lang w:val="x-none" w:eastAsia="x-none"/>
        </w:rPr>
        <w:t xml:space="preserve"> </w:t>
      </w:r>
      <w:r w:rsidR="001B1E05" w:rsidRPr="001B1E05">
        <w:rPr>
          <w:rFonts w:ascii="Arial" w:hAnsi="Arial"/>
          <w:b w:val="0"/>
          <w:noProof/>
          <w:color w:val="000000"/>
        </w:rPr>
        <w:drawing>
          <wp:inline distT="0" distB="0" distL="0" distR="0" wp14:anchorId="28DBF7EF" wp14:editId="5A61AE1E">
            <wp:extent cx="4895850" cy="4261727"/>
            <wp:effectExtent l="0" t="0" r="0" b="571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95850" cy="4261727"/>
                    </a:xfrm>
                    <a:prstGeom prst="rect">
                      <a:avLst/>
                    </a:prstGeom>
                    <a:noFill/>
                    <a:ln>
                      <a:noFill/>
                    </a:ln>
                  </pic:spPr>
                </pic:pic>
              </a:graphicData>
            </a:graphic>
          </wp:inline>
        </w:drawing>
      </w:r>
      <w:r w:rsidR="00382A0F" w:rsidRPr="00382A0F">
        <w:rPr>
          <w:rFonts w:ascii="Arial" w:hAnsi="Arial"/>
          <w:b w:val="0"/>
          <w:color w:val="000000"/>
          <w:lang w:val="x-none" w:eastAsia="x-none"/>
        </w:rPr>
        <w:t xml:space="preserve"> </w:t>
      </w:r>
    </w:p>
    <w:p w14:paraId="2239E09B" w14:textId="3CDB99C4" w:rsidR="00F0167C" w:rsidRPr="00680496" w:rsidRDefault="00442D9D" w:rsidP="00C8474A">
      <w:pPr>
        <w:pStyle w:val="ChartandTableFootnoteAlpha"/>
        <w:numPr>
          <w:ilvl w:val="0"/>
          <w:numId w:val="14"/>
        </w:numPr>
        <w:spacing w:before="60"/>
        <w:ind w:left="284" w:hanging="284"/>
        <w:rPr>
          <w:lang w:val="x-none" w:eastAsia="x-none"/>
        </w:rPr>
      </w:pPr>
      <w:r>
        <w:rPr>
          <w:lang w:eastAsia="x-none"/>
        </w:rPr>
        <w:t>Includes estimated expenses in relation to receipts retained under</w:t>
      </w:r>
      <w:r w:rsidR="00F0167C" w:rsidRPr="00680496">
        <w:rPr>
          <w:lang w:val="x-none" w:eastAsia="x-none"/>
        </w:rPr>
        <w:t xml:space="preserve"> section 74 of the PGPA Act.</w:t>
      </w:r>
    </w:p>
    <w:p w14:paraId="2239E09C" w14:textId="77777777" w:rsidR="00F0167C" w:rsidRPr="00680496" w:rsidRDefault="00F0167C" w:rsidP="00C8474A">
      <w:pPr>
        <w:pStyle w:val="ChartandTableFootnoteAlpha"/>
        <w:numPr>
          <w:ilvl w:val="0"/>
          <w:numId w:val="14"/>
        </w:numPr>
        <w:spacing w:before="60"/>
        <w:ind w:left="284" w:hanging="284"/>
        <w:rPr>
          <w:lang w:val="x-none" w:eastAsia="x-none"/>
        </w:rPr>
      </w:pPr>
      <w:r w:rsidRPr="00680496">
        <w:rPr>
          <w:lang w:val="x-none" w:eastAsia="x-none"/>
        </w:rPr>
        <w:t>‘Expenses not requiring appropriation in the Budget year’ is made up of depreciation expenses and amortisation expenses.</w:t>
      </w:r>
    </w:p>
    <w:p w14:paraId="2239E09D" w14:textId="7C251EF5" w:rsidR="00F0167C" w:rsidRPr="00680496" w:rsidRDefault="00F0167C" w:rsidP="00C8474A">
      <w:pPr>
        <w:pStyle w:val="ChartandTableFootnoteAlpha"/>
        <w:numPr>
          <w:ilvl w:val="0"/>
          <w:numId w:val="14"/>
        </w:numPr>
        <w:spacing w:before="60"/>
        <w:ind w:left="284" w:hanging="284"/>
        <w:rPr>
          <w:lang w:val="x-none" w:eastAsia="x-none"/>
        </w:rPr>
      </w:pPr>
      <w:r w:rsidRPr="00680496">
        <w:rPr>
          <w:lang w:val="x-none" w:eastAsia="x-none"/>
        </w:rPr>
        <w:t xml:space="preserve">More information on the </w:t>
      </w:r>
      <w:proofErr w:type="spellStart"/>
      <w:r w:rsidRPr="00680496">
        <w:rPr>
          <w:lang w:val="x-none" w:eastAsia="x-none"/>
        </w:rPr>
        <w:t>DisabilityCare</w:t>
      </w:r>
      <w:proofErr w:type="spellEnd"/>
      <w:r w:rsidRPr="00680496">
        <w:rPr>
          <w:lang w:val="x-none" w:eastAsia="x-none"/>
        </w:rPr>
        <w:t xml:space="preserve"> Australia Fund </w:t>
      </w:r>
      <w:r w:rsidR="00F44084">
        <w:rPr>
          <w:lang w:eastAsia="x-none"/>
        </w:rPr>
        <w:t xml:space="preserve">(DCAF) </w:t>
      </w:r>
      <w:r w:rsidRPr="00680496">
        <w:rPr>
          <w:lang w:val="x-none" w:eastAsia="x-none"/>
        </w:rPr>
        <w:t>can be f</w:t>
      </w:r>
      <w:r w:rsidR="003D562D">
        <w:rPr>
          <w:lang w:val="x-none" w:eastAsia="x-none"/>
        </w:rPr>
        <w:t>ound in Table 2.2.1.1</w:t>
      </w:r>
      <w:r w:rsidR="00F6694E">
        <w:rPr>
          <w:lang w:eastAsia="x-none"/>
        </w:rPr>
        <w:t>, page 3</w:t>
      </w:r>
      <w:r w:rsidR="003D562D">
        <w:rPr>
          <w:lang w:val="x-none" w:eastAsia="x-none"/>
        </w:rPr>
        <w:t>1</w:t>
      </w:r>
      <w:r w:rsidRPr="00680496">
        <w:rPr>
          <w:lang w:val="x-none" w:eastAsia="x-none"/>
        </w:rPr>
        <w:t>.</w:t>
      </w:r>
    </w:p>
    <w:p w14:paraId="2239E09E" w14:textId="004BC4E9" w:rsidR="00F0167C" w:rsidRPr="00680496" w:rsidRDefault="00F0167C" w:rsidP="00C8474A">
      <w:pPr>
        <w:pStyle w:val="ChartandTableFootnoteAlpha"/>
        <w:numPr>
          <w:ilvl w:val="0"/>
          <w:numId w:val="14"/>
        </w:numPr>
        <w:spacing w:before="60"/>
        <w:ind w:left="284" w:hanging="284"/>
        <w:rPr>
          <w:lang w:val="x-none" w:eastAsia="x-none"/>
        </w:rPr>
      </w:pPr>
      <w:r w:rsidRPr="00680496">
        <w:rPr>
          <w:lang w:val="x-none" w:eastAsia="x-none"/>
        </w:rPr>
        <w:t xml:space="preserve">More information on the Medical Research Future Fund </w:t>
      </w:r>
      <w:r w:rsidR="00F44084">
        <w:rPr>
          <w:lang w:eastAsia="x-none"/>
        </w:rPr>
        <w:t xml:space="preserve">(MRFF) </w:t>
      </w:r>
      <w:r w:rsidRPr="00680496">
        <w:rPr>
          <w:lang w:val="x-none" w:eastAsia="x-none"/>
        </w:rPr>
        <w:t>can be f</w:t>
      </w:r>
      <w:r w:rsidR="003D562D">
        <w:rPr>
          <w:lang w:val="x-none" w:eastAsia="x-none"/>
        </w:rPr>
        <w:t>ound in Table 2.2.1.2</w:t>
      </w:r>
      <w:r w:rsidR="00F6694E">
        <w:rPr>
          <w:lang w:eastAsia="x-none"/>
        </w:rPr>
        <w:t>,</w:t>
      </w:r>
      <w:r w:rsidR="003D562D">
        <w:rPr>
          <w:lang w:val="x-none" w:eastAsia="x-none"/>
        </w:rPr>
        <w:t xml:space="preserve"> </w:t>
      </w:r>
      <w:r w:rsidR="00F6694E">
        <w:rPr>
          <w:lang w:eastAsia="x-none"/>
        </w:rPr>
        <w:t xml:space="preserve">page </w:t>
      </w:r>
      <w:r w:rsidR="003D562D">
        <w:rPr>
          <w:lang w:val="x-none" w:eastAsia="x-none"/>
        </w:rPr>
        <w:t>32</w:t>
      </w:r>
      <w:r w:rsidRPr="00680496">
        <w:rPr>
          <w:lang w:val="x-none" w:eastAsia="x-none"/>
        </w:rPr>
        <w:t>.</w:t>
      </w:r>
    </w:p>
    <w:p w14:paraId="2239E09F" w14:textId="1A6E5339" w:rsidR="00F0167C" w:rsidRPr="00680496" w:rsidRDefault="00F0167C" w:rsidP="00C8474A">
      <w:pPr>
        <w:pStyle w:val="ChartandTableFootnoteAlpha"/>
        <w:numPr>
          <w:ilvl w:val="0"/>
          <w:numId w:val="14"/>
        </w:numPr>
        <w:spacing w:before="60"/>
        <w:ind w:left="284" w:hanging="284"/>
        <w:rPr>
          <w:lang w:val="x-none" w:eastAsia="x-none"/>
        </w:rPr>
      </w:pPr>
      <w:r w:rsidRPr="00680496">
        <w:rPr>
          <w:lang w:val="x-none" w:eastAsia="x-none"/>
        </w:rPr>
        <w:t xml:space="preserve">More information on the Aboriginal and Torres Strait Islander Land and Sea Future Fund </w:t>
      </w:r>
      <w:r w:rsidR="00F44084">
        <w:rPr>
          <w:lang w:eastAsia="x-none"/>
        </w:rPr>
        <w:t xml:space="preserve">(ATSILSFF) </w:t>
      </w:r>
      <w:r w:rsidRPr="00680496">
        <w:rPr>
          <w:lang w:val="x-none" w:eastAsia="x-none"/>
        </w:rPr>
        <w:t>can be f</w:t>
      </w:r>
      <w:r w:rsidR="003D562D">
        <w:rPr>
          <w:lang w:val="x-none" w:eastAsia="x-none"/>
        </w:rPr>
        <w:t>ound in Table 2.2.1.3</w:t>
      </w:r>
      <w:r w:rsidR="00F6694E">
        <w:rPr>
          <w:lang w:eastAsia="x-none"/>
        </w:rPr>
        <w:t xml:space="preserve">, page </w:t>
      </w:r>
      <w:r w:rsidR="003D562D">
        <w:rPr>
          <w:lang w:val="x-none" w:eastAsia="x-none"/>
        </w:rPr>
        <w:t>33</w:t>
      </w:r>
      <w:r w:rsidRPr="00680496">
        <w:rPr>
          <w:lang w:val="x-none" w:eastAsia="x-none"/>
        </w:rPr>
        <w:t>.</w:t>
      </w:r>
    </w:p>
    <w:p w14:paraId="2239E0A0" w14:textId="11E5972F" w:rsidR="00F0167C" w:rsidRPr="00680496" w:rsidRDefault="00F0167C" w:rsidP="00C8474A">
      <w:pPr>
        <w:pStyle w:val="ChartandTableFootnoteAlpha"/>
        <w:numPr>
          <w:ilvl w:val="0"/>
          <w:numId w:val="14"/>
        </w:numPr>
        <w:spacing w:before="60"/>
        <w:ind w:left="284" w:hanging="284"/>
        <w:rPr>
          <w:lang w:val="x-none" w:eastAsia="x-none"/>
        </w:rPr>
      </w:pPr>
      <w:r w:rsidRPr="00680496">
        <w:rPr>
          <w:lang w:val="x-none" w:eastAsia="x-none"/>
        </w:rPr>
        <w:t xml:space="preserve">More information on the Future Drought Fund </w:t>
      </w:r>
      <w:r w:rsidR="00F44084">
        <w:rPr>
          <w:lang w:eastAsia="x-none"/>
        </w:rPr>
        <w:t xml:space="preserve">(FDF) </w:t>
      </w:r>
      <w:r w:rsidRPr="00680496">
        <w:rPr>
          <w:lang w:val="x-none" w:eastAsia="x-none"/>
        </w:rPr>
        <w:t>can be f</w:t>
      </w:r>
      <w:r w:rsidR="003D562D">
        <w:rPr>
          <w:lang w:val="x-none" w:eastAsia="x-none"/>
        </w:rPr>
        <w:t>ound in Table 2.2.1.4</w:t>
      </w:r>
      <w:r w:rsidR="00F6694E">
        <w:rPr>
          <w:lang w:eastAsia="x-none"/>
        </w:rPr>
        <w:t>, page</w:t>
      </w:r>
      <w:r w:rsidR="002E3A30">
        <w:rPr>
          <w:lang w:eastAsia="x-none"/>
        </w:rPr>
        <w:t xml:space="preserve"> </w:t>
      </w:r>
      <w:r w:rsidR="003D562D">
        <w:rPr>
          <w:lang w:val="x-none" w:eastAsia="x-none"/>
        </w:rPr>
        <w:t>34</w:t>
      </w:r>
      <w:r w:rsidRPr="00680496">
        <w:rPr>
          <w:lang w:val="x-none" w:eastAsia="x-none"/>
        </w:rPr>
        <w:t>.</w:t>
      </w:r>
    </w:p>
    <w:p w14:paraId="2239E0A1" w14:textId="10BADF91" w:rsidR="00F0167C" w:rsidRPr="00680496" w:rsidRDefault="00F0167C" w:rsidP="00C8474A">
      <w:pPr>
        <w:pStyle w:val="ChartandTableFootnoteAlpha"/>
        <w:numPr>
          <w:ilvl w:val="0"/>
          <w:numId w:val="14"/>
        </w:numPr>
        <w:spacing w:before="60"/>
        <w:ind w:left="284" w:hanging="284"/>
        <w:rPr>
          <w:lang w:val="x-none" w:eastAsia="x-none"/>
        </w:rPr>
      </w:pPr>
      <w:r w:rsidRPr="00680496">
        <w:rPr>
          <w:lang w:val="x-none" w:eastAsia="x-none"/>
        </w:rPr>
        <w:t xml:space="preserve">More information on the Emergency Response Fund </w:t>
      </w:r>
      <w:r w:rsidR="00F44084">
        <w:rPr>
          <w:lang w:eastAsia="x-none"/>
        </w:rPr>
        <w:t xml:space="preserve">(ERF) </w:t>
      </w:r>
      <w:r w:rsidRPr="00680496">
        <w:rPr>
          <w:lang w:val="x-none" w:eastAsia="x-none"/>
        </w:rPr>
        <w:t>can be f</w:t>
      </w:r>
      <w:r w:rsidR="00F44084">
        <w:rPr>
          <w:lang w:val="x-none" w:eastAsia="x-none"/>
        </w:rPr>
        <w:t>ound in T</w:t>
      </w:r>
      <w:r w:rsidR="003D562D">
        <w:rPr>
          <w:lang w:val="x-none" w:eastAsia="x-none"/>
        </w:rPr>
        <w:t>able 2.2.1.5</w:t>
      </w:r>
      <w:r w:rsidR="00F6694E">
        <w:rPr>
          <w:lang w:eastAsia="x-none"/>
        </w:rPr>
        <w:t xml:space="preserve">, page </w:t>
      </w:r>
      <w:r w:rsidR="003D562D">
        <w:rPr>
          <w:lang w:val="x-none" w:eastAsia="x-none"/>
        </w:rPr>
        <w:t>35</w:t>
      </w:r>
      <w:r w:rsidRPr="00680496">
        <w:rPr>
          <w:lang w:val="x-none" w:eastAsia="x-none"/>
        </w:rPr>
        <w:t>.</w:t>
      </w:r>
    </w:p>
    <w:p w14:paraId="2239E0A2" w14:textId="6CD7C07D" w:rsidR="00F0167C" w:rsidRPr="00802A36" w:rsidRDefault="00F0167C" w:rsidP="002B2CB2">
      <w:pPr>
        <w:pStyle w:val="ChartandTableFootnote"/>
      </w:pPr>
      <w:r w:rsidRPr="00802A36">
        <w:t xml:space="preserve">Note: Departmental appropriation splits and totals are indicative estimates </w:t>
      </w:r>
      <w:r w:rsidR="002E3490">
        <w:t>and may change in the course</w:t>
      </w:r>
      <w:r w:rsidR="00EA71F2">
        <w:rPr>
          <w:rFonts w:cs="Arial"/>
          <w:szCs w:val="16"/>
        </w:rPr>
        <w:br/>
      </w:r>
      <w:r w:rsidR="002E3490">
        <w:t>of</w:t>
      </w:r>
      <w:r w:rsidR="00EA71F2">
        <w:t xml:space="preserve"> </w:t>
      </w:r>
      <w:r w:rsidRPr="00802A36">
        <w:t>the budget year as government priorities change.</w:t>
      </w:r>
    </w:p>
    <w:p w14:paraId="2239E0A3" w14:textId="77777777" w:rsidR="00F0167C" w:rsidRPr="000819EC" w:rsidRDefault="00F0167C" w:rsidP="00F0167C">
      <w:pPr>
        <w:spacing w:after="0" w:line="240" w:lineRule="auto"/>
        <w:rPr>
          <w:rStyle w:val="TableHeadingChar"/>
          <w:rFonts w:cs="Arial"/>
          <w:b w:val="0"/>
          <w:bCs/>
          <w:sz w:val="20"/>
          <w:lang w:eastAsia="zh-CN"/>
        </w:rPr>
      </w:pPr>
      <w:r>
        <w:rPr>
          <w:highlight w:val="yellow"/>
        </w:rPr>
        <w:br w:type="page"/>
      </w:r>
      <w:r w:rsidRPr="000819EC">
        <w:rPr>
          <w:rFonts w:ascii="Arial" w:hAnsi="Arial" w:cs="Arial"/>
          <w:b/>
          <w:color w:val="000000"/>
          <w:sz w:val="20"/>
          <w:lang w:val="x-none" w:eastAsia="x-none"/>
        </w:rPr>
        <w:lastRenderedPageBreak/>
        <w:t xml:space="preserve">Table 2.2.1.1: </w:t>
      </w:r>
      <w:proofErr w:type="spellStart"/>
      <w:r w:rsidRPr="000819EC">
        <w:rPr>
          <w:rFonts w:ascii="Arial" w:hAnsi="Arial" w:cs="Arial"/>
          <w:b/>
          <w:color w:val="000000"/>
          <w:sz w:val="20"/>
          <w:lang w:val="x-none" w:eastAsia="x-none"/>
        </w:rPr>
        <w:t>DisabilityCare</w:t>
      </w:r>
      <w:proofErr w:type="spellEnd"/>
      <w:r w:rsidRPr="000819EC">
        <w:rPr>
          <w:rFonts w:ascii="Arial" w:hAnsi="Arial" w:cs="Arial"/>
          <w:b/>
          <w:color w:val="000000"/>
          <w:sz w:val="20"/>
          <w:lang w:val="x-none" w:eastAsia="x-none"/>
        </w:rPr>
        <w:t xml:space="preserve"> Australia Fund</w:t>
      </w:r>
      <w:r w:rsidRPr="000819EC">
        <w:rPr>
          <w:rFonts w:ascii="Arial" w:hAnsi="Arial" w:cs="Arial"/>
          <w:b/>
          <w:color w:val="000000"/>
          <w:sz w:val="20"/>
          <w:lang w:eastAsia="x-none"/>
        </w:rPr>
        <w:t xml:space="preserve"> </w:t>
      </w:r>
      <w:r w:rsidRPr="000819EC">
        <w:rPr>
          <w:rStyle w:val="TableHeadingChar"/>
          <w:sz w:val="20"/>
        </w:rPr>
        <w:t>- Estimates of Fund Balances</w:t>
      </w:r>
    </w:p>
    <w:p w14:paraId="2239E0A4" w14:textId="772FEEBB" w:rsidR="00F0167C" w:rsidRPr="00C978F2" w:rsidRDefault="00F112B2" w:rsidP="00F0167C">
      <w:pPr>
        <w:pStyle w:val="TableGraphic"/>
      </w:pPr>
      <w:r w:rsidRPr="00F112B2">
        <w:rPr>
          <w:noProof/>
        </w:rPr>
        <w:drawing>
          <wp:inline distT="0" distB="0" distL="0" distR="0" wp14:anchorId="040227F3" wp14:editId="659FBB21">
            <wp:extent cx="4895850" cy="2013978"/>
            <wp:effectExtent l="0" t="0" r="0" b="571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95850" cy="2013978"/>
                    </a:xfrm>
                    <a:prstGeom prst="rect">
                      <a:avLst/>
                    </a:prstGeom>
                    <a:noFill/>
                    <a:ln>
                      <a:noFill/>
                    </a:ln>
                  </pic:spPr>
                </pic:pic>
              </a:graphicData>
            </a:graphic>
          </wp:inline>
        </w:drawing>
      </w:r>
    </w:p>
    <w:p w14:paraId="2239E0A5" w14:textId="77777777" w:rsidR="00F0167C" w:rsidRPr="00817208" w:rsidRDefault="00F0167C" w:rsidP="00C8474A">
      <w:pPr>
        <w:pStyle w:val="ListParagraph"/>
        <w:numPr>
          <w:ilvl w:val="0"/>
          <w:numId w:val="15"/>
        </w:numPr>
        <w:spacing w:before="60" w:after="0" w:line="240" w:lineRule="auto"/>
        <w:ind w:left="284" w:hanging="284"/>
        <w:contextualSpacing w:val="0"/>
        <w:rPr>
          <w:rFonts w:ascii="Arial" w:hAnsi="Arial" w:cs="Arial"/>
          <w:sz w:val="16"/>
          <w:szCs w:val="16"/>
        </w:rPr>
      </w:pPr>
      <w:r w:rsidRPr="00817208">
        <w:rPr>
          <w:rFonts w:ascii="Arial" w:hAnsi="Arial" w:cs="Arial"/>
          <w:sz w:val="16"/>
          <w:szCs w:val="16"/>
        </w:rPr>
        <w:t>The DCAF consists of the DCAF Special Account and investments of the DCAF. The investments are managed by the Future Fund Board of Guardians. The special account is used to record all transactions relating to the DCAF, including interest and Medicare levy proceeds received and payments.</w:t>
      </w:r>
    </w:p>
    <w:p w14:paraId="2239E0A6" w14:textId="77777777" w:rsidR="00F0167C" w:rsidRPr="00F93B93" w:rsidRDefault="00F0167C" w:rsidP="00C8474A">
      <w:pPr>
        <w:pStyle w:val="ListParagraph"/>
        <w:numPr>
          <w:ilvl w:val="0"/>
          <w:numId w:val="15"/>
        </w:numPr>
        <w:spacing w:before="60" w:after="0" w:line="240" w:lineRule="auto"/>
        <w:ind w:left="284" w:hanging="284"/>
        <w:contextualSpacing w:val="0"/>
        <w:rPr>
          <w:rFonts w:ascii="Arial" w:hAnsi="Arial" w:cs="Arial"/>
          <w:sz w:val="16"/>
          <w:szCs w:val="16"/>
        </w:rPr>
      </w:pPr>
      <w:r w:rsidRPr="00F93B93">
        <w:rPr>
          <w:rFonts w:ascii="Arial" w:hAnsi="Arial" w:cs="Arial"/>
          <w:sz w:val="16"/>
          <w:szCs w:val="16"/>
        </w:rPr>
        <w:t xml:space="preserve">The Commonwealth agreed to credit the DCAF with money raised from the increase in the Medicare levy for 10 years to fund the additional costs of delivering the National Disability Insurance Scheme (NDIS) (formerly </w:t>
      </w:r>
      <w:proofErr w:type="spellStart"/>
      <w:r w:rsidRPr="00F93B93">
        <w:rPr>
          <w:rFonts w:ascii="Arial" w:hAnsi="Arial" w:cs="Arial"/>
          <w:sz w:val="16"/>
          <w:szCs w:val="16"/>
        </w:rPr>
        <w:t>DisabilityCare</w:t>
      </w:r>
      <w:proofErr w:type="spellEnd"/>
      <w:r w:rsidRPr="00F93B93">
        <w:rPr>
          <w:rFonts w:ascii="Arial" w:hAnsi="Arial" w:cs="Arial"/>
          <w:sz w:val="16"/>
          <w:szCs w:val="16"/>
        </w:rPr>
        <w:t xml:space="preserve"> Australia). This 10 year period concludes in 2023-24.</w:t>
      </w:r>
    </w:p>
    <w:p w14:paraId="2239E0A7" w14:textId="77777777" w:rsidR="00F0167C" w:rsidRDefault="00F0167C" w:rsidP="00C8474A">
      <w:pPr>
        <w:pStyle w:val="ListParagraph"/>
        <w:numPr>
          <w:ilvl w:val="0"/>
          <w:numId w:val="15"/>
        </w:numPr>
        <w:spacing w:before="60" w:after="0" w:line="240" w:lineRule="auto"/>
        <w:ind w:left="284" w:hanging="284"/>
        <w:contextualSpacing w:val="0"/>
        <w:rPr>
          <w:rFonts w:ascii="Arial" w:hAnsi="Arial" w:cs="Arial"/>
          <w:sz w:val="16"/>
          <w:szCs w:val="16"/>
        </w:rPr>
      </w:pPr>
      <w:r w:rsidRPr="00F93B93">
        <w:rPr>
          <w:rFonts w:ascii="Arial" w:hAnsi="Arial" w:cs="Arial"/>
          <w:sz w:val="16"/>
          <w:szCs w:val="16"/>
        </w:rPr>
        <w:t>The transfers relate to reimbursing the Commonwealth and the States and Territories for the costs of the operations of the NDIS.</w:t>
      </w:r>
    </w:p>
    <w:p w14:paraId="2239E0A9" w14:textId="308D831C" w:rsidR="00E06B3B" w:rsidRPr="00F93B93" w:rsidRDefault="00E06B3B" w:rsidP="002B2CB2">
      <w:pPr>
        <w:spacing w:before="30" w:after="0" w:line="240" w:lineRule="auto"/>
        <w:rPr>
          <w:rFonts w:ascii="Arial" w:hAnsi="Arial" w:cs="Arial"/>
          <w:sz w:val="16"/>
          <w:szCs w:val="16"/>
        </w:rPr>
      </w:pPr>
      <w:r w:rsidRPr="00F93B93">
        <w:rPr>
          <w:rFonts w:ascii="Arial" w:hAnsi="Arial" w:cs="Arial"/>
          <w:sz w:val="16"/>
          <w:szCs w:val="16"/>
        </w:rPr>
        <w:t>Note: The expenses figure does not include losses made on investments; rather this amount has been applied against investment earnings and gains.</w:t>
      </w:r>
    </w:p>
    <w:p w14:paraId="2239E0AA" w14:textId="77777777" w:rsidR="00E06B3B" w:rsidRPr="00E06B3B" w:rsidRDefault="00E06B3B" w:rsidP="00E06B3B">
      <w:pPr>
        <w:spacing w:before="0" w:after="0" w:line="240" w:lineRule="auto"/>
        <w:rPr>
          <w:rFonts w:ascii="Arial" w:hAnsi="Arial" w:cs="Arial"/>
          <w:sz w:val="16"/>
          <w:szCs w:val="16"/>
        </w:rPr>
      </w:pPr>
    </w:p>
    <w:p w14:paraId="2239E0AB" w14:textId="77777777" w:rsidR="00E06B3B" w:rsidRPr="00E06B3B" w:rsidRDefault="00E06B3B" w:rsidP="00E06B3B">
      <w:pPr>
        <w:spacing w:before="0" w:after="0" w:line="240" w:lineRule="auto"/>
        <w:rPr>
          <w:rFonts w:ascii="Arial" w:hAnsi="Arial" w:cs="Arial"/>
          <w:sz w:val="16"/>
          <w:szCs w:val="16"/>
        </w:rPr>
      </w:pPr>
    </w:p>
    <w:p w14:paraId="2239E0AC" w14:textId="77777777" w:rsidR="00F0167C" w:rsidRPr="000819EC" w:rsidRDefault="00F0167C" w:rsidP="00F0167C">
      <w:pPr>
        <w:pStyle w:val="NoSpacing"/>
        <w:rPr>
          <w:rStyle w:val="TableHeadingChar"/>
          <w:rFonts w:ascii="Book Antiqua" w:hAnsi="Book Antiqua"/>
          <w:b w:val="0"/>
          <w:sz w:val="20"/>
        </w:rPr>
      </w:pPr>
      <w:r w:rsidRPr="00E06B3B">
        <w:rPr>
          <w:b/>
          <w:highlight w:val="yellow"/>
          <w:lang w:val="en-US"/>
        </w:rPr>
        <w:br w:type="page"/>
      </w:r>
      <w:r w:rsidRPr="000819EC">
        <w:rPr>
          <w:rStyle w:val="TableHeadingChar"/>
          <w:sz w:val="20"/>
        </w:rPr>
        <w:lastRenderedPageBreak/>
        <w:t>Table 2.2.1.2: Medical Research Future Fund - Estimates of Fund Balances</w:t>
      </w:r>
    </w:p>
    <w:p w14:paraId="2239E0AD" w14:textId="5F036915" w:rsidR="00F0167C" w:rsidRPr="00C978F2" w:rsidRDefault="00F112B2" w:rsidP="00F0167C">
      <w:pPr>
        <w:pStyle w:val="TableGraphic"/>
      </w:pPr>
      <w:r w:rsidRPr="00F112B2">
        <w:rPr>
          <w:noProof/>
        </w:rPr>
        <w:drawing>
          <wp:inline distT="0" distB="0" distL="0" distR="0" wp14:anchorId="5D265745" wp14:editId="659AED2B">
            <wp:extent cx="4895850" cy="1870718"/>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895850" cy="1870718"/>
                    </a:xfrm>
                    <a:prstGeom prst="rect">
                      <a:avLst/>
                    </a:prstGeom>
                    <a:noFill/>
                    <a:ln>
                      <a:noFill/>
                    </a:ln>
                  </pic:spPr>
                </pic:pic>
              </a:graphicData>
            </a:graphic>
          </wp:inline>
        </w:drawing>
      </w:r>
    </w:p>
    <w:p w14:paraId="2239E0AE" w14:textId="77777777" w:rsidR="00F0167C" w:rsidRDefault="00F0167C" w:rsidP="00BA1132">
      <w:pPr>
        <w:pStyle w:val="ListParagraph"/>
        <w:numPr>
          <w:ilvl w:val="0"/>
          <w:numId w:val="10"/>
        </w:numPr>
        <w:spacing w:before="60" w:after="0" w:line="240" w:lineRule="auto"/>
        <w:ind w:left="284" w:hanging="284"/>
        <w:contextualSpacing w:val="0"/>
        <w:rPr>
          <w:rFonts w:ascii="Arial" w:hAnsi="Arial" w:cs="Arial"/>
          <w:sz w:val="16"/>
        </w:rPr>
      </w:pPr>
      <w:r w:rsidRPr="00817208">
        <w:rPr>
          <w:rFonts w:ascii="Arial" w:hAnsi="Arial" w:cs="Arial"/>
          <w:sz w:val="16"/>
        </w:rPr>
        <w:t>The MRFF consists of the MRFF Special Account and investments of the MRFF. The investments are managed by the Future Fund Board of Guardians. The special account is used to record all transactions relating to the MRFF, including interest received and payments.</w:t>
      </w:r>
    </w:p>
    <w:p w14:paraId="298DC492" w14:textId="2E065B73" w:rsidR="002B4724" w:rsidRDefault="00F0167C" w:rsidP="008D2A90">
      <w:pPr>
        <w:spacing w:before="30" w:after="0" w:line="240" w:lineRule="auto"/>
        <w:rPr>
          <w:rFonts w:ascii="Arial" w:hAnsi="Arial" w:cs="Arial"/>
          <w:color w:val="000000"/>
          <w:sz w:val="16"/>
          <w:szCs w:val="16"/>
        </w:rPr>
      </w:pPr>
      <w:r w:rsidRPr="004111A7">
        <w:rPr>
          <w:rFonts w:ascii="Arial" w:hAnsi="Arial" w:cs="Arial"/>
          <w:color w:val="000000"/>
          <w:sz w:val="16"/>
          <w:szCs w:val="16"/>
        </w:rPr>
        <w:t>Note: The expenses figure does not include losses made on investments; rather this amount has been applied</w:t>
      </w:r>
      <w:r w:rsidR="00134BF4">
        <w:rPr>
          <w:rFonts w:ascii="Arial" w:hAnsi="Arial" w:cs="Arial"/>
          <w:color w:val="000000"/>
          <w:sz w:val="16"/>
          <w:szCs w:val="16"/>
        </w:rPr>
        <w:t xml:space="preserve"> </w:t>
      </w:r>
      <w:r w:rsidRPr="004111A7">
        <w:rPr>
          <w:rFonts w:ascii="Arial" w:hAnsi="Arial" w:cs="Arial"/>
          <w:color w:val="000000"/>
          <w:sz w:val="16"/>
          <w:szCs w:val="16"/>
        </w:rPr>
        <w:t>against</w:t>
      </w:r>
      <w:r w:rsidR="002B4724">
        <w:rPr>
          <w:rFonts w:ascii="Arial" w:hAnsi="Arial" w:cs="Arial"/>
          <w:color w:val="000000"/>
          <w:sz w:val="16"/>
          <w:szCs w:val="16"/>
        </w:rPr>
        <w:t xml:space="preserve"> investment earnings and gains.</w:t>
      </w:r>
      <w:r w:rsidR="002B4724">
        <w:rPr>
          <w:rFonts w:ascii="Arial" w:hAnsi="Arial" w:cs="Arial"/>
          <w:color w:val="000000"/>
          <w:sz w:val="16"/>
          <w:szCs w:val="16"/>
        </w:rPr>
        <w:br w:type="page"/>
      </w:r>
    </w:p>
    <w:p w14:paraId="2239E0B2" w14:textId="09D6FF89" w:rsidR="00F0167C" w:rsidRPr="000819EC" w:rsidRDefault="00F0167C" w:rsidP="00911527">
      <w:pPr>
        <w:pStyle w:val="NoSpacing"/>
        <w:rPr>
          <w:rStyle w:val="TableHeadingChar"/>
          <w:sz w:val="20"/>
        </w:rPr>
      </w:pPr>
      <w:r w:rsidRPr="000819EC">
        <w:rPr>
          <w:rStyle w:val="TableHeadingChar"/>
          <w:sz w:val="20"/>
        </w:rPr>
        <w:lastRenderedPageBreak/>
        <w:t>Table 2.2.1.3: Aboriginal and Torres Strait Islander Lan</w:t>
      </w:r>
      <w:r w:rsidR="00911527" w:rsidRPr="000819EC">
        <w:rPr>
          <w:rStyle w:val="TableHeadingChar"/>
          <w:sz w:val="20"/>
        </w:rPr>
        <w:t xml:space="preserve">d and Sea Future </w:t>
      </w:r>
      <w:r w:rsidR="009C12EC" w:rsidRPr="000819EC">
        <w:rPr>
          <w:rStyle w:val="TableHeadingChar"/>
          <w:sz w:val="20"/>
        </w:rPr>
        <w:t xml:space="preserve">Fund </w:t>
      </w:r>
      <w:r w:rsidR="00911527" w:rsidRPr="000819EC">
        <w:rPr>
          <w:rStyle w:val="TableHeadingChar"/>
          <w:sz w:val="20"/>
        </w:rPr>
        <w:t xml:space="preserve">- Estimates of </w:t>
      </w:r>
      <w:r w:rsidRPr="000819EC">
        <w:rPr>
          <w:rStyle w:val="TableHeadingChar"/>
          <w:sz w:val="20"/>
        </w:rPr>
        <w:t>Fund Balances</w:t>
      </w:r>
    </w:p>
    <w:p w14:paraId="2239E0B3" w14:textId="7B5FD0EE" w:rsidR="00F0167C" w:rsidRPr="00C978F2" w:rsidRDefault="00095805" w:rsidP="00F0167C">
      <w:pPr>
        <w:pStyle w:val="TableGraphic"/>
      </w:pPr>
      <w:r w:rsidRPr="00095805">
        <w:rPr>
          <w:noProof/>
        </w:rPr>
        <w:drawing>
          <wp:inline distT="0" distB="0" distL="0" distR="0" wp14:anchorId="1503ACCB" wp14:editId="5D6E3FDB">
            <wp:extent cx="4895850" cy="1983994"/>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95850" cy="1983994"/>
                    </a:xfrm>
                    <a:prstGeom prst="rect">
                      <a:avLst/>
                    </a:prstGeom>
                    <a:noFill/>
                    <a:ln>
                      <a:noFill/>
                    </a:ln>
                  </pic:spPr>
                </pic:pic>
              </a:graphicData>
            </a:graphic>
          </wp:inline>
        </w:drawing>
      </w:r>
    </w:p>
    <w:p w14:paraId="2239E0B4" w14:textId="77777777" w:rsidR="00F0167C" w:rsidRDefault="00F0167C" w:rsidP="00C8474A">
      <w:pPr>
        <w:pStyle w:val="ListParagraph"/>
        <w:numPr>
          <w:ilvl w:val="0"/>
          <w:numId w:val="16"/>
        </w:numPr>
        <w:spacing w:before="60" w:after="0" w:line="240" w:lineRule="auto"/>
        <w:ind w:left="284" w:hanging="284"/>
        <w:contextualSpacing w:val="0"/>
        <w:rPr>
          <w:rFonts w:ascii="Arial" w:hAnsi="Arial" w:cs="Arial"/>
          <w:sz w:val="16"/>
        </w:rPr>
      </w:pPr>
      <w:r w:rsidRPr="006E5D8C">
        <w:rPr>
          <w:rFonts w:ascii="Arial" w:hAnsi="Arial" w:cs="Arial"/>
          <w:sz w:val="16"/>
        </w:rPr>
        <w:t>The ATSILSFF consists of the ATSILSFF Special Account and the investments of the ATSILSFF. The investments are managed by the Future Fund Board of Guardians. The special account is used to record all transactions relating to the ATSILSFF, including interest and payments.</w:t>
      </w:r>
    </w:p>
    <w:p w14:paraId="1BDDCB5C" w14:textId="77777777" w:rsidR="00FD2F32" w:rsidRDefault="00F0167C" w:rsidP="008D2A90">
      <w:pPr>
        <w:spacing w:before="30" w:after="0" w:line="240" w:lineRule="auto"/>
        <w:rPr>
          <w:rFonts w:ascii="Arial" w:hAnsi="Arial" w:cs="Arial"/>
          <w:color w:val="000000"/>
          <w:sz w:val="16"/>
          <w:szCs w:val="16"/>
        </w:rPr>
      </w:pPr>
      <w:r w:rsidRPr="00C97B88">
        <w:rPr>
          <w:rFonts w:ascii="Arial" w:hAnsi="Arial" w:cs="Arial"/>
          <w:color w:val="000000"/>
          <w:sz w:val="16"/>
          <w:szCs w:val="16"/>
        </w:rPr>
        <w:t>Note: The expenses figure does not include losses made on investments; rath</w:t>
      </w:r>
      <w:r w:rsidR="00C97B88">
        <w:rPr>
          <w:rFonts w:ascii="Arial" w:hAnsi="Arial" w:cs="Arial"/>
          <w:color w:val="000000"/>
          <w:sz w:val="16"/>
          <w:szCs w:val="16"/>
        </w:rPr>
        <w:t>er this amount has been applied</w:t>
      </w:r>
      <w:r w:rsidR="00134BF4">
        <w:rPr>
          <w:rFonts w:ascii="Arial" w:hAnsi="Arial" w:cs="Arial"/>
          <w:color w:val="000000"/>
          <w:sz w:val="16"/>
          <w:szCs w:val="16"/>
        </w:rPr>
        <w:t xml:space="preserve"> </w:t>
      </w:r>
      <w:r w:rsidRPr="00C97B88">
        <w:rPr>
          <w:rFonts w:ascii="Arial" w:hAnsi="Arial" w:cs="Arial"/>
          <w:color w:val="000000"/>
          <w:sz w:val="16"/>
          <w:szCs w:val="16"/>
        </w:rPr>
        <w:t>against</w:t>
      </w:r>
      <w:r w:rsidR="009D7E9F">
        <w:rPr>
          <w:rFonts w:ascii="Arial" w:hAnsi="Arial" w:cs="Arial"/>
          <w:color w:val="000000"/>
          <w:sz w:val="16"/>
          <w:szCs w:val="16"/>
        </w:rPr>
        <w:t xml:space="preserve"> investment earnings and gains.</w:t>
      </w:r>
      <w:r w:rsidR="00FD2F32">
        <w:rPr>
          <w:rFonts w:ascii="Arial" w:hAnsi="Arial" w:cs="Arial"/>
          <w:color w:val="000000"/>
          <w:sz w:val="16"/>
          <w:szCs w:val="16"/>
        </w:rPr>
        <w:br w:type="page"/>
      </w:r>
    </w:p>
    <w:p w14:paraId="2239E0D8" w14:textId="0AD4AC2C" w:rsidR="00F0167C" w:rsidRPr="000819EC" w:rsidRDefault="00F0167C" w:rsidP="009D7E9F">
      <w:pPr>
        <w:spacing w:before="30" w:after="0" w:line="240" w:lineRule="auto"/>
        <w:rPr>
          <w:rStyle w:val="TableHeadingChar"/>
          <w:rFonts w:cs="Arial"/>
          <w:b w:val="0"/>
          <w:color w:val="000000"/>
          <w:sz w:val="20"/>
        </w:rPr>
      </w:pPr>
      <w:r w:rsidRPr="000819EC">
        <w:rPr>
          <w:rStyle w:val="TableHeadingChar"/>
          <w:sz w:val="20"/>
        </w:rPr>
        <w:lastRenderedPageBreak/>
        <w:t>Table 2.2.1.4: Future Drought Fund - Estimates of Fund Balances</w:t>
      </w:r>
    </w:p>
    <w:p w14:paraId="2239E0D9" w14:textId="0FE41A3A" w:rsidR="00F0167C" w:rsidRPr="00AA5A42" w:rsidRDefault="00F50569" w:rsidP="00F0167C">
      <w:pPr>
        <w:spacing w:after="0" w:line="240" w:lineRule="auto"/>
        <w:contextualSpacing/>
        <w:rPr>
          <w:lang w:val="x-none"/>
        </w:rPr>
      </w:pPr>
      <w:r w:rsidRPr="00F50569">
        <w:rPr>
          <w:noProof/>
        </w:rPr>
        <w:drawing>
          <wp:inline distT="0" distB="0" distL="0" distR="0" wp14:anchorId="74C0EE2F" wp14:editId="655EC1D8">
            <wp:extent cx="4895850" cy="1757442"/>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95850" cy="1757442"/>
                    </a:xfrm>
                    <a:prstGeom prst="rect">
                      <a:avLst/>
                    </a:prstGeom>
                    <a:noFill/>
                    <a:ln>
                      <a:noFill/>
                    </a:ln>
                  </pic:spPr>
                </pic:pic>
              </a:graphicData>
            </a:graphic>
          </wp:inline>
        </w:drawing>
      </w:r>
    </w:p>
    <w:p w14:paraId="2239E0DA" w14:textId="77777777" w:rsidR="00F0167C" w:rsidRPr="004111A7" w:rsidRDefault="00F0167C" w:rsidP="00BA1132">
      <w:pPr>
        <w:numPr>
          <w:ilvl w:val="0"/>
          <w:numId w:val="9"/>
        </w:numPr>
        <w:spacing w:before="60" w:after="0" w:line="240" w:lineRule="auto"/>
        <w:ind w:left="284" w:hanging="284"/>
        <w:rPr>
          <w:rFonts w:ascii="Arial" w:hAnsi="Arial" w:cs="Arial"/>
          <w:sz w:val="16"/>
          <w:szCs w:val="16"/>
        </w:rPr>
      </w:pPr>
      <w:r w:rsidRPr="004111A7">
        <w:rPr>
          <w:rFonts w:ascii="Arial" w:hAnsi="Arial" w:cs="Arial"/>
          <w:sz w:val="16"/>
          <w:szCs w:val="16"/>
        </w:rPr>
        <w:t>The FDF consists of the FDF Special Account and investments of the FDF. The investments are managed by the Future Fund Board of Guardians. The special account is used to record all transactions relating to the FDF, including interest and payments.</w:t>
      </w:r>
    </w:p>
    <w:p w14:paraId="54A32AEB" w14:textId="77777777" w:rsidR="00FD2F32" w:rsidRDefault="00F0167C" w:rsidP="008D2A90">
      <w:pPr>
        <w:pStyle w:val="ChartandTableFootnoteAlpha"/>
        <w:rPr>
          <w:rFonts w:cs="Arial"/>
          <w:szCs w:val="16"/>
        </w:rPr>
      </w:pPr>
      <w:r w:rsidRPr="004111A7">
        <w:rPr>
          <w:rFonts w:cs="Arial"/>
          <w:szCs w:val="16"/>
        </w:rPr>
        <w:t>Note: The expenses figure does not include losses made on investments; rather this amount has been applied against</w:t>
      </w:r>
      <w:r w:rsidR="00FD2F32">
        <w:rPr>
          <w:rFonts w:cs="Arial"/>
          <w:szCs w:val="16"/>
        </w:rPr>
        <w:t xml:space="preserve"> investment earnings and gains.</w:t>
      </w:r>
      <w:r w:rsidR="00FD2F32">
        <w:rPr>
          <w:rFonts w:cs="Arial"/>
          <w:szCs w:val="16"/>
        </w:rPr>
        <w:br w:type="page"/>
      </w:r>
    </w:p>
    <w:p w14:paraId="2239E0EB" w14:textId="1F106FF1" w:rsidR="00F0167C" w:rsidRPr="000819EC" w:rsidRDefault="00F0167C" w:rsidP="00FD2F32">
      <w:pPr>
        <w:pStyle w:val="ChartandTableFootnoteAlpha"/>
        <w:rPr>
          <w:rStyle w:val="TableHeadingChar"/>
          <w:rFonts w:cs="Arial"/>
          <w:b w:val="0"/>
          <w:sz w:val="20"/>
        </w:rPr>
      </w:pPr>
      <w:r w:rsidRPr="000819EC">
        <w:rPr>
          <w:rStyle w:val="TableHeadingChar"/>
          <w:sz w:val="20"/>
        </w:rPr>
        <w:lastRenderedPageBreak/>
        <w:t>Table 2.2.1.5: Emergency Response Fund - Estimates of Fund Balances</w:t>
      </w:r>
    </w:p>
    <w:p w14:paraId="2239E0EC" w14:textId="7A98C09F" w:rsidR="00F0167C" w:rsidRPr="00C978F2" w:rsidRDefault="00990686" w:rsidP="00F0167C">
      <w:pPr>
        <w:pStyle w:val="TableGraphic"/>
      </w:pPr>
      <w:r w:rsidRPr="00990686">
        <w:rPr>
          <w:noProof/>
        </w:rPr>
        <w:drawing>
          <wp:inline distT="0" distB="0" distL="0" distR="0" wp14:anchorId="521ED491" wp14:editId="7BAF43AC">
            <wp:extent cx="4895850" cy="1757442"/>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95850" cy="1757442"/>
                    </a:xfrm>
                    <a:prstGeom prst="rect">
                      <a:avLst/>
                    </a:prstGeom>
                    <a:noFill/>
                    <a:ln>
                      <a:noFill/>
                    </a:ln>
                  </pic:spPr>
                </pic:pic>
              </a:graphicData>
            </a:graphic>
          </wp:inline>
        </w:drawing>
      </w:r>
    </w:p>
    <w:p w14:paraId="2239E0ED" w14:textId="101A7F62" w:rsidR="00FB253D" w:rsidRDefault="00F0167C" w:rsidP="00C8474A">
      <w:pPr>
        <w:pStyle w:val="ListParagraph"/>
        <w:numPr>
          <w:ilvl w:val="0"/>
          <w:numId w:val="17"/>
        </w:numPr>
        <w:spacing w:before="60" w:after="0" w:line="240" w:lineRule="auto"/>
        <w:ind w:left="284" w:hanging="284"/>
        <w:contextualSpacing w:val="0"/>
        <w:rPr>
          <w:rFonts w:ascii="Arial" w:hAnsi="Arial" w:cs="Arial"/>
          <w:sz w:val="16"/>
        </w:rPr>
      </w:pPr>
      <w:r w:rsidRPr="008E75D0">
        <w:rPr>
          <w:rFonts w:ascii="Arial" w:hAnsi="Arial" w:cs="Arial"/>
          <w:sz w:val="16"/>
        </w:rPr>
        <w:t>The ERF consists of the ERF Special Account and investments of the ERF. The investments are managed by the Future Fund Board of Guardians. The special account is used to record all transactions relating to the ERF, including interest and payments.</w:t>
      </w:r>
      <w:r w:rsidR="00DD460D">
        <w:rPr>
          <w:rFonts w:ascii="Arial" w:hAnsi="Arial" w:cs="Arial"/>
          <w:sz w:val="16"/>
        </w:rPr>
        <w:t xml:space="preserve"> </w:t>
      </w:r>
      <w:r w:rsidR="00DD460D" w:rsidRPr="00DD460D">
        <w:rPr>
          <w:rFonts w:ascii="Arial" w:hAnsi="Arial" w:cs="Arial"/>
          <w:sz w:val="16"/>
        </w:rPr>
        <w:t xml:space="preserve">The Government has introduced legislation to rename the ERF as the Disaster Ready Fund and to refocus the Fund as a dedicated ongoing source of funding for natural disaster resilience. Expenses specific to the Disaster Ready Fund are currently reflected in the Contingency Reserve subject to passage of legislation and </w:t>
      </w:r>
      <w:proofErr w:type="spellStart"/>
      <w:r w:rsidR="00DD460D" w:rsidRPr="00DD460D">
        <w:rPr>
          <w:rFonts w:ascii="Arial" w:hAnsi="Arial" w:cs="Arial"/>
          <w:sz w:val="16"/>
        </w:rPr>
        <w:t>finalisation</w:t>
      </w:r>
      <w:proofErr w:type="spellEnd"/>
      <w:r w:rsidR="00DD460D" w:rsidRPr="00DD460D">
        <w:rPr>
          <w:rFonts w:ascii="Arial" w:hAnsi="Arial" w:cs="Arial"/>
          <w:sz w:val="16"/>
        </w:rPr>
        <w:t xml:space="preserve"> of the investment mandate.</w:t>
      </w:r>
    </w:p>
    <w:p w14:paraId="2239E0EE" w14:textId="77777777" w:rsidR="00F0167C" w:rsidRPr="00FB253D" w:rsidRDefault="00F0167C" w:rsidP="008D2A90">
      <w:pPr>
        <w:spacing w:before="30" w:after="0" w:line="240" w:lineRule="auto"/>
        <w:rPr>
          <w:rFonts w:ascii="Arial" w:hAnsi="Arial" w:cs="Arial"/>
          <w:sz w:val="16"/>
          <w:szCs w:val="22"/>
        </w:rPr>
      </w:pPr>
      <w:r w:rsidRPr="00FB253D">
        <w:rPr>
          <w:rFonts w:ascii="Arial" w:hAnsi="Arial" w:cs="Arial"/>
          <w:sz w:val="16"/>
          <w:szCs w:val="16"/>
        </w:rPr>
        <w:t>Note: The expenses figure does not include losses made on investments; rath</w:t>
      </w:r>
      <w:r w:rsidR="00C13491" w:rsidRPr="00FB253D">
        <w:rPr>
          <w:rFonts w:ascii="Arial" w:hAnsi="Arial" w:cs="Arial"/>
          <w:sz w:val="16"/>
          <w:szCs w:val="16"/>
        </w:rPr>
        <w:t xml:space="preserve">er this amount has been applied </w:t>
      </w:r>
      <w:r w:rsidRPr="00FB253D">
        <w:rPr>
          <w:rFonts w:ascii="Arial" w:hAnsi="Arial" w:cs="Arial"/>
          <w:sz w:val="16"/>
          <w:szCs w:val="16"/>
        </w:rPr>
        <w:t>against investment earnings and gains.</w:t>
      </w:r>
    </w:p>
    <w:p w14:paraId="2239E0EF" w14:textId="77777777" w:rsidR="00F0167C" w:rsidRPr="00AE599E" w:rsidRDefault="00F0167C" w:rsidP="00C13491">
      <w:pPr>
        <w:spacing w:before="0" w:after="0" w:line="240" w:lineRule="auto"/>
        <w:ind w:left="357"/>
        <w:contextualSpacing/>
        <w:jc w:val="both"/>
      </w:pPr>
    </w:p>
    <w:p w14:paraId="2239E0F0" w14:textId="77777777" w:rsidR="00F0167C" w:rsidRDefault="00F0167C" w:rsidP="00F0167C">
      <w:pPr>
        <w:pStyle w:val="TableHeading"/>
      </w:pPr>
      <w:r>
        <w:rPr>
          <w:highlight w:val="yellow"/>
          <w:lang w:val="en-US"/>
        </w:rPr>
        <w:br w:type="page"/>
      </w:r>
      <w:r>
        <w:lastRenderedPageBreak/>
        <w:t>Table 2.2.2</w:t>
      </w:r>
      <w:r w:rsidRPr="00F71634">
        <w:t xml:space="preserve">: Performance </w:t>
      </w:r>
      <w:r w:rsidRPr="000E4F0F">
        <w:t>measure</w:t>
      </w:r>
      <w:r w:rsidRPr="00F71634">
        <w:t xml:space="preserve"> </w:t>
      </w:r>
      <w:r>
        <w:t>for Outcome 2</w:t>
      </w:r>
    </w:p>
    <w:p w14:paraId="2239E0F1" w14:textId="390B16DA" w:rsidR="00F0167C" w:rsidRDefault="00F0167C" w:rsidP="00C41E1F">
      <w:r>
        <w:t xml:space="preserve">Table 2.2.2 </w:t>
      </w:r>
      <w:r w:rsidRPr="00161BC9">
        <w:t xml:space="preserve">details the performance measures for each </w:t>
      </w:r>
      <w:r>
        <w:t>program associated with Outcome </w:t>
      </w:r>
      <w:r w:rsidRPr="00161BC9">
        <w:t xml:space="preserve">2.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w:t>
      </w:r>
      <w:r w:rsidR="003D562D">
        <w:t xml:space="preserve">the October </w:t>
      </w:r>
      <w:r w:rsidRPr="00161BC9">
        <w:t xml:space="preserve">2022-23 Budget measures that have created new programs or materially changed </w:t>
      </w:r>
      <w:r>
        <w:t>existing programs are provided.</w:t>
      </w:r>
    </w:p>
    <w:tbl>
      <w:tblPr>
        <w:tblW w:w="7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2289"/>
        <w:gridCol w:w="4091"/>
      </w:tblGrid>
      <w:tr w:rsidR="00F0167C" w:rsidRPr="002C4D06" w14:paraId="2239E0F3" w14:textId="77777777" w:rsidTr="00674B58">
        <w:trPr>
          <w:trHeight w:val="569"/>
        </w:trPr>
        <w:tc>
          <w:tcPr>
            <w:tcW w:w="7795" w:type="dxa"/>
            <w:gridSpan w:val="3"/>
            <w:shd w:val="clear" w:color="auto" w:fill="F2F2F2"/>
          </w:tcPr>
          <w:p w14:paraId="2239E0F2" w14:textId="3B5E726F" w:rsidR="00F0167C" w:rsidRPr="002C4D06" w:rsidRDefault="00C41E1F" w:rsidP="00674B58">
            <w:pPr>
              <w:pStyle w:val="TableColumnHeadingLeft"/>
              <w:spacing w:before="60" w:after="60"/>
            </w:pPr>
            <w:r w:rsidRPr="00C41E1F">
              <w:rPr>
                <w:rStyle w:val="TableHeadingChar"/>
                <w:b/>
              </w:rPr>
              <w:t xml:space="preserve">Outcome 2 – </w:t>
            </w:r>
            <w:r w:rsidRPr="00C41E1F">
              <w:rPr>
                <w:rStyle w:val="TableHeadingChar"/>
              </w:rPr>
              <w:t>Support an efficient and high-performing public sector through providing leadership to Commonwealth entities in ongoing improvements to public sector governance, including through systems, frameworks, policy, advice and service delivery.</w:t>
            </w:r>
          </w:p>
        </w:tc>
      </w:tr>
      <w:tr w:rsidR="00F0167C" w:rsidRPr="002C4D06" w14:paraId="2239E0F6" w14:textId="77777777" w:rsidTr="00674B58">
        <w:trPr>
          <w:trHeight w:val="527"/>
        </w:trPr>
        <w:tc>
          <w:tcPr>
            <w:tcW w:w="7795" w:type="dxa"/>
            <w:gridSpan w:val="3"/>
            <w:shd w:val="clear" w:color="auto" w:fill="F2F2F2"/>
          </w:tcPr>
          <w:p w14:paraId="5DF403B0" w14:textId="77777777" w:rsidR="00C41E1F" w:rsidRPr="00C41E1F" w:rsidRDefault="00C41E1F" w:rsidP="00674B58">
            <w:pPr>
              <w:tabs>
                <w:tab w:val="left" w:pos="709"/>
              </w:tabs>
              <w:spacing w:before="60" w:after="60" w:line="240" w:lineRule="auto"/>
              <w:rPr>
                <w:rFonts w:ascii="Arial" w:hAnsi="Arial" w:cs="Arial"/>
                <w:b/>
                <w:sz w:val="16"/>
                <w:szCs w:val="16"/>
              </w:rPr>
            </w:pPr>
            <w:r w:rsidRPr="00C41E1F">
              <w:rPr>
                <w:rFonts w:ascii="Arial" w:hAnsi="Arial" w:cs="Arial"/>
                <w:b/>
                <w:sz w:val="16"/>
                <w:szCs w:val="16"/>
              </w:rPr>
              <w:t>Program 2.1 – Public Sector Governance</w:t>
            </w:r>
          </w:p>
          <w:p w14:paraId="2239E0F5" w14:textId="753E61C8" w:rsidR="00F0167C" w:rsidRPr="00C41E1F" w:rsidRDefault="00C41E1F" w:rsidP="00674B58">
            <w:pPr>
              <w:tabs>
                <w:tab w:val="left" w:pos="709"/>
              </w:tabs>
              <w:spacing w:before="60" w:after="60" w:line="240" w:lineRule="auto"/>
              <w:rPr>
                <w:rFonts w:ascii="Arial" w:hAnsi="Arial" w:cs="Arial"/>
                <w:sz w:val="16"/>
                <w:szCs w:val="16"/>
              </w:rPr>
            </w:pPr>
            <w:r w:rsidRPr="00C41E1F">
              <w:rPr>
                <w:rFonts w:ascii="Arial" w:hAnsi="Arial" w:cs="Arial"/>
                <w:sz w:val="16"/>
                <w:szCs w:val="16"/>
              </w:rPr>
              <w:t>This program contributes to the outcome through developing and maintaining the public sector resource management framework and improving the standard of governance, performance and accountability of Commonwealth entities.</w:t>
            </w:r>
          </w:p>
        </w:tc>
      </w:tr>
      <w:tr w:rsidR="00F0167C" w:rsidRPr="00161BC9" w14:paraId="2239E0FA" w14:textId="77777777" w:rsidTr="00674B58">
        <w:trPr>
          <w:trHeight w:val="694"/>
        </w:trPr>
        <w:tc>
          <w:tcPr>
            <w:tcW w:w="1415" w:type="dxa"/>
            <w:tcBorders>
              <w:bottom w:val="double" w:sz="4" w:space="0" w:color="auto"/>
            </w:tcBorders>
          </w:tcPr>
          <w:p w14:paraId="2239E0F7" w14:textId="758CE875" w:rsidR="00F0167C" w:rsidRPr="00161BC9" w:rsidRDefault="00F0167C" w:rsidP="00674B58">
            <w:pPr>
              <w:tabs>
                <w:tab w:val="left" w:pos="709"/>
              </w:tabs>
              <w:spacing w:before="60" w:after="60"/>
              <w:rPr>
                <w:rFonts w:ascii="Arial" w:hAnsi="Arial" w:cs="Arial"/>
                <w:b/>
                <w:sz w:val="16"/>
                <w:szCs w:val="16"/>
              </w:rPr>
            </w:pPr>
            <w:r>
              <w:rPr>
                <w:rFonts w:ascii="Arial" w:hAnsi="Arial" w:cs="Arial"/>
                <w:b/>
                <w:sz w:val="16"/>
                <w:szCs w:val="16"/>
              </w:rPr>
              <w:t>Key Activities</w:t>
            </w:r>
            <w:r w:rsidR="00CC6CF9">
              <w:rPr>
                <w:rFonts w:ascii="Arial" w:hAnsi="Arial" w:cs="Arial"/>
                <w:b/>
                <w:sz w:val="16"/>
                <w:szCs w:val="16"/>
              </w:rPr>
              <w:t xml:space="preserve"> (a)(b)</w:t>
            </w:r>
          </w:p>
        </w:tc>
        <w:tc>
          <w:tcPr>
            <w:tcW w:w="6380" w:type="dxa"/>
            <w:gridSpan w:val="2"/>
            <w:tcBorders>
              <w:bottom w:val="double" w:sz="4" w:space="0" w:color="auto"/>
            </w:tcBorders>
          </w:tcPr>
          <w:p w14:paraId="2A7D11C8" w14:textId="77777777" w:rsidR="00324827" w:rsidRPr="00324827" w:rsidRDefault="00324827" w:rsidP="00674B58">
            <w:pPr>
              <w:tabs>
                <w:tab w:val="left" w:pos="709"/>
              </w:tabs>
              <w:spacing w:before="60" w:after="60" w:line="240" w:lineRule="auto"/>
              <w:rPr>
                <w:rFonts w:ascii="Arial" w:hAnsi="Arial" w:cs="Arial"/>
                <w:b/>
                <w:bCs/>
                <w:sz w:val="16"/>
                <w:szCs w:val="16"/>
              </w:rPr>
            </w:pPr>
            <w:r w:rsidRPr="00324827">
              <w:rPr>
                <w:rFonts w:ascii="Arial" w:hAnsi="Arial" w:cs="Arial"/>
                <w:b/>
                <w:bCs/>
                <w:sz w:val="16"/>
                <w:szCs w:val="16"/>
              </w:rPr>
              <w:t>Support the proper use and management of public resources</w:t>
            </w:r>
          </w:p>
          <w:p w14:paraId="1B1FDE28" w14:textId="77777777" w:rsidR="00324827" w:rsidRPr="00324827" w:rsidRDefault="00324827" w:rsidP="00674B58">
            <w:pPr>
              <w:tabs>
                <w:tab w:val="left" w:pos="709"/>
              </w:tabs>
              <w:spacing w:before="60" w:after="60" w:line="240" w:lineRule="auto"/>
              <w:rPr>
                <w:rFonts w:ascii="Arial" w:hAnsi="Arial" w:cs="Arial"/>
                <w:bCs/>
                <w:sz w:val="16"/>
                <w:szCs w:val="16"/>
              </w:rPr>
            </w:pPr>
            <w:r w:rsidRPr="00324827">
              <w:rPr>
                <w:rFonts w:ascii="Arial" w:hAnsi="Arial" w:cs="Arial"/>
                <w:bCs/>
                <w:sz w:val="16"/>
                <w:szCs w:val="16"/>
              </w:rPr>
              <w:t>Support the proper use of public resources by Commonwealth entities and companies under the Commonwealth Resource Management Framework.</w:t>
            </w:r>
          </w:p>
          <w:p w14:paraId="309A565C" w14:textId="77777777" w:rsidR="00324827" w:rsidRPr="00324827" w:rsidRDefault="00324827" w:rsidP="00674B58">
            <w:pPr>
              <w:tabs>
                <w:tab w:val="left" w:pos="709"/>
              </w:tabs>
              <w:spacing w:before="60" w:after="60" w:line="240" w:lineRule="auto"/>
              <w:rPr>
                <w:rFonts w:ascii="Arial" w:hAnsi="Arial" w:cs="Arial"/>
                <w:b/>
                <w:bCs/>
                <w:sz w:val="16"/>
                <w:szCs w:val="16"/>
              </w:rPr>
            </w:pPr>
          </w:p>
          <w:p w14:paraId="2BEFD93F" w14:textId="77777777" w:rsidR="00324827" w:rsidRPr="00324827" w:rsidRDefault="00324827" w:rsidP="00674B58">
            <w:pPr>
              <w:tabs>
                <w:tab w:val="left" w:pos="709"/>
              </w:tabs>
              <w:spacing w:before="60" w:after="60" w:line="240" w:lineRule="auto"/>
              <w:rPr>
                <w:rFonts w:ascii="Arial" w:hAnsi="Arial" w:cs="Arial"/>
                <w:b/>
                <w:bCs/>
                <w:sz w:val="16"/>
                <w:szCs w:val="16"/>
              </w:rPr>
            </w:pPr>
            <w:r w:rsidRPr="00324827">
              <w:rPr>
                <w:rFonts w:ascii="Arial" w:hAnsi="Arial" w:cs="Arial"/>
                <w:b/>
                <w:bCs/>
                <w:sz w:val="16"/>
                <w:szCs w:val="16"/>
              </w:rPr>
              <w:t>Engage with Government Business Enterprises</w:t>
            </w:r>
          </w:p>
          <w:p w14:paraId="2239E0F9" w14:textId="3F39015D" w:rsidR="00F0167C" w:rsidRPr="00324827" w:rsidRDefault="00324827" w:rsidP="00F44084">
            <w:pPr>
              <w:tabs>
                <w:tab w:val="left" w:pos="709"/>
              </w:tabs>
              <w:spacing w:before="60" w:after="60" w:line="240" w:lineRule="auto"/>
              <w:rPr>
                <w:rFonts w:ascii="Arial" w:hAnsi="Arial" w:cs="Arial"/>
                <w:i/>
                <w:sz w:val="16"/>
                <w:szCs w:val="16"/>
              </w:rPr>
            </w:pPr>
            <w:r w:rsidRPr="00324827">
              <w:rPr>
                <w:rFonts w:ascii="Arial" w:hAnsi="Arial" w:cs="Arial"/>
                <w:bCs/>
                <w:sz w:val="16"/>
                <w:szCs w:val="16"/>
              </w:rPr>
              <w:t>Engage with GBEs and shareholder departments to facilitate efficiency, financial sustainability and sound governa</w:t>
            </w:r>
            <w:r w:rsidR="00777C3A">
              <w:rPr>
                <w:rFonts w:ascii="Arial" w:hAnsi="Arial" w:cs="Arial"/>
                <w:bCs/>
                <w:sz w:val="16"/>
                <w:szCs w:val="16"/>
              </w:rPr>
              <w:t>nce arrangements for all GBEs.</w:t>
            </w:r>
          </w:p>
        </w:tc>
      </w:tr>
      <w:tr w:rsidR="00F0167C" w:rsidRPr="002C4D06" w14:paraId="2239E0FE" w14:textId="77777777" w:rsidTr="00674B58">
        <w:trPr>
          <w:trHeight w:val="312"/>
        </w:trPr>
        <w:tc>
          <w:tcPr>
            <w:tcW w:w="1415" w:type="dxa"/>
            <w:tcBorders>
              <w:top w:val="double" w:sz="4" w:space="0" w:color="auto"/>
              <w:bottom w:val="single" w:sz="4" w:space="0" w:color="auto"/>
              <w:right w:val="single" w:sz="4" w:space="0" w:color="auto"/>
            </w:tcBorders>
          </w:tcPr>
          <w:p w14:paraId="2239E0FB" w14:textId="77777777" w:rsidR="00F0167C" w:rsidRPr="002C4D06" w:rsidRDefault="00F0167C" w:rsidP="00674B58">
            <w:pPr>
              <w:tabs>
                <w:tab w:val="left" w:pos="709"/>
              </w:tabs>
              <w:spacing w:before="60" w:after="60"/>
              <w:rPr>
                <w:rFonts w:ascii="Arial" w:hAnsi="Arial" w:cs="Arial"/>
                <w:b/>
                <w:sz w:val="16"/>
                <w:szCs w:val="16"/>
              </w:rPr>
            </w:pPr>
            <w:r w:rsidRPr="002C4D06">
              <w:rPr>
                <w:rFonts w:ascii="Arial" w:hAnsi="Arial" w:cs="Arial"/>
                <w:b/>
                <w:sz w:val="16"/>
                <w:szCs w:val="16"/>
              </w:rPr>
              <w:t>Year</w:t>
            </w:r>
          </w:p>
        </w:tc>
        <w:tc>
          <w:tcPr>
            <w:tcW w:w="2289" w:type="dxa"/>
            <w:tcBorders>
              <w:top w:val="double" w:sz="4" w:space="0" w:color="auto"/>
              <w:left w:val="single" w:sz="4" w:space="0" w:color="auto"/>
              <w:bottom w:val="single" w:sz="4" w:space="0" w:color="auto"/>
              <w:right w:val="single" w:sz="4" w:space="0" w:color="auto"/>
            </w:tcBorders>
          </w:tcPr>
          <w:p w14:paraId="2239E0FC" w14:textId="77777777" w:rsidR="00F0167C" w:rsidRPr="002C4D06" w:rsidRDefault="00F0167C" w:rsidP="00674B58">
            <w:pPr>
              <w:tabs>
                <w:tab w:val="left" w:pos="709"/>
                <w:tab w:val="center" w:pos="1818"/>
              </w:tabs>
              <w:spacing w:before="60" w:after="60"/>
              <w:rPr>
                <w:rFonts w:ascii="Arial" w:hAnsi="Arial" w:cs="Arial"/>
                <w:b/>
                <w:sz w:val="16"/>
                <w:szCs w:val="16"/>
              </w:rPr>
            </w:pPr>
            <w:r w:rsidRPr="002C4D06">
              <w:rPr>
                <w:rFonts w:ascii="Arial" w:hAnsi="Arial" w:cs="Arial"/>
                <w:b/>
                <w:sz w:val="16"/>
                <w:szCs w:val="16"/>
              </w:rPr>
              <w:t>Performance measures</w:t>
            </w:r>
          </w:p>
        </w:tc>
        <w:tc>
          <w:tcPr>
            <w:tcW w:w="4091" w:type="dxa"/>
            <w:tcBorders>
              <w:top w:val="double" w:sz="4" w:space="0" w:color="auto"/>
              <w:left w:val="single" w:sz="4" w:space="0" w:color="auto"/>
              <w:bottom w:val="single" w:sz="4" w:space="0" w:color="auto"/>
            </w:tcBorders>
          </w:tcPr>
          <w:p w14:paraId="2239E0FD" w14:textId="77777777" w:rsidR="00F0167C" w:rsidRPr="002C4D06" w:rsidRDefault="00F0167C" w:rsidP="00674B58">
            <w:pPr>
              <w:tabs>
                <w:tab w:val="left" w:pos="709"/>
              </w:tabs>
              <w:spacing w:before="60" w:after="60"/>
              <w:rPr>
                <w:rFonts w:ascii="Arial" w:hAnsi="Arial" w:cs="Arial"/>
                <w:b/>
                <w:sz w:val="16"/>
                <w:szCs w:val="16"/>
              </w:rPr>
            </w:pPr>
            <w:r w:rsidRPr="002C4D06">
              <w:rPr>
                <w:rFonts w:ascii="Arial" w:hAnsi="Arial" w:cs="Arial"/>
                <w:b/>
                <w:sz w:val="16"/>
                <w:szCs w:val="16"/>
              </w:rPr>
              <w:t>Expected Performance Results</w:t>
            </w:r>
          </w:p>
        </w:tc>
      </w:tr>
      <w:tr w:rsidR="00F0167C" w:rsidRPr="002C4D06" w14:paraId="2239E107" w14:textId="77777777" w:rsidTr="00674B58">
        <w:trPr>
          <w:trHeight w:val="2527"/>
        </w:trPr>
        <w:tc>
          <w:tcPr>
            <w:tcW w:w="1415" w:type="dxa"/>
            <w:tcBorders>
              <w:top w:val="single" w:sz="4" w:space="0" w:color="auto"/>
              <w:right w:val="single" w:sz="4" w:space="0" w:color="auto"/>
            </w:tcBorders>
          </w:tcPr>
          <w:p w14:paraId="04D10CF3" w14:textId="77777777" w:rsidR="00324827" w:rsidRPr="00C44428" w:rsidRDefault="00324827" w:rsidP="00674B58">
            <w:pPr>
              <w:pStyle w:val="TableTextLeft"/>
              <w:spacing w:before="60" w:after="60"/>
              <w:rPr>
                <w:rFonts w:cs="Arial"/>
                <w:szCs w:val="16"/>
              </w:rPr>
            </w:pPr>
            <w:r w:rsidRPr="00C44428">
              <w:rPr>
                <w:rFonts w:cs="Arial"/>
                <w:szCs w:val="16"/>
              </w:rPr>
              <w:t xml:space="preserve">Prior year </w:t>
            </w:r>
          </w:p>
          <w:p w14:paraId="2239E0FF" w14:textId="561A4C22" w:rsidR="00F0167C" w:rsidRPr="002C4D06" w:rsidRDefault="00324827" w:rsidP="00674B58">
            <w:pPr>
              <w:tabs>
                <w:tab w:val="left" w:pos="709"/>
              </w:tabs>
              <w:spacing w:before="60" w:after="60" w:line="240" w:lineRule="auto"/>
              <w:rPr>
                <w:rFonts w:ascii="Arial" w:hAnsi="Arial" w:cs="Arial"/>
                <w:sz w:val="16"/>
                <w:szCs w:val="16"/>
              </w:rPr>
            </w:pPr>
            <w:r w:rsidRPr="00C44428">
              <w:rPr>
                <w:rFonts w:ascii="Arial" w:hAnsi="Arial" w:cs="Arial"/>
                <w:sz w:val="16"/>
                <w:szCs w:val="16"/>
              </w:rPr>
              <w:t>2021-22</w:t>
            </w:r>
          </w:p>
        </w:tc>
        <w:tc>
          <w:tcPr>
            <w:tcW w:w="2289" w:type="dxa"/>
            <w:tcBorders>
              <w:top w:val="single" w:sz="4" w:space="0" w:color="auto"/>
              <w:left w:val="single" w:sz="4" w:space="0" w:color="auto"/>
              <w:right w:val="single" w:sz="4" w:space="0" w:color="auto"/>
            </w:tcBorders>
          </w:tcPr>
          <w:p w14:paraId="2239E100" w14:textId="77777777" w:rsidR="00F0167C" w:rsidRDefault="00F0167C" w:rsidP="00674B58">
            <w:pPr>
              <w:tabs>
                <w:tab w:val="left" w:pos="709"/>
              </w:tabs>
              <w:autoSpaceDE w:val="0"/>
              <w:autoSpaceDN w:val="0"/>
              <w:spacing w:before="60" w:after="60" w:line="240" w:lineRule="auto"/>
              <w:rPr>
                <w:rFonts w:ascii="Arial" w:eastAsia="Arial" w:hAnsi="Arial" w:cs="Arial"/>
                <w:b/>
                <w:bCs/>
                <w:sz w:val="16"/>
                <w:szCs w:val="16"/>
              </w:rPr>
            </w:pPr>
            <w:r w:rsidRPr="002C4D06">
              <w:rPr>
                <w:rFonts w:ascii="Arial" w:eastAsia="Arial" w:hAnsi="Arial" w:cs="Arial"/>
                <w:b/>
                <w:bCs/>
                <w:sz w:val="16"/>
                <w:szCs w:val="16"/>
              </w:rPr>
              <w:t>Governance and accountability</w:t>
            </w:r>
          </w:p>
          <w:p w14:paraId="2239E101" w14:textId="11223C6E" w:rsidR="00F0167C" w:rsidRPr="002C4D06" w:rsidRDefault="00324827" w:rsidP="00674B58">
            <w:pPr>
              <w:tabs>
                <w:tab w:val="left" w:pos="709"/>
              </w:tabs>
              <w:autoSpaceDE w:val="0"/>
              <w:autoSpaceDN w:val="0"/>
              <w:spacing w:before="60" w:after="60" w:line="240" w:lineRule="auto"/>
              <w:rPr>
                <w:rFonts w:ascii="Arial" w:hAnsi="Arial" w:cs="Arial"/>
              </w:rPr>
            </w:pPr>
            <w:r w:rsidRPr="00324827">
              <w:rPr>
                <w:rFonts w:ascii="Arial" w:eastAsia="Calibri" w:hAnsi="Arial" w:cs="Arial"/>
                <w:sz w:val="16"/>
                <w:szCs w:val="16"/>
              </w:rPr>
              <w:t>Finance ensures the resource management framework is maintained as a fit-for-purpose framework for the proper use of public resources, and supports Commonwealth entities and companies to meet high standards of governance, performance and accountability through effective engagement and the provision of guidance.</w:t>
            </w:r>
          </w:p>
        </w:tc>
        <w:tc>
          <w:tcPr>
            <w:tcW w:w="4091" w:type="dxa"/>
            <w:tcBorders>
              <w:top w:val="single" w:sz="4" w:space="0" w:color="auto"/>
              <w:left w:val="single" w:sz="4" w:space="0" w:color="auto"/>
            </w:tcBorders>
          </w:tcPr>
          <w:p w14:paraId="23D6A96A" w14:textId="77777777" w:rsidR="00324827" w:rsidRDefault="00324827" w:rsidP="00674B58">
            <w:pPr>
              <w:autoSpaceDE w:val="0"/>
              <w:autoSpaceDN w:val="0"/>
              <w:spacing w:before="60" w:after="60" w:line="240" w:lineRule="auto"/>
              <w:rPr>
                <w:rFonts w:ascii="Arial" w:hAnsi="Arial" w:cs="Arial"/>
                <w:b/>
                <w:bCs/>
                <w:sz w:val="16"/>
                <w:szCs w:val="16"/>
              </w:rPr>
            </w:pPr>
            <w:r w:rsidRPr="00324827">
              <w:rPr>
                <w:rFonts w:ascii="Arial" w:hAnsi="Arial" w:cs="Arial"/>
                <w:b/>
                <w:bCs/>
                <w:sz w:val="16"/>
                <w:szCs w:val="16"/>
              </w:rPr>
              <w:t>Achieved</w:t>
            </w:r>
          </w:p>
          <w:p w14:paraId="6BE9C3D1" w14:textId="44F8B194" w:rsidR="00324827" w:rsidRDefault="00324827" w:rsidP="00674B58">
            <w:pPr>
              <w:tabs>
                <w:tab w:val="left" w:pos="360"/>
              </w:tabs>
              <w:autoSpaceDE w:val="0"/>
              <w:autoSpaceDN w:val="0"/>
              <w:spacing w:before="60" w:after="60" w:line="240" w:lineRule="auto"/>
              <w:rPr>
                <w:rFonts w:ascii="Arial" w:eastAsia="Calibri" w:hAnsi="Arial" w:cs="Arial"/>
                <w:sz w:val="16"/>
                <w:szCs w:val="16"/>
              </w:rPr>
            </w:pPr>
            <w:r w:rsidRPr="00324827">
              <w:rPr>
                <w:rFonts w:ascii="Arial" w:eastAsia="Calibri" w:hAnsi="Arial" w:cs="Arial"/>
                <w:sz w:val="16"/>
                <w:szCs w:val="16"/>
              </w:rPr>
              <w:t xml:space="preserve">Satisfaction with Finance’s level of support relating to the resource management framework in terms of stewardship, policy advice, engagement, and guidance on the PGPA Act, Rule, and framework more broadly </w:t>
            </w:r>
            <w:r w:rsidR="00D60D78">
              <w:rPr>
                <w:rFonts w:ascii="Arial" w:eastAsia="Calibri" w:hAnsi="Arial" w:cs="Arial"/>
                <w:sz w:val="16"/>
                <w:szCs w:val="16"/>
              </w:rPr>
              <w:t xml:space="preserve">was 89% as measured in the PGPA </w:t>
            </w:r>
            <w:r w:rsidRPr="00324827">
              <w:rPr>
                <w:rFonts w:ascii="Arial" w:eastAsia="Calibri" w:hAnsi="Arial" w:cs="Arial"/>
                <w:sz w:val="16"/>
                <w:szCs w:val="16"/>
              </w:rPr>
              <w:t>survey of Commonwealth entities</w:t>
            </w:r>
            <w:r w:rsidR="00D60D78">
              <w:rPr>
                <w:rFonts w:ascii="Arial" w:eastAsia="Calibri" w:hAnsi="Arial" w:cs="Arial"/>
                <w:sz w:val="16"/>
                <w:szCs w:val="16"/>
              </w:rPr>
              <w:t xml:space="preserve"> and companies</w:t>
            </w:r>
            <w:r w:rsidRPr="00324827">
              <w:rPr>
                <w:rFonts w:ascii="Arial" w:eastAsia="Calibri" w:hAnsi="Arial" w:cs="Arial"/>
                <w:sz w:val="16"/>
                <w:szCs w:val="16"/>
              </w:rPr>
              <w:t>. This was above the target rating of 80% and slightly below the 2020 survey result of 93% satisfaction.</w:t>
            </w:r>
          </w:p>
          <w:p w14:paraId="2239E106" w14:textId="34B60DAE" w:rsidR="00F0167C" w:rsidRPr="002C4D06" w:rsidRDefault="00324827" w:rsidP="00674B58">
            <w:pPr>
              <w:tabs>
                <w:tab w:val="left" w:pos="360"/>
              </w:tabs>
              <w:autoSpaceDE w:val="0"/>
              <w:autoSpaceDN w:val="0"/>
              <w:adjustRightInd w:val="0"/>
              <w:spacing w:before="60" w:after="60" w:line="240" w:lineRule="auto"/>
              <w:rPr>
                <w:rFonts w:ascii="Arial" w:eastAsia="Calibri" w:hAnsi="Arial" w:cs="Arial"/>
                <w:sz w:val="16"/>
                <w:szCs w:val="16"/>
              </w:rPr>
            </w:pPr>
            <w:r w:rsidRPr="00324827">
              <w:rPr>
                <w:rFonts w:ascii="Arial" w:eastAsia="Calibri" w:hAnsi="Arial" w:cs="Arial"/>
                <w:sz w:val="16"/>
                <w:szCs w:val="16"/>
              </w:rPr>
              <w:t>Seven Joint Committee of Public Accounts and Audit (JCPAA) Reports and 40 A</w:t>
            </w:r>
            <w:r w:rsidR="00D60D78">
              <w:rPr>
                <w:rFonts w:ascii="Arial" w:eastAsia="Calibri" w:hAnsi="Arial" w:cs="Arial"/>
                <w:sz w:val="16"/>
                <w:szCs w:val="16"/>
              </w:rPr>
              <w:t xml:space="preserve">ustralian </w:t>
            </w:r>
            <w:r w:rsidRPr="00324827">
              <w:rPr>
                <w:rFonts w:ascii="Arial" w:eastAsia="Calibri" w:hAnsi="Arial" w:cs="Arial"/>
                <w:sz w:val="16"/>
                <w:szCs w:val="16"/>
              </w:rPr>
              <w:t>N</w:t>
            </w:r>
            <w:r w:rsidR="00D60D78">
              <w:rPr>
                <w:rFonts w:ascii="Arial" w:eastAsia="Calibri" w:hAnsi="Arial" w:cs="Arial"/>
                <w:sz w:val="16"/>
                <w:szCs w:val="16"/>
              </w:rPr>
              <w:t xml:space="preserve">ational </w:t>
            </w:r>
            <w:r w:rsidRPr="00324827">
              <w:rPr>
                <w:rFonts w:ascii="Arial" w:eastAsia="Calibri" w:hAnsi="Arial" w:cs="Arial"/>
                <w:sz w:val="16"/>
                <w:szCs w:val="16"/>
              </w:rPr>
              <w:t>A</w:t>
            </w:r>
            <w:r w:rsidR="00D60D78">
              <w:rPr>
                <w:rFonts w:ascii="Arial" w:eastAsia="Calibri" w:hAnsi="Arial" w:cs="Arial"/>
                <w:sz w:val="16"/>
                <w:szCs w:val="16"/>
              </w:rPr>
              <w:t xml:space="preserve">udit </w:t>
            </w:r>
            <w:r w:rsidRPr="00324827">
              <w:rPr>
                <w:rFonts w:ascii="Arial" w:eastAsia="Calibri" w:hAnsi="Arial" w:cs="Arial"/>
                <w:sz w:val="16"/>
                <w:szCs w:val="16"/>
              </w:rPr>
              <w:t>O</w:t>
            </w:r>
            <w:r w:rsidR="00D60D78">
              <w:rPr>
                <w:rFonts w:ascii="Arial" w:eastAsia="Calibri" w:hAnsi="Arial" w:cs="Arial"/>
                <w:sz w:val="16"/>
                <w:szCs w:val="16"/>
              </w:rPr>
              <w:t>ffice (ANAO)</w:t>
            </w:r>
            <w:r w:rsidRPr="00324827">
              <w:rPr>
                <w:rFonts w:ascii="Arial" w:eastAsia="Calibri" w:hAnsi="Arial" w:cs="Arial"/>
                <w:sz w:val="16"/>
                <w:szCs w:val="16"/>
              </w:rPr>
              <w:t xml:space="preserve"> Performance Audit Reports were tabled in Parliament in 2021–22. All JCPAA enquiries and ANAO performance audits considered the application of the Resource Management Framework by Commonwealth entities. There were no recommendations or adverse findings in respect to the framework itself</w:t>
            </w:r>
            <w:r>
              <w:rPr>
                <w:rFonts w:ascii="Arial" w:eastAsia="Calibri" w:hAnsi="Arial" w:cs="Arial"/>
                <w:sz w:val="16"/>
                <w:szCs w:val="16"/>
              </w:rPr>
              <w:t>.</w:t>
            </w:r>
          </w:p>
        </w:tc>
      </w:tr>
    </w:tbl>
    <w:p w14:paraId="2239E108" w14:textId="77777777" w:rsidR="00F0167C" w:rsidRPr="004A6E29" w:rsidRDefault="00F0167C" w:rsidP="004B5360">
      <w:pPr>
        <w:pStyle w:val="TableHeading"/>
        <w:spacing w:before="30" w:after="0"/>
        <w:rPr>
          <w:b w:val="0"/>
          <w:color w:val="000000"/>
          <w:sz w:val="16"/>
          <w:lang w:val="x-none" w:eastAsia="x-none"/>
        </w:rPr>
      </w:pPr>
      <w:r w:rsidRPr="004A6E29">
        <w:rPr>
          <w:b w:val="0"/>
          <w:color w:val="000000"/>
          <w:sz w:val="16"/>
          <w:lang w:val="x-none" w:eastAsia="x-none"/>
        </w:rPr>
        <w:t>Table continues on next page</w:t>
      </w:r>
    </w:p>
    <w:p w14:paraId="2239E109" w14:textId="77777777" w:rsidR="00F0167C" w:rsidRDefault="00F0167C" w:rsidP="00F0167C">
      <w:pPr>
        <w:rPr>
          <w:rFonts w:ascii="Arial" w:hAnsi="Arial" w:cs="Arial"/>
          <w:sz w:val="16"/>
          <w:szCs w:val="16"/>
        </w:rPr>
      </w:pPr>
    </w:p>
    <w:p w14:paraId="2239E10A" w14:textId="77777777" w:rsidR="00F0167C" w:rsidRDefault="00F0167C" w:rsidP="00F0167C">
      <w:pPr>
        <w:rPr>
          <w:rFonts w:ascii="Arial" w:hAnsi="Arial" w:cs="Arial"/>
          <w:sz w:val="16"/>
          <w:szCs w:val="16"/>
        </w:rPr>
      </w:pPr>
    </w:p>
    <w:p w14:paraId="2239E10B" w14:textId="77777777" w:rsidR="004A6E29" w:rsidRDefault="004A6E29" w:rsidP="00F0167C">
      <w:pPr>
        <w:rPr>
          <w:rFonts w:ascii="Arial" w:hAnsi="Arial" w:cs="Arial"/>
          <w:sz w:val="16"/>
          <w:szCs w:val="16"/>
        </w:rPr>
      </w:pPr>
    </w:p>
    <w:p w14:paraId="2239E10C" w14:textId="77777777" w:rsidR="00F0167C" w:rsidRDefault="00F0167C" w:rsidP="00F0167C">
      <w:pPr>
        <w:rPr>
          <w:rFonts w:ascii="Arial" w:hAnsi="Arial" w:cs="Arial"/>
          <w:sz w:val="16"/>
          <w:szCs w:val="16"/>
        </w:rPr>
      </w:pPr>
    </w:p>
    <w:p w14:paraId="2239E10E" w14:textId="77777777" w:rsidR="00F0167C" w:rsidRDefault="00F0167C" w:rsidP="00F0167C">
      <w:pPr>
        <w:pStyle w:val="TableHeading"/>
      </w:pPr>
      <w:r>
        <w:lastRenderedPageBreak/>
        <w:t>Table 2.2.2</w:t>
      </w:r>
      <w:r w:rsidRPr="00EF5C5E">
        <w:t>: Performance measure for Outcome 2</w:t>
      </w:r>
      <w:r>
        <w:t xml:space="preserve"> (continued)</w:t>
      </w:r>
    </w:p>
    <w:tbl>
      <w:tblPr>
        <w:tblW w:w="7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2276"/>
        <w:gridCol w:w="4104"/>
      </w:tblGrid>
      <w:tr w:rsidR="00305077" w:rsidRPr="002C4D06" w14:paraId="3F8F1E65" w14:textId="77777777" w:rsidTr="00674B58">
        <w:trPr>
          <w:trHeight w:val="527"/>
        </w:trPr>
        <w:tc>
          <w:tcPr>
            <w:tcW w:w="7795" w:type="dxa"/>
            <w:gridSpan w:val="3"/>
            <w:shd w:val="clear" w:color="auto" w:fill="F2F2F2"/>
          </w:tcPr>
          <w:p w14:paraId="3B3A9185" w14:textId="77777777" w:rsidR="00305077" w:rsidRPr="00E57271" w:rsidRDefault="00305077" w:rsidP="00674B58">
            <w:pPr>
              <w:pStyle w:val="TableHeading"/>
              <w:spacing w:before="60" w:after="60"/>
              <w:rPr>
                <w:rFonts w:cs="Arial"/>
                <w:sz w:val="16"/>
                <w:szCs w:val="16"/>
              </w:rPr>
            </w:pPr>
            <w:r w:rsidRPr="00E57271">
              <w:rPr>
                <w:rFonts w:cs="Arial"/>
                <w:sz w:val="16"/>
                <w:szCs w:val="16"/>
              </w:rPr>
              <w:t>Program 2.1 – Public Sector Governance</w:t>
            </w:r>
          </w:p>
          <w:p w14:paraId="50ED6D83" w14:textId="77777777" w:rsidR="00305077" w:rsidRPr="000A7CB1" w:rsidRDefault="00305077" w:rsidP="00674B58">
            <w:pPr>
              <w:tabs>
                <w:tab w:val="left" w:pos="709"/>
              </w:tabs>
              <w:spacing w:before="60" w:after="60" w:line="240" w:lineRule="auto"/>
              <w:rPr>
                <w:rFonts w:ascii="Arial" w:hAnsi="Arial" w:cs="Arial"/>
                <w:b/>
                <w:sz w:val="18"/>
                <w:szCs w:val="18"/>
              </w:rPr>
            </w:pPr>
            <w:r w:rsidRPr="00E57271">
              <w:rPr>
                <w:rFonts w:ascii="Arial" w:hAnsi="Arial" w:cs="Arial"/>
                <w:sz w:val="16"/>
                <w:szCs w:val="16"/>
              </w:rPr>
              <w:t>This program contributes to the outcome through developing and maintaining the public sector resource management framework and improving the standard of governance, performance and accountability of Commonwealth entities.</w:t>
            </w:r>
          </w:p>
        </w:tc>
      </w:tr>
      <w:tr w:rsidR="00305077" w:rsidRPr="002C4D06" w14:paraId="1BB1E253" w14:textId="77777777" w:rsidTr="00674B58">
        <w:trPr>
          <w:trHeight w:val="312"/>
        </w:trPr>
        <w:tc>
          <w:tcPr>
            <w:tcW w:w="1415" w:type="dxa"/>
            <w:tcBorders>
              <w:top w:val="single" w:sz="4" w:space="0" w:color="auto"/>
              <w:bottom w:val="dotted" w:sz="4" w:space="0" w:color="auto"/>
              <w:right w:val="single" w:sz="4" w:space="0" w:color="auto"/>
            </w:tcBorders>
          </w:tcPr>
          <w:p w14:paraId="708DE06E" w14:textId="77777777" w:rsidR="00305077" w:rsidRPr="002C4D06" w:rsidRDefault="00305077" w:rsidP="00674B58">
            <w:pPr>
              <w:tabs>
                <w:tab w:val="left" w:pos="709"/>
              </w:tabs>
              <w:spacing w:before="60" w:after="60" w:line="240" w:lineRule="auto"/>
              <w:rPr>
                <w:rFonts w:ascii="Arial" w:hAnsi="Arial" w:cs="Arial"/>
                <w:sz w:val="16"/>
                <w:szCs w:val="16"/>
              </w:rPr>
            </w:pPr>
            <w:r w:rsidRPr="002C4D06">
              <w:rPr>
                <w:rFonts w:ascii="Arial" w:hAnsi="Arial" w:cs="Arial"/>
                <w:b/>
                <w:sz w:val="16"/>
                <w:szCs w:val="16"/>
              </w:rPr>
              <w:t>Year</w:t>
            </w:r>
          </w:p>
        </w:tc>
        <w:tc>
          <w:tcPr>
            <w:tcW w:w="2276" w:type="dxa"/>
            <w:tcBorders>
              <w:top w:val="single" w:sz="4" w:space="0" w:color="auto"/>
              <w:left w:val="single" w:sz="4" w:space="0" w:color="auto"/>
              <w:bottom w:val="dotted" w:sz="4" w:space="0" w:color="auto"/>
              <w:right w:val="single" w:sz="4" w:space="0" w:color="auto"/>
            </w:tcBorders>
          </w:tcPr>
          <w:p w14:paraId="0DE7D0B4" w14:textId="77777777" w:rsidR="00305077" w:rsidRPr="002C4D06" w:rsidRDefault="00305077" w:rsidP="00674B58">
            <w:pPr>
              <w:tabs>
                <w:tab w:val="left" w:pos="709"/>
              </w:tabs>
              <w:spacing w:before="60" w:after="60" w:line="240" w:lineRule="auto"/>
              <w:rPr>
                <w:rFonts w:ascii="Arial" w:hAnsi="Arial" w:cs="Arial"/>
              </w:rPr>
            </w:pPr>
            <w:r>
              <w:rPr>
                <w:rFonts w:ascii="Arial" w:hAnsi="Arial" w:cs="Arial"/>
                <w:b/>
                <w:sz w:val="16"/>
                <w:szCs w:val="16"/>
              </w:rPr>
              <w:t>Performance measures</w:t>
            </w:r>
          </w:p>
        </w:tc>
        <w:tc>
          <w:tcPr>
            <w:tcW w:w="4104" w:type="dxa"/>
            <w:tcBorders>
              <w:top w:val="single" w:sz="4" w:space="0" w:color="auto"/>
              <w:left w:val="single" w:sz="4" w:space="0" w:color="auto"/>
              <w:bottom w:val="dotted" w:sz="4" w:space="0" w:color="auto"/>
            </w:tcBorders>
          </w:tcPr>
          <w:p w14:paraId="113E3CDF" w14:textId="77777777" w:rsidR="00305077" w:rsidRPr="002C4D06" w:rsidRDefault="00305077" w:rsidP="00674B58">
            <w:pPr>
              <w:tabs>
                <w:tab w:val="left" w:pos="709"/>
              </w:tabs>
              <w:spacing w:before="60" w:after="60" w:line="240" w:lineRule="auto"/>
              <w:rPr>
                <w:rFonts w:ascii="Arial" w:hAnsi="Arial" w:cs="Arial"/>
                <w:i/>
                <w:sz w:val="16"/>
                <w:szCs w:val="16"/>
              </w:rPr>
            </w:pPr>
            <w:r w:rsidRPr="002C4D06">
              <w:rPr>
                <w:rFonts w:ascii="Arial" w:hAnsi="Arial" w:cs="Arial"/>
                <w:b/>
                <w:sz w:val="16"/>
                <w:szCs w:val="16"/>
              </w:rPr>
              <w:t>Planned Performance Results</w:t>
            </w:r>
          </w:p>
        </w:tc>
      </w:tr>
      <w:tr w:rsidR="00305077" w:rsidRPr="00161BC9" w14:paraId="58C3DBC3" w14:textId="77777777" w:rsidTr="00674B58">
        <w:trPr>
          <w:trHeight w:val="2404"/>
        </w:trPr>
        <w:tc>
          <w:tcPr>
            <w:tcW w:w="1415" w:type="dxa"/>
            <w:tcBorders>
              <w:top w:val="single" w:sz="4" w:space="0" w:color="auto"/>
              <w:bottom w:val="nil"/>
              <w:right w:val="single" w:sz="4" w:space="0" w:color="auto"/>
            </w:tcBorders>
          </w:tcPr>
          <w:p w14:paraId="01C0EB99" w14:textId="77777777" w:rsidR="00716574" w:rsidRDefault="00716574" w:rsidP="00674B58">
            <w:pPr>
              <w:tabs>
                <w:tab w:val="left" w:pos="709"/>
              </w:tabs>
              <w:spacing w:before="60" w:after="60" w:line="240" w:lineRule="auto"/>
              <w:rPr>
                <w:rFonts w:ascii="Arial" w:hAnsi="Arial" w:cs="Arial"/>
                <w:sz w:val="16"/>
                <w:szCs w:val="16"/>
              </w:rPr>
            </w:pPr>
            <w:r>
              <w:rPr>
                <w:rFonts w:ascii="Arial" w:hAnsi="Arial" w:cs="Arial"/>
                <w:sz w:val="16"/>
                <w:szCs w:val="16"/>
              </w:rPr>
              <w:t>Budget Year</w:t>
            </w:r>
          </w:p>
          <w:p w14:paraId="12443D2E" w14:textId="260AA74D" w:rsidR="00305077" w:rsidRPr="00C200C8" w:rsidRDefault="00305077" w:rsidP="00674B58">
            <w:pPr>
              <w:tabs>
                <w:tab w:val="left" w:pos="709"/>
              </w:tabs>
              <w:spacing w:before="60" w:after="60" w:line="240" w:lineRule="auto"/>
              <w:rPr>
                <w:rFonts w:ascii="Arial" w:hAnsi="Arial" w:cs="Arial"/>
                <w:sz w:val="16"/>
                <w:szCs w:val="16"/>
              </w:rPr>
            </w:pPr>
            <w:r w:rsidRPr="00C200C8">
              <w:rPr>
                <w:rFonts w:ascii="Arial" w:hAnsi="Arial" w:cs="Arial"/>
                <w:sz w:val="16"/>
                <w:szCs w:val="16"/>
              </w:rPr>
              <w:t>2022-23</w:t>
            </w:r>
          </w:p>
        </w:tc>
        <w:tc>
          <w:tcPr>
            <w:tcW w:w="2276" w:type="dxa"/>
            <w:tcBorders>
              <w:top w:val="single" w:sz="4" w:space="0" w:color="auto"/>
              <w:left w:val="single" w:sz="4" w:space="0" w:color="auto"/>
              <w:bottom w:val="dotted" w:sz="4" w:space="0" w:color="auto"/>
              <w:right w:val="single" w:sz="4" w:space="0" w:color="auto"/>
            </w:tcBorders>
          </w:tcPr>
          <w:p w14:paraId="5EEBDBEF" w14:textId="77777777" w:rsidR="00305077" w:rsidRDefault="00305077" w:rsidP="00674B58">
            <w:pPr>
              <w:autoSpaceDE w:val="0"/>
              <w:autoSpaceDN w:val="0"/>
              <w:spacing w:before="60" w:after="60" w:line="240" w:lineRule="auto"/>
              <w:rPr>
                <w:rFonts w:ascii="Arial" w:eastAsia="Arial" w:hAnsi="Arial" w:cs="Arial"/>
                <w:b/>
                <w:sz w:val="16"/>
                <w:szCs w:val="16"/>
              </w:rPr>
            </w:pPr>
            <w:r w:rsidRPr="00530311">
              <w:rPr>
                <w:rFonts w:ascii="Arial" w:eastAsia="Arial" w:hAnsi="Arial" w:cs="Arial"/>
                <w:b/>
                <w:sz w:val="16"/>
                <w:szCs w:val="16"/>
              </w:rPr>
              <w:t>Governance, Accountability and Performance</w:t>
            </w:r>
          </w:p>
          <w:p w14:paraId="196151F1" w14:textId="77777777" w:rsidR="00305077" w:rsidRPr="00530311" w:rsidRDefault="00305077" w:rsidP="00674B58">
            <w:pPr>
              <w:autoSpaceDE w:val="0"/>
              <w:autoSpaceDN w:val="0"/>
              <w:spacing w:before="60" w:after="60" w:line="240" w:lineRule="auto"/>
              <w:rPr>
                <w:rFonts w:ascii="Arial" w:eastAsia="Calibri" w:hAnsi="Arial" w:cs="Arial"/>
                <w:sz w:val="16"/>
                <w:szCs w:val="16"/>
              </w:rPr>
            </w:pPr>
            <w:r w:rsidRPr="00530311">
              <w:rPr>
                <w:rFonts w:ascii="Arial" w:eastAsia="Calibri" w:hAnsi="Arial" w:cs="Arial"/>
                <w:sz w:val="16"/>
                <w:szCs w:val="16"/>
              </w:rPr>
              <w:t xml:space="preserve">Finance’s stewardship supports Commonwealth entities and companies to meet the requirements and policy intent of the Resource Management Framework. </w:t>
            </w:r>
          </w:p>
          <w:p w14:paraId="45915687" w14:textId="77777777" w:rsidR="00305077" w:rsidRPr="00C200C8" w:rsidRDefault="00305077" w:rsidP="00674B58">
            <w:pPr>
              <w:autoSpaceDE w:val="0"/>
              <w:autoSpaceDN w:val="0"/>
              <w:spacing w:before="60" w:after="60" w:line="240" w:lineRule="auto"/>
              <w:rPr>
                <w:rFonts w:ascii="Arial" w:eastAsia="Arial" w:hAnsi="Arial" w:cs="Arial"/>
                <w:sz w:val="16"/>
                <w:szCs w:val="16"/>
              </w:rPr>
            </w:pPr>
            <w:r w:rsidRPr="00530311">
              <w:rPr>
                <w:rFonts w:ascii="Arial" w:eastAsia="Calibri" w:hAnsi="Arial" w:cs="Arial"/>
                <w:sz w:val="16"/>
                <w:szCs w:val="16"/>
              </w:rPr>
              <w:t>The annual PGPA survey is used as a proxy to measure Commonwealth entity and company satisfaction with the support provided by Finance to assist them in meeting the requirements and policy intent of the Resource Management Framework.</w:t>
            </w:r>
          </w:p>
        </w:tc>
        <w:tc>
          <w:tcPr>
            <w:tcW w:w="4104" w:type="dxa"/>
            <w:tcBorders>
              <w:top w:val="single" w:sz="4" w:space="0" w:color="auto"/>
              <w:left w:val="single" w:sz="4" w:space="0" w:color="auto"/>
              <w:bottom w:val="dotted" w:sz="4" w:space="0" w:color="auto"/>
            </w:tcBorders>
          </w:tcPr>
          <w:p w14:paraId="75D3AD9D" w14:textId="73755D88" w:rsidR="00305077" w:rsidRPr="00530311" w:rsidRDefault="00305077" w:rsidP="00D60D78">
            <w:pPr>
              <w:autoSpaceDE w:val="0"/>
              <w:autoSpaceDN w:val="0"/>
              <w:spacing w:before="60" w:after="60" w:line="240" w:lineRule="auto"/>
              <w:rPr>
                <w:rFonts w:ascii="Arial" w:eastAsia="Arial" w:hAnsi="Arial" w:cs="Arial"/>
                <w:sz w:val="16"/>
                <w:szCs w:val="16"/>
              </w:rPr>
            </w:pPr>
            <w:r w:rsidRPr="00530311">
              <w:rPr>
                <w:rFonts w:ascii="Arial" w:eastAsia="Arial" w:hAnsi="Arial" w:cs="Arial"/>
                <w:sz w:val="16"/>
                <w:szCs w:val="16"/>
              </w:rPr>
              <w:t xml:space="preserve">PGPA Entity Survey satisfaction results in respect to the support Finance provides to assist Commonwealth entities and companies to meet the requirements and policy intent of the Resource Management Framework achieved the target rate of 85% or above. </w:t>
            </w:r>
          </w:p>
          <w:p w14:paraId="54B85C0A" w14:textId="77777777" w:rsidR="00305077" w:rsidRPr="00C200C8" w:rsidRDefault="00305077" w:rsidP="00D60D78">
            <w:pPr>
              <w:spacing w:before="60" w:after="60" w:line="240" w:lineRule="auto"/>
              <w:rPr>
                <w:rFonts w:ascii="Arial" w:hAnsi="Arial" w:cs="Arial"/>
                <w:i/>
                <w:sz w:val="16"/>
                <w:szCs w:val="16"/>
              </w:rPr>
            </w:pPr>
            <w:r w:rsidRPr="00530311">
              <w:rPr>
                <w:rFonts w:ascii="Arial" w:eastAsia="Arial" w:hAnsi="Arial" w:cs="Arial"/>
                <w:sz w:val="16"/>
                <w:szCs w:val="16"/>
              </w:rPr>
              <w:t>JCPAA Reports and Auditor-General Performance Audit Reports provide evidence of parliament using the Commonwealth Performance Framework to scrutinise the non-financial performance of Commonwealth entities and companies.</w:t>
            </w:r>
          </w:p>
          <w:p w14:paraId="3FAFDD26" w14:textId="77777777" w:rsidR="00305077" w:rsidRPr="00C200C8" w:rsidRDefault="00305077" w:rsidP="00674B58">
            <w:pPr>
              <w:tabs>
                <w:tab w:val="left" w:pos="936"/>
              </w:tabs>
              <w:spacing w:before="60" w:after="60" w:line="240" w:lineRule="auto"/>
              <w:rPr>
                <w:rFonts w:ascii="Arial" w:hAnsi="Arial" w:cs="Arial"/>
                <w:sz w:val="16"/>
                <w:szCs w:val="16"/>
              </w:rPr>
            </w:pPr>
            <w:r w:rsidRPr="00C200C8">
              <w:rPr>
                <w:rFonts w:ascii="Arial" w:hAnsi="Arial" w:cs="Arial"/>
                <w:sz w:val="16"/>
                <w:szCs w:val="16"/>
              </w:rPr>
              <w:tab/>
            </w:r>
          </w:p>
        </w:tc>
      </w:tr>
      <w:tr w:rsidR="00305077" w:rsidRPr="00161BC9" w14:paraId="25E9D1DF" w14:textId="77777777" w:rsidTr="00674B58">
        <w:trPr>
          <w:trHeight w:val="2404"/>
        </w:trPr>
        <w:tc>
          <w:tcPr>
            <w:tcW w:w="1415" w:type="dxa"/>
            <w:tcBorders>
              <w:top w:val="nil"/>
              <w:left w:val="single" w:sz="4" w:space="0" w:color="auto"/>
              <w:bottom w:val="single" w:sz="4" w:space="0" w:color="auto"/>
              <w:right w:val="single" w:sz="4" w:space="0" w:color="auto"/>
            </w:tcBorders>
          </w:tcPr>
          <w:p w14:paraId="6CD2A353" w14:textId="77777777" w:rsidR="00305077" w:rsidRPr="00C200C8" w:rsidRDefault="00305077" w:rsidP="00674B58">
            <w:pPr>
              <w:tabs>
                <w:tab w:val="left" w:pos="709"/>
              </w:tabs>
              <w:spacing w:before="60" w:after="60" w:line="240" w:lineRule="auto"/>
              <w:rPr>
                <w:rFonts w:ascii="Arial" w:hAnsi="Arial" w:cs="Arial"/>
                <w:sz w:val="16"/>
                <w:szCs w:val="16"/>
              </w:rPr>
            </w:pPr>
          </w:p>
        </w:tc>
        <w:tc>
          <w:tcPr>
            <w:tcW w:w="2276" w:type="dxa"/>
            <w:tcBorders>
              <w:top w:val="dotted" w:sz="4" w:space="0" w:color="auto"/>
              <w:left w:val="single" w:sz="4" w:space="0" w:color="auto"/>
              <w:bottom w:val="single" w:sz="4" w:space="0" w:color="auto"/>
              <w:right w:val="single" w:sz="4" w:space="0" w:color="auto"/>
            </w:tcBorders>
          </w:tcPr>
          <w:p w14:paraId="67D09F09" w14:textId="77777777" w:rsidR="00305077" w:rsidRPr="00CC6CF9" w:rsidRDefault="00305077" w:rsidP="00674B58">
            <w:pPr>
              <w:autoSpaceDE w:val="0"/>
              <w:autoSpaceDN w:val="0"/>
              <w:spacing w:before="60" w:after="60" w:line="240" w:lineRule="auto"/>
              <w:rPr>
                <w:rFonts w:ascii="Arial" w:eastAsia="Arial" w:hAnsi="Arial" w:cs="Arial"/>
                <w:b/>
                <w:i/>
                <w:sz w:val="16"/>
                <w:szCs w:val="16"/>
              </w:rPr>
            </w:pPr>
            <w:r w:rsidRPr="00CC6CF9">
              <w:rPr>
                <w:rFonts w:ascii="Arial" w:eastAsia="Arial" w:hAnsi="Arial" w:cs="Arial"/>
                <w:b/>
                <w:i/>
                <w:sz w:val="16"/>
                <w:szCs w:val="16"/>
              </w:rPr>
              <w:t>Whole-of-government approach to regulatory policy and regulatory reform</w:t>
            </w:r>
          </w:p>
          <w:p w14:paraId="49720E16" w14:textId="77777777" w:rsidR="00305077" w:rsidRPr="00EF348B" w:rsidRDefault="00305077" w:rsidP="00674B58">
            <w:pPr>
              <w:autoSpaceDE w:val="0"/>
              <w:autoSpaceDN w:val="0"/>
              <w:spacing w:before="60" w:after="60" w:line="240" w:lineRule="auto"/>
              <w:rPr>
                <w:rFonts w:ascii="Arial" w:eastAsia="Arial" w:hAnsi="Arial" w:cs="Arial"/>
                <w:sz w:val="16"/>
                <w:szCs w:val="16"/>
              </w:rPr>
            </w:pPr>
            <w:r w:rsidRPr="00CC6CF9">
              <w:rPr>
                <w:rFonts w:ascii="Arial" w:eastAsia="Arial" w:hAnsi="Arial" w:cs="Arial"/>
                <w:i/>
                <w:sz w:val="16"/>
                <w:szCs w:val="16"/>
              </w:rPr>
              <w:t>Finance delivered a whole-of-government approach to regulatory policy and regulatory reform, including by achieving regulatory reform through cooperative federalism, to improve economic and individual wellbeing outcomes.</w:t>
            </w:r>
          </w:p>
        </w:tc>
        <w:tc>
          <w:tcPr>
            <w:tcW w:w="4104" w:type="dxa"/>
            <w:tcBorders>
              <w:top w:val="dotted" w:sz="4" w:space="0" w:color="auto"/>
              <w:left w:val="single" w:sz="4" w:space="0" w:color="auto"/>
              <w:bottom w:val="single" w:sz="4" w:space="0" w:color="auto"/>
              <w:right w:val="single" w:sz="4" w:space="0" w:color="auto"/>
            </w:tcBorders>
          </w:tcPr>
          <w:p w14:paraId="37933876" w14:textId="4AC7EB3A" w:rsidR="00305077" w:rsidRPr="00CC6CF9" w:rsidRDefault="00305077" w:rsidP="00674B58">
            <w:pPr>
              <w:autoSpaceDE w:val="0"/>
              <w:autoSpaceDN w:val="0"/>
              <w:spacing w:before="60" w:after="60" w:line="240" w:lineRule="auto"/>
              <w:rPr>
                <w:rFonts w:ascii="Arial" w:eastAsia="Arial" w:hAnsi="Arial" w:cs="Arial"/>
                <w:i/>
                <w:sz w:val="16"/>
                <w:szCs w:val="16"/>
              </w:rPr>
            </w:pPr>
            <w:r w:rsidRPr="00CC6CF9">
              <w:rPr>
                <w:rFonts w:ascii="Arial" w:eastAsia="Arial" w:hAnsi="Arial" w:cs="Arial"/>
                <w:i/>
                <w:sz w:val="16"/>
                <w:szCs w:val="16"/>
              </w:rPr>
              <w:t>Finance worked with Commonwealth and state agencies to deliver targeted regulatory reform projects that demonstrate impact in de</w:t>
            </w:r>
            <w:r w:rsidR="00CF73BC">
              <w:rPr>
                <w:rFonts w:ascii="Arial" w:eastAsia="Arial" w:hAnsi="Arial" w:cs="Arial"/>
                <w:i/>
                <w:sz w:val="16"/>
                <w:szCs w:val="16"/>
              </w:rPr>
              <w:t xml:space="preserve">livering productivity outcomes </w:t>
            </w:r>
            <w:r w:rsidRPr="00CC6CF9">
              <w:rPr>
                <w:rFonts w:ascii="Arial" w:eastAsia="Arial" w:hAnsi="Arial" w:cs="Arial"/>
                <w:i/>
                <w:sz w:val="16"/>
                <w:szCs w:val="16"/>
              </w:rPr>
              <w:t>(target 2022-23: four projects)</w:t>
            </w:r>
            <w:r w:rsidR="00BB0F28">
              <w:rPr>
                <w:rFonts w:ascii="Arial" w:eastAsia="Arial" w:hAnsi="Arial" w:cs="Arial"/>
                <w:i/>
                <w:sz w:val="16"/>
                <w:szCs w:val="16"/>
              </w:rPr>
              <w:t>.</w:t>
            </w:r>
          </w:p>
        </w:tc>
      </w:tr>
    </w:tbl>
    <w:p w14:paraId="6A6D86FE" w14:textId="15AC325E" w:rsidR="00CB2AE2" w:rsidRDefault="00CB2AE2" w:rsidP="004B5360">
      <w:pPr>
        <w:pStyle w:val="TableHeading"/>
        <w:spacing w:before="30" w:after="0"/>
      </w:pPr>
      <w:r w:rsidRPr="00CB2AE2">
        <w:rPr>
          <w:b w:val="0"/>
          <w:color w:val="000000"/>
          <w:sz w:val="16"/>
          <w:lang w:val="x-none" w:eastAsia="x-none"/>
        </w:rPr>
        <w:t>Table continues on next page</w:t>
      </w:r>
      <w:r>
        <w:br w:type="page"/>
      </w:r>
    </w:p>
    <w:p w14:paraId="63C05CB8" w14:textId="77777777" w:rsidR="00D02B52" w:rsidRDefault="00305077" w:rsidP="00305077">
      <w:pPr>
        <w:pStyle w:val="TableHeading"/>
      </w:pPr>
      <w:r>
        <w:lastRenderedPageBreak/>
        <w:t>Table 2.2.2</w:t>
      </w:r>
      <w:r w:rsidRPr="00EF5C5E">
        <w:t>: Performance measure for Outcome 2</w:t>
      </w:r>
      <w:r>
        <w:t xml:space="preserve"> (continued)</w:t>
      </w:r>
    </w:p>
    <w:tbl>
      <w:tblPr>
        <w:tblW w:w="7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289"/>
        <w:gridCol w:w="4092"/>
      </w:tblGrid>
      <w:tr w:rsidR="00D02B52" w:rsidRPr="004F082C" w14:paraId="7CA6B875" w14:textId="77777777" w:rsidTr="00674B58">
        <w:trPr>
          <w:trHeight w:val="527"/>
        </w:trPr>
        <w:tc>
          <w:tcPr>
            <w:tcW w:w="7795" w:type="dxa"/>
            <w:gridSpan w:val="3"/>
            <w:tcBorders>
              <w:bottom w:val="single" w:sz="4" w:space="0" w:color="auto"/>
            </w:tcBorders>
            <w:shd w:val="clear" w:color="auto" w:fill="F2F2F2" w:themeFill="background1" w:themeFillShade="F2"/>
          </w:tcPr>
          <w:p w14:paraId="65B1F348" w14:textId="77777777" w:rsidR="00D02B52" w:rsidRPr="00E57271" w:rsidRDefault="00D02B52" w:rsidP="00674B58">
            <w:pPr>
              <w:pStyle w:val="TableHeading"/>
              <w:spacing w:before="60" w:after="60"/>
              <w:rPr>
                <w:rFonts w:cs="Arial"/>
                <w:sz w:val="16"/>
                <w:szCs w:val="16"/>
              </w:rPr>
            </w:pPr>
            <w:r w:rsidRPr="00E57271">
              <w:rPr>
                <w:rFonts w:cs="Arial"/>
                <w:sz w:val="16"/>
                <w:szCs w:val="16"/>
              </w:rPr>
              <w:t>Program 2.1 – Public Sector Governance</w:t>
            </w:r>
          </w:p>
          <w:p w14:paraId="76CEF555" w14:textId="77777777" w:rsidR="00D02B52" w:rsidRPr="004F082C" w:rsidRDefault="00D02B52" w:rsidP="00674B58">
            <w:pPr>
              <w:pStyle w:val="TableTextLeft"/>
              <w:autoSpaceDE w:val="0"/>
              <w:autoSpaceDN w:val="0"/>
              <w:adjustRightInd w:val="0"/>
              <w:spacing w:before="60" w:after="60"/>
              <w:contextualSpacing/>
              <w:rPr>
                <w:szCs w:val="18"/>
              </w:rPr>
            </w:pPr>
            <w:r w:rsidRPr="00E57271">
              <w:rPr>
                <w:rFonts w:cs="Arial"/>
                <w:szCs w:val="16"/>
              </w:rPr>
              <w:t>This program contributes to the outcome through developing and maintaining the public sector resource management framework and improving the standard of governance, performance and accountability of Commonwealth entities.</w:t>
            </w:r>
          </w:p>
        </w:tc>
      </w:tr>
      <w:tr w:rsidR="00D02B52" w:rsidRPr="002A0954" w14:paraId="3D37420F" w14:textId="77777777" w:rsidTr="00674B58">
        <w:trPr>
          <w:trHeight w:val="312"/>
        </w:trPr>
        <w:tc>
          <w:tcPr>
            <w:tcW w:w="1414" w:type="dxa"/>
            <w:tcBorders>
              <w:top w:val="single" w:sz="4" w:space="0" w:color="auto"/>
              <w:bottom w:val="single" w:sz="4" w:space="0" w:color="auto"/>
              <w:right w:val="single" w:sz="4" w:space="0" w:color="auto"/>
            </w:tcBorders>
          </w:tcPr>
          <w:p w14:paraId="22FF6701" w14:textId="77777777" w:rsidR="00D02B52" w:rsidRPr="00313067" w:rsidRDefault="00D02B52" w:rsidP="00674B58">
            <w:pPr>
              <w:tabs>
                <w:tab w:val="left" w:pos="709"/>
              </w:tabs>
              <w:spacing w:before="60" w:after="60"/>
              <w:rPr>
                <w:rFonts w:ascii="Arial" w:hAnsi="Arial" w:cs="Arial"/>
                <w:sz w:val="16"/>
                <w:szCs w:val="16"/>
              </w:rPr>
            </w:pPr>
            <w:r w:rsidRPr="00313067">
              <w:rPr>
                <w:rFonts w:ascii="Arial" w:hAnsi="Arial" w:cs="Arial"/>
                <w:b/>
                <w:bCs/>
                <w:sz w:val="16"/>
                <w:szCs w:val="16"/>
              </w:rPr>
              <w:t>Year</w:t>
            </w:r>
          </w:p>
        </w:tc>
        <w:tc>
          <w:tcPr>
            <w:tcW w:w="2289" w:type="dxa"/>
            <w:tcBorders>
              <w:top w:val="single" w:sz="4" w:space="0" w:color="auto"/>
              <w:left w:val="single" w:sz="4" w:space="0" w:color="auto"/>
              <w:bottom w:val="single" w:sz="4" w:space="0" w:color="auto"/>
              <w:right w:val="single" w:sz="4" w:space="0" w:color="auto"/>
            </w:tcBorders>
          </w:tcPr>
          <w:p w14:paraId="3B1F46A3" w14:textId="77777777" w:rsidR="00D02B52" w:rsidRPr="00313067" w:rsidRDefault="00D02B52" w:rsidP="00674B58">
            <w:pPr>
              <w:tabs>
                <w:tab w:val="left" w:pos="709"/>
              </w:tabs>
              <w:spacing w:before="60" w:after="60"/>
              <w:rPr>
                <w:rFonts w:ascii="Arial" w:hAnsi="Arial" w:cs="Arial"/>
                <w:sz w:val="16"/>
                <w:szCs w:val="16"/>
              </w:rPr>
            </w:pPr>
            <w:r>
              <w:rPr>
                <w:rFonts w:ascii="Arial" w:hAnsi="Arial" w:cs="Arial"/>
                <w:b/>
                <w:bCs/>
                <w:sz w:val="16"/>
                <w:szCs w:val="16"/>
              </w:rPr>
              <w:t>Performance measures</w:t>
            </w:r>
          </w:p>
        </w:tc>
        <w:tc>
          <w:tcPr>
            <w:tcW w:w="4092" w:type="dxa"/>
            <w:tcBorders>
              <w:top w:val="single" w:sz="4" w:space="0" w:color="auto"/>
              <w:left w:val="single" w:sz="4" w:space="0" w:color="auto"/>
              <w:bottom w:val="single" w:sz="4" w:space="0" w:color="auto"/>
              <w:right w:val="single" w:sz="4" w:space="0" w:color="auto"/>
            </w:tcBorders>
          </w:tcPr>
          <w:p w14:paraId="39E5BAAD" w14:textId="77777777" w:rsidR="00D02B52" w:rsidRPr="00313067" w:rsidRDefault="00D02B52" w:rsidP="00674B58">
            <w:pPr>
              <w:tabs>
                <w:tab w:val="left" w:pos="709"/>
              </w:tabs>
              <w:spacing w:before="60" w:after="60"/>
              <w:rPr>
                <w:rFonts w:ascii="Arial" w:hAnsi="Arial" w:cs="Arial"/>
                <w:i/>
                <w:iCs/>
                <w:sz w:val="16"/>
                <w:szCs w:val="16"/>
              </w:rPr>
            </w:pPr>
            <w:r w:rsidRPr="00313067">
              <w:rPr>
                <w:rFonts w:ascii="Arial" w:hAnsi="Arial" w:cs="Arial"/>
                <w:b/>
                <w:bCs/>
                <w:sz w:val="16"/>
                <w:szCs w:val="16"/>
              </w:rPr>
              <w:t>Planned Performance Results</w:t>
            </w:r>
          </w:p>
        </w:tc>
      </w:tr>
      <w:tr w:rsidR="00D02B52" w:rsidRPr="002A0954" w14:paraId="29C9B0DE" w14:textId="77777777" w:rsidTr="00674B58">
        <w:trPr>
          <w:trHeight w:val="100"/>
        </w:trPr>
        <w:tc>
          <w:tcPr>
            <w:tcW w:w="1414" w:type="dxa"/>
            <w:tcBorders>
              <w:top w:val="single" w:sz="4" w:space="0" w:color="auto"/>
              <w:left w:val="single" w:sz="4" w:space="0" w:color="auto"/>
              <w:bottom w:val="dotted" w:sz="4" w:space="0" w:color="auto"/>
              <w:right w:val="single" w:sz="4" w:space="0" w:color="auto"/>
            </w:tcBorders>
          </w:tcPr>
          <w:p w14:paraId="312143E9" w14:textId="77777777" w:rsidR="00C5027E" w:rsidRDefault="00C5027E" w:rsidP="00674B58">
            <w:pPr>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Budget Year</w:t>
            </w:r>
          </w:p>
          <w:p w14:paraId="47023415" w14:textId="749FF6EF" w:rsidR="00D02B52" w:rsidRDefault="00D02B52" w:rsidP="00674B58">
            <w:pPr>
              <w:tabs>
                <w:tab w:val="left" w:pos="709"/>
              </w:tabs>
              <w:spacing w:before="60" w:after="60" w:line="240" w:lineRule="auto"/>
              <w:rPr>
                <w:rFonts w:ascii="Arial" w:hAnsi="Arial" w:cs="Arial"/>
                <w:sz w:val="16"/>
                <w:szCs w:val="16"/>
                <w:lang w:eastAsia="en-US"/>
              </w:rPr>
            </w:pPr>
            <w:r w:rsidRPr="004E15D3">
              <w:rPr>
                <w:rFonts w:ascii="Arial" w:hAnsi="Arial" w:cs="Arial"/>
                <w:sz w:val="16"/>
                <w:szCs w:val="16"/>
                <w:lang w:eastAsia="en-US"/>
              </w:rPr>
              <w:t>2022-23</w:t>
            </w:r>
            <w:r w:rsidR="00C5027E">
              <w:rPr>
                <w:rFonts w:ascii="Arial" w:hAnsi="Arial" w:cs="Arial"/>
                <w:sz w:val="16"/>
                <w:szCs w:val="16"/>
                <w:lang w:eastAsia="en-US"/>
              </w:rPr>
              <w:t xml:space="preserve"> </w:t>
            </w:r>
            <w:r>
              <w:rPr>
                <w:rFonts w:ascii="Arial" w:hAnsi="Arial" w:cs="Arial"/>
                <w:sz w:val="16"/>
                <w:szCs w:val="16"/>
                <w:lang w:eastAsia="en-US"/>
              </w:rPr>
              <w:t>(</w:t>
            </w:r>
            <w:r w:rsidR="004D3A5D" w:rsidRPr="004D3A5D">
              <w:rPr>
                <w:rFonts w:ascii="Arial" w:hAnsi="Arial" w:cs="Arial"/>
                <w:sz w:val="16"/>
                <w:szCs w:val="16"/>
                <w:lang w:eastAsia="en-US"/>
              </w:rPr>
              <w:t>continued)</w:t>
            </w:r>
          </w:p>
          <w:p w14:paraId="3A94D9CE" w14:textId="77777777" w:rsidR="00D02B52" w:rsidRPr="004E15D3" w:rsidRDefault="00D02B52" w:rsidP="00674B58">
            <w:pPr>
              <w:tabs>
                <w:tab w:val="left" w:pos="709"/>
              </w:tabs>
              <w:spacing w:before="60" w:after="60" w:line="240" w:lineRule="auto"/>
              <w:rPr>
                <w:rFonts w:ascii="Arial" w:hAnsi="Arial" w:cs="Arial"/>
                <w:sz w:val="16"/>
                <w:szCs w:val="16"/>
              </w:rPr>
            </w:pPr>
          </w:p>
        </w:tc>
        <w:tc>
          <w:tcPr>
            <w:tcW w:w="2289" w:type="dxa"/>
            <w:tcBorders>
              <w:top w:val="single" w:sz="4" w:space="0" w:color="auto"/>
              <w:left w:val="single" w:sz="4" w:space="0" w:color="auto"/>
              <w:bottom w:val="dotted" w:sz="4" w:space="0" w:color="auto"/>
              <w:right w:val="single" w:sz="4" w:space="0" w:color="auto"/>
            </w:tcBorders>
          </w:tcPr>
          <w:p w14:paraId="7B7474F2" w14:textId="77777777" w:rsidR="00D02B52" w:rsidRPr="004E2B22" w:rsidRDefault="00D02B52" w:rsidP="00674B58">
            <w:pPr>
              <w:tabs>
                <w:tab w:val="left" w:pos="709"/>
              </w:tabs>
              <w:autoSpaceDE w:val="0"/>
              <w:autoSpaceDN w:val="0"/>
              <w:adjustRightInd w:val="0"/>
              <w:spacing w:before="60" w:after="60" w:line="240" w:lineRule="auto"/>
              <w:rPr>
                <w:rFonts w:ascii="Arial" w:hAnsi="Arial" w:cs="Arial"/>
                <w:b/>
                <w:sz w:val="16"/>
                <w:szCs w:val="16"/>
              </w:rPr>
            </w:pPr>
            <w:r w:rsidRPr="004E2B22">
              <w:rPr>
                <w:rFonts w:ascii="Arial" w:hAnsi="Arial" w:cs="Arial"/>
                <w:b/>
                <w:sz w:val="16"/>
                <w:szCs w:val="16"/>
              </w:rPr>
              <w:t>Promote efficient, financially sustainable and sound governance</w:t>
            </w:r>
          </w:p>
          <w:p w14:paraId="3DB76233" w14:textId="77777777" w:rsidR="00D02B52" w:rsidRPr="00C33F82" w:rsidRDefault="00D02B52" w:rsidP="00674B58">
            <w:pPr>
              <w:autoSpaceDE w:val="0"/>
              <w:autoSpaceDN w:val="0"/>
              <w:adjustRightInd w:val="0"/>
              <w:spacing w:before="60" w:after="60" w:line="240" w:lineRule="auto"/>
              <w:contextualSpacing/>
              <w:rPr>
                <w:rFonts w:ascii="Arial" w:hAnsi="Arial" w:cs="Arial"/>
                <w:i/>
                <w:iCs/>
                <w:sz w:val="18"/>
                <w:szCs w:val="18"/>
              </w:rPr>
            </w:pPr>
            <w:r w:rsidRPr="004E2B22">
              <w:rPr>
                <w:rFonts w:ascii="Arial" w:hAnsi="Arial" w:cs="Arial"/>
                <w:sz w:val="16"/>
                <w:szCs w:val="16"/>
              </w:rPr>
              <w:t>Continue to encourage ongoing efficiency and financial sustainability in GBEs, including to facilitate and monitor GBE delivery of Government’s key infrastructure priorities, including Western Sydney Airport, Inland Rail, intermodal terminals, Snowy Hydro and naval shipbuilding</w:t>
            </w:r>
            <w:r w:rsidRPr="004E2B22">
              <w:rPr>
                <w:rFonts w:ascii="Arial" w:hAnsi="Arial" w:cs="Arial"/>
                <w:b/>
                <w:sz w:val="16"/>
                <w:szCs w:val="16"/>
              </w:rPr>
              <w:t>.</w:t>
            </w:r>
          </w:p>
        </w:tc>
        <w:tc>
          <w:tcPr>
            <w:tcW w:w="4092" w:type="dxa"/>
            <w:tcBorders>
              <w:top w:val="single" w:sz="4" w:space="0" w:color="auto"/>
              <w:left w:val="single" w:sz="4" w:space="0" w:color="auto"/>
              <w:bottom w:val="dotted" w:sz="4" w:space="0" w:color="auto"/>
              <w:right w:val="single" w:sz="4" w:space="0" w:color="auto"/>
            </w:tcBorders>
          </w:tcPr>
          <w:p w14:paraId="6F5AC510" w14:textId="0D09DFC1" w:rsidR="00D02B52" w:rsidRPr="004E2B22" w:rsidRDefault="00D02B52" w:rsidP="00674B58">
            <w:pPr>
              <w:autoSpaceDE w:val="0"/>
              <w:autoSpaceDN w:val="0"/>
              <w:adjustRightInd w:val="0"/>
              <w:spacing w:before="60" w:after="60" w:line="240" w:lineRule="auto"/>
              <w:rPr>
                <w:rFonts w:ascii="Arial" w:hAnsi="Arial" w:cs="Arial"/>
                <w:sz w:val="16"/>
                <w:szCs w:val="16"/>
              </w:rPr>
            </w:pPr>
            <w:r w:rsidRPr="004E2B22">
              <w:rPr>
                <w:rFonts w:ascii="Arial" w:hAnsi="Arial" w:cs="Arial"/>
                <w:sz w:val="16"/>
                <w:szCs w:val="16"/>
              </w:rPr>
              <w:t xml:space="preserve">GBEs operate efficiently, maintain a commercial focus and manage the longer-term financial and operational sustainability of the entity. </w:t>
            </w:r>
          </w:p>
          <w:p w14:paraId="2511EB1E" w14:textId="0C52EA80" w:rsidR="00D02B52" w:rsidRPr="004E2B22" w:rsidRDefault="00D02B52" w:rsidP="00674B58">
            <w:pPr>
              <w:autoSpaceDE w:val="0"/>
              <w:autoSpaceDN w:val="0"/>
              <w:adjustRightInd w:val="0"/>
              <w:spacing w:before="60" w:after="60" w:line="240" w:lineRule="auto"/>
              <w:rPr>
                <w:rFonts w:ascii="Arial" w:hAnsi="Arial" w:cs="Arial"/>
                <w:sz w:val="16"/>
                <w:szCs w:val="16"/>
              </w:rPr>
            </w:pPr>
            <w:r w:rsidRPr="004E2B22">
              <w:rPr>
                <w:rFonts w:ascii="Arial" w:hAnsi="Arial" w:cs="Arial"/>
                <w:sz w:val="16"/>
                <w:szCs w:val="16"/>
              </w:rPr>
              <w:t xml:space="preserve">GBE corporate plans comply with GBE guidelines and provide sufficient information to permit performance and financial reporting and monitoring. This includes timely reporting to ministers and government on progress of key projects and proactive reporting on emerging issues. </w:t>
            </w:r>
          </w:p>
          <w:p w14:paraId="3B759B0A" w14:textId="77777777" w:rsidR="00D02B52" w:rsidRPr="00C33F82" w:rsidRDefault="00D02B52" w:rsidP="00674B58">
            <w:pPr>
              <w:tabs>
                <w:tab w:val="left" w:pos="709"/>
              </w:tabs>
              <w:spacing w:before="60" w:after="60" w:line="240" w:lineRule="auto"/>
              <w:rPr>
                <w:rFonts w:ascii="Arial" w:hAnsi="Arial" w:cs="Arial"/>
                <w:i/>
                <w:iCs/>
                <w:sz w:val="18"/>
                <w:szCs w:val="18"/>
              </w:rPr>
            </w:pPr>
            <w:r w:rsidRPr="004E2B22">
              <w:rPr>
                <w:rFonts w:ascii="Arial" w:hAnsi="Arial" w:cs="Arial"/>
                <w:sz w:val="16"/>
                <w:szCs w:val="16"/>
              </w:rPr>
              <w:t>Ensure GBE and project governance is fit for purpose including through the establishment of governance documents such as statements of expectations, commercial freedoms frameworks and funding agreements.</w:t>
            </w:r>
          </w:p>
        </w:tc>
      </w:tr>
      <w:tr w:rsidR="00D02B52" w:rsidRPr="00D82E0C" w14:paraId="6ABDC1CF" w14:textId="77777777" w:rsidTr="00674B58">
        <w:trPr>
          <w:trHeight w:val="100"/>
        </w:trPr>
        <w:tc>
          <w:tcPr>
            <w:tcW w:w="1414" w:type="dxa"/>
            <w:tcBorders>
              <w:top w:val="dotted" w:sz="4" w:space="0" w:color="auto"/>
              <w:left w:val="single" w:sz="4" w:space="0" w:color="auto"/>
              <w:bottom w:val="single" w:sz="4" w:space="0" w:color="auto"/>
              <w:right w:val="single" w:sz="4" w:space="0" w:color="auto"/>
            </w:tcBorders>
          </w:tcPr>
          <w:p w14:paraId="1E0A40D2" w14:textId="77777777" w:rsidR="00716574" w:rsidRDefault="00D02B52" w:rsidP="00716574">
            <w:pPr>
              <w:tabs>
                <w:tab w:val="left" w:pos="709"/>
              </w:tabs>
              <w:spacing w:before="60" w:after="60" w:line="240" w:lineRule="auto"/>
              <w:rPr>
                <w:rFonts w:ascii="Arial" w:hAnsi="Arial" w:cs="Arial"/>
                <w:sz w:val="16"/>
                <w:szCs w:val="16"/>
                <w:lang w:eastAsia="en-US"/>
              </w:rPr>
            </w:pPr>
            <w:r w:rsidRPr="00370F86">
              <w:rPr>
                <w:rFonts w:ascii="Arial" w:hAnsi="Arial" w:cs="Arial"/>
                <w:sz w:val="16"/>
                <w:szCs w:val="16"/>
                <w:lang w:eastAsia="en-US"/>
              </w:rPr>
              <w:t xml:space="preserve">Forward Estimates </w:t>
            </w:r>
          </w:p>
          <w:p w14:paraId="3992ED25" w14:textId="7F954F25" w:rsidR="00D02B52" w:rsidRPr="00370F86" w:rsidRDefault="00D02B52" w:rsidP="00716574">
            <w:pPr>
              <w:tabs>
                <w:tab w:val="left" w:pos="709"/>
              </w:tabs>
              <w:spacing w:before="60" w:after="60" w:line="240" w:lineRule="auto"/>
              <w:rPr>
                <w:rFonts w:ascii="Arial" w:hAnsi="Arial" w:cs="Arial"/>
                <w:sz w:val="16"/>
                <w:szCs w:val="16"/>
                <w:lang w:eastAsia="en-US"/>
              </w:rPr>
            </w:pPr>
            <w:r w:rsidRPr="00370F86">
              <w:rPr>
                <w:rFonts w:ascii="Arial" w:hAnsi="Arial" w:cs="Arial"/>
                <w:sz w:val="16"/>
                <w:szCs w:val="16"/>
                <w:lang w:eastAsia="en-US"/>
              </w:rPr>
              <w:t>2023-26</w:t>
            </w:r>
          </w:p>
        </w:tc>
        <w:tc>
          <w:tcPr>
            <w:tcW w:w="2289" w:type="dxa"/>
            <w:tcBorders>
              <w:top w:val="dotted" w:sz="4" w:space="0" w:color="auto"/>
              <w:left w:val="single" w:sz="4" w:space="0" w:color="auto"/>
              <w:bottom w:val="single" w:sz="4" w:space="0" w:color="auto"/>
              <w:right w:val="single" w:sz="4" w:space="0" w:color="auto"/>
            </w:tcBorders>
          </w:tcPr>
          <w:p w14:paraId="54A07CA2" w14:textId="77777777" w:rsidR="00D02B52" w:rsidRPr="00370F86" w:rsidRDefault="00D02B52" w:rsidP="00674B58">
            <w:pPr>
              <w:tabs>
                <w:tab w:val="left" w:pos="709"/>
              </w:tabs>
              <w:suppressAutoHyphens/>
              <w:spacing w:before="60" w:after="60" w:line="240" w:lineRule="auto"/>
              <w:rPr>
                <w:rFonts w:ascii="Arial" w:eastAsia="Arial" w:hAnsi="Arial" w:cs="Arial"/>
                <w:bCs/>
                <w:sz w:val="16"/>
                <w:szCs w:val="16"/>
              </w:rPr>
            </w:pPr>
            <w:r>
              <w:rPr>
                <w:rFonts w:ascii="Arial" w:eastAsia="Arial" w:hAnsi="Arial" w:cs="Arial"/>
                <w:bCs/>
                <w:sz w:val="16"/>
                <w:szCs w:val="16"/>
              </w:rPr>
              <w:t>As per 2022-23</w:t>
            </w:r>
          </w:p>
        </w:tc>
        <w:tc>
          <w:tcPr>
            <w:tcW w:w="4092" w:type="dxa"/>
            <w:tcBorders>
              <w:top w:val="dotted" w:sz="4" w:space="0" w:color="auto"/>
              <w:left w:val="single" w:sz="4" w:space="0" w:color="auto"/>
              <w:bottom w:val="single" w:sz="4" w:space="0" w:color="auto"/>
              <w:right w:val="single" w:sz="4" w:space="0" w:color="auto"/>
            </w:tcBorders>
          </w:tcPr>
          <w:p w14:paraId="2BDA24AD" w14:textId="77777777" w:rsidR="00D02B52" w:rsidRPr="00370F86" w:rsidRDefault="00D02B52" w:rsidP="00674B58">
            <w:pPr>
              <w:autoSpaceDE w:val="0"/>
              <w:autoSpaceDN w:val="0"/>
              <w:adjustRightInd w:val="0"/>
              <w:spacing w:before="60" w:after="60" w:line="240" w:lineRule="auto"/>
              <w:rPr>
                <w:rFonts w:ascii="Arial" w:hAnsi="Arial" w:cs="Arial"/>
                <w:sz w:val="16"/>
                <w:szCs w:val="16"/>
              </w:rPr>
            </w:pPr>
            <w:r>
              <w:rPr>
                <w:rFonts w:ascii="Arial" w:hAnsi="Arial" w:cs="Arial"/>
                <w:sz w:val="16"/>
                <w:szCs w:val="16"/>
              </w:rPr>
              <w:t>As per 2022-23</w:t>
            </w:r>
          </w:p>
        </w:tc>
      </w:tr>
      <w:tr w:rsidR="00D02B52" w:rsidRPr="00D82E0C" w14:paraId="6557DD5C" w14:textId="77777777" w:rsidTr="00674B58">
        <w:trPr>
          <w:trHeight w:val="291"/>
        </w:trPr>
        <w:tc>
          <w:tcPr>
            <w:tcW w:w="7795" w:type="dxa"/>
            <w:gridSpan w:val="3"/>
          </w:tcPr>
          <w:p w14:paraId="0CC10E8D" w14:textId="77777777" w:rsidR="00D02B52" w:rsidRPr="00D82E0C" w:rsidRDefault="00D02B52" w:rsidP="00674B58">
            <w:pPr>
              <w:tabs>
                <w:tab w:val="left" w:pos="709"/>
              </w:tabs>
              <w:spacing w:before="60" w:after="60"/>
              <w:rPr>
                <w:rFonts w:ascii="Arial" w:eastAsia="Cambria" w:hAnsi="Arial" w:cs="Arial"/>
                <w:spacing w:val="-6"/>
                <w:sz w:val="16"/>
                <w:szCs w:val="16"/>
              </w:rPr>
            </w:pPr>
            <w:r>
              <w:rPr>
                <w:rFonts w:ascii="Arial" w:eastAsia="Cambria" w:hAnsi="Arial" w:cs="Arial"/>
                <w:spacing w:val="-6"/>
                <w:sz w:val="16"/>
                <w:szCs w:val="16"/>
              </w:rPr>
              <w:t>Material changes to Program 2</w:t>
            </w:r>
            <w:r w:rsidRPr="003D4CD3">
              <w:rPr>
                <w:rFonts w:ascii="Arial" w:eastAsia="Cambria" w:hAnsi="Arial" w:cs="Arial"/>
                <w:spacing w:val="-6"/>
                <w:sz w:val="16"/>
                <w:szCs w:val="16"/>
              </w:rPr>
              <w:t>.1 resulting from October 2022-23 Budget Measures: Nil</w:t>
            </w:r>
          </w:p>
        </w:tc>
      </w:tr>
    </w:tbl>
    <w:p w14:paraId="601AEEE0" w14:textId="01627061" w:rsidR="00CC6CF9" w:rsidRDefault="00CC6CF9" w:rsidP="00C8474A">
      <w:pPr>
        <w:pStyle w:val="ChartandTableFootnoteAlpha"/>
        <w:numPr>
          <w:ilvl w:val="0"/>
          <w:numId w:val="73"/>
        </w:numPr>
        <w:spacing w:before="60"/>
        <w:ind w:left="284" w:hanging="284"/>
        <w:rPr>
          <w:lang w:eastAsia="x-none"/>
        </w:rPr>
      </w:pPr>
      <w:r w:rsidRPr="00CC65C0">
        <w:rPr>
          <w:lang w:eastAsia="x-none"/>
        </w:rPr>
        <w:t>Refers to updated key activities th</w:t>
      </w:r>
      <w:r>
        <w:rPr>
          <w:lang w:eastAsia="x-none"/>
        </w:rPr>
        <w:t>at will be reflected in the 2022-23</w:t>
      </w:r>
      <w:r w:rsidRPr="00CC65C0">
        <w:rPr>
          <w:lang w:eastAsia="x-none"/>
        </w:rPr>
        <w:t xml:space="preserve"> Corporate Plan</w:t>
      </w:r>
      <w:r>
        <w:rPr>
          <w:lang w:eastAsia="x-none"/>
        </w:rPr>
        <w:t>.</w:t>
      </w:r>
    </w:p>
    <w:p w14:paraId="499FC494" w14:textId="77777777" w:rsidR="00CC6CF9" w:rsidRPr="00CC6CF9" w:rsidRDefault="00CC6CF9" w:rsidP="00C8474A">
      <w:pPr>
        <w:pStyle w:val="ChartandTableFootnoteAlpha"/>
        <w:numPr>
          <w:ilvl w:val="0"/>
          <w:numId w:val="73"/>
        </w:numPr>
        <w:spacing w:before="60"/>
        <w:ind w:left="284" w:hanging="284"/>
        <w:rPr>
          <w:lang w:eastAsia="x-none"/>
        </w:rPr>
      </w:pPr>
      <w:r w:rsidRPr="001B2F81">
        <w:rPr>
          <w:lang w:eastAsia="x-none"/>
        </w:rPr>
        <w:t xml:space="preserve">New or modified performance </w:t>
      </w:r>
      <w:r w:rsidRPr="00E12264">
        <w:rPr>
          <w:lang w:eastAsia="x-none"/>
        </w:rPr>
        <w:t>measures</w:t>
      </w:r>
      <w:r w:rsidRPr="001B2F81">
        <w:rPr>
          <w:lang w:eastAsia="x-none"/>
        </w:rPr>
        <w:t xml:space="preserve"> that reflect new or materially changed programs are shown in </w:t>
      </w:r>
      <w:r w:rsidRPr="005B6A94">
        <w:rPr>
          <w:lang w:eastAsia="x-none"/>
        </w:rPr>
        <w:t>italics.</w:t>
      </w:r>
    </w:p>
    <w:p w14:paraId="387DF6FB" w14:textId="77777777" w:rsidR="00CC6CF9" w:rsidRPr="00CC6CF9" w:rsidRDefault="00CC6CF9" w:rsidP="00CC6CF9">
      <w:pPr>
        <w:rPr>
          <w:lang w:eastAsia="x-none"/>
        </w:rPr>
      </w:pPr>
    </w:p>
    <w:p w14:paraId="2239E127" w14:textId="5C176F20" w:rsidR="00F0167C" w:rsidRDefault="00F0167C" w:rsidP="00F0167C">
      <w:pPr>
        <w:spacing w:after="0" w:line="240" w:lineRule="auto"/>
      </w:pPr>
      <w:r>
        <w:br w:type="page"/>
      </w:r>
    </w:p>
    <w:p w14:paraId="2239E128" w14:textId="77777777" w:rsidR="00F0167C" w:rsidRDefault="00F0167C" w:rsidP="00F0167C">
      <w:pPr>
        <w:pStyle w:val="TableHeading"/>
      </w:pPr>
      <w:r>
        <w:lastRenderedPageBreak/>
        <w:t>Table 2.2</w:t>
      </w:r>
      <w:r w:rsidRPr="00F71634">
        <w:t>.</w:t>
      </w:r>
      <w:r>
        <w:t>2</w:t>
      </w:r>
      <w:r w:rsidRPr="00F71634">
        <w:t xml:space="preserve">: Performance </w:t>
      </w:r>
      <w:r w:rsidRPr="00026D37">
        <w:t>measure</w:t>
      </w:r>
      <w:r w:rsidRPr="00F71634">
        <w:t xml:space="preserve"> </w:t>
      </w:r>
      <w:r>
        <w:t>for Outcome 2</w:t>
      </w:r>
      <w:r w:rsidRPr="00413DBF">
        <w:t xml:space="preserve"> (continued)</w:t>
      </w:r>
    </w:p>
    <w:tbl>
      <w:tblPr>
        <w:tblpPr w:leftFromText="180" w:rightFromText="180" w:vertAnchor="text" w:tblpY="1"/>
        <w:tblOverlap w:val="never"/>
        <w:tblW w:w="7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290"/>
        <w:gridCol w:w="4091"/>
      </w:tblGrid>
      <w:tr w:rsidR="003C7740" w:rsidRPr="00ED5B0C" w14:paraId="2CEC0F65" w14:textId="77777777" w:rsidTr="000408A3">
        <w:trPr>
          <w:trHeight w:val="527"/>
        </w:trPr>
        <w:tc>
          <w:tcPr>
            <w:tcW w:w="7795" w:type="dxa"/>
            <w:gridSpan w:val="3"/>
            <w:tcBorders>
              <w:top w:val="single" w:sz="4" w:space="0" w:color="auto"/>
              <w:left w:val="single" w:sz="4" w:space="0" w:color="auto"/>
              <w:bottom w:val="single" w:sz="4" w:space="0" w:color="auto"/>
              <w:right w:val="single" w:sz="4" w:space="0" w:color="auto"/>
            </w:tcBorders>
            <w:shd w:val="clear" w:color="auto" w:fill="F2F2F2"/>
          </w:tcPr>
          <w:p w14:paraId="0B9C92A5" w14:textId="77777777" w:rsidR="003C7740" w:rsidRPr="00ED5B0C" w:rsidRDefault="003C7740" w:rsidP="00386A06">
            <w:pPr>
              <w:tabs>
                <w:tab w:val="left" w:pos="709"/>
              </w:tabs>
              <w:spacing w:before="60" w:after="60" w:line="240" w:lineRule="auto"/>
              <w:rPr>
                <w:rFonts w:ascii="Arial" w:eastAsia="Arial" w:hAnsi="Arial" w:cs="Arial"/>
                <w:b/>
                <w:sz w:val="16"/>
                <w:szCs w:val="16"/>
              </w:rPr>
            </w:pPr>
            <w:r w:rsidRPr="00ED5B0C">
              <w:rPr>
                <w:rFonts w:ascii="Arial" w:eastAsia="Arial" w:hAnsi="Arial" w:cs="Arial"/>
                <w:b/>
                <w:sz w:val="16"/>
                <w:szCs w:val="16"/>
              </w:rPr>
              <w:t xml:space="preserve">Program 2.2- Transforming Government </w:t>
            </w:r>
          </w:p>
          <w:p w14:paraId="10B28D86" w14:textId="77777777" w:rsidR="003C7740" w:rsidRPr="00ED5B0C" w:rsidRDefault="003C7740" w:rsidP="00386A06">
            <w:pPr>
              <w:tabs>
                <w:tab w:val="left" w:pos="709"/>
              </w:tabs>
              <w:spacing w:before="60" w:after="60" w:line="240" w:lineRule="auto"/>
              <w:rPr>
                <w:rFonts w:ascii="Arial" w:hAnsi="Arial" w:cs="Arial"/>
                <w:sz w:val="16"/>
                <w:szCs w:val="16"/>
              </w:rPr>
            </w:pPr>
            <w:r w:rsidRPr="00ED5B0C">
              <w:rPr>
                <w:rFonts w:ascii="Arial" w:eastAsia="Arial" w:hAnsi="Arial" w:cs="Arial"/>
                <w:sz w:val="16"/>
                <w:szCs w:val="16"/>
              </w:rPr>
              <w:t>This program contributes to the outcome by providing leadership in the development and delivery of reforms and initiatives that support the modernisation of government and increase public sector productivity.</w:t>
            </w:r>
          </w:p>
        </w:tc>
      </w:tr>
      <w:tr w:rsidR="003C7740" w:rsidRPr="00361E69" w14:paraId="15EACC73" w14:textId="77777777" w:rsidTr="000408A3">
        <w:trPr>
          <w:trHeight w:val="567"/>
        </w:trPr>
        <w:tc>
          <w:tcPr>
            <w:tcW w:w="1414" w:type="dxa"/>
            <w:tcBorders>
              <w:bottom w:val="double" w:sz="4" w:space="0" w:color="auto"/>
            </w:tcBorders>
          </w:tcPr>
          <w:p w14:paraId="771754A1" w14:textId="04109AEF" w:rsidR="003C7740" w:rsidRPr="00361E69" w:rsidRDefault="003C7740" w:rsidP="00386A06">
            <w:pPr>
              <w:tabs>
                <w:tab w:val="left" w:pos="709"/>
              </w:tabs>
              <w:spacing w:before="60" w:after="60" w:line="240" w:lineRule="auto"/>
              <w:rPr>
                <w:rFonts w:ascii="Arial" w:hAnsi="Arial" w:cs="Arial"/>
                <w:b/>
                <w:bCs/>
                <w:sz w:val="16"/>
                <w:szCs w:val="16"/>
              </w:rPr>
            </w:pPr>
            <w:r w:rsidRPr="00222F4D">
              <w:rPr>
                <w:rFonts w:ascii="Arial" w:hAnsi="Arial" w:cs="Arial"/>
                <w:b/>
                <w:bCs/>
                <w:sz w:val="16"/>
                <w:szCs w:val="16"/>
              </w:rPr>
              <w:t>Key Activities (a)</w:t>
            </w:r>
            <w:r w:rsidR="00CC6CF9">
              <w:rPr>
                <w:rFonts w:ascii="Arial" w:hAnsi="Arial" w:cs="Arial"/>
                <w:b/>
                <w:bCs/>
                <w:sz w:val="16"/>
                <w:szCs w:val="16"/>
              </w:rPr>
              <w:t>(b)</w:t>
            </w:r>
          </w:p>
        </w:tc>
        <w:tc>
          <w:tcPr>
            <w:tcW w:w="6381" w:type="dxa"/>
            <w:gridSpan w:val="2"/>
            <w:tcBorders>
              <w:bottom w:val="double" w:sz="4" w:space="0" w:color="auto"/>
            </w:tcBorders>
          </w:tcPr>
          <w:p w14:paraId="55169481" w14:textId="77777777" w:rsidR="003C7740" w:rsidRPr="00222F4D" w:rsidRDefault="003C7740" w:rsidP="00386A06">
            <w:pPr>
              <w:tabs>
                <w:tab w:val="left" w:pos="709"/>
              </w:tabs>
              <w:spacing w:before="60" w:after="60" w:line="240" w:lineRule="auto"/>
              <w:rPr>
                <w:rFonts w:ascii="Arial" w:hAnsi="Arial" w:cs="Arial"/>
                <w:b/>
                <w:sz w:val="16"/>
                <w:szCs w:val="16"/>
              </w:rPr>
            </w:pPr>
            <w:r w:rsidRPr="00222F4D">
              <w:rPr>
                <w:rFonts w:ascii="Arial" w:hAnsi="Arial" w:cs="Arial"/>
                <w:b/>
                <w:sz w:val="16"/>
                <w:szCs w:val="16"/>
              </w:rPr>
              <w:t>Modernise the APS through ICT projects</w:t>
            </w:r>
          </w:p>
          <w:p w14:paraId="5E4C07FB" w14:textId="77777777" w:rsidR="003C7740" w:rsidRPr="00222F4D" w:rsidRDefault="003C7740" w:rsidP="00386A06">
            <w:pPr>
              <w:tabs>
                <w:tab w:val="left" w:pos="709"/>
              </w:tabs>
              <w:spacing w:before="60" w:after="60" w:line="240" w:lineRule="auto"/>
              <w:rPr>
                <w:rFonts w:ascii="Arial" w:hAnsi="Arial" w:cs="Arial"/>
                <w:sz w:val="16"/>
                <w:szCs w:val="16"/>
              </w:rPr>
            </w:pPr>
            <w:r w:rsidRPr="00222F4D">
              <w:rPr>
                <w:rFonts w:ascii="Arial" w:hAnsi="Arial" w:cs="Arial"/>
                <w:sz w:val="16"/>
                <w:szCs w:val="16"/>
              </w:rPr>
              <w:t>Undertaking ICT development projects to support the modernisation of the APS.</w:t>
            </w:r>
          </w:p>
          <w:p w14:paraId="57B6CCBE" w14:textId="77777777" w:rsidR="003959E6" w:rsidRDefault="003959E6" w:rsidP="00386A06">
            <w:pPr>
              <w:tabs>
                <w:tab w:val="left" w:pos="709"/>
              </w:tabs>
              <w:spacing w:before="60" w:after="60" w:line="240" w:lineRule="auto"/>
              <w:rPr>
                <w:rFonts w:ascii="Arial" w:hAnsi="Arial" w:cs="Arial"/>
                <w:b/>
                <w:sz w:val="16"/>
                <w:szCs w:val="16"/>
              </w:rPr>
            </w:pPr>
          </w:p>
          <w:p w14:paraId="600E7926" w14:textId="11C1ED3C" w:rsidR="003C7740" w:rsidRPr="00222F4D" w:rsidRDefault="003C7740" w:rsidP="00386A06">
            <w:pPr>
              <w:tabs>
                <w:tab w:val="left" w:pos="709"/>
              </w:tabs>
              <w:spacing w:before="60" w:after="60" w:line="240" w:lineRule="auto"/>
              <w:rPr>
                <w:rFonts w:ascii="Arial" w:hAnsi="Arial" w:cs="Arial"/>
                <w:b/>
                <w:sz w:val="16"/>
                <w:szCs w:val="16"/>
              </w:rPr>
            </w:pPr>
            <w:r w:rsidRPr="00222F4D">
              <w:rPr>
                <w:rFonts w:ascii="Arial" w:hAnsi="Arial" w:cs="Arial"/>
                <w:b/>
                <w:sz w:val="16"/>
                <w:szCs w:val="16"/>
              </w:rPr>
              <w:t>Support better availability and use of Australian Government data for public benefit</w:t>
            </w:r>
          </w:p>
          <w:p w14:paraId="264A92B4" w14:textId="38674C83" w:rsidR="003C7740" w:rsidRPr="00361E69" w:rsidRDefault="003C7740" w:rsidP="00D0147F">
            <w:pPr>
              <w:tabs>
                <w:tab w:val="left" w:pos="709"/>
              </w:tabs>
              <w:spacing w:before="60" w:after="60" w:line="240" w:lineRule="auto"/>
              <w:rPr>
                <w:rFonts w:ascii="Arial" w:hAnsi="Arial" w:cs="Arial"/>
                <w:i/>
                <w:sz w:val="16"/>
                <w:szCs w:val="16"/>
              </w:rPr>
            </w:pPr>
            <w:r w:rsidRPr="00222F4D">
              <w:rPr>
                <w:rFonts w:ascii="Arial" w:hAnsi="Arial" w:cs="Arial"/>
                <w:sz w:val="16"/>
                <w:szCs w:val="16"/>
              </w:rPr>
              <w:t xml:space="preserve">Implement the Data Availability and </w:t>
            </w:r>
            <w:r w:rsidRPr="00D0147F">
              <w:rPr>
                <w:rFonts w:ascii="Arial" w:hAnsi="Arial" w:cs="Arial"/>
                <w:sz w:val="16"/>
                <w:szCs w:val="16"/>
              </w:rPr>
              <w:t>Transparency</w:t>
            </w:r>
            <w:r w:rsidR="00D0147F" w:rsidRPr="00D0147F">
              <w:rPr>
                <w:rFonts w:ascii="Arial" w:hAnsi="Arial" w:cs="Arial"/>
                <w:sz w:val="16"/>
                <w:szCs w:val="16"/>
              </w:rPr>
              <w:t xml:space="preserve"> Act</w:t>
            </w:r>
            <w:r w:rsidRPr="00222F4D">
              <w:rPr>
                <w:rFonts w:ascii="Arial" w:hAnsi="Arial" w:cs="Arial"/>
                <w:i/>
                <w:sz w:val="16"/>
                <w:szCs w:val="16"/>
              </w:rPr>
              <w:t xml:space="preserve"> </w:t>
            </w:r>
            <w:r w:rsidRPr="00D0147F">
              <w:rPr>
                <w:rFonts w:ascii="Arial" w:hAnsi="Arial" w:cs="Arial"/>
                <w:sz w:val="16"/>
                <w:szCs w:val="16"/>
              </w:rPr>
              <w:t>(DATA Scheme) and steer whole-of-government data policy.</w:t>
            </w:r>
          </w:p>
        </w:tc>
      </w:tr>
      <w:tr w:rsidR="003C7740" w:rsidRPr="00361E69" w14:paraId="043C1616" w14:textId="77777777" w:rsidTr="000408A3">
        <w:trPr>
          <w:trHeight w:val="312"/>
        </w:trPr>
        <w:tc>
          <w:tcPr>
            <w:tcW w:w="1414" w:type="dxa"/>
            <w:tcBorders>
              <w:top w:val="double" w:sz="4" w:space="0" w:color="auto"/>
              <w:bottom w:val="single" w:sz="4" w:space="0" w:color="auto"/>
              <w:right w:val="single" w:sz="4" w:space="0" w:color="auto"/>
            </w:tcBorders>
            <w:shd w:val="clear" w:color="auto" w:fill="auto"/>
          </w:tcPr>
          <w:p w14:paraId="6BB20F12" w14:textId="77777777" w:rsidR="003C7740" w:rsidRPr="00361E69" w:rsidRDefault="003C7740" w:rsidP="00386A06">
            <w:pPr>
              <w:tabs>
                <w:tab w:val="left" w:pos="709"/>
              </w:tabs>
              <w:spacing w:before="60" w:after="60" w:line="240" w:lineRule="auto"/>
              <w:rPr>
                <w:rFonts w:ascii="Arial" w:hAnsi="Arial" w:cs="Arial"/>
                <w:b/>
                <w:bCs/>
                <w:sz w:val="16"/>
                <w:szCs w:val="16"/>
              </w:rPr>
            </w:pPr>
            <w:r w:rsidRPr="1362A57E">
              <w:rPr>
                <w:rFonts w:ascii="Arial" w:hAnsi="Arial" w:cs="Arial"/>
                <w:b/>
                <w:bCs/>
                <w:sz w:val="16"/>
                <w:szCs w:val="16"/>
              </w:rPr>
              <w:t>Year</w:t>
            </w:r>
          </w:p>
        </w:tc>
        <w:tc>
          <w:tcPr>
            <w:tcW w:w="2290" w:type="dxa"/>
            <w:tcBorders>
              <w:top w:val="double" w:sz="4" w:space="0" w:color="auto"/>
              <w:left w:val="single" w:sz="4" w:space="0" w:color="auto"/>
              <w:bottom w:val="single" w:sz="4" w:space="0" w:color="auto"/>
              <w:right w:val="single" w:sz="4" w:space="0" w:color="auto"/>
            </w:tcBorders>
            <w:shd w:val="clear" w:color="auto" w:fill="auto"/>
          </w:tcPr>
          <w:p w14:paraId="28F927B1" w14:textId="77777777" w:rsidR="003C7740" w:rsidRPr="00361E69" w:rsidRDefault="003C7740" w:rsidP="00386A06">
            <w:pPr>
              <w:tabs>
                <w:tab w:val="left" w:pos="709"/>
                <w:tab w:val="center" w:pos="1818"/>
              </w:tabs>
              <w:spacing w:before="60" w:after="60" w:line="240" w:lineRule="auto"/>
              <w:rPr>
                <w:rFonts w:ascii="Arial" w:hAnsi="Arial" w:cs="Arial"/>
                <w:b/>
                <w:bCs/>
                <w:sz w:val="16"/>
                <w:szCs w:val="16"/>
              </w:rPr>
            </w:pPr>
            <w:r w:rsidRPr="1362A57E">
              <w:rPr>
                <w:rFonts w:ascii="Arial" w:hAnsi="Arial" w:cs="Arial"/>
                <w:b/>
                <w:bCs/>
                <w:sz w:val="16"/>
                <w:szCs w:val="16"/>
              </w:rPr>
              <w:t>Performance measures</w:t>
            </w:r>
          </w:p>
        </w:tc>
        <w:tc>
          <w:tcPr>
            <w:tcW w:w="4091" w:type="dxa"/>
            <w:tcBorders>
              <w:top w:val="double" w:sz="4" w:space="0" w:color="auto"/>
              <w:left w:val="single" w:sz="4" w:space="0" w:color="auto"/>
              <w:bottom w:val="single" w:sz="4" w:space="0" w:color="auto"/>
            </w:tcBorders>
            <w:shd w:val="clear" w:color="auto" w:fill="auto"/>
          </w:tcPr>
          <w:p w14:paraId="79747868" w14:textId="77777777" w:rsidR="003C7740" w:rsidRPr="00361E69" w:rsidRDefault="003C7740" w:rsidP="00386A06">
            <w:pPr>
              <w:tabs>
                <w:tab w:val="left" w:pos="709"/>
              </w:tabs>
              <w:spacing w:before="60" w:after="60" w:line="240" w:lineRule="auto"/>
              <w:rPr>
                <w:rFonts w:ascii="Arial" w:hAnsi="Arial" w:cs="Arial"/>
                <w:b/>
                <w:bCs/>
                <w:sz w:val="16"/>
                <w:szCs w:val="16"/>
              </w:rPr>
            </w:pPr>
            <w:r w:rsidRPr="1362A57E">
              <w:rPr>
                <w:rFonts w:ascii="Arial" w:hAnsi="Arial" w:cs="Arial"/>
                <w:b/>
                <w:bCs/>
                <w:sz w:val="16"/>
                <w:szCs w:val="16"/>
              </w:rPr>
              <w:t>Expected Performance Results</w:t>
            </w:r>
          </w:p>
        </w:tc>
      </w:tr>
      <w:tr w:rsidR="003C7740" w:rsidRPr="009415D5" w14:paraId="038A01DF" w14:textId="77777777" w:rsidTr="000408A3">
        <w:trPr>
          <w:trHeight w:val="1999"/>
        </w:trPr>
        <w:tc>
          <w:tcPr>
            <w:tcW w:w="1414" w:type="dxa"/>
            <w:tcBorders>
              <w:top w:val="single" w:sz="4" w:space="0" w:color="auto"/>
              <w:left w:val="single" w:sz="4" w:space="0" w:color="auto"/>
              <w:bottom w:val="single" w:sz="4" w:space="0" w:color="auto"/>
              <w:right w:val="single" w:sz="4" w:space="0" w:color="auto"/>
            </w:tcBorders>
            <w:shd w:val="clear" w:color="auto" w:fill="auto"/>
          </w:tcPr>
          <w:p w14:paraId="1027F77A" w14:textId="77777777" w:rsidR="003C7740" w:rsidRPr="005612F7" w:rsidRDefault="003C7740" w:rsidP="00386A06">
            <w:pPr>
              <w:pStyle w:val="TableTextLeft"/>
              <w:spacing w:before="60" w:after="60"/>
              <w:rPr>
                <w:rFonts w:cs="Arial"/>
                <w:szCs w:val="16"/>
              </w:rPr>
            </w:pPr>
            <w:r w:rsidRPr="005612F7">
              <w:rPr>
                <w:rFonts w:cs="Arial"/>
                <w:szCs w:val="16"/>
              </w:rPr>
              <w:t xml:space="preserve">Prior year </w:t>
            </w:r>
          </w:p>
          <w:p w14:paraId="09E310D8" w14:textId="77777777" w:rsidR="003C7740" w:rsidRPr="00361E69" w:rsidRDefault="003C7740" w:rsidP="00386A06">
            <w:pPr>
              <w:pStyle w:val="TableTextLeft"/>
              <w:spacing w:before="60" w:after="60"/>
              <w:rPr>
                <w:rFonts w:cs="Arial"/>
                <w:szCs w:val="16"/>
              </w:rPr>
            </w:pPr>
            <w:r w:rsidRPr="005612F7">
              <w:rPr>
                <w:rFonts w:cs="Arial"/>
                <w:szCs w:val="16"/>
              </w:rPr>
              <w:t>2021-22</w:t>
            </w:r>
          </w:p>
        </w:tc>
        <w:tc>
          <w:tcPr>
            <w:tcW w:w="2290" w:type="dxa"/>
            <w:tcBorders>
              <w:top w:val="single" w:sz="4" w:space="0" w:color="auto"/>
              <w:left w:val="single" w:sz="4" w:space="0" w:color="auto"/>
              <w:bottom w:val="single" w:sz="4" w:space="0" w:color="auto"/>
              <w:right w:val="single" w:sz="4" w:space="0" w:color="auto"/>
            </w:tcBorders>
            <w:shd w:val="clear" w:color="auto" w:fill="auto"/>
          </w:tcPr>
          <w:p w14:paraId="6709DEB8" w14:textId="77777777" w:rsidR="003C7740" w:rsidRPr="006B7BE5" w:rsidRDefault="003C7740" w:rsidP="00386A06">
            <w:pPr>
              <w:tabs>
                <w:tab w:val="left" w:pos="709"/>
              </w:tabs>
              <w:spacing w:before="60" w:after="60" w:line="240" w:lineRule="auto"/>
              <w:rPr>
                <w:rFonts w:ascii="Arial" w:eastAsia="Arial" w:hAnsi="Arial" w:cs="Arial"/>
                <w:b/>
                <w:bCs/>
                <w:sz w:val="16"/>
                <w:szCs w:val="16"/>
              </w:rPr>
            </w:pPr>
            <w:proofErr w:type="spellStart"/>
            <w:r w:rsidRPr="006B7BE5">
              <w:rPr>
                <w:rFonts w:ascii="Arial" w:eastAsia="Arial" w:hAnsi="Arial" w:cs="Arial"/>
                <w:b/>
                <w:bCs/>
                <w:sz w:val="16"/>
                <w:szCs w:val="16"/>
              </w:rPr>
              <w:t>GovTEAMS</w:t>
            </w:r>
            <w:proofErr w:type="spellEnd"/>
            <w:r w:rsidRPr="006B7BE5">
              <w:rPr>
                <w:rFonts w:ascii="Arial" w:eastAsia="Arial" w:hAnsi="Arial" w:cs="Arial"/>
                <w:b/>
                <w:bCs/>
                <w:sz w:val="16"/>
                <w:szCs w:val="16"/>
              </w:rPr>
              <w:t xml:space="preserve"> improves public sector productivity</w:t>
            </w:r>
          </w:p>
          <w:p w14:paraId="00B23827" w14:textId="77777777" w:rsidR="003C7740" w:rsidRPr="006B7BE5" w:rsidRDefault="003C7740" w:rsidP="00386A06">
            <w:pPr>
              <w:tabs>
                <w:tab w:val="left" w:pos="709"/>
              </w:tabs>
              <w:spacing w:before="60" w:after="60" w:line="240" w:lineRule="auto"/>
              <w:rPr>
                <w:rFonts w:ascii="Arial" w:eastAsia="Arial" w:hAnsi="Arial" w:cs="Arial"/>
                <w:sz w:val="16"/>
                <w:szCs w:val="16"/>
              </w:rPr>
            </w:pPr>
            <w:r w:rsidRPr="006B7BE5">
              <w:rPr>
                <w:rFonts w:ascii="Arial" w:eastAsia="Arial" w:hAnsi="Arial" w:cs="Arial"/>
                <w:bCs/>
                <w:sz w:val="16"/>
                <w:szCs w:val="16"/>
              </w:rPr>
              <w:t xml:space="preserve">Commonwealth entities and companies have access to </w:t>
            </w:r>
            <w:proofErr w:type="spellStart"/>
            <w:r w:rsidRPr="006B7BE5">
              <w:rPr>
                <w:rFonts w:ascii="Arial" w:eastAsia="Arial" w:hAnsi="Arial" w:cs="Arial"/>
                <w:bCs/>
                <w:sz w:val="16"/>
                <w:szCs w:val="16"/>
              </w:rPr>
              <w:t>GovTEAMS</w:t>
            </w:r>
            <w:proofErr w:type="spellEnd"/>
            <w:r w:rsidRPr="006B7BE5">
              <w:rPr>
                <w:rFonts w:ascii="Arial" w:eastAsia="Arial" w:hAnsi="Arial" w:cs="Arial"/>
                <w:bCs/>
                <w:sz w:val="16"/>
                <w:szCs w:val="16"/>
              </w:rPr>
              <w:t>, a new generation platform to provide a single environment for both internal and external collaboration across government.</w:t>
            </w:r>
          </w:p>
        </w:tc>
        <w:tc>
          <w:tcPr>
            <w:tcW w:w="4091" w:type="dxa"/>
            <w:tcBorders>
              <w:top w:val="single" w:sz="4" w:space="0" w:color="auto"/>
              <w:left w:val="single" w:sz="4" w:space="0" w:color="auto"/>
              <w:bottom w:val="single" w:sz="4" w:space="0" w:color="auto"/>
              <w:right w:val="single" w:sz="4" w:space="0" w:color="auto"/>
            </w:tcBorders>
            <w:shd w:val="clear" w:color="auto" w:fill="auto"/>
          </w:tcPr>
          <w:p w14:paraId="5020D495" w14:textId="77777777" w:rsidR="003C7740" w:rsidRPr="00186721" w:rsidRDefault="003C7740" w:rsidP="00386A06">
            <w:pPr>
              <w:tabs>
                <w:tab w:val="left" w:pos="709"/>
              </w:tabs>
              <w:spacing w:before="60" w:after="60" w:line="240" w:lineRule="auto"/>
              <w:rPr>
                <w:rFonts w:ascii="Arial" w:hAnsi="Arial" w:cs="Arial"/>
                <w:b/>
                <w:sz w:val="16"/>
                <w:szCs w:val="16"/>
              </w:rPr>
            </w:pPr>
            <w:r w:rsidRPr="00186721">
              <w:rPr>
                <w:rFonts w:ascii="Arial" w:hAnsi="Arial" w:cs="Arial"/>
                <w:b/>
                <w:sz w:val="16"/>
                <w:szCs w:val="16"/>
              </w:rPr>
              <w:t>Achieved</w:t>
            </w:r>
          </w:p>
          <w:p w14:paraId="16883C9D" w14:textId="77777777" w:rsidR="003C7740" w:rsidRPr="009415D5" w:rsidRDefault="003C7740" w:rsidP="00386A06">
            <w:pPr>
              <w:tabs>
                <w:tab w:val="left" w:pos="709"/>
              </w:tabs>
              <w:spacing w:before="60" w:after="60" w:line="240" w:lineRule="auto"/>
              <w:rPr>
                <w:rFonts w:ascii="Arial" w:hAnsi="Arial" w:cs="Arial"/>
                <w:sz w:val="16"/>
                <w:szCs w:val="16"/>
              </w:rPr>
            </w:pPr>
            <w:proofErr w:type="spellStart"/>
            <w:r w:rsidRPr="00186721">
              <w:rPr>
                <w:rFonts w:ascii="Arial" w:hAnsi="Arial" w:cs="Arial"/>
                <w:sz w:val="16"/>
                <w:szCs w:val="16"/>
              </w:rPr>
              <w:t>GovTEAMS</w:t>
            </w:r>
            <w:proofErr w:type="spellEnd"/>
            <w:r w:rsidRPr="00186721">
              <w:rPr>
                <w:rFonts w:ascii="Arial" w:hAnsi="Arial" w:cs="Arial"/>
                <w:sz w:val="16"/>
                <w:szCs w:val="16"/>
              </w:rPr>
              <w:t xml:space="preserve"> was fully operational for the financial year with the results (99.98% and 145,532 users) exceeding targets for both availability (99%) and user adoption (90,000 users).</w:t>
            </w:r>
          </w:p>
        </w:tc>
      </w:tr>
      <w:tr w:rsidR="003C7740" w:rsidRPr="009415D5" w14:paraId="5708C8DD" w14:textId="77777777" w:rsidTr="000408A3">
        <w:trPr>
          <w:trHeight w:val="1936"/>
        </w:trPr>
        <w:tc>
          <w:tcPr>
            <w:tcW w:w="1414" w:type="dxa"/>
            <w:tcBorders>
              <w:top w:val="single" w:sz="4" w:space="0" w:color="auto"/>
              <w:left w:val="single" w:sz="4" w:space="0" w:color="auto"/>
              <w:bottom w:val="nil"/>
              <w:right w:val="single" w:sz="4" w:space="0" w:color="auto"/>
            </w:tcBorders>
            <w:shd w:val="clear" w:color="auto" w:fill="auto"/>
          </w:tcPr>
          <w:p w14:paraId="2831FC29" w14:textId="77777777" w:rsidR="003C7740" w:rsidRPr="00D357ED" w:rsidRDefault="003C7740" w:rsidP="00386A06">
            <w:pPr>
              <w:pStyle w:val="TableTextLeft"/>
              <w:spacing w:before="60" w:after="60"/>
            </w:pPr>
            <w:r w:rsidRPr="00D357ED">
              <w:t xml:space="preserve">Budget Year </w:t>
            </w:r>
          </w:p>
          <w:p w14:paraId="20A37156" w14:textId="77777777" w:rsidR="003C7740" w:rsidRPr="00D357ED" w:rsidRDefault="003C7740" w:rsidP="00386A06">
            <w:pPr>
              <w:pStyle w:val="TableTextLeft"/>
              <w:spacing w:before="60" w:after="60"/>
            </w:pPr>
            <w:r w:rsidRPr="00D357ED">
              <w:t>2022-23</w:t>
            </w:r>
          </w:p>
          <w:p w14:paraId="393FABD0" w14:textId="77777777" w:rsidR="003C7740" w:rsidRPr="005612F7" w:rsidRDefault="003C7740" w:rsidP="00386A06">
            <w:pPr>
              <w:pStyle w:val="TableTextLeft"/>
              <w:spacing w:before="60" w:after="60"/>
              <w:rPr>
                <w:rFonts w:cs="Arial"/>
                <w:szCs w:val="16"/>
              </w:rPr>
            </w:pPr>
          </w:p>
        </w:tc>
        <w:tc>
          <w:tcPr>
            <w:tcW w:w="2290" w:type="dxa"/>
            <w:tcBorders>
              <w:top w:val="single" w:sz="4" w:space="0" w:color="auto"/>
              <w:left w:val="single" w:sz="4" w:space="0" w:color="auto"/>
              <w:bottom w:val="dotted" w:sz="4" w:space="0" w:color="auto"/>
              <w:right w:val="single" w:sz="4" w:space="0" w:color="auto"/>
            </w:tcBorders>
            <w:shd w:val="clear" w:color="auto" w:fill="auto"/>
          </w:tcPr>
          <w:p w14:paraId="5AAF0D8C" w14:textId="77777777" w:rsidR="003C7740" w:rsidRPr="00186721" w:rsidRDefault="003C7740" w:rsidP="00386A06">
            <w:pPr>
              <w:tabs>
                <w:tab w:val="left" w:pos="709"/>
              </w:tabs>
              <w:spacing w:before="60" w:after="60" w:line="240" w:lineRule="auto"/>
              <w:rPr>
                <w:rFonts w:ascii="Arial" w:eastAsia="Arial" w:hAnsi="Arial" w:cs="Arial"/>
                <w:b/>
                <w:bCs/>
                <w:sz w:val="16"/>
                <w:szCs w:val="16"/>
              </w:rPr>
            </w:pPr>
            <w:proofErr w:type="spellStart"/>
            <w:r w:rsidRPr="00186721">
              <w:rPr>
                <w:rFonts w:ascii="Arial" w:eastAsia="Arial" w:hAnsi="Arial" w:cs="Arial"/>
                <w:b/>
                <w:bCs/>
                <w:sz w:val="16"/>
                <w:szCs w:val="16"/>
              </w:rPr>
              <w:t>GovTEAMS</w:t>
            </w:r>
            <w:proofErr w:type="spellEnd"/>
            <w:r w:rsidRPr="00186721">
              <w:rPr>
                <w:rFonts w:ascii="Arial" w:eastAsia="Arial" w:hAnsi="Arial" w:cs="Arial"/>
                <w:b/>
                <w:bCs/>
                <w:sz w:val="16"/>
                <w:szCs w:val="16"/>
              </w:rPr>
              <w:t xml:space="preserve"> improves public sector productivity</w:t>
            </w:r>
          </w:p>
          <w:p w14:paraId="08A79C8A" w14:textId="77777777" w:rsidR="003C7740" w:rsidRPr="006B7BE5" w:rsidRDefault="003C7740" w:rsidP="00386A06">
            <w:pPr>
              <w:tabs>
                <w:tab w:val="left" w:pos="709"/>
              </w:tabs>
              <w:spacing w:before="60" w:after="60" w:line="240" w:lineRule="auto"/>
              <w:rPr>
                <w:rFonts w:ascii="Arial" w:eastAsia="Arial" w:hAnsi="Arial" w:cs="Arial"/>
                <w:bCs/>
                <w:sz w:val="16"/>
                <w:szCs w:val="16"/>
              </w:rPr>
            </w:pPr>
            <w:r w:rsidRPr="00186721">
              <w:rPr>
                <w:rFonts w:ascii="Arial" w:eastAsia="Arial" w:hAnsi="Arial" w:cs="Arial"/>
                <w:bCs/>
                <w:sz w:val="16"/>
                <w:szCs w:val="16"/>
              </w:rPr>
              <w:t xml:space="preserve">Commonwealth entities and companies have access to </w:t>
            </w:r>
            <w:proofErr w:type="spellStart"/>
            <w:r w:rsidRPr="00186721">
              <w:rPr>
                <w:rFonts w:ascii="Arial" w:eastAsia="Arial" w:hAnsi="Arial" w:cs="Arial"/>
                <w:bCs/>
                <w:sz w:val="16"/>
                <w:szCs w:val="16"/>
              </w:rPr>
              <w:t>GovTEAMS</w:t>
            </w:r>
            <w:proofErr w:type="spellEnd"/>
            <w:r w:rsidRPr="00186721">
              <w:rPr>
                <w:rFonts w:ascii="Arial" w:eastAsia="Arial" w:hAnsi="Arial" w:cs="Arial"/>
                <w:bCs/>
                <w:sz w:val="16"/>
                <w:szCs w:val="16"/>
              </w:rPr>
              <w:t>, a new generation platform to provide a single environment for both internal and external collaboration across government.</w:t>
            </w:r>
          </w:p>
        </w:tc>
        <w:tc>
          <w:tcPr>
            <w:tcW w:w="4091" w:type="dxa"/>
            <w:tcBorders>
              <w:top w:val="single" w:sz="4" w:space="0" w:color="auto"/>
              <w:left w:val="single" w:sz="4" w:space="0" w:color="auto"/>
              <w:bottom w:val="dotted" w:sz="4" w:space="0" w:color="auto"/>
            </w:tcBorders>
            <w:shd w:val="clear" w:color="auto" w:fill="auto"/>
          </w:tcPr>
          <w:p w14:paraId="212D0418" w14:textId="221FFA5A" w:rsidR="003C7740" w:rsidRPr="00186721" w:rsidRDefault="003C7740" w:rsidP="00D0147F">
            <w:pPr>
              <w:autoSpaceDE w:val="0"/>
              <w:autoSpaceDN w:val="0"/>
              <w:adjustRightInd w:val="0"/>
              <w:spacing w:before="60" w:after="60" w:line="240" w:lineRule="auto"/>
              <w:rPr>
                <w:rFonts w:ascii="Arial" w:hAnsi="Arial" w:cs="Arial"/>
                <w:bCs/>
                <w:sz w:val="16"/>
                <w:szCs w:val="16"/>
                <w:lang w:eastAsia="en-US"/>
              </w:rPr>
            </w:pPr>
            <w:proofErr w:type="spellStart"/>
            <w:r w:rsidRPr="00186721">
              <w:rPr>
                <w:rFonts w:ascii="Arial" w:hAnsi="Arial" w:cs="Arial"/>
                <w:bCs/>
                <w:sz w:val="16"/>
                <w:szCs w:val="16"/>
                <w:lang w:eastAsia="en-US"/>
              </w:rPr>
              <w:t>GovTEAMS</w:t>
            </w:r>
            <w:proofErr w:type="spellEnd"/>
            <w:r w:rsidRPr="00186721">
              <w:rPr>
                <w:rFonts w:ascii="Arial" w:hAnsi="Arial" w:cs="Arial"/>
                <w:bCs/>
                <w:sz w:val="16"/>
                <w:szCs w:val="16"/>
                <w:lang w:eastAsia="en-US"/>
              </w:rPr>
              <w:t xml:space="preserve"> platform is fully operational in accordance with set performance targets (target: 99%)</w:t>
            </w:r>
            <w:r w:rsidR="00D0147F">
              <w:rPr>
                <w:rFonts w:ascii="Arial" w:hAnsi="Arial" w:cs="Arial"/>
                <w:bCs/>
                <w:sz w:val="16"/>
                <w:szCs w:val="16"/>
                <w:lang w:eastAsia="en-US"/>
              </w:rPr>
              <w:t>.</w:t>
            </w:r>
          </w:p>
          <w:p w14:paraId="23B5E03F" w14:textId="7904EA54" w:rsidR="003C7740" w:rsidRPr="00186721" w:rsidRDefault="003C7740" w:rsidP="00D0147F">
            <w:pPr>
              <w:autoSpaceDE w:val="0"/>
              <w:autoSpaceDN w:val="0"/>
              <w:adjustRightInd w:val="0"/>
              <w:spacing w:before="60" w:after="60" w:line="240" w:lineRule="auto"/>
              <w:rPr>
                <w:rFonts w:ascii="Arial" w:hAnsi="Arial" w:cs="Arial"/>
                <w:bCs/>
                <w:sz w:val="16"/>
                <w:szCs w:val="16"/>
                <w:lang w:eastAsia="en-US"/>
              </w:rPr>
            </w:pPr>
            <w:proofErr w:type="spellStart"/>
            <w:r w:rsidRPr="00186721">
              <w:rPr>
                <w:rFonts w:ascii="Arial" w:hAnsi="Arial" w:cs="Arial"/>
                <w:bCs/>
                <w:sz w:val="16"/>
                <w:szCs w:val="16"/>
                <w:lang w:eastAsia="en-US"/>
              </w:rPr>
              <w:t>GovTEAMS</w:t>
            </w:r>
            <w:proofErr w:type="spellEnd"/>
            <w:r w:rsidRPr="00186721">
              <w:rPr>
                <w:rFonts w:ascii="Arial" w:hAnsi="Arial" w:cs="Arial"/>
                <w:bCs/>
                <w:sz w:val="16"/>
                <w:szCs w:val="16"/>
                <w:lang w:eastAsia="en-US"/>
              </w:rPr>
              <w:t xml:space="preserve"> active user count (target: 30,000)</w:t>
            </w:r>
            <w:r w:rsidR="00D0147F">
              <w:rPr>
                <w:rFonts w:ascii="Arial" w:hAnsi="Arial" w:cs="Arial"/>
                <w:bCs/>
                <w:sz w:val="16"/>
                <w:szCs w:val="16"/>
                <w:lang w:eastAsia="en-US"/>
              </w:rPr>
              <w:t>.</w:t>
            </w:r>
          </w:p>
          <w:p w14:paraId="2E4B5732" w14:textId="74DB732F" w:rsidR="003C7740" w:rsidRDefault="003C7740" w:rsidP="00D0147F">
            <w:pPr>
              <w:autoSpaceDE w:val="0"/>
              <w:autoSpaceDN w:val="0"/>
              <w:adjustRightInd w:val="0"/>
              <w:spacing w:before="60" w:after="60" w:line="240" w:lineRule="auto"/>
              <w:rPr>
                <w:rFonts w:ascii="Arial" w:hAnsi="Arial" w:cs="Arial"/>
                <w:bCs/>
                <w:sz w:val="16"/>
                <w:szCs w:val="16"/>
                <w:lang w:eastAsia="en-US"/>
              </w:rPr>
            </w:pPr>
            <w:proofErr w:type="spellStart"/>
            <w:r w:rsidRPr="00186721">
              <w:rPr>
                <w:rFonts w:ascii="Arial" w:hAnsi="Arial" w:cs="Arial"/>
                <w:bCs/>
                <w:sz w:val="16"/>
                <w:szCs w:val="16"/>
                <w:lang w:eastAsia="en-US"/>
              </w:rPr>
              <w:t>GovTEAMS</w:t>
            </w:r>
            <w:proofErr w:type="spellEnd"/>
            <w:r w:rsidRPr="00186721">
              <w:rPr>
                <w:rFonts w:ascii="Arial" w:hAnsi="Arial" w:cs="Arial"/>
                <w:bCs/>
                <w:sz w:val="16"/>
                <w:szCs w:val="16"/>
                <w:lang w:eastAsia="en-US"/>
              </w:rPr>
              <w:t xml:space="preserve"> usage – average number of interactions per a</w:t>
            </w:r>
            <w:r w:rsidR="007F1383">
              <w:rPr>
                <w:rFonts w:ascii="Arial" w:hAnsi="Arial" w:cs="Arial"/>
                <w:bCs/>
                <w:sz w:val="16"/>
                <w:szCs w:val="16"/>
                <w:lang w:eastAsia="en-US"/>
              </w:rPr>
              <w:t>ctive user per month (target: 29</w:t>
            </w:r>
            <w:r w:rsidRPr="00186721">
              <w:rPr>
                <w:rFonts w:ascii="Arial" w:hAnsi="Arial" w:cs="Arial"/>
                <w:bCs/>
                <w:sz w:val="16"/>
                <w:szCs w:val="16"/>
                <w:lang w:eastAsia="en-US"/>
              </w:rPr>
              <w:t>.07)</w:t>
            </w:r>
            <w:r w:rsidR="00D0147F">
              <w:rPr>
                <w:rFonts w:ascii="Arial" w:hAnsi="Arial" w:cs="Arial"/>
                <w:bCs/>
                <w:sz w:val="16"/>
                <w:szCs w:val="16"/>
                <w:lang w:eastAsia="en-US"/>
              </w:rPr>
              <w:t>.</w:t>
            </w:r>
          </w:p>
          <w:p w14:paraId="1B5CED50" w14:textId="77777777" w:rsidR="003C7740" w:rsidRPr="009415D5" w:rsidRDefault="003C7740" w:rsidP="00386A06">
            <w:pPr>
              <w:autoSpaceDE w:val="0"/>
              <w:autoSpaceDN w:val="0"/>
              <w:adjustRightInd w:val="0"/>
              <w:spacing w:before="60" w:after="60" w:line="240" w:lineRule="auto"/>
              <w:rPr>
                <w:rFonts w:ascii="Arial" w:hAnsi="Arial" w:cs="Arial"/>
                <w:b/>
                <w:bCs/>
                <w:sz w:val="16"/>
                <w:szCs w:val="16"/>
                <w:lang w:eastAsia="en-US"/>
              </w:rPr>
            </w:pPr>
          </w:p>
        </w:tc>
      </w:tr>
      <w:tr w:rsidR="003C7740" w:rsidRPr="009415D5" w14:paraId="6F4D376A" w14:textId="77777777" w:rsidTr="000408A3">
        <w:trPr>
          <w:trHeight w:val="1999"/>
        </w:trPr>
        <w:tc>
          <w:tcPr>
            <w:tcW w:w="1414" w:type="dxa"/>
            <w:tcBorders>
              <w:top w:val="nil"/>
              <w:left w:val="single" w:sz="4" w:space="0" w:color="auto"/>
              <w:bottom w:val="single" w:sz="4" w:space="0" w:color="auto"/>
              <w:right w:val="single" w:sz="4" w:space="0" w:color="auto"/>
            </w:tcBorders>
            <w:shd w:val="clear" w:color="auto" w:fill="auto"/>
          </w:tcPr>
          <w:p w14:paraId="070EA5F9" w14:textId="77777777" w:rsidR="003C7740" w:rsidRPr="00D357ED" w:rsidRDefault="003C7740" w:rsidP="00386A06">
            <w:pPr>
              <w:pStyle w:val="TableTextLeft"/>
              <w:spacing w:before="60" w:after="60"/>
            </w:pPr>
          </w:p>
        </w:tc>
        <w:tc>
          <w:tcPr>
            <w:tcW w:w="2290" w:type="dxa"/>
            <w:tcBorders>
              <w:top w:val="dotted" w:sz="4" w:space="0" w:color="auto"/>
              <w:left w:val="single" w:sz="4" w:space="0" w:color="auto"/>
              <w:bottom w:val="single" w:sz="4" w:space="0" w:color="auto"/>
              <w:right w:val="single" w:sz="4" w:space="0" w:color="auto"/>
            </w:tcBorders>
            <w:shd w:val="clear" w:color="auto" w:fill="auto"/>
          </w:tcPr>
          <w:p w14:paraId="5801F335" w14:textId="77777777" w:rsidR="003C7740" w:rsidRPr="00D357ED" w:rsidRDefault="003C7740" w:rsidP="00386A06">
            <w:pPr>
              <w:pStyle w:val="TableTextBase"/>
              <w:spacing w:before="60" w:after="60"/>
              <w:rPr>
                <w:b/>
              </w:rPr>
            </w:pPr>
            <w:r w:rsidRPr="00D357ED">
              <w:rPr>
                <w:b/>
              </w:rPr>
              <w:t>GovCMS supports creation of websites that better connect government with people</w:t>
            </w:r>
          </w:p>
          <w:p w14:paraId="5DDC2978" w14:textId="77777777" w:rsidR="003C7740" w:rsidRPr="00B813A0" w:rsidRDefault="003C7740" w:rsidP="00386A06">
            <w:pPr>
              <w:tabs>
                <w:tab w:val="left" w:pos="709"/>
              </w:tabs>
              <w:spacing w:before="60" w:after="60" w:line="240" w:lineRule="auto"/>
              <w:rPr>
                <w:rFonts w:ascii="Arial" w:eastAsia="Arial" w:hAnsi="Arial" w:cs="Arial"/>
                <w:bCs/>
                <w:sz w:val="16"/>
                <w:szCs w:val="16"/>
              </w:rPr>
            </w:pPr>
            <w:r w:rsidRPr="00186721">
              <w:rPr>
                <w:rFonts w:ascii="Arial" w:eastAsia="Arial" w:hAnsi="Arial" w:cs="Arial"/>
                <w:bCs/>
                <w:sz w:val="16"/>
                <w:szCs w:val="16"/>
              </w:rPr>
              <w:t>Commonwealth entities and companies have access to the GovCMS management and website hosting support platform to assist in the creation of modern, affordable and responsive websites that better connect government wi</w:t>
            </w:r>
            <w:r>
              <w:rPr>
                <w:rFonts w:ascii="Arial" w:eastAsia="Arial" w:hAnsi="Arial" w:cs="Arial"/>
                <w:bCs/>
                <w:sz w:val="16"/>
                <w:szCs w:val="16"/>
              </w:rPr>
              <w:t>th people</w:t>
            </w:r>
          </w:p>
        </w:tc>
        <w:tc>
          <w:tcPr>
            <w:tcW w:w="4091" w:type="dxa"/>
            <w:tcBorders>
              <w:top w:val="dotted" w:sz="4" w:space="0" w:color="auto"/>
              <w:left w:val="single" w:sz="4" w:space="0" w:color="auto"/>
              <w:bottom w:val="single" w:sz="4" w:space="0" w:color="auto"/>
              <w:right w:val="single" w:sz="4" w:space="0" w:color="auto"/>
            </w:tcBorders>
            <w:shd w:val="clear" w:color="auto" w:fill="auto"/>
          </w:tcPr>
          <w:p w14:paraId="622FCC0A" w14:textId="3E3B6D3A" w:rsidR="003C7740" w:rsidRPr="00186721" w:rsidRDefault="003C7740" w:rsidP="00386A06">
            <w:pPr>
              <w:autoSpaceDE w:val="0"/>
              <w:autoSpaceDN w:val="0"/>
              <w:adjustRightInd w:val="0"/>
              <w:spacing w:before="60" w:after="60" w:line="240" w:lineRule="auto"/>
              <w:rPr>
                <w:rFonts w:ascii="Arial" w:hAnsi="Arial" w:cs="Arial"/>
                <w:bCs/>
                <w:sz w:val="16"/>
                <w:szCs w:val="16"/>
                <w:lang w:eastAsia="en-US"/>
              </w:rPr>
            </w:pPr>
            <w:r w:rsidRPr="00186721">
              <w:rPr>
                <w:rFonts w:ascii="Arial" w:hAnsi="Arial" w:cs="Arial"/>
                <w:bCs/>
                <w:sz w:val="16"/>
                <w:szCs w:val="16"/>
                <w:lang w:eastAsia="en-US"/>
              </w:rPr>
              <w:t>The GovCMS platform is available to entities seeking to develop and maintain websites 99% of the time with the exception of scheduled outages</w:t>
            </w:r>
            <w:r w:rsidR="00D0147F">
              <w:rPr>
                <w:rFonts w:ascii="Arial" w:hAnsi="Arial" w:cs="Arial"/>
                <w:bCs/>
                <w:sz w:val="16"/>
                <w:szCs w:val="16"/>
                <w:lang w:eastAsia="en-US"/>
              </w:rPr>
              <w:t>.</w:t>
            </w:r>
          </w:p>
          <w:p w14:paraId="28661555" w14:textId="161D95D8" w:rsidR="003C7740" w:rsidRPr="00186721" w:rsidRDefault="003C7740" w:rsidP="00386A06">
            <w:pPr>
              <w:autoSpaceDE w:val="0"/>
              <w:autoSpaceDN w:val="0"/>
              <w:adjustRightInd w:val="0"/>
              <w:spacing w:before="60" w:after="60" w:line="240" w:lineRule="auto"/>
              <w:rPr>
                <w:rFonts w:ascii="Arial" w:hAnsi="Arial" w:cs="Arial"/>
                <w:bCs/>
                <w:sz w:val="16"/>
                <w:szCs w:val="16"/>
                <w:lang w:eastAsia="en-US"/>
              </w:rPr>
            </w:pPr>
            <w:r w:rsidRPr="00186721">
              <w:rPr>
                <w:rFonts w:ascii="Arial" w:hAnsi="Arial" w:cs="Arial"/>
                <w:bCs/>
                <w:sz w:val="16"/>
                <w:szCs w:val="16"/>
                <w:lang w:eastAsia="en-US"/>
              </w:rPr>
              <w:t>Evidence of continued use of GovCMS by non-corporate Commonwealth entities (target ~350 websites)</w:t>
            </w:r>
            <w:r w:rsidR="00D0147F">
              <w:rPr>
                <w:rFonts w:ascii="Arial" w:hAnsi="Arial" w:cs="Arial"/>
                <w:bCs/>
                <w:sz w:val="16"/>
                <w:szCs w:val="16"/>
                <w:lang w:eastAsia="en-US"/>
              </w:rPr>
              <w:t>.</w:t>
            </w:r>
          </w:p>
        </w:tc>
      </w:tr>
    </w:tbl>
    <w:p w14:paraId="372454E2" w14:textId="77777777" w:rsidR="00511496" w:rsidRDefault="00F0167C" w:rsidP="004B5360">
      <w:pPr>
        <w:pStyle w:val="TableHeading"/>
        <w:spacing w:before="30" w:after="0"/>
        <w:rPr>
          <w:b w:val="0"/>
          <w:color w:val="000000"/>
          <w:sz w:val="16"/>
          <w:lang w:val="x-none" w:eastAsia="x-none"/>
        </w:rPr>
      </w:pPr>
      <w:r w:rsidRPr="004A6E29">
        <w:rPr>
          <w:b w:val="0"/>
          <w:color w:val="000000"/>
          <w:sz w:val="16"/>
          <w:lang w:val="x-none" w:eastAsia="x-none"/>
        </w:rPr>
        <w:t>Table continues on next page</w:t>
      </w:r>
      <w:r w:rsidR="00511496">
        <w:rPr>
          <w:b w:val="0"/>
          <w:color w:val="000000"/>
          <w:sz w:val="16"/>
          <w:lang w:val="x-none" w:eastAsia="x-none"/>
        </w:rPr>
        <w:br w:type="page"/>
      </w:r>
    </w:p>
    <w:p w14:paraId="0FB3B593" w14:textId="77777777" w:rsidR="00E06A4D" w:rsidRDefault="00511496" w:rsidP="004A6E29">
      <w:pPr>
        <w:pStyle w:val="TableHeading"/>
        <w:spacing w:before="0"/>
      </w:pPr>
      <w:r w:rsidRPr="00511496">
        <w:lastRenderedPageBreak/>
        <w:t>Table 2.2.2: Performance measure for Outcome 2 (continued)</w:t>
      </w:r>
    </w:p>
    <w:tbl>
      <w:tblPr>
        <w:tblpPr w:leftFromText="180" w:rightFromText="180" w:vertAnchor="text" w:tblpY="1"/>
        <w:tblOverlap w:val="never"/>
        <w:tblW w:w="7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290"/>
        <w:gridCol w:w="4091"/>
      </w:tblGrid>
      <w:tr w:rsidR="00E06A4D" w:rsidRPr="00ED5B0C" w14:paraId="502A9E81" w14:textId="77777777" w:rsidTr="00757EE6">
        <w:trPr>
          <w:trHeight w:val="527"/>
        </w:trPr>
        <w:tc>
          <w:tcPr>
            <w:tcW w:w="7795" w:type="dxa"/>
            <w:gridSpan w:val="3"/>
            <w:tcBorders>
              <w:top w:val="single" w:sz="4" w:space="0" w:color="auto"/>
              <w:left w:val="single" w:sz="4" w:space="0" w:color="auto"/>
              <w:bottom w:val="single" w:sz="4" w:space="0" w:color="auto"/>
              <w:right w:val="single" w:sz="4" w:space="0" w:color="auto"/>
            </w:tcBorders>
            <w:shd w:val="clear" w:color="auto" w:fill="F2F2F2"/>
          </w:tcPr>
          <w:p w14:paraId="7C498BC2" w14:textId="77777777" w:rsidR="00E06A4D" w:rsidRPr="00ED5B0C" w:rsidRDefault="00E06A4D" w:rsidP="00386A06">
            <w:pPr>
              <w:tabs>
                <w:tab w:val="left" w:pos="709"/>
              </w:tabs>
              <w:spacing w:before="60" w:after="60" w:line="240" w:lineRule="auto"/>
              <w:rPr>
                <w:rFonts w:ascii="Arial" w:eastAsia="Arial" w:hAnsi="Arial" w:cs="Arial"/>
                <w:b/>
                <w:sz w:val="16"/>
                <w:szCs w:val="16"/>
              </w:rPr>
            </w:pPr>
            <w:r w:rsidRPr="00ED5B0C">
              <w:rPr>
                <w:rFonts w:ascii="Arial" w:eastAsia="Arial" w:hAnsi="Arial" w:cs="Arial"/>
                <w:b/>
                <w:sz w:val="16"/>
                <w:szCs w:val="16"/>
              </w:rPr>
              <w:t xml:space="preserve">Program 2.2- Transforming Government </w:t>
            </w:r>
          </w:p>
          <w:p w14:paraId="2C839CFF" w14:textId="77777777" w:rsidR="00E06A4D" w:rsidRPr="00ED5B0C" w:rsidRDefault="00E06A4D" w:rsidP="00386A06">
            <w:pPr>
              <w:tabs>
                <w:tab w:val="left" w:pos="709"/>
              </w:tabs>
              <w:spacing w:before="60" w:after="60" w:line="240" w:lineRule="auto"/>
              <w:rPr>
                <w:rFonts w:ascii="Arial" w:hAnsi="Arial" w:cs="Arial"/>
                <w:sz w:val="16"/>
                <w:szCs w:val="16"/>
              </w:rPr>
            </w:pPr>
            <w:r w:rsidRPr="00ED5B0C">
              <w:rPr>
                <w:rFonts w:ascii="Arial" w:eastAsia="Arial" w:hAnsi="Arial" w:cs="Arial"/>
                <w:sz w:val="16"/>
                <w:szCs w:val="16"/>
              </w:rPr>
              <w:t>This program contributes to the outcome by providing leadership in the development and delivery of reforms and initiatives that support the modernisation of government and increase public sector productivity.</w:t>
            </w:r>
          </w:p>
        </w:tc>
      </w:tr>
      <w:tr w:rsidR="00E06A4D" w:rsidRPr="00361E69" w14:paraId="25FCC0B4" w14:textId="77777777" w:rsidTr="00757EE6">
        <w:trPr>
          <w:trHeight w:val="312"/>
        </w:trPr>
        <w:tc>
          <w:tcPr>
            <w:tcW w:w="1414" w:type="dxa"/>
            <w:tcBorders>
              <w:top w:val="single" w:sz="4" w:space="0" w:color="auto"/>
              <w:bottom w:val="single" w:sz="4" w:space="0" w:color="auto"/>
              <w:right w:val="single" w:sz="4" w:space="0" w:color="auto"/>
            </w:tcBorders>
            <w:shd w:val="clear" w:color="auto" w:fill="auto"/>
          </w:tcPr>
          <w:p w14:paraId="0E0F99BA" w14:textId="77777777" w:rsidR="00E06A4D" w:rsidRPr="00361E69" w:rsidRDefault="00E06A4D" w:rsidP="00386A06">
            <w:pPr>
              <w:tabs>
                <w:tab w:val="left" w:pos="709"/>
              </w:tabs>
              <w:spacing w:before="60" w:after="60" w:line="240" w:lineRule="auto"/>
              <w:rPr>
                <w:rFonts w:ascii="Arial" w:hAnsi="Arial" w:cs="Arial"/>
                <w:b/>
                <w:bCs/>
                <w:sz w:val="16"/>
                <w:szCs w:val="16"/>
              </w:rPr>
            </w:pPr>
            <w:r w:rsidRPr="1362A57E">
              <w:rPr>
                <w:rFonts w:ascii="Arial" w:hAnsi="Arial" w:cs="Arial"/>
                <w:b/>
                <w:bCs/>
                <w:sz w:val="16"/>
                <w:szCs w:val="16"/>
              </w:rPr>
              <w:t>Year</w:t>
            </w:r>
          </w:p>
        </w:tc>
        <w:tc>
          <w:tcPr>
            <w:tcW w:w="2290" w:type="dxa"/>
            <w:tcBorders>
              <w:top w:val="single" w:sz="4" w:space="0" w:color="auto"/>
              <w:left w:val="single" w:sz="4" w:space="0" w:color="auto"/>
              <w:bottom w:val="single" w:sz="4" w:space="0" w:color="auto"/>
              <w:right w:val="single" w:sz="4" w:space="0" w:color="auto"/>
            </w:tcBorders>
            <w:shd w:val="clear" w:color="auto" w:fill="auto"/>
          </w:tcPr>
          <w:p w14:paraId="07892667" w14:textId="77777777" w:rsidR="00E06A4D" w:rsidRPr="00361E69" w:rsidRDefault="00E06A4D" w:rsidP="00386A06">
            <w:pPr>
              <w:tabs>
                <w:tab w:val="left" w:pos="709"/>
                <w:tab w:val="center" w:pos="1818"/>
              </w:tabs>
              <w:spacing w:before="60" w:after="60" w:line="240" w:lineRule="auto"/>
              <w:rPr>
                <w:rFonts w:ascii="Arial" w:hAnsi="Arial" w:cs="Arial"/>
                <w:b/>
                <w:bCs/>
                <w:sz w:val="16"/>
                <w:szCs w:val="16"/>
              </w:rPr>
            </w:pPr>
            <w:r w:rsidRPr="1362A57E">
              <w:rPr>
                <w:rFonts w:ascii="Arial" w:hAnsi="Arial" w:cs="Arial"/>
                <w:b/>
                <w:bCs/>
                <w:sz w:val="16"/>
                <w:szCs w:val="16"/>
              </w:rPr>
              <w:t>Performance measures</w:t>
            </w:r>
          </w:p>
        </w:tc>
        <w:tc>
          <w:tcPr>
            <w:tcW w:w="4091" w:type="dxa"/>
            <w:tcBorders>
              <w:top w:val="single" w:sz="4" w:space="0" w:color="auto"/>
              <w:left w:val="single" w:sz="4" w:space="0" w:color="auto"/>
              <w:bottom w:val="single" w:sz="4" w:space="0" w:color="auto"/>
            </w:tcBorders>
            <w:shd w:val="clear" w:color="auto" w:fill="auto"/>
          </w:tcPr>
          <w:p w14:paraId="3392E8E1" w14:textId="77777777" w:rsidR="00E06A4D" w:rsidRPr="00361E69" w:rsidRDefault="00E06A4D" w:rsidP="00386A06">
            <w:pPr>
              <w:tabs>
                <w:tab w:val="left" w:pos="709"/>
              </w:tabs>
              <w:spacing w:before="60" w:after="60" w:line="240" w:lineRule="auto"/>
              <w:rPr>
                <w:rFonts w:ascii="Arial" w:hAnsi="Arial" w:cs="Arial"/>
                <w:b/>
                <w:bCs/>
                <w:sz w:val="16"/>
                <w:szCs w:val="16"/>
              </w:rPr>
            </w:pPr>
            <w:r w:rsidRPr="1362A57E">
              <w:rPr>
                <w:rFonts w:ascii="Arial" w:hAnsi="Arial" w:cs="Arial"/>
                <w:b/>
                <w:bCs/>
                <w:sz w:val="16"/>
                <w:szCs w:val="16"/>
              </w:rPr>
              <w:t>Expected Performance Results</w:t>
            </w:r>
          </w:p>
        </w:tc>
      </w:tr>
      <w:tr w:rsidR="00E06A4D" w:rsidRPr="009415D5" w14:paraId="7D4D2B46" w14:textId="77777777" w:rsidTr="00757EE6">
        <w:trPr>
          <w:trHeight w:val="1999"/>
        </w:trPr>
        <w:tc>
          <w:tcPr>
            <w:tcW w:w="1414" w:type="dxa"/>
            <w:tcBorders>
              <w:top w:val="single" w:sz="4" w:space="0" w:color="auto"/>
              <w:left w:val="single" w:sz="4" w:space="0" w:color="auto"/>
              <w:bottom w:val="dotted" w:sz="4" w:space="0" w:color="auto"/>
              <w:right w:val="single" w:sz="4" w:space="0" w:color="auto"/>
            </w:tcBorders>
            <w:shd w:val="clear" w:color="auto" w:fill="auto"/>
          </w:tcPr>
          <w:p w14:paraId="6C797F5F" w14:textId="77777777" w:rsidR="00E06A4D" w:rsidRPr="006B7BE5" w:rsidRDefault="00E06A4D" w:rsidP="00386A06">
            <w:pPr>
              <w:pStyle w:val="TableTextLeft"/>
              <w:spacing w:before="60" w:after="60"/>
              <w:rPr>
                <w:rFonts w:cs="Arial"/>
                <w:szCs w:val="16"/>
              </w:rPr>
            </w:pPr>
            <w:r w:rsidRPr="006B7BE5">
              <w:rPr>
                <w:rFonts w:cs="Arial"/>
                <w:szCs w:val="16"/>
              </w:rPr>
              <w:t xml:space="preserve">Budget Year </w:t>
            </w:r>
          </w:p>
          <w:p w14:paraId="0C185261" w14:textId="77777777" w:rsidR="00E06A4D" w:rsidRPr="00361E69" w:rsidRDefault="00E06A4D" w:rsidP="00386A06">
            <w:pPr>
              <w:pStyle w:val="TableTextLeft"/>
              <w:spacing w:before="60" w:after="60"/>
              <w:rPr>
                <w:rFonts w:cs="Arial"/>
                <w:szCs w:val="16"/>
              </w:rPr>
            </w:pPr>
            <w:r w:rsidRPr="006B7BE5">
              <w:rPr>
                <w:rFonts w:cs="Arial"/>
                <w:szCs w:val="16"/>
              </w:rPr>
              <w:t xml:space="preserve">2022-23 </w:t>
            </w:r>
            <w:r>
              <w:rPr>
                <w:rFonts w:cs="Arial"/>
                <w:szCs w:val="16"/>
              </w:rPr>
              <w:t>(continued)</w:t>
            </w:r>
          </w:p>
        </w:tc>
        <w:tc>
          <w:tcPr>
            <w:tcW w:w="2290" w:type="dxa"/>
            <w:tcBorders>
              <w:top w:val="single" w:sz="4" w:space="0" w:color="auto"/>
              <w:left w:val="single" w:sz="4" w:space="0" w:color="auto"/>
              <w:bottom w:val="dotted" w:sz="4" w:space="0" w:color="auto"/>
              <w:right w:val="single" w:sz="4" w:space="0" w:color="auto"/>
            </w:tcBorders>
            <w:shd w:val="clear" w:color="auto" w:fill="auto"/>
          </w:tcPr>
          <w:p w14:paraId="1C1D1840" w14:textId="77777777" w:rsidR="00E06A4D" w:rsidRPr="00CC6CF9" w:rsidRDefault="00E06A4D" w:rsidP="00386A06">
            <w:pPr>
              <w:pStyle w:val="TableTextBase"/>
              <w:spacing w:before="60" w:after="60"/>
              <w:rPr>
                <w:rFonts w:cs="Arial"/>
                <w:b/>
                <w:i/>
                <w:szCs w:val="16"/>
              </w:rPr>
            </w:pPr>
            <w:r w:rsidRPr="00CC6CF9">
              <w:rPr>
                <w:rFonts w:cs="Arial"/>
                <w:b/>
                <w:i/>
                <w:szCs w:val="16"/>
              </w:rPr>
              <w:t xml:space="preserve">Participation in the DATA Scheme </w:t>
            </w:r>
          </w:p>
          <w:p w14:paraId="23380DE4" w14:textId="77777777" w:rsidR="00E06A4D" w:rsidRPr="006B7BE5" w:rsidRDefault="00E06A4D" w:rsidP="00386A06">
            <w:pPr>
              <w:tabs>
                <w:tab w:val="left" w:pos="709"/>
              </w:tabs>
              <w:spacing w:before="60" w:after="60" w:line="240" w:lineRule="auto"/>
              <w:rPr>
                <w:rFonts w:ascii="Arial" w:eastAsia="Arial" w:hAnsi="Arial" w:cs="Arial"/>
                <w:sz w:val="16"/>
                <w:szCs w:val="16"/>
              </w:rPr>
            </w:pPr>
            <w:r w:rsidRPr="00CC6CF9">
              <w:rPr>
                <w:rFonts w:ascii="Arial" w:hAnsi="Arial" w:cs="Arial"/>
                <w:i/>
                <w:sz w:val="16"/>
                <w:szCs w:val="16"/>
              </w:rPr>
              <w:t>Finance, through the Office of the National Data Commissioner, is supporting safe data sharing to deliver better government services, policies and programs and to support research and innovation.</w:t>
            </w:r>
          </w:p>
        </w:tc>
        <w:tc>
          <w:tcPr>
            <w:tcW w:w="4091" w:type="dxa"/>
            <w:tcBorders>
              <w:top w:val="single" w:sz="4" w:space="0" w:color="auto"/>
              <w:left w:val="single" w:sz="4" w:space="0" w:color="auto"/>
              <w:bottom w:val="dotted" w:sz="4" w:space="0" w:color="auto"/>
              <w:right w:val="single" w:sz="4" w:space="0" w:color="auto"/>
            </w:tcBorders>
            <w:shd w:val="clear" w:color="auto" w:fill="auto"/>
          </w:tcPr>
          <w:p w14:paraId="3093A49F" w14:textId="500B60E0" w:rsidR="00E06A4D" w:rsidRPr="00CC6CF9" w:rsidRDefault="00E06A4D" w:rsidP="00386A06">
            <w:pPr>
              <w:tabs>
                <w:tab w:val="left" w:pos="709"/>
              </w:tabs>
              <w:spacing w:before="60" w:after="60" w:line="240" w:lineRule="auto"/>
              <w:rPr>
                <w:rFonts w:ascii="Arial" w:hAnsi="Arial" w:cs="Arial"/>
                <w:i/>
                <w:sz w:val="16"/>
                <w:szCs w:val="16"/>
              </w:rPr>
            </w:pPr>
            <w:r w:rsidRPr="00CC6CF9">
              <w:rPr>
                <w:rFonts w:ascii="Arial" w:hAnsi="Arial" w:cs="Arial"/>
                <w:i/>
                <w:sz w:val="16"/>
                <w:szCs w:val="16"/>
              </w:rPr>
              <w:t xml:space="preserve">Strengthened data handling and sharing across the </w:t>
            </w:r>
            <w:r w:rsidR="00D0147F" w:rsidRPr="00CC6CF9">
              <w:rPr>
                <w:rFonts w:ascii="Arial" w:hAnsi="Arial" w:cs="Arial"/>
                <w:i/>
                <w:sz w:val="16"/>
                <w:szCs w:val="16"/>
              </w:rPr>
              <w:t>APS</w:t>
            </w:r>
            <w:r w:rsidRPr="00CC6CF9">
              <w:rPr>
                <w:rFonts w:ascii="Arial" w:hAnsi="Arial" w:cs="Arial"/>
                <w:i/>
                <w:sz w:val="16"/>
                <w:szCs w:val="16"/>
              </w:rPr>
              <w:t xml:space="preserve"> (target: 10 Data Discovery projects complete)</w:t>
            </w:r>
            <w:r w:rsidR="00D0147F" w:rsidRPr="00CC6CF9">
              <w:rPr>
                <w:rFonts w:ascii="Arial" w:hAnsi="Arial" w:cs="Arial"/>
                <w:i/>
                <w:sz w:val="16"/>
                <w:szCs w:val="16"/>
              </w:rPr>
              <w:t>.</w:t>
            </w:r>
          </w:p>
          <w:p w14:paraId="2B1F4772" w14:textId="4D554572" w:rsidR="00E06A4D" w:rsidRPr="00CC6CF9" w:rsidRDefault="00E06A4D" w:rsidP="00386A06">
            <w:pPr>
              <w:tabs>
                <w:tab w:val="left" w:pos="709"/>
              </w:tabs>
              <w:spacing w:before="60" w:after="60" w:line="240" w:lineRule="auto"/>
              <w:rPr>
                <w:rFonts w:ascii="Arial" w:hAnsi="Arial" w:cs="Arial"/>
                <w:i/>
                <w:sz w:val="16"/>
                <w:szCs w:val="16"/>
              </w:rPr>
            </w:pPr>
            <w:r w:rsidRPr="00CC6CF9">
              <w:rPr>
                <w:rFonts w:ascii="Arial" w:hAnsi="Arial" w:cs="Arial"/>
                <w:i/>
                <w:sz w:val="16"/>
                <w:szCs w:val="16"/>
              </w:rPr>
              <w:t>Institutional arrangements in place to support safe, transparent and consistent data sharing. (</w:t>
            </w:r>
            <w:proofErr w:type="gramStart"/>
            <w:r w:rsidRPr="00CC6CF9">
              <w:rPr>
                <w:rFonts w:ascii="Arial" w:hAnsi="Arial" w:cs="Arial"/>
                <w:i/>
                <w:sz w:val="16"/>
                <w:szCs w:val="16"/>
              </w:rPr>
              <w:t>target</w:t>
            </w:r>
            <w:proofErr w:type="gramEnd"/>
            <w:r w:rsidRPr="00CC6CF9">
              <w:rPr>
                <w:rFonts w:ascii="Arial" w:hAnsi="Arial" w:cs="Arial"/>
                <w:i/>
                <w:sz w:val="16"/>
                <w:szCs w:val="16"/>
              </w:rPr>
              <w:t>: legislative requirements such as the Data Code are in place; and timelines for implementing the DATA Scheme including opening accreditation are met)</w:t>
            </w:r>
            <w:r w:rsidR="00D0147F" w:rsidRPr="00CC6CF9">
              <w:rPr>
                <w:rFonts w:ascii="Arial" w:hAnsi="Arial" w:cs="Arial"/>
                <w:i/>
                <w:sz w:val="16"/>
                <w:szCs w:val="16"/>
              </w:rPr>
              <w:t>.</w:t>
            </w:r>
          </w:p>
          <w:p w14:paraId="52280442" w14:textId="3CC0B012" w:rsidR="00E06A4D" w:rsidRPr="00CC6CF9" w:rsidRDefault="00E06A4D" w:rsidP="00386A06">
            <w:pPr>
              <w:tabs>
                <w:tab w:val="left" w:pos="709"/>
              </w:tabs>
              <w:spacing w:before="60" w:after="60" w:line="240" w:lineRule="auto"/>
              <w:rPr>
                <w:rFonts w:ascii="Arial" w:hAnsi="Arial" w:cs="Arial"/>
                <w:i/>
                <w:sz w:val="16"/>
                <w:szCs w:val="16"/>
              </w:rPr>
            </w:pPr>
            <w:r w:rsidRPr="00CC6CF9">
              <w:rPr>
                <w:rFonts w:ascii="Arial" w:hAnsi="Arial" w:cs="Arial"/>
                <w:i/>
                <w:sz w:val="16"/>
                <w:szCs w:val="16"/>
              </w:rPr>
              <w:t>Awareness and understanding of the DATA Scheme (% participants engaged) (target: 100% of potential participants are made aware of the DATA Scheme and requirements through information sessions, briefings and other media)</w:t>
            </w:r>
            <w:r w:rsidR="00D0147F" w:rsidRPr="00CC6CF9">
              <w:rPr>
                <w:rFonts w:ascii="Arial" w:hAnsi="Arial" w:cs="Arial"/>
                <w:i/>
                <w:sz w:val="16"/>
                <w:szCs w:val="16"/>
              </w:rPr>
              <w:t>.</w:t>
            </w:r>
          </w:p>
          <w:p w14:paraId="5D7F7234" w14:textId="15B062BD" w:rsidR="00E06A4D" w:rsidRPr="006B7BE5" w:rsidRDefault="00E06A4D" w:rsidP="00386A06">
            <w:pPr>
              <w:tabs>
                <w:tab w:val="left" w:pos="709"/>
              </w:tabs>
              <w:spacing w:before="60" w:after="60" w:line="240" w:lineRule="auto"/>
              <w:rPr>
                <w:rFonts w:ascii="Arial" w:hAnsi="Arial" w:cs="Arial"/>
                <w:sz w:val="16"/>
                <w:szCs w:val="16"/>
              </w:rPr>
            </w:pPr>
            <w:r w:rsidRPr="00CC6CF9">
              <w:rPr>
                <w:rFonts w:ascii="Arial" w:hAnsi="Arial" w:cs="Arial"/>
                <w:i/>
                <w:sz w:val="16"/>
                <w:szCs w:val="16"/>
              </w:rPr>
              <w:t xml:space="preserve">Participants on </w:t>
            </w:r>
            <w:proofErr w:type="spellStart"/>
            <w:r w:rsidRPr="00CC6CF9">
              <w:rPr>
                <w:rFonts w:ascii="Arial" w:hAnsi="Arial" w:cs="Arial"/>
                <w:i/>
                <w:sz w:val="16"/>
                <w:szCs w:val="16"/>
              </w:rPr>
              <w:t>Dataplace</w:t>
            </w:r>
            <w:proofErr w:type="spellEnd"/>
            <w:r w:rsidRPr="00CC6CF9">
              <w:rPr>
                <w:rFonts w:ascii="Arial" w:hAnsi="Arial" w:cs="Arial"/>
                <w:i/>
                <w:sz w:val="16"/>
                <w:szCs w:val="16"/>
              </w:rPr>
              <w:t xml:space="preserve"> (target: 40 participants)</w:t>
            </w:r>
            <w:r w:rsidR="00D0147F" w:rsidRPr="00CC6CF9">
              <w:rPr>
                <w:rFonts w:ascii="Arial" w:hAnsi="Arial" w:cs="Arial"/>
                <w:i/>
                <w:sz w:val="16"/>
                <w:szCs w:val="16"/>
              </w:rPr>
              <w:t>.</w:t>
            </w:r>
          </w:p>
        </w:tc>
      </w:tr>
      <w:tr w:rsidR="00E06A4D" w:rsidRPr="009415D5" w14:paraId="0FB496C5" w14:textId="77777777" w:rsidTr="00757EE6">
        <w:trPr>
          <w:trHeight w:val="1999"/>
        </w:trPr>
        <w:tc>
          <w:tcPr>
            <w:tcW w:w="1414" w:type="dxa"/>
            <w:tcBorders>
              <w:top w:val="dotted" w:sz="4" w:space="0" w:color="auto"/>
              <w:left w:val="single" w:sz="4" w:space="0" w:color="auto"/>
              <w:bottom w:val="nil"/>
              <w:right w:val="single" w:sz="4" w:space="0" w:color="auto"/>
            </w:tcBorders>
            <w:shd w:val="clear" w:color="auto" w:fill="auto"/>
          </w:tcPr>
          <w:p w14:paraId="14821C56" w14:textId="77777777" w:rsidR="00E06A4D" w:rsidRPr="00D357ED" w:rsidRDefault="00E06A4D" w:rsidP="00386A06">
            <w:pPr>
              <w:pStyle w:val="TableTextLeft"/>
              <w:spacing w:before="60" w:after="60"/>
            </w:pPr>
            <w:r w:rsidRPr="00D357ED">
              <w:t xml:space="preserve">Forward Estimates </w:t>
            </w:r>
          </w:p>
          <w:p w14:paraId="5E85C51D" w14:textId="77777777" w:rsidR="00E06A4D" w:rsidRPr="00D357ED" w:rsidRDefault="00E06A4D" w:rsidP="00386A06">
            <w:pPr>
              <w:pStyle w:val="TableTextLeft"/>
              <w:spacing w:before="60" w:after="60"/>
              <w:rPr>
                <w:b/>
              </w:rPr>
            </w:pPr>
            <w:r w:rsidRPr="00D357ED">
              <w:t>2023-26</w:t>
            </w:r>
          </w:p>
          <w:p w14:paraId="4CE7DA60" w14:textId="77777777" w:rsidR="00E06A4D" w:rsidRPr="005612F7" w:rsidRDefault="00E06A4D" w:rsidP="00386A06">
            <w:pPr>
              <w:pStyle w:val="TableTextLeft"/>
              <w:spacing w:before="60" w:after="60"/>
              <w:rPr>
                <w:rFonts w:cs="Arial"/>
                <w:szCs w:val="16"/>
              </w:rPr>
            </w:pPr>
          </w:p>
        </w:tc>
        <w:tc>
          <w:tcPr>
            <w:tcW w:w="2290" w:type="dxa"/>
            <w:tcBorders>
              <w:top w:val="dotted" w:sz="4" w:space="0" w:color="auto"/>
              <w:left w:val="single" w:sz="4" w:space="0" w:color="auto"/>
              <w:bottom w:val="dotted" w:sz="4" w:space="0" w:color="auto"/>
              <w:right w:val="single" w:sz="4" w:space="0" w:color="auto"/>
            </w:tcBorders>
            <w:shd w:val="clear" w:color="auto" w:fill="auto"/>
          </w:tcPr>
          <w:p w14:paraId="75B183D7" w14:textId="77777777" w:rsidR="00E06A4D" w:rsidRPr="00D357ED" w:rsidRDefault="00E06A4D" w:rsidP="00386A06">
            <w:pPr>
              <w:pStyle w:val="TableTextBase"/>
              <w:spacing w:before="60" w:after="60"/>
              <w:rPr>
                <w:b/>
              </w:rPr>
            </w:pPr>
            <w:proofErr w:type="spellStart"/>
            <w:r w:rsidRPr="00D357ED">
              <w:rPr>
                <w:b/>
              </w:rPr>
              <w:t>GovTEAMS</w:t>
            </w:r>
            <w:proofErr w:type="spellEnd"/>
            <w:r w:rsidRPr="00D357ED">
              <w:rPr>
                <w:b/>
              </w:rPr>
              <w:t xml:space="preserve"> improves public sector productivity</w:t>
            </w:r>
          </w:p>
          <w:p w14:paraId="63FB3AB9" w14:textId="57E4FDC5" w:rsidR="00E06A4D" w:rsidRDefault="00E06A4D" w:rsidP="00386A06">
            <w:pPr>
              <w:pStyle w:val="TableTextBase"/>
              <w:spacing w:before="60" w:after="60"/>
            </w:pPr>
            <w:r w:rsidRPr="00D357ED">
              <w:t>As per 2022-23</w:t>
            </w:r>
          </w:p>
          <w:p w14:paraId="3808B65B" w14:textId="77777777" w:rsidR="00E06A4D" w:rsidRDefault="00E06A4D" w:rsidP="00386A06">
            <w:pPr>
              <w:pStyle w:val="TableTextBase"/>
              <w:spacing w:before="60" w:after="60"/>
              <w:rPr>
                <w:rFonts w:cs="Arial"/>
                <w:b/>
                <w:szCs w:val="16"/>
              </w:rPr>
            </w:pPr>
          </w:p>
          <w:p w14:paraId="41489128" w14:textId="77777777" w:rsidR="00E06A4D" w:rsidRDefault="00E06A4D" w:rsidP="00386A06">
            <w:pPr>
              <w:pStyle w:val="TableTextBase"/>
              <w:spacing w:before="60" w:after="60"/>
              <w:rPr>
                <w:rFonts w:cs="Arial"/>
                <w:b/>
                <w:szCs w:val="16"/>
              </w:rPr>
            </w:pPr>
          </w:p>
          <w:p w14:paraId="17F58C0B" w14:textId="77777777" w:rsidR="00E06A4D" w:rsidRDefault="00E06A4D" w:rsidP="00386A06">
            <w:pPr>
              <w:pStyle w:val="TableTextBase"/>
              <w:spacing w:before="60" w:after="60"/>
              <w:rPr>
                <w:rFonts w:cs="Arial"/>
                <w:b/>
                <w:szCs w:val="16"/>
              </w:rPr>
            </w:pPr>
          </w:p>
          <w:p w14:paraId="420A33AC" w14:textId="77777777" w:rsidR="00E06A4D" w:rsidRDefault="00E06A4D" w:rsidP="00386A06">
            <w:pPr>
              <w:pStyle w:val="TableTextBase"/>
              <w:spacing w:before="60" w:after="60"/>
              <w:rPr>
                <w:rFonts w:cs="Arial"/>
                <w:b/>
                <w:szCs w:val="16"/>
              </w:rPr>
            </w:pPr>
          </w:p>
          <w:p w14:paraId="1C6D37BC" w14:textId="77777777" w:rsidR="00E06A4D" w:rsidRDefault="00E06A4D" w:rsidP="00386A06">
            <w:pPr>
              <w:pStyle w:val="TableTextBase"/>
              <w:spacing w:before="60" w:after="60"/>
              <w:rPr>
                <w:rFonts w:cs="Arial"/>
                <w:b/>
                <w:szCs w:val="16"/>
              </w:rPr>
            </w:pPr>
          </w:p>
          <w:p w14:paraId="24FFF081" w14:textId="77777777" w:rsidR="00E06A4D" w:rsidRDefault="00E06A4D" w:rsidP="00386A06">
            <w:pPr>
              <w:pStyle w:val="TableTextBase"/>
              <w:spacing w:before="60" w:after="60"/>
              <w:rPr>
                <w:rFonts w:cs="Arial"/>
                <w:b/>
                <w:szCs w:val="16"/>
              </w:rPr>
            </w:pPr>
          </w:p>
          <w:p w14:paraId="47BC0C45" w14:textId="75A8D059" w:rsidR="00E06A4D" w:rsidRPr="00DD55D1" w:rsidRDefault="00E06A4D" w:rsidP="00386A06">
            <w:pPr>
              <w:pStyle w:val="TableTextBase"/>
              <w:spacing w:before="60" w:after="60"/>
              <w:rPr>
                <w:rFonts w:cs="Arial"/>
                <w:szCs w:val="16"/>
              </w:rPr>
            </w:pPr>
          </w:p>
        </w:tc>
        <w:tc>
          <w:tcPr>
            <w:tcW w:w="4091" w:type="dxa"/>
            <w:tcBorders>
              <w:top w:val="dotted" w:sz="4" w:space="0" w:color="auto"/>
              <w:left w:val="single" w:sz="4" w:space="0" w:color="auto"/>
              <w:bottom w:val="dotted" w:sz="4" w:space="0" w:color="auto"/>
              <w:right w:val="single" w:sz="4" w:space="0" w:color="auto"/>
            </w:tcBorders>
            <w:shd w:val="clear" w:color="auto" w:fill="auto"/>
          </w:tcPr>
          <w:p w14:paraId="142F8D5C" w14:textId="5BC0D2B9" w:rsidR="00E06A4D" w:rsidRPr="00DD55D1" w:rsidRDefault="00E06A4D" w:rsidP="00D71DF6">
            <w:pPr>
              <w:tabs>
                <w:tab w:val="left" w:pos="709"/>
              </w:tabs>
              <w:spacing w:before="60" w:after="60" w:line="240" w:lineRule="auto"/>
              <w:rPr>
                <w:rFonts w:ascii="Arial" w:hAnsi="Arial" w:cs="Arial"/>
                <w:sz w:val="16"/>
                <w:szCs w:val="16"/>
              </w:rPr>
            </w:pPr>
            <w:proofErr w:type="spellStart"/>
            <w:r w:rsidRPr="00DD55D1">
              <w:rPr>
                <w:rFonts w:ascii="Arial" w:hAnsi="Arial" w:cs="Arial"/>
                <w:sz w:val="16"/>
                <w:szCs w:val="16"/>
              </w:rPr>
              <w:t>GovTEAMS</w:t>
            </w:r>
            <w:proofErr w:type="spellEnd"/>
            <w:r w:rsidRPr="00DD55D1">
              <w:rPr>
                <w:rFonts w:ascii="Arial" w:hAnsi="Arial" w:cs="Arial"/>
                <w:sz w:val="16"/>
                <w:szCs w:val="16"/>
              </w:rPr>
              <w:t xml:space="preserve"> platform is fully operational in accordance with set pe</w:t>
            </w:r>
            <w:r>
              <w:rPr>
                <w:rFonts w:ascii="Arial" w:hAnsi="Arial" w:cs="Arial"/>
                <w:sz w:val="16"/>
                <w:szCs w:val="16"/>
              </w:rPr>
              <w:t>rformance targets (target: 99%)</w:t>
            </w:r>
            <w:r w:rsidR="00D0147F">
              <w:rPr>
                <w:rFonts w:ascii="Arial" w:hAnsi="Arial" w:cs="Arial"/>
                <w:sz w:val="16"/>
                <w:szCs w:val="16"/>
              </w:rPr>
              <w:t>.</w:t>
            </w:r>
          </w:p>
          <w:p w14:paraId="7F4EB12C" w14:textId="77777777" w:rsidR="00E06A4D" w:rsidRPr="00DD55D1" w:rsidRDefault="00E06A4D" w:rsidP="00D71DF6">
            <w:pPr>
              <w:tabs>
                <w:tab w:val="left" w:pos="709"/>
              </w:tabs>
              <w:spacing w:before="60" w:after="60" w:line="240" w:lineRule="auto"/>
              <w:rPr>
                <w:rFonts w:ascii="Arial" w:hAnsi="Arial" w:cs="Arial"/>
                <w:sz w:val="16"/>
                <w:szCs w:val="16"/>
              </w:rPr>
            </w:pPr>
            <w:proofErr w:type="spellStart"/>
            <w:r w:rsidRPr="00DD55D1">
              <w:rPr>
                <w:rFonts w:ascii="Arial" w:hAnsi="Arial" w:cs="Arial"/>
                <w:sz w:val="16"/>
                <w:szCs w:val="16"/>
              </w:rPr>
              <w:t>GovTEAMS</w:t>
            </w:r>
            <w:proofErr w:type="spellEnd"/>
            <w:r w:rsidRPr="00DD55D1">
              <w:rPr>
                <w:rFonts w:ascii="Arial" w:hAnsi="Arial" w:cs="Arial"/>
                <w:sz w:val="16"/>
                <w:szCs w:val="16"/>
              </w:rPr>
              <w:t xml:space="preserve"> active user count </w:t>
            </w:r>
          </w:p>
          <w:p w14:paraId="08EFF261" w14:textId="77777777" w:rsidR="00E06A4D" w:rsidRPr="00D12B3D" w:rsidRDefault="00E06A4D" w:rsidP="00D71DF6">
            <w:pPr>
              <w:pStyle w:val="ListParagraph"/>
              <w:numPr>
                <w:ilvl w:val="1"/>
                <w:numId w:val="60"/>
              </w:numPr>
              <w:tabs>
                <w:tab w:val="left" w:pos="709"/>
              </w:tabs>
              <w:spacing w:before="60" w:after="60" w:line="240" w:lineRule="auto"/>
              <w:ind w:left="527" w:hanging="357"/>
              <w:contextualSpacing w:val="0"/>
              <w:rPr>
                <w:rFonts w:ascii="Arial" w:hAnsi="Arial" w:cs="Arial"/>
                <w:sz w:val="16"/>
                <w:szCs w:val="16"/>
              </w:rPr>
            </w:pPr>
            <w:r w:rsidRPr="00D12B3D">
              <w:rPr>
                <w:rFonts w:ascii="Arial" w:hAnsi="Arial" w:cs="Arial"/>
                <w:sz w:val="16"/>
                <w:szCs w:val="16"/>
              </w:rPr>
              <w:t>2023-24 target: 32,500</w:t>
            </w:r>
          </w:p>
          <w:p w14:paraId="78321D6B" w14:textId="77777777" w:rsidR="00E06A4D" w:rsidRPr="00D12B3D" w:rsidRDefault="00E06A4D" w:rsidP="00D71DF6">
            <w:pPr>
              <w:pStyle w:val="ListParagraph"/>
              <w:numPr>
                <w:ilvl w:val="1"/>
                <w:numId w:val="60"/>
              </w:numPr>
              <w:tabs>
                <w:tab w:val="left" w:pos="709"/>
              </w:tabs>
              <w:spacing w:before="60" w:after="60" w:line="240" w:lineRule="auto"/>
              <w:ind w:left="527" w:hanging="357"/>
              <w:contextualSpacing w:val="0"/>
              <w:rPr>
                <w:rFonts w:ascii="Arial" w:hAnsi="Arial" w:cs="Arial"/>
                <w:sz w:val="16"/>
                <w:szCs w:val="16"/>
              </w:rPr>
            </w:pPr>
            <w:r w:rsidRPr="00D12B3D">
              <w:rPr>
                <w:rFonts w:ascii="Arial" w:hAnsi="Arial" w:cs="Arial"/>
                <w:sz w:val="16"/>
                <w:szCs w:val="16"/>
              </w:rPr>
              <w:t>2024-25 target: 35,000</w:t>
            </w:r>
          </w:p>
          <w:p w14:paraId="4737C344" w14:textId="4216F004" w:rsidR="00E06A4D" w:rsidRPr="00386A06" w:rsidRDefault="00E06A4D" w:rsidP="00D71DF6">
            <w:pPr>
              <w:pStyle w:val="ListParagraph"/>
              <w:numPr>
                <w:ilvl w:val="1"/>
                <w:numId w:val="60"/>
              </w:numPr>
              <w:tabs>
                <w:tab w:val="left" w:pos="709"/>
              </w:tabs>
              <w:spacing w:before="60" w:after="60" w:line="240" w:lineRule="auto"/>
              <w:ind w:left="527" w:hanging="357"/>
              <w:contextualSpacing w:val="0"/>
              <w:rPr>
                <w:rFonts w:ascii="Arial" w:hAnsi="Arial" w:cs="Arial"/>
                <w:sz w:val="16"/>
                <w:szCs w:val="16"/>
              </w:rPr>
            </w:pPr>
            <w:r w:rsidRPr="00D12B3D">
              <w:rPr>
                <w:rFonts w:ascii="Arial" w:hAnsi="Arial" w:cs="Arial"/>
                <w:sz w:val="16"/>
                <w:szCs w:val="16"/>
              </w:rPr>
              <w:t>2025-26 target: 37,500</w:t>
            </w:r>
          </w:p>
          <w:p w14:paraId="414ADBC6" w14:textId="77777777" w:rsidR="00E06A4D" w:rsidRPr="00DD55D1" w:rsidRDefault="00E06A4D" w:rsidP="00D71DF6">
            <w:pPr>
              <w:tabs>
                <w:tab w:val="left" w:pos="709"/>
              </w:tabs>
              <w:spacing w:before="60" w:after="60" w:line="240" w:lineRule="auto"/>
              <w:rPr>
                <w:rFonts w:ascii="Arial" w:hAnsi="Arial" w:cs="Arial"/>
                <w:sz w:val="16"/>
                <w:szCs w:val="16"/>
              </w:rPr>
            </w:pPr>
            <w:proofErr w:type="spellStart"/>
            <w:r w:rsidRPr="00DD55D1">
              <w:rPr>
                <w:rFonts w:ascii="Arial" w:hAnsi="Arial" w:cs="Arial"/>
                <w:sz w:val="16"/>
                <w:szCs w:val="16"/>
              </w:rPr>
              <w:t>GovTEAMS</w:t>
            </w:r>
            <w:proofErr w:type="spellEnd"/>
            <w:r w:rsidRPr="00DD55D1">
              <w:rPr>
                <w:rFonts w:ascii="Arial" w:hAnsi="Arial" w:cs="Arial"/>
                <w:sz w:val="16"/>
                <w:szCs w:val="16"/>
              </w:rPr>
              <w:t xml:space="preserve"> usage – average number of interactions per active user per month </w:t>
            </w:r>
          </w:p>
          <w:p w14:paraId="6FDE0D20" w14:textId="77777777" w:rsidR="00E06A4D" w:rsidRPr="00D12B3D" w:rsidRDefault="00E06A4D" w:rsidP="00D71DF6">
            <w:pPr>
              <w:pStyle w:val="ListParagraph"/>
              <w:numPr>
                <w:ilvl w:val="1"/>
                <w:numId w:val="61"/>
              </w:numPr>
              <w:tabs>
                <w:tab w:val="left" w:pos="709"/>
              </w:tabs>
              <w:spacing w:before="60" w:after="60" w:line="240" w:lineRule="auto"/>
              <w:ind w:left="527" w:hanging="357"/>
              <w:contextualSpacing w:val="0"/>
              <w:rPr>
                <w:rFonts w:ascii="Arial" w:hAnsi="Arial" w:cs="Arial"/>
                <w:sz w:val="16"/>
                <w:szCs w:val="16"/>
              </w:rPr>
            </w:pPr>
            <w:r w:rsidRPr="00D12B3D">
              <w:rPr>
                <w:rFonts w:ascii="Arial" w:hAnsi="Arial" w:cs="Arial"/>
                <w:sz w:val="16"/>
                <w:szCs w:val="16"/>
              </w:rPr>
              <w:t>2023-24 target: 29.29</w:t>
            </w:r>
          </w:p>
          <w:p w14:paraId="34AA686E" w14:textId="77777777" w:rsidR="00E06A4D" w:rsidRPr="00D12B3D" w:rsidRDefault="00E06A4D" w:rsidP="00D71DF6">
            <w:pPr>
              <w:pStyle w:val="ListParagraph"/>
              <w:numPr>
                <w:ilvl w:val="1"/>
                <w:numId w:val="61"/>
              </w:numPr>
              <w:tabs>
                <w:tab w:val="left" w:pos="709"/>
              </w:tabs>
              <w:spacing w:before="60" w:after="60" w:line="240" w:lineRule="auto"/>
              <w:ind w:left="527" w:hanging="357"/>
              <w:contextualSpacing w:val="0"/>
              <w:rPr>
                <w:rFonts w:ascii="Arial" w:hAnsi="Arial" w:cs="Arial"/>
                <w:sz w:val="16"/>
                <w:szCs w:val="16"/>
              </w:rPr>
            </w:pPr>
            <w:r w:rsidRPr="00D12B3D">
              <w:rPr>
                <w:rFonts w:ascii="Arial" w:hAnsi="Arial" w:cs="Arial"/>
                <w:sz w:val="16"/>
                <w:szCs w:val="16"/>
              </w:rPr>
              <w:t>2024-25 target: 29.49</w:t>
            </w:r>
          </w:p>
          <w:p w14:paraId="08751BB5" w14:textId="77777777" w:rsidR="00E06A4D" w:rsidRPr="00B813A0" w:rsidRDefault="00E06A4D" w:rsidP="00D71DF6">
            <w:pPr>
              <w:pStyle w:val="ListParagraph"/>
              <w:numPr>
                <w:ilvl w:val="1"/>
                <w:numId w:val="61"/>
              </w:numPr>
              <w:tabs>
                <w:tab w:val="left" w:pos="709"/>
              </w:tabs>
              <w:spacing w:before="60" w:after="60" w:line="240" w:lineRule="auto"/>
              <w:ind w:left="527" w:hanging="357"/>
              <w:contextualSpacing w:val="0"/>
              <w:rPr>
                <w:rFonts w:ascii="Arial" w:hAnsi="Arial" w:cs="Arial"/>
                <w:sz w:val="16"/>
                <w:szCs w:val="16"/>
              </w:rPr>
            </w:pPr>
            <w:r w:rsidRPr="00D12B3D">
              <w:rPr>
                <w:rFonts w:ascii="Arial" w:hAnsi="Arial" w:cs="Arial"/>
                <w:sz w:val="16"/>
                <w:szCs w:val="16"/>
              </w:rPr>
              <w:t>2025-26 target: 29.65</w:t>
            </w:r>
          </w:p>
        </w:tc>
      </w:tr>
      <w:tr w:rsidR="00E06A4D" w:rsidRPr="009415D5" w14:paraId="3586F860" w14:textId="77777777" w:rsidTr="00386A06">
        <w:trPr>
          <w:trHeight w:val="1035"/>
        </w:trPr>
        <w:tc>
          <w:tcPr>
            <w:tcW w:w="1414" w:type="dxa"/>
            <w:tcBorders>
              <w:top w:val="nil"/>
              <w:left w:val="single" w:sz="4" w:space="0" w:color="auto"/>
              <w:bottom w:val="single" w:sz="4" w:space="0" w:color="auto"/>
              <w:right w:val="single" w:sz="4" w:space="0" w:color="auto"/>
            </w:tcBorders>
            <w:shd w:val="clear" w:color="auto" w:fill="auto"/>
          </w:tcPr>
          <w:p w14:paraId="1E08B6E5" w14:textId="77777777" w:rsidR="00E06A4D" w:rsidRPr="00D357ED" w:rsidRDefault="00E06A4D" w:rsidP="00386A06">
            <w:pPr>
              <w:pStyle w:val="TableTextLeft"/>
              <w:spacing w:before="60" w:after="60"/>
            </w:pPr>
          </w:p>
        </w:tc>
        <w:tc>
          <w:tcPr>
            <w:tcW w:w="2290" w:type="dxa"/>
            <w:tcBorders>
              <w:top w:val="dotted" w:sz="4" w:space="0" w:color="auto"/>
              <w:left w:val="single" w:sz="4" w:space="0" w:color="auto"/>
              <w:bottom w:val="single" w:sz="4" w:space="0" w:color="auto"/>
              <w:right w:val="single" w:sz="4" w:space="0" w:color="auto"/>
            </w:tcBorders>
            <w:shd w:val="clear" w:color="auto" w:fill="auto"/>
          </w:tcPr>
          <w:p w14:paraId="4F5D32ED" w14:textId="77777777" w:rsidR="00E06A4D" w:rsidRPr="00B813A0" w:rsidRDefault="00E06A4D" w:rsidP="00386A06">
            <w:pPr>
              <w:pStyle w:val="TableTextBase"/>
              <w:spacing w:before="60" w:after="60"/>
              <w:rPr>
                <w:b/>
              </w:rPr>
            </w:pPr>
            <w:r w:rsidRPr="00B813A0">
              <w:rPr>
                <w:b/>
              </w:rPr>
              <w:t>GovCMS supports creation of websites that better connect government with people</w:t>
            </w:r>
          </w:p>
          <w:p w14:paraId="78B0D3A7" w14:textId="52400B1B" w:rsidR="00E06A4D" w:rsidRPr="00386A06" w:rsidRDefault="00E06A4D" w:rsidP="00386A06">
            <w:pPr>
              <w:pStyle w:val="TableTextBase"/>
              <w:spacing w:before="60" w:after="60"/>
            </w:pPr>
            <w:r w:rsidRPr="00B813A0">
              <w:t>As per 2022-23</w:t>
            </w:r>
          </w:p>
        </w:tc>
        <w:tc>
          <w:tcPr>
            <w:tcW w:w="4091" w:type="dxa"/>
            <w:tcBorders>
              <w:top w:val="dotted" w:sz="4" w:space="0" w:color="auto"/>
              <w:left w:val="single" w:sz="4" w:space="0" w:color="auto"/>
              <w:bottom w:val="single" w:sz="4" w:space="0" w:color="auto"/>
              <w:right w:val="single" w:sz="4" w:space="0" w:color="auto"/>
            </w:tcBorders>
            <w:shd w:val="clear" w:color="auto" w:fill="auto"/>
          </w:tcPr>
          <w:p w14:paraId="08B57CF2" w14:textId="77777777" w:rsidR="00E06A4D" w:rsidRPr="00DD55D1" w:rsidRDefault="00E06A4D" w:rsidP="00386A06">
            <w:pPr>
              <w:tabs>
                <w:tab w:val="left" w:pos="709"/>
              </w:tabs>
              <w:spacing w:before="60" w:after="60" w:line="240" w:lineRule="auto"/>
              <w:rPr>
                <w:rFonts w:ascii="Arial" w:hAnsi="Arial" w:cs="Arial"/>
                <w:sz w:val="16"/>
                <w:szCs w:val="16"/>
              </w:rPr>
            </w:pPr>
            <w:r w:rsidRPr="00B813A0">
              <w:rPr>
                <w:rFonts w:ascii="Arial" w:hAnsi="Arial" w:cs="Arial"/>
                <w:sz w:val="16"/>
                <w:szCs w:val="16"/>
              </w:rPr>
              <w:t>As per 2022-23</w:t>
            </w:r>
          </w:p>
        </w:tc>
      </w:tr>
    </w:tbl>
    <w:p w14:paraId="28FC9365" w14:textId="26AA5D0C" w:rsidR="00544718" w:rsidRDefault="00544718" w:rsidP="004B5360">
      <w:pPr>
        <w:pStyle w:val="TableHeading"/>
        <w:spacing w:before="30" w:after="0"/>
        <w:rPr>
          <w:b w:val="0"/>
          <w:color w:val="000000"/>
          <w:sz w:val="16"/>
          <w:lang w:val="x-none" w:eastAsia="x-none"/>
        </w:rPr>
      </w:pPr>
      <w:r w:rsidRPr="00544718">
        <w:rPr>
          <w:b w:val="0"/>
          <w:color w:val="000000"/>
          <w:sz w:val="16"/>
          <w:lang w:val="x-none" w:eastAsia="x-none"/>
        </w:rPr>
        <w:t>Table continues on next page</w:t>
      </w:r>
      <w:r>
        <w:rPr>
          <w:b w:val="0"/>
          <w:color w:val="000000"/>
          <w:sz w:val="16"/>
          <w:lang w:val="x-none" w:eastAsia="x-none"/>
        </w:rPr>
        <w:br w:type="page"/>
      </w:r>
    </w:p>
    <w:p w14:paraId="2CBB8263" w14:textId="77777777" w:rsidR="00562816" w:rsidRDefault="00544718" w:rsidP="00544718">
      <w:pPr>
        <w:pStyle w:val="TableHeading"/>
        <w:spacing w:before="0"/>
      </w:pPr>
      <w:r w:rsidRPr="00511496">
        <w:lastRenderedPageBreak/>
        <w:t>Table 2.2.2: Performance measure for Outcome 2 (continued)</w:t>
      </w:r>
    </w:p>
    <w:tbl>
      <w:tblPr>
        <w:tblW w:w="7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290"/>
        <w:gridCol w:w="4091"/>
      </w:tblGrid>
      <w:tr w:rsidR="00562816" w:rsidRPr="00ED5B0C" w14:paraId="2FE5F5A8" w14:textId="77777777" w:rsidTr="005140FF">
        <w:trPr>
          <w:trHeight w:val="527"/>
        </w:trPr>
        <w:tc>
          <w:tcPr>
            <w:tcW w:w="7795" w:type="dxa"/>
            <w:gridSpan w:val="3"/>
            <w:tcBorders>
              <w:top w:val="single" w:sz="4" w:space="0" w:color="auto"/>
              <w:left w:val="single" w:sz="4" w:space="0" w:color="auto"/>
              <w:bottom w:val="single" w:sz="4" w:space="0" w:color="auto"/>
              <w:right w:val="single" w:sz="4" w:space="0" w:color="auto"/>
            </w:tcBorders>
            <w:shd w:val="clear" w:color="auto" w:fill="F2F2F2"/>
          </w:tcPr>
          <w:p w14:paraId="3085DD71" w14:textId="77777777" w:rsidR="00562816" w:rsidRPr="00ED5B0C" w:rsidRDefault="00562816" w:rsidP="005140FF">
            <w:pPr>
              <w:tabs>
                <w:tab w:val="left" w:pos="709"/>
              </w:tabs>
              <w:spacing w:before="60" w:after="60" w:line="240" w:lineRule="auto"/>
              <w:rPr>
                <w:rFonts w:ascii="Arial" w:eastAsia="Arial" w:hAnsi="Arial" w:cs="Arial"/>
                <w:b/>
                <w:sz w:val="16"/>
                <w:szCs w:val="16"/>
              </w:rPr>
            </w:pPr>
            <w:r w:rsidRPr="00ED5B0C">
              <w:rPr>
                <w:rFonts w:ascii="Arial" w:eastAsia="Arial" w:hAnsi="Arial" w:cs="Arial"/>
                <w:b/>
                <w:sz w:val="16"/>
                <w:szCs w:val="16"/>
              </w:rPr>
              <w:t xml:space="preserve">Program 2.2- Transforming Government </w:t>
            </w:r>
          </w:p>
          <w:p w14:paraId="1A8D0AD9" w14:textId="77777777" w:rsidR="00562816" w:rsidRPr="00ED5B0C" w:rsidRDefault="00562816" w:rsidP="005140FF">
            <w:pPr>
              <w:tabs>
                <w:tab w:val="left" w:pos="709"/>
              </w:tabs>
              <w:spacing w:before="60" w:after="60" w:line="240" w:lineRule="auto"/>
              <w:rPr>
                <w:rFonts w:ascii="Arial" w:hAnsi="Arial" w:cs="Arial"/>
                <w:sz w:val="16"/>
                <w:szCs w:val="16"/>
              </w:rPr>
            </w:pPr>
            <w:r w:rsidRPr="00ED5B0C">
              <w:rPr>
                <w:rFonts w:ascii="Arial" w:eastAsia="Arial" w:hAnsi="Arial" w:cs="Arial"/>
                <w:sz w:val="16"/>
                <w:szCs w:val="16"/>
              </w:rPr>
              <w:t>This program contributes to the outcome by providing leadership in the development and delivery of reforms and initiatives that support the modernisation of government and increase public sector productivity.</w:t>
            </w:r>
          </w:p>
        </w:tc>
      </w:tr>
      <w:tr w:rsidR="00562816" w:rsidRPr="00361E69" w14:paraId="028463E2" w14:textId="77777777" w:rsidTr="005140FF">
        <w:trPr>
          <w:trHeight w:val="312"/>
        </w:trPr>
        <w:tc>
          <w:tcPr>
            <w:tcW w:w="1414" w:type="dxa"/>
            <w:tcBorders>
              <w:top w:val="single" w:sz="4" w:space="0" w:color="auto"/>
              <w:bottom w:val="single" w:sz="4" w:space="0" w:color="auto"/>
              <w:right w:val="single" w:sz="4" w:space="0" w:color="auto"/>
            </w:tcBorders>
            <w:shd w:val="clear" w:color="auto" w:fill="auto"/>
          </w:tcPr>
          <w:p w14:paraId="240E0B2B" w14:textId="77777777" w:rsidR="00562816" w:rsidRPr="00361E69" w:rsidRDefault="00562816" w:rsidP="005140FF">
            <w:pPr>
              <w:tabs>
                <w:tab w:val="left" w:pos="709"/>
              </w:tabs>
              <w:spacing w:before="60" w:after="60" w:line="240" w:lineRule="auto"/>
              <w:rPr>
                <w:rFonts w:ascii="Arial" w:hAnsi="Arial" w:cs="Arial"/>
                <w:b/>
                <w:bCs/>
                <w:sz w:val="16"/>
                <w:szCs w:val="16"/>
              </w:rPr>
            </w:pPr>
            <w:r w:rsidRPr="1362A57E">
              <w:rPr>
                <w:rFonts w:ascii="Arial" w:hAnsi="Arial" w:cs="Arial"/>
                <w:b/>
                <w:bCs/>
                <w:sz w:val="16"/>
                <w:szCs w:val="16"/>
              </w:rPr>
              <w:t>Year</w:t>
            </w:r>
          </w:p>
        </w:tc>
        <w:tc>
          <w:tcPr>
            <w:tcW w:w="2290" w:type="dxa"/>
            <w:tcBorders>
              <w:top w:val="single" w:sz="4" w:space="0" w:color="auto"/>
              <w:left w:val="single" w:sz="4" w:space="0" w:color="auto"/>
              <w:bottom w:val="single" w:sz="4" w:space="0" w:color="auto"/>
              <w:right w:val="single" w:sz="4" w:space="0" w:color="auto"/>
            </w:tcBorders>
            <w:shd w:val="clear" w:color="auto" w:fill="auto"/>
          </w:tcPr>
          <w:p w14:paraId="49CF41FE" w14:textId="77777777" w:rsidR="00562816" w:rsidRPr="00361E69" w:rsidRDefault="00562816" w:rsidP="005140FF">
            <w:pPr>
              <w:tabs>
                <w:tab w:val="left" w:pos="709"/>
                <w:tab w:val="center" w:pos="1818"/>
              </w:tabs>
              <w:spacing w:before="60" w:after="60" w:line="240" w:lineRule="auto"/>
              <w:rPr>
                <w:rFonts w:ascii="Arial" w:hAnsi="Arial" w:cs="Arial"/>
                <w:b/>
                <w:bCs/>
                <w:sz w:val="16"/>
                <w:szCs w:val="16"/>
              </w:rPr>
            </w:pPr>
            <w:r w:rsidRPr="1362A57E">
              <w:rPr>
                <w:rFonts w:ascii="Arial" w:hAnsi="Arial" w:cs="Arial"/>
                <w:b/>
                <w:bCs/>
                <w:sz w:val="16"/>
                <w:szCs w:val="16"/>
              </w:rPr>
              <w:t>Performance measures</w:t>
            </w:r>
          </w:p>
        </w:tc>
        <w:tc>
          <w:tcPr>
            <w:tcW w:w="4091" w:type="dxa"/>
            <w:tcBorders>
              <w:top w:val="single" w:sz="4" w:space="0" w:color="auto"/>
              <w:left w:val="single" w:sz="4" w:space="0" w:color="auto"/>
              <w:bottom w:val="single" w:sz="4" w:space="0" w:color="auto"/>
            </w:tcBorders>
            <w:shd w:val="clear" w:color="auto" w:fill="auto"/>
          </w:tcPr>
          <w:p w14:paraId="2F239127" w14:textId="77777777" w:rsidR="00562816" w:rsidRPr="00361E69" w:rsidRDefault="00562816" w:rsidP="005140FF">
            <w:pPr>
              <w:tabs>
                <w:tab w:val="left" w:pos="709"/>
              </w:tabs>
              <w:spacing w:before="60" w:after="60" w:line="240" w:lineRule="auto"/>
              <w:rPr>
                <w:rFonts w:ascii="Arial" w:hAnsi="Arial" w:cs="Arial"/>
                <w:b/>
                <w:bCs/>
                <w:sz w:val="16"/>
                <w:szCs w:val="16"/>
              </w:rPr>
            </w:pPr>
            <w:r w:rsidRPr="1362A57E">
              <w:rPr>
                <w:rFonts w:ascii="Arial" w:hAnsi="Arial" w:cs="Arial"/>
                <w:b/>
                <w:bCs/>
                <w:sz w:val="16"/>
                <w:szCs w:val="16"/>
              </w:rPr>
              <w:t>Expected Performance Results</w:t>
            </w:r>
          </w:p>
        </w:tc>
      </w:tr>
      <w:tr w:rsidR="00562816" w:rsidRPr="006B7BE5" w14:paraId="1C08245B" w14:textId="77777777" w:rsidTr="005140FF">
        <w:trPr>
          <w:trHeight w:val="1999"/>
        </w:trPr>
        <w:tc>
          <w:tcPr>
            <w:tcW w:w="1414" w:type="dxa"/>
            <w:tcBorders>
              <w:top w:val="single" w:sz="4" w:space="0" w:color="auto"/>
              <w:left w:val="single" w:sz="4" w:space="0" w:color="auto"/>
              <w:bottom w:val="dotted" w:sz="4" w:space="0" w:color="auto"/>
              <w:right w:val="single" w:sz="4" w:space="0" w:color="auto"/>
            </w:tcBorders>
            <w:shd w:val="clear" w:color="auto" w:fill="auto"/>
          </w:tcPr>
          <w:p w14:paraId="2BF878FE" w14:textId="77777777" w:rsidR="00562816" w:rsidRPr="00D357ED" w:rsidRDefault="00562816" w:rsidP="005140FF">
            <w:pPr>
              <w:pStyle w:val="TableTextLeft"/>
              <w:spacing w:before="60" w:after="60"/>
            </w:pPr>
            <w:r w:rsidRPr="00D357ED">
              <w:t xml:space="preserve">Forward Estimates </w:t>
            </w:r>
          </w:p>
          <w:p w14:paraId="0A031AD3" w14:textId="1A5CEB2E" w:rsidR="00562816" w:rsidRPr="00DD55D1" w:rsidRDefault="00562816" w:rsidP="00D0147F">
            <w:pPr>
              <w:pStyle w:val="TableTextLeft"/>
              <w:spacing w:before="60" w:after="60"/>
              <w:rPr>
                <w:b/>
              </w:rPr>
            </w:pPr>
            <w:r w:rsidRPr="00D357ED">
              <w:t>2023-26</w:t>
            </w:r>
            <w:r w:rsidR="00D0147F">
              <w:t xml:space="preserve"> </w:t>
            </w:r>
            <w:r>
              <w:rPr>
                <w:rFonts w:cs="Arial"/>
                <w:szCs w:val="16"/>
              </w:rPr>
              <w:t>(continued)</w:t>
            </w:r>
          </w:p>
        </w:tc>
        <w:tc>
          <w:tcPr>
            <w:tcW w:w="2290" w:type="dxa"/>
            <w:tcBorders>
              <w:top w:val="single" w:sz="4" w:space="0" w:color="auto"/>
              <w:left w:val="single" w:sz="4" w:space="0" w:color="auto"/>
              <w:bottom w:val="dotted" w:sz="4" w:space="0" w:color="auto"/>
              <w:right w:val="single" w:sz="4" w:space="0" w:color="auto"/>
            </w:tcBorders>
            <w:shd w:val="clear" w:color="auto" w:fill="auto"/>
          </w:tcPr>
          <w:p w14:paraId="3428D49D" w14:textId="77777777" w:rsidR="00562816" w:rsidRPr="00CC6CF9" w:rsidRDefault="00562816" w:rsidP="005140FF">
            <w:pPr>
              <w:pStyle w:val="TableTextBase"/>
              <w:spacing w:before="60" w:after="60"/>
              <w:rPr>
                <w:rFonts w:cs="Arial"/>
                <w:b/>
                <w:i/>
                <w:szCs w:val="16"/>
              </w:rPr>
            </w:pPr>
            <w:r w:rsidRPr="00CC6CF9">
              <w:rPr>
                <w:rFonts w:cs="Arial"/>
                <w:b/>
                <w:i/>
                <w:szCs w:val="16"/>
              </w:rPr>
              <w:t xml:space="preserve">Participation in the DATA Scheme </w:t>
            </w:r>
          </w:p>
          <w:p w14:paraId="1D715B36" w14:textId="77777777" w:rsidR="00562816" w:rsidRPr="00DD55D1" w:rsidRDefault="00562816" w:rsidP="005140FF">
            <w:pPr>
              <w:tabs>
                <w:tab w:val="left" w:pos="709"/>
              </w:tabs>
              <w:spacing w:before="60" w:after="60" w:line="240" w:lineRule="auto"/>
              <w:rPr>
                <w:rFonts w:ascii="Arial" w:eastAsia="Arial" w:hAnsi="Arial" w:cs="Arial"/>
                <w:sz w:val="16"/>
                <w:szCs w:val="16"/>
              </w:rPr>
            </w:pPr>
            <w:r w:rsidRPr="00CC6CF9">
              <w:rPr>
                <w:rFonts w:ascii="Arial" w:hAnsi="Arial" w:cs="Arial"/>
                <w:i/>
                <w:sz w:val="16"/>
                <w:szCs w:val="16"/>
              </w:rPr>
              <w:t>Finance, through the Office of the National Data Commissioner, is supporting safe data sharing to deliver better government services, policies and programs and to support research and innovation.</w:t>
            </w:r>
          </w:p>
        </w:tc>
        <w:tc>
          <w:tcPr>
            <w:tcW w:w="4091" w:type="dxa"/>
            <w:tcBorders>
              <w:top w:val="single" w:sz="4" w:space="0" w:color="auto"/>
              <w:left w:val="single" w:sz="4" w:space="0" w:color="auto"/>
              <w:bottom w:val="dotted" w:sz="4" w:space="0" w:color="auto"/>
              <w:right w:val="single" w:sz="4" w:space="0" w:color="auto"/>
            </w:tcBorders>
            <w:shd w:val="clear" w:color="auto" w:fill="auto"/>
          </w:tcPr>
          <w:p w14:paraId="20C4E7BB" w14:textId="3B391C84" w:rsidR="00562816" w:rsidRPr="00CC6CF9" w:rsidRDefault="00562816" w:rsidP="005140FF">
            <w:pPr>
              <w:tabs>
                <w:tab w:val="left" w:pos="709"/>
              </w:tabs>
              <w:spacing w:before="60" w:after="60" w:line="240" w:lineRule="auto"/>
              <w:rPr>
                <w:rFonts w:ascii="Arial" w:hAnsi="Arial" w:cs="Arial"/>
                <w:i/>
                <w:sz w:val="16"/>
                <w:szCs w:val="16"/>
              </w:rPr>
            </w:pPr>
            <w:r w:rsidRPr="00CC6CF9">
              <w:rPr>
                <w:rFonts w:ascii="Arial" w:hAnsi="Arial" w:cs="Arial"/>
                <w:i/>
                <w:sz w:val="16"/>
                <w:szCs w:val="16"/>
              </w:rPr>
              <w:t xml:space="preserve">Strengthened data handling and sharing across the </w:t>
            </w:r>
            <w:r w:rsidR="00D0147F" w:rsidRPr="00CC6CF9">
              <w:rPr>
                <w:rFonts w:ascii="Arial" w:hAnsi="Arial" w:cs="Arial"/>
                <w:i/>
                <w:sz w:val="16"/>
                <w:szCs w:val="16"/>
              </w:rPr>
              <w:t>APS</w:t>
            </w:r>
            <w:r w:rsidRPr="00CC6CF9">
              <w:rPr>
                <w:rFonts w:ascii="Arial" w:hAnsi="Arial" w:cs="Arial"/>
                <w:i/>
                <w:sz w:val="16"/>
                <w:szCs w:val="16"/>
              </w:rPr>
              <w:t xml:space="preserve"> (target: baseline to be established in first year of operation)</w:t>
            </w:r>
            <w:r w:rsidR="00D0147F" w:rsidRPr="00CC6CF9">
              <w:rPr>
                <w:rFonts w:ascii="Arial" w:hAnsi="Arial" w:cs="Arial"/>
                <w:i/>
                <w:sz w:val="16"/>
                <w:szCs w:val="16"/>
              </w:rPr>
              <w:t>.</w:t>
            </w:r>
          </w:p>
          <w:p w14:paraId="7E7142F8" w14:textId="4202F192" w:rsidR="00562816" w:rsidRPr="00CC6CF9" w:rsidRDefault="00562816" w:rsidP="005140FF">
            <w:pPr>
              <w:tabs>
                <w:tab w:val="left" w:pos="709"/>
              </w:tabs>
              <w:spacing w:before="60" w:after="60" w:line="240" w:lineRule="auto"/>
              <w:rPr>
                <w:rFonts w:ascii="Arial" w:hAnsi="Arial" w:cs="Arial"/>
                <w:i/>
                <w:sz w:val="16"/>
                <w:szCs w:val="16"/>
              </w:rPr>
            </w:pPr>
            <w:r w:rsidRPr="00CC6CF9">
              <w:rPr>
                <w:rFonts w:ascii="Arial" w:hAnsi="Arial" w:cs="Arial"/>
                <w:i/>
                <w:sz w:val="16"/>
                <w:szCs w:val="16"/>
              </w:rPr>
              <w:t>Institutional arrangements in place to support safe, transparent and consistent data sharing (target: legislative requirements and timelines are met)</w:t>
            </w:r>
            <w:r w:rsidR="00D0147F" w:rsidRPr="00CC6CF9">
              <w:rPr>
                <w:rFonts w:ascii="Arial" w:hAnsi="Arial" w:cs="Arial"/>
                <w:i/>
                <w:sz w:val="16"/>
                <w:szCs w:val="16"/>
              </w:rPr>
              <w:t>.</w:t>
            </w:r>
          </w:p>
          <w:p w14:paraId="10CCCE04" w14:textId="57D675BC" w:rsidR="00562816" w:rsidRPr="006B7BE5" w:rsidRDefault="00562816" w:rsidP="005140FF">
            <w:pPr>
              <w:tabs>
                <w:tab w:val="left" w:pos="709"/>
              </w:tabs>
              <w:spacing w:before="60" w:after="60" w:line="240" w:lineRule="auto"/>
              <w:rPr>
                <w:rFonts w:ascii="Arial" w:hAnsi="Arial" w:cs="Arial"/>
                <w:sz w:val="16"/>
                <w:szCs w:val="16"/>
              </w:rPr>
            </w:pPr>
            <w:r w:rsidRPr="00CC6CF9">
              <w:rPr>
                <w:rFonts w:ascii="Arial" w:hAnsi="Arial" w:cs="Arial"/>
                <w:i/>
                <w:sz w:val="16"/>
                <w:szCs w:val="16"/>
              </w:rPr>
              <w:t>Data sharing agreements delivering public benefit (target: baseline to be established in first year of operation)</w:t>
            </w:r>
            <w:r w:rsidR="00D0147F" w:rsidRPr="00CC6CF9">
              <w:rPr>
                <w:rFonts w:ascii="Arial" w:hAnsi="Arial" w:cs="Arial"/>
                <w:i/>
                <w:sz w:val="16"/>
                <w:szCs w:val="16"/>
              </w:rPr>
              <w:t>.</w:t>
            </w:r>
          </w:p>
        </w:tc>
      </w:tr>
      <w:tr w:rsidR="00562816" w:rsidRPr="00DD55D1" w14:paraId="3ECD8BAA" w14:textId="77777777" w:rsidTr="005140FF">
        <w:trPr>
          <w:trHeight w:val="291"/>
        </w:trPr>
        <w:tc>
          <w:tcPr>
            <w:tcW w:w="7795" w:type="dxa"/>
            <w:gridSpan w:val="3"/>
          </w:tcPr>
          <w:p w14:paraId="7F6773AC" w14:textId="77777777" w:rsidR="00562816" w:rsidRPr="00DD55D1" w:rsidRDefault="00562816" w:rsidP="005140FF">
            <w:pPr>
              <w:pStyle w:val="TableTextLeft"/>
              <w:spacing w:before="60" w:after="60"/>
              <w:rPr>
                <w:rFonts w:eastAsia="Cambria"/>
                <w:bCs/>
                <w:iCs/>
                <w:spacing w:val="-6"/>
                <w:lang w:val="x-none"/>
              </w:rPr>
            </w:pPr>
            <w:r w:rsidRPr="00DD55D1">
              <w:t>Material changes to Program 2.2 resulting from October 2022-23 Budget Measures:</w:t>
            </w:r>
            <w:r w:rsidRPr="00DD55D1">
              <w:rPr>
                <w:bCs/>
                <w:iCs/>
                <w:spacing w:val="-6"/>
              </w:rPr>
              <w:t xml:space="preserve"> Nil</w:t>
            </w:r>
          </w:p>
        </w:tc>
      </w:tr>
    </w:tbl>
    <w:p w14:paraId="02F1335A" w14:textId="2BABAD26" w:rsidR="00CC6CF9" w:rsidRDefault="00CC6CF9" w:rsidP="00C8474A">
      <w:pPr>
        <w:pStyle w:val="ChartandTableFootnoteAlpha"/>
        <w:numPr>
          <w:ilvl w:val="0"/>
          <w:numId w:val="74"/>
        </w:numPr>
        <w:spacing w:before="60"/>
        <w:ind w:left="284" w:hanging="284"/>
        <w:rPr>
          <w:lang w:eastAsia="x-none"/>
        </w:rPr>
      </w:pPr>
      <w:r w:rsidRPr="00CC65C0">
        <w:rPr>
          <w:lang w:eastAsia="x-none"/>
        </w:rPr>
        <w:t>Refers to updated key activities th</w:t>
      </w:r>
      <w:r>
        <w:rPr>
          <w:lang w:eastAsia="x-none"/>
        </w:rPr>
        <w:t>at will be reflected in the 2022-23</w:t>
      </w:r>
      <w:r w:rsidRPr="00CC65C0">
        <w:rPr>
          <w:lang w:eastAsia="x-none"/>
        </w:rPr>
        <w:t xml:space="preserve"> Corporate Plan</w:t>
      </w:r>
      <w:r>
        <w:rPr>
          <w:lang w:eastAsia="x-none"/>
        </w:rPr>
        <w:t>.</w:t>
      </w:r>
    </w:p>
    <w:p w14:paraId="741E5E7F" w14:textId="7DD62CF2" w:rsidR="00CC6CF9" w:rsidRPr="00CC6CF9" w:rsidRDefault="00CC6CF9" w:rsidP="00C8474A">
      <w:pPr>
        <w:pStyle w:val="ChartandTableFootnoteAlpha"/>
        <w:numPr>
          <w:ilvl w:val="0"/>
          <w:numId w:val="74"/>
        </w:numPr>
        <w:spacing w:before="60"/>
        <w:ind w:left="284" w:hanging="284"/>
        <w:rPr>
          <w:lang w:eastAsia="x-none"/>
        </w:rPr>
      </w:pPr>
      <w:r w:rsidRPr="001B2F81">
        <w:rPr>
          <w:lang w:eastAsia="x-none"/>
        </w:rPr>
        <w:t xml:space="preserve">New or modified performance </w:t>
      </w:r>
      <w:r w:rsidRPr="00E12264">
        <w:rPr>
          <w:lang w:eastAsia="x-none"/>
        </w:rPr>
        <w:t>measures</w:t>
      </w:r>
      <w:r w:rsidRPr="001B2F81">
        <w:rPr>
          <w:lang w:eastAsia="x-none"/>
        </w:rPr>
        <w:t xml:space="preserve"> that reflect new or materially changed programs are shown in </w:t>
      </w:r>
      <w:r w:rsidRPr="005B6A94">
        <w:rPr>
          <w:lang w:eastAsia="x-none"/>
        </w:rPr>
        <w:t>italics.</w:t>
      </w:r>
    </w:p>
    <w:p w14:paraId="574A687F" w14:textId="77777777" w:rsidR="0045165E" w:rsidRDefault="0045165E" w:rsidP="0045165E">
      <w:pPr>
        <w:pStyle w:val="TableHeading"/>
        <w:spacing w:before="0"/>
      </w:pPr>
      <w:r>
        <w:br w:type="page"/>
      </w:r>
    </w:p>
    <w:p w14:paraId="2239E14C" w14:textId="43455E96" w:rsidR="00F0167C" w:rsidRDefault="00F0167C" w:rsidP="0045165E">
      <w:pPr>
        <w:pStyle w:val="TableHeading"/>
        <w:spacing w:before="0"/>
      </w:pPr>
      <w:r>
        <w:lastRenderedPageBreak/>
        <w:t>Table 2.2</w:t>
      </w:r>
      <w:r w:rsidRPr="00F71634">
        <w:t>.</w:t>
      </w:r>
      <w:r>
        <w:t>2</w:t>
      </w:r>
      <w:r w:rsidRPr="00F71634">
        <w:t xml:space="preserve">: Performance </w:t>
      </w:r>
      <w:r w:rsidRPr="00026D37">
        <w:t>measure</w:t>
      </w:r>
      <w:r w:rsidRPr="00F71634">
        <w:t xml:space="preserve"> </w:t>
      </w:r>
      <w:r>
        <w:t>for Outcome 2 (continued)</w:t>
      </w:r>
    </w:p>
    <w:tbl>
      <w:tblPr>
        <w:tblW w:w="7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130"/>
        <w:gridCol w:w="4251"/>
      </w:tblGrid>
      <w:tr w:rsidR="00F0167C" w:rsidRPr="00361E69" w14:paraId="2239E14F" w14:textId="77777777" w:rsidTr="00C27356">
        <w:trPr>
          <w:trHeight w:val="527"/>
        </w:trPr>
        <w:tc>
          <w:tcPr>
            <w:tcW w:w="7795" w:type="dxa"/>
            <w:gridSpan w:val="3"/>
            <w:shd w:val="clear" w:color="auto" w:fill="F2F2F2"/>
          </w:tcPr>
          <w:p w14:paraId="1BF56BA3" w14:textId="77777777" w:rsidR="0045165E" w:rsidRPr="0045165E" w:rsidRDefault="0045165E" w:rsidP="00C27356">
            <w:pPr>
              <w:tabs>
                <w:tab w:val="left" w:pos="709"/>
              </w:tabs>
              <w:spacing w:before="60" w:after="60" w:line="240" w:lineRule="auto"/>
              <w:rPr>
                <w:rFonts w:ascii="Arial" w:hAnsi="Arial" w:cs="Arial"/>
                <w:b/>
                <w:sz w:val="16"/>
                <w:szCs w:val="16"/>
              </w:rPr>
            </w:pPr>
            <w:r w:rsidRPr="0045165E">
              <w:rPr>
                <w:rFonts w:ascii="Arial" w:hAnsi="Arial" w:cs="Arial"/>
                <w:b/>
                <w:sz w:val="16"/>
                <w:szCs w:val="16"/>
              </w:rPr>
              <w:t>Program 2.3- Property and Construction</w:t>
            </w:r>
          </w:p>
          <w:p w14:paraId="2239E14E" w14:textId="312F0A68" w:rsidR="00F0167C" w:rsidRPr="0045165E" w:rsidRDefault="0045165E" w:rsidP="00C27356">
            <w:pPr>
              <w:tabs>
                <w:tab w:val="left" w:pos="709"/>
              </w:tabs>
              <w:spacing w:before="60" w:after="60" w:line="240" w:lineRule="auto"/>
              <w:rPr>
                <w:rFonts w:ascii="Arial" w:hAnsi="Arial" w:cs="Arial"/>
                <w:sz w:val="16"/>
                <w:szCs w:val="16"/>
              </w:rPr>
            </w:pPr>
            <w:r w:rsidRPr="0045165E">
              <w:rPr>
                <w:rFonts w:ascii="Arial" w:hAnsi="Arial" w:cs="Arial"/>
                <w:sz w:val="16"/>
                <w:szCs w:val="16"/>
              </w:rPr>
              <w:t>This program contributes to the outcome by providing policy advice, guidance and support on managing Commonwealth property, land and public works across the Government; and managing specified major capital works projects and the government’s non-Defence property portfolio within Australia.</w:t>
            </w:r>
          </w:p>
        </w:tc>
      </w:tr>
      <w:tr w:rsidR="00F0167C" w:rsidRPr="00361E69" w14:paraId="2239E153" w14:textId="77777777" w:rsidTr="00C27356">
        <w:trPr>
          <w:trHeight w:val="694"/>
        </w:trPr>
        <w:tc>
          <w:tcPr>
            <w:tcW w:w="1414" w:type="dxa"/>
            <w:tcBorders>
              <w:bottom w:val="double" w:sz="4" w:space="0" w:color="auto"/>
            </w:tcBorders>
          </w:tcPr>
          <w:p w14:paraId="2239E150" w14:textId="77777777" w:rsidR="00F0167C" w:rsidRPr="00361E69" w:rsidRDefault="00F0167C" w:rsidP="00C27356">
            <w:pPr>
              <w:tabs>
                <w:tab w:val="left" w:pos="709"/>
              </w:tabs>
              <w:spacing w:before="60" w:after="60" w:line="240" w:lineRule="auto"/>
              <w:rPr>
                <w:rFonts w:ascii="Arial" w:hAnsi="Arial" w:cs="Arial"/>
                <w:b/>
                <w:sz w:val="16"/>
                <w:szCs w:val="16"/>
              </w:rPr>
            </w:pPr>
            <w:r>
              <w:rPr>
                <w:rFonts w:ascii="Arial" w:hAnsi="Arial" w:cs="Arial"/>
                <w:b/>
                <w:sz w:val="16"/>
                <w:szCs w:val="16"/>
              </w:rPr>
              <w:t>Key Activities</w:t>
            </w:r>
          </w:p>
        </w:tc>
        <w:tc>
          <w:tcPr>
            <w:tcW w:w="6381" w:type="dxa"/>
            <w:gridSpan w:val="2"/>
            <w:tcBorders>
              <w:bottom w:val="double" w:sz="4" w:space="0" w:color="auto"/>
            </w:tcBorders>
          </w:tcPr>
          <w:p w14:paraId="72DB37A6" w14:textId="77777777" w:rsidR="0045165E" w:rsidRPr="0045165E" w:rsidRDefault="0045165E" w:rsidP="00C27356">
            <w:pPr>
              <w:tabs>
                <w:tab w:val="left" w:pos="709"/>
              </w:tabs>
              <w:spacing w:before="60" w:after="60" w:line="240" w:lineRule="auto"/>
              <w:rPr>
                <w:rFonts w:ascii="Arial" w:hAnsi="Arial" w:cs="Arial"/>
                <w:b/>
                <w:bCs/>
                <w:sz w:val="16"/>
                <w:szCs w:val="16"/>
              </w:rPr>
            </w:pPr>
            <w:r w:rsidRPr="0045165E">
              <w:rPr>
                <w:rFonts w:ascii="Arial" w:hAnsi="Arial" w:cs="Arial"/>
                <w:b/>
                <w:bCs/>
                <w:sz w:val="16"/>
                <w:szCs w:val="16"/>
              </w:rPr>
              <w:t>Support Commonwealth property management</w:t>
            </w:r>
          </w:p>
          <w:p w14:paraId="2239E152" w14:textId="5EF2DFED" w:rsidR="00F0167C" w:rsidRPr="0045165E" w:rsidRDefault="0045165E" w:rsidP="00C27356">
            <w:pPr>
              <w:tabs>
                <w:tab w:val="left" w:pos="709"/>
              </w:tabs>
              <w:spacing w:before="60" w:after="60" w:line="240" w:lineRule="auto"/>
              <w:rPr>
                <w:rFonts w:ascii="Arial" w:hAnsi="Arial" w:cs="Arial"/>
                <w:bCs/>
                <w:sz w:val="16"/>
                <w:szCs w:val="16"/>
              </w:rPr>
            </w:pPr>
            <w:r w:rsidRPr="0045165E">
              <w:rPr>
                <w:rFonts w:ascii="Arial" w:hAnsi="Arial" w:cs="Arial"/>
                <w:bCs/>
                <w:sz w:val="16"/>
                <w:szCs w:val="16"/>
              </w:rPr>
              <w:t>Deliver an efficient and commercial approach to the management of Commonwealth property through the Commonwealth Property Management Framework.</w:t>
            </w:r>
          </w:p>
        </w:tc>
      </w:tr>
      <w:tr w:rsidR="00F0167C" w:rsidRPr="00361E69" w14:paraId="2239E157" w14:textId="77777777" w:rsidTr="00C27356">
        <w:trPr>
          <w:trHeight w:val="312"/>
        </w:trPr>
        <w:tc>
          <w:tcPr>
            <w:tcW w:w="1414" w:type="dxa"/>
            <w:tcBorders>
              <w:top w:val="double" w:sz="4" w:space="0" w:color="auto"/>
              <w:bottom w:val="single" w:sz="4" w:space="0" w:color="auto"/>
              <w:right w:val="single" w:sz="4" w:space="0" w:color="auto"/>
            </w:tcBorders>
          </w:tcPr>
          <w:p w14:paraId="2239E154" w14:textId="77777777" w:rsidR="00F0167C" w:rsidRPr="001777A1" w:rsidRDefault="00F0167C" w:rsidP="00C27356">
            <w:pPr>
              <w:tabs>
                <w:tab w:val="left" w:pos="709"/>
              </w:tabs>
              <w:spacing w:before="60" w:after="60" w:line="240" w:lineRule="auto"/>
              <w:rPr>
                <w:rFonts w:ascii="Arial" w:hAnsi="Arial" w:cs="Arial"/>
                <w:b/>
                <w:sz w:val="16"/>
                <w:szCs w:val="16"/>
              </w:rPr>
            </w:pPr>
            <w:r w:rsidRPr="001777A1">
              <w:rPr>
                <w:rFonts w:ascii="Arial" w:hAnsi="Arial" w:cs="Arial"/>
                <w:b/>
                <w:sz w:val="16"/>
                <w:szCs w:val="16"/>
              </w:rPr>
              <w:t>Year</w:t>
            </w:r>
          </w:p>
        </w:tc>
        <w:tc>
          <w:tcPr>
            <w:tcW w:w="2130" w:type="dxa"/>
            <w:tcBorders>
              <w:top w:val="double" w:sz="4" w:space="0" w:color="auto"/>
              <w:left w:val="single" w:sz="4" w:space="0" w:color="auto"/>
              <w:bottom w:val="single" w:sz="4" w:space="0" w:color="auto"/>
              <w:right w:val="single" w:sz="4" w:space="0" w:color="auto"/>
            </w:tcBorders>
          </w:tcPr>
          <w:p w14:paraId="2239E155" w14:textId="77777777" w:rsidR="00F0167C" w:rsidRPr="001777A1" w:rsidRDefault="00F0167C" w:rsidP="00C27356">
            <w:pPr>
              <w:tabs>
                <w:tab w:val="left" w:pos="709"/>
                <w:tab w:val="center" w:pos="1818"/>
              </w:tabs>
              <w:spacing w:before="60" w:after="60" w:line="240" w:lineRule="auto"/>
              <w:rPr>
                <w:rFonts w:ascii="Arial" w:hAnsi="Arial" w:cs="Arial"/>
                <w:b/>
                <w:sz w:val="16"/>
                <w:szCs w:val="16"/>
              </w:rPr>
            </w:pPr>
            <w:r w:rsidRPr="001777A1">
              <w:rPr>
                <w:rFonts w:ascii="Arial" w:hAnsi="Arial" w:cs="Arial"/>
                <w:b/>
                <w:sz w:val="16"/>
                <w:szCs w:val="16"/>
              </w:rPr>
              <w:t>Performance measures</w:t>
            </w:r>
          </w:p>
        </w:tc>
        <w:tc>
          <w:tcPr>
            <w:tcW w:w="4251" w:type="dxa"/>
            <w:tcBorders>
              <w:top w:val="double" w:sz="4" w:space="0" w:color="auto"/>
              <w:left w:val="single" w:sz="4" w:space="0" w:color="auto"/>
              <w:bottom w:val="single" w:sz="4" w:space="0" w:color="auto"/>
            </w:tcBorders>
          </w:tcPr>
          <w:p w14:paraId="2239E156" w14:textId="77777777" w:rsidR="00F0167C" w:rsidRPr="001777A1" w:rsidRDefault="00F0167C" w:rsidP="00C27356">
            <w:pPr>
              <w:tabs>
                <w:tab w:val="left" w:pos="709"/>
              </w:tabs>
              <w:spacing w:before="60" w:after="60" w:line="240" w:lineRule="auto"/>
              <w:rPr>
                <w:rFonts w:ascii="Arial" w:hAnsi="Arial" w:cs="Arial"/>
                <w:b/>
                <w:sz w:val="16"/>
                <w:szCs w:val="16"/>
              </w:rPr>
            </w:pPr>
            <w:r w:rsidRPr="001777A1">
              <w:rPr>
                <w:rFonts w:ascii="Arial" w:hAnsi="Arial" w:cs="Arial"/>
                <w:b/>
                <w:sz w:val="16"/>
                <w:szCs w:val="16"/>
              </w:rPr>
              <w:t>Expected Performance Results</w:t>
            </w:r>
          </w:p>
        </w:tc>
      </w:tr>
      <w:tr w:rsidR="00F0167C" w:rsidRPr="00267C11" w14:paraId="2239E160" w14:textId="77777777" w:rsidTr="00C27356">
        <w:trPr>
          <w:trHeight w:val="3349"/>
        </w:trPr>
        <w:tc>
          <w:tcPr>
            <w:tcW w:w="1414" w:type="dxa"/>
            <w:tcBorders>
              <w:top w:val="single" w:sz="4" w:space="0" w:color="auto"/>
              <w:right w:val="single" w:sz="4" w:space="0" w:color="auto"/>
            </w:tcBorders>
          </w:tcPr>
          <w:p w14:paraId="47C7968A" w14:textId="77777777" w:rsidR="0045165E" w:rsidRPr="005612F7" w:rsidRDefault="0045165E" w:rsidP="00C27356">
            <w:pPr>
              <w:pStyle w:val="TableTextLeft"/>
              <w:spacing w:before="60" w:after="60"/>
              <w:rPr>
                <w:rFonts w:cs="Arial"/>
                <w:szCs w:val="16"/>
              </w:rPr>
            </w:pPr>
            <w:r w:rsidRPr="005612F7">
              <w:rPr>
                <w:rFonts w:cs="Arial"/>
                <w:szCs w:val="16"/>
              </w:rPr>
              <w:t xml:space="preserve">Prior year </w:t>
            </w:r>
          </w:p>
          <w:p w14:paraId="2239E158" w14:textId="0EB20095" w:rsidR="00F0167C" w:rsidRPr="001079D3" w:rsidRDefault="0045165E" w:rsidP="00C27356">
            <w:pPr>
              <w:tabs>
                <w:tab w:val="left" w:pos="709"/>
              </w:tabs>
              <w:spacing w:before="60" w:after="60" w:line="240" w:lineRule="auto"/>
              <w:rPr>
                <w:rFonts w:ascii="Arial" w:hAnsi="Arial" w:cs="Arial"/>
                <w:sz w:val="16"/>
                <w:szCs w:val="16"/>
              </w:rPr>
            </w:pPr>
            <w:r w:rsidRPr="005612F7">
              <w:rPr>
                <w:rFonts w:ascii="Arial" w:hAnsi="Arial" w:cs="Arial"/>
                <w:sz w:val="16"/>
                <w:szCs w:val="16"/>
              </w:rPr>
              <w:t>2021-22</w:t>
            </w:r>
          </w:p>
        </w:tc>
        <w:tc>
          <w:tcPr>
            <w:tcW w:w="2130" w:type="dxa"/>
            <w:tcBorders>
              <w:top w:val="single" w:sz="4" w:space="0" w:color="auto"/>
              <w:left w:val="single" w:sz="4" w:space="0" w:color="auto"/>
              <w:right w:val="single" w:sz="4" w:space="0" w:color="auto"/>
            </w:tcBorders>
          </w:tcPr>
          <w:p w14:paraId="6312C0FD" w14:textId="77777777" w:rsidR="0045165E" w:rsidRPr="0045165E" w:rsidRDefault="0045165E" w:rsidP="00C27356">
            <w:pPr>
              <w:tabs>
                <w:tab w:val="left" w:pos="709"/>
              </w:tabs>
              <w:autoSpaceDE w:val="0"/>
              <w:autoSpaceDN w:val="0"/>
              <w:spacing w:before="60" w:after="60" w:line="240" w:lineRule="auto"/>
              <w:rPr>
                <w:rFonts w:ascii="Arial" w:eastAsia="Arial" w:hAnsi="Arial" w:cs="Arial"/>
                <w:b/>
                <w:sz w:val="16"/>
                <w:szCs w:val="16"/>
              </w:rPr>
            </w:pPr>
            <w:r w:rsidRPr="0045165E">
              <w:rPr>
                <w:rFonts w:ascii="Arial" w:eastAsia="Arial" w:hAnsi="Arial" w:cs="Arial"/>
                <w:b/>
                <w:sz w:val="16"/>
                <w:szCs w:val="16"/>
              </w:rPr>
              <w:t>Commonwealth property initiatives are efficient and effective</w:t>
            </w:r>
          </w:p>
          <w:p w14:paraId="2239E15B" w14:textId="618292BC" w:rsidR="00F0167C" w:rsidRPr="0045165E" w:rsidRDefault="0045165E" w:rsidP="00C27356">
            <w:pPr>
              <w:tabs>
                <w:tab w:val="left" w:pos="709"/>
              </w:tabs>
              <w:spacing w:before="60" w:after="60" w:line="240" w:lineRule="auto"/>
              <w:rPr>
                <w:rFonts w:ascii="Arial" w:hAnsi="Arial" w:cs="Arial"/>
                <w:sz w:val="16"/>
                <w:szCs w:val="16"/>
              </w:rPr>
            </w:pPr>
            <w:r w:rsidRPr="0045165E">
              <w:rPr>
                <w:rFonts w:ascii="Arial" w:eastAsia="Arial" w:hAnsi="Arial" w:cs="Arial"/>
                <w:sz w:val="16"/>
                <w:szCs w:val="16"/>
              </w:rPr>
              <w:t xml:space="preserve">The management of Commonwealth property demonstrates best practice effectiveness in an evolving environment, and delivers efficiencies in relation to leasing and facilities management for non-corporate Commonwealth entities. </w:t>
            </w:r>
          </w:p>
        </w:tc>
        <w:tc>
          <w:tcPr>
            <w:tcW w:w="4251" w:type="dxa"/>
            <w:tcBorders>
              <w:top w:val="single" w:sz="4" w:space="0" w:color="auto"/>
              <w:left w:val="single" w:sz="4" w:space="0" w:color="auto"/>
            </w:tcBorders>
          </w:tcPr>
          <w:p w14:paraId="3CA1EB9F" w14:textId="77777777" w:rsidR="0045165E" w:rsidRPr="0045165E" w:rsidRDefault="0045165E" w:rsidP="00C27356">
            <w:pPr>
              <w:autoSpaceDE w:val="0"/>
              <w:autoSpaceDN w:val="0"/>
              <w:spacing w:before="60" w:after="60" w:line="240" w:lineRule="auto"/>
              <w:rPr>
                <w:rFonts w:ascii="Arial" w:hAnsi="Arial" w:cs="Arial"/>
                <w:b/>
                <w:bCs/>
                <w:sz w:val="16"/>
                <w:szCs w:val="16"/>
                <w:lang w:eastAsia="en-US"/>
              </w:rPr>
            </w:pPr>
            <w:r w:rsidRPr="0045165E">
              <w:rPr>
                <w:rFonts w:ascii="Arial" w:hAnsi="Arial" w:cs="Arial"/>
                <w:b/>
                <w:bCs/>
                <w:sz w:val="16"/>
                <w:szCs w:val="16"/>
                <w:lang w:eastAsia="en-US"/>
              </w:rPr>
              <w:t>Achieved</w:t>
            </w:r>
          </w:p>
          <w:p w14:paraId="2AD91538" w14:textId="77777777" w:rsidR="0045165E" w:rsidRPr="0045165E" w:rsidRDefault="0045165E" w:rsidP="00C27356">
            <w:pPr>
              <w:autoSpaceDE w:val="0"/>
              <w:autoSpaceDN w:val="0"/>
              <w:spacing w:before="60" w:after="60" w:line="240" w:lineRule="auto"/>
              <w:rPr>
                <w:rFonts w:ascii="Arial" w:hAnsi="Arial" w:cs="Arial"/>
                <w:bCs/>
                <w:sz w:val="16"/>
                <w:szCs w:val="16"/>
                <w:lang w:eastAsia="en-US"/>
              </w:rPr>
            </w:pPr>
            <w:r w:rsidRPr="0045165E">
              <w:rPr>
                <w:rFonts w:ascii="Arial" w:hAnsi="Arial" w:cs="Arial"/>
                <w:bCs/>
                <w:sz w:val="16"/>
                <w:szCs w:val="16"/>
                <w:lang w:eastAsia="en-US"/>
              </w:rPr>
              <w:t>The 2021 Australian Government Office Occupancy data collection is complete and the 2021 Occupancy Report continues to track ongoing improvements in the efficiency of the Commonwealth’s leased property portfolio.</w:t>
            </w:r>
          </w:p>
          <w:p w14:paraId="650FD2BE" w14:textId="77777777" w:rsidR="0045165E" w:rsidRPr="0045165E" w:rsidRDefault="0045165E" w:rsidP="00C27356">
            <w:pPr>
              <w:autoSpaceDE w:val="0"/>
              <w:autoSpaceDN w:val="0"/>
              <w:spacing w:before="60" w:after="60" w:line="240" w:lineRule="auto"/>
              <w:rPr>
                <w:rFonts w:ascii="Arial" w:hAnsi="Arial" w:cs="Arial"/>
                <w:bCs/>
                <w:sz w:val="16"/>
                <w:szCs w:val="16"/>
                <w:lang w:eastAsia="en-US"/>
              </w:rPr>
            </w:pPr>
            <w:r w:rsidRPr="0045165E">
              <w:rPr>
                <w:rFonts w:ascii="Arial" w:hAnsi="Arial" w:cs="Arial"/>
                <w:bCs/>
                <w:sz w:val="16"/>
                <w:szCs w:val="16"/>
                <w:lang w:eastAsia="en-US"/>
              </w:rPr>
              <w:t>The national occupational density has improved from 15.1 m</w:t>
            </w:r>
            <w:r w:rsidRPr="006B1DD8">
              <w:rPr>
                <w:rFonts w:ascii="Arial" w:hAnsi="Arial" w:cs="Arial"/>
                <w:bCs/>
                <w:sz w:val="16"/>
                <w:szCs w:val="16"/>
                <w:vertAlign w:val="superscript"/>
                <w:lang w:eastAsia="en-US"/>
              </w:rPr>
              <w:t>2</w:t>
            </w:r>
            <w:r w:rsidRPr="0045165E">
              <w:rPr>
                <w:rFonts w:ascii="Arial" w:hAnsi="Arial" w:cs="Arial"/>
                <w:bCs/>
                <w:sz w:val="16"/>
                <w:szCs w:val="16"/>
                <w:lang w:eastAsia="en-US"/>
              </w:rPr>
              <w:t xml:space="preserve"> in 2020 to 14.7 m</w:t>
            </w:r>
            <w:r w:rsidRPr="006B1DD8">
              <w:rPr>
                <w:rFonts w:ascii="Arial" w:hAnsi="Arial" w:cs="Arial"/>
                <w:bCs/>
                <w:sz w:val="16"/>
                <w:szCs w:val="16"/>
                <w:vertAlign w:val="superscript"/>
                <w:lang w:eastAsia="en-US"/>
              </w:rPr>
              <w:t>2</w:t>
            </w:r>
            <w:r w:rsidRPr="0045165E">
              <w:rPr>
                <w:rFonts w:ascii="Arial" w:hAnsi="Arial" w:cs="Arial"/>
                <w:bCs/>
                <w:sz w:val="16"/>
                <w:szCs w:val="16"/>
                <w:lang w:eastAsia="en-US"/>
              </w:rPr>
              <w:t xml:space="preserve"> in 2021, and the percentage of tenancies meeting the occupational density target has increased from 40.1% in 2020 to 43.6% in 2021. The work-point vacancy rate has reduced, from 8.8% in 2020 to 7.4% in 2021.</w:t>
            </w:r>
          </w:p>
          <w:p w14:paraId="2B14B537" w14:textId="77777777" w:rsidR="0045165E" w:rsidRPr="0045165E" w:rsidRDefault="0045165E" w:rsidP="00C27356">
            <w:pPr>
              <w:autoSpaceDE w:val="0"/>
              <w:autoSpaceDN w:val="0"/>
              <w:spacing w:before="60" w:after="60" w:line="240" w:lineRule="auto"/>
              <w:rPr>
                <w:rFonts w:ascii="Arial" w:hAnsi="Arial" w:cs="Arial"/>
                <w:bCs/>
                <w:sz w:val="16"/>
                <w:szCs w:val="16"/>
                <w:lang w:eastAsia="en-US"/>
              </w:rPr>
            </w:pPr>
            <w:r w:rsidRPr="0045165E">
              <w:rPr>
                <w:rFonts w:ascii="Arial" w:hAnsi="Arial" w:cs="Arial"/>
                <w:bCs/>
                <w:sz w:val="16"/>
                <w:szCs w:val="16"/>
                <w:lang w:eastAsia="en-US"/>
              </w:rPr>
              <w:t>Despite most leases including an annual escalation of cost as a component of the lease, in line with market norms, cost indicators for 2021 only increased marginally, with the national cost per m</w:t>
            </w:r>
            <w:r w:rsidRPr="003959E6">
              <w:rPr>
                <w:rFonts w:ascii="Arial" w:hAnsi="Arial" w:cs="Arial"/>
                <w:bCs/>
                <w:sz w:val="16"/>
                <w:szCs w:val="16"/>
                <w:vertAlign w:val="superscript"/>
                <w:lang w:eastAsia="en-US"/>
              </w:rPr>
              <w:t>2</w:t>
            </w:r>
            <w:r w:rsidRPr="0045165E">
              <w:rPr>
                <w:rFonts w:ascii="Arial" w:hAnsi="Arial" w:cs="Arial"/>
                <w:bCs/>
                <w:sz w:val="16"/>
                <w:szCs w:val="16"/>
                <w:lang w:eastAsia="en-US"/>
              </w:rPr>
              <w:t xml:space="preserve"> increasing by $15 per m</w:t>
            </w:r>
            <w:r w:rsidRPr="003959E6">
              <w:rPr>
                <w:rFonts w:ascii="Arial" w:hAnsi="Arial" w:cs="Arial"/>
                <w:bCs/>
                <w:sz w:val="16"/>
                <w:szCs w:val="16"/>
                <w:vertAlign w:val="superscript"/>
                <w:lang w:eastAsia="en-US"/>
              </w:rPr>
              <w:t>2</w:t>
            </w:r>
            <w:r w:rsidRPr="0045165E">
              <w:rPr>
                <w:rFonts w:ascii="Arial" w:hAnsi="Arial" w:cs="Arial"/>
                <w:bCs/>
                <w:sz w:val="16"/>
                <w:szCs w:val="16"/>
                <w:lang w:eastAsia="en-US"/>
              </w:rPr>
              <w:t xml:space="preserve"> in 2021, to $496 per m</w:t>
            </w:r>
            <w:r w:rsidRPr="003959E6">
              <w:rPr>
                <w:rFonts w:ascii="Arial" w:hAnsi="Arial" w:cs="Arial"/>
                <w:bCs/>
                <w:sz w:val="16"/>
                <w:szCs w:val="16"/>
                <w:vertAlign w:val="superscript"/>
                <w:lang w:eastAsia="en-US"/>
              </w:rPr>
              <w:t>2</w:t>
            </w:r>
            <w:r w:rsidRPr="0045165E">
              <w:rPr>
                <w:rFonts w:ascii="Arial" w:hAnsi="Arial" w:cs="Arial"/>
                <w:bCs/>
                <w:sz w:val="16"/>
                <w:szCs w:val="16"/>
                <w:lang w:eastAsia="en-US"/>
              </w:rPr>
              <w:t xml:space="preserve">.  </w:t>
            </w:r>
          </w:p>
          <w:p w14:paraId="5478D1ED" w14:textId="766F6767" w:rsidR="0045165E" w:rsidRPr="0045165E" w:rsidRDefault="0045165E" w:rsidP="00C27356">
            <w:pPr>
              <w:autoSpaceDE w:val="0"/>
              <w:autoSpaceDN w:val="0"/>
              <w:spacing w:before="60" w:after="60" w:line="240" w:lineRule="auto"/>
              <w:rPr>
                <w:rFonts w:ascii="Arial" w:hAnsi="Arial" w:cs="Arial"/>
                <w:bCs/>
                <w:sz w:val="16"/>
                <w:szCs w:val="16"/>
                <w:lang w:eastAsia="en-US"/>
              </w:rPr>
            </w:pPr>
            <w:r w:rsidRPr="0045165E">
              <w:rPr>
                <w:rFonts w:ascii="Arial" w:hAnsi="Arial" w:cs="Arial"/>
                <w:bCs/>
                <w:sz w:val="16"/>
                <w:szCs w:val="16"/>
                <w:lang w:eastAsia="en-US"/>
              </w:rPr>
              <w:t>Th</w:t>
            </w:r>
            <w:r w:rsidR="003B73CF">
              <w:rPr>
                <w:rFonts w:ascii="Arial" w:hAnsi="Arial" w:cs="Arial"/>
                <w:bCs/>
                <w:sz w:val="16"/>
                <w:szCs w:val="16"/>
                <w:lang w:eastAsia="en-US"/>
              </w:rPr>
              <w:t xml:space="preserve">e </w:t>
            </w:r>
            <w:r w:rsidR="00C92E3C">
              <w:rPr>
                <w:rFonts w:ascii="Arial" w:hAnsi="Arial" w:cs="Arial"/>
                <w:bCs/>
                <w:sz w:val="16"/>
                <w:szCs w:val="16"/>
                <w:lang w:eastAsia="en-US"/>
              </w:rPr>
              <w:t>whole-of-Australian-Government (</w:t>
            </w:r>
            <w:proofErr w:type="spellStart"/>
            <w:r w:rsidR="003B73CF">
              <w:rPr>
                <w:rFonts w:ascii="Arial" w:hAnsi="Arial" w:cs="Arial"/>
                <w:bCs/>
                <w:sz w:val="16"/>
                <w:szCs w:val="16"/>
                <w:lang w:eastAsia="en-US"/>
              </w:rPr>
              <w:t>WoAG</w:t>
            </w:r>
            <w:proofErr w:type="spellEnd"/>
            <w:r w:rsidR="00C92E3C">
              <w:rPr>
                <w:rFonts w:ascii="Arial" w:hAnsi="Arial" w:cs="Arial"/>
                <w:bCs/>
                <w:sz w:val="16"/>
                <w:szCs w:val="16"/>
                <w:lang w:eastAsia="en-US"/>
              </w:rPr>
              <w:t>)</w:t>
            </w:r>
            <w:r w:rsidR="003B73CF">
              <w:rPr>
                <w:rFonts w:ascii="Arial" w:hAnsi="Arial" w:cs="Arial"/>
                <w:bCs/>
                <w:sz w:val="16"/>
                <w:szCs w:val="16"/>
                <w:lang w:eastAsia="en-US"/>
              </w:rPr>
              <w:t xml:space="preserve"> </w:t>
            </w:r>
            <w:r w:rsidRPr="0045165E">
              <w:rPr>
                <w:rFonts w:ascii="Arial" w:hAnsi="Arial" w:cs="Arial"/>
                <w:bCs/>
                <w:sz w:val="16"/>
                <w:szCs w:val="16"/>
                <w:lang w:eastAsia="en-US"/>
              </w:rPr>
              <w:t xml:space="preserve">Property Services Coordinated Procurement </w:t>
            </w:r>
            <w:r w:rsidR="0095029E">
              <w:rPr>
                <w:rFonts w:ascii="Arial" w:hAnsi="Arial" w:cs="Arial"/>
                <w:bCs/>
                <w:sz w:val="16"/>
                <w:szCs w:val="16"/>
                <w:lang w:eastAsia="en-US"/>
              </w:rPr>
              <w:t xml:space="preserve">(PSCP) </w:t>
            </w:r>
            <w:r w:rsidRPr="0045165E">
              <w:rPr>
                <w:rFonts w:ascii="Arial" w:hAnsi="Arial" w:cs="Arial"/>
                <w:bCs/>
                <w:sz w:val="16"/>
                <w:szCs w:val="16"/>
                <w:lang w:eastAsia="en-US"/>
              </w:rPr>
              <w:t>Arrangements continue to deliver efficiencies for entities, with Property Service Providers (PSPs) collectively exceeding the Property Operating Expense savings targets over the duration of the Deed for the 2020-21 period.</w:t>
            </w:r>
          </w:p>
          <w:p w14:paraId="3A1A4DDC" w14:textId="7EA82C2E" w:rsidR="0045165E" w:rsidRPr="0045165E" w:rsidRDefault="0045165E" w:rsidP="00C27356">
            <w:pPr>
              <w:autoSpaceDE w:val="0"/>
              <w:autoSpaceDN w:val="0"/>
              <w:spacing w:before="60" w:after="60" w:line="240" w:lineRule="auto"/>
              <w:rPr>
                <w:rFonts w:ascii="Arial" w:hAnsi="Arial" w:cs="Arial"/>
                <w:bCs/>
                <w:sz w:val="16"/>
                <w:szCs w:val="16"/>
                <w:lang w:eastAsia="en-US"/>
              </w:rPr>
            </w:pPr>
            <w:r w:rsidRPr="0045165E">
              <w:rPr>
                <w:rFonts w:ascii="Arial" w:hAnsi="Arial" w:cs="Arial"/>
                <w:bCs/>
                <w:sz w:val="16"/>
                <w:szCs w:val="16"/>
                <w:lang w:eastAsia="en-US"/>
              </w:rPr>
              <w:t xml:space="preserve">The measured performance of the PSPs under the </w:t>
            </w:r>
            <w:r w:rsidR="0095029E">
              <w:rPr>
                <w:rFonts w:ascii="Arial" w:hAnsi="Arial" w:cs="Arial"/>
                <w:bCs/>
                <w:sz w:val="16"/>
                <w:szCs w:val="16"/>
                <w:lang w:eastAsia="en-US"/>
              </w:rPr>
              <w:t xml:space="preserve">PSCP </w:t>
            </w:r>
            <w:r w:rsidRPr="0045165E">
              <w:rPr>
                <w:rFonts w:ascii="Arial" w:hAnsi="Arial" w:cs="Arial"/>
                <w:bCs/>
                <w:sz w:val="16"/>
                <w:szCs w:val="16"/>
                <w:lang w:eastAsia="en-US"/>
              </w:rPr>
              <w:t>Arrangements for the July to December 2021 period has shown performance continues to collectively improve across the PSPs.</w:t>
            </w:r>
          </w:p>
          <w:p w14:paraId="2239E15F" w14:textId="4BEC5848" w:rsidR="00F0167C" w:rsidRPr="001079D3" w:rsidRDefault="0045165E" w:rsidP="00C27356">
            <w:pPr>
              <w:autoSpaceDE w:val="0"/>
              <w:autoSpaceDN w:val="0"/>
              <w:spacing w:before="60" w:after="60" w:line="240" w:lineRule="auto"/>
              <w:rPr>
                <w:rFonts w:ascii="Arial" w:hAnsi="Arial" w:cs="Arial"/>
                <w:bCs/>
                <w:sz w:val="16"/>
                <w:szCs w:val="16"/>
              </w:rPr>
            </w:pPr>
            <w:r w:rsidRPr="0045165E">
              <w:rPr>
                <w:rFonts w:ascii="Arial" w:hAnsi="Arial" w:cs="Arial"/>
                <w:bCs/>
                <w:sz w:val="16"/>
                <w:szCs w:val="16"/>
                <w:lang w:eastAsia="en-US"/>
              </w:rPr>
              <w:t xml:space="preserve">The PSPs exceeded the 10% small to medium-sized enterprises target and the 4% Indigenous Participation Plan target of applicable spend on property services provided by downstream contractors within the </w:t>
            </w:r>
            <w:r w:rsidR="0095029E">
              <w:rPr>
                <w:rFonts w:ascii="Arial" w:hAnsi="Arial" w:cs="Arial"/>
                <w:bCs/>
                <w:sz w:val="16"/>
                <w:szCs w:val="16"/>
                <w:lang w:eastAsia="en-US"/>
              </w:rPr>
              <w:t xml:space="preserve">PSCP </w:t>
            </w:r>
            <w:r w:rsidRPr="0045165E">
              <w:rPr>
                <w:rFonts w:ascii="Arial" w:hAnsi="Arial" w:cs="Arial"/>
                <w:bCs/>
                <w:sz w:val="16"/>
                <w:szCs w:val="16"/>
                <w:lang w:eastAsia="en-US"/>
              </w:rPr>
              <w:t>Arrangements for the 2020-21 period.</w:t>
            </w:r>
          </w:p>
        </w:tc>
      </w:tr>
    </w:tbl>
    <w:p w14:paraId="0847EE55" w14:textId="77777777" w:rsidR="00AF3A6D" w:rsidRDefault="00AF3A6D" w:rsidP="004B5360">
      <w:pPr>
        <w:pStyle w:val="TableHeading"/>
        <w:spacing w:before="30" w:after="0"/>
        <w:rPr>
          <w:b w:val="0"/>
          <w:color w:val="000000"/>
          <w:sz w:val="16"/>
          <w:lang w:val="x-none" w:eastAsia="x-none"/>
        </w:rPr>
      </w:pPr>
      <w:r>
        <w:rPr>
          <w:b w:val="0"/>
          <w:color w:val="000000"/>
          <w:sz w:val="16"/>
          <w:lang w:val="x-none" w:eastAsia="x-none"/>
        </w:rPr>
        <w:t>Table continues on next page</w:t>
      </w:r>
      <w:r>
        <w:rPr>
          <w:b w:val="0"/>
          <w:color w:val="000000"/>
          <w:sz w:val="16"/>
          <w:lang w:val="x-none" w:eastAsia="x-none"/>
        </w:rPr>
        <w:br w:type="page"/>
      </w:r>
    </w:p>
    <w:p w14:paraId="5418E3F2" w14:textId="77777777" w:rsidR="00D740E6" w:rsidRDefault="00F0167C" w:rsidP="00AF3A6D">
      <w:pPr>
        <w:pStyle w:val="TableHeading"/>
        <w:spacing w:before="0"/>
      </w:pPr>
      <w:r>
        <w:lastRenderedPageBreak/>
        <w:t>Table 2.2.2</w:t>
      </w:r>
      <w:r w:rsidRPr="00F71634">
        <w:t xml:space="preserve">: Performance </w:t>
      </w:r>
      <w:r w:rsidRPr="00026D37">
        <w:t>measure</w:t>
      </w:r>
      <w:r w:rsidRPr="00F71634">
        <w:t xml:space="preserve"> </w:t>
      </w:r>
      <w:r>
        <w:t>for Outcome 2</w:t>
      </w:r>
      <w:r w:rsidRPr="00EF3E32">
        <w:t xml:space="preserve"> (continued)</w:t>
      </w:r>
    </w:p>
    <w:tbl>
      <w:tblPr>
        <w:tblW w:w="7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130"/>
        <w:gridCol w:w="4251"/>
      </w:tblGrid>
      <w:tr w:rsidR="00D740E6" w:rsidRPr="0045165E" w14:paraId="71CFC3F4" w14:textId="77777777" w:rsidTr="0077625F">
        <w:trPr>
          <w:trHeight w:val="527"/>
        </w:trPr>
        <w:tc>
          <w:tcPr>
            <w:tcW w:w="7795" w:type="dxa"/>
            <w:gridSpan w:val="3"/>
            <w:shd w:val="clear" w:color="auto" w:fill="F2F2F2"/>
          </w:tcPr>
          <w:p w14:paraId="59ED9461" w14:textId="77777777" w:rsidR="00D740E6" w:rsidRPr="0045165E" w:rsidRDefault="00D740E6" w:rsidP="00443C38">
            <w:pPr>
              <w:tabs>
                <w:tab w:val="left" w:pos="709"/>
              </w:tabs>
              <w:spacing w:before="60" w:after="60" w:line="240" w:lineRule="auto"/>
              <w:rPr>
                <w:rFonts w:ascii="Arial" w:hAnsi="Arial" w:cs="Arial"/>
                <w:b/>
                <w:sz w:val="16"/>
                <w:szCs w:val="16"/>
              </w:rPr>
            </w:pPr>
            <w:r w:rsidRPr="0045165E">
              <w:rPr>
                <w:rFonts w:ascii="Arial" w:hAnsi="Arial" w:cs="Arial"/>
                <w:b/>
                <w:sz w:val="16"/>
                <w:szCs w:val="16"/>
              </w:rPr>
              <w:t>Program 2.3- Property and Construction</w:t>
            </w:r>
          </w:p>
          <w:p w14:paraId="0A62226F" w14:textId="77777777" w:rsidR="00D740E6" w:rsidRPr="0045165E" w:rsidRDefault="00D740E6" w:rsidP="00443C38">
            <w:pPr>
              <w:tabs>
                <w:tab w:val="left" w:pos="709"/>
              </w:tabs>
              <w:spacing w:before="60" w:after="60" w:line="240" w:lineRule="auto"/>
              <w:rPr>
                <w:rFonts w:ascii="Arial" w:hAnsi="Arial" w:cs="Arial"/>
                <w:sz w:val="16"/>
                <w:szCs w:val="16"/>
              </w:rPr>
            </w:pPr>
            <w:r w:rsidRPr="0045165E">
              <w:rPr>
                <w:rFonts w:ascii="Arial" w:hAnsi="Arial" w:cs="Arial"/>
                <w:sz w:val="16"/>
                <w:szCs w:val="16"/>
              </w:rPr>
              <w:t>This program contributes to the outcome by providing policy advice, guidance and support on managing Commonwealth property, land and public works across the Government; and managing specified major capital works projects and the government’s non-Defence property portfolio within Australia.</w:t>
            </w:r>
          </w:p>
        </w:tc>
      </w:tr>
      <w:tr w:rsidR="00D740E6" w:rsidRPr="001079D3" w14:paraId="18070837" w14:textId="77777777" w:rsidTr="00443C38">
        <w:trPr>
          <w:trHeight w:val="269"/>
        </w:trPr>
        <w:tc>
          <w:tcPr>
            <w:tcW w:w="1414" w:type="dxa"/>
            <w:tcBorders>
              <w:top w:val="single" w:sz="4" w:space="0" w:color="auto"/>
              <w:right w:val="single" w:sz="4" w:space="0" w:color="auto"/>
            </w:tcBorders>
          </w:tcPr>
          <w:p w14:paraId="4A9D5A5B" w14:textId="77777777" w:rsidR="00D740E6" w:rsidRPr="001079D3" w:rsidRDefault="00D740E6" w:rsidP="00443C38">
            <w:pPr>
              <w:tabs>
                <w:tab w:val="left" w:pos="709"/>
              </w:tabs>
              <w:spacing w:before="60" w:after="60" w:line="240" w:lineRule="auto"/>
              <w:rPr>
                <w:rFonts w:ascii="Arial" w:hAnsi="Arial" w:cs="Arial"/>
                <w:sz w:val="16"/>
                <w:szCs w:val="16"/>
              </w:rPr>
            </w:pPr>
            <w:r w:rsidRPr="001079D3">
              <w:rPr>
                <w:rFonts w:ascii="Arial" w:hAnsi="Arial" w:cs="Arial"/>
                <w:b/>
                <w:sz w:val="16"/>
                <w:szCs w:val="16"/>
              </w:rPr>
              <w:t>Year</w:t>
            </w:r>
          </w:p>
        </w:tc>
        <w:tc>
          <w:tcPr>
            <w:tcW w:w="2130" w:type="dxa"/>
            <w:tcBorders>
              <w:top w:val="single" w:sz="4" w:space="0" w:color="auto"/>
              <w:left w:val="single" w:sz="4" w:space="0" w:color="auto"/>
              <w:right w:val="single" w:sz="4" w:space="0" w:color="auto"/>
            </w:tcBorders>
          </w:tcPr>
          <w:p w14:paraId="11A0327F" w14:textId="77777777" w:rsidR="00D740E6" w:rsidRPr="001079D3" w:rsidRDefault="00D740E6" w:rsidP="00443C38">
            <w:pPr>
              <w:tabs>
                <w:tab w:val="left" w:pos="709"/>
              </w:tabs>
              <w:spacing w:before="60" w:after="60" w:line="240" w:lineRule="auto"/>
              <w:rPr>
                <w:rFonts w:ascii="Arial" w:hAnsi="Arial" w:cs="Arial"/>
              </w:rPr>
            </w:pPr>
            <w:r w:rsidRPr="001079D3">
              <w:rPr>
                <w:rFonts w:ascii="Arial" w:hAnsi="Arial" w:cs="Arial"/>
                <w:b/>
                <w:sz w:val="16"/>
                <w:szCs w:val="16"/>
              </w:rPr>
              <w:t>Performance measures</w:t>
            </w:r>
          </w:p>
        </w:tc>
        <w:tc>
          <w:tcPr>
            <w:tcW w:w="4251" w:type="dxa"/>
            <w:tcBorders>
              <w:top w:val="single" w:sz="4" w:space="0" w:color="auto"/>
              <w:left w:val="single" w:sz="4" w:space="0" w:color="auto"/>
            </w:tcBorders>
          </w:tcPr>
          <w:p w14:paraId="49BDF905" w14:textId="77777777" w:rsidR="00D740E6" w:rsidRPr="001079D3" w:rsidRDefault="00D740E6" w:rsidP="00443C38">
            <w:pPr>
              <w:tabs>
                <w:tab w:val="left" w:pos="709"/>
              </w:tabs>
              <w:spacing w:before="60" w:after="60" w:line="240" w:lineRule="auto"/>
              <w:rPr>
                <w:rFonts w:ascii="Arial" w:hAnsi="Arial" w:cs="Arial"/>
                <w:i/>
                <w:sz w:val="16"/>
                <w:szCs w:val="16"/>
              </w:rPr>
            </w:pPr>
            <w:r w:rsidRPr="001079D3">
              <w:rPr>
                <w:rFonts w:ascii="Arial" w:hAnsi="Arial" w:cs="Arial"/>
                <w:b/>
                <w:sz w:val="16"/>
                <w:szCs w:val="16"/>
              </w:rPr>
              <w:t>Planned Performance Results</w:t>
            </w:r>
          </w:p>
        </w:tc>
      </w:tr>
      <w:tr w:rsidR="00D740E6" w:rsidRPr="001079D3" w14:paraId="04C621CE" w14:textId="77777777" w:rsidTr="00443C38">
        <w:trPr>
          <w:trHeight w:val="1699"/>
        </w:trPr>
        <w:tc>
          <w:tcPr>
            <w:tcW w:w="1414" w:type="dxa"/>
            <w:tcBorders>
              <w:top w:val="single" w:sz="4" w:space="0" w:color="auto"/>
              <w:bottom w:val="dotted" w:sz="4" w:space="0" w:color="auto"/>
              <w:right w:val="single" w:sz="4" w:space="0" w:color="auto"/>
            </w:tcBorders>
          </w:tcPr>
          <w:p w14:paraId="74049168" w14:textId="77777777" w:rsidR="00716574" w:rsidRDefault="00716574" w:rsidP="00443C38">
            <w:pPr>
              <w:tabs>
                <w:tab w:val="left" w:pos="709"/>
              </w:tabs>
              <w:spacing w:before="60" w:after="60" w:line="240" w:lineRule="auto"/>
              <w:rPr>
                <w:rFonts w:ascii="Arial" w:hAnsi="Arial" w:cs="Arial"/>
                <w:sz w:val="16"/>
                <w:szCs w:val="16"/>
              </w:rPr>
            </w:pPr>
            <w:r>
              <w:rPr>
                <w:rFonts w:ascii="Arial" w:hAnsi="Arial" w:cs="Arial"/>
                <w:sz w:val="16"/>
                <w:szCs w:val="16"/>
              </w:rPr>
              <w:t>Budget Year</w:t>
            </w:r>
          </w:p>
          <w:p w14:paraId="60D2DFD3" w14:textId="6AF5D54B" w:rsidR="00D740E6" w:rsidRPr="001079D3" w:rsidRDefault="00D740E6" w:rsidP="00443C38">
            <w:pPr>
              <w:tabs>
                <w:tab w:val="left" w:pos="709"/>
              </w:tabs>
              <w:spacing w:before="60" w:after="60" w:line="240" w:lineRule="auto"/>
              <w:rPr>
                <w:rFonts w:ascii="Arial" w:hAnsi="Arial" w:cs="Arial"/>
                <w:sz w:val="16"/>
                <w:szCs w:val="16"/>
              </w:rPr>
            </w:pPr>
            <w:r w:rsidRPr="001079D3">
              <w:rPr>
                <w:rFonts w:ascii="Arial" w:hAnsi="Arial" w:cs="Arial"/>
                <w:sz w:val="16"/>
                <w:szCs w:val="16"/>
              </w:rPr>
              <w:t>2022-23</w:t>
            </w:r>
          </w:p>
        </w:tc>
        <w:tc>
          <w:tcPr>
            <w:tcW w:w="2130" w:type="dxa"/>
            <w:tcBorders>
              <w:top w:val="single" w:sz="4" w:space="0" w:color="auto"/>
              <w:left w:val="single" w:sz="4" w:space="0" w:color="auto"/>
              <w:bottom w:val="dotted" w:sz="4" w:space="0" w:color="auto"/>
              <w:right w:val="single" w:sz="4" w:space="0" w:color="auto"/>
            </w:tcBorders>
          </w:tcPr>
          <w:p w14:paraId="14E18430" w14:textId="77777777" w:rsidR="00D740E6" w:rsidRPr="0034315D" w:rsidRDefault="00D740E6" w:rsidP="00443C38">
            <w:pPr>
              <w:tabs>
                <w:tab w:val="left" w:pos="709"/>
              </w:tabs>
              <w:autoSpaceDE w:val="0"/>
              <w:autoSpaceDN w:val="0"/>
              <w:spacing w:before="60" w:after="60" w:line="240" w:lineRule="auto"/>
              <w:rPr>
                <w:rFonts w:ascii="Arial" w:eastAsia="Arial" w:hAnsi="Arial" w:cs="Arial"/>
                <w:b/>
                <w:sz w:val="16"/>
                <w:szCs w:val="16"/>
              </w:rPr>
            </w:pPr>
            <w:r w:rsidRPr="0034315D">
              <w:rPr>
                <w:rFonts w:ascii="Arial" w:eastAsia="Arial" w:hAnsi="Arial" w:cs="Arial"/>
                <w:b/>
                <w:sz w:val="16"/>
                <w:szCs w:val="16"/>
              </w:rPr>
              <w:t>Commonwealth property initiatives are efficient and effective</w:t>
            </w:r>
          </w:p>
          <w:p w14:paraId="2A98D372" w14:textId="77777777" w:rsidR="00D740E6" w:rsidRPr="0034315D" w:rsidRDefault="00D740E6" w:rsidP="00443C38">
            <w:pPr>
              <w:tabs>
                <w:tab w:val="left" w:pos="709"/>
              </w:tabs>
              <w:autoSpaceDE w:val="0"/>
              <w:autoSpaceDN w:val="0"/>
              <w:spacing w:before="60" w:after="60" w:line="240" w:lineRule="auto"/>
              <w:rPr>
                <w:rFonts w:ascii="Arial" w:eastAsia="Arial" w:hAnsi="Arial" w:cs="Arial"/>
                <w:sz w:val="16"/>
                <w:szCs w:val="16"/>
                <w:vertAlign w:val="superscript"/>
              </w:rPr>
            </w:pPr>
            <w:r w:rsidRPr="0034315D">
              <w:rPr>
                <w:rFonts w:ascii="Arial" w:eastAsia="Arial" w:hAnsi="Arial" w:cs="Arial"/>
                <w:sz w:val="16"/>
                <w:szCs w:val="16"/>
              </w:rPr>
              <w:t>The management of Commonwealth property demonstrates best practice effectiveness in an evolving environment, and delivers efficiencies in relation to leasing and facilities management for non-corporate Commonwealth entities.</w:t>
            </w:r>
          </w:p>
        </w:tc>
        <w:tc>
          <w:tcPr>
            <w:tcW w:w="4251" w:type="dxa"/>
            <w:tcBorders>
              <w:top w:val="single" w:sz="4" w:space="0" w:color="auto"/>
              <w:left w:val="single" w:sz="4" w:space="0" w:color="auto"/>
              <w:bottom w:val="dotted" w:sz="4" w:space="0" w:color="auto"/>
            </w:tcBorders>
          </w:tcPr>
          <w:p w14:paraId="167D6C96" w14:textId="11598287" w:rsidR="00D740E6" w:rsidRPr="0034315D" w:rsidRDefault="00D740E6" w:rsidP="00443C38">
            <w:pPr>
              <w:autoSpaceDE w:val="0"/>
              <w:autoSpaceDN w:val="0"/>
              <w:spacing w:before="60" w:after="60" w:line="240" w:lineRule="auto"/>
              <w:rPr>
                <w:rFonts w:ascii="Arial" w:eastAsia="Arial" w:hAnsi="Arial" w:cs="Arial"/>
                <w:sz w:val="16"/>
                <w:szCs w:val="16"/>
              </w:rPr>
            </w:pPr>
            <w:r w:rsidRPr="0034315D">
              <w:rPr>
                <w:rFonts w:ascii="Arial" w:eastAsia="Arial" w:hAnsi="Arial" w:cs="Arial"/>
                <w:sz w:val="16"/>
                <w:szCs w:val="16"/>
              </w:rPr>
              <w:t>Property efficiencies are delivered through the</w:t>
            </w:r>
            <w:r w:rsidR="003B73CF">
              <w:rPr>
                <w:rFonts w:ascii="Arial" w:eastAsia="Arial" w:hAnsi="Arial" w:cs="Arial"/>
                <w:sz w:val="16"/>
                <w:szCs w:val="16"/>
              </w:rPr>
              <w:t xml:space="preserve"> </w:t>
            </w:r>
            <w:proofErr w:type="spellStart"/>
            <w:r w:rsidR="003B73CF">
              <w:rPr>
                <w:rFonts w:ascii="Arial" w:eastAsia="Arial" w:hAnsi="Arial" w:cs="Arial"/>
                <w:sz w:val="16"/>
                <w:szCs w:val="16"/>
              </w:rPr>
              <w:t>WoAG</w:t>
            </w:r>
            <w:proofErr w:type="spellEnd"/>
            <w:r w:rsidR="003B73CF">
              <w:rPr>
                <w:rFonts w:ascii="Arial" w:eastAsia="Arial" w:hAnsi="Arial" w:cs="Arial"/>
                <w:sz w:val="16"/>
                <w:szCs w:val="16"/>
              </w:rPr>
              <w:t xml:space="preserve"> </w:t>
            </w:r>
            <w:r w:rsidR="0095029E">
              <w:rPr>
                <w:rFonts w:ascii="Arial" w:eastAsia="Arial" w:hAnsi="Arial" w:cs="Arial"/>
                <w:sz w:val="16"/>
                <w:szCs w:val="16"/>
              </w:rPr>
              <w:t>PSCP A</w:t>
            </w:r>
            <w:r w:rsidRPr="0034315D">
              <w:rPr>
                <w:rFonts w:ascii="Arial" w:eastAsia="Arial" w:hAnsi="Arial" w:cs="Arial"/>
                <w:sz w:val="16"/>
                <w:szCs w:val="16"/>
              </w:rPr>
              <w:t>rrangements for leasing and facilities management. Measured and reported through the Annual Australian Gover</w:t>
            </w:r>
            <w:r w:rsidR="0095029E">
              <w:rPr>
                <w:rFonts w:ascii="Arial" w:eastAsia="Arial" w:hAnsi="Arial" w:cs="Arial"/>
                <w:sz w:val="16"/>
                <w:szCs w:val="16"/>
              </w:rPr>
              <w:t>nment Office Occupancy Report, PSCP A</w:t>
            </w:r>
            <w:r w:rsidRPr="0034315D">
              <w:rPr>
                <w:rFonts w:ascii="Arial" w:eastAsia="Arial" w:hAnsi="Arial" w:cs="Arial"/>
                <w:sz w:val="16"/>
                <w:szCs w:val="16"/>
              </w:rPr>
              <w:t>rrangements for leasing and facilities management, agency forums, entity correspondenc</w:t>
            </w:r>
            <w:r w:rsidR="00716574">
              <w:rPr>
                <w:rFonts w:ascii="Arial" w:eastAsia="Arial" w:hAnsi="Arial" w:cs="Arial"/>
                <w:sz w:val="16"/>
                <w:szCs w:val="16"/>
              </w:rPr>
              <w:t>e and qualitative case studies.</w:t>
            </w:r>
          </w:p>
          <w:p w14:paraId="64BB695E" w14:textId="16291861" w:rsidR="00D740E6" w:rsidRPr="001079D3" w:rsidRDefault="00D740E6" w:rsidP="0095029E">
            <w:pPr>
              <w:autoSpaceDE w:val="0"/>
              <w:autoSpaceDN w:val="0"/>
              <w:spacing w:before="60" w:after="60" w:line="240" w:lineRule="auto"/>
              <w:rPr>
                <w:rFonts w:ascii="Arial" w:hAnsi="Arial" w:cs="Arial"/>
                <w:i/>
                <w:sz w:val="16"/>
                <w:szCs w:val="16"/>
              </w:rPr>
            </w:pPr>
            <w:r w:rsidRPr="0034315D">
              <w:rPr>
                <w:rFonts w:ascii="Arial" w:eastAsia="Arial" w:hAnsi="Arial" w:cs="Arial"/>
                <w:sz w:val="16"/>
                <w:szCs w:val="16"/>
              </w:rPr>
              <w:t xml:space="preserve">Effectiveness of Finance’s stewardship, policy advice, engagement and guidance on Commonwealth property management. Measured and reported through a range of contractual and stakeholder engagement methods under the </w:t>
            </w:r>
            <w:r w:rsidR="0095029E">
              <w:rPr>
                <w:rFonts w:ascii="Arial" w:eastAsia="Arial" w:hAnsi="Arial" w:cs="Arial"/>
                <w:sz w:val="16"/>
                <w:szCs w:val="16"/>
              </w:rPr>
              <w:t>PSCP</w:t>
            </w:r>
            <w:r>
              <w:rPr>
                <w:rFonts w:ascii="Arial" w:eastAsia="Arial" w:hAnsi="Arial" w:cs="Arial"/>
                <w:sz w:val="16"/>
                <w:szCs w:val="16"/>
              </w:rPr>
              <w:t xml:space="preserve"> Arrangements</w:t>
            </w:r>
            <w:r w:rsidRPr="001079D3">
              <w:rPr>
                <w:rFonts w:ascii="Arial" w:eastAsia="Arial" w:hAnsi="Arial" w:cs="Arial"/>
                <w:sz w:val="16"/>
                <w:szCs w:val="16"/>
                <w:lang w:eastAsia="en-US"/>
              </w:rPr>
              <w:t>.</w:t>
            </w:r>
          </w:p>
        </w:tc>
      </w:tr>
      <w:tr w:rsidR="00D740E6" w:rsidRPr="001079D3" w14:paraId="7C0D1858" w14:textId="77777777" w:rsidTr="00443C38">
        <w:trPr>
          <w:trHeight w:val="491"/>
        </w:trPr>
        <w:tc>
          <w:tcPr>
            <w:tcW w:w="1414" w:type="dxa"/>
            <w:tcBorders>
              <w:top w:val="dotted" w:sz="4" w:space="0" w:color="auto"/>
              <w:left w:val="single" w:sz="4" w:space="0" w:color="auto"/>
              <w:bottom w:val="single" w:sz="4" w:space="0" w:color="auto"/>
              <w:right w:val="single" w:sz="4" w:space="0" w:color="auto"/>
            </w:tcBorders>
          </w:tcPr>
          <w:p w14:paraId="0A44386D" w14:textId="77777777" w:rsidR="00716574" w:rsidRDefault="00D740E6" w:rsidP="00716574">
            <w:pPr>
              <w:pStyle w:val="TableTextBase"/>
              <w:spacing w:before="60" w:after="60"/>
              <w:rPr>
                <w:rFonts w:cs="Arial"/>
                <w:szCs w:val="16"/>
              </w:rPr>
            </w:pPr>
            <w:r w:rsidRPr="001079D3">
              <w:rPr>
                <w:rFonts w:cs="Arial"/>
                <w:szCs w:val="16"/>
              </w:rPr>
              <w:t xml:space="preserve">Forward Estimates </w:t>
            </w:r>
          </w:p>
          <w:p w14:paraId="400B8978" w14:textId="37887D85" w:rsidR="00D740E6" w:rsidRPr="001079D3" w:rsidRDefault="00D740E6" w:rsidP="00716574">
            <w:pPr>
              <w:pStyle w:val="TableTextBase"/>
              <w:spacing w:before="60" w:after="60"/>
              <w:rPr>
                <w:rFonts w:cs="Arial"/>
                <w:b/>
                <w:szCs w:val="16"/>
              </w:rPr>
            </w:pPr>
            <w:r w:rsidRPr="001079D3">
              <w:rPr>
                <w:rFonts w:cs="Arial"/>
                <w:szCs w:val="16"/>
              </w:rPr>
              <w:t>2023-26</w:t>
            </w:r>
          </w:p>
        </w:tc>
        <w:tc>
          <w:tcPr>
            <w:tcW w:w="2130" w:type="dxa"/>
            <w:tcBorders>
              <w:top w:val="dotted" w:sz="4" w:space="0" w:color="auto"/>
              <w:left w:val="single" w:sz="4" w:space="0" w:color="auto"/>
              <w:bottom w:val="single" w:sz="4" w:space="0" w:color="auto"/>
              <w:right w:val="single" w:sz="4" w:space="0" w:color="auto"/>
            </w:tcBorders>
          </w:tcPr>
          <w:p w14:paraId="15A58BD3" w14:textId="77777777" w:rsidR="00D740E6" w:rsidRPr="001079D3" w:rsidRDefault="00D740E6" w:rsidP="00443C38">
            <w:pPr>
              <w:tabs>
                <w:tab w:val="left" w:pos="709"/>
              </w:tabs>
              <w:spacing w:before="60" w:after="60" w:line="240" w:lineRule="auto"/>
              <w:rPr>
                <w:rFonts w:ascii="Arial" w:hAnsi="Arial" w:cs="Arial"/>
                <w:b/>
                <w:sz w:val="16"/>
                <w:szCs w:val="16"/>
              </w:rPr>
            </w:pPr>
            <w:r>
              <w:rPr>
                <w:rFonts w:ascii="Arial" w:eastAsia="Arial" w:hAnsi="Arial" w:cs="Arial"/>
                <w:sz w:val="16"/>
                <w:szCs w:val="16"/>
              </w:rPr>
              <w:t>As per 2022-23</w:t>
            </w:r>
          </w:p>
        </w:tc>
        <w:tc>
          <w:tcPr>
            <w:tcW w:w="4251" w:type="dxa"/>
            <w:tcBorders>
              <w:top w:val="dotted" w:sz="4" w:space="0" w:color="auto"/>
              <w:left w:val="single" w:sz="4" w:space="0" w:color="auto"/>
              <w:bottom w:val="single" w:sz="4" w:space="0" w:color="auto"/>
              <w:right w:val="single" w:sz="4" w:space="0" w:color="auto"/>
            </w:tcBorders>
          </w:tcPr>
          <w:p w14:paraId="0AF1DF38" w14:textId="77777777" w:rsidR="00D740E6" w:rsidRPr="001079D3" w:rsidRDefault="00D740E6" w:rsidP="00443C38">
            <w:pPr>
              <w:tabs>
                <w:tab w:val="left" w:pos="709"/>
              </w:tabs>
              <w:spacing w:before="60" w:after="60" w:line="240" w:lineRule="auto"/>
              <w:rPr>
                <w:rFonts w:ascii="Arial" w:hAnsi="Arial" w:cs="Arial"/>
                <w:b/>
                <w:sz w:val="16"/>
                <w:szCs w:val="16"/>
              </w:rPr>
            </w:pPr>
            <w:r>
              <w:rPr>
                <w:rFonts w:ascii="Arial" w:eastAsia="Arial" w:hAnsi="Arial" w:cs="Arial"/>
                <w:sz w:val="16"/>
                <w:szCs w:val="16"/>
              </w:rPr>
              <w:t xml:space="preserve">As per </w:t>
            </w:r>
            <w:r w:rsidRPr="00D740E6">
              <w:rPr>
                <w:rFonts w:ascii="Arial" w:eastAsia="Arial" w:hAnsi="Arial" w:cs="Arial"/>
                <w:sz w:val="16"/>
                <w:szCs w:val="16"/>
              </w:rPr>
              <w:t>2022-23</w:t>
            </w:r>
          </w:p>
        </w:tc>
      </w:tr>
      <w:tr w:rsidR="00D740E6" w:rsidRPr="001079D3" w14:paraId="4E85FF70" w14:textId="77777777" w:rsidTr="00443C38">
        <w:trPr>
          <w:trHeight w:val="291"/>
        </w:trPr>
        <w:tc>
          <w:tcPr>
            <w:tcW w:w="7795" w:type="dxa"/>
            <w:gridSpan w:val="3"/>
            <w:tcBorders>
              <w:top w:val="single" w:sz="4" w:space="0" w:color="auto"/>
              <w:bottom w:val="single" w:sz="4" w:space="0" w:color="auto"/>
            </w:tcBorders>
          </w:tcPr>
          <w:p w14:paraId="1D6BE03B" w14:textId="77777777" w:rsidR="00D740E6" w:rsidRPr="001079D3" w:rsidRDefault="00D740E6" w:rsidP="00443C38">
            <w:pPr>
              <w:tabs>
                <w:tab w:val="left" w:pos="709"/>
              </w:tabs>
              <w:spacing w:before="60" w:after="60" w:line="240" w:lineRule="auto"/>
              <w:rPr>
                <w:rFonts w:ascii="Arial" w:eastAsia="Cambria" w:hAnsi="Arial" w:cs="Arial"/>
                <w:bCs/>
                <w:iCs/>
                <w:spacing w:val="-6"/>
                <w:sz w:val="16"/>
                <w:szCs w:val="16"/>
              </w:rPr>
            </w:pPr>
            <w:r w:rsidRPr="0034315D">
              <w:rPr>
                <w:rFonts w:ascii="Arial" w:hAnsi="Arial" w:cs="Arial"/>
                <w:sz w:val="16"/>
                <w:szCs w:val="16"/>
              </w:rPr>
              <w:t>Material changes to Program 2.3 resulting from October 2022-23 Budget Measures: Nil</w:t>
            </w:r>
          </w:p>
        </w:tc>
      </w:tr>
    </w:tbl>
    <w:p w14:paraId="2239E173" w14:textId="386EFF3E" w:rsidR="00374312" w:rsidRDefault="00374312" w:rsidP="00AF3A6D">
      <w:pPr>
        <w:pStyle w:val="TableHeading"/>
        <w:spacing w:before="0"/>
      </w:pPr>
      <w:r>
        <w:br w:type="page"/>
      </w:r>
    </w:p>
    <w:p w14:paraId="14F2FFBA" w14:textId="3ADDAD3B" w:rsidR="00D740E6" w:rsidRPr="0031691A" w:rsidRDefault="00374312" w:rsidP="0031691A">
      <w:pPr>
        <w:pStyle w:val="TableHeading"/>
        <w:spacing w:before="0"/>
      </w:pPr>
      <w:r>
        <w:lastRenderedPageBreak/>
        <w:t>Table 2.2.2</w:t>
      </w:r>
      <w:r w:rsidRPr="00F71634">
        <w:t xml:space="preserve">: Performance </w:t>
      </w:r>
      <w:r w:rsidRPr="00026D37">
        <w:t>measure</w:t>
      </w:r>
      <w:r w:rsidRPr="00F71634">
        <w:t xml:space="preserve"> </w:t>
      </w:r>
      <w:r>
        <w:t>for Outcome 2</w:t>
      </w:r>
      <w:r w:rsidRPr="00EF3E32">
        <w:t xml:space="preserve"> (continued)</w:t>
      </w:r>
    </w:p>
    <w:tbl>
      <w:tblPr>
        <w:tblW w:w="7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2291"/>
        <w:gridCol w:w="4088"/>
      </w:tblGrid>
      <w:tr w:rsidR="00F0167C" w:rsidRPr="00361E69" w14:paraId="2239E176" w14:textId="77777777" w:rsidTr="00E419DF">
        <w:trPr>
          <w:trHeight w:val="527"/>
          <w:tblHeader/>
        </w:trPr>
        <w:tc>
          <w:tcPr>
            <w:tcW w:w="7795" w:type="dxa"/>
            <w:gridSpan w:val="3"/>
            <w:shd w:val="clear" w:color="auto" w:fill="F2F2F2"/>
          </w:tcPr>
          <w:p w14:paraId="43A9EE1B" w14:textId="77777777" w:rsidR="0031691A" w:rsidRPr="0031691A" w:rsidRDefault="0031691A" w:rsidP="00E419DF">
            <w:pPr>
              <w:tabs>
                <w:tab w:val="left" w:pos="709"/>
              </w:tabs>
              <w:spacing w:before="60" w:after="60" w:line="240" w:lineRule="auto"/>
              <w:rPr>
                <w:rFonts w:ascii="Arial" w:hAnsi="Arial" w:cs="Arial"/>
                <w:b/>
                <w:sz w:val="16"/>
                <w:szCs w:val="16"/>
              </w:rPr>
            </w:pPr>
            <w:r w:rsidRPr="0031691A">
              <w:rPr>
                <w:rFonts w:ascii="Arial" w:hAnsi="Arial" w:cs="Arial"/>
                <w:b/>
                <w:sz w:val="16"/>
                <w:szCs w:val="16"/>
              </w:rPr>
              <w:t>Program 2.4 – Insurance and Risk Management</w:t>
            </w:r>
          </w:p>
          <w:p w14:paraId="2239E175" w14:textId="69206A42" w:rsidR="00F0167C" w:rsidRPr="0031691A" w:rsidRDefault="0031691A" w:rsidP="00E419DF">
            <w:pPr>
              <w:tabs>
                <w:tab w:val="left" w:pos="709"/>
              </w:tabs>
              <w:spacing w:before="60" w:after="60" w:line="240" w:lineRule="auto"/>
              <w:rPr>
                <w:rFonts w:ascii="Arial" w:hAnsi="Arial" w:cs="Arial"/>
                <w:sz w:val="16"/>
                <w:szCs w:val="16"/>
              </w:rPr>
            </w:pPr>
            <w:r w:rsidRPr="0031691A">
              <w:rPr>
                <w:rFonts w:ascii="Arial" w:hAnsi="Arial" w:cs="Arial"/>
                <w:sz w:val="16"/>
                <w:szCs w:val="16"/>
              </w:rPr>
              <w:t xml:space="preserve">This program contributes to the outcome by providing general insurance services and promoting risk management across the Government through the </w:t>
            </w:r>
            <w:proofErr w:type="spellStart"/>
            <w:r w:rsidRPr="0031691A">
              <w:rPr>
                <w:rFonts w:ascii="Arial" w:hAnsi="Arial" w:cs="Arial"/>
                <w:sz w:val="16"/>
                <w:szCs w:val="16"/>
              </w:rPr>
              <w:t>Comcover</w:t>
            </w:r>
            <w:proofErr w:type="spellEnd"/>
            <w:r w:rsidRPr="0031691A">
              <w:rPr>
                <w:rFonts w:ascii="Arial" w:hAnsi="Arial" w:cs="Arial"/>
                <w:sz w:val="16"/>
                <w:szCs w:val="16"/>
              </w:rPr>
              <w:t xml:space="preserve"> Special Account.</w:t>
            </w:r>
          </w:p>
        </w:tc>
      </w:tr>
      <w:tr w:rsidR="00F0167C" w:rsidRPr="00361E69" w14:paraId="2239E17B" w14:textId="77777777" w:rsidTr="00E419DF">
        <w:trPr>
          <w:trHeight w:val="694"/>
        </w:trPr>
        <w:tc>
          <w:tcPr>
            <w:tcW w:w="1416" w:type="dxa"/>
            <w:tcBorders>
              <w:bottom w:val="double" w:sz="4" w:space="0" w:color="auto"/>
            </w:tcBorders>
          </w:tcPr>
          <w:p w14:paraId="2239E177" w14:textId="77777777" w:rsidR="00F0167C" w:rsidRDefault="00F0167C" w:rsidP="00E419DF">
            <w:pPr>
              <w:tabs>
                <w:tab w:val="left" w:pos="709"/>
              </w:tabs>
              <w:spacing w:before="60" w:after="60" w:line="240" w:lineRule="auto"/>
              <w:rPr>
                <w:rFonts w:ascii="Arial" w:hAnsi="Arial" w:cs="Arial"/>
                <w:b/>
                <w:sz w:val="16"/>
                <w:szCs w:val="16"/>
              </w:rPr>
            </w:pPr>
            <w:r>
              <w:rPr>
                <w:rFonts w:ascii="Arial" w:hAnsi="Arial" w:cs="Arial"/>
                <w:b/>
                <w:sz w:val="16"/>
                <w:szCs w:val="16"/>
              </w:rPr>
              <w:t>Key Activities</w:t>
            </w:r>
          </w:p>
          <w:p w14:paraId="2239E178" w14:textId="77777777" w:rsidR="00F0167C" w:rsidRPr="00361E69" w:rsidRDefault="00F0167C" w:rsidP="00E419DF">
            <w:pPr>
              <w:tabs>
                <w:tab w:val="left" w:pos="709"/>
              </w:tabs>
              <w:spacing w:before="60" w:after="60" w:line="240" w:lineRule="auto"/>
              <w:rPr>
                <w:rFonts w:ascii="Arial" w:hAnsi="Arial" w:cs="Arial"/>
                <w:b/>
                <w:sz w:val="16"/>
                <w:szCs w:val="16"/>
              </w:rPr>
            </w:pPr>
          </w:p>
        </w:tc>
        <w:tc>
          <w:tcPr>
            <w:tcW w:w="6379" w:type="dxa"/>
            <w:gridSpan w:val="2"/>
            <w:tcBorders>
              <w:bottom w:val="double" w:sz="4" w:space="0" w:color="auto"/>
            </w:tcBorders>
          </w:tcPr>
          <w:p w14:paraId="17BDE29E" w14:textId="77777777" w:rsidR="00192DAF" w:rsidRPr="00192DAF" w:rsidRDefault="00192DAF" w:rsidP="00E419DF">
            <w:pPr>
              <w:tabs>
                <w:tab w:val="left" w:pos="709"/>
              </w:tabs>
              <w:spacing w:before="60" w:after="60" w:line="240" w:lineRule="auto"/>
              <w:rPr>
                <w:rFonts w:ascii="Arial" w:hAnsi="Arial" w:cs="Arial"/>
                <w:b/>
                <w:bCs/>
                <w:sz w:val="16"/>
                <w:szCs w:val="16"/>
              </w:rPr>
            </w:pPr>
            <w:r w:rsidRPr="00192DAF">
              <w:rPr>
                <w:rFonts w:ascii="Arial" w:hAnsi="Arial" w:cs="Arial"/>
                <w:b/>
                <w:bCs/>
                <w:sz w:val="16"/>
                <w:szCs w:val="16"/>
              </w:rPr>
              <w:t>Provide insurance and risk management support for Commonwealth entities</w:t>
            </w:r>
          </w:p>
          <w:p w14:paraId="2239E17A" w14:textId="6AAB8476" w:rsidR="00F0167C" w:rsidRPr="00192DAF" w:rsidRDefault="00192DAF" w:rsidP="00E419DF">
            <w:pPr>
              <w:tabs>
                <w:tab w:val="left" w:pos="709"/>
              </w:tabs>
              <w:spacing w:before="60" w:after="60" w:line="240" w:lineRule="auto"/>
              <w:rPr>
                <w:rFonts w:ascii="Arial" w:hAnsi="Arial" w:cs="Arial"/>
                <w:i/>
                <w:sz w:val="16"/>
                <w:szCs w:val="16"/>
              </w:rPr>
            </w:pPr>
            <w:r w:rsidRPr="00192DAF">
              <w:rPr>
                <w:rFonts w:ascii="Arial" w:hAnsi="Arial" w:cs="Arial"/>
                <w:bCs/>
                <w:sz w:val="16"/>
                <w:szCs w:val="16"/>
              </w:rPr>
              <w:t xml:space="preserve">Support best practice risk management and protect Commonwealth entities against insurable losses through the Government’s self-managed insurance fund, </w:t>
            </w:r>
            <w:proofErr w:type="spellStart"/>
            <w:r w:rsidRPr="00192DAF">
              <w:rPr>
                <w:rFonts w:ascii="Arial" w:hAnsi="Arial" w:cs="Arial"/>
                <w:bCs/>
                <w:sz w:val="16"/>
                <w:szCs w:val="16"/>
              </w:rPr>
              <w:t>Comcover</w:t>
            </w:r>
            <w:proofErr w:type="spellEnd"/>
            <w:r w:rsidRPr="00192DAF">
              <w:rPr>
                <w:rFonts w:ascii="Arial" w:hAnsi="Arial" w:cs="Arial"/>
                <w:bCs/>
                <w:sz w:val="16"/>
                <w:szCs w:val="16"/>
              </w:rPr>
              <w:t>.</w:t>
            </w:r>
          </w:p>
        </w:tc>
      </w:tr>
      <w:tr w:rsidR="00F0167C" w:rsidRPr="00361E69" w14:paraId="2239E17F" w14:textId="77777777" w:rsidTr="00E419DF">
        <w:trPr>
          <w:trHeight w:val="312"/>
        </w:trPr>
        <w:tc>
          <w:tcPr>
            <w:tcW w:w="1416" w:type="dxa"/>
            <w:tcBorders>
              <w:top w:val="double" w:sz="4" w:space="0" w:color="auto"/>
              <w:bottom w:val="single" w:sz="4" w:space="0" w:color="auto"/>
              <w:right w:val="single" w:sz="4" w:space="0" w:color="auto"/>
            </w:tcBorders>
          </w:tcPr>
          <w:p w14:paraId="2239E17C" w14:textId="77777777" w:rsidR="00F0167C" w:rsidRPr="00361E69" w:rsidRDefault="00F0167C" w:rsidP="00E419DF">
            <w:pPr>
              <w:tabs>
                <w:tab w:val="left" w:pos="709"/>
              </w:tabs>
              <w:spacing w:before="60" w:after="60" w:line="240" w:lineRule="auto"/>
              <w:rPr>
                <w:rFonts w:ascii="Arial" w:hAnsi="Arial" w:cs="Arial"/>
                <w:b/>
                <w:sz w:val="16"/>
                <w:szCs w:val="16"/>
              </w:rPr>
            </w:pPr>
            <w:r w:rsidRPr="00361E69">
              <w:rPr>
                <w:rFonts w:ascii="Arial" w:hAnsi="Arial" w:cs="Arial"/>
                <w:b/>
                <w:sz w:val="16"/>
                <w:szCs w:val="16"/>
              </w:rPr>
              <w:t>Year</w:t>
            </w:r>
          </w:p>
        </w:tc>
        <w:tc>
          <w:tcPr>
            <w:tcW w:w="2291" w:type="dxa"/>
            <w:tcBorders>
              <w:top w:val="double" w:sz="4" w:space="0" w:color="auto"/>
              <w:left w:val="single" w:sz="4" w:space="0" w:color="auto"/>
              <w:bottom w:val="single" w:sz="4" w:space="0" w:color="auto"/>
              <w:right w:val="single" w:sz="4" w:space="0" w:color="auto"/>
            </w:tcBorders>
          </w:tcPr>
          <w:p w14:paraId="2239E17D" w14:textId="77777777" w:rsidR="00F0167C" w:rsidRPr="00361E69" w:rsidRDefault="00F0167C" w:rsidP="00E419DF">
            <w:pPr>
              <w:tabs>
                <w:tab w:val="left" w:pos="709"/>
                <w:tab w:val="center" w:pos="1818"/>
              </w:tabs>
              <w:spacing w:before="60" w:after="60" w:line="240" w:lineRule="auto"/>
              <w:rPr>
                <w:rFonts w:ascii="Arial" w:hAnsi="Arial" w:cs="Arial"/>
                <w:b/>
                <w:sz w:val="16"/>
                <w:szCs w:val="16"/>
              </w:rPr>
            </w:pPr>
            <w:r w:rsidRPr="00361E69">
              <w:rPr>
                <w:rFonts w:ascii="Arial" w:hAnsi="Arial" w:cs="Arial"/>
                <w:b/>
                <w:sz w:val="16"/>
                <w:szCs w:val="16"/>
              </w:rPr>
              <w:t>Performance measures</w:t>
            </w:r>
          </w:p>
        </w:tc>
        <w:tc>
          <w:tcPr>
            <w:tcW w:w="4088" w:type="dxa"/>
            <w:tcBorders>
              <w:top w:val="double" w:sz="4" w:space="0" w:color="auto"/>
              <w:left w:val="single" w:sz="4" w:space="0" w:color="auto"/>
              <w:bottom w:val="single" w:sz="4" w:space="0" w:color="auto"/>
            </w:tcBorders>
          </w:tcPr>
          <w:p w14:paraId="2239E17E" w14:textId="77777777" w:rsidR="00F0167C" w:rsidRPr="00361E69" w:rsidRDefault="00F0167C" w:rsidP="00E419DF">
            <w:pPr>
              <w:tabs>
                <w:tab w:val="left" w:pos="709"/>
              </w:tabs>
              <w:spacing w:before="60" w:after="60" w:line="240" w:lineRule="auto"/>
              <w:rPr>
                <w:rFonts w:ascii="Arial" w:hAnsi="Arial" w:cs="Arial"/>
                <w:b/>
                <w:sz w:val="16"/>
                <w:szCs w:val="16"/>
              </w:rPr>
            </w:pPr>
            <w:r w:rsidRPr="00361E69">
              <w:rPr>
                <w:rFonts w:ascii="Arial" w:hAnsi="Arial" w:cs="Arial"/>
                <w:b/>
                <w:sz w:val="16"/>
                <w:szCs w:val="16"/>
              </w:rPr>
              <w:t>Expected Performance Results</w:t>
            </w:r>
          </w:p>
        </w:tc>
      </w:tr>
      <w:tr w:rsidR="00F0167C" w:rsidRPr="009F0A2E" w14:paraId="2239E189" w14:textId="77777777" w:rsidTr="00E419DF">
        <w:trPr>
          <w:trHeight w:val="2527"/>
        </w:trPr>
        <w:tc>
          <w:tcPr>
            <w:tcW w:w="1416" w:type="dxa"/>
            <w:tcBorders>
              <w:top w:val="single" w:sz="4" w:space="0" w:color="auto"/>
              <w:right w:val="single" w:sz="4" w:space="0" w:color="auto"/>
            </w:tcBorders>
          </w:tcPr>
          <w:p w14:paraId="695A47C5" w14:textId="77777777" w:rsidR="00192DAF" w:rsidRPr="00192DAF" w:rsidRDefault="00192DAF" w:rsidP="00E419DF">
            <w:pPr>
              <w:tabs>
                <w:tab w:val="left" w:pos="709"/>
              </w:tabs>
              <w:spacing w:before="60" w:after="60" w:line="240" w:lineRule="auto"/>
              <w:rPr>
                <w:rFonts w:ascii="Arial" w:hAnsi="Arial" w:cs="Arial"/>
                <w:sz w:val="16"/>
                <w:szCs w:val="16"/>
              </w:rPr>
            </w:pPr>
            <w:r w:rsidRPr="00192DAF">
              <w:rPr>
                <w:rFonts w:ascii="Arial" w:hAnsi="Arial" w:cs="Arial"/>
                <w:sz w:val="16"/>
                <w:szCs w:val="16"/>
              </w:rPr>
              <w:t xml:space="preserve">Prior year </w:t>
            </w:r>
          </w:p>
          <w:p w14:paraId="2239E180" w14:textId="203D0C07" w:rsidR="00F0167C" w:rsidRPr="00361E69" w:rsidRDefault="00192DAF" w:rsidP="00E419DF">
            <w:pPr>
              <w:tabs>
                <w:tab w:val="left" w:pos="709"/>
              </w:tabs>
              <w:spacing w:before="60" w:after="60" w:line="240" w:lineRule="auto"/>
              <w:rPr>
                <w:rFonts w:ascii="Arial" w:hAnsi="Arial" w:cs="Arial"/>
                <w:sz w:val="16"/>
                <w:szCs w:val="16"/>
              </w:rPr>
            </w:pPr>
            <w:r w:rsidRPr="00192DAF">
              <w:rPr>
                <w:rFonts w:ascii="Arial" w:hAnsi="Arial" w:cs="Arial"/>
                <w:sz w:val="16"/>
                <w:szCs w:val="16"/>
              </w:rPr>
              <w:t>2021-22</w:t>
            </w:r>
          </w:p>
        </w:tc>
        <w:tc>
          <w:tcPr>
            <w:tcW w:w="2291" w:type="dxa"/>
            <w:tcBorders>
              <w:top w:val="single" w:sz="4" w:space="0" w:color="auto"/>
              <w:left w:val="single" w:sz="4" w:space="0" w:color="auto"/>
              <w:right w:val="single" w:sz="4" w:space="0" w:color="auto"/>
            </w:tcBorders>
          </w:tcPr>
          <w:p w14:paraId="2B099E1B" w14:textId="77777777" w:rsidR="00192DAF" w:rsidRPr="00192DAF" w:rsidRDefault="00192DAF" w:rsidP="00E419DF">
            <w:pPr>
              <w:tabs>
                <w:tab w:val="left" w:pos="709"/>
              </w:tabs>
              <w:suppressAutoHyphens/>
              <w:spacing w:before="60" w:after="60" w:line="240" w:lineRule="auto"/>
              <w:rPr>
                <w:rFonts w:ascii="Arial" w:eastAsia="Arial" w:hAnsi="Arial" w:cs="Arial"/>
                <w:b/>
                <w:sz w:val="16"/>
                <w:szCs w:val="16"/>
              </w:rPr>
            </w:pPr>
            <w:r w:rsidRPr="00192DAF">
              <w:rPr>
                <w:rFonts w:ascii="Arial" w:eastAsia="Arial" w:hAnsi="Arial" w:cs="Arial"/>
                <w:b/>
                <w:sz w:val="16"/>
                <w:szCs w:val="16"/>
              </w:rPr>
              <w:t>Treatment of insurable risks and claims management</w:t>
            </w:r>
          </w:p>
          <w:p w14:paraId="2239E183" w14:textId="2B033219" w:rsidR="00F0167C" w:rsidRPr="00192DAF" w:rsidRDefault="00192DAF" w:rsidP="00E419DF">
            <w:pPr>
              <w:tabs>
                <w:tab w:val="left" w:pos="709"/>
              </w:tabs>
              <w:spacing w:before="60" w:after="60" w:line="240" w:lineRule="auto"/>
              <w:rPr>
                <w:rFonts w:ascii="Arial" w:hAnsi="Arial" w:cs="Arial"/>
              </w:rPr>
            </w:pPr>
            <w:proofErr w:type="spellStart"/>
            <w:r w:rsidRPr="00192DAF">
              <w:rPr>
                <w:rFonts w:ascii="Arial" w:eastAsia="Arial" w:hAnsi="Arial" w:cs="Arial"/>
                <w:sz w:val="16"/>
                <w:szCs w:val="16"/>
              </w:rPr>
              <w:t>Comcover</w:t>
            </w:r>
            <w:proofErr w:type="spellEnd"/>
            <w:r w:rsidRPr="00192DAF">
              <w:rPr>
                <w:rFonts w:ascii="Arial" w:eastAsia="Arial" w:hAnsi="Arial" w:cs="Arial"/>
                <w:sz w:val="16"/>
                <w:szCs w:val="16"/>
              </w:rPr>
              <w:t xml:space="preserve"> is effectively managed to ensure the fund is financially sustainable, there is a consistent, </w:t>
            </w:r>
            <w:proofErr w:type="spellStart"/>
            <w:r w:rsidRPr="00192DAF">
              <w:rPr>
                <w:rFonts w:ascii="Arial" w:eastAsia="Arial" w:hAnsi="Arial" w:cs="Arial"/>
                <w:sz w:val="16"/>
                <w:szCs w:val="16"/>
              </w:rPr>
              <w:t>WoAG</w:t>
            </w:r>
            <w:proofErr w:type="spellEnd"/>
            <w:r w:rsidRPr="00192DAF">
              <w:rPr>
                <w:rFonts w:ascii="Arial" w:eastAsia="Arial" w:hAnsi="Arial" w:cs="Arial"/>
                <w:sz w:val="16"/>
                <w:szCs w:val="16"/>
              </w:rPr>
              <w:t xml:space="preserve"> approach to the management of claims and </w:t>
            </w:r>
            <w:proofErr w:type="spellStart"/>
            <w:r w:rsidRPr="00192DAF">
              <w:rPr>
                <w:rFonts w:ascii="Arial" w:eastAsia="Arial" w:hAnsi="Arial" w:cs="Arial"/>
                <w:sz w:val="16"/>
                <w:szCs w:val="16"/>
              </w:rPr>
              <w:t>Comcover</w:t>
            </w:r>
            <w:proofErr w:type="spellEnd"/>
            <w:r w:rsidRPr="00192DAF">
              <w:rPr>
                <w:rFonts w:ascii="Arial" w:eastAsia="Arial" w:hAnsi="Arial" w:cs="Arial"/>
                <w:sz w:val="16"/>
                <w:szCs w:val="16"/>
              </w:rPr>
              <w:t xml:space="preserve"> supports the improvement of risk maturity in General Government Sector entities over time.</w:t>
            </w:r>
          </w:p>
        </w:tc>
        <w:tc>
          <w:tcPr>
            <w:tcW w:w="4088" w:type="dxa"/>
            <w:tcBorders>
              <w:top w:val="single" w:sz="4" w:space="0" w:color="auto"/>
              <w:left w:val="single" w:sz="4" w:space="0" w:color="auto"/>
            </w:tcBorders>
          </w:tcPr>
          <w:p w14:paraId="73F4B108" w14:textId="77777777" w:rsidR="00900A24" w:rsidRPr="00900A24" w:rsidRDefault="00900A24" w:rsidP="00E419DF">
            <w:pPr>
              <w:tabs>
                <w:tab w:val="left" w:pos="709"/>
              </w:tabs>
              <w:suppressAutoHyphens/>
              <w:spacing w:before="60" w:after="60" w:line="240" w:lineRule="auto"/>
              <w:rPr>
                <w:rFonts w:ascii="Arial" w:eastAsia="Arial" w:hAnsi="Arial" w:cs="Arial"/>
                <w:b/>
                <w:sz w:val="16"/>
                <w:szCs w:val="16"/>
              </w:rPr>
            </w:pPr>
            <w:r w:rsidRPr="00900A24">
              <w:rPr>
                <w:rFonts w:ascii="Arial" w:eastAsia="Arial" w:hAnsi="Arial" w:cs="Arial"/>
                <w:b/>
                <w:sz w:val="16"/>
                <w:szCs w:val="16"/>
              </w:rPr>
              <w:t>Partially Achieved</w:t>
            </w:r>
          </w:p>
          <w:p w14:paraId="0D386570" w14:textId="6D2F6B5B" w:rsidR="00900A24" w:rsidRPr="00900A24" w:rsidRDefault="00900A24" w:rsidP="00E419DF">
            <w:pPr>
              <w:tabs>
                <w:tab w:val="left" w:pos="709"/>
              </w:tabs>
              <w:suppressAutoHyphens/>
              <w:spacing w:before="60" w:after="60" w:line="240" w:lineRule="auto"/>
              <w:rPr>
                <w:rFonts w:ascii="Arial" w:eastAsia="Arial" w:hAnsi="Arial" w:cs="Arial"/>
                <w:sz w:val="16"/>
                <w:szCs w:val="16"/>
              </w:rPr>
            </w:pPr>
            <w:r w:rsidRPr="00900A24">
              <w:rPr>
                <w:rFonts w:ascii="Arial" w:eastAsia="Arial" w:hAnsi="Arial" w:cs="Arial"/>
                <w:sz w:val="16"/>
                <w:szCs w:val="16"/>
              </w:rPr>
              <w:t xml:space="preserve">At 30 June 2022, </w:t>
            </w:r>
            <w:proofErr w:type="spellStart"/>
            <w:r w:rsidRPr="00900A24">
              <w:rPr>
                <w:rFonts w:ascii="Arial" w:eastAsia="Arial" w:hAnsi="Arial" w:cs="Arial"/>
                <w:sz w:val="16"/>
                <w:szCs w:val="16"/>
              </w:rPr>
              <w:t>Comcover’s</w:t>
            </w:r>
            <w:proofErr w:type="spellEnd"/>
            <w:r w:rsidRPr="00900A24">
              <w:rPr>
                <w:rFonts w:ascii="Arial" w:eastAsia="Arial" w:hAnsi="Arial" w:cs="Arial"/>
                <w:sz w:val="16"/>
                <w:szCs w:val="16"/>
              </w:rPr>
              <w:t xml:space="preserve"> net assets were -$144.8</w:t>
            </w:r>
            <w:proofErr w:type="gramStart"/>
            <w:r w:rsidR="00AD6D16">
              <w:rPr>
                <w:rFonts w:eastAsia="Arial"/>
              </w:rPr>
              <w:t> </w:t>
            </w:r>
            <w:r w:rsidRPr="00900A24">
              <w:rPr>
                <w:rFonts w:ascii="Arial" w:eastAsia="Arial" w:hAnsi="Arial" w:cs="Arial"/>
                <w:sz w:val="16"/>
                <w:szCs w:val="16"/>
              </w:rPr>
              <w:t xml:space="preserve"> million</w:t>
            </w:r>
            <w:proofErr w:type="gramEnd"/>
            <w:r w:rsidRPr="00900A24">
              <w:rPr>
                <w:rFonts w:ascii="Arial" w:eastAsia="Arial" w:hAnsi="Arial" w:cs="Arial"/>
                <w:sz w:val="16"/>
                <w:szCs w:val="16"/>
              </w:rPr>
              <w:t xml:space="preserve">. As at 30 June 2022, Finance had a net claims liability of $1,273.8 million, with cash and equivalents of $1,135.8 million in the </w:t>
            </w:r>
            <w:proofErr w:type="spellStart"/>
            <w:r w:rsidRPr="00900A24">
              <w:rPr>
                <w:rFonts w:ascii="Arial" w:eastAsia="Arial" w:hAnsi="Arial" w:cs="Arial"/>
                <w:sz w:val="16"/>
                <w:szCs w:val="16"/>
              </w:rPr>
              <w:t>Comcover</w:t>
            </w:r>
            <w:proofErr w:type="spellEnd"/>
            <w:r w:rsidRPr="00900A24">
              <w:rPr>
                <w:rFonts w:ascii="Arial" w:eastAsia="Arial" w:hAnsi="Arial" w:cs="Arial"/>
                <w:sz w:val="16"/>
                <w:szCs w:val="16"/>
              </w:rPr>
              <w:t xml:space="preserve"> Special Account. Finance will, however, be able to meet the </w:t>
            </w:r>
            <w:proofErr w:type="spellStart"/>
            <w:r w:rsidRPr="00900A24">
              <w:rPr>
                <w:rFonts w:ascii="Arial" w:eastAsia="Arial" w:hAnsi="Arial" w:cs="Arial"/>
                <w:sz w:val="16"/>
                <w:szCs w:val="16"/>
              </w:rPr>
              <w:t>Comcover</w:t>
            </w:r>
            <w:proofErr w:type="spellEnd"/>
            <w:r w:rsidRPr="00900A24">
              <w:rPr>
                <w:rFonts w:ascii="Arial" w:eastAsia="Arial" w:hAnsi="Arial" w:cs="Arial"/>
                <w:sz w:val="16"/>
                <w:szCs w:val="16"/>
              </w:rPr>
              <w:t xml:space="preserve"> claims liabilities when they fall due, as cash balances and future premiums are suffi</w:t>
            </w:r>
            <w:r w:rsidR="000A5007">
              <w:rPr>
                <w:rFonts w:ascii="Arial" w:eastAsia="Arial" w:hAnsi="Arial" w:cs="Arial"/>
                <w:sz w:val="16"/>
                <w:szCs w:val="16"/>
              </w:rPr>
              <w:t>cient to cover at least three</w:t>
            </w:r>
            <w:r w:rsidRPr="00900A24">
              <w:rPr>
                <w:rFonts w:ascii="Arial" w:eastAsia="Arial" w:hAnsi="Arial" w:cs="Arial"/>
                <w:sz w:val="16"/>
                <w:szCs w:val="16"/>
              </w:rPr>
              <w:t xml:space="preserve"> years of ordinary claims. In addition, Finance is undertaking a review of the </w:t>
            </w:r>
            <w:proofErr w:type="spellStart"/>
            <w:r w:rsidRPr="00900A24">
              <w:rPr>
                <w:rFonts w:ascii="Arial" w:eastAsia="Arial" w:hAnsi="Arial" w:cs="Arial"/>
                <w:sz w:val="16"/>
                <w:szCs w:val="16"/>
              </w:rPr>
              <w:t>Comcover</w:t>
            </w:r>
            <w:proofErr w:type="spellEnd"/>
            <w:r w:rsidRPr="00900A24">
              <w:rPr>
                <w:rFonts w:ascii="Arial" w:eastAsia="Arial" w:hAnsi="Arial" w:cs="Arial"/>
                <w:sz w:val="16"/>
                <w:szCs w:val="16"/>
              </w:rPr>
              <w:t xml:space="preserve"> capital management strategy and will be bringing forward a propos</w:t>
            </w:r>
            <w:r w:rsidR="00AD6D16">
              <w:rPr>
                <w:rFonts w:ascii="Arial" w:eastAsia="Arial" w:hAnsi="Arial" w:cs="Arial"/>
                <w:sz w:val="16"/>
                <w:szCs w:val="16"/>
              </w:rPr>
              <w:t>al to government in 2022-</w:t>
            </w:r>
            <w:r w:rsidRPr="00900A24">
              <w:rPr>
                <w:rFonts w:ascii="Arial" w:eastAsia="Arial" w:hAnsi="Arial" w:cs="Arial"/>
                <w:sz w:val="16"/>
                <w:szCs w:val="16"/>
              </w:rPr>
              <w:t xml:space="preserve">23 to enable </w:t>
            </w:r>
            <w:proofErr w:type="spellStart"/>
            <w:r w:rsidRPr="00900A24">
              <w:rPr>
                <w:rFonts w:ascii="Arial" w:eastAsia="Arial" w:hAnsi="Arial" w:cs="Arial"/>
                <w:sz w:val="16"/>
                <w:szCs w:val="16"/>
              </w:rPr>
              <w:t>Comcover</w:t>
            </w:r>
            <w:proofErr w:type="spellEnd"/>
            <w:r w:rsidRPr="00900A24">
              <w:rPr>
                <w:rFonts w:ascii="Arial" w:eastAsia="Arial" w:hAnsi="Arial" w:cs="Arial"/>
                <w:sz w:val="16"/>
                <w:szCs w:val="16"/>
              </w:rPr>
              <w:t xml:space="preserve"> to withstand future pressures.</w:t>
            </w:r>
          </w:p>
          <w:p w14:paraId="479831F5" w14:textId="77777777" w:rsidR="00900A24" w:rsidRPr="00900A24" w:rsidRDefault="00900A24" w:rsidP="00E419DF">
            <w:pPr>
              <w:tabs>
                <w:tab w:val="left" w:pos="709"/>
              </w:tabs>
              <w:suppressAutoHyphens/>
              <w:spacing w:before="60" w:after="60" w:line="240" w:lineRule="auto"/>
              <w:rPr>
                <w:rFonts w:ascii="Arial" w:eastAsia="Arial" w:hAnsi="Arial" w:cs="Arial"/>
                <w:sz w:val="16"/>
                <w:szCs w:val="16"/>
              </w:rPr>
            </w:pPr>
            <w:r w:rsidRPr="00900A24">
              <w:rPr>
                <w:rFonts w:ascii="Arial" w:eastAsia="Arial" w:hAnsi="Arial" w:cs="Arial"/>
                <w:sz w:val="16"/>
                <w:szCs w:val="16"/>
              </w:rPr>
              <w:t xml:space="preserve">In 2021–22, </w:t>
            </w:r>
            <w:proofErr w:type="spellStart"/>
            <w:r w:rsidRPr="00900A24">
              <w:rPr>
                <w:rFonts w:ascii="Arial" w:eastAsia="Arial" w:hAnsi="Arial" w:cs="Arial"/>
                <w:sz w:val="16"/>
                <w:szCs w:val="16"/>
              </w:rPr>
              <w:t>Comcover</w:t>
            </w:r>
            <w:proofErr w:type="spellEnd"/>
            <w:r w:rsidRPr="00900A24">
              <w:rPr>
                <w:rFonts w:ascii="Arial" w:eastAsia="Arial" w:hAnsi="Arial" w:cs="Arial"/>
                <w:sz w:val="16"/>
                <w:szCs w:val="16"/>
              </w:rPr>
              <w:t xml:space="preserve"> received 6,677 claims and, at 30 June 2022, had 3,421 active claims. Finance undertook all claims litigation consistently with the obligations to act as a model litigant under the Legal Services Directions 2017.</w:t>
            </w:r>
          </w:p>
          <w:p w14:paraId="34C16DA7" w14:textId="77777777" w:rsidR="00900A24" w:rsidRPr="00900A24" w:rsidRDefault="00900A24" w:rsidP="00E419DF">
            <w:pPr>
              <w:tabs>
                <w:tab w:val="left" w:pos="709"/>
              </w:tabs>
              <w:suppressAutoHyphens/>
              <w:spacing w:before="60" w:after="60" w:line="240" w:lineRule="auto"/>
              <w:rPr>
                <w:rFonts w:ascii="Arial" w:eastAsia="Arial" w:hAnsi="Arial" w:cs="Arial"/>
                <w:sz w:val="16"/>
                <w:szCs w:val="16"/>
              </w:rPr>
            </w:pPr>
            <w:r w:rsidRPr="00900A24">
              <w:rPr>
                <w:rFonts w:ascii="Arial" w:eastAsia="Arial" w:hAnsi="Arial" w:cs="Arial"/>
                <w:sz w:val="16"/>
                <w:szCs w:val="16"/>
              </w:rPr>
              <w:t xml:space="preserve">Finance continued to provide stewardship, policy advice, education, project-based support and guidance on risk management. In 2022, there was increased uptake of </w:t>
            </w:r>
            <w:proofErr w:type="spellStart"/>
            <w:r w:rsidRPr="00900A24">
              <w:rPr>
                <w:rFonts w:ascii="Arial" w:eastAsia="Arial" w:hAnsi="Arial" w:cs="Arial"/>
                <w:sz w:val="16"/>
                <w:szCs w:val="16"/>
              </w:rPr>
              <w:t>Comcover's</w:t>
            </w:r>
            <w:proofErr w:type="spellEnd"/>
            <w:r w:rsidRPr="00900A24">
              <w:rPr>
                <w:rFonts w:ascii="Arial" w:eastAsia="Arial" w:hAnsi="Arial" w:cs="Arial"/>
                <w:sz w:val="16"/>
                <w:szCs w:val="16"/>
              </w:rPr>
              <w:t xml:space="preserve"> risk education across all levels of the program.</w:t>
            </w:r>
          </w:p>
          <w:p w14:paraId="7B987DD9" w14:textId="77777777" w:rsidR="00900A24" w:rsidRPr="00900A24" w:rsidRDefault="00900A24" w:rsidP="00E419DF">
            <w:pPr>
              <w:tabs>
                <w:tab w:val="left" w:pos="709"/>
              </w:tabs>
              <w:suppressAutoHyphens/>
              <w:spacing w:before="60" w:after="60" w:line="240" w:lineRule="auto"/>
              <w:rPr>
                <w:rFonts w:ascii="Arial" w:eastAsia="Arial" w:hAnsi="Arial" w:cs="Arial"/>
                <w:sz w:val="16"/>
                <w:szCs w:val="16"/>
              </w:rPr>
            </w:pPr>
            <w:r w:rsidRPr="00900A24">
              <w:rPr>
                <w:rFonts w:ascii="Arial" w:eastAsia="Arial" w:hAnsi="Arial" w:cs="Arial"/>
                <w:sz w:val="16"/>
                <w:szCs w:val="16"/>
              </w:rPr>
              <w:t>A net positive presenter score was achieved for face-to-face and virtual workshops for 2021-22 from respondent evaluation surveys. 90% of officials who responded to our survey self-assessed an increase in their capability to manage risk as a result of undertaking the workshops. Subscription rates for the 2021-22 year were 75% and 72% respectively for face-to-face and virtual workshops against a target of 80%.</w:t>
            </w:r>
          </w:p>
          <w:p w14:paraId="2420FA66" w14:textId="7055EF03" w:rsidR="00900A24" w:rsidRPr="00900A24" w:rsidRDefault="00900A24" w:rsidP="00E419DF">
            <w:pPr>
              <w:tabs>
                <w:tab w:val="left" w:pos="709"/>
              </w:tabs>
              <w:suppressAutoHyphens/>
              <w:spacing w:before="60" w:after="60" w:line="240" w:lineRule="auto"/>
              <w:rPr>
                <w:rFonts w:ascii="Arial" w:eastAsia="Arial" w:hAnsi="Arial" w:cs="Arial"/>
                <w:sz w:val="16"/>
                <w:szCs w:val="16"/>
              </w:rPr>
            </w:pPr>
            <w:r w:rsidRPr="00900A24">
              <w:rPr>
                <w:rFonts w:ascii="Arial" w:eastAsia="Arial" w:hAnsi="Arial" w:cs="Arial"/>
                <w:sz w:val="16"/>
                <w:szCs w:val="16"/>
              </w:rPr>
              <w:t xml:space="preserve">The </w:t>
            </w:r>
            <w:proofErr w:type="spellStart"/>
            <w:r w:rsidRPr="00900A24">
              <w:rPr>
                <w:rFonts w:ascii="Arial" w:eastAsia="Arial" w:hAnsi="Arial" w:cs="Arial"/>
                <w:sz w:val="16"/>
                <w:szCs w:val="16"/>
              </w:rPr>
              <w:t>Comcover</w:t>
            </w:r>
            <w:proofErr w:type="spellEnd"/>
            <w:r w:rsidRPr="00900A24">
              <w:rPr>
                <w:rFonts w:ascii="Arial" w:eastAsia="Arial" w:hAnsi="Arial" w:cs="Arial"/>
                <w:sz w:val="16"/>
                <w:szCs w:val="16"/>
              </w:rPr>
              <w:t xml:space="preserve"> Risk Management Benchmarking Program was conducted in 2021 with 98% of members completing the program. </w:t>
            </w:r>
            <w:r w:rsidR="000A5007">
              <w:rPr>
                <w:rFonts w:ascii="Arial" w:eastAsia="Arial" w:hAnsi="Arial" w:cs="Arial"/>
                <w:sz w:val="16"/>
                <w:szCs w:val="16"/>
              </w:rPr>
              <w:t>The program is conducted every two</w:t>
            </w:r>
            <w:r w:rsidRPr="00900A24">
              <w:rPr>
                <w:rFonts w:ascii="Arial" w:eastAsia="Arial" w:hAnsi="Arial" w:cs="Arial"/>
                <w:sz w:val="16"/>
                <w:szCs w:val="16"/>
              </w:rPr>
              <w:t xml:space="preserve"> years and enable fund members to assess their risk management capability against the following five themes - Risk Management Governance, Risk Culture, Risk Capability, Risk Management Practices, and Organisational Resilience and Agility.</w:t>
            </w:r>
          </w:p>
          <w:p w14:paraId="2239E188" w14:textId="2032EB9B" w:rsidR="00F0167C" w:rsidRPr="001079D3" w:rsidRDefault="00900A24" w:rsidP="00E419DF">
            <w:pPr>
              <w:tabs>
                <w:tab w:val="left" w:pos="709"/>
              </w:tabs>
              <w:suppressAutoHyphens/>
              <w:spacing w:before="60" w:after="60" w:line="240" w:lineRule="auto"/>
              <w:rPr>
                <w:rFonts w:ascii="Arial" w:hAnsi="Arial" w:cs="Arial"/>
                <w:sz w:val="16"/>
                <w:szCs w:val="16"/>
              </w:rPr>
            </w:pPr>
            <w:r w:rsidRPr="00900A24">
              <w:rPr>
                <w:rFonts w:ascii="Arial" w:eastAsia="Arial" w:hAnsi="Arial" w:cs="Arial"/>
                <w:sz w:val="16"/>
                <w:szCs w:val="16"/>
              </w:rPr>
              <w:t>The Commonwealth Risk Management Policy guidance is up to date and available on the Department of Finance website.</w:t>
            </w:r>
          </w:p>
        </w:tc>
      </w:tr>
    </w:tbl>
    <w:p w14:paraId="0899C701" w14:textId="77777777" w:rsidR="00AF0C64" w:rsidRDefault="00AF0C64" w:rsidP="004B5360">
      <w:pPr>
        <w:pStyle w:val="TableHeading"/>
        <w:spacing w:before="30" w:after="0"/>
        <w:rPr>
          <w:b w:val="0"/>
          <w:color w:val="000000"/>
          <w:sz w:val="16"/>
          <w:lang w:val="x-none" w:eastAsia="x-none"/>
        </w:rPr>
      </w:pPr>
      <w:r>
        <w:rPr>
          <w:b w:val="0"/>
          <w:color w:val="000000"/>
          <w:sz w:val="16"/>
          <w:lang w:val="x-none" w:eastAsia="x-none"/>
        </w:rPr>
        <w:t>Table continues on next page</w:t>
      </w:r>
      <w:r>
        <w:rPr>
          <w:b w:val="0"/>
          <w:color w:val="000000"/>
          <w:sz w:val="16"/>
          <w:lang w:val="x-none" w:eastAsia="x-none"/>
        </w:rPr>
        <w:br w:type="page"/>
      </w:r>
    </w:p>
    <w:p w14:paraId="1B219D28" w14:textId="77777777" w:rsidR="0001712E" w:rsidRDefault="00AF0C64" w:rsidP="00AF0C64">
      <w:pPr>
        <w:pStyle w:val="TableHeading"/>
      </w:pPr>
      <w:r>
        <w:lastRenderedPageBreak/>
        <w:t>Table 2.2.2</w:t>
      </w:r>
      <w:r w:rsidRPr="00F71634">
        <w:t xml:space="preserve">: Performance </w:t>
      </w:r>
      <w:r w:rsidRPr="00026D37">
        <w:t>measure</w:t>
      </w:r>
      <w:r w:rsidRPr="00F71634">
        <w:t xml:space="preserve"> </w:t>
      </w:r>
      <w:r>
        <w:t>for Outcome 2</w:t>
      </w:r>
      <w:r w:rsidRPr="00BB0A58">
        <w:t xml:space="preserve"> (continued)</w:t>
      </w:r>
    </w:p>
    <w:tbl>
      <w:tblPr>
        <w:tblW w:w="7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292"/>
        <w:gridCol w:w="4086"/>
      </w:tblGrid>
      <w:tr w:rsidR="00A35052" w:rsidRPr="0045165E" w14:paraId="07B102A2" w14:textId="77777777" w:rsidTr="00E419DF">
        <w:trPr>
          <w:trHeight w:val="527"/>
        </w:trPr>
        <w:tc>
          <w:tcPr>
            <w:tcW w:w="7795" w:type="dxa"/>
            <w:gridSpan w:val="3"/>
            <w:shd w:val="clear" w:color="auto" w:fill="F2F2F2"/>
          </w:tcPr>
          <w:p w14:paraId="4B5B346A" w14:textId="77777777" w:rsidR="00A35052" w:rsidRPr="0092354F" w:rsidRDefault="00A35052" w:rsidP="00E419DF">
            <w:pPr>
              <w:tabs>
                <w:tab w:val="left" w:pos="709"/>
              </w:tabs>
              <w:spacing w:before="60" w:after="60" w:line="240" w:lineRule="auto"/>
              <w:rPr>
                <w:rFonts w:ascii="Arial" w:hAnsi="Arial" w:cs="Arial"/>
                <w:b/>
                <w:sz w:val="16"/>
                <w:szCs w:val="16"/>
              </w:rPr>
            </w:pPr>
            <w:r w:rsidRPr="0092354F">
              <w:rPr>
                <w:rFonts w:ascii="Arial" w:hAnsi="Arial" w:cs="Arial"/>
                <w:b/>
                <w:sz w:val="16"/>
                <w:szCs w:val="16"/>
              </w:rPr>
              <w:t>Program 2.4 – Insurance and Risk Management</w:t>
            </w:r>
          </w:p>
          <w:p w14:paraId="04F6B601" w14:textId="77777777" w:rsidR="00A35052" w:rsidRPr="0092354F" w:rsidRDefault="00A35052" w:rsidP="00E419DF">
            <w:pPr>
              <w:tabs>
                <w:tab w:val="left" w:pos="709"/>
              </w:tabs>
              <w:spacing w:before="60" w:after="60" w:line="240" w:lineRule="auto"/>
              <w:rPr>
                <w:rFonts w:ascii="Arial" w:hAnsi="Arial" w:cs="Arial"/>
                <w:sz w:val="16"/>
                <w:szCs w:val="16"/>
              </w:rPr>
            </w:pPr>
            <w:r w:rsidRPr="0092354F">
              <w:rPr>
                <w:rFonts w:ascii="Arial" w:hAnsi="Arial" w:cs="Arial"/>
                <w:sz w:val="16"/>
                <w:szCs w:val="16"/>
              </w:rPr>
              <w:t xml:space="preserve">This program contributes to the outcome by providing general insurance services and promoting risk management across the Government through the </w:t>
            </w:r>
            <w:proofErr w:type="spellStart"/>
            <w:r w:rsidRPr="0092354F">
              <w:rPr>
                <w:rFonts w:ascii="Arial" w:hAnsi="Arial" w:cs="Arial"/>
                <w:sz w:val="16"/>
                <w:szCs w:val="16"/>
              </w:rPr>
              <w:t>Comcover</w:t>
            </w:r>
            <w:proofErr w:type="spellEnd"/>
            <w:r w:rsidRPr="0092354F">
              <w:rPr>
                <w:rFonts w:ascii="Arial" w:hAnsi="Arial" w:cs="Arial"/>
                <w:sz w:val="16"/>
                <w:szCs w:val="16"/>
              </w:rPr>
              <w:t xml:space="preserve"> Special Account.</w:t>
            </w:r>
          </w:p>
        </w:tc>
      </w:tr>
      <w:tr w:rsidR="00A35052" w:rsidRPr="001079D3" w14:paraId="645F4B5C" w14:textId="77777777" w:rsidTr="00E419DF">
        <w:trPr>
          <w:trHeight w:val="312"/>
        </w:trPr>
        <w:tc>
          <w:tcPr>
            <w:tcW w:w="1417" w:type="dxa"/>
            <w:tcBorders>
              <w:top w:val="single" w:sz="4" w:space="0" w:color="auto"/>
              <w:bottom w:val="single" w:sz="4" w:space="0" w:color="auto"/>
              <w:right w:val="single" w:sz="4" w:space="0" w:color="auto"/>
            </w:tcBorders>
          </w:tcPr>
          <w:p w14:paraId="2CBEB228" w14:textId="77777777" w:rsidR="00A35052" w:rsidRPr="00361E69" w:rsidRDefault="00A35052" w:rsidP="00E419DF">
            <w:pPr>
              <w:tabs>
                <w:tab w:val="left" w:pos="709"/>
              </w:tabs>
              <w:spacing w:before="60" w:after="60" w:line="240" w:lineRule="auto"/>
              <w:rPr>
                <w:rFonts w:ascii="Arial" w:hAnsi="Arial" w:cs="Arial"/>
                <w:sz w:val="16"/>
                <w:szCs w:val="16"/>
              </w:rPr>
            </w:pPr>
            <w:r w:rsidRPr="00361E69">
              <w:rPr>
                <w:rFonts w:ascii="Arial" w:hAnsi="Arial" w:cs="Arial"/>
                <w:b/>
                <w:sz w:val="16"/>
                <w:szCs w:val="16"/>
              </w:rPr>
              <w:t>Year</w:t>
            </w:r>
          </w:p>
        </w:tc>
        <w:tc>
          <w:tcPr>
            <w:tcW w:w="2292" w:type="dxa"/>
            <w:tcBorders>
              <w:top w:val="single" w:sz="4" w:space="0" w:color="auto"/>
              <w:left w:val="single" w:sz="4" w:space="0" w:color="auto"/>
              <w:bottom w:val="dotted" w:sz="4" w:space="0" w:color="auto"/>
              <w:right w:val="single" w:sz="4" w:space="0" w:color="auto"/>
            </w:tcBorders>
          </w:tcPr>
          <w:p w14:paraId="2AC56FF1" w14:textId="77777777" w:rsidR="00A35052" w:rsidRPr="001079D3" w:rsidRDefault="00A35052" w:rsidP="00E419DF">
            <w:pPr>
              <w:tabs>
                <w:tab w:val="left" w:pos="709"/>
              </w:tabs>
              <w:spacing w:before="60" w:after="60" w:line="240" w:lineRule="auto"/>
              <w:rPr>
                <w:rFonts w:ascii="Arial" w:hAnsi="Arial" w:cs="Arial"/>
              </w:rPr>
            </w:pPr>
            <w:r w:rsidRPr="001079D3">
              <w:rPr>
                <w:rFonts w:ascii="Arial" w:hAnsi="Arial" w:cs="Arial"/>
                <w:b/>
                <w:sz w:val="16"/>
                <w:szCs w:val="16"/>
              </w:rPr>
              <w:t>Performance measures</w:t>
            </w:r>
          </w:p>
        </w:tc>
        <w:tc>
          <w:tcPr>
            <w:tcW w:w="4086" w:type="dxa"/>
            <w:tcBorders>
              <w:top w:val="single" w:sz="4" w:space="0" w:color="auto"/>
              <w:left w:val="single" w:sz="4" w:space="0" w:color="auto"/>
              <w:bottom w:val="dotted" w:sz="4" w:space="0" w:color="auto"/>
            </w:tcBorders>
          </w:tcPr>
          <w:p w14:paraId="736427FF" w14:textId="77777777" w:rsidR="00A35052" w:rsidRPr="001079D3" w:rsidRDefault="00A35052" w:rsidP="00E419DF">
            <w:pPr>
              <w:tabs>
                <w:tab w:val="left" w:pos="709"/>
              </w:tabs>
              <w:spacing w:before="60" w:after="60" w:line="240" w:lineRule="auto"/>
              <w:rPr>
                <w:rFonts w:ascii="Arial" w:hAnsi="Arial" w:cs="Arial"/>
                <w:i/>
                <w:sz w:val="16"/>
                <w:szCs w:val="16"/>
              </w:rPr>
            </w:pPr>
            <w:r w:rsidRPr="001079D3">
              <w:rPr>
                <w:rFonts w:ascii="Arial" w:hAnsi="Arial" w:cs="Arial"/>
                <w:b/>
                <w:sz w:val="16"/>
                <w:szCs w:val="16"/>
              </w:rPr>
              <w:t>Planned Performance Results</w:t>
            </w:r>
          </w:p>
        </w:tc>
      </w:tr>
      <w:tr w:rsidR="00A35052" w:rsidRPr="001079D3" w14:paraId="309C5B25" w14:textId="77777777" w:rsidTr="000A5007">
        <w:trPr>
          <w:trHeight w:val="2079"/>
        </w:trPr>
        <w:tc>
          <w:tcPr>
            <w:tcW w:w="1417" w:type="dxa"/>
            <w:tcBorders>
              <w:top w:val="single" w:sz="4" w:space="0" w:color="auto"/>
              <w:bottom w:val="nil"/>
              <w:right w:val="single" w:sz="4" w:space="0" w:color="auto"/>
            </w:tcBorders>
          </w:tcPr>
          <w:p w14:paraId="6B3F7A3C" w14:textId="77777777" w:rsidR="0095029E" w:rsidRDefault="0095029E" w:rsidP="00E419DF">
            <w:pPr>
              <w:tabs>
                <w:tab w:val="left" w:pos="709"/>
              </w:tabs>
              <w:spacing w:before="60" w:after="60" w:line="240" w:lineRule="auto"/>
              <w:rPr>
                <w:rFonts w:ascii="Arial" w:hAnsi="Arial" w:cs="Arial"/>
                <w:sz w:val="16"/>
                <w:szCs w:val="16"/>
              </w:rPr>
            </w:pPr>
            <w:r>
              <w:rPr>
                <w:rFonts w:ascii="Arial" w:hAnsi="Arial" w:cs="Arial"/>
                <w:sz w:val="16"/>
                <w:szCs w:val="16"/>
              </w:rPr>
              <w:t>Budget Year</w:t>
            </w:r>
          </w:p>
          <w:p w14:paraId="36DAEDA7" w14:textId="782980CF" w:rsidR="00A35052" w:rsidRPr="001079D3" w:rsidRDefault="00A35052" w:rsidP="00E419DF">
            <w:pPr>
              <w:tabs>
                <w:tab w:val="left" w:pos="709"/>
              </w:tabs>
              <w:spacing w:before="60" w:after="60" w:line="240" w:lineRule="auto"/>
              <w:rPr>
                <w:rFonts w:ascii="Arial" w:hAnsi="Arial" w:cs="Arial"/>
                <w:sz w:val="16"/>
                <w:szCs w:val="16"/>
              </w:rPr>
            </w:pPr>
            <w:r w:rsidRPr="001079D3">
              <w:rPr>
                <w:rFonts w:ascii="Arial" w:hAnsi="Arial" w:cs="Arial"/>
                <w:sz w:val="16"/>
                <w:szCs w:val="16"/>
              </w:rPr>
              <w:t>2022-23</w:t>
            </w:r>
          </w:p>
        </w:tc>
        <w:tc>
          <w:tcPr>
            <w:tcW w:w="2292" w:type="dxa"/>
            <w:tcBorders>
              <w:top w:val="single" w:sz="4" w:space="0" w:color="auto"/>
              <w:left w:val="single" w:sz="4" w:space="0" w:color="auto"/>
              <w:bottom w:val="dotted" w:sz="4" w:space="0" w:color="auto"/>
              <w:right w:val="single" w:sz="4" w:space="0" w:color="auto"/>
            </w:tcBorders>
          </w:tcPr>
          <w:p w14:paraId="07DBE25C" w14:textId="77777777" w:rsidR="00A35052" w:rsidRPr="001677B5" w:rsidRDefault="00A35052" w:rsidP="00E419DF">
            <w:pPr>
              <w:tabs>
                <w:tab w:val="left" w:pos="709"/>
              </w:tabs>
              <w:suppressAutoHyphens/>
              <w:spacing w:before="60" w:after="60" w:line="240" w:lineRule="auto"/>
              <w:rPr>
                <w:rFonts w:ascii="Arial" w:eastAsia="Arial" w:hAnsi="Arial" w:cs="Arial"/>
                <w:b/>
                <w:sz w:val="16"/>
                <w:szCs w:val="16"/>
              </w:rPr>
            </w:pPr>
            <w:r w:rsidRPr="001677B5">
              <w:rPr>
                <w:rFonts w:ascii="Arial" w:eastAsia="Arial" w:hAnsi="Arial" w:cs="Arial"/>
                <w:b/>
                <w:sz w:val="16"/>
                <w:szCs w:val="16"/>
              </w:rPr>
              <w:t xml:space="preserve">Financial sustainability of </w:t>
            </w:r>
            <w:proofErr w:type="spellStart"/>
            <w:r w:rsidRPr="001677B5">
              <w:rPr>
                <w:rFonts w:ascii="Arial" w:eastAsia="Arial" w:hAnsi="Arial" w:cs="Arial"/>
                <w:b/>
                <w:sz w:val="16"/>
                <w:szCs w:val="16"/>
              </w:rPr>
              <w:t>Comcover</w:t>
            </w:r>
            <w:proofErr w:type="spellEnd"/>
          </w:p>
          <w:p w14:paraId="198789DD" w14:textId="3CC6D8DA" w:rsidR="00A35052" w:rsidRPr="001677B5" w:rsidRDefault="00A35052" w:rsidP="00E419DF">
            <w:pPr>
              <w:tabs>
                <w:tab w:val="left" w:pos="709"/>
              </w:tabs>
              <w:suppressAutoHyphens/>
              <w:spacing w:before="60" w:after="60" w:line="240" w:lineRule="auto"/>
              <w:rPr>
                <w:rFonts w:ascii="Arial" w:eastAsia="Arial" w:hAnsi="Arial" w:cs="Arial"/>
                <w:sz w:val="16"/>
                <w:szCs w:val="16"/>
                <w:vertAlign w:val="superscript"/>
              </w:rPr>
            </w:pPr>
            <w:proofErr w:type="spellStart"/>
            <w:r w:rsidRPr="001677B5">
              <w:rPr>
                <w:rFonts w:ascii="Arial" w:eastAsia="Arial" w:hAnsi="Arial" w:cs="Arial"/>
                <w:sz w:val="16"/>
                <w:szCs w:val="16"/>
              </w:rPr>
              <w:t>Comcover</w:t>
            </w:r>
            <w:proofErr w:type="spellEnd"/>
            <w:r w:rsidRPr="001677B5">
              <w:rPr>
                <w:rFonts w:ascii="Arial" w:eastAsia="Arial" w:hAnsi="Arial" w:cs="Arial"/>
                <w:sz w:val="16"/>
                <w:szCs w:val="16"/>
              </w:rPr>
              <w:t xml:space="preserve"> is effectively managed to ensure the f</w:t>
            </w:r>
            <w:r w:rsidR="000A5007">
              <w:rPr>
                <w:rFonts w:ascii="Arial" w:eastAsia="Arial" w:hAnsi="Arial" w:cs="Arial"/>
                <w:sz w:val="16"/>
                <w:szCs w:val="16"/>
              </w:rPr>
              <w:t>und is financially sustainable.</w:t>
            </w:r>
          </w:p>
          <w:p w14:paraId="7FC09DBA" w14:textId="77777777" w:rsidR="00A35052" w:rsidRDefault="00A35052" w:rsidP="00E419DF">
            <w:pPr>
              <w:spacing w:before="60" w:after="60" w:line="240" w:lineRule="auto"/>
              <w:rPr>
                <w:rFonts w:ascii="Arial" w:eastAsia="Arial" w:hAnsi="Arial" w:cs="Arial"/>
                <w:sz w:val="16"/>
                <w:szCs w:val="16"/>
              </w:rPr>
            </w:pPr>
          </w:p>
          <w:p w14:paraId="1B6FDC7D" w14:textId="77777777" w:rsidR="00A35052" w:rsidRDefault="00A35052" w:rsidP="00E419DF">
            <w:pPr>
              <w:spacing w:before="60" w:after="60" w:line="240" w:lineRule="auto"/>
              <w:rPr>
                <w:rFonts w:ascii="Arial" w:eastAsia="Arial" w:hAnsi="Arial" w:cs="Arial"/>
                <w:sz w:val="16"/>
                <w:szCs w:val="16"/>
              </w:rPr>
            </w:pPr>
          </w:p>
          <w:p w14:paraId="2D6A5AE3" w14:textId="77777777" w:rsidR="00A35052" w:rsidRDefault="00A35052" w:rsidP="00E419DF">
            <w:pPr>
              <w:spacing w:before="60" w:after="60" w:line="240" w:lineRule="auto"/>
              <w:rPr>
                <w:rFonts w:ascii="Arial" w:eastAsia="Arial" w:hAnsi="Arial" w:cs="Arial"/>
                <w:sz w:val="16"/>
                <w:szCs w:val="16"/>
              </w:rPr>
            </w:pPr>
          </w:p>
          <w:p w14:paraId="1499D706" w14:textId="77777777" w:rsidR="00A35052" w:rsidRPr="001079D3" w:rsidRDefault="00A35052" w:rsidP="00E419DF">
            <w:pPr>
              <w:spacing w:before="60" w:after="60" w:line="240" w:lineRule="auto"/>
              <w:rPr>
                <w:rFonts w:ascii="Arial" w:eastAsia="Arial" w:hAnsi="Arial" w:cs="Arial"/>
                <w:sz w:val="16"/>
                <w:szCs w:val="16"/>
              </w:rPr>
            </w:pPr>
          </w:p>
        </w:tc>
        <w:tc>
          <w:tcPr>
            <w:tcW w:w="4086" w:type="dxa"/>
            <w:tcBorders>
              <w:top w:val="single" w:sz="4" w:space="0" w:color="auto"/>
              <w:left w:val="single" w:sz="4" w:space="0" w:color="auto"/>
              <w:bottom w:val="dotted" w:sz="4" w:space="0" w:color="auto"/>
            </w:tcBorders>
          </w:tcPr>
          <w:p w14:paraId="6CDACD28" w14:textId="77777777" w:rsidR="00A35052" w:rsidRPr="001677B5" w:rsidRDefault="00A35052" w:rsidP="00E419DF">
            <w:pPr>
              <w:tabs>
                <w:tab w:val="left" w:pos="709"/>
              </w:tabs>
              <w:autoSpaceDE w:val="0"/>
              <w:autoSpaceDN w:val="0"/>
              <w:spacing w:before="60" w:after="60" w:line="240" w:lineRule="auto"/>
              <w:rPr>
                <w:rFonts w:ascii="Arial" w:eastAsia="Arial" w:hAnsi="Arial" w:cs="Arial"/>
                <w:sz w:val="16"/>
                <w:szCs w:val="16"/>
              </w:rPr>
            </w:pPr>
            <w:proofErr w:type="spellStart"/>
            <w:r w:rsidRPr="001677B5">
              <w:rPr>
                <w:rFonts w:ascii="Arial" w:eastAsia="Arial" w:hAnsi="Arial" w:cs="Arial"/>
                <w:sz w:val="16"/>
                <w:szCs w:val="16"/>
              </w:rPr>
              <w:t>Comcover</w:t>
            </w:r>
            <w:proofErr w:type="spellEnd"/>
            <w:r w:rsidRPr="001677B5">
              <w:rPr>
                <w:rFonts w:ascii="Arial" w:eastAsia="Arial" w:hAnsi="Arial" w:cs="Arial"/>
                <w:sz w:val="16"/>
                <w:szCs w:val="16"/>
              </w:rPr>
              <w:t xml:space="preserve"> reviews and publishes an annual statement of cover that consistently applies to fund members. </w:t>
            </w:r>
          </w:p>
          <w:p w14:paraId="508B550E" w14:textId="14545C0C" w:rsidR="00A35052" w:rsidRPr="001677B5" w:rsidRDefault="00A35052" w:rsidP="00E419DF">
            <w:pPr>
              <w:tabs>
                <w:tab w:val="left" w:pos="709"/>
              </w:tabs>
              <w:autoSpaceDE w:val="0"/>
              <w:autoSpaceDN w:val="0"/>
              <w:spacing w:before="60" w:after="60" w:line="240" w:lineRule="auto"/>
              <w:rPr>
                <w:rFonts w:ascii="Arial" w:eastAsia="Arial" w:hAnsi="Arial" w:cs="Arial"/>
                <w:sz w:val="16"/>
                <w:szCs w:val="16"/>
              </w:rPr>
            </w:pPr>
            <w:r w:rsidRPr="001677B5">
              <w:rPr>
                <w:rFonts w:ascii="Arial" w:eastAsia="Arial" w:hAnsi="Arial" w:cs="Arial"/>
                <w:sz w:val="16"/>
                <w:szCs w:val="16"/>
              </w:rPr>
              <w:t>Actuarial assess</w:t>
            </w:r>
            <w:r>
              <w:rPr>
                <w:rFonts w:ascii="Arial" w:eastAsia="Arial" w:hAnsi="Arial" w:cs="Arial"/>
                <w:sz w:val="16"/>
                <w:szCs w:val="16"/>
              </w:rPr>
              <w:t>ments are undertaken (at least four</w:t>
            </w:r>
            <w:r w:rsidRPr="001677B5">
              <w:rPr>
                <w:rFonts w:ascii="Arial" w:eastAsia="Arial" w:hAnsi="Arial" w:cs="Arial"/>
                <w:sz w:val="16"/>
                <w:szCs w:val="16"/>
              </w:rPr>
              <w:t xml:space="preserve"> per year), with consideration of claims history and the risk profile of fund members, to inform the setting of annual member premiums and to prudently manage the fund. </w:t>
            </w:r>
          </w:p>
          <w:p w14:paraId="0C4AE769" w14:textId="77777777" w:rsidR="00A35052" w:rsidRPr="009158E7" w:rsidRDefault="00A35052" w:rsidP="00E419DF">
            <w:pPr>
              <w:autoSpaceDE w:val="0"/>
              <w:autoSpaceDN w:val="0"/>
              <w:spacing w:before="60" w:after="60" w:line="240" w:lineRule="auto"/>
              <w:rPr>
                <w:rFonts w:ascii="Arial" w:eastAsia="Arial" w:hAnsi="Arial" w:cs="Arial"/>
                <w:sz w:val="16"/>
                <w:szCs w:val="16"/>
              </w:rPr>
            </w:pPr>
            <w:r w:rsidRPr="001677B5">
              <w:rPr>
                <w:rFonts w:ascii="Arial" w:eastAsia="Arial" w:hAnsi="Arial" w:cs="Arial"/>
                <w:sz w:val="16"/>
                <w:szCs w:val="16"/>
              </w:rPr>
              <w:t xml:space="preserve">The </w:t>
            </w:r>
            <w:proofErr w:type="spellStart"/>
            <w:r w:rsidRPr="001677B5">
              <w:rPr>
                <w:rFonts w:ascii="Arial" w:eastAsia="Arial" w:hAnsi="Arial" w:cs="Arial"/>
                <w:sz w:val="16"/>
                <w:szCs w:val="16"/>
              </w:rPr>
              <w:t>Comcover</w:t>
            </w:r>
            <w:proofErr w:type="spellEnd"/>
            <w:r w:rsidRPr="001677B5">
              <w:rPr>
                <w:rFonts w:ascii="Arial" w:eastAsia="Arial" w:hAnsi="Arial" w:cs="Arial"/>
                <w:sz w:val="16"/>
                <w:szCs w:val="16"/>
              </w:rPr>
              <w:t xml:space="preserve"> Fund has adequ</w:t>
            </w:r>
            <w:r>
              <w:rPr>
                <w:rFonts w:ascii="Arial" w:eastAsia="Arial" w:hAnsi="Arial" w:cs="Arial"/>
                <w:sz w:val="16"/>
                <w:szCs w:val="16"/>
              </w:rPr>
              <w:t xml:space="preserve">ate reserves to meet at least three </w:t>
            </w:r>
            <w:r w:rsidRPr="001677B5">
              <w:rPr>
                <w:rFonts w:ascii="Arial" w:eastAsia="Arial" w:hAnsi="Arial" w:cs="Arial"/>
                <w:sz w:val="16"/>
                <w:szCs w:val="16"/>
              </w:rPr>
              <w:t>years of actuarially assessed ordinary claim payments.</w:t>
            </w:r>
          </w:p>
        </w:tc>
      </w:tr>
      <w:tr w:rsidR="00A35052" w:rsidRPr="001079D3" w14:paraId="6AAB47C7" w14:textId="77777777" w:rsidTr="00E419DF">
        <w:trPr>
          <w:trHeight w:val="2404"/>
        </w:trPr>
        <w:tc>
          <w:tcPr>
            <w:tcW w:w="1417" w:type="dxa"/>
            <w:tcBorders>
              <w:top w:val="nil"/>
              <w:left w:val="single" w:sz="4" w:space="0" w:color="auto"/>
              <w:bottom w:val="dotted" w:sz="4" w:space="0" w:color="auto"/>
              <w:right w:val="single" w:sz="4" w:space="0" w:color="auto"/>
            </w:tcBorders>
          </w:tcPr>
          <w:p w14:paraId="79617686" w14:textId="77777777" w:rsidR="00A35052" w:rsidRPr="001079D3" w:rsidRDefault="00A35052" w:rsidP="00E419DF">
            <w:pPr>
              <w:tabs>
                <w:tab w:val="left" w:pos="709"/>
              </w:tabs>
              <w:spacing w:before="60" w:after="60" w:line="240" w:lineRule="auto"/>
              <w:rPr>
                <w:rFonts w:ascii="Arial" w:hAnsi="Arial" w:cs="Arial"/>
                <w:sz w:val="16"/>
                <w:szCs w:val="16"/>
              </w:rPr>
            </w:pPr>
          </w:p>
        </w:tc>
        <w:tc>
          <w:tcPr>
            <w:tcW w:w="2292" w:type="dxa"/>
            <w:tcBorders>
              <w:top w:val="dotted" w:sz="4" w:space="0" w:color="auto"/>
              <w:left w:val="single" w:sz="4" w:space="0" w:color="auto"/>
              <w:bottom w:val="dotted" w:sz="4" w:space="0" w:color="auto"/>
              <w:right w:val="single" w:sz="4" w:space="0" w:color="auto"/>
            </w:tcBorders>
          </w:tcPr>
          <w:p w14:paraId="2B0CFBF3" w14:textId="77777777" w:rsidR="00A35052" w:rsidRPr="001677B5" w:rsidRDefault="00A35052" w:rsidP="00E419DF">
            <w:pPr>
              <w:spacing w:before="60" w:after="60" w:line="240" w:lineRule="auto"/>
              <w:rPr>
                <w:rFonts w:ascii="Arial" w:eastAsia="Arial" w:hAnsi="Arial" w:cs="Arial"/>
                <w:b/>
                <w:sz w:val="16"/>
                <w:szCs w:val="16"/>
              </w:rPr>
            </w:pPr>
            <w:r w:rsidRPr="001677B5">
              <w:rPr>
                <w:rFonts w:ascii="Arial" w:eastAsia="Arial" w:hAnsi="Arial" w:cs="Arial"/>
                <w:b/>
                <w:sz w:val="16"/>
                <w:szCs w:val="16"/>
              </w:rPr>
              <w:t>Treatment of insurable risks and claims management</w:t>
            </w:r>
          </w:p>
          <w:p w14:paraId="2C2A6A20" w14:textId="77777777" w:rsidR="00A35052" w:rsidRPr="001677B5" w:rsidRDefault="00A35052" w:rsidP="00E419DF">
            <w:pPr>
              <w:tabs>
                <w:tab w:val="left" w:pos="709"/>
              </w:tabs>
              <w:suppressAutoHyphens/>
              <w:spacing w:before="60" w:after="60" w:line="240" w:lineRule="auto"/>
              <w:rPr>
                <w:rFonts w:ascii="Arial" w:eastAsia="Arial" w:hAnsi="Arial" w:cs="Arial"/>
                <w:b/>
                <w:sz w:val="16"/>
                <w:szCs w:val="16"/>
              </w:rPr>
            </w:pPr>
            <w:proofErr w:type="spellStart"/>
            <w:r w:rsidRPr="001677B5">
              <w:rPr>
                <w:rFonts w:ascii="Arial" w:eastAsia="Arial" w:hAnsi="Arial" w:cs="Arial"/>
                <w:sz w:val="16"/>
                <w:szCs w:val="16"/>
              </w:rPr>
              <w:t>Comcover</w:t>
            </w:r>
            <w:proofErr w:type="spellEnd"/>
            <w:r w:rsidRPr="001677B5">
              <w:rPr>
                <w:rFonts w:ascii="Arial" w:eastAsia="Arial" w:hAnsi="Arial" w:cs="Arial"/>
                <w:sz w:val="16"/>
                <w:szCs w:val="16"/>
              </w:rPr>
              <w:t xml:space="preserve"> is effectively managed to ensure the fund is financially sustainable, there is a consistent, </w:t>
            </w:r>
            <w:proofErr w:type="spellStart"/>
            <w:r w:rsidRPr="001677B5">
              <w:rPr>
                <w:rFonts w:ascii="Arial" w:eastAsia="Arial" w:hAnsi="Arial" w:cs="Arial"/>
                <w:sz w:val="16"/>
                <w:szCs w:val="16"/>
              </w:rPr>
              <w:t>WoAG</w:t>
            </w:r>
            <w:proofErr w:type="spellEnd"/>
            <w:r w:rsidRPr="001677B5">
              <w:rPr>
                <w:rFonts w:ascii="Arial" w:eastAsia="Arial" w:hAnsi="Arial" w:cs="Arial"/>
                <w:sz w:val="16"/>
                <w:szCs w:val="16"/>
              </w:rPr>
              <w:t xml:space="preserve"> approach to the management of claims and </w:t>
            </w:r>
            <w:proofErr w:type="spellStart"/>
            <w:r w:rsidRPr="001677B5">
              <w:rPr>
                <w:rFonts w:ascii="Arial" w:eastAsia="Arial" w:hAnsi="Arial" w:cs="Arial"/>
                <w:sz w:val="16"/>
                <w:szCs w:val="16"/>
              </w:rPr>
              <w:t>Comcover</w:t>
            </w:r>
            <w:proofErr w:type="spellEnd"/>
            <w:r w:rsidRPr="001677B5">
              <w:rPr>
                <w:rFonts w:ascii="Arial" w:eastAsia="Arial" w:hAnsi="Arial" w:cs="Arial"/>
                <w:sz w:val="16"/>
                <w:szCs w:val="16"/>
              </w:rPr>
              <w:t xml:space="preserve"> supports the improvement of risk maturity in General Government Sector entities over time.</w:t>
            </w:r>
          </w:p>
        </w:tc>
        <w:tc>
          <w:tcPr>
            <w:tcW w:w="4086" w:type="dxa"/>
            <w:tcBorders>
              <w:top w:val="dotted" w:sz="4" w:space="0" w:color="auto"/>
              <w:left w:val="single" w:sz="4" w:space="0" w:color="auto"/>
              <w:bottom w:val="dotted" w:sz="4" w:space="0" w:color="auto"/>
              <w:right w:val="single" w:sz="4" w:space="0" w:color="auto"/>
            </w:tcBorders>
          </w:tcPr>
          <w:p w14:paraId="2286728D" w14:textId="720C069E" w:rsidR="00A35052" w:rsidRPr="001677B5" w:rsidRDefault="00A35052" w:rsidP="00E419DF">
            <w:pPr>
              <w:pStyle w:val="TableTextBase"/>
              <w:spacing w:before="60" w:after="60"/>
              <w:rPr>
                <w:rFonts w:cs="Arial"/>
                <w:szCs w:val="16"/>
              </w:rPr>
            </w:pPr>
            <w:r w:rsidRPr="001677B5">
              <w:rPr>
                <w:rFonts w:cs="Arial"/>
                <w:szCs w:val="16"/>
              </w:rPr>
              <w:t xml:space="preserve">Litigation is undertaken honestly and fairly as a model litigant. </w:t>
            </w:r>
          </w:p>
          <w:p w14:paraId="1AE552EE" w14:textId="77777777" w:rsidR="00A35052" w:rsidRPr="001677B5" w:rsidRDefault="00A35052" w:rsidP="00E419DF">
            <w:pPr>
              <w:tabs>
                <w:tab w:val="left" w:pos="709"/>
              </w:tabs>
              <w:autoSpaceDE w:val="0"/>
              <w:autoSpaceDN w:val="0"/>
              <w:spacing w:before="60" w:after="60" w:line="240" w:lineRule="auto"/>
              <w:rPr>
                <w:rFonts w:ascii="Arial" w:eastAsia="Arial" w:hAnsi="Arial" w:cs="Arial"/>
                <w:sz w:val="16"/>
                <w:szCs w:val="16"/>
              </w:rPr>
            </w:pPr>
            <w:r w:rsidRPr="001677B5">
              <w:rPr>
                <w:rFonts w:ascii="Arial" w:hAnsi="Arial" w:cs="Arial"/>
                <w:sz w:val="16"/>
                <w:szCs w:val="16"/>
              </w:rPr>
              <w:t xml:space="preserve">Effectiveness of </w:t>
            </w:r>
            <w:proofErr w:type="spellStart"/>
            <w:r w:rsidRPr="001677B5">
              <w:rPr>
                <w:rFonts w:ascii="Arial" w:hAnsi="Arial" w:cs="Arial"/>
                <w:sz w:val="16"/>
                <w:szCs w:val="16"/>
              </w:rPr>
              <w:t>Comcover’s</w:t>
            </w:r>
            <w:proofErr w:type="spellEnd"/>
            <w:r w:rsidRPr="001677B5">
              <w:rPr>
                <w:rFonts w:ascii="Arial" w:hAnsi="Arial" w:cs="Arial"/>
                <w:sz w:val="16"/>
                <w:szCs w:val="16"/>
              </w:rPr>
              <w:t xml:space="preserve"> stewardship, policy advice, engagement and guidance on risk management is measures through direct feedback from workshop participants, workshop attendance, the biennial risk management benchmarking program, and that the Commonwealth Risk Management Policy is up to date.</w:t>
            </w:r>
            <w:r w:rsidRPr="00D357ED">
              <w:rPr>
                <w:i/>
              </w:rPr>
              <w:t xml:space="preserve">  </w:t>
            </w:r>
          </w:p>
        </w:tc>
      </w:tr>
      <w:tr w:rsidR="00A35052" w:rsidRPr="001079D3" w14:paraId="0A270577" w14:textId="77777777" w:rsidTr="00E419DF">
        <w:trPr>
          <w:trHeight w:val="491"/>
        </w:trPr>
        <w:tc>
          <w:tcPr>
            <w:tcW w:w="1417" w:type="dxa"/>
            <w:tcBorders>
              <w:top w:val="dotted" w:sz="4" w:space="0" w:color="auto"/>
              <w:left w:val="single" w:sz="4" w:space="0" w:color="auto"/>
              <w:bottom w:val="single" w:sz="4" w:space="0" w:color="auto"/>
              <w:right w:val="single" w:sz="4" w:space="0" w:color="auto"/>
            </w:tcBorders>
          </w:tcPr>
          <w:p w14:paraId="1E5ED5BF" w14:textId="77777777" w:rsidR="0095029E" w:rsidRDefault="00A35052" w:rsidP="0095029E">
            <w:pPr>
              <w:tabs>
                <w:tab w:val="left" w:pos="709"/>
              </w:tabs>
              <w:spacing w:before="60" w:after="60" w:line="240" w:lineRule="auto"/>
              <w:rPr>
                <w:rFonts w:ascii="Arial" w:hAnsi="Arial" w:cs="Arial"/>
                <w:sz w:val="16"/>
                <w:szCs w:val="16"/>
              </w:rPr>
            </w:pPr>
            <w:r w:rsidRPr="001079D3">
              <w:rPr>
                <w:rFonts w:ascii="Arial" w:hAnsi="Arial" w:cs="Arial"/>
                <w:sz w:val="16"/>
                <w:szCs w:val="16"/>
              </w:rPr>
              <w:t xml:space="preserve">Forward Estimates </w:t>
            </w:r>
          </w:p>
          <w:p w14:paraId="47ED9CE5" w14:textId="03A6502F" w:rsidR="00A35052" w:rsidRPr="009158E7" w:rsidRDefault="00A35052" w:rsidP="0095029E">
            <w:pPr>
              <w:tabs>
                <w:tab w:val="left" w:pos="709"/>
              </w:tabs>
              <w:spacing w:before="60" w:after="60" w:line="240" w:lineRule="auto"/>
              <w:rPr>
                <w:rFonts w:ascii="Arial" w:hAnsi="Arial" w:cs="Arial"/>
                <w:sz w:val="16"/>
                <w:szCs w:val="16"/>
              </w:rPr>
            </w:pPr>
            <w:r>
              <w:rPr>
                <w:rFonts w:ascii="Arial" w:hAnsi="Arial" w:cs="Arial"/>
                <w:sz w:val="16"/>
                <w:szCs w:val="16"/>
              </w:rPr>
              <w:t>2</w:t>
            </w:r>
            <w:r w:rsidRPr="001079D3">
              <w:rPr>
                <w:rFonts w:ascii="Arial" w:hAnsi="Arial" w:cs="Arial"/>
                <w:sz w:val="16"/>
                <w:szCs w:val="16"/>
              </w:rPr>
              <w:t>023-26</w:t>
            </w:r>
          </w:p>
        </w:tc>
        <w:tc>
          <w:tcPr>
            <w:tcW w:w="2292" w:type="dxa"/>
            <w:tcBorders>
              <w:top w:val="dotted" w:sz="4" w:space="0" w:color="auto"/>
              <w:left w:val="single" w:sz="4" w:space="0" w:color="auto"/>
              <w:bottom w:val="single" w:sz="4" w:space="0" w:color="auto"/>
              <w:right w:val="single" w:sz="4" w:space="0" w:color="auto"/>
            </w:tcBorders>
          </w:tcPr>
          <w:p w14:paraId="01A8E3D9" w14:textId="77777777" w:rsidR="00A35052" w:rsidRPr="009158E7" w:rsidRDefault="00A35052" w:rsidP="00E419DF">
            <w:pPr>
              <w:tabs>
                <w:tab w:val="left" w:pos="709"/>
              </w:tabs>
              <w:spacing w:before="60" w:after="60" w:line="240" w:lineRule="auto"/>
              <w:rPr>
                <w:rFonts w:ascii="Arial" w:hAnsi="Arial" w:cs="Arial"/>
                <w:sz w:val="16"/>
                <w:szCs w:val="16"/>
              </w:rPr>
            </w:pPr>
            <w:r w:rsidRPr="009158E7">
              <w:rPr>
                <w:rFonts w:ascii="Arial" w:hAnsi="Arial" w:cs="Arial"/>
                <w:sz w:val="16"/>
                <w:szCs w:val="16"/>
              </w:rPr>
              <w:t>As per 2022-23</w:t>
            </w:r>
          </w:p>
        </w:tc>
        <w:tc>
          <w:tcPr>
            <w:tcW w:w="4086" w:type="dxa"/>
            <w:tcBorders>
              <w:top w:val="dotted" w:sz="4" w:space="0" w:color="auto"/>
              <w:left w:val="single" w:sz="4" w:space="0" w:color="auto"/>
              <w:bottom w:val="single" w:sz="4" w:space="0" w:color="auto"/>
              <w:right w:val="single" w:sz="4" w:space="0" w:color="auto"/>
            </w:tcBorders>
          </w:tcPr>
          <w:p w14:paraId="4739A977" w14:textId="77777777" w:rsidR="00A35052" w:rsidRPr="009158E7" w:rsidRDefault="00A35052" w:rsidP="00E419DF">
            <w:pPr>
              <w:tabs>
                <w:tab w:val="left" w:pos="709"/>
              </w:tabs>
              <w:spacing w:before="60" w:after="60" w:line="240" w:lineRule="auto"/>
              <w:rPr>
                <w:rFonts w:ascii="Arial" w:hAnsi="Arial" w:cs="Arial"/>
                <w:sz w:val="16"/>
                <w:szCs w:val="16"/>
              </w:rPr>
            </w:pPr>
            <w:r w:rsidRPr="009158E7">
              <w:rPr>
                <w:rFonts w:ascii="Arial" w:hAnsi="Arial" w:cs="Arial"/>
                <w:sz w:val="16"/>
                <w:szCs w:val="16"/>
              </w:rPr>
              <w:t>As per 2022-23</w:t>
            </w:r>
          </w:p>
        </w:tc>
      </w:tr>
      <w:tr w:rsidR="00A35052" w:rsidRPr="001079D3" w14:paraId="7DD7BC89" w14:textId="77777777" w:rsidTr="00E419DF">
        <w:trPr>
          <w:trHeight w:val="291"/>
        </w:trPr>
        <w:tc>
          <w:tcPr>
            <w:tcW w:w="7795" w:type="dxa"/>
            <w:gridSpan w:val="3"/>
            <w:tcBorders>
              <w:top w:val="single" w:sz="4" w:space="0" w:color="auto"/>
            </w:tcBorders>
          </w:tcPr>
          <w:p w14:paraId="16094CE5" w14:textId="2B1E2972" w:rsidR="00A35052" w:rsidRPr="001079D3" w:rsidRDefault="00A35052" w:rsidP="00E419DF">
            <w:pPr>
              <w:tabs>
                <w:tab w:val="left" w:pos="709"/>
              </w:tabs>
              <w:spacing w:before="60" w:after="60" w:line="240" w:lineRule="auto"/>
              <w:rPr>
                <w:rFonts w:ascii="Arial" w:eastAsia="Cambria" w:hAnsi="Arial" w:cs="Arial"/>
                <w:bCs/>
                <w:iCs/>
                <w:spacing w:val="-6"/>
                <w:sz w:val="16"/>
                <w:szCs w:val="16"/>
              </w:rPr>
            </w:pPr>
            <w:r w:rsidRPr="001677B5">
              <w:rPr>
                <w:rFonts w:ascii="Arial" w:hAnsi="Arial" w:cs="Arial"/>
                <w:sz w:val="16"/>
                <w:szCs w:val="16"/>
              </w:rPr>
              <w:t>Material changes to Program 2.4 resulting from Octob</w:t>
            </w:r>
            <w:r w:rsidR="003959E6">
              <w:rPr>
                <w:rFonts w:ascii="Arial" w:hAnsi="Arial" w:cs="Arial"/>
                <w:sz w:val="16"/>
                <w:szCs w:val="16"/>
              </w:rPr>
              <w:t>er 2022-23 Budget Measures: Nil</w:t>
            </w:r>
          </w:p>
        </w:tc>
      </w:tr>
    </w:tbl>
    <w:p w14:paraId="0F647E16" w14:textId="77777777" w:rsidR="00D8456D" w:rsidRDefault="00D8456D" w:rsidP="00F0167C">
      <w:pPr>
        <w:pStyle w:val="TableHeading"/>
      </w:pPr>
      <w:r>
        <w:br w:type="page"/>
      </w:r>
    </w:p>
    <w:p w14:paraId="2239E1A1" w14:textId="3E1A3B5F" w:rsidR="00F0167C" w:rsidRDefault="00F0167C" w:rsidP="00F0167C">
      <w:pPr>
        <w:pStyle w:val="TableHeading"/>
      </w:pPr>
      <w:r>
        <w:lastRenderedPageBreak/>
        <w:t>Table 2.2.2</w:t>
      </w:r>
      <w:r w:rsidRPr="00F71634">
        <w:t xml:space="preserve">: Performance </w:t>
      </w:r>
      <w:r w:rsidRPr="00026D37">
        <w:t>measure</w:t>
      </w:r>
      <w:r w:rsidRPr="00F71634">
        <w:t xml:space="preserve"> </w:t>
      </w:r>
      <w:r>
        <w:t>for Outcome 2</w:t>
      </w:r>
      <w:r w:rsidRPr="00BB0A58">
        <w:t xml:space="preserve"> (continued)</w:t>
      </w:r>
    </w:p>
    <w:tbl>
      <w:tblPr>
        <w:tblW w:w="7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287"/>
        <w:gridCol w:w="4091"/>
      </w:tblGrid>
      <w:tr w:rsidR="00F0167C" w:rsidRPr="00F96D93" w14:paraId="2239E1A4" w14:textId="77777777" w:rsidTr="00C14577">
        <w:trPr>
          <w:trHeight w:val="527"/>
        </w:trPr>
        <w:tc>
          <w:tcPr>
            <w:tcW w:w="7795" w:type="dxa"/>
            <w:gridSpan w:val="3"/>
            <w:shd w:val="clear" w:color="auto" w:fill="F2F2F2"/>
          </w:tcPr>
          <w:p w14:paraId="07E3D0C6" w14:textId="77777777" w:rsidR="00B85E30" w:rsidRPr="00B85E30" w:rsidRDefault="00B85E30" w:rsidP="00752F3D">
            <w:pPr>
              <w:tabs>
                <w:tab w:val="left" w:pos="709"/>
              </w:tabs>
              <w:spacing w:before="60" w:after="60" w:line="240" w:lineRule="auto"/>
              <w:rPr>
                <w:rFonts w:ascii="Arial" w:hAnsi="Arial" w:cs="Arial"/>
                <w:b/>
                <w:sz w:val="16"/>
                <w:szCs w:val="16"/>
              </w:rPr>
            </w:pPr>
            <w:r w:rsidRPr="00B85E30">
              <w:rPr>
                <w:rFonts w:ascii="Arial" w:hAnsi="Arial" w:cs="Arial"/>
                <w:b/>
                <w:sz w:val="16"/>
                <w:szCs w:val="16"/>
              </w:rPr>
              <w:t>Program 2.5- Technology and Procurement</w:t>
            </w:r>
          </w:p>
          <w:p w14:paraId="2239E1A3" w14:textId="49CCF28D" w:rsidR="00F0167C" w:rsidRPr="00B85E30" w:rsidRDefault="00B85E30" w:rsidP="00752F3D">
            <w:pPr>
              <w:tabs>
                <w:tab w:val="left" w:pos="709"/>
              </w:tabs>
              <w:spacing w:before="60" w:after="60" w:line="240" w:lineRule="auto"/>
              <w:rPr>
                <w:rFonts w:ascii="Arial" w:hAnsi="Arial" w:cs="Arial"/>
                <w:sz w:val="16"/>
                <w:szCs w:val="16"/>
              </w:rPr>
            </w:pPr>
            <w:r w:rsidRPr="00B85E30">
              <w:rPr>
                <w:rFonts w:ascii="Arial" w:hAnsi="Arial" w:cs="Arial"/>
                <w:sz w:val="16"/>
                <w:szCs w:val="16"/>
              </w:rPr>
              <w:t xml:space="preserve">This program contributes to the outcome through providing timely and relevant procurement policy advice; providing advice to the Government on advertising; establishing and maintaining </w:t>
            </w:r>
            <w:proofErr w:type="spellStart"/>
            <w:r w:rsidRPr="00B85E30">
              <w:rPr>
                <w:rFonts w:ascii="Arial" w:hAnsi="Arial" w:cs="Arial"/>
                <w:sz w:val="16"/>
                <w:szCs w:val="16"/>
              </w:rPr>
              <w:t>WoAG</w:t>
            </w:r>
            <w:proofErr w:type="spellEnd"/>
            <w:r w:rsidRPr="00B85E30">
              <w:rPr>
                <w:rFonts w:ascii="Arial" w:hAnsi="Arial" w:cs="Arial"/>
                <w:sz w:val="16"/>
                <w:szCs w:val="16"/>
              </w:rPr>
              <w:t xml:space="preserve"> procurement arrangements for common goods and services; and establishing, developing and maintaining </w:t>
            </w:r>
            <w:proofErr w:type="spellStart"/>
            <w:r w:rsidRPr="00B85E30">
              <w:rPr>
                <w:rFonts w:ascii="Arial" w:hAnsi="Arial" w:cs="Arial"/>
                <w:sz w:val="16"/>
                <w:szCs w:val="16"/>
              </w:rPr>
              <w:t>WoAG</w:t>
            </w:r>
            <w:proofErr w:type="spellEnd"/>
            <w:r w:rsidRPr="00B85E30">
              <w:rPr>
                <w:rFonts w:ascii="Arial" w:hAnsi="Arial" w:cs="Arial"/>
                <w:sz w:val="16"/>
                <w:szCs w:val="16"/>
              </w:rPr>
              <w:t xml:space="preserve"> and cross-entity ICT infrastructure, platforms, systems and services.</w:t>
            </w:r>
          </w:p>
        </w:tc>
      </w:tr>
      <w:tr w:rsidR="00F0167C" w:rsidRPr="000738F4" w14:paraId="2239E1A8" w14:textId="77777777" w:rsidTr="00C14577">
        <w:trPr>
          <w:trHeight w:val="694"/>
        </w:trPr>
        <w:tc>
          <w:tcPr>
            <w:tcW w:w="1417" w:type="dxa"/>
            <w:tcBorders>
              <w:bottom w:val="double" w:sz="4" w:space="0" w:color="auto"/>
            </w:tcBorders>
          </w:tcPr>
          <w:p w14:paraId="2239E1A5" w14:textId="4D86CAC3" w:rsidR="00F0167C" w:rsidRPr="000738F4" w:rsidRDefault="00F0167C" w:rsidP="00752F3D">
            <w:pPr>
              <w:tabs>
                <w:tab w:val="left" w:pos="709"/>
              </w:tabs>
              <w:spacing w:before="60" w:after="60" w:line="240" w:lineRule="auto"/>
              <w:rPr>
                <w:rFonts w:ascii="Arial" w:hAnsi="Arial" w:cs="Arial"/>
                <w:b/>
                <w:bCs/>
                <w:sz w:val="18"/>
                <w:szCs w:val="18"/>
              </w:rPr>
            </w:pPr>
            <w:r w:rsidRPr="00CC6CF9">
              <w:rPr>
                <w:rFonts w:ascii="Arial" w:hAnsi="Arial" w:cs="Arial"/>
                <w:b/>
                <w:sz w:val="16"/>
                <w:szCs w:val="16"/>
              </w:rPr>
              <w:t>Key Activities</w:t>
            </w:r>
          </w:p>
        </w:tc>
        <w:tc>
          <w:tcPr>
            <w:tcW w:w="6378" w:type="dxa"/>
            <w:gridSpan w:val="2"/>
            <w:tcBorders>
              <w:bottom w:val="double" w:sz="4" w:space="0" w:color="auto"/>
            </w:tcBorders>
          </w:tcPr>
          <w:p w14:paraId="1B4C9519" w14:textId="77777777" w:rsidR="004E2DFB" w:rsidRPr="00CC6CF9" w:rsidRDefault="004E2DFB" w:rsidP="00752F3D">
            <w:pPr>
              <w:tabs>
                <w:tab w:val="left" w:pos="709"/>
              </w:tabs>
              <w:spacing w:before="60" w:after="60" w:line="240" w:lineRule="auto"/>
              <w:rPr>
                <w:rFonts w:ascii="Arial" w:hAnsi="Arial" w:cs="Arial"/>
                <w:b/>
                <w:sz w:val="16"/>
                <w:szCs w:val="16"/>
              </w:rPr>
            </w:pPr>
            <w:r w:rsidRPr="00CC6CF9">
              <w:rPr>
                <w:rFonts w:ascii="Arial" w:hAnsi="Arial" w:cs="Arial"/>
                <w:b/>
                <w:sz w:val="16"/>
                <w:szCs w:val="16"/>
              </w:rPr>
              <w:t>Enable value for money procurements</w:t>
            </w:r>
          </w:p>
          <w:p w14:paraId="2239E1A7" w14:textId="6400A6E3" w:rsidR="00F0167C" w:rsidRPr="004E2DFB" w:rsidRDefault="004E2DFB" w:rsidP="00752F3D">
            <w:pPr>
              <w:tabs>
                <w:tab w:val="left" w:pos="709"/>
              </w:tabs>
              <w:spacing w:before="60" w:after="60" w:line="240" w:lineRule="auto"/>
              <w:rPr>
                <w:rFonts w:ascii="Arial" w:hAnsi="Arial" w:cs="Arial"/>
                <w:iCs/>
                <w:sz w:val="16"/>
                <w:szCs w:val="16"/>
              </w:rPr>
            </w:pPr>
            <w:r w:rsidRPr="004E2DFB">
              <w:rPr>
                <w:rFonts w:ascii="Arial" w:hAnsi="Arial" w:cs="Arial"/>
                <w:iCs/>
                <w:sz w:val="16"/>
                <w:szCs w:val="16"/>
              </w:rPr>
              <w:t>Leverage experience and support the Australian Government to achieve value-for-money procurements and support the national interest.</w:t>
            </w:r>
          </w:p>
        </w:tc>
      </w:tr>
      <w:tr w:rsidR="00F0167C" w:rsidRPr="00F96D93" w14:paraId="2239E1AC" w14:textId="77777777" w:rsidTr="00C14577">
        <w:trPr>
          <w:trHeight w:val="312"/>
        </w:trPr>
        <w:tc>
          <w:tcPr>
            <w:tcW w:w="1417" w:type="dxa"/>
            <w:tcBorders>
              <w:top w:val="single" w:sz="4" w:space="0" w:color="auto"/>
              <w:bottom w:val="dotted" w:sz="4" w:space="0" w:color="auto"/>
              <w:right w:val="single" w:sz="4" w:space="0" w:color="auto"/>
            </w:tcBorders>
          </w:tcPr>
          <w:p w14:paraId="2239E1A9" w14:textId="77777777" w:rsidR="00F0167C" w:rsidRPr="00F96D93" w:rsidRDefault="00F0167C" w:rsidP="00752F3D">
            <w:pPr>
              <w:tabs>
                <w:tab w:val="left" w:pos="709"/>
              </w:tabs>
              <w:spacing w:before="60" w:after="60" w:line="240" w:lineRule="auto"/>
              <w:rPr>
                <w:rFonts w:ascii="Arial" w:hAnsi="Arial" w:cs="Arial"/>
                <w:sz w:val="16"/>
                <w:szCs w:val="16"/>
              </w:rPr>
            </w:pPr>
            <w:r w:rsidRPr="00F96D93">
              <w:rPr>
                <w:rFonts w:ascii="Arial" w:hAnsi="Arial" w:cs="Arial"/>
                <w:b/>
                <w:sz w:val="16"/>
                <w:szCs w:val="16"/>
              </w:rPr>
              <w:t>Year</w:t>
            </w:r>
          </w:p>
        </w:tc>
        <w:tc>
          <w:tcPr>
            <w:tcW w:w="2287" w:type="dxa"/>
            <w:tcBorders>
              <w:top w:val="single" w:sz="4" w:space="0" w:color="auto"/>
              <w:left w:val="single" w:sz="4" w:space="0" w:color="auto"/>
              <w:bottom w:val="dotted" w:sz="4" w:space="0" w:color="auto"/>
              <w:right w:val="single" w:sz="4" w:space="0" w:color="auto"/>
            </w:tcBorders>
          </w:tcPr>
          <w:p w14:paraId="2239E1AA" w14:textId="77777777" w:rsidR="00F0167C" w:rsidRPr="00F96D93" w:rsidRDefault="00F0167C" w:rsidP="00752F3D">
            <w:pPr>
              <w:tabs>
                <w:tab w:val="left" w:pos="709"/>
              </w:tabs>
              <w:spacing w:before="60" w:after="60" w:line="240" w:lineRule="auto"/>
              <w:rPr>
                <w:rFonts w:ascii="Arial" w:hAnsi="Arial" w:cs="Arial"/>
                <w:sz w:val="16"/>
                <w:szCs w:val="16"/>
              </w:rPr>
            </w:pPr>
            <w:r w:rsidRPr="00F96D93">
              <w:rPr>
                <w:rFonts w:ascii="Arial" w:hAnsi="Arial" w:cs="Arial"/>
                <w:b/>
                <w:sz w:val="16"/>
                <w:szCs w:val="16"/>
              </w:rPr>
              <w:t>Performance measures</w:t>
            </w:r>
          </w:p>
        </w:tc>
        <w:tc>
          <w:tcPr>
            <w:tcW w:w="4091" w:type="dxa"/>
            <w:tcBorders>
              <w:top w:val="single" w:sz="4" w:space="0" w:color="auto"/>
              <w:left w:val="single" w:sz="4" w:space="0" w:color="auto"/>
              <w:bottom w:val="dotted" w:sz="4" w:space="0" w:color="auto"/>
            </w:tcBorders>
          </w:tcPr>
          <w:p w14:paraId="2239E1AB" w14:textId="77777777" w:rsidR="00F0167C" w:rsidRPr="00F96D93" w:rsidRDefault="00F0167C" w:rsidP="00752F3D">
            <w:pPr>
              <w:tabs>
                <w:tab w:val="left" w:pos="709"/>
              </w:tabs>
              <w:spacing w:before="60" w:after="60" w:line="240" w:lineRule="auto"/>
              <w:rPr>
                <w:rFonts w:ascii="Arial" w:hAnsi="Arial" w:cs="Arial"/>
                <w:i/>
                <w:color w:val="0070C0"/>
                <w:sz w:val="16"/>
                <w:szCs w:val="16"/>
              </w:rPr>
            </w:pPr>
            <w:r w:rsidRPr="00F96D93">
              <w:rPr>
                <w:rFonts w:ascii="Arial" w:hAnsi="Arial" w:cs="Arial"/>
                <w:b/>
                <w:sz w:val="16"/>
                <w:szCs w:val="16"/>
              </w:rPr>
              <w:t>Expected Performance Results</w:t>
            </w:r>
          </w:p>
        </w:tc>
      </w:tr>
      <w:tr w:rsidR="00F0167C" w:rsidRPr="0052248D" w14:paraId="2239E1BE" w14:textId="77777777" w:rsidTr="00C14577">
        <w:trPr>
          <w:trHeight w:val="1699"/>
        </w:trPr>
        <w:tc>
          <w:tcPr>
            <w:tcW w:w="1417" w:type="dxa"/>
            <w:tcBorders>
              <w:top w:val="single" w:sz="4" w:space="0" w:color="auto"/>
              <w:right w:val="single" w:sz="4" w:space="0" w:color="auto"/>
            </w:tcBorders>
          </w:tcPr>
          <w:p w14:paraId="5C1105B6" w14:textId="77777777" w:rsidR="00000AB8" w:rsidRPr="00000AB8" w:rsidRDefault="00000AB8" w:rsidP="00752F3D">
            <w:pPr>
              <w:tabs>
                <w:tab w:val="left" w:pos="709"/>
              </w:tabs>
              <w:spacing w:before="60" w:after="60" w:line="240" w:lineRule="auto"/>
              <w:rPr>
                <w:rFonts w:ascii="Arial" w:hAnsi="Arial" w:cs="Arial"/>
                <w:sz w:val="16"/>
                <w:szCs w:val="16"/>
              </w:rPr>
            </w:pPr>
            <w:r w:rsidRPr="00000AB8">
              <w:rPr>
                <w:rFonts w:ascii="Arial" w:hAnsi="Arial" w:cs="Arial"/>
                <w:sz w:val="16"/>
                <w:szCs w:val="16"/>
              </w:rPr>
              <w:t xml:space="preserve">Prior year </w:t>
            </w:r>
          </w:p>
          <w:p w14:paraId="2239E1AD" w14:textId="0335EFA1" w:rsidR="00F0167C" w:rsidRPr="00F96D93" w:rsidRDefault="00000AB8" w:rsidP="00752F3D">
            <w:pPr>
              <w:tabs>
                <w:tab w:val="left" w:pos="709"/>
              </w:tabs>
              <w:spacing w:before="60" w:after="60" w:line="240" w:lineRule="auto"/>
              <w:rPr>
                <w:rFonts w:ascii="Arial" w:hAnsi="Arial" w:cs="Arial"/>
                <w:sz w:val="16"/>
                <w:szCs w:val="16"/>
              </w:rPr>
            </w:pPr>
            <w:r w:rsidRPr="00000AB8">
              <w:rPr>
                <w:rFonts w:ascii="Arial" w:hAnsi="Arial" w:cs="Arial"/>
                <w:sz w:val="16"/>
                <w:szCs w:val="16"/>
              </w:rPr>
              <w:t>2021-22</w:t>
            </w:r>
          </w:p>
        </w:tc>
        <w:tc>
          <w:tcPr>
            <w:tcW w:w="2287" w:type="dxa"/>
            <w:tcBorders>
              <w:top w:val="single" w:sz="4" w:space="0" w:color="auto"/>
              <w:left w:val="single" w:sz="4" w:space="0" w:color="auto"/>
              <w:right w:val="single" w:sz="4" w:space="0" w:color="auto"/>
            </w:tcBorders>
          </w:tcPr>
          <w:p w14:paraId="6F53E537" w14:textId="77777777" w:rsidR="00000AB8" w:rsidRPr="00000AB8" w:rsidRDefault="00000AB8" w:rsidP="00752F3D">
            <w:pPr>
              <w:tabs>
                <w:tab w:val="left" w:pos="709"/>
              </w:tabs>
              <w:autoSpaceDE w:val="0"/>
              <w:autoSpaceDN w:val="0"/>
              <w:spacing w:before="60" w:after="60" w:line="240" w:lineRule="auto"/>
              <w:rPr>
                <w:rFonts w:ascii="Arial" w:hAnsi="Arial" w:cs="Arial"/>
                <w:b/>
                <w:bCs/>
                <w:sz w:val="16"/>
                <w:szCs w:val="16"/>
              </w:rPr>
            </w:pPr>
            <w:r w:rsidRPr="00000AB8">
              <w:rPr>
                <w:rFonts w:ascii="Arial" w:hAnsi="Arial" w:cs="Arial"/>
                <w:b/>
                <w:bCs/>
                <w:sz w:val="16"/>
                <w:szCs w:val="16"/>
              </w:rPr>
              <w:t>Stewardship over procurement systems and policies</w:t>
            </w:r>
          </w:p>
          <w:p w14:paraId="008D5470" w14:textId="77777777" w:rsidR="00000AB8" w:rsidRPr="00000AB8" w:rsidRDefault="00000AB8" w:rsidP="00752F3D">
            <w:pPr>
              <w:tabs>
                <w:tab w:val="left" w:pos="709"/>
              </w:tabs>
              <w:autoSpaceDE w:val="0"/>
              <w:autoSpaceDN w:val="0"/>
              <w:spacing w:before="60" w:after="60" w:line="240" w:lineRule="auto"/>
              <w:rPr>
                <w:rFonts w:ascii="Arial" w:hAnsi="Arial" w:cs="Arial"/>
                <w:bCs/>
                <w:sz w:val="16"/>
                <w:szCs w:val="16"/>
              </w:rPr>
            </w:pPr>
            <w:r w:rsidRPr="00000AB8">
              <w:rPr>
                <w:rFonts w:ascii="Arial" w:hAnsi="Arial" w:cs="Arial"/>
                <w:bCs/>
                <w:sz w:val="16"/>
                <w:szCs w:val="16"/>
              </w:rPr>
              <w:t>Finance works with external stakeholders to: Provide stewardship over systems and policies to support a fair, efficient, and transparent procurement framework.</w:t>
            </w:r>
          </w:p>
          <w:p w14:paraId="2239E1B0" w14:textId="48ECFE11" w:rsidR="00F0167C" w:rsidRPr="00F96D93" w:rsidRDefault="00000AB8" w:rsidP="00752F3D">
            <w:pPr>
              <w:autoSpaceDE w:val="0"/>
              <w:autoSpaceDN w:val="0"/>
              <w:spacing w:before="60" w:after="60" w:line="240" w:lineRule="auto"/>
              <w:rPr>
                <w:rFonts w:ascii="Arial" w:hAnsi="Arial" w:cs="Arial"/>
                <w:sz w:val="16"/>
                <w:szCs w:val="16"/>
              </w:rPr>
            </w:pPr>
            <w:r w:rsidRPr="00000AB8">
              <w:rPr>
                <w:rFonts w:ascii="Arial" w:hAnsi="Arial" w:cs="Arial"/>
                <w:bCs/>
                <w:sz w:val="16"/>
                <w:szCs w:val="16"/>
              </w:rPr>
              <w:t xml:space="preserve">Implement and maintain </w:t>
            </w:r>
            <w:proofErr w:type="spellStart"/>
            <w:r w:rsidRPr="00000AB8">
              <w:rPr>
                <w:rFonts w:ascii="Arial" w:hAnsi="Arial" w:cs="Arial"/>
                <w:bCs/>
                <w:sz w:val="16"/>
                <w:szCs w:val="16"/>
              </w:rPr>
              <w:t>WoAG</w:t>
            </w:r>
            <w:proofErr w:type="spellEnd"/>
            <w:r w:rsidRPr="00000AB8">
              <w:rPr>
                <w:rFonts w:ascii="Arial" w:hAnsi="Arial" w:cs="Arial"/>
                <w:bCs/>
                <w:sz w:val="16"/>
                <w:szCs w:val="16"/>
              </w:rPr>
              <w:t xml:space="preserve"> procurement arrangements for non-ICT services (e.g. travel bookings and major office equipment) to generate price savings and operating efficiencies.</w:t>
            </w:r>
          </w:p>
        </w:tc>
        <w:tc>
          <w:tcPr>
            <w:tcW w:w="4091" w:type="dxa"/>
            <w:tcBorders>
              <w:top w:val="single" w:sz="4" w:space="0" w:color="auto"/>
              <w:left w:val="single" w:sz="4" w:space="0" w:color="auto"/>
            </w:tcBorders>
          </w:tcPr>
          <w:p w14:paraId="37D6B327" w14:textId="77777777" w:rsidR="00000AB8" w:rsidRPr="00E42FCE" w:rsidRDefault="00000AB8" w:rsidP="00752F3D">
            <w:pPr>
              <w:autoSpaceDE w:val="0"/>
              <w:autoSpaceDN w:val="0"/>
              <w:spacing w:before="60" w:after="60" w:line="240" w:lineRule="auto"/>
              <w:rPr>
                <w:rFonts w:ascii="Arial" w:hAnsi="Arial" w:cs="Arial"/>
                <w:b/>
                <w:sz w:val="16"/>
                <w:szCs w:val="16"/>
              </w:rPr>
            </w:pPr>
            <w:r w:rsidRPr="00E42FCE">
              <w:rPr>
                <w:rFonts w:ascii="Arial" w:hAnsi="Arial" w:cs="Arial"/>
                <w:b/>
                <w:sz w:val="16"/>
                <w:szCs w:val="16"/>
              </w:rPr>
              <w:t>Achieved</w:t>
            </w:r>
          </w:p>
          <w:p w14:paraId="42A3C166" w14:textId="19E9C900" w:rsidR="00000AB8" w:rsidRPr="00000AB8" w:rsidRDefault="00000AB8" w:rsidP="000A5007">
            <w:pPr>
              <w:autoSpaceDE w:val="0"/>
              <w:autoSpaceDN w:val="0"/>
              <w:spacing w:before="60" w:after="60" w:line="240" w:lineRule="auto"/>
              <w:rPr>
                <w:rFonts w:ascii="Arial" w:hAnsi="Arial" w:cs="Arial"/>
                <w:sz w:val="16"/>
                <w:szCs w:val="16"/>
              </w:rPr>
            </w:pPr>
            <w:r w:rsidRPr="00000AB8">
              <w:rPr>
                <w:rFonts w:ascii="Arial" w:hAnsi="Arial" w:cs="Arial"/>
                <w:sz w:val="16"/>
                <w:szCs w:val="16"/>
              </w:rPr>
              <w:t>In 2021-22, Finance hosted 32 s</w:t>
            </w:r>
            <w:r w:rsidR="000A5007">
              <w:rPr>
                <w:rFonts w:ascii="Arial" w:hAnsi="Arial" w:cs="Arial"/>
                <w:sz w:val="16"/>
                <w:szCs w:val="16"/>
              </w:rPr>
              <w:t>trategic outreach meetings and seven</w:t>
            </w:r>
            <w:r w:rsidRPr="00000AB8">
              <w:rPr>
                <w:rFonts w:ascii="Arial" w:hAnsi="Arial" w:cs="Arial"/>
                <w:sz w:val="16"/>
                <w:szCs w:val="16"/>
              </w:rPr>
              <w:t xml:space="preserve"> Senior Procurement Officials Reference Group (SPORG) meetings. Finance also facilitated the first procurement-connected policy working group, attended by policy owning entities. Finance also responded to Commonwealth Procurement</w:t>
            </w:r>
            <w:r w:rsidR="0064681A">
              <w:rPr>
                <w:rFonts w:ascii="Arial" w:hAnsi="Arial" w:cs="Arial"/>
                <w:sz w:val="16"/>
                <w:szCs w:val="16"/>
              </w:rPr>
              <w:t xml:space="preserve"> Framework queries, within the three day key performance indicator</w:t>
            </w:r>
            <w:r w:rsidRPr="00000AB8">
              <w:rPr>
                <w:rFonts w:ascii="Arial" w:hAnsi="Arial" w:cs="Arial"/>
                <w:sz w:val="16"/>
                <w:szCs w:val="16"/>
              </w:rPr>
              <w:t xml:space="preserve">, 98% of the time. Through the Centre of Procurement Excellence, Finance delivered the Commonwealth Procurement Capability Self-Assessment Survey, providing reports to 96 participating entities, and launched the 2022 Commonwealth Procurement Awards for Excellence. Finally, Finance delivered </w:t>
            </w:r>
            <w:r w:rsidR="000A5007">
              <w:rPr>
                <w:rFonts w:ascii="Arial" w:hAnsi="Arial" w:cs="Arial"/>
                <w:sz w:val="16"/>
                <w:szCs w:val="16"/>
              </w:rPr>
              <w:t>two</w:t>
            </w:r>
            <w:r w:rsidRPr="00000AB8">
              <w:rPr>
                <w:rFonts w:ascii="Arial" w:hAnsi="Arial" w:cs="Arial"/>
                <w:sz w:val="16"/>
                <w:szCs w:val="16"/>
              </w:rPr>
              <w:t xml:space="preserve"> updates to the Commonwealth Procurement Rules, involving close consultations with key agencies.</w:t>
            </w:r>
          </w:p>
          <w:p w14:paraId="60897085" w14:textId="376A7CC3" w:rsidR="00000AB8" w:rsidRDefault="00000AB8" w:rsidP="000A5007">
            <w:pPr>
              <w:tabs>
                <w:tab w:val="left" w:pos="442"/>
              </w:tabs>
              <w:autoSpaceDE w:val="0"/>
              <w:autoSpaceDN w:val="0"/>
              <w:adjustRightInd w:val="0"/>
              <w:spacing w:before="60" w:after="60" w:line="240" w:lineRule="auto"/>
              <w:rPr>
                <w:rFonts w:ascii="Arial" w:hAnsi="Arial" w:cs="Arial"/>
                <w:sz w:val="16"/>
                <w:szCs w:val="16"/>
              </w:rPr>
            </w:pPr>
            <w:r w:rsidRPr="00000AB8">
              <w:rPr>
                <w:rFonts w:ascii="Arial" w:hAnsi="Arial" w:cs="Arial"/>
                <w:sz w:val="16"/>
                <w:szCs w:val="16"/>
              </w:rPr>
              <w:t xml:space="preserve">In 2021–22, the </w:t>
            </w:r>
            <w:proofErr w:type="spellStart"/>
            <w:r w:rsidRPr="00000AB8">
              <w:rPr>
                <w:rFonts w:ascii="Arial" w:hAnsi="Arial" w:cs="Arial"/>
                <w:sz w:val="16"/>
                <w:szCs w:val="16"/>
              </w:rPr>
              <w:t>AusTender</w:t>
            </w:r>
            <w:proofErr w:type="spellEnd"/>
            <w:r w:rsidRPr="00000AB8">
              <w:rPr>
                <w:rFonts w:ascii="Arial" w:hAnsi="Arial" w:cs="Arial"/>
                <w:sz w:val="16"/>
                <w:szCs w:val="16"/>
              </w:rPr>
              <w:t xml:space="preserve"> platform and data were available to users for more than 99.9% of the reporting period</w:t>
            </w:r>
            <w:r>
              <w:rPr>
                <w:rFonts w:ascii="Arial" w:hAnsi="Arial" w:cs="Arial"/>
                <w:sz w:val="16"/>
                <w:szCs w:val="16"/>
              </w:rPr>
              <w:t>.</w:t>
            </w:r>
          </w:p>
          <w:p w14:paraId="5157D773" w14:textId="77777777" w:rsidR="00000AB8" w:rsidRPr="00000AB8" w:rsidRDefault="00000AB8" w:rsidP="000A5007">
            <w:pPr>
              <w:tabs>
                <w:tab w:val="left" w:pos="442"/>
              </w:tabs>
              <w:autoSpaceDE w:val="0"/>
              <w:autoSpaceDN w:val="0"/>
              <w:adjustRightInd w:val="0"/>
              <w:spacing w:before="60" w:after="60" w:line="240" w:lineRule="auto"/>
              <w:rPr>
                <w:rFonts w:ascii="Arial" w:hAnsi="Arial" w:cs="Arial"/>
                <w:sz w:val="16"/>
                <w:szCs w:val="16"/>
              </w:rPr>
            </w:pPr>
            <w:r w:rsidRPr="00000AB8">
              <w:rPr>
                <w:rFonts w:ascii="Arial" w:hAnsi="Arial" w:cs="Arial"/>
                <w:sz w:val="16"/>
                <w:szCs w:val="16"/>
              </w:rPr>
              <w:t>In 2021–22, Finance participated in:</w:t>
            </w:r>
          </w:p>
          <w:p w14:paraId="31F13E7B" w14:textId="1A736767" w:rsidR="00000AB8" w:rsidRPr="00E42FCE" w:rsidRDefault="000A5007" w:rsidP="00C8474A">
            <w:pPr>
              <w:pStyle w:val="ListParagraph"/>
              <w:numPr>
                <w:ilvl w:val="0"/>
                <w:numId w:val="58"/>
              </w:numPr>
              <w:autoSpaceDE w:val="0"/>
              <w:autoSpaceDN w:val="0"/>
              <w:adjustRightInd w:val="0"/>
              <w:spacing w:before="60" w:after="60" w:line="240" w:lineRule="auto"/>
              <w:ind w:left="527" w:hanging="357"/>
              <w:contextualSpacing w:val="0"/>
              <w:rPr>
                <w:rFonts w:ascii="Arial" w:hAnsi="Arial" w:cs="Arial"/>
                <w:sz w:val="16"/>
                <w:szCs w:val="16"/>
              </w:rPr>
            </w:pPr>
            <w:r>
              <w:rPr>
                <w:rFonts w:ascii="Arial" w:hAnsi="Arial" w:cs="Arial"/>
                <w:sz w:val="16"/>
                <w:szCs w:val="16"/>
              </w:rPr>
              <w:t>N</w:t>
            </w:r>
            <w:r w:rsidR="00000AB8" w:rsidRPr="00E42FCE">
              <w:rPr>
                <w:rFonts w:ascii="Arial" w:hAnsi="Arial" w:cs="Arial"/>
                <w:sz w:val="16"/>
                <w:szCs w:val="16"/>
              </w:rPr>
              <w:t xml:space="preserve">egotiations to </w:t>
            </w:r>
            <w:proofErr w:type="spellStart"/>
            <w:r w:rsidR="00000AB8" w:rsidRPr="00E42FCE">
              <w:rPr>
                <w:rFonts w:ascii="Arial" w:hAnsi="Arial" w:cs="Arial"/>
                <w:sz w:val="16"/>
                <w:szCs w:val="16"/>
              </w:rPr>
              <w:t>finalise</w:t>
            </w:r>
            <w:proofErr w:type="spellEnd"/>
            <w:r w:rsidR="00000AB8" w:rsidRPr="00E42FCE">
              <w:rPr>
                <w:rFonts w:ascii="Arial" w:hAnsi="Arial" w:cs="Arial"/>
                <w:sz w:val="16"/>
                <w:szCs w:val="16"/>
              </w:rPr>
              <w:t xml:space="preserve"> the Australia-United Kingdom Free Trade Agreement (FTA)</w:t>
            </w:r>
            <w:r>
              <w:rPr>
                <w:rFonts w:ascii="Arial" w:hAnsi="Arial" w:cs="Arial"/>
                <w:sz w:val="16"/>
                <w:szCs w:val="16"/>
              </w:rPr>
              <w:t>.</w:t>
            </w:r>
          </w:p>
          <w:p w14:paraId="0EF6B726" w14:textId="137B13BC" w:rsidR="00000AB8" w:rsidRPr="00E42FCE" w:rsidRDefault="000A5007" w:rsidP="00C8474A">
            <w:pPr>
              <w:pStyle w:val="ListParagraph"/>
              <w:numPr>
                <w:ilvl w:val="0"/>
                <w:numId w:val="58"/>
              </w:numPr>
              <w:autoSpaceDE w:val="0"/>
              <w:autoSpaceDN w:val="0"/>
              <w:adjustRightInd w:val="0"/>
              <w:spacing w:before="60" w:after="60" w:line="240" w:lineRule="auto"/>
              <w:ind w:left="527" w:hanging="357"/>
              <w:contextualSpacing w:val="0"/>
              <w:rPr>
                <w:rFonts w:ascii="Arial" w:hAnsi="Arial" w:cs="Arial"/>
                <w:sz w:val="16"/>
                <w:szCs w:val="16"/>
              </w:rPr>
            </w:pPr>
            <w:r>
              <w:rPr>
                <w:rFonts w:ascii="Arial" w:hAnsi="Arial" w:cs="Arial"/>
                <w:sz w:val="16"/>
                <w:szCs w:val="16"/>
              </w:rPr>
              <w:t>Four</w:t>
            </w:r>
            <w:r w:rsidR="00000AB8" w:rsidRPr="00E42FCE">
              <w:rPr>
                <w:rFonts w:ascii="Arial" w:hAnsi="Arial" w:cs="Arial"/>
                <w:sz w:val="16"/>
                <w:szCs w:val="16"/>
              </w:rPr>
              <w:t xml:space="preserve"> negotiation rounds of the Association of Southeast Asian Nations (ASEAN)-Australia-New Zealand FTA (AAN</w:t>
            </w:r>
            <w:r>
              <w:rPr>
                <w:rFonts w:ascii="Arial" w:hAnsi="Arial" w:cs="Arial"/>
                <w:sz w:val="16"/>
                <w:szCs w:val="16"/>
              </w:rPr>
              <w:t>ZFTA), as well as facilitating two</w:t>
            </w:r>
            <w:r w:rsidR="00000AB8" w:rsidRPr="00E42FCE">
              <w:rPr>
                <w:rFonts w:ascii="Arial" w:hAnsi="Arial" w:cs="Arial"/>
                <w:sz w:val="16"/>
                <w:szCs w:val="16"/>
              </w:rPr>
              <w:t xml:space="preserve"> knowledge sharing s</w:t>
            </w:r>
            <w:r>
              <w:rPr>
                <w:rFonts w:ascii="Arial" w:hAnsi="Arial" w:cs="Arial"/>
                <w:sz w:val="16"/>
                <w:szCs w:val="16"/>
              </w:rPr>
              <w:t>essions for all AANZFTA parties.</w:t>
            </w:r>
          </w:p>
          <w:p w14:paraId="29DCE4B4" w14:textId="11CD2924" w:rsidR="00000AB8" w:rsidRPr="00E42FCE" w:rsidRDefault="000A5007" w:rsidP="00C8474A">
            <w:pPr>
              <w:pStyle w:val="ListParagraph"/>
              <w:numPr>
                <w:ilvl w:val="0"/>
                <w:numId w:val="58"/>
              </w:numPr>
              <w:autoSpaceDE w:val="0"/>
              <w:autoSpaceDN w:val="0"/>
              <w:adjustRightInd w:val="0"/>
              <w:spacing w:before="60" w:after="60" w:line="240" w:lineRule="auto"/>
              <w:ind w:left="527" w:hanging="357"/>
              <w:contextualSpacing w:val="0"/>
              <w:rPr>
                <w:rFonts w:ascii="Arial" w:hAnsi="Arial" w:cs="Arial"/>
                <w:sz w:val="16"/>
                <w:szCs w:val="16"/>
              </w:rPr>
            </w:pPr>
            <w:r>
              <w:rPr>
                <w:rFonts w:ascii="Arial" w:hAnsi="Arial" w:cs="Arial"/>
                <w:sz w:val="16"/>
                <w:szCs w:val="16"/>
              </w:rPr>
              <w:t>Three</w:t>
            </w:r>
            <w:r w:rsidR="00000AB8" w:rsidRPr="00E42FCE">
              <w:rPr>
                <w:rFonts w:ascii="Arial" w:hAnsi="Arial" w:cs="Arial"/>
                <w:sz w:val="16"/>
                <w:szCs w:val="16"/>
              </w:rPr>
              <w:t xml:space="preserve"> meetings with the Indian Government regarding the possible inclusion of government procurement in an Australia-India Comprehensive Economic Cooperation Agreement</w:t>
            </w:r>
            <w:r>
              <w:rPr>
                <w:rFonts w:ascii="Arial" w:hAnsi="Arial" w:cs="Arial"/>
                <w:sz w:val="16"/>
                <w:szCs w:val="16"/>
              </w:rPr>
              <w:t>.</w:t>
            </w:r>
          </w:p>
          <w:p w14:paraId="2239E1BD" w14:textId="6178DADB" w:rsidR="00F0167C" w:rsidRPr="00E42FCE" w:rsidRDefault="000A5007" w:rsidP="00C8474A">
            <w:pPr>
              <w:pStyle w:val="ListParagraph"/>
              <w:numPr>
                <w:ilvl w:val="0"/>
                <w:numId w:val="58"/>
              </w:numPr>
              <w:autoSpaceDE w:val="0"/>
              <w:autoSpaceDN w:val="0"/>
              <w:adjustRightInd w:val="0"/>
              <w:spacing w:before="60" w:after="60" w:line="240" w:lineRule="auto"/>
              <w:ind w:left="527" w:hanging="357"/>
              <w:contextualSpacing w:val="0"/>
              <w:rPr>
                <w:rFonts w:ascii="Arial" w:hAnsi="Arial" w:cs="Arial"/>
                <w:sz w:val="16"/>
                <w:szCs w:val="16"/>
              </w:rPr>
            </w:pPr>
            <w:r>
              <w:rPr>
                <w:rFonts w:ascii="Arial" w:hAnsi="Arial" w:cs="Arial"/>
                <w:sz w:val="16"/>
                <w:szCs w:val="16"/>
              </w:rPr>
              <w:t>O</w:t>
            </w:r>
            <w:r w:rsidR="00000AB8" w:rsidRPr="00E42FCE">
              <w:rPr>
                <w:rFonts w:ascii="Arial" w:hAnsi="Arial" w:cs="Arial"/>
                <w:sz w:val="16"/>
                <w:szCs w:val="16"/>
              </w:rPr>
              <w:t xml:space="preserve">ne meeting of the </w:t>
            </w:r>
            <w:proofErr w:type="spellStart"/>
            <w:r w:rsidR="00000AB8" w:rsidRPr="00E42FCE">
              <w:rPr>
                <w:rFonts w:ascii="Arial" w:hAnsi="Arial" w:cs="Arial"/>
                <w:sz w:val="16"/>
                <w:szCs w:val="16"/>
              </w:rPr>
              <w:t>Organisation</w:t>
            </w:r>
            <w:proofErr w:type="spellEnd"/>
            <w:r w:rsidR="00000AB8" w:rsidRPr="00E42FCE">
              <w:rPr>
                <w:rFonts w:ascii="Arial" w:hAnsi="Arial" w:cs="Arial"/>
                <w:sz w:val="16"/>
                <w:szCs w:val="16"/>
              </w:rPr>
              <w:t xml:space="preserve"> for Economic Co-operation and Development (OECD) Working Party of the Leading Practitio</w:t>
            </w:r>
            <w:r>
              <w:rPr>
                <w:rFonts w:ascii="Arial" w:hAnsi="Arial" w:cs="Arial"/>
                <w:sz w:val="16"/>
                <w:szCs w:val="16"/>
              </w:rPr>
              <w:t>ners on Public Procurement and four</w:t>
            </w:r>
            <w:r w:rsidR="00000AB8" w:rsidRPr="00E42FCE">
              <w:rPr>
                <w:rFonts w:ascii="Arial" w:hAnsi="Arial" w:cs="Arial"/>
                <w:sz w:val="16"/>
                <w:szCs w:val="16"/>
              </w:rPr>
              <w:t xml:space="preserve"> meetings of the OECD Garment and Public Procurement Pilot</w:t>
            </w:r>
            <w:r>
              <w:rPr>
                <w:rFonts w:ascii="Arial" w:hAnsi="Arial" w:cs="Arial"/>
                <w:sz w:val="16"/>
                <w:szCs w:val="16"/>
              </w:rPr>
              <w:t>.</w:t>
            </w:r>
          </w:p>
        </w:tc>
      </w:tr>
    </w:tbl>
    <w:p w14:paraId="1E8051AC" w14:textId="6A57CBFD" w:rsidR="0064681A" w:rsidRDefault="0064681A" w:rsidP="00853030">
      <w:pPr>
        <w:pStyle w:val="TableHeading"/>
        <w:spacing w:before="30" w:after="0"/>
        <w:rPr>
          <w:b w:val="0"/>
          <w:color w:val="000000"/>
          <w:sz w:val="16"/>
          <w:lang w:val="x-none" w:eastAsia="x-none"/>
        </w:rPr>
      </w:pPr>
      <w:r>
        <w:rPr>
          <w:b w:val="0"/>
          <w:color w:val="000000"/>
          <w:sz w:val="16"/>
          <w:lang w:val="x-none" w:eastAsia="x-none"/>
        </w:rPr>
        <w:t>Table continues on next page</w:t>
      </w:r>
    </w:p>
    <w:p w14:paraId="4539890B" w14:textId="77777777" w:rsidR="0064681A" w:rsidRDefault="0064681A">
      <w:pPr>
        <w:spacing w:before="0" w:after="0" w:line="240" w:lineRule="auto"/>
        <w:rPr>
          <w:rFonts w:ascii="Arial" w:hAnsi="Arial"/>
          <w:color w:val="000000"/>
          <w:sz w:val="16"/>
          <w:lang w:val="x-none" w:eastAsia="x-none"/>
        </w:rPr>
      </w:pPr>
      <w:r>
        <w:rPr>
          <w:b/>
          <w:color w:val="000000"/>
          <w:sz w:val="16"/>
          <w:lang w:val="x-none" w:eastAsia="x-none"/>
        </w:rPr>
        <w:br w:type="page"/>
      </w:r>
    </w:p>
    <w:p w14:paraId="2239E1C4" w14:textId="0BA044E9" w:rsidR="00F0167C" w:rsidRPr="00775A10" w:rsidRDefault="00F0167C" w:rsidP="00775A10">
      <w:pPr>
        <w:pStyle w:val="TableHeading"/>
        <w:spacing w:before="0" w:after="0"/>
        <w:ind w:right="-113"/>
        <w:rPr>
          <w:b w:val="0"/>
          <w:color w:val="000000"/>
          <w:sz w:val="16"/>
          <w:lang w:val="x-none" w:eastAsia="x-none"/>
        </w:rPr>
      </w:pPr>
      <w:r>
        <w:lastRenderedPageBreak/>
        <w:t>Table 2.2.2</w:t>
      </w:r>
      <w:r w:rsidRPr="0052248D">
        <w:t>: Performance measure for Outcome 2 (continued)</w:t>
      </w:r>
    </w:p>
    <w:tbl>
      <w:tblPr>
        <w:tblW w:w="7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288"/>
        <w:gridCol w:w="4093"/>
      </w:tblGrid>
      <w:tr w:rsidR="00F0167C" w:rsidRPr="00361E69" w14:paraId="2239E1C6" w14:textId="77777777" w:rsidTr="005111D1">
        <w:trPr>
          <w:trHeight w:val="309"/>
        </w:trPr>
        <w:tc>
          <w:tcPr>
            <w:tcW w:w="7795" w:type="dxa"/>
            <w:gridSpan w:val="3"/>
            <w:tcBorders>
              <w:top w:val="single" w:sz="4" w:space="0" w:color="auto"/>
              <w:left w:val="single" w:sz="4" w:space="0" w:color="auto"/>
              <w:bottom w:val="single" w:sz="4" w:space="0" w:color="auto"/>
              <w:right w:val="single" w:sz="4" w:space="0" w:color="auto"/>
            </w:tcBorders>
            <w:shd w:val="clear" w:color="auto" w:fill="F2F2F2"/>
          </w:tcPr>
          <w:p w14:paraId="20947FFD" w14:textId="77777777" w:rsidR="00000AB8" w:rsidRPr="00000AB8" w:rsidRDefault="00000AB8" w:rsidP="00183CFA">
            <w:pPr>
              <w:tabs>
                <w:tab w:val="left" w:pos="709"/>
              </w:tabs>
              <w:spacing w:before="60" w:after="60" w:line="240" w:lineRule="auto"/>
              <w:rPr>
                <w:rFonts w:ascii="Arial" w:hAnsi="Arial"/>
                <w:b/>
                <w:sz w:val="16"/>
                <w:szCs w:val="16"/>
              </w:rPr>
            </w:pPr>
            <w:r w:rsidRPr="00000AB8">
              <w:rPr>
                <w:rFonts w:ascii="Arial" w:hAnsi="Arial"/>
                <w:b/>
                <w:sz w:val="16"/>
                <w:szCs w:val="16"/>
              </w:rPr>
              <w:t>Program 2.5- Technology and Procurement</w:t>
            </w:r>
          </w:p>
          <w:p w14:paraId="2239E1C5" w14:textId="7BFEC9AC" w:rsidR="00F0167C" w:rsidRPr="00000AB8" w:rsidRDefault="00000AB8" w:rsidP="00183CFA">
            <w:pPr>
              <w:tabs>
                <w:tab w:val="left" w:pos="709"/>
              </w:tabs>
              <w:spacing w:before="60" w:after="60" w:line="240" w:lineRule="auto"/>
              <w:rPr>
                <w:rFonts w:ascii="Arial" w:hAnsi="Arial" w:cs="Arial"/>
                <w:sz w:val="16"/>
                <w:szCs w:val="16"/>
              </w:rPr>
            </w:pPr>
            <w:r w:rsidRPr="00000AB8">
              <w:rPr>
                <w:rFonts w:ascii="Arial" w:hAnsi="Arial"/>
                <w:sz w:val="16"/>
                <w:szCs w:val="16"/>
              </w:rPr>
              <w:t xml:space="preserve">This program contributes to the outcome through providing timely and relevant procurement policy advice; providing advice to the Government on advertising; establishing and maintaining </w:t>
            </w:r>
            <w:proofErr w:type="spellStart"/>
            <w:r w:rsidRPr="00000AB8">
              <w:rPr>
                <w:rFonts w:ascii="Arial" w:hAnsi="Arial"/>
                <w:sz w:val="16"/>
                <w:szCs w:val="16"/>
              </w:rPr>
              <w:t>WoAG</w:t>
            </w:r>
            <w:proofErr w:type="spellEnd"/>
            <w:r w:rsidRPr="00000AB8">
              <w:rPr>
                <w:rFonts w:ascii="Arial" w:hAnsi="Arial"/>
                <w:sz w:val="16"/>
                <w:szCs w:val="16"/>
              </w:rPr>
              <w:t xml:space="preserve"> procurement arrangements for common goods and services; and establishing, developing and maintaining </w:t>
            </w:r>
            <w:proofErr w:type="spellStart"/>
            <w:r w:rsidRPr="00000AB8">
              <w:rPr>
                <w:rFonts w:ascii="Arial" w:hAnsi="Arial"/>
                <w:sz w:val="16"/>
                <w:szCs w:val="16"/>
              </w:rPr>
              <w:t>WoAG</w:t>
            </w:r>
            <w:proofErr w:type="spellEnd"/>
            <w:r w:rsidRPr="00000AB8">
              <w:rPr>
                <w:rFonts w:ascii="Arial" w:hAnsi="Arial"/>
                <w:sz w:val="16"/>
                <w:szCs w:val="16"/>
              </w:rPr>
              <w:t xml:space="preserve"> and cross-entity ICT infrastructure, platforms, systems and services.</w:t>
            </w:r>
          </w:p>
        </w:tc>
      </w:tr>
      <w:tr w:rsidR="00F0167C" w:rsidRPr="00361E69" w14:paraId="2239E1CA" w14:textId="77777777" w:rsidTr="005111D1">
        <w:trPr>
          <w:trHeight w:val="312"/>
        </w:trPr>
        <w:tc>
          <w:tcPr>
            <w:tcW w:w="1414" w:type="dxa"/>
            <w:tcBorders>
              <w:top w:val="single" w:sz="4" w:space="0" w:color="auto"/>
              <w:bottom w:val="single" w:sz="4" w:space="0" w:color="auto"/>
              <w:right w:val="single" w:sz="4" w:space="0" w:color="auto"/>
            </w:tcBorders>
          </w:tcPr>
          <w:p w14:paraId="2239E1C7" w14:textId="77777777" w:rsidR="00F0167C" w:rsidRPr="00102932" w:rsidRDefault="00F0167C" w:rsidP="00183CFA">
            <w:pPr>
              <w:tabs>
                <w:tab w:val="left" w:pos="709"/>
              </w:tabs>
              <w:spacing w:before="60" w:after="60"/>
              <w:rPr>
                <w:rFonts w:ascii="Arial" w:hAnsi="Arial" w:cs="Arial"/>
                <w:b/>
                <w:sz w:val="16"/>
                <w:szCs w:val="16"/>
              </w:rPr>
            </w:pPr>
            <w:r w:rsidRPr="00102932">
              <w:rPr>
                <w:rFonts w:ascii="Arial" w:hAnsi="Arial" w:cs="Arial"/>
                <w:b/>
                <w:sz w:val="16"/>
                <w:szCs w:val="16"/>
              </w:rPr>
              <w:t>Year</w:t>
            </w:r>
          </w:p>
        </w:tc>
        <w:tc>
          <w:tcPr>
            <w:tcW w:w="2288" w:type="dxa"/>
            <w:tcBorders>
              <w:top w:val="single" w:sz="4" w:space="0" w:color="auto"/>
              <w:left w:val="single" w:sz="4" w:space="0" w:color="auto"/>
              <w:bottom w:val="single" w:sz="4" w:space="0" w:color="auto"/>
              <w:right w:val="single" w:sz="4" w:space="0" w:color="auto"/>
            </w:tcBorders>
          </w:tcPr>
          <w:p w14:paraId="2239E1C8" w14:textId="77777777" w:rsidR="00F0167C" w:rsidRPr="00102932" w:rsidRDefault="00F0167C" w:rsidP="00183CFA">
            <w:pPr>
              <w:tabs>
                <w:tab w:val="left" w:pos="709"/>
                <w:tab w:val="center" w:pos="1818"/>
              </w:tabs>
              <w:spacing w:before="60" w:after="60"/>
              <w:rPr>
                <w:rFonts w:ascii="Arial" w:hAnsi="Arial" w:cs="Arial"/>
                <w:b/>
                <w:sz w:val="16"/>
                <w:szCs w:val="16"/>
              </w:rPr>
            </w:pPr>
            <w:r w:rsidRPr="00102932">
              <w:rPr>
                <w:rFonts w:ascii="Arial" w:hAnsi="Arial" w:cs="Arial"/>
                <w:b/>
                <w:sz w:val="16"/>
                <w:szCs w:val="16"/>
              </w:rPr>
              <w:t>Performance measures</w:t>
            </w:r>
          </w:p>
        </w:tc>
        <w:tc>
          <w:tcPr>
            <w:tcW w:w="4093" w:type="dxa"/>
            <w:tcBorders>
              <w:top w:val="single" w:sz="4" w:space="0" w:color="auto"/>
              <w:left w:val="single" w:sz="4" w:space="0" w:color="auto"/>
              <w:bottom w:val="single" w:sz="4" w:space="0" w:color="auto"/>
            </w:tcBorders>
          </w:tcPr>
          <w:p w14:paraId="2239E1C9" w14:textId="77777777" w:rsidR="00F0167C" w:rsidRPr="00102932" w:rsidRDefault="00F0167C" w:rsidP="00183CFA">
            <w:pPr>
              <w:tabs>
                <w:tab w:val="left" w:pos="709"/>
              </w:tabs>
              <w:spacing w:before="60" w:after="60"/>
              <w:rPr>
                <w:rFonts w:ascii="Arial" w:hAnsi="Arial" w:cs="Arial"/>
                <w:b/>
                <w:sz w:val="16"/>
                <w:szCs w:val="16"/>
              </w:rPr>
            </w:pPr>
            <w:r w:rsidRPr="00102932">
              <w:rPr>
                <w:rFonts w:ascii="Arial" w:hAnsi="Arial" w:cs="Arial"/>
                <w:b/>
                <w:sz w:val="16"/>
                <w:szCs w:val="16"/>
              </w:rPr>
              <w:t>Expected Performance Results</w:t>
            </w:r>
          </w:p>
        </w:tc>
      </w:tr>
      <w:tr w:rsidR="00F0167C" w:rsidRPr="004559BE" w14:paraId="2239E1D0" w14:textId="77777777" w:rsidTr="005111D1">
        <w:trPr>
          <w:trHeight w:val="2437"/>
        </w:trPr>
        <w:tc>
          <w:tcPr>
            <w:tcW w:w="1414" w:type="dxa"/>
            <w:tcBorders>
              <w:top w:val="single" w:sz="4" w:space="0" w:color="auto"/>
              <w:right w:val="single" w:sz="4" w:space="0" w:color="auto"/>
            </w:tcBorders>
          </w:tcPr>
          <w:p w14:paraId="57FEDE14" w14:textId="77777777" w:rsidR="00000AB8" w:rsidRPr="00000AB8" w:rsidRDefault="00000AB8" w:rsidP="00183CFA">
            <w:pPr>
              <w:tabs>
                <w:tab w:val="left" w:pos="709"/>
              </w:tabs>
              <w:spacing w:before="60" w:after="60" w:line="240" w:lineRule="auto"/>
              <w:rPr>
                <w:rFonts w:ascii="Arial" w:hAnsi="Arial" w:cs="Arial"/>
                <w:sz w:val="16"/>
                <w:szCs w:val="16"/>
              </w:rPr>
            </w:pPr>
            <w:r w:rsidRPr="00000AB8">
              <w:rPr>
                <w:rFonts w:ascii="Arial" w:hAnsi="Arial" w:cs="Arial"/>
                <w:sz w:val="16"/>
                <w:szCs w:val="16"/>
              </w:rPr>
              <w:t xml:space="preserve">Prior year </w:t>
            </w:r>
          </w:p>
          <w:p w14:paraId="2239E1CB" w14:textId="2F8643E7" w:rsidR="00F0167C" w:rsidRPr="00102932" w:rsidRDefault="00000AB8" w:rsidP="00183CFA">
            <w:pPr>
              <w:tabs>
                <w:tab w:val="left" w:pos="709"/>
              </w:tabs>
              <w:spacing w:before="60" w:after="60" w:line="240" w:lineRule="auto"/>
              <w:rPr>
                <w:rFonts w:ascii="Arial" w:hAnsi="Arial" w:cs="Arial"/>
                <w:sz w:val="16"/>
                <w:szCs w:val="16"/>
              </w:rPr>
            </w:pPr>
            <w:r w:rsidRPr="00000AB8">
              <w:rPr>
                <w:rFonts w:ascii="Arial" w:hAnsi="Arial" w:cs="Arial"/>
                <w:sz w:val="16"/>
                <w:szCs w:val="16"/>
              </w:rPr>
              <w:t>2021-22</w:t>
            </w:r>
            <w:r w:rsidR="00F0167C">
              <w:rPr>
                <w:rFonts w:ascii="Arial" w:hAnsi="Arial" w:cs="Arial"/>
                <w:sz w:val="16"/>
                <w:szCs w:val="16"/>
              </w:rPr>
              <w:t xml:space="preserve"> (continued)</w:t>
            </w:r>
          </w:p>
        </w:tc>
        <w:tc>
          <w:tcPr>
            <w:tcW w:w="2288" w:type="dxa"/>
            <w:tcBorders>
              <w:top w:val="single" w:sz="4" w:space="0" w:color="auto"/>
              <w:left w:val="single" w:sz="4" w:space="0" w:color="auto"/>
              <w:right w:val="single" w:sz="4" w:space="0" w:color="auto"/>
            </w:tcBorders>
          </w:tcPr>
          <w:p w14:paraId="2239E1CC" w14:textId="77777777" w:rsidR="00F0167C" w:rsidRPr="00102932" w:rsidRDefault="00F0167C" w:rsidP="00183CFA">
            <w:pPr>
              <w:autoSpaceDE w:val="0"/>
              <w:autoSpaceDN w:val="0"/>
              <w:adjustRightInd w:val="0"/>
              <w:spacing w:before="60" w:after="60" w:line="240" w:lineRule="auto"/>
              <w:rPr>
                <w:rFonts w:ascii="Arial" w:hAnsi="Arial" w:cs="Arial"/>
                <w:sz w:val="16"/>
                <w:szCs w:val="16"/>
              </w:rPr>
            </w:pPr>
          </w:p>
        </w:tc>
        <w:tc>
          <w:tcPr>
            <w:tcW w:w="4093" w:type="dxa"/>
            <w:tcBorders>
              <w:top w:val="single" w:sz="4" w:space="0" w:color="auto"/>
              <w:left w:val="single" w:sz="4" w:space="0" w:color="auto"/>
            </w:tcBorders>
          </w:tcPr>
          <w:p w14:paraId="5C9EA485" w14:textId="1E6BB790" w:rsidR="0064681A" w:rsidRDefault="0064681A" w:rsidP="00C8474A">
            <w:pPr>
              <w:pStyle w:val="ListParagraph"/>
              <w:numPr>
                <w:ilvl w:val="0"/>
                <w:numId w:val="58"/>
              </w:numPr>
              <w:autoSpaceDE w:val="0"/>
              <w:autoSpaceDN w:val="0"/>
              <w:adjustRightInd w:val="0"/>
              <w:spacing w:before="60" w:after="60" w:line="240" w:lineRule="auto"/>
              <w:ind w:left="527" w:hanging="357"/>
              <w:contextualSpacing w:val="0"/>
              <w:rPr>
                <w:rFonts w:ascii="Arial" w:hAnsi="Arial" w:cs="Arial"/>
                <w:sz w:val="16"/>
                <w:szCs w:val="16"/>
              </w:rPr>
            </w:pPr>
            <w:r>
              <w:rPr>
                <w:rFonts w:ascii="Arial" w:hAnsi="Arial" w:cs="Arial"/>
                <w:sz w:val="16"/>
                <w:szCs w:val="16"/>
              </w:rPr>
              <w:t>O</w:t>
            </w:r>
            <w:r w:rsidRPr="00E42FCE">
              <w:rPr>
                <w:rFonts w:ascii="Arial" w:hAnsi="Arial" w:cs="Arial"/>
                <w:sz w:val="16"/>
                <w:szCs w:val="16"/>
              </w:rPr>
              <w:t xml:space="preserve">ne meeting of the World Trade Organization (WTO) Committee on Government Procurement, as well as various bilateral and </w:t>
            </w:r>
            <w:proofErr w:type="spellStart"/>
            <w:r w:rsidRPr="00E42FCE">
              <w:rPr>
                <w:rFonts w:ascii="Arial" w:hAnsi="Arial" w:cs="Arial"/>
                <w:sz w:val="16"/>
                <w:szCs w:val="16"/>
              </w:rPr>
              <w:t>plurilateral</w:t>
            </w:r>
            <w:proofErr w:type="spellEnd"/>
            <w:r w:rsidRPr="00E42FCE">
              <w:rPr>
                <w:rFonts w:ascii="Arial" w:hAnsi="Arial" w:cs="Arial"/>
                <w:sz w:val="16"/>
                <w:szCs w:val="16"/>
              </w:rPr>
              <w:t xml:space="preserve"> meetings to support the work of the WTO Agreement on Government Procurement, including meetings at the WTO, Geneva.</w:t>
            </w:r>
          </w:p>
          <w:p w14:paraId="3A3EE7D0" w14:textId="562A222A" w:rsidR="00000AB8" w:rsidRPr="00E42FCE" w:rsidRDefault="0064681A" w:rsidP="00C8474A">
            <w:pPr>
              <w:pStyle w:val="ListParagraph"/>
              <w:numPr>
                <w:ilvl w:val="0"/>
                <w:numId w:val="58"/>
              </w:numPr>
              <w:autoSpaceDE w:val="0"/>
              <w:autoSpaceDN w:val="0"/>
              <w:adjustRightInd w:val="0"/>
              <w:spacing w:before="60" w:after="60" w:line="240" w:lineRule="auto"/>
              <w:ind w:left="527" w:hanging="357"/>
              <w:contextualSpacing w:val="0"/>
              <w:rPr>
                <w:rFonts w:ascii="Arial" w:hAnsi="Arial" w:cs="Arial"/>
                <w:sz w:val="16"/>
                <w:szCs w:val="16"/>
              </w:rPr>
            </w:pPr>
            <w:r>
              <w:rPr>
                <w:rFonts w:ascii="Arial" w:hAnsi="Arial" w:cs="Arial"/>
                <w:sz w:val="16"/>
                <w:szCs w:val="16"/>
              </w:rPr>
              <w:t>V</w:t>
            </w:r>
            <w:r w:rsidR="00000AB8" w:rsidRPr="00E42FCE">
              <w:rPr>
                <w:rFonts w:ascii="Arial" w:hAnsi="Arial" w:cs="Arial"/>
                <w:sz w:val="16"/>
                <w:szCs w:val="16"/>
              </w:rPr>
              <w:t xml:space="preserve">arious bilateral and </w:t>
            </w:r>
            <w:proofErr w:type="spellStart"/>
            <w:r w:rsidR="00000AB8" w:rsidRPr="00E42FCE">
              <w:rPr>
                <w:rFonts w:ascii="Arial" w:hAnsi="Arial" w:cs="Arial"/>
                <w:sz w:val="16"/>
                <w:szCs w:val="16"/>
              </w:rPr>
              <w:t>plurilateral</w:t>
            </w:r>
            <w:proofErr w:type="spellEnd"/>
            <w:r w:rsidR="00000AB8" w:rsidRPr="00E42FCE">
              <w:rPr>
                <w:rFonts w:ascii="Arial" w:hAnsi="Arial" w:cs="Arial"/>
                <w:sz w:val="16"/>
                <w:szCs w:val="16"/>
              </w:rPr>
              <w:t xml:space="preserve"> meetings with Parties to the Comprehensive and Progressive Agreement for Trans-Pacific Partnership regarding the United Kingdom’s proposed accession to the agreement, including one meeting of the working group in Sydney</w:t>
            </w:r>
            <w:r>
              <w:rPr>
                <w:rFonts w:ascii="Arial" w:hAnsi="Arial" w:cs="Arial"/>
                <w:sz w:val="16"/>
                <w:szCs w:val="16"/>
              </w:rPr>
              <w:t>.</w:t>
            </w:r>
          </w:p>
          <w:p w14:paraId="1A4FDBE0" w14:textId="604FD48D" w:rsidR="00000AB8" w:rsidRPr="00E42FCE" w:rsidRDefault="0064681A" w:rsidP="00C8474A">
            <w:pPr>
              <w:pStyle w:val="ListParagraph"/>
              <w:numPr>
                <w:ilvl w:val="0"/>
                <w:numId w:val="58"/>
              </w:numPr>
              <w:autoSpaceDE w:val="0"/>
              <w:autoSpaceDN w:val="0"/>
              <w:adjustRightInd w:val="0"/>
              <w:spacing w:before="60" w:after="60" w:line="240" w:lineRule="auto"/>
              <w:ind w:left="527" w:hanging="357"/>
              <w:contextualSpacing w:val="0"/>
              <w:rPr>
                <w:rFonts w:ascii="Arial" w:hAnsi="Arial" w:cs="Arial"/>
                <w:sz w:val="16"/>
                <w:szCs w:val="16"/>
              </w:rPr>
            </w:pPr>
            <w:r>
              <w:rPr>
                <w:rFonts w:ascii="Arial" w:hAnsi="Arial" w:cs="Arial"/>
                <w:sz w:val="16"/>
                <w:szCs w:val="16"/>
              </w:rPr>
              <w:t>O</w:t>
            </w:r>
            <w:r w:rsidR="00000AB8" w:rsidRPr="00E42FCE">
              <w:rPr>
                <w:rFonts w:ascii="Arial" w:hAnsi="Arial" w:cs="Arial"/>
                <w:sz w:val="16"/>
                <w:szCs w:val="16"/>
              </w:rPr>
              <w:t>ne negotiation round for the Australia-European Union FTA</w:t>
            </w:r>
            <w:r>
              <w:rPr>
                <w:rFonts w:ascii="Arial" w:hAnsi="Arial" w:cs="Arial"/>
                <w:sz w:val="16"/>
                <w:szCs w:val="16"/>
              </w:rPr>
              <w:t>.</w:t>
            </w:r>
          </w:p>
          <w:p w14:paraId="04B2D487" w14:textId="6E87854D" w:rsidR="00000AB8" w:rsidRPr="00E42FCE" w:rsidRDefault="0064681A" w:rsidP="00C8474A">
            <w:pPr>
              <w:pStyle w:val="ListParagraph"/>
              <w:numPr>
                <w:ilvl w:val="0"/>
                <w:numId w:val="58"/>
              </w:numPr>
              <w:autoSpaceDE w:val="0"/>
              <w:autoSpaceDN w:val="0"/>
              <w:adjustRightInd w:val="0"/>
              <w:spacing w:before="60" w:after="60" w:line="240" w:lineRule="auto"/>
              <w:ind w:left="527" w:hanging="357"/>
              <w:contextualSpacing w:val="0"/>
              <w:rPr>
                <w:rFonts w:ascii="Arial" w:hAnsi="Arial" w:cs="Arial"/>
                <w:sz w:val="16"/>
                <w:szCs w:val="16"/>
              </w:rPr>
            </w:pPr>
            <w:r>
              <w:rPr>
                <w:rFonts w:ascii="Arial" w:hAnsi="Arial" w:cs="Arial"/>
                <w:sz w:val="16"/>
                <w:szCs w:val="16"/>
              </w:rPr>
              <w:t>Three</w:t>
            </w:r>
            <w:r w:rsidR="00000AB8" w:rsidRPr="00E42FCE">
              <w:rPr>
                <w:rFonts w:ascii="Arial" w:hAnsi="Arial" w:cs="Arial"/>
                <w:sz w:val="16"/>
                <w:szCs w:val="16"/>
              </w:rPr>
              <w:t xml:space="preserve"> meetings with the Singapore Government regarding the development of a Singapore-Australia Green Economy Agreement</w:t>
            </w:r>
            <w:r>
              <w:rPr>
                <w:rFonts w:ascii="Arial" w:hAnsi="Arial" w:cs="Arial"/>
                <w:sz w:val="16"/>
                <w:szCs w:val="16"/>
              </w:rPr>
              <w:t>.</w:t>
            </w:r>
          </w:p>
          <w:p w14:paraId="5B9002B4" w14:textId="3C9D3E7F" w:rsidR="00000AB8" w:rsidRPr="00E42FCE" w:rsidRDefault="0064681A" w:rsidP="00C8474A">
            <w:pPr>
              <w:pStyle w:val="ListParagraph"/>
              <w:numPr>
                <w:ilvl w:val="0"/>
                <w:numId w:val="58"/>
              </w:numPr>
              <w:autoSpaceDE w:val="0"/>
              <w:autoSpaceDN w:val="0"/>
              <w:adjustRightInd w:val="0"/>
              <w:spacing w:before="60" w:after="60" w:line="240" w:lineRule="auto"/>
              <w:ind w:left="527" w:hanging="357"/>
              <w:contextualSpacing w:val="0"/>
              <w:rPr>
                <w:rFonts w:ascii="Arial" w:hAnsi="Arial" w:cs="Arial"/>
                <w:sz w:val="16"/>
                <w:szCs w:val="16"/>
              </w:rPr>
            </w:pPr>
            <w:r>
              <w:rPr>
                <w:rFonts w:ascii="Arial" w:hAnsi="Arial" w:cs="Arial"/>
                <w:sz w:val="16"/>
                <w:szCs w:val="16"/>
              </w:rPr>
              <w:t>M</w:t>
            </w:r>
            <w:r w:rsidR="00000AB8" w:rsidRPr="00E42FCE">
              <w:rPr>
                <w:rFonts w:ascii="Arial" w:hAnsi="Arial" w:cs="Arial"/>
                <w:sz w:val="16"/>
                <w:szCs w:val="16"/>
              </w:rPr>
              <w:t>eetings and knowledge sharing events held by the Asia-Pacific Economic Cooperation forum, the OECD and the ASEAN Secretariat</w:t>
            </w:r>
            <w:r>
              <w:rPr>
                <w:rFonts w:ascii="Arial" w:hAnsi="Arial" w:cs="Arial"/>
                <w:sz w:val="16"/>
                <w:szCs w:val="16"/>
              </w:rPr>
              <w:t>.</w:t>
            </w:r>
          </w:p>
          <w:p w14:paraId="3EC48E0E" w14:textId="52DF86E9" w:rsidR="00000AB8" w:rsidRPr="00E42FCE" w:rsidRDefault="0064681A" w:rsidP="00C8474A">
            <w:pPr>
              <w:pStyle w:val="ListParagraph"/>
              <w:numPr>
                <w:ilvl w:val="0"/>
                <w:numId w:val="58"/>
              </w:numPr>
              <w:autoSpaceDE w:val="0"/>
              <w:autoSpaceDN w:val="0"/>
              <w:adjustRightInd w:val="0"/>
              <w:spacing w:before="60" w:after="60" w:line="240" w:lineRule="auto"/>
              <w:ind w:left="527" w:hanging="357"/>
              <w:contextualSpacing w:val="0"/>
              <w:rPr>
                <w:rFonts w:ascii="Arial" w:hAnsi="Arial" w:cs="Arial"/>
                <w:sz w:val="16"/>
                <w:szCs w:val="16"/>
              </w:rPr>
            </w:pPr>
            <w:r>
              <w:rPr>
                <w:rFonts w:ascii="Arial" w:hAnsi="Arial" w:cs="Arial"/>
                <w:sz w:val="16"/>
                <w:szCs w:val="16"/>
              </w:rPr>
              <w:t>V</w:t>
            </w:r>
            <w:r w:rsidR="00000AB8" w:rsidRPr="00E42FCE">
              <w:rPr>
                <w:rFonts w:ascii="Arial" w:hAnsi="Arial" w:cs="Arial"/>
                <w:sz w:val="16"/>
                <w:szCs w:val="16"/>
              </w:rPr>
              <w:t>arious bilateral meetings with trade partners to support work on government procurement across numerous agreements, and with states and territories for outreach purposes and to advance work required for compliance with international obligations.</w:t>
            </w:r>
          </w:p>
          <w:p w14:paraId="59C691EA" w14:textId="76C91919" w:rsidR="00DD399E" w:rsidRPr="00000AB8" w:rsidRDefault="00000AB8" w:rsidP="0064681A">
            <w:pPr>
              <w:autoSpaceDE w:val="0"/>
              <w:autoSpaceDN w:val="0"/>
              <w:adjustRightInd w:val="0"/>
              <w:spacing w:before="60" w:after="60" w:line="240" w:lineRule="auto"/>
              <w:rPr>
                <w:rFonts w:ascii="Arial" w:hAnsi="Arial" w:cs="Arial"/>
                <w:sz w:val="16"/>
                <w:szCs w:val="16"/>
              </w:rPr>
            </w:pPr>
            <w:r w:rsidRPr="00000AB8">
              <w:rPr>
                <w:rFonts w:ascii="Arial" w:hAnsi="Arial" w:cs="Arial"/>
                <w:sz w:val="16"/>
                <w:szCs w:val="16"/>
              </w:rPr>
              <w:t>With the first and second phases of the Management Advisory Services Panel, Finance achieved an average reduction in cost of 22% when compared t</w:t>
            </w:r>
            <w:r w:rsidR="00DD399E">
              <w:rPr>
                <w:rFonts w:ascii="Arial" w:hAnsi="Arial" w:cs="Arial"/>
                <w:sz w:val="16"/>
                <w:szCs w:val="16"/>
              </w:rPr>
              <w:t xml:space="preserve">o existing Panel arrangements. </w:t>
            </w:r>
          </w:p>
          <w:p w14:paraId="2239E1CF" w14:textId="22BC599F" w:rsidR="00F0167C" w:rsidRPr="00000AB8" w:rsidRDefault="00000AB8" w:rsidP="0064681A">
            <w:pPr>
              <w:pStyle w:val="TableTextBase"/>
              <w:spacing w:before="60" w:after="60"/>
            </w:pPr>
            <w:r w:rsidRPr="00000AB8">
              <w:rPr>
                <w:rFonts w:cs="Arial"/>
                <w:szCs w:val="16"/>
              </w:rPr>
              <w:t>QBT and the Fleet Management cont</w:t>
            </w:r>
            <w:r w:rsidR="0064681A">
              <w:rPr>
                <w:rFonts w:cs="Arial"/>
                <w:szCs w:val="16"/>
              </w:rPr>
              <w:t>racts were extended during 2021-</w:t>
            </w:r>
            <w:r w:rsidRPr="00000AB8">
              <w:rPr>
                <w:rFonts w:cs="Arial"/>
                <w:szCs w:val="16"/>
              </w:rPr>
              <w:t>22, with analysis demonstrating that value for money continues to be achieved.</w:t>
            </w:r>
          </w:p>
        </w:tc>
      </w:tr>
    </w:tbl>
    <w:p w14:paraId="2341E104" w14:textId="77777777" w:rsidR="00000AB8" w:rsidRDefault="00000AB8" w:rsidP="00853030">
      <w:pPr>
        <w:pStyle w:val="TableHeading"/>
        <w:spacing w:before="30" w:after="0"/>
        <w:rPr>
          <w:b w:val="0"/>
          <w:color w:val="000000"/>
          <w:sz w:val="16"/>
          <w:lang w:val="x-none" w:eastAsia="x-none"/>
        </w:rPr>
      </w:pPr>
      <w:r>
        <w:rPr>
          <w:b w:val="0"/>
          <w:color w:val="000000"/>
          <w:sz w:val="16"/>
          <w:lang w:val="x-none" w:eastAsia="x-none"/>
        </w:rPr>
        <w:t>Table continues on next page</w:t>
      </w:r>
      <w:r>
        <w:rPr>
          <w:b w:val="0"/>
          <w:color w:val="000000"/>
          <w:sz w:val="16"/>
          <w:lang w:val="x-none" w:eastAsia="x-none"/>
        </w:rPr>
        <w:br w:type="page"/>
      </w:r>
    </w:p>
    <w:p w14:paraId="5EC57576" w14:textId="77777777" w:rsidR="00B22252" w:rsidRDefault="00F0167C" w:rsidP="00000AB8">
      <w:pPr>
        <w:pStyle w:val="TableHeading"/>
        <w:spacing w:before="0" w:after="0"/>
        <w:ind w:right="-113"/>
      </w:pPr>
      <w:r>
        <w:lastRenderedPageBreak/>
        <w:t>Table 2.2.2</w:t>
      </w:r>
      <w:r w:rsidRPr="00F71634">
        <w:t xml:space="preserve">: Performance </w:t>
      </w:r>
      <w:r w:rsidRPr="00026D37">
        <w:t>measure</w:t>
      </w:r>
      <w:r w:rsidRPr="00F71634">
        <w:t xml:space="preserve"> </w:t>
      </w:r>
      <w:r>
        <w:t>for Outcome 2 (continued)</w:t>
      </w:r>
    </w:p>
    <w:tbl>
      <w:tblPr>
        <w:tblW w:w="7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288"/>
        <w:gridCol w:w="4093"/>
      </w:tblGrid>
      <w:tr w:rsidR="00B22252" w:rsidRPr="00000AB8" w14:paraId="248F8859" w14:textId="77777777" w:rsidTr="00DD399E">
        <w:trPr>
          <w:trHeight w:val="309"/>
        </w:trPr>
        <w:tc>
          <w:tcPr>
            <w:tcW w:w="7795" w:type="dxa"/>
            <w:gridSpan w:val="3"/>
            <w:tcBorders>
              <w:top w:val="single" w:sz="4" w:space="0" w:color="auto"/>
              <w:left w:val="single" w:sz="4" w:space="0" w:color="auto"/>
              <w:bottom w:val="single" w:sz="4" w:space="0" w:color="auto"/>
              <w:right w:val="single" w:sz="4" w:space="0" w:color="auto"/>
            </w:tcBorders>
            <w:shd w:val="clear" w:color="auto" w:fill="F2F2F2"/>
          </w:tcPr>
          <w:p w14:paraId="58380609" w14:textId="77777777" w:rsidR="00B22252" w:rsidRPr="00000AB8" w:rsidRDefault="00B22252" w:rsidP="00DD399E">
            <w:pPr>
              <w:tabs>
                <w:tab w:val="left" w:pos="709"/>
              </w:tabs>
              <w:spacing w:before="60" w:after="60" w:line="240" w:lineRule="auto"/>
              <w:rPr>
                <w:rFonts w:ascii="Arial" w:hAnsi="Arial"/>
                <w:b/>
                <w:sz w:val="16"/>
                <w:szCs w:val="16"/>
              </w:rPr>
            </w:pPr>
            <w:r w:rsidRPr="00000AB8">
              <w:rPr>
                <w:rFonts w:ascii="Arial" w:hAnsi="Arial"/>
                <w:b/>
                <w:sz w:val="16"/>
                <w:szCs w:val="16"/>
              </w:rPr>
              <w:t>Program 2.5- Technology and Procurement</w:t>
            </w:r>
          </w:p>
          <w:p w14:paraId="784C5CC2" w14:textId="77777777" w:rsidR="00B22252" w:rsidRPr="00000AB8" w:rsidRDefault="00B22252" w:rsidP="00DD399E">
            <w:pPr>
              <w:tabs>
                <w:tab w:val="left" w:pos="709"/>
              </w:tabs>
              <w:spacing w:before="60" w:after="60" w:line="240" w:lineRule="auto"/>
              <w:rPr>
                <w:rFonts w:ascii="Arial" w:hAnsi="Arial" w:cs="Arial"/>
                <w:sz w:val="16"/>
                <w:szCs w:val="16"/>
              </w:rPr>
            </w:pPr>
            <w:r w:rsidRPr="00000AB8">
              <w:rPr>
                <w:rFonts w:ascii="Arial" w:hAnsi="Arial"/>
                <w:sz w:val="16"/>
                <w:szCs w:val="16"/>
              </w:rPr>
              <w:t xml:space="preserve">This program contributes to the outcome through providing timely and relevant procurement policy advice; providing advice to the Government on advertising; establishing and maintaining </w:t>
            </w:r>
            <w:proofErr w:type="spellStart"/>
            <w:r w:rsidRPr="00000AB8">
              <w:rPr>
                <w:rFonts w:ascii="Arial" w:hAnsi="Arial"/>
                <w:sz w:val="16"/>
                <w:szCs w:val="16"/>
              </w:rPr>
              <w:t>WoAG</w:t>
            </w:r>
            <w:proofErr w:type="spellEnd"/>
            <w:r w:rsidRPr="00000AB8">
              <w:rPr>
                <w:rFonts w:ascii="Arial" w:hAnsi="Arial"/>
                <w:sz w:val="16"/>
                <w:szCs w:val="16"/>
              </w:rPr>
              <w:t xml:space="preserve"> procurement arrangements for common goods and services; and establishing, developing and maintaining </w:t>
            </w:r>
            <w:proofErr w:type="spellStart"/>
            <w:r w:rsidRPr="00000AB8">
              <w:rPr>
                <w:rFonts w:ascii="Arial" w:hAnsi="Arial"/>
                <w:sz w:val="16"/>
                <w:szCs w:val="16"/>
              </w:rPr>
              <w:t>WoAG</w:t>
            </w:r>
            <w:proofErr w:type="spellEnd"/>
            <w:r w:rsidRPr="00000AB8">
              <w:rPr>
                <w:rFonts w:ascii="Arial" w:hAnsi="Arial"/>
                <w:sz w:val="16"/>
                <w:szCs w:val="16"/>
              </w:rPr>
              <w:t xml:space="preserve"> and cross-entity ICT infrastructure, platforms, systems and services.</w:t>
            </w:r>
          </w:p>
        </w:tc>
      </w:tr>
      <w:tr w:rsidR="00B22252" w:rsidRPr="008636BF" w14:paraId="093F436E" w14:textId="77777777" w:rsidTr="00DD399E">
        <w:trPr>
          <w:trHeight w:val="309"/>
        </w:trPr>
        <w:tc>
          <w:tcPr>
            <w:tcW w:w="1414" w:type="dxa"/>
            <w:tcBorders>
              <w:top w:val="single" w:sz="4" w:space="0" w:color="auto"/>
              <w:bottom w:val="dotted" w:sz="4" w:space="0" w:color="auto"/>
              <w:right w:val="single" w:sz="4" w:space="0" w:color="auto"/>
            </w:tcBorders>
          </w:tcPr>
          <w:p w14:paraId="316E7A33" w14:textId="77777777" w:rsidR="00B22252" w:rsidRPr="008636BF" w:rsidRDefault="00B22252" w:rsidP="00DD399E">
            <w:pPr>
              <w:tabs>
                <w:tab w:val="left" w:pos="709"/>
              </w:tabs>
              <w:spacing w:before="60" w:after="60" w:line="240" w:lineRule="auto"/>
              <w:rPr>
                <w:rFonts w:ascii="Arial" w:hAnsi="Arial" w:cs="Arial"/>
                <w:sz w:val="16"/>
                <w:szCs w:val="16"/>
              </w:rPr>
            </w:pPr>
            <w:r w:rsidRPr="008636BF">
              <w:rPr>
                <w:rFonts w:ascii="Arial" w:hAnsi="Arial" w:cs="Arial"/>
                <w:b/>
                <w:sz w:val="16"/>
                <w:szCs w:val="16"/>
              </w:rPr>
              <w:t>Year</w:t>
            </w:r>
          </w:p>
        </w:tc>
        <w:tc>
          <w:tcPr>
            <w:tcW w:w="2288" w:type="dxa"/>
            <w:tcBorders>
              <w:top w:val="single" w:sz="4" w:space="0" w:color="auto"/>
              <w:left w:val="single" w:sz="4" w:space="0" w:color="auto"/>
              <w:bottom w:val="dotted" w:sz="4" w:space="0" w:color="auto"/>
              <w:right w:val="single" w:sz="4" w:space="0" w:color="auto"/>
            </w:tcBorders>
          </w:tcPr>
          <w:p w14:paraId="7652D562" w14:textId="77777777" w:rsidR="00B22252" w:rsidRPr="008636BF" w:rsidRDefault="00B22252" w:rsidP="00DD399E">
            <w:pPr>
              <w:tabs>
                <w:tab w:val="left" w:pos="709"/>
              </w:tabs>
              <w:spacing w:before="60" w:after="60" w:line="240" w:lineRule="auto"/>
              <w:rPr>
                <w:rFonts w:ascii="Arial" w:hAnsi="Arial" w:cs="Arial"/>
                <w:sz w:val="16"/>
                <w:szCs w:val="16"/>
              </w:rPr>
            </w:pPr>
            <w:r w:rsidRPr="008636BF">
              <w:rPr>
                <w:rFonts w:ascii="Arial" w:hAnsi="Arial" w:cs="Arial"/>
                <w:b/>
                <w:sz w:val="16"/>
                <w:szCs w:val="16"/>
              </w:rPr>
              <w:t xml:space="preserve">Performance measures </w:t>
            </w:r>
          </w:p>
        </w:tc>
        <w:tc>
          <w:tcPr>
            <w:tcW w:w="4093" w:type="dxa"/>
            <w:tcBorders>
              <w:top w:val="single" w:sz="4" w:space="0" w:color="auto"/>
              <w:left w:val="single" w:sz="4" w:space="0" w:color="auto"/>
              <w:bottom w:val="dotted" w:sz="4" w:space="0" w:color="auto"/>
            </w:tcBorders>
          </w:tcPr>
          <w:p w14:paraId="62D10F27" w14:textId="77777777" w:rsidR="00B22252" w:rsidRPr="008636BF" w:rsidRDefault="00B22252" w:rsidP="00DD399E">
            <w:pPr>
              <w:tabs>
                <w:tab w:val="left" w:pos="709"/>
              </w:tabs>
              <w:spacing w:before="60" w:after="60" w:line="240" w:lineRule="auto"/>
              <w:rPr>
                <w:rFonts w:ascii="Arial" w:hAnsi="Arial" w:cs="Arial"/>
                <w:i/>
                <w:color w:val="0070C0"/>
                <w:sz w:val="16"/>
                <w:szCs w:val="16"/>
              </w:rPr>
            </w:pPr>
            <w:r w:rsidRPr="008636BF">
              <w:rPr>
                <w:rFonts w:ascii="Arial" w:hAnsi="Arial" w:cs="Arial"/>
                <w:b/>
                <w:sz w:val="16"/>
                <w:szCs w:val="16"/>
              </w:rPr>
              <w:t>Planned Performance Results</w:t>
            </w:r>
          </w:p>
        </w:tc>
      </w:tr>
      <w:tr w:rsidR="00B22252" w:rsidRPr="008636BF" w14:paraId="50191357" w14:textId="77777777" w:rsidTr="00DD399E">
        <w:trPr>
          <w:trHeight w:val="2318"/>
        </w:trPr>
        <w:tc>
          <w:tcPr>
            <w:tcW w:w="1414" w:type="dxa"/>
            <w:tcBorders>
              <w:top w:val="single" w:sz="4" w:space="0" w:color="auto"/>
              <w:bottom w:val="dotted" w:sz="4" w:space="0" w:color="auto"/>
              <w:right w:val="single" w:sz="4" w:space="0" w:color="auto"/>
            </w:tcBorders>
          </w:tcPr>
          <w:p w14:paraId="7D573E4C" w14:textId="77777777" w:rsidR="0064681A" w:rsidRDefault="0064681A" w:rsidP="00DD399E">
            <w:pPr>
              <w:tabs>
                <w:tab w:val="left" w:pos="709"/>
              </w:tabs>
              <w:spacing w:before="60" w:after="60" w:line="240" w:lineRule="auto"/>
              <w:rPr>
                <w:rFonts w:ascii="Arial" w:hAnsi="Arial" w:cs="Arial"/>
                <w:sz w:val="16"/>
                <w:szCs w:val="16"/>
              </w:rPr>
            </w:pPr>
            <w:r>
              <w:rPr>
                <w:rFonts w:ascii="Arial" w:hAnsi="Arial" w:cs="Arial"/>
                <w:sz w:val="16"/>
                <w:szCs w:val="16"/>
              </w:rPr>
              <w:t>Budget Year</w:t>
            </w:r>
          </w:p>
          <w:p w14:paraId="5B0A9AE4" w14:textId="292B4DDF" w:rsidR="00B22252" w:rsidRPr="008636BF" w:rsidRDefault="00B22252" w:rsidP="00DD399E">
            <w:pPr>
              <w:tabs>
                <w:tab w:val="left" w:pos="709"/>
              </w:tabs>
              <w:spacing w:before="60" w:after="60" w:line="240" w:lineRule="auto"/>
              <w:rPr>
                <w:rFonts w:ascii="Arial" w:hAnsi="Arial" w:cs="Arial"/>
                <w:sz w:val="16"/>
                <w:szCs w:val="16"/>
              </w:rPr>
            </w:pPr>
            <w:r w:rsidRPr="008636BF">
              <w:rPr>
                <w:rFonts w:ascii="Arial" w:hAnsi="Arial" w:cs="Arial"/>
                <w:sz w:val="16"/>
                <w:szCs w:val="16"/>
              </w:rPr>
              <w:t>2022-23</w:t>
            </w:r>
          </w:p>
        </w:tc>
        <w:tc>
          <w:tcPr>
            <w:tcW w:w="2288" w:type="dxa"/>
            <w:tcBorders>
              <w:top w:val="single" w:sz="4" w:space="0" w:color="auto"/>
              <w:left w:val="single" w:sz="4" w:space="0" w:color="auto"/>
              <w:bottom w:val="dotted" w:sz="4" w:space="0" w:color="auto"/>
              <w:right w:val="single" w:sz="4" w:space="0" w:color="auto"/>
            </w:tcBorders>
          </w:tcPr>
          <w:p w14:paraId="40E5050E" w14:textId="77777777" w:rsidR="00B22252" w:rsidRPr="006F0EA1" w:rsidRDefault="00B22252" w:rsidP="00DD399E">
            <w:pPr>
              <w:tabs>
                <w:tab w:val="left" w:pos="709"/>
              </w:tabs>
              <w:autoSpaceDE w:val="0"/>
              <w:autoSpaceDN w:val="0"/>
              <w:spacing w:before="60" w:after="60" w:line="240" w:lineRule="auto"/>
              <w:rPr>
                <w:rFonts w:ascii="Arial" w:eastAsia="Arial" w:hAnsi="Arial" w:cs="Arial"/>
                <w:b/>
                <w:sz w:val="16"/>
                <w:szCs w:val="16"/>
              </w:rPr>
            </w:pPr>
            <w:r w:rsidRPr="006F0EA1">
              <w:rPr>
                <w:rFonts w:ascii="Arial" w:eastAsia="Arial" w:hAnsi="Arial" w:cs="Arial"/>
                <w:b/>
                <w:sz w:val="16"/>
                <w:szCs w:val="16"/>
              </w:rPr>
              <w:t>Stewardship over procurement systems and policies</w:t>
            </w:r>
          </w:p>
          <w:p w14:paraId="2CFFB6F7" w14:textId="1467EFA1" w:rsidR="00B22252" w:rsidRPr="006F0EA1" w:rsidRDefault="00B22252" w:rsidP="00DD399E">
            <w:pPr>
              <w:tabs>
                <w:tab w:val="left" w:pos="709"/>
              </w:tabs>
              <w:autoSpaceDE w:val="0"/>
              <w:autoSpaceDN w:val="0"/>
              <w:spacing w:before="60" w:after="60" w:line="240" w:lineRule="auto"/>
              <w:rPr>
                <w:rFonts w:ascii="Arial" w:eastAsia="Arial" w:hAnsi="Arial" w:cs="Arial"/>
                <w:sz w:val="16"/>
                <w:szCs w:val="16"/>
              </w:rPr>
            </w:pPr>
            <w:r w:rsidRPr="006F0EA1">
              <w:rPr>
                <w:rFonts w:ascii="Arial" w:eastAsia="Arial" w:hAnsi="Arial" w:cs="Arial"/>
                <w:sz w:val="16"/>
                <w:szCs w:val="16"/>
              </w:rPr>
              <w:t>Finance works with external stakeholders to provide stewardship over systems and policies to support a fair, efficient, and transparent procurement framework</w:t>
            </w:r>
            <w:r w:rsidR="00F70EA1">
              <w:rPr>
                <w:rFonts w:ascii="Arial" w:eastAsia="Arial" w:hAnsi="Arial" w:cs="Arial"/>
                <w:sz w:val="16"/>
                <w:szCs w:val="16"/>
              </w:rPr>
              <w:t xml:space="preserve">, and to implement and maintain </w:t>
            </w:r>
            <w:proofErr w:type="spellStart"/>
            <w:r w:rsidR="00F70EA1">
              <w:rPr>
                <w:rFonts w:ascii="Arial" w:eastAsia="Arial" w:hAnsi="Arial" w:cs="Arial"/>
                <w:sz w:val="16"/>
                <w:szCs w:val="16"/>
              </w:rPr>
              <w:t>WoAG</w:t>
            </w:r>
            <w:proofErr w:type="spellEnd"/>
            <w:r w:rsidR="00F70EA1">
              <w:rPr>
                <w:rFonts w:ascii="Arial" w:eastAsia="Arial" w:hAnsi="Arial" w:cs="Arial"/>
                <w:sz w:val="16"/>
                <w:szCs w:val="16"/>
              </w:rPr>
              <w:t xml:space="preserve"> </w:t>
            </w:r>
            <w:r w:rsidRPr="006F0EA1">
              <w:rPr>
                <w:rFonts w:ascii="Arial" w:eastAsia="Arial" w:hAnsi="Arial" w:cs="Arial"/>
                <w:sz w:val="16"/>
                <w:szCs w:val="16"/>
              </w:rPr>
              <w:t>procurement arrangements for non-ICT services (e.g. travel bookings, stationary and management advisory services) to generate price savings and operating efficiencies.</w:t>
            </w:r>
          </w:p>
        </w:tc>
        <w:tc>
          <w:tcPr>
            <w:tcW w:w="4093" w:type="dxa"/>
            <w:tcBorders>
              <w:top w:val="single" w:sz="4" w:space="0" w:color="auto"/>
              <w:left w:val="single" w:sz="4" w:space="0" w:color="auto"/>
              <w:bottom w:val="dotted" w:sz="4" w:space="0" w:color="auto"/>
            </w:tcBorders>
          </w:tcPr>
          <w:p w14:paraId="1A52FBC1" w14:textId="6A5616DF" w:rsidR="00DD399E" w:rsidRPr="006F0EA1" w:rsidRDefault="00B22252" w:rsidP="00DD399E">
            <w:pPr>
              <w:tabs>
                <w:tab w:val="left" w:pos="709"/>
              </w:tabs>
              <w:autoSpaceDE w:val="0"/>
              <w:autoSpaceDN w:val="0"/>
              <w:spacing w:before="60" w:after="60" w:line="240" w:lineRule="auto"/>
              <w:rPr>
                <w:rFonts w:ascii="Arial" w:eastAsia="Arial" w:hAnsi="Arial" w:cs="Arial"/>
                <w:sz w:val="16"/>
                <w:szCs w:val="16"/>
              </w:rPr>
            </w:pPr>
            <w:r w:rsidRPr="006F0EA1">
              <w:rPr>
                <w:rFonts w:ascii="Arial" w:eastAsia="Arial" w:hAnsi="Arial" w:cs="Arial"/>
                <w:sz w:val="16"/>
                <w:szCs w:val="16"/>
              </w:rPr>
              <w:t>Finance’s stewardship, policy advice, engagement and guidance on procurement systems and polices are effective, targeting 30 outreach sessions held per year and 98% of enquiries respon</w:t>
            </w:r>
            <w:r w:rsidR="0064681A">
              <w:rPr>
                <w:rFonts w:ascii="Arial" w:eastAsia="Arial" w:hAnsi="Arial" w:cs="Arial"/>
                <w:sz w:val="16"/>
                <w:szCs w:val="16"/>
              </w:rPr>
              <w:t>ded to within three</w:t>
            </w:r>
            <w:r w:rsidR="00DD399E">
              <w:rPr>
                <w:rFonts w:ascii="Arial" w:eastAsia="Arial" w:hAnsi="Arial" w:cs="Arial"/>
                <w:sz w:val="16"/>
                <w:szCs w:val="16"/>
              </w:rPr>
              <w:t xml:space="preserve"> business days. </w:t>
            </w:r>
          </w:p>
          <w:p w14:paraId="76661359" w14:textId="29F5BB5D" w:rsidR="00B22252" w:rsidRDefault="00B22252" w:rsidP="00DD399E">
            <w:pPr>
              <w:tabs>
                <w:tab w:val="left" w:pos="709"/>
              </w:tabs>
              <w:autoSpaceDE w:val="0"/>
              <w:autoSpaceDN w:val="0"/>
              <w:spacing w:before="60" w:after="60" w:line="240" w:lineRule="auto"/>
              <w:rPr>
                <w:rFonts w:ascii="Arial" w:eastAsia="Arial" w:hAnsi="Arial" w:cs="Arial"/>
                <w:sz w:val="16"/>
                <w:szCs w:val="16"/>
              </w:rPr>
            </w:pPr>
            <w:proofErr w:type="spellStart"/>
            <w:r w:rsidRPr="006F0EA1">
              <w:rPr>
                <w:rFonts w:ascii="Arial" w:eastAsia="Arial" w:hAnsi="Arial" w:cs="Arial"/>
                <w:sz w:val="16"/>
                <w:szCs w:val="16"/>
              </w:rPr>
              <w:t>AusTender</w:t>
            </w:r>
            <w:proofErr w:type="spellEnd"/>
            <w:r w:rsidRPr="006F0EA1">
              <w:rPr>
                <w:rFonts w:ascii="Arial" w:eastAsia="Arial" w:hAnsi="Arial" w:cs="Arial"/>
                <w:sz w:val="16"/>
                <w:szCs w:val="16"/>
              </w:rPr>
              <w:t xml:space="preserve"> platform and data are availab</w:t>
            </w:r>
            <w:r w:rsidR="00DD399E">
              <w:rPr>
                <w:rFonts w:ascii="Arial" w:eastAsia="Arial" w:hAnsi="Arial" w:cs="Arial"/>
                <w:sz w:val="16"/>
                <w:szCs w:val="16"/>
              </w:rPr>
              <w:t xml:space="preserve">le to users 99.5% of the time. </w:t>
            </w:r>
          </w:p>
          <w:p w14:paraId="45012C9A" w14:textId="77777777" w:rsidR="00B22252" w:rsidRPr="006F0EA1" w:rsidRDefault="00B22252" w:rsidP="00DD399E">
            <w:pPr>
              <w:tabs>
                <w:tab w:val="left" w:pos="709"/>
              </w:tabs>
              <w:autoSpaceDE w:val="0"/>
              <w:autoSpaceDN w:val="0"/>
              <w:spacing w:before="60" w:after="60" w:line="240" w:lineRule="auto"/>
              <w:rPr>
                <w:rFonts w:ascii="Arial" w:eastAsia="Arial" w:hAnsi="Arial" w:cs="Arial"/>
                <w:sz w:val="16"/>
                <w:szCs w:val="16"/>
              </w:rPr>
            </w:pPr>
            <w:r w:rsidRPr="006F0EA1">
              <w:rPr>
                <w:rFonts w:ascii="Arial" w:eastAsia="Arial" w:hAnsi="Arial" w:cs="Arial"/>
                <w:sz w:val="16"/>
                <w:szCs w:val="16"/>
              </w:rPr>
              <w:t xml:space="preserve">Engagement with domestic and international stakeholders supports information exchange on advancements in procurement policy. </w:t>
            </w:r>
          </w:p>
          <w:p w14:paraId="2A4C6706" w14:textId="77AA1EF9" w:rsidR="00B22252" w:rsidRPr="008636BF" w:rsidRDefault="00B22252" w:rsidP="00DD399E">
            <w:pPr>
              <w:autoSpaceDE w:val="0"/>
              <w:autoSpaceDN w:val="0"/>
              <w:spacing w:before="60" w:after="60" w:line="240" w:lineRule="auto"/>
              <w:rPr>
                <w:rFonts w:ascii="Arial" w:eastAsia="Arial" w:hAnsi="Arial" w:cs="Arial"/>
                <w:sz w:val="16"/>
                <w:szCs w:val="16"/>
              </w:rPr>
            </w:pPr>
            <w:r w:rsidRPr="006F0EA1">
              <w:rPr>
                <w:rFonts w:ascii="Arial" w:eastAsia="Arial" w:hAnsi="Arial" w:cs="Arial"/>
                <w:sz w:val="16"/>
                <w:szCs w:val="16"/>
              </w:rPr>
              <w:t xml:space="preserve">Savings and efficiencies from </w:t>
            </w:r>
            <w:proofErr w:type="spellStart"/>
            <w:r w:rsidRPr="006F0EA1">
              <w:rPr>
                <w:rFonts w:ascii="Arial" w:eastAsia="Arial" w:hAnsi="Arial" w:cs="Arial"/>
                <w:sz w:val="16"/>
                <w:szCs w:val="16"/>
              </w:rPr>
              <w:t>WoAG</w:t>
            </w:r>
            <w:proofErr w:type="spellEnd"/>
            <w:r w:rsidRPr="006F0EA1">
              <w:rPr>
                <w:rFonts w:ascii="Arial" w:eastAsia="Arial" w:hAnsi="Arial" w:cs="Arial"/>
                <w:sz w:val="16"/>
                <w:szCs w:val="16"/>
              </w:rPr>
              <w:t xml:space="preserve"> arrangements are compared, where possible, against similar arrangements, previous arrangements or markets.</w:t>
            </w:r>
          </w:p>
        </w:tc>
      </w:tr>
      <w:tr w:rsidR="00B22252" w:rsidRPr="00BB5846" w14:paraId="51C8780C" w14:textId="77777777" w:rsidTr="00DD399E">
        <w:trPr>
          <w:trHeight w:val="281"/>
        </w:trPr>
        <w:tc>
          <w:tcPr>
            <w:tcW w:w="1414" w:type="dxa"/>
            <w:tcBorders>
              <w:top w:val="dotted" w:sz="4" w:space="0" w:color="auto"/>
              <w:left w:val="single" w:sz="4" w:space="0" w:color="auto"/>
              <w:bottom w:val="single" w:sz="4" w:space="0" w:color="auto"/>
              <w:right w:val="single" w:sz="4" w:space="0" w:color="auto"/>
            </w:tcBorders>
          </w:tcPr>
          <w:p w14:paraId="35D5B0C2" w14:textId="77777777" w:rsidR="0064681A" w:rsidRDefault="00B22252" w:rsidP="0064681A">
            <w:pPr>
              <w:tabs>
                <w:tab w:val="left" w:pos="709"/>
              </w:tabs>
              <w:spacing w:before="60" w:after="60" w:line="240" w:lineRule="auto"/>
              <w:rPr>
                <w:rFonts w:ascii="Arial" w:hAnsi="Arial" w:cs="Arial"/>
                <w:sz w:val="16"/>
                <w:szCs w:val="16"/>
              </w:rPr>
            </w:pPr>
            <w:r w:rsidRPr="00BB5846">
              <w:rPr>
                <w:rFonts w:ascii="Arial" w:hAnsi="Arial" w:cs="Arial"/>
                <w:sz w:val="16"/>
                <w:szCs w:val="16"/>
              </w:rPr>
              <w:t xml:space="preserve">Forward Estimates </w:t>
            </w:r>
          </w:p>
          <w:p w14:paraId="6D07D95A" w14:textId="5B465FCA" w:rsidR="00B22252" w:rsidRPr="00BB5846" w:rsidRDefault="00B22252" w:rsidP="0064681A">
            <w:pPr>
              <w:tabs>
                <w:tab w:val="left" w:pos="709"/>
              </w:tabs>
              <w:spacing w:before="60" w:after="60" w:line="240" w:lineRule="auto"/>
              <w:rPr>
                <w:rFonts w:ascii="Arial" w:hAnsi="Arial" w:cs="Arial"/>
                <w:sz w:val="16"/>
                <w:szCs w:val="16"/>
              </w:rPr>
            </w:pPr>
            <w:r>
              <w:rPr>
                <w:rFonts w:ascii="Arial" w:hAnsi="Arial" w:cs="Arial"/>
                <w:sz w:val="16"/>
                <w:szCs w:val="16"/>
              </w:rPr>
              <w:t>2</w:t>
            </w:r>
            <w:r w:rsidRPr="00BB5846">
              <w:rPr>
                <w:rFonts w:ascii="Arial" w:hAnsi="Arial" w:cs="Arial"/>
                <w:sz w:val="16"/>
                <w:szCs w:val="16"/>
              </w:rPr>
              <w:t>023-26</w:t>
            </w:r>
          </w:p>
        </w:tc>
        <w:tc>
          <w:tcPr>
            <w:tcW w:w="2288" w:type="dxa"/>
            <w:tcBorders>
              <w:top w:val="dotted" w:sz="4" w:space="0" w:color="auto"/>
              <w:left w:val="single" w:sz="4" w:space="0" w:color="auto"/>
              <w:bottom w:val="single" w:sz="4" w:space="0" w:color="auto"/>
              <w:right w:val="single" w:sz="4" w:space="0" w:color="auto"/>
            </w:tcBorders>
          </w:tcPr>
          <w:p w14:paraId="612A4F59" w14:textId="77777777" w:rsidR="00B22252" w:rsidRPr="00BB5846" w:rsidRDefault="00B22252" w:rsidP="00DD399E">
            <w:pPr>
              <w:tabs>
                <w:tab w:val="left" w:pos="709"/>
              </w:tabs>
              <w:suppressAutoHyphens/>
              <w:spacing w:before="60" w:after="60" w:line="240" w:lineRule="auto"/>
              <w:rPr>
                <w:rFonts w:ascii="Arial" w:eastAsia="Arial" w:hAnsi="Arial" w:cs="Arial"/>
                <w:sz w:val="16"/>
                <w:szCs w:val="16"/>
              </w:rPr>
            </w:pPr>
            <w:r>
              <w:rPr>
                <w:rFonts w:ascii="Arial" w:eastAsia="Arial" w:hAnsi="Arial" w:cs="Arial"/>
                <w:sz w:val="16"/>
                <w:szCs w:val="16"/>
              </w:rPr>
              <w:t>As per 2022-23</w:t>
            </w:r>
          </w:p>
        </w:tc>
        <w:tc>
          <w:tcPr>
            <w:tcW w:w="4093" w:type="dxa"/>
            <w:tcBorders>
              <w:top w:val="dotted" w:sz="4" w:space="0" w:color="auto"/>
              <w:left w:val="single" w:sz="4" w:space="0" w:color="auto"/>
              <w:bottom w:val="single" w:sz="4" w:space="0" w:color="auto"/>
              <w:right w:val="single" w:sz="4" w:space="0" w:color="auto"/>
            </w:tcBorders>
          </w:tcPr>
          <w:p w14:paraId="2F32FAB3" w14:textId="77777777" w:rsidR="00B22252" w:rsidRPr="00BB5846" w:rsidRDefault="00B22252" w:rsidP="00DD399E">
            <w:pPr>
              <w:tabs>
                <w:tab w:val="left" w:pos="709"/>
              </w:tabs>
              <w:suppressAutoHyphens/>
              <w:spacing w:before="60" w:after="60" w:line="240" w:lineRule="auto"/>
              <w:rPr>
                <w:rFonts w:ascii="Arial" w:eastAsia="Arial" w:hAnsi="Arial" w:cs="Arial"/>
                <w:sz w:val="16"/>
                <w:szCs w:val="16"/>
              </w:rPr>
            </w:pPr>
            <w:r>
              <w:rPr>
                <w:rFonts w:ascii="Arial" w:eastAsia="Arial" w:hAnsi="Arial" w:cs="Arial"/>
                <w:sz w:val="16"/>
                <w:szCs w:val="16"/>
              </w:rPr>
              <w:t>As per 2022-23</w:t>
            </w:r>
          </w:p>
        </w:tc>
      </w:tr>
      <w:tr w:rsidR="00B22252" w:rsidRPr="00D61BE4" w14:paraId="5C846B20" w14:textId="77777777" w:rsidTr="00DD399E">
        <w:trPr>
          <w:trHeight w:val="291"/>
        </w:trPr>
        <w:tc>
          <w:tcPr>
            <w:tcW w:w="7795" w:type="dxa"/>
            <w:gridSpan w:val="3"/>
            <w:tcBorders>
              <w:top w:val="single" w:sz="4" w:space="0" w:color="auto"/>
              <w:left w:val="single" w:sz="4" w:space="0" w:color="auto"/>
              <w:bottom w:val="single" w:sz="4" w:space="0" w:color="auto"/>
              <w:right w:val="single" w:sz="4" w:space="0" w:color="auto"/>
            </w:tcBorders>
          </w:tcPr>
          <w:p w14:paraId="12B24818" w14:textId="5788DF03" w:rsidR="00B22252" w:rsidRPr="00D61BE4" w:rsidRDefault="00B22252" w:rsidP="00DD399E">
            <w:pPr>
              <w:tabs>
                <w:tab w:val="left" w:pos="709"/>
              </w:tabs>
              <w:spacing w:before="60" w:after="60" w:line="240" w:lineRule="auto"/>
              <w:rPr>
                <w:rFonts w:ascii="Arial" w:eastAsia="Cambria" w:hAnsi="Arial" w:cs="Arial"/>
                <w:bCs/>
                <w:iCs/>
                <w:color w:val="0070C0"/>
                <w:spacing w:val="-6"/>
                <w:sz w:val="16"/>
                <w:szCs w:val="16"/>
              </w:rPr>
            </w:pPr>
            <w:r w:rsidRPr="006F0EA1">
              <w:rPr>
                <w:rFonts w:ascii="Arial" w:hAnsi="Arial" w:cs="Arial"/>
                <w:sz w:val="16"/>
                <w:szCs w:val="16"/>
              </w:rPr>
              <w:t>Material changes to Program 2.5 resulting from Octob</w:t>
            </w:r>
            <w:r w:rsidR="009D6102">
              <w:rPr>
                <w:rFonts w:ascii="Arial" w:hAnsi="Arial" w:cs="Arial"/>
                <w:sz w:val="16"/>
                <w:szCs w:val="16"/>
              </w:rPr>
              <w:t>er 2022-23 Budget Measures: Nil</w:t>
            </w:r>
          </w:p>
        </w:tc>
      </w:tr>
    </w:tbl>
    <w:p w14:paraId="71E81A30" w14:textId="77777777" w:rsidR="00B22252" w:rsidRDefault="00B22252" w:rsidP="00B22252">
      <w:pPr>
        <w:pStyle w:val="TableHeading"/>
        <w:spacing w:before="0" w:after="0"/>
        <w:ind w:right="-113"/>
        <w:rPr>
          <w:b w:val="0"/>
          <w:color w:val="000000"/>
          <w:sz w:val="16"/>
          <w:lang w:val="x-none" w:eastAsia="x-none"/>
        </w:rPr>
      </w:pPr>
      <w:r>
        <w:rPr>
          <w:b w:val="0"/>
          <w:color w:val="000000"/>
          <w:sz w:val="16"/>
          <w:lang w:val="x-none" w:eastAsia="x-none"/>
        </w:rPr>
        <w:br w:type="page"/>
      </w:r>
    </w:p>
    <w:p w14:paraId="03AC41C2" w14:textId="003AFC27" w:rsidR="00000AB8" w:rsidRPr="00B22252" w:rsidRDefault="00B22252" w:rsidP="00B22252">
      <w:pPr>
        <w:pStyle w:val="TableHeading"/>
        <w:spacing w:before="0" w:after="0"/>
        <w:ind w:right="-113"/>
        <w:rPr>
          <w:b w:val="0"/>
          <w:color w:val="000000"/>
          <w:sz w:val="16"/>
          <w:lang w:val="x-none" w:eastAsia="x-none"/>
        </w:rPr>
      </w:pPr>
      <w:r>
        <w:lastRenderedPageBreak/>
        <w:t>Table 2.2.2</w:t>
      </w:r>
      <w:r w:rsidRPr="00F71634">
        <w:t xml:space="preserve">: Performance </w:t>
      </w:r>
      <w:r w:rsidRPr="00026D37">
        <w:t>measure</w:t>
      </w:r>
      <w:r w:rsidRPr="00F71634">
        <w:t xml:space="preserve"> </w:t>
      </w:r>
      <w:r>
        <w:t>for Outcome 2 (continued)</w:t>
      </w:r>
    </w:p>
    <w:tbl>
      <w:tblPr>
        <w:tblW w:w="7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248"/>
        <w:gridCol w:w="4129"/>
      </w:tblGrid>
      <w:tr w:rsidR="00F0167C" w:rsidRPr="00361E69" w14:paraId="2239E1EE" w14:textId="77777777" w:rsidTr="00EB0624">
        <w:trPr>
          <w:trHeight w:val="527"/>
          <w:tblHeader/>
        </w:trPr>
        <w:tc>
          <w:tcPr>
            <w:tcW w:w="7795" w:type="dxa"/>
            <w:gridSpan w:val="3"/>
            <w:shd w:val="clear" w:color="auto" w:fill="F2F2F2"/>
          </w:tcPr>
          <w:p w14:paraId="2638559B" w14:textId="77777777" w:rsidR="00226614" w:rsidRPr="00226614" w:rsidRDefault="00226614" w:rsidP="00EB0624">
            <w:pPr>
              <w:tabs>
                <w:tab w:val="left" w:pos="709"/>
              </w:tabs>
              <w:spacing w:before="60" w:after="60" w:line="240" w:lineRule="auto"/>
              <w:rPr>
                <w:rFonts w:ascii="Arial" w:hAnsi="Arial" w:cs="Arial"/>
                <w:b/>
                <w:bCs/>
                <w:sz w:val="16"/>
                <w:szCs w:val="16"/>
              </w:rPr>
            </w:pPr>
            <w:r w:rsidRPr="00226614">
              <w:rPr>
                <w:rFonts w:ascii="Arial" w:hAnsi="Arial" w:cs="Arial"/>
                <w:b/>
                <w:bCs/>
                <w:sz w:val="16"/>
                <w:szCs w:val="16"/>
              </w:rPr>
              <w:t>Program 2.6 – Service Delivery Office</w:t>
            </w:r>
          </w:p>
          <w:p w14:paraId="2239E1ED" w14:textId="5A38D78D" w:rsidR="00F0167C" w:rsidRPr="00226614" w:rsidRDefault="00226614" w:rsidP="00EB0624">
            <w:pPr>
              <w:tabs>
                <w:tab w:val="left" w:pos="709"/>
              </w:tabs>
              <w:spacing w:before="60" w:after="60" w:line="240" w:lineRule="auto"/>
              <w:rPr>
                <w:rFonts w:ascii="Arial" w:hAnsi="Arial" w:cs="Arial"/>
                <w:sz w:val="16"/>
                <w:szCs w:val="16"/>
              </w:rPr>
            </w:pPr>
            <w:r w:rsidRPr="00226614">
              <w:rPr>
                <w:rFonts w:ascii="Arial" w:hAnsi="Arial" w:cs="Arial"/>
                <w:bCs/>
                <w:sz w:val="16"/>
                <w:szCs w:val="16"/>
              </w:rPr>
              <w:t>This program contributes to the outcome through providing a range of corporate services to Australian Government entities.</w:t>
            </w:r>
          </w:p>
        </w:tc>
      </w:tr>
      <w:tr w:rsidR="00F0167C" w:rsidRPr="000738F4" w14:paraId="2239E1F2" w14:textId="77777777" w:rsidTr="00EB0624">
        <w:trPr>
          <w:trHeight w:val="694"/>
        </w:trPr>
        <w:tc>
          <w:tcPr>
            <w:tcW w:w="1418" w:type="dxa"/>
            <w:tcBorders>
              <w:bottom w:val="double" w:sz="4" w:space="0" w:color="auto"/>
            </w:tcBorders>
          </w:tcPr>
          <w:p w14:paraId="2239E1EF" w14:textId="54910447" w:rsidR="00F0167C" w:rsidRPr="00225631" w:rsidRDefault="00F0167C" w:rsidP="00EB0624">
            <w:pPr>
              <w:tabs>
                <w:tab w:val="left" w:pos="709"/>
              </w:tabs>
              <w:spacing w:before="60" w:after="60" w:line="240" w:lineRule="auto"/>
              <w:rPr>
                <w:rFonts w:ascii="Arial" w:hAnsi="Arial" w:cs="Arial"/>
                <w:b/>
                <w:bCs/>
                <w:sz w:val="16"/>
                <w:szCs w:val="16"/>
              </w:rPr>
            </w:pPr>
            <w:r w:rsidRPr="00225631">
              <w:rPr>
                <w:rFonts w:ascii="Arial" w:hAnsi="Arial" w:cs="Arial"/>
                <w:b/>
                <w:bCs/>
                <w:sz w:val="16"/>
                <w:szCs w:val="16"/>
              </w:rPr>
              <w:t>Key Activities</w:t>
            </w:r>
          </w:p>
        </w:tc>
        <w:tc>
          <w:tcPr>
            <w:tcW w:w="6377" w:type="dxa"/>
            <w:gridSpan w:val="2"/>
            <w:tcBorders>
              <w:bottom w:val="double" w:sz="4" w:space="0" w:color="auto"/>
            </w:tcBorders>
          </w:tcPr>
          <w:p w14:paraId="64A57661" w14:textId="77777777" w:rsidR="00226614" w:rsidRPr="00226614" w:rsidRDefault="00226614" w:rsidP="00EB0624">
            <w:pPr>
              <w:tabs>
                <w:tab w:val="left" w:pos="709"/>
              </w:tabs>
              <w:spacing w:before="60" w:after="60" w:line="240" w:lineRule="auto"/>
              <w:rPr>
                <w:rFonts w:ascii="Arial" w:hAnsi="Arial" w:cs="Arial"/>
                <w:b/>
                <w:bCs/>
                <w:sz w:val="16"/>
                <w:szCs w:val="16"/>
              </w:rPr>
            </w:pPr>
            <w:r w:rsidRPr="00226614">
              <w:rPr>
                <w:rFonts w:ascii="Arial" w:hAnsi="Arial" w:cs="Arial"/>
                <w:b/>
                <w:bCs/>
                <w:sz w:val="16"/>
                <w:szCs w:val="16"/>
              </w:rPr>
              <w:t>Transform Commonwealth entities through shared services</w:t>
            </w:r>
          </w:p>
          <w:p w14:paraId="2239E1F1" w14:textId="3ABB4D97" w:rsidR="00F0167C" w:rsidRPr="00226614" w:rsidRDefault="00226614" w:rsidP="00EB0624">
            <w:pPr>
              <w:tabs>
                <w:tab w:val="left" w:pos="709"/>
              </w:tabs>
              <w:spacing w:before="60" w:after="60" w:line="240" w:lineRule="auto"/>
              <w:rPr>
                <w:rFonts w:ascii="Arial" w:hAnsi="Arial" w:cs="Arial"/>
                <w:i/>
                <w:iCs/>
                <w:sz w:val="16"/>
                <w:szCs w:val="16"/>
              </w:rPr>
            </w:pPr>
            <w:r w:rsidRPr="00226614">
              <w:rPr>
                <w:rFonts w:ascii="Arial" w:hAnsi="Arial" w:cs="Arial"/>
                <w:bCs/>
                <w:sz w:val="16"/>
                <w:szCs w:val="16"/>
              </w:rPr>
              <w:t>Support the transformation of Commonwealth entities through policy development and delivery of shared technologies and standardised processes to increase the effectiveness and efficiency of organisational management.</w:t>
            </w:r>
          </w:p>
        </w:tc>
      </w:tr>
      <w:tr w:rsidR="00F0167C" w:rsidRPr="00361E69" w14:paraId="2239E1F6" w14:textId="77777777" w:rsidTr="00EB0624">
        <w:trPr>
          <w:trHeight w:val="312"/>
        </w:trPr>
        <w:tc>
          <w:tcPr>
            <w:tcW w:w="1418" w:type="dxa"/>
            <w:tcBorders>
              <w:top w:val="double" w:sz="4" w:space="0" w:color="auto"/>
              <w:bottom w:val="single" w:sz="4" w:space="0" w:color="auto"/>
              <w:right w:val="single" w:sz="4" w:space="0" w:color="auto"/>
            </w:tcBorders>
          </w:tcPr>
          <w:p w14:paraId="2239E1F3" w14:textId="77777777" w:rsidR="00F0167C" w:rsidRPr="00361E69" w:rsidRDefault="00F0167C" w:rsidP="00EB0624">
            <w:pPr>
              <w:tabs>
                <w:tab w:val="left" w:pos="709"/>
              </w:tabs>
              <w:spacing w:before="60" w:after="60" w:line="240" w:lineRule="auto"/>
              <w:rPr>
                <w:rFonts w:ascii="Arial" w:hAnsi="Arial" w:cs="Arial"/>
                <w:b/>
                <w:bCs/>
                <w:sz w:val="16"/>
                <w:szCs w:val="16"/>
              </w:rPr>
            </w:pPr>
            <w:r w:rsidRPr="70B0D103">
              <w:rPr>
                <w:rFonts w:ascii="Arial" w:hAnsi="Arial" w:cs="Arial"/>
                <w:b/>
                <w:bCs/>
                <w:sz w:val="16"/>
                <w:szCs w:val="16"/>
              </w:rPr>
              <w:t>Year</w:t>
            </w:r>
          </w:p>
        </w:tc>
        <w:tc>
          <w:tcPr>
            <w:tcW w:w="2248" w:type="dxa"/>
            <w:tcBorders>
              <w:top w:val="double" w:sz="4" w:space="0" w:color="auto"/>
              <w:left w:val="single" w:sz="4" w:space="0" w:color="auto"/>
              <w:bottom w:val="single" w:sz="4" w:space="0" w:color="auto"/>
              <w:right w:val="single" w:sz="4" w:space="0" w:color="auto"/>
            </w:tcBorders>
          </w:tcPr>
          <w:p w14:paraId="2239E1F4" w14:textId="77777777" w:rsidR="00F0167C" w:rsidRPr="00361E69" w:rsidRDefault="00F0167C" w:rsidP="00EB0624">
            <w:pPr>
              <w:tabs>
                <w:tab w:val="left" w:pos="709"/>
                <w:tab w:val="center" w:pos="1818"/>
              </w:tabs>
              <w:spacing w:before="60" w:after="60" w:line="240" w:lineRule="auto"/>
              <w:rPr>
                <w:rFonts w:ascii="Arial" w:hAnsi="Arial" w:cs="Arial"/>
                <w:b/>
                <w:bCs/>
                <w:sz w:val="16"/>
                <w:szCs w:val="16"/>
              </w:rPr>
            </w:pPr>
            <w:r w:rsidRPr="70B0D103">
              <w:rPr>
                <w:rFonts w:ascii="Arial" w:hAnsi="Arial" w:cs="Arial"/>
                <w:b/>
                <w:bCs/>
                <w:sz w:val="16"/>
                <w:szCs w:val="16"/>
              </w:rPr>
              <w:t>Performance measures</w:t>
            </w:r>
          </w:p>
        </w:tc>
        <w:tc>
          <w:tcPr>
            <w:tcW w:w="4129" w:type="dxa"/>
            <w:tcBorders>
              <w:top w:val="double" w:sz="4" w:space="0" w:color="auto"/>
              <w:left w:val="single" w:sz="4" w:space="0" w:color="auto"/>
              <w:bottom w:val="single" w:sz="4" w:space="0" w:color="auto"/>
            </w:tcBorders>
          </w:tcPr>
          <w:p w14:paraId="2239E1F5" w14:textId="77777777" w:rsidR="00F0167C" w:rsidRPr="00361E69" w:rsidRDefault="00F0167C" w:rsidP="00EB0624">
            <w:pPr>
              <w:tabs>
                <w:tab w:val="left" w:pos="709"/>
              </w:tabs>
              <w:spacing w:before="60" w:after="60" w:line="240" w:lineRule="auto"/>
              <w:rPr>
                <w:rFonts w:ascii="Arial" w:hAnsi="Arial" w:cs="Arial"/>
                <w:b/>
                <w:bCs/>
                <w:sz w:val="16"/>
                <w:szCs w:val="16"/>
              </w:rPr>
            </w:pPr>
            <w:r w:rsidRPr="70B0D103">
              <w:rPr>
                <w:rFonts w:ascii="Arial" w:hAnsi="Arial" w:cs="Arial"/>
                <w:b/>
                <w:bCs/>
                <w:sz w:val="16"/>
                <w:szCs w:val="16"/>
              </w:rPr>
              <w:t>Expected Performance Results</w:t>
            </w:r>
          </w:p>
        </w:tc>
      </w:tr>
      <w:tr w:rsidR="00F0167C" w:rsidRPr="00C92882" w14:paraId="2239E205" w14:textId="77777777" w:rsidTr="00EB0624">
        <w:trPr>
          <w:trHeight w:val="4297"/>
        </w:trPr>
        <w:tc>
          <w:tcPr>
            <w:tcW w:w="1418" w:type="dxa"/>
            <w:tcBorders>
              <w:top w:val="single" w:sz="4" w:space="0" w:color="auto"/>
              <w:right w:val="single" w:sz="4" w:space="0" w:color="auto"/>
            </w:tcBorders>
          </w:tcPr>
          <w:p w14:paraId="0D1DB03D" w14:textId="7C379059" w:rsidR="00226614" w:rsidRPr="00226614" w:rsidRDefault="0064681A" w:rsidP="00EB0624">
            <w:pPr>
              <w:tabs>
                <w:tab w:val="left" w:pos="709"/>
              </w:tabs>
              <w:spacing w:before="60" w:after="60" w:line="240" w:lineRule="auto"/>
              <w:rPr>
                <w:rFonts w:ascii="Arial" w:hAnsi="Arial" w:cs="Arial"/>
                <w:sz w:val="16"/>
                <w:szCs w:val="16"/>
              </w:rPr>
            </w:pPr>
            <w:r>
              <w:rPr>
                <w:rFonts w:ascii="Arial" w:hAnsi="Arial" w:cs="Arial"/>
                <w:sz w:val="16"/>
                <w:szCs w:val="16"/>
              </w:rPr>
              <w:t>Prior year</w:t>
            </w:r>
          </w:p>
          <w:p w14:paraId="2239E1F7" w14:textId="4639B00A" w:rsidR="00F0167C" w:rsidRPr="00C92882" w:rsidRDefault="002E1E57" w:rsidP="00EB0624">
            <w:pPr>
              <w:tabs>
                <w:tab w:val="left" w:pos="709"/>
              </w:tabs>
              <w:spacing w:before="60" w:after="60" w:line="240" w:lineRule="auto"/>
              <w:rPr>
                <w:rFonts w:ascii="Arial" w:hAnsi="Arial" w:cs="Arial"/>
                <w:sz w:val="16"/>
                <w:szCs w:val="16"/>
              </w:rPr>
            </w:pPr>
            <w:r>
              <w:rPr>
                <w:rFonts w:ascii="Arial" w:hAnsi="Arial" w:cs="Arial"/>
                <w:sz w:val="16"/>
                <w:szCs w:val="16"/>
              </w:rPr>
              <w:t>2021-22</w:t>
            </w:r>
          </w:p>
        </w:tc>
        <w:tc>
          <w:tcPr>
            <w:tcW w:w="2248" w:type="dxa"/>
            <w:tcBorders>
              <w:top w:val="single" w:sz="4" w:space="0" w:color="auto"/>
              <w:left w:val="single" w:sz="4" w:space="0" w:color="auto"/>
              <w:right w:val="single" w:sz="4" w:space="0" w:color="auto"/>
            </w:tcBorders>
          </w:tcPr>
          <w:p w14:paraId="11E4C16F" w14:textId="554FA4AB" w:rsidR="00226614" w:rsidRPr="00226614" w:rsidRDefault="00226614" w:rsidP="00EB0624">
            <w:pPr>
              <w:tabs>
                <w:tab w:val="left" w:pos="709"/>
              </w:tabs>
              <w:spacing w:before="60" w:after="60" w:line="240" w:lineRule="auto"/>
              <w:rPr>
                <w:rFonts w:ascii="Arial" w:hAnsi="Arial" w:cs="Arial"/>
                <w:b/>
                <w:bCs/>
                <w:sz w:val="16"/>
                <w:szCs w:val="16"/>
              </w:rPr>
            </w:pPr>
            <w:r w:rsidRPr="00226614">
              <w:rPr>
                <w:rFonts w:ascii="Arial" w:hAnsi="Arial" w:cs="Arial"/>
                <w:b/>
                <w:bCs/>
                <w:sz w:val="16"/>
                <w:szCs w:val="16"/>
              </w:rPr>
              <w:t xml:space="preserve">Shared </w:t>
            </w:r>
            <w:r w:rsidR="0064681A">
              <w:rPr>
                <w:rFonts w:ascii="Arial" w:hAnsi="Arial" w:cs="Arial"/>
                <w:b/>
                <w:bCs/>
                <w:sz w:val="16"/>
                <w:szCs w:val="16"/>
              </w:rPr>
              <w:t>S</w:t>
            </w:r>
            <w:r w:rsidRPr="00226614">
              <w:rPr>
                <w:rFonts w:ascii="Arial" w:hAnsi="Arial" w:cs="Arial"/>
                <w:b/>
                <w:bCs/>
                <w:sz w:val="16"/>
                <w:szCs w:val="16"/>
              </w:rPr>
              <w:t>ervices hub meets clients’ needs</w:t>
            </w:r>
          </w:p>
          <w:p w14:paraId="2239E1F9" w14:textId="0B2CFC5A" w:rsidR="00F0167C" w:rsidRPr="00226614" w:rsidRDefault="00226614" w:rsidP="00EB0624">
            <w:pPr>
              <w:tabs>
                <w:tab w:val="left" w:pos="709"/>
              </w:tabs>
              <w:spacing w:before="60" w:after="60" w:line="240" w:lineRule="auto"/>
              <w:rPr>
                <w:rFonts w:ascii="Arial" w:hAnsi="Arial" w:cs="Arial"/>
              </w:rPr>
            </w:pPr>
            <w:r w:rsidRPr="00226614">
              <w:rPr>
                <w:rFonts w:ascii="Arial" w:hAnsi="Arial" w:cs="Arial"/>
                <w:bCs/>
                <w:sz w:val="16"/>
                <w:szCs w:val="16"/>
              </w:rPr>
              <w:t xml:space="preserve">As a Shared Services hub, the </w:t>
            </w:r>
            <w:r w:rsidR="002E1E57">
              <w:rPr>
                <w:rFonts w:ascii="Arial" w:hAnsi="Arial" w:cs="Arial"/>
                <w:bCs/>
                <w:sz w:val="16"/>
                <w:szCs w:val="16"/>
              </w:rPr>
              <w:t>Service Delivery Office (</w:t>
            </w:r>
            <w:r w:rsidRPr="00226614">
              <w:rPr>
                <w:rFonts w:ascii="Arial" w:hAnsi="Arial" w:cs="Arial"/>
                <w:bCs/>
                <w:sz w:val="16"/>
                <w:szCs w:val="16"/>
              </w:rPr>
              <w:t>SDO</w:t>
            </w:r>
            <w:r w:rsidR="002E1E57">
              <w:rPr>
                <w:rFonts w:ascii="Arial" w:hAnsi="Arial" w:cs="Arial"/>
                <w:bCs/>
                <w:sz w:val="16"/>
                <w:szCs w:val="16"/>
              </w:rPr>
              <w:t>)</w:t>
            </w:r>
            <w:r w:rsidRPr="00226614">
              <w:rPr>
                <w:rFonts w:ascii="Arial" w:hAnsi="Arial" w:cs="Arial"/>
                <w:bCs/>
                <w:sz w:val="16"/>
                <w:szCs w:val="16"/>
              </w:rPr>
              <w:t xml:space="preserve"> provides quality and efficient services to client entities.</w:t>
            </w:r>
          </w:p>
        </w:tc>
        <w:tc>
          <w:tcPr>
            <w:tcW w:w="4129" w:type="dxa"/>
            <w:tcBorders>
              <w:top w:val="single" w:sz="4" w:space="0" w:color="auto"/>
              <w:left w:val="single" w:sz="4" w:space="0" w:color="auto"/>
            </w:tcBorders>
          </w:tcPr>
          <w:p w14:paraId="277D8F49" w14:textId="4661F34D" w:rsidR="00226614" w:rsidRPr="00226614" w:rsidRDefault="00226614" w:rsidP="00EB0624">
            <w:pPr>
              <w:autoSpaceDE w:val="0"/>
              <w:autoSpaceDN w:val="0"/>
              <w:spacing w:before="60" w:after="60" w:line="240" w:lineRule="auto"/>
              <w:rPr>
                <w:rFonts w:ascii="Arial" w:eastAsia="Calibri" w:hAnsi="Arial" w:cs="Arial"/>
                <w:b/>
                <w:sz w:val="16"/>
                <w:szCs w:val="16"/>
              </w:rPr>
            </w:pPr>
            <w:r w:rsidRPr="00226614">
              <w:rPr>
                <w:rFonts w:ascii="Arial" w:eastAsia="Calibri" w:hAnsi="Arial" w:cs="Arial"/>
                <w:b/>
                <w:sz w:val="16"/>
                <w:szCs w:val="16"/>
              </w:rPr>
              <w:t>Achieved</w:t>
            </w:r>
          </w:p>
          <w:p w14:paraId="16EEAE13" w14:textId="77777777" w:rsidR="00226614" w:rsidRPr="00226614" w:rsidRDefault="00226614" w:rsidP="0064681A">
            <w:pPr>
              <w:autoSpaceDE w:val="0"/>
              <w:autoSpaceDN w:val="0"/>
              <w:spacing w:before="60" w:after="60" w:line="240" w:lineRule="auto"/>
              <w:rPr>
                <w:rFonts w:ascii="Arial" w:eastAsia="Calibri" w:hAnsi="Arial" w:cs="Arial"/>
                <w:sz w:val="16"/>
                <w:szCs w:val="16"/>
              </w:rPr>
            </w:pPr>
            <w:r w:rsidRPr="00226614">
              <w:rPr>
                <w:rFonts w:ascii="Arial" w:eastAsia="Calibri" w:hAnsi="Arial" w:cs="Arial"/>
                <w:sz w:val="16"/>
                <w:szCs w:val="16"/>
              </w:rPr>
              <w:t>Results from the SDO client survey across 2021-22 found ‘positive’ or ‘very positive’ response of 60% across quality, timeliness, interaction and overall experience.</w:t>
            </w:r>
          </w:p>
          <w:p w14:paraId="5D98DE7A" w14:textId="77777777" w:rsidR="00226614" w:rsidRPr="00226614" w:rsidRDefault="00226614" w:rsidP="0064681A">
            <w:pPr>
              <w:autoSpaceDE w:val="0"/>
              <w:autoSpaceDN w:val="0"/>
              <w:spacing w:before="60" w:after="60" w:line="240" w:lineRule="auto"/>
              <w:rPr>
                <w:rFonts w:ascii="Arial" w:eastAsia="Calibri" w:hAnsi="Arial" w:cs="Arial"/>
                <w:sz w:val="16"/>
                <w:szCs w:val="16"/>
              </w:rPr>
            </w:pPr>
            <w:r w:rsidRPr="00226614">
              <w:rPr>
                <w:rFonts w:ascii="Arial" w:eastAsia="Calibri" w:hAnsi="Arial" w:cs="Arial"/>
                <w:sz w:val="16"/>
                <w:szCs w:val="16"/>
              </w:rPr>
              <w:t>As at 30 June 2022:</w:t>
            </w:r>
          </w:p>
          <w:p w14:paraId="4C9BC46A" w14:textId="66CEE42B" w:rsidR="00226614" w:rsidRPr="00AE7FB6" w:rsidRDefault="002E1E57" w:rsidP="00C8474A">
            <w:pPr>
              <w:pStyle w:val="ListParagraph"/>
              <w:numPr>
                <w:ilvl w:val="0"/>
                <w:numId w:val="58"/>
              </w:numPr>
              <w:autoSpaceDE w:val="0"/>
              <w:autoSpaceDN w:val="0"/>
              <w:adjustRightInd w:val="0"/>
              <w:spacing w:before="60" w:after="60" w:line="240" w:lineRule="auto"/>
              <w:ind w:left="527" w:hanging="357"/>
              <w:contextualSpacing w:val="0"/>
              <w:rPr>
                <w:rFonts w:ascii="Arial" w:hAnsi="Arial" w:cs="Arial"/>
                <w:sz w:val="16"/>
                <w:szCs w:val="16"/>
              </w:rPr>
            </w:pPr>
            <w:r>
              <w:rPr>
                <w:rFonts w:ascii="Arial" w:hAnsi="Arial" w:cs="Arial"/>
                <w:sz w:val="16"/>
                <w:szCs w:val="16"/>
              </w:rPr>
              <w:t>T</w:t>
            </w:r>
            <w:r w:rsidR="00226614" w:rsidRPr="00AE7FB6">
              <w:rPr>
                <w:rFonts w:ascii="Arial" w:hAnsi="Arial" w:cs="Arial"/>
                <w:sz w:val="16"/>
                <w:szCs w:val="16"/>
              </w:rPr>
              <w:t>he SDO service level outcomes were being met for accounts payable, accounts receivable, payroll administration, credit card management, travel and expense management and HUB availability</w:t>
            </w:r>
            <w:r>
              <w:rPr>
                <w:rFonts w:ascii="Arial" w:hAnsi="Arial" w:cs="Arial"/>
                <w:sz w:val="16"/>
                <w:szCs w:val="16"/>
              </w:rPr>
              <w:t>.</w:t>
            </w:r>
          </w:p>
          <w:p w14:paraId="0ECAE509" w14:textId="6F5E9039" w:rsidR="00226614" w:rsidRPr="00AE7FB6" w:rsidRDefault="002E1E57" w:rsidP="00C8474A">
            <w:pPr>
              <w:pStyle w:val="ListParagraph"/>
              <w:numPr>
                <w:ilvl w:val="0"/>
                <w:numId w:val="58"/>
              </w:numPr>
              <w:autoSpaceDE w:val="0"/>
              <w:autoSpaceDN w:val="0"/>
              <w:adjustRightInd w:val="0"/>
              <w:spacing w:before="60" w:after="60" w:line="240" w:lineRule="auto"/>
              <w:ind w:left="527" w:hanging="357"/>
              <w:contextualSpacing w:val="0"/>
              <w:rPr>
                <w:rFonts w:ascii="Arial" w:hAnsi="Arial" w:cs="Arial"/>
                <w:sz w:val="16"/>
                <w:szCs w:val="16"/>
              </w:rPr>
            </w:pPr>
            <w:r>
              <w:rPr>
                <w:rFonts w:ascii="Arial" w:hAnsi="Arial" w:cs="Arial"/>
                <w:sz w:val="16"/>
                <w:szCs w:val="16"/>
              </w:rPr>
              <w:t>N</w:t>
            </w:r>
            <w:r w:rsidR="00226614" w:rsidRPr="00AE7FB6">
              <w:rPr>
                <w:rFonts w:ascii="Arial" w:hAnsi="Arial" w:cs="Arial"/>
                <w:sz w:val="16"/>
                <w:szCs w:val="16"/>
              </w:rPr>
              <w:t>early 119,000 ti</w:t>
            </w:r>
            <w:r>
              <w:rPr>
                <w:rFonts w:ascii="Arial" w:hAnsi="Arial" w:cs="Arial"/>
                <w:sz w:val="16"/>
                <w:szCs w:val="16"/>
              </w:rPr>
              <w:t>ckets were resolved during 2021-</w:t>
            </w:r>
            <w:r w:rsidR="00226614" w:rsidRPr="00AE7FB6">
              <w:rPr>
                <w:rFonts w:ascii="Arial" w:hAnsi="Arial" w:cs="Arial"/>
                <w:sz w:val="16"/>
                <w:szCs w:val="16"/>
              </w:rPr>
              <w:t>22, with an average resolution time of 5.42 days</w:t>
            </w:r>
            <w:r>
              <w:rPr>
                <w:rFonts w:ascii="Arial" w:hAnsi="Arial" w:cs="Arial"/>
                <w:sz w:val="16"/>
                <w:szCs w:val="16"/>
              </w:rPr>
              <w:t>.</w:t>
            </w:r>
          </w:p>
          <w:p w14:paraId="18C14B89" w14:textId="37CBC32E" w:rsidR="00226614" w:rsidRPr="00AE7FB6" w:rsidRDefault="002E1E57" w:rsidP="00C8474A">
            <w:pPr>
              <w:pStyle w:val="ListParagraph"/>
              <w:numPr>
                <w:ilvl w:val="0"/>
                <w:numId w:val="58"/>
              </w:numPr>
              <w:autoSpaceDE w:val="0"/>
              <w:autoSpaceDN w:val="0"/>
              <w:adjustRightInd w:val="0"/>
              <w:spacing w:before="60" w:after="60" w:line="240" w:lineRule="auto"/>
              <w:ind w:left="527" w:hanging="357"/>
              <w:contextualSpacing w:val="0"/>
              <w:rPr>
                <w:rFonts w:ascii="Arial" w:hAnsi="Arial" w:cs="Arial"/>
                <w:sz w:val="16"/>
                <w:szCs w:val="16"/>
              </w:rPr>
            </w:pPr>
            <w:r>
              <w:rPr>
                <w:rFonts w:ascii="Arial" w:hAnsi="Arial" w:cs="Arial"/>
                <w:sz w:val="16"/>
                <w:szCs w:val="16"/>
              </w:rPr>
              <w:t>T</w:t>
            </w:r>
            <w:r w:rsidR="00226614" w:rsidRPr="00AE7FB6">
              <w:rPr>
                <w:rFonts w:ascii="Arial" w:hAnsi="Arial" w:cs="Arial"/>
                <w:sz w:val="16"/>
                <w:szCs w:val="16"/>
              </w:rPr>
              <w:t xml:space="preserve">here were 9,681 users of the SDO’s HUB solution, an 18% increase in the number of users of shared </w:t>
            </w:r>
            <w:r>
              <w:rPr>
                <w:rFonts w:ascii="Arial" w:hAnsi="Arial" w:cs="Arial"/>
                <w:sz w:val="16"/>
                <w:szCs w:val="16"/>
              </w:rPr>
              <w:t>Enterprise Resource Planning (</w:t>
            </w:r>
            <w:r w:rsidR="00226614" w:rsidRPr="00AE7FB6">
              <w:rPr>
                <w:rFonts w:ascii="Arial" w:hAnsi="Arial" w:cs="Arial"/>
                <w:sz w:val="16"/>
                <w:szCs w:val="16"/>
              </w:rPr>
              <w:t>ERP</w:t>
            </w:r>
            <w:r>
              <w:rPr>
                <w:rFonts w:ascii="Arial" w:hAnsi="Arial" w:cs="Arial"/>
                <w:sz w:val="16"/>
                <w:szCs w:val="16"/>
              </w:rPr>
              <w:t>)</w:t>
            </w:r>
            <w:r w:rsidR="00226614" w:rsidRPr="00AE7FB6">
              <w:rPr>
                <w:rFonts w:ascii="Arial" w:hAnsi="Arial" w:cs="Arial"/>
                <w:sz w:val="16"/>
                <w:szCs w:val="16"/>
              </w:rPr>
              <w:t xml:space="preserve"> systems</w:t>
            </w:r>
            <w:r>
              <w:rPr>
                <w:rFonts w:ascii="Arial" w:hAnsi="Arial" w:cs="Arial"/>
                <w:sz w:val="16"/>
                <w:szCs w:val="16"/>
              </w:rPr>
              <w:t>.</w:t>
            </w:r>
          </w:p>
          <w:p w14:paraId="4A7B8243" w14:textId="15C3185C" w:rsidR="00226614" w:rsidRPr="00AE7FB6" w:rsidRDefault="002E1E57" w:rsidP="00C8474A">
            <w:pPr>
              <w:pStyle w:val="ListParagraph"/>
              <w:numPr>
                <w:ilvl w:val="0"/>
                <w:numId w:val="58"/>
              </w:numPr>
              <w:autoSpaceDE w:val="0"/>
              <w:autoSpaceDN w:val="0"/>
              <w:adjustRightInd w:val="0"/>
              <w:spacing w:before="60" w:after="60" w:line="240" w:lineRule="auto"/>
              <w:ind w:left="527" w:hanging="357"/>
              <w:contextualSpacing w:val="0"/>
              <w:rPr>
                <w:rFonts w:ascii="Arial" w:hAnsi="Arial" w:cs="Arial"/>
                <w:sz w:val="16"/>
                <w:szCs w:val="16"/>
              </w:rPr>
            </w:pPr>
            <w:r>
              <w:rPr>
                <w:rFonts w:ascii="Arial" w:hAnsi="Arial" w:cs="Arial"/>
                <w:sz w:val="16"/>
                <w:szCs w:val="16"/>
              </w:rPr>
              <w:t>T</w:t>
            </w:r>
            <w:r w:rsidR="00226614" w:rsidRPr="00AE7FB6">
              <w:rPr>
                <w:rFonts w:ascii="Arial" w:hAnsi="Arial" w:cs="Arial"/>
                <w:sz w:val="16"/>
                <w:szCs w:val="16"/>
              </w:rPr>
              <w:t>he number of agencies using the SDO’s shared ERP technology increased to 16, with the Office of the Australian Information Commissioner on-boarded to the SDO’s HUB and shared service offering in May 2022</w:t>
            </w:r>
            <w:r>
              <w:rPr>
                <w:rFonts w:ascii="Arial" w:hAnsi="Arial" w:cs="Arial"/>
                <w:sz w:val="16"/>
                <w:szCs w:val="16"/>
              </w:rPr>
              <w:t>.</w:t>
            </w:r>
          </w:p>
          <w:p w14:paraId="7F4126B8" w14:textId="4BF139E7" w:rsidR="00226614" w:rsidRPr="00AE7FB6" w:rsidRDefault="002E1E57" w:rsidP="00C8474A">
            <w:pPr>
              <w:pStyle w:val="ListParagraph"/>
              <w:numPr>
                <w:ilvl w:val="0"/>
                <w:numId w:val="58"/>
              </w:numPr>
              <w:autoSpaceDE w:val="0"/>
              <w:autoSpaceDN w:val="0"/>
              <w:adjustRightInd w:val="0"/>
              <w:spacing w:before="60" w:after="60" w:line="240" w:lineRule="auto"/>
              <w:ind w:left="527" w:hanging="357"/>
              <w:contextualSpacing w:val="0"/>
              <w:rPr>
                <w:rFonts w:ascii="Arial" w:hAnsi="Arial" w:cs="Arial"/>
                <w:sz w:val="16"/>
                <w:szCs w:val="16"/>
              </w:rPr>
            </w:pPr>
            <w:r>
              <w:rPr>
                <w:rFonts w:ascii="Arial" w:hAnsi="Arial" w:cs="Arial"/>
                <w:sz w:val="16"/>
                <w:szCs w:val="16"/>
              </w:rPr>
              <w:t>T</w:t>
            </w:r>
            <w:r w:rsidR="00226614" w:rsidRPr="00AE7FB6">
              <w:rPr>
                <w:rFonts w:ascii="Arial" w:hAnsi="Arial" w:cs="Arial"/>
                <w:sz w:val="16"/>
                <w:szCs w:val="16"/>
              </w:rPr>
              <w:t>he number of agencies adoptin</w:t>
            </w:r>
            <w:r w:rsidR="00F70EA1">
              <w:rPr>
                <w:rFonts w:ascii="Arial" w:hAnsi="Arial" w:cs="Arial"/>
                <w:sz w:val="16"/>
                <w:szCs w:val="16"/>
              </w:rPr>
              <w:t xml:space="preserve">g end-to-end </w:t>
            </w:r>
            <w:proofErr w:type="spellStart"/>
            <w:r w:rsidR="00F70EA1">
              <w:rPr>
                <w:rFonts w:ascii="Arial" w:hAnsi="Arial" w:cs="Arial"/>
                <w:sz w:val="16"/>
                <w:szCs w:val="16"/>
              </w:rPr>
              <w:t>WoAG</w:t>
            </w:r>
            <w:proofErr w:type="spellEnd"/>
            <w:r w:rsidR="00226614" w:rsidRPr="00AE7FB6">
              <w:rPr>
                <w:rFonts w:ascii="Arial" w:hAnsi="Arial" w:cs="Arial"/>
                <w:sz w:val="16"/>
                <w:szCs w:val="16"/>
              </w:rPr>
              <w:t xml:space="preserve"> bus</w:t>
            </w:r>
            <w:r>
              <w:rPr>
                <w:rFonts w:ascii="Arial" w:hAnsi="Arial" w:cs="Arial"/>
                <w:sz w:val="16"/>
                <w:szCs w:val="16"/>
              </w:rPr>
              <w:t>iness processes increased with eight</w:t>
            </w:r>
            <w:r w:rsidR="00226614" w:rsidRPr="00AE7FB6">
              <w:rPr>
                <w:rFonts w:ascii="Arial" w:hAnsi="Arial" w:cs="Arial"/>
                <w:sz w:val="16"/>
                <w:szCs w:val="16"/>
              </w:rPr>
              <w:t xml:space="preserve"> agencies adopting the SDO accounts payable and/or accounts receivable service offer.</w:t>
            </w:r>
          </w:p>
          <w:p w14:paraId="2239E204" w14:textId="4295B57A" w:rsidR="00F0167C" w:rsidRPr="00C92882" w:rsidRDefault="002E1E57" w:rsidP="0064681A">
            <w:pPr>
              <w:autoSpaceDE w:val="0"/>
              <w:autoSpaceDN w:val="0"/>
              <w:spacing w:before="60" w:after="60" w:line="240" w:lineRule="auto"/>
              <w:rPr>
                <w:rFonts w:ascii="Arial" w:eastAsia="Calibri" w:hAnsi="Arial" w:cs="Arial"/>
                <w:sz w:val="16"/>
                <w:szCs w:val="16"/>
              </w:rPr>
            </w:pPr>
            <w:r>
              <w:rPr>
                <w:rFonts w:ascii="Arial" w:eastAsia="Calibri" w:hAnsi="Arial" w:cs="Arial"/>
                <w:sz w:val="16"/>
                <w:szCs w:val="16"/>
              </w:rPr>
              <w:t>During 2021-</w:t>
            </w:r>
            <w:r w:rsidR="00226614" w:rsidRPr="00226614">
              <w:rPr>
                <w:rFonts w:ascii="Arial" w:eastAsia="Calibri" w:hAnsi="Arial" w:cs="Arial"/>
                <w:sz w:val="16"/>
                <w:szCs w:val="16"/>
              </w:rPr>
              <w:t>22, the SDO work</w:t>
            </w:r>
            <w:r>
              <w:rPr>
                <w:rFonts w:ascii="Arial" w:eastAsia="Calibri" w:hAnsi="Arial" w:cs="Arial"/>
                <w:sz w:val="16"/>
                <w:szCs w:val="16"/>
              </w:rPr>
              <w:t>ed with Services Australia and seven</w:t>
            </w:r>
            <w:r w:rsidR="00226614" w:rsidRPr="00226614">
              <w:rPr>
                <w:rFonts w:ascii="Arial" w:eastAsia="Calibri" w:hAnsi="Arial" w:cs="Arial"/>
                <w:sz w:val="16"/>
                <w:szCs w:val="16"/>
              </w:rPr>
              <w:t xml:space="preserve"> client agencies to uplift them to the </w:t>
            </w:r>
            <w:proofErr w:type="spellStart"/>
            <w:r w:rsidR="00226614" w:rsidRPr="00226614">
              <w:rPr>
                <w:rFonts w:ascii="Arial" w:eastAsia="Calibri" w:hAnsi="Arial" w:cs="Arial"/>
                <w:sz w:val="16"/>
                <w:szCs w:val="16"/>
              </w:rPr>
              <w:t>GovERP</w:t>
            </w:r>
            <w:proofErr w:type="spellEnd"/>
            <w:r w:rsidR="00226614" w:rsidRPr="00226614">
              <w:rPr>
                <w:rFonts w:ascii="Arial" w:eastAsia="Calibri" w:hAnsi="Arial" w:cs="Arial"/>
                <w:sz w:val="16"/>
                <w:szCs w:val="16"/>
              </w:rPr>
              <w:t xml:space="preserve"> travel and expense management solution, which provided them with some enhanced self-service functionality.</w:t>
            </w:r>
          </w:p>
        </w:tc>
      </w:tr>
    </w:tbl>
    <w:p w14:paraId="366B4AD7" w14:textId="77777777" w:rsidR="00F15B4F" w:rsidRDefault="00F0167C" w:rsidP="00853030">
      <w:pPr>
        <w:pStyle w:val="TableHeading"/>
        <w:spacing w:before="30" w:after="0"/>
      </w:pPr>
      <w:r w:rsidRPr="002D353C">
        <w:rPr>
          <w:b w:val="0"/>
          <w:color w:val="000000"/>
          <w:sz w:val="16"/>
          <w:lang w:val="x-none" w:eastAsia="x-none"/>
        </w:rPr>
        <w:t>Table continues on next page</w:t>
      </w:r>
      <w:r w:rsidR="00F15B4F">
        <w:br w:type="page"/>
      </w:r>
    </w:p>
    <w:p w14:paraId="422630C1" w14:textId="77777777" w:rsidR="00454E78" w:rsidRPr="002D353C" w:rsidRDefault="00F0167C" w:rsidP="00454E78">
      <w:pPr>
        <w:pStyle w:val="TableHeading"/>
        <w:spacing w:before="0" w:after="0"/>
        <w:ind w:right="-113"/>
        <w:rPr>
          <w:b w:val="0"/>
          <w:color w:val="000000"/>
          <w:sz w:val="16"/>
          <w:lang w:val="x-none" w:eastAsia="x-none"/>
        </w:rPr>
      </w:pPr>
      <w:r>
        <w:lastRenderedPageBreak/>
        <w:t>Table 2.2.2</w:t>
      </w:r>
      <w:r w:rsidRPr="00F71634">
        <w:t xml:space="preserve">: Performance </w:t>
      </w:r>
      <w:r w:rsidRPr="00026D37">
        <w:t>measure</w:t>
      </w:r>
      <w:r w:rsidRPr="00F71634">
        <w:t xml:space="preserve"> </w:t>
      </w:r>
      <w:r>
        <w:t>for Outcome 2 (continued</w:t>
      </w:r>
      <w:r w:rsidR="00454E78">
        <w:t>)</w:t>
      </w:r>
    </w:p>
    <w:tbl>
      <w:tblPr>
        <w:tblpPr w:leftFromText="180" w:rightFromText="180" w:vertAnchor="text" w:tblpY="1"/>
        <w:tblOverlap w:val="never"/>
        <w:tblW w:w="7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290"/>
        <w:gridCol w:w="4091"/>
      </w:tblGrid>
      <w:tr w:rsidR="00454E78" w:rsidRPr="00ED5B0C" w14:paraId="49A356C7" w14:textId="77777777" w:rsidTr="00454E78">
        <w:trPr>
          <w:trHeight w:val="527"/>
        </w:trPr>
        <w:tc>
          <w:tcPr>
            <w:tcW w:w="7795" w:type="dxa"/>
            <w:gridSpan w:val="3"/>
            <w:tcBorders>
              <w:top w:val="single" w:sz="4" w:space="0" w:color="auto"/>
              <w:left w:val="single" w:sz="4" w:space="0" w:color="auto"/>
              <w:bottom w:val="single" w:sz="4" w:space="0" w:color="auto"/>
              <w:right w:val="single" w:sz="4" w:space="0" w:color="auto"/>
            </w:tcBorders>
            <w:shd w:val="clear" w:color="auto" w:fill="F2F2F2"/>
          </w:tcPr>
          <w:p w14:paraId="4E2930EE" w14:textId="77777777" w:rsidR="00454E78" w:rsidRPr="003A2E7D" w:rsidRDefault="00454E78" w:rsidP="00454E78">
            <w:pPr>
              <w:tabs>
                <w:tab w:val="left" w:pos="709"/>
              </w:tabs>
              <w:spacing w:before="60" w:after="60" w:line="240" w:lineRule="auto"/>
              <w:rPr>
                <w:rFonts w:ascii="Arial" w:hAnsi="Arial"/>
                <w:b/>
                <w:sz w:val="16"/>
                <w:szCs w:val="16"/>
              </w:rPr>
            </w:pPr>
            <w:r w:rsidRPr="003A2E7D">
              <w:rPr>
                <w:rFonts w:ascii="Arial" w:hAnsi="Arial"/>
                <w:b/>
                <w:sz w:val="16"/>
                <w:szCs w:val="16"/>
              </w:rPr>
              <w:t>Program 2.6 – Service Delivery Office</w:t>
            </w:r>
          </w:p>
          <w:p w14:paraId="1D470BFB" w14:textId="77777777" w:rsidR="00454E78" w:rsidRPr="00ED5B0C" w:rsidRDefault="00454E78" w:rsidP="00454E78">
            <w:pPr>
              <w:tabs>
                <w:tab w:val="left" w:pos="709"/>
              </w:tabs>
              <w:spacing w:before="60" w:after="60" w:line="240" w:lineRule="auto"/>
              <w:rPr>
                <w:rFonts w:ascii="Arial" w:hAnsi="Arial" w:cs="Arial"/>
                <w:sz w:val="16"/>
                <w:szCs w:val="16"/>
              </w:rPr>
            </w:pPr>
            <w:r w:rsidRPr="003A2E7D">
              <w:rPr>
                <w:rFonts w:ascii="Arial" w:hAnsi="Arial"/>
                <w:sz w:val="16"/>
                <w:szCs w:val="16"/>
              </w:rPr>
              <w:t>This program contributes to the outcome through providing a range of corporate services to Australian Government entities.</w:t>
            </w:r>
          </w:p>
        </w:tc>
      </w:tr>
      <w:tr w:rsidR="00454E78" w:rsidRPr="00361E69" w14:paraId="0B0542BB" w14:textId="77777777" w:rsidTr="00454E78">
        <w:trPr>
          <w:trHeight w:val="312"/>
        </w:trPr>
        <w:tc>
          <w:tcPr>
            <w:tcW w:w="1414" w:type="dxa"/>
            <w:tcBorders>
              <w:top w:val="single" w:sz="4" w:space="0" w:color="auto"/>
              <w:bottom w:val="single" w:sz="4" w:space="0" w:color="auto"/>
              <w:right w:val="single" w:sz="4" w:space="0" w:color="auto"/>
            </w:tcBorders>
            <w:shd w:val="clear" w:color="auto" w:fill="auto"/>
          </w:tcPr>
          <w:p w14:paraId="1A44EBC8" w14:textId="77777777" w:rsidR="00454E78" w:rsidRPr="00361E69" w:rsidRDefault="00454E78" w:rsidP="00454E78">
            <w:pPr>
              <w:tabs>
                <w:tab w:val="left" w:pos="709"/>
              </w:tabs>
              <w:spacing w:before="60" w:after="60" w:line="240" w:lineRule="auto"/>
              <w:rPr>
                <w:rFonts w:ascii="Arial" w:hAnsi="Arial" w:cs="Arial"/>
                <w:b/>
                <w:bCs/>
                <w:sz w:val="16"/>
                <w:szCs w:val="16"/>
              </w:rPr>
            </w:pPr>
            <w:r w:rsidRPr="1362A57E">
              <w:rPr>
                <w:rFonts w:ascii="Arial" w:hAnsi="Arial" w:cs="Arial"/>
                <w:b/>
                <w:bCs/>
                <w:sz w:val="16"/>
                <w:szCs w:val="16"/>
              </w:rPr>
              <w:t>Year</w:t>
            </w:r>
          </w:p>
        </w:tc>
        <w:tc>
          <w:tcPr>
            <w:tcW w:w="2290" w:type="dxa"/>
            <w:tcBorders>
              <w:top w:val="single" w:sz="4" w:space="0" w:color="auto"/>
              <w:left w:val="single" w:sz="4" w:space="0" w:color="auto"/>
              <w:bottom w:val="single" w:sz="4" w:space="0" w:color="auto"/>
              <w:right w:val="single" w:sz="4" w:space="0" w:color="auto"/>
            </w:tcBorders>
            <w:shd w:val="clear" w:color="auto" w:fill="auto"/>
          </w:tcPr>
          <w:p w14:paraId="6116292D" w14:textId="77777777" w:rsidR="00454E78" w:rsidRPr="00361E69" w:rsidRDefault="00454E78" w:rsidP="00454E78">
            <w:pPr>
              <w:tabs>
                <w:tab w:val="left" w:pos="709"/>
                <w:tab w:val="center" w:pos="1818"/>
              </w:tabs>
              <w:spacing w:before="60" w:after="60" w:line="240" w:lineRule="auto"/>
              <w:rPr>
                <w:rFonts w:ascii="Arial" w:hAnsi="Arial" w:cs="Arial"/>
                <w:b/>
                <w:bCs/>
                <w:sz w:val="16"/>
                <w:szCs w:val="16"/>
              </w:rPr>
            </w:pPr>
            <w:r w:rsidRPr="1362A57E">
              <w:rPr>
                <w:rFonts w:ascii="Arial" w:hAnsi="Arial" w:cs="Arial"/>
                <w:b/>
                <w:bCs/>
                <w:sz w:val="16"/>
                <w:szCs w:val="16"/>
              </w:rPr>
              <w:t>Performance measures</w:t>
            </w:r>
          </w:p>
        </w:tc>
        <w:tc>
          <w:tcPr>
            <w:tcW w:w="4091" w:type="dxa"/>
            <w:tcBorders>
              <w:top w:val="single" w:sz="4" w:space="0" w:color="auto"/>
              <w:left w:val="single" w:sz="4" w:space="0" w:color="auto"/>
              <w:bottom w:val="single" w:sz="4" w:space="0" w:color="auto"/>
            </w:tcBorders>
            <w:shd w:val="clear" w:color="auto" w:fill="auto"/>
          </w:tcPr>
          <w:p w14:paraId="2A36952A" w14:textId="77777777" w:rsidR="00454E78" w:rsidRPr="00361E69" w:rsidRDefault="00454E78" w:rsidP="00454E78">
            <w:pPr>
              <w:tabs>
                <w:tab w:val="left" w:pos="709"/>
              </w:tabs>
              <w:spacing w:before="60" w:after="60" w:line="240" w:lineRule="auto"/>
              <w:rPr>
                <w:rFonts w:ascii="Arial" w:hAnsi="Arial" w:cs="Arial"/>
                <w:b/>
                <w:bCs/>
                <w:sz w:val="16"/>
                <w:szCs w:val="16"/>
              </w:rPr>
            </w:pPr>
            <w:r w:rsidRPr="1362A57E">
              <w:rPr>
                <w:rFonts w:ascii="Arial" w:hAnsi="Arial" w:cs="Arial"/>
                <w:b/>
                <w:bCs/>
                <w:sz w:val="16"/>
                <w:szCs w:val="16"/>
              </w:rPr>
              <w:t>Expected Performance Results</w:t>
            </w:r>
          </w:p>
        </w:tc>
      </w:tr>
      <w:tr w:rsidR="00454E78" w:rsidRPr="009415D5" w14:paraId="378A0199" w14:textId="77777777" w:rsidTr="00454E78">
        <w:trPr>
          <w:trHeight w:val="1999"/>
        </w:trPr>
        <w:tc>
          <w:tcPr>
            <w:tcW w:w="1414" w:type="dxa"/>
            <w:tcBorders>
              <w:top w:val="single" w:sz="4" w:space="0" w:color="auto"/>
              <w:left w:val="single" w:sz="4" w:space="0" w:color="auto"/>
              <w:bottom w:val="nil"/>
              <w:right w:val="single" w:sz="4" w:space="0" w:color="auto"/>
            </w:tcBorders>
            <w:shd w:val="clear" w:color="auto" w:fill="auto"/>
          </w:tcPr>
          <w:p w14:paraId="63DDA492" w14:textId="77777777" w:rsidR="00454E78" w:rsidRPr="006B7BE5" w:rsidRDefault="00454E78" w:rsidP="00454E78">
            <w:pPr>
              <w:pStyle w:val="TableTextLeft"/>
              <w:spacing w:before="60" w:after="60"/>
              <w:rPr>
                <w:rFonts w:cs="Arial"/>
                <w:szCs w:val="16"/>
              </w:rPr>
            </w:pPr>
            <w:r w:rsidRPr="006B7BE5">
              <w:rPr>
                <w:rFonts w:cs="Arial"/>
                <w:szCs w:val="16"/>
              </w:rPr>
              <w:t xml:space="preserve">Budget Year </w:t>
            </w:r>
          </w:p>
          <w:p w14:paraId="48FF6E6C" w14:textId="77777777" w:rsidR="00454E78" w:rsidRPr="00361E69" w:rsidRDefault="00454E78" w:rsidP="00454E78">
            <w:pPr>
              <w:pStyle w:val="TableTextLeft"/>
              <w:spacing w:before="60" w:after="60"/>
              <w:rPr>
                <w:rFonts w:cs="Arial"/>
                <w:szCs w:val="16"/>
              </w:rPr>
            </w:pPr>
            <w:r w:rsidRPr="006B7BE5">
              <w:rPr>
                <w:rFonts w:cs="Arial"/>
                <w:szCs w:val="16"/>
              </w:rPr>
              <w:t xml:space="preserve">2022-23 </w:t>
            </w:r>
          </w:p>
        </w:tc>
        <w:tc>
          <w:tcPr>
            <w:tcW w:w="2290" w:type="dxa"/>
            <w:tcBorders>
              <w:top w:val="single" w:sz="4" w:space="0" w:color="auto"/>
              <w:left w:val="single" w:sz="4" w:space="0" w:color="auto"/>
              <w:bottom w:val="dotted" w:sz="4" w:space="0" w:color="auto"/>
              <w:right w:val="single" w:sz="4" w:space="0" w:color="auto"/>
            </w:tcBorders>
            <w:shd w:val="clear" w:color="auto" w:fill="auto"/>
          </w:tcPr>
          <w:p w14:paraId="0A3C08F8" w14:textId="532E816F" w:rsidR="00454E78" w:rsidRPr="00F15B4F" w:rsidRDefault="00FB4106" w:rsidP="00454E78">
            <w:pPr>
              <w:tabs>
                <w:tab w:val="left" w:pos="709"/>
              </w:tabs>
              <w:spacing w:before="60" w:after="60" w:line="240" w:lineRule="auto"/>
              <w:rPr>
                <w:rFonts w:ascii="Arial" w:hAnsi="Arial" w:cs="Arial"/>
                <w:b/>
                <w:bCs/>
                <w:sz w:val="16"/>
                <w:szCs w:val="16"/>
              </w:rPr>
            </w:pPr>
            <w:r>
              <w:rPr>
                <w:rFonts w:ascii="Arial" w:hAnsi="Arial" w:cs="Arial"/>
                <w:b/>
                <w:bCs/>
                <w:sz w:val="16"/>
                <w:szCs w:val="16"/>
              </w:rPr>
              <w:t>Shared S</w:t>
            </w:r>
            <w:r w:rsidR="00454E78" w:rsidRPr="00F15B4F">
              <w:rPr>
                <w:rFonts w:ascii="Arial" w:hAnsi="Arial" w:cs="Arial"/>
                <w:b/>
                <w:bCs/>
                <w:sz w:val="16"/>
                <w:szCs w:val="16"/>
              </w:rPr>
              <w:t>ervices hub meets clients’ needs</w:t>
            </w:r>
          </w:p>
          <w:p w14:paraId="3C30BC81" w14:textId="77777777" w:rsidR="00454E78" w:rsidRDefault="00454E78" w:rsidP="00454E78">
            <w:pPr>
              <w:spacing w:before="60" w:after="60" w:line="240" w:lineRule="auto"/>
              <w:rPr>
                <w:rFonts w:ascii="Arial" w:hAnsi="Arial" w:cs="Arial"/>
                <w:bCs/>
                <w:sz w:val="16"/>
                <w:szCs w:val="16"/>
              </w:rPr>
            </w:pPr>
            <w:r w:rsidRPr="00F15B4F">
              <w:rPr>
                <w:rFonts w:ascii="Arial" w:hAnsi="Arial" w:cs="Arial"/>
                <w:bCs/>
                <w:sz w:val="16"/>
                <w:szCs w:val="16"/>
              </w:rPr>
              <w:t>As a Shared Services hub, the SDO provides quality and efficient services to client entities.</w:t>
            </w:r>
          </w:p>
          <w:p w14:paraId="34BC735C" w14:textId="77777777" w:rsidR="00454E78" w:rsidRPr="006B7BE5" w:rsidRDefault="00454E78" w:rsidP="00454E78">
            <w:pPr>
              <w:tabs>
                <w:tab w:val="left" w:pos="709"/>
              </w:tabs>
              <w:spacing w:before="60" w:after="60" w:line="240" w:lineRule="auto"/>
              <w:rPr>
                <w:rFonts w:ascii="Arial" w:eastAsia="Arial" w:hAnsi="Arial" w:cs="Arial"/>
                <w:sz w:val="16"/>
                <w:szCs w:val="16"/>
              </w:rPr>
            </w:pPr>
          </w:p>
        </w:tc>
        <w:tc>
          <w:tcPr>
            <w:tcW w:w="4091" w:type="dxa"/>
            <w:tcBorders>
              <w:top w:val="single" w:sz="4" w:space="0" w:color="auto"/>
              <w:left w:val="single" w:sz="4" w:space="0" w:color="auto"/>
              <w:bottom w:val="dotted" w:sz="4" w:space="0" w:color="auto"/>
              <w:right w:val="single" w:sz="4" w:space="0" w:color="auto"/>
            </w:tcBorders>
            <w:shd w:val="clear" w:color="auto" w:fill="auto"/>
          </w:tcPr>
          <w:p w14:paraId="3CA269BD" w14:textId="77777777" w:rsidR="00454E78" w:rsidRPr="00F15B4F" w:rsidRDefault="00454E78" w:rsidP="00FB4106">
            <w:pPr>
              <w:spacing w:before="60" w:after="60" w:line="240" w:lineRule="auto"/>
              <w:rPr>
                <w:rFonts w:ascii="Arial" w:eastAsia="Arial" w:hAnsi="Arial" w:cs="Arial"/>
                <w:sz w:val="16"/>
                <w:szCs w:val="16"/>
              </w:rPr>
            </w:pPr>
            <w:r w:rsidRPr="00F15B4F">
              <w:rPr>
                <w:rFonts w:ascii="Arial" w:eastAsia="Arial" w:hAnsi="Arial" w:cs="Arial"/>
                <w:sz w:val="16"/>
                <w:szCs w:val="16"/>
              </w:rPr>
              <w:t>Service level agreements with client entities, including measurement of efficiency and effectiveness of services are met including:</w:t>
            </w:r>
          </w:p>
          <w:p w14:paraId="3DBF3EEB" w14:textId="7EF1EF65" w:rsidR="00454E78" w:rsidRPr="00454E78" w:rsidRDefault="00454E78" w:rsidP="00C8474A">
            <w:pPr>
              <w:pStyle w:val="ListParagraph"/>
              <w:numPr>
                <w:ilvl w:val="0"/>
                <w:numId w:val="58"/>
              </w:numPr>
              <w:autoSpaceDE w:val="0"/>
              <w:autoSpaceDN w:val="0"/>
              <w:adjustRightInd w:val="0"/>
              <w:spacing w:before="60" w:after="60" w:line="240" w:lineRule="auto"/>
              <w:ind w:left="527" w:hanging="357"/>
              <w:contextualSpacing w:val="0"/>
              <w:rPr>
                <w:rFonts w:ascii="Arial" w:hAnsi="Arial" w:cs="Arial"/>
                <w:sz w:val="16"/>
                <w:szCs w:val="16"/>
              </w:rPr>
            </w:pPr>
            <w:r w:rsidRPr="00454E78">
              <w:rPr>
                <w:rFonts w:ascii="Arial" w:hAnsi="Arial" w:cs="Arial"/>
                <w:sz w:val="16"/>
                <w:szCs w:val="16"/>
              </w:rPr>
              <w:t>Average resolution ti</w:t>
            </w:r>
            <w:r w:rsidR="00FB4106">
              <w:rPr>
                <w:rFonts w:ascii="Arial" w:hAnsi="Arial" w:cs="Arial"/>
                <w:sz w:val="16"/>
                <w:szCs w:val="16"/>
              </w:rPr>
              <w:t>me of client request of 10 days.</w:t>
            </w:r>
          </w:p>
          <w:p w14:paraId="6CDD8D3E" w14:textId="77777777" w:rsidR="00454E78" w:rsidRPr="00454E78" w:rsidRDefault="00454E78" w:rsidP="00C8474A">
            <w:pPr>
              <w:pStyle w:val="ListParagraph"/>
              <w:numPr>
                <w:ilvl w:val="0"/>
                <w:numId w:val="58"/>
              </w:numPr>
              <w:autoSpaceDE w:val="0"/>
              <w:autoSpaceDN w:val="0"/>
              <w:adjustRightInd w:val="0"/>
              <w:spacing w:before="60" w:after="60" w:line="240" w:lineRule="auto"/>
              <w:ind w:left="527" w:hanging="357"/>
              <w:contextualSpacing w:val="0"/>
              <w:rPr>
                <w:rFonts w:ascii="Arial" w:hAnsi="Arial" w:cs="Arial"/>
                <w:sz w:val="16"/>
                <w:szCs w:val="16"/>
              </w:rPr>
            </w:pPr>
            <w:r w:rsidRPr="00454E78">
              <w:rPr>
                <w:rFonts w:ascii="Arial" w:hAnsi="Arial" w:cs="Arial"/>
                <w:sz w:val="16"/>
                <w:szCs w:val="16"/>
              </w:rPr>
              <w:t>Increased rating year-on-year in client satisfaction surveys.</w:t>
            </w:r>
          </w:p>
          <w:p w14:paraId="0A80757E" w14:textId="77777777" w:rsidR="00454E78" w:rsidRPr="003A7F84" w:rsidRDefault="00454E78" w:rsidP="00FB4106">
            <w:pPr>
              <w:autoSpaceDE w:val="0"/>
              <w:autoSpaceDN w:val="0"/>
              <w:adjustRightInd w:val="0"/>
              <w:spacing w:before="60" w:after="60" w:line="240" w:lineRule="auto"/>
              <w:rPr>
                <w:rFonts w:ascii="Arial" w:eastAsia="Calibri" w:hAnsi="Arial" w:cs="Arial"/>
                <w:sz w:val="16"/>
                <w:szCs w:val="16"/>
              </w:rPr>
            </w:pPr>
            <w:r w:rsidRPr="003A7F84">
              <w:rPr>
                <w:rFonts w:ascii="Arial" w:eastAsia="Calibri" w:hAnsi="Arial" w:cs="Arial"/>
                <w:sz w:val="16"/>
                <w:szCs w:val="16"/>
              </w:rPr>
              <w:t>The benefits of shared, standard and sustainable ERP technologies and business processes are realised:</w:t>
            </w:r>
          </w:p>
          <w:p w14:paraId="7D2820E3" w14:textId="467033E3" w:rsidR="00454E78" w:rsidRPr="00454E78" w:rsidRDefault="00454E78" w:rsidP="00C8474A">
            <w:pPr>
              <w:pStyle w:val="ListParagraph"/>
              <w:numPr>
                <w:ilvl w:val="0"/>
                <w:numId w:val="58"/>
              </w:numPr>
              <w:autoSpaceDE w:val="0"/>
              <w:autoSpaceDN w:val="0"/>
              <w:adjustRightInd w:val="0"/>
              <w:spacing w:before="60" w:after="60" w:line="240" w:lineRule="auto"/>
              <w:ind w:left="527" w:hanging="357"/>
              <w:contextualSpacing w:val="0"/>
              <w:rPr>
                <w:rFonts w:ascii="Arial" w:hAnsi="Arial" w:cs="Arial"/>
                <w:sz w:val="16"/>
                <w:szCs w:val="16"/>
              </w:rPr>
            </w:pPr>
            <w:r w:rsidRPr="00454E78">
              <w:rPr>
                <w:rFonts w:ascii="Arial" w:hAnsi="Arial" w:cs="Arial"/>
                <w:sz w:val="16"/>
                <w:szCs w:val="16"/>
              </w:rPr>
              <w:t>Increased client uptake of SDO’s shared ERP technology solution, known as HUB (year-on-year increase)</w:t>
            </w:r>
            <w:r w:rsidR="00FB4106">
              <w:rPr>
                <w:rFonts w:ascii="Arial" w:hAnsi="Arial" w:cs="Arial"/>
                <w:sz w:val="16"/>
                <w:szCs w:val="16"/>
              </w:rPr>
              <w:t>.</w:t>
            </w:r>
          </w:p>
          <w:p w14:paraId="07829490" w14:textId="34503DD4" w:rsidR="00454E78" w:rsidRPr="00517809" w:rsidRDefault="00454E78" w:rsidP="00C8474A">
            <w:pPr>
              <w:pStyle w:val="ListParagraph"/>
              <w:numPr>
                <w:ilvl w:val="0"/>
                <w:numId w:val="58"/>
              </w:numPr>
              <w:autoSpaceDE w:val="0"/>
              <w:autoSpaceDN w:val="0"/>
              <w:adjustRightInd w:val="0"/>
              <w:spacing w:before="60" w:after="60" w:line="240" w:lineRule="auto"/>
              <w:ind w:left="527" w:hanging="357"/>
              <w:contextualSpacing w:val="0"/>
              <w:rPr>
                <w:rFonts w:ascii="Arial" w:eastAsia="Arial" w:hAnsi="Arial" w:cs="Arial"/>
                <w:sz w:val="16"/>
                <w:szCs w:val="16"/>
              </w:rPr>
            </w:pPr>
            <w:r w:rsidRPr="00454E78">
              <w:rPr>
                <w:rFonts w:ascii="Arial" w:hAnsi="Arial" w:cs="Arial"/>
                <w:sz w:val="16"/>
                <w:szCs w:val="16"/>
              </w:rPr>
              <w:t xml:space="preserve">Increased client adoption of end-to-end </w:t>
            </w:r>
            <w:proofErr w:type="spellStart"/>
            <w:r w:rsidRPr="00454E78">
              <w:rPr>
                <w:rFonts w:ascii="Arial" w:hAnsi="Arial" w:cs="Arial"/>
                <w:sz w:val="16"/>
                <w:szCs w:val="16"/>
              </w:rPr>
              <w:t>WoAG</w:t>
            </w:r>
            <w:proofErr w:type="spellEnd"/>
            <w:r w:rsidRPr="00454E78">
              <w:rPr>
                <w:rFonts w:ascii="Arial" w:hAnsi="Arial" w:cs="Arial"/>
                <w:sz w:val="16"/>
                <w:szCs w:val="16"/>
              </w:rPr>
              <w:t xml:space="preserve"> business processes (year-on-year increase)</w:t>
            </w:r>
            <w:r w:rsidR="00FB4106">
              <w:rPr>
                <w:rFonts w:ascii="Arial" w:hAnsi="Arial" w:cs="Arial"/>
                <w:sz w:val="16"/>
                <w:szCs w:val="16"/>
              </w:rPr>
              <w:t>.</w:t>
            </w:r>
          </w:p>
        </w:tc>
      </w:tr>
      <w:tr w:rsidR="00454E78" w:rsidRPr="009415D5" w14:paraId="31267613" w14:textId="77777777" w:rsidTr="00454E78">
        <w:trPr>
          <w:trHeight w:val="1999"/>
        </w:trPr>
        <w:tc>
          <w:tcPr>
            <w:tcW w:w="1414" w:type="dxa"/>
            <w:tcBorders>
              <w:top w:val="nil"/>
              <w:left w:val="single" w:sz="4" w:space="0" w:color="auto"/>
              <w:bottom w:val="single" w:sz="4" w:space="0" w:color="auto"/>
              <w:right w:val="single" w:sz="4" w:space="0" w:color="auto"/>
            </w:tcBorders>
            <w:shd w:val="clear" w:color="auto" w:fill="auto"/>
          </w:tcPr>
          <w:p w14:paraId="446C27A5" w14:textId="77777777" w:rsidR="00454E78" w:rsidRPr="005612F7" w:rsidRDefault="00454E78" w:rsidP="00454E78">
            <w:pPr>
              <w:pStyle w:val="TableTextLeft"/>
              <w:spacing w:before="60" w:after="60"/>
              <w:rPr>
                <w:rFonts w:cs="Arial"/>
                <w:szCs w:val="16"/>
              </w:rPr>
            </w:pPr>
          </w:p>
        </w:tc>
        <w:tc>
          <w:tcPr>
            <w:tcW w:w="2290" w:type="dxa"/>
            <w:tcBorders>
              <w:top w:val="dotted" w:sz="4" w:space="0" w:color="auto"/>
              <w:left w:val="single" w:sz="4" w:space="0" w:color="auto"/>
              <w:bottom w:val="single" w:sz="4" w:space="0" w:color="auto"/>
              <w:right w:val="single" w:sz="4" w:space="0" w:color="auto"/>
            </w:tcBorders>
            <w:shd w:val="clear" w:color="auto" w:fill="auto"/>
          </w:tcPr>
          <w:p w14:paraId="0439AF59" w14:textId="119226BD" w:rsidR="00454E78" w:rsidRPr="00D357ED" w:rsidRDefault="00FB4106" w:rsidP="00454E78">
            <w:pPr>
              <w:tabs>
                <w:tab w:val="left" w:pos="709"/>
              </w:tabs>
              <w:spacing w:before="60" w:after="60" w:line="240" w:lineRule="auto"/>
              <w:rPr>
                <w:rFonts w:ascii="Arial" w:hAnsi="Arial" w:cs="Arial"/>
                <w:b/>
                <w:bCs/>
                <w:sz w:val="16"/>
                <w:szCs w:val="16"/>
              </w:rPr>
            </w:pPr>
            <w:r>
              <w:rPr>
                <w:rFonts w:ascii="Arial" w:hAnsi="Arial" w:cs="Arial"/>
                <w:b/>
                <w:bCs/>
                <w:sz w:val="16"/>
                <w:szCs w:val="16"/>
              </w:rPr>
              <w:t>Shared S</w:t>
            </w:r>
            <w:r w:rsidR="00454E78" w:rsidRPr="00D357ED">
              <w:rPr>
                <w:rFonts w:ascii="Arial" w:hAnsi="Arial" w:cs="Arial"/>
                <w:b/>
                <w:bCs/>
                <w:sz w:val="16"/>
                <w:szCs w:val="16"/>
              </w:rPr>
              <w:t>ervices policy – corporate services</w:t>
            </w:r>
          </w:p>
          <w:p w14:paraId="3408AAF8" w14:textId="39B337A3" w:rsidR="00454E78" w:rsidRPr="00517809" w:rsidRDefault="00454E78" w:rsidP="00454E78">
            <w:pPr>
              <w:pStyle w:val="TableTextBase"/>
              <w:spacing w:before="60" w:after="60"/>
              <w:rPr>
                <w:rFonts w:cs="Arial"/>
                <w:szCs w:val="16"/>
              </w:rPr>
            </w:pPr>
            <w:r w:rsidRPr="00517809">
              <w:rPr>
                <w:rFonts w:cs="Arial"/>
                <w:bCs/>
                <w:szCs w:val="16"/>
              </w:rPr>
              <w:t>Corporate service functions (e.g. financial, human resources and associated I</w:t>
            </w:r>
            <w:r w:rsidR="00FB4106">
              <w:rPr>
                <w:rFonts w:cs="Arial"/>
                <w:bCs/>
                <w:szCs w:val="16"/>
              </w:rPr>
              <w:t>C</w:t>
            </w:r>
            <w:r w:rsidRPr="00517809">
              <w:rPr>
                <w:rFonts w:cs="Arial"/>
                <w:bCs/>
                <w:szCs w:val="16"/>
              </w:rPr>
              <w:t>T systems) for non-corpor</w:t>
            </w:r>
            <w:r w:rsidR="00FB4106">
              <w:rPr>
                <w:rFonts w:cs="Arial"/>
                <w:bCs/>
                <w:szCs w:val="16"/>
              </w:rPr>
              <w:t>ate Commonwealth entities</w:t>
            </w:r>
            <w:r w:rsidRPr="00517809">
              <w:rPr>
                <w:rFonts w:cs="Arial"/>
                <w:bCs/>
                <w:szCs w:val="16"/>
              </w:rPr>
              <w:t xml:space="preserve"> are provided through a shared services provider hub arrangement on common platforms and software</w:t>
            </w:r>
            <w:r w:rsidR="00FB4106">
              <w:rPr>
                <w:rFonts w:cs="Arial"/>
                <w:bCs/>
                <w:szCs w:val="16"/>
              </w:rPr>
              <w:t>.</w:t>
            </w:r>
          </w:p>
          <w:p w14:paraId="4B93CA6E" w14:textId="77777777" w:rsidR="00454E78" w:rsidRDefault="00454E78" w:rsidP="00454E78">
            <w:pPr>
              <w:pStyle w:val="TableTextBase"/>
              <w:spacing w:before="60" w:after="60"/>
              <w:rPr>
                <w:rFonts w:cs="Arial"/>
                <w:b/>
                <w:szCs w:val="16"/>
              </w:rPr>
            </w:pPr>
          </w:p>
          <w:p w14:paraId="7FC9ABBC" w14:textId="77777777" w:rsidR="00454E78" w:rsidRDefault="00454E78" w:rsidP="00454E78">
            <w:pPr>
              <w:pStyle w:val="TableTextBase"/>
              <w:spacing w:before="60" w:after="60"/>
              <w:rPr>
                <w:rFonts w:cs="Arial"/>
                <w:b/>
                <w:szCs w:val="16"/>
              </w:rPr>
            </w:pPr>
          </w:p>
          <w:p w14:paraId="76CE39F7" w14:textId="77777777" w:rsidR="00454E78" w:rsidRDefault="00454E78" w:rsidP="00454E78">
            <w:pPr>
              <w:pStyle w:val="TableTextBase"/>
              <w:spacing w:before="60" w:after="60"/>
              <w:rPr>
                <w:rFonts w:cs="Arial"/>
                <w:b/>
                <w:szCs w:val="16"/>
              </w:rPr>
            </w:pPr>
          </w:p>
          <w:p w14:paraId="60929D82" w14:textId="77777777" w:rsidR="00454E78" w:rsidRDefault="00454E78" w:rsidP="00454E78">
            <w:pPr>
              <w:pStyle w:val="TableTextBase"/>
              <w:spacing w:before="60" w:after="60"/>
              <w:rPr>
                <w:rFonts w:cs="Arial"/>
                <w:b/>
                <w:szCs w:val="16"/>
              </w:rPr>
            </w:pPr>
          </w:p>
          <w:p w14:paraId="73B169E7" w14:textId="77777777" w:rsidR="00454E78" w:rsidRDefault="00454E78" w:rsidP="00454E78">
            <w:pPr>
              <w:pStyle w:val="TableTextBase"/>
              <w:spacing w:before="60" w:after="60"/>
              <w:rPr>
                <w:rFonts w:cs="Arial"/>
                <w:b/>
                <w:szCs w:val="16"/>
              </w:rPr>
            </w:pPr>
          </w:p>
          <w:p w14:paraId="7838AF69" w14:textId="77777777" w:rsidR="00454E78" w:rsidRDefault="00454E78" w:rsidP="00454E78">
            <w:pPr>
              <w:pStyle w:val="TableTextBase"/>
              <w:spacing w:before="60" w:after="60"/>
              <w:rPr>
                <w:rFonts w:cs="Arial"/>
                <w:b/>
                <w:szCs w:val="16"/>
              </w:rPr>
            </w:pPr>
          </w:p>
          <w:p w14:paraId="31AE4FF3" w14:textId="77777777" w:rsidR="00454E78" w:rsidRPr="00DD55D1" w:rsidRDefault="00454E78" w:rsidP="00454E78">
            <w:pPr>
              <w:pStyle w:val="TableTextBase"/>
              <w:spacing w:before="60" w:after="60"/>
              <w:rPr>
                <w:rFonts w:cs="Arial"/>
                <w:szCs w:val="16"/>
              </w:rPr>
            </w:pPr>
          </w:p>
        </w:tc>
        <w:tc>
          <w:tcPr>
            <w:tcW w:w="4091" w:type="dxa"/>
            <w:tcBorders>
              <w:top w:val="dotted" w:sz="4" w:space="0" w:color="auto"/>
              <w:left w:val="single" w:sz="4" w:space="0" w:color="auto"/>
              <w:bottom w:val="single" w:sz="4" w:space="0" w:color="auto"/>
              <w:right w:val="single" w:sz="4" w:space="0" w:color="auto"/>
            </w:tcBorders>
            <w:shd w:val="clear" w:color="auto" w:fill="auto"/>
          </w:tcPr>
          <w:p w14:paraId="073DDA0C" w14:textId="1C56143D" w:rsidR="00454E78" w:rsidRPr="00F15B4F" w:rsidRDefault="00454E78" w:rsidP="00FB4106">
            <w:pPr>
              <w:tabs>
                <w:tab w:val="left" w:pos="709"/>
              </w:tabs>
              <w:autoSpaceDE w:val="0"/>
              <w:autoSpaceDN w:val="0"/>
              <w:adjustRightInd w:val="0"/>
              <w:spacing w:before="60" w:after="60" w:line="240" w:lineRule="auto"/>
              <w:rPr>
                <w:rFonts w:ascii="Arial" w:eastAsia="Arial" w:hAnsi="Arial" w:cs="Arial"/>
                <w:sz w:val="16"/>
                <w:szCs w:val="16"/>
              </w:rPr>
            </w:pPr>
            <w:r w:rsidRPr="00F15B4F">
              <w:rPr>
                <w:rFonts w:ascii="Arial" w:eastAsia="Arial" w:hAnsi="Arial" w:cs="Arial"/>
                <w:sz w:val="16"/>
                <w:szCs w:val="16"/>
              </w:rPr>
              <w:t xml:space="preserve">Government and entities are satisfied with Finance’s stewardship, policy advice, engagement and guidance on </w:t>
            </w:r>
            <w:r w:rsidR="00FB4106">
              <w:rPr>
                <w:rFonts w:ascii="Arial" w:eastAsia="Arial" w:hAnsi="Arial" w:cs="Arial"/>
                <w:sz w:val="16"/>
                <w:szCs w:val="16"/>
              </w:rPr>
              <w:t>the adoption of shared services.</w:t>
            </w:r>
          </w:p>
          <w:p w14:paraId="17963BDB" w14:textId="77777777" w:rsidR="00454E78" w:rsidRPr="00F15B4F" w:rsidRDefault="00454E78" w:rsidP="00FB4106">
            <w:pPr>
              <w:tabs>
                <w:tab w:val="left" w:pos="709"/>
              </w:tabs>
              <w:autoSpaceDE w:val="0"/>
              <w:autoSpaceDN w:val="0"/>
              <w:adjustRightInd w:val="0"/>
              <w:spacing w:before="60" w:after="60" w:line="240" w:lineRule="auto"/>
              <w:rPr>
                <w:rFonts w:ascii="Arial" w:eastAsia="Arial" w:hAnsi="Arial" w:cs="Arial"/>
                <w:sz w:val="16"/>
                <w:szCs w:val="16"/>
              </w:rPr>
            </w:pPr>
            <w:r w:rsidRPr="00F15B4F">
              <w:rPr>
                <w:rFonts w:ascii="Arial" w:eastAsia="Arial" w:hAnsi="Arial" w:cs="Arial"/>
                <w:sz w:val="16"/>
                <w:szCs w:val="16"/>
              </w:rPr>
              <w:t xml:space="preserve">Decisions in relation to the Shared Services Program are implemented on </w:t>
            </w:r>
            <w:r>
              <w:rPr>
                <w:rFonts w:ascii="Arial" w:eastAsia="Arial" w:hAnsi="Arial" w:cs="Arial"/>
                <w:sz w:val="16"/>
                <w:szCs w:val="16"/>
              </w:rPr>
              <w:t xml:space="preserve">the basis of </w:t>
            </w:r>
            <w:proofErr w:type="spellStart"/>
            <w:r>
              <w:rPr>
                <w:rFonts w:ascii="Arial" w:eastAsia="Arial" w:hAnsi="Arial" w:cs="Arial"/>
                <w:sz w:val="16"/>
                <w:szCs w:val="16"/>
              </w:rPr>
              <w:t>WoAG</w:t>
            </w:r>
            <w:proofErr w:type="spellEnd"/>
            <w:r w:rsidRPr="00F15B4F">
              <w:rPr>
                <w:rFonts w:ascii="Arial" w:eastAsia="Arial" w:hAnsi="Arial" w:cs="Arial"/>
                <w:sz w:val="16"/>
                <w:szCs w:val="16"/>
              </w:rPr>
              <w:t xml:space="preserve"> interests, including alignment with the digital agenda and policies: </w:t>
            </w:r>
          </w:p>
          <w:p w14:paraId="7982F096" w14:textId="67A131D6" w:rsidR="00454E78" w:rsidRPr="00454E78" w:rsidRDefault="00454E78" w:rsidP="00C8474A">
            <w:pPr>
              <w:pStyle w:val="ListParagraph"/>
              <w:numPr>
                <w:ilvl w:val="0"/>
                <w:numId w:val="58"/>
              </w:numPr>
              <w:autoSpaceDE w:val="0"/>
              <w:autoSpaceDN w:val="0"/>
              <w:adjustRightInd w:val="0"/>
              <w:spacing w:before="60" w:after="60" w:line="240" w:lineRule="auto"/>
              <w:ind w:left="527" w:hanging="357"/>
              <w:contextualSpacing w:val="0"/>
              <w:rPr>
                <w:rFonts w:ascii="Arial" w:hAnsi="Arial" w:cs="Arial"/>
                <w:sz w:val="16"/>
                <w:szCs w:val="16"/>
              </w:rPr>
            </w:pPr>
            <w:r w:rsidRPr="00454E78">
              <w:rPr>
                <w:rFonts w:ascii="Arial" w:hAnsi="Arial" w:cs="Arial"/>
                <w:sz w:val="16"/>
                <w:szCs w:val="16"/>
              </w:rPr>
              <w:t xml:space="preserve">Finance consults widely on shared services policy and continued adoption of common corporate technology platforms and </w:t>
            </w:r>
            <w:proofErr w:type="spellStart"/>
            <w:r w:rsidRPr="00454E78">
              <w:rPr>
                <w:rFonts w:ascii="Arial" w:hAnsi="Arial" w:cs="Arial"/>
                <w:sz w:val="16"/>
                <w:szCs w:val="16"/>
              </w:rPr>
              <w:t>standardised</w:t>
            </w:r>
            <w:proofErr w:type="spellEnd"/>
            <w:r w:rsidRPr="00454E78">
              <w:rPr>
                <w:rFonts w:ascii="Arial" w:hAnsi="Arial" w:cs="Arial"/>
                <w:sz w:val="16"/>
                <w:szCs w:val="16"/>
              </w:rPr>
              <w:t xml:space="preserve"> business processes</w:t>
            </w:r>
            <w:r w:rsidR="00FB4106">
              <w:rPr>
                <w:rFonts w:ascii="Arial" w:hAnsi="Arial" w:cs="Arial"/>
                <w:sz w:val="16"/>
                <w:szCs w:val="16"/>
              </w:rPr>
              <w:t>.</w:t>
            </w:r>
          </w:p>
          <w:p w14:paraId="6984EB1A" w14:textId="71A39D9A" w:rsidR="003A7F84" w:rsidRDefault="00454E78" w:rsidP="00C8474A">
            <w:pPr>
              <w:pStyle w:val="ListParagraph"/>
              <w:numPr>
                <w:ilvl w:val="0"/>
                <w:numId w:val="58"/>
              </w:numPr>
              <w:autoSpaceDE w:val="0"/>
              <w:autoSpaceDN w:val="0"/>
              <w:adjustRightInd w:val="0"/>
              <w:spacing w:before="60" w:after="60" w:line="240" w:lineRule="auto"/>
              <w:ind w:left="527" w:hanging="357"/>
              <w:contextualSpacing w:val="0"/>
              <w:rPr>
                <w:rFonts w:ascii="Arial" w:hAnsi="Arial" w:cs="Arial"/>
                <w:sz w:val="16"/>
                <w:szCs w:val="16"/>
              </w:rPr>
            </w:pPr>
            <w:r w:rsidRPr="00454E78">
              <w:rPr>
                <w:rFonts w:ascii="Arial" w:hAnsi="Arial" w:cs="Arial"/>
                <w:sz w:val="16"/>
                <w:szCs w:val="16"/>
              </w:rPr>
              <w:t>Finance leads approach to business cases working jointly with provider hubs and Services Australia to support further adoption of shared services and common corporate platform (</w:t>
            </w:r>
            <w:proofErr w:type="spellStart"/>
            <w:r w:rsidRPr="00454E78">
              <w:rPr>
                <w:rFonts w:ascii="Arial" w:hAnsi="Arial" w:cs="Arial"/>
                <w:sz w:val="16"/>
                <w:szCs w:val="16"/>
              </w:rPr>
              <w:t>GovERP</w:t>
            </w:r>
            <w:proofErr w:type="spellEnd"/>
            <w:r w:rsidRPr="00454E78">
              <w:rPr>
                <w:rFonts w:ascii="Arial" w:hAnsi="Arial" w:cs="Arial"/>
                <w:sz w:val="16"/>
                <w:szCs w:val="16"/>
              </w:rPr>
              <w:t>)</w:t>
            </w:r>
            <w:r w:rsidR="00FB4106">
              <w:rPr>
                <w:rFonts w:ascii="Arial" w:hAnsi="Arial" w:cs="Arial"/>
                <w:sz w:val="16"/>
                <w:szCs w:val="16"/>
              </w:rPr>
              <w:t>.</w:t>
            </w:r>
          </w:p>
          <w:p w14:paraId="7C179E72" w14:textId="364DEED0" w:rsidR="00454E78" w:rsidRPr="003A7F84" w:rsidRDefault="00454E78" w:rsidP="00FB4106">
            <w:pPr>
              <w:tabs>
                <w:tab w:val="left" w:pos="709"/>
              </w:tabs>
              <w:autoSpaceDE w:val="0"/>
              <w:autoSpaceDN w:val="0"/>
              <w:adjustRightInd w:val="0"/>
              <w:spacing w:before="60" w:after="60" w:line="240" w:lineRule="auto"/>
              <w:rPr>
                <w:rFonts w:ascii="Arial" w:hAnsi="Arial" w:cs="Arial"/>
                <w:sz w:val="16"/>
                <w:szCs w:val="16"/>
              </w:rPr>
            </w:pPr>
            <w:r w:rsidRPr="00572A0B">
              <w:rPr>
                <w:rFonts w:ascii="Arial" w:eastAsia="Arial" w:hAnsi="Arial" w:cs="Arial"/>
                <w:sz w:val="16"/>
                <w:szCs w:val="16"/>
              </w:rPr>
              <w:t>Benchmarking data on corporate services are available and provide valuable insight for decision-making on consolidation and standardisation of corporate servic</w:t>
            </w:r>
            <w:r w:rsidR="00572A0B">
              <w:rPr>
                <w:rFonts w:ascii="Arial" w:eastAsia="Arial" w:hAnsi="Arial" w:cs="Arial"/>
                <w:sz w:val="16"/>
                <w:szCs w:val="16"/>
              </w:rPr>
              <w:t>e</w:t>
            </w:r>
            <w:r w:rsidR="00744546">
              <w:rPr>
                <w:rFonts w:ascii="Arial" w:eastAsia="Arial" w:hAnsi="Arial" w:cs="Arial"/>
                <w:sz w:val="16"/>
                <w:szCs w:val="16"/>
              </w:rPr>
              <w:t xml:space="preserve">s functions (baseline expected </w:t>
            </w:r>
            <w:r w:rsidR="00744546">
              <w:rPr>
                <w:rFonts w:ascii="Arial" w:eastAsia="Arial" w:hAnsi="Arial" w:cs="Arial"/>
                <w:sz w:val="16"/>
                <w:szCs w:val="16"/>
              </w:rPr>
              <w:br/>
            </w:r>
            <w:r w:rsidRPr="00572A0B">
              <w:rPr>
                <w:rFonts w:ascii="Arial" w:eastAsia="Arial" w:hAnsi="Arial" w:cs="Arial"/>
                <w:sz w:val="16"/>
                <w:szCs w:val="16"/>
              </w:rPr>
              <w:t>2022-23)</w:t>
            </w:r>
            <w:r w:rsidR="00FB4106">
              <w:rPr>
                <w:rFonts w:ascii="Arial" w:eastAsia="Arial" w:hAnsi="Arial" w:cs="Arial"/>
                <w:sz w:val="16"/>
                <w:szCs w:val="16"/>
              </w:rPr>
              <w:t>.</w:t>
            </w:r>
          </w:p>
        </w:tc>
      </w:tr>
    </w:tbl>
    <w:p w14:paraId="12B211DE" w14:textId="51D3B727" w:rsidR="003A2E7D" w:rsidRPr="00454E78" w:rsidRDefault="00F0167C" w:rsidP="00454E78">
      <w:pPr>
        <w:pStyle w:val="TableHeading"/>
        <w:spacing w:before="0" w:after="0"/>
        <w:ind w:right="-113"/>
      </w:pPr>
      <w:r w:rsidRPr="002D353C">
        <w:rPr>
          <w:b w:val="0"/>
          <w:color w:val="000000"/>
          <w:sz w:val="16"/>
          <w:lang w:val="x-none" w:eastAsia="x-none"/>
        </w:rPr>
        <w:t>Table continu</w:t>
      </w:r>
      <w:r w:rsidR="003A2E7D">
        <w:rPr>
          <w:b w:val="0"/>
          <w:color w:val="000000"/>
          <w:sz w:val="16"/>
          <w:lang w:val="x-none" w:eastAsia="x-none"/>
        </w:rPr>
        <w:t>es on next page</w:t>
      </w:r>
      <w:r w:rsidR="003A2E7D">
        <w:rPr>
          <w:b w:val="0"/>
          <w:color w:val="000000"/>
          <w:sz w:val="16"/>
          <w:lang w:val="x-none" w:eastAsia="x-none"/>
        </w:rPr>
        <w:br w:type="page"/>
      </w:r>
    </w:p>
    <w:p w14:paraId="63CC629D" w14:textId="63A522F8" w:rsidR="003A2E7D" w:rsidRDefault="003A2E7D" w:rsidP="003A2E7D">
      <w:pPr>
        <w:pStyle w:val="TableHeading"/>
      </w:pPr>
      <w:r w:rsidRPr="003A2E7D">
        <w:lastRenderedPageBreak/>
        <w:t>Table 2.2.2: Performance measure for Outcome 2 (continued)</w:t>
      </w:r>
    </w:p>
    <w:tbl>
      <w:tblPr>
        <w:tblpPr w:leftFromText="180" w:rightFromText="180" w:vertAnchor="text" w:tblpY="1"/>
        <w:tblOverlap w:val="never"/>
        <w:tblW w:w="7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290"/>
        <w:gridCol w:w="4091"/>
      </w:tblGrid>
      <w:tr w:rsidR="00A3076F" w:rsidRPr="00ED5B0C" w14:paraId="0AD294F9" w14:textId="77777777" w:rsidTr="000408A3">
        <w:trPr>
          <w:trHeight w:val="527"/>
        </w:trPr>
        <w:tc>
          <w:tcPr>
            <w:tcW w:w="7795" w:type="dxa"/>
            <w:gridSpan w:val="3"/>
            <w:tcBorders>
              <w:top w:val="single" w:sz="4" w:space="0" w:color="auto"/>
              <w:left w:val="single" w:sz="4" w:space="0" w:color="auto"/>
              <w:bottom w:val="single" w:sz="4" w:space="0" w:color="auto"/>
              <w:right w:val="single" w:sz="4" w:space="0" w:color="auto"/>
            </w:tcBorders>
            <w:shd w:val="clear" w:color="auto" w:fill="F2F2F2"/>
          </w:tcPr>
          <w:p w14:paraId="2676E875" w14:textId="77777777" w:rsidR="00A3076F" w:rsidRPr="003A2E7D" w:rsidRDefault="00A3076F" w:rsidP="006D2B96">
            <w:pPr>
              <w:tabs>
                <w:tab w:val="left" w:pos="709"/>
              </w:tabs>
              <w:spacing w:before="60" w:after="60" w:line="240" w:lineRule="auto"/>
              <w:rPr>
                <w:rFonts w:ascii="Arial" w:hAnsi="Arial"/>
                <w:b/>
                <w:sz w:val="16"/>
                <w:szCs w:val="16"/>
              </w:rPr>
            </w:pPr>
            <w:r w:rsidRPr="003A2E7D">
              <w:rPr>
                <w:rFonts w:ascii="Arial" w:hAnsi="Arial"/>
                <w:b/>
                <w:sz w:val="16"/>
                <w:szCs w:val="16"/>
              </w:rPr>
              <w:t>Program 2.6 – Service Delivery Office</w:t>
            </w:r>
          </w:p>
          <w:p w14:paraId="3AC0A04E" w14:textId="77777777" w:rsidR="00A3076F" w:rsidRPr="00ED5B0C" w:rsidRDefault="00A3076F" w:rsidP="006D2B96">
            <w:pPr>
              <w:tabs>
                <w:tab w:val="left" w:pos="709"/>
              </w:tabs>
              <w:spacing w:before="60" w:after="60" w:line="240" w:lineRule="auto"/>
              <w:rPr>
                <w:rFonts w:ascii="Arial" w:hAnsi="Arial" w:cs="Arial"/>
                <w:sz w:val="16"/>
                <w:szCs w:val="16"/>
              </w:rPr>
            </w:pPr>
            <w:r w:rsidRPr="003A2E7D">
              <w:rPr>
                <w:rFonts w:ascii="Arial" w:hAnsi="Arial"/>
                <w:sz w:val="16"/>
                <w:szCs w:val="16"/>
              </w:rPr>
              <w:t>This program contributes to the outcome through providing a range of corporate services to Australian Government entities.</w:t>
            </w:r>
          </w:p>
        </w:tc>
      </w:tr>
      <w:tr w:rsidR="00A3076F" w:rsidRPr="00361E69" w14:paraId="791B4302" w14:textId="77777777" w:rsidTr="000408A3">
        <w:trPr>
          <w:trHeight w:val="312"/>
        </w:trPr>
        <w:tc>
          <w:tcPr>
            <w:tcW w:w="1414" w:type="dxa"/>
            <w:tcBorders>
              <w:top w:val="single" w:sz="4" w:space="0" w:color="auto"/>
              <w:bottom w:val="single" w:sz="4" w:space="0" w:color="auto"/>
              <w:right w:val="single" w:sz="4" w:space="0" w:color="auto"/>
            </w:tcBorders>
            <w:shd w:val="clear" w:color="auto" w:fill="auto"/>
          </w:tcPr>
          <w:p w14:paraId="4BA9D69E" w14:textId="77777777" w:rsidR="00A3076F" w:rsidRPr="00361E69" w:rsidRDefault="00A3076F" w:rsidP="006D2B96">
            <w:pPr>
              <w:tabs>
                <w:tab w:val="left" w:pos="709"/>
              </w:tabs>
              <w:spacing w:before="60" w:after="60" w:line="240" w:lineRule="auto"/>
              <w:rPr>
                <w:rFonts w:ascii="Arial" w:hAnsi="Arial" w:cs="Arial"/>
                <w:b/>
                <w:bCs/>
                <w:sz w:val="16"/>
                <w:szCs w:val="16"/>
              </w:rPr>
            </w:pPr>
            <w:r w:rsidRPr="1362A57E">
              <w:rPr>
                <w:rFonts w:ascii="Arial" w:hAnsi="Arial" w:cs="Arial"/>
                <w:b/>
                <w:bCs/>
                <w:sz w:val="16"/>
                <w:szCs w:val="16"/>
              </w:rPr>
              <w:t>Year</w:t>
            </w:r>
          </w:p>
        </w:tc>
        <w:tc>
          <w:tcPr>
            <w:tcW w:w="2290" w:type="dxa"/>
            <w:tcBorders>
              <w:top w:val="single" w:sz="4" w:space="0" w:color="auto"/>
              <w:left w:val="single" w:sz="4" w:space="0" w:color="auto"/>
              <w:bottom w:val="single" w:sz="4" w:space="0" w:color="auto"/>
              <w:right w:val="single" w:sz="4" w:space="0" w:color="auto"/>
            </w:tcBorders>
            <w:shd w:val="clear" w:color="auto" w:fill="auto"/>
          </w:tcPr>
          <w:p w14:paraId="4D9B5426" w14:textId="77777777" w:rsidR="00A3076F" w:rsidRPr="00361E69" w:rsidRDefault="00A3076F" w:rsidP="006D2B96">
            <w:pPr>
              <w:tabs>
                <w:tab w:val="left" w:pos="709"/>
                <w:tab w:val="center" w:pos="1818"/>
              </w:tabs>
              <w:spacing w:before="60" w:after="60" w:line="240" w:lineRule="auto"/>
              <w:rPr>
                <w:rFonts w:ascii="Arial" w:hAnsi="Arial" w:cs="Arial"/>
                <w:b/>
                <w:bCs/>
                <w:sz w:val="16"/>
                <w:szCs w:val="16"/>
              </w:rPr>
            </w:pPr>
            <w:r w:rsidRPr="1362A57E">
              <w:rPr>
                <w:rFonts w:ascii="Arial" w:hAnsi="Arial" w:cs="Arial"/>
                <w:b/>
                <w:bCs/>
                <w:sz w:val="16"/>
                <w:szCs w:val="16"/>
              </w:rPr>
              <w:t>Performance measures</w:t>
            </w:r>
          </w:p>
        </w:tc>
        <w:tc>
          <w:tcPr>
            <w:tcW w:w="4091" w:type="dxa"/>
            <w:tcBorders>
              <w:top w:val="single" w:sz="4" w:space="0" w:color="auto"/>
              <w:left w:val="single" w:sz="4" w:space="0" w:color="auto"/>
              <w:bottom w:val="single" w:sz="4" w:space="0" w:color="auto"/>
            </w:tcBorders>
            <w:shd w:val="clear" w:color="auto" w:fill="auto"/>
          </w:tcPr>
          <w:p w14:paraId="5AF80D18" w14:textId="77777777" w:rsidR="00A3076F" w:rsidRPr="00361E69" w:rsidRDefault="00A3076F" w:rsidP="006D2B96">
            <w:pPr>
              <w:tabs>
                <w:tab w:val="left" w:pos="709"/>
              </w:tabs>
              <w:spacing w:before="60" w:after="60" w:line="240" w:lineRule="auto"/>
              <w:rPr>
                <w:rFonts w:ascii="Arial" w:hAnsi="Arial" w:cs="Arial"/>
                <w:b/>
                <w:bCs/>
                <w:sz w:val="16"/>
                <w:szCs w:val="16"/>
              </w:rPr>
            </w:pPr>
            <w:r w:rsidRPr="1362A57E">
              <w:rPr>
                <w:rFonts w:ascii="Arial" w:hAnsi="Arial" w:cs="Arial"/>
                <w:b/>
                <w:bCs/>
                <w:sz w:val="16"/>
                <w:szCs w:val="16"/>
              </w:rPr>
              <w:t>Expected Performance Results</w:t>
            </w:r>
          </w:p>
        </w:tc>
      </w:tr>
      <w:tr w:rsidR="00A3076F" w:rsidRPr="009415D5" w14:paraId="33F4E3B9" w14:textId="77777777" w:rsidTr="000408A3">
        <w:trPr>
          <w:trHeight w:val="1999"/>
        </w:trPr>
        <w:tc>
          <w:tcPr>
            <w:tcW w:w="1414" w:type="dxa"/>
            <w:tcBorders>
              <w:top w:val="single" w:sz="4" w:space="0" w:color="auto"/>
              <w:left w:val="single" w:sz="4" w:space="0" w:color="auto"/>
              <w:bottom w:val="nil"/>
              <w:right w:val="single" w:sz="4" w:space="0" w:color="auto"/>
            </w:tcBorders>
            <w:shd w:val="clear" w:color="auto" w:fill="auto"/>
          </w:tcPr>
          <w:p w14:paraId="133BA758" w14:textId="77777777" w:rsidR="00FB4106" w:rsidRDefault="00A3076F" w:rsidP="00FB4106">
            <w:pPr>
              <w:pStyle w:val="TableTextLeft"/>
              <w:spacing w:before="60" w:after="60"/>
              <w:rPr>
                <w:rFonts w:cs="Arial"/>
                <w:szCs w:val="16"/>
              </w:rPr>
            </w:pPr>
            <w:r w:rsidRPr="00BB5846">
              <w:rPr>
                <w:rFonts w:cs="Arial"/>
                <w:szCs w:val="16"/>
              </w:rPr>
              <w:t xml:space="preserve">Forward Estimates </w:t>
            </w:r>
          </w:p>
          <w:p w14:paraId="25E69625" w14:textId="59C91BC8" w:rsidR="00A3076F" w:rsidRPr="00361E69" w:rsidRDefault="00A3076F" w:rsidP="00FB4106">
            <w:pPr>
              <w:pStyle w:val="TableTextLeft"/>
              <w:spacing w:before="60" w:after="60"/>
              <w:rPr>
                <w:rFonts w:cs="Arial"/>
                <w:szCs w:val="16"/>
              </w:rPr>
            </w:pPr>
            <w:r>
              <w:rPr>
                <w:rFonts w:cs="Arial"/>
                <w:szCs w:val="16"/>
              </w:rPr>
              <w:t>2</w:t>
            </w:r>
            <w:r w:rsidRPr="00BB5846">
              <w:rPr>
                <w:rFonts w:cs="Arial"/>
                <w:szCs w:val="16"/>
              </w:rPr>
              <w:t>023-26</w:t>
            </w:r>
            <w:r w:rsidRPr="006B7BE5">
              <w:rPr>
                <w:rFonts w:cs="Arial"/>
                <w:szCs w:val="16"/>
              </w:rPr>
              <w:t xml:space="preserve"> </w:t>
            </w:r>
          </w:p>
        </w:tc>
        <w:tc>
          <w:tcPr>
            <w:tcW w:w="2290" w:type="dxa"/>
            <w:tcBorders>
              <w:top w:val="single" w:sz="4" w:space="0" w:color="auto"/>
              <w:left w:val="single" w:sz="4" w:space="0" w:color="auto"/>
              <w:bottom w:val="dotted" w:sz="4" w:space="0" w:color="auto"/>
              <w:right w:val="single" w:sz="4" w:space="0" w:color="auto"/>
            </w:tcBorders>
            <w:shd w:val="clear" w:color="auto" w:fill="auto"/>
          </w:tcPr>
          <w:p w14:paraId="1A1ACB02" w14:textId="77777777" w:rsidR="00A3076F" w:rsidRPr="006F0EA1" w:rsidRDefault="00A3076F" w:rsidP="006D2B96">
            <w:pPr>
              <w:tabs>
                <w:tab w:val="left" w:pos="709"/>
              </w:tabs>
              <w:suppressAutoHyphens/>
              <w:spacing w:before="60" w:after="60" w:line="240" w:lineRule="auto"/>
              <w:rPr>
                <w:rFonts w:ascii="Arial" w:eastAsia="Arial" w:hAnsi="Arial" w:cs="Arial"/>
                <w:b/>
                <w:sz w:val="16"/>
                <w:szCs w:val="16"/>
              </w:rPr>
            </w:pPr>
            <w:r w:rsidRPr="006F0EA1">
              <w:rPr>
                <w:rFonts w:ascii="Arial" w:eastAsia="Arial" w:hAnsi="Arial" w:cs="Arial"/>
                <w:b/>
                <w:sz w:val="16"/>
                <w:szCs w:val="16"/>
              </w:rPr>
              <w:t>Shared services hub meets clients’ needs</w:t>
            </w:r>
          </w:p>
          <w:p w14:paraId="10EABCBC" w14:textId="77777777" w:rsidR="00A3076F" w:rsidRDefault="00A3076F" w:rsidP="006D2B96">
            <w:pPr>
              <w:tabs>
                <w:tab w:val="left" w:pos="709"/>
              </w:tabs>
              <w:suppressAutoHyphens/>
              <w:spacing w:before="60" w:after="60" w:line="240" w:lineRule="auto"/>
              <w:rPr>
                <w:rFonts w:ascii="Arial" w:eastAsia="Arial" w:hAnsi="Arial" w:cs="Arial"/>
                <w:sz w:val="16"/>
                <w:szCs w:val="16"/>
              </w:rPr>
            </w:pPr>
            <w:r w:rsidRPr="006F0EA1">
              <w:rPr>
                <w:rFonts w:ascii="Arial" w:eastAsia="Arial" w:hAnsi="Arial" w:cs="Arial"/>
                <w:sz w:val="16"/>
                <w:szCs w:val="16"/>
              </w:rPr>
              <w:t>As a Shared Services hub, the SDO provides quality and efficient services to client entities.</w:t>
            </w:r>
          </w:p>
          <w:p w14:paraId="185723D5" w14:textId="77777777" w:rsidR="00A3076F" w:rsidRPr="006B7BE5" w:rsidRDefault="00A3076F" w:rsidP="006D2B96">
            <w:pPr>
              <w:spacing w:before="60" w:after="60" w:line="240" w:lineRule="auto"/>
              <w:rPr>
                <w:rFonts w:ascii="Arial" w:eastAsia="Arial" w:hAnsi="Arial" w:cs="Arial"/>
                <w:sz w:val="16"/>
                <w:szCs w:val="16"/>
              </w:rPr>
            </w:pPr>
          </w:p>
        </w:tc>
        <w:tc>
          <w:tcPr>
            <w:tcW w:w="4091" w:type="dxa"/>
            <w:tcBorders>
              <w:top w:val="single" w:sz="4" w:space="0" w:color="auto"/>
              <w:left w:val="single" w:sz="4" w:space="0" w:color="auto"/>
              <w:bottom w:val="dotted" w:sz="4" w:space="0" w:color="auto"/>
              <w:right w:val="single" w:sz="4" w:space="0" w:color="auto"/>
            </w:tcBorders>
            <w:shd w:val="clear" w:color="auto" w:fill="auto"/>
          </w:tcPr>
          <w:p w14:paraId="62066A4F" w14:textId="77777777" w:rsidR="00A3076F" w:rsidRPr="006F0EA1" w:rsidRDefault="00A3076F" w:rsidP="00FB4106">
            <w:pPr>
              <w:tabs>
                <w:tab w:val="left" w:pos="709"/>
              </w:tabs>
              <w:suppressAutoHyphens/>
              <w:spacing w:before="60" w:after="60" w:line="240" w:lineRule="auto"/>
              <w:rPr>
                <w:rFonts w:ascii="Arial" w:eastAsia="Arial" w:hAnsi="Arial" w:cs="Arial"/>
                <w:sz w:val="16"/>
                <w:szCs w:val="16"/>
              </w:rPr>
            </w:pPr>
            <w:r w:rsidRPr="006F0EA1">
              <w:rPr>
                <w:rFonts w:ascii="Arial" w:eastAsia="Arial" w:hAnsi="Arial" w:cs="Arial"/>
                <w:sz w:val="16"/>
                <w:szCs w:val="16"/>
              </w:rPr>
              <w:t>Service level agreements with client entities, including measurement of efficiency and effectiveness of services are met including:</w:t>
            </w:r>
          </w:p>
          <w:p w14:paraId="2B2940ED" w14:textId="70FC3DB7" w:rsidR="00A3076F" w:rsidRPr="00EF4DB2" w:rsidRDefault="00A3076F" w:rsidP="00C8474A">
            <w:pPr>
              <w:pStyle w:val="ListParagraph"/>
              <w:numPr>
                <w:ilvl w:val="0"/>
                <w:numId w:val="59"/>
              </w:numPr>
              <w:autoSpaceDE w:val="0"/>
              <w:autoSpaceDN w:val="0"/>
              <w:adjustRightInd w:val="0"/>
              <w:spacing w:before="60" w:after="60" w:line="240" w:lineRule="auto"/>
              <w:ind w:left="527" w:hanging="357"/>
              <w:contextualSpacing w:val="0"/>
              <w:rPr>
                <w:rFonts w:ascii="Arial" w:hAnsi="Arial" w:cs="Arial"/>
                <w:sz w:val="16"/>
                <w:szCs w:val="16"/>
              </w:rPr>
            </w:pPr>
            <w:r w:rsidRPr="00EF4DB2">
              <w:rPr>
                <w:rFonts w:ascii="Arial" w:hAnsi="Arial" w:cs="Arial"/>
                <w:sz w:val="16"/>
                <w:szCs w:val="16"/>
              </w:rPr>
              <w:t>Average resolution ti</w:t>
            </w:r>
            <w:r w:rsidR="003959E6">
              <w:rPr>
                <w:rFonts w:ascii="Arial" w:hAnsi="Arial" w:cs="Arial"/>
                <w:sz w:val="16"/>
                <w:szCs w:val="16"/>
              </w:rPr>
              <w:t>me of client request of 10 days.</w:t>
            </w:r>
          </w:p>
          <w:p w14:paraId="68AC90F9" w14:textId="128DB9E8" w:rsidR="00A3076F" w:rsidRPr="00EF4DB2" w:rsidRDefault="00A3076F" w:rsidP="00C8474A">
            <w:pPr>
              <w:pStyle w:val="ListParagraph"/>
              <w:numPr>
                <w:ilvl w:val="0"/>
                <w:numId w:val="59"/>
              </w:numPr>
              <w:autoSpaceDE w:val="0"/>
              <w:autoSpaceDN w:val="0"/>
              <w:adjustRightInd w:val="0"/>
              <w:spacing w:before="60" w:after="60" w:line="240" w:lineRule="auto"/>
              <w:ind w:left="527" w:hanging="357"/>
              <w:contextualSpacing w:val="0"/>
              <w:rPr>
                <w:rFonts w:ascii="Arial" w:hAnsi="Arial" w:cs="Arial"/>
                <w:sz w:val="16"/>
                <w:szCs w:val="16"/>
              </w:rPr>
            </w:pPr>
            <w:r w:rsidRPr="00EF4DB2">
              <w:rPr>
                <w:rFonts w:ascii="Arial" w:hAnsi="Arial" w:cs="Arial"/>
                <w:sz w:val="16"/>
                <w:szCs w:val="16"/>
              </w:rPr>
              <w:t>Increased year-on-year rating</w:t>
            </w:r>
            <w:r w:rsidR="003959E6">
              <w:rPr>
                <w:rFonts w:ascii="Arial" w:hAnsi="Arial" w:cs="Arial"/>
                <w:sz w:val="16"/>
                <w:szCs w:val="16"/>
              </w:rPr>
              <w:t xml:space="preserve"> in client satisfaction surveys.</w:t>
            </w:r>
          </w:p>
          <w:p w14:paraId="3F42883C" w14:textId="77777777" w:rsidR="00A3076F" w:rsidRPr="003959E6" w:rsidRDefault="00A3076F" w:rsidP="003959E6">
            <w:pPr>
              <w:autoSpaceDE w:val="0"/>
              <w:autoSpaceDN w:val="0"/>
              <w:adjustRightInd w:val="0"/>
              <w:spacing w:before="60" w:after="60" w:line="240" w:lineRule="auto"/>
              <w:rPr>
                <w:rFonts w:ascii="Arial" w:hAnsi="Arial" w:cs="Arial"/>
                <w:sz w:val="16"/>
                <w:szCs w:val="16"/>
              </w:rPr>
            </w:pPr>
            <w:r w:rsidRPr="003959E6">
              <w:rPr>
                <w:rFonts w:ascii="Arial" w:hAnsi="Arial" w:cs="Arial"/>
                <w:sz w:val="16"/>
                <w:szCs w:val="16"/>
              </w:rPr>
              <w:t>The benefits of shared, standard and sustainable ERP technologies and business processes are realised:</w:t>
            </w:r>
          </w:p>
          <w:p w14:paraId="76712F39" w14:textId="1BCC66B8" w:rsidR="00A3076F" w:rsidRPr="00EF4DB2" w:rsidRDefault="00A3076F" w:rsidP="00C8474A">
            <w:pPr>
              <w:pStyle w:val="ListParagraph"/>
              <w:numPr>
                <w:ilvl w:val="0"/>
                <w:numId w:val="59"/>
              </w:numPr>
              <w:autoSpaceDE w:val="0"/>
              <w:autoSpaceDN w:val="0"/>
              <w:adjustRightInd w:val="0"/>
              <w:spacing w:before="60" w:after="60" w:line="240" w:lineRule="auto"/>
              <w:ind w:left="527" w:hanging="357"/>
              <w:contextualSpacing w:val="0"/>
              <w:rPr>
                <w:rFonts w:ascii="Arial" w:hAnsi="Arial" w:cs="Arial"/>
                <w:sz w:val="16"/>
                <w:szCs w:val="16"/>
              </w:rPr>
            </w:pPr>
            <w:r w:rsidRPr="00EF4DB2">
              <w:rPr>
                <w:rFonts w:ascii="Arial" w:hAnsi="Arial" w:cs="Arial"/>
                <w:sz w:val="16"/>
                <w:szCs w:val="16"/>
              </w:rPr>
              <w:t xml:space="preserve">Increased client uptake of SDOs shared ERP technology solution, known as HUB (year-on-year increase) (target in place until end </w:t>
            </w:r>
            <w:r w:rsidR="003959E6">
              <w:rPr>
                <w:rFonts w:ascii="Arial" w:hAnsi="Arial" w:cs="Arial"/>
                <w:sz w:val="16"/>
                <w:szCs w:val="16"/>
              </w:rPr>
              <w:br/>
            </w:r>
            <w:r w:rsidRPr="00EF4DB2">
              <w:rPr>
                <w:rFonts w:ascii="Arial" w:hAnsi="Arial" w:cs="Arial"/>
                <w:sz w:val="16"/>
                <w:szCs w:val="16"/>
              </w:rPr>
              <w:t>2023-24)</w:t>
            </w:r>
            <w:r w:rsidR="003959E6">
              <w:rPr>
                <w:rFonts w:ascii="Arial" w:hAnsi="Arial" w:cs="Arial"/>
                <w:sz w:val="16"/>
                <w:szCs w:val="16"/>
              </w:rPr>
              <w:t>.</w:t>
            </w:r>
          </w:p>
          <w:p w14:paraId="6F2D9E35" w14:textId="77777777" w:rsidR="00A3076F" w:rsidRPr="00EF4DB2" w:rsidRDefault="00A3076F" w:rsidP="00C8474A">
            <w:pPr>
              <w:pStyle w:val="ListParagraph"/>
              <w:numPr>
                <w:ilvl w:val="0"/>
                <w:numId w:val="59"/>
              </w:numPr>
              <w:autoSpaceDE w:val="0"/>
              <w:autoSpaceDN w:val="0"/>
              <w:adjustRightInd w:val="0"/>
              <w:spacing w:before="60" w:after="60" w:line="240" w:lineRule="auto"/>
              <w:ind w:left="527" w:hanging="357"/>
              <w:contextualSpacing w:val="0"/>
              <w:rPr>
                <w:rFonts w:ascii="Arial" w:hAnsi="Arial" w:cs="Arial"/>
                <w:sz w:val="16"/>
                <w:szCs w:val="16"/>
              </w:rPr>
            </w:pPr>
            <w:r w:rsidRPr="00EF4DB2">
              <w:rPr>
                <w:rFonts w:ascii="Arial" w:hAnsi="Arial" w:cs="Arial"/>
                <w:sz w:val="16"/>
                <w:szCs w:val="16"/>
              </w:rPr>
              <w:t xml:space="preserve">Increased client adoption of end-to-end </w:t>
            </w:r>
            <w:proofErr w:type="spellStart"/>
            <w:r w:rsidRPr="00EF4DB2">
              <w:rPr>
                <w:rFonts w:ascii="Arial" w:hAnsi="Arial" w:cs="Arial"/>
                <w:sz w:val="16"/>
                <w:szCs w:val="16"/>
              </w:rPr>
              <w:t>WoAG</w:t>
            </w:r>
            <w:proofErr w:type="spellEnd"/>
            <w:r w:rsidRPr="00EF4DB2">
              <w:rPr>
                <w:rFonts w:ascii="Arial" w:hAnsi="Arial" w:cs="Arial"/>
                <w:sz w:val="16"/>
                <w:szCs w:val="16"/>
              </w:rPr>
              <w:t xml:space="preserve"> business processes (year-on-year increase)</w:t>
            </w:r>
          </w:p>
          <w:p w14:paraId="441B44E0" w14:textId="77777777" w:rsidR="00A3076F" w:rsidRPr="00EF4DB2" w:rsidRDefault="00A3076F" w:rsidP="003959E6">
            <w:pPr>
              <w:autoSpaceDE w:val="0"/>
              <w:autoSpaceDN w:val="0"/>
              <w:adjustRightInd w:val="0"/>
              <w:spacing w:before="60" w:after="60" w:line="240" w:lineRule="auto"/>
              <w:rPr>
                <w:rFonts w:ascii="Arial" w:hAnsi="Arial" w:cs="Arial"/>
                <w:sz w:val="16"/>
                <w:szCs w:val="16"/>
              </w:rPr>
            </w:pPr>
            <w:r w:rsidRPr="00EF4DB2">
              <w:rPr>
                <w:rFonts w:ascii="Arial" w:hAnsi="Arial" w:cs="Arial"/>
                <w:sz w:val="16"/>
                <w:szCs w:val="16"/>
              </w:rPr>
              <w:t xml:space="preserve">SDO and its client agencies adopt the </w:t>
            </w:r>
            <w:proofErr w:type="spellStart"/>
            <w:r w:rsidRPr="00EF4DB2">
              <w:rPr>
                <w:rFonts w:ascii="Arial" w:hAnsi="Arial" w:cs="Arial"/>
                <w:sz w:val="16"/>
                <w:szCs w:val="16"/>
              </w:rPr>
              <w:t>WoAG</w:t>
            </w:r>
            <w:proofErr w:type="spellEnd"/>
            <w:r w:rsidRPr="00EF4DB2">
              <w:rPr>
                <w:rFonts w:ascii="Arial" w:hAnsi="Arial" w:cs="Arial"/>
                <w:sz w:val="16"/>
                <w:szCs w:val="16"/>
              </w:rPr>
              <w:t xml:space="preserve"> ERP platform, </w:t>
            </w:r>
            <w:proofErr w:type="spellStart"/>
            <w:r w:rsidRPr="00EF4DB2">
              <w:rPr>
                <w:rFonts w:ascii="Arial" w:hAnsi="Arial" w:cs="Arial"/>
                <w:sz w:val="16"/>
                <w:szCs w:val="16"/>
              </w:rPr>
              <w:t>GovERP</w:t>
            </w:r>
            <w:proofErr w:type="spellEnd"/>
            <w:r w:rsidRPr="00EF4DB2">
              <w:rPr>
                <w:rFonts w:ascii="Arial" w:hAnsi="Arial" w:cs="Arial"/>
                <w:sz w:val="16"/>
                <w:szCs w:val="16"/>
              </w:rPr>
              <w:t>:</w:t>
            </w:r>
          </w:p>
          <w:p w14:paraId="652E1552" w14:textId="0B622E10" w:rsidR="00A3076F" w:rsidRPr="00EF4DB2" w:rsidRDefault="00A3076F" w:rsidP="00C8474A">
            <w:pPr>
              <w:pStyle w:val="ListParagraph"/>
              <w:numPr>
                <w:ilvl w:val="0"/>
                <w:numId w:val="59"/>
              </w:numPr>
              <w:autoSpaceDE w:val="0"/>
              <w:autoSpaceDN w:val="0"/>
              <w:adjustRightInd w:val="0"/>
              <w:spacing w:before="60" w:after="60" w:line="240" w:lineRule="auto"/>
              <w:ind w:left="527" w:hanging="357"/>
              <w:contextualSpacing w:val="0"/>
              <w:rPr>
                <w:rFonts w:ascii="Arial" w:hAnsi="Arial" w:cs="Arial"/>
                <w:sz w:val="16"/>
                <w:szCs w:val="16"/>
              </w:rPr>
            </w:pPr>
            <w:r w:rsidRPr="00EF4DB2">
              <w:rPr>
                <w:rFonts w:ascii="Arial" w:hAnsi="Arial" w:cs="Arial"/>
                <w:sz w:val="16"/>
                <w:szCs w:val="16"/>
              </w:rPr>
              <w:t xml:space="preserve">Facilitating SDO client agencies on-boarding to </w:t>
            </w:r>
            <w:proofErr w:type="spellStart"/>
            <w:r w:rsidRPr="00EF4DB2">
              <w:rPr>
                <w:rFonts w:ascii="Arial" w:hAnsi="Arial" w:cs="Arial"/>
                <w:sz w:val="16"/>
                <w:szCs w:val="16"/>
              </w:rPr>
              <w:t>GovERP</w:t>
            </w:r>
            <w:proofErr w:type="spellEnd"/>
            <w:r w:rsidR="003959E6">
              <w:rPr>
                <w:rFonts w:ascii="Arial" w:hAnsi="Arial" w:cs="Arial"/>
                <w:sz w:val="16"/>
                <w:szCs w:val="16"/>
              </w:rPr>
              <w:t>.</w:t>
            </w:r>
          </w:p>
        </w:tc>
      </w:tr>
      <w:tr w:rsidR="00A3076F" w:rsidRPr="009415D5" w14:paraId="1B93901A" w14:textId="77777777" w:rsidTr="00A3076F">
        <w:trPr>
          <w:trHeight w:val="70"/>
        </w:trPr>
        <w:tc>
          <w:tcPr>
            <w:tcW w:w="1414" w:type="dxa"/>
            <w:tcBorders>
              <w:top w:val="nil"/>
              <w:left w:val="single" w:sz="4" w:space="0" w:color="auto"/>
              <w:bottom w:val="single" w:sz="4" w:space="0" w:color="auto"/>
              <w:right w:val="single" w:sz="4" w:space="0" w:color="auto"/>
            </w:tcBorders>
            <w:shd w:val="clear" w:color="auto" w:fill="auto"/>
          </w:tcPr>
          <w:p w14:paraId="54D1107D" w14:textId="77777777" w:rsidR="00A3076F" w:rsidRPr="005612F7" w:rsidRDefault="00A3076F" w:rsidP="006D2B96">
            <w:pPr>
              <w:pStyle w:val="TableTextLeft"/>
              <w:spacing w:before="60" w:after="60"/>
              <w:rPr>
                <w:rFonts w:cs="Arial"/>
                <w:szCs w:val="16"/>
              </w:rPr>
            </w:pPr>
          </w:p>
        </w:tc>
        <w:tc>
          <w:tcPr>
            <w:tcW w:w="2290" w:type="dxa"/>
            <w:tcBorders>
              <w:top w:val="dotted" w:sz="4" w:space="0" w:color="auto"/>
              <w:left w:val="single" w:sz="4" w:space="0" w:color="auto"/>
              <w:bottom w:val="single" w:sz="4" w:space="0" w:color="auto"/>
              <w:right w:val="single" w:sz="4" w:space="0" w:color="auto"/>
            </w:tcBorders>
            <w:shd w:val="clear" w:color="auto" w:fill="auto"/>
          </w:tcPr>
          <w:p w14:paraId="737274E8" w14:textId="77777777" w:rsidR="00A3076F" w:rsidRPr="00D357ED" w:rsidRDefault="00A3076F" w:rsidP="006D2B96">
            <w:pPr>
              <w:tabs>
                <w:tab w:val="left" w:pos="709"/>
              </w:tabs>
              <w:spacing w:before="60" w:after="60" w:line="240" w:lineRule="auto"/>
              <w:rPr>
                <w:rFonts w:ascii="Arial" w:hAnsi="Arial" w:cs="Arial"/>
                <w:b/>
                <w:bCs/>
                <w:sz w:val="16"/>
                <w:szCs w:val="16"/>
              </w:rPr>
            </w:pPr>
            <w:r w:rsidRPr="00D357ED">
              <w:rPr>
                <w:rFonts w:ascii="Arial" w:hAnsi="Arial" w:cs="Arial"/>
                <w:b/>
                <w:bCs/>
                <w:sz w:val="16"/>
                <w:szCs w:val="16"/>
              </w:rPr>
              <w:t>Shared services policy – corporate services</w:t>
            </w:r>
          </w:p>
          <w:p w14:paraId="08FBDEE5" w14:textId="77777777" w:rsidR="00A3076F" w:rsidRPr="00DD55D1" w:rsidRDefault="00A3076F" w:rsidP="006D2B96">
            <w:pPr>
              <w:tabs>
                <w:tab w:val="left" w:pos="709"/>
              </w:tabs>
              <w:spacing w:before="60" w:after="60" w:line="240" w:lineRule="auto"/>
              <w:rPr>
                <w:rFonts w:cs="Arial"/>
                <w:szCs w:val="16"/>
              </w:rPr>
            </w:pPr>
            <w:r w:rsidRPr="00D357ED">
              <w:rPr>
                <w:rFonts w:ascii="Arial" w:hAnsi="Arial" w:cs="Arial"/>
                <w:bCs/>
                <w:sz w:val="16"/>
                <w:szCs w:val="16"/>
              </w:rPr>
              <w:t>As per 2022-23</w:t>
            </w:r>
          </w:p>
        </w:tc>
        <w:tc>
          <w:tcPr>
            <w:tcW w:w="4091" w:type="dxa"/>
            <w:tcBorders>
              <w:top w:val="dotted" w:sz="4" w:space="0" w:color="auto"/>
              <w:left w:val="single" w:sz="4" w:space="0" w:color="auto"/>
              <w:bottom w:val="single" w:sz="4" w:space="0" w:color="auto"/>
              <w:right w:val="single" w:sz="4" w:space="0" w:color="auto"/>
            </w:tcBorders>
            <w:shd w:val="clear" w:color="auto" w:fill="auto"/>
          </w:tcPr>
          <w:p w14:paraId="41A2BF59" w14:textId="77777777" w:rsidR="00A3076F" w:rsidRPr="00F54F88" w:rsidRDefault="00A3076F" w:rsidP="006D2B96">
            <w:pPr>
              <w:tabs>
                <w:tab w:val="left" w:pos="709"/>
              </w:tabs>
              <w:spacing w:before="60" w:after="60" w:line="240" w:lineRule="auto"/>
              <w:rPr>
                <w:rFonts w:ascii="Arial" w:hAnsi="Arial" w:cs="Arial"/>
                <w:sz w:val="16"/>
                <w:szCs w:val="16"/>
              </w:rPr>
            </w:pPr>
            <w:r w:rsidRPr="00B1494B">
              <w:rPr>
                <w:rFonts w:ascii="Arial" w:eastAsia="Arial" w:hAnsi="Arial" w:cs="Arial"/>
                <w:sz w:val="16"/>
                <w:szCs w:val="16"/>
              </w:rPr>
              <w:t>As per 2022-23</w:t>
            </w:r>
          </w:p>
        </w:tc>
      </w:tr>
    </w:tbl>
    <w:tbl>
      <w:tblPr>
        <w:tblW w:w="7797" w:type="dxa"/>
        <w:tblInd w:w="-5" w:type="dxa"/>
        <w:tblBorders>
          <w:left w:val="single" w:sz="4" w:space="0" w:color="auto"/>
          <w:bottom w:val="single" w:sz="4" w:space="0" w:color="auto"/>
          <w:right w:val="single" w:sz="4" w:space="0" w:color="auto"/>
        </w:tblBorders>
        <w:tblLook w:val="04A0" w:firstRow="1" w:lastRow="0" w:firstColumn="1" w:lastColumn="0" w:noHBand="0" w:noVBand="1"/>
      </w:tblPr>
      <w:tblGrid>
        <w:gridCol w:w="7797"/>
      </w:tblGrid>
      <w:tr w:rsidR="00A3076F" w:rsidRPr="002F196B" w14:paraId="7E9E406B" w14:textId="77777777" w:rsidTr="006D2B96">
        <w:trPr>
          <w:trHeight w:val="291"/>
        </w:trPr>
        <w:tc>
          <w:tcPr>
            <w:tcW w:w="7797" w:type="dxa"/>
          </w:tcPr>
          <w:p w14:paraId="699119F8" w14:textId="39B6125F" w:rsidR="00A3076F" w:rsidRPr="002F196B" w:rsidRDefault="00A3076F" w:rsidP="006D2B96">
            <w:pPr>
              <w:tabs>
                <w:tab w:val="left" w:pos="709"/>
              </w:tabs>
              <w:spacing w:before="60" w:after="60" w:line="240" w:lineRule="auto"/>
              <w:rPr>
                <w:rFonts w:ascii="Arial" w:eastAsia="Cambria" w:hAnsi="Arial" w:cs="Arial"/>
                <w:bCs/>
                <w:iCs/>
                <w:spacing w:val="-6"/>
                <w:sz w:val="16"/>
                <w:szCs w:val="16"/>
              </w:rPr>
            </w:pPr>
            <w:r>
              <w:rPr>
                <w:rFonts w:ascii="Arial" w:hAnsi="Arial" w:cs="Arial"/>
                <w:sz w:val="16"/>
                <w:szCs w:val="16"/>
              </w:rPr>
              <w:t>Material changes to Program 2.6</w:t>
            </w:r>
            <w:r w:rsidRPr="00F24B20">
              <w:rPr>
                <w:rFonts w:ascii="Arial" w:hAnsi="Arial" w:cs="Arial"/>
                <w:sz w:val="16"/>
                <w:szCs w:val="16"/>
              </w:rPr>
              <w:t xml:space="preserve"> resulting from Octob</w:t>
            </w:r>
            <w:r>
              <w:rPr>
                <w:rFonts w:ascii="Arial" w:hAnsi="Arial" w:cs="Arial"/>
                <w:sz w:val="16"/>
                <w:szCs w:val="16"/>
              </w:rPr>
              <w:t>er 2022-23 Budget Measures: Nil</w:t>
            </w:r>
          </w:p>
        </w:tc>
      </w:tr>
    </w:tbl>
    <w:p w14:paraId="513B7E60" w14:textId="308717EC" w:rsidR="00A3076F" w:rsidRPr="00A3076F" w:rsidRDefault="00A3076F" w:rsidP="00A3076F">
      <w:pPr>
        <w:pStyle w:val="TableGraphic"/>
      </w:pPr>
    </w:p>
    <w:p w14:paraId="0FE7A3ED" w14:textId="77777777" w:rsidR="003A2E7D" w:rsidRDefault="003A2E7D" w:rsidP="00F0167C">
      <w:pPr>
        <w:pStyle w:val="TableHeading"/>
      </w:pPr>
      <w:r>
        <w:br w:type="page"/>
      </w:r>
    </w:p>
    <w:p w14:paraId="3044B94A" w14:textId="77777777" w:rsidR="00496279" w:rsidRPr="002D353C" w:rsidRDefault="00F0167C" w:rsidP="00496279">
      <w:pPr>
        <w:pStyle w:val="TableHeading"/>
        <w:rPr>
          <w:b w:val="0"/>
          <w:color w:val="000000"/>
          <w:sz w:val="16"/>
          <w:lang w:val="x-none" w:eastAsia="x-none"/>
        </w:rPr>
      </w:pPr>
      <w:r>
        <w:lastRenderedPageBreak/>
        <w:t>Table 2.2.2</w:t>
      </w:r>
      <w:r w:rsidRPr="00F71634">
        <w:t xml:space="preserve">: Performance </w:t>
      </w:r>
      <w:r w:rsidRPr="00026D37">
        <w:t>measure</w:t>
      </w:r>
      <w:r w:rsidRPr="00F71634">
        <w:t xml:space="preserve"> </w:t>
      </w:r>
      <w:r>
        <w:t>for Outcome 2 (continued)</w:t>
      </w:r>
    </w:p>
    <w:tbl>
      <w:tblPr>
        <w:tblW w:w="7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2268"/>
        <w:gridCol w:w="4115"/>
      </w:tblGrid>
      <w:tr w:rsidR="00496279" w:rsidRPr="00361E69" w14:paraId="22ED552D" w14:textId="77777777" w:rsidTr="003608D9">
        <w:trPr>
          <w:trHeight w:val="522"/>
        </w:trPr>
        <w:tc>
          <w:tcPr>
            <w:tcW w:w="7795" w:type="dxa"/>
            <w:gridSpan w:val="3"/>
            <w:shd w:val="clear" w:color="auto" w:fill="F2F2F2"/>
          </w:tcPr>
          <w:p w14:paraId="578506DA" w14:textId="77777777" w:rsidR="00496279" w:rsidRPr="00A82314" w:rsidRDefault="00496279" w:rsidP="00254216">
            <w:pPr>
              <w:tabs>
                <w:tab w:val="left" w:pos="709"/>
              </w:tabs>
              <w:spacing w:before="60" w:after="60" w:line="240" w:lineRule="auto"/>
              <w:rPr>
                <w:rFonts w:ascii="Arial" w:hAnsi="Arial" w:cs="Arial"/>
                <w:b/>
                <w:sz w:val="16"/>
                <w:szCs w:val="16"/>
              </w:rPr>
            </w:pPr>
            <w:r w:rsidRPr="00A82314">
              <w:rPr>
                <w:rFonts w:ascii="Arial" w:hAnsi="Arial" w:cs="Arial"/>
                <w:b/>
                <w:sz w:val="16"/>
                <w:szCs w:val="16"/>
              </w:rPr>
              <w:t>Program 2.7- Public Sector Superannuation</w:t>
            </w:r>
          </w:p>
          <w:p w14:paraId="2564B12A" w14:textId="77777777" w:rsidR="00496279" w:rsidRPr="00A82314" w:rsidRDefault="00496279" w:rsidP="00254216">
            <w:pPr>
              <w:tabs>
                <w:tab w:val="left" w:pos="709"/>
              </w:tabs>
              <w:spacing w:before="60" w:after="60" w:line="240" w:lineRule="auto"/>
              <w:rPr>
                <w:rFonts w:ascii="Arial" w:hAnsi="Arial" w:cs="Arial"/>
                <w:sz w:val="16"/>
                <w:szCs w:val="16"/>
              </w:rPr>
            </w:pPr>
            <w:r w:rsidRPr="00A82314">
              <w:rPr>
                <w:rFonts w:ascii="Arial" w:hAnsi="Arial" w:cs="Arial"/>
                <w:sz w:val="16"/>
                <w:szCs w:val="16"/>
              </w:rPr>
              <w:t>This program contributes to the outcome through advising the Government on the stability of the Government’s unfunded superannuation liabilities and its associated administered expense items and superannuation arrangements for government employees. This includes the administration and management of superannuation arrangements for parliamentarians, as well as current and former governors-general, federal judges and Federal Circuit Court Judges.</w:t>
            </w:r>
          </w:p>
        </w:tc>
      </w:tr>
      <w:tr w:rsidR="00496279" w:rsidRPr="00361E69" w14:paraId="5631C7AD" w14:textId="77777777" w:rsidTr="00DC40CF">
        <w:trPr>
          <w:trHeight w:val="102"/>
        </w:trPr>
        <w:tc>
          <w:tcPr>
            <w:tcW w:w="1412" w:type="dxa"/>
            <w:tcBorders>
              <w:bottom w:val="double" w:sz="4" w:space="0" w:color="auto"/>
            </w:tcBorders>
          </w:tcPr>
          <w:p w14:paraId="05E96CAD" w14:textId="77777777" w:rsidR="00496279" w:rsidRPr="00361E69" w:rsidRDefault="00496279" w:rsidP="00254216">
            <w:pPr>
              <w:tabs>
                <w:tab w:val="left" w:pos="709"/>
              </w:tabs>
              <w:spacing w:before="60" w:after="60" w:line="240" w:lineRule="auto"/>
              <w:rPr>
                <w:rFonts w:ascii="Arial" w:hAnsi="Arial" w:cs="Arial"/>
                <w:b/>
                <w:sz w:val="16"/>
                <w:szCs w:val="16"/>
              </w:rPr>
            </w:pPr>
            <w:r>
              <w:rPr>
                <w:rFonts w:ascii="Arial" w:hAnsi="Arial" w:cs="Arial"/>
                <w:b/>
                <w:sz w:val="16"/>
                <w:szCs w:val="16"/>
              </w:rPr>
              <w:t>Key Activities (a)</w:t>
            </w:r>
          </w:p>
        </w:tc>
        <w:tc>
          <w:tcPr>
            <w:tcW w:w="6383" w:type="dxa"/>
            <w:gridSpan w:val="2"/>
            <w:tcBorders>
              <w:bottom w:val="double" w:sz="4" w:space="0" w:color="auto"/>
            </w:tcBorders>
          </w:tcPr>
          <w:p w14:paraId="66FAEDB4" w14:textId="77777777" w:rsidR="00496279" w:rsidRPr="00A82314" w:rsidRDefault="00496279" w:rsidP="00254216">
            <w:pPr>
              <w:tabs>
                <w:tab w:val="left" w:pos="709"/>
              </w:tabs>
              <w:autoSpaceDE w:val="0"/>
              <w:autoSpaceDN w:val="0"/>
              <w:spacing w:before="60" w:after="60" w:line="240" w:lineRule="auto"/>
              <w:rPr>
                <w:rFonts w:ascii="Arial" w:hAnsi="Arial" w:cs="Arial"/>
                <w:b/>
                <w:bCs/>
                <w:sz w:val="16"/>
                <w:szCs w:val="16"/>
              </w:rPr>
            </w:pPr>
            <w:r w:rsidRPr="00A82314">
              <w:rPr>
                <w:rFonts w:ascii="Arial" w:hAnsi="Arial" w:cs="Arial"/>
                <w:b/>
                <w:bCs/>
                <w:sz w:val="16"/>
                <w:szCs w:val="16"/>
              </w:rPr>
              <w:t>Enable investment funds and civilian superannuation</w:t>
            </w:r>
          </w:p>
          <w:p w14:paraId="437E0FD2" w14:textId="77777777" w:rsidR="00496279" w:rsidRPr="00A82314" w:rsidRDefault="00496279" w:rsidP="00254216">
            <w:pPr>
              <w:tabs>
                <w:tab w:val="left" w:pos="709"/>
              </w:tabs>
              <w:autoSpaceDE w:val="0"/>
              <w:autoSpaceDN w:val="0"/>
              <w:spacing w:before="60" w:after="60" w:line="240" w:lineRule="auto"/>
              <w:rPr>
                <w:rFonts w:ascii="Arial" w:hAnsi="Arial" w:cs="Arial"/>
                <w:i/>
                <w:sz w:val="16"/>
                <w:szCs w:val="16"/>
              </w:rPr>
            </w:pPr>
            <w:r w:rsidRPr="00A82314">
              <w:rPr>
                <w:rFonts w:ascii="Arial" w:hAnsi="Arial" w:cs="Arial"/>
                <w:bCs/>
                <w:sz w:val="16"/>
                <w:szCs w:val="16"/>
              </w:rPr>
              <w:t>Provide a policy, regulatory and legislative framework that enables the maximisation of returns on investment funds and superannuation scheme compliance.</w:t>
            </w:r>
          </w:p>
        </w:tc>
      </w:tr>
      <w:tr w:rsidR="00496279" w:rsidRPr="00361E69" w14:paraId="33432030" w14:textId="77777777" w:rsidTr="00DC40CF">
        <w:trPr>
          <w:trHeight w:val="312"/>
        </w:trPr>
        <w:tc>
          <w:tcPr>
            <w:tcW w:w="1412" w:type="dxa"/>
            <w:tcBorders>
              <w:top w:val="double" w:sz="4" w:space="0" w:color="auto"/>
              <w:bottom w:val="single" w:sz="4" w:space="0" w:color="auto"/>
              <w:right w:val="single" w:sz="4" w:space="0" w:color="auto"/>
            </w:tcBorders>
          </w:tcPr>
          <w:p w14:paraId="4EC61043" w14:textId="77777777" w:rsidR="00496279" w:rsidRPr="00361E69" w:rsidRDefault="00496279" w:rsidP="00254216">
            <w:pPr>
              <w:tabs>
                <w:tab w:val="left" w:pos="709"/>
              </w:tabs>
              <w:spacing w:before="60" w:after="60" w:line="240" w:lineRule="auto"/>
              <w:rPr>
                <w:rFonts w:ascii="Arial" w:hAnsi="Arial" w:cs="Arial"/>
                <w:b/>
                <w:sz w:val="16"/>
                <w:szCs w:val="16"/>
              </w:rPr>
            </w:pPr>
            <w:r w:rsidRPr="00361E69">
              <w:rPr>
                <w:rFonts w:ascii="Arial" w:hAnsi="Arial" w:cs="Arial"/>
                <w:b/>
                <w:sz w:val="16"/>
                <w:szCs w:val="16"/>
              </w:rPr>
              <w:t>Year</w:t>
            </w:r>
          </w:p>
        </w:tc>
        <w:tc>
          <w:tcPr>
            <w:tcW w:w="2268" w:type="dxa"/>
            <w:tcBorders>
              <w:top w:val="double" w:sz="4" w:space="0" w:color="auto"/>
              <w:left w:val="single" w:sz="4" w:space="0" w:color="auto"/>
              <w:bottom w:val="single" w:sz="4" w:space="0" w:color="auto"/>
              <w:right w:val="single" w:sz="4" w:space="0" w:color="auto"/>
            </w:tcBorders>
          </w:tcPr>
          <w:p w14:paraId="1F6AC112" w14:textId="77777777" w:rsidR="00496279" w:rsidRPr="00361E69" w:rsidRDefault="00496279" w:rsidP="00254216">
            <w:pPr>
              <w:tabs>
                <w:tab w:val="left" w:pos="709"/>
                <w:tab w:val="center" w:pos="1818"/>
              </w:tabs>
              <w:spacing w:before="60" w:after="60" w:line="240" w:lineRule="auto"/>
              <w:rPr>
                <w:rFonts w:ascii="Arial" w:hAnsi="Arial" w:cs="Arial"/>
                <w:b/>
                <w:sz w:val="16"/>
                <w:szCs w:val="16"/>
              </w:rPr>
            </w:pPr>
            <w:r w:rsidRPr="00361E69">
              <w:rPr>
                <w:rFonts w:ascii="Arial" w:hAnsi="Arial" w:cs="Arial"/>
                <w:b/>
                <w:sz w:val="16"/>
                <w:szCs w:val="16"/>
              </w:rPr>
              <w:t>Performance measures</w:t>
            </w:r>
          </w:p>
        </w:tc>
        <w:tc>
          <w:tcPr>
            <w:tcW w:w="4115" w:type="dxa"/>
            <w:tcBorders>
              <w:top w:val="double" w:sz="4" w:space="0" w:color="auto"/>
              <w:left w:val="single" w:sz="4" w:space="0" w:color="auto"/>
              <w:bottom w:val="single" w:sz="4" w:space="0" w:color="auto"/>
            </w:tcBorders>
          </w:tcPr>
          <w:p w14:paraId="5D7D8423" w14:textId="77777777" w:rsidR="00496279" w:rsidRPr="00361E69" w:rsidRDefault="00496279" w:rsidP="00254216">
            <w:pPr>
              <w:tabs>
                <w:tab w:val="left" w:pos="709"/>
              </w:tabs>
              <w:spacing w:before="60" w:after="60" w:line="240" w:lineRule="auto"/>
              <w:rPr>
                <w:rFonts w:ascii="Arial" w:hAnsi="Arial" w:cs="Arial"/>
                <w:b/>
                <w:sz w:val="16"/>
                <w:szCs w:val="16"/>
              </w:rPr>
            </w:pPr>
            <w:r w:rsidRPr="00361E69">
              <w:rPr>
                <w:rFonts w:ascii="Arial" w:hAnsi="Arial" w:cs="Arial"/>
                <w:b/>
                <w:sz w:val="16"/>
                <w:szCs w:val="16"/>
              </w:rPr>
              <w:t>Expected Performance Results</w:t>
            </w:r>
          </w:p>
        </w:tc>
      </w:tr>
      <w:tr w:rsidR="00496279" w:rsidRPr="00C92882" w14:paraId="3C3EA8C3" w14:textId="77777777" w:rsidTr="00DC40CF">
        <w:trPr>
          <w:trHeight w:val="2078"/>
        </w:trPr>
        <w:tc>
          <w:tcPr>
            <w:tcW w:w="1412" w:type="dxa"/>
            <w:tcBorders>
              <w:top w:val="single" w:sz="4" w:space="0" w:color="auto"/>
              <w:bottom w:val="nil"/>
              <w:right w:val="single" w:sz="4" w:space="0" w:color="auto"/>
            </w:tcBorders>
          </w:tcPr>
          <w:p w14:paraId="31369360" w14:textId="77777777" w:rsidR="00496279" w:rsidRPr="00226614" w:rsidRDefault="00496279" w:rsidP="00254216">
            <w:pPr>
              <w:tabs>
                <w:tab w:val="left" w:pos="709"/>
              </w:tabs>
              <w:spacing w:before="60" w:after="60" w:line="240" w:lineRule="auto"/>
              <w:rPr>
                <w:rFonts w:ascii="Arial" w:hAnsi="Arial" w:cs="Arial"/>
                <w:sz w:val="16"/>
                <w:szCs w:val="16"/>
              </w:rPr>
            </w:pPr>
            <w:r w:rsidRPr="00226614">
              <w:rPr>
                <w:rFonts w:ascii="Arial" w:hAnsi="Arial" w:cs="Arial"/>
                <w:sz w:val="16"/>
                <w:szCs w:val="16"/>
              </w:rPr>
              <w:t xml:space="preserve">Prior year </w:t>
            </w:r>
          </w:p>
          <w:p w14:paraId="196F7F80" w14:textId="77777777" w:rsidR="00496279" w:rsidRPr="00361E69" w:rsidRDefault="00496279" w:rsidP="00254216">
            <w:pPr>
              <w:tabs>
                <w:tab w:val="left" w:pos="709"/>
              </w:tabs>
              <w:spacing w:before="60" w:after="60" w:line="240" w:lineRule="auto"/>
              <w:rPr>
                <w:rFonts w:ascii="Arial" w:hAnsi="Arial" w:cs="Arial"/>
                <w:sz w:val="16"/>
                <w:szCs w:val="16"/>
              </w:rPr>
            </w:pPr>
            <w:r w:rsidRPr="00226614">
              <w:rPr>
                <w:rFonts w:ascii="Arial" w:hAnsi="Arial" w:cs="Arial"/>
                <w:sz w:val="16"/>
                <w:szCs w:val="16"/>
              </w:rPr>
              <w:t xml:space="preserve">2021-22 </w:t>
            </w:r>
          </w:p>
        </w:tc>
        <w:tc>
          <w:tcPr>
            <w:tcW w:w="2268" w:type="dxa"/>
            <w:tcBorders>
              <w:top w:val="single" w:sz="4" w:space="0" w:color="auto"/>
              <w:left w:val="single" w:sz="4" w:space="0" w:color="auto"/>
              <w:bottom w:val="dotted" w:sz="4" w:space="0" w:color="auto"/>
              <w:right w:val="single" w:sz="4" w:space="0" w:color="auto"/>
            </w:tcBorders>
          </w:tcPr>
          <w:p w14:paraId="657B1B4D" w14:textId="77777777" w:rsidR="00496279" w:rsidRPr="00A82314" w:rsidRDefault="00496279" w:rsidP="00254216">
            <w:pPr>
              <w:tabs>
                <w:tab w:val="left" w:pos="709"/>
              </w:tabs>
              <w:spacing w:before="60" w:after="60" w:line="240" w:lineRule="auto"/>
              <w:rPr>
                <w:rFonts w:ascii="Arial" w:hAnsi="Arial" w:cs="Arial"/>
                <w:b/>
                <w:bCs/>
                <w:sz w:val="16"/>
                <w:szCs w:val="16"/>
              </w:rPr>
            </w:pPr>
            <w:r w:rsidRPr="00A82314">
              <w:rPr>
                <w:rFonts w:ascii="Arial" w:hAnsi="Arial" w:cs="Arial"/>
                <w:b/>
                <w:bCs/>
                <w:sz w:val="16"/>
                <w:szCs w:val="16"/>
              </w:rPr>
              <w:t>Public sector civilian superannuation schemes</w:t>
            </w:r>
          </w:p>
          <w:p w14:paraId="3ED355F4" w14:textId="77777777" w:rsidR="00496279" w:rsidRPr="00A82314" w:rsidRDefault="00496279" w:rsidP="00254216">
            <w:pPr>
              <w:tabs>
                <w:tab w:val="left" w:pos="709"/>
              </w:tabs>
              <w:spacing w:before="60" w:after="60" w:line="240" w:lineRule="auto"/>
              <w:rPr>
                <w:rFonts w:ascii="Arial" w:hAnsi="Arial" w:cs="Arial"/>
                <w:bCs/>
                <w:sz w:val="16"/>
                <w:szCs w:val="16"/>
              </w:rPr>
            </w:pPr>
            <w:r w:rsidRPr="00A82314">
              <w:rPr>
                <w:rFonts w:ascii="Arial" w:hAnsi="Arial" w:cs="Arial"/>
                <w:bCs/>
                <w:sz w:val="16"/>
                <w:szCs w:val="16"/>
              </w:rPr>
              <w:t xml:space="preserve">The legislative framework for the Commonwealth Government's civilian superannuation schemes enables the schemes to be administered in accordance with the applicable regulatory and legislative requirements. </w:t>
            </w:r>
          </w:p>
        </w:tc>
        <w:tc>
          <w:tcPr>
            <w:tcW w:w="4115" w:type="dxa"/>
            <w:tcBorders>
              <w:top w:val="single" w:sz="4" w:space="0" w:color="auto"/>
              <w:left w:val="single" w:sz="4" w:space="0" w:color="auto"/>
              <w:bottom w:val="dotted" w:sz="4" w:space="0" w:color="auto"/>
            </w:tcBorders>
          </w:tcPr>
          <w:p w14:paraId="4C954A94" w14:textId="77777777" w:rsidR="00496279" w:rsidRPr="00A82314" w:rsidRDefault="00496279" w:rsidP="00254216">
            <w:pPr>
              <w:autoSpaceDE w:val="0"/>
              <w:autoSpaceDN w:val="0"/>
              <w:adjustRightInd w:val="0"/>
              <w:spacing w:before="60" w:after="60" w:line="240" w:lineRule="auto"/>
              <w:rPr>
                <w:rFonts w:ascii="Arial" w:hAnsi="Arial" w:cs="Arial"/>
                <w:b/>
                <w:bCs/>
                <w:sz w:val="16"/>
                <w:szCs w:val="16"/>
              </w:rPr>
            </w:pPr>
            <w:r w:rsidRPr="00A82314">
              <w:rPr>
                <w:rFonts w:ascii="Arial" w:hAnsi="Arial" w:cs="Arial"/>
                <w:b/>
                <w:bCs/>
                <w:sz w:val="16"/>
                <w:szCs w:val="16"/>
              </w:rPr>
              <w:t>Achieved</w:t>
            </w:r>
          </w:p>
          <w:p w14:paraId="165B00E9" w14:textId="77777777" w:rsidR="00496279" w:rsidRPr="00A82314" w:rsidRDefault="00496279" w:rsidP="00254216">
            <w:pPr>
              <w:tabs>
                <w:tab w:val="left" w:pos="709"/>
              </w:tabs>
              <w:spacing w:before="60" w:after="60" w:line="240" w:lineRule="auto"/>
              <w:rPr>
                <w:rFonts w:ascii="Arial" w:hAnsi="Arial" w:cs="Arial"/>
                <w:sz w:val="16"/>
                <w:szCs w:val="16"/>
              </w:rPr>
            </w:pPr>
            <w:r w:rsidRPr="00A82314">
              <w:rPr>
                <w:rFonts w:ascii="Arial" w:hAnsi="Arial" w:cs="Arial"/>
                <w:bCs/>
                <w:sz w:val="16"/>
                <w:szCs w:val="16"/>
              </w:rPr>
              <w:t>No material legislative impediments to the administration of the civilian superannuation schemes have been identified by Finance or advised to Finance by the Commonwealth Superannuation Corporation during the entire reporting period.</w:t>
            </w:r>
          </w:p>
        </w:tc>
      </w:tr>
      <w:tr w:rsidR="00496279" w:rsidRPr="00C92882" w14:paraId="4710A208" w14:textId="77777777" w:rsidTr="00DC40CF">
        <w:trPr>
          <w:trHeight w:val="1021"/>
        </w:trPr>
        <w:tc>
          <w:tcPr>
            <w:tcW w:w="1412" w:type="dxa"/>
            <w:tcBorders>
              <w:top w:val="nil"/>
              <w:right w:val="single" w:sz="4" w:space="0" w:color="auto"/>
            </w:tcBorders>
          </w:tcPr>
          <w:p w14:paraId="4ADD0A92" w14:textId="77777777" w:rsidR="00496279" w:rsidRPr="00361E69" w:rsidRDefault="00496279" w:rsidP="00254216">
            <w:pPr>
              <w:tabs>
                <w:tab w:val="left" w:pos="709"/>
              </w:tabs>
              <w:spacing w:before="60" w:after="60"/>
              <w:rPr>
                <w:rFonts w:ascii="Arial" w:hAnsi="Arial" w:cs="Arial"/>
                <w:sz w:val="16"/>
                <w:szCs w:val="16"/>
              </w:rPr>
            </w:pPr>
          </w:p>
        </w:tc>
        <w:tc>
          <w:tcPr>
            <w:tcW w:w="2268" w:type="dxa"/>
            <w:tcBorders>
              <w:top w:val="dotted" w:sz="4" w:space="0" w:color="auto"/>
              <w:left w:val="single" w:sz="4" w:space="0" w:color="auto"/>
              <w:right w:val="single" w:sz="4" w:space="0" w:color="auto"/>
            </w:tcBorders>
          </w:tcPr>
          <w:p w14:paraId="1CEB52B1" w14:textId="77777777" w:rsidR="00496279" w:rsidRPr="00A82314" w:rsidRDefault="00496279" w:rsidP="00254216">
            <w:pPr>
              <w:tabs>
                <w:tab w:val="left" w:pos="709"/>
              </w:tabs>
              <w:spacing w:before="60" w:after="60" w:line="240" w:lineRule="auto"/>
              <w:rPr>
                <w:rFonts w:ascii="Arial" w:hAnsi="Arial" w:cs="Arial"/>
                <w:b/>
                <w:bCs/>
                <w:sz w:val="16"/>
                <w:szCs w:val="16"/>
              </w:rPr>
            </w:pPr>
            <w:r w:rsidRPr="00A82314">
              <w:rPr>
                <w:rFonts w:ascii="Arial" w:hAnsi="Arial" w:cs="Arial"/>
                <w:b/>
                <w:bCs/>
                <w:sz w:val="16"/>
                <w:szCs w:val="16"/>
              </w:rPr>
              <w:t>Administration of pension schemes for former parliamentarians, judges and governors-general</w:t>
            </w:r>
          </w:p>
          <w:p w14:paraId="0AD00701" w14:textId="77777777" w:rsidR="00496279" w:rsidRPr="00A82314" w:rsidRDefault="00496279" w:rsidP="00254216">
            <w:pPr>
              <w:spacing w:before="60" w:after="60" w:line="240" w:lineRule="auto"/>
              <w:rPr>
                <w:rFonts w:ascii="Arial" w:hAnsi="Arial" w:cs="Arial"/>
                <w:sz w:val="16"/>
                <w:szCs w:val="16"/>
              </w:rPr>
            </w:pPr>
            <w:r w:rsidRPr="00A82314">
              <w:rPr>
                <w:rFonts w:ascii="Arial" w:hAnsi="Arial" w:cs="Arial"/>
                <w:bCs/>
                <w:sz w:val="16"/>
                <w:szCs w:val="16"/>
              </w:rPr>
              <w:t>The pension schemes are administered by Finance effectively, in accordance with the applicable regulatory and legislative requirements</w:t>
            </w:r>
          </w:p>
        </w:tc>
        <w:tc>
          <w:tcPr>
            <w:tcW w:w="4115" w:type="dxa"/>
            <w:tcBorders>
              <w:top w:val="dotted" w:sz="4" w:space="0" w:color="auto"/>
              <w:left w:val="single" w:sz="4" w:space="0" w:color="auto"/>
            </w:tcBorders>
          </w:tcPr>
          <w:p w14:paraId="69A95567" w14:textId="77777777" w:rsidR="00496279" w:rsidRPr="00A82314" w:rsidRDefault="00496279" w:rsidP="00254216">
            <w:pPr>
              <w:spacing w:before="60" w:after="60" w:line="240" w:lineRule="auto"/>
              <w:rPr>
                <w:rFonts w:ascii="Arial" w:eastAsia="Arial" w:hAnsi="Arial" w:cs="Arial"/>
                <w:b/>
                <w:sz w:val="16"/>
                <w:szCs w:val="16"/>
              </w:rPr>
            </w:pPr>
            <w:r w:rsidRPr="00A82314">
              <w:rPr>
                <w:rFonts w:ascii="Arial" w:eastAsia="Arial" w:hAnsi="Arial" w:cs="Arial"/>
                <w:b/>
                <w:sz w:val="16"/>
                <w:szCs w:val="16"/>
              </w:rPr>
              <w:t>Achieved</w:t>
            </w:r>
          </w:p>
          <w:p w14:paraId="203E386C" w14:textId="6DE06D8E" w:rsidR="00496279" w:rsidRDefault="00FB4106" w:rsidP="00254216">
            <w:pPr>
              <w:spacing w:before="60" w:after="60" w:line="240" w:lineRule="auto"/>
              <w:rPr>
                <w:rFonts w:ascii="Arial" w:eastAsia="Arial" w:hAnsi="Arial" w:cs="Arial"/>
                <w:sz w:val="16"/>
                <w:szCs w:val="16"/>
              </w:rPr>
            </w:pPr>
            <w:r>
              <w:rPr>
                <w:rFonts w:ascii="Arial" w:eastAsia="Arial" w:hAnsi="Arial" w:cs="Arial"/>
                <w:sz w:val="16"/>
                <w:szCs w:val="16"/>
              </w:rPr>
              <w:t>During 2021-</w:t>
            </w:r>
            <w:r w:rsidR="00496279" w:rsidRPr="00A82314">
              <w:rPr>
                <w:rFonts w:ascii="Arial" w:eastAsia="Arial" w:hAnsi="Arial" w:cs="Arial"/>
                <w:sz w:val="16"/>
                <w:szCs w:val="16"/>
              </w:rPr>
              <w:t xml:space="preserve">22, pension payments from all the schemes were paid on schedule and statutory reports (notably to the Australian Taxation Office) were submitted in a timely manner in line with applicable regulatory and legislative requirements. </w:t>
            </w:r>
          </w:p>
          <w:p w14:paraId="0E073F36" w14:textId="34B41DD2" w:rsidR="00496279" w:rsidRPr="00A82314" w:rsidRDefault="00496279" w:rsidP="00254216">
            <w:pPr>
              <w:tabs>
                <w:tab w:val="left" w:pos="709"/>
              </w:tabs>
              <w:autoSpaceDE w:val="0"/>
              <w:autoSpaceDN w:val="0"/>
              <w:adjustRightInd w:val="0"/>
              <w:spacing w:before="60" w:after="60" w:line="240" w:lineRule="auto"/>
              <w:rPr>
                <w:rFonts w:ascii="Arial" w:eastAsia="Arial" w:hAnsi="Arial" w:cs="Arial"/>
                <w:sz w:val="16"/>
                <w:szCs w:val="16"/>
              </w:rPr>
            </w:pPr>
            <w:r w:rsidRPr="00A82314">
              <w:rPr>
                <w:rFonts w:ascii="Arial" w:eastAsia="Arial" w:hAnsi="Arial" w:cs="Arial"/>
                <w:sz w:val="16"/>
                <w:szCs w:val="16"/>
              </w:rPr>
              <w:t>There were also no significant disruptions to the I</w:t>
            </w:r>
            <w:r w:rsidR="00FB4106">
              <w:rPr>
                <w:rFonts w:ascii="Arial" w:eastAsia="Arial" w:hAnsi="Arial" w:cs="Arial"/>
                <w:sz w:val="16"/>
                <w:szCs w:val="16"/>
              </w:rPr>
              <w:t>C</w:t>
            </w:r>
            <w:r w:rsidRPr="00A82314">
              <w:rPr>
                <w:rFonts w:ascii="Arial" w:eastAsia="Arial" w:hAnsi="Arial" w:cs="Arial"/>
                <w:sz w:val="16"/>
                <w:szCs w:val="16"/>
              </w:rPr>
              <w:t>T systems of the superannuation schemes that affected member services during the year.</w:t>
            </w:r>
          </w:p>
        </w:tc>
      </w:tr>
    </w:tbl>
    <w:p w14:paraId="2371ECE7" w14:textId="18CDF535" w:rsidR="00F24B20" w:rsidRPr="00496279" w:rsidRDefault="00F0167C" w:rsidP="00567882">
      <w:pPr>
        <w:pStyle w:val="TableHeading"/>
        <w:spacing w:before="30" w:after="0"/>
      </w:pPr>
      <w:r w:rsidRPr="002D353C">
        <w:rPr>
          <w:b w:val="0"/>
          <w:color w:val="000000"/>
          <w:sz w:val="16"/>
          <w:lang w:val="x-none" w:eastAsia="x-none"/>
        </w:rPr>
        <w:t>Table continues on next page</w:t>
      </w:r>
      <w:r w:rsidR="00F24B20">
        <w:rPr>
          <w:b w:val="0"/>
          <w:color w:val="000000"/>
          <w:sz w:val="16"/>
          <w:lang w:val="x-none" w:eastAsia="x-none"/>
        </w:rPr>
        <w:br w:type="page"/>
      </w:r>
    </w:p>
    <w:p w14:paraId="2239E257" w14:textId="19E5E43E" w:rsidR="00F0167C" w:rsidRPr="00DF7B9B" w:rsidRDefault="00F0167C" w:rsidP="00F24B20">
      <w:pPr>
        <w:pStyle w:val="TableHeading"/>
        <w:spacing w:before="0" w:after="0"/>
        <w:ind w:right="-113"/>
        <w:rPr>
          <w:b w:val="0"/>
          <w:color w:val="000000"/>
          <w:sz w:val="16"/>
          <w:lang w:val="x-none" w:eastAsia="x-none"/>
        </w:rPr>
      </w:pPr>
      <w:r>
        <w:lastRenderedPageBreak/>
        <w:t>Table 2.2.2</w:t>
      </w:r>
      <w:r w:rsidRPr="00F71634">
        <w:t xml:space="preserve">: Performance </w:t>
      </w:r>
      <w:r w:rsidRPr="00026D37">
        <w:t>measure</w:t>
      </w:r>
      <w:r w:rsidRPr="00F71634">
        <w:t xml:space="preserve"> </w:t>
      </w:r>
      <w:r>
        <w:t>for Outcome 2 (continued)</w:t>
      </w:r>
    </w:p>
    <w:tbl>
      <w:tblPr>
        <w:tblW w:w="7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2287"/>
        <w:gridCol w:w="4093"/>
      </w:tblGrid>
      <w:tr w:rsidR="00F0167C" w:rsidRPr="00361E69" w14:paraId="2239E259" w14:textId="77777777" w:rsidTr="000F2E1E">
        <w:trPr>
          <w:trHeight w:val="460"/>
        </w:trPr>
        <w:tc>
          <w:tcPr>
            <w:tcW w:w="7795" w:type="dxa"/>
            <w:gridSpan w:val="3"/>
            <w:tcBorders>
              <w:bottom w:val="nil"/>
            </w:tcBorders>
            <w:shd w:val="clear" w:color="auto" w:fill="F2F2F2"/>
          </w:tcPr>
          <w:p w14:paraId="43CE5C49" w14:textId="77777777" w:rsidR="00F24B20" w:rsidRPr="00F24B20" w:rsidRDefault="00F24B20" w:rsidP="00632AE5">
            <w:pPr>
              <w:tabs>
                <w:tab w:val="left" w:pos="709"/>
              </w:tabs>
              <w:spacing w:before="60" w:after="60" w:line="240" w:lineRule="auto"/>
              <w:rPr>
                <w:rFonts w:ascii="Arial" w:hAnsi="Arial"/>
                <w:b/>
                <w:sz w:val="16"/>
                <w:szCs w:val="16"/>
              </w:rPr>
            </w:pPr>
            <w:r w:rsidRPr="00F24B20">
              <w:rPr>
                <w:rFonts w:ascii="Arial" w:hAnsi="Arial"/>
                <w:b/>
                <w:sz w:val="16"/>
                <w:szCs w:val="16"/>
              </w:rPr>
              <w:t>Program 2.7- Public Sector Superannuation</w:t>
            </w:r>
          </w:p>
          <w:p w14:paraId="2239E258" w14:textId="5EB727AC" w:rsidR="00F0167C" w:rsidRPr="00F24B20" w:rsidRDefault="00F24B20" w:rsidP="00632AE5">
            <w:pPr>
              <w:tabs>
                <w:tab w:val="left" w:pos="709"/>
              </w:tabs>
              <w:spacing w:before="60" w:after="60" w:line="240" w:lineRule="auto"/>
              <w:rPr>
                <w:rFonts w:ascii="Arial" w:hAnsi="Arial" w:cs="Arial"/>
                <w:sz w:val="16"/>
                <w:szCs w:val="16"/>
              </w:rPr>
            </w:pPr>
            <w:r w:rsidRPr="00F24B20">
              <w:rPr>
                <w:rFonts w:ascii="Arial" w:hAnsi="Arial"/>
                <w:sz w:val="16"/>
                <w:szCs w:val="16"/>
              </w:rPr>
              <w:t>This program contributes to the outcome through advising the Government on the stability of the Government’s unfunded superannuation liabilities and its associated administered expense items and superannuation arrangements for government employees. This includes the administration and management of superannuation arrangements for parliamentarians, as well as current and former governors-general, federal judges and Federal Circuit Court Judges</w:t>
            </w:r>
          </w:p>
        </w:tc>
      </w:tr>
      <w:tr w:rsidR="00F0167C" w:rsidRPr="002F196B" w14:paraId="2239E25D" w14:textId="77777777" w:rsidTr="000F2E1E">
        <w:trPr>
          <w:trHeight w:val="296"/>
        </w:trPr>
        <w:tc>
          <w:tcPr>
            <w:tcW w:w="1415" w:type="dxa"/>
            <w:tcBorders>
              <w:top w:val="single" w:sz="4" w:space="0" w:color="auto"/>
              <w:left w:val="single" w:sz="4" w:space="0" w:color="auto"/>
              <w:bottom w:val="nil"/>
              <w:right w:val="single" w:sz="4" w:space="0" w:color="auto"/>
            </w:tcBorders>
          </w:tcPr>
          <w:p w14:paraId="2239E25A" w14:textId="77777777" w:rsidR="00F0167C" w:rsidRPr="006A4649" w:rsidRDefault="00F0167C" w:rsidP="00632AE5">
            <w:pPr>
              <w:tabs>
                <w:tab w:val="left" w:pos="709"/>
              </w:tabs>
              <w:spacing w:before="60" w:after="60" w:line="240" w:lineRule="auto"/>
              <w:rPr>
                <w:rFonts w:ascii="Arial" w:hAnsi="Arial" w:cs="Arial"/>
                <w:sz w:val="16"/>
                <w:szCs w:val="16"/>
              </w:rPr>
            </w:pPr>
            <w:r w:rsidRPr="006A4649">
              <w:rPr>
                <w:rFonts w:ascii="Arial" w:hAnsi="Arial" w:cs="Arial"/>
                <w:b/>
                <w:sz w:val="16"/>
                <w:szCs w:val="16"/>
              </w:rPr>
              <w:t>Year</w:t>
            </w:r>
          </w:p>
        </w:tc>
        <w:tc>
          <w:tcPr>
            <w:tcW w:w="2287" w:type="dxa"/>
            <w:tcBorders>
              <w:top w:val="single" w:sz="4" w:space="0" w:color="auto"/>
              <w:left w:val="single" w:sz="4" w:space="0" w:color="auto"/>
              <w:bottom w:val="single" w:sz="4" w:space="0" w:color="auto"/>
              <w:right w:val="single" w:sz="4" w:space="0" w:color="auto"/>
            </w:tcBorders>
          </w:tcPr>
          <w:p w14:paraId="2239E25B" w14:textId="77777777" w:rsidR="00F0167C" w:rsidRPr="006A4649" w:rsidRDefault="00F0167C" w:rsidP="00632AE5">
            <w:pPr>
              <w:tabs>
                <w:tab w:val="left" w:pos="709"/>
              </w:tabs>
              <w:spacing w:before="60" w:after="60" w:line="240" w:lineRule="auto"/>
              <w:rPr>
                <w:rFonts w:ascii="Arial" w:hAnsi="Arial" w:cs="Arial"/>
                <w:sz w:val="16"/>
                <w:szCs w:val="16"/>
              </w:rPr>
            </w:pPr>
            <w:r w:rsidRPr="006A4649">
              <w:rPr>
                <w:rFonts w:ascii="Arial" w:hAnsi="Arial" w:cs="Arial"/>
                <w:b/>
                <w:sz w:val="16"/>
                <w:szCs w:val="16"/>
              </w:rPr>
              <w:t>Performance measures</w:t>
            </w:r>
          </w:p>
        </w:tc>
        <w:tc>
          <w:tcPr>
            <w:tcW w:w="4093" w:type="dxa"/>
            <w:tcBorders>
              <w:top w:val="single" w:sz="4" w:space="0" w:color="auto"/>
              <w:left w:val="single" w:sz="4" w:space="0" w:color="auto"/>
              <w:bottom w:val="single" w:sz="4" w:space="0" w:color="auto"/>
              <w:right w:val="single" w:sz="4" w:space="0" w:color="auto"/>
            </w:tcBorders>
          </w:tcPr>
          <w:p w14:paraId="2239E25C" w14:textId="77777777" w:rsidR="00F0167C" w:rsidRPr="006A4649" w:rsidRDefault="00F0167C" w:rsidP="00632AE5">
            <w:pPr>
              <w:tabs>
                <w:tab w:val="left" w:pos="709"/>
              </w:tabs>
              <w:spacing w:before="60" w:after="60" w:line="240" w:lineRule="auto"/>
              <w:rPr>
                <w:rFonts w:ascii="Arial" w:hAnsi="Arial" w:cs="Arial"/>
                <w:i/>
                <w:sz w:val="16"/>
                <w:szCs w:val="16"/>
              </w:rPr>
            </w:pPr>
            <w:r w:rsidRPr="006A4649">
              <w:rPr>
                <w:rFonts w:ascii="Arial" w:hAnsi="Arial" w:cs="Arial"/>
                <w:b/>
                <w:sz w:val="16"/>
                <w:szCs w:val="16"/>
              </w:rPr>
              <w:t>Planned Performance Results</w:t>
            </w:r>
          </w:p>
        </w:tc>
      </w:tr>
      <w:tr w:rsidR="00F0167C" w:rsidRPr="002F196B" w14:paraId="2239E262" w14:textId="77777777" w:rsidTr="000F2E1E">
        <w:trPr>
          <w:trHeight w:val="475"/>
        </w:trPr>
        <w:tc>
          <w:tcPr>
            <w:tcW w:w="1415" w:type="dxa"/>
            <w:tcBorders>
              <w:top w:val="single" w:sz="4" w:space="0" w:color="auto"/>
              <w:left w:val="single" w:sz="4" w:space="0" w:color="auto"/>
              <w:bottom w:val="nil"/>
              <w:right w:val="single" w:sz="4" w:space="0" w:color="auto"/>
            </w:tcBorders>
          </w:tcPr>
          <w:p w14:paraId="33218BE5" w14:textId="77777777" w:rsidR="00FB4106" w:rsidRDefault="00FB4106" w:rsidP="00632AE5">
            <w:pPr>
              <w:tabs>
                <w:tab w:val="left" w:pos="709"/>
              </w:tabs>
              <w:spacing w:before="60" w:after="60" w:line="240" w:lineRule="auto"/>
              <w:rPr>
                <w:rFonts w:ascii="Arial" w:hAnsi="Arial" w:cs="Arial"/>
                <w:sz w:val="16"/>
                <w:szCs w:val="16"/>
              </w:rPr>
            </w:pPr>
            <w:r>
              <w:rPr>
                <w:rFonts w:ascii="Arial" w:hAnsi="Arial" w:cs="Arial"/>
                <w:sz w:val="16"/>
                <w:szCs w:val="16"/>
              </w:rPr>
              <w:t>Budget Year</w:t>
            </w:r>
          </w:p>
          <w:p w14:paraId="2239E25E" w14:textId="4EA88C77" w:rsidR="00F0167C" w:rsidRPr="002F196B" w:rsidRDefault="00F0167C" w:rsidP="00632AE5">
            <w:pPr>
              <w:tabs>
                <w:tab w:val="left" w:pos="709"/>
              </w:tabs>
              <w:spacing w:before="60" w:after="60" w:line="240" w:lineRule="auto"/>
              <w:rPr>
                <w:rFonts w:ascii="Arial" w:hAnsi="Arial" w:cs="Arial"/>
                <w:sz w:val="16"/>
                <w:szCs w:val="16"/>
              </w:rPr>
            </w:pPr>
            <w:r w:rsidRPr="002F196B">
              <w:rPr>
                <w:rFonts w:ascii="Arial" w:hAnsi="Arial" w:cs="Arial"/>
                <w:sz w:val="16"/>
                <w:szCs w:val="16"/>
              </w:rPr>
              <w:t>2022-23</w:t>
            </w:r>
          </w:p>
        </w:tc>
        <w:tc>
          <w:tcPr>
            <w:tcW w:w="2287" w:type="dxa"/>
            <w:tcBorders>
              <w:top w:val="single" w:sz="4" w:space="0" w:color="auto"/>
              <w:left w:val="single" w:sz="4" w:space="0" w:color="auto"/>
              <w:bottom w:val="dotted" w:sz="4" w:space="0" w:color="auto"/>
              <w:right w:val="single" w:sz="4" w:space="0" w:color="auto"/>
            </w:tcBorders>
          </w:tcPr>
          <w:p w14:paraId="55A29792" w14:textId="77777777" w:rsidR="00F24B20" w:rsidRPr="00F24B20" w:rsidRDefault="00F24B20" w:rsidP="00632AE5">
            <w:pPr>
              <w:tabs>
                <w:tab w:val="left" w:pos="709"/>
              </w:tabs>
              <w:spacing w:before="60" w:after="60" w:line="240" w:lineRule="auto"/>
              <w:rPr>
                <w:rFonts w:ascii="Arial" w:hAnsi="Arial" w:cs="Arial"/>
                <w:b/>
                <w:bCs/>
                <w:sz w:val="16"/>
                <w:szCs w:val="16"/>
              </w:rPr>
            </w:pPr>
            <w:r w:rsidRPr="00F24B20">
              <w:rPr>
                <w:rFonts w:ascii="Arial" w:hAnsi="Arial" w:cs="Arial"/>
                <w:b/>
                <w:bCs/>
                <w:sz w:val="16"/>
                <w:szCs w:val="16"/>
              </w:rPr>
              <w:t>Public sector civilian superannuation schemes</w:t>
            </w:r>
          </w:p>
          <w:p w14:paraId="2239E260" w14:textId="599DA490" w:rsidR="00F0167C" w:rsidRPr="008D540B" w:rsidRDefault="00F24B20" w:rsidP="00632AE5">
            <w:pPr>
              <w:spacing w:before="60" w:after="60" w:line="240" w:lineRule="auto"/>
              <w:rPr>
                <w:rFonts w:ascii="Arial" w:hAnsi="Arial" w:cs="Arial"/>
                <w:sz w:val="16"/>
                <w:szCs w:val="16"/>
              </w:rPr>
            </w:pPr>
            <w:r w:rsidRPr="00F24B20">
              <w:rPr>
                <w:rFonts w:ascii="Arial" w:hAnsi="Arial" w:cs="Arial"/>
                <w:bCs/>
                <w:sz w:val="16"/>
                <w:szCs w:val="16"/>
              </w:rPr>
              <w:t>The legislative framework for the Commonwealth Government's civilian superannuation schemes enables the schemes to be administered in accordance with the applicable regulatory and legislative requirements</w:t>
            </w:r>
            <w:r w:rsidRPr="00F24B20">
              <w:rPr>
                <w:rFonts w:ascii="Arial" w:hAnsi="Arial" w:cs="Arial"/>
                <w:b/>
                <w:bCs/>
                <w:sz w:val="16"/>
                <w:szCs w:val="16"/>
              </w:rPr>
              <w:t>.</w:t>
            </w:r>
          </w:p>
        </w:tc>
        <w:tc>
          <w:tcPr>
            <w:tcW w:w="4093" w:type="dxa"/>
            <w:tcBorders>
              <w:top w:val="single" w:sz="4" w:space="0" w:color="auto"/>
              <w:left w:val="single" w:sz="4" w:space="0" w:color="auto"/>
              <w:bottom w:val="dotted" w:sz="4" w:space="0" w:color="auto"/>
              <w:right w:val="single" w:sz="4" w:space="0" w:color="auto"/>
            </w:tcBorders>
          </w:tcPr>
          <w:p w14:paraId="2239E261" w14:textId="51A9FE60" w:rsidR="00F0167C" w:rsidRPr="002F196B" w:rsidRDefault="00F24B20" w:rsidP="00632AE5">
            <w:pPr>
              <w:autoSpaceDE w:val="0"/>
              <w:autoSpaceDN w:val="0"/>
              <w:spacing w:before="60" w:after="60" w:line="240" w:lineRule="auto"/>
              <w:rPr>
                <w:rFonts w:ascii="Arial" w:eastAsia="Arial" w:hAnsi="Arial" w:cs="Arial"/>
                <w:sz w:val="16"/>
                <w:szCs w:val="16"/>
              </w:rPr>
            </w:pPr>
            <w:r w:rsidRPr="00F24B20">
              <w:rPr>
                <w:rFonts w:ascii="Arial" w:hAnsi="Arial" w:cs="Arial"/>
                <w:sz w:val="16"/>
                <w:szCs w:val="16"/>
              </w:rPr>
              <w:t>The legislation establishing the civilian superannuation schemes aligns with the broader regulatory and legislative requirements.</w:t>
            </w:r>
          </w:p>
        </w:tc>
      </w:tr>
      <w:tr w:rsidR="00F0167C" w:rsidRPr="002F196B" w14:paraId="2239E267" w14:textId="77777777" w:rsidTr="000F2E1E">
        <w:trPr>
          <w:trHeight w:val="1827"/>
        </w:trPr>
        <w:tc>
          <w:tcPr>
            <w:tcW w:w="1415" w:type="dxa"/>
            <w:tcBorders>
              <w:top w:val="nil"/>
              <w:right w:val="single" w:sz="4" w:space="0" w:color="auto"/>
            </w:tcBorders>
          </w:tcPr>
          <w:p w14:paraId="2239E263" w14:textId="77777777" w:rsidR="00F0167C" w:rsidRPr="002F196B" w:rsidRDefault="00F0167C" w:rsidP="00632AE5">
            <w:pPr>
              <w:tabs>
                <w:tab w:val="left" w:pos="709"/>
              </w:tabs>
              <w:spacing w:before="60" w:after="60" w:line="240" w:lineRule="auto"/>
              <w:rPr>
                <w:rFonts w:ascii="Arial" w:hAnsi="Arial" w:cs="Arial"/>
                <w:sz w:val="16"/>
                <w:szCs w:val="16"/>
              </w:rPr>
            </w:pPr>
          </w:p>
        </w:tc>
        <w:tc>
          <w:tcPr>
            <w:tcW w:w="2287" w:type="dxa"/>
            <w:tcBorders>
              <w:top w:val="dotted" w:sz="4" w:space="0" w:color="auto"/>
              <w:left w:val="single" w:sz="4" w:space="0" w:color="auto"/>
              <w:right w:val="single" w:sz="4" w:space="0" w:color="auto"/>
            </w:tcBorders>
          </w:tcPr>
          <w:p w14:paraId="3404672B" w14:textId="77777777" w:rsidR="00F24B20" w:rsidRPr="00F24B20" w:rsidRDefault="00F24B20" w:rsidP="00632AE5">
            <w:pPr>
              <w:tabs>
                <w:tab w:val="left" w:pos="709"/>
              </w:tabs>
              <w:autoSpaceDE w:val="0"/>
              <w:autoSpaceDN w:val="0"/>
              <w:spacing w:before="60" w:after="60" w:line="240" w:lineRule="auto"/>
              <w:rPr>
                <w:rFonts w:ascii="Arial" w:hAnsi="Arial" w:cs="Arial"/>
                <w:b/>
                <w:bCs/>
                <w:sz w:val="16"/>
                <w:szCs w:val="16"/>
              </w:rPr>
            </w:pPr>
            <w:r w:rsidRPr="00F24B20">
              <w:rPr>
                <w:rFonts w:ascii="Arial" w:hAnsi="Arial" w:cs="Arial"/>
                <w:b/>
                <w:bCs/>
                <w:sz w:val="16"/>
                <w:szCs w:val="16"/>
              </w:rPr>
              <w:t>Administration of pension schemes for former parliamentarians, judges and governors-general</w:t>
            </w:r>
          </w:p>
          <w:p w14:paraId="2239E265" w14:textId="27F6B603" w:rsidR="00F0167C" w:rsidRPr="00F24B20" w:rsidRDefault="00F24B20" w:rsidP="00632AE5">
            <w:pPr>
              <w:autoSpaceDE w:val="0"/>
              <w:autoSpaceDN w:val="0"/>
              <w:spacing w:before="60" w:after="60" w:line="240" w:lineRule="auto"/>
              <w:rPr>
                <w:rFonts w:ascii="Arial" w:hAnsi="Arial" w:cs="Arial"/>
                <w:sz w:val="16"/>
                <w:szCs w:val="16"/>
              </w:rPr>
            </w:pPr>
            <w:r w:rsidRPr="00F24B20">
              <w:rPr>
                <w:rFonts w:ascii="Arial" w:hAnsi="Arial" w:cs="Arial"/>
                <w:bCs/>
                <w:sz w:val="16"/>
                <w:szCs w:val="16"/>
              </w:rPr>
              <w:t>The pension schemes are administered by Finance effectively, in accordance with the applicable regulatory and legislative requirements.</w:t>
            </w:r>
          </w:p>
        </w:tc>
        <w:tc>
          <w:tcPr>
            <w:tcW w:w="4093" w:type="dxa"/>
            <w:tcBorders>
              <w:top w:val="dotted" w:sz="4" w:space="0" w:color="auto"/>
              <w:left w:val="single" w:sz="4" w:space="0" w:color="auto"/>
            </w:tcBorders>
          </w:tcPr>
          <w:p w14:paraId="2239E266" w14:textId="27079F83" w:rsidR="00F0167C" w:rsidRPr="002F196B" w:rsidRDefault="00F24B20" w:rsidP="00632AE5">
            <w:pPr>
              <w:tabs>
                <w:tab w:val="left" w:pos="709"/>
              </w:tabs>
              <w:suppressAutoHyphens/>
              <w:autoSpaceDE w:val="0"/>
              <w:autoSpaceDN w:val="0"/>
              <w:spacing w:before="60" w:after="60" w:line="240" w:lineRule="auto"/>
              <w:rPr>
                <w:rFonts w:ascii="Arial" w:eastAsia="Arial" w:hAnsi="Arial" w:cs="Arial"/>
                <w:sz w:val="16"/>
                <w:szCs w:val="16"/>
              </w:rPr>
            </w:pPr>
            <w:r w:rsidRPr="00F24B20">
              <w:rPr>
                <w:rFonts w:ascii="Arial" w:hAnsi="Arial" w:cs="Arial"/>
                <w:sz w:val="16"/>
                <w:szCs w:val="16"/>
              </w:rPr>
              <w:t>The operations of the pension schemes administered by Finance continue to comply with the regulatory and legislative requirements.</w:t>
            </w:r>
          </w:p>
        </w:tc>
      </w:tr>
      <w:tr w:rsidR="00F0167C" w:rsidRPr="002F196B" w14:paraId="2239E26B" w14:textId="77777777" w:rsidTr="000F2E1E">
        <w:trPr>
          <w:trHeight w:val="491"/>
        </w:trPr>
        <w:tc>
          <w:tcPr>
            <w:tcW w:w="1415" w:type="dxa"/>
            <w:tcBorders>
              <w:top w:val="dotted" w:sz="4" w:space="0" w:color="auto"/>
              <w:bottom w:val="dotted" w:sz="4" w:space="0" w:color="auto"/>
              <w:right w:val="single" w:sz="4" w:space="0" w:color="auto"/>
            </w:tcBorders>
          </w:tcPr>
          <w:p w14:paraId="464BBA95" w14:textId="77777777" w:rsidR="00FB4106" w:rsidRDefault="00F0167C" w:rsidP="00FB4106">
            <w:pPr>
              <w:tabs>
                <w:tab w:val="left" w:pos="709"/>
              </w:tabs>
              <w:spacing w:before="60" w:after="60" w:line="240" w:lineRule="auto"/>
              <w:rPr>
                <w:rFonts w:ascii="Arial" w:hAnsi="Arial" w:cs="Arial"/>
                <w:sz w:val="16"/>
                <w:szCs w:val="16"/>
              </w:rPr>
            </w:pPr>
            <w:r w:rsidRPr="006A4649">
              <w:rPr>
                <w:rFonts w:ascii="Arial" w:hAnsi="Arial" w:cs="Arial"/>
                <w:sz w:val="16"/>
                <w:szCs w:val="16"/>
              </w:rPr>
              <w:t xml:space="preserve">Forward Estimates </w:t>
            </w:r>
          </w:p>
          <w:p w14:paraId="2239E268" w14:textId="6AD346B0" w:rsidR="00F0167C" w:rsidRPr="006A4649" w:rsidRDefault="00F0167C" w:rsidP="00FB4106">
            <w:pPr>
              <w:tabs>
                <w:tab w:val="left" w:pos="709"/>
              </w:tabs>
              <w:spacing w:before="60" w:after="60" w:line="240" w:lineRule="auto"/>
              <w:rPr>
                <w:rFonts w:ascii="Arial" w:hAnsi="Arial" w:cs="Arial"/>
                <w:b/>
                <w:sz w:val="16"/>
                <w:szCs w:val="16"/>
              </w:rPr>
            </w:pPr>
            <w:r w:rsidRPr="006A4649">
              <w:rPr>
                <w:rFonts w:ascii="Arial" w:hAnsi="Arial" w:cs="Arial"/>
                <w:sz w:val="16"/>
                <w:szCs w:val="16"/>
              </w:rPr>
              <w:t>2023-26</w:t>
            </w:r>
          </w:p>
        </w:tc>
        <w:tc>
          <w:tcPr>
            <w:tcW w:w="2287" w:type="dxa"/>
            <w:tcBorders>
              <w:top w:val="dotted" w:sz="4" w:space="0" w:color="auto"/>
              <w:left w:val="single" w:sz="4" w:space="0" w:color="auto"/>
              <w:bottom w:val="dotted" w:sz="4" w:space="0" w:color="auto"/>
              <w:right w:val="single" w:sz="4" w:space="0" w:color="auto"/>
            </w:tcBorders>
          </w:tcPr>
          <w:p w14:paraId="2239E269" w14:textId="77777777" w:rsidR="00F0167C" w:rsidRPr="006A4649" w:rsidRDefault="0086011E" w:rsidP="00632AE5">
            <w:pPr>
              <w:tabs>
                <w:tab w:val="left" w:pos="709"/>
              </w:tabs>
              <w:spacing w:before="60" w:after="60" w:line="240" w:lineRule="auto"/>
              <w:rPr>
                <w:rFonts w:ascii="Arial" w:hAnsi="Arial" w:cs="Arial"/>
                <w:b/>
                <w:sz w:val="16"/>
                <w:szCs w:val="16"/>
              </w:rPr>
            </w:pPr>
            <w:r>
              <w:rPr>
                <w:rFonts w:ascii="Arial" w:eastAsia="Arial" w:hAnsi="Arial" w:cs="Arial"/>
                <w:sz w:val="16"/>
                <w:szCs w:val="16"/>
              </w:rPr>
              <w:t>As per 2022-23</w:t>
            </w:r>
          </w:p>
        </w:tc>
        <w:tc>
          <w:tcPr>
            <w:tcW w:w="4093" w:type="dxa"/>
            <w:tcBorders>
              <w:top w:val="dotted" w:sz="4" w:space="0" w:color="auto"/>
              <w:left w:val="single" w:sz="4" w:space="0" w:color="auto"/>
              <w:bottom w:val="dotted" w:sz="4" w:space="0" w:color="auto"/>
            </w:tcBorders>
          </w:tcPr>
          <w:p w14:paraId="2239E26A" w14:textId="77777777" w:rsidR="00F0167C" w:rsidRPr="006A4649" w:rsidRDefault="0086011E" w:rsidP="00632AE5">
            <w:pPr>
              <w:tabs>
                <w:tab w:val="left" w:pos="709"/>
              </w:tabs>
              <w:spacing w:before="60" w:after="60" w:line="240" w:lineRule="auto"/>
              <w:rPr>
                <w:rFonts w:ascii="Arial" w:hAnsi="Arial" w:cs="Arial"/>
                <w:b/>
                <w:sz w:val="16"/>
                <w:szCs w:val="16"/>
              </w:rPr>
            </w:pPr>
            <w:r>
              <w:rPr>
                <w:rFonts w:ascii="Arial" w:eastAsia="Arial" w:hAnsi="Arial" w:cs="Arial"/>
                <w:sz w:val="16"/>
                <w:szCs w:val="16"/>
              </w:rPr>
              <w:t>As per 2022-23</w:t>
            </w:r>
          </w:p>
        </w:tc>
      </w:tr>
      <w:tr w:rsidR="00F0167C" w:rsidRPr="002F196B" w14:paraId="2239E26D" w14:textId="77777777" w:rsidTr="000F2E1E">
        <w:trPr>
          <w:trHeight w:val="291"/>
        </w:trPr>
        <w:tc>
          <w:tcPr>
            <w:tcW w:w="7795" w:type="dxa"/>
            <w:gridSpan w:val="3"/>
          </w:tcPr>
          <w:p w14:paraId="2239E26C" w14:textId="1ADEDBC4" w:rsidR="00F0167C" w:rsidRPr="002F196B" w:rsidRDefault="00F24B20" w:rsidP="00632AE5">
            <w:pPr>
              <w:tabs>
                <w:tab w:val="left" w:pos="709"/>
              </w:tabs>
              <w:spacing w:before="60" w:after="60" w:line="240" w:lineRule="auto"/>
              <w:rPr>
                <w:rFonts w:ascii="Arial" w:eastAsia="Cambria" w:hAnsi="Arial" w:cs="Arial"/>
                <w:bCs/>
                <w:iCs/>
                <w:spacing w:val="-6"/>
                <w:sz w:val="16"/>
                <w:szCs w:val="16"/>
              </w:rPr>
            </w:pPr>
            <w:r w:rsidRPr="00F24B20">
              <w:rPr>
                <w:rFonts w:ascii="Arial" w:hAnsi="Arial" w:cs="Arial"/>
                <w:sz w:val="16"/>
                <w:szCs w:val="16"/>
              </w:rPr>
              <w:t>Material changes to Program 2.7 resulting from Octob</w:t>
            </w:r>
            <w:r w:rsidR="00EF37E5">
              <w:rPr>
                <w:rFonts w:ascii="Arial" w:hAnsi="Arial" w:cs="Arial"/>
                <w:sz w:val="16"/>
                <w:szCs w:val="16"/>
              </w:rPr>
              <w:t>er 2022-23 Budget Measures: Nil</w:t>
            </w:r>
          </w:p>
        </w:tc>
      </w:tr>
    </w:tbl>
    <w:p w14:paraId="4601446E" w14:textId="77777777" w:rsidR="00DC40CF" w:rsidRDefault="00DC40CF" w:rsidP="00C8474A">
      <w:pPr>
        <w:pStyle w:val="ChartandTableFootnoteAlpha"/>
        <w:numPr>
          <w:ilvl w:val="0"/>
          <w:numId w:val="75"/>
        </w:numPr>
        <w:spacing w:before="60"/>
        <w:ind w:left="284" w:hanging="284"/>
        <w:rPr>
          <w:lang w:eastAsia="x-none"/>
        </w:rPr>
      </w:pPr>
      <w:r w:rsidRPr="00CC65C0">
        <w:rPr>
          <w:lang w:eastAsia="x-none"/>
        </w:rPr>
        <w:t>Refers to updated key activities th</w:t>
      </w:r>
      <w:r>
        <w:rPr>
          <w:lang w:eastAsia="x-none"/>
        </w:rPr>
        <w:t>at will be reflected in the 2022-23</w:t>
      </w:r>
      <w:r w:rsidRPr="00CC65C0">
        <w:rPr>
          <w:lang w:eastAsia="x-none"/>
        </w:rPr>
        <w:t xml:space="preserve"> Corporate Plan</w:t>
      </w:r>
      <w:r>
        <w:rPr>
          <w:lang w:eastAsia="x-none"/>
        </w:rPr>
        <w:t>.</w:t>
      </w:r>
    </w:p>
    <w:p w14:paraId="074F3C0B" w14:textId="77777777" w:rsidR="00F9784F" w:rsidRDefault="00F9784F" w:rsidP="00F0167C">
      <w:pPr>
        <w:pStyle w:val="TableHeading"/>
      </w:pPr>
      <w:r>
        <w:br w:type="page"/>
      </w:r>
    </w:p>
    <w:p w14:paraId="2239E273" w14:textId="31222E19" w:rsidR="00F0167C" w:rsidRPr="00915209" w:rsidRDefault="00F0167C" w:rsidP="00F0167C">
      <w:pPr>
        <w:pStyle w:val="TableHeading"/>
      </w:pPr>
      <w:r>
        <w:lastRenderedPageBreak/>
        <w:t>Table 2.2.2</w:t>
      </w:r>
      <w:r w:rsidRPr="0033318A">
        <w:t>:</w:t>
      </w:r>
      <w:r w:rsidRPr="00F71634">
        <w:t xml:space="preserve"> Performance </w:t>
      </w:r>
      <w:r w:rsidRPr="00026D37">
        <w:t>measure</w:t>
      </w:r>
      <w:r w:rsidRPr="00F71634">
        <w:t xml:space="preserve"> </w:t>
      </w:r>
      <w:r>
        <w:t>for Outcome 2 (continued)</w:t>
      </w:r>
    </w:p>
    <w:tbl>
      <w:tblPr>
        <w:tblW w:w="7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2259"/>
        <w:gridCol w:w="4134"/>
      </w:tblGrid>
      <w:tr w:rsidR="00F0167C" w:rsidRPr="00361E69" w14:paraId="2239E27C" w14:textId="77777777" w:rsidTr="00632AE5">
        <w:trPr>
          <w:trHeight w:val="522"/>
          <w:tblHeader/>
        </w:trPr>
        <w:tc>
          <w:tcPr>
            <w:tcW w:w="7795" w:type="dxa"/>
            <w:gridSpan w:val="3"/>
            <w:shd w:val="clear" w:color="auto" w:fill="F2F2F2"/>
          </w:tcPr>
          <w:p w14:paraId="27161567" w14:textId="77777777" w:rsidR="00EE1B89" w:rsidRDefault="00F9784F" w:rsidP="00632AE5">
            <w:pPr>
              <w:tabs>
                <w:tab w:val="left" w:pos="709"/>
              </w:tabs>
              <w:spacing w:before="60" w:after="60" w:line="240" w:lineRule="auto"/>
              <w:rPr>
                <w:rFonts w:ascii="Arial" w:hAnsi="Arial" w:cs="Arial"/>
                <w:b/>
                <w:sz w:val="16"/>
                <w:szCs w:val="16"/>
              </w:rPr>
            </w:pPr>
            <w:r w:rsidRPr="00F9784F">
              <w:rPr>
                <w:rFonts w:ascii="Arial" w:hAnsi="Arial" w:cs="Arial"/>
                <w:b/>
                <w:sz w:val="16"/>
                <w:szCs w:val="16"/>
              </w:rPr>
              <w:t>Program 2.8 – Australian Government Investment Funds</w:t>
            </w:r>
          </w:p>
          <w:p w14:paraId="4C66CB75" w14:textId="77777777" w:rsidR="00EE1B89" w:rsidRPr="00EE1B89" w:rsidRDefault="00F9784F" w:rsidP="00632AE5">
            <w:pPr>
              <w:tabs>
                <w:tab w:val="left" w:pos="709"/>
              </w:tabs>
              <w:spacing w:before="60" w:after="60" w:line="240" w:lineRule="auto"/>
              <w:rPr>
                <w:rFonts w:ascii="Arial" w:hAnsi="Arial" w:cs="Arial"/>
                <w:sz w:val="16"/>
                <w:szCs w:val="16"/>
              </w:rPr>
            </w:pPr>
            <w:r w:rsidRPr="00EE1B89">
              <w:rPr>
                <w:rFonts w:ascii="Arial" w:hAnsi="Arial" w:cs="Arial"/>
                <w:sz w:val="16"/>
                <w:szCs w:val="16"/>
              </w:rPr>
              <w:t>This program contributes to the outcome through providing advice on investment mandates and governance arrangements for the Government’s Investment Funds, to maximise the value of the funds to the Government. This includes advice on credit of amounts to the Funds and debits for payments from the Funds. The Funds are:</w:t>
            </w:r>
          </w:p>
          <w:p w14:paraId="2239E276" w14:textId="290F5619" w:rsidR="00F0167C" w:rsidRPr="00EE1B89" w:rsidRDefault="00F0167C" w:rsidP="00C8474A">
            <w:pPr>
              <w:pStyle w:val="ListParagraph"/>
              <w:numPr>
                <w:ilvl w:val="0"/>
                <w:numId w:val="65"/>
              </w:numPr>
              <w:tabs>
                <w:tab w:val="left" w:pos="709"/>
              </w:tabs>
              <w:autoSpaceDE w:val="0"/>
              <w:autoSpaceDN w:val="0"/>
              <w:adjustRightInd w:val="0"/>
              <w:spacing w:before="60" w:after="60" w:line="240" w:lineRule="auto"/>
              <w:rPr>
                <w:rFonts w:ascii="Arial" w:hAnsi="Arial" w:cs="Arial"/>
                <w:bCs/>
                <w:sz w:val="16"/>
                <w:szCs w:val="16"/>
              </w:rPr>
            </w:pPr>
            <w:r w:rsidRPr="00EE1B89">
              <w:rPr>
                <w:rFonts w:ascii="Arial" w:hAnsi="Arial" w:cs="Arial"/>
                <w:bCs/>
                <w:sz w:val="16"/>
                <w:szCs w:val="16"/>
              </w:rPr>
              <w:t>Future Fund</w:t>
            </w:r>
          </w:p>
          <w:p w14:paraId="2239E277" w14:textId="77777777" w:rsidR="00F0167C" w:rsidRPr="00EE1B89" w:rsidRDefault="00F0167C" w:rsidP="00C8474A">
            <w:pPr>
              <w:pStyle w:val="ListParagraph"/>
              <w:numPr>
                <w:ilvl w:val="0"/>
                <w:numId w:val="65"/>
              </w:numPr>
              <w:tabs>
                <w:tab w:val="left" w:pos="709"/>
              </w:tabs>
              <w:autoSpaceDE w:val="0"/>
              <w:autoSpaceDN w:val="0"/>
              <w:adjustRightInd w:val="0"/>
              <w:spacing w:before="60" w:after="60" w:line="240" w:lineRule="auto"/>
              <w:rPr>
                <w:rFonts w:ascii="Arial" w:hAnsi="Arial" w:cs="Arial"/>
                <w:bCs/>
                <w:sz w:val="16"/>
                <w:szCs w:val="16"/>
              </w:rPr>
            </w:pPr>
            <w:proofErr w:type="spellStart"/>
            <w:r w:rsidRPr="00EE1B89">
              <w:rPr>
                <w:rFonts w:ascii="Arial" w:hAnsi="Arial" w:cs="Arial"/>
                <w:bCs/>
                <w:sz w:val="16"/>
                <w:szCs w:val="16"/>
              </w:rPr>
              <w:t>DisabilityCare</w:t>
            </w:r>
            <w:proofErr w:type="spellEnd"/>
            <w:r w:rsidRPr="00EE1B89">
              <w:rPr>
                <w:rFonts w:ascii="Arial" w:hAnsi="Arial" w:cs="Arial"/>
                <w:bCs/>
                <w:sz w:val="16"/>
                <w:szCs w:val="16"/>
              </w:rPr>
              <w:t xml:space="preserve"> Australia Fund</w:t>
            </w:r>
          </w:p>
          <w:p w14:paraId="2239E278" w14:textId="77777777" w:rsidR="00F0167C" w:rsidRPr="00EE1B89" w:rsidRDefault="00F0167C" w:rsidP="00C8474A">
            <w:pPr>
              <w:pStyle w:val="ListParagraph"/>
              <w:numPr>
                <w:ilvl w:val="0"/>
                <w:numId w:val="65"/>
              </w:numPr>
              <w:tabs>
                <w:tab w:val="left" w:pos="709"/>
              </w:tabs>
              <w:autoSpaceDE w:val="0"/>
              <w:autoSpaceDN w:val="0"/>
              <w:adjustRightInd w:val="0"/>
              <w:spacing w:before="60" w:after="60" w:line="240" w:lineRule="auto"/>
              <w:rPr>
                <w:rFonts w:ascii="Arial" w:hAnsi="Arial" w:cs="Arial"/>
                <w:bCs/>
                <w:sz w:val="16"/>
                <w:szCs w:val="16"/>
              </w:rPr>
            </w:pPr>
            <w:r w:rsidRPr="00EE1B89">
              <w:rPr>
                <w:rFonts w:ascii="Arial" w:hAnsi="Arial" w:cs="Arial"/>
                <w:bCs/>
                <w:sz w:val="16"/>
                <w:szCs w:val="16"/>
              </w:rPr>
              <w:t xml:space="preserve">Medical Research Future Fund </w:t>
            </w:r>
          </w:p>
          <w:p w14:paraId="2239E279" w14:textId="77777777" w:rsidR="00F0167C" w:rsidRPr="00EE1B89" w:rsidRDefault="00F0167C" w:rsidP="00C8474A">
            <w:pPr>
              <w:pStyle w:val="ListParagraph"/>
              <w:numPr>
                <w:ilvl w:val="0"/>
                <w:numId w:val="65"/>
              </w:numPr>
              <w:tabs>
                <w:tab w:val="left" w:pos="709"/>
              </w:tabs>
              <w:autoSpaceDE w:val="0"/>
              <w:autoSpaceDN w:val="0"/>
              <w:adjustRightInd w:val="0"/>
              <w:spacing w:before="60" w:after="60" w:line="240" w:lineRule="auto"/>
              <w:rPr>
                <w:rFonts w:ascii="Arial" w:hAnsi="Arial" w:cs="Arial"/>
                <w:bCs/>
                <w:sz w:val="16"/>
                <w:szCs w:val="16"/>
              </w:rPr>
            </w:pPr>
            <w:r w:rsidRPr="00EE1B89">
              <w:rPr>
                <w:rFonts w:ascii="Arial" w:hAnsi="Arial" w:cs="Arial"/>
                <w:bCs/>
                <w:sz w:val="16"/>
                <w:szCs w:val="16"/>
              </w:rPr>
              <w:t>Aboriginal and Torres Strait Islander Land and Sea Future Fund</w:t>
            </w:r>
          </w:p>
          <w:p w14:paraId="2239E27A" w14:textId="77777777" w:rsidR="00F0167C" w:rsidRPr="00EE1B89" w:rsidRDefault="00F0167C" w:rsidP="00C8474A">
            <w:pPr>
              <w:pStyle w:val="ListParagraph"/>
              <w:numPr>
                <w:ilvl w:val="0"/>
                <w:numId w:val="65"/>
              </w:numPr>
              <w:tabs>
                <w:tab w:val="left" w:pos="709"/>
              </w:tabs>
              <w:autoSpaceDE w:val="0"/>
              <w:autoSpaceDN w:val="0"/>
              <w:adjustRightInd w:val="0"/>
              <w:spacing w:before="60" w:after="60" w:line="240" w:lineRule="auto"/>
              <w:rPr>
                <w:rFonts w:ascii="Arial" w:hAnsi="Arial" w:cs="Arial"/>
                <w:bCs/>
                <w:sz w:val="16"/>
                <w:szCs w:val="16"/>
              </w:rPr>
            </w:pPr>
            <w:r w:rsidRPr="00EE1B89">
              <w:rPr>
                <w:rFonts w:ascii="Arial" w:hAnsi="Arial" w:cs="Arial"/>
                <w:bCs/>
                <w:sz w:val="16"/>
                <w:szCs w:val="16"/>
              </w:rPr>
              <w:t>Future Drought Fund</w:t>
            </w:r>
          </w:p>
          <w:p w14:paraId="2239E27B" w14:textId="70F7B71E" w:rsidR="00F0167C" w:rsidRPr="00361E69" w:rsidRDefault="00F0167C" w:rsidP="00C8474A">
            <w:pPr>
              <w:pStyle w:val="ListParagraph"/>
              <w:numPr>
                <w:ilvl w:val="0"/>
                <w:numId w:val="65"/>
              </w:numPr>
              <w:tabs>
                <w:tab w:val="left" w:pos="709"/>
              </w:tabs>
              <w:autoSpaceDE w:val="0"/>
              <w:autoSpaceDN w:val="0"/>
              <w:adjustRightInd w:val="0"/>
              <w:spacing w:before="60" w:after="60" w:line="240" w:lineRule="auto"/>
              <w:rPr>
                <w:rFonts w:ascii="Arial" w:hAnsi="Arial" w:cs="Arial"/>
                <w:sz w:val="16"/>
                <w:szCs w:val="16"/>
              </w:rPr>
            </w:pPr>
            <w:r w:rsidRPr="00EE1B89">
              <w:rPr>
                <w:rFonts w:ascii="Arial" w:hAnsi="Arial" w:cs="Arial"/>
                <w:bCs/>
                <w:sz w:val="16"/>
                <w:szCs w:val="16"/>
              </w:rPr>
              <w:t>Emergency Response Fund</w:t>
            </w:r>
          </w:p>
        </w:tc>
      </w:tr>
      <w:tr w:rsidR="00F0167C" w:rsidRPr="00C92882" w14:paraId="2239E280" w14:textId="77777777" w:rsidTr="00632AE5">
        <w:trPr>
          <w:trHeight w:val="694"/>
        </w:trPr>
        <w:tc>
          <w:tcPr>
            <w:tcW w:w="1402" w:type="dxa"/>
            <w:tcBorders>
              <w:bottom w:val="double" w:sz="4" w:space="0" w:color="auto"/>
            </w:tcBorders>
          </w:tcPr>
          <w:p w14:paraId="2239E27D" w14:textId="2B448F98" w:rsidR="00F0167C" w:rsidRPr="00A0116B" w:rsidRDefault="00F0167C" w:rsidP="00632AE5">
            <w:pPr>
              <w:tabs>
                <w:tab w:val="left" w:pos="709"/>
              </w:tabs>
              <w:spacing w:before="60" w:after="60" w:line="240" w:lineRule="auto"/>
              <w:rPr>
                <w:rFonts w:ascii="Arial" w:hAnsi="Arial" w:cs="Arial"/>
                <w:b/>
                <w:sz w:val="16"/>
                <w:szCs w:val="16"/>
              </w:rPr>
            </w:pPr>
            <w:r w:rsidRPr="00A0116B">
              <w:rPr>
                <w:rFonts w:ascii="Arial" w:hAnsi="Arial" w:cs="Arial"/>
                <w:b/>
                <w:sz w:val="16"/>
                <w:szCs w:val="16"/>
              </w:rPr>
              <w:t xml:space="preserve">Key Activities </w:t>
            </w:r>
            <w:r w:rsidR="00EE1B89">
              <w:rPr>
                <w:rFonts w:ascii="Arial" w:hAnsi="Arial" w:cs="Arial"/>
                <w:b/>
                <w:sz w:val="16"/>
                <w:szCs w:val="16"/>
              </w:rPr>
              <w:t>(a)</w:t>
            </w:r>
          </w:p>
        </w:tc>
        <w:tc>
          <w:tcPr>
            <w:tcW w:w="6393" w:type="dxa"/>
            <w:gridSpan w:val="2"/>
            <w:tcBorders>
              <w:bottom w:val="double" w:sz="4" w:space="0" w:color="auto"/>
            </w:tcBorders>
          </w:tcPr>
          <w:p w14:paraId="1BFF9209" w14:textId="77777777" w:rsidR="00EE1B89" w:rsidRPr="00EE1B89" w:rsidRDefault="00EE1B89" w:rsidP="00632AE5">
            <w:pPr>
              <w:tabs>
                <w:tab w:val="left" w:pos="709"/>
              </w:tabs>
              <w:spacing w:before="60" w:after="60" w:line="240" w:lineRule="auto"/>
              <w:rPr>
                <w:rFonts w:ascii="Arial" w:hAnsi="Arial" w:cs="Arial"/>
                <w:b/>
                <w:bCs/>
                <w:sz w:val="16"/>
                <w:szCs w:val="16"/>
              </w:rPr>
            </w:pPr>
            <w:r w:rsidRPr="00EE1B89">
              <w:rPr>
                <w:rFonts w:ascii="Arial" w:hAnsi="Arial" w:cs="Arial"/>
                <w:b/>
                <w:bCs/>
                <w:sz w:val="16"/>
                <w:szCs w:val="16"/>
              </w:rPr>
              <w:t>Enable investment funds and civilian superannuation</w:t>
            </w:r>
          </w:p>
          <w:p w14:paraId="2239E27F" w14:textId="369213F9" w:rsidR="00F0167C" w:rsidRPr="00EE1B89" w:rsidRDefault="00EE1B89" w:rsidP="00632AE5">
            <w:pPr>
              <w:tabs>
                <w:tab w:val="left" w:pos="709"/>
              </w:tabs>
              <w:spacing w:before="60" w:after="60" w:line="240" w:lineRule="auto"/>
              <w:rPr>
                <w:rFonts w:ascii="Arial" w:hAnsi="Arial" w:cs="Arial"/>
                <w:i/>
                <w:sz w:val="16"/>
                <w:szCs w:val="16"/>
              </w:rPr>
            </w:pPr>
            <w:r w:rsidRPr="00EE1B89">
              <w:rPr>
                <w:rFonts w:ascii="Arial" w:hAnsi="Arial" w:cs="Arial"/>
                <w:bCs/>
                <w:sz w:val="16"/>
                <w:szCs w:val="16"/>
              </w:rPr>
              <w:t>Provide a policy, regulatory and legislative framework that enables the civilian superannuation scheme compliance, and maximisation of returns on investment funds.</w:t>
            </w:r>
          </w:p>
        </w:tc>
      </w:tr>
      <w:tr w:rsidR="00F0167C" w:rsidRPr="00361E69" w14:paraId="2239E284" w14:textId="77777777" w:rsidTr="00632AE5">
        <w:trPr>
          <w:trHeight w:val="312"/>
        </w:trPr>
        <w:tc>
          <w:tcPr>
            <w:tcW w:w="1402" w:type="dxa"/>
            <w:tcBorders>
              <w:top w:val="double" w:sz="4" w:space="0" w:color="auto"/>
              <w:bottom w:val="single" w:sz="4" w:space="0" w:color="auto"/>
              <w:right w:val="single" w:sz="4" w:space="0" w:color="auto"/>
            </w:tcBorders>
          </w:tcPr>
          <w:p w14:paraId="2239E281" w14:textId="77777777" w:rsidR="00F0167C" w:rsidRPr="00A0116B" w:rsidRDefault="00F0167C" w:rsidP="00632AE5">
            <w:pPr>
              <w:tabs>
                <w:tab w:val="left" w:pos="709"/>
              </w:tabs>
              <w:spacing w:before="60" w:after="60" w:line="240" w:lineRule="auto"/>
              <w:rPr>
                <w:rFonts w:ascii="Arial" w:hAnsi="Arial" w:cs="Arial"/>
                <w:b/>
                <w:sz w:val="16"/>
                <w:szCs w:val="16"/>
              </w:rPr>
            </w:pPr>
            <w:r w:rsidRPr="00A0116B">
              <w:rPr>
                <w:rFonts w:ascii="Arial" w:hAnsi="Arial" w:cs="Arial"/>
                <w:b/>
                <w:sz w:val="16"/>
                <w:szCs w:val="16"/>
              </w:rPr>
              <w:t>Year</w:t>
            </w:r>
          </w:p>
        </w:tc>
        <w:tc>
          <w:tcPr>
            <w:tcW w:w="2259" w:type="dxa"/>
            <w:tcBorders>
              <w:top w:val="double" w:sz="4" w:space="0" w:color="auto"/>
              <w:left w:val="single" w:sz="4" w:space="0" w:color="auto"/>
              <w:bottom w:val="single" w:sz="4" w:space="0" w:color="auto"/>
              <w:right w:val="single" w:sz="4" w:space="0" w:color="auto"/>
            </w:tcBorders>
          </w:tcPr>
          <w:p w14:paraId="2239E282" w14:textId="77777777" w:rsidR="00F0167C" w:rsidRPr="00A0116B" w:rsidRDefault="00F0167C" w:rsidP="00632AE5">
            <w:pPr>
              <w:tabs>
                <w:tab w:val="left" w:pos="709"/>
                <w:tab w:val="center" w:pos="1818"/>
              </w:tabs>
              <w:spacing w:before="60" w:after="60" w:line="240" w:lineRule="auto"/>
              <w:rPr>
                <w:rFonts w:ascii="Arial" w:hAnsi="Arial" w:cs="Arial"/>
                <w:b/>
                <w:sz w:val="16"/>
                <w:szCs w:val="16"/>
              </w:rPr>
            </w:pPr>
            <w:r w:rsidRPr="00A0116B">
              <w:rPr>
                <w:rFonts w:ascii="Arial" w:hAnsi="Arial" w:cs="Arial"/>
                <w:b/>
                <w:sz w:val="16"/>
                <w:szCs w:val="16"/>
              </w:rPr>
              <w:t>Performance measures</w:t>
            </w:r>
          </w:p>
        </w:tc>
        <w:tc>
          <w:tcPr>
            <w:tcW w:w="4134" w:type="dxa"/>
            <w:tcBorders>
              <w:top w:val="double" w:sz="4" w:space="0" w:color="auto"/>
              <w:left w:val="single" w:sz="4" w:space="0" w:color="auto"/>
              <w:bottom w:val="single" w:sz="4" w:space="0" w:color="auto"/>
            </w:tcBorders>
          </w:tcPr>
          <w:p w14:paraId="2239E283" w14:textId="77777777" w:rsidR="00F0167C" w:rsidRPr="00A0116B" w:rsidRDefault="00F0167C" w:rsidP="00632AE5">
            <w:pPr>
              <w:tabs>
                <w:tab w:val="left" w:pos="709"/>
              </w:tabs>
              <w:spacing w:before="60" w:after="60" w:line="240" w:lineRule="auto"/>
              <w:rPr>
                <w:rFonts w:ascii="Arial" w:hAnsi="Arial" w:cs="Arial"/>
                <w:b/>
                <w:sz w:val="16"/>
                <w:szCs w:val="16"/>
              </w:rPr>
            </w:pPr>
            <w:r w:rsidRPr="00A0116B">
              <w:rPr>
                <w:rFonts w:ascii="Arial" w:hAnsi="Arial" w:cs="Arial"/>
                <w:b/>
                <w:sz w:val="16"/>
                <w:szCs w:val="16"/>
              </w:rPr>
              <w:t>Expected Performance Results</w:t>
            </w:r>
          </w:p>
        </w:tc>
      </w:tr>
      <w:tr w:rsidR="00F0167C" w:rsidRPr="00C92882" w14:paraId="2239E28B" w14:textId="77777777" w:rsidTr="00632AE5">
        <w:trPr>
          <w:trHeight w:val="2158"/>
        </w:trPr>
        <w:tc>
          <w:tcPr>
            <w:tcW w:w="1402" w:type="dxa"/>
            <w:tcBorders>
              <w:top w:val="single" w:sz="4" w:space="0" w:color="auto"/>
              <w:right w:val="single" w:sz="4" w:space="0" w:color="auto"/>
            </w:tcBorders>
          </w:tcPr>
          <w:p w14:paraId="255E61DF" w14:textId="77777777" w:rsidR="009B15C3" w:rsidRPr="00226614" w:rsidRDefault="009B15C3" w:rsidP="00632AE5">
            <w:pPr>
              <w:tabs>
                <w:tab w:val="left" w:pos="709"/>
              </w:tabs>
              <w:spacing w:before="60" w:after="60" w:line="240" w:lineRule="auto"/>
              <w:rPr>
                <w:rFonts w:ascii="Arial" w:hAnsi="Arial" w:cs="Arial"/>
                <w:sz w:val="16"/>
                <w:szCs w:val="16"/>
              </w:rPr>
            </w:pPr>
            <w:r w:rsidRPr="00226614">
              <w:rPr>
                <w:rFonts w:ascii="Arial" w:hAnsi="Arial" w:cs="Arial"/>
                <w:sz w:val="16"/>
                <w:szCs w:val="16"/>
              </w:rPr>
              <w:t xml:space="preserve">Prior year </w:t>
            </w:r>
          </w:p>
          <w:p w14:paraId="2239E285" w14:textId="370E7BF4" w:rsidR="00F0167C" w:rsidRPr="006A4649" w:rsidRDefault="009B15C3" w:rsidP="00632AE5">
            <w:pPr>
              <w:tabs>
                <w:tab w:val="left" w:pos="709"/>
              </w:tabs>
              <w:spacing w:before="60" w:after="60" w:line="240" w:lineRule="auto"/>
              <w:rPr>
                <w:rFonts w:ascii="Arial" w:hAnsi="Arial" w:cs="Arial"/>
                <w:sz w:val="16"/>
                <w:szCs w:val="16"/>
              </w:rPr>
            </w:pPr>
            <w:r w:rsidRPr="00226614">
              <w:rPr>
                <w:rFonts w:ascii="Arial" w:hAnsi="Arial" w:cs="Arial"/>
                <w:sz w:val="16"/>
                <w:szCs w:val="16"/>
              </w:rPr>
              <w:t>2021-22</w:t>
            </w:r>
          </w:p>
        </w:tc>
        <w:tc>
          <w:tcPr>
            <w:tcW w:w="2259" w:type="dxa"/>
            <w:tcBorders>
              <w:top w:val="single" w:sz="4" w:space="0" w:color="auto"/>
              <w:left w:val="single" w:sz="4" w:space="0" w:color="auto"/>
              <w:right w:val="single" w:sz="4" w:space="0" w:color="auto"/>
            </w:tcBorders>
          </w:tcPr>
          <w:p w14:paraId="450F077A" w14:textId="77777777" w:rsidR="009B15C3" w:rsidRPr="009B15C3" w:rsidRDefault="009B15C3" w:rsidP="00632AE5">
            <w:pPr>
              <w:tabs>
                <w:tab w:val="left" w:pos="709"/>
              </w:tabs>
              <w:spacing w:before="60" w:after="60" w:line="240" w:lineRule="auto"/>
              <w:rPr>
                <w:rFonts w:ascii="Arial" w:hAnsi="Arial" w:cs="Arial"/>
                <w:b/>
                <w:bCs/>
                <w:sz w:val="16"/>
                <w:szCs w:val="16"/>
              </w:rPr>
            </w:pPr>
            <w:r w:rsidRPr="009B15C3">
              <w:rPr>
                <w:rFonts w:ascii="Arial" w:hAnsi="Arial" w:cs="Arial"/>
                <w:b/>
                <w:bCs/>
                <w:sz w:val="16"/>
                <w:szCs w:val="16"/>
              </w:rPr>
              <w:t xml:space="preserve">Investment mandates for each Australian Government Investment Fund </w:t>
            </w:r>
          </w:p>
          <w:p w14:paraId="2239E287" w14:textId="6C9EAE22" w:rsidR="00F0167C" w:rsidRPr="009B15C3" w:rsidRDefault="009B15C3" w:rsidP="00632AE5">
            <w:pPr>
              <w:tabs>
                <w:tab w:val="left" w:pos="709"/>
              </w:tabs>
              <w:spacing w:before="60" w:after="60" w:line="240" w:lineRule="auto"/>
              <w:rPr>
                <w:rFonts w:ascii="Arial" w:hAnsi="Arial" w:cs="Arial"/>
                <w:bCs/>
                <w:sz w:val="16"/>
                <w:szCs w:val="16"/>
              </w:rPr>
            </w:pPr>
            <w:r w:rsidRPr="009B15C3">
              <w:rPr>
                <w:rFonts w:ascii="Arial" w:hAnsi="Arial" w:cs="Arial"/>
                <w:bCs/>
                <w:sz w:val="16"/>
                <w:szCs w:val="16"/>
              </w:rPr>
              <w:t>Investment mandates are set for each Australian Government Investment Fund which assist in achieving the financial and risk objectives and are consistent with the policy, regulatory and legislative framework.</w:t>
            </w:r>
          </w:p>
        </w:tc>
        <w:tc>
          <w:tcPr>
            <w:tcW w:w="4134" w:type="dxa"/>
            <w:tcBorders>
              <w:top w:val="single" w:sz="4" w:space="0" w:color="auto"/>
              <w:left w:val="single" w:sz="4" w:space="0" w:color="auto"/>
            </w:tcBorders>
          </w:tcPr>
          <w:p w14:paraId="26D3D75D" w14:textId="77777777" w:rsidR="009B15C3" w:rsidRPr="009B15C3" w:rsidRDefault="009B15C3" w:rsidP="00632AE5">
            <w:pPr>
              <w:tabs>
                <w:tab w:val="left" w:pos="709"/>
              </w:tabs>
              <w:spacing w:before="60" w:after="60" w:line="240" w:lineRule="auto"/>
              <w:rPr>
                <w:rFonts w:ascii="Arial" w:hAnsi="Arial" w:cs="Arial"/>
                <w:b/>
                <w:bCs/>
                <w:sz w:val="16"/>
                <w:szCs w:val="16"/>
              </w:rPr>
            </w:pPr>
            <w:r w:rsidRPr="009B15C3">
              <w:rPr>
                <w:rFonts w:ascii="Arial" w:hAnsi="Arial" w:cs="Arial"/>
                <w:b/>
                <w:bCs/>
                <w:sz w:val="16"/>
                <w:szCs w:val="16"/>
              </w:rPr>
              <w:t>Achieved</w:t>
            </w:r>
          </w:p>
          <w:p w14:paraId="2239E28A" w14:textId="27F9D497" w:rsidR="00F0167C" w:rsidRPr="009B15C3" w:rsidRDefault="009B15C3" w:rsidP="00632AE5">
            <w:pPr>
              <w:tabs>
                <w:tab w:val="left" w:pos="709"/>
              </w:tabs>
              <w:spacing w:before="60" w:after="60" w:line="240" w:lineRule="auto"/>
              <w:rPr>
                <w:rFonts w:ascii="Arial" w:hAnsi="Arial" w:cs="Arial"/>
                <w:sz w:val="16"/>
                <w:szCs w:val="16"/>
              </w:rPr>
            </w:pPr>
            <w:r w:rsidRPr="009B15C3">
              <w:rPr>
                <w:rFonts w:ascii="Arial" w:hAnsi="Arial" w:cs="Arial"/>
                <w:bCs/>
                <w:sz w:val="16"/>
                <w:szCs w:val="16"/>
              </w:rPr>
              <w:t>The Future Fund quarterly portfolio update shows that the Funds are capable of meeting their long-term investment mandate risk and return targets. There are no material legislative impediments to the administration of the investment funds.</w:t>
            </w:r>
          </w:p>
        </w:tc>
      </w:tr>
      <w:tr w:rsidR="00F0167C" w:rsidRPr="00CD2D20" w14:paraId="2239E294" w14:textId="77777777" w:rsidTr="00632AE5">
        <w:trPr>
          <w:trHeight w:val="475"/>
        </w:trPr>
        <w:tc>
          <w:tcPr>
            <w:tcW w:w="1402" w:type="dxa"/>
            <w:tcBorders>
              <w:top w:val="single" w:sz="4" w:space="0" w:color="auto"/>
              <w:right w:val="single" w:sz="4" w:space="0" w:color="auto"/>
            </w:tcBorders>
          </w:tcPr>
          <w:p w14:paraId="24B0B2C1" w14:textId="77777777" w:rsidR="00FB4106" w:rsidRDefault="00FB4106" w:rsidP="00632AE5">
            <w:pPr>
              <w:tabs>
                <w:tab w:val="left" w:pos="709"/>
              </w:tabs>
              <w:spacing w:before="60" w:after="60" w:line="240" w:lineRule="auto"/>
              <w:rPr>
                <w:rFonts w:ascii="Arial" w:hAnsi="Arial" w:cs="Arial"/>
                <w:sz w:val="16"/>
                <w:szCs w:val="16"/>
              </w:rPr>
            </w:pPr>
            <w:r>
              <w:rPr>
                <w:rFonts w:ascii="Arial" w:hAnsi="Arial" w:cs="Arial"/>
                <w:sz w:val="16"/>
                <w:szCs w:val="16"/>
              </w:rPr>
              <w:t>Budget Year</w:t>
            </w:r>
          </w:p>
          <w:p w14:paraId="2239E290" w14:textId="0897053D" w:rsidR="00F0167C" w:rsidRPr="006A4649" w:rsidRDefault="00F0167C" w:rsidP="00632AE5">
            <w:pPr>
              <w:tabs>
                <w:tab w:val="left" w:pos="709"/>
              </w:tabs>
              <w:spacing w:before="60" w:after="60" w:line="240" w:lineRule="auto"/>
              <w:rPr>
                <w:rFonts w:ascii="Arial" w:hAnsi="Arial" w:cs="Arial"/>
                <w:sz w:val="16"/>
                <w:szCs w:val="16"/>
              </w:rPr>
            </w:pPr>
            <w:r w:rsidRPr="006A4649">
              <w:rPr>
                <w:rFonts w:ascii="Arial" w:hAnsi="Arial" w:cs="Arial"/>
                <w:sz w:val="16"/>
                <w:szCs w:val="16"/>
              </w:rPr>
              <w:t>2022-23</w:t>
            </w:r>
          </w:p>
        </w:tc>
        <w:tc>
          <w:tcPr>
            <w:tcW w:w="2259" w:type="dxa"/>
            <w:tcBorders>
              <w:top w:val="single" w:sz="4" w:space="0" w:color="auto"/>
              <w:left w:val="single" w:sz="4" w:space="0" w:color="auto"/>
              <w:right w:val="single" w:sz="4" w:space="0" w:color="auto"/>
            </w:tcBorders>
          </w:tcPr>
          <w:p w14:paraId="52C1226B" w14:textId="77777777" w:rsidR="009B15C3" w:rsidRPr="009B15C3" w:rsidRDefault="009B15C3" w:rsidP="00632AE5">
            <w:pPr>
              <w:tabs>
                <w:tab w:val="left" w:pos="709"/>
              </w:tabs>
              <w:spacing w:before="60" w:after="60" w:line="240" w:lineRule="auto"/>
              <w:rPr>
                <w:rFonts w:ascii="Arial" w:hAnsi="Arial" w:cs="Arial"/>
                <w:b/>
                <w:bCs/>
                <w:sz w:val="16"/>
                <w:szCs w:val="16"/>
              </w:rPr>
            </w:pPr>
            <w:r w:rsidRPr="009B15C3">
              <w:rPr>
                <w:rFonts w:ascii="Arial" w:hAnsi="Arial" w:cs="Arial"/>
                <w:b/>
                <w:bCs/>
                <w:sz w:val="16"/>
                <w:szCs w:val="16"/>
              </w:rPr>
              <w:t xml:space="preserve">Investment mandates for each Australian Government Investment Fund </w:t>
            </w:r>
          </w:p>
          <w:p w14:paraId="2239E292" w14:textId="5652385D" w:rsidR="00F0167C" w:rsidRPr="009B15C3" w:rsidRDefault="009B15C3" w:rsidP="00632AE5">
            <w:pPr>
              <w:spacing w:before="60" w:after="60" w:line="240" w:lineRule="auto"/>
              <w:rPr>
                <w:rFonts w:ascii="Arial" w:eastAsia="Arial" w:hAnsi="Arial" w:cs="Arial"/>
                <w:sz w:val="16"/>
                <w:szCs w:val="16"/>
              </w:rPr>
            </w:pPr>
            <w:r w:rsidRPr="009B15C3">
              <w:rPr>
                <w:rFonts w:ascii="Arial" w:hAnsi="Arial" w:cs="Arial"/>
                <w:bCs/>
                <w:sz w:val="16"/>
                <w:szCs w:val="16"/>
              </w:rPr>
              <w:t>Investment mandates are set for each Australian Government Investment Fund which assist in achieving the financial and risk objectives and are consistent with the policy, regulatory and legislative framework.</w:t>
            </w:r>
          </w:p>
        </w:tc>
        <w:tc>
          <w:tcPr>
            <w:tcW w:w="4134" w:type="dxa"/>
            <w:tcBorders>
              <w:top w:val="single" w:sz="4" w:space="0" w:color="auto"/>
              <w:left w:val="single" w:sz="4" w:space="0" w:color="auto"/>
            </w:tcBorders>
          </w:tcPr>
          <w:p w14:paraId="2239E293" w14:textId="3231EC5A" w:rsidR="00F0167C" w:rsidRPr="006A4649" w:rsidRDefault="009B15C3" w:rsidP="00632AE5">
            <w:pPr>
              <w:tabs>
                <w:tab w:val="left" w:pos="709"/>
              </w:tabs>
              <w:suppressAutoHyphens/>
              <w:spacing w:before="60" w:after="60" w:line="240" w:lineRule="auto"/>
              <w:rPr>
                <w:rFonts w:ascii="Arial" w:eastAsia="Arial" w:hAnsi="Arial" w:cs="Arial"/>
                <w:sz w:val="16"/>
                <w:szCs w:val="16"/>
              </w:rPr>
            </w:pPr>
            <w:r w:rsidRPr="009B15C3">
              <w:rPr>
                <w:rFonts w:ascii="Arial" w:eastAsia="Arial" w:hAnsi="Arial" w:cs="Arial"/>
                <w:sz w:val="16"/>
                <w:szCs w:val="16"/>
              </w:rPr>
              <w:t>Investment mandates for each fund are set and appropriately monitored. The investment mandates and legislation are reviewed in response to material investment environment, policy or regulatory changes, to assist in achieving the policy, financial and risk objectives.</w:t>
            </w:r>
          </w:p>
        </w:tc>
      </w:tr>
      <w:tr w:rsidR="00F0167C" w:rsidRPr="00A0116B" w14:paraId="2239E298" w14:textId="77777777" w:rsidTr="00632AE5">
        <w:trPr>
          <w:trHeight w:val="475"/>
        </w:trPr>
        <w:tc>
          <w:tcPr>
            <w:tcW w:w="1402" w:type="dxa"/>
            <w:tcBorders>
              <w:top w:val="single" w:sz="4" w:space="0" w:color="auto"/>
              <w:left w:val="single" w:sz="4" w:space="0" w:color="auto"/>
              <w:bottom w:val="single" w:sz="4" w:space="0" w:color="auto"/>
              <w:right w:val="single" w:sz="4" w:space="0" w:color="auto"/>
            </w:tcBorders>
          </w:tcPr>
          <w:p w14:paraId="463EDC9D" w14:textId="77777777" w:rsidR="00FB4106" w:rsidRDefault="00F0167C" w:rsidP="00FB4106">
            <w:pPr>
              <w:tabs>
                <w:tab w:val="left" w:pos="709"/>
              </w:tabs>
              <w:spacing w:before="60" w:after="60" w:line="240" w:lineRule="auto"/>
              <w:rPr>
                <w:rFonts w:ascii="Arial" w:hAnsi="Arial" w:cs="Arial"/>
                <w:sz w:val="16"/>
                <w:szCs w:val="16"/>
              </w:rPr>
            </w:pPr>
            <w:r w:rsidRPr="006A4649">
              <w:rPr>
                <w:rFonts w:ascii="Arial" w:hAnsi="Arial" w:cs="Arial"/>
                <w:sz w:val="16"/>
                <w:szCs w:val="16"/>
              </w:rPr>
              <w:t xml:space="preserve">Forward Estimates </w:t>
            </w:r>
          </w:p>
          <w:p w14:paraId="2239E295" w14:textId="08FBFDA8" w:rsidR="00F0167C" w:rsidRPr="006A4649" w:rsidRDefault="00F0167C" w:rsidP="00FB4106">
            <w:pPr>
              <w:tabs>
                <w:tab w:val="left" w:pos="709"/>
              </w:tabs>
              <w:spacing w:before="60" w:after="60" w:line="240" w:lineRule="auto"/>
              <w:rPr>
                <w:rFonts w:ascii="Arial" w:hAnsi="Arial" w:cs="Arial"/>
                <w:sz w:val="16"/>
                <w:szCs w:val="16"/>
              </w:rPr>
            </w:pPr>
            <w:r w:rsidRPr="006A4649">
              <w:rPr>
                <w:rFonts w:ascii="Arial" w:hAnsi="Arial" w:cs="Arial"/>
                <w:sz w:val="16"/>
                <w:szCs w:val="16"/>
              </w:rPr>
              <w:t>2023-26</w:t>
            </w:r>
          </w:p>
        </w:tc>
        <w:tc>
          <w:tcPr>
            <w:tcW w:w="2259" w:type="dxa"/>
            <w:tcBorders>
              <w:top w:val="single" w:sz="4" w:space="0" w:color="auto"/>
              <w:left w:val="single" w:sz="4" w:space="0" w:color="auto"/>
              <w:bottom w:val="single" w:sz="4" w:space="0" w:color="auto"/>
              <w:right w:val="single" w:sz="4" w:space="0" w:color="auto"/>
            </w:tcBorders>
          </w:tcPr>
          <w:p w14:paraId="2239E296" w14:textId="77777777" w:rsidR="00F0167C" w:rsidRPr="00785EA1" w:rsidRDefault="007C7D24" w:rsidP="00632AE5">
            <w:pPr>
              <w:tabs>
                <w:tab w:val="left" w:pos="709"/>
              </w:tabs>
              <w:spacing w:before="60" w:after="60" w:line="240" w:lineRule="auto"/>
              <w:rPr>
                <w:rFonts w:ascii="Arial" w:hAnsi="Arial" w:cs="Arial"/>
                <w:bCs/>
                <w:sz w:val="16"/>
                <w:szCs w:val="16"/>
              </w:rPr>
            </w:pPr>
            <w:r>
              <w:rPr>
                <w:rFonts w:ascii="Arial" w:hAnsi="Arial" w:cs="Arial"/>
                <w:bCs/>
                <w:sz w:val="16"/>
                <w:szCs w:val="16"/>
              </w:rPr>
              <w:t>As per 2022-23</w:t>
            </w:r>
          </w:p>
        </w:tc>
        <w:tc>
          <w:tcPr>
            <w:tcW w:w="4134" w:type="dxa"/>
            <w:tcBorders>
              <w:top w:val="single" w:sz="4" w:space="0" w:color="auto"/>
              <w:left w:val="single" w:sz="4" w:space="0" w:color="auto"/>
              <w:bottom w:val="single" w:sz="4" w:space="0" w:color="auto"/>
              <w:right w:val="single" w:sz="4" w:space="0" w:color="auto"/>
            </w:tcBorders>
          </w:tcPr>
          <w:p w14:paraId="2239E297" w14:textId="77777777" w:rsidR="00F0167C" w:rsidRPr="006A4649" w:rsidRDefault="007C7D24" w:rsidP="00632AE5">
            <w:pPr>
              <w:tabs>
                <w:tab w:val="left" w:pos="709"/>
              </w:tabs>
              <w:suppressAutoHyphens/>
              <w:spacing w:before="60" w:after="60" w:line="240" w:lineRule="auto"/>
              <w:rPr>
                <w:rFonts w:ascii="Arial" w:eastAsia="Arial" w:hAnsi="Arial" w:cs="Arial"/>
                <w:sz w:val="16"/>
                <w:szCs w:val="16"/>
              </w:rPr>
            </w:pPr>
            <w:r>
              <w:rPr>
                <w:rFonts w:ascii="Arial" w:eastAsia="Arial" w:hAnsi="Arial" w:cs="Arial"/>
                <w:sz w:val="16"/>
                <w:szCs w:val="16"/>
              </w:rPr>
              <w:t>As per 2022-23</w:t>
            </w:r>
          </w:p>
        </w:tc>
      </w:tr>
      <w:tr w:rsidR="00F0167C" w:rsidRPr="00A0116B" w14:paraId="2239E29A" w14:textId="77777777" w:rsidTr="00632AE5">
        <w:trPr>
          <w:trHeight w:val="291"/>
        </w:trPr>
        <w:tc>
          <w:tcPr>
            <w:tcW w:w="7795" w:type="dxa"/>
            <w:gridSpan w:val="3"/>
          </w:tcPr>
          <w:p w14:paraId="2239E299" w14:textId="5CCF47F3" w:rsidR="00F0167C" w:rsidRPr="009B15C3" w:rsidRDefault="009B15C3" w:rsidP="00632AE5">
            <w:pPr>
              <w:tabs>
                <w:tab w:val="left" w:pos="709"/>
              </w:tabs>
              <w:spacing w:before="60" w:after="60" w:line="240" w:lineRule="auto"/>
              <w:rPr>
                <w:rFonts w:ascii="Arial" w:eastAsia="Cambria" w:hAnsi="Arial" w:cs="Arial"/>
                <w:bCs/>
                <w:iCs/>
                <w:spacing w:val="-6"/>
                <w:sz w:val="16"/>
                <w:szCs w:val="16"/>
              </w:rPr>
            </w:pPr>
            <w:r w:rsidRPr="009B15C3">
              <w:rPr>
                <w:rFonts w:ascii="Arial" w:hAnsi="Arial" w:cs="Arial"/>
                <w:sz w:val="16"/>
                <w:szCs w:val="16"/>
              </w:rPr>
              <w:t>Material changes to Program 2.8 resulting from October 2022-23 Budget Measures:</w:t>
            </w:r>
            <w:r w:rsidRPr="009B15C3">
              <w:rPr>
                <w:rFonts w:ascii="Arial" w:hAnsi="Arial" w:cs="Arial"/>
                <w:bCs/>
                <w:iCs/>
                <w:spacing w:val="-6"/>
                <w:sz w:val="16"/>
                <w:szCs w:val="16"/>
              </w:rPr>
              <w:t xml:space="preserve"> Nil</w:t>
            </w:r>
          </w:p>
        </w:tc>
      </w:tr>
    </w:tbl>
    <w:p w14:paraId="5FDA7BAE" w14:textId="77777777" w:rsidR="00DC40CF" w:rsidRDefault="00DC40CF" w:rsidP="00C8474A">
      <w:pPr>
        <w:pStyle w:val="ChartandTableFootnoteAlpha"/>
        <w:numPr>
          <w:ilvl w:val="0"/>
          <w:numId w:val="76"/>
        </w:numPr>
        <w:spacing w:before="60"/>
        <w:ind w:left="284" w:hanging="284"/>
        <w:rPr>
          <w:lang w:eastAsia="x-none"/>
        </w:rPr>
      </w:pPr>
      <w:bookmarkStart w:id="64" w:name="_Toc98181311"/>
      <w:bookmarkStart w:id="65" w:name="_Toc116742497"/>
      <w:r w:rsidRPr="00CC65C0">
        <w:rPr>
          <w:lang w:eastAsia="x-none"/>
        </w:rPr>
        <w:t>Refers to updated key activities th</w:t>
      </w:r>
      <w:r>
        <w:rPr>
          <w:lang w:eastAsia="x-none"/>
        </w:rPr>
        <w:t>at will be reflected in the 2022-23</w:t>
      </w:r>
      <w:r w:rsidRPr="00CC65C0">
        <w:rPr>
          <w:lang w:eastAsia="x-none"/>
        </w:rPr>
        <w:t xml:space="preserve"> Corporate Plan</w:t>
      </w:r>
      <w:r>
        <w:rPr>
          <w:lang w:eastAsia="x-none"/>
        </w:rPr>
        <w:t>.</w:t>
      </w:r>
    </w:p>
    <w:p w14:paraId="4A3F6A92" w14:textId="77777777" w:rsidR="00A35052" w:rsidRDefault="00A35052" w:rsidP="00F0167C">
      <w:pPr>
        <w:pStyle w:val="Heading3"/>
        <w:rPr>
          <w:rFonts w:ascii="Book Antiqua" w:hAnsi="Book Antiqua"/>
          <w:b w:val="0"/>
          <w:sz w:val="19"/>
          <w:lang w:eastAsia="x-none"/>
        </w:rPr>
      </w:pPr>
      <w:r>
        <w:rPr>
          <w:rFonts w:ascii="Book Antiqua" w:hAnsi="Book Antiqua"/>
          <w:b w:val="0"/>
          <w:sz w:val="19"/>
          <w:lang w:eastAsia="x-none"/>
        </w:rPr>
        <w:br w:type="page"/>
      </w:r>
    </w:p>
    <w:p w14:paraId="2239E29C" w14:textId="77F69858" w:rsidR="00F0167C" w:rsidRPr="00F743D8" w:rsidRDefault="00F0167C" w:rsidP="00F0167C">
      <w:pPr>
        <w:pStyle w:val="Heading3"/>
      </w:pPr>
      <w:bookmarkStart w:id="66" w:name="_Toc117027161"/>
      <w:bookmarkStart w:id="67" w:name="_Toc117070787"/>
      <w:bookmarkStart w:id="68" w:name="_Toc117071041"/>
      <w:bookmarkStart w:id="69" w:name="_Toc117078075"/>
      <w:r>
        <w:lastRenderedPageBreak/>
        <w:t>2.3</w:t>
      </w:r>
      <w:r w:rsidRPr="00F743D8">
        <w:t xml:space="preserve"> </w:t>
      </w:r>
      <w:r w:rsidRPr="00F743D8">
        <w:tab/>
        <w:t>Budgeted expens</w:t>
      </w:r>
      <w:r>
        <w:t>es and performance for Outcome 3</w:t>
      </w:r>
      <w:bookmarkEnd w:id="64"/>
      <w:bookmarkEnd w:id="65"/>
      <w:bookmarkEnd w:id="66"/>
      <w:bookmarkEnd w:id="67"/>
      <w:bookmarkEnd w:id="68"/>
      <w:bookmarkEnd w:id="69"/>
    </w:p>
    <w:tbl>
      <w:tblPr>
        <w:tblW w:w="77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F0167C" w:rsidRPr="005E6F2B" w14:paraId="2239E29E" w14:textId="77777777" w:rsidTr="00DB35A1">
        <w:tc>
          <w:tcPr>
            <w:tcW w:w="7705" w:type="dxa"/>
            <w:shd w:val="clear" w:color="auto" w:fill="E6E6E6"/>
          </w:tcPr>
          <w:p w14:paraId="2239E29D" w14:textId="77777777" w:rsidR="00F0167C" w:rsidRPr="005E6F2B" w:rsidRDefault="00F0167C" w:rsidP="00632AE5">
            <w:pPr>
              <w:pStyle w:val="TableColumnHeadingLeft"/>
              <w:spacing w:before="60" w:after="60"/>
            </w:pPr>
            <w:r w:rsidRPr="009301D5">
              <w:t>Outcome 3 – Support for parliamentarians and others as required by the Australian Government through the delivery of, and advice on, work expenses and allowances, entitlements and targeted programs.</w:t>
            </w:r>
          </w:p>
        </w:tc>
      </w:tr>
    </w:tbl>
    <w:p w14:paraId="2239E29F" w14:textId="77777777" w:rsidR="00F0167C" w:rsidRPr="005E6F2B" w:rsidRDefault="00F0167C" w:rsidP="00F0167C">
      <w:pPr>
        <w:pStyle w:val="NoSpacing"/>
      </w:pPr>
    </w:p>
    <w:p w14:paraId="2239E2A0" w14:textId="77777777" w:rsidR="00F0167C" w:rsidRPr="00446612" w:rsidRDefault="00F0167C" w:rsidP="00F0167C">
      <w:pPr>
        <w:pStyle w:val="Heading5"/>
      </w:pPr>
      <w:r>
        <w:t>Budgeted expenses for Outcome 3</w:t>
      </w:r>
    </w:p>
    <w:p w14:paraId="2239E2A1" w14:textId="77777777" w:rsidR="00F0167C" w:rsidRDefault="00F0167C" w:rsidP="007C7D24">
      <w:r w:rsidRPr="00950281">
        <w:t>This table shows how much the entity intends to spend (on an accrual basis) on achieving the outcome, broken down by program, as well as by Administered an</w:t>
      </w:r>
      <w:r>
        <w:t>d Departmental funding sources.</w:t>
      </w:r>
    </w:p>
    <w:p w14:paraId="2239E2A2" w14:textId="77777777" w:rsidR="00F0167C" w:rsidRPr="00442E4B" w:rsidRDefault="00F0167C" w:rsidP="00F0167C">
      <w:pPr>
        <w:spacing w:after="0"/>
        <w:rPr>
          <w:rFonts w:ascii="Arial" w:hAnsi="Arial" w:cs="Arial"/>
          <w:b/>
          <w:sz w:val="20"/>
        </w:rPr>
      </w:pPr>
      <w:r w:rsidRPr="00442E4B">
        <w:rPr>
          <w:rFonts w:ascii="Arial" w:hAnsi="Arial" w:cs="Arial"/>
          <w:b/>
          <w:sz w:val="20"/>
        </w:rPr>
        <w:t xml:space="preserve">Table 2.3.1: Budgeted expenses for Outcome 3 </w:t>
      </w:r>
    </w:p>
    <w:p w14:paraId="2239E2A3" w14:textId="05CA547F" w:rsidR="00F0167C" w:rsidRDefault="00123B3A" w:rsidP="00F0167C">
      <w:pPr>
        <w:pStyle w:val="TableGraphic"/>
        <w:rPr>
          <w:lang w:eastAsia="zh-CN"/>
        </w:rPr>
      </w:pPr>
      <w:r w:rsidRPr="00123B3A">
        <w:rPr>
          <w:noProof/>
        </w:rPr>
        <w:drawing>
          <wp:inline distT="0" distB="0" distL="0" distR="0" wp14:anchorId="53FD6D8C" wp14:editId="114F0621">
            <wp:extent cx="4895850" cy="3349412"/>
            <wp:effectExtent l="0" t="0" r="0" b="381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95850" cy="3349412"/>
                    </a:xfrm>
                    <a:prstGeom prst="rect">
                      <a:avLst/>
                    </a:prstGeom>
                    <a:noFill/>
                    <a:ln>
                      <a:noFill/>
                    </a:ln>
                  </pic:spPr>
                </pic:pic>
              </a:graphicData>
            </a:graphic>
          </wp:inline>
        </w:drawing>
      </w:r>
    </w:p>
    <w:p w14:paraId="43927666" w14:textId="77777777" w:rsidR="00290416" w:rsidRDefault="00290416" w:rsidP="00290416">
      <w:pPr>
        <w:pStyle w:val="TableHeading"/>
        <w:spacing w:before="0"/>
        <w:rPr>
          <w:b w:val="0"/>
          <w:sz w:val="16"/>
        </w:rPr>
      </w:pPr>
      <w:r>
        <w:rPr>
          <w:b w:val="0"/>
          <w:sz w:val="16"/>
        </w:rPr>
        <w:t xml:space="preserve">Table continues on next page </w:t>
      </w:r>
      <w:r>
        <w:rPr>
          <w:b w:val="0"/>
          <w:sz w:val="16"/>
        </w:rPr>
        <w:br w:type="page"/>
      </w:r>
    </w:p>
    <w:p w14:paraId="2239E2A8" w14:textId="06B4A3F2" w:rsidR="00F0167C" w:rsidRPr="00290416" w:rsidRDefault="00F0167C" w:rsidP="00290416">
      <w:pPr>
        <w:pStyle w:val="TableHeading"/>
        <w:spacing w:before="0"/>
        <w:rPr>
          <w:b w:val="0"/>
          <w:sz w:val="16"/>
        </w:rPr>
      </w:pPr>
      <w:r w:rsidRPr="00905ADB">
        <w:lastRenderedPageBreak/>
        <w:t>Table 2.3.1: Budgeted expenses for Outcome 3 (continued)</w:t>
      </w:r>
      <w:r w:rsidR="00632FF4" w:rsidRPr="00632FF4">
        <w:rPr>
          <w:b w:val="0"/>
        </w:rPr>
        <w:t xml:space="preserve"> </w:t>
      </w:r>
      <w:r w:rsidR="00110332" w:rsidRPr="00110332">
        <w:rPr>
          <w:b w:val="0"/>
          <w:noProof/>
        </w:rPr>
        <w:drawing>
          <wp:inline distT="0" distB="0" distL="0" distR="0" wp14:anchorId="7916A530" wp14:editId="1583108D">
            <wp:extent cx="4895850" cy="2625335"/>
            <wp:effectExtent l="0" t="0" r="0" b="381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895850" cy="2625335"/>
                    </a:xfrm>
                    <a:prstGeom prst="rect">
                      <a:avLst/>
                    </a:prstGeom>
                    <a:noFill/>
                    <a:ln>
                      <a:noFill/>
                    </a:ln>
                  </pic:spPr>
                </pic:pic>
              </a:graphicData>
            </a:graphic>
          </wp:inline>
        </w:drawing>
      </w:r>
    </w:p>
    <w:p w14:paraId="2239E2A9" w14:textId="77777777" w:rsidR="00F0167C" w:rsidRPr="008A5009" w:rsidRDefault="00F0167C" w:rsidP="00C8474A">
      <w:pPr>
        <w:pStyle w:val="ListParagraph"/>
        <w:numPr>
          <w:ilvl w:val="0"/>
          <w:numId w:val="18"/>
        </w:numPr>
        <w:spacing w:before="0" w:after="60" w:line="240" w:lineRule="auto"/>
        <w:ind w:left="284" w:hanging="284"/>
        <w:contextualSpacing w:val="0"/>
        <w:rPr>
          <w:rFonts w:ascii="Arial" w:hAnsi="Arial" w:cs="Arial"/>
          <w:sz w:val="16"/>
          <w:szCs w:val="16"/>
        </w:rPr>
      </w:pPr>
      <w:r w:rsidRPr="008A5009">
        <w:rPr>
          <w:rFonts w:ascii="Arial" w:hAnsi="Arial" w:cs="Arial"/>
          <w:sz w:val="16"/>
          <w:szCs w:val="16"/>
        </w:rPr>
        <w:t xml:space="preserve">Estimates for this item are subject to the </w:t>
      </w:r>
      <w:r w:rsidRPr="008A5009">
        <w:rPr>
          <w:rFonts w:ascii="Arial" w:hAnsi="Arial" w:cs="Arial"/>
          <w:i/>
          <w:sz w:val="16"/>
          <w:szCs w:val="16"/>
        </w:rPr>
        <w:t>Ministers of State Regulation 2012</w:t>
      </w:r>
      <w:r w:rsidRPr="008A5009">
        <w:rPr>
          <w:rFonts w:ascii="Arial" w:hAnsi="Arial" w:cs="Arial"/>
          <w:sz w:val="16"/>
          <w:szCs w:val="16"/>
        </w:rPr>
        <w:t>.</w:t>
      </w:r>
    </w:p>
    <w:p w14:paraId="2239E2AA" w14:textId="77777777" w:rsidR="00F0167C" w:rsidRPr="004111A7" w:rsidRDefault="00F0167C" w:rsidP="00C8474A">
      <w:pPr>
        <w:pStyle w:val="ListParagraph"/>
        <w:numPr>
          <w:ilvl w:val="0"/>
          <w:numId w:val="18"/>
        </w:numPr>
        <w:spacing w:before="0" w:after="60" w:line="240" w:lineRule="auto"/>
        <w:ind w:left="284" w:hanging="284"/>
        <w:contextualSpacing w:val="0"/>
        <w:rPr>
          <w:rFonts w:ascii="Arial" w:hAnsi="Arial" w:cs="Arial"/>
          <w:sz w:val="16"/>
          <w:szCs w:val="16"/>
        </w:rPr>
      </w:pPr>
      <w:r w:rsidRPr="004111A7">
        <w:rPr>
          <w:rFonts w:ascii="Arial" w:hAnsi="Arial" w:cs="Arial"/>
          <w:sz w:val="16"/>
          <w:szCs w:val="16"/>
        </w:rPr>
        <w:t xml:space="preserve">‘Expenses </w:t>
      </w:r>
      <w:r w:rsidRPr="004111A7">
        <w:rPr>
          <w:rFonts w:ascii="Arial" w:eastAsia="Times New Roman" w:hAnsi="Arial" w:cs="Arial"/>
          <w:sz w:val="16"/>
          <w:szCs w:val="16"/>
          <w:lang w:val="en-AU" w:eastAsia="en-AU"/>
        </w:rPr>
        <w:t>not</w:t>
      </w:r>
      <w:r w:rsidRPr="004111A7">
        <w:rPr>
          <w:rFonts w:ascii="Arial" w:hAnsi="Arial" w:cs="Arial"/>
          <w:sz w:val="16"/>
          <w:szCs w:val="16"/>
        </w:rPr>
        <w:t xml:space="preserve"> </w:t>
      </w:r>
      <w:r>
        <w:rPr>
          <w:rFonts w:ascii="Arial" w:hAnsi="Arial" w:cs="Arial"/>
          <w:sz w:val="16"/>
          <w:szCs w:val="16"/>
        </w:rPr>
        <w:t>requiring appropriation in the B</w:t>
      </w:r>
      <w:r w:rsidRPr="004111A7">
        <w:rPr>
          <w:rFonts w:ascii="Arial" w:hAnsi="Arial" w:cs="Arial"/>
          <w:sz w:val="16"/>
          <w:szCs w:val="16"/>
        </w:rPr>
        <w:t xml:space="preserve">udget year’ is made up of depreciation expenses, </w:t>
      </w:r>
      <w:proofErr w:type="spellStart"/>
      <w:r w:rsidRPr="004111A7">
        <w:rPr>
          <w:rFonts w:ascii="Arial" w:hAnsi="Arial" w:cs="Arial"/>
          <w:sz w:val="16"/>
          <w:szCs w:val="16"/>
        </w:rPr>
        <w:t>amortisation</w:t>
      </w:r>
      <w:proofErr w:type="spellEnd"/>
      <w:r w:rsidRPr="004111A7">
        <w:rPr>
          <w:rFonts w:ascii="Arial" w:hAnsi="Arial" w:cs="Arial"/>
          <w:sz w:val="16"/>
          <w:szCs w:val="16"/>
        </w:rPr>
        <w:t xml:space="preserve"> expenses and resources received free of charge.</w:t>
      </w:r>
    </w:p>
    <w:p w14:paraId="2239E2AB" w14:textId="48DB98DB" w:rsidR="007C7D24" w:rsidRPr="007C7D24" w:rsidRDefault="007C6968" w:rsidP="00C8474A">
      <w:pPr>
        <w:pStyle w:val="ListParagraph"/>
        <w:numPr>
          <w:ilvl w:val="0"/>
          <w:numId w:val="18"/>
        </w:numPr>
        <w:spacing w:before="0" w:after="60" w:line="240" w:lineRule="auto"/>
        <w:ind w:left="284" w:hanging="284"/>
        <w:contextualSpacing w:val="0"/>
        <w:rPr>
          <w:rFonts w:ascii="Book Antiqua" w:hAnsi="Book Antiqua"/>
          <w:sz w:val="16"/>
          <w:szCs w:val="16"/>
        </w:rPr>
      </w:pPr>
      <w:r>
        <w:rPr>
          <w:rFonts w:ascii="Arial" w:hAnsi="Arial" w:cs="Arial"/>
          <w:sz w:val="16"/>
          <w:szCs w:val="16"/>
        </w:rPr>
        <w:t xml:space="preserve">Includes </w:t>
      </w:r>
      <w:r w:rsidR="00F0167C" w:rsidRPr="004111A7">
        <w:rPr>
          <w:rFonts w:ascii="Arial" w:hAnsi="Arial" w:cs="Arial"/>
          <w:sz w:val="16"/>
          <w:szCs w:val="16"/>
        </w:rPr>
        <w:t xml:space="preserve">estimated </w:t>
      </w:r>
      <w:r>
        <w:rPr>
          <w:rFonts w:ascii="Arial" w:hAnsi="Arial" w:cs="Arial"/>
          <w:sz w:val="16"/>
          <w:szCs w:val="16"/>
        </w:rPr>
        <w:t xml:space="preserve">expenses in relation to </w:t>
      </w:r>
      <w:r w:rsidR="00F0167C" w:rsidRPr="004111A7">
        <w:rPr>
          <w:rFonts w:ascii="Arial" w:hAnsi="Arial" w:cs="Arial"/>
          <w:sz w:val="16"/>
          <w:szCs w:val="16"/>
        </w:rPr>
        <w:t>receipts retained under s</w:t>
      </w:r>
      <w:r w:rsidR="00F0167C">
        <w:rPr>
          <w:rFonts w:ascii="Arial" w:hAnsi="Arial" w:cs="Arial"/>
          <w:sz w:val="16"/>
          <w:szCs w:val="16"/>
        </w:rPr>
        <w:t xml:space="preserve">ection </w:t>
      </w:r>
      <w:r w:rsidR="00F0167C" w:rsidRPr="004111A7">
        <w:rPr>
          <w:rFonts w:ascii="Arial" w:hAnsi="Arial" w:cs="Arial"/>
          <w:sz w:val="16"/>
          <w:szCs w:val="16"/>
        </w:rPr>
        <w:t xml:space="preserve">74 of the PGPA Act. </w:t>
      </w:r>
    </w:p>
    <w:p w14:paraId="2239E2AC" w14:textId="77777777" w:rsidR="00F0167C" w:rsidRPr="007C7D24" w:rsidRDefault="00F0167C" w:rsidP="00442D9D">
      <w:pPr>
        <w:spacing w:before="0" w:after="60" w:line="240" w:lineRule="auto"/>
        <w:rPr>
          <w:rFonts w:eastAsia="Calibri"/>
          <w:sz w:val="16"/>
          <w:szCs w:val="16"/>
        </w:rPr>
      </w:pPr>
      <w:r w:rsidRPr="007C7D24">
        <w:rPr>
          <w:rFonts w:ascii="Arial" w:eastAsia="Calibri" w:hAnsi="Arial" w:cs="Arial"/>
          <w:sz w:val="16"/>
          <w:szCs w:val="16"/>
        </w:rPr>
        <w:t>Note: Departmental appropriation splits and totals are indicative estimates and may change in the course of the Budget year as government priorities change.</w:t>
      </w:r>
    </w:p>
    <w:p w14:paraId="2239E2AD" w14:textId="77777777" w:rsidR="00F0167C" w:rsidRPr="00E84F25" w:rsidRDefault="00F0167C" w:rsidP="00F0167C">
      <w:pPr>
        <w:spacing w:after="0"/>
        <w:rPr>
          <w:rStyle w:val="TableHeadingChar"/>
          <w:rFonts w:ascii="Book Antiqua" w:hAnsi="Book Antiqua"/>
          <w:sz w:val="20"/>
        </w:rPr>
      </w:pPr>
      <w:r>
        <w:rPr>
          <w:highlight w:val="yellow"/>
        </w:rPr>
        <w:br w:type="page"/>
      </w:r>
      <w:r w:rsidRPr="00E84F25">
        <w:rPr>
          <w:rFonts w:ascii="Arial" w:hAnsi="Arial"/>
          <w:b/>
          <w:color w:val="000000"/>
          <w:sz w:val="20"/>
          <w:lang w:val="x-none" w:eastAsia="x-none"/>
        </w:rPr>
        <w:lastRenderedPageBreak/>
        <w:t>Table 2.3.</w:t>
      </w:r>
      <w:r w:rsidRPr="00E84F25">
        <w:rPr>
          <w:rFonts w:ascii="Arial" w:hAnsi="Arial"/>
          <w:b/>
          <w:color w:val="000000"/>
          <w:sz w:val="20"/>
          <w:lang w:eastAsia="x-none"/>
        </w:rPr>
        <w:t>2</w:t>
      </w:r>
      <w:r w:rsidRPr="00E84F25">
        <w:rPr>
          <w:rFonts w:ascii="Arial" w:hAnsi="Arial"/>
          <w:b/>
          <w:color w:val="000000"/>
          <w:sz w:val="20"/>
          <w:lang w:val="x-none" w:eastAsia="x-none"/>
        </w:rPr>
        <w:t xml:space="preserve">: Performance measure for Outcome </w:t>
      </w:r>
      <w:r w:rsidRPr="00E84F25">
        <w:rPr>
          <w:rFonts w:ascii="Arial" w:hAnsi="Arial"/>
          <w:b/>
          <w:sz w:val="20"/>
          <w:lang w:val="x-none" w:eastAsia="x-none"/>
        </w:rPr>
        <w:t>3</w:t>
      </w:r>
      <w:r w:rsidRPr="00E84F25">
        <w:rPr>
          <w:sz w:val="20"/>
        </w:rPr>
        <w:t xml:space="preserve"> </w:t>
      </w:r>
    </w:p>
    <w:p w14:paraId="2239E2AE" w14:textId="2BE4CC44" w:rsidR="00F0167C" w:rsidRPr="00444FC8" w:rsidRDefault="00F0167C" w:rsidP="00F0167C">
      <w:pPr>
        <w:rPr>
          <w:rFonts w:cs="Arial"/>
        </w:rPr>
      </w:pPr>
      <w:r w:rsidRPr="005D034A">
        <w:rPr>
          <w:rFonts w:cs="Arial"/>
        </w:rPr>
        <w:t>Table 2.3.2 details the performance measures for each progra</w:t>
      </w:r>
      <w:r w:rsidRPr="00444FC8">
        <w:rPr>
          <w:rFonts w:cs="Arial"/>
        </w:rPr>
        <w:t xml:space="preserve">m associated with Outcome 3.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w:t>
      </w:r>
      <w:r w:rsidR="003D562D">
        <w:rPr>
          <w:rFonts w:cs="Arial"/>
        </w:rPr>
        <w:t xml:space="preserve">the October </w:t>
      </w:r>
      <w:r w:rsidRPr="00444FC8">
        <w:rPr>
          <w:rFonts w:cs="Arial"/>
        </w:rPr>
        <w:t>2022-23 Budget measures that have created new programs or materially changed existing programs are provided.</w:t>
      </w:r>
    </w:p>
    <w:tbl>
      <w:tblPr>
        <w:tblW w:w="7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2248"/>
        <w:gridCol w:w="4156"/>
      </w:tblGrid>
      <w:tr w:rsidR="00F0167C" w:rsidRPr="00361E69" w14:paraId="2239E2B0" w14:textId="77777777" w:rsidTr="00632AE5">
        <w:trPr>
          <w:trHeight w:val="569"/>
        </w:trPr>
        <w:tc>
          <w:tcPr>
            <w:tcW w:w="7795" w:type="dxa"/>
            <w:gridSpan w:val="3"/>
            <w:shd w:val="clear" w:color="auto" w:fill="F2F2F2"/>
          </w:tcPr>
          <w:p w14:paraId="2239E2AF" w14:textId="159DAA1B" w:rsidR="00F0167C" w:rsidRPr="00361E69" w:rsidRDefault="00234D9C" w:rsidP="00632AE5">
            <w:pPr>
              <w:pStyle w:val="TableColumnHeadingLeft"/>
              <w:spacing w:before="60" w:after="60"/>
            </w:pPr>
            <w:r w:rsidRPr="00234D9C">
              <w:t xml:space="preserve">Outcome 3 </w:t>
            </w:r>
            <w:r w:rsidRPr="00234D9C">
              <w:rPr>
                <w:b w:val="0"/>
              </w:rPr>
              <w:t>– Support for parliamentarians and others as required by the Australian Government through the delivery of, and advice on, work expenses and allowances, entitlements and targeted programs.</w:t>
            </w:r>
          </w:p>
        </w:tc>
      </w:tr>
      <w:tr w:rsidR="00F0167C" w:rsidRPr="00361E69" w14:paraId="2239E2B3" w14:textId="77777777" w:rsidTr="00632AE5">
        <w:trPr>
          <w:trHeight w:val="522"/>
        </w:trPr>
        <w:tc>
          <w:tcPr>
            <w:tcW w:w="7795" w:type="dxa"/>
            <w:gridSpan w:val="3"/>
            <w:shd w:val="clear" w:color="auto" w:fill="F2F2F2"/>
          </w:tcPr>
          <w:p w14:paraId="2D650AAC" w14:textId="77777777" w:rsidR="00234D9C" w:rsidRPr="00234D9C" w:rsidRDefault="00234D9C" w:rsidP="00632AE5">
            <w:pPr>
              <w:tabs>
                <w:tab w:val="left" w:pos="709"/>
              </w:tabs>
              <w:spacing w:before="60" w:after="60" w:line="240" w:lineRule="auto"/>
              <w:rPr>
                <w:rFonts w:ascii="Arial" w:hAnsi="Arial" w:cs="Arial"/>
                <w:b/>
                <w:sz w:val="16"/>
                <w:szCs w:val="16"/>
              </w:rPr>
            </w:pPr>
            <w:r w:rsidRPr="00234D9C">
              <w:rPr>
                <w:rFonts w:ascii="Arial" w:hAnsi="Arial" w:cs="Arial"/>
                <w:b/>
                <w:sz w:val="16"/>
                <w:szCs w:val="16"/>
              </w:rPr>
              <w:t xml:space="preserve">Program 3.1 - Ministerial and Parliamentary Services </w:t>
            </w:r>
          </w:p>
          <w:p w14:paraId="2239E2B2" w14:textId="185738BC" w:rsidR="00F0167C" w:rsidRPr="00234D9C" w:rsidRDefault="00234D9C" w:rsidP="00632AE5">
            <w:pPr>
              <w:tabs>
                <w:tab w:val="left" w:pos="709"/>
              </w:tabs>
              <w:spacing w:before="60" w:after="60" w:line="240" w:lineRule="auto"/>
              <w:rPr>
                <w:rFonts w:ascii="Arial" w:hAnsi="Arial" w:cs="Arial"/>
                <w:sz w:val="16"/>
                <w:szCs w:val="16"/>
              </w:rPr>
            </w:pPr>
            <w:r w:rsidRPr="00234D9C">
              <w:rPr>
                <w:rFonts w:ascii="Arial" w:hAnsi="Arial" w:cs="Arial"/>
                <w:sz w:val="16"/>
                <w:szCs w:val="16"/>
              </w:rPr>
              <w:t>This program contributes to the outcome through the provision of advice on, access to, and payment of Parliamentary and post-Parliamentary, work expenses, allowances and entitlements and targeted programs.</w:t>
            </w:r>
          </w:p>
        </w:tc>
      </w:tr>
      <w:tr w:rsidR="00F0167C" w:rsidRPr="00361E69" w14:paraId="2239E2B7" w14:textId="77777777" w:rsidTr="00632AE5">
        <w:trPr>
          <w:trHeight w:val="694"/>
        </w:trPr>
        <w:tc>
          <w:tcPr>
            <w:tcW w:w="1391" w:type="dxa"/>
            <w:tcBorders>
              <w:bottom w:val="double" w:sz="4" w:space="0" w:color="auto"/>
            </w:tcBorders>
          </w:tcPr>
          <w:p w14:paraId="2239E2B4" w14:textId="3A57DF98" w:rsidR="00F0167C" w:rsidRPr="00361E69" w:rsidRDefault="00F0167C" w:rsidP="00632AE5">
            <w:pPr>
              <w:tabs>
                <w:tab w:val="left" w:pos="709"/>
              </w:tabs>
              <w:spacing w:before="60" w:after="60" w:line="240" w:lineRule="auto"/>
              <w:rPr>
                <w:rFonts w:ascii="Arial" w:hAnsi="Arial" w:cs="Arial"/>
                <w:b/>
                <w:sz w:val="16"/>
                <w:szCs w:val="16"/>
              </w:rPr>
            </w:pPr>
            <w:r>
              <w:rPr>
                <w:rFonts w:ascii="Arial" w:hAnsi="Arial" w:cs="Arial"/>
                <w:b/>
                <w:sz w:val="16"/>
                <w:szCs w:val="16"/>
              </w:rPr>
              <w:t>Key Activities</w:t>
            </w:r>
          </w:p>
        </w:tc>
        <w:tc>
          <w:tcPr>
            <w:tcW w:w="6404" w:type="dxa"/>
            <w:gridSpan w:val="2"/>
            <w:tcBorders>
              <w:bottom w:val="double" w:sz="4" w:space="0" w:color="auto"/>
            </w:tcBorders>
          </w:tcPr>
          <w:p w14:paraId="02107003" w14:textId="77777777" w:rsidR="00234D9C" w:rsidRPr="00234D9C" w:rsidRDefault="00234D9C" w:rsidP="00632AE5">
            <w:pPr>
              <w:tabs>
                <w:tab w:val="left" w:pos="709"/>
              </w:tabs>
              <w:spacing w:before="60" w:after="60" w:line="240" w:lineRule="auto"/>
              <w:rPr>
                <w:rFonts w:ascii="Arial" w:hAnsi="Arial" w:cs="Arial"/>
                <w:b/>
                <w:bCs/>
                <w:sz w:val="16"/>
                <w:szCs w:val="16"/>
              </w:rPr>
            </w:pPr>
            <w:r w:rsidRPr="00234D9C">
              <w:rPr>
                <w:rFonts w:ascii="Arial" w:hAnsi="Arial" w:cs="Arial"/>
                <w:b/>
                <w:bCs/>
                <w:sz w:val="16"/>
                <w:szCs w:val="16"/>
              </w:rPr>
              <w:t>Deliver ministerial and parliamentary services</w:t>
            </w:r>
          </w:p>
          <w:p w14:paraId="2239E2B6" w14:textId="4BA5DB83" w:rsidR="00F0167C" w:rsidRPr="00234D9C" w:rsidRDefault="00234D9C" w:rsidP="00632AE5">
            <w:pPr>
              <w:tabs>
                <w:tab w:val="left" w:pos="709"/>
              </w:tabs>
              <w:spacing w:before="60" w:after="60" w:line="240" w:lineRule="auto"/>
              <w:rPr>
                <w:rFonts w:ascii="Arial" w:hAnsi="Arial" w:cs="Arial"/>
                <w:i/>
                <w:sz w:val="16"/>
                <w:szCs w:val="16"/>
              </w:rPr>
            </w:pPr>
            <w:r w:rsidRPr="00234D9C">
              <w:rPr>
                <w:rFonts w:ascii="Arial" w:hAnsi="Arial" w:cs="Arial"/>
                <w:bCs/>
                <w:sz w:val="16"/>
                <w:szCs w:val="16"/>
              </w:rPr>
              <w:t>Provide a range of services to parliamentarians, their employees and others as determined by the Australian Government to assist them in undertaking their duties.</w:t>
            </w:r>
          </w:p>
        </w:tc>
      </w:tr>
      <w:tr w:rsidR="00F0167C" w:rsidRPr="00361E69" w14:paraId="2239E2BB" w14:textId="77777777" w:rsidTr="00632AE5">
        <w:trPr>
          <w:trHeight w:val="312"/>
        </w:trPr>
        <w:tc>
          <w:tcPr>
            <w:tcW w:w="1391" w:type="dxa"/>
            <w:tcBorders>
              <w:top w:val="double" w:sz="4" w:space="0" w:color="auto"/>
              <w:bottom w:val="single" w:sz="4" w:space="0" w:color="auto"/>
              <w:right w:val="single" w:sz="4" w:space="0" w:color="auto"/>
            </w:tcBorders>
          </w:tcPr>
          <w:p w14:paraId="2239E2B8" w14:textId="77777777" w:rsidR="00F0167C" w:rsidRPr="00361E69" w:rsidRDefault="00F0167C" w:rsidP="00632AE5">
            <w:pPr>
              <w:tabs>
                <w:tab w:val="left" w:pos="709"/>
              </w:tabs>
              <w:spacing w:before="60" w:after="60" w:line="240" w:lineRule="auto"/>
              <w:rPr>
                <w:rFonts w:ascii="Arial" w:hAnsi="Arial" w:cs="Arial"/>
                <w:b/>
                <w:sz w:val="16"/>
                <w:szCs w:val="16"/>
              </w:rPr>
            </w:pPr>
            <w:r w:rsidRPr="00361E69">
              <w:rPr>
                <w:rFonts w:ascii="Arial" w:hAnsi="Arial" w:cs="Arial"/>
                <w:b/>
                <w:sz w:val="16"/>
                <w:szCs w:val="16"/>
              </w:rPr>
              <w:t>Year</w:t>
            </w:r>
          </w:p>
        </w:tc>
        <w:tc>
          <w:tcPr>
            <w:tcW w:w="2248" w:type="dxa"/>
            <w:tcBorders>
              <w:top w:val="double" w:sz="4" w:space="0" w:color="auto"/>
              <w:left w:val="single" w:sz="4" w:space="0" w:color="auto"/>
              <w:bottom w:val="single" w:sz="4" w:space="0" w:color="auto"/>
              <w:right w:val="single" w:sz="4" w:space="0" w:color="auto"/>
            </w:tcBorders>
          </w:tcPr>
          <w:p w14:paraId="2239E2B9" w14:textId="77777777" w:rsidR="00F0167C" w:rsidRPr="00361E69" w:rsidRDefault="00F0167C" w:rsidP="00632AE5">
            <w:pPr>
              <w:tabs>
                <w:tab w:val="left" w:pos="709"/>
                <w:tab w:val="center" w:pos="1818"/>
              </w:tabs>
              <w:spacing w:before="60" w:after="60" w:line="240" w:lineRule="auto"/>
              <w:rPr>
                <w:rFonts w:ascii="Arial" w:hAnsi="Arial" w:cs="Arial"/>
                <w:b/>
                <w:sz w:val="16"/>
                <w:szCs w:val="16"/>
              </w:rPr>
            </w:pPr>
            <w:r w:rsidRPr="00361E69">
              <w:rPr>
                <w:rFonts w:ascii="Arial" w:hAnsi="Arial" w:cs="Arial"/>
                <w:b/>
                <w:sz w:val="16"/>
                <w:szCs w:val="16"/>
              </w:rPr>
              <w:t>Performance measures</w:t>
            </w:r>
          </w:p>
        </w:tc>
        <w:tc>
          <w:tcPr>
            <w:tcW w:w="4156" w:type="dxa"/>
            <w:tcBorders>
              <w:top w:val="double" w:sz="4" w:space="0" w:color="auto"/>
              <w:left w:val="single" w:sz="4" w:space="0" w:color="auto"/>
              <w:bottom w:val="single" w:sz="4" w:space="0" w:color="auto"/>
            </w:tcBorders>
          </w:tcPr>
          <w:p w14:paraId="2239E2BA" w14:textId="77777777" w:rsidR="00F0167C" w:rsidRPr="00361E69" w:rsidRDefault="00F0167C" w:rsidP="00632AE5">
            <w:pPr>
              <w:tabs>
                <w:tab w:val="left" w:pos="709"/>
              </w:tabs>
              <w:spacing w:before="60" w:after="60" w:line="240" w:lineRule="auto"/>
              <w:rPr>
                <w:rFonts w:ascii="Arial" w:hAnsi="Arial" w:cs="Arial"/>
                <w:b/>
                <w:sz w:val="16"/>
                <w:szCs w:val="16"/>
              </w:rPr>
            </w:pPr>
            <w:r w:rsidRPr="00361E69">
              <w:rPr>
                <w:rFonts w:ascii="Arial" w:hAnsi="Arial" w:cs="Arial"/>
                <w:b/>
                <w:sz w:val="16"/>
                <w:szCs w:val="16"/>
              </w:rPr>
              <w:t>Expected Performance Results</w:t>
            </w:r>
          </w:p>
        </w:tc>
      </w:tr>
      <w:tr w:rsidR="00F0167C" w:rsidRPr="00C92882" w14:paraId="2239E2C5" w14:textId="77777777" w:rsidTr="00632AE5">
        <w:trPr>
          <w:trHeight w:val="1599"/>
        </w:trPr>
        <w:tc>
          <w:tcPr>
            <w:tcW w:w="1391" w:type="dxa"/>
            <w:tcBorders>
              <w:top w:val="single" w:sz="4" w:space="0" w:color="auto"/>
              <w:right w:val="single" w:sz="4" w:space="0" w:color="auto"/>
            </w:tcBorders>
          </w:tcPr>
          <w:p w14:paraId="3C8B29BF" w14:textId="77777777" w:rsidR="00234D9C" w:rsidRPr="00234D9C" w:rsidRDefault="00234D9C" w:rsidP="00632AE5">
            <w:pPr>
              <w:tabs>
                <w:tab w:val="left" w:pos="709"/>
              </w:tabs>
              <w:spacing w:before="60" w:after="60" w:line="240" w:lineRule="auto"/>
              <w:rPr>
                <w:rFonts w:ascii="Arial" w:hAnsi="Arial" w:cs="Arial"/>
                <w:sz w:val="16"/>
                <w:szCs w:val="16"/>
              </w:rPr>
            </w:pPr>
            <w:r w:rsidRPr="00234D9C">
              <w:rPr>
                <w:rFonts w:ascii="Arial" w:hAnsi="Arial" w:cs="Arial"/>
                <w:sz w:val="16"/>
                <w:szCs w:val="16"/>
              </w:rPr>
              <w:t xml:space="preserve">Prior year </w:t>
            </w:r>
          </w:p>
          <w:p w14:paraId="2239E2BC" w14:textId="7EBBA7B4" w:rsidR="00F0167C" w:rsidRPr="00361E69" w:rsidRDefault="00234D9C" w:rsidP="00632AE5">
            <w:pPr>
              <w:tabs>
                <w:tab w:val="left" w:pos="709"/>
              </w:tabs>
              <w:spacing w:before="60" w:after="60" w:line="240" w:lineRule="auto"/>
              <w:rPr>
                <w:rFonts w:ascii="Arial" w:hAnsi="Arial" w:cs="Arial"/>
                <w:sz w:val="16"/>
                <w:szCs w:val="16"/>
              </w:rPr>
            </w:pPr>
            <w:r w:rsidRPr="00234D9C">
              <w:rPr>
                <w:rFonts w:ascii="Arial" w:hAnsi="Arial" w:cs="Arial"/>
                <w:sz w:val="16"/>
                <w:szCs w:val="16"/>
              </w:rPr>
              <w:t>2021-22</w:t>
            </w:r>
          </w:p>
        </w:tc>
        <w:tc>
          <w:tcPr>
            <w:tcW w:w="2248" w:type="dxa"/>
            <w:tcBorders>
              <w:top w:val="single" w:sz="4" w:space="0" w:color="auto"/>
              <w:left w:val="single" w:sz="4" w:space="0" w:color="auto"/>
              <w:right w:val="single" w:sz="4" w:space="0" w:color="auto"/>
            </w:tcBorders>
          </w:tcPr>
          <w:p w14:paraId="25E09A79" w14:textId="77777777" w:rsidR="00234D9C" w:rsidRPr="00234D9C" w:rsidRDefault="00234D9C" w:rsidP="00632AE5">
            <w:pPr>
              <w:tabs>
                <w:tab w:val="left" w:pos="709"/>
              </w:tabs>
              <w:spacing w:before="60" w:after="60" w:line="240" w:lineRule="auto"/>
              <w:rPr>
                <w:rFonts w:ascii="Arial" w:hAnsi="Arial" w:cs="Arial"/>
                <w:b/>
                <w:bCs/>
                <w:sz w:val="16"/>
                <w:szCs w:val="16"/>
              </w:rPr>
            </w:pPr>
            <w:r w:rsidRPr="00234D9C">
              <w:rPr>
                <w:rFonts w:ascii="Arial" w:hAnsi="Arial" w:cs="Arial"/>
                <w:b/>
                <w:bCs/>
                <w:sz w:val="16"/>
                <w:szCs w:val="16"/>
              </w:rPr>
              <w:t>Services meet clients’ needs</w:t>
            </w:r>
          </w:p>
          <w:p w14:paraId="2239E2BE" w14:textId="3492CACE" w:rsidR="00F0167C" w:rsidRPr="00234D9C" w:rsidRDefault="00234D9C" w:rsidP="00632AE5">
            <w:pPr>
              <w:tabs>
                <w:tab w:val="left" w:pos="709"/>
              </w:tabs>
              <w:spacing w:before="60" w:after="60" w:line="240" w:lineRule="auto"/>
              <w:rPr>
                <w:rFonts w:ascii="Arial" w:hAnsi="Arial" w:cs="Arial"/>
                <w:bCs/>
                <w:sz w:val="16"/>
                <w:szCs w:val="16"/>
              </w:rPr>
            </w:pPr>
            <w:r w:rsidRPr="00234D9C">
              <w:rPr>
                <w:rFonts w:ascii="Arial" w:hAnsi="Arial" w:cs="Arial"/>
                <w:bCs/>
                <w:sz w:val="16"/>
                <w:szCs w:val="16"/>
              </w:rPr>
              <w:t>Services meet the needs of parliamentarians, their employees and others as required by the Australian Government.</w:t>
            </w:r>
          </w:p>
        </w:tc>
        <w:tc>
          <w:tcPr>
            <w:tcW w:w="4156" w:type="dxa"/>
            <w:tcBorders>
              <w:top w:val="single" w:sz="4" w:space="0" w:color="auto"/>
              <w:left w:val="single" w:sz="4" w:space="0" w:color="auto"/>
            </w:tcBorders>
          </w:tcPr>
          <w:p w14:paraId="398E3E93" w14:textId="77777777" w:rsidR="00234D9C" w:rsidRPr="00234D9C" w:rsidRDefault="00234D9C" w:rsidP="00632AE5">
            <w:pPr>
              <w:tabs>
                <w:tab w:val="left" w:pos="709"/>
              </w:tabs>
              <w:spacing w:before="60" w:after="60" w:line="240" w:lineRule="auto"/>
              <w:rPr>
                <w:rFonts w:ascii="Arial" w:hAnsi="Arial" w:cs="Arial"/>
                <w:b/>
                <w:sz w:val="16"/>
                <w:szCs w:val="16"/>
              </w:rPr>
            </w:pPr>
            <w:r w:rsidRPr="00234D9C">
              <w:rPr>
                <w:rFonts w:ascii="Arial" w:hAnsi="Arial" w:cs="Arial"/>
                <w:b/>
                <w:sz w:val="16"/>
                <w:szCs w:val="16"/>
              </w:rPr>
              <w:t>Achieved</w:t>
            </w:r>
          </w:p>
          <w:p w14:paraId="210369CB" w14:textId="77777777" w:rsidR="00234D9C" w:rsidRPr="00234D9C" w:rsidRDefault="00234D9C" w:rsidP="00632AE5">
            <w:pPr>
              <w:tabs>
                <w:tab w:val="left" w:pos="709"/>
              </w:tabs>
              <w:spacing w:before="60" w:after="60" w:line="240" w:lineRule="auto"/>
              <w:rPr>
                <w:rFonts w:ascii="Arial" w:hAnsi="Arial" w:cs="Arial"/>
                <w:sz w:val="16"/>
                <w:szCs w:val="16"/>
              </w:rPr>
            </w:pPr>
            <w:r w:rsidRPr="00234D9C">
              <w:rPr>
                <w:rFonts w:ascii="Arial" w:hAnsi="Arial" w:cs="Arial"/>
                <w:sz w:val="16"/>
                <w:szCs w:val="16"/>
              </w:rPr>
              <w:t>For the period 1 July 2021 to 30 June 2022:</w:t>
            </w:r>
          </w:p>
          <w:p w14:paraId="1AFE42CD" w14:textId="1DEB161B" w:rsidR="00234D9C" w:rsidRPr="000C7FC1" w:rsidRDefault="00234D9C" w:rsidP="00C8474A">
            <w:pPr>
              <w:pStyle w:val="ListParagraph"/>
              <w:numPr>
                <w:ilvl w:val="0"/>
                <w:numId w:val="59"/>
              </w:numPr>
              <w:autoSpaceDE w:val="0"/>
              <w:autoSpaceDN w:val="0"/>
              <w:adjustRightInd w:val="0"/>
              <w:spacing w:before="60" w:after="60" w:line="240" w:lineRule="auto"/>
              <w:ind w:left="527" w:hanging="357"/>
              <w:contextualSpacing w:val="0"/>
              <w:rPr>
                <w:rFonts w:ascii="Arial" w:hAnsi="Arial" w:cs="Arial"/>
                <w:sz w:val="16"/>
                <w:szCs w:val="16"/>
              </w:rPr>
            </w:pPr>
            <w:r w:rsidRPr="000C7FC1">
              <w:rPr>
                <w:rFonts w:ascii="Arial" w:hAnsi="Arial" w:cs="Arial"/>
                <w:sz w:val="16"/>
                <w:szCs w:val="16"/>
              </w:rPr>
              <w:t>Our help desks acknowledged 98.04% of client contacts or queries within 24 hours and responded within agreed timeframes.</w:t>
            </w:r>
          </w:p>
          <w:p w14:paraId="275572D7" w14:textId="1FB03123" w:rsidR="00234D9C" w:rsidRPr="000C7FC1" w:rsidRDefault="00234D9C" w:rsidP="00C8474A">
            <w:pPr>
              <w:pStyle w:val="ListParagraph"/>
              <w:numPr>
                <w:ilvl w:val="0"/>
                <w:numId w:val="59"/>
              </w:numPr>
              <w:autoSpaceDE w:val="0"/>
              <w:autoSpaceDN w:val="0"/>
              <w:adjustRightInd w:val="0"/>
              <w:spacing w:before="60" w:after="60" w:line="240" w:lineRule="auto"/>
              <w:ind w:left="527" w:hanging="357"/>
              <w:contextualSpacing w:val="0"/>
              <w:rPr>
                <w:rFonts w:ascii="Arial" w:hAnsi="Arial" w:cs="Arial"/>
                <w:sz w:val="16"/>
                <w:szCs w:val="16"/>
              </w:rPr>
            </w:pPr>
            <w:r w:rsidRPr="000C7FC1">
              <w:rPr>
                <w:rFonts w:ascii="Arial" w:hAnsi="Arial" w:cs="Arial"/>
                <w:sz w:val="16"/>
                <w:szCs w:val="16"/>
              </w:rPr>
              <w:t>98.96% of payments (including payroll) were made within agreed timeframes.</w:t>
            </w:r>
          </w:p>
          <w:p w14:paraId="142356B5" w14:textId="50033393" w:rsidR="00234D9C" w:rsidRPr="000C7FC1" w:rsidRDefault="00234D9C" w:rsidP="00C8474A">
            <w:pPr>
              <w:pStyle w:val="ListParagraph"/>
              <w:numPr>
                <w:ilvl w:val="0"/>
                <w:numId w:val="59"/>
              </w:numPr>
              <w:autoSpaceDE w:val="0"/>
              <w:autoSpaceDN w:val="0"/>
              <w:adjustRightInd w:val="0"/>
              <w:spacing w:before="60" w:after="60" w:line="240" w:lineRule="auto"/>
              <w:ind w:left="527" w:hanging="357"/>
              <w:contextualSpacing w:val="0"/>
              <w:rPr>
                <w:rFonts w:ascii="Arial" w:hAnsi="Arial" w:cs="Arial"/>
                <w:sz w:val="16"/>
                <w:szCs w:val="16"/>
              </w:rPr>
            </w:pPr>
            <w:r w:rsidRPr="000C7FC1">
              <w:rPr>
                <w:rFonts w:ascii="Arial" w:hAnsi="Arial" w:cs="Arial"/>
                <w:sz w:val="16"/>
                <w:szCs w:val="16"/>
              </w:rPr>
              <w:t>100% of office establishment and relocation projects have been delivered in accordance with the National Fit-out Standards.</w:t>
            </w:r>
          </w:p>
          <w:p w14:paraId="2239E2C4" w14:textId="2DC3B73F" w:rsidR="00F0167C" w:rsidRPr="000C7FC1" w:rsidRDefault="00234D9C" w:rsidP="00C8474A">
            <w:pPr>
              <w:pStyle w:val="ListParagraph"/>
              <w:numPr>
                <w:ilvl w:val="0"/>
                <w:numId w:val="59"/>
              </w:numPr>
              <w:autoSpaceDE w:val="0"/>
              <w:autoSpaceDN w:val="0"/>
              <w:adjustRightInd w:val="0"/>
              <w:spacing w:before="60" w:after="60" w:line="240" w:lineRule="auto"/>
              <w:ind w:left="527" w:hanging="357"/>
              <w:contextualSpacing w:val="0"/>
              <w:rPr>
                <w:rFonts w:ascii="Arial" w:hAnsi="Arial" w:cs="Arial"/>
                <w:sz w:val="16"/>
                <w:szCs w:val="16"/>
              </w:rPr>
            </w:pPr>
            <w:r w:rsidRPr="000C7FC1">
              <w:rPr>
                <w:rFonts w:ascii="Arial" w:hAnsi="Arial" w:cs="Arial"/>
                <w:sz w:val="16"/>
                <w:szCs w:val="16"/>
              </w:rPr>
              <w:t>COMCAR completed 99.72% of reservations without service failure.</w:t>
            </w:r>
          </w:p>
        </w:tc>
      </w:tr>
    </w:tbl>
    <w:p w14:paraId="7F9255CC" w14:textId="77777777" w:rsidR="00A35052" w:rsidRDefault="00F0167C" w:rsidP="00A35052">
      <w:pPr>
        <w:pStyle w:val="TableHeading"/>
        <w:spacing w:before="30" w:after="0"/>
        <w:rPr>
          <w:b w:val="0"/>
          <w:sz w:val="16"/>
        </w:rPr>
      </w:pPr>
      <w:r w:rsidRPr="00F746E5">
        <w:rPr>
          <w:b w:val="0"/>
          <w:sz w:val="16"/>
        </w:rPr>
        <w:t xml:space="preserve">Table continues on next page </w:t>
      </w:r>
      <w:r w:rsidR="00A35052">
        <w:rPr>
          <w:b w:val="0"/>
          <w:sz w:val="16"/>
        </w:rPr>
        <w:br w:type="page"/>
      </w:r>
    </w:p>
    <w:p w14:paraId="2239E2CF" w14:textId="60177938" w:rsidR="00F0167C" w:rsidRPr="00E84F25" w:rsidRDefault="00F0167C" w:rsidP="00DB0EDF">
      <w:pPr>
        <w:spacing w:after="0"/>
        <w:rPr>
          <w:rFonts w:ascii="Arial" w:hAnsi="Arial"/>
          <w:b/>
          <w:color w:val="000000"/>
          <w:sz w:val="20"/>
          <w:lang w:val="x-none" w:eastAsia="x-none"/>
        </w:rPr>
      </w:pPr>
      <w:r w:rsidRPr="00E84F25">
        <w:rPr>
          <w:rFonts w:ascii="Arial" w:hAnsi="Arial"/>
          <w:b/>
          <w:color w:val="000000"/>
          <w:sz w:val="20"/>
          <w:lang w:val="x-none" w:eastAsia="x-none"/>
        </w:rPr>
        <w:lastRenderedPageBreak/>
        <w:t>Table 2.3.2: Performance measure for Outcome 3 (continued)</w:t>
      </w:r>
    </w:p>
    <w:tbl>
      <w:tblPr>
        <w:tblW w:w="7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2338"/>
        <w:gridCol w:w="4067"/>
      </w:tblGrid>
      <w:tr w:rsidR="00F0167C" w:rsidRPr="00361E69" w14:paraId="2239E2D1" w14:textId="77777777" w:rsidTr="009B3EED">
        <w:trPr>
          <w:trHeight w:val="312"/>
        </w:trPr>
        <w:tc>
          <w:tcPr>
            <w:tcW w:w="7795" w:type="dxa"/>
            <w:gridSpan w:val="3"/>
            <w:tcBorders>
              <w:top w:val="single" w:sz="4" w:space="0" w:color="auto"/>
              <w:left w:val="single" w:sz="4" w:space="0" w:color="auto"/>
              <w:bottom w:val="single" w:sz="4" w:space="0" w:color="auto"/>
              <w:right w:val="single" w:sz="4" w:space="0" w:color="auto"/>
            </w:tcBorders>
            <w:shd w:val="clear" w:color="auto" w:fill="F2F2F2"/>
          </w:tcPr>
          <w:p w14:paraId="6865F270" w14:textId="77777777" w:rsidR="00234D9C" w:rsidRPr="00234D9C" w:rsidRDefault="00234D9C" w:rsidP="009B3EED">
            <w:pPr>
              <w:tabs>
                <w:tab w:val="left" w:pos="709"/>
              </w:tabs>
              <w:spacing w:before="60" w:after="60" w:line="240" w:lineRule="auto"/>
              <w:rPr>
                <w:rFonts w:ascii="Arial" w:hAnsi="Arial"/>
                <w:b/>
                <w:sz w:val="16"/>
                <w:szCs w:val="16"/>
              </w:rPr>
            </w:pPr>
            <w:r w:rsidRPr="00234D9C">
              <w:rPr>
                <w:rFonts w:ascii="Arial" w:hAnsi="Arial"/>
                <w:b/>
                <w:sz w:val="16"/>
                <w:szCs w:val="16"/>
              </w:rPr>
              <w:t xml:space="preserve">Program 3.1 - Ministerial and Parliamentary Services </w:t>
            </w:r>
          </w:p>
          <w:p w14:paraId="2239E2D0" w14:textId="2A1291C6" w:rsidR="00F0167C" w:rsidRPr="00234D9C" w:rsidRDefault="00234D9C" w:rsidP="009B3EED">
            <w:pPr>
              <w:tabs>
                <w:tab w:val="left" w:pos="709"/>
              </w:tabs>
              <w:spacing w:before="60" w:after="60" w:line="240" w:lineRule="auto"/>
              <w:rPr>
                <w:rFonts w:ascii="Arial" w:eastAsia="Arial" w:hAnsi="Arial" w:cs="Arial"/>
                <w:sz w:val="16"/>
                <w:szCs w:val="16"/>
              </w:rPr>
            </w:pPr>
            <w:r w:rsidRPr="00234D9C">
              <w:rPr>
                <w:rFonts w:ascii="Arial" w:hAnsi="Arial"/>
                <w:sz w:val="16"/>
                <w:szCs w:val="16"/>
              </w:rPr>
              <w:t>This program contributes to the outcome through the provision of advice on, access to, and payment of Parliamentary and post-Parliamentary, work expenses, allowances and entitlements and targeted programs.</w:t>
            </w:r>
          </w:p>
        </w:tc>
      </w:tr>
      <w:tr w:rsidR="00F0167C" w:rsidRPr="00361E69" w14:paraId="2239E2D5" w14:textId="77777777" w:rsidTr="009B3EED">
        <w:trPr>
          <w:trHeight w:val="312"/>
        </w:trPr>
        <w:tc>
          <w:tcPr>
            <w:tcW w:w="1390" w:type="dxa"/>
            <w:tcBorders>
              <w:top w:val="single" w:sz="4" w:space="0" w:color="auto"/>
              <w:bottom w:val="single" w:sz="4" w:space="0" w:color="auto"/>
              <w:right w:val="single" w:sz="4" w:space="0" w:color="auto"/>
            </w:tcBorders>
          </w:tcPr>
          <w:p w14:paraId="2239E2D2" w14:textId="77777777" w:rsidR="00F0167C" w:rsidRPr="00D63950" w:rsidRDefault="00F0167C" w:rsidP="009B3EED">
            <w:pPr>
              <w:tabs>
                <w:tab w:val="left" w:pos="709"/>
              </w:tabs>
              <w:spacing w:before="60" w:after="60"/>
              <w:rPr>
                <w:rFonts w:ascii="Arial" w:hAnsi="Arial" w:cs="Arial"/>
                <w:b/>
                <w:sz w:val="16"/>
                <w:szCs w:val="16"/>
              </w:rPr>
            </w:pPr>
            <w:r w:rsidRPr="00D63950">
              <w:rPr>
                <w:rFonts w:ascii="Arial" w:hAnsi="Arial" w:cs="Arial"/>
                <w:b/>
                <w:sz w:val="16"/>
                <w:szCs w:val="16"/>
              </w:rPr>
              <w:t>Year</w:t>
            </w:r>
          </w:p>
        </w:tc>
        <w:tc>
          <w:tcPr>
            <w:tcW w:w="2338" w:type="dxa"/>
            <w:tcBorders>
              <w:top w:val="single" w:sz="4" w:space="0" w:color="auto"/>
              <w:left w:val="single" w:sz="4" w:space="0" w:color="auto"/>
              <w:bottom w:val="single" w:sz="4" w:space="0" w:color="auto"/>
              <w:right w:val="single" w:sz="4" w:space="0" w:color="auto"/>
            </w:tcBorders>
          </w:tcPr>
          <w:p w14:paraId="2239E2D3" w14:textId="77777777" w:rsidR="00F0167C" w:rsidRPr="00D63950" w:rsidRDefault="00F0167C" w:rsidP="009B3EED">
            <w:pPr>
              <w:tabs>
                <w:tab w:val="left" w:pos="709"/>
                <w:tab w:val="center" w:pos="1818"/>
              </w:tabs>
              <w:spacing w:before="60" w:after="60"/>
              <w:rPr>
                <w:rFonts w:ascii="Arial" w:hAnsi="Arial" w:cs="Arial"/>
                <w:b/>
                <w:sz w:val="16"/>
                <w:szCs w:val="16"/>
              </w:rPr>
            </w:pPr>
            <w:r w:rsidRPr="00D63950">
              <w:rPr>
                <w:rFonts w:ascii="Arial" w:hAnsi="Arial" w:cs="Arial"/>
                <w:b/>
                <w:sz w:val="16"/>
                <w:szCs w:val="16"/>
              </w:rPr>
              <w:t>Performance measures</w:t>
            </w:r>
          </w:p>
        </w:tc>
        <w:tc>
          <w:tcPr>
            <w:tcW w:w="4067" w:type="dxa"/>
            <w:tcBorders>
              <w:top w:val="single" w:sz="4" w:space="0" w:color="auto"/>
              <w:left w:val="single" w:sz="4" w:space="0" w:color="auto"/>
              <w:bottom w:val="single" w:sz="4" w:space="0" w:color="auto"/>
            </w:tcBorders>
          </w:tcPr>
          <w:p w14:paraId="2239E2D4" w14:textId="77777777" w:rsidR="00F0167C" w:rsidRPr="00D63950" w:rsidRDefault="00F0167C" w:rsidP="009B3EED">
            <w:pPr>
              <w:tabs>
                <w:tab w:val="left" w:pos="709"/>
              </w:tabs>
              <w:spacing w:before="60" w:after="60"/>
              <w:rPr>
                <w:rFonts w:ascii="Arial" w:hAnsi="Arial" w:cs="Arial"/>
                <w:b/>
                <w:sz w:val="16"/>
                <w:szCs w:val="16"/>
              </w:rPr>
            </w:pPr>
            <w:r w:rsidRPr="00D63950">
              <w:rPr>
                <w:rFonts w:ascii="Arial" w:hAnsi="Arial" w:cs="Arial"/>
                <w:b/>
                <w:sz w:val="16"/>
                <w:szCs w:val="16"/>
              </w:rPr>
              <w:t>Expected Performance Results</w:t>
            </w:r>
          </w:p>
        </w:tc>
      </w:tr>
      <w:tr w:rsidR="00F0167C" w:rsidRPr="00C92882" w14:paraId="2239E2E2" w14:textId="77777777" w:rsidTr="009B3EED">
        <w:trPr>
          <w:trHeight w:val="1599"/>
        </w:trPr>
        <w:tc>
          <w:tcPr>
            <w:tcW w:w="1390" w:type="dxa"/>
            <w:tcBorders>
              <w:top w:val="single" w:sz="4" w:space="0" w:color="auto"/>
              <w:right w:val="single" w:sz="4" w:space="0" w:color="auto"/>
            </w:tcBorders>
          </w:tcPr>
          <w:p w14:paraId="782F8376" w14:textId="77777777" w:rsidR="00234D9C" w:rsidRPr="00234D9C" w:rsidRDefault="00234D9C" w:rsidP="009B3EED">
            <w:pPr>
              <w:tabs>
                <w:tab w:val="left" w:pos="709"/>
              </w:tabs>
              <w:spacing w:before="60" w:after="60" w:line="240" w:lineRule="auto"/>
              <w:rPr>
                <w:rFonts w:ascii="Arial" w:hAnsi="Arial" w:cs="Arial"/>
                <w:sz w:val="16"/>
                <w:szCs w:val="16"/>
              </w:rPr>
            </w:pPr>
            <w:r w:rsidRPr="00234D9C">
              <w:rPr>
                <w:rFonts w:ascii="Arial" w:hAnsi="Arial" w:cs="Arial"/>
                <w:sz w:val="16"/>
                <w:szCs w:val="16"/>
              </w:rPr>
              <w:t xml:space="preserve">Prior year </w:t>
            </w:r>
          </w:p>
          <w:p w14:paraId="2239E2D6" w14:textId="31425191" w:rsidR="00F0167C" w:rsidRPr="00361E69" w:rsidRDefault="00234D9C" w:rsidP="009B3EED">
            <w:pPr>
              <w:tabs>
                <w:tab w:val="left" w:pos="709"/>
              </w:tabs>
              <w:spacing w:before="60" w:after="60" w:line="240" w:lineRule="auto"/>
              <w:rPr>
                <w:rFonts w:ascii="Arial" w:hAnsi="Arial" w:cs="Arial"/>
                <w:sz w:val="16"/>
                <w:szCs w:val="16"/>
              </w:rPr>
            </w:pPr>
            <w:r w:rsidRPr="00234D9C">
              <w:rPr>
                <w:rFonts w:ascii="Arial" w:hAnsi="Arial" w:cs="Arial"/>
                <w:sz w:val="16"/>
                <w:szCs w:val="16"/>
              </w:rPr>
              <w:t>2021-22</w:t>
            </w:r>
            <w:r w:rsidR="00F0167C">
              <w:rPr>
                <w:rFonts w:ascii="Arial" w:hAnsi="Arial" w:cs="Arial"/>
                <w:sz w:val="16"/>
                <w:szCs w:val="16"/>
              </w:rPr>
              <w:t xml:space="preserve"> (continued)</w:t>
            </w:r>
          </w:p>
        </w:tc>
        <w:tc>
          <w:tcPr>
            <w:tcW w:w="2338" w:type="dxa"/>
            <w:tcBorders>
              <w:top w:val="single" w:sz="4" w:space="0" w:color="auto"/>
              <w:left w:val="single" w:sz="4" w:space="0" w:color="auto"/>
              <w:right w:val="single" w:sz="4" w:space="0" w:color="auto"/>
            </w:tcBorders>
          </w:tcPr>
          <w:p w14:paraId="04533267" w14:textId="77777777" w:rsidR="00234D9C" w:rsidRPr="00234D9C" w:rsidRDefault="00234D9C" w:rsidP="009B3EED">
            <w:pPr>
              <w:tabs>
                <w:tab w:val="left" w:pos="709"/>
              </w:tabs>
              <w:suppressAutoHyphens/>
              <w:spacing w:before="60" w:after="60" w:line="240" w:lineRule="auto"/>
              <w:rPr>
                <w:rFonts w:ascii="Arial" w:eastAsia="Arial" w:hAnsi="Arial" w:cs="Arial"/>
                <w:b/>
                <w:bCs/>
                <w:sz w:val="16"/>
                <w:szCs w:val="16"/>
              </w:rPr>
            </w:pPr>
            <w:r w:rsidRPr="00234D9C">
              <w:rPr>
                <w:rFonts w:ascii="Arial" w:eastAsia="Arial" w:hAnsi="Arial" w:cs="Arial"/>
                <w:b/>
                <w:bCs/>
                <w:sz w:val="16"/>
                <w:szCs w:val="16"/>
              </w:rPr>
              <w:t>Improve administration of parliamentary work expenses</w:t>
            </w:r>
          </w:p>
          <w:p w14:paraId="2239E2D8" w14:textId="06C1513E" w:rsidR="00F0167C" w:rsidRPr="00234D9C" w:rsidRDefault="00234D9C" w:rsidP="009B3EED">
            <w:pPr>
              <w:tabs>
                <w:tab w:val="left" w:pos="709"/>
              </w:tabs>
              <w:spacing w:before="60" w:after="60" w:line="240" w:lineRule="auto"/>
              <w:rPr>
                <w:rFonts w:ascii="Arial" w:hAnsi="Arial" w:cs="Arial"/>
                <w:bCs/>
                <w:sz w:val="16"/>
                <w:szCs w:val="16"/>
              </w:rPr>
            </w:pPr>
            <w:r w:rsidRPr="00234D9C">
              <w:rPr>
                <w:rFonts w:ascii="Arial" w:eastAsia="Arial" w:hAnsi="Arial" w:cs="Arial"/>
                <w:bCs/>
                <w:sz w:val="16"/>
                <w:szCs w:val="16"/>
              </w:rPr>
              <w:t>The timeliness, efficiency, clarity and transparency of the administration of parliamentary work expenses is improved.</w:t>
            </w:r>
          </w:p>
        </w:tc>
        <w:tc>
          <w:tcPr>
            <w:tcW w:w="4067" w:type="dxa"/>
            <w:tcBorders>
              <w:top w:val="single" w:sz="4" w:space="0" w:color="auto"/>
              <w:left w:val="single" w:sz="4" w:space="0" w:color="auto"/>
            </w:tcBorders>
          </w:tcPr>
          <w:p w14:paraId="715E8C2C" w14:textId="77777777" w:rsidR="00234D9C" w:rsidRPr="00234D9C" w:rsidRDefault="00234D9C" w:rsidP="009B3EED">
            <w:pPr>
              <w:autoSpaceDE w:val="0"/>
              <w:autoSpaceDN w:val="0"/>
              <w:adjustRightInd w:val="0"/>
              <w:spacing w:before="60" w:after="60" w:line="240" w:lineRule="auto"/>
              <w:rPr>
                <w:rFonts w:ascii="Arial" w:hAnsi="Arial" w:cs="Arial"/>
                <w:b/>
                <w:bCs/>
                <w:sz w:val="16"/>
                <w:szCs w:val="16"/>
                <w:lang w:eastAsia="en-US"/>
              </w:rPr>
            </w:pPr>
            <w:r w:rsidRPr="00234D9C">
              <w:rPr>
                <w:rFonts w:ascii="Arial" w:hAnsi="Arial" w:cs="Arial"/>
                <w:b/>
                <w:bCs/>
                <w:sz w:val="16"/>
                <w:szCs w:val="16"/>
                <w:lang w:eastAsia="en-US"/>
              </w:rPr>
              <w:t>Achieved</w:t>
            </w:r>
          </w:p>
          <w:p w14:paraId="53346281" w14:textId="708653F8" w:rsidR="00234D9C" w:rsidRPr="00234D9C" w:rsidRDefault="00444FC8" w:rsidP="00444FC8">
            <w:pPr>
              <w:autoSpaceDE w:val="0"/>
              <w:autoSpaceDN w:val="0"/>
              <w:adjustRightInd w:val="0"/>
              <w:spacing w:before="60" w:after="60" w:line="240" w:lineRule="auto"/>
              <w:rPr>
                <w:rFonts w:ascii="Arial" w:hAnsi="Arial" w:cs="Arial"/>
                <w:bCs/>
                <w:sz w:val="16"/>
                <w:szCs w:val="16"/>
                <w:lang w:eastAsia="en-US"/>
              </w:rPr>
            </w:pPr>
            <w:r>
              <w:rPr>
                <w:rFonts w:ascii="Arial" w:hAnsi="Arial" w:cs="Arial"/>
                <w:bCs/>
                <w:sz w:val="16"/>
                <w:szCs w:val="16"/>
                <w:lang w:eastAsia="en-US"/>
              </w:rPr>
              <w:t>Phase one of Milestone seven</w:t>
            </w:r>
            <w:r w:rsidR="00234D9C" w:rsidRPr="00234D9C">
              <w:rPr>
                <w:rFonts w:ascii="Arial" w:hAnsi="Arial" w:cs="Arial"/>
                <w:bCs/>
                <w:sz w:val="16"/>
                <w:szCs w:val="16"/>
                <w:lang w:eastAsia="en-US"/>
              </w:rPr>
              <w:t xml:space="preserve"> (</w:t>
            </w:r>
            <w:r>
              <w:rPr>
                <w:rFonts w:ascii="Arial" w:hAnsi="Arial" w:cs="Arial"/>
                <w:bCs/>
                <w:sz w:val="16"/>
                <w:szCs w:val="16"/>
                <w:lang w:eastAsia="en-US"/>
              </w:rPr>
              <w:t>Human Resource (</w:t>
            </w:r>
            <w:r w:rsidR="00234D9C" w:rsidRPr="00234D9C">
              <w:rPr>
                <w:rFonts w:ascii="Arial" w:hAnsi="Arial" w:cs="Arial"/>
                <w:bCs/>
                <w:sz w:val="16"/>
                <w:szCs w:val="16"/>
                <w:lang w:eastAsia="en-US"/>
              </w:rPr>
              <w:t>HR</w:t>
            </w:r>
            <w:r>
              <w:rPr>
                <w:rFonts w:ascii="Arial" w:hAnsi="Arial" w:cs="Arial"/>
                <w:bCs/>
                <w:sz w:val="16"/>
                <w:szCs w:val="16"/>
                <w:lang w:eastAsia="en-US"/>
              </w:rPr>
              <w:t>)</w:t>
            </w:r>
            <w:r w:rsidR="00234D9C" w:rsidRPr="00234D9C">
              <w:rPr>
                <w:rFonts w:ascii="Arial" w:hAnsi="Arial" w:cs="Arial"/>
                <w:bCs/>
                <w:sz w:val="16"/>
                <w:szCs w:val="16"/>
                <w:lang w:eastAsia="en-US"/>
              </w:rPr>
              <w:t xml:space="preserve"> functionality) was released on 1 July 2021. </w:t>
            </w:r>
          </w:p>
          <w:p w14:paraId="1BB3C5B5" w14:textId="1BD1197B" w:rsidR="00234D9C" w:rsidRPr="00234D9C" w:rsidRDefault="00444FC8" w:rsidP="00444FC8">
            <w:pPr>
              <w:autoSpaceDE w:val="0"/>
              <w:autoSpaceDN w:val="0"/>
              <w:adjustRightInd w:val="0"/>
              <w:spacing w:before="60" w:after="60" w:line="240" w:lineRule="auto"/>
              <w:rPr>
                <w:rFonts w:ascii="Arial" w:hAnsi="Arial" w:cs="Arial"/>
                <w:bCs/>
                <w:sz w:val="16"/>
                <w:szCs w:val="16"/>
                <w:lang w:eastAsia="en-US"/>
              </w:rPr>
            </w:pPr>
            <w:r>
              <w:rPr>
                <w:rFonts w:ascii="Arial" w:hAnsi="Arial" w:cs="Arial"/>
                <w:bCs/>
                <w:sz w:val="16"/>
                <w:szCs w:val="16"/>
                <w:lang w:eastAsia="en-US"/>
              </w:rPr>
              <w:t>Phase two of Milestone seven</w:t>
            </w:r>
            <w:r w:rsidR="00234D9C" w:rsidRPr="00234D9C">
              <w:rPr>
                <w:rFonts w:ascii="Arial" w:hAnsi="Arial" w:cs="Arial"/>
                <w:bCs/>
                <w:sz w:val="16"/>
                <w:szCs w:val="16"/>
                <w:lang w:eastAsia="en-US"/>
              </w:rPr>
              <w:t xml:space="preserve"> (work expense functionality) was released on 4 July 2022. </w:t>
            </w:r>
          </w:p>
          <w:p w14:paraId="5AB4783C" w14:textId="3AC40A8C" w:rsidR="00234D9C" w:rsidRPr="00234D9C" w:rsidRDefault="00234D9C" w:rsidP="00444FC8">
            <w:pPr>
              <w:autoSpaceDE w:val="0"/>
              <w:autoSpaceDN w:val="0"/>
              <w:adjustRightInd w:val="0"/>
              <w:spacing w:before="60" w:after="60" w:line="240" w:lineRule="auto"/>
              <w:rPr>
                <w:rFonts w:ascii="Arial" w:hAnsi="Arial" w:cs="Arial"/>
                <w:bCs/>
                <w:sz w:val="16"/>
                <w:szCs w:val="16"/>
                <w:lang w:eastAsia="en-US"/>
              </w:rPr>
            </w:pPr>
            <w:r w:rsidRPr="00234D9C">
              <w:rPr>
                <w:rFonts w:ascii="Arial" w:hAnsi="Arial" w:cs="Arial"/>
                <w:bCs/>
                <w:sz w:val="16"/>
                <w:szCs w:val="16"/>
                <w:lang w:eastAsia="en-US"/>
              </w:rPr>
              <w:t xml:space="preserve">Iterations of </w:t>
            </w:r>
            <w:r w:rsidR="00444FC8">
              <w:rPr>
                <w:rFonts w:ascii="Arial" w:hAnsi="Arial" w:cs="Arial"/>
                <w:bCs/>
                <w:sz w:val="16"/>
                <w:szCs w:val="16"/>
                <w:lang w:eastAsia="en-US"/>
              </w:rPr>
              <w:t>Parliamentary Expenses Management System (</w:t>
            </w:r>
            <w:r w:rsidRPr="00234D9C">
              <w:rPr>
                <w:rFonts w:ascii="Arial" w:hAnsi="Arial" w:cs="Arial"/>
                <w:bCs/>
                <w:sz w:val="16"/>
                <w:szCs w:val="16"/>
                <w:lang w:eastAsia="en-US"/>
              </w:rPr>
              <w:t>PEMS</w:t>
            </w:r>
            <w:r w:rsidR="00444FC8">
              <w:rPr>
                <w:rFonts w:ascii="Arial" w:hAnsi="Arial" w:cs="Arial"/>
                <w:bCs/>
                <w:sz w:val="16"/>
                <w:szCs w:val="16"/>
                <w:lang w:eastAsia="en-US"/>
              </w:rPr>
              <w:t>)</w:t>
            </w:r>
            <w:r w:rsidRPr="00234D9C">
              <w:rPr>
                <w:rFonts w:ascii="Arial" w:hAnsi="Arial" w:cs="Arial"/>
                <w:bCs/>
                <w:sz w:val="16"/>
                <w:szCs w:val="16"/>
                <w:lang w:eastAsia="en-US"/>
              </w:rPr>
              <w:t xml:space="preserve"> has been delivered since 2018, allowing parliamentarians and their staff to access PEMS from any computer or mobile device, to lodge, monitor and certify work expense claims. Since July 2021 parliamentarians and their staff are able to access HR management functions. </w:t>
            </w:r>
          </w:p>
          <w:p w14:paraId="1F97E28F" w14:textId="12CA038F" w:rsidR="00632788" w:rsidRPr="00234D9C" w:rsidRDefault="00234D9C" w:rsidP="00444FC8">
            <w:pPr>
              <w:autoSpaceDE w:val="0"/>
              <w:autoSpaceDN w:val="0"/>
              <w:spacing w:before="60" w:after="60" w:line="240" w:lineRule="auto"/>
              <w:rPr>
                <w:rFonts w:ascii="Arial" w:hAnsi="Arial" w:cs="Arial"/>
                <w:sz w:val="16"/>
                <w:szCs w:val="16"/>
              </w:rPr>
            </w:pPr>
            <w:r w:rsidRPr="00234D9C">
              <w:rPr>
                <w:rFonts w:ascii="Arial" w:hAnsi="Arial" w:cs="Arial"/>
                <w:bCs/>
                <w:sz w:val="16"/>
                <w:szCs w:val="16"/>
                <w:lang w:eastAsia="en-US"/>
              </w:rPr>
              <w:t>Since 1 July 2021, usage of PEMS by parliamentarians and their staff for office expense claims, travel expense claims and to perform HR functions has increased. With the post-election changeover of parliamentarians and staff impacting directly on use of PEMS,</w:t>
            </w:r>
            <w:r w:rsidR="005D034A">
              <w:rPr>
                <w:rFonts w:ascii="Arial" w:hAnsi="Arial" w:cs="Arial"/>
                <w:bCs/>
                <w:sz w:val="16"/>
                <w:szCs w:val="16"/>
                <w:lang w:eastAsia="en-US"/>
              </w:rPr>
              <w:t xml:space="preserve"> </w:t>
            </w:r>
            <w:r w:rsidRPr="00234D9C">
              <w:rPr>
                <w:rFonts w:ascii="Arial" w:hAnsi="Arial" w:cs="Arial"/>
                <w:sz w:val="16"/>
                <w:szCs w:val="16"/>
              </w:rPr>
              <w:t>these measures were taken as at 31 May 2022:</w:t>
            </w:r>
          </w:p>
          <w:p w14:paraId="382574AB" w14:textId="26FACB48" w:rsidR="00234D9C" w:rsidRPr="000A2CC9" w:rsidRDefault="00234D9C" w:rsidP="00C8474A">
            <w:pPr>
              <w:pStyle w:val="ListParagraph"/>
              <w:numPr>
                <w:ilvl w:val="0"/>
                <w:numId w:val="59"/>
              </w:numPr>
              <w:autoSpaceDE w:val="0"/>
              <w:autoSpaceDN w:val="0"/>
              <w:adjustRightInd w:val="0"/>
              <w:spacing w:before="60" w:after="60" w:line="240" w:lineRule="auto"/>
              <w:ind w:left="527" w:hanging="357"/>
              <w:contextualSpacing w:val="0"/>
              <w:rPr>
                <w:rFonts w:ascii="Arial" w:hAnsi="Arial" w:cs="Arial"/>
                <w:sz w:val="16"/>
                <w:szCs w:val="16"/>
              </w:rPr>
            </w:pPr>
            <w:r w:rsidRPr="000A2CC9">
              <w:rPr>
                <w:rFonts w:ascii="Arial" w:hAnsi="Arial" w:cs="Arial"/>
                <w:sz w:val="16"/>
                <w:szCs w:val="16"/>
              </w:rPr>
              <w:t>74% of parliamentarians have used PEMS to certify claims (office or travel)</w:t>
            </w:r>
          </w:p>
          <w:p w14:paraId="0FF9A65B" w14:textId="0E2A8BD0" w:rsidR="00234D9C" w:rsidRPr="000A2CC9" w:rsidRDefault="00234D9C" w:rsidP="00C8474A">
            <w:pPr>
              <w:pStyle w:val="ListParagraph"/>
              <w:numPr>
                <w:ilvl w:val="0"/>
                <w:numId w:val="59"/>
              </w:numPr>
              <w:autoSpaceDE w:val="0"/>
              <w:autoSpaceDN w:val="0"/>
              <w:adjustRightInd w:val="0"/>
              <w:spacing w:before="60" w:after="60" w:line="240" w:lineRule="auto"/>
              <w:ind w:left="527" w:hanging="357"/>
              <w:contextualSpacing w:val="0"/>
              <w:rPr>
                <w:rFonts w:ascii="Arial" w:hAnsi="Arial" w:cs="Arial"/>
                <w:sz w:val="16"/>
                <w:szCs w:val="16"/>
              </w:rPr>
            </w:pPr>
            <w:r w:rsidRPr="000A2CC9">
              <w:rPr>
                <w:rFonts w:ascii="Arial" w:hAnsi="Arial" w:cs="Arial"/>
                <w:sz w:val="16"/>
                <w:szCs w:val="16"/>
              </w:rPr>
              <w:t>97% of parliamentary offices have used PEMS to certify at least one claim (office or travel)</w:t>
            </w:r>
          </w:p>
          <w:p w14:paraId="776FA98D" w14:textId="27F921AC" w:rsidR="00234D9C" w:rsidRPr="000A2CC9" w:rsidRDefault="00234D9C" w:rsidP="00C8474A">
            <w:pPr>
              <w:pStyle w:val="ListParagraph"/>
              <w:numPr>
                <w:ilvl w:val="0"/>
                <w:numId w:val="59"/>
              </w:numPr>
              <w:autoSpaceDE w:val="0"/>
              <w:autoSpaceDN w:val="0"/>
              <w:adjustRightInd w:val="0"/>
              <w:spacing w:before="60" w:after="60" w:line="240" w:lineRule="auto"/>
              <w:ind w:left="527" w:hanging="357"/>
              <w:contextualSpacing w:val="0"/>
              <w:rPr>
                <w:rFonts w:ascii="Arial" w:hAnsi="Arial" w:cs="Arial"/>
                <w:sz w:val="16"/>
                <w:szCs w:val="16"/>
              </w:rPr>
            </w:pPr>
            <w:r w:rsidRPr="000A2CC9">
              <w:rPr>
                <w:rFonts w:ascii="Arial" w:hAnsi="Arial" w:cs="Arial"/>
                <w:sz w:val="16"/>
                <w:szCs w:val="16"/>
              </w:rPr>
              <w:t>The proportion of claims processed through PEMS (relating to claims where PEMS functionality is available) is 76% for office expenses - 4% decrease, with the decrease being the result of new offices created as a result of the election but not yet using the system fully</w:t>
            </w:r>
          </w:p>
          <w:p w14:paraId="2239E2E1" w14:textId="4B1AC50B" w:rsidR="00F0167C" w:rsidRPr="000A2CC9" w:rsidRDefault="00234D9C" w:rsidP="00C8474A">
            <w:pPr>
              <w:pStyle w:val="ListParagraph"/>
              <w:numPr>
                <w:ilvl w:val="0"/>
                <w:numId w:val="59"/>
              </w:numPr>
              <w:autoSpaceDE w:val="0"/>
              <w:autoSpaceDN w:val="0"/>
              <w:adjustRightInd w:val="0"/>
              <w:spacing w:before="60" w:after="60" w:line="240" w:lineRule="auto"/>
              <w:ind w:left="527" w:hanging="357"/>
              <w:contextualSpacing w:val="0"/>
              <w:rPr>
                <w:rFonts w:ascii="Arial" w:hAnsi="Arial" w:cs="Arial"/>
                <w:sz w:val="16"/>
                <w:szCs w:val="16"/>
              </w:rPr>
            </w:pPr>
            <w:r w:rsidRPr="000A2CC9">
              <w:rPr>
                <w:rFonts w:ascii="Arial" w:hAnsi="Arial" w:cs="Arial"/>
                <w:sz w:val="16"/>
                <w:szCs w:val="16"/>
              </w:rPr>
              <w:t>Users accessing the system increased by 11.4% since July 2021 (on average 769 users have access the system weekly).</w:t>
            </w:r>
          </w:p>
        </w:tc>
      </w:tr>
    </w:tbl>
    <w:p w14:paraId="3E24B18C" w14:textId="77777777" w:rsidR="00234D9C" w:rsidRDefault="00F0167C" w:rsidP="00567882">
      <w:pPr>
        <w:pStyle w:val="TableHeading"/>
        <w:spacing w:before="30" w:after="0"/>
        <w:rPr>
          <w:b w:val="0"/>
          <w:sz w:val="16"/>
        </w:rPr>
      </w:pPr>
      <w:r w:rsidRPr="00423F0D">
        <w:rPr>
          <w:b w:val="0"/>
          <w:sz w:val="16"/>
        </w:rPr>
        <w:t>Tab</w:t>
      </w:r>
      <w:r w:rsidR="00234D9C">
        <w:rPr>
          <w:b w:val="0"/>
          <w:sz w:val="16"/>
        </w:rPr>
        <w:t>le continues on next page</w:t>
      </w:r>
      <w:r w:rsidR="00234D9C">
        <w:rPr>
          <w:b w:val="0"/>
          <w:sz w:val="16"/>
        </w:rPr>
        <w:br w:type="page"/>
      </w:r>
    </w:p>
    <w:p w14:paraId="2239E2EB" w14:textId="1758A0FC" w:rsidR="00F0167C" w:rsidRPr="00E84F25" w:rsidRDefault="00F0167C" w:rsidP="002F0726">
      <w:pPr>
        <w:spacing w:after="0"/>
        <w:rPr>
          <w:rFonts w:ascii="Arial" w:hAnsi="Arial"/>
          <w:b/>
          <w:color w:val="000000"/>
          <w:sz w:val="20"/>
          <w:lang w:val="x-none" w:eastAsia="x-none"/>
        </w:rPr>
      </w:pPr>
      <w:r w:rsidRPr="00E84F25">
        <w:rPr>
          <w:rFonts w:ascii="Arial" w:hAnsi="Arial"/>
          <w:b/>
          <w:color w:val="000000"/>
          <w:sz w:val="20"/>
          <w:lang w:val="x-none" w:eastAsia="x-none"/>
        </w:rPr>
        <w:lastRenderedPageBreak/>
        <w:t>Table 2.3.2: Performance measure for Outcome 3 (continued)</w:t>
      </w:r>
    </w:p>
    <w:tbl>
      <w:tblPr>
        <w:tblW w:w="7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013"/>
        <w:gridCol w:w="4371"/>
      </w:tblGrid>
      <w:tr w:rsidR="00F0167C" w:rsidRPr="00361E69" w14:paraId="2239E2ED" w14:textId="77777777" w:rsidTr="006620CF">
        <w:trPr>
          <w:trHeight w:val="309"/>
        </w:trPr>
        <w:tc>
          <w:tcPr>
            <w:tcW w:w="7795" w:type="dxa"/>
            <w:gridSpan w:val="3"/>
            <w:shd w:val="clear" w:color="auto" w:fill="F2F2F2"/>
          </w:tcPr>
          <w:p w14:paraId="68A46915" w14:textId="34E78656" w:rsidR="00567882" w:rsidRPr="00567882" w:rsidRDefault="00567882" w:rsidP="006620CF">
            <w:pPr>
              <w:pStyle w:val="TableHeading"/>
              <w:spacing w:before="60" w:after="60"/>
              <w:rPr>
                <w:rFonts w:eastAsia="Arial" w:cs="Arial"/>
                <w:sz w:val="16"/>
                <w:szCs w:val="16"/>
              </w:rPr>
            </w:pPr>
            <w:r w:rsidRPr="00567882">
              <w:rPr>
                <w:rFonts w:eastAsia="Arial" w:cs="Arial"/>
                <w:sz w:val="16"/>
                <w:szCs w:val="16"/>
              </w:rPr>
              <w:t xml:space="preserve">Program 3.1 - Ministerial and Parliamentary Services </w:t>
            </w:r>
          </w:p>
          <w:p w14:paraId="2239E2EC" w14:textId="34E78656" w:rsidR="00F0167C" w:rsidRPr="00D63950" w:rsidRDefault="00567882" w:rsidP="006620CF">
            <w:pPr>
              <w:tabs>
                <w:tab w:val="left" w:pos="709"/>
              </w:tabs>
              <w:spacing w:before="60" w:after="60" w:line="240" w:lineRule="auto"/>
              <w:rPr>
                <w:rFonts w:ascii="Arial" w:eastAsia="Arial" w:hAnsi="Arial" w:cs="Arial"/>
                <w:b/>
                <w:sz w:val="16"/>
                <w:szCs w:val="16"/>
              </w:rPr>
            </w:pPr>
            <w:r w:rsidRPr="00567882">
              <w:rPr>
                <w:rFonts w:ascii="Arial" w:eastAsia="Arial" w:hAnsi="Arial" w:cs="Arial"/>
                <w:sz w:val="16"/>
                <w:szCs w:val="16"/>
              </w:rPr>
              <w:t>This program contributes to the outcome through the provision of advice on, access to, and payment of Parliamentary and post-Parliamentary, work expenses, allowances and entitlements and targeted programs.</w:t>
            </w:r>
          </w:p>
        </w:tc>
      </w:tr>
      <w:tr w:rsidR="00F0167C" w:rsidRPr="001B2F81" w14:paraId="2239E2F1" w14:textId="77777777" w:rsidTr="006620CF">
        <w:trPr>
          <w:trHeight w:val="312"/>
        </w:trPr>
        <w:tc>
          <w:tcPr>
            <w:tcW w:w="1411" w:type="dxa"/>
            <w:tcBorders>
              <w:top w:val="single" w:sz="4" w:space="0" w:color="auto"/>
              <w:bottom w:val="dotted" w:sz="4" w:space="0" w:color="auto"/>
              <w:right w:val="single" w:sz="4" w:space="0" w:color="auto"/>
            </w:tcBorders>
          </w:tcPr>
          <w:p w14:paraId="2239E2EE" w14:textId="77777777" w:rsidR="00F0167C" w:rsidRPr="00C91E97" w:rsidRDefault="00F0167C" w:rsidP="006620CF">
            <w:pPr>
              <w:tabs>
                <w:tab w:val="left" w:pos="709"/>
              </w:tabs>
              <w:spacing w:before="60" w:after="60"/>
              <w:rPr>
                <w:rFonts w:ascii="Arial" w:hAnsi="Arial" w:cs="Arial"/>
                <w:sz w:val="16"/>
                <w:szCs w:val="16"/>
              </w:rPr>
            </w:pPr>
            <w:r w:rsidRPr="00C91E97">
              <w:rPr>
                <w:rFonts w:ascii="Arial" w:hAnsi="Arial" w:cs="Arial"/>
                <w:b/>
                <w:sz w:val="16"/>
                <w:szCs w:val="16"/>
              </w:rPr>
              <w:t>Year</w:t>
            </w:r>
          </w:p>
        </w:tc>
        <w:tc>
          <w:tcPr>
            <w:tcW w:w="2013" w:type="dxa"/>
            <w:tcBorders>
              <w:top w:val="single" w:sz="4" w:space="0" w:color="auto"/>
              <w:left w:val="single" w:sz="4" w:space="0" w:color="auto"/>
              <w:bottom w:val="single" w:sz="4" w:space="0" w:color="auto"/>
              <w:right w:val="single" w:sz="4" w:space="0" w:color="auto"/>
            </w:tcBorders>
          </w:tcPr>
          <w:p w14:paraId="2239E2EF" w14:textId="77777777" w:rsidR="00F0167C" w:rsidRPr="00D63950" w:rsidRDefault="00F0167C" w:rsidP="006620CF">
            <w:pPr>
              <w:tabs>
                <w:tab w:val="left" w:pos="709"/>
              </w:tabs>
              <w:spacing w:before="60" w:after="60"/>
              <w:rPr>
                <w:rFonts w:ascii="Arial" w:hAnsi="Arial" w:cs="Arial"/>
                <w:sz w:val="16"/>
                <w:szCs w:val="16"/>
              </w:rPr>
            </w:pPr>
            <w:r w:rsidRPr="00D63950">
              <w:rPr>
                <w:rFonts w:ascii="Arial" w:hAnsi="Arial" w:cs="Arial"/>
                <w:b/>
                <w:sz w:val="16"/>
                <w:szCs w:val="16"/>
              </w:rPr>
              <w:t>Performance measures</w:t>
            </w:r>
          </w:p>
        </w:tc>
        <w:tc>
          <w:tcPr>
            <w:tcW w:w="4371" w:type="dxa"/>
            <w:tcBorders>
              <w:top w:val="single" w:sz="4" w:space="0" w:color="auto"/>
              <w:left w:val="single" w:sz="4" w:space="0" w:color="auto"/>
              <w:bottom w:val="single" w:sz="4" w:space="0" w:color="auto"/>
            </w:tcBorders>
          </w:tcPr>
          <w:p w14:paraId="2239E2F0" w14:textId="77777777" w:rsidR="00F0167C" w:rsidRPr="00D63950" w:rsidRDefault="00F0167C" w:rsidP="006620CF">
            <w:pPr>
              <w:tabs>
                <w:tab w:val="left" w:pos="709"/>
              </w:tabs>
              <w:spacing w:before="60" w:after="60"/>
              <w:rPr>
                <w:rFonts w:ascii="Arial" w:hAnsi="Arial" w:cs="Arial"/>
                <w:i/>
                <w:sz w:val="16"/>
                <w:szCs w:val="16"/>
              </w:rPr>
            </w:pPr>
            <w:r w:rsidRPr="00D63950">
              <w:rPr>
                <w:rFonts w:ascii="Arial" w:hAnsi="Arial" w:cs="Arial"/>
                <w:b/>
                <w:sz w:val="16"/>
                <w:szCs w:val="16"/>
              </w:rPr>
              <w:t>Planned Performance Results</w:t>
            </w:r>
          </w:p>
        </w:tc>
      </w:tr>
      <w:tr w:rsidR="00F0167C" w:rsidRPr="00325A62" w14:paraId="2239E2FA" w14:textId="77777777" w:rsidTr="006620CF">
        <w:trPr>
          <w:trHeight w:val="475"/>
        </w:trPr>
        <w:tc>
          <w:tcPr>
            <w:tcW w:w="1411" w:type="dxa"/>
            <w:vMerge w:val="restart"/>
            <w:tcBorders>
              <w:top w:val="single" w:sz="4" w:space="0" w:color="auto"/>
              <w:right w:val="single" w:sz="4" w:space="0" w:color="auto"/>
            </w:tcBorders>
          </w:tcPr>
          <w:p w14:paraId="4A77BD5A" w14:textId="77777777" w:rsidR="00487FD3" w:rsidRDefault="00F0167C" w:rsidP="00487FD3">
            <w:pPr>
              <w:tabs>
                <w:tab w:val="left" w:pos="709"/>
              </w:tabs>
              <w:spacing w:before="60" w:after="60" w:line="240" w:lineRule="auto"/>
              <w:rPr>
                <w:rFonts w:ascii="Arial" w:hAnsi="Arial" w:cs="Arial"/>
                <w:sz w:val="16"/>
                <w:szCs w:val="16"/>
              </w:rPr>
            </w:pPr>
            <w:r w:rsidRPr="00C91E97">
              <w:rPr>
                <w:rFonts w:ascii="Arial" w:hAnsi="Arial" w:cs="Arial"/>
                <w:sz w:val="16"/>
                <w:szCs w:val="16"/>
              </w:rPr>
              <w:t>Budget Year</w:t>
            </w:r>
          </w:p>
          <w:p w14:paraId="2239E2F2" w14:textId="3152A459" w:rsidR="00F0167C" w:rsidRPr="00C91E97" w:rsidRDefault="00F0167C" w:rsidP="00487FD3">
            <w:pPr>
              <w:tabs>
                <w:tab w:val="left" w:pos="709"/>
              </w:tabs>
              <w:spacing w:before="60" w:after="60" w:line="240" w:lineRule="auto"/>
              <w:rPr>
                <w:rFonts w:ascii="Arial" w:hAnsi="Arial" w:cs="Arial"/>
                <w:sz w:val="16"/>
                <w:szCs w:val="16"/>
              </w:rPr>
            </w:pPr>
            <w:r w:rsidRPr="00C91E97">
              <w:rPr>
                <w:rFonts w:ascii="Arial" w:hAnsi="Arial" w:cs="Arial"/>
                <w:sz w:val="16"/>
                <w:szCs w:val="16"/>
              </w:rPr>
              <w:t>2022-23</w:t>
            </w:r>
          </w:p>
        </w:tc>
        <w:tc>
          <w:tcPr>
            <w:tcW w:w="2013" w:type="dxa"/>
            <w:tcBorders>
              <w:top w:val="single" w:sz="4" w:space="0" w:color="auto"/>
              <w:left w:val="single" w:sz="4" w:space="0" w:color="auto"/>
              <w:bottom w:val="dotted" w:sz="4" w:space="0" w:color="auto"/>
              <w:right w:val="single" w:sz="4" w:space="0" w:color="auto"/>
            </w:tcBorders>
          </w:tcPr>
          <w:p w14:paraId="5CFF59C3" w14:textId="77777777" w:rsidR="00234D9C" w:rsidRPr="00234D9C" w:rsidRDefault="00234D9C" w:rsidP="006620CF">
            <w:pPr>
              <w:tabs>
                <w:tab w:val="left" w:pos="709"/>
              </w:tabs>
              <w:spacing w:before="60" w:after="60" w:line="240" w:lineRule="auto"/>
              <w:rPr>
                <w:rFonts w:ascii="Arial" w:hAnsi="Arial" w:cs="Arial"/>
                <w:b/>
                <w:bCs/>
                <w:sz w:val="16"/>
                <w:szCs w:val="16"/>
              </w:rPr>
            </w:pPr>
            <w:r w:rsidRPr="00234D9C">
              <w:rPr>
                <w:rFonts w:ascii="Arial" w:hAnsi="Arial" w:cs="Arial"/>
                <w:b/>
                <w:bCs/>
                <w:sz w:val="16"/>
                <w:szCs w:val="16"/>
              </w:rPr>
              <w:t>Services meet clients’ needs</w:t>
            </w:r>
          </w:p>
          <w:p w14:paraId="2239E2F4" w14:textId="4B238773" w:rsidR="00F0167C" w:rsidRPr="00234D9C" w:rsidRDefault="00234D9C" w:rsidP="006620CF">
            <w:pPr>
              <w:spacing w:before="60" w:after="60" w:line="240" w:lineRule="auto"/>
              <w:rPr>
                <w:rFonts w:ascii="Arial" w:eastAsia="Arial" w:hAnsi="Arial" w:cs="Arial"/>
                <w:sz w:val="16"/>
                <w:szCs w:val="16"/>
              </w:rPr>
            </w:pPr>
            <w:r w:rsidRPr="00234D9C">
              <w:rPr>
                <w:rFonts w:ascii="Arial" w:hAnsi="Arial" w:cs="Arial"/>
                <w:bCs/>
                <w:sz w:val="16"/>
                <w:szCs w:val="16"/>
              </w:rPr>
              <w:t>Services meet the needs of parliamentarians, their employees and others as required by the Australian Government.</w:t>
            </w:r>
          </w:p>
        </w:tc>
        <w:tc>
          <w:tcPr>
            <w:tcW w:w="4371" w:type="dxa"/>
            <w:tcBorders>
              <w:top w:val="single" w:sz="4" w:space="0" w:color="auto"/>
              <w:left w:val="single" w:sz="4" w:space="0" w:color="auto"/>
              <w:bottom w:val="dotted" w:sz="4" w:space="0" w:color="auto"/>
            </w:tcBorders>
          </w:tcPr>
          <w:p w14:paraId="2A24DE45" w14:textId="77777777" w:rsidR="00234D9C" w:rsidRPr="00234D9C" w:rsidRDefault="00234D9C" w:rsidP="00487FD3">
            <w:pPr>
              <w:spacing w:before="60" w:after="60" w:line="240" w:lineRule="auto"/>
              <w:rPr>
                <w:rFonts w:ascii="Arial" w:eastAsia="Arial" w:hAnsi="Arial" w:cs="Arial"/>
                <w:sz w:val="16"/>
                <w:szCs w:val="16"/>
              </w:rPr>
            </w:pPr>
            <w:r w:rsidRPr="00234D9C">
              <w:rPr>
                <w:rFonts w:ascii="Arial" w:eastAsia="Arial" w:hAnsi="Arial" w:cs="Arial"/>
                <w:sz w:val="16"/>
                <w:szCs w:val="16"/>
              </w:rPr>
              <w:t>The following service standards are met or exceeded:</w:t>
            </w:r>
          </w:p>
          <w:p w14:paraId="636FCC7D" w14:textId="7F3DDB96" w:rsidR="00234D9C" w:rsidRPr="006620CF" w:rsidRDefault="00234D9C" w:rsidP="00C8474A">
            <w:pPr>
              <w:pStyle w:val="ListParagraph"/>
              <w:numPr>
                <w:ilvl w:val="0"/>
                <w:numId w:val="59"/>
              </w:numPr>
              <w:autoSpaceDE w:val="0"/>
              <w:autoSpaceDN w:val="0"/>
              <w:adjustRightInd w:val="0"/>
              <w:spacing w:before="60" w:after="60" w:line="240" w:lineRule="auto"/>
              <w:ind w:left="527" w:hanging="357"/>
              <w:contextualSpacing w:val="0"/>
              <w:rPr>
                <w:rFonts w:ascii="Arial" w:hAnsi="Arial" w:cs="Arial"/>
                <w:sz w:val="16"/>
                <w:szCs w:val="16"/>
              </w:rPr>
            </w:pPr>
            <w:r w:rsidRPr="006620CF">
              <w:rPr>
                <w:rFonts w:ascii="Arial" w:hAnsi="Arial" w:cs="Arial"/>
                <w:sz w:val="16"/>
                <w:szCs w:val="16"/>
              </w:rPr>
              <w:t>Client contacts acknowledged within 24 hours and responded to within agreed timeframes (target: 95%)</w:t>
            </w:r>
            <w:r w:rsidR="00487FD3">
              <w:rPr>
                <w:rFonts w:ascii="Arial" w:hAnsi="Arial" w:cs="Arial"/>
                <w:sz w:val="16"/>
                <w:szCs w:val="16"/>
              </w:rPr>
              <w:t>.</w:t>
            </w:r>
          </w:p>
          <w:p w14:paraId="5304C5EE" w14:textId="637A9837" w:rsidR="00234D9C" w:rsidRPr="006620CF" w:rsidRDefault="00234D9C" w:rsidP="00C8474A">
            <w:pPr>
              <w:pStyle w:val="ListParagraph"/>
              <w:numPr>
                <w:ilvl w:val="0"/>
                <w:numId w:val="59"/>
              </w:numPr>
              <w:autoSpaceDE w:val="0"/>
              <w:autoSpaceDN w:val="0"/>
              <w:adjustRightInd w:val="0"/>
              <w:spacing w:before="60" w:after="60" w:line="240" w:lineRule="auto"/>
              <w:ind w:left="527" w:hanging="357"/>
              <w:contextualSpacing w:val="0"/>
              <w:rPr>
                <w:rFonts w:ascii="Arial" w:hAnsi="Arial" w:cs="Arial"/>
                <w:sz w:val="16"/>
                <w:szCs w:val="16"/>
              </w:rPr>
            </w:pPr>
            <w:r w:rsidRPr="006620CF">
              <w:rPr>
                <w:rFonts w:ascii="Arial" w:hAnsi="Arial" w:cs="Arial"/>
                <w:sz w:val="16"/>
                <w:szCs w:val="16"/>
              </w:rPr>
              <w:t>Payments (including payroll) will be made within agreed timeframes (target: 95%)</w:t>
            </w:r>
            <w:r w:rsidR="00487FD3">
              <w:rPr>
                <w:rFonts w:ascii="Arial" w:hAnsi="Arial" w:cs="Arial"/>
                <w:sz w:val="16"/>
                <w:szCs w:val="16"/>
              </w:rPr>
              <w:t>.</w:t>
            </w:r>
          </w:p>
          <w:p w14:paraId="792A123A" w14:textId="03346391" w:rsidR="00234D9C" w:rsidRPr="006620CF" w:rsidRDefault="00234D9C" w:rsidP="00C8474A">
            <w:pPr>
              <w:pStyle w:val="ListParagraph"/>
              <w:numPr>
                <w:ilvl w:val="0"/>
                <w:numId w:val="59"/>
              </w:numPr>
              <w:autoSpaceDE w:val="0"/>
              <w:autoSpaceDN w:val="0"/>
              <w:adjustRightInd w:val="0"/>
              <w:spacing w:before="60" w:after="60" w:line="240" w:lineRule="auto"/>
              <w:ind w:left="527" w:hanging="357"/>
              <w:contextualSpacing w:val="0"/>
              <w:rPr>
                <w:rFonts w:ascii="Arial" w:hAnsi="Arial" w:cs="Arial"/>
                <w:sz w:val="16"/>
                <w:szCs w:val="16"/>
              </w:rPr>
            </w:pPr>
            <w:r w:rsidRPr="006620CF">
              <w:rPr>
                <w:rFonts w:ascii="Arial" w:hAnsi="Arial" w:cs="Arial"/>
                <w:sz w:val="16"/>
                <w:szCs w:val="16"/>
              </w:rPr>
              <w:t>Office establishment and relocation projects delivered in accordance with the National Fit-out Standards (target: 100%)</w:t>
            </w:r>
            <w:r w:rsidR="00487FD3">
              <w:rPr>
                <w:rFonts w:ascii="Arial" w:hAnsi="Arial" w:cs="Arial"/>
                <w:sz w:val="16"/>
                <w:szCs w:val="16"/>
              </w:rPr>
              <w:t>.</w:t>
            </w:r>
          </w:p>
          <w:p w14:paraId="2239E2F9" w14:textId="0E268002" w:rsidR="00F0167C" w:rsidRPr="00632788" w:rsidRDefault="00234D9C" w:rsidP="00C8474A">
            <w:pPr>
              <w:pStyle w:val="ListParagraph"/>
              <w:numPr>
                <w:ilvl w:val="0"/>
                <w:numId w:val="59"/>
              </w:numPr>
              <w:autoSpaceDE w:val="0"/>
              <w:autoSpaceDN w:val="0"/>
              <w:adjustRightInd w:val="0"/>
              <w:spacing w:before="60" w:after="60" w:line="240" w:lineRule="auto"/>
              <w:ind w:left="527" w:hanging="357"/>
              <w:contextualSpacing w:val="0"/>
              <w:rPr>
                <w:rFonts w:ascii="Arial" w:eastAsia="Arial" w:hAnsi="Arial" w:cs="Arial"/>
                <w:sz w:val="16"/>
                <w:szCs w:val="16"/>
              </w:rPr>
            </w:pPr>
            <w:r w:rsidRPr="006620CF">
              <w:rPr>
                <w:rFonts w:ascii="Arial" w:hAnsi="Arial" w:cs="Arial"/>
                <w:sz w:val="16"/>
                <w:szCs w:val="16"/>
              </w:rPr>
              <w:t>COMCAR reservations will be completed without service failure (target: 99%).</w:t>
            </w:r>
          </w:p>
        </w:tc>
      </w:tr>
      <w:tr w:rsidR="00F0167C" w:rsidRPr="00692842" w14:paraId="2239E2FF" w14:textId="77777777" w:rsidTr="006620CF">
        <w:trPr>
          <w:trHeight w:val="475"/>
        </w:trPr>
        <w:tc>
          <w:tcPr>
            <w:tcW w:w="1411" w:type="dxa"/>
            <w:vMerge/>
            <w:tcBorders>
              <w:right w:val="single" w:sz="4" w:space="0" w:color="auto"/>
            </w:tcBorders>
          </w:tcPr>
          <w:p w14:paraId="2239E2FB" w14:textId="77777777" w:rsidR="00F0167C" w:rsidRPr="00C91E97" w:rsidRDefault="00F0167C" w:rsidP="006620CF">
            <w:pPr>
              <w:tabs>
                <w:tab w:val="left" w:pos="709"/>
              </w:tabs>
              <w:spacing w:before="60" w:after="60" w:line="240" w:lineRule="auto"/>
              <w:rPr>
                <w:rFonts w:ascii="Arial" w:hAnsi="Arial" w:cs="Arial"/>
                <w:sz w:val="16"/>
                <w:szCs w:val="16"/>
              </w:rPr>
            </w:pPr>
          </w:p>
        </w:tc>
        <w:tc>
          <w:tcPr>
            <w:tcW w:w="2013" w:type="dxa"/>
            <w:tcBorders>
              <w:top w:val="dotted" w:sz="4" w:space="0" w:color="auto"/>
              <w:left w:val="single" w:sz="4" w:space="0" w:color="auto"/>
              <w:right w:val="single" w:sz="4" w:space="0" w:color="auto"/>
            </w:tcBorders>
          </w:tcPr>
          <w:p w14:paraId="4F61B2F3" w14:textId="77777777" w:rsidR="00234D9C" w:rsidRPr="00234D9C" w:rsidRDefault="00234D9C" w:rsidP="006620CF">
            <w:pPr>
              <w:tabs>
                <w:tab w:val="left" w:pos="709"/>
              </w:tabs>
              <w:suppressAutoHyphens/>
              <w:spacing w:before="60" w:after="60" w:line="240" w:lineRule="auto"/>
              <w:rPr>
                <w:rFonts w:ascii="Arial" w:eastAsia="Arial" w:hAnsi="Arial" w:cs="Arial"/>
                <w:b/>
                <w:bCs/>
                <w:sz w:val="16"/>
                <w:szCs w:val="16"/>
              </w:rPr>
            </w:pPr>
            <w:r w:rsidRPr="00234D9C">
              <w:rPr>
                <w:rFonts w:ascii="Arial" w:eastAsia="Arial" w:hAnsi="Arial" w:cs="Arial"/>
                <w:b/>
                <w:bCs/>
                <w:sz w:val="16"/>
                <w:szCs w:val="16"/>
              </w:rPr>
              <w:t>Improve administration of parliamentary work expenses</w:t>
            </w:r>
          </w:p>
          <w:p w14:paraId="2239E2FD" w14:textId="721AF169" w:rsidR="00F0167C" w:rsidRPr="00234D9C" w:rsidRDefault="00234D9C" w:rsidP="006620CF">
            <w:pPr>
              <w:spacing w:before="60" w:after="60" w:line="240" w:lineRule="auto"/>
              <w:rPr>
                <w:rFonts w:ascii="Arial" w:eastAsia="Arial" w:hAnsi="Arial" w:cs="Arial"/>
                <w:sz w:val="16"/>
                <w:szCs w:val="16"/>
              </w:rPr>
            </w:pPr>
            <w:r w:rsidRPr="00234D9C">
              <w:rPr>
                <w:rFonts w:ascii="Arial" w:eastAsia="Arial" w:hAnsi="Arial" w:cs="Arial"/>
                <w:bCs/>
                <w:sz w:val="16"/>
                <w:szCs w:val="16"/>
              </w:rPr>
              <w:t>The timeliness, efficiency, clarity and transparency of the administration of parliamentary work expenses is improved.</w:t>
            </w:r>
          </w:p>
        </w:tc>
        <w:tc>
          <w:tcPr>
            <w:tcW w:w="4371" w:type="dxa"/>
            <w:tcBorders>
              <w:top w:val="dotted" w:sz="4" w:space="0" w:color="auto"/>
              <w:left w:val="single" w:sz="4" w:space="0" w:color="auto"/>
            </w:tcBorders>
          </w:tcPr>
          <w:p w14:paraId="2239E2FE" w14:textId="56082A18" w:rsidR="00F0167C" w:rsidRPr="00C91E97" w:rsidRDefault="00234D9C" w:rsidP="006620CF">
            <w:pPr>
              <w:tabs>
                <w:tab w:val="left" w:pos="709"/>
              </w:tabs>
              <w:suppressAutoHyphens/>
              <w:spacing w:before="60" w:after="60" w:line="240" w:lineRule="auto"/>
              <w:rPr>
                <w:rFonts w:ascii="Arial" w:eastAsia="Arial" w:hAnsi="Arial" w:cs="Arial"/>
                <w:sz w:val="16"/>
                <w:szCs w:val="16"/>
              </w:rPr>
            </w:pPr>
            <w:r w:rsidRPr="00234D9C">
              <w:rPr>
                <w:rFonts w:ascii="Arial" w:eastAsia="Arial" w:hAnsi="Arial" w:cs="Arial"/>
                <w:sz w:val="16"/>
                <w:szCs w:val="16"/>
              </w:rPr>
              <w:t>Increased usage of PEMS by parliamentarians and their staff.</w:t>
            </w:r>
          </w:p>
        </w:tc>
      </w:tr>
      <w:tr w:rsidR="00F0167C" w:rsidRPr="00361E69" w14:paraId="2239E303" w14:textId="77777777" w:rsidTr="006620CF">
        <w:trPr>
          <w:trHeight w:val="491"/>
        </w:trPr>
        <w:tc>
          <w:tcPr>
            <w:tcW w:w="1411" w:type="dxa"/>
            <w:tcBorders>
              <w:top w:val="dotted" w:sz="4" w:space="0" w:color="auto"/>
              <w:bottom w:val="dotted" w:sz="4" w:space="0" w:color="auto"/>
              <w:right w:val="single" w:sz="4" w:space="0" w:color="auto"/>
            </w:tcBorders>
          </w:tcPr>
          <w:p w14:paraId="411B0731" w14:textId="77777777" w:rsidR="00487FD3" w:rsidRDefault="00F0167C" w:rsidP="00487FD3">
            <w:pPr>
              <w:tabs>
                <w:tab w:val="left" w:pos="709"/>
              </w:tabs>
              <w:spacing w:before="60" w:after="60" w:line="240" w:lineRule="auto"/>
              <w:rPr>
                <w:rFonts w:ascii="Arial" w:hAnsi="Arial" w:cs="Arial"/>
                <w:sz w:val="16"/>
                <w:szCs w:val="16"/>
              </w:rPr>
            </w:pPr>
            <w:r w:rsidRPr="00C91E97">
              <w:rPr>
                <w:rFonts w:ascii="Arial" w:hAnsi="Arial" w:cs="Arial"/>
                <w:sz w:val="16"/>
                <w:szCs w:val="16"/>
              </w:rPr>
              <w:t xml:space="preserve">Forward Estimates </w:t>
            </w:r>
          </w:p>
          <w:p w14:paraId="2239E300" w14:textId="6148CE31" w:rsidR="00F0167C" w:rsidRPr="00C91E97" w:rsidRDefault="00F0167C" w:rsidP="00487FD3">
            <w:pPr>
              <w:tabs>
                <w:tab w:val="left" w:pos="709"/>
              </w:tabs>
              <w:spacing w:before="60" w:after="60" w:line="240" w:lineRule="auto"/>
              <w:rPr>
                <w:rFonts w:ascii="Arial" w:hAnsi="Arial" w:cs="Arial"/>
                <w:b/>
                <w:color w:val="0070C0"/>
                <w:sz w:val="16"/>
                <w:szCs w:val="16"/>
              </w:rPr>
            </w:pPr>
            <w:r w:rsidRPr="00C91E97">
              <w:rPr>
                <w:rFonts w:ascii="Arial" w:hAnsi="Arial" w:cs="Arial"/>
                <w:sz w:val="16"/>
                <w:szCs w:val="16"/>
              </w:rPr>
              <w:t>2023-26</w:t>
            </w:r>
          </w:p>
        </w:tc>
        <w:tc>
          <w:tcPr>
            <w:tcW w:w="2013" w:type="dxa"/>
            <w:tcBorders>
              <w:top w:val="dotted" w:sz="4" w:space="0" w:color="auto"/>
              <w:left w:val="single" w:sz="4" w:space="0" w:color="auto"/>
              <w:bottom w:val="dotted" w:sz="4" w:space="0" w:color="auto"/>
              <w:right w:val="single" w:sz="4" w:space="0" w:color="auto"/>
            </w:tcBorders>
          </w:tcPr>
          <w:p w14:paraId="2239E301" w14:textId="77777777" w:rsidR="00F0167C" w:rsidRPr="00C91E97" w:rsidRDefault="00D63950" w:rsidP="006620CF">
            <w:pPr>
              <w:tabs>
                <w:tab w:val="left" w:pos="709"/>
              </w:tabs>
              <w:spacing w:before="60" w:after="60" w:line="240" w:lineRule="auto"/>
              <w:rPr>
                <w:rFonts w:ascii="Arial" w:hAnsi="Arial" w:cs="Arial"/>
                <w:b/>
                <w:sz w:val="16"/>
                <w:szCs w:val="16"/>
              </w:rPr>
            </w:pPr>
            <w:r>
              <w:rPr>
                <w:rFonts w:ascii="Arial" w:eastAsia="Arial" w:hAnsi="Arial" w:cs="Arial"/>
                <w:sz w:val="16"/>
                <w:szCs w:val="16"/>
              </w:rPr>
              <w:t>As per 2022-23</w:t>
            </w:r>
          </w:p>
        </w:tc>
        <w:tc>
          <w:tcPr>
            <w:tcW w:w="4371" w:type="dxa"/>
            <w:tcBorders>
              <w:top w:val="dotted" w:sz="4" w:space="0" w:color="auto"/>
              <w:left w:val="single" w:sz="4" w:space="0" w:color="auto"/>
              <w:bottom w:val="dotted" w:sz="4" w:space="0" w:color="auto"/>
            </w:tcBorders>
          </w:tcPr>
          <w:p w14:paraId="2239E302" w14:textId="77777777" w:rsidR="00F0167C" w:rsidRPr="00C91E97" w:rsidRDefault="00D63950" w:rsidP="006620CF">
            <w:pPr>
              <w:tabs>
                <w:tab w:val="left" w:pos="709"/>
              </w:tabs>
              <w:spacing w:before="60" w:after="60" w:line="240" w:lineRule="auto"/>
              <w:rPr>
                <w:rFonts w:ascii="Arial" w:hAnsi="Arial" w:cs="Arial"/>
                <w:b/>
                <w:sz w:val="16"/>
                <w:szCs w:val="16"/>
              </w:rPr>
            </w:pPr>
            <w:r>
              <w:rPr>
                <w:rFonts w:ascii="Arial" w:eastAsia="Arial" w:hAnsi="Arial" w:cs="Arial"/>
                <w:sz w:val="16"/>
                <w:szCs w:val="16"/>
              </w:rPr>
              <w:t>As per 2022-23</w:t>
            </w:r>
          </w:p>
        </w:tc>
      </w:tr>
      <w:tr w:rsidR="00F0167C" w:rsidRPr="006A4649" w14:paraId="2239E305" w14:textId="77777777" w:rsidTr="006620CF">
        <w:trPr>
          <w:trHeight w:val="291"/>
        </w:trPr>
        <w:tc>
          <w:tcPr>
            <w:tcW w:w="7795" w:type="dxa"/>
            <w:gridSpan w:val="3"/>
          </w:tcPr>
          <w:p w14:paraId="2239E304" w14:textId="275F27ED" w:rsidR="00F0167C" w:rsidRPr="006A4649" w:rsidRDefault="00234D9C" w:rsidP="006620CF">
            <w:pPr>
              <w:tabs>
                <w:tab w:val="left" w:pos="709"/>
              </w:tabs>
              <w:spacing w:before="60" w:after="60" w:line="240" w:lineRule="auto"/>
              <w:rPr>
                <w:rFonts w:ascii="Arial" w:eastAsia="Cambria" w:hAnsi="Arial" w:cs="Arial"/>
                <w:bCs/>
                <w:iCs/>
                <w:spacing w:val="-6"/>
                <w:sz w:val="16"/>
                <w:szCs w:val="16"/>
              </w:rPr>
            </w:pPr>
            <w:r w:rsidRPr="00234D9C">
              <w:rPr>
                <w:rFonts w:ascii="Arial" w:hAnsi="Arial" w:cs="Arial"/>
                <w:sz w:val="16"/>
                <w:szCs w:val="16"/>
              </w:rPr>
              <w:t>Material changes to Program 3.1 resulting from October 2022-23 Budget Measures: Nil</w:t>
            </w:r>
          </w:p>
        </w:tc>
      </w:tr>
    </w:tbl>
    <w:p w14:paraId="2239E306" w14:textId="77777777" w:rsidR="00F0167C" w:rsidRDefault="00F0167C" w:rsidP="00F0167C">
      <w:pPr>
        <w:spacing w:line="240" w:lineRule="auto"/>
        <w:rPr>
          <w:lang w:val="x-none" w:eastAsia="x-none"/>
        </w:rPr>
      </w:pPr>
    </w:p>
    <w:p w14:paraId="2239E307" w14:textId="77777777" w:rsidR="00F0167C" w:rsidRDefault="00F0167C" w:rsidP="00F0167C">
      <w:pPr>
        <w:spacing w:line="240" w:lineRule="auto"/>
        <w:rPr>
          <w:lang w:val="x-none" w:eastAsia="x-none"/>
        </w:rPr>
      </w:pPr>
    </w:p>
    <w:p w14:paraId="2239E308" w14:textId="77777777" w:rsidR="00F0167C" w:rsidRDefault="00F0167C" w:rsidP="00F0167C">
      <w:pPr>
        <w:spacing w:line="240" w:lineRule="auto"/>
        <w:rPr>
          <w:lang w:val="x-none" w:eastAsia="x-none"/>
        </w:rPr>
      </w:pPr>
    </w:p>
    <w:p w14:paraId="2239E309" w14:textId="77777777" w:rsidR="00F0167C" w:rsidRDefault="00F0167C" w:rsidP="00F0167C">
      <w:pPr>
        <w:spacing w:line="240" w:lineRule="auto"/>
        <w:rPr>
          <w:lang w:val="x-none" w:eastAsia="x-none"/>
        </w:rPr>
      </w:pPr>
    </w:p>
    <w:p w14:paraId="2239E30A" w14:textId="77777777" w:rsidR="00F0167C" w:rsidRDefault="00F0167C" w:rsidP="00F0167C">
      <w:pPr>
        <w:spacing w:line="240" w:lineRule="auto"/>
        <w:rPr>
          <w:lang w:val="x-none" w:eastAsia="x-none"/>
        </w:rPr>
      </w:pPr>
    </w:p>
    <w:p w14:paraId="2239E30B" w14:textId="77777777" w:rsidR="00F0167C" w:rsidRDefault="00F0167C" w:rsidP="00F0167C">
      <w:pPr>
        <w:spacing w:line="240" w:lineRule="auto"/>
        <w:rPr>
          <w:lang w:val="x-none" w:eastAsia="x-none"/>
        </w:rPr>
      </w:pPr>
    </w:p>
    <w:p w14:paraId="2239E30C" w14:textId="77777777" w:rsidR="00F0167C" w:rsidRDefault="00F0167C" w:rsidP="00F0167C">
      <w:pPr>
        <w:spacing w:line="240" w:lineRule="auto"/>
        <w:rPr>
          <w:lang w:val="x-none" w:eastAsia="x-none"/>
        </w:rPr>
      </w:pPr>
    </w:p>
    <w:p w14:paraId="2239E30D" w14:textId="77777777" w:rsidR="00F0167C" w:rsidRDefault="00F0167C" w:rsidP="00F0167C">
      <w:pPr>
        <w:spacing w:line="240" w:lineRule="auto"/>
        <w:rPr>
          <w:lang w:val="x-none" w:eastAsia="x-none"/>
        </w:rPr>
      </w:pPr>
    </w:p>
    <w:p w14:paraId="2239E30E" w14:textId="77777777" w:rsidR="00F0167C" w:rsidRPr="002A0954" w:rsidRDefault="00F0167C" w:rsidP="00F0167C">
      <w:pPr>
        <w:spacing w:line="240" w:lineRule="auto"/>
        <w:rPr>
          <w:lang w:val="x-none" w:eastAsia="x-none"/>
        </w:rPr>
      </w:pPr>
    </w:p>
    <w:p w14:paraId="2239E30F" w14:textId="77777777" w:rsidR="002F530C" w:rsidRPr="006913EB" w:rsidRDefault="002F530C" w:rsidP="00E36F77">
      <w:pPr>
        <w:pStyle w:val="Heading2"/>
      </w:pPr>
      <w:r w:rsidRPr="006913EB">
        <w:br w:type="page"/>
      </w:r>
      <w:bookmarkStart w:id="70" w:name="_Toc444523516"/>
      <w:bookmarkStart w:id="71" w:name="_Toc116742498"/>
      <w:bookmarkStart w:id="72" w:name="_Toc117027162"/>
      <w:bookmarkStart w:id="73" w:name="_Toc117070788"/>
      <w:bookmarkStart w:id="74" w:name="_Toc117071042"/>
      <w:bookmarkStart w:id="75" w:name="_Toc117078076"/>
      <w:r w:rsidRPr="006913EB">
        <w:lastRenderedPageBreak/>
        <w:t>Section 3: Budgeted financial statements</w:t>
      </w:r>
      <w:bookmarkEnd w:id="70"/>
      <w:bookmarkEnd w:id="71"/>
      <w:bookmarkEnd w:id="72"/>
      <w:bookmarkEnd w:id="73"/>
      <w:bookmarkEnd w:id="74"/>
      <w:bookmarkEnd w:id="75"/>
    </w:p>
    <w:p w14:paraId="2239E310" w14:textId="77777777" w:rsidR="00A6388E" w:rsidRDefault="00CF5085" w:rsidP="0089422E">
      <w:r>
        <w:t>Section 3</w:t>
      </w:r>
      <w:r w:rsidR="0027614D">
        <w:t xml:space="preserve"> presents budgeted financial statements which provide a comprehensive snapshot of</w:t>
      </w:r>
      <w:r w:rsidR="001B03CC">
        <w:t xml:space="preserve"> entity </w:t>
      </w:r>
      <w:r w:rsidR="0027614D">
        <w:t xml:space="preserve">finances for the </w:t>
      </w:r>
      <w:r w:rsidR="002E59C4">
        <w:t>2022</w:t>
      </w:r>
      <w:r w:rsidR="002A1CC2">
        <w:t>-</w:t>
      </w:r>
      <w:r w:rsidR="002E59C4">
        <w:t>23</w:t>
      </w:r>
      <w:r w:rsidR="002E59C4">
        <w:rPr>
          <w:color w:val="00B050"/>
        </w:rPr>
        <w:t xml:space="preserve"> </w:t>
      </w:r>
      <w:r w:rsidR="0027614D">
        <w:t>budget year</w:t>
      </w:r>
      <w:r w:rsidR="007118AC">
        <w:t>, including the impact of budget measures and resourcing on financial statements</w:t>
      </w:r>
      <w:r w:rsidR="00B04964">
        <w:t>.</w:t>
      </w:r>
    </w:p>
    <w:p w14:paraId="2239E311" w14:textId="77777777" w:rsidR="00E4582E" w:rsidRPr="005328A9" w:rsidRDefault="007118AC" w:rsidP="005328A9">
      <w:pPr>
        <w:pStyle w:val="Heading3"/>
      </w:pPr>
      <w:bookmarkStart w:id="76" w:name="_Toc190682317"/>
      <w:bookmarkStart w:id="77" w:name="_Toc444523517"/>
      <w:bookmarkStart w:id="78" w:name="_Toc116742499"/>
      <w:bookmarkStart w:id="79" w:name="_Toc117027163"/>
      <w:bookmarkStart w:id="80" w:name="_Toc117070789"/>
      <w:bookmarkStart w:id="81" w:name="_Toc117071043"/>
      <w:bookmarkStart w:id="82" w:name="_Toc117078077"/>
      <w:r w:rsidRPr="005328A9">
        <w:t>3.1</w:t>
      </w:r>
      <w:r w:rsidR="00E4582E" w:rsidRPr="005328A9">
        <w:tab/>
        <w:t>Budgeted financial statements</w:t>
      </w:r>
      <w:bookmarkEnd w:id="76"/>
      <w:bookmarkEnd w:id="77"/>
      <w:bookmarkEnd w:id="78"/>
      <w:bookmarkEnd w:id="79"/>
      <w:bookmarkEnd w:id="80"/>
      <w:bookmarkEnd w:id="81"/>
      <w:bookmarkEnd w:id="82"/>
    </w:p>
    <w:p w14:paraId="2239E312" w14:textId="77777777" w:rsidR="00E4582E" w:rsidRDefault="00A23BC2" w:rsidP="00E4582E">
      <w:pPr>
        <w:pStyle w:val="Heading4"/>
      </w:pPr>
      <w:r>
        <w:t>3.</w:t>
      </w:r>
      <w:r w:rsidR="007118AC">
        <w:t>1</w:t>
      </w:r>
      <w:r>
        <w:t>.1</w:t>
      </w:r>
      <w:r w:rsidR="005F29CD">
        <w:tab/>
      </w:r>
      <w:r w:rsidR="00E4582E">
        <w:t xml:space="preserve">Differences </w:t>
      </w:r>
      <w:r w:rsidR="007118AC">
        <w:t>between</w:t>
      </w:r>
      <w:r w:rsidR="00E4582E">
        <w:t xml:space="preserve"> </w:t>
      </w:r>
      <w:r w:rsidR="000216BF">
        <w:t>entity resourcing and financial statements</w:t>
      </w:r>
    </w:p>
    <w:p w14:paraId="2239E313" w14:textId="77777777" w:rsidR="00E4582E" w:rsidRPr="0089422E" w:rsidRDefault="00FB0A4B" w:rsidP="0089422E">
      <w:pPr>
        <w:pStyle w:val="ExampleText0"/>
        <w:rPr>
          <w:i w:val="0"/>
          <w:color w:val="auto"/>
        </w:rPr>
      </w:pPr>
      <w:r w:rsidRPr="00EC4613">
        <w:rPr>
          <w:i w:val="0"/>
          <w:color w:val="auto"/>
        </w:rPr>
        <w:t xml:space="preserve">No material differences exist between entity resourcing and the financial statements. </w:t>
      </w:r>
    </w:p>
    <w:p w14:paraId="2239E314" w14:textId="77777777" w:rsidR="00E4582E" w:rsidRDefault="00A23BC2" w:rsidP="00E4582E">
      <w:pPr>
        <w:pStyle w:val="Heading4"/>
      </w:pPr>
      <w:r>
        <w:t>3.</w:t>
      </w:r>
      <w:r w:rsidR="007118AC">
        <w:t>1</w:t>
      </w:r>
      <w:r>
        <w:t>.2</w:t>
      </w:r>
      <w:r w:rsidR="005F29CD">
        <w:tab/>
      </w:r>
      <w:r w:rsidR="003B7C64">
        <w:t xml:space="preserve">Explanatory notes and analysis </w:t>
      </w:r>
      <w:r w:rsidR="00E4582E">
        <w:t xml:space="preserve">of </w:t>
      </w:r>
      <w:r w:rsidR="000216BF">
        <w:t>budgeted financial statements</w:t>
      </w:r>
    </w:p>
    <w:p w14:paraId="040FD4C4" w14:textId="77777777" w:rsidR="00895789" w:rsidRPr="006D1D63" w:rsidRDefault="00895789" w:rsidP="00895789">
      <w:pPr>
        <w:rPr>
          <w:b/>
        </w:rPr>
      </w:pPr>
      <w:r w:rsidRPr="006D1D63">
        <w:rPr>
          <w:b/>
        </w:rPr>
        <w:t xml:space="preserve">Comprehensive income statement – Departmental </w:t>
      </w:r>
    </w:p>
    <w:p w14:paraId="6E62254A" w14:textId="77777777" w:rsidR="00895789" w:rsidRPr="006D1D63" w:rsidRDefault="00895789" w:rsidP="00895789">
      <w:pPr>
        <w:rPr>
          <w:b/>
        </w:rPr>
      </w:pPr>
      <w:r w:rsidRPr="006D1D63">
        <w:rPr>
          <w:b/>
        </w:rPr>
        <w:t>2022-23</w:t>
      </w:r>
    </w:p>
    <w:p w14:paraId="61423F73" w14:textId="77C08BC9" w:rsidR="00895789" w:rsidRDefault="00895789" w:rsidP="00895789">
      <w:r>
        <w:t>Finance is budgeting for a deficit of $77.1 million</w:t>
      </w:r>
      <w:r w:rsidR="00BF4A6A">
        <w:t xml:space="preserve"> due to depreciation expenses on the government’s non-Defence property portfolio. The deficit is </w:t>
      </w:r>
      <w:r>
        <w:t>a</w:t>
      </w:r>
      <w:r w:rsidR="000428E9">
        <w:t xml:space="preserve">n increase </w:t>
      </w:r>
      <w:r>
        <w:t xml:space="preserve">from the forecast deficit of $51.2 million in the 2022-23 </w:t>
      </w:r>
      <w:r w:rsidR="00D92D7E">
        <w:t xml:space="preserve">March </w:t>
      </w:r>
      <w:r>
        <w:t>Budget</w:t>
      </w:r>
      <w:r w:rsidR="00BF4A6A">
        <w:t xml:space="preserve"> due to delayed activities funded from prior appropriations to be undertaken in 2022-23</w:t>
      </w:r>
      <w:r>
        <w:t xml:space="preserve">. </w:t>
      </w:r>
    </w:p>
    <w:p w14:paraId="463D69AA" w14:textId="0DE8DAA7" w:rsidR="00895789" w:rsidRDefault="00BF4A6A" w:rsidP="00895789">
      <w:r>
        <w:t xml:space="preserve">Total </w:t>
      </w:r>
      <w:r w:rsidR="00895789">
        <w:t xml:space="preserve">expenses </w:t>
      </w:r>
      <w:r>
        <w:t xml:space="preserve">are forecast to be </w:t>
      </w:r>
      <w:r w:rsidR="00895789">
        <w:t>$742.0 million in 2022-23, an increase from the</w:t>
      </w:r>
      <w:r w:rsidR="00487FD3">
        <w:t xml:space="preserve"> </w:t>
      </w:r>
      <w:r w:rsidR="00895789">
        <w:t>$660.1</w:t>
      </w:r>
      <w:r w:rsidR="00487FD3">
        <w:t> </w:t>
      </w:r>
      <w:r w:rsidR="00895789">
        <w:t xml:space="preserve">million in the 2022-23 </w:t>
      </w:r>
      <w:r w:rsidR="00D92D7E">
        <w:t xml:space="preserve">March </w:t>
      </w:r>
      <w:r w:rsidR="00895789">
        <w:t xml:space="preserve">Budget. This is primarily due to </w:t>
      </w:r>
      <w:r>
        <w:t>functions transferred from the Department of the Pri</w:t>
      </w:r>
      <w:r w:rsidR="006D1D63">
        <w:t>me Minister and Cabinet in the Machinery of G</w:t>
      </w:r>
      <w:r>
        <w:t>overnment changes</w:t>
      </w:r>
      <w:r w:rsidR="006D1D63">
        <w:t xml:space="preserve"> effective from 1 July 2022.</w:t>
      </w:r>
    </w:p>
    <w:p w14:paraId="3D0B7A3F" w14:textId="03EECFA7" w:rsidR="00895789" w:rsidRDefault="006D1D63" w:rsidP="00895789">
      <w:r>
        <w:t>T</w:t>
      </w:r>
      <w:r w:rsidR="00895789">
        <w:t xml:space="preserve">otal own source income </w:t>
      </w:r>
      <w:r>
        <w:t>is forecast to be $328.8</w:t>
      </w:r>
      <w:r w:rsidR="00895789">
        <w:t xml:space="preserve"> million</w:t>
      </w:r>
      <w:r>
        <w:t xml:space="preserve"> in 2022-23, a decrease from the $337.8</w:t>
      </w:r>
      <w:r w:rsidR="00895789">
        <w:t xml:space="preserve"> million forecast in the 2022-23 </w:t>
      </w:r>
      <w:r w:rsidR="00D92D7E">
        <w:t xml:space="preserve">March </w:t>
      </w:r>
      <w:r w:rsidR="00895789">
        <w:t xml:space="preserve">Budget. This is mainly due to </w:t>
      </w:r>
      <w:r>
        <w:t>decreases</w:t>
      </w:r>
      <w:r w:rsidR="00895789">
        <w:t xml:space="preserve"> in insurance premiums and cont</w:t>
      </w:r>
      <w:r w:rsidR="005D034A">
        <w:t>r</w:t>
      </w:r>
      <w:r w:rsidR="00895789">
        <w:t>acts with customers.</w:t>
      </w:r>
    </w:p>
    <w:p w14:paraId="2D134B99" w14:textId="77777777" w:rsidR="00895789" w:rsidRPr="006D1D63" w:rsidRDefault="00895789" w:rsidP="00895789">
      <w:pPr>
        <w:rPr>
          <w:b/>
        </w:rPr>
      </w:pPr>
      <w:r w:rsidRPr="006D1D63">
        <w:rPr>
          <w:b/>
        </w:rPr>
        <w:t xml:space="preserve">Balance sheet – Departmental </w:t>
      </w:r>
    </w:p>
    <w:p w14:paraId="58480320" w14:textId="6AF11A31" w:rsidR="00895789" w:rsidRDefault="00895789" w:rsidP="00895789">
      <w:r>
        <w:t>The budgeted net asset position at 30 June 2</w:t>
      </w:r>
      <w:r w:rsidR="007C2613">
        <w:t>023 of $3,374.2 million is</w:t>
      </w:r>
      <w:r>
        <w:t xml:space="preserve"> a decrease from the $3,382.2 million forecast in the 2022-23 </w:t>
      </w:r>
      <w:r w:rsidR="00D92D7E">
        <w:t xml:space="preserve">March </w:t>
      </w:r>
      <w:r>
        <w:t>Budget. This is primarily due to revised estimates for non-financial asset balances and outstanding insurance claims.</w:t>
      </w:r>
    </w:p>
    <w:p w14:paraId="5DACB498" w14:textId="77777777" w:rsidR="00895789" w:rsidRPr="006D1D63" w:rsidRDefault="00895789" w:rsidP="00895789">
      <w:pPr>
        <w:rPr>
          <w:b/>
        </w:rPr>
      </w:pPr>
      <w:r w:rsidRPr="006D1D63">
        <w:rPr>
          <w:b/>
        </w:rPr>
        <w:t>Schedule of budgeted income and expenses – Administered</w:t>
      </w:r>
    </w:p>
    <w:p w14:paraId="4599207B" w14:textId="77777777" w:rsidR="00895789" w:rsidRPr="007C2613" w:rsidRDefault="00895789" w:rsidP="00895789">
      <w:pPr>
        <w:rPr>
          <w:b/>
        </w:rPr>
      </w:pPr>
      <w:r w:rsidRPr="007C2613">
        <w:rPr>
          <w:b/>
        </w:rPr>
        <w:t>2022-23</w:t>
      </w:r>
    </w:p>
    <w:p w14:paraId="1E7FF2CA" w14:textId="6DDD5E69" w:rsidR="00895789" w:rsidRDefault="00895789" w:rsidP="00895789">
      <w:r>
        <w:t xml:space="preserve">Total Administered income is $2,911.1 million in 2022-23, an increase from $2,453.8 million reported in the 2022-23 </w:t>
      </w:r>
      <w:r w:rsidR="00D92D7E">
        <w:t xml:space="preserve">March </w:t>
      </w:r>
      <w:r>
        <w:t>Budget. This is primarily due to revised estimates for interest, dividends and gain on sale of investment</w:t>
      </w:r>
      <w:r w:rsidR="003C2536">
        <w:t>s</w:t>
      </w:r>
      <w:r>
        <w:t xml:space="preserve"> for the A</w:t>
      </w:r>
      <w:r w:rsidR="009C12EC">
        <w:t>ustralian Government Investment</w:t>
      </w:r>
      <w:r>
        <w:t xml:space="preserve"> Funds</w:t>
      </w:r>
      <w:r w:rsidR="007C2613">
        <w:t>.</w:t>
      </w:r>
    </w:p>
    <w:p w14:paraId="2D91FCA3" w14:textId="59A9A046" w:rsidR="00895789" w:rsidRDefault="00895789" w:rsidP="00895789">
      <w:r>
        <w:lastRenderedPageBreak/>
        <w:t>Finance is budgeting for Administered expenses of $12,802.0 million, an increase from the $11,66</w:t>
      </w:r>
      <w:r w:rsidR="002F64B8">
        <w:t xml:space="preserve">6.8 million budgeted for in the </w:t>
      </w:r>
      <w:r>
        <w:t xml:space="preserve">2022-23 </w:t>
      </w:r>
      <w:r w:rsidR="00D92D7E">
        <w:t xml:space="preserve">March </w:t>
      </w:r>
      <w:r>
        <w:t xml:space="preserve">Budget. This is primarily due to revisions in estimates for superannuation and distributions from </w:t>
      </w:r>
      <w:r w:rsidR="007C2613">
        <w:t xml:space="preserve">the Australian Government </w:t>
      </w:r>
      <w:r>
        <w:t>Investment Funds.</w:t>
      </w:r>
    </w:p>
    <w:p w14:paraId="5495B71B" w14:textId="77777777" w:rsidR="00895789" w:rsidRPr="007C2613" w:rsidRDefault="00895789" w:rsidP="00895789">
      <w:pPr>
        <w:rPr>
          <w:b/>
        </w:rPr>
      </w:pPr>
      <w:r w:rsidRPr="007C2613">
        <w:rPr>
          <w:b/>
        </w:rPr>
        <w:t>Schedule of budgeted assets and liabilities – Administered</w:t>
      </w:r>
    </w:p>
    <w:p w14:paraId="0E9E6200" w14:textId="5429FA21" w:rsidR="00895789" w:rsidRDefault="00895789" w:rsidP="00895789">
      <w:r>
        <w:t>Administered assets are budgeted to total $51,897.2 million by 30 June 2023, an increase from the $51,845.5</w:t>
      </w:r>
      <w:r w:rsidR="007C2613">
        <w:t xml:space="preserve"> </w:t>
      </w:r>
      <w:r>
        <w:t xml:space="preserve">million estimated in the 2022-23 </w:t>
      </w:r>
      <w:r w:rsidR="00D92D7E">
        <w:t xml:space="preserve">March </w:t>
      </w:r>
      <w:r>
        <w:t xml:space="preserve">Budget. This is primarily due to </w:t>
      </w:r>
      <w:r w:rsidR="00680752">
        <w:t xml:space="preserve">higher </w:t>
      </w:r>
      <w:r>
        <w:t>investments for the Australian Government Investment Funds.</w:t>
      </w:r>
    </w:p>
    <w:p w14:paraId="39B42EEC" w14:textId="47E764FE" w:rsidR="00895789" w:rsidRPr="00022A1A" w:rsidRDefault="00895789" w:rsidP="00895789">
      <w:r>
        <w:t xml:space="preserve">Administered liabilities are estimated to total $154,572.6 million by 30 June 2023, an increase from the $149,123.6 million estimated in the 2022-23 </w:t>
      </w:r>
      <w:r w:rsidR="00D92D7E">
        <w:t xml:space="preserve">March </w:t>
      </w:r>
      <w:r>
        <w:t xml:space="preserve">Budget. This is mainly due to </w:t>
      </w:r>
      <w:r w:rsidR="00680752">
        <w:t xml:space="preserve">higher </w:t>
      </w:r>
      <w:r>
        <w:t>superannuation liabilities.</w:t>
      </w:r>
    </w:p>
    <w:p w14:paraId="2239E317" w14:textId="7715D194" w:rsidR="00E4582E" w:rsidRPr="00E36F77" w:rsidRDefault="000A6897" w:rsidP="009D7FAB">
      <w:pPr>
        <w:pStyle w:val="Heading3"/>
      </w:pPr>
      <w:r w:rsidRPr="00E36F77">
        <w:br w:type="page"/>
      </w:r>
      <w:bookmarkStart w:id="83" w:name="_Toc444523518"/>
      <w:bookmarkStart w:id="84" w:name="_Toc117027164"/>
      <w:bookmarkStart w:id="85" w:name="_Toc117070790"/>
      <w:bookmarkStart w:id="86" w:name="_Toc117071044"/>
      <w:bookmarkStart w:id="87" w:name="_Toc117078078"/>
      <w:r w:rsidR="00E4582E" w:rsidRPr="00E36F77">
        <w:rPr>
          <w:rStyle w:val="TableHeadingChar"/>
          <w:rFonts w:ascii="Arial Bold" w:hAnsi="Arial Bold"/>
          <w:b/>
        </w:rPr>
        <w:lastRenderedPageBreak/>
        <w:t>3.2</w:t>
      </w:r>
      <w:r w:rsidR="005F29CD" w:rsidRPr="00E36F77">
        <w:rPr>
          <w:rStyle w:val="TableHeadingChar"/>
          <w:rFonts w:ascii="Arial Bold" w:hAnsi="Arial Bold"/>
          <w:b/>
        </w:rPr>
        <w:tab/>
      </w:r>
      <w:r w:rsidR="00E4582E" w:rsidRPr="005B6839">
        <w:rPr>
          <w:rStyle w:val="Heading3Char"/>
        </w:rPr>
        <w:t xml:space="preserve">Budgeted </w:t>
      </w:r>
      <w:r w:rsidR="00F626C2" w:rsidRPr="005B6839">
        <w:rPr>
          <w:rStyle w:val="Heading3Char"/>
        </w:rPr>
        <w:t>financial statements tables</w:t>
      </w:r>
      <w:bookmarkEnd w:id="83"/>
      <w:bookmarkEnd w:id="84"/>
      <w:bookmarkEnd w:id="85"/>
      <w:bookmarkEnd w:id="86"/>
      <w:bookmarkEnd w:id="87"/>
    </w:p>
    <w:p w14:paraId="2239E31A" w14:textId="5870C199" w:rsidR="006F2FFE" w:rsidRPr="00F56360" w:rsidRDefault="00E855E0" w:rsidP="00F56360">
      <w:pPr>
        <w:pStyle w:val="TableHeading"/>
        <w:spacing w:before="30" w:after="0"/>
        <w:rPr>
          <w:b w:val="0"/>
          <w:sz w:val="16"/>
        </w:rPr>
      </w:pPr>
      <w:r w:rsidRPr="00E855E0">
        <w:t>Table</w:t>
      </w:r>
      <w:r w:rsidR="00971CBF">
        <w:t xml:space="preserve"> 3.</w:t>
      </w:r>
      <w:r w:rsidRPr="00E855E0">
        <w:t>1</w:t>
      </w:r>
      <w:r w:rsidR="001352EE">
        <w:t>:</w:t>
      </w:r>
      <w:r w:rsidRPr="00E855E0">
        <w:t xml:space="preserve"> Comprehensive </w:t>
      </w:r>
      <w:r w:rsidR="00F626C2" w:rsidRPr="00E855E0">
        <w:t>income statement (showing net cost of services</w:t>
      </w:r>
      <w:r w:rsidRPr="00E855E0">
        <w:t>)</w:t>
      </w:r>
      <w:r w:rsidR="004A1224">
        <w:t xml:space="preserve"> </w:t>
      </w:r>
      <w:r w:rsidR="00E9320C">
        <w:rPr>
          <w:snapToGrid w:val="0"/>
        </w:rPr>
        <w:t>for the period ended 30 June</w:t>
      </w:r>
      <w:r w:rsidR="001642D1" w:rsidRPr="001642D1">
        <w:rPr>
          <w:noProof/>
          <w:snapToGrid w:val="0"/>
        </w:rPr>
        <w:drawing>
          <wp:inline distT="0" distB="0" distL="0" distR="0" wp14:anchorId="1C242239" wp14:editId="21ECDB56">
            <wp:extent cx="4895850" cy="4930234"/>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95850" cy="4930234"/>
                    </a:xfrm>
                    <a:prstGeom prst="rect">
                      <a:avLst/>
                    </a:prstGeom>
                    <a:noFill/>
                    <a:ln>
                      <a:noFill/>
                    </a:ln>
                  </pic:spPr>
                </pic:pic>
              </a:graphicData>
            </a:graphic>
          </wp:inline>
        </w:drawing>
      </w:r>
      <w:r w:rsidR="006F2FFE" w:rsidRPr="006F2FFE">
        <w:rPr>
          <w:b w:val="0"/>
          <w:sz w:val="16"/>
        </w:rPr>
        <w:t>Table continues on next page</w:t>
      </w:r>
    </w:p>
    <w:p w14:paraId="2239E31B" w14:textId="77777777" w:rsidR="006F2FFE" w:rsidRPr="006F2FFE" w:rsidRDefault="006F2FFE" w:rsidP="006F2FFE"/>
    <w:p w14:paraId="2239E31C" w14:textId="77777777" w:rsidR="00146B5E" w:rsidRDefault="007742FF" w:rsidP="00146B5E">
      <w:pPr>
        <w:pStyle w:val="TableHeadingcontinued"/>
        <w:rPr>
          <w:snapToGrid w:val="0"/>
        </w:rPr>
      </w:pPr>
      <w:r>
        <w:br w:type="page"/>
      </w:r>
      <w:r w:rsidR="00146B5E" w:rsidRPr="00E855E0">
        <w:lastRenderedPageBreak/>
        <w:t>Table</w:t>
      </w:r>
      <w:r w:rsidR="00146B5E">
        <w:t xml:space="preserve"> 3.</w:t>
      </w:r>
      <w:r w:rsidR="00146B5E" w:rsidRPr="00E855E0">
        <w:t>1</w:t>
      </w:r>
      <w:r w:rsidR="00146B5E">
        <w:t>:</w:t>
      </w:r>
      <w:r w:rsidR="00146B5E" w:rsidRPr="00E855E0">
        <w:t xml:space="preserve"> Comprehensive income statement (showing net cost of services)</w:t>
      </w:r>
      <w:r w:rsidR="00146B5E">
        <w:t xml:space="preserve"> </w:t>
      </w:r>
      <w:r w:rsidR="00146B5E">
        <w:rPr>
          <w:snapToGrid w:val="0"/>
        </w:rPr>
        <w:t>for the period ended 30 June</w:t>
      </w:r>
      <w:r w:rsidR="00765A82">
        <w:rPr>
          <w:snapToGrid w:val="0"/>
        </w:rPr>
        <w:t xml:space="preserve"> (continued)</w:t>
      </w:r>
    </w:p>
    <w:p w14:paraId="2239E31E" w14:textId="7E85C7CD" w:rsidR="008A0E92" w:rsidRPr="008A0E92" w:rsidRDefault="007742FF" w:rsidP="008A0E92">
      <w:pPr>
        <w:pStyle w:val="TableHeadingNoTable"/>
        <w:spacing w:after="0"/>
      </w:pPr>
      <w:r w:rsidRPr="003819E1">
        <w:t>Note: Impact of net</w:t>
      </w:r>
      <w:r w:rsidR="00E9320C">
        <w:t xml:space="preserve"> cash appropriation arrangements</w:t>
      </w:r>
      <w:r w:rsidR="00A26B7A" w:rsidRPr="00A26B7A">
        <w:rPr>
          <w:noProof/>
        </w:rPr>
        <w:drawing>
          <wp:inline distT="0" distB="0" distL="0" distR="0" wp14:anchorId="7FCA341B" wp14:editId="233C2DE6">
            <wp:extent cx="4895850" cy="2319262"/>
            <wp:effectExtent l="0" t="0" r="0" b="508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95850" cy="2319262"/>
                    </a:xfrm>
                    <a:prstGeom prst="rect">
                      <a:avLst/>
                    </a:prstGeom>
                    <a:noFill/>
                    <a:ln>
                      <a:noFill/>
                    </a:ln>
                  </pic:spPr>
                </pic:pic>
              </a:graphicData>
            </a:graphic>
          </wp:inline>
        </w:drawing>
      </w:r>
    </w:p>
    <w:p w14:paraId="2239E31F" w14:textId="77777777" w:rsidR="008A0E92" w:rsidRPr="00B47849" w:rsidRDefault="008A0E92" w:rsidP="00F56360">
      <w:pPr>
        <w:pStyle w:val="ChartandTableFootnote"/>
      </w:pPr>
      <w:r w:rsidRPr="00B47849">
        <w:t>Prepared on Australian Accounting Standards basis.</w:t>
      </w:r>
    </w:p>
    <w:p w14:paraId="2239E320" w14:textId="529FE0BD" w:rsidR="008A0E92" w:rsidRPr="004C1F8D" w:rsidRDefault="008A0E92" w:rsidP="00C8474A">
      <w:pPr>
        <w:pStyle w:val="ChartandTableFootnoteAlpha"/>
        <w:numPr>
          <w:ilvl w:val="0"/>
          <w:numId w:val="19"/>
        </w:numPr>
        <w:spacing w:before="60"/>
        <w:ind w:left="284" w:hanging="284"/>
      </w:pPr>
      <w:r w:rsidRPr="004C1F8D">
        <w:t xml:space="preserve">From 2010-11, the Government introduced net cash appropriation arrangements where Bill </w:t>
      </w:r>
      <w:r w:rsidR="007C6968">
        <w:t>1</w:t>
      </w:r>
      <w:r w:rsidRPr="004C1F8D">
        <w:t xml:space="preserve"> revenue appropriations for the depreciation/amortisation expenses of</w:t>
      </w:r>
      <w:r>
        <w:t xml:space="preserve"> </w:t>
      </w:r>
      <w:r w:rsidRPr="004C1F8D">
        <w:t xml:space="preserve">non-corporate Commonwealth entities (and select corporate Commonwealth entities) were replaced with a separate </w:t>
      </w:r>
      <w:r w:rsidR="007C6968">
        <w:t>capital budget (</w:t>
      </w:r>
      <w:r w:rsidR="00487FD3">
        <w:t>DCB</w:t>
      </w:r>
      <w:r w:rsidR="007C6968">
        <w:t>)</w:t>
      </w:r>
      <w:r w:rsidRPr="004C1F8D">
        <w:t xml:space="preserve"> provided through Bill</w:t>
      </w:r>
      <w:r w:rsidR="007C6968">
        <w:t xml:space="preserve"> 1</w:t>
      </w:r>
      <w:r w:rsidRPr="004C1F8D">
        <w:t xml:space="preserve"> equity appropriations. For information regarding DCBs, please refer to Table 3.5 Departmental Capital Budget Statement.</w:t>
      </w:r>
    </w:p>
    <w:p w14:paraId="2239E321" w14:textId="77777777" w:rsidR="008A0E92" w:rsidRPr="00B47849" w:rsidRDefault="008A0E92" w:rsidP="00C8474A">
      <w:pPr>
        <w:pStyle w:val="ChartandTableFootnoteAlpha"/>
        <w:numPr>
          <w:ilvl w:val="0"/>
          <w:numId w:val="19"/>
        </w:numPr>
        <w:spacing w:before="60"/>
        <w:ind w:left="284" w:hanging="284"/>
      </w:pPr>
      <w:r w:rsidRPr="00B47849">
        <w:t>Represents the net gain/loss from the government’s non-Defence Property Divestment Program within</w:t>
      </w:r>
      <w:r>
        <w:t xml:space="preserve"> </w:t>
      </w:r>
      <w:r w:rsidRPr="00B47849">
        <w:t>Australia.</w:t>
      </w:r>
    </w:p>
    <w:p w14:paraId="2239E322" w14:textId="77777777" w:rsidR="008A0E92" w:rsidRPr="00B47849" w:rsidRDefault="008A0E92" w:rsidP="00C8474A">
      <w:pPr>
        <w:pStyle w:val="ChartandTableFootnoteAlpha"/>
        <w:numPr>
          <w:ilvl w:val="0"/>
          <w:numId w:val="19"/>
        </w:numPr>
        <w:spacing w:before="60"/>
        <w:ind w:left="284" w:hanging="284"/>
      </w:pPr>
      <w:r w:rsidRPr="00B47849">
        <w:t>Other gains includes resources received free of charge for financial st</w:t>
      </w:r>
      <w:r>
        <w:t xml:space="preserve">atement audit services from the </w:t>
      </w:r>
      <w:r w:rsidRPr="00B47849">
        <w:t xml:space="preserve">Australian National Audit Office. </w:t>
      </w:r>
    </w:p>
    <w:p w14:paraId="2239E323" w14:textId="77777777" w:rsidR="008A0E92" w:rsidRDefault="008A0E92" w:rsidP="00C8474A">
      <w:pPr>
        <w:pStyle w:val="ChartandTableFootnoteAlpha"/>
        <w:numPr>
          <w:ilvl w:val="0"/>
          <w:numId w:val="19"/>
        </w:numPr>
        <w:spacing w:before="60"/>
        <w:ind w:left="284" w:hanging="284"/>
      </w:pPr>
      <w:r w:rsidRPr="00B47849">
        <w:t>Applies to Right-of-Use (ROU) assets under</w:t>
      </w:r>
      <w:r w:rsidRPr="00012D09">
        <w:t xml:space="preserve"> AASB 16 Leases.</w:t>
      </w:r>
    </w:p>
    <w:p w14:paraId="2239E324" w14:textId="77777777" w:rsidR="00E75A0F" w:rsidRPr="008A0E92" w:rsidRDefault="00E75A0F" w:rsidP="008A0E92">
      <w:pPr>
        <w:pStyle w:val="TableGraphic"/>
        <w:rPr>
          <w:rFonts w:ascii="Arial" w:hAnsi="Arial" w:cs="Arial"/>
        </w:rPr>
      </w:pPr>
    </w:p>
    <w:p w14:paraId="2239E326" w14:textId="04752D14" w:rsidR="000659D0" w:rsidRDefault="000A24C4" w:rsidP="00132C16">
      <w:pPr>
        <w:pStyle w:val="TableHeading"/>
      </w:pPr>
      <w:r>
        <w:br w:type="page"/>
      </w:r>
      <w:r w:rsidR="00525AB1" w:rsidRPr="00E4582E">
        <w:lastRenderedPageBreak/>
        <w:t>Table</w:t>
      </w:r>
      <w:r w:rsidR="00971CBF">
        <w:t xml:space="preserve"> 3.</w:t>
      </w:r>
      <w:r w:rsidR="00525AB1" w:rsidRPr="00E4582E">
        <w:t>2: Budg</w:t>
      </w:r>
      <w:r w:rsidR="00525AB1">
        <w:t xml:space="preserve">eted </w:t>
      </w:r>
      <w:r w:rsidR="00F626C2">
        <w:t xml:space="preserve">departmental balance sheet </w:t>
      </w:r>
      <w:r w:rsidR="00525AB1" w:rsidRPr="00E4582E">
        <w:t>(as at 30 June)</w:t>
      </w:r>
    </w:p>
    <w:p w14:paraId="2239E327" w14:textId="4BF847EE" w:rsidR="000659D0" w:rsidRPr="00F56360" w:rsidRDefault="001642D1" w:rsidP="00F56360">
      <w:pPr>
        <w:pStyle w:val="TableGraphic"/>
        <w:spacing w:before="30"/>
        <w:ind w:right="0"/>
      </w:pPr>
      <w:r w:rsidRPr="001642D1">
        <w:rPr>
          <w:rFonts w:ascii="Arial" w:hAnsi="Arial" w:cs="Arial"/>
          <w:noProof/>
          <w:sz w:val="16"/>
          <w:szCs w:val="16"/>
        </w:rPr>
        <w:drawing>
          <wp:inline distT="0" distB="0" distL="0" distR="0" wp14:anchorId="306E200B" wp14:editId="42CE1A6A">
            <wp:extent cx="4895850" cy="506943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895850" cy="5069434"/>
                    </a:xfrm>
                    <a:prstGeom prst="rect">
                      <a:avLst/>
                    </a:prstGeom>
                    <a:noFill/>
                    <a:ln>
                      <a:noFill/>
                    </a:ln>
                  </pic:spPr>
                </pic:pic>
              </a:graphicData>
            </a:graphic>
          </wp:inline>
        </w:drawing>
      </w:r>
      <w:r w:rsidR="000659D0" w:rsidRPr="00F56360">
        <w:rPr>
          <w:rFonts w:ascii="Arial" w:hAnsi="Arial" w:cs="Arial"/>
          <w:sz w:val="16"/>
          <w:szCs w:val="16"/>
        </w:rPr>
        <w:t>Prepared on Australian Accounting Standards basis.</w:t>
      </w:r>
    </w:p>
    <w:p w14:paraId="2239E328" w14:textId="77777777" w:rsidR="000659D0" w:rsidRPr="002C2CB2" w:rsidRDefault="000659D0" w:rsidP="00E86524">
      <w:pPr>
        <w:pStyle w:val="Source"/>
        <w:tabs>
          <w:tab w:val="clear" w:pos="709"/>
          <w:tab w:val="left" w:pos="284"/>
        </w:tabs>
        <w:spacing w:after="0"/>
        <w:ind w:left="0" w:firstLine="0"/>
        <w:rPr>
          <w:rFonts w:cs="Arial"/>
        </w:rPr>
      </w:pPr>
      <w:r w:rsidRPr="00C26E37">
        <w:rPr>
          <w:rFonts w:cs="Arial"/>
        </w:rPr>
        <w:t>*‘Equity’ is the residual interest in assets after deduction of liabilities.</w:t>
      </w:r>
    </w:p>
    <w:p w14:paraId="2239E329" w14:textId="7685594F" w:rsidR="000659D0" w:rsidRPr="00C960D1" w:rsidRDefault="000659D0" w:rsidP="00C8474A">
      <w:pPr>
        <w:pStyle w:val="ChartandTableFootnoteAlpha"/>
        <w:numPr>
          <w:ilvl w:val="0"/>
          <w:numId w:val="20"/>
        </w:numPr>
        <w:spacing w:before="0" w:after="60"/>
        <w:ind w:left="284" w:hanging="284"/>
      </w:pPr>
      <w:r w:rsidRPr="00C960D1">
        <w:t>Primarily represents special account</w:t>
      </w:r>
      <w:r w:rsidR="00B102A0">
        <w:t xml:space="preserve"> cash held in the Official Public Account</w:t>
      </w:r>
      <w:r w:rsidRPr="00C960D1">
        <w:t>.</w:t>
      </w:r>
    </w:p>
    <w:p w14:paraId="3E9BB558" w14:textId="77777777" w:rsidR="00132C16" w:rsidRDefault="000659D0" w:rsidP="00C8474A">
      <w:pPr>
        <w:pStyle w:val="ChartandTableFootnoteAlpha"/>
        <w:numPr>
          <w:ilvl w:val="0"/>
          <w:numId w:val="20"/>
        </w:numPr>
        <w:spacing w:before="0" w:after="60"/>
        <w:ind w:left="284" w:hanging="284"/>
      </w:pPr>
      <w:r w:rsidRPr="00C960D1">
        <w:t>Primarily represents properties in the government’s non-Defence property portfolio.</w:t>
      </w:r>
      <w:r w:rsidR="00132C16">
        <w:br w:type="page"/>
      </w:r>
    </w:p>
    <w:p w14:paraId="2239E32E" w14:textId="2EF33403" w:rsidR="002376AD" w:rsidRPr="00A506CC" w:rsidRDefault="00A80C87" w:rsidP="00132C16">
      <w:pPr>
        <w:pStyle w:val="ChartandTableFootnoteAlpha"/>
      </w:pPr>
      <w:r w:rsidRPr="00132C16">
        <w:rPr>
          <w:b/>
          <w:color w:val="auto"/>
          <w:sz w:val="20"/>
        </w:rPr>
        <w:lastRenderedPageBreak/>
        <w:t>Table</w:t>
      </w:r>
      <w:r w:rsidR="00971CBF" w:rsidRPr="00132C16">
        <w:rPr>
          <w:b/>
          <w:color w:val="auto"/>
          <w:sz w:val="20"/>
        </w:rPr>
        <w:t xml:space="preserve"> 3.</w:t>
      </w:r>
      <w:r w:rsidRPr="00132C16">
        <w:rPr>
          <w:b/>
          <w:color w:val="auto"/>
          <w:sz w:val="20"/>
        </w:rPr>
        <w:t>3</w:t>
      </w:r>
      <w:r w:rsidR="00345CCD" w:rsidRPr="00132C16">
        <w:rPr>
          <w:b/>
          <w:color w:val="auto"/>
          <w:sz w:val="20"/>
        </w:rPr>
        <w:t xml:space="preserve">: Departmental </w:t>
      </w:r>
      <w:r w:rsidR="00F626C2" w:rsidRPr="00132C16">
        <w:rPr>
          <w:b/>
          <w:color w:val="auto"/>
          <w:sz w:val="20"/>
        </w:rPr>
        <w:t xml:space="preserve">statement of changes in equity </w:t>
      </w:r>
      <w:r w:rsidR="00345CCD" w:rsidRPr="00132C16">
        <w:rPr>
          <w:b/>
          <w:color w:val="auto"/>
          <w:sz w:val="20"/>
        </w:rPr>
        <w:t xml:space="preserve">— </w:t>
      </w:r>
      <w:r w:rsidR="00F626C2" w:rsidRPr="00132C16">
        <w:rPr>
          <w:b/>
          <w:color w:val="auto"/>
          <w:sz w:val="20"/>
        </w:rPr>
        <w:t>summary of movement (</w:t>
      </w:r>
      <w:r w:rsidR="008A1DDE" w:rsidRPr="00132C16">
        <w:rPr>
          <w:b/>
          <w:color w:val="auto"/>
          <w:sz w:val="20"/>
        </w:rPr>
        <w:t xml:space="preserve">Budget </w:t>
      </w:r>
      <w:r w:rsidR="00F626C2" w:rsidRPr="00132C16">
        <w:rPr>
          <w:b/>
          <w:color w:val="auto"/>
          <w:sz w:val="20"/>
        </w:rPr>
        <w:t>y</w:t>
      </w:r>
      <w:r w:rsidR="008A1DDE" w:rsidRPr="00132C16">
        <w:rPr>
          <w:b/>
          <w:color w:val="auto"/>
          <w:sz w:val="20"/>
        </w:rPr>
        <w:t xml:space="preserve">ear </w:t>
      </w:r>
      <w:r w:rsidR="002E59C4" w:rsidRPr="00132C16">
        <w:rPr>
          <w:b/>
          <w:color w:val="auto"/>
          <w:sz w:val="20"/>
        </w:rPr>
        <w:t>2022</w:t>
      </w:r>
      <w:r w:rsidR="007E3AC7" w:rsidRPr="00132C16">
        <w:rPr>
          <w:b/>
          <w:color w:val="auto"/>
          <w:sz w:val="20"/>
        </w:rPr>
        <w:t>-</w:t>
      </w:r>
      <w:r w:rsidR="002E59C4" w:rsidRPr="00132C16">
        <w:rPr>
          <w:b/>
          <w:color w:val="auto"/>
          <w:sz w:val="20"/>
        </w:rPr>
        <w:t>23</w:t>
      </w:r>
      <w:r w:rsidR="00345CCD" w:rsidRPr="00132C16">
        <w:rPr>
          <w:b/>
          <w:color w:val="auto"/>
          <w:sz w:val="20"/>
        </w:rPr>
        <w:t>)</w:t>
      </w:r>
      <w:r w:rsidR="00E807EB" w:rsidRPr="00E807EB">
        <w:rPr>
          <w:b/>
          <w:sz w:val="20"/>
        </w:rPr>
        <w:t xml:space="preserve"> </w:t>
      </w:r>
      <w:r w:rsidR="008D4DB0" w:rsidRPr="008D4DB0">
        <w:rPr>
          <w:b/>
          <w:noProof/>
          <w:sz w:val="20"/>
        </w:rPr>
        <w:drawing>
          <wp:inline distT="0" distB="0" distL="0" distR="0" wp14:anchorId="26F89E74" wp14:editId="00839194">
            <wp:extent cx="4895850" cy="3177261"/>
            <wp:effectExtent l="0" t="0" r="0" b="444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895850" cy="3177261"/>
                    </a:xfrm>
                    <a:prstGeom prst="rect">
                      <a:avLst/>
                    </a:prstGeom>
                    <a:noFill/>
                    <a:ln>
                      <a:noFill/>
                    </a:ln>
                  </pic:spPr>
                </pic:pic>
              </a:graphicData>
            </a:graphic>
          </wp:inline>
        </w:drawing>
      </w:r>
      <w:r w:rsidR="00E807EB" w:rsidRPr="00E807EB">
        <w:rPr>
          <w:b/>
          <w:sz w:val="20"/>
        </w:rPr>
        <w:t xml:space="preserve"> </w:t>
      </w:r>
      <w:r w:rsidR="002376AD">
        <w:rPr>
          <w:lang w:val="x-none" w:eastAsia="x-none"/>
        </w:rPr>
        <w:fldChar w:fldCharType="begin" w:fldLock="1"/>
      </w:r>
      <w:r w:rsidR="002376AD">
        <w:instrText xml:space="preserve"> LINK Excel.Sheet.12 "\\\\romulus\\csg_h$\\MCD\\Publishing\\Graphic Design Services Team\\Projects\\2021\\Budget 2021\\03 PBS\\PBS templates\\Attachment B - 2021-22 PBS Excel Tables.xlsx" "Table 3.3!R3C1:R34C6" \a \f 4 \h </w:instrText>
      </w:r>
      <w:r w:rsidR="002376AD">
        <w:rPr>
          <w:lang w:val="x-none" w:eastAsia="x-none"/>
        </w:rPr>
        <w:fldChar w:fldCharType="separate"/>
      </w:r>
    </w:p>
    <w:p w14:paraId="2239E330" w14:textId="74A9EC88" w:rsidR="00132F9E" w:rsidRPr="0059690A" w:rsidRDefault="002376AD" w:rsidP="00850C94">
      <w:pPr>
        <w:pStyle w:val="TableGraphic"/>
        <w:spacing w:before="30"/>
        <w:ind w:right="0"/>
        <w:rPr>
          <w:rFonts w:ascii="Arial" w:hAnsi="Arial" w:cs="Arial"/>
          <w:sz w:val="16"/>
          <w:szCs w:val="16"/>
        </w:rPr>
      </w:pPr>
      <w:r>
        <w:fldChar w:fldCharType="end"/>
      </w:r>
      <w:r w:rsidR="00D606C2" w:rsidRPr="0059690A">
        <w:rPr>
          <w:rFonts w:ascii="Arial" w:hAnsi="Arial" w:cs="Arial"/>
          <w:sz w:val="16"/>
          <w:szCs w:val="16"/>
        </w:rPr>
        <w:t>Prepared on Australian Accounting Standards basis</w:t>
      </w:r>
    </w:p>
    <w:p w14:paraId="2239E331" w14:textId="77777777" w:rsidR="00C038D0" w:rsidRPr="00152B2B" w:rsidRDefault="00C038D0" w:rsidP="00152B2B"/>
    <w:p w14:paraId="557656FC" w14:textId="4C619843" w:rsidR="006F6E9C" w:rsidRDefault="000A24C4" w:rsidP="00850C94">
      <w:pPr>
        <w:pStyle w:val="TableHeading"/>
        <w:spacing w:before="30" w:after="0"/>
        <w:rPr>
          <w:rFonts w:cs="Arial"/>
          <w:b w:val="0"/>
          <w:sz w:val="16"/>
          <w:szCs w:val="16"/>
          <w:lang w:eastAsia="x-none"/>
        </w:rPr>
      </w:pPr>
      <w:r>
        <w:br w:type="page"/>
      </w:r>
      <w:r w:rsidR="00345CCD">
        <w:lastRenderedPageBreak/>
        <w:t>Table</w:t>
      </w:r>
      <w:r w:rsidR="00971CBF">
        <w:t xml:space="preserve"> 3.</w:t>
      </w:r>
      <w:r w:rsidR="00345CCD">
        <w:t xml:space="preserve">4: </w:t>
      </w:r>
      <w:r w:rsidR="00345CCD" w:rsidRPr="00D30CBA">
        <w:t xml:space="preserve">Budgeted </w:t>
      </w:r>
      <w:r w:rsidR="00F10305">
        <w:t>d</w:t>
      </w:r>
      <w:r w:rsidR="00F10305" w:rsidRPr="00D30CBA">
        <w:t>epar</w:t>
      </w:r>
      <w:r w:rsidR="00F10305">
        <w:t xml:space="preserve">tmental statement of cash flows </w:t>
      </w:r>
      <w:r w:rsidR="00345CCD" w:rsidRPr="00D30CBA">
        <w:t>(</w:t>
      </w:r>
      <w:r w:rsidR="00F10305">
        <w:t>for </w:t>
      </w:r>
      <w:r w:rsidR="00345CCD">
        <w:t>the period ended</w:t>
      </w:r>
      <w:r w:rsidR="00A67235">
        <w:t xml:space="preserve"> 30 June)</w:t>
      </w:r>
      <w:r w:rsidR="00686F21" w:rsidRPr="00686F21">
        <w:rPr>
          <w:b w:val="0"/>
        </w:rPr>
        <w:t xml:space="preserve"> </w:t>
      </w:r>
      <w:r w:rsidR="0055054A" w:rsidRPr="0055054A">
        <w:rPr>
          <w:b w:val="0"/>
          <w:noProof/>
        </w:rPr>
        <w:drawing>
          <wp:inline distT="0" distB="0" distL="0" distR="0" wp14:anchorId="48E92A7D" wp14:editId="6CE1FE23">
            <wp:extent cx="4895850" cy="4235897"/>
            <wp:effectExtent l="0" t="0" r="0" b="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95850" cy="4235897"/>
                    </a:xfrm>
                    <a:prstGeom prst="rect">
                      <a:avLst/>
                    </a:prstGeom>
                    <a:noFill/>
                    <a:ln>
                      <a:noFill/>
                    </a:ln>
                  </pic:spPr>
                </pic:pic>
              </a:graphicData>
            </a:graphic>
          </wp:inline>
        </w:drawing>
      </w:r>
      <w:r w:rsidR="00673C20" w:rsidRPr="00A67235">
        <w:rPr>
          <w:rFonts w:cs="Arial"/>
          <w:b w:val="0"/>
          <w:sz w:val="16"/>
          <w:szCs w:val="16"/>
          <w:lang w:eastAsia="x-none"/>
        </w:rPr>
        <w:t>Table continues on next page</w:t>
      </w:r>
      <w:r w:rsidR="006F6E9C">
        <w:rPr>
          <w:rFonts w:cs="Arial"/>
          <w:b w:val="0"/>
          <w:sz w:val="16"/>
          <w:szCs w:val="16"/>
          <w:lang w:eastAsia="x-none"/>
        </w:rPr>
        <w:br w:type="page"/>
      </w:r>
    </w:p>
    <w:p w14:paraId="75E0FF68" w14:textId="3A7E05F2" w:rsidR="006F6E9C" w:rsidRDefault="00345CCD" w:rsidP="006F6E9C">
      <w:pPr>
        <w:pStyle w:val="TableHeading"/>
        <w:spacing w:before="30" w:after="0"/>
        <w:rPr>
          <w:b w:val="0"/>
        </w:rPr>
      </w:pPr>
      <w:r w:rsidRPr="00BD210E">
        <w:lastRenderedPageBreak/>
        <w:t>Table</w:t>
      </w:r>
      <w:r w:rsidR="00971CBF">
        <w:t xml:space="preserve"> 3.</w:t>
      </w:r>
      <w:r w:rsidRPr="00BD210E">
        <w:t xml:space="preserve">4: Budgeted </w:t>
      </w:r>
      <w:r w:rsidR="00F10305" w:rsidRPr="00BD210E">
        <w:t>departmental statement of cash flows</w:t>
      </w:r>
      <w:r w:rsidR="00F10305">
        <w:t xml:space="preserve"> </w:t>
      </w:r>
      <w:r w:rsidRPr="00BD210E">
        <w:t>(for the period ended 30 June) (continued)</w:t>
      </w:r>
      <w:r w:rsidR="00686F21" w:rsidRPr="00686F21">
        <w:rPr>
          <w:b w:val="0"/>
        </w:rPr>
        <w:t xml:space="preserve"> </w:t>
      </w:r>
      <w:r w:rsidR="0055054A" w:rsidRPr="0055054A">
        <w:rPr>
          <w:b w:val="0"/>
          <w:noProof/>
        </w:rPr>
        <w:drawing>
          <wp:inline distT="0" distB="0" distL="0" distR="0" wp14:anchorId="13383E03" wp14:editId="267B2A2A">
            <wp:extent cx="4895850" cy="2604317"/>
            <wp:effectExtent l="0" t="0" r="0"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895850" cy="2604317"/>
                    </a:xfrm>
                    <a:prstGeom prst="rect">
                      <a:avLst/>
                    </a:prstGeom>
                    <a:noFill/>
                    <a:ln>
                      <a:noFill/>
                    </a:ln>
                  </pic:spPr>
                </pic:pic>
              </a:graphicData>
            </a:graphic>
          </wp:inline>
        </w:drawing>
      </w:r>
    </w:p>
    <w:p w14:paraId="776C915D" w14:textId="77777777" w:rsidR="00F547AB" w:rsidRDefault="00345CCD" w:rsidP="00686F21">
      <w:pPr>
        <w:pStyle w:val="ChartandTableFootnote"/>
      </w:pPr>
      <w:r w:rsidRPr="00132F9E">
        <w:t>Prepared on Australian Accounting Standards basis.</w:t>
      </w:r>
      <w:r w:rsidR="00F547AB">
        <w:br w:type="page"/>
      </w:r>
    </w:p>
    <w:p w14:paraId="2239E33B" w14:textId="497DEE95" w:rsidR="00D606C2" w:rsidRPr="007755A1" w:rsidRDefault="008B4464" w:rsidP="00744546">
      <w:pPr>
        <w:pStyle w:val="ChartandTableFootnote"/>
        <w:spacing w:after="60"/>
        <w:rPr>
          <w:b/>
          <w:color w:val="auto"/>
          <w:sz w:val="20"/>
        </w:rPr>
      </w:pPr>
      <w:r w:rsidRPr="00F547AB">
        <w:rPr>
          <w:b/>
          <w:color w:val="auto"/>
          <w:sz w:val="20"/>
        </w:rPr>
        <w:lastRenderedPageBreak/>
        <w:t>Table</w:t>
      </w:r>
      <w:r w:rsidR="00971CBF" w:rsidRPr="00F547AB">
        <w:rPr>
          <w:b/>
          <w:color w:val="auto"/>
          <w:sz w:val="20"/>
        </w:rPr>
        <w:t xml:space="preserve"> 3.</w:t>
      </w:r>
      <w:r w:rsidRPr="00F547AB">
        <w:rPr>
          <w:b/>
          <w:color w:val="auto"/>
          <w:sz w:val="20"/>
        </w:rPr>
        <w:t xml:space="preserve">5: </w:t>
      </w:r>
      <w:r w:rsidR="00F54947" w:rsidRPr="00F547AB">
        <w:rPr>
          <w:b/>
          <w:color w:val="auto"/>
          <w:sz w:val="20"/>
        </w:rPr>
        <w:t xml:space="preserve">Departmental </w:t>
      </w:r>
      <w:r w:rsidR="00F10305" w:rsidRPr="00F547AB">
        <w:rPr>
          <w:b/>
          <w:color w:val="auto"/>
          <w:sz w:val="20"/>
        </w:rPr>
        <w:t>capital budget statement</w:t>
      </w:r>
      <w:r w:rsidR="005067C7" w:rsidRPr="00F547AB">
        <w:rPr>
          <w:b/>
          <w:color w:val="auto"/>
          <w:sz w:val="20"/>
        </w:rPr>
        <w:t xml:space="preserve"> (for the period ended 30 June)</w:t>
      </w:r>
      <w:r w:rsidR="00F547AB" w:rsidRPr="00F547AB">
        <w:rPr>
          <w:b/>
          <w:sz w:val="20"/>
        </w:rPr>
        <w:t xml:space="preserve"> </w:t>
      </w:r>
      <w:r w:rsidR="0023718E" w:rsidRPr="0023718E">
        <w:rPr>
          <w:b/>
          <w:noProof/>
          <w:sz w:val="20"/>
        </w:rPr>
        <w:drawing>
          <wp:inline distT="0" distB="0" distL="0" distR="0" wp14:anchorId="1294AA37" wp14:editId="5AECB8B2">
            <wp:extent cx="4895850" cy="2867744"/>
            <wp:effectExtent l="0" t="0" r="0" b="889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895850" cy="2867744"/>
                    </a:xfrm>
                    <a:prstGeom prst="rect">
                      <a:avLst/>
                    </a:prstGeom>
                    <a:noFill/>
                    <a:ln>
                      <a:noFill/>
                    </a:ln>
                  </pic:spPr>
                </pic:pic>
              </a:graphicData>
            </a:graphic>
          </wp:inline>
        </w:drawing>
      </w:r>
      <w:r w:rsidR="00D606C2" w:rsidRPr="00132F9E">
        <w:t>Prepared on Australian Accounting Standards basis.</w:t>
      </w:r>
    </w:p>
    <w:p w14:paraId="2239E33C" w14:textId="7CADA0CF" w:rsidR="00F20FF5" w:rsidRPr="00673C20" w:rsidRDefault="00F20FF5" w:rsidP="00C8474A">
      <w:pPr>
        <w:pStyle w:val="ChartandTableFootnoteAlpha"/>
        <w:numPr>
          <w:ilvl w:val="0"/>
          <w:numId w:val="21"/>
        </w:numPr>
        <w:tabs>
          <w:tab w:val="num" w:pos="397"/>
        </w:tabs>
        <w:spacing w:before="60"/>
        <w:ind w:left="284"/>
        <w:rPr>
          <w:rFonts w:cs="Arial"/>
          <w:color w:val="auto"/>
          <w:szCs w:val="16"/>
        </w:rPr>
      </w:pPr>
      <w:r w:rsidRPr="00673C20">
        <w:rPr>
          <w:rFonts w:cs="Arial"/>
          <w:color w:val="auto"/>
          <w:szCs w:val="16"/>
        </w:rPr>
        <w:t xml:space="preserve">Includes </w:t>
      </w:r>
      <w:r w:rsidR="007F4540">
        <w:rPr>
          <w:rFonts w:cs="Arial"/>
          <w:color w:val="auto"/>
          <w:szCs w:val="16"/>
        </w:rPr>
        <w:t xml:space="preserve">purchases from </w:t>
      </w:r>
      <w:r w:rsidRPr="00673C20">
        <w:rPr>
          <w:rFonts w:cs="Arial"/>
          <w:color w:val="auto"/>
          <w:szCs w:val="16"/>
        </w:rPr>
        <w:t>current Bill 2 and prior Act 2/4/6 appropriations</w:t>
      </w:r>
      <w:r w:rsidR="00D52088" w:rsidRPr="00673C20">
        <w:rPr>
          <w:rFonts w:cs="Arial"/>
          <w:color w:val="auto"/>
          <w:szCs w:val="16"/>
        </w:rPr>
        <w:t>.</w:t>
      </w:r>
    </w:p>
    <w:p w14:paraId="2239E33D" w14:textId="1E0E9908" w:rsidR="00F20FF5" w:rsidRPr="00673C20" w:rsidRDefault="00F20FF5" w:rsidP="00C8474A">
      <w:pPr>
        <w:pStyle w:val="ChartandTableFootnoteAlpha"/>
        <w:numPr>
          <w:ilvl w:val="0"/>
          <w:numId w:val="21"/>
        </w:numPr>
        <w:tabs>
          <w:tab w:val="num" w:pos="397"/>
        </w:tabs>
        <w:spacing w:before="60"/>
        <w:ind w:left="284"/>
        <w:rPr>
          <w:rFonts w:cs="Arial"/>
          <w:color w:val="auto"/>
          <w:szCs w:val="16"/>
        </w:rPr>
      </w:pPr>
      <w:r w:rsidRPr="00673C20">
        <w:rPr>
          <w:rFonts w:cs="Arial"/>
          <w:color w:val="auto"/>
          <w:szCs w:val="16"/>
        </w:rPr>
        <w:t>Includes purchases from current an</w:t>
      </w:r>
      <w:r w:rsidR="00EE2ED0" w:rsidRPr="00673C20">
        <w:rPr>
          <w:rFonts w:cs="Arial"/>
          <w:color w:val="auto"/>
          <w:szCs w:val="16"/>
        </w:rPr>
        <w:t xml:space="preserve">d previous years’ </w:t>
      </w:r>
      <w:r w:rsidR="00487FD3">
        <w:rPr>
          <w:rFonts w:cs="Arial"/>
          <w:color w:val="auto"/>
          <w:szCs w:val="16"/>
        </w:rPr>
        <w:t>DCB</w:t>
      </w:r>
      <w:r w:rsidRPr="00673C20">
        <w:rPr>
          <w:rFonts w:cs="Arial"/>
          <w:color w:val="auto"/>
          <w:szCs w:val="16"/>
        </w:rPr>
        <w:t>.</w:t>
      </w:r>
    </w:p>
    <w:p w14:paraId="2239E33E" w14:textId="5A2A8621" w:rsidR="00C37BFF" w:rsidRPr="00673C20" w:rsidRDefault="00C37BFF" w:rsidP="00C8474A">
      <w:pPr>
        <w:pStyle w:val="ChartandTableFootnoteAlpha"/>
        <w:numPr>
          <w:ilvl w:val="0"/>
          <w:numId w:val="21"/>
        </w:numPr>
        <w:tabs>
          <w:tab w:val="num" w:pos="397"/>
        </w:tabs>
        <w:spacing w:before="60"/>
        <w:ind w:left="284"/>
        <w:rPr>
          <w:rFonts w:cs="Arial"/>
          <w:color w:val="auto"/>
          <w:szCs w:val="16"/>
        </w:rPr>
      </w:pPr>
      <w:r w:rsidRPr="00673C20">
        <w:rPr>
          <w:rFonts w:cs="Arial"/>
          <w:color w:val="auto"/>
          <w:szCs w:val="16"/>
        </w:rPr>
        <w:t xml:space="preserve">Includes </w:t>
      </w:r>
      <w:r w:rsidR="007F4540">
        <w:rPr>
          <w:rFonts w:cs="Arial"/>
          <w:color w:val="auto"/>
          <w:szCs w:val="16"/>
        </w:rPr>
        <w:t xml:space="preserve">purchases from </w:t>
      </w:r>
      <w:r w:rsidR="000D722B">
        <w:rPr>
          <w:rFonts w:cs="Arial"/>
          <w:color w:val="auto"/>
          <w:szCs w:val="16"/>
        </w:rPr>
        <w:t>current Bill 1, prior Act 1/2/3 appropr</w:t>
      </w:r>
      <w:r w:rsidR="007F4540">
        <w:rPr>
          <w:rFonts w:cs="Arial"/>
          <w:color w:val="auto"/>
          <w:szCs w:val="16"/>
        </w:rPr>
        <w:t>iations, special accounts and</w:t>
      </w:r>
      <w:r w:rsidR="000D722B">
        <w:rPr>
          <w:rFonts w:cs="Arial"/>
          <w:color w:val="auto"/>
          <w:szCs w:val="16"/>
        </w:rPr>
        <w:t xml:space="preserve"> </w:t>
      </w:r>
      <w:r w:rsidR="00BA1132">
        <w:rPr>
          <w:rFonts w:cs="Arial"/>
          <w:color w:val="auto"/>
          <w:szCs w:val="16"/>
        </w:rPr>
        <w:t xml:space="preserve">PGPA Act </w:t>
      </w:r>
      <w:r w:rsidRPr="00673C20">
        <w:rPr>
          <w:rFonts w:cs="Arial"/>
          <w:color w:val="auto"/>
          <w:szCs w:val="16"/>
        </w:rPr>
        <w:t>s</w:t>
      </w:r>
      <w:r w:rsidR="00744546">
        <w:rPr>
          <w:rFonts w:cs="Arial"/>
          <w:color w:val="auto"/>
          <w:szCs w:val="16"/>
        </w:rPr>
        <w:t xml:space="preserve">ection </w:t>
      </w:r>
      <w:r w:rsidRPr="00673C20">
        <w:rPr>
          <w:rFonts w:cs="Arial"/>
          <w:color w:val="auto"/>
          <w:szCs w:val="16"/>
        </w:rPr>
        <w:t>74 external</w:t>
      </w:r>
      <w:r w:rsidRPr="00673C20" w:rsidDel="005013B5">
        <w:rPr>
          <w:rFonts w:cs="Arial"/>
          <w:color w:val="auto"/>
          <w:szCs w:val="16"/>
        </w:rPr>
        <w:t xml:space="preserve"> </w:t>
      </w:r>
      <w:r w:rsidR="007F4540">
        <w:rPr>
          <w:rFonts w:cs="Arial"/>
          <w:color w:val="auto"/>
          <w:szCs w:val="16"/>
        </w:rPr>
        <w:t>receipts.</w:t>
      </w:r>
    </w:p>
    <w:p w14:paraId="34E7250E" w14:textId="021ABD4F" w:rsidR="004650DF" w:rsidRDefault="004650DF" w:rsidP="00744546">
      <w:pPr>
        <w:pStyle w:val="ChartandTableFootnote-Dash"/>
        <w:spacing w:after="60"/>
      </w:pPr>
      <w:r>
        <w:br w:type="page"/>
      </w:r>
    </w:p>
    <w:p w14:paraId="2239E34F" w14:textId="79DB7BB7" w:rsidR="003059F2" w:rsidRPr="004650DF" w:rsidRDefault="003059F2" w:rsidP="00744546">
      <w:pPr>
        <w:pStyle w:val="ChartandTableFootnote-Dash"/>
        <w:spacing w:before="30" w:after="60"/>
        <w:ind w:left="0" w:firstLine="0"/>
        <w:rPr>
          <w:b/>
          <w:sz w:val="20"/>
        </w:rPr>
      </w:pPr>
      <w:r w:rsidRPr="004650DF">
        <w:rPr>
          <w:b/>
          <w:sz w:val="20"/>
        </w:rPr>
        <w:lastRenderedPageBreak/>
        <w:t>Table 3.6: Statement of departmental asset movements (Budget year 2022-23)</w:t>
      </w:r>
      <w:r w:rsidR="004650DF" w:rsidRPr="004650DF">
        <w:rPr>
          <w:b/>
          <w:sz w:val="20"/>
        </w:rPr>
        <w:t xml:space="preserve"> </w:t>
      </w:r>
      <w:r w:rsidR="002F50AE" w:rsidRPr="002F50AE">
        <w:rPr>
          <w:b/>
          <w:noProof/>
          <w:sz w:val="20"/>
        </w:rPr>
        <w:drawing>
          <wp:inline distT="0" distB="0" distL="0" distR="0" wp14:anchorId="3AFF4A52" wp14:editId="04EB42FE">
            <wp:extent cx="4895850" cy="6072678"/>
            <wp:effectExtent l="0" t="0" r="0"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895850" cy="6072678"/>
                    </a:xfrm>
                    <a:prstGeom prst="rect">
                      <a:avLst/>
                    </a:prstGeom>
                    <a:noFill/>
                    <a:ln>
                      <a:noFill/>
                    </a:ln>
                  </pic:spPr>
                </pic:pic>
              </a:graphicData>
            </a:graphic>
          </wp:inline>
        </w:drawing>
      </w:r>
      <w:r w:rsidRPr="00930570">
        <w:t>Prepared on Australian Accounting Standards basis:</w:t>
      </w:r>
    </w:p>
    <w:p w14:paraId="2239E350" w14:textId="77777777" w:rsidR="003059F2" w:rsidRPr="00930570" w:rsidRDefault="003059F2" w:rsidP="00C8474A">
      <w:pPr>
        <w:pStyle w:val="ChartandTableFootnoteAlpha"/>
        <w:numPr>
          <w:ilvl w:val="0"/>
          <w:numId w:val="22"/>
        </w:numPr>
        <w:spacing w:before="60"/>
        <w:ind w:left="284" w:hanging="284"/>
      </w:pPr>
      <w:r w:rsidRPr="00930570">
        <w:t xml:space="preserve">‘Appropriation equity’ refers to equity injection appropriations provided through Appropriation Bill (No. 2) 2022-23. </w:t>
      </w:r>
    </w:p>
    <w:p w14:paraId="2239E351" w14:textId="1A738DF8" w:rsidR="003059F2" w:rsidRPr="00930570" w:rsidRDefault="003059F2" w:rsidP="00C8474A">
      <w:pPr>
        <w:pStyle w:val="ChartandTableFootnoteAlpha"/>
        <w:numPr>
          <w:ilvl w:val="0"/>
          <w:numId w:val="22"/>
        </w:numPr>
        <w:spacing w:before="60"/>
        <w:ind w:left="284" w:hanging="284"/>
      </w:pPr>
      <w:r w:rsidRPr="00930570">
        <w:t>‘Appropriation ordinary annual services’ refers to funding provided through Appropriation Bill (No. 1)</w:t>
      </w:r>
      <w:r w:rsidR="00855F84">
        <w:t xml:space="preserve"> </w:t>
      </w:r>
      <w:r w:rsidRPr="00930570">
        <w:t>2022-23 for depreciation/amortisation expenses, DCBs or other operational expenses.</w:t>
      </w:r>
    </w:p>
    <w:p w14:paraId="762E091D" w14:textId="77777777" w:rsidR="004F2BF9" w:rsidRDefault="003059F2" w:rsidP="00C8474A">
      <w:pPr>
        <w:pStyle w:val="ChartandTableFootnoteAlpha"/>
        <w:numPr>
          <w:ilvl w:val="0"/>
          <w:numId w:val="22"/>
        </w:numPr>
        <w:spacing w:before="60"/>
        <w:ind w:left="284" w:hanging="284"/>
      </w:pPr>
      <w:r w:rsidRPr="00930570">
        <w:t>Net proceeds may be returned to the Official Public Account</w:t>
      </w:r>
      <w:r>
        <w:t>.</w:t>
      </w:r>
      <w:r w:rsidR="004F2BF9">
        <w:br w:type="page"/>
      </w:r>
    </w:p>
    <w:p w14:paraId="2239E355" w14:textId="30F65BD7" w:rsidR="004F5573" w:rsidRDefault="00D30CBA" w:rsidP="004F2BF9">
      <w:pPr>
        <w:pStyle w:val="TableHeading"/>
      </w:pPr>
      <w:r w:rsidRPr="00D30CBA">
        <w:lastRenderedPageBreak/>
        <w:t>Table</w:t>
      </w:r>
      <w:r w:rsidR="00971CBF">
        <w:t xml:space="preserve"> 3.</w:t>
      </w:r>
      <w:r w:rsidR="00B93884">
        <w:t>7</w:t>
      </w:r>
      <w:r w:rsidRPr="00D30CBA">
        <w:t xml:space="preserve">: Schedule of </w:t>
      </w:r>
      <w:r w:rsidR="00F10305">
        <w:t>b</w:t>
      </w:r>
      <w:r w:rsidR="00F10305" w:rsidRPr="00D30CBA">
        <w:t xml:space="preserve">udgeted </w:t>
      </w:r>
      <w:r w:rsidR="00F10305">
        <w:t>i</w:t>
      </w:r>
      <w:r w:rsidR="00F10305" w:rsidRPr="00D30CBA">
        <w:t xml:space="preserve">ncome and </w:t>
      </w:r>
      <w:r w:rsidR="00F10305">
        <w:t>e</w:t>
      </w:r>
      <w:r w:rsidR="00F10305" w:rsidRPr="00D30CBA">
        <w:t>xpe</w:t>
      </w:r>
      <w:r w:rsidR="00F10305">
        <w:t>nses administered on behalf of</w:t>
      </w:r>
      <w:r w:rsidR="002C7A63">
        <w:t xml:space="preserve"> G</w:t>
      </w:r>
      <w:r w:rsidRPr="00D30CBA">
        <w:t>ove</w:t>
      </w:r>
      <w:r w:rsidR="004F5573">
        <w:t>rnment (for the period ended 30 </w:t>
      </w:r>
      <w:r w:rsidRPr="00D30CBA">
        <w:t>June)</w:t>
      </w:r>
    </w:p>
    <w:p w14:paraId="2239E357" w14:textId="682065AE" w:rsidR="0034100B" w:rsidRPr="00930570" w:rsidRDefault="00F66E2C" w:rsidP="00744546">
      <w:pPr>
        <w:pStyle w:val="ChartandTableFootnoteAlpha"/>
        <w:tabs>
          <w:tab w:val="num" w:pos="284"/>
        </w:tabs>
        <w:spacing w:after="60"/>
        <w:jc w:val="both"/>
      </w:pPr>
      <w:r w:rsidRPr="00F66E2C">
        <w:rPr>
          <w:noProof/>
        </w:rPr>
        <w:drawing>
          <wp:inline distT="0" distB="0" distL="0" distR="0" wp14:anchorId="1E10D467" wp14:editId="7103B101">
            <wp:extent cx="4895850" cy="5221944"/>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895850" cy="5221944"/>
                    </a:xfrm>
                    <a:prstGeom prst="rect">
                      <a:avLst/>
                    </a:prstGeom>
                    <a:noFill/>
                    <a:ln>
                      <a:noFill/>
                    </a:ln>
                  </pic:spPr>
                </pic:pic>
              </a:graphicData>
            </a:graphic>
          </wp:inline>
        </w:drawing>
      </w:r>
      <w:r w:rsidR="0034100B" w:rsidRPr="00930570">
        <w:t>Prepared on Australian Accounting Standards basis.</w:t>
      </w:r>
    </w:p>
    <w:p w14:paraId="2239E358" w14:textId="4A099DD0" w:rsidR="0034100B" w:rsidRPr="00930570" w:rsidRDefault="0034100B" w:rsidP="00C8474A">
      <w:pPr>
        <w:pStyle w:val="ChartandTableFootnoteAlpha"/>
        <w:numPr>
          <w:ilvl w:val="0"/>
          <w:numId w:val="23"/>
        </w:numPr>
        <w:spacing w:before="60" w:after="60"/>
        <w:ind w:left="284" w:hanging="284"/>
      </w:pPr>
      <w:r w:rsidRPr="00930570">
        <w:t>Estimates of distributions to be transferred from the Australian Government Investment Funds. This item</w:t>
      </w:r>
      <w:r>
        <w:t xml:space="preserve"> </w:t>
      </w:r>
      <w:r w:rsidRPr="00930570">
        <w:t>does not include equity payments. For more detail on each fund, refer to Tables 2.2.1.1 to 2.2.1.5</w:t>
      </w:r>
      <w:r>
        <w:t>.</w:t>
      </w:r>
    </w:p>
    <w:p w14:paraId="2239E359" w14:textId="12D7E9F5" w:rsidR="0034100B" w:rsidRPr="00930570" w:rsidRDefault="0034100B" w:rsidP="00C8474A">
      <w:pPr>
        <w:pStyle w:val="ChartandTableFootnoteAlpha"/>
        <w:numPr>
          <w:ilvl w:val="0"/>
          <w:numId w:val="23"/>
        </w:numPr>
        <w:spacing w:before="60" w:after="60"/>
        <w:ind w:left="284" w:hanging="284"/>
      </w:pPr>
      <w:r w:rsidRPr="00930570">
        <w:t>From 2010-11, the Government introduced net cash appropriation arrangements where Bill 1 revenue appropriations for the depreciation/amortisation expenses of non-corporate Commonwealth entities were replaced with a separate capital budget (ACB) provided through Bill 1 equity appropriations. For information regarding ACBs, please refer to Table 3.10 Administered Capital Budget Statement.</w:t>
      </w:r>
    </w:p>
    <w:p w14:paraId="2239E35A" w14:textId="77777777" w:rsidR="0034100B" w:rsidRPr="00930570" w:rsidRDefault="0034100B" w:rsidP="00C8474A">
      <w:pPr>
        <w:pStyle w:val="ChartandTableFootnoteAlpha"/>
        <w:numPr>
          <w:ilvl w:val="0"/>
          <w:numId w:val="23"/>
        </w:numPr>
        <w:spacing w:before="60" w:after="60"/>
        <w:ind w:left="284" w:hanging="284"/>
      </w:pPr>
      <w:r w:rsidRPr="00930570">
        <w:t>Includes earnings for the Australian Government Investment Funds and corporate Commonwealth entities.</w:t>
      </w:r>
    </w:p>
    <w:p w14:paraId="7F888FE9" w14:textId="77777777" w:rsidR="0091330B" w:rsidRDefault="0034100B" w:rsidP="00C8474A">
      <w:pPr>
        <w:pStyle w:val="ChartandTableFootnoteAlpha"/>
        <w:numPr>
          <w:ilvl w:val="0"/>
          <w:numId w:val="23"/>
        </w:numPr>
        <w:spacing w:before="60" w:after="60"/>
        <w:ind w:left="284" w:hanging="284"/>
      </w:pPr>
      <w:r w:rsidRPr="00930570">
        <w:t>Principally Commonwealth Superannuation Scheme (CSS) and Public Sector Superannuation Scheme (PSS) notional employer superannuation contributions.</w:t>
      </w:r>
      <w:r w:rsidR="0091330B">
        <w:br w:type="page"/>
      </w:r>
    </w:p>
    <w:p w14:paraId="2239E35E" w14:textId="7427B931" w:rsidR="00B3294A" w:rsidRPr="00930570" w:rsidRDefault="00D30CBA" w:rsidP="00FB00DA">
      <w:pPr>
        <w:pStyle w:val="ChartandTableFootnoteAlpha"/>
        <w:spacing w:before="60"/>
      </w:pPr>
      <w:r w:rsidRPr="0091330B">
        <w:rPr>
          <w:b/>
          <w:color w:val="auto"/>
          <w:sz w:val="20"/>
        </w:rPr>
        <w:lastRenderedPageBreak/>
        <w:t>Table</w:t>
      </w:r>
      <w:r w:rsidR="00971CBF" w:rsidRPr="0091330B">
        <w:rPr>
          <w:b/>
          <w:color w:val="auto"/>
          <w:sz w:val="20"/>
        </w:rPr>
        <w:t xml:space="preserve"> 3.</w:t>
      </w:r>
      <w:r w:rsidR="00B93884" w:rsidRPr="0091330B">
        <w:rPr>
          <w:b/>
          <w:color w:val="auto"/>
          <w:sz w:val="20"/>
        </w:rPr>
        <w:t>8</w:t>
      </w:r>
      <w:r w:rsidRPr="0091330B">
        <w:rPr>
          <w:b/>
          <w:color w:val="auto"/>
          <w:sz w:val="20"/>
        </w:rPr>
        <w:t xml:space="preserve">: Schedule of </w:t>
      </w:r>
      <w:r w:rsidR="0044552A" w:rsidRPr="0091330B">
        <w:rPr>
          <w:b/>
          <w:color w:val="auto"/>
          <w:sz w:val="20"/>
        </w:rPr>
        <w:t xml:space="preserve">budgeted assets and liabilities administered on behalf </w:t>
      </w:r>
      <w:r w:rsidR="002C7A63" w:rsidRPr="0091330B">
        <w:rPr>
          <w:b/>
          <w:color w:val="auto"/>
          <w:sz w:val="20"/>
        </w:rPr>
        <w:t>of G</w:t>
      </w:r>
      <w:r w:rsidRPr="0091330B">
        <w:rPr>
          <w:b/>
          <w:color w:val="auto"/>
          <w:sz w:val="20"/>
        </w:rPr>
        <w:t>overnment (as at 30 June)</w:t>
      </w:r>
      <w:r w:rsidR="001365E0" w:rsidRPr="001365E0">
        <w:rPr>
          <w:b/>
          <w:sz w:val="20"/>
        </w:rPr>
        <w:t xml:space="preserve"> </w:t>
      </w:r>
      <w:r w:rsidR="009E2894" w:rsidRPr="009E2894">
        <w:rPr>
          <w:b/>
          <w:noProof/>
          <w:sz w:val="20"/>
        </w:rPr>
        <w:drawing>
          <wp:inline distT="0" distB="0" distL="0" distR="0" wp14:anchorId="55CA1635" wp14:editId="3AA25F1A">
            <wp:extent cx="4895850" cy="4055385"/>
            <wp:effectExtent l="0" t="0" r="0" b="254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895850" cy="4055385"/>
                    </a:xfrm>
                    <a:prstGeom prst="rect">
                      <a:avLst/>
                    </a:prstGeom>
                    <a:noFill/>
                    <a:ln>
                      <a:noFill/>
                    </a:ln>
                  </pic:spPr>
                </pic:pic>
              </a:graphicData>
            </a:graphic>
          </wp:inline>
        </w:drawing>
      </w:r>
      <w:r w:rsidR="00B3294A" w:rsidRPr="00930570">
        <w:t>Prepared on Australian Accounting Standards basis.</w:t>
      </w:r>
    </w:p>
    <w:p w14:paraId="2239E35F" w14:textId="77777777" w:rsidR="00B3294A" w:rsidRPr="00930570" w:rsidRDefault="00B3294A" w:rsidP="00C8474A">
      <w:pPr>
        <w:pStyle w:val="ChartandTableFootnoteAlpha"/>
        <w:numPr>
          <w:ilvl w:val="0"/>
          <w:numId w:val="24"/>
        </w:numPr>
        <w:spacing w:before="60"/>
        <w:ind w:left="284" w:hanging="284"/>
      </w:pPr>
      <w:r w:rsidRPr="00930570">
        <w:t>Represents balance held in the DHA Borrowings Special Account 2020.</w:t>
      </w:r>
    </w:p>
    <w:p w14:paraId="2239E360" w14:textId="6DDD5F8E" w:rsidR="00B3294A" w:rsidRPr="00930570" w:rsidRDefault="00B3294A" w:rsidP="00C8474A">
      <w:pPr>
        <w:pStyle w:val="ChartandTableFootnoteAlpha"/>
        <w:numPr>
          <w:ilvl w:val="0"/>
          <w:numId w:val="24"/>
        </w:numPr>
        <w:spacing w:before="60"/>
        <w:ind w:left="284" w:hanging="284"/>
      </w:pPr>
      <w:r w:rsidRPr="00930570">
        <w:t>Represents investments in the Australian Government Investment Funds</w:t>
      </w:r>
      <w:r w:rsidR="00230F9E">
        <w:t xml:space="preserve"> and </w:t>
      </w:r>
      <w:r w:rsidRPr="00930570">
        <w:t>Commonwealth entities that are</w:t>
      </w:r>
      <w:r>
        <w:t xml:space="preserve"> 100% owned by the Commonwealth.</w:t>
      </w:r>
    </w:p>
    <w:p w14:paraId="44B27416" w14:textId="474648D2" w:rsidR="00024324" w:rsidRDefault="00B3294A" w:rsidP="00C8474A">
      <w:pPr>
        <w:pStyle w:val="ChartandTableFootnoteAlpha"/>
        <w:numPr>
          <w:ilvl w:val="0"/>
          <w:numId w:val="24"/>
        </w:numPr>
        <w:spacing w:before="60"/>
        <w:ind w:left="284" w:hanging="284"/>
        <w:rPr>
          <w:i/>
        </w:rPr>
      </w:pPr>
      <w:r w:rsidRPr="00930570">
        <w:t>Represents Life Gold Pass Holders liabilities and employee provisio</w:t>
      </w:r>
      <w:r>
        <w:t xml:space="preserve">ns for staff employed under the </w:t>
      </w:r>
      <w:r w:rsidR="00FB00DA" w:rsidRPr="00FB00DA">
        <w:t>MOP(S) Act</w:t>
      </w:r>
      <w:r w:rsidRPr="00362CFE">
        <w:rPr>
          <w:i/>
        </w:rPr>
        <w:t>.</w:t>
      </w:r>
      <w:bookmarkStart w:id="88" w:name="OLE_LINK1"/>
      <w:r w:rsidR="00024324">
        <w:rPr>
          <w:i/>
        </w:rPr>
        <w:br w:type="page"/>
      </w:r>
    </w:p>
    <w:p w14:paraId="70603960" w14:textId="275813D4" w:rsidR="005534AF" w:rsidRPr="001365E0" w:rsidRDefault="00C41D55" w:rsidP="001365E0">
      <w:pPr>
        <w:pStyle w:val="ChartandTableFootnoteAlpha"/>
      </w:pPr>
      <w:r w:rsidRPr="00024324">
        <w:rPr>
          <w:b/>
          <w:color w:val="auto"/>
          <w:sz w:val="20"/>
        </w:rPr>
        <w:lastRenderedPageBreak/>
        <w:t>Table</w:t>
      </w:r>
      <w:r w:rsidR="00971CBF" w:rsidRPr="00024324">
        <w:rPr>
          <w:b/>
          <w:color w:val="auto"/>
          <w:sz w:val="20"/>
        </w:rPr>
        <w:t xml:space="preserve"> 3.</w:t>
      </w:r>
      <w:r w:rsidR="00F81CE4" w:rsidRPr="00024324">
        <w:rPr>
          <w:b/>
          <w:color w:val="auto"/>
          <w:sz w:val="20"/>
        </w:rPr>
        <w:t>9</w:t>
      </w:r>
      <w:r w:rsidRPr="00024324">
        <w:rPr>
          <w:b/>
          <w:color w:val="auto"/>
          <w:sz w:val="20"/>
        </w:rPr>
        <w:t xml:space="preserve">: Schedule of </w:t>
      </w:r>
      <w:r w:rsidR="0044552A" w:rsidRPr="00024324">
        <w:rPr>
          <w:b/>
          <w:color w:val="auto"/>
          <w:sz w:val="20"/>
        </w:rPr>
        <w:t xml:space="preserve">budgeted administered cash flows </w:t>
      </w:r>
      <w:r w:rsidRPr="00024324">
        <w:rPr>
          <w:b/>
          <w:color w:val="auto"/>
          <w:sz w:val="20"/>
        </w:rPr>
        <w:t>(for</w:t>
      </w:r>
      <w:r w:rsidR="0044552A" w:rsidRPr="00024324">
        <w:rPr>
          <w:b/>
          <w:color w:val="auto"/>
          <w:sz w:val="20"/>
        </w:rPr>
        <w:t> the </w:t>
      </w:r>
      <w:r w:rsidRPr="00024324">
        <w:rPr>
          <w:b/>
          <w:color w:val="auto"/>
          <w:sz w:val="20"/>
        </w:rPr>
        <w:t>period ended 30 June)</w:t>
      </w:r>
      <w:r w:rsidR="00F0680D" w:rsidRPr="00F0680D">
        <w:rPr>
          <w:b/>
          <w:sz w:val="20"/>
        </w:rPr>
        <w:t xml:space="preserve"> </w:t>
      </w:r>
      <w:r w:rsidR="00C351F5" w:rsidRPr="00C351F5">
        <w:rPr>
          <w:b/>
          <w:noProof/>
          <w:sz w:val="20"/>
        </w:rPr>
        <w:drawing>
          <wp:inline distT="0" distB="0" distL="0" distR="0" wp14:anchorId="23967600" wp14:editId="074EBC8F">
            <wp:extent cx="4895850" cy="4763859"/>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895850" cy="4763859"/>
                    </a:xfrm>
                    <a:prstGeom prst="rect">
                      <a:avLst/>
                    </a:prstGeom>
                    <a:noFill/>
                    <a:ln>
                      <a:noFill/>
                    </a:ln>
                  </pic:spPr>
                </pic:pic>
              </a:graphicData>
            </a:graphic>
          </wp:inline>
        </w:drawing>
      </w:r>
      <w:r w:rsidR="00630B9A" w:rsidRPr="00020766">
        <w:rPr>
          <w:rFonts w:cs="Arial"/>
          <w:noProof/>
          <w:szCs w:val="16"/>
          <w:lang w:eastAsia="zh-CN"/>
        </w:rPr>
        <w:t>Table continues on next page</w:t>
      </w:r>
      <w:bookmarkEnd w:id="88"/>
      <w:r w:rsidR="005534AF">
        <w:rPr>
          <w:rFonts w:cs="Arial"/>
          <w:noProof/>
          <w:szCs w:val="16"/>
          <w:lang w:eastAsia="zh-CN"/>
        </w:rPr>
        <w:br w:type="page"/>
      </w:r>
    </w:p>
    <w:p w14:paraId="3705A1F4" w14:textId="77777777" w:rsidR="00850C94" w:rsidRDefault="00C41D55" w:rsidP="00FB00DA">
      <w:pPr>
        <w:pStyle w:val="NoSpacing"/>
        <w:spacing w:before="60"/>
        <w:rPr>
          <w:rFonts w:ascii="Arial" w:hAnsi="Arial"/>
          <w:b/>
          <w:sz w:val="20"/>
        </w:rPr>
      </w:pPr>
      <w:r w:rsidRPr="005534AF">
        <w:rPr>
          <w:rFonts w:ascii="Arial" w:hAnsi="Arial"/>
          <w:b/>
          <w:sz w:val="20"/>
        </w:rPr>
        <w:lastRenderedPageBreak/>
        <w:t>Table</w:t>
      </w:r>
      <w:r w:rsidR="00971CBF" w:rsidRPr="005534AF">
        <w:rPr>
          <w:rFonts w:ascii="Arial" w:hAnsi="Arial"/>
          <w:b/>
          <w:sz w:val="20"/>
        </w:rPr>
        <w:t xml:space="preserve"> 3.</w:t>
      </w:r>
      <w:r w:rsidR="00F81CE4" w:rsidRPr="005534AF">
        <w:rPr>
          <w:rFonts w:ascii="Arial" w:hAnsi="Arial"/>
          <w:b/>
          <w:sz w:val="20"/>
        </w:rPr>
        <w:t>9</w:t>
      </w:r>
      <w:r w:rsidRPr="005534AF">
        <w:rPr>
          <w:rFonts w:ascii="Arial" w:hAnsi="Arial"/>
          <w:b/>
          <w:sz w:val="20"/>
        </w:rPr>
        <w:t xml:space="preserve">: Schedule of </w:t>
      </w:r>
      <w:r w:rsidR="00A20C5D" w:rsidRPr="005534AF">
        <w:rPr>
          <w:rFonts w:ascii="Arial" w:hAnsi="Arial"/>
          <w:b/>
          <w:sz w:val="20"/>
        </w:rPr>
        <w:t xml:space="preserve">budgeted administered cash flows </w:t>
      </w:r>
      <w:r w:rsidRPr="005534AF">
        <w:rPr>
          <w:rFonts w:ascii="Arial" w:hAnsi="Arial"/>
          <w:b/>
          <w:sz w:val="20"/>
        </w:rPr>
        <w:t>(for the period ended 30 June) (continued)</w:t>
      </w:r>
    </w:p>
    <w:p w14:paraId="2239E36B" w14:textId="09A6721B" w:rsidR="00444E4C" w:rsidRPr="00D50CDA" w:rsidRDefault="00C351F5" w:rsidP="00FB00DA">
      <w:pPr>
        <w:pStyle w:val="NoSpacing"/>
        <w:spacing w:before="60"/>
        <w:rPr>
          <w:rFonts w:ascii="Arial" w:hAnsi="Arial"/>
          <w:b/>
          <w:sz w:val="20"/>
        </w:rPr>
      </w:pPr>
      <w:r w:rsidRPr="00C351F5">
        <w:rPr>
          <w:rFonts w:ascii="Arial" w:hAnsi="Arial" w:cs="Arial"/>
          <w:noProof/>
          <w:sz w:val="16"/>
          <w:szCs w:val="16"/>
        </w:rPr>
        <w:drawing>
          <wp:inline distT="0" distB="0" distL="0" distR="0" wp14:anchorId="05556F51" wp14:editId="4D29CD4A">
            <wp:extent cx="4895850" cy="3472238"/>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895850" cy="3472238"/>
                    </a:xfrm>
                    <a:prstGeom prst="rect">
                      <a:avLst/>
                    </a:prstGeom>
                    <a:noFill/>
                    <a:ln>
                      <a:noFill/>
                    </a:ln>
                  </pic:spPr>
                </pic:pic>
              </a:graphicData>
            </a:graphic>
          </wp:inline>
        </w:drawing>
      </w:r>
      <w:r w:rsidR="00B94ADF" w:rsidRPr="00D50CDA">
        <w:rPr>
          <w:rFonts w:ascii="Arial" w:hAnsi="Arial" w:cs="Arial"/>
          <w:sz w:val="16"/>
          <w:szCs w:val="16"/>
        </w:rPr>
        <w:t>Prepared on Australian Accounting Standards basis.</w:t>
      </w:r>
    </w:p>
    <w:p w14:paraId="2239E36C" w14:textId="77777777" w:rsidR="00444E4C" w:rsidRPr="00930570" w:rsidRDefault="00444E4C" w:rsidP="00C8474A">
      <w:pPr>
        <w:pStyle w:val="ChartandTableFootnoteAlpha"/>
        <w:numPr>
          <w:ilvl w:val="0"/>
          <w:numId w:val="25"/>
        </w:numPr>
        <w:spacing w:before="60"/>
        <w:ind w:left="284" w:hanging="284"/>
      </w:pPr>
      <w:r w:rsidRPr="00930570">
        <w:t>Estimates include interest earnings for the Australian Government Investment Funds. For more detail on the interest estimates for each fund, refer to Tables 2.2.1.1 to 2.2.1.5.</w:t>
      </w:r>
    </w:p>
    <w:p w14:paraId="2239E36D" w14:textId="77777777" w:rsidR="00444E4C" w:rsidRPr="00930570" w:rsidRDefault="00444E4C" w:rsidP="00C8474A">
      <w:pPr>
        <w:pStyle w:val="ChartandTableFootnoteAlpha"/>
        <w:numPr>
          <w:ilvl w:val="0"/>
          <w:numId w:val="25"/>
        </w:numPr>
        <w:spacing w:before="60"/>
        <w:ind w:left="284" w:hanging="284"/>
      </w:pPr>
      <w:r w:rsidRPr="00930570">
        <w:t>Primarily represents the CSS and PSS notional employer contributions.</w:t>
      </w:r>
    </w:p>
    <w:p w14:paraId="2239E36E" w14:textId="77777777" w:rsidR="00444E4C" w:rsidRPr="00930570" w:rsidRDefault="00444E4C" w:rsidP="00C8474A">
      <w:pPr>
        <w:pStyle w:val="ChartandTableFootnoteAlpha"/>
        <w:numPr>
          <w:ilvl w:val="0"/>
          <w:numId w:val="25"/>
        </w:numPr>
        <w:spacing w:before="60"/>
        <w:ind w:left="284" w:hanging="284"/>
      </w:pPr>
      <w:r w:rsidRPr="00930570">
        <w:t>Primarily represents offsets from the CSS and PSS funds and return of overpaid benefits.</w:t>
      </w:r>
    </w:p>
    <w:p w14:paraId="2239E36F" w14:textId="6ACC6B02" w:rsidR="00444E4C" w:rsidRPr="00930570" w:rsidRDefault="00444E4C" w:rsidP="00C8474A">
      <w:pPr>
        <w:pStyle w:val="ChartandTableFootnoteAlpha"/>
        <w:numPr>
          <w:ilvl w:val="0"/>
          <w:numId w:val="25"/>
        </w:numPr>
        <w:spacing w:before="60"/>
        <w:ind w:left="284" w:hanging="284"/>
      </w:pPr>
      <w:r w:rsidRPr="00930570">
        <w:t xml:space="preserve">Represents expenditure on staff employed under the </w:t>
      </w:r>
      <w:r w:rsidR="00FB00DA" w:rsidRPr="00FB00DA">
        <w:t>MOP(S) Act</w:t>
      </w:r>
      <w:r w:rsidRPr="00FB00DA">
        <w:t>.</w:t>
      </w:r>
    </w:p>
    <w:p w14:paraId="2239E370" w14:textId="77777777" w:rsidR="00444E4C" w:rsidRPr="00930570" w:rsidRDefault="00444E4C" w:rsidP="00C8474A">
      <w:pPr>
        <w:pStyle w:val="ChartandTableFootnoteAlpha"/>
        <w:numPr>
          <w:ilvl w:val="0"/>
          <w:numId w:val="25"/>
        </w:numPr>
        <w:spacing w:before="60"/>
        <w:ind w:left="284" w:hanging="284"/>
      </w:pPr>
      <w:r w:rsidRPr="00930570">
        <w:t>Distributions from the Investment Funds represents estimates of cash payments from the Funds to other entities and the Consolidated Revenue Fund.</w:t>
      </w:r>
    </w:p>
    <w:p w14:paraId="4375AD8E" w14:textId="77777777" w:rsidR="00FE3B19" w:rsidRDefault="00444E4C" w:rsidP="00C8474A">
      <w:pPr>
        <w:pStyle w:val="ChartandTableFootnoteAlpha"/>
        <w:numPr>
          <w:ilvl w:val="0"/>
          <w:numId w:val="25"/>
        </w:numPr>
        <w:spacing w:before="60"/>
        <w:ind w:left="284" w:hanging="284"/>
        <w:rPr>
          <w:rFonts w:cs="Arial"/>
          <w:szCs w:val="16"/>
        </w:rPr>
      </w:pPr>
      <w:r w:rsidRPr="00930570">
        <w:t>Expenditure associated with unfunded liabilities for the government’s civilian superannuation schemes</w:t>
      </w:r>
      <w:r w:rsidRPr="00DD692B">
        <w:rPr>
          <w:rFonts w:cs="Arial"/>
          <w:szCs w:val="16"/>
        </w:rPr>
        <w:t>.</w:t>
      </w:r>
      <w:r w:rsidR="00FE3B19">
        <w:rPr>
          <w:rFonts w:cs="Arial"/>
          <w:szCs w:val="16"/>
        </w:rPr>
        <w:br w:type="page"/>
      </w:r>
    </w:p>
    <w:p w14:paraId="2239E375" w14:textId="348E702A" w:rsidR="00FE2022" w:rsidRPr="00D50CDA" w:rsidRDefault="00715A32" w:rsidP="00744546">
      <w:pPr>
        <w:pStyle w:val="ChartandTableFootnoteAlpha"/>
        <w:spacing w:after="60"/>
        <w:rPr>
          <w:rFonts w:cs="Arial"/>
          <w:szCs w:val="16"/>
        </w:rPr>
      </w:pPr>
      <w:r w:rsidRPr="00FE3B19">
        <w:rPr>
          <w:b/>
          <w:color w:val="auto"/>
          <w:sz w:val="20"/>
        </w:rPr>
        <w:lastRenderedPageBreak/>
        <w:t>Table</w:t>
      </w:r>
      <w:r w:rsidR="00971CBF" w:rsidRPr="00FE3B19">
        <w:rPr>
          <w:b/>
          <w:color w:val="auto"/>
          <w:sz w:val="20"/>
        </w:rPr>
        <w:t xml:space="preserve"> 3.</w:t>
      </w:r>
      <w:r w:rsidRPr="00FE3B19">
        <w:rPr>
          <w:b/>
          <w:color w:val="auto"/>
          <w:sz w:val="20"/>
        </w:rPr>
        <w:t>1</w:t>
      </w:r>
      <w:r w:rsidR="00F81CE4" w:rsidRPr="00FE3B19">
        <w:rPr>
          <w:b/>
          <w:color w:val="auto"/>
          <w:sz w:val="20"/>
        </w:rPr>
        <w:t>0</w:t>
      </w:r>
      <w:r w:rsidRPr="00FE3B19">
        <w:rPr>
          <w:b/>
          <w:color w:val="auto"/>
          <w:sz w:val="20"/>
        </w:rPr>
        <w:t xml:space="preserve">: </w:t>
      </w:r>
      <w:r w:rsidR="000D28EB" w:rsidRPr="00FE3B19">
        <w:rPr>
          <w:b/>
          <w:color w:val="auto"/>
          <w:sz w:val="20"/>
        </w:rPr>
        <w:t>Schedule of administered</w:t>
      </w:r>
      <w:r w:rsidRPr="00FE3B19">
        <w:rPr>
          <w:b/>
          <w:color w:val="auto"/>
          <w:sz w:val="20"/>
        </w:rPr>
        <w:t xml:space="preserve"> </w:t>
      </w:r>
      <w:r w:rsidR="00A20C5D" w:rsidRPr="00FE3B19">
        <w:rPr>
          <w:b/>
          <w:color w:val="auto"/>
          <w:sz w:val="20"/>
        </w:rPr>
        <w:t>capital budget statement</w:t>
      </w:r>
      <w:r w:rsidR="00EB1B80" w:rsidRPr="00FE3B19">
        <w:rPr>
          <w:b/>
          <w:color w:val="auto"/>
          <w:sz w:val="20"/>
        </w:rPr>
        <w:t xml:space="preserve"> (for the period </w:t>
      </w:r>
      <w:r w:rsidR="001B7BAD" w:rsidRPr="00FE3B19">
        <w:rPr>
          <w:b/>
          <w:color w:val="auto"/>
          <w:sz w:val="20"/>
        </w:rPr>
        <w:t>ended</w:t>
      </w:r>
      <w:r w:rsidR="00EB1B80" w:rsidRPr="00FE3B19">
        <w:rPr>
          <w:b/>
          <w:color w:val="auto"/>
          <w:sz w:val="20"/>
        </w:rPr>
        <w:t xml:space="preserve"> 30 June)</w:t>
      </w:r>
      <w:r w:rsidR="00F0680D" w:rsidRPr="00F0680D">
        <w:rPr>
          <w:b/>
          <w:sz w:val="20"/>
        </w:rPr>
        <w:t xml:space="preserve"> </w:t>
      </w:r>
      <w:r w:rsidR="00305CB2" w:rsidRPr="00305CB2">
        <w:rPr>
          <w:b/>
          <w:noProof/>
          <w:sz w:val="20"/>
        </w:rPr>
        <w:drawing>
          <wp:inline distT="0" distB="0" distL="0" distR="0" wp14:anchorId="68B5DC3F" wp14:editId="1D200A68">
            <wp:extent cx="4895850" cy="311120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895850" cy="3111205"/>
                    </a:xfrm>
                    <a:prstGeom prst="rect">
                      <a:avLst/>
                    </a:prstGeom>
                    <a:noFill/>
                    <a:ln>
                      <a:noFill/>
                    </a:ln>
                  </pic:spPr>
                </pic:pic>
              </a:graphicData>
            </a:graphic>
          </wp:inline>
        </w:drawing>
      </w:r>
      <w:r w:rsidR="00FE2022" w:rsidRPr="00B7521F">
        <w:t>Prepared on Australian Accounting Standards basis.</w:t>
      </w:r>
    </w:p>
    <w:p w14:paraId="025057AF" w14:textId="669238B6" w:rsidR="00AD5F5E" w:rsidRDefault="00AD5F5E" w:rsidP="00AD5F5E">
      <w:pPr>
        <w:pStyle w:val="ChartandTableFootnoteAlpha"/>
        <w:numPr>
          <w:ilvl w:val="0"/>
          <w:numId w:val="26"/>
        </w:numPr>
        <w:spacing w:before="60"/>
        <w:ind w:left="284" w:hanging="284"/>
      </w:pPr>
      <w:r w:rsidRPr="00444E4C">
        <w:t>Includes purchases from current and previous years’ ACBs.</w:t>
      </w:r>
    </w:p>
    <w:p w14:paraId="2239E376" w14:textId="77777777" w:rsidR="000712EE" w:rsidRPr="00444E4C" w:rsidRDefault="000712EE" w:rsidP="00C8474A">
      <w:pPr>
        <w:pStyle w:val="ChartandTableFootnoteAlpha"/>
        <w:numPr>
          <w:ilvl w:val="0"/>
          <w:numId w:val="26"/>
        </w:numPr>
        <w:spacing w:before="60"/>
        <w:ind w:left="284" w:hanging="284"/>
      </w:pPr>
      <w:r w:rsidRPr="00444E4C">
        <w:t xml:space="preserve">Includes both current Bill 2 and prior Act 2/4/6 appropriations and </w:t>
      </w:r>
      <w:r w:rsidR="00273D98" w:rsidRPr="00444E4C">
        <w:t>special capital appropriations.</w:t>
      </w:r>
    </w:p>
    <w:p w14:paraId="2239E387" w14:textId="4C49C20F" w:rsidR="002E5D24" w:rsidRPr="001365E0" w:rsidRDefault="00B32AAC" w:rsidP="001365E0">
      <w:pPr>
        <w:pStyle w:val="ChartandTableFootnote-Dash"/>
        <w:ind w:left="0" w:firstLine="0"/>
        <w:rPr>
          <w:b/>
          <w:sz w:val="20"/>
        </w:rPr>
      </w:pPr>
      <w:r w:rsidRPr="001365E0">
        <w:rPr>
          <w:b/>
          <w:sz w:val="20"/>
        </w:rPr>
        <w:lastRenderedPageBreak/>
        <w:t xml:space="preserve">Table 3.11: Statement of administered asset movements (Budget year </w:t>
      </w:r>
      <w:r w:rsidR="00151975" w:rsidRPr="001365E0">
        <w:rPr>
          <w:b/>
          <w:sz w:val="20"/>
        </w:rPr>
        <w:t>2022</w:t>
      </w:r>
      <w:r w:rsidR="007E3AC7" w:rsidRPr="001365E0">
        <w:rPr>
          <w:b/>
          <w:sz w:val="20"/>
        </w:rPr>
        <w:t>-</w:t>
      </w:r>
      <w:r w:rsidR="00151975" w:rsidRPr="001365E0">
        <w:rPr>
          <w:b/>
          <w:sz w:val="20"/>
        </w:rPr>
        <w:t>23</w:t>
      </w:r>
      <w:r w:rsidR="00D50CDA" w:rsidRPr="001365E0">
        <w:rPr>
          <w:b/>
          <w:sz w:val="20"/>
        </w:rPr>
        <w:t>)</w:t>
      </w:r>
      <w:r w:rsidR="001365E0" w:rsidRPr="001365E0">
        <w:rPr>
          <w:b/>
          <w:sz w:val="20"/>
        </w:rPr>
        <w:t xml:space="preserve"> </w:t>
      </w:r>
      <w:r w:rsidR="003D0CC8" w:rsidRPr="003D0CC8">
        <w:rPr>
          <w:b/>
          <w:noProof/>
          <w:sz w:val="20"/>
        </w:rPr>
        <w:drawing>
          <wp:inline distT="0" distB="0" distL="0" distR="0" wp14:anchorId="47B72F9E" wp14:editId="3476548B">
            <wp:extent cx="4895850" cy="4083138"/>
            <wp:effectExtent l="0" t="0" r="0" b="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895850" cy="4083138"/>
                    </a:xfrm>
                    <a:prstGeom prst="rect">
                      <a:avLst/>
                    </a:prstGeom>
                    <a:noFill/>
                    <a:ln>
                      <a:noFill/>
                    </a:ln>
                  </pic:spPr>
                </pic:pic>
              </a:graphicData>
            </a:graphic>
          </wp:inline>
        </w:drawing>
      </w:r>
      <w:r w:rsidR="002E5D24" w:rsidRPr="00E4582E">
        <w:t>Prepared on Australian Accounting Standards basis</w:t>
      </w:r>
      <w:r w:rsidR="002E5D24">
        <w:t>.</w:t>
      </w:r>
    </w:p>
    <w:p w14:paraId="2239E388" w14:textId="265297E1" w:rsidR="00C31E81" w:rsidRDefault="008E07C6" w:rsidP="00C8474A">
      <w:pPr>
        <w:pStyle w:val="ChartandTableFootnoteAlpha"/>
        <w:numPr>
          <w:ilvl w:val="0"/>
          <w:numId w:val="27"/>
        </w:numPr>
        <w:spacing w:before="60"/>
        <w:ind w:left="284" w:hanging="284"/>
      </w:pPr>
      <w:r>
        <w:t>‘</w:t>
      </w:r>
      <w:r w:rsidR="00C31E81">
        <w:t>Appropriation equity</w:t>
      </w:r>
      <w:r>
        <w:t>’</w:t>
      </w:r>
      <w:r w:rsidR="00C31E81">
        <w:t xml:space="preserve"> refers to Administered Assets and Liabilities provided through</w:t>
      </w:r>
      <w:r w:rsidR="0041581E">
        <w:t xml:space="preserve"> Appropriation Bill (No</w:t>
      </w:r>
      <w:r w:rsidR="00A20A6B">
        <w:t xml:space="preserve">. 2) </w:t>
      </w:r>
      <w:r w:rsidR="007E3AC7">
        <w:t>202</w:t>
      </w:r>
      <w:r w:rsidR="006F1592">
        <w:t>2</w:t>
      </w:r>
      <w:r w:rsidR="007E3AC7">
        <w:t>-2</w:t>
      </w:r>
      <w:r w:rsidR="006F1592">
        <w:t>3</w:t>
      </w:r>
      <w:r w:rsidR="00C31E81">
        <w:t>, includes D</w:t>
      </w:r>
      <w:r w:rsidR="009047AE">
        <w:t>C</w:t>
      </w:r>
      <w:r w:rsidR="00C31E81">
        <w:t>B.</w:t>
      </w:r>
    </w:p>
    <w:p w14:paraId="2239E389" w14:textId="10BC5C7A" w:rsidR="00C31E81" w:rsidRDefault="008E07C6" w:rsidP="00C8474A">
      <w:pPr>
        <w:pStyle w:val="ChartandTableFootnoteAlpha"/>
        <w:numPr>
          <w:ilvl w:val="0"/>
          <w:numId w:val="27"/>
        </w:numPr>
        <w:spacing w:before="60"/>
        <w:ind w:left="284" w:hanging="284"/>
      </w:pPr>
      <w:r>
        <w:t>‘</w:t>
      </w:r>
      <w:r w:rsidR="00C31E81">
        <w:t>Appropriation ordinary annual services</w:t>
      </w:r>
      <w:r>
        <w:t>’</w:t>
      </w:r>
      <w:r w:rsidR="00C31E81">
        <w:t xml:space="preserve"> refers to funding provided through Appropriation </w:t>
      </w:r>
      <w:r w:rsidR="00A20A6B">
        <w:t xml:space="preserve">Bill (No. 1) </w:t>
      </w:r>
      <w:r w:rsidR="007E3AC7">
        <w:t>202</w:t>
      </w:r>
      <w:r w:rsidR="006F1592">
        <w:t>2</w:t>
      </w:r>
      <w:r w:rsidR="007E3AC7">
        <w:t>-2</w:t>
      </w:r>
      <w:r w:rsidR="006F1592">
        <w:t>3</w:t>
      </w:r>
      <w:r w:rsidR="00C31E81">
        <w:t xml:space="preserve"> for depreciation/amortisation expenses, </w:t>
      </w:r>
      <w:r w:rsidR="0030032D">
        <w:t xml:space="preserve">ACB </w:t>
      </w:r>
      <w:r w:rsidR="00B32AAC">
        <w:t>or other operational expenses.</w:t>
      </w:r>
    </w:p>
    <w:p w14:paraId="2239E38A" w14:textId="72AD9DEA" w:rsidR="00C17B32" w:rsidRDefault="00C31E81" w:rsidP="00C8474A">
      <w:pPr>
        <w:pStyle w:val="ChartandTableFootnoteAlpha"/>
        <w:numPr>
          <w:ilvl w:val="0"/>
          <w:numId w:val="27"/>
        </w:numPr>
        <w:spacing w:before="60"/>
        <w:ind w:left="284" w:hanging="284"/>
      </w:pPr>
      <w:r>
        <w:t>Net proceeds may be returned to the O</w:t>
      </w:r>
      <w:r w:rsidR="009047AE">
        <w:t xml:space="preserve">fficial </w:t>
      </w:r>
      <w:r>
        <w:t>P</w:t>
      </w:r>
      <w:r w:rsidR="009047AE">
        <w:t xml:space="preserve">ublic </w:t>
      </w:r>
      <w:r>
        <w:t>A</w:t>
      </w:r>
      <w:r w:rsidR="009047AE">
        <w:t>ccount</w:t>
      </w:r>
      <w:r>
        <w:t>.</w:t>
      </w:r>
    </w:p>
    <w:p w14:paraId="2239E38B" w14:textId="77777777" w:rsidR="005C224F" w:rsidRDefault="005C224F" w:rsidP="009763C1"/>
    <w:bookmarkEnd w:id="3"/>
    <w:p w14:paraId="2239E38C" w14:textId="170A5AD3" w:rsidR="00583D2C" w:rsidRDefault="00583D2C" w:rsidP="009763C1"/>
    <w:p w14:paraId="057F43BA" w14:textId="77777777" w:rsidR="00583D2C" w:rsidRPr="00583D2C" w:rsidRDefault="00583D2C" w:rsidP="00583D2C"/>
    <w:p w14:paraId="034B016F" w14:textId="60187BF1" w:rsidR="00583D2C" w:rsidRDefault="00583D2C" w:rsidP="00583D2C"/>
    <w:p w14:paraId="2657C124" w14:textId="2D45BD2F" w:rsidR="00BF0558" w:rsidRPr="00583D2C" w:rsidRDefault="00583D2C" w:rsidP="00583D2C">
      <w:pPr>
        <w:tabs>
          <w:tab w:val="left" w:pos="4471"/>
        </w:tabs>
      </w:pPr>
      <w:r>
        <w:tab/>
      </w:r>
    </w:p>
    <w:sectPr w:rsidR="00BF0558" w:rsidRPr="00583D2C" w:rsidSect="000E65C4">
      <w:headerReference w:type="even" r:id="rId47"/>
      <w:headerReference w:type="default" r:id="rId48"/>
      <w:footerReference w:type="default" r:id="rId49"/>
      <w:headerReference w:type="first" r:id="rId50"/>
      <w:footerReference w:type="first" r:id="rId51"/>
      <w:type w:val="oddPage"/>
      <w:pgSz w:w="11906" w:h="16838" w:code="9"/>
      <w:pgMar w:top="2835" w:right="2098" w:bottom="2466" w:left="2098" w:header="1814" w:footer="1814"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9EB9D" w14:textId="77777777" w:rsidR="00BB564F" w:rsidRDefault="00BB564F" w:rsidP="00C07DEC">
      <w:r>
        <w:separator/>
      </w:r>
    </w:p>
  </w:endnote>
  <w:endnote w:type="continuationSeparator" w:id="0">
    <w:p w14:paraId="2239EB9E" w14:textId="77777777" w:rsidR="00BB564F" w:rsidRDefault="00BB564F"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3E54D" w14:textId="272775A8" w:rsidR="00BB564F" w:rsidRPr="00C163EF" w:rsidRDefault="00BB564F" w:rsidP="00C163EF">
    <w:pPr>
      <w:pStyle w:val="FooterEven"/>
      <w:rPr>
        <w:color w:val="000000"/>
      </w:rPr>
    </w:pPr>
    <w:r w:rsidRPr="001C6402">
      <w:rPr>
        <w:rStyle w:val="PageNumber"/>
        <w:rFonts w:cs="Times New Roman"/>
        <w:b/>
        <w:bCs/>
        <w:color w:val="000000"/>
      </w:rPr>
      <w:t xml:space="preserve">Page </w:t>
    </w:r>
    <w:r w:rsidRPr="001C6402">
      <w:rPr>
        <w:rStyle w:val="PageNumber"/>
        <w:rFonts w:cs="Times New Roman"/>
        <w:b/>
        <w:bCs/>
        <w:color w:val="000000"/>
      </w:rPr>
      <w:fldChar w:fldCharType="begin"/>
    </w:r>
    <w:r w:rsidRPr="001C6402">
      <w:rPr>
        <w:rStyle w:val="PageNumber"/>
        <w:rFonts w:cs="Times New Roman"/>
        <w:b/>
        <w:bCs/>
        <w:color w:val="000000"/>
      </w:rPr>
      <w:instrText xml:space="preserve"> PAGE </w:instrText>
    </w:r>
    <w:r w:rsidRPr="001C6402">
      <w:rPr>
        <w:rStyle w:val="PageNumber"/>
        <w:rFonts w:cs="Times New Roman"/>
        <w:b/>
        <w:bCs/>
        <w:color w:val="000000"/>
      </w:rPr>
      <w:fldChar w:fldCharType="separate"/>
    </w:r>
    <w:r w:rsidR="00A01763">
      <w:rPr>
        <w:rStyle w:val="PageNumber"/>
        <w:rFonts w:cs="Times New Roman"/>
        <w:b/>
        <w:bCs/>
        <w:noProof/>
        <w:color w:val="000000"/>
      </w:rPr>
      <w:t>16</w:t>
    </w:r>
    <w:r w:rsidRPr="001C6402">
      <w:rPr>
        <w:rStyle w:val="PageNumber"/>
        <w:rFonts w:cs="Times New Roman"/>
        <w:b/>
        <w:bCs/>
        <w:color w:val="000000"/>
      </w:rPr>
      <w:fldChar w:fldCharType="end"/>
    </w:r>
    <w:r>
      <w:rPr>
        <w:rStyle w:val="PageNumber"/>
        <w:rFonts w:cs="Times New Roman"/>
        <w:color w:val="000000"/>
      </w:rPr>
      <w:t xml:space="preserve">  | </w:t>
    </w:r>
    <w:r w:rsidRPr="001C6402">
      <w:rPr>
        <w:rStyle w:val="PageNumber"/>
        <w:rFonts w:cs="Times New Roman"/>
        <w:color w:val="000000"/>
      </w:rPr>
      <w:fldChar w:fldCharType="begin"/>
    </w:r>
    <w:r w:rsidRPr="001C6402">
      <w:rPr>
        <w:rStyle w:val="PageNumber"/>
        <w:rFonts w:cs="Times New Roman"/>
        <w:color w:val="000000"/>
      </w:rPr>
      <w:instrText xml:space="preserve"> STYLEREF  "Heading 1"  \* MERGEFORMAT </w:instrText>
    </w:r>
    <w:r w:rsidRPr="001C6402">
      <w:rPr>
        <w:rStyle w:val="PageNumber"/>
        <w:rFonts w:cs="Times New Roman"/>
        <w:color w:val="000000"/>
      </w:rPr>
      <w:fldChar w:fldCharType="separate"/>
    </w:r>
    <w:r w:rsidR="00A01763">
      <w:rPr>
        <w:rStyle w:val="PageNumber"/>
        <w:rFonts w:cs="Times New Roman"/>
        <w:noProof/>
        <w:color w:val="000000"/>
      </w:rPr>
      <w:t>Department of Finance</w:t>
    </w:r>
    <w:r w:rsidRPr="001C6402">
      <w:rPr>
        <w:rStyle w:val="PageNumber"/>
        <w:rFonts w:cs="Times New Roman"/>
        <w:color w:val="000000"/>
      </w:rPr>
      <w:fldChar w:fldCharType="end"/>
    </w:r>
    <w:r w:rsidRPr="001C6402">
      <w:rPr>
        <w:rStyle w:val="PageNumber"/>
        <w:rFonts w:cs="Times New Roman"/>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BC4AC" w14:textId="438695C8" w:rsidR="00BB564F" w:rsidRPr="003606D1" w:rsidRDefault="00BB564F" w:rsidP="00DE4042">
    <w:pPr>
      <w:pStyle w:val="FooterOdd"/>
      <w:rPr>
        <w:rStyle w:val="PageNumber"/>
        <w:rFonts w:cs="Times New Roman"/>
        <w:noProof/>
      </w:rPr>
    </w:pPr>
    <w:r w:rsidRPr="0047110B">
      <w:rPr>
        <w:rStyle w:val="PageNumber"/>
        <w:rFonts w:cs="Times New Roman"/>
        <w:noProof/>
      </w:rPr>
      <w:fldChar w:fldCharType="begin"/>
    </w:r>
    <w:r w:rsidRPr="0047110B">
      <w:rPr>
        <w:rStyle w:val="PageNumber"/>
        <w:rFonts w:cs="Times New Roman"/>
        <w:noProof/>
      </w:rPr>
      <w:instrText xml:space="preserve"> STYLEREF  "Heading 1"  \* MERGEFORMAT </w:instrText>
    </w:r>
    <w:r w:rsidRPr="0047110B">
      <w:rPr>
        <w:rStyle w:val="PageNumber"/>
        <w:rFonts w:cs="Times New Roman"/>
        <w:noProof/>
      </w:rPr>
      <w:fldChar w:fldCharType="separate"/>
    </w:r>
    <w:r>
      <w:rPr>
        <w:rStyle w:val="PageNumber"/>
        <w:rFonts w:cs="Times New Roman"/>
        <w:noProof/>
      </w:rPr>
      <w:t>Department of Finance</w:t>
    </w:r>
    <w:r w:rsidRPr="0047110B">
      <w:rPr>
        <w:rStyle w:val="PageNumber"/>
        <w:rFonts w:cs="Times New Roman"/>
        <w:noProof/>
      </w:rPr>
      <w:fldChar w:fldCharType="end"/>
    </w:r>
    <w:r w:rsidRPr="0047110B">
      <w:rPr>
        <w:rStyle w:val="PageNumber"/>
        <w:rFonts w:cs="Times New Roman"/>
        <w:noProof/>
      </w:rPr>
      <w:t xml:space="preserve"> </w:t>
    </w:r>
    <w:r w:rsidRPr="00DB32F6">
      <w:rPr>
        <w:rStyle w:val="PageNumber"/>
        <w:rFonts w:cs="Times New Roman"/>
        <w:noProof/>
      </w:rPr>
      <w:t xml:space="preserve"> |</w:t>
    </w:r>
    <w:r w:rsidRPr="00DB32F6">
      <w:rPr>
        <w:rStyle w:val="PageNumber"/>
        <w:rFonts w:cs="Times New Roman"/>
        <w:b/>
        <w:noProof/>
      </w:rPr>
      <w:t xml:space="preserve">  Page </w:t>
    </w:r>
    <w:r w:rsidRPr="00DB32F6">
      <w:rPr>
        <w:rStyle w:val="PageNumber"/>
        <w:rFonts w:cs="Times New Roman"/>
        <w:b/>
        <w:noProof/>
      </w:rPr>
      <w:fldChar w:fldCharType="begin"/>
    </w:r>
    <w:r w:rsidRPr="00DB32F6">
      <w:rPr>
        <w:rStyle w:val="PageNumber"/>
        <w:rFonts w:cs="Times New Roman"/>
        <w:b/>
        <w:noProof/>
      </w:rPr>
      <w:instrText xml:space="preserve"> PAGE  \* Arabic </w:instrText>
    </w:r>
    <w:r w:rsidRPr="00DB32F6">
      <w:rPr>
        <w:rStyle w:val="PageNumber"/>
        <w:rFonts w:cs="Times New Roman"/>
        <w:b/>
        <w:noProof/>
      </w:rPr>
      <w:fldChar w:fldCharType="separate"/>
    </w:r>
    <w:r>
      <w:rPr>
        <w:rStyle w:val="PageNumber"/>
        <w:rFonts w:cs="Times New Roman"/>
        <w:b/>
        <w:noProof/>
      </w:rPr>
      <w:t>5</w:t>
    </w:r>
    <w:r w:rsidRPr="00DB32F6">
      <w:rPr>
        <w:rStyle w:val="PageNumber"/>
        <w:rFonts w:cs="Times New Roman"/>
        <w:b/>
        <w:noProof/>
      </w:rPr>
      <w:fldChar w:fldCharType="end"/>
    </w:r>
  </w:p>
  <w:p w14:paraId="371467CB" w14:textId="77777777" w:rsidR="00BB564F" w:rsidRDefault="00BB5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BCA" w14:textId="00C73F4F" w:rsidR="00BB564F" w:rsidRPr="003606D1" w:rsidRDefault="00BB564F" w:rsidP="003606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05FB2" w14:textId="407784BC" w:rsidR="00BB564F" w:rsidRPr="00C163EF" w:rsidRDefault="00BB564F" w:rsidP="00C163EF">
    <w:pPr>
      <w:pStyle w:val="FooterOdd"/>
      <w:rPr>
        <w:noProof/>
        <w:color w:val="auto"/>
      </w:rPr>
    </w:pPr>
    <w:r w:rsidRPr="0047110B">
      <w:rPr>
        <w:rStyle w:val="PageNumber"/>
        <w:rFonts w:cs="Times New Roman"/>
        <w:noProof/>
      </w:rPr>
      <w:fldChar w:fldCharType="begin"/>
    </w:r>
    <w:r w:rsidRPr="0047110B">
      <w:rPr>
        <w:rStyle w:val="PageNumber"/>
        <w:rFonts w:cs="Times New Roman"/>
        <w:noProof/>
      </w:rPr>
      <w:instrText xml:space="preserve"> STYLEREF  "Heading 1"  \* MERGEFORMAT </w:instrText>
    </w:r>
    <w:r w:rsidRPr="0047110B">
      <w:rPr>
        <w:rStyle w:val="PageNumber"/>
        <w:rFonts w:cs="Times New Roman"/>
        <w:noProof/>
      </w:rPr>
      <w:fldChar w:fldCharType="separate"/>
    </w:r>
    <w:r w:rsidR="00A01763">
      <w:rPr>
        <w:rStyle w:val="PageNumber"/>
        <w:rFonts w:cs="Times New Roman"/>
        <w:noProof/>
      </w:rPr>
      <w:t>Department of Finance</w:t>
    </w:r>
    <w:r w:rsidRPr="0047110B">
      <w:rPr>
        <w:rStyle w:val="PageNumber"/>
        <w:rFonts w:cs="Times New Roman"/>
        <w:noProof/>
      </w:rPr>
      <w:fldChar w:fldCharType="end"/>
    </w:r>
    <w:r w:rsidRPr="0047110B">
      <w:rPr>
        <w:rStyle w:val="PageNumber"/>
        <w:rFonts w:cs="Times New Roman"/>
        <w:noProof/>
      </w:rPr>
      <w:t xml:space="preserve"> </w:t>
    </w:r>
    <w:r w:rsidRPr="00DB32F6">
      <w:rPr>
        <w:rStyle w:val="PageNumber"/>
        <w:rFonts w:cs="Times New Roman"/>
        <w:noProof/>
      </w:rPr>
      <w:t xml:space="preserve"> |</w:t>
    </w:r>
    <w:r w:rsidRPr="00DB32F6">
      <w:rPr>
        <w:rStyle w:val="PageNumber"/>
        <w:rFonts w:cs="Times New Roman"/>
        <w:b/>
        <w:noProof/>
      </w:rPr>
      <w:t xml:space="preserve">  Page </w:t>
    </w:r>
    <w:r w:rsidRPr="00DB32F6">
      <w:rPr>
        <w:rStyle w:val="PageNumber"/>
        <w:rFonts w:cs="Times New Roman"/>
        <w:b/>
        <w:noProof/>
      </w:rPr>
      <w:fldChar w:fldCharType="begin"/>
    </w:r>
    <w:r w:rsidRPr="00DB32F6">
      <w:rPr>
        <w:rStyle w:val="PageNumber"/>
        <w:rFonts w:cs="Times New Roman"/>
        <w:b/>
        <w:noProof/>
      </w:rPr>
      <w:instrText xml:space="preserve"> PAGE  \* Arabic </w:instrText>
    </w:r>
    <w:r w:rsidRPr="00DB32F6">
      <w:rPr>
        <w:rStyle w:val="PageNumber"/>
        <w:rFonts w:cs="Times New Roman"/>
        <w:b/>
        <w:noProof/>
      </w:rPr>
      <w:fldChar w:fldCharType="separate"/>
    </w:r>
    <w:r w:rsidR="00A01763">
      <w:rPr>
        <w:rStyle w:val="PageNumber"/>
        <w:rFonts w:cs="Times New Roman"/>
        <w:b/>
        <w:noProof/>
      </w:rPr>
      <w:t>17</w:t>
    </w:r>
    <w:r w:rsidRPr="00DB32F6">
      <w:rPr>
        <w:rStyle w:val="PageNumber"/>
        <w:rFonts w:cs="Times New Roman"/>
        <w:b/>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C9A" w14:textId="4298BE3E" w:rsidR="00BB564F" w:rsidRPr="009E69CA" w:rsidRDefault="00BB564F" w:rsidP="00FE2DE2">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9EB9B" w14:textId="77777777" w:rsidR="00BB564F" w:rsidRDefault="00BB564F" w:rsidP="00C07DEC">
      <w:r>
        <w:separator/>
      </w:r>
    </w:p>
  </w:footnote>
  <w:footnote w:type="continuationSeparator" w:id="0">
    <w:p w14:paraId="2239EB9C" w14:textId="77777777" w:rsidR="00BB564F" w:rsidRDefault="00BB564F"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D3FD5" w14:textId="0E55725C" w:rsidR="00BB564F" w:rsidRPr="00D944EA" w:rsidRDefault="00BB564F" w:rsidP="0001729F">
    <w:pPr>
      <w:pStyle w:val="HeaderEven"/>
      <w:spacing w:after="240" w:line="260" w:lineRule="exact"/>
      <w:ind w:left="-113"/>
    </w:pPr>
    <w:r w:rsidRPr="00434130">
      <w:rPr>
        <w:noProof/>
        <w:position w:val="-6"/>
      </w:rPr>
      <w:drawing>
        <wp:inline distT="0" distB="0" distL="0" distR="0" wp14:anchorId="7426A7D7" wp14:editId="0A01DEAA">
          <wp:extent cx="1357630" cy="168910"/>
          <wp:effectExtent l="0" t="0" r="0" b="0"/>
          <wp:docPr id="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68910"/>
                  </a:xfrm>
                  <a:prstGeom prst="rect">
                    <a:avLst/>
                  </a:prstGeom>
                  <a:noFill/>
                  <a:ln>
                    <a:noFill/>
                  </a:ln>
                </pic:spPr>
              </pic:pic>
            </a:graphicData>
          </a:graphic>
        </wp:inline>
      </w:drawing>
    </w:r>
    <w:r>
      <w:t xml:space="preserve">  | Portfolio Budget Statements</w:t>
    </w:r>
  </w:p>
  <w:p w14:paraId="2239EC94" w14:textId="77777777" w:rsidR="00BB564F" w:rsidRDefault="00BB564F" w:rsidP="004461A4">
    <w:pPr>
      <w:pStyle w:val="SecurityClassification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6CE12" w14:textId="3D10DD51" w:rsidR="00BB564F" w:rsidRPr="00A86F02" w:rsidRDefault="00BB564F" w:rsidP="007A42F3">
    <w:pPr>
      <w:pStyle w:val="HeaderOdd"/>
      <w:spacing w:after="240" w:line="260" w:lineRule="exact"/>
    </w:pPr>
    <w:r w:rsidRPr="00434130">
      <w:t xml:space="preserve">Portfolio Budget Statements |  </w:t>
    </w:r>
    <w:r w:rsidRPr="00434130">
      <w:rPr>
        <w:noProof/>
        <w:position w:val="-6"/>
      </w:rPr>
      <w:drawing>
        <wp:inline distT="0" distB="0" distL="0" distR="0" wp14:anchorId="6CEC3711" wp14:editId="3D097FA9">
          <wp:extent cx="1357630" cy="168910"/>
          <wp:effectExtent l="0" t="0" r="0" b="0"/>
          <wp:docPr id="4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689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C99" w14:textId="77777777" w:rsidR="00BB564F" w:rsidRPr="00970E65" w:rsidRDefault="00BB564F" w:rsidP="004461A4">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E3D"/>
    <w:multiLevelType w:val="hybridMultilevel"/>
    <w:tmpl w:val="15907DF6"/>
    <w:lvl w:ilvl="0" w:tplc="D02E0BC6">
      <w:start w:val="1"/>
      <w:numFmt w:val="bullet"/>
      <w:lvlText w:val=""/>
      <w:lvlJc w:val="left"/>
      <w:pPr>
        <w:ind w:left="284" w:hanging="284"/>
      </w:pPr>
      <w:rPr>
        <w:rFonts w:ascii="Symbol" w:hAnsi="Symbol" w:hint="default"/>
      </w:rPr>
    </w:lvl>
    <w:lvl w:ilvl="1" w:tplc="89CCF3FC">
      <w:numFmt w:val="bullet"/>
      <w:lvlText w:val="-"/>
      <w:lvlJc w:val="left"/>
      <w:pPr>
        <w:ind w:left="1790" w:hanging="71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2F4FD0"/>
    <w:multiLevelType w:val="hybridMultilevel"/>
    <w:tmpl w:val="34563F70"/>
    <w:lvl w:ilvl="0" w:tplc="D02E0BC6">
      <w:start w:val="1"/>
      <w:numFmt w:val="bullet"/>
      <w:lvlText w:val=""/>
      <w:lvlJc w:val="left"/>
      <w:pPr>
        <w:ind w:left="284" w:hanging="284"/>
      </w:pPr>
      <w:rPr>
        <w:rFonts w:ascii="Symbol" w:hAnsi="Symbol" w:hint="default"/>
      </w:rPr>
    </w:lvl>
    <w:lvl w:ilvl="1" w:tplc="5008C590">
      <w:start w:val="1"/>
      <w:numFmt w:val="bullet"/>
      <w:lvlText w:val=""/>
      <w:lvlJc w:val="left"/>
      <w:pPr>
        <w:ind w:left="284" w:hanging="284"/>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5531B4"/>
    <w:multiLevelType w:val="hybridMultilevel"/>
    <w:tmpl w:val="75F01A0A"/>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9937DCE"/>
    <w:multiLevelType w:val="hybridMultilevel"/>
    <w:tmpl w:val="37E241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CA1722"/>
    <w:multiLevelType w:val="hybridMultilevel"/>
    <w:tmpl w:val="BD76CA88"/>
    <w:lvl w:ilvl="0" w:tplc="D02E0BC6">
      <w:start w:val="1"/>
      <w:numFmt w:val="bullet"/>
      <w:lvlText w:val=""/>
      <w:lvlJc w:val="left"/>
      <w:pPr>
        <w:ind w:left="284" w:hanging="284"/>
      </w:pPr>
      <w:rPr>
        <w:rFonts w:ascii="Symbol" w:hAnsi="Symbol" w:hint="default"/>
      </w:rPr>
    </w:lvl>
    <w:lvl w:ilvl="1" w:tplc="7110CC52">
      <w:start w:val="1"/>
      <w:numFmt w:val="bullet"/>
      <w:lvlText w:val=""/>
      <w:lvlJc w:val="left"/>
      <w:pPr>
        <w:ind w:left="284" w:hanging="284"/>
      </w:pPr>
      <w:rPr>
        <w:rFonts w:ascii="Symbol" w:hAnsi="Symbol" w:hint="default"/>
      </w:rPr>
    </w:lvl>
    <w:lvl w:ilvl="2" w:tplc="42F4FDB8">
      <w:start w:val="98"/>
      <w:numFmt w:val="bullet"/>
      <w:lvlText w:val="-"/>
      <w:lvlJc w:val="left"/>
      <w:pPr>
        <w:ind w:left="2510" w:hanging="71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A4AEE"/>
    <w:multiLevelType w:val="hybridMultilevel"/>
    <w:tmpl w:val="A9E896DC"/>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CE31D0F"/>
    <w:multiLevelType w:val="hybridMultilevel"/>
    <w:tmpl w:val="0884FA8C"/>
    <w:lvl w:ilvl="0" w:tplc="55E25804">
      <w:start w:val="1"/>
      <w:numFmt w:val="bullet"/>
      <w:lvlText w:val=""/>
      <w:lvlJc w:val="left"/>
      <w:pPr>
        <w:ind w:left="284" w:hanging="284"/>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0" w15:restartNumberingAfterBreak="0">
    <w:nsid w:val="15103296"/>
    <w:multiLevelType w:val="hybridMultilevel"/>
    <w:tmpl w:val="18BE70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5DE0C1F"/>
    <w:multiLevelType w:val="multilevel"/>
    <w:tmpl w:val="50901E9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70B2ABC"/>
    <w:multiLevelType w:val="hybridMultilevel"/>
    <w:tmpl w:val="83E0A74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78B6724"/>
    <w:multiLevelType w:val="multilevel"/>
    <w:tmpl w:val="16FADA92"/>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bullet"/>
      <w:lvlText w:val="o"/>
      <w:lvlJc w:val="left"/>
      <w:pPr>
        <w:tabs>
          <w:tab w:val="num" w:pos="1134"/>
        </w:tabs>
        <w:ind w:left="1134" w:hanging="567"/>
      </w:pPr>
      <w:rPr>
        <w:rFonts w:ascii="Courier New" w:hAnsi="Courier New" w:cs="Courier New"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14" w15:restartNumberingAfterBreak="0">
    <w:nsid w:val="19766C04"/>
    <w:multiLevelType w:val="multilevel"/>
    <w:tmpl w:val="36AE30D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5" w15:restartNumberingAfterBreak="0">
    <w:nsid w:val="19866559"/>
    <w:multiLevelType w:val="hybridMultilevel"/>
    <w:tmpl w:val="CE6491C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D185843"/>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7" w15:restartNumberingAfterBreak="0">
    <w:nsid w:val="2277780D"/>
    <w:multiLevelType w:val="hybridMultilevel"/>
    <w:tmpl w:val="9EE2E3C2"/>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8" w15:restartNumberingAfterBreak="0">
    <w:nsid w:val="25BC5A6E"/>
    <w:multiLevelType w:val="hybridMultilevel"/>
    <w:tmpl w:val="EBACE4AA"/>
    <w:lvl w:ilvl="0" w:tplc="BF62B0CE">
      <w:start w:val="1"/>
      <w:numFmt w:val="bullet"/>
      <w:lvlText w:val=""/>
      <w:lvlJc w:val="left"/>
      <w:pPr>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4E4A8F"/>
    <w:multiLevelType w:val="hybridMultilevel"/>
    <w:tmpl w:val="8F7E7818"/>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734E15"/>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6997E42"/>
    <w:multiLevelType w:val="hybridMultilevel"/>
    <w:tmpl w:val="DCC6119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15:restartNumberingAfterBreak="0">
    <w:nsid w:val="284065F4"/>
    <w:multiLevelType w:val="hybridMultilevel"/>
    <w:tmpl w:val="015A1918"/>
    <w:lvl w:ilvl="0" w:tplc="22F442E8">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8B857E8"/>
    <w:multiLevelType w:val="multilevel"/>
    <w:tmpl w:val="3FE0FEEE"/>
    <w:lvl w:ilvl="0">
      <w:start w:val="1"/>
      <w:numFmt w:val="decimal"/>
      <w:lvlText w:val="%1"/>
      <w:lvlJc w:val="left"/>
      <w:pPr>
        <w:ind w:left="360" w:hanging="360"/>
      </w:pPr>
      <w:rPr>
        <w:rFonts w:hint="default"/>
      </w:rPr>
    </w:lvl>
    <w:lvl w:ilvl="1">
      <w:start w:val="1"/>
      <w:numFmt w:val="decimal"/>
      <w:lvlText w:val="%1.%2"/>
      <w:lvlJc w:val="left"/>
      <w:rPr>
        <w:rFonts w:ascii="Arial" w:hAnsi="Arial" w:cs="Arial" w:hint="default"/>
        <w:i w:val="0"/>
        <w:iCs/>
        <w:color w:val="auto"/>
        <w:sz w:val="16"/>
        <w:szCs w:val="16"/>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A1805E5"/>
    <w:multiLevelType w:val="hybridMultilevel"/>
    <w:tmpl w:val="B27264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C4511D6"/>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8" w15:restartNumberingAfterBreak="0">
    <w:nsid w:val="2F256999"/>
    <w:multiLevelType w:val="multilevel"/>
    <w:tmpl w:val="DC2037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27D201C"/>
    <w:multiLevelType w:val="hybridMultilevel"/>
    <w:tmpl w:val="33966EB6"/>
    <w:lvl w:ilvl="0" w:tplc="E8AA6586">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327F5D4A"/>
    <w:multiLevelType w:val="hybridMultilevel"/>
    <w:tmpl w:val="5F5EF0C2"/>
    <w:lvl w:ilvl="0" w:tplc="086A1FCE">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47817E8"/>
    <w:multiLevelType w:val="hybridMultilevel"/>
    <w:tmpl w:val="A7608A42"/>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34C111E4"/>
    <w:multiLevelType w:val="multilevel"/>
    <w:tmpl w:val="27E85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4F4303B"/>
    <w:multiLevelType w:val="multilevel"/>
    <w:tmpl w:val="0E4E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5303CE7"/>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35"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7FB6309"/>
    <w:multiLevelType w:val="hybridMultilevel"/>
    <w:tmpl w:val="35906312"/>
    <w:lvl w:ilvl="0" w:tplc="00147F72">
      <w:numFmt w:val="bullet"/>
      <w:lvlText w:val=""/>
      <w:lvlJc w:val="left"/>
      <w:pPr>
        <w:ind w:left="465" w:hanging="358"/>
      </w:pPr>
      <w:rPr>
        <w:rFonts w:ascii="Symbol" w:eastAsia="Symbol" w:hAnsi="Symbol" w:cs="Symbol" w:hint="default"/>
        <w:w w:val="100"/>
        <w:sz w:val="16"/>
        <w:szCs w:val="16"/>
        <w:lang w:val="en-AU" w:eastAsia="en-US" w:bidi="ar-SA"/>
      </w:rPr>
    </w:lvl>
    <w:lvl w:ilvl="1" w:tplc="BA5E52C6">
      <w:numFmt w:val="bullet"/>
      <w:lvlText w:val="•"/>
      <w:lvlJc w:val="left"/>
      <w:pPr>
        <w:ind w:left="1017" w:hanging="358"/>
      </w:pPr>
      <w:rPr>
        <w:rFonts w:hint="default"/>
        <w:lang w:val="en-AU" w:eastAsia="en-US" w:bidi="ar-SA"/>
      </w:rPr>
    </w:lvl>
    <w:lvl w:ilvl="2" w:tplc="D0F4A838">
      <w:numFmt w:val="bullet"/>
      <w:lvlText w:val="•"/>
      <w:lvlJc w:val="left"/>
      <w:pPr>
        <w:ind w:left="1574" w:hanging="358"/>
      </w:pPr>
      <w:rPr>
        <w:rFonts w:hint="default"/>
        <w:lang w:val="en-AU" w:eastAsia="en-US" w:bidi="ar-SA"/>
      </w:rPr>
    </w:lvl>
    <w:lvl w:ilvl="3" w:tplc="E3BC2544">
      <w:numFmt w:val="bullet"/>
      <w:lvlText w:val="•"/>
      <w:lvlJc w:val="left"/>
      <w:pPr>
        <w:ind w:left="2131" w:hanging="358"/>
      </w:pPr>
      <w:rPr>
        <w:rFonts w:hint="default"/>
        <w:lang w:val="en-AU" w:eastAsia="en-US" w:bidi="ar-SA"/>
      </w:rPr>
    </w:lvl>
    <w:lvl w:ilvl="4" w:tplc="08C6E67E">
      <w:numFmt w:val="bullet"/>
      <w:lvlText w:val="•"/>
      <w:lvlJc w:val="left"/>
      <w:pPr>
        <w:ind w:left="2688" w:hanging="358"/>
      </w:pPr>
      <w:rPr>
        <w:rFonts w:hint="default"/>
        <w:lang w:val="en-AU" w:eastAsia="en-US" w:bidi="ar-SA"/>
      </w:rPr>
    </w:lvl>
    <w:lvl w:ilvl="5" w:tplc="ED847CB8">
      <w:numFmt w:val="bullet"/>
      <w:lvlText w:val="•"/>
      <w:lvlJc w:val="left"/>
      <w:pPr>
        <w:ind w:left="3245" w:hanging="358"/>
      </w:pPr>
      <w:rPr>
        <w:rFonts w:hint="default"/>
        <w:lang w:val="en-AU" w:eastAsia="en-US" w:bidi="ar-SA"/>
      </w:rPr>
    </w:lvl>
    <w:lvl w:ilvl="6" w:tplc="30EE96E4">
      <w:numFmt w:val="bullet"/>
      <w:lvlText w:val="•"/>
      <w:lvlJc w:val="left"/>
      <w:pPr>
        <w:ind w:left="3802" w:hanging="358"/>
      </w:pPr>
      <w:rPr>
        <w:rFonts w:hint="default"/>
        <w:lang w:val="en-AU" w:eastAsia="en-US" w:bidi="ar-SA"/>
      </w:rPr>
    </w:lvl>
    <w:lvl w:ilvl="7" w:tplc="4B3EF0D4">
      <w:numFmt w:val="bullet"/>
      <w:lvlText w:val="•"/>
      <w:lvlJc w:val="left"/>
      <w:pPr>
        <w:ind w:left="4359" w:hanging="358"/>
      </w:pPr>
      <w:rPr>
        <w:rFonts w:hint="default"/>
        <w:lang w:val="en-AU" w:eastAsia="en-US" w:bidi="ar-SA"/>
      </w:rPr>
    </w:lvl>
    <w:lvl w:ilvl="8" w:tplc="8F60BEE8">
      <w:numFmt w:val="bullet"/>
      <w:lvlText w:val="•"/>
      <w:lvlJc w:val="left"/>
      <w:pPr>
        <w:ind w:left="4916" w:hanging="358"/>
      </w:pPr>
      <w:rPr>
        <w:rFonts w:hint="default"/>
        <w:lang w:val="en-AU" w:eastAsia="en-US" w:bidi="ar-SA"/>
      </w:rPr>
    </w:lvl>
  </w:abstractNum>
  <w:abstractNum w:abstractNumId="37" w15:restartNumberingAfterBreak="0">
    <w:nsid w:val="38A30A68"/>
    <w:multiLevelType w:val="hybridMultilevel"/>
    <w:tmpl w:val="E3A6DDCC"/>
    <w:lvl w:ilvl="0" w:tplc="92D8F7F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AB56C05"/>
    <w:multiLevelType w:val="hybridMultilevel"/>
    <w:tmpl w:val="AFBC560C"/>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3AD23C76"/>
    <w:multiLevelType w:val="hybridMultilevel"/>
    <w:tmpl w:val="75F01A0A"/>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3B2E19AC"/>
    <w:multiLevelType w:val="singleLevel"/>
    <w:tmpl w:val="0C090017"/>
    <w:lvl w:ilvl="0">
      <w:start w:val="1"/>
      <w:numFmt w:val="lowerLetter"/>
      <w:lvlText w:val="%1)"/>
      <w:lvlJc w:val="left"/>
      <w:pPr>
        <w:ind w:left="502" w:hanging="360"/>
      </w:pPr>
      <w:rPr>
        <w:b w:val="0"/>
        <w:i w:val="0"/>
        <w:color w:val="000000"/>
        <w:sz w:val="16"/>
      </w:rPr>
    </w:lvl>
  </w:abstractNum>
  <w:abstractNum w:abstractNumId="41" w15:restartNumberingAfterBreak="0">
    <w:nsid w:val="41BD24FD"/>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43" w15:restartNumberingAfterBreak="0">
    <w:nsid w:val="456A47E8"/>
    <w:multiLevelType w:val="multilevel"/>
    <w:tmpl w:val="8D347D66"/>
    <w:lvl w:ilvl="0">
      <w:start w:val="1"/>
      <w:numFmt w:val="decimal"/>
      <w:lvlText w:val="%1"/>
      <w:lvlJc w:val="left"/>
      <w:pPr>
        <w:ind w:left="360" w:hanging="360"/>
      </w:pPr>
      <w:rPr>
        <w:rFonts w:ascii="Arial" w:hAnsi="Arial" w:cs="Arial" w:hint="default"/>
        <w:b w:val="0"/>
        <w:color w:val="auto"/>
        <w:sz w:val="16"/>
      </w:rPr>
    </w:lvl>
    <w:lvl w:ilvl="1">
      <w:start w:val="1"/>
      <w:numFmt w:val="decimal"/>
      <w:lvlText w:val="%1.%2"/>
      <w:lvlJc w:val="left"/>
      <w:pPr>
        <w:ind w:left="360" w:hanging="360"/>
      </w:pPr>
      <w:rPr>
        <w:rFonts w:ascii="Arial" w:hAnsi="Arial" w:cs="Arial" w:hint="default"/>
        <w:b w:val="0"/>
        <w:color w:val="auto"/>
        <w:sz w:val="16"/>
      </w:rPr>
    </w:lvl>
    <w:lvl w:ilvl="2">
      <w:start w:val="1"/>
      <w:numFmt w:val="decimal"/>
      <w:lvlText w:val="%1.%2.%3"/>
      <w:lvlJc w:val="left"/>
      <w:pPr>
        <w:ind w:left="720" w:hanging="720"/>
      </w:pPr>
      <w:rPr>
        <w:rFonts w:ascii="Arial" w:hAnsi="Arial" w:cs="Arial" w:hint="default"/>
        <w:b w:val="0"/>
        <w:color w:val="auto"/>
        <w:sz w:val="16"/>
      </w:rPr>
    </w:lvl>
    <w:lvl w:ilvl="3">
      <w:start w:val="1"/>
      <w:numFmt w:val="decimal"/>
      <w:lvlText w:val="%1.%2.%3.%4"/>
      <w:lvlJc w:val="left"/>
      <w:pPr>
        <w:ind w:left="720" w:hanging="720"/>
      </w:pPr>
      <w:rPr>
        <w:rFonts w:ascii="Arial" w:hAnsi="Arial" w:cs="Arial" w:hint="default"/>
        <w:b w:val="0"/>
        <w:color w:val="auto"/>
        <w:sz w:val="16"/>
      </w:rPr>
    </w:lvl>
    <w:lvl w:ilvl="4">
      <w:start w:val="1"/>
      <w:numFmt w:val="decimal"/>
      <w:lvlText w:val="%1.%2.%3.%4.%5"/>
      <w:lvlJc w:val="left"/>
      <w:pPr>
        <w:ind w:left="1080" w:hanging="1080"/>
      </w:pPr>
      <w:rPr>
        <w:rFonts w:ascii="Arial" w:hAnsi="Arial" w:cs="Arial" w:hint="default"/>
        <w:b w:val="0"/>
        <w:color w:val="auto"/>
        <w:sz w:val="16"/>
      </w:rPr>
    </w:lvl>
    <w:lvl w:ilvl="5">
      <w:start w:val="1"/>
      <w:numFmt w:val="decimal"/>
      <w:lvlText w:val="%1.%2.%3.%4.%5.%6"/>
      <w:lvlJc w:val="left"/>
      <w:pPr>
        <w:ind w:left="1080" w:hanging="1080"/>
      </w:pPr>
      <w:rPr>
        <w:rFonts w:ascii="Arial" w:hAnsi="Arial" w:cs="Arial" w:hint="default"/>
        <w:b w:val="0"/>
        <w:color w:val="auto"/>
        <w:sz w:val="16"/>
      </w:rPr>
    </w:lvl>
    <w:lvl w:ilvl="6">
      <w:start w:val="1"/>
      <w:numFmt w:val="decimal"/>
      <w:lvlText w:val="%1.%2.%3.%4.%5.%6.%7"/>
      <w:lvlJc w:val="left"/>
      <w:pPr>
        <w:ind w:left="1440" w:hanging="1440"/>
      </w:pPr>
      <w:rPr>
        <w:rFonts w:ascii="Arial" w:hAnsi="Arial" w:cs="Arial" w:hint="default"/>
        <w:b w:val="0"/>
        <w:color w:val="auto"/>
        <w:sz w:val="16"/>
      </w:rPr>
    </w:lvl>
    <w:lvl w:ilvl="7">
      <w:start w:val="1"/>
      <w:numFmt w:val="decimal"/>
      <w:lvlText w:val="%1.%2.%3.%4.%5.%6.%7.%8"/>
      <w:lvlJc w:val="left"/>
      <w:pPr>
        <w:ind w:left="1440" w:hanging="1440"/>
      </w:pPr>
      <w:rPr>
        <w:rFonts w:ascii="Arial" w:hAnsi="Arial" w:cs="Arial" w:hint="default"/>
        <w:b w:val="0"/>
        <w:color w:val="auto"/>
        <w:sz w:val="16"/>
      </w:rPr>
    </w:lvl>
    <w:lvl w:ilvl="8">
      <w:start w:val="1"/>
      <w:numFmt w:val="decimal"/>
      <w:lvlText w:val="%1.%2.%3.%4.%5.%6.%7.%8.%9"/>
      <w:lvlJc w:val="left"/>
      <w:pPr>
        <w:ind w:left="1440" w:hanging="1440"/>
      </w:pPr>
      <w:rPr>
        <w:rFonts w:ascii="Arial" w:hAnsi="Arial" w:cs="Arial" w:hint="default"/>
        <w:b w:val="0"/>
        <w:color w:val="auto"/>
        <w:sz w:val="16"/>
      </w:rPr>
    </w:lvl>
  </w:abstractNum>
  <w:abstractNum w:abstractNumId="44" w15:restartNumberingAfterBreak="0">
    <w:nsid w:val="47CC0FBF"/>
    <w:multiLevelType w:val="hybridMultilevel"/>
    <w:tmpl w:val="9FDADD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8DD7E77"/>
    <w:multiLevelType w:val="hybridMultilevel"/>
    <w:tmpl w:val="CE6491C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49644F28"/>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4A6B3810"/>
    <w:multiLevelType w:val="hybridMultilevel"/>
    <w:tmpl w:val="DF46138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4B2A5E22"/>
    <w:multiLevelType w:val="hybridMultilevel"/>
    <w:tmpl w:val="0562EC80"/>
    <w:lvl w:ilvl="0" w:tplc="0C090017">
      <w:start w:val="1"/>
      <w:numFmt w:val="lowerLetter"/>
      <w:lvlText w:val="%1)"/>
      <w:lvlJc w:val="left"/>
      <w:pPr>
        <w:ind w:left="360" w:hanging="360"/>
      </w:pPr>
      <w:rPr>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9" w15:restartNumberingAfterBreak="0">
    <w:nsid w:val="4D9F7F28"/>
    <w:multiLevelType w:val="hybridMultilevel"/>
    <w:tmpl w:val="39B2AC2C"/>
    <w:lvl w:ilvl="0" w:tplc="53F6865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4DD41512"/>
    <w:multiLevelType w:val="multilevel"/>
    <w:tmpl w:val="1E749B6C"/>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51" w15:restartNumberingAfterBreak="0">
    <w:nsid w:val="4EA6730C"/>
    <w:multiLevelType w:val="hybridMultilevel"/>
    <w:tmpl w:val="D4B81D2C"/>
    <w:lvl w:ilvl="0" w:tplc="7F7E978A">
      <w:start w:val="1"/>
      <w:numFmt w:val="lowerLetter"/>
      <w:lvlText w:val="%1)"/>
      <w:lvlJc w:val="left"/>
      <w:pPr>
        <w:ind w:left="360" w:hanging="360"/>
      </w:pPr>
      <w:rPr>
        <w:i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4FB81DDB"/>
    <w:multiLevelType w:val="hybridMultilevel"/>
    <w:tmpl w:val="CC9C08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537D28BC"/>
    <w:multiLevelType w:val="hybridMultilevel"/>
    <w:tmpl w:val="CF1ABD9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54DD65D1"/>
    <w:multiLevelType w:val="multilevel"/>
    <w:tmpl w:val="7E10C2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57DD7823"/>
    <w:multiLevelType w:val="hybridMultilevel"/>
    <w:tmpl w:val="D2BAE0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57" w15:restartNumberingAfterBreak="0">
    <w:nsid w:val="5F3705E5"/>
    <w:multiLevelType w:val="hybridMultilevel"/>
    <w:tmpl w:val="8BF22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FE76B57"/>
    <w:multiLevelType w:val="hybridMultilevel"/>
    <w:tmpl w:val="7B807B76"/>
    <w:lvl w:ilvl="0" w:tplc="D1DA16E6">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616D6337"/>
    <w:multiLevelType w:val="hybridMultilevel"/>
    <w:tmpl w:val="E08264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2B8784D"/>
    <w:multiLevelType w:val="hybridMultilevel"/>
    <w:tmpl w:val="0E54EF5A"/>
    <w:lvl w:ilvl="0" w:tplc="07080BA6">
      <w:start w:val="1"/>
      <w:numFmt w:val="bullet"/>
      <w:lvlText w:val=""/>
      <w:lvlJc w:val="left"/>
      <w:pPr>
        <w:ind w:left="360" w:hanging="360"/>
      </w:pPr>
      <w:rPr>
        <w:rFonts w:ascii="Symbol" w:hAnsi="Symbol" w:hint="default"/>
        <w:color w:val="auto"/>
        <w:sz w:val="16"/>
        <w:szCs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63DF1DA9"/>
    <w:multiLevelType w:val="hybridMultilevel"/>
    <w:tmpl w:val="18BE70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65BE6747"/>
    <w:multiLevelType w:val="multilevel"/>
    <w:tmpl w:val="CEB22E32"/>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bullet"/>
      <w:lvlText w:val="o"/>
      <w:lvlJc w:val="left"/>
      <w:pPr>
        <w:tabs>
          <w:tab w:val="num" w:pos="1134"/>
        </w:tabs>
        <w:ind w:left="1134" w:hanging="567"/>
      </w:pPr>
      <w:rPr>
        <w:rFonts w:ascii="Courier New" w:hAnsi="Courier New" w:cs="Courier New"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63" w15:restartNumberingAfterBreak="0">
    <w:nsid w:val="66173AAD"/>
    <w:multiLevelType w:val="hybridMultilevel"/>
    <w:tmpl w:val="18BE70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68206734"/>
    <w:multiLevelType w:val="hybridMultilevel"/>
    <w:tmpl w:val="0BDA219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8EA3959"/>
    <w:multiLevelType w:val="multilevel"/>
    <w:tmpl w:val="5C2C9654"/>
    <w:name w:val="Chart and Table Footnote Alpha Small"/>
    <w:lvl w:ilvl="0">
      <w:start w:val="1"/>
      <w:numFmt w:val="lowerLetter"/>
      <w:lvlRestart w:val="0"/>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6" w15:restartNumberingAfterBreak="0">
    <w:nsid w:val="69DF6A2A"/>
    <w:multiLevelType w:val="multilevel"/>
    <w:tmpl w:val="13088A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6A4D6D20"/>
    <w:multiLevelType w:val="hybridMultilevel"/>
    <w:tmpl w:val="5F6ACAC6"/>
    <w:lvl w:ilvl="0" w:tplc="914C8B12">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AF759DD"/>
    <w:multiLevelType w:val="hybridMultilevel"/>
    <w:tmpl w:val="6AA80C9C"/>
    <w:lvl w:ilvl="0" w:tplc="112657A6">
      <w:start w:val="1"/>
      <w:numFmt w:val="bullet"/>
      <w:lvlText w:val=""/>
      <w:lvlJc w:val="left"/>
      <w:pPr>
        <w:ind w:left="284" w:hanging="284"/>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9" w15:restartNumberingAfterBreak="0">
    <w:nsid w:val="6B6957C0"/>
    <w:multiLevelType w:val="hybridMultilevel"/>
    <w:tmpl w:val="F808EADE"/>
    <w:lvl w:ilvl="0" w:tplc="5BBC9562">
      <w:start w:val="1"/>
      <w:numFmt w:val="bullet"/>
      <w:lvlText w:val=""/>
      <w:lvlJc w:val="left"/>
      <w:pPr>
        <w:ind w:left="502" w:hanging="360"/>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0" w15:restartNumberingAfterBreak="0">
    <w:nsid w:val="6C5C48D8"/>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6C624117"/>
    <w:multiLevelType w:val="hybridMultilevel"/>
    <w:tmpl w:val="DCC6119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6D231ADE"/>
    <w:multiLevelType w:val="hybridMultilevel"/>
    <w:tmpl w:val="CC9C08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F281644"/>
    <w:multiLevelType w:val="multilevel"/>
    <w:tmpl w:val="D22430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02518F4"/>
    <w:multiLevelType w:val="hybridMultilevel"/>
    <w:tmpl w:val="0E82F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16B5BFB"/>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76" w15:restartNumberingAfterBreak="0">
    <w:nsid w:val="72BD1831"/>
    <w:multiLevelType w:val="hybridMultilevel"/>
    <w:tmpl w:val="6AE41D02"/>
    <w:lvl w:ilvl="0" w:tplc="7D1C26F4">
      <w:start w:val="1"/>
      <w:numFmt w:val="bullet"/>
      <w:lvlText w:val=""/>
      <w:lvlJc w:val="left"/>
      <w:pPr>
        <w:ind w:left="284" w:hanging="284"/>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7" w15:restartNumberingAfterBreak="0">
    <w:nsid w:val="74094D2F"/>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78" w15:restartNumberingAfterBreak="0">
    <w:nsid w:val="74CD2EB1"/>
    <w:multiLevelType w:val="multilevel"/>
    <w:tmpl w:val="34589BAE"/>
    <w:name w:val="ExampleTextBullet"/>
    <w:lvl w:ilvl="0">
      <w:start w:val="1"/>
      <w:numFmt w:val="decimal"/>
      <w:lvlRestart w:val="0"/>
      <w:lvlText w:val="•"/>
      <w:lvlJc w:val="left"/>
      <w:pPr>
        <w:tabs>
          <w:tab w:val="num" w:pos="284"/>
        </w:tabs>
        <w:ind w:left="284" w:hanging="284"/>
      </w:pPr>
      <w:rPr>
        <w:rFonts w:ascii="9999999" w:hAnsi="9999999"/>
        <w:b w:val="0"/>
        <w:i w:val="0"/>
        <w:color w:val="FF0000"/>
      </w:rPr>
    </w:lvl>
    <w:lvl w:ilvl="1">
      <w:start w:val="1"/>
      <w:numFmt w:val="decimal"/>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9" w15:restartNumberingAfterBreak="0">
    <w:nsid w:val="77AD70CD"/>
    <w:multiLevelType w:val="hybridMultilevel"/>
    <w:tmpl w:val="DCC6119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7CA237F6"/>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7D433F8D"/>
    <w:multiLevelType w:val="multilevel"/>
    <w:tmpl w:val="9BD4BC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42"/>
  </w:num>
  <w:num w:numId="2">
    <w:abstractNumId w:val="8"/>
  </w:num>
  <w:num w:numId="3">
    <w:abstractNumId w:val="27"/>
  </w:num>
  <w:num w:numId="4">
    <w:abstractNumId w:val="56"/>
  </w:num>
  <w:num w:numId="5">
    <w:abstractNumId w:val="16"/>
    <w:lvlOverride w:ilvl="0">
      <w:startOverride w:val="1"/>
    </w:lvlOverride>
  </w:num>
  <w:num w:numId="6">
    <w:abstractNumId w:val="22"/>
  </w:num>
  <w:num w:numId="7">
    <w:abstractNumId w:val="9"/>
  </w:num>
  <w:num w:numId="8">
    <w:abstractNumId w:val="7"/>
  </w:num>
  <w:num w:numId="9">
    <w:abstractNumId w:val="12"/>
  </w:num>
  <w:num w:numId="10">
    <w:abstractNumId w:val="61"/>
  </w:num>
  <w:num w:numId="11">
    <w:abstractNumId w:val="5"/>
  </w:num>
  <w:num w:numId="12">
    <w:abstractNumId w:val="31"/>
  </w:num>
  <w:num w:numId="13">
    <w:abstractNumId w:val="80"/>
  </w:num>
  <w:num w:numId="14">
    <w:abstractNumId w:val="38"/>
  </w:num>
  <w:num w:numId="15">
    <w:abstractNumId w:val="53"/>
  </w:num>
  <w:num w:numId="16">
    <w:abstractNumId w:val="63"/>
  </w:num>
  <w:num w:numId="17">
    <w:abstractNumId w:val="10"/>
  </w:num>
  <w:num w:numId="18">
    <w:abstractNumId w:val="48"/>
  </w:num>
  <w:num w:numId="19">
    <w:abstractNumId w:val="45"/>
  </w:num>
  <w:num w:numId="20">
    <w:abstractNumId w:val="15"/>
  </w:num>
  <w:num w:numId="21">
    <w:abstractNumId w:val="14"/>
  </w:num>
  <w:num w:numId="22">
    <w:abstractNumId w:val="39"/>
  </w:num>
  <w:num w:numId="23">
    <w:abstractNumId w:val="2"/>
  </w:num>
  <w:num w:numId="24">
    <w:abstractNumId w:val="51"/>
  </w:num>
  <w:num w:numId="25">
    <w:abstractNumId w:val="21"/>
  </w:num>
  <w:num w:numId="26">
    <w:abstractNumId w:val="79"/>
  </w:num>
  <w:num w:numId="27">
    <w:abstractNumId w:val="71"/>
  </w:num>
  <w:num w:numId="28">
    <w:abstractNumId w:val="49"/>
  </w:num>
  <w:num w:numId="29">
    <w:abstractNumId w:val="69"/>
  </w:num>
  <w:num w:numId="30">
    <w:abstractNumId w:val="47"/>
  </w:num>
  <w:num w:numId="31">
    <w:abstractNumId w:val="19"/>
  </w:num>
  <w:num w:numId="32">
    <w:abstractNumId w:val="60"/>
  </w:num>
  <w:num w:numId="33">
    <w:abstractNumId w:val="36"/>
  </w:num>
  <w:num w:numId="34">
    <w:abstractNumId w:val="55"/>
  </w:num>
  <w:num w:numId="35">
    <w:abstractNumId w:val="40"/>
  </w:num>
  <w:num w:numId="36">
    <w:abstractNumId w:val="33"/>
  </w:num>
  <w:num w:numId="37">
    <w:abstractNumId w:val="74"/>
  </w:num>
  <w:num w:numId="38">
    <w:abstractNumId w:val="24"/>
  </w:num>
  <w:num w:numId="39">
    <w:abstractNumId w:val="32"/>
  </w:num>
  <w:num w:numId="40">
    <w:abstractNumId w:val="73"/>
  </w:num>
  <w:num w:numId="41">
    <w:abstractNumId w:val="43"/>
  </w:num>
  <w:num w:numId="42">
    <w:abstractNumId w:val="54"/>
  </w:num>
  <w:num w:numId="43">
    <w:abstractNumId w:val="81"/>
  </w:num>
  <w:num w:numId="44">
    <w:abstractNumId w:val="28"/>
  </w:num>
  <w:num w:numId="45">
    <w:abstractNumId w:val="77"/>
  </w:num>
  <w:num w:numId="46">
    <w:abstractNumId w:val="75"/>
  </w:num>
  <w:num w:numId="47">
    <w:abstractNumId w:val="26"/>
  </w:num>
  <w:num w:numId="48">
    <w:abstractNumId w:val="50"/>
  </w:num>
  <w:num w:numId="49">
    <w:abstractNumId w:val="34"/>
  </w:num>
  <w:num w:numId="50">
    <w:abstractNumId w:val="66"/>
  </w:num>
  <w:num w:numId="51">
    <w:abstractNumId w:val="59"/>
  </w:num>
  <w:num w:numId="52">
    <w:abstractNumId w:val="44"/>
  </w:num>
  <w:num w:numId="53">
    <w:abstractNumId w:val="64"/>
  </w:num>
  <w:num w:numId="54">
    <w:abstractNumId w:val="57"/>
  </w:num>
  <w:num w:numId="55">
    <w:abstractNumId w:val="30"/>
  </w:num>
  <w:num w:numId="56">
    <w:abstractNumId w:val="58"/>
  </w:num>
  <w:num w:numId="57">
    <w:abstractNumId w:val="67"/>
  </w:num>
  <w:num w:numId="58">
    <w:abstractNumId w:val="23"/>
  </w:num>
  <w:num w:numId="59">
    <w:abstractNumId w:val="0"/>
  </w:num>
  <w:num w:numId="60">
    <w:abstractNumId w:val="4"/>
  </w:num>
  <w:num w:numId="61">
    <w:abstractNumId w:val="1"/>
  </w:num>
  <w:num w:numId="62">
    <w:abstractNumId w:val="11"/>
  </w:num>
  <w:num w:numId="63">
    <w:abstractNumId w:val="29"/>
  </w:num>
  <w:num w:numId="64">
    <w:abstractNumId w:val="72"/>
  </w:num>
  <w:num w:numId="65">
    <w:abstractNumId w:val="18"/>
  </w:num>
  <w:num w:numId="66">
    <w:abstractNumId w:val="6"/>
  </w:num>
  <w:num w:numId="67">
    <w:abstractNumId w:val="76"/>
  </w:num>
  <w:num w:numId="68">
    <w:abstractNumId w:val="68"/>
  </w:num>
  <w:num w:numId="69">
    <w:abstractNumId w:val="62"/>
  </w:num>
  <w:num w:numId="70">
    <w:abstractNumId w:val="13"/>
  </w:num>
  <w:num w:numId="71">
    <w:abstractNumId w:val="17"/>
  </w:num>
  <w:num w:numId="72">
    <w:abstractNumId w:val="52"/>
  </w:num>
  <w:num w:numId="73">
    <w:abstractNumId w:val="46"/>
  </w:num>
  <w:num w:numId="74">
    <w:abstractNumId w:val="20"/>
  </w:num>
  <w:num w:numId="75">
    <w:abstractNumId w:val="70"/>
  </w:num>
  <w:num w:numId="76">
    <w:abstractNumId w:val="41"/>
  </w:num>
  <w:num w:numId="77">
    <w:abstractNumId w:val="3"/>
  </w:num>
  <w:num w:numId="78">
    <w:abstractNumId w:val="25"/>
  </w:num>
  <w:num w:numId="79">
    <w:abstractNumId w:val="3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embedSystemFonts/>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87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565A95"/>
    <w:rsid w:val="000000C3"/>
    <w:rsid w:val="00000AB8"/>
    <w:rsid w:val="000012EC"/>
    <w:rsid w:val="00001503"/>
    <w:rsid w:val="0000358C"/>
    <w:rsid w:val="0000383B"/>
    <w:rsid w:val="00003AC4"/>
    <w:rsid w:val="00003CA0"/>
    <w:rsid w:val="00003FFA"/>
    <w:rsid w:val="0000462A"/>
    <w:rsid w:val="00006AE4"/>
    <w:rsid w:val="00006B50"/>
    <w:rsid w:val="0000702D"/>
    <w:rsid w:val="0000711B"/>
    <w:rsid w:val="000106CA"/>
    <w:rsid w:val="00011AE8"/>
    <w:rsid w:val="0001294C"/>
    <w:rsid w:val="00012BB0"/>
    <w:rsid w:val="00013D25"/>
    <w:rsid w:val="0001438C"/>
    <w:rsid w:val="000146E1"/>
    <w:rsid w:val="0001615A"/>
    <w:rsid w:val="00016D95"/>
    <w:rsid w:val="0001712E"/>
    <w:rsid w:val="0001729F"/>
    <w:rsid w:val="00017619"/>
    <w:rsid w:val="00017840"/>
    <w:rsid w:val="00017ED7"/>
    <w:rsid w:val="00020187"/>
    <w:rsid w:val="00020573"/>
    <w:rsid w:val="00021515"/>
    <w:rsid w:val="000216BF"/>
    <w:rsid w:val="00021DA6"/>
    <w:rsid w:val="000220B0"/>
    <w:rsid w:val="00023CED"/>
    <w:rsid w:val="00024324"/>
    <w:rsid w:val="00025CB2"/>
    <w:rsid w:val="00025EAC"/>
    <w:rsid w:val="000300D7"/>
    <w:rsid w:val="000304FC"/>
    <w:rsid w:val="00030FDA"/>
    <w:rsid w:val="000321DC"/>
    <w:rsid w:val="0003384E"/>
    <w:rsid w:val="00033D79"/>
    <w:rsid w:val="00033F08"/>
    <w:rsid w:val="00034B81"/>
    <w:rsid w:val="00034C41"/>
    <w:rsid w:val="0003503B"/>
    <w:rsid w:val="00036095"/>
    <w:rsid w:val="000364F3"/>
    <w:rsid w:val="000366AE"/>
    <w:rsid w:val="000369AC"/>
    <w:rsid w:val="0003724F"/>
    <w:rsid w:val="00037BA1"/>
    <w:rsid w:val="00040818"/>
    <w:rsid w:val="000408A3"/>
    <w:rsid w:val="000413D4"/>
    <w:rsid w:val="000428E9"/>
    <w:rsid w:val="00042FDD"/>
    <w:rsid w:val="00043835"/>
    <w:rsid w:val="00044CF1"/>
    <w:rsid w:val="0004509D"/>
    <w:rsid w:val="00045667"/>
    <w:rsid w:val="00046707"/>
    <w:rsid w:val="000476D8"/>
    <w:rsid w:val="0005030D"/>
    <w:rsid w:val="00050A97"/>
    <w:rsid w:val="00051A18"/>
    <w:rsid w:val="00051B8D"/>
    <w:rsid w:val="00054A04"/>
    <w:rsid w:val="00054B77"/>
    <w:rsid w:val="00054CC3"/>
    <w:rsid w:val="0005600E"/>
    <w:rsid w:val="00056260"/>
    <w:rsid w:val="00056467"/>
    <w:rsid w:val="0005722F"/>
    <w:rsid w:val="0005753C"/>
    <w:rsid w:val="000606CB"/>
    <w:rsid w:val="00060890"/>
    <w:rsid w:val="00061415"/>
    <w:rsid w:val="0006199A"/>
    <w:rsid w:val="00061FD8"/>
    <w:rsid w:val="000630D9"/>
    <w:rsid w:val="00063C44"/>
    <w:rsid w:val="00063CE1"/>
    <w:rsid w:val="000641DA"/>
    <w:rsid w:val="00065053"/>
    <w:rsid w:val="000655E4"/>
    <w:rsid w:val="000656AD"/>
    <w:rsid w:val="000659D0"/>
    <w:rsid w:val="00065C71"/>
    <w:rsid w:val="00066BBA"/>
    <w:rsid w:val="000671B7"/>
    <w:rsid w:val="000674F9"/>
    <w:rsid w:val="00067B6F"/>
    <w:rsid w:val="00067E1D"/>
    <w:rsid w:val="0007064C"/>
    <w:rsid w:val="000712EE"/>
    <w:rsid w:val="00071794"/>
    <w:rsid w:val="000725C0"/>
    <w:rsid w:val="00074CE6"/>
    <w:rsid w:val="000768A5"/>
    <w:rsid w:val="00077277"/>
    <w:rsid w:val="0007743A"/>
    <w:rsid w:val="00077BC5"/>
    <w:rsid w:val="00080069"/>
    <w:rsid w:val="00080125"/>
    <w:rsid w:val="00080F4F"/>
    <w:rsid w:val="000816F6"/>
    <w:rsid w:val="000819EC"/>
    <w:rsid w:val="00081CBC"/>
    <w:rsid w:val="00082159"/>
    <w:rsid w:val="00082183"/>
    <w:rsid w:val="000832E4"/>
    <w:rsid w:val="0008449F"/>
    <w:rsid w:val="000846ED"/>
    <w:rsid w:val="0008499D"/>
    <w:rsid w:val="00084B16"/>
    <w:rsid w:val="00090681"/>
    <w:rsid w:val="000916A3"/>
    <w:rsid w:val="000924A7"/>
    <w:rsid w:val="00093452"/>
    <w:rsid w:val="00093D79"/>
    <w:rsid w:val="00094B28"/>
    <w:rsid w:val="00094B9A"/>
    <w:rsid w:val="00095805"/>
    <w:rsid w:val="0009630E"/>
    <w:rsid w:val="00096568"/>
    <w:rsid w:val="00096DEE"/>
    <w:rsid w:val="00097063"/>
    <w:rsid w:val="00097336"/>
    <w:rsid w:val="000975DA"/>
    <w:rsid w:val="000A0D42"/>
    <w:rsid w:val="000A12E3"/>
    <w:rsid w:val="000A1920"/>
    <w:rsid w:val="000A1A89"/>
    <w:rsid w:val="000A1C91"/>
    <w:rsid w:val="000A2424"/>
    <w:rsid w:val="000A24C4"/>
    <w:rsid w:val="000A2CC9"/>
    <w:rsid w:val="000A314F"/>
    <w:rsid w:val="000A345B"/>
    <w:rsid w:val="000A372A"/>
    <w:rsid w:val="000A395D"/>
    <w:rsid w:val="000A5007"/>
    <w:rsid w:val="000A532C"/>
    <w:rsid w:val="000A56A5"/>
    <w:rsid w:val="000A5C86"/>
    <w:rsid w:val="000A64F0"/>
    <w:rsid w:val="000A6897"/>
    <w:rsid w:val="000A6DBE"/>
    <w:rsid w:val="000A7265"/>
    <w:rsid w:val="000A7E1F"/>
    <w:rsid w:val="000B1FC4"/>
    <w:rsid w:val="000B21D6"/>
    <w:rsid w:val="000B2404"/>
    <w:rsid w:val="000B36D8"/>
    <w:rsid w:val="000B3B7D"/>
    <w:rsid w:val="000B4E71"/>
    <w:rsid w:val="000B6E38"/>
    <w:rsid w:val="000C056F"/>
    <w:rsid w:val="000C1442"/>
    <w:rsid w:val="000C1928"/>
    <w:rsid w:val="000C19B3"/>
    <w:rsid w:val="000C19EF"/>
    <w:rsid w:val="000C2BF1"/>
    <w:rsid w:val="000C2D7D"/>
    <w:rsid w:val="000C3B86"/>
    <w:rsid w:val="000C4A46"/>
    <w:rsid w:val="000C4AFE"/>
    <w:rsid w:val="000C4F54"/>
    <w:rsid w:val="000C5237"/>
    <w:rsid w:val="000C5427"/>
    <w:rsid w:val="000C55A6"/>
    <w:rsid w:val="000C6153"/>
    <w:rsid w:val="000C6A39"/>
    <w:rsid w:val="000C6FB8"/>
    <w:rsid w:val="000C7FC1"/>
    <w:rsid w:val="000D0547"/>
    <w:rsid w:val="000D13E5"/>
    <w:rsid w:val="000D28EB"/>
    <w:rsid w:val="000D308C"/>
    <w:rsid w:val="000D378B"/>
    <w:rsid w:val="000D4262"/>
    <w:rsid w:val="000D43DE"/>
    <w:rsid w:val="000D55B5"/>
    <w:rsid w:val="000D58A1"/>
    <w:rsid w:val="000D63AF"/>
    <w:rsid w:val="000D6FA7"/>
    <w:rsid w:val="000D722B"/>
    <w:rsid w:val="000D7E54"/>
    <w:rsid w:val="000E04C6"/>
    <w:rsid w:val="000E072C"/>
    <w:rsid w:val="000E0A5A"/>
    <w:rsid w:val="000E0A85"/>
    <w:rsid w:val="000E2F5F"/>
    <w:rsid w:val="000E367F"/>
    <w:rsid w:val="000E55F6"/>
    <w:rsid w:val="000E5B4D"/>
    <w:rsid w:val="000E65C4"/>
    <w:rsid w:val="000E68E3"/>
    <w:rsid w:val="000E6DDB"/>
    <w:rsid w:val="000E72AB"/>
    <w:rsid w:val="000E74A6"/>
    <w:rsid w:val="000F03B1"/>
    <w:rsid w:val="000F08AE"/>
    <w:rsid w:val="000F0DA6"/>
    <w:rsid w:val="000F1504"/>
    <w:rsid w:val="000F1AAB"/>
    <w:rsid w:val="000F1AE0"/>
    <w:rsid w:val="000F2D33"/>
    <w:rsid w:val="000F2E1E"/>
    <w:rsid w:val="000F34BA"/>
    <w:rsid w:val="000F3B69"/>
    <w:rsid w:val="000F43F4"/>
    <w:rsid w:val="000F440E"/>
    <w:rsid w:val="000F4A54"/>
    <w:rsid w:val="000F4AED"/>
    <w:rsid w:val="000F6647"/>
    <w:rsid w:val="000F73B7"/>
    <w:rsid w:val="000F771F"/>
    <w:rsid w:val="000F794F"/>
    <w:rsid w:val="000F7E7B"/>
    <w:rsid w:val="001002F8"/>
    <w:rsid w:val="00101A74"/>
    <w:rsid w:val="001020EC"/>
    <w:rsid w:val="001022E8"/>
    <w:rsid w:val="00102654"/>
    <w:rsid w:val="001028CC"/>
    <w:rsid w:val="00102C2B"/>
    <w:rsid w:val="001045F9"/>
    <w:rsid w:val="0010472B"/>
    <w:rsid w:val="00104F95"/>
    <w:rsid w:val="00105698"/>
    <w:rsid w:val="00105C3B"/>
    <w:rsid w:val="00105E1A"/>
    <w:rsid w:val="0010657F"/>
    <w:rsid w:val="001078E6"/>
    <w:rsid w:val="00110332"/>
    <w:rsid w:val="00110C32"/>
    <w:rsid w:val="00111159"/>
    <w:rsid w:val="0011191A"/>
    <w:rsid w:val="00111B51"/>
    <w:rsid w:val="0011221E"/>
    <w:rsid w:val="00112D0F"/>
    <w:rsid w:val="001133E0"/>
    <w:rsid w:val="00114432"/>
    <w:rsid w:val="00115858"/>
    <w:rsid w:val="00115DE5"/>
    <w:rsid w:val="001163D6"/>
    <w:rsid w:val="00116BA2"/>
    <w:rsid w:val="00116C76"/>
    <w:rsid w:val="0011726A"/>
    <w:rsid w:val="0012022D"/>
    <w:rsid w:val="00120B5E"/>
    <w:rsid w:val="00120CE8"/>
    <w:rsid w:val="0012108F"/>
    <w:rsid w:val="00121EB0"/>
    <w:rsid w:val="0012228D"/>
    <w:rsid w:val="00123218"/>
    <w:rsid w:val="001237B7"/>
    <w:rsid w:val="001237BA"/>
    <w:rsid w:val="00123925"/>
    <w:rsid w:val="00123B3A"/>
    <w:rsid w:val="00123E71"/>
    <w:rsid w:val="00126641"/>
    <w:rsid w:val="00126954"/>
    <w:rsid w:val="001304C3"/>
    <w:rsid w:val="00132C16"/>
    <w:rsid w:val="00132F9E"/>
    <w:rsid w:val="00133D3A"/>
    <w:rsid w:val="00134BF4"/>
    <w:rsid w:val="001352EE"/>
    <w:rsid w:val="00135505"/>
    <w:rsid w:val="001364A7"/>
    <w:rsid w:val="001365E0"/>
    <w:rsid w:val="00136827"/>
    <w:rsid w:val="001373A8"/>
    <w:rsid w:val="001375D4"/>
    <w:rsid w:val="00137ADB"/>
    <w:rsid w:val="001401F1"/>
    <w:rsid w:val="0014073C"/>
    <w:rsid w:val="00140885"/>
    <w:rsid w:val="00143750"/>
    <w:rsid w:val="00143E88"/>
    <w:rsid w:val="001455D8"/>
    <w:rsid w:val="00146B5E"/>
    <w:rsid w:val="0014721B"/>
    <w:rsid w:val="0014790A"/>
    <w:rsid w:val="00147F48"/>
    <w:rsid w:val="00150E70"/>
    <w:rsid w:val="00151185"/>
    <w:rsid w:val="0015142E"/>
    <w:rsid w:val="00151609"/>
    <w:rsid w:val="00151975"/>
    <w:rsid w:val="00151ABB"/>
    <w:rsid w:val="00152B2B"/>
    <w:rsid w:val="001531E3"/>
    <w:rsid w:val="0015401E"/>
    <w:rsid w:val="00154447"/>
    <w:rsid w:val="00154503"/>
    <w:rsid w:val="001549BE"/>
    <w:rsid w:val="00154CDE"/>
    <w:rsid w:val="00154F5B"/>
    <w:rsid w:val="001606B8"/>
    <w:rsid w:val="00160C23"/>
    <w:rsid w:val="00161D69"/>
    <w:rsid w:val="00161DAC"/>
    <w:rsid w:val="00162B55"/>
    <w:rsid w:val="00162D8B"/>
    <w:rsid w:val="00163101"/>
    <w:rsid w:val="001638E9"/>
    <w:rsid w:val="00163D0A"/>
    <w:rsid w:val="001642D1"/>
    <w:rsid w:val="00165824"/>
    <w:rsid w:val="001662A6"/>
    <w:rsid w:val="001666EA"/>
    <w:rsid w:val="0016721E"/>
    <w:rsid w:val="00167406"/>
    <w:rsid w:val="00167A69"/>
    <w:rsid w:val="0017111A"/>
    <w:rsid w:val="00171A85"/>
    <w:rsid w:val="00173559"/>
    <w:rsid w:val="00173F5C"/>
    <w:rsid w:val="00174186"/>
    <w:rsid w:val="00174565"/>
    <w:rsid w:val="00174EC9"/>
    <w:rsid w:val="00175574"/>
    <w:rsid w:val="00175BB3"/>
    <w:rsid w:val="00177A9A"/>
    <w:rsid w:val="001808A4"/>
    <w:rsid w:val="00180FF3"/>
    <w:rsid w:val="001815A5"/>
    <w:rsid w:val="00181F30"/>
    <w:rsid w:val="0018265B"/>
    <w:rsid w:val="00182740"/>
    <w:rsid w:val="001835D4"/>
    <w:rsid w:val="00183CFA"/>
    <w:rsid w:val="00184071"/>
    <w:rsid w:val="0018432E"/>
    <w:rsid w:val="001852C5"/>
    <w:rsid w:val="001853D7"/>
    <w:rsid w:val="00185A3B"/>
    <w:rsid w:val="00186721"/>
    <w:rsid w:val="00186850"/>
    <w:rsid w:val="00186B71"/>
    <w:rsid w:val="001900D1"/>
    <w:rsid w:val="001904A5"/>
    <w:rsid w:val="00190FED"/>
    <w:rsid w:val="00191866"/>
    <w:rsid w:val="001923C8"/>
    <w:rsid w:val="001927DD"/>
    <w:rsid w:val="00192DAF"/>
    <w:rsid w:val="001939FF"/>
    <w:rsid w:val="00193BCA"/>
    <w:rsid w:val="0019494C"/>
    <w:rsid w:val="00194DE8"/>
    <w:rsid w:val="00196223"/>
    <w:rsid w:val="00197990"/>
    <w:rsid w:val="001A0106"/>
    <w:rsid w:val="001A02CB"/>
    <w:rsid w:val="001A02FD"/>
    <w:rsid w:val="001A11DB"/>
    <w:rsid w:val="001A33F4"/>
    <w:rsid w:val="001A3997"/>
    <w:rsid w:val="001A50DE"/>
    <w:rsid w:val="001A53AE"/>
    <w:rsid w:val="001A6256"/>
    <w:rsid w:val="001A65D2"/>
    <w:rsid w:val="001A6F29"/>
    <w:rsid w:val="001A789B"/>
    <w:rsid w:val="001B03CC"/>
    <w:rsid w:val="001B0C75"/>
    <w:rsid w:val="001B1E05"/>
    <w:rsid w:val="001B2010"/>
    <w:rsid w:val="001B25D8"/>
    <w:rsid w:val="001B2A29"/>
    <w:rsid w:val="001B2DEE"/>
    <w:rsid w:val="001B2F47"/>
    <w:rsid w:val="001B368E"/>
    <w:rsid w:val="001B42DC"/>
    <w:rsid w:val="001B44C2"/>
    <w:rsid w:val="001B4EC1"/>
    <w:rsid w:val="001B659F"/>
    <w:rsid w:val="001B7399"/>
    <w:rsid w:val="001B7655"/>
    <w:rsid w:val="001B7BAD"/>
    <w:rsid w:val="001B7F09"/>
    <w:rsid w:val="001C1166"/>
    <w:rsid w:val="001C24E6"/>
    <w:rsid w:val="001C261E"/>
    <w:rsid w:val="001C2899"/>
    <w:rsid w:val="001C3305"/>
    <w:rsid w:val="001C3AC7"/>
    <w:rsid w:val="001C42D0"/>
    <w:rsid w:val="001C6402"/>
    <w:rsid w:val="001C7B78"/>
    <w:rsid w:val="001C7F47"/>
    <w:rsid w:val="001C7FB4"/>
    <w:rsid w:val="001D09FB"/>
    <w:rsid w:val="001D0A25"/>
    <w:rsid w:val="001D0BA6"/>
    <w:rsid w:val="001D0C78"/>
    <w:rsid w:val="001D1354"/>
    <w:rsid w:val="001D15C4"/>
    <w:rsid w:val="001D1903"/>
    <w:rsid w:val="001D1942"/>
    <w:rsid w:val="001D1D2A"/>
    <w:rsid w:val="001D1DDB"/>
    <w:rsid w:val="001D2D04"/>
    <w:rsid w:val="001D3E15"/>
    <w:rsid w:val="001D53EA"/>
    <w:rsid w:val="001D67AC"/>
    <w:rsid w:val="001D6F7C"/>
    <w:rsid w:val="001D777C"/>
    <w:rsid w:val="001E0156"/>
    <w:rsid w:val="001E10D7"/>
    <w:rsid w:val="001E1153"/>
    <w:rsid w:val="001E12A5"/>
    <w:rsid w:val="001E1BF9"/>
    <w:rsid w:val="001E1EDB"/>
    <w:rsid w:val="001E3A18"/>
    <w:rsid w:val="001E6223"/>
    <w:rsid w:val="001E7093"/>
    <w:rsid w:val="001E717D"/>
    <w:rsid w:val="001E71F5"/>
    <w:rsid w:val="001E73DA"/>
    <w:rsid w:val="001E7D86"/>
    <w:rsid w:val="001F1A9F"/>
    <w:rsid w:val="001F203C"/>
    <w:rsid w:val="001F2278"/>
    <w:rsid w:val="001F377B"/>
    <w:rsid w:val="001F3CF9"/>
    <w:rsid w:val="001F4708"/>
    <w:rsid w:val="001F4D2F"/>
    <w:rsid w:val="001F4FEE"/>
    <w:rsid w:val="001F52A9"/>
    <w:rsid w:val="001F55E5"/>
    <w:rsid w:val="001F5689"/>
    <w:rsid w:val="001F5CB9"/>
    <w:rsid w:val="001F63E1"/>
    <w:rsid w:val="001F65D7"/>
    <w:rsid w:val="002003A1"/>
    <w:rsid w:val="002008B3"/>
    <w:rsid w:val="00200DC3"/>
    <w:rsid w:val="002011E2"/>
    <w:rsid w:val="00201BB9"/>
    <w:rsid w:val="002025E5"/>
    <w:rsid w:val="00202618"/>
    <w:rsid w:val="00202925"/>
    <w:rsid w:val="00202C70"/>
    <w:rsid w:val="00203FE6"/>
    <w:rsid w:val="002044F6"/>
    <w:rsid w:val="002050B0"/>
    <w:rsid w:val="00205D80"/>
    <w:rsid w:val="00206401"/>
    <w:rsid w:val="002076B4"/>
    <w:rsid w:val="00210874"/>
    <w:rsid w:val="0021093F"/>
    <w:rsid w:val="00211F31"/>
    <w:rsid w:val="00212FAC"/>
    <w:rsid w:val="002133CA"/>
    <w:rsid w:val="00213592"/>
    <w:rsid w:val="002146B5"/>
    <w:rsid w:val="00214FA2"/>
    <w:rsid w:val="00215783"/>
    <w:rsid w:val="0021644B"/>
    <w:rsid w:val="00216489"/>
    <w:rsid w:val="002167C9"/>
    <w:rsid w:val="00216DC9"/>
    <w:rsid w:val="0021749D"/>
    <w:rsid w:val="00217CA0"/>
    <w:rsid w:val="002202EB"/>
    <w:rsid w:val="00220FCF"/>
    <w:rsid w:val="00221705"/>
    <w:rsid w:val="00221972"/>
    <w:rsid w:val="00222F4D"/>
    <w:rsid w:val="00223038"/>
    <w:rsid w:val="002231C8"/>
    <w:rsid w:val="00224154"/>
    <w:rsid w:val="00224375"/>
    <w:rsid w:val="0022513F"/>
    <w:rsid w:val="00225631"/>
    <w:rsid w:val="00226614"/>
    <w:rsid w:val="00230194"/>
    <w:rsid w:val="0023065B"/>
    <w:rsid w:val="00230B70"/>
    <w:rsid w:val="00230F9E"/>
    <w:rsid w:val="00231923"/>
    <w:rsid w:val="00232354"/>
    <w:rsid w:val="0023262C"/>
    <w:rsid w:val="00232708"/>
    <w:rsid w:val="002329C3"/>
    <w:rsid w:val="002332AE"/>
    <w:rsid w:val="002333C2"/>
    <w:rsid w:val="002339F7"/>
    <w:rsid w:val="00233F2D"/>
    <w:rsid w:val="00234040"/>
    <w:rsid w:val="00234D9C"/>
    <w:rsid w:val="00234DCE"/>
    <w:rsid w:val="0023576C"/>
    <w:rsid w:val="00235D67"/>
    <w:rsid w:val="0023626B"/>
    <w:rsid w:val="0023718E"/>
    <w:rsid w:val="002376AD"/>
    <w:rsid w:val="002379CE"/>
    <w:rsid w:val="00241730"/>
    <w:rsid w:val="00242F07"/>
    <w:rsid w:val="00243020"/>
    <w:rsid w:val="0024498B"/>
    <w:rsid w:val="00244D22"/>
    <w:rsid w:val="00245A23"/>
    <w:rsid w:val="00245FD9"/>
    <w:rsid w:val="00246C09"/>
    <w:rsid w:val="002470E4"/>
    <w:rsid w:val="00247262"/>
    <w:rsid w:val="00247D62"/>
    <w:rsid w:val="0025003E"/>
    <w:rsid w:val="002502C2"/>
    <w:rsid w:val="00250B66"/>
    <w:rsid w:val="00251007"/>
    <w:rsid w:val="002513E4"/>
    <w:rsid w:val="0025144C"/>
    <w:rsid w:val="00254216"/>
    <w:rsid w:val="00255EFF"/>
    <w:rsid w:val="0025616B"/>
    <w:rsid w:val="002567A5"/>
    <w:rsid w:val="002568CD"/>
    <w:rsid w:val="00257285"/>
    <w:rsid w:val="0025755E"/>
    <w:rsid w:val="00257FF4"/>
    <w:rsid w:val="002608CE"/>
    <w:rsid w:val="00261660"/>
    <w:rsid w:val="002619D5"/>
    <w:rsid w:val="0026220C"/>
    <w:rsid w:val="0026279C"/>
    <w:rsid w:val="00262CD3"/>
    <w:rsid w:val="00263BB1"/>
    <w:rsid w:val="00264181"/>
    <w:rsid w:val="00264BB2"/>
    <w:rsid w:val="00265289"/>
    <w:rsid w:val="00265388"/>
    <w:rsid w:val="00266613"/>
    <w:rsid w:val="00266683"/>
    <w:rsid w:val="00266FE9"/>
    <w:rsid w:val="00272396"/>
    <w:rsid w:val="002730FE"/>
    <w:rsid w:val="00273D98"/>
    <w:rsid w:val="00274606"/>
    <w:rsid w:val="00275445"/>
    <w:rsid w:val="00275A4E"/>
    <w:rsid w:val="00275B96"/>
    <w:rsid w:val="0027614D"/>
    <w:rsid w:val="0027651A"/>
    <w:rsid w:val="002768FA"/>
    <w:rsid w:val="002770A1"/>
    <w:rsid w:val="0028001E"/>
    <w:rsid w:val="00280D53"/>
    <w:rsid w:val="002812C9"/>
    <w:rsid w:val="00281CF6"/>
    <w:rsid w:val="00282ABE"/>
    <w:rsid w:val="0028359B"/>
    <w:rsid w:val="00284441"/>
    <w:rsid w:val="00285275"/>
    <w:rsid w:val="002857FE"/>
    <w:rsid w:val="00286427"/>
    <w:rsid w:val="00290416"/>
    <w:rsid w:val="00290933"/>
    <w:rsid w:val="00290B08"/>
    <w:rsid w:val="00291AB9"/>
    <w:rsid w:val="00291E57"/>
    <w:rsid w:val="00292D6A"/>
    <w:rsid w:val="0029312A"/>
    <w:rsid w:val="0029325C"/>
    <w:rsid w:val="00293B2D"/>
    <w:rsid w:val="00293B46"/>
    <w:rsid w:val="00294E5F"/>
    <w:rsid w:val="002960B7"/>
    <w:rsid w:val="00296FCD"/>
    <w:rsid w:val="00297643"/>
    <w:rsid w:val="00297824"/>
    <w:rsid w:val="00297942"/>
    <w:rsid w:val="002A0F2E"/>
    <w:rsid w:val="002A153F"/>
    <w:rsid w:val="002A1705"/>
    <w:rsid w:val="002A1CC2"/>
    <w:rsid w:val="002A2161"/>
    <w:rsid w:val="002A32FD"/>
    <w:rsid w:val="002A40DC"/>
    <w:rsid w:val="002A4534"/>
    <w:rsid w:val="002A5329"/>
    <w:rsid w:val="002A5C2D"/>
    <w:rsid w:val="002A5CB3"/>
    <w:rsid w:val="002A61E5"/>
    <w:rsid w:val="002A637A"/>
    <w:rsid w:val="002A74DD"/>
    <w:rsid w:val="002A79D5"/>
    <w:rsid w:val="002A7C98"/>
    <w:rsid w:val="002A7FC8"/>
    <w:rsid w:val="002B0782"/>
    <w:rsid w:val="002B0A81"/>
    <w:rsid w:val="002B1883"/>
    <w:rsid w:val="002B1CE7"/>
    <w:rsid w:val="002B2CB2"/>
    <w:rsid w:val="002B2F0F"/>
    <w:rsid w:val="002B3C61"/>
    <w:rsid w:val="002B4724"/>
    <w:rsid w:val="002B4844"/>
    <w:rsid w:val="002B569D"/>
    <w:rsid w:val="002B595D"/>
    <w:rsid w:val="002B5F6A"/>
    <w:rsid w:val="002B779E"/>
    <w:rsid w:val="002B7D6F"/>
    <w:rsid w:val="002B7D78"/>
    <w:rsid w:val="002C0552"/>
    <w:rsid w:val="002C0961"/>
    <w:rsid w:val="002C1CF7"/>
    <w:rsid w:val="002C1D11"/>
    <w:rsid w:val="002C25D0"/>
    <w:rsid w:val="002C27BF"/>
    <w:rsid w:val="002C280B"/>
    <w:rsid w:val="002C2DB0"/>
    <w:rsid w:val="002C43BD"/>
    <w:rsid w:val="002C44A0"/>
    <w:rsid w:val="002C4C2F"/>
    <w:rsid w:val="002C4D41"/>
    <w:rsid w:val="002C75B0"/>
    <w:rsid w:val="002C7703"/>
    <w:rsid w:val="002C7A63"/>
    <w:rsid w:val="002C7DA3"/>
    <w:rsid w:val="002C7FA2"/>
    <w:rsid w:val="002D0153"/>
    <w:rsid w:val="002D0985"/>
    <w:rsid w:val="002D1431"/>
    <w:rsid w:val="002D263E"/>
    <w:rsid w:val="002D353C"/>
    <w:rsid w:val="002D403A"/>
    <w:rsid w:val="002D4262"/>
    <w:rsid w:val="002D4600"/>
    <w:rsid w:val="002D46B7"/>
    <w:rsid w:val="002D6163"/>
    <w:rsid w:val="002D65AF"/>
    <w:rsid w:val="002D7BEE"/>
    <w:rsid w:val="002E0163"/>
    <w:rsid w:val="002E0491"/>
    <w:rsid w:val="002E1064"/>
    <w:rsid w:val="002E1E57"/>
    <w:rsid w:val="002E2551"/>
    <w:rsid w:val="002E323F"/>
    <w:rsid w:val="002E3490"/>
    <w:rsid w:val="002E3A30"/>
    <w:rsid w:val="002E46F6"/>
    <w:rsid w:val="002E4BD6"/>
    <w:rsid w:val="002E5144"/>
    <w:rsid w:val="002E5364"/>
    <w:rsid w:val="002E54BE"/>
    <w:rsid w:val="002E5554"/>
    <w:rsid w:val="002E59C4"/>
    <w:rsid w:val="002E5D24"/>
    <w:rsid w:val="002E66AE"/>
    <w:rsid w:val="002E7AE1"/>
    <w:rsid w:val="002F01B5"/>
    <w:rsid w:val="002F0726"/>
    <w:rsid w:val="002F1A28"/>
    <w:rsid w:val="002F1B12"/>
    <w:rsid w:val="002F2256"/>
    <w:rsid w:val="002F50AE"/>
    <w:rsid w:val="002F530C"/>
    <w:rsid w:val="002F591B"/>
    <w:rsid w:val="002F5C70"/>
    <w:rsid w:val="002F6380"/>
    <w:rsid w:val="002F64B8"/>
    <w:rsid w:val="002F673B"/>
    <w:rsid w:val="002F6B19"/>
    <w:rsid w:val="002F7B47"/>
    <w:rsid w:val="00300013"/>
    <w:rsid w:val="0030032D"/>
    <w:rsid w:val="003006F8"/>
    <w:rsid w:val="00300BF2"/>
    <w:rsid w:val="00301411"/>
    <w:rsid w:val="003015EB"/>
    <w:rsid w:val="0030165B"/>
    <w:rsid w:val="003027C1"/>
    <w:rsid w:val="00302A25"/>
    <w:rsid w:val="00303980"/>
    <w:rsid w:val="00304900"/>
    <w:rsid w:val="00304C13"/>
    <w:rsid w:val="00305077"/>
    <w:rsid w:val="003051CE"/>
    <w:rsid w:val="00305718"/>
    <w:rsid w:val="003059F2"/>
    <w:rsid w:val="00305CB2"/>
    <w:rsid w:val="00305D08"/>
    <w:rsid w:val="00305EC5"/>
    <w:rsid w:val="00306107"/>
    <w:rsid w:val="003076D4"/>
    <w:rsid w:val="003077B8"/>
    <w:rsid w:val="003111F8"/>
    <w:rsid w:val="00311622"/>
    <w:rsid w:val="00311B18"/>
    <w:rsid w:val="0031204A"/>
    <w:rsid w:val="0031272B"/>
    <w:rsid w:val="00312D77"/>
    <w:rsid w:val="00313092"/>
    <w:rsid w:val="00313198"/>
    <w:rsid w:val="00315435"/>
    <w:rsid w:val="00316759"/>
    <w:rsid w:val="0031691A"/>
    <w:rsid w:val="00316C2A"/>
    <w:rsid w:val="00317BF9"/>
    <w:rsid w:val="0032038C"/>
    <w:rsid w:val="00321889"/>
    <w:rsid w:val="00321D48"/>
    <w:rsid w:val="00321DEB"/>
    <w:rsid w:val="0032281C"/>
    <w:rsid w:val="00324590"/>
    <w:rsid w:val="00324827"/>
    <w:rsid w:val="003257D7"/>
    <w:rsid w:val="00325C5E"/>
    <w:rsid w:val="003262E0"/>
    <w:rsid w:val="003264CF"/>
    <w:rsid w:val="0032738E"/>
    <w:rsid w:val="003276D1"/>
    <w:rsid w:val="00331B40"/>
    <w:rsid w:val="00331B78"/>
    <w:rsid w:val="00331C5F"/>
    <w:rsid w:val="003325B9"/>
    <w:rsid w:val="00332E95"/>
    <w:rsid w:val="00333074"/>
    <w:rsid w:val="00333223"/>
    <w:rsid w:val="00333377"/>
    <w:rsid w:val="00333A43"/>
    <w:rsid w:val="003344AE"/>
    <w:rsid w:val="00334923"/>
    <w:rsid w:val="00334F7E"/>
    <w:rsid w:val="003364C1"/>
    <w:rsid w:val="00337094"/>
    <w:rsid w:val="00337F82"/>
    <w:rsid w:val="00340640"/>
    <w:rsid w:val="00340810"/>
    <w:rsid w:val="0034100B"/>
    <w:rsid w:val="00341E2E"/>
    <w:rsid w:val="003435D6"/>
    <w:rsid w:val="00345143"/>
    <w:rsid w:val="003458E0"/>
    <w:rsid w:val="00345CCD"/>
    <w:rsid w:val="003471F6"/>
    <w:rsid w:val="0034758C"/>
    <w:rsid w:val="003511CE"/>
    <w:rsid w:val="00351909"/>
    <w:rsid w:val="00352BE0"/>
    <w:rsid w:val="0035333E"/>
    <w:rsid w:val="003538F0"/>
    <w:rsid w:val="00353E62"/>
    <w:rsid w:val="00354798"/>
    <w:rsid w:val="003563DF"/>
    <w:rsid w:val="003575B7"/>
    <w:rsid w:val="00357869"/>
    <w:rsid w:val="00357DAE"/>
    <w:rsid w:val="003602A5"/>
    <w:rsid w:val="003606D1"/>
    <w:rsid w:val="003608D9"/>
    <w:rsid w:val="00360B80"/>
    <w:rsid w:val="00361259"/>
    <w:rsid w:val="00361429"/>
    <w:rsid w:val="003620D8"/>
    <w:rsid w:val="00362AA7"/>
    <w:rsid w:val="003630AD"/>
    <w:rsid w:val="003632BE"/>
    <w:rsid w:val="00363B11"/>
    <w:rsid w:val="00366F6D"/>
    <w:rsid w:val="003672D6"/>
    <w:rsid w:val="00367684"/>
    <w:rsid w:val="003705BF"/>
    <w:rsid w:val="00370935"/>
    <w:rsid w:val="00370E57"/>
    <w:rsid w:val="00370E9E"/>
    <w:rsid w:val="00371C1A"/>
    <w:rsid w:val="003721DB"/>
    <w:rsid w:val="00373CEB"/>
    <w:rsid w:val="00374312"/>
    <w:rsid w:val="00375E44"/>
    <w:rsid w:val="00375E52"/>
    <w:rsid w:val="00376DF7"/>
    <w:rsid w:val="00377981"/>
    <w:rsid w:val="00377BDE"/>
    <w:rsid w:val="00380888"/>
    <w:rsid w:val="00380D9F"/>
    <w:rsid w:val="00381802"/>
    <w:rsid w:val="003819E1"/>
    <w:rsid w:val="00382234"/>
    <w:rsid w:val="00382A0F"/>
    <w:rsid w:val="003842E5"/>
    <w:rsid w:val="003852C0"/>
    <w:rsid w:val="00385A6A"/>
    <w:rsid w:val="0038672F"/>
    <w:rsid w:val="00386A06"/>
    <w:rsid w:val="00386BC9"/>
    <w:rsid w:val="00386F24"/>
    <w:rsid w:val="003876AB"/>
    <w:rsid w:val="00387957"/>
    <w:rsid w:val="0039053D"/>
    <w:rsid w:val="00390C8F"/>
    <w:rsid w:val="00392B8A"/>
    <w:rsid w:val="00392DD1"/>
    <w:rsid w:val="00393668"/>
    <w:rsid w:val="00393799"/>
    <w:rsid w:val="00393FA9"/>
    <w:rsid w:val="0039449C"/>
    <w:rsid w:val="003947B3"/>
    <w:rsid w:val="003959E6"/>
    <w:rsid w:val="00395A77"/>
    <w:rsid w:val="00395E02"/>
    <w:rsid w:val="0039684C"/>
    <w:rsid w:val="003A0290"/>
    <w:rsid w:val="003A1E28"/>
    <w:rsid w:val="003A25BB"/>
    <w:rsid w:val="003A2AE2"/>
    <w:rsid w:val="003A2E7D"/>
    <w:rsid w:val="003A300D"/>
    <w:rsid w:val="003A3529"/>
    <w:rsid w:val="003A3D00"/>
    <w:rsid w:val="003A3E7B"/>
    <w:rsid w:val="003A422E"/>
    <w:rsid w:val="003A4566"/>
    <w:rsid w:val="003A7067"/>
    <w:rsid w:val="003A7F84"/>
    <w:rsid w:val="003B0143"/>
    <w:rsid w:val="003B09F6"/>
    <w:rsid w:val="003B0D03"/>
    <w:rsid w:val="003B1F0A"/>
    <w:rsid w:val="003B2C1F"/>
    <w:rsid w:val="003B329D"/>
    <w:rsid w:val="003B3684"/>
    <w:rsid w:val="003B5533"/>
    <w:rsid w:val="003B5A85"/>
    <w:rsid w:val="003B71EE"/>
    <w:rsid w:val="003B73CF"/>
    <w:rsid w:val="003B759C"/>
    <w:rsid w:val="003B7621"/>
    <w:rsid w:val="003B7843"/>
    <w:rsid w:val="003B7C64"/>
    <w:rsid w:val="003C0593"/>
    <w:rsid w:val="003C13A6"/>
    <w:rsid w:val="003C1615"/>
    <w:rsid w:val="003C1EB4"/>
    <w:rsid w:val="003C2536"/>
    <w:rsid w:val="003C2A44"/>
    <w:rsid w:val="003C4ACA"/>
    <w:rsid w:val="003C4E3A"/>
    <w:rsid w:val="003C7740"/>
    <w:rsid w:val="003D0C7C"/>
    <w:rsid w:val="003D0CC8"/>
    <w:rsid w:val="003D0E1C"/>
    <w:rsid w:val="003D1E47"/>
    <w:rsid w:val="003D3602"/>
    <w:rsid w:val="003D3662"/>
    <w:rsid w:val="003D3C14"/>
    <w:rsid w:val="003D4188"/>
    <w:rsid w:val="003D4557"/>
    <w:rsid w:val="003D4AAF"/>
    <w:rsid w:val="003D4CD3"/>
    <w:rsid w:val="003D5353"/>
    <w:rsid w:val="003D543D"/>
    <w:rsid w:val="003D562D"/>
    <w:rsid w:val="003D59FD"/>
    <w:rsid w:val="003D754B"/>
    <w:rsid w:val="003E10B8"/>
    <w:rsid w:val="003E122D"/>
    <w:rsid w:val="003E13F5"/>
    <w:rsid w:val="003E1978"/>
    <w:rsid w:val="003E1ED0"/>
    <w:rsid w:val="003E29B2"/>
    <w:rsid w:val="003E2B5E"/>
    <w:rsid w:val="003E3105"/>
    <w:rsid w:val="003E3302"/>
    <w:rsid w:val="003E3826"/>
    <w:rsid w:val="003E3AFD"/>
    <w:rsid w:val="003E3FF4"/>
    <w:rsid w:val="003E4AEB"/>
    <w:rsid w:val="003E4E15"/>
    <w:rsid w:val="003E53E8"/>
    <w:rsid w:val="003E5669"/>
    <w:rsid w:val="003E5912"/>
    <w:rsid w:val="003E5AE8"/>
    <w:rsid w:val="003E68C4"/>
    <w:rsid w:val="003F0103"/>
    <w:rsid w:val="003F07EE"/>
    <w:rsid w:val="003F0C8B"/>
    <w:rsid w:val="003F1607"/>
    <w:rsid w:val="003F231A"/>
    <w:rsid w:val="003F29F2"/>
    <w:rsid w:val="003F388C"/>
    <w:rsid w:val="003F3C77"/>
    <w:rsid w:val="003F4566"/>
    <w:rsid w:val="003F458D"/>
    <w:rsid w:val="003F47DF"/>
    <w:rsid w:val="003F4BE5"/>
    <w:rsid w:val="003F6209"/>
    <w:rsid w:val="003F634A"/>
    <w:rsid w:val="003F6675"/>
    <w:rsid w:val="003F7577"/>
    <w:rsid w:val="0040072E"/>
    <w:rsid w:val="00400A8B"/>
    <w:rsid w:val="00401831"/>
    <w:rsid w:val="0040314A"/>
    <w:rsid w:val="00403B87"/>
    <w:rsid w:val="00403BDB"/>
    <w:rsid w:val="00403CB0"/>
    <w:rsid w:val="004042C7"/>
    <w:rsid w:val="00405DAB"/>
    <w:rsid w:val="00405E90"/>
    <w:rsid w:val="0040629D"/>
    <w:rsid w:val="004065CE"/>
    <w:rsid w:val="00406802"/>
    <w:rsid w:val="00407535"/>
    <w:rsid w:val="00407A61"/>
    <w:rsid w:val="004105DD"/>
    <w:rsid w:val="00410DCE"/>
    <w:rsid w:val="00411E4D"/>
    <w:rsid w:val="00411F1A"/>
    <w:rsid w:val="00412C0B"/>
    <w:rsid w:val="0041404E"/>
    <w:rsid w:val="0041429D"/>
    <w:rsid w:val="004147D0"/>
    <w:rsid w:val="00414E1F"/>
    <w:rsid w:val="004157AB"/>
    <w:rsid w:val="0041581E"/>
    <w:rsid w:val="004161E5"/>
    <w:rsid w:val="0041765C"/>
    <w:rsid w:val="00420837"/>
    <w:rsid w:val="00420E05"/>
    <w:rsid w:val="00421EEC"/>
    <w:rsid w:val="0042280C"/>
    <w:rsid w:val="00422933"/>
    <w:rsid w:val="00422F4B"/>
    <w:rsid w:val="00423003"/>
    <w:rsid w:val="00423F0D"/>
    <w:rsid w:val="004248B4"/>
    <w:rsid w:val="00424C66"/>
    <w:rsid w:val="004251E6"/>
    <w:rsid w:val="0042526D"/>
    <w:rsid w:val="004252C3"/>
    <w:rsid w:val="004254A2"/>
    <w:rsid w:val="00426D71"/>
    <w:rsid w:val="004274FC"/>
    <w:rsid w:val="00430256"/>
    <w:rsid w:val="00430303"/>
    <w:rsid w:val="00430E3D"/>
    <w:rsid w:val="0043194D"/>
    <w:rsid w:val="00431B84"/>
    <w:rsid w:val="00431BF1"/>
    <w:rsid w:val="00433D22"/>
    <w:rsid w:val="00434130"/>
    <w:rsid w:val="004342F8"/>
    <w:rsid w:val="00434A2F"/>
    <w:rsid w:val="00434B63"/>
    <w:rsid w:val="00436535"/>
    <w:rsid w:val="004402D5"/>
    <w:rsid w:val="0044083A"/>
    <w:rsid w:val="004408FA"/>
    <w:rsid w:val="00440BBB"/>
    <w:rsid w:val="00441119"/>
    <w:rsid w:val="00442B66"/>
    <w:rsid w:val="00442D9D"/>
    <w:rsid w:val="00442E4B"/>
    <w:rsid w:val="0044302D"/>
    <w:rsid w:val="00443C38"/>
    <w:rsid w:val="00444E4C"/>
    <w:rsid w:val="00444FC8"/>
    <w:rsid w:val="0044552A"/>
    <w:rsid w:val="00445663"/>
    <w:rsid w:val="004461A4"/>
    <w:rsid w:val="00446612"/>
    <w:rsid w:val="00446EE2"/>
    <w:rsid w:val="00450E44"/>
    <w:rsid w:val="00451298"/>
    <w:rsid w:val="00451501"/>
    <w:rsid w:val="0045165E"/>
    <w:rsid w:val="004521E9"/>
    <w:rsid w:val="004528D0"/>
    <w:rsid w:val="004531F2"/>
    <w:rsid w:val="00453C86"/>
    <w:rsid w:val="00454564"/>
    <w:rsid w:val="00454E78"/>
    <w:rsid w:val="004562E5"/>
    <w:rsid w:val="00457BC3"/>
    <w:rsid w:val="00460084"/>
    <w:rsid w:val="0046034D"/>
    <w:rsid w:val="00461801"/>
    <w:rsid w:val="00462272"/>
    <w:rsid w:val="0046283F"/>
    <w:rsid w:val="0046390C"/>
    <w:rsid w:val="004639D7"/>
    <w:rsid w:val="00464569"/>
    <w:rsid w:val="004650DF"/>
    <w:rsid w:val="00465D4E"/>
    <w:rsid w:val="00466381"/>
    <w:rsid w:val="00467393"/>
    <w:rsid w:val="00467BDD"/>
    <w:rsid w:val="0047110B"/>
    <w:rsid w:val="0047134B"/>
    <w:rsid w:val="00471520"/>
    <w:rsid w:val="004717F6"/>
    <w:rsid w:val="0047364D"/>
    <w:rsid w:val="00473E40"/>
    <w:rsid w:val="0047481E"/>
    <w:rsid w:val="00474918"/>
    <w:rsid w:val="00475935"/>
    <w:rsid w:val="00475EAF"/>
    <w:rsid w:val="0047681C"/>
    <w:rsid w:val="00476FA4"/>
    <w:rsid w:val="004815F8"/>
    <w:rsid w:val="00481E32"/>
    <w:rsid w:val="004831ED"/>
    <w:rsid w:val="004831FC"/>
    <w:rsid w:val="004836A7"/>
    <w:rsid w:val="004847B4"/>
    <w:rsid w:val="00484921"/>
    <w:rsid w:val="00485B42"/>
    <w:rsid w:val="00486614"/>
    <w:rsid w:val="00487C0E"/>
    <w:rsid w:val="00487DE2"/>
    <w:rsid w:val="00487E11"/>
    <w:rsid w:val="00487FB8"/>
    <w:rsid w:val="00487FD3"/>
    <w:rsid w:val="004900FE"/>
    <w:rsid w:val="004919D4"/>
    <w:rsid w:val="00491FB2"/>
    <w:rsid w:val="0049200C"/>
    <w:rsid w:val="0049212C"/>
    <w:rsid w:val="0049437D"/>
    <w:rsid w:val="004950CC"/>
    <w:rsid w:val="00495ADC"/>
    <w:rsid w:val="00495C39"/>
    <w:rsid w:val="00496279"/>
    <w:rsid w:val="004975DB"/>
    <w:rsid w:val="004A1224"/>
    <w:rsid w:val="004A1ABD"/>
    <w:rsid w:val="004A247B"/>
    <w:rsid w:val="004A28C5"/>
    <w:rsid w:val="004A2AD1"/>
    <w:rsid w:val="004A2F59"/>
    <w:rsid w:val="004A3731"/>
    <w:rsid w:val="004A3865"/>
    <w:rsid w:val="004A3A82"/>
    <w:rsid w:val="004A5520"/>
    <w:rsid w:val="004A5E53"/>
    <w:rsid w:val="004A64B4"/>
    <w:rsid w:val="004A660C"/>
    <w:rsid w:val="004A6B44"/>
    <w:rsid w:val="004A6E0E"/>
    <w:rsid w:val="004A6E29"/>
    <w:rsid w:val="004B0B19"/>
    <w:rsid w:val="004B1B25"/>
    <w:rsid w:val="004B1E81"/>
    <w:rsid w:val="004B2698"/>
    <w:rsid w:val="004B30EE"/>
    <w:rsid w:val="004B35F0"/>
    <w:rsid w:val="004B37A7"/>
    <w:rsid w:val="004B4426"/>
    <w:rsid w:val="004B44E1"/>
    <w:rsid w:val="004B4901"/>
    <w:rsid w:val="004B4F87"/>
    <w:rsid w:val="004B5360"/>
    <w:rsid w:val="004B5F2A"/>
    <w:rsid w:val="004B63BE"/>
    <w:rsid w:val="004B674E"/>
    <w:rsid w:val="004B74B2"/>
    <w:rsid w:val="004B772F"/>
    <w:rsid w:val="004C103D"/>
    <w:rsid w:val="004C1303"/>
    <w:rsid w:val="004C1399"/>
    <w:rsid w:val="004C16D8"/>
    <w:rsid w:val="004C1C09"/>
    <w:rsid w:val="004C2A17"/>
    <w:rsid w:val="004C2B0E"/>
    <w:rsid w:val="004C45F5"/>
    <w:rsid w:val="004C5507"/>
    <w:rsid w:val="004C63EA"/>
    <w:rsid w:val="004C7D9E"/>
    <w:rsid w:val="004D05D8"/>
    <w:rsid w:val="004D0D6B"/>
    <w:rsid w:val="004D10C4"/>
    <w:rsid w:val="004D11C7"/>
    <w:rsid w:val="004D1E1A"/>
    <w:rsid w:val="004D1EFF"/>
    <w:rsid w:val="004D23A9"/>
    <w:rsid w:val="004D2683"/>
    <w:rsid w:val="004D29F5"/>
    <w:rsid w:val="004D2F90"/>
    <w:rsid w:val="004D3A5D"/>
    <w:rsid w:val="004D3E35"/>
    <w:rsid w:val="004D52F0"/>
    <w:rsid w:val="004D5C6C"/>
    <w:rsid w:val="004D5FDC"/>
    <w:rsid w:val="004D60D6"/>
    <w:rsid w:val="004D660D"/>
    <w:rsid w:val="004D7804"/>
    <w:rsid w:val="004E0308"/>
    <w:rsid w:val="004E2825"/>
    <w:rsid w:val="004E2DFB"/>
    <w:rsid w:val="004E3079"/>
    <w:rsid w:val="004E3276"/>
    <w:rsid w:val="004E3504"/>
    <w:rsid w:val="004E3836"/>
    <w:rsid w:val="004E3B3F"/>
    <w:rsid w:val="004E50A4"/>
    <w:rsid w:val="004E62E4"/>
    <w:rsid w:val="004E6F5D"/>
    <w:rsid w:val="004E7C41"/>
    <w:rsid w:val="004F082C"/>
    <w:rsid w:val="004F0E90"/>
    <w:rsid w:val="004F0F5B"/>
    <w:rsid w:val="004F1212"/>
    <w:rsid w:val="004F12CE"/>
    <w:rsid w:val="004F1672"/>
    <w:rsid w:val="004F187F"/>
    <w:rsid w:val="004F1B48"/>
    <w:rsid w:val="004F22B8"/>
    <w:rsid w:val="004F2437"/>
    <w:rsid w:val="004F2BF9"/>
    <w:rsid w:val="004F38E1"/>
    <w:rsid w:val="004F4624"/>
    <w:rsid w:val="004F5573"/>
    <w:rsid w:val="004F5948"/>
    <w:rsid w:val="004F5D8B"/>
    <w:rsid w:val="004F634F"/>
    <w:rsid w:val="004F7556"/>
    <w:rsid w:val="004F78BF"/>
    <w:rsid w:val="004F7B15"/>
    <w:rsid w:val="00500700"/>
    <w:rsid w:val="00500957"/>
    <w:rsid w:val="0050141B"/>
    <w:rsid w:val="0050230B"/>
    <w:rsid w:val="00502638"/>
    <w:rsid w:val="005029BC"/>
    <w:rsid w:val="00502B87"/>
    <w:rsid w:val="0050346A"/>
    <w:rsid w:val="00503FD8"/>
    <w:rsid w:val="00504472"/>
    <w:rsid w:val="005048E3"/>
    <w:rsid w:val="00505A77"/>
    <w:rsid w:val="00505CB3"/>
    <w:rsid w:val="005067C7"/>
    <w:rsid w:val="00506EB0"/>
    <w:rsid w:val="0050798C"/>
    <w:rsid w:val="00507F26"/>
    <w:rsid w:val="005111D1"/>
    <w:rsid w:val="00511496"/>
    <w:rsid w:val="0051191D"/>
    <w:rsid w:val="0051207B"/>
    <w:rsid w:val="00512A8C"/>
    <w:rsid w:val="005136CD"/>
    <w:rsid w:val="005140FF"/>
    <w:rsid w:val="00514B03"/>
    <w:rsid w:val="00514B1A"/>
    <w:rsid w:val="00514E2B"/>
    <w:rsid w:val="00514E5F"/>
    <w:rsid w:val="005150C5"/>
    <w:rsid w:val="00516415"/>
    <w:rsid w:val="00517351"/>
    <w:rsid w:val="00520FB7"/>
    <w:rsid w:val="0052106A"/>
    <w:rsid w:val="005212E4"/>
    <w:rsid w:val="00521860"/>
    <w:rsid w:val="00521D74"/>
    <w:rsid w:val="005222A2"/>
    <w:rsid w:val="005222CC"/>
    <w:rsid w:val="00522622"/>
    <w:rsid w:val="0052262C"/>
    <w:rsid w:val="00523505"/>
    <w:rsid w:val="00523B5E"/>
    <w:rsid w:val="00524E3F"/>
    <w:rsid w:val="005250EE"/>
    <w:rsid w:val="00525151"/>
    <w:rsid w:val="00525AB1"/>
    <w:rsid w:val="005263A9"/>
    <w:rsid w:val="00526B01"/>
    <w:rsid w:val="00526C61"/>
    <w:rsid w:val="00527492"/>
    <w:rsid w:val="005277F5"/>
    <w:rsid w:val="00530311"/>
    <w:rsid w:val="005310C1"/>
    <w:rsid w:val="00531934"/>
    <w:rsid w:val="005328A9"/>
    <w:rsid w:val="00532994"/>
    <w:rsid w:val="005329BE"/>
    <w:rsid w:val="00532CF1"/>
    <w:rsid w:val="005334DE"/>
    <w:rsid w:val="00533515"/>
    <w:rsid w:val="005342DE"/>
    <w:rsid w:val="00534AC0"/>
    <w:rsid w:val="00535272"/>
    <w:rsid w:val="00535557"/>
    <w:rsid w:val="0053606A"/>
    <w:rsid w:val="00536480"/>
    <w:rsid w:val="005369C0"/>
    <w:rsid w:val="00536B92"/>
    <w:rsid w:val="0053714C"/>
    <w:rsid w:val="00537B3A"/>
    <w:rsid w:val="00537F49"/>
    <w:rsid w:val="00540811"/>
    <w:rsid w:val="00540B25"/>
    <w:rsid w:val="00540D82"/>
    <w:rsid w:val="00541254"/>
    <w:rsid w:val="00541AB8"/>
    <w:rsid w:val="005421CC"/>
    <w:rsid w:val="005425B2"/>
    <w:rsid w:val="00542BA5"/>
    <w:rsid w:val="00544718"/>
    <w:rsid w:val="00544841"/>
    <w:rsid w:val="00544869"/>
    <w:rsid w:val="00547058"/>
    <w:rsid w:val="00547111"/>
    <w:rsid w:val="00547CD4"/>
    <w:rsid w:val="00547E34"/>
    <w:rsid w:val="00547EB8"/>
    <w:rsid w:val="0055012F"/>
    <w:rsid w:val="005502F6"/>
    <w:rsid w:val="0055054A"/>
    <w:rsid w:val="005515E5"/>
    <w:rsid w:val="00552FC2"/>
    <w:rsid w:val="005534AF"/>
    <w:rsid w:val="00553A03"/>
    <w:rsid w:val="00553DA2"/>
    <w:rsid w:val="005543FB"/>
    <w:rsid w:val="005545DF"/>
    <w:rsid w:val="00554D5F"/>
    <w:rsid w:val="00555623"/>
    <w:rsid w:val="005562DC"/>
    <w:rsid w:val="00556725"/>
    <w:rsid w:val="00557A85"/>
    <w:rsid w:val="005606B5"/>
    <w:rsid w:val="00560E2D"/>
    <w:rsid w:val="005612F7"/>
    <w:rsid w:val="00562816"/>
    <w:rsid w:val="00562BAD"/>
    <w:rsid w:val="00563199"/>
    <w:rsid w:val="0056365E"/>
    <w:rsid w:val="005636DC"/>
    <w:rsid w:val="00565A95"/>
    <w:rsid w:val="00565C77"/>
    <w:rsid w:val="00566181"/>
    <w:rsid w:val="00567882"/>
    <w:rsid w:val="005708BD"/>
    <w:rsid w:val="00570D58"/>
    <w:rsid w:val="00572A0B"/>
    <w:rsid w:val="0057317E"/>
    <w:rsid w:val="005731D3"/>
    <w:rsid w:val="00573C7D"/>
    <w:rsid w:val="00574377"/>
    <w:rsid w:val="00574906"/>
    <w:rsid w:val="00574E9E"/>
    <w:rsid w:val="005752BC"/>
    <w:rsid w:val="00575A4B"/>
    <w:rsid w:val="0057622F"/>
    <w:rsid w:val="00576B23"/>
    <w:rsid w:val="00577772"/>
    <w:rsid w:val="00577977"/>
    <w:rsid w:val="00577DFB"/>
    <w:rsid w:val="005808E2"/>
    <w:rsid w:val="00581719"/>
    <w:rsid w:val="00581D30"/>
    <w:rsid w:val="0058259C"/>
    <w:rsid w:val="00583362"/>
    <w:rsid w:val="00583B0E"/>
    <w:rsid w:val="00583D2C"/>
    <w:rsid w:val="00584245"/>
    <w:rsid w:val="00584C2D"/>
    <w:rsid w:val="00584D80"/>
    <w:rsid w:val="00585BCF"/>
    <w:rsid w:val="0058649C"/>
    <w:rsid w:val="00586535"/>
    <w:rsid w:val="00586BB5"/>
    <w:rsid w:val="00586DFB"/>
    <w:rsid w:val="00587C83"/>
    <w:rsid w:val="00587E5A"/>
    <w:rsid w:val="005905BC"/>
    <w:rsid w:val="005909A7"/>
    <w:rsid w:val="005909CB"/>
    <w:rsid w:val="00590B75"/>
    <w:rsid w:val="00590DAA"/>
    <w:rsid w:val="0059205C"/>
    <w:rsid w:val="00592349"/>
    <w:rsid w:val="00592CEE"/>
    <w:rsid w:val="00592D49"/>
    <w:rsid w:val="00594DBA"/>
    <w:rsid w:val="00594F50"/>
    <w:rsid w:val="005955BA"/>
    <w:rsid w:val="0059690A"/>
    <w:rsid w:val="00596F3F"/>
    <w:rsid w:val="00596F9B"/>
    <w:rsid w:val="00597EEF"/>
    <w:rsid w:val="005A02CB"/>
    <w:rsid w:val="005A08ED"/>
    <w:rsid w:val="005A1A25"/>
    <w:rsid w:val="005A1C4E"/>
    <w:rsid w:val="005A2E0C"/>
    <w:rsid w:val="005A3678"/>
    <w:rsid w:val="005A3DAF"/>
    <w:rsid w:val="005A4251"/>
    <w:rsid w:val="005A4A1A"/>
    <w:rsid w:val="005A61D3"/>
    <w:rsid w:val="005A7C0B"/>
    <w:rsid w:val="005A7E70"/>
    <w:rsid w:val="005B0955"/>
    <w:rsid w:val="005B11C1"/>
    <w:rsid w:val="005B1A53"/>
    <w:rsid w:val="005B2AF7"/>
    <w:rsid w:val="005B40E8"/>
    <w:rsid w:val="005B56E0"/>
    <w:rsid w:val="005B589D"/>
    <w:rsid w:val="005B6839"/>
    <w:rsid w:val="005B6A94"/>
    <w:rsid w:val="005B6DAA"/>
    <w:rsid w:val="005B7314"/>
    <w:rsid w:val="005B7C27"/>
    <w:rsid w:val="005B7D8B"/>
    <w:rsid w:val="005C03F6"/>
    <w:rsid w:val="005C0475"/>
    <w:rsid w:val="005C0509"/>
    <w:rsid w:val="005C1569"/>
    <w:rsid w:val="005C224F"/>
    <w:rsid w:val="005C348A"/>
    <w:rsid w:val="005C3C1A"/>
    <w:rsid w:val="005C4604"/>
    <w:rsid w:val="005C460E"/>
    <w:rsid w:val="005C46D8"/>
    <w:rsid w:val="005C4BEE"/>
    <w:rsid w:val="005C6E74"/>
    <w:rsid w:val="005C732E"/>
    <w:rsid w:val="005C781C"/>
    <w:rsid w:val="005D034A"/>
    <w:rsid w:val="005D13ED"/>
    <w:rsid w:val="005D181E"/>
    <w:rsid w:val="005D1E16"/>
    <w:rsid w:val="005D2386"/>
    <w:rsid w:val="005D330E"/>
    <w:rsid w:val="005D48BF"/>
    <w:rsid w:val="005D520F"/>
    <w:rsid w:val="005D5FC6"/>
    <w:rsid w:val="005D645A"/>
    <w:rsid w:val="005D6E07"/>
    <w:rsid w:val="005D7A35"/>
    <w:rsid w:val="005E034F"/>
    <w:rsid w:val="005E09A7"/>
    <w:rsid w:val="005E0F2E"/>
    <w:rsid w:val="005E198B"/>
    <w:rsid w:val="005E19D9"/>
    <w:rsid w:val="005E1D35"/>
    <w:rsid w:val="005E2750"/>
    <w:rsid w:val="005E2A31"/>
    <w:rsid w:val="005E3D2F"/>
    <w:rsid w:val="005E442F"/>
    <w:rsid w:val="005E458D"/>
    <w:rsid w:val="005E480E"/>
    <w:rsid w:val="005E54A3"/>
    <w:rsid w:val="005E5625"/>
    <w:rsid w:val="005E61D8"/>
    <w:rsid w:val="005E6F2B"/>
    <w:rsid w:val="005E7E2C"/>
    <w:rsid w:val="005F190F"/>
    <w:rsid w:val="005F1ADE"/>
    <w:rsid w:val="005F29CD"/>
    <w:rsid w:val="005F3175"/>
    <w:rsid w:val="005F3436"/>
    <w:rsid w:val="005F3506"/>
    <w:rsid w:val="005F41D8"/>
    <w:rsid w:val="005F4739"/>
    <w:rsid w:val="005F6228"/>
    <w:rsid w:val="005F642B"/>
    <w:rsid w:val="005F67FC"/>
    <w:rsid w:val="005F6E70"/>
    <w:rsid w:val="005F72F5"/>
    <w:rsid w:val="00601630"/>
    <w:rsid w:val="00601A28"/>
    <w:rsid w:val="006026E1"/>
    <w:rsid w:val="00603950"/>
    <w:rsid w:val="00603A90"/>
    <w:rsid w:val="006041E9"/>
    <w:rsid w:val="00605163"/>
    <w:rsid w:val="0060523D"/>
    <w:rsid w:val="00606300"/>
    <w:rsid w:val="006065BF"/>
    <w:rsid w:val="00606D21"/>
    <w:rsid w:val="00606F5E"/>
    <w:rsid w:val="006070EA"/>
    <w:rsid w:val="00607ABE"/>
    <w:rsid w:val="00607F53"/>
    <w:rsid w:val="006103D0"/>
    <w:rsid w:val="006104F7"/>
    <w:rsid w:val="0061103A"/>
    <w:rsid w:val="00611EAE"/>
    <w:rsid w:val="00611F29"/>
    <w:rsid w:val="0061364A"/>
    <w:rsid w:val="00613BEA"/>
    <w:rsid w:val="0061402C"/>
    <w:rsid w:val="0061595F"/>
    <w:rsid w:val="00615A79"/>
    <w:rsid w:val="00616179"/>
    <w:rsid w:val="0061675B"/>
    <w:rsid w:val="00616854"/>
    <w:rsid w:val="0062052B"/>
    <w:rsid w:val="00620797"/>
    <w:rsid w:val="006207B7"/>
    <w:rsid w:val="00620F8F"/>
    <w:rsid w:val="00621A86"/>
    <w:rsid w:val="00622DDE"/>
    <w:rsid w:val="00623401"/>
    <w:rsid w:val="00624C95"/>
    <w:rsid w:val="006258B8"/>
    <w:rsid w:val="00625C40"/>
    <w:rsid w:val="0062706E"/>
    <w:rsid w:val="006272D9"/>
    <w:rsid w:val="00627E7C"/>
    <w:rsid w:val="00630B9A"/>
    <w:rsid w:val="00630CFF"/>
    <w:rsid w:val="00631369"/>
    <w:rsid w:val="0063167F"/>
    <w:rsid w:val="00631F9B"/>
    <w:rsid w:val="00632481"/>
    <w:rsid w:val="0063262D"/>
    <w:rsid w:val="0063268B"/>
    <w:rsid w:val="00632788"/>
    <w:rsid w:val="00632AE5"/>
    <w:rsid w:val="00632FF4"/>
    <w:rsid w:val="00633741"/>
    <w:rsid w:val="0063390E"/>
    <w:rsid w:val="00633CA1"/>
    <w:rsid w:val="006342FE"/>
    <w:rsid w:val="00634673"/>
    <w:rsid w:val="00636E1E"/>
    <w:rsid w:val="00637BBD"/>
    <w:rsid w:val="00637D33"/>
    <w:rsid w:val="00640D17"/>
    <w:rsid w:val="00641A99"/>
    <w:rsid w:val="00641CCA"/>
    <w:rsid w:val="00641DA3"/>
    <w:rsid w:val="00642377"/>
    <w:rsid w:val="00642768"/>
    <w:rsid w:val="00642A84"/>
    <w:rsid w:val="00642E92"/>
    <w:rsid w:val="0064411F"/>
    <w:rsid w:val="006449E3"/>
    <w:rsid w:val="00645742"/>
    <w:rsid w:val="00645E69"/>
    <w:rsid w:val="00646130"/>
    <w:rsid w:val="0064681A"/>
    <w:rsid w:val="00646ACE"/>
    <w:rsid w:val="006474C0"/>
    <w:rsid w:val="006475E6"/>
    <w:rsid w:val="00647927"/>
    <w:rsid w:val="00650B2D"/>
    <w:rsid w:val="00651D84"/>
    <w:rsid w:val="00652B9B"/>
    <w:rsid w:val="00652F78"/>
    <w:rsid w:val="00653120"/>
    <w:rsid w:val="00653743"/>
    <w:rsid w:val="00653DD9"/>
    <w:rsid w:val="00654119"/>
    <w:rsid w:val="00654943"/>
    <w:rsid w:val="00654E6A"/>
    <w:rsid w:val="00654EC2"/>
    <w:rsid w:val="006551FC"/>
    <w:rsid w:val="006563F3"/>
    <w:rsid w:val="006575F3"/>
    <w:rsid w:val="00660871"/>
    <w:rsid w:val="006610FF"/>
    <w:rsid w:val="0066176D"/>
    <w:rsid w:val="00661ED7"/>
    <w:rsid w:val="006620CF"/>
    <w:rsid w:val="00662809"/>
    <w:rsid w:val="00663823"/>
    <w:rsid w:val="00664E08"/>
    <w:rsid w:val="006650D0"/>
    <w:rsid w:val="0066774D"/>
    <w:rsid w:val="00667F42"/>
    <w:rsid w:val="00667F67"/>
    <w:rsid w:val="00671284"/>
    <w:rsid w:val="006727FC"/>
    <w:rsid w:val="00673906"/>
    <w:rsid w:val="00673C20"/>
    <w:rsid w:val="00674B58"/>
    <w:rsid w:val="00674BCB"/>
    <w:rsid w:val="006756CD"/>
    <w:rsid w:val="00675F49"/>
    <w:rsid w:val="00676613"/>
    <w:rsid w:val="00676E5B"/>
    <w:rsid w:val="006771AA"/>
    <w:rsid w:val="00677D6B"/>
    <w:rsid w:val="00680496"/>
    <w:rsid w:val="006806D5"/>
    <w:rsid w:val="00680752"/>
    <w:rsid w:val="00680795"/>
    <w:rsid w:val="00681523"/>
    <w:rsid w:val="00682713"/>
    <w:rsid w:val="00683451"/>
    <w:rsid w:val="00683579"/>
    <w:rsid w:val="006843F4"/>
    <w:rsid w:val="00684598"/>
    <w:rsid w:val="006854CE"/>
    <w:rsid w:val="00686B47"/>
    <w:rsid w:val="00686BCE"/>
    <w:rsid w:val="00686D14"/>
    <w:rsid w:val="00686F21"/>
    <w:rsid w:val="006875EA"/>
    <w:rsid w:val="0068790B"/>
    <w:rsid w:val="00690171"/>
    <w:rsid w:val="006906E4"/>
    <w:rsid w:val="006913EB"/>
    <w:rsid w:val="00691C54"/>
    <w:rsid w:val="00691CA6"/>
    <w:rsid w:val="00691E49"/>
    <w:rsid w:val="006922DC"/>
    <w:rsid w:val="006928E4"/>
    <w:rsid w:val="006941DD"/>
    <w:rsid w:val="006943D1"/>
    <w:rsid w:val="0069466B"/>
    <w:rsid w:val="00694795"/>
    <w:rsid w:val="00695014"/>
    <w:rsid w:val="00696AA8"/>
    <w:rsid w:val="006A1BA3"/>
    <w:rsid w:val="006A257C"/>
    <w:rsid w:val="006A2615"/>
    <w:rsid w:val="006A4158"/>
    <w:rsid w:val="006A445E"/>
    <w:rsid w:val="006A447C"/>
    <w:rsid w:val="006A4AA7"/>
    <w:rsid w:val="006A4E15"/>
    <w:rsid w:val="006A4FC0"/>
    <w:rsid w:val="006A5866"/>
    <w:rsid w:val="006A5E4F"/>
    <w:rsid w:val="006A612F"/>
    <w:rsid w:val="006A643C"/>
    <w:rsid w:val="006A7227"/>
    <w:rsid w:val="006A729B"/>
    <w:rsid w:val="006A741F"/>
    <w:rsid w:val="006A76A9"/>
    <w:rsid w:val="006B0431"/>
    <w:rsid w:val="006B0F54"/>
    <w:rsid w:val="006B12C6"/>
    <w:rsid w:val="006B1DD8"/>
    <w:rsid w:val="006B415B"/>
    <w:rsid w:val="006B4C95"/>
    <w:rsid w:val="006B4CBA"/>
    <w:rsid w:val="006B5058"/>
    <w:rsid w:val="006B59AD"/>
    <w:rsid w:val="006B6302"/>
    <w:rsid w:val="006B673D"/>
    <w:rsid w:val="006B6FEB"/>
    <w:rsid w:val="006B7542"/>
    <w:rsid w:val="006C0A59"/>
    <w:rsid w:val="006C19EE"/>
    <w:rsid w:val="006C1D01"/>
    <w:rsid w:val="006C1F6D"/>
    <w:rsid w:val="006C24C7"/>
    <w:rsid w:val="006C2BE3"/>
    <w:rsid w:val="006C2E46"/>
    <w:rsid w:val="006C3B05"/>
    <w:rsid w:val="006C3D4F"/>
    <w:rsid w:val="006C4E45"/>
    <w:rsid w:val="006C579B"/>
    <w:rsid w:val="006C5EE1"/>
    <w:rsid w:val="006C61B1"/>
    <w:rsid w:val="006C6DB8"/>
    <w:rsid w:val="006D0669"/>
    <w:rsid w:val="006D1D4E"/>
    <w:rsid w:val="006D1D63"/>
    <w:rsid w:val="006D261D"/>
    <w:rsid w:val="006D2B96"/>
    <w:rsid w:val="006D3771"/>
    <w:rsid w:val="006D3AA1"/>
    <w:rsid w:val="006D440A"/>
    <w:rsid w:val="006D5599"/>
    <w:rsid w:val="006D592F"/>
    <w:rsid w:val="006D62BE"/>
    <w:rsid w:val="006D6EFE"/>
    <w:rsid w:val="006D728E"/>
    <w:rsid w:val="006D7B71"/>
    <w:rsid w:val="006E0006"/>
    <w:rsid w:val="006E01BB"/>
    <w:rsid w:val="006E0DF6"/>
    <w:rsid w:val="006E0FD3"/>
    <w:rsid w:val="006E1BDE"/>
    <w:rsid w:val="006E2575"/>
    <w:rsid w:val="006E336C"/>
    <w:rsid w:val="006E35A9"/>
    <w:rsid w:val="006E3B9E"/>
    <w:rsid w:val="006E4A27"/>
    <w:rsid w:val="006E4DF1"/>
    <w:rsid w:val="006E5828"/>
    <w:rsid w:val="006E5D8C"/>
    <w:rsid w:val="006E6B92"/>
    <w:rsid w:val="006E6BB9"/>
    <w:rsid w:val="006E784F"/>
    <w:rsid w:val="006F0B4F"/>
    <w:rsid w:val="006F0E97"/>
    <w:rsid w:val="006F1592"/>
    <w:rsid w:val="006F2DF3"/>
    <w:rsid w:val="006F2DF9"/>
    <w:rsid w:val="006F2E99"/>
    <w:rsid w:val="006F2FFE"/>
    <w:rsid w:val="006F3C6F"/>
    <w:rsid w:val="006F41C6"/>
    <w:rsid w:val="006F5DD9"/>
    <w:rsid w:val="006F6648"/>
    <w:rsid w:val="006F6736"/>
    <w:rsid w:val="006F6E9C"/>
    <w:rsid w:val="006F6FA2"/>
    <w:rsid w:val="006F74F4"/>
    <w:rsid w:val="007001D0"/>
    <w:rsid w:val="007009E7"/>
    <w:rsid w:val="00700CE3"/>
    <w:rsid w:val="00701498"/>
    <w:rsid w:val="00701E70"/>
    <w:rsid w:val="00701E82"/>
    <w:rsid w:val="00704BB6"/>
    <w:rsid w:val="00704F47"/>
    <w:rsid w:val="00705001"/>
    <w:rsid w:val="00705BC0"/>
    <w:rsid w:val="0070702A"/>
    <w:rsid w:val="007072C2"/>
    <w:rsid w:val="0070746B"/>
    <w:rsid w:val="007075CA"/>
    <w:rsid w:val="00710C02"/>
    <w:rsid w:val="0071151E"/>
    <w:rsid w:val="007118AC"/>
    <w:rsid w:val="00711FC7"/>
    <w:rsid w:val="0071482B"/>
    <w:rsid w:val="00714C8F"/>
    <w:rsid w:val="00715A32"/>
    <w:rsid w:val="00716574"/>
    <w:rsid w:val="00716CCB"/>
    <w:rsid w:val="00716F57"/>
    <w:rsid w:val="00717003"/>
    <w:rsid w:val="00717A74"/>
    <w:rsid w:val="00720EA2"/>
    <w:rsid w:val="00721409"/>
    <w:rsid w:val="00721CE0"/>
    <w:rsid w:val="007221A2"/>
    <w:rsid w:val="00722935"/>
    <w:rsid w:val="00723BA8"/>
    <w:rsid w:val="00724257"/>
    <w:rsid w:val="0072448D"/>
    <w:rsid w:val="0072568C"/>
    <w:rsid w:val="00726C35"/>
    <w:rsid w:val="00726FDE"/>
    <w:rsid w:val="007270E4"/>
    <w:rsid w:val="00727815"/>
    <w:rsid w:val="00727A26"/>
    <w:rsid w:val="007301A7"/>
    <w:rsid w:val="00730E31"/>
    <w:rsid w:val="007313A4"/>
    <w:rsid w:val="00731940"/>
    <w:rsid w:val="007320A7"/>
    <w:rsid w:val="007346F8"/>
    <w:rsid w:val="00734D66"/>
    <w:rsid w:val="00734E06"/>
    <w:rsid w:val="00736540"/>
    <w:rsid w:val="00736B8E"/>
    <w:rsid w:val="00736E9D"/>
    <w:rsid w:val="007373FA"/>
    <w:rsid w:val="00737E7D"/>
    <w:rsid w:val="0074063F"/>
    <w:rsid w:val="00740EF1"/>
    <w:rsid w:val="007416A1"/>
    <w:rsid w:val="00741BF8"/>
    <w:rsid w:val="0074249A"/>
    <w:rsid w:val="0074250E"/>
    <w:rsid w:val="0074331B"/>
    <w:rsid w:val="007437BA"/>
    <w:rsid w:val="007444E7"/>
    <w:rsid w:val="00744546"/>
    <w:rsid w:val="00744A0B"/>
    <w:rsid w:val="00744A18"/>
    <w:rsid w:val="00744A76"/>
    <w:rsid w:val="00744DBD"/>
    <w:rsid w:val="00745398"/>
    <w:rsid w:val="00745EE9"/>
    <w:rsid w:val="00746FC3"/>
    <w:rsid w:val="00747491"/>
    <w:rsid w:val="007476F2"/>
    <w:rsid w:val="00747B90"/>
    <w:rsid w:val="00750795"/>
    <w:rsid w:val="00751081"/>
    <w:rsid w:val="0075199B"/>
    <w:rsid w:val="007519F6"/>
    <w:rsid w:val="007529C5"/>
    <w:rsid w:val="00752F3D"/>
    <w:rsid w:val="00754870"/>
    <w:rsid w:val="007561F0"/>
    <w:rsid w:val="00756632"/>
    <w:rsid w:val="00756991"/>
    <w:rsid w:val="0075754A"/>
    <w:rsid w:val="00757602"/>
    <w:rsid w:val="00757E45"/>
    <w:rsid w:val="00757EE6"/>
    <w:rsid w:val="00760554"/>
    <w:rsid w:val="0076083D"/>
    <w:rsid w:val="00760FE3"/>
    <w:rsid w:val="00761DC2"/>
    <w:rsid w:val="00762B1E"/>
    <w:rsid w:val="0076329D"/>
    <w:rsid w:val="00763EA8"/>
    <w:rsid w:val="00764123"/>
    <w:rsid w:val="00764B94"/>
    <w:rsid w:val="007652E2"/>
    <w:rsid w:val="00765791"/>
    <w:rsid w:val="007659E0"/>
    <w:rsid w:val="00765A82"/>
    <w:rsid w:val="00766434"/>
    <w:rsid w:val="00767222"/>
    <w:rsid w:val="00767C19"/>
    <w:rsid w:val="00770E10"/>
    <w:rsid w:val="00771E07"/>
    <w:rsid w:val="00771E5C"/>
    <w:rsid w:val="00772107"/>
    <w:rsid w:val="00772315"/>
    <w:rsid w:val="00772A9B"/>
    <w:rsid w:val="00772BA7"/>
    <w:rsid w:val="00773E30"/>
    <w:rsid w:val="007742FF"/>
    <w:rsid w:val="00774A83"/>
    <w:rsid w:val="00775146"/>
    <w:rsid w:val="007755A1"/>
    <w:rsid w:val="0077566D"/>
    <w:rsid w:val="00775A10"/>
    <w:rsid w:val="00776097"/>
    <w:rsid w:val="0077625F"/>
    <w:rsid w:val="007766A5"/>
    <w:rsid w:val="00776E39"/>
    <w:rsid w:val="00777C3A"/>
    <w:rsid w:val="0078016D"/>
    <w:rsid w:val="00780E97"/>
    <w:rsid w:val="00781778"/>
    <w:rsid w:val="0078188C"/>
    <w:rsid w:val="00782098"/>
    <w:rsid w:val="00782467"/>
    <w:rsid w:val="007827A8"/>
    <w:rsid w:val="00783D75"/>
    <w:rsid w:val="007846FE"/>
    <w:rsid w:val="007857E3"/>
    <w:rsid w:val="00786231"/>
    <w:rsid w:val="00787EA2"/>
    <w:rsid w:val="0079000B"/>
    <w:rsid w:val="007900CB"/>
    <w:rsid w:val="007902F4"/>
    <w:rsid w:val="007905B2"/>
    <w:rsid w:val="00790E9B"/>
    <w:rsid w:val="007917E7"/>
    <w:rsid w:val="0079233F"/>
    <w:rsid w:val="007927C6"/>
    <w:rsid w:val="00792862"/>
    <w:rsid w:val="0079348E"/>
    <w:rsid w:val="00793C28"/>
    <w:rsid w:val="00793EEB"/>
    <w:rsid w:val="0079405B"/>
    <w:rsid w:val="00795679"/>
    <w:rsid w:val="0079797F"/>
    <w:rsid w:val="007A008F"/>
    <w:rsid w:val="007A0406"/>
    <w:rsid w:val="007A05F4"/>
    <w:rsid w:val="007A0BB9"/>
    <w:rsid w:val="007A14E8"/>
    <w:rsid w:val="007A1D73"/>
    <w:rsid w:val="007A28E3"/>
    <w:rsid w:val="007A3FD7"/>
    <w:rsid w:val="007A4023"/>
    <w:rsid w:val="007A42F3"/>
    <w:rsid w:val="007A5445"/>
    <w:rsid w:val="007A5A94"/>
    <w:rsid w:val="007A5E11"/>
    <w:rsid w:val="007A6C47"/>
    <w:rsid w:val="007B068E"/>
    <w:rsid w:val="007B20B0"/>
    <w:rsid w:val="007B31F7"/>
    <w:rsid w:val="007B347F"/>
    <w:rsid w:val="007B39F6"/>
    <w:rsid w:val="007B4481"/>
    <w:rsid w:val="007B58A3"/>
    <w:rsid w:val="007B5A98"/>
    <w:rsid w:val="007B5E30"/>
    <w:rsid w:val="007B5E45"/>
    <w:rsid w:val="007B747A"/>
    <w:rsid w:val="007C1AD0"/>
    <w:rsid w:val="007C1DB0"/>
    <w:rsid w:val="007C2270"/>
    <w:rsid w:val="007C2613"/>
    <w:rsid w:val="007C27D4"/>
    <w:rsid w:val="007C2B56"/>
    <w:rsid w:val="007C4720"/>
    <w:rsid w:val="007C4CCE"/>
    <w:rsid w:val="007C570A"/>
    <w:rsid w:val="007C6968"/>
    <w:rsid w:val="007C78D3"/>
    <w:rsid w:val="007C7D24"/>
    <w:rsid w:val="007C7D49"/>
    <w:rsid w:val="007C7DE5"/>
    <w:rsid w:val="007D0EEB"/>
    <w:rsid w:val="007D1986"/>
    <w:rsid w:val="007D1D99"/>
    <w:rsid w:val="007D2376"/>
    <w:rsid w:val="007D2C8A"/>
    <w:rsid w:val="007D477A"/>
    <w:rsid w:val="007D4A41"/>
    <w:rsid w:val="007D4D2A"/>
    <w:rsid w:val="007D5B26"/>
    <w:rsid w:val="007D5E52"/>
    <w:rsid w:val="007D5F07"/>
    <w:rsid w:val="007D6F85"/>
    <w:rsid w:val="007D714E"/>
    <w:rsid w:val="007D763D"/>
    <w:rsid w:val="007D77A3"/>
    <w:rsid w:val="007D7E54"/>
    <w:rsid w:val="007D7E8E"/>
    <w:rsid w:val="007E00B1"/>
    <w:rsid w:val="007E0749"/>
    <w:rsid w:val="007E2F87"/>
    <w:rsid w:val="007E334F"/>
    <w:rsid w:val="007E392D"/>
    <w:rsid w:val="007E3AC7"/>
    <w:rsid w:val="007E4155"/>
    <w:rsid w:val="007E57B5"/>
    <w:rsid w:val="007E5D39"/>
    <w:rsid w:val="007E66C8"/>
    <w:rsid w:val="007E67BD"/>
    <w:rsid w:val="007E68F0"/>
    <w:rsid w:val="007E6BBD"/>
    <w:rsid w:val="007E7E5F"/>
    <w:rsid w:val="007F06E1"/>
    <w:rsid w:val="007F0C09"/>
    <w:rsid w:val="007F1383"/>
    <w:rsid w:val="007F2939"/>
    <w:rsid w:val="007F3E75"/>
    <w:rsid w:val="007F4540"/>
    <w:rsid w:val="007F517F"/>
    <w:rsid w:val="007F6391"/>
    <w:rsid w:val="007F6CAD"/>
    <w:rsid w:val="007F6FB8"/>
    <w:rsid w:val="007F7051"/>
    <w:rsid w:val="007F7071"/>
    <w:rsid w:val="007F7481"/>
    <w:rsid w:val="007F76FF"/>
    <w:rsid w:val="007F7E83"/>
    <w:rsid w:val="00800490"/>
    <w:rsid w:val="00801491"/>
    <w:rsid w:val="008015A7"/>
    <w:rsid w:val="00801B8F"/>
    <w:rsid w:val="00801EF6"/>
    <w:rsid w:val="0080247B"/>
    <w:rsid w:val="00802AEC"/>
    <w:rsid w:val="00803024"/>
    <w:rsid w:val="00803099"/>
    <w:rsid w:val="0080406C"/>
    <w:rsid w:val="008051ED"/>
    <w:rsid w:val="0080562C"/>
    <w:rsid w:val="008071D0"/>
    <w:rsid w:val="0081037F"/>
    <w:rsid w:val="0081066B"/>
    <w:rsid w:val="00810809"/>
    <w:rsid w:val="00810C6A"/>
    <w:rsid w:val="00810C86"/>
    <w:rsid w:val="008120FC"/>
    <w:rsid w:val="00812350"/>
    <w:rsid w:val="00812369"/>
    <w:rsid w:val="00812741"/>
    <w:rsid w:val="008128E3"/>
    <w:rsid w:val="00812A80"/>
    <w:rsid w:val="00812B12"/>
    <w:rsid w:val="00813049"/>
    <w:rsid w:val="00814358"/>
    <w:rsid w:val="00814407"/>
    <w:rsid w:val="0081472A"/>
    <w:rsid w:val="00815871"/>
    <w:rsid w:val="008179C7"/>
    <w:rsid w:val="00817FE5"/>
    <w:rsid w:val="00821319"/>
    <w:rsid w:val="00821789"/>
    <w:rsid w:val="0082180B"/>
    <w:rsid w:val="00821BC9"/>
    <w:rsid w:val="00821FE7"/>
    <w:rsid w:val="0082434D"/>
    <w:rsid w:val="00825147"/>
    <w:rsid w:val="00825D4F"/>
    <w:rsid w:val="00826482"/>
    <w:rsid w:val="00826F04"/>
    <w:rsid w:val="00830017"/>
    <w:rsid w:val="00830787"/>
    <w:rsid w:val="00830DC9"/>
    <w:rsid w:val="00831489"/>
    <w:rsid w:val="00833A6A"/>
    <w:rsid w:val="00833E2F"/>
    <w:rsid w:val="00834240"/>
    <w:rsid w:val="008343C7"/>
    <w:rsid w:val="00834F9A"/>
    <w:rsid w:val="00835ECC"/>
    <w:rsid w:val="008368F3"/>
    <w:rsid w:val="008376DF"/>
    <w:rsid w:val="008400A8"/>
    <w:rsid w:val="00840B36"/>
    <w:rsid w:val="0084156A"/>
    <w:rsid w:val="008425BD"/>
    <w:rsid w:val="008427B1"/>
    <w:rsid w:val="008449FF"/>
    <w:rsid w:val="00845E77"/>
    <w:rsid w:val="0084601D"/>
    <w:rsid w:val="008462FB"/>
    <w:rsid w:val="00846C73"/>
    <w:rsid w:val="00846E8A"/>
    <w:rsid w:val="00847A5B"/>
    <w:rsid w:val="00847BE3"/>
    <w:rsid w:val="008500CD"/>
    <w:rsid w:val="00850462"/>
    <w:rsid w:val="00850C94"/>
    <w:rsid w:val="0085161D"/>
    <w:rsid w:val="00852EEF"/>
    <w:rsid w:val="00853030"/>
    <w:rsid w:val="00854E65"/>
    <w:rsid w:val="00855597"/>
    <w:rsid w:val="00855780"/>
    <w:rsid w:val="008557AA"/>
    <w:rsid w:val="00855F84"/>
    <w:rsid w:val="00856178"/>
    <w:rsid w:val="008567C0"/>
    <w:rsid w:val="008567E9"/>
    <w:rsid w:val="00856C69"/>
    <w:rsid w:val="008570AB"/>
    <w:rsid w:val="0086011E"/>
    <w:rsid w:val="008603A8"/>
    <w:rsid w:val="00860E16"/>
    <w:rsid w:val="00861133"/>
    <w:rsid w:val="00862222"/>
    <w:rsid w:val="00862545"/>
    <w:rsid w:val="008625DC"/>
    <w:rsid w:val="00862D62"/>
    <w:rsid w:val="00863356"/>
    <w:rsid w:val="0086428A"/>
    <w:rsid w:val="00864544"/>
    <w:rsid w:val="008653B5"/>
    <w:rsid w:val="00865A76"/>
    <w:rsid w:val="00865D8C"/>
    <w:rsid w:val="008663D7"/>
    <w:rsid w:val="00866EF3"/>
    <w:rsid w:val="00866FA7"/>
    <w:rsid w:val="0086730B"/>
    <w:rsid w:val="0086739F"/>
    <w:rsid w:val="008674DC"/>
    <w:rsid w:val="008679E6"/>
    <w:rsid w:val="00867A0F"/>
    <w:rsid w:val="008707F5"/>
    <w:rsid w:val="00871811"/>
    <w:rsid w:val="008718B4"/>
    <w:rsid w:val="00871F92"/>
    <w:rsid w:val="00872B6D"/>
    <w:rsid w:val="00872C22"/>
    <w:rsid w:val="00872E1F"/>
    <w:rsid w:val="008736AE"/>
    <w:rsid w:val="00873942"/>
    <w:rsid w:val="00873995"/>
    <w:rsid w:val="00873B1F"/>
    <w:rsid w:val="0087400E"/>
    <w:rsid w:val="00875189"/>
    <w:rsid w:val="00875E28"/>
    <w:rsid w:val="00876F99"/>
    <w:rsid w:val="00876FBF"/>
    <w:rsid w:val="00880558"/>
    <w:rsid w:val="008807AA"/>
    <w:rsid w:val="00881DD6"/>
    <w:rsid w:val="00882ED0"/>
    <w:rsid w:val="00883257"/>
    <w:rsid w:val="00883894"/>
    <w:rsid w:val="00884C95"/>
    <w:rsid w:val="0088519A"/>
    <w:rsid w:val="00885DA2"/>
    <w:rsid w:val="00885E17"/>
    <w:rsid w:val="00885F75"/>
    <w:rsid w:val="00886342"/>
    <w:rsid w:val="00887143"/>
    <w:rsid w:val="008875DE"/>
    <w:rsid w:val="00887950"/>
    <w:rsid w:val="00887FCE"/>
    <w:rsid w:val="0089074D"/>
    <w:rsid w:val="0089092F"/>
    <w:rsid w:val="008918ED"/>
    <w:rsid w:val="0089325B"/>
    <w:rsid w:val="00893594"/>
    <w:rsid w:val="0089422E"/>
    <w:rsid w:val="008947EA"/>
    <w:rsid w:val="00894ABF"/>
    <w:rsid w:val="00895789"/>
    <w:rsid w:val="00895FFF"/>
    <w:rsid w:val="00896FF4"/>
    <w:rsid w:val="0089725A"/>
    <w:rsid w:val="00897739"/>
    <w:rsid w:val="00897B39"/>
    <w:rsid w:val="008A04C0"/>
    <w:rsid w:val="008A056A"/>
    <w:rsid w:val="008A0B42"/>
    <w:rsid w:val="008A0E85"/>
    <w:rsid w:val="008A0E92"/>
    <w:rsid w:val="008A15CB"/>
    <w:rsid w:val="008A1A50"/>
    <w:rsid w:val="008A1DDE"/>
    <w:rsid w:val="008A2544"/>
    <w:rsid w:val="008A34CE"/>
    <w:rsid w:val="008A371D"/>
    <w:rsid w:val="008A3863"/>
    <w:rsid w:val="008A5443"/>
    <w:rsid w:val="008A55A8"/>
    <w:rsid w:val="008A5F01"/>
    <w:rsid w:val="008A6B66"/>
    <w:rsid w:val="008A7078"/>
    <w:rsid w:val="008B04B6"/>
    <w:rsid w:val="008B0969"/>
    <w:rsid w:val="008B0AD0"/>
    <w:rsid w:val="008B10FE"/>
    <w:rsid w:val="008B11D0"/>
    <w:rsid w:val="008B286E"/>
    <w:rsid w:val="008B2ABC"/>
    <w:rsid w:val="008B32B6"/>
    <w:rsid w:val="008B43CC"/>
    <w:rsid w:val="008B4464"/>
    <w:rsid w:val="008B4BF2"/>
    <w:rsid w:val="008B56E5"/>
    <w:rsid w:val="008B5AFD"/>
    <w:rsid w:val="008B5B65"/>
    <w:rsid w:val="008B6650"/>
    <w:rsid w:val="008B729C"/>
    <w:rsid w:val="008B7A4E"/>
    <w:rsid w:val="008C0522"/>
    <w:rsid w:val="008C1506"/>
    <w:rsid w:val="008C2D30"/>
    <w:rsid w:val="008C33F2"/>
    <w:rsid w:val="008C444D"/>
    <w:rsid w:val="008C4E36"/>
    <w:rsid w:val="008C5BCB"/>
    <w:rsid w:val="008C6C92"/>
    <w:rsid w:val="008C6E11"/>
    <w:rsid w:val="008C77F7"/>
    <w:rsid w:val="008C79DC"/>
    <w:rsid w:val="008D0262"/>
    <w:rsid w:val="008D0AE4"/>
    <w:rsid w:val="008D1B0D"/>
    <w:rsid w:val="008D20E6"/>
    <w:rsid w:val="008D2A90"/>
    <w:rsid w:val="008D2F52"/>
    <w:rsid w:val="008D3E19"/>
    <w:rsid w:val="008D4DB0"/>
    <w:rsid w:val="008D57A4"/>
    <w:rsid w:val="008D5F06"/>
    <w:rsid w:val="008D6B57"/>
    <w:rsid w:val="008D74C3"/>
    <w:rsid w:val="008D769C"/>
    <w:rsid w:val="008D78AE"/>
    <w:rsid w:val="008D7DFC"/>
    <w:rsid w:val="008D7F82"/>
    <w:rsid w:val="008E00FD"/>
    <w:rsid w:val="008E07C6"/>
    <w:rsid w:val="008E152D"/>
    <w:rsid w:val="008E3214"/>
    <w:rsid w:val="008E33EA"/>
    <w:rsid w:val="008E34C5"/>
    <w:rsid w:val="008E4180"/>
    <w:rsid w:val="008E4ECE"/>
    <w:rsid w:val="008E5BB7"/>
    <w:rsid w:val="008E5F84"/>
    <w:rsid w:val="008E6A1B"/>
    <w:rsid w:val="008E6FAD"/>
    <w:rsid w:val="008E6FF6"/>
    <w:rsid w:val="008E70CC"/>
    <w:rsid w:val="008E72E5"/>
    <w:rsid w:val="008E75D0"/>
    <w:rsid w:val="008E79F9"/>
    <w:rsid w:val="008E7DCC"/>
    <w:rsid w:val="008F0D1E"/>
    <w:rsid w:val="008F0EA9"/>
    <w:rsid w:val="008F1B1E"/>
    <w:rsid w:val="008F1E0E"/>
    <w:rsid w:val="008F2B7E"/>
    <w:rsid w:val="008F31DF"/>
    <w:rsid w:val="008F38F6"/>
    <w:rsid w:val="008F3B8B"/>
    <w:rsid w:val="008F3D85"/>
    <w:rsid w:val="008F411D"/>
    <w:rsid w:val="008F4D31"/>
    <w:rsid w:val="008F53F5"/>
    <w:rsid w:val="008F56A2"/>
    <w:rsid w:val="008F5AA4"/>
    <w:rsid w:val="008F5FF0"/>
    <w:rsid w:val="008F61F2"/>
    <w:rsid w:val="008F63BC"/>
    <w:rsid w:val="008F6485"/>
    <w:rsid w:val="008F710C"/>
    <w:rsid w:val="008F743D"/>
    <w:rsid w:val="008F7B17"/>
    <w:rsid w:val="008F7F78"/>
    <w:rsid w:val="00900316"/>
    <w:rsid w:val="00900A24"/>
    <w:rsid w:val="009010D0"/>
    <w:rsid w:val="0090122A"/>
    <w:rsid w:val="00901F73"/>
    <w:rsid w:val="0090394F"/>
    <w:rsid w:val="00903A53"/>
    <w:rsid w:val="009047AE"/>
    <w:rsid w:val="009053FE"/>
    <w:rsid w:val="009054D3"/>
    <w:rsid w:val="00905587"/>
    <w:rsid w:val="009057D3"/>
    <w:rsid w:val="009064DC"/>
    <w:rsid w:val="00906628"/>
    <w:rsid w:val="009068B1"/>
    <w:rsid w:val="0090696A"/>
    <w:rsid w:val="00907B9D"/>
    <w:rsid w:val="00910CFA"/>
    <w:rsid w:val="00911527"/>
    <w:rsid w:val="009115A0"/>
    <w:rsid w:val="009125D2"/>
    <w:rsid w:val="00912ECB"/>
    <w:rsid w:val="0091330B"/>
    <w:rsid w:val="00914007"/>
    <w:rsid w:val="00914530"/>
    <w:rsid w:val="00914667"/>
    <w:rsid w:val="00915179"/>
    <w:rsid w:val="00915E3F"/>
    <w:rsid w:val="00915F49"/>
    <w:rsid w:val="00915F97"/>
    <w:rsid w:val="009179EB"/>
    <w:rsid w:val="00922633"/>
    <w:rsid w:val="0092273F"/>
    <w:rsid w:val="0092284C"/>
    <w:rsid w:val="009235B5"/>
    <w:rsid w:val="009238F1"/>
    <w:rsid w:val="00924867"/>
    <w:rsid w:val="009249B4"/>
    <w:rsid w:val="00926716"/>
    <w:rsid w:val="00926857"/>
    <w:rsid w:val="009270DB"/>
    <w:rsid w:val="00930BEB"/>
    <w:rsid w:val="009323DF"/>
    <w:rsid w:val="00932AFC"/>
    <w:rsid w:val="00932B96"/>
    <w:rsid w:val="0093389C"/>
    <w:rsid w:val="00933A7D"/>
    <w:rsid w:val="00933DA9"/>
    <w:rsid w:val="0093452F"/>
    <w:rsid w:val="0093491F"/>
    <w:rsid w:val="00935E14"/>
    <w:rsid w:val="0093646D"/>
    <w:rsid w:val="009377A8"/>
    <w:rsid w:val="00940BBE"/>
    <w:rsid w:val="009415D5"/>
    <w:rsid w:val="00941787"/>
    <w:rsid w:val="00941E4F"/>
    <w:rsid w:val="00942454"/>
    <w:rsid w:val="009428F5"/>
    <w:rsid w:val="0094480E"/>
    <w:rsid w:val="009453AF"/>
    <w:rsid w:val="009454C7"/>
    <w:rsid w:val="00945A79"/>
    <w:rsid w:val="00946ADB"/>
    <w:rsid w:val="00946D49"/>
    <w:rsid w:val="00947B5B"/>
    <w:rsid w:val="00950281"/>
    <w:rsid w:val="0095029E"/>
    <w:rsid w:val="00951BD3"/>
    <w:rsid w:val="009529FD"/>
    <w:rsid w:val="00952B8F"/>
    <w:rsid w:val="00953F3C"/>
    <w:rsid w:val="0095496C"/>
    <w:rsid w:val="0095569B"/>
    <w:rsid w:val="009559F2"/>
    <w:rsid w:val="009562CC"/>
    <w:rsid w:val="0095695E"/>
    <w:rsid w:val="00957310"/>
    <w:rsid w:val="0095750D"/>
    <w:rsid w:val="00960B83"/>
    <w:rsid w:val="0096136C"/>
    <w:rsid w:val="00962B8F"/>
    <w:rsid w:val="009637E4"/>
    <w:rsid w:val="00964464"/>
    <w:rsid w:val="00965665"/>
    <w:rsid w:val="0096632E"/>
    <w:rsid w:val="00966D4F"/>
    <w:rsid w:val="00970E65"/>
    <w:rsid w:val="00970F9F"/>
    <w:rsid w:val="0097102C"/>
    <w:rsid w:val="0097133A"/>
    <w:rsid w:val="009716CC"/>
    <w:rsid w:val="00971CBF"/>
    <w:rsid w:val="00971F52"/>
    <w:rsid w:val="0097202E"/>
    <w:rsid w:val="009721A9"/>
    <w:rsid w:val="00972E0B"/>
    <w:rsid w:val="00972E68"/>
    <w:rsid w:val="009742E0"/>
    <w:rsid w:val="0097462D"/>
    <w:rsid w:val="009748F0"/>
    <w:rsid w:val="00974A7C"/>
    <w:rsid w:val="00974AC3"/>
    <w:rsid w:val="0097587B"/>
    <w:rsid w:val="009760D1"/>
    <w:rsid w:val="009763C1"/>
    <w:rsid w:val="009766FE"/>
    <w:rsid w:val="00977715"/>
    <w:rsid w:val="00980439"/>
    <w:rsid w:val="00982444"/>
    <w:rsid w:val="009826B9"/>
    <w:rsid w:val="00982BA7"/>
    <w:rsid w:val="00982CDB"/>
    <w:rsid w:val="00982D92"/>
    <w:rsid w:val="00982F10"/>
    <w:rsid w:val="00983120"/>
    <w:rsid w:val="00983216"/>
    <w:rsid w:val="009834A0"/>
    <w:rsid w:val="009843A8"/>
    <w:rsid w:val="009845DE"/>
    <w:rsid w:val="00984993"/>
    <w:rsid w:val="00984CA2"/>
    <w:rsid w:val="009854F1"/>
    <w:rsid w:val="00986128"/>
    <w:rsid w:val="00987077"/>
    <w:rsid w:val="0098714A"/>
    <w:rsid w:val="009874CF"/>
    <w:rsid w:val="00990428"/>
    <w:rsid w:val="00990686"/>
    <w:rsid w:val="009909B3"/>
    <w:rsid w:val="00993EA1"/>
    <w:rsid w:val="0099496C"/>
    <w:rsid w:val="00995582"/>
    <w:rsid w:val="00995D25"/>
    <w:rsid w:val="009964E1"/>
    <w:rsid w:val="00996569"/>
    <w:rsid w:val="009A057B"/>
    <w:rsid w:val="009A06F0"/>
    <w:rsid w:val="009A14DE"/>
    <w:rsid w:val="009A2294"/>
    <w:rsid w:val="009A301C"/>
    <w:rsid w:val="009A31C4"/>
    <w:rsid w:val="009A40DD"/>
    <w:rsid w:val="009A5F36"/>
    <w:rsid w:val="009A6DED"/>
    <w:rsid w:val="009A72B5"/>
    <w:rsid w:val="009A7450"/>
    <w:rsid w:val="009A7BC2"/>
    <w:rsid w:val="009B011E"/>
    <w:rsid w:val="009B15C3"/>
    <w:rsid w:val="009B180F"/>
    <w:rsid w:val="009B1897"/>
    <w:rsid w:val="009B1BB7"/>
    <w:rsid w:val="009B1C51"/>
    <w:rsid w:val="009B23AE"/>
    <w:rsid w:val="009B3D99"/>
    <w:rsid w:val="009B3EED"/>
    <w:rsid w:val="009B3FA0"/>
    <w:rsid w:val="009B48D4"/>
    <w:rsid w:val="009B751B"/>
    <w:rsid w:val="009B7530"/>
    <w:rsid w:val="009B76AF"/>
    <w:rsid w:val="009C083C"/>
    <w:rsid w:val="009C0992"/>
    <w:rsid w:val="009C0C48"/>
    <w:rsid w:val="009C12EC"/>
    <w:rsid w:val="009C1830"/>
    <w:rsid w:val="009C23DA"/>
    <w:rsid w:val="009C24B3"/>
    <w:rsid w:val="009C2C09"/>
    <w:rsid w:val="009C2E5A"/>
    <w:rsid w:val="009C40A4"/>
    <w:rsid w:val="009C583D"/>
    <w:rsid w:val="009C6214"/>
    <w:rsid w:val="009C645A"/>
    <w:rsid w:val="009C66AA"/>
    <w:rsid w:val="009C672A"/>
    <w:rsid w:val="009C703A"/>
    <w:rsid w:val="009C7B18"/>
    <w:rsid w:val="009C7D55"/>
    <w:rsid w:val="009C7F52"/>
    <w:rsid w:val="009D02FE"/>
    <w:rsid w:val="009D07F2"/>
    <w:rsid w:val="009D12F6"/>
    <w:rsid w:val="009D1884"/>
    <w:rsid w:val="009D24A3"/>
    <w:rsid w:val="009D2FD6"/>
    <w:rsid w:val="009D3004"/>
    <w:rsid w:val="009D3295"/>
    <w:rsid w:val="009D3665"/>
    <w:rsid w:val="009D375A"/>
    <w:rsid w:val="009D3C84"/>
    <w:rsid w:val="009D40C6"/>
    <w:rsid w:val="009D50FC"/>
    <w:rsid w:val="009D5427"/>
    <w:rsid w:val="009D54F3"/>
    <w:rsid w:val="009D5DA3"/>
    <w:rsid w:val="009D6065"/>
    <w:rsid w:val="009D6102"/>
    <w:rsid w:val="009D6969"/>
    <w:rsid w:val="009D6A68"/>
    <w:rsid w:val="009D7470"/>
    <w:rsid w:val="009D7A58"/>
    <w:rsid w:val="009D7E9F"/>
    <w:rsid w:val="009D7FAB"/>
    <w:rsid w:val="009E0483"/>
    <w:rsid w:val="009E0638"/>
    <w:rsid w:val="009E0828"/>
    <w:rsid w:val="009E0CED"/>
    <w:rsid w:val="009E17A2"/>
    <w:rsid w:val="009E2894"/>
    <w:rsid w:val="009E2D23"/>
    <w:rsid w:val="009E4043"/>
    <w:rsid w:val="009E43C1"/>
    <w:rsid w:val="009E4A87"/>
    <w:rsid w:val="009E54AE"/>
    <w:rsid w:val="009E5FC3"/>
    <w:rsid w:val="009E6854"/>
    <w:rsid w:val="009E69CA"/>
    <w:rsid w:val="009E6DF1"/>
    <w:rsid w:val="009E6EDF"/>
    <w:rsid w:val="009E7017"/>
    <w:rsid w:val="009F0195"/>
    <w:rsid w:val="009F0564"/>
    <w:rsid w:val="009F0E1A"/>
    <w:rsid w:val="009F125C"/>
    <w:rsid w:val="009F3BA0"/>
    <w:rsid w:val="009F3F5D"/>
    <w:rsid w:val="009F43CB"/>
    <w:rsid w:val="009F48A0"/>
    <w:rsid w:val="009F4CB9"/>
    <w:rsid w:val="009F50CA"/>
    <w:rsid w:val="009F5B7F"/>
    <w:rsid w:val="00A00283"/>
    <w:rsid w:val="00A01763"/>
    <w:rsid w:val="00A01C02"/>
    <w:rsid w:val="00A023F6"/>
    <w:rsid w:val="00A02D24"/>
    <w:rsid w:val="00A02E16"/>
    <w:rsid w:val="00A05113"/>
    <w:rsid w:val="00A054DC"/>
    <w:rsid w:val="00A055ED"/>
    <w:rsid w:val="00A069AE"/>
    <w:rsid w:val="00A06CC2"/>
    <w:rsid w:val="00A07570"/>
    <w:rsid w:val="00A10389"/>
    <w:rsid w:val="00A1133E"/>
    <w:rsid w:val="00A11888"/>
    <w:rsid w:val="00A11E62"/>
    <w:rsid w:val="00A11E8F"/>
    <w:rsid w:val="00A12369"/>
    <w:rsid w:val="00A13522"/>
    <w:rsid w:val="00A13ED5"/>
    <w:rsid w:val="00A14357"/>
    <w:rsid w:val="00A1524F"/>
    <w:rsid w:val="00A15E63"/>
    <w:rsid w:val="00A167D9"/>
    <w:rsid w:val="00A16DB9"/>
    <w:rsid w:val="00A17672"/>
    <w:rsid w:val="00A2003B"/>
    <w:rsid w:val="00A20A6B"/>
    <w:rsid w:val="00A20C5D"/>
    <w:rsid w:val="00A222CA"/>
    <w:rsid w:val="00A225E3"/>
    <w:rsid w:val="00A22804"/>
    <w:rsid w:val="00A22AD1"/>
    <w:rsid w:val="00A239CC"/>
    <w:rsid w:val="00A23BC2"/>
    <w:rsid w:val="00A248C9"/>
    <w:rsid w:val="00A26B7A"/>
    <w:rsid w:val="00A26F01"/>
    <w:rsid w:val="00A279AC"/>
    <w:rsid w:val="00A27A30"/>
    <w:rsid w:val="00A27A98"/>
    <w:rsid w:val="00A3076F"/>
    <w:rsid w:val="00A30B1C"/>
    <w:rsid w:val="00A30C5D"/>
    <w:rsid w:val="00A310F1"/>
    <w:rsid w:val="00A31C68"/>
    <w:rsid w:val="00A31FFF"/>
    <w:rsid w:val="00A3249C"/>
    <w:rsid w:val="00A325AE"/>
    <w:rsid w:val="00A326A6"/>
    <w:rsid w:val="00A3388B"/>
    <w:rsid w:val="00A33C80"/>
    <w:rsid w:val="00A342D9"/>
    <w:rsid w:val="00A346C2"/>
    <w:rsid w:val="00A35052"/>
    <w:rsid w:val="00A35A91"/>
    <w:rsid w:val="00A35E30"/>
    <w:rsid w:val="00A35FAA"/>
    <w:rsid w:val="00A36EAB"/>
    <w:rsid w:val="00A3727B"/>
    <w:rsid w:val="00A3771C"/>
    <w:rsid w:val="00A3790F"/>
    <w:rsid w:val="00A37A32"/>
    <w:rsid w:val="00A40163"/>
    <w:rsid w:val="00A409BC"/>
    <w:rsid w:val="00A40FC3"/>
    <w:rsid w:val="00A41D7C"/>
    <w:rsid w:val="00A42C22"/>
    <w:rsid w:val="00A42F6D"/>
    <w:rsid w:val="00A438E6"/>
    <w:rsid w:val="00A43C9A"/>
    <w:rsid w:val="00A44088"/>
    <w:rsid w:val="00A4429C"/>
    <w:rsid w:val="00A44612"/>
    <w:rsid w:val="00A446AF"/>
    <w:rsid w:val="00A44720"/>
    <w:rsid w:val="00A44859"/>
    <w:rsid w:val="00A45D11"/>
    <w:rsid w:val="00A46164"/>
    <w:rsid w:val="00A4672E"/>
    <w:rsid w:val="00A46A8E"/>
    <w:rsid w:val="00A46DDB"/>
    <w:rsid w:val="00A46E4E"/>
    <w:rsid w:val="00A47092"/>
    <w:rsid w:val="00A506CC"/>
    <w:rsid w:val="00A50F9F"/>
    <w:rsid w:val="00A51337"/>
    <w:rsid w:val="00A51915"/>
    <w:rsid w:val="00A52246"/>
    <w:rsid w:val="00A522F4"/>
    <w:rsid w:val="00A537E5"/>
    <w:rsid w:val="00A540A5"/>
    <w:rsid w:val="00A54248"/>
    <w:rsid w:val="00A55835"/>
    <w:rsid w:val="00A55B6F"/>
    <w:rsid w:val="00A569DF"/>
    <w:rsid w:val="00A612DB"/>
    <w:rsid w:val="00A61B84"/>
    <w:rsid w:val="00A61BD0"/>
    <w:rsid w:val="00A6388E"/>
    <w:rsid w:val="00A63DC4"/>
    <w:rsid w:val="00A64BC6"/>
    <w:rsid w:val="00A64FD7"/>
    <w:rsid w:val="00A659CB"/>
    <w:rsid w:val="00A67235"/>
    <w:rsid w:val="00A67AF5"/>
    <w:rsid w:val="00A70398"/>
    <w:rsid w:val="00A709AD"/>
    <w:rsid w:val="00A70D03"/>
    <w:rsid w:val="00A70D16"/>
    <w:rsid w:val="00A70D3A"/>
    <w:rsid w:val="00A7110C"/>
    <w:rsid w:val="00A71136"/>
    <w:rsid w:val="00A71441"/>
    <w:rsid w:val="00A715F7"/>
    <w:rsid w:val="00A71793"/>
    <w:rsid w:val="00A7202F"/>
    <w:rsid w:val="00A721F1"/>
    <w:rsid w:val="00A7232E"/>
    <w:rsid w:val="00A725E7"/>
    <w:rsid w:val="00A72DA9"/>
    <w:rsid w:val="00A733CB"/>
    <w:rsid w:val="00A739DF"/>
    <w:rsid w:val="00A740A0"/>
    <w:rsid w:val="00A745EF"/>
    <w:rsid w:val="00A75089"/>
    <w:rsid w:val="00A751AD"/>
    <w:rsid w:val="00A754B9"/>
    <w:rsid w:val="00A76045"/>
    <w:rsid w:val="00A76BB0"/>
    <w:rsid w:val="00A76CC8"/>
    <w:rsid w:val="00A773CD"/>
    <w:rsid w:val="00A775CF"/>
    <w:rsid w:val="00A77853"/>
    <w:rsid w:val="00A77FAF"/>
    <w:rsid w:val="00A80534"/>
    <w:rsid w:val="00A805EB"/>
    <w:rsid w:val="00A80C87"/>
    <w:rsid w:val="00A81EED"/>
    <w:rsid w:val="00A82314"/>
    <w:rsid w:val="00A82EC8"/>
    <w:rsid w:val="00A835F0"/>
    <w:rsid w:val="00A84503"/>
    <w:rsid w:val="00A84E47"/>
    <w:rsid w:val="00A85B57"/>
    <w:rsid w:val="00A867DA"/>
    <w:rsid w:val="00A86F02"/>
    <w:rsid w:val="00A8782F"/>
    <w:rsid w:val="00A900C1"/>
    <w:rsid w:val="00A908FA"/>
    <w:rsid w:val="00A90EB6"/>
    <w:rsid w:val="00A91276"/>
    <w:rsid w:val="00A9167D"/>
    <w:rsid w:val="00A9183C"/>
    <w:rsid w:val="00A91895"/>
    <w:rsid w:val="00A91C50"/>
    <w:rsid w:val="00A92D25"/>
    <w:rsid w:val="00A92DF6"/>
    <w:rsid w:val="00A9401F"/>
    <w:rsid w:val="00A94689"/>
    <w:rsid w:val="00A94DDB"/>
    <w:rsid w:val="00A94F82"/>
    <w:rsid w:val="00A950A1"/>
    <w:rsid w:val="00A9560E"/>
    <w:rsid w:val="00A956D5"/>
    <w:rsid w:val="00A965CD"/>
    <w:rsid w:val="00A96970"/>
    <w:rsid w:val="00AA0155"/>
    <w:rsid w:val="00AA0EC5"/>
    <w:rsid w:val="00AA1BEC"/>
    <w:rsid w:val="00AA2457"/>
    <w:rsid w:val="00AA27AA"/>
    <w:rsid w:val="00AA2DF3"/>
    <w:rsid w:val="00AA2F46"/>
    <w:rsid w:val="00AA4761"/>
    <w:rsid w:val="00AA50BC"/>
    <w:rsid w:val="00AA5451"/>
    <w:rsid w:val="00AA5B81"/>
    <w:rsid w:val="00AA6AE4"/>
    <w:rsid w:val="00AB0CEC"/>
    <w:rsid w:val="00AB24E7"/>
    <w:rsid w:val="00AB2F59"/>
    <w:rsid w:val="00AB3237"/>
    <w:rsid w:val="00AB36F2"/>
    <w:rsid w:val="00AB3917"/>
    <w:rsid w:val="00AB3A2D"/>
    <w:rsid w:val="00AB456A"/>
    <w:rsid w:val="00AB4AC8"/>
    <w:rsid w:val="00AB4FBC"/>
    <w:rsid w:val="00AB5E21"/>
    <w:rsid w:val="00AB6AD4"/>
    <w:rsid w:val="00AB75AE"/>
    <w:rsid w:val="00AB76EC"/>
    <w:rsid w:val="00AB7933"/>
    <w:rsid w:val="00AB7947"/>
    <w:rsid w:val="00AC0440"/>
    <w:rsid w:val="00AC13C9"/>
    <w:rsid w:val="00AC1657"/>
    <w:rsid w:val="00AC3071"/>
    <w:rsid w:val="00AC37D6"/>
    <w:rsid w:val="00AC3A08"/>
    <w:rsid w:val="00AC3D18"/>
    <w:rsid w:val="00AC5A30"/>
    <w:rsid w:val="00AC6332"/>
    <w:rsid w:val="00AC7924"/>
    <w:rsid w:val="00AD10CF"/>
    <w:rsid w:val="00AD1A4E"/>
    <w:rsid w:val="00AD213D"/>
    <w:rsid w:val="00AD2FC0"/>
    <w:rsid w:val="00AD3581"/>
    <w:rsid w:val="00AD35EA"/>
    <w:rsid w:val="00AD3BC7"/>
    <w:rsid w:val="00AD4154"/>
    <w:rsid w:val="00AD42E2"/>
    <w:rsid w:val="00AD4967"/>
    <w:rsid w:val="00AD562E"/>
    <w:rsid w:val="00AD5B1B"/>
    <w:rsid w:val="00AD5F5E"/>
    <w:rsid w:val="00AD66BE"/>
    <w:rsid w:val="00AD6D16"/>
    <w:rsid w:val="00AD6DB9"/>
    <w:rsid w:val="00AE12A9"/>
    <w:rsid w:val="00AE229D"/>
    <w:rsid w:val="00AE2459"/>
    <w:rsid w:val="00AE28F3"/>
    <w:rsid w:val="00AE29C2"/>
    <w:rsid w:val="00AE2A69"/>
    <w:rsid w:val="00AE3B82"/>
    <w:rsid w:val="00AE3D23"/>
    <w:rsid w:val="00AE3DDE"/>
    <w:rsid w:val="00AE4CEC"/>
    <w:rsid w:val="00AE4EC8"/>
    <w:rsid w:val="00AE517C"/>
    <w:rsid w:val="00AE5960"/>
    <w:rsid w:val="00AE599E"/>
    <w:rsid w:val="00AE5D9F"/>
    <w:rsid w:val="00AE5F15"/>
    <w:rsid w:val="00AE61C0"/>
    <w:rsid w:val="00AE72C2"/>
    <w:rsid w:val="00AE73B6"/>
    <w:rsid w:val="00AE76C9"/>
    <w:rsid w:val="00AE7FB6"/>
    <w:rsid w:val="00AF06B4"/>
    <w:rsid w:val="00AF0ACA"/>
    <w:rsid w:val="00AF0C64"/>
    <w:rsid w:val="00AF0C7E"/>
    <w:rsid w:val="00AF0EB2"/>
    <w:rsid w:val="00AF0F5E"/>
    <w:rsid w:val="00AF2791"/>
    <w:rsid w:val="00AF2EF5"/>
    <w:rsid w:val="00AF3117"/>
    <w:rsid w:val="00AF326B"/>
    <w:rsid w:val="00AF32F0"/>
    <w:rsid w:val="00AF3379"/>
    <w:rsid w:val="00AF3811"/>
    <w:rsid w:val="00AF3A6D"/>
    <w:rsid w:val="00AF3DA8"/>
    <w:rsid w:val="00AF418D"/>
    <w:rsid w:val="00AF4DA4"/>
    <w:rsid w:val="00AF560E"/>
    <w:rsid w:val="00AF5C60"/>
    <w:rsid w:val="00AF6220"/>
    <w:rsid w:val="00AF6C79"/>
    <w:rsid w:val="00AF6F0D"/>
    <w:rsid w:val="00AF70EE"/>
    <w:rsid w:val="00AF7618"/>
    <w:rsid w:val="00AF7C59"/>
    <w:rsid w:val="00B00449"/>
    <w:rsid w:val="00B00B01"/>
    <w:rsid w:val="00B01538"/>
    <w:rsid w:val="00B015C8"/>
    <w:rsid w:val="00B023A0"/>
    <w:rsid w:val="00B02924"/>
    <w:rsid w:val="00B03653"/>
    <w:rsid w:val="00B04550"/>
    <w:rsid w:val="00B04964"/>
    <w:rsid w:val="00B04CBD"/>
    <w:rsid w:val="00B065EF"/>
    <w:rsid w:val="00B102A0"/>
    <w:rsid w:val="00B103E0"/>
    <w:rsid w:val="00B10605"/>
    <w:rsid w:val="00B10E2B"/>
    <w:rsid w:val="00B10F95"/>
    <w:rsid w:val="00B113BB"/>
    <w:rsid w:val="00B11B0A"/>
    <w:rsid w:val="00B12331"/>
    <w:rsid w:val="00B124AD"/>
    <w:rsid w:val="00B1494B"/>
    <w:rsid w:val="00B154B3"/>
    <w:rsid w:val="00B15B71"/>
    <w:rsid w:val="00B15F63"/>
    <w:rsid w:val="00B16085"/>
    <w:rsid w:val="00B166C6"/>
    <w:rsid w:val="00B21941"/>
    <w:rsid w:val="00B21EB4"/>
    <w:rsid w:val="00B22252"/>
    <w:rsid w:val="00B2235C"/>
    <w:rsid w:val="00B22A5B"/>
    <w:rsid w:val="00B24AD2"/>
    <w:rsid w:val="00B26088"/>
    <w:rsid w:val="00B2691D"/>
    <w:rsid w:val="00B269EF"/>
    <w:rsid w:val="00B26C44"/>
    <w:rsid w:val="00B27820"/>
    <w:rsid w:val="00B278FC"/>
    <w:rsid w:val="00B305F8"/>
    <w:rsid w:val="00B306EA"/>
    <w:rsid w:val="00B30944"/>
    <w:rsid w:val="00B30D53"/>
    <w:rsid w:val="00B3104B"/>
    <w:rsid w:val="00B3294A"/>
    <w:rsid w:val="00B32AAC"/>
    <w:rsid w:val="00B33F4D"/>
    <w:rsid w:val="00B34255"/>
    <w:rsid w:val="00B36CFC"/>
    <w:rsid w:val="00B37148"/>
    <w:rsid w:val="00B37AFC"/>
    <w:rsid w:val="00B4084B"/>
    <w:rsid w:val="00B411B3"/>
    <w:rsid w:val="00B41232"/>
    <w:rsid w:val="00B41839"/>
    <w:rsid w:val="00B419CA"/>
    <w:rsid w:val="00B42B56"/>
    <w:rsid w:val="00B436BB"/>
    <w:rsid w:val="00B45864"/>
    <w:rsid w:val="00B460B5"/>
    <w:rsid w:val="00B47998"/>
    <w:rsid w:val="00B47F4C"/>
    <w:rsid w:val="00B50032"/>
    <w:rsid w:val="00B50958"/>
    <w:rsid w:val="00B51526"/>
    <w:rsid w:val="00B51B27"/>
    <w:rsid w:val="00B5601A"/>
    <w:rsid w:val="00B567D8"/>
    <w:rsid w:val="00B60E19"/>
    <w:rsid w:val="00B60F6F"/>
    <w:rsid w:val="00B613C2"/>
    <w:rsid w:val="00B61A52"/>
    <w:rsid w:val="00B6230B"/>
    <w:rsid w:val="00B628E8"/>
    <w:rsid w:val="00B63C3C"/>
    <w:rsid w:val="00B64DE4"/>
    <w:rsid w:val="00B65359"/>
    <w:rsid w:val="00B65561"/>
    <w:rsid w:val="00B676B8"/>
    <w:rsid w:val="00B67D6E"/>
    <w:rsid w:val="00B70250"/>
    <w:rsid w:val="00B70C9E"/>
    <w:rsid w:val="00B70F85"/>
    <w:rsid w:val="00B71222"/>
    <w:rsid w:val="00B7174A"/>
    <w:rsid w:val="00B71767"/>
    <w:rsid w:val="00B72686"/>
    <w:rsid w:val="00B72DC7"/>
    <w:rsid w:val="00B7358B"/>
    <w:rsid w:val="00B7388C"/>
    <w:rsid w:val="00B73E0D"/>
    <w:rsid w:val="00B7521F"/>
    <w:rsid w:val="00B75523"/>
    <w:rsid w:val="00B830A1"/>
    <w:rsid w:val="00B83160"/>
    <w:rsid w:val="00B8365B"/>
    <w:rsid w:val="00B83705"/>
    <w:rsid w:val="00B83B20"/>
    <w:rsid w:val="00B83CA0"/>
    <w:rsid w:val="00B84243"/>
    <w:rsid w:val="00B85C34"/>
    <w:rsid w:val="00B85E30"/>
    <w:rsid w:val="00B86949"/>
    <w:rsid w:val="00B86C78"/>
    <w:rsid w:val="00B86CCD"/>
    <w:rsid w:val="00B876C0"/>
    <w:rsid w:val="00B87806"/>
    <w:rsid w:val="00B878EC"/>
    <w:rsid w:val="00B87E2B"/>
    <w:rsid w:val="00B92B09"/>
    <w:rsid w:val="00B93884"/>
    <w:rsid w:val="00B93D53"/>
    <w:rsid w:val="00B94405"/>
    <w:rsid w:val="00B94A65"/>
    <w:rsid w:val="00B94ADF"/>
    <w:rsid w:val="00B94B09"/>
    <w:rsid w:val="00B94FB4"/>
    <w:rsid w:val="00B9521A"/>
    <w:rsid w:val="00B95D2D"/>
    <w:rsid w:val="00B9607C"/>
    <w:rsid w:val="00B9631B"/>
    <w:rsid w:val="00B9676C"/>
    <w:rsid w:val="00B96D54"/>
    <w:rsid w:val="00BA0966"/>
    <w:rsid w:val="00BA0F2F"/>
    <w:rsid w:val="00BA1132"/>
    <w:rsid w:val="00BA28F3"/>
    <w:rsid w:val="00BA379F"/>
    <w:rsid w:val="00BA6777"/>
    <w:rsid w:val="00BB02E8"/>
    <w:rsid w:val="00BB0F28"/>
    <w:rsid w:val="00BB2119"/>
    <w:rsid w:val="00BB224B"/>
    <w:rsid w:val="00BB2A98"/>
    <w:rsid w:val="00BB3AB5"/>
    <w:rsid w:val="00BB3DA8"/>
    <w:rsid w:val="00BB498B"/>
    <w:rsid w:val="00BB534C"/>
    <w:rsid w:val="00BB5356"/>
    <w:rsid w:val="00BB564F"/>
    <w:rsid w:val="00BB574D"/>
    <w:rsid w:val="00BB5A84"/>
    <w:rsid w:val="00BB6D23"/>
    <w:rsid w:val="00BB721D"/>
    <w:rsid w:val="00BB7455"/>
    <w:rsid w:val="00BC0DC3"/>
    <w:rsid w:val="00BC1269"/>
    <w:rsid w:val="00BC2C65"/>
    <w:rsid w:val="00BC3472"/>
    <w:rsid w:val="00BC38E6"/>
    <w:rsid w:val="00BC3CAB"/>
    <w:rsid w:val="00BC3F11"/>
    <w:rsid w:val="00BC42CE"/>
    <w:rsid w:val="00BC4422"/>
    <w:rsid w:val="00BC5153"/>
    <w:rsid w:val="00BC5F6E"/>
    <w:rsid w:val="00BC6702"/>
    <w:rsid w:val="00BC6916"/>
    <w:rsid w:val="00BC76B4"/>
    <w:rsid w:val="00BD16BD"/>
    <w:rsid w:val="00BD1DE8"/>
    <w:rsid w:val="00BD210E"/>
    <w:rsid w:val="00BD2257"/>
    <w:rsid w:val="00BD2CB2"/>
    <w:rsid w:val="00BD34C3"/>
    <w:rsid w:val="00BD40CB"/>
    <w:rsid w:val="00BD4954"/>
    <w:rsid w:val="00BD78D5"/>
    <w:rsid w:val="00BE0659"/>
    <w:rsid w:val="00BE0A68"/>
    <w:rsid w:val="00BE0C74"/>
    <w:rsid w:val="00BE1843"/>
    <w:rsid w:val="00BE408C"/>
    <w:rsid w:val="00BE4917"/>
    <w:rsid w:val="00BE537C"/>
    <w:rsid w:val="00BE6D85"/>
    <w:rsid w:val="00BE70B3"/>
    <w:rsid w:val="00BE74EF"/>
    <w:rsid w:val="00BE7D58"/>
    <w:rsid w:val="00BF0029"/>
    <w:rsid w:val="00BF0270"/>
    <w:rsid w:val="00BF0558"/>
    <w:rsid w:val="00BF0E14"/>
    <w:rsid w:val="00BF164E"/>
    <w:rsid w:val="00BF1A33"/>
    <w:rsid w:val="00BF1F41"/>
    <w:rsid w:val="00BF23C3"/>
    <w:rsid w:val="00BF26F7"/>
    <w:rsid w:val="00BF3D35"/>
    <w:rsid w:val="00BF46B7"/>
    <w:rsid w:val="00BF48DF"/>
    <w:rsid w:val="00BF4A6A"/>
    <w:rsid w:val="00BF56B5"/>
    <w:rsid w:val="00BF6D42"/>
    <w:rsid w:val="00BF7194"/>
    <w:rsid w:val="00BF7B5E"/>
    <w:rsid w:val="00BF7ED9"/>
    <w:rsid w:val="00C00AA5"/>
    <w:rsid w:val="00C00B3B"/>
    <w:rsid w:val="00C02450"/>
    <w:rsid w:val="00C02DCC"/>
    <w:rsid w:val="00C037CF"/>
    <w:rsid w:val="00C038D0"/>
    <w:rsid w:val="00C059E7"/>
    <w:rsid w:val="00C0667F"/>
    <w:rsid w:val="00C066AF"/>
    <w:rsid w:val="00C06CE4"/>
    <w:rsid w:val="00C06F4A"/>
    <w:rsid w:val="00C07DEC"/>
    <w:rsid w:val="00C07F1C"/>
    <w:rsid w:val="00C1005F"/>
    <w:rsid w:val="00C107D2"/>
    <w:rsid w:val="00C10B35"/>
    <w:rsid w:val="00C11CE3"/>
    <w:rsid w:val="00C11F05"/>
    <w:rsid w:val="00C11F2F"/>
    <w:rsid w:val="00C124A0"/>
    <w:rsid w:val="00C12D0A"/>
    <w:rsid w:val="00C13491"/>
    <w:rsid w:val="00C13681"/>
    <w:rsid w:val="00C13AF6"/>
    <w:rsid w:val="00C13DA0"/>
    <w:rsid w:val="00C14577"/>
    <w:rsid w:val="00C15DEF"/>
    <w:rsid w:val="00C163EF"/>
    <w:rsid w:val="00C16863"/>
    <w:rsid w:val="00C17830"/>
    <w:rsid w:val="00C17B32"/>
    <w:rsid w:val="00C20E76"/>
    <w:rsid w:val="00C2237F"/>
    <w:rsid w:val="00C234BA"/>
    <w:rsid w:val="00C23647"/>
    <w:rsid w:val="00C2476F"/>
    <w:rsid w:val="00C24BB1"/>
    <w:rsid w:val="00C259B5"/>
    <w:rsid w:val="00C25C11"/>
    <w:rsid w:val="00C2641F"/>
    <w:rsid w:val="00C27356"/>
    <w:rsid w:val="00C276B1"/>
    <w:rsid w:val="00C3009E"/>
    <w:rsid w:val="00C31227"/>
    <w:rsid w:val="00C31E4C"/>
    <w:rsid w:val="00C31E81"/>
    <w:rsid w:val="00C3236D"/>
    <w:rsid w:val="00C3239B"/>
    <w:rsid w:val="00C3249E"/>
    <w:rsid w:val="00C3303C"/>
    <w:rsid w:val="00C3324A"/>
    <w:rsid w:val="00C342CD"/>
    <w:rsid w:val="00C34390"/>
    <w:rsid w:val="00C34C59"/>
    <w:rsid w:val="00C351F5"/>
    <w:rsid w:val="00C359BA"/>
    <w:rsid w:val="00C35E56"/>
    <w:rsid w:val="00C36775"/>
    <w:rsid w:val="00C36BAB"/>
    <w:rsid w:val="00C36E74"/>
    <w:rsid w:val="00C37BFF"/>
    <w:rsid w:val="00C40689"/>
    <w:rsid w:val="00C41058"/>
    <w:rsid w:val="00C41D55"/>
    <w:rsid w:val="00C41E1F"/>
    <w:rsid w:val="00C42089"/>
    <w:rsid w:val="00C428E6"/>
    <w:rsid w:val="00C42D37"/>
    <w:rsid w:val="00C431A3"/>
    <w:rsid w:val="00C431FB"/>
    <w:rsid w:val="00C43DF8"/>
    <w:rsid w:val="00C44428"/>
    <w:rsid w:val="00C44BE3"/>
    <w:rsid w:val="00C44C1D"/>
    <w:rsid w:val="00C450A9"/>
    <w:rsid w:val="00C45903"/>
    <w:rsid w:val="00C46008"/>
    <w:rsid w:val="00C46399"/>
    <w:rsid w:val="00C46D0E"/>
    <w:rsid w:val="00C5027E"/>
    <w:rsid w:val="00C52888"/>
    <w:rsid w:val="00C53EF2"/>
    <w:rsid w:val="00C54412"/>
    <w:rsid w:val="00C55846"/>
    <w:rsid w:val="00C5691C"/>
    <w:rsid w:val="00C61294"/>
    <w:rsid w:val="00C61B54"/>
    <w:rsid w:val="00C61EA2"/>
    <w:rsid w:val="00C6305B"/>
    <w:rsid w:val="00C63109"/>
    <w:rsid w:val="00C63C1F"/>
    <w:rsid w:val="00C63ED7"/>
    <w:rsid w:val="00C65397"/>
    <w:rsid w:val="00C66319"/>
    <w:rsid w:val="00C6675C"/>
    <w:rsid w:val="00C669CD"/>
    <w:rsid w:val="00C67F8C"/>
    <w:rsid w:val="00C705DA"/>
    <w:rsid w:val="00C715F0"/>
    <w:rsid w:val="00C71CB4"/>
    <w:rsid w:val="00C723E3"/>
    <w:rsid w:val="00C732FB"/>
    <w:rsid w:val="00C7356F"/>
    <w:rsid w:val="00C73F2E"/>
    <w:rsid w:val="00C74126"/>
    <w:rsid w:val="00C74C39"/>
    <w:rsid w:val="00C74DA3"/>
    <w:rsid w:val="00C74DA9"/>
    <w:rsid w:val="00C74E8D"/>
    <w:rsid w:val="00C753BA"/>
    <w:rsid w:val="00C7638D"/>
    <w:rsid w:val="00C763EA"/>
    <w:rsid w:val="00C772E8"/>
    <w:rsid w:val="00C77403"/>
    <w:rsid w:val="00C77417"/>
    <w:rsid w:val="00C8049D"/>
    <w:rsid w:val="00C820EA"/>
    <w:rsid w:val="00C8474A"/>
    <w:rsid w:val="00C84DB3"/>
    <w:rsid w:val="00C854F5"/>
    <w:rsid w:val="00C85D5E"/>
    <w:rsid w:val="00C85E77"/>
    <w:rsid w:val="00C86050"/>
    <w:rsid w:val="00C86D90"/>
    <w:rsid w:val="00C872C5"/>
    <w:rsid w:val="00C8748F"/>
    <w:rsid w:val="00C879BA"/>
    <w:rsid w:val="00C87FB8"/>
    <w:rsid w:val="00C90BD1"/>
    <w:rsid w:val="00C90CE5"/>
    <w:rsid w:val="00C91347"/>
    <w:rsid w:val="00C91CF4"/>
    <w:rsid w:val="00C92123"/>
    <w:rsid w:val="00C92E3C"/>
    <w:rsid w:val="00C946DC"/>
    <w:rsid w:val="00C95596"/>
    <w:rsid w:val="00C95850"/>
    <w:rsid w:val="00C95B85"/>
    <w:rsid w:val="00C95E0E"/>
    <w:rsid w:val="00C960D1"/>
    <w:rsid w:val="00C968D8"/>
    <w:rsid w:val="00C96FBC"/>
    <w:rsid w:val="00C97362"/>
    <w:rsid w:val="00C978F2"/>
    <w:rsid w:val="00C97B88"/>
    <w:rsid w:val="00C97F24"/>
    <w:rsid w:val="00C97F3F"/>
    <w:rsid w:val="00CA0B5E"/>
    <w:rsid w:val="00CA0F4F"/>
    <w:rsid w:val="00CA15D7"/>
    <w:rsid w:val="00CA2F21"/>
    <w:rsid w:val="00CA3214"/>
    <w:rsid w:val="00CA450E"/>
    <w:rsid w:val="00CA475B"/>
    <w:rsid w:val="00CA47FB"/>
    <w:rsid w:val="00CA4819"/>
    <w:rsid w:val="00CA49A3"/>
    <w:rsid w:val="00CA600B"/>
    <w:rsid w:val="00CA709C"/>
    <w:rsid w:val="00CB166A"/>
    <w:rsid w:val="00CB1F59"/>
    <w:rsid w:val="00CB2844"/>
    <w:rsid w:val="00CB2AE2"/>
    <w:rsid w:val="00CB2DCA"/>
    <w:rsid w:val="00CB4589"/>
    <w:rsid w:val="00CB46F5"/>
    <w:rsid w:val="00CB4F3C"/>
    <w:rsid w:val="00CB54F0"/>
    <w:rsid w:val="00CB60C9"/>
    <w:rsid w:val="00CB62C0"/>
    <w:rsid w:val="00CB6D24"/>
    <w:rsid w:val="00CB795F"/>
    <w:rsid w:val="00CC0383"/>
    <w:rsid w:val="00CC0486"/>
    <w:rsid w:val="00CC0B67"/>
    <w:rsid w:val="00CC0D15"/>
    <w:rsid w:val="00CC12AE"/>
    <w:rsid w:val="00CC2A06"/>
    <w:rsid w:val="00CC36A5"/>
    <w:rsid w:val="00CC387D"/>
    <w:rsid w:val="00CC445B"/>
    <w:rsid w:val="00CC4867"/>
    <w:rsid w:val="00CC50F0"/>
    <w:rsid w:val="00CC5AB0"/>
    <w:rsid w:val="00CC6371"/>
    <w:rsid w:val="00CC65C0"/>
    <w:rsid w:val="00CC6AF3"/>
    <w:rsid w:val="00CC6AFF"/>
    <w:rsid w:val="00CC6CF9"/>
    <w:rsid w:val="00CC7ED8"/>
    <w:rsid w:val="00CC7F08"/>
    <w:rsid w:val="00CD0244"/>
    <w:rsid w:val="00CD12CE"/>
    <w:rsid w:val="00CD1BF3"/>
    <w:rsid w:val="00CD3382"/>
    <w:rsid w:val="00CD6D33"/>
    <w:rsid w:val="00CD719C"/>
    <w:rsid w:val="00CD73EB"/>
    <w:rsid w:val="00CE0085"/>
    <w:rsid w:val="00CE0472"/>
    <w:rsid w:val="00CE179F"/>
    <w:rsid w:val="00CE2B6C"/>
    <w:rsid w:val="00CE2C1A"/>
    <w:rsid w:val="00CE34DF"/>
    <w:rsid w:val="00CE3744"/>
    <w:rsid w:val="00CE3F53"/>
    <w:rsid w:val="00CE4134"/>
    <w:rsid w:val="00CE44E1"/>
    <w:rsid w:val="00CE4D05"/>
    <w:rsid w:val="00CE558E"/>
    <w:rsid w:val="00CE5774"/>
    <w:rsid w:val="00CE674E"/>
    <w:rsid w:val="00CE6B7E"/>
    <w:rsid w:val="00CE7933"/>
    <w:rsid w:val="00CE7EF0"/>
    <w:rsid w:val="00CF0022"/>
    <w:rsid w:val="00CF0310"/>
    <w:rsid w:val="00CF164C"/>
    <w:rsid w:val="00CF2477"/>
    <w:rsid w:val="00CF2C6F"/>
    <w:rsid w:val="00CF357B"/>
    <w:rsid w:val="00CF4131"/>
    <w:rsid w:val="00CF5085"/>
    <w:rsid w:val="00CF5FDC"/>
    <w:rsid w:val="00CF7370"/>
    <w:rsid w:val="00CF73BC"/>
    <w:rsid w:val="00D00382"/>
    <w:rsid w:val="00D0086A"/>
    <w:rsid w:val="00D0147F"/>
    <w:rsid w:val="00D02837"/>
    <w:rsid w:val="00D02B52"/>
    <w:rsid w:val="00D02C8E"/>
    <w:rsid w:val="00D02EF1"/>
    <w:rsid w:val="00D0327F"/>
    <w:rsid w:val="00D0385D"/>
    <w:rsid w:val="00D05719"/>
    <w:rsid w:val="00D05C46"/>
    <w:rsid w:val="00D06422"/>
    <w:rsid w:val="00D0648F"/>
    <w:rsid w:val="00D07A8D"/>
    <w:rsid w:val="00D1024D"/>
    <w:rsid w:val="00D10AED"/>
    <w:rsid w:val="00D11771"/>
    <w:rsid w:val="00D11F5B"/>
    <w:rsid w:val="00D120BF"/>
    <w:rsid w:val="00D12B3D"/>
    <w:rsid w:val="00D143EC"/>
    <w:rsid w:val="00D1469B"/>
    <w:rsid w:val="00D15792"/>
    <w:rsid w:val="00D16547"/>
    <w:rsid w:val="00D1741D"/>
    <w:rsid w:val="00D174C3"/>
    <w:rsid w:val="00D17C9B"/>
    <w:rsid w:val="00D17D15"/>
    <w:rsid w:val="00D17E55"/>
    <w:rsid w:val="00D20346"/>
    <w:rsid w:val="00D2179B"/>
    <w:rsid w:val="00D21F46"/>
    <w:rsid w:val="00D22699"/>
    <w:rsid w:val="00D228F8"/>
    <w:rsid w:val="00D2316C"/>
    <w:rsid w:val="00D232B7"/>
    <w:rsid w:val="00D23531"/>
    <w:rsid w:val="00D24D0C"/>
    <w:rsid w:val="00D24FF4"/>
    <w:rsid w:val="00D2667B"/>
    <w:rsid w:val="00D27531"/>
    <w:rsid w:val="00D308C9"/>
    <w:rsid w:val="00D30A84"/>
    <w:rsid w:val="00D30CBA"/>
    <w:rsid w:val="00D323B5"/>
    <w:rsid w:val="00D327B7"/>
    <w:rsid w:val="00D34371"/>
    <w:rsid w:val="00D34C73"/>
    <w:rsid w:val="00D3564F"/>
    <w:rsid w:val="00D36333"/>
    <w:rsid w:val="00D37A7B"/>
    <w:rsid w:val="00D37C36"/>
    <w:rsid w:val="00D4187B"/>
    <w:rsid w:val="00D428B3"/>
    <w:rsid w:val="00D439DA"/>
    <w:rsid w:val="00D43E58"/>
    <w:rsid w:val="00D44150"/>
    <w:rsid w:val="00D44D21"/>
    <w:rsid w:val="00D452B3"/>
    <w:rsid w:val="00D456C4"/>
    <w:rsid w:val="00D459CF"/>
    <w:rsid w:val="00D46837"/>
    <w:rsid w:val="00D46A7B"/>
    <w:rsid w:val="00D46D74"/>
    <w:rsid w:val="00D470B6"/>
    <w:rsid w:val="00D5073A"/>
    <w:rsid w:val="00D50C9B"/>
    <w:rsid w:val="00D50CDA"/>
    <w:rsid w:val="00D51F89"/>
    <w:rsid w:val="00D52088"/>
    <w:rsid w:val="00D5334A"/>
    <w:rsid w:val="00D5380F"/>
    <w:rsid w:val="00D549BF"/>
    <w:rsid w:val="00D54AD1"/>
    <w:rsid w:val="00D54BA1"/>
    <w:rsid w:val="00D551E1"/>
    <w:rsid w:val="00D55763"/>
    <w:rsid w:val="00D5708A"/>
    <w:rsid w:val="00D576B5"/>
    <w:rsid w:val="00D57849"/>
    <w:rsid w:val="00D579C5"/>
    <w:rsid w:val="00D60439"/>
    <w:rsid w:val="00D606C2"/>
    <w:rsid w:val="00D60D78"/>
    <w:rsid w:val="00D6199A"/>
    <w:rsid w:val="00D62346"/>
    <w:rsid w:val="00D62AB4"/>
    <w:rsid w:val="00D634BA"/>
    <w:rsid w:val="00D63950"/>
    <w:rsid w:val="00D6413A"/>
    <w:rsid w:val="00D64A5F"/>
    <w:rsid w:val="00D66012"/>
    <w:rsid w:val="00D6631A"/>
    <w:rsid w:val="00D6661E"/>
    <w:rsid w:val="00D669B7"/>
    <w:rsid w:val="00D66AAE"/>
    <w:rsid w:val="00D6714F"/>
    <w:rsid w:val="00D70BF5"/>
    <w:rsid w:val="00D70EB2"/>
    <w:rsid w:val="00D715EF"/>
    <w:rsid w:val="00D71DF6"/>
    <w:rsid w:val="00D720BB"/>
    <w:rsid w:val="00D729FE"/>
    <w:rsid w:val="00D740E6"/>
    <w:rsid w:val="00D75924"/>
    <w:rsid w:val="00D75DD0"/>
    <w:rsid w:val="00D7602E"/>
    <w:rsid w:val="00D76996"/>
    <w:rsid w:val="00D77C45"/>
    <w:rsid w:val="00D81071"/>
    <w:rsid w:val="00D821E0"/>
    <w:rsid w:val="00D82879"/>
    <w:rsid w:val="00D835A8"/>
    <w:rsid w:val="00D83B82"/>
    <w:rsid w:val="00D8456D"/>
    <w:rsid w:val="00D85D3F"/>
    <w:rsid w:val="00D86D0D"/>
    <w:rsid w:val="00D86FFD"/>
    <w:rsid w:val="00D87479"/>
    <w:rsid w:val="00D9150D"/>
    <w:rsid w:val="00D92B42"/>
    <w:rsid w:val="00D92D7E"/>
    <w:rsid w:val="00D93254"/>
    <w:rsid w:val="00D9372A"/>
    <w:rsid w:val="00D944EA"/>
    <w:rsid w:val="00D94D28"/>
    <w:rsid w:val="00D952A8"/>
    <w:rsid w:val="00D95B2F"/>
    <w:rsid w:val="00D961F2"/>
    <w:rsid w:val="00D97687"/>
    <w:rsid w:val="00D9775E"/>
    <w:rsid w:val="00DA023C"/>
    <w:rsid w:val="00DA04D7"/>
    <w:rsid w:val="00DA1610"/>
    <w:rsid w:val="00DA1A11"/>
    <w:rsid w:val="00DA1BEF"/>
    <w:rsid w:val="00DA1DE8"/>
    <w:rsid w:val="00DA1F6E"/>
    <w:rsid w:val="00DA28A8"/>
    <w:rsid w:val="00DA3143"/>
    <w:rsid w:val="00DA3208"/>
    <w:rsid w:val="00DA3940"/>
    <w:rsid w:val="00DA4EAE"/>
    <w:rsid w:val="00DA55D4"/>
    <w:rsid w:val="00DA6854"/>
    <w:rsid w:val="00DA6D4F"/>
    <w:rsid w:val="00DA6FB4"/>
    <w:rsid w:val="00DA7AC3"/>
    <w:rsid w:val="00DA7B65"/>
    <w:rsid w:val="00DB0C57"/>
    <w:rsid w:val="00DB0EDF"/>
    <w:rsid w:val="00DB10A8"/>
    <w:rsid w:val="00DB1F26"/>
    <w:rsid w:val="00DB22B0"/>
    <w:rsid w:val="00DB22D8"/>
    <w:rsid w:val="00DB32F6"/>
    <w:rsid w:val="00DB35A1"/>
    <w:rsid w:val="00DB4C98"/>
    <w:rsid w:val="00DB4D7D"/>
    <w:rsid w:val="00DB584E"/>
    <w:rsid w:val="00DB5AF3"/>
    <w:rsid w:val="00DB6511"/>
    <w:rsid w:val="00DB69D9"/>
    <w:rsid w:val="00DB7DCA"/>
    <w:rsid w:val="00DC0642"/>
    <w:rsid w:val="00DC168E"/>
    <w:rsid w:val="00DC16AF"/>
    <w:rsid w:val="00DC32EC"/>
    <w:rsid w:val="00DC4099"/>
    <w:rsid w:val="00DC40CF"/>
    <w:rsid w:val="00DC4790"/>
    <w:rsid w:val="00DC630A"/>
    <w:rsid w:val="00DC6737"/>
    <w:rsid w:val="00DD051E"/>
    <w:rsid w:val="00DD05B3"/>
    <w:rsid w:val="00DD0B93"/>
    <w:rsid w:val="00DD0BA0"/>
    <w:rsid w:val="00DD1046"/>
    <w:rsid w:val="00DD36F4"/>
    <w:rsid w:val="00DD399E"/>
    <w:rsid w:val="00DD460D"/>
    <w:rsid w:val="00DD53A9"/>
    <w:rsid w:val="00DD5856"/>
    <w:rsid w:val="00DD7B40"/>
    <w:rsid w:val="00DD7FBC"/>
    <w:rsid w:val="00DE079D"/>
    <w:rsid w:val="00DE117E"/>
    <w:rsid w:val="00DE1987"/>
    <w:rsid w:val="00DE1B34"/>
    <w:rsid w:val="00DE1EF9"/>
    <w:rsid w:val="00DE2A71"/>
    <w:rsid w:val="00DE2AC1"/>
    <w:rsid w:val="00DE36CF"/>
    <w:rsid w:val="00DE4042"/>
    <w:rsid w:val="00DE42BA"/>
    <w:rsid w:val="00DE50C2"/>
    <w:rsid w:val="00DE566F"/>
    <w:rsid w:val="00DE5A10"/>
    <w:rsid w:val="00DE5DF9"/>
    <w:rsid w:val="00DE5E0C"/>
    <w:rsid w:val="00DE6150"/>
    <w:rsid w:val="00DE6EDF"/>
    <w:rsid w:val="00DF0728"/>
    <w:rsid w:val="00DF15EE"/>
    <w:rsid w:val="00DF1ADC"/>
    <w:rsid w:val="00DF2249"/>
    <w:rsid w:val="00DF2347"/>
    <w:rsid w:val="00DF2C5D"/>
    <w:rsid w:val="00DF30D5"/>
    <w:rsid w:val="00DF3619"/>
    <w:rsid w:val="00DF363A"/>
    <w:rsid w:val="00DF3ED0"/>
    <w:rsid w:val="00DF4173"/>
    <w:rsid w:val="00DF436A"/>
    <w:rsid w:val="00DF4488"/>
    <w:rsid w:val="00DF53E8"/>
    <w:rsid w:val="00DF61C8"/>
    <w:rsid w:val="00DF6323"/>
    <w:rsid w:val="00DF6B26"/>
    <w:rsid w:val="00DF744E"/>
    <w:rsid w:val="00DF7B9B"/>
    <w:rsid w:val="00E00258"/>
    <w:rsid w:val="00E0068F"/>
    <w:rsid w:val="00E014DB"/>
    <w:rsid w:val="00E01B7C"/>
    <w:rsid w:val="00E04145"/>
    <w:rsid w:val="00E04FD1"/>
    <w:rsid w:val="00E054BA"/>
    <w:rsid w:val="00E05967"/>
    <w:rsid w:val="00E06A4D"/>
    <w:rsid w:val="00E06B3B"/>
    <w:rsid w:val="00E06F9F"/>
    <w:rsid w:val="00E07C0E"/>
    <w:rsid w:val="00E1099E"/>
    <w:rsid w:val="00E10D3F"/>
    <w:rsid w:val="00E1129E"/>
    <w:rsid w:val="00E11615"/>
    <w:rsid w:val="00E120DB"/>
    <w:rsid w:val="00E121DD"/>
    <w:rsid w:val="00E12264"/>
    <w:rsid w:val="00E13D14"/>
    <w:rsid w:val="00E15021"/>
    <w:rsid w:val="00E15A7E"/>
    <w:rsid w:val="00E160CA"/>
    <w:rsid w:val="00E1675C"/>
    <w:rsid w:val="00E16977"/>
    <w:rsid w:val="00E16BE1"/>
    <w:rsid w:val="00E17DAB"/>
    <w:rsid w:val="00E20209"/>
    <w:rsid w:val="00E20329"/>
    <w:rsid w:val="00E20628"/>
    <w:rsid w:val="00E2103B"/>
    <w:rsid w:val="00E21F7C"/>
    <w:rsid w:val="00E223BE"/>
    <w:rsid w:val="00E22A07"/>
    <w:rsid w:val="00E235C3"/>
    <w:rsid w:val="00E23B3F"/>
    <w:rsid w:val="00E24D2D"/>
    <w:rsid w:val="00E253F7"/>
    <w:rsid w:val="00E2593E"/>
    <w:rsid w:val="00E25983"/>
    <w:rsid w:val="00E26003"/>
    <w:rsid w:val="00E26C19"/>
    <w:rsid w:val="00E273FF"/>
    <w:rsid w:val="00E27B91"/>
    <w:rsid w:val="00E27D00"/>
    <w:rsid w:val="00E306E7"/>
    <w:rsid w:val="00E3087C"/>
    <w:rsid w:val="00E30BC5"/>
    <w:rsid w:val="00E30E1D"/>
    <w:rsid w:val="00E30FE2"/>
    <w:rsid w:val="00E335C8"/>
    <w:rsid w:val="00E34C33"/>
    <w:rsid w:val="00E355FD"/>
    <w:rsid w:val="00E359A2"/>
    <w:rsid w:val="00E3664F"/>
    <w:rsid w:val="00E36F77"/>
    <w:rsid w:val="00E37BA9"/>
    <w:rsid w:val="00E37F9B"/>
    <w:rsid w:val="00E419DF"/>
    <w:rsid w:val="00E42411"/>
    <w:rsid w:val="00E42C8A"/>
    <w:rsid w:val="00E42FCE"/>
    <w:rsid w:val="00E436F2"/>
    <w:rsid w:val="00E43965"/>
    <w:rsid w:val="00E43E3B"/>
    <w:rsid w:val="00E44113"/>
    <w:rsid w:val="00E4422C"/>
    <w:rsid w:val="00E4452C"/>
    <w:rsid w:val="00E4582E"/>
    <w:rsid w:val="00E4633C"/>
    <w:rsid w:val="00E46594"/>
    <w:rsid w:val="00E46611"/>
    <w:rsid w:val="00E46AB8"/>
    <w:rsid w:val="00E473B3"/>
    <w:rsid w:val="00E479CE"/>
    <w:rsid w:val="00E50974"/>
    <w:rsid w:val="00E50E8D"/>
    <w:rsid w:val="00E51F1C"/>
    <w:rsid w:val="00E5279F"/>
    <w:rsid w:val="00E53F1A"/>
    <w:rsid w:val="00E54185"/>
    <w:rsid w:val="00E5444F"/>
    <w:rsid w:val="00E5530D"/>
    <w:rsid w:val="00E555C9"/>
    <w:rsid w:val="00E55ABA"/>
    <w:rsid w:val="00E5653C"/>
    <w:rsid w:val="00E57271"/>
    <w:rsid w:val="00E57CA7"/>
    <w:rsid w:val="00E61C5E"/>
    <w:rsid w:val="00E61EC0"/>
    <w:rsid w:val="00E62020"/>
    <w:rsid w:val="00E62415"/>
    <w:rsid w:val="00E62A22"/>
    <w:rsid w:val="00E62B36"/>
    <w:rsid w:val="00E62DF5"/>
    <w:rsid w:val="00E63BDC"/>
    <w:rsid w:val="00E64492"/>
    <w:rsid w:val="00E647C8"/>
    <w:rsid w:val="00E64EFB"/>
    <w:rsid w:val="00E665A4"/>
    <w:rsid w:val="00E67434"/>
    <w:rsid w:val="00E67C82"/>
    <w:rsid w:val="00E702CE"/>
    <w:rsid w:val="00E70F0A"/>
    <w:rsid w:val="00E71844"/>
    <w:rsid w:val="00E71F73"/>
    <w:rsid w:val="00E72061"/>
    <w:rsid w:val="00E731D7"/>
    <w:rsid w:val="00E7371B"/>
    <w:rsid w:val="00E73765"/>
    <w:rsid w:val="00E74ACE"/>
    <w:rsid w:val="00E753DB"/>
    <w:rsid w:val="00E75A0F"/>
    <w:rsid w:val="00E773A1"/>
    <w:rsid w:val="00E77C06"/>
    <w:rsid w:val="00E80107"/>
    <w:rsid w:val="00E807EB"/>
    <w:rsid w:val="00E81619"/>
    <w:rsid w:val="00E82CB9"/>
    <w:rsid w:val="00E831F7"/>
    <w:rsid w:val="00E835D7"/>
    <w:rsid w:val="00E839E5"/>
    <w:rsid w:val="00E83DA4"/>
    <w:rsid w:val="00E8401B"/>
    <w:rsid w:val="00E84594"/>
    <w:rsid w:val="00E84ECA"/>
    <w:rsid w:val="00E84F25"/>
    <w:rsid w:val="00E855E0"/>
    <w:rsid w:val="00E860B7"/>
    <w:rsid w:val="00E86524"/>
    <w:rsid w:val="00E8660F"/>
    <w:rsid w:val="00E8780D"/>
    <w:rsid w:val="00E906DF"/>
    <w:rsid w:val="00E90C98"/>
    <w:rsid w:val="00E92126"/>
    <w:rsid w:val="00E9221F"/>
    <w:rsid w:val="00E92644"/>
    <w:rsid w:val="00E9320C"/>
    <w:rsid w:val="00E9371A"/>
    <w:rsid w:val="00E93C24"/>
    <w:rsid w:val="00E94499"/>
    <w:rsid w:val="00E955DE"/>
    <w:rsid w:val="00E95DB8"/>
    <w:rsid w:val="00E95E3B"/>
    <w:rsid w:val="00E96501"/>
    <w:rsid w:val="00E97527"/>
    <w:rsid w:val="00EA186C"/>
    <w:rsid w:val="00EA1E39"/>
    <w:rsid w:val="00EA46A8"/>
    <w:rsid w:val="00EA46E4"/>
    <w:rsid w:val="00EA5A9E"/>
    <w:rsid w:val="00EA6556"/>
    <w:rsid w:val="00EA6842"/>
    <w:rsid w:val="00EA6D1D"/>
    <w:rsid w:val="00EA6D25"/>
    <w:rsid w:val="00EA71F2"/>
    <w:rsid w:val="00EB0624"/>
    <w:rsid w:val="00EB184F"/>
    <w:rsid w:val="00EB1B80"/>
    <w:rsid w:val="00EB2FCB"/>
    <w:rsid w:val="00EB3169"/>
    <w:rsid w:val="00EB32A1"/>
    <w:rsid w:val="00EB4C26"/>
    <w:rsid w:val="00EB5127"/>
    <w:rsid w:val="00EB53F2"/>
    <w:rsid w:val="00EB548C"/>
    <w:rsid w:val="00EB5E0D"/>
    <w:rsid w:val="00EB75B0"/>
    <w:rsid w:val="00EB7803"/>
    <w:rsid w:val="00EC0295"/>
    <w:rsid w:val="00EC0454"/>
    <w:rsid w:val="00EC0A97"/>
    <w:rsid w:val="00EC113D"/>
    <w:rsid w:val="00EC19FA"/>
    <w:rsid w:val="00EC1F39"/>
    <w:rsid w:val="00EC2948"/>
    <w:rsid w:val="00EC3751"/>
    <w:rsid w:val="00EC4415"/>
    <w:rsid w:val="00EC5F86"/>
    <w:rsid w:val="00EC697C"/>
    <w:rsid w:val="00EC7147"/>
    <w:rsid w:val="00ED0403"/>
    <w:rsid w:val="00ED0940"/>
    <w:rsid w:val="00ED0D46"/>
    <w:rsid w:val="00ED15AF"/>
    <w:rsid w:val="00ED25CE"/>
    <w:rsid w:val="00ED3A55"/>
    <w:rsid w:val="00ED3B06"/>
    <w:rsid w:val="00ED3FB1"/>
    <w:rsid w:val="00ED402C"/>
    <w:rsid w:val="00ED4EB2"/>
    <w:rsid w:val="00ED511B"/>
    <w:rsid w:val="00ED5B0C"/>
    <w:rsid w:val="00ED602D"/>
    <w:rsid w:val="00ED7DD7"/>
    <w:rsid w:val="00EE003D"/>
    <w:rsid w:val="00EE0ACF"/>
    <w:rsid w:val="00EE0C14"/>
    <w:rsid w:val="00EE1B89"/>
    <w:rsid w:val="00EE2232"/>
    <w:rsid w:val="00EE22E3"/>
    <w:rsid w:val="00EE2ED0"/>
    <w:rsid w:val="00EE37DE"/>
    <w:rsid w:val="00EE6302"/>
    <w:rsid w:val="00EE67C5"/>
    <w:rsid w:val="00EF18EF"/>
    <w:rsid w:val="00EF1D53"/>
    <w:rsid w:val="00EF24DC"/>
    <w:rsid w:val="00EF348B"/>
    <w:rsid w:val="00EF34C2"/>
    <w:rsid w:val="00EF37E5"/>
    <w:rsid w:val="00EF4031"/>
    <w:rsid w:val="00EF45CE"/>
    <w:rsid w:val="00EF4B6F"/>
    <w:rsid w:val="00EF4C71"/>
    <w:rsid w:val="00EF695C"/>
    <w:rsid w:val="00F00370"/>
    <w:rsid w:val="00F00984"/>
    <w:rsid w:val="00F00C1A"/>
    <w:rsid w:val="00F00D5D"/>
    <w:rsid w:val="00F00E1B"/>
    <w:rsid w:val="00F0167C"/>
    <w:rsid w:val="00F01FF7"/>
    <w:rsid w:val="00F030DB"/>
    <w:rsid w:val="00F04304"/>
    <w:rsid w:val="00F046D8"/>
    <w:rsid w:val="00F05908"/>
    <w:rsid w:val="00F05CF7"/>
    <w:rsid w:val="00F063F2"/>
    <w:rsid w:val="00F0680D"/>
    <w:rsid w:val="00F069E5"/>
    <w:rsid w:val="00F10305"/>
    <w:rsid w:val="00F1076B"/>
    <w:rsid w:val="00F1097E"/>
    <w:rsid w:val="00F10B6E"/>
    <w:rsid w:val="00F10D71"/>
    <w:rsid w:val="00F112B2"/>
    <w:rsid w:val="00F11B9B"/>
    <w:rsid w:val="00F11C4E"/>
    <w:rsid w:val="00F11D20"/>
    <w:rsid w:val="00F120D0"/>
    <w:rsid w:val="00F12F4B"/>
    <w:rsid w:val="00F1363A"/>
    <w:rsid w:val="00F137A8"/>
    <w:rsid w:val="00F13E0D"/>
    <w:rsid w:val="00F14704"/>
    <w:rsid w:val="00F154A2"/>
    <w:rsid w:val="00F15B4F"/>
    <w:rsid w:val="00F15DFF"/>
    <w:rsid w:val="00F175CA"/>
    <w:rsid w:val="00F207E8"/>
    <w:rsid w:val="00F20B6E"/>
    <w:rsid w:val="00F20FF5"/>
    <w:rsid w:val="00F210AD"/>
    <w:rsid w:val="00F22894"/>
    <w:rsid w:val="00F248EC"/>
    <w:rsid w:val="00F24B20"/>
    <w:rsid w:val="00F24BCF"/>
    <w:rsid w:val="00F24C64"/>
    <w:rsid w:val="00F25700"/>
    <w:rsid w:val="00F2639B"/>
    <w:rsid w:val="00F271F4"/>
    <w:rsid w:val="00F276EE"/>
    <w:rsid w:val="00F30BCF"/>
    <w:rsid w:val="00F3255F"/>
    <w:rsid w:val="00F33271"/>
    <w:rsid w:val="00F3510E"/>
    <w:rsid w:val="00F35311"/>
    <w:rsid w:val="00F35B8D"/>
    <w:rsid w:val="00F35C9F"/>
    <w:rsid w:val="00F373DC"/>
    <w:rsid w:val="00F37568"/>
    <w:rsid w:val="00F37EF3"/>
    <w:rsid w:val="00F403D6"/>
    <w:rsid w:val="00F40782"/>
    <w:rsid w:val="00F422EF"/>
    <w:rsid w:val="00F4256F"/>
    <w:rsid w:val="00F42894"/>
    <w:rsid w:val="00F42F10"/>
    <w:rsid w:val="00F43E26"/>
    <w:rsid w:val="00F43FB5"/>
    <w:rsid w:val="00F44084"/>
    <w:rsid w:val="00F44B17"/>
    <w:rsid w:val="00F4532B"/>
    <w:rsid w:val="00F45412"/>
    <w:rsid w:val="00F45CF2"/>
    <w:rsid w:val="00F470EA"/>
    <w:rsid w:val="00F47B25"/>
    <w:rsid w:val="00F5038E"/>
    <w:rsid w:val="00F5039F"/>
    <w:rsid w:val="00F50569"/>
    <w:rsid w:val="00F506AE"/>
    <w:rsid w:val="00F5087B"/>
    <w:rsid w:val="00F51346"/>
    <w:rsid w:val="00F5235B"/>
    <w:rsid w:val="00F525DB"/>
    <w:rsid w:val="00F52790"/>
    <w:rsid w:val="00F547AB"/>
    <w:rsid w:val="00F54947"/>
    <w:rsid w:val="00F54F7B"/>
    <w:rsid w:val="00F55CD7"/>
    <w:rsid w:val="00F560DC"/>
    <w:rsid w:val="00F56360"/>
    <w:rsid w:val="00F56916"/>
    <w:rsid w:val="00F56AD0"/>
    <w:rsid w:val="00F56CB1"/>
    <w:rsid w:val="00F5734C"/>
    <w:rsid w:val="00F626C2"/>
    <w:rsid w:val="00F630EF"/>
    <w:rsid w:val="00F63F85"/>
    <w:rsid w:val="00F64163"/>
    <w:rsid w:val="00F65819"/>
    <w:rsid w:val="00F65FDF"/>
    <w:rsid w:val="00F66230"/>
    <w:rsid w:val="00F66865"/>
    <w:rsid w:val="00F6694E"/>
    <w:rsid w:val="00F66E2C"/>
    <w:rsid w:val="00F66EA4"/>
    <w:rsid w:val="00F67A6B"/>
    <w:rsid w:val="00F707A2"/>
    <w:rsid w:val="00F70B5B"/>
    <w:rsid w:val="00F70EA1"/>
    <w:rsid w:val="00F71634"/>
    <w:rsid w:val="00F71871"/>
    <w:rsid w:val="00F71C70"/>
    <w:rsid w:val="00F7244F"/>
    <w:rsid w:val="00F72962"/>
    <w:rsid w:val="00F72D23"/>
    <w:rsid w:val="00F743D8"/>
    <w:rsid w:val="00F746E5"/>
    <w:rsid w:val="00F74CB0"/>
    <w:rsid w:val="00F75495"/>
    <w:rsid w:val="00F75C5E"/>
    <w:rsid w:val="00F76359"/>
    <w:rsid w:val="00F7639C"/>
    <w:rsid w:val="00F765EB"/>
    <w:rsid w:val="00F773A0"/>
    <w:rsid w:val="00F81CE4"/>
    <w:rsid w:val="00F822BA"/>
    <w:rsid w:val="00F8293A"/>
    <w:rsid w:val="00F836EA"/>
    <w:rsid w:val="00F837EA"/>
    <w:rsid w:val="00F8673B"/>
    <w:rsid w:val="00F87522"/>
    <w:rsid w:val="00F87A5C"/>
    <w:rsid w:val="00F908F8"/>
    <w:rsid w:val="00F90F00"/>
    <w:rsid w:val="00F92442"/>
    <w:rsid w:val="00F926C8"/>
    <w:rsid w:val="00F93008"/>
    <w:rsid w:val="00F939DB"/>
    <w:rsid w:val="00F948C5"/>
    <w:rsid w:val="00F94E8C"/>
    <w:rsid w:val="00F964B0"/>
    <w:rsid w:val="00F973F0"/>
    <w:rsid w:val="00F9784F"/>
    <w:rsid w:val="00F97B52"/>
    <w:rsid w:val="00F97D2D"/>
    <w:rsid w:val="00FA05A4"/>
    <w:rsid w:val="00FA2F87"/>
    <w:rsid w:val="00FA30C2"/>
    <w:rsid w:val="00FA31D8"/>
    <w:rsid w:val="00FA503C"/>
    <w:rsid w:val="00FA63B6"/>
    <w:rsid w:val="00FA65B7"/>
    <w:rsid w:val="00FA68AC"/>
    <w:rsid w:val="00FA6958"/>
    <w:rsid w:val="00FA7135"/>
    <w:rsid w:val="00FA74F9"/>
    <w:rsid w:val="00FA784C"/>
    <w:rsid w:val="00FB00DA"/>
    <w:rsid w:val="00FB063D"/>
    <w:rsid w:val="00FB06E1"/>
    <w:rsid w:val="00FB0A4B"/>
    <w:rsid w:val="00FB0CA2"/>
    <w:rsid w:val="00FB1A25"/>
    <w:rsid w:val="00FB2091"/>
    <w:rsid w:val="00FB2522"/>
    <w:rsid w:val="00FB253D"/>
    <w:rsid w:val="00FB37E2"/>
    <w:rsid w:val="00FB400A"/>
    <w:rsid w:val="00FB4106"/>
    <w:rsid w:val="00FB4A9E"/>
    <w:rsid w:val="00FB5B69"/>
    <w:rsid w:val="00FB66AB"/>
    <w:rsid w:val="00FB6912"/>
    <w:rsid w:val="00FC00DD"/>
    <w:rsid w:val="00FC031B"/>
    <w:rsid w:val="00FC0A72"/>
    <w:rsid w:val="00FC1247"/>
    <w:rsid w:val="00FC13E2"/>
    <w:rsid w:val="00FC14D9"/>
    <w:rsid w:val="00FC1C66"/>
    <w:rsid w:val="00FC1D6A"/>
    <w:rsid w:val="00FC27D4"/>
    <w:rsid w:val="00FC3CD4"/>
    <w:rsid w:val="00FC4E2A"/>
    <w:rsid w:val="00FC66F0"/>
    <w:rsid w:val="00FC6CF3"/>
    <w:rsid w:val="00FC6F4F"/>
    <w:rsid w:val="00FD1084"/>
    <w:rsid w:val="00FD1B30"/>
    <w:rsid w:val="00FD28F1"/>
    <w:rsid w:val="00FD2F32"/>
    <w:rsid w:val="00FD3D3E"/>
    <w:rsid w:val="00FD3EC1"/>
    <w:rsid w:val="00FD4975"/>
    <w:rsid w:val="00FD5051"/>
    <w:rsid w:val="00FD522D"/>
    <w:rsid w:val="00FD5958"/>
    <w:rsid w:val="00FD5A0F"/>
    <w:rsid w:val="00FD756D"/>
    <w:rsid w:val="00FD7972"/>
    <w:rsid w:val="00FD79EA"/>
    <w:rsid w:val="00FE059A"/>
    <w:rsid w:val="00FE0767"/>
    <w:rsid w:val="00FE0781"/>
    <w:rsid w:val="00FE1091"/>
    <w:rsid w:val="00FE1CCA"/>
    <w:rsid w:val="00FE2022"/>
    <w:rsid w:val="00FE29AF"/>
    <w:rsid w:val="00FE2A1F"/>
    <w:rsid w:val="00FE2CF1"/>
    <w:rsid w:val="00FE2DE2"/>
    <w:rsid w:val="00FE362F"/>
    <w:rsid w:val="00FE395C"/>
    <w:rsid w:val="00FE3B19"/>
    <w:rsid w:val="00FE3DE9"/>
    <w:rsid w:val="00FE54AE"/>
    <w:rsid w:val="00FE59E1"/>
    <w:rsid w:val="00FE6FB5"/>
    <w:rsid w:val="00FF0D93"/>
    <w:rsid w:val="00FF1860"/>
    <w:rsid w:val="00FF1E56"/>
    <w:rsid w:val="00FF2122"/>
    <w:rsid w:val="00FF2339"/>
    <w:rsid w:val="00FF2430"/>
    <w:rsid w:val="00FF26B9"/>
    <w:rsid w:val="00FF33AA"/>
    <w:rsid w:val="00FF371D"/>
    <w:rsid w:val="00FF4B33"/>
    <w:rsid w:val="00FF5512"/>
    <w:rsid w:val="00FF581C"/>
    <w:rsid w:val="00FF5BDF"/>
    <w:rsid w:val="00FF61EF"/>
    <w:rsid w:val="00FF637D"/>
    <w:rsid w:val="00FF64CF"/>
    <w:rsid w:val="00FF6B5D"/>
    <w:rsid w:val="00FF7133"/>
    <w:rsid w:val="00FF75B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7745"/>
    <o:shapelayout v:ext="edit">
      <o:idmap v:ext="edit" data="1"/>
    </o:shapelayout>
  </w:shapeDefaults>
  <w:decimalSymbol w:val="."/>
  <w:listSeparator w:val=","/>
  <w14:docId w14:val="2239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065"/>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BE1843"/>
    <w:pPr>
      <w:spacing w:after="240"/>
      <w:outlineLvl w:val="0"/>
    </w:pPr>
    <w:rPr>
      <w:rFonts w:ascii="Arial Bold" w:hAnsi="Arial Bold"/>
      <w:b/>
      <w:kern w:val="34"/>
      <w:sz w:val="36"/>
    </w:rPr>
  </w:style>
  <w:style w:type="paragraph" w:styleId="Heading2">
    <w:name w:val="heading 2"/>
    <w:basedOn w:val="HeadingBase"/>
    <w:next w:val="Normal"/>
    <w:link w:val="Heading2Char"/>
    <w:qFormat/>
    <w:rsid w:val="00BE1843"/>
    <w:pPr>
      <w:spacing w:before="240" w:after="240"/>
      <w:outlineLvl w:val="1"/>
    </w:pPr>
    <w:rPr>
      <w:rFonts w:ascii="Arial Bold" w:hAnsi="Arial Bold"/>
      <w:b/>
      <w:sz w:val="26"/>
    </w:rPr>
  </w:style>
  <w:style w:type="paragraph" w:styleId="Heading3">
    <w:name w:val="heading 3"/>
    <w:basedOn w:val="HeadingBase"/>
    <w:next w:val="Normal"/>
    <w:link w:val="Heading3Char"/>
    <w:qFormat/>
    <w:rsid w:val="00BE1843"/>
    <w:pPr>
      <w:spacing w:before="120" w:after="120"/>
      <w:outlineLvl w:val="2"/>
    </w:pPr>
    <w:rPr>
      <w:rFonts w:ascii="Arial Bold" w:hAnsi="Arial Bold"/>
      <w:b/>
      <w:sz w:val="22"/>
    </w:rPr>
  </w:style>
  <w:style w:type="paragraph" w:styleId="Heading4">
    <w:name w:val="heading 4"/>
    <w:basedOn w:val="HeadingBase"/>
    <w:next w:val="Normal"/>
    <w:link w:val="Heading4Char"/>
    <w:qFormat/>
    <w:rsid w:val="00BE1843"/>
    <w:pPr>
      <w:spacing w:after="120"/>
      <w:outlineLvl w:val="3"/>
    </w:pPr>
    <w:rPr>
      <w:rFonts w:ascii="Arial Bold" w:hAnsi="Arial Bold"/>
      <w:b/>
      <w:sz w:val="20"/>
    </w:rPr>
  </w:style>
  <w:style w:type="paragraph" w:styleId="Heading5">
    <w:name w:val="heading 5"/>
    <w:basedOn w:val="HeadingBase"/>
    <w:next w:val="Normal"/>
    <w:link w:val="Heading5Char"/>
    <w:qFormat/>
    <w:rsid w:val="00BE1843"/>
    <w:pPr>
      <w:spacing w:after="120"/>
      <w:outlineLvl w:val="4"/>
    </w:pPr>
    <w:rPr>
      <w:bCs/>
      <w:i/>
      <w:iCs/>
      <w:sz w:val="20"/>
      <w:szCs w:val="26"/>
    </w:rPr>
  </w:style>
  <w:style w:type="paragraph" w:styleId="Heading6">
    <w:name w:val="heading 6"/>
    <w:basedOn w:val="HeadingBase"/>
    <w:next w:val="Normal"/>
    <w:link w:val="Heading6Char"/>
    <w:qFormat/>
    <w:rsid w:val="00BE1843"/>
    <w:pPr>
      <w:spacing w:after="120"/>
      <w:outlineLvl w:val="5"/>
    </w:pPr>
    <w:rPr>
      <w:bCs/>
      <w:sz w:val="20"/>
      <w:szCs w:val="22"/>
    </w:rPr>
  </w:style>
  <w:style w:type="paragraph" w:styleId="Heading7">
    <w:name w:val="heading 7"/>
    <w:basedOn w:val="HeadingBase"/>
    <w:next w:val="Normal"/>
    <w:link w:val="Heading7Char"/>
    <w:qFormat/>
    <w:rsid w:val="00BE1843"/>
    <w:pPr>
      <w:spacing w:before="120"/>
      <w:outlineLvl w:val="6"/>
    </w:pPr>
    <w:rPr>
      <w:sz w:val="20"/>
      <w:szCs w:val="24"/>
    </w:rPr>
  </w:style>
  <w:style w:type="paragraph" w:styleId="Heading8">
    <w:name w:val="heading 8"/>
    <w:basedOn w:val="HeadingBase"/>
    <w:next w:val="Normal"/>
    <w:link w:val="Heading8Char"/>
    <w:qFormat/>
    <w:rsid w:val="00BE1843"/>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nhideWhenUsed/>
    <w:qFormat/>
    <w:rsid w:val="00BE1843"/>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E1843"/>
    <w:pPr>
      <w:spacing w:before="0" w:after="0" w:line="240" w:lineRule="auto"/>
    </w:pPr>
  </w:style>
  <w:style w:type="paragraph" w:customStyle="1" w:styleId="Exampletext">
    <w:name w:val="Example text"/>
    <w:basedOn w:val="Normal"/>
    <w:link w:val="ExampletextCharChar"/>
    <w:rsid w:val="00BE1843"/>
    <w:rPr>
      <w:i/>
      <w:color w:val="FF0000"/>
      <w:lang w:val="x-none" w:eastAsia="x-none"/>
    </w:rPr>
  </w:style>
  <w:style w:type="paragraph" w:customStyle="1" w:styleId="ChartSecondHeading">
    <w:name w:val="Chart Second Heading"/>
    <w:basedOn w:val="HeadingBase"/>
    <w:next w:val="ChartGraphic"/>
    <w:rsid w:val="00BE1843"/>
    <w:pPr>
      <w:spacing w:after="60"/>
    </w:pPr>
    <w:rPr>
      <w:sz w:val="19"/>
    </w:rPr>
  </w:style>
  <w:style w:type="paragraph" w:customStyle="1" w:styleId="TableHeading">
    <w:name w:val="Table Heading"/>
    <w:basedOn w:val="HeadingBase"/>
    <w:next w:val="TableGraphic"/>
    <w:link w:val="TableHeadingChar"/>
    <w:qFormat/>
    <w:rsid w:val="00BE1843"/>
    <w:pPr>
      <w:spacing w:before="120" w:after="20"/>
    </w:pPr>
    <w:rPr>
      <w:b/>
      <w:sz w:val="20"/>
    </w:rPr>
  </w:style>
  <w:style w:type="paragraph" w:customStyle="1" w:styleId="HeadingBase">
    <w:name w:val="Heading Base"/>
    <w:link w:val="HeadingBaseChar"/>
    <w:rsid w:val="00BE1843"/>
    <w:pPr>
      <w:keepNext/>
    </w:pPr>
    <w:rPr>
      <w:rFonts w:ascii="Arial" w:hAnsi="Arial"/>
      <w:sz w:val="24"/>
    </w:rPr>
  </w:style>
  <w:style w:type="paragraph" w:customStyle="1" w:styleId="AlphaParagraph">
    <w:name w:val="Alpha Paragraph"/>
    <w:basedOn w:val="Normal"/>
    <w:rsid w:val="00BE1843"/>
    <w:pPr>
      <w:numPr>
        <w:numId w:val="1"/>
      </w:numPr>
      <w:tabs>
        <w:tab w:val="clear" w:pos="567"/>
        <w:tab w:val="num" w:pos="360"/>
      </w:tabs>
    </w:pPr>
  </w:style>
  <w:style w:type="paragraph" w:customStyle="1" w:styleId="Bullet">
    <w:name w:val="Bullet"/>
    <w:basedOn w:val="Normal"/>
    <w:link w:val="BulletChar"/>
    <w:qFormat/>
    <w:rsid w:val="00BE1843"/>
    <w:pPr>
      <w:numPr>
        <w:numId w:val="2"/>
      </w:numPr>
      <w:spacing w:after="160"/>
    </w:pPr>
  </w:style>
  <w:style w:type="paragraph" w:customStyle="1" w:styleId="Dash">
    <w:name w:val="Dash"/>
    <w:basedOn w:val="Normal"/>
    <w:qFormat/>
    <w:rsid w:val="00BE1843"/>
    <w:pPr>
      <w:numPr>
        <w:ilvl w:val="1"/>
        <w:numId w:val="2"/>
      </w:numPr>
      <w:tabs>
        <w:tab w:val="left" w:pos="567"/>
      </w:tabs>
    </w:pPr>
  </w:style>
  <w:style w:type="paragraph" w:customStyle="1" w:styleId="DoubleDot">
    <w:name w:val="Double Dot"/>
    <w:basedOn w:val="Normal"/>
    <w:rsid w:val="00BE1843"/>
    <w:pPr>
      <w:numPr>
        <w:ilvl w:val="2"/>
        <w:numId w:val="2"/>
      </w:numPr>
      <w:tabs>
        <w:tab w:val="clear" w:pos="850"/>
        <w:tab w:val="left" w:pos="851"/>
      </w:tabs>
    </w:pPr>
  </w:style>
  <w:style w:type="paragraph" w:customStyle="1" w:styleId="AppendixHeading">
    <w:name w:val="Appendix Heading"/>
    <w:basedOn w:val="HeadingBase"/>
    <w:semiHidden/>
    <w:rsid w:val="00BE1843"/>
    <w:pPr>
      <w:spacing w:after="240"/>
      <w:jc w:val="center"/>
      <w:outlineLvl w:val="3"/>
    </w:pPr>
    <w:rPr>
      <w:b/>
      <w:smallCaps/>
      <w:sz w:val="30"/>
    </w:rPr>
  </w:style>
  <w:style w:type="paragraph" w:customStyle="1" w:styleId="BoxText">
    <w:name w:val="Box Text"/>
    <w:basedOn w:val="Normal"/>
    <w:qFormat/>
    <w:rsid w:val="00BE1843"/>
    <w:pPr>
      <w:spacing w:before="120" w:after="120" w:line="240" w:lineRule="auto"/>
    </w:pPr>
  </w:style>
  <w:style w:type="paragraph" w:customStyle="1" w:styleId="BoxHeading">
    <w:name w:val="Box Heading"/>
    <w:basedOn w:val="HeadingBase"/>
    <w:next w:val="BoxText"/>
    <w:rsid w:val="00BE1843"/>
    <w:pPr>
      <w:spacing w:before="120" w:after="120"/>
    </w:pPr>
    <w:rPr>
      <w:b/>
      <w:sz w:val="20"/>
    </w:rPr>
  </w:style>
  <w:style w:type="paragraph" w:customStyle="1" w:styleId="ChartandTableFootnoteAlpha">
    <w:name w:val="Chart and Table Footnote Alpha"/>
    <w:basedOn w:val="HeadingBase"/>
    <w:next w:val="Normal"/>
    <w:rsid w:val="00BE1843"/>
    <w:pPr>
      <w:keepNext w:val="0"/>
      <w:spacing w:before="30"/>
    </w:pPr>
    <w:rPr>
      <w:color w:val="000000"/>
      <w:sz w:val="16"/>
    </w:rPr>
  </w:style>
  <w:style w:type="paragraph" w:customStyle="1" w:styleId="ChartandTableFootnote">
    <w:name w:val="Chart and Table Footnote"/>
    <w:basedOn w:val="HeadingBase"/>
    <w:next w:val="Normal"/>
    <w:link w:val="ChartandTableFootnoteChar"/>
    <w:rsid w:val="00BE1843"/>
    <w:pPr>
      <w:keepNext w:val="0"/>
      <w:tabs>
        <w:tab w:val="left" w:pos="709"/>
      </w:tabs>
      <w:spacing w:before="30"/>
    </w:pPr>
    <w:rPr>
      <w:color w:val="000000"/>
      <w:sz w:val="16"/>
    </w:rPr>
  </w:style>
  <w:style w:type="paragraph" w:customStyle="1" w:styleId="BoxBullet">
    <w:name w:val="Box Bullet"/>
    <w:basedOn w:val="BoxText"/>
    <w:rsid w:val="00BE1843"/>
    <w:pPr>
      <w:numPr>
        <w:numId w:val="7"/>
      </w:numPr>
    </w:pPr>
  </w:style>
  <w:style w:type="paragraph" w:customStyle="1" w:styleId="ChartGraphic">
    <w:name w:val="Chart Graphic"/>
    <w:basedOn w:val="HeadingBase"/>
    <w:rsid w:val="00BE1843"/>
    <w:pPr>
      <w:jc w:val="center"/>
    </w:pPr>
    <w:rPr>
      <w:sz w:val="20"/>
    </w:rPr>
  </w:style>
  <w:style w:type="paragraph" w:customStyle="1" w:styleId="ContentsHeading">
    <w:name w:val="Contents Heading"/>
    <w:basedOn w:val="HeadingBase"/>
    <w:next w:val="Normal"/>
    <w:rsid w:val="00BE1843"/>
    <w:pPr>
      <w:spacing w:after="720"/>
    </w:pPr>
    <w:rPr>
      <w:b/>
      <w:bCs/>
      <w:sz w:val="36"/>
    </w:rPr>
  </w:style>
  <w:style w:type="paragraph" w:customStyle="1" w:styleId="FigureHeading">
    <w:name w:val="Figure Heading"/>
    <w:basedOn w:val="HeadingBase"/>
    <w:next w:val="ChartGraphic"/>
    <w:rsid w:val="00BE1843"/>
    <w:pPr>
      <w:spacing w:before="120" w:after="20"/>
    </w:pPr>
    <w:rPr>
      <w:b/>
      <w:sz w:val="20"/>
    </w:rPr>
  </w:style>
  <w:style w:type="paragraph" w:customStyle="1" w:styleId="Classification">
    <w:name w:val="Classification"/>
    <w:basedOn w:val="HeadingBase"/>
    <w:rsid w:val="00BE1843"/>
    <w:pPr>
      <w:jc w:val="center"/>
    </w:pPr>
    <w:rPr>
      <w:rFonts w:ascii="Arial Bold" w:hAnsi="Arial Bold"/>
      <w:b/>
      <w:caps/>
      <w:sz w:val="22"/>
    </w:rPr>
  </w:style>
  <w:style w:type="character" w:customStyle="1" w:styleId="HiddenSequenceCode">
    <w:name w:val="Hidden Sequence Code"/>
    <w:rsid w:val="00BE1843"/>
    <w:rPr>
      <w:rFonts w:ascii="Times New Roman" w:hAnsi="Times New Roman"/>
      <w:vanish/>
      <w:sz w:val="16"/>
    </w:rPr>
  </w:style>
  <w:style w:type="paragraph" w:customStyle="1" w:styleId="OverviewParagraph">
    <w:name w:val="Overview Paragraph"/>
    <w:basedOn w:val="Normal"/>
    <w:rsid w:val="00BE1843"/>
    <w:pPr>
      <w:spacing w:before="120" w:after="120" w:line="240" w:lineRule="auto"/>
    </w:pPr>
  </w:style>
  <w:style w:type="paragraph" w:customStyle="1" w:styleId="TableGraphic">
    <w:name w:val="Table Graphic"/>
    <w:basedOn w:val="Normal"/>
    <w:next w:val="Normal"/>
    <w:rsid w:val="00BE1843"/>
    <w:pPr>
      <w:spacing w:before="0" w:after="0" w:line="240" w:lineRule="auto"/>
      <w:ind w:right="-113"/>
    </w:pPr>
  </w:style>
  <w:style w:type="paragraph" w:customStyle="1" w:styleId="NoteTableHeading">
    <w:name w:val="Note Table Heading"/>
    <w:basedOn w:val="HeadingBase"/>
    <w:next w:val="Normal"/>
    <w:rsid w:val="00BE1843"/>
    <w:pPr>
      <w:spacing w:before="240"/>
    </w:pPr>
    <w:rPr>
      <w:b/>
      <w:sz w:val="20"/>
    </w:rPr>
  </w:style>
  <w:style w:type="paragraph" w:customStyle="1" w:styleId="Source">
    <w:name w:val="Source"/>
    <w:basedOn w:val="Normal"/>
    <w:rsid w:val="00BE1843"/>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BE1843"/>
    <w:pPr>
      <w:spacing w:before="20" w:after="20" w:line="240" w:lineRule="auto"/>
    </w:pPr>
    <w:rPr>
      <w:rFonts w:ascii="Arial" w:hAnsi="Arial"/>
      <w:sz w:val="16"/>
    </w:rPr>
  </w:style>
  <w:style w:type="paragraph" w:customStyle="1" w:styleId="TableColumnHeadingBase">
    <w:name w:val="Table Column Heading Base"/>
    <w:basedOn w:val="Normal"/>
    <w:rsid w:val="00BE1843"/>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BE1843"/>
  </w:style>
  <w:style w:type="paragraph" w:customStyle="1" w:styleId="TableTextRight">
    <w:name w:val="Table Text Right"/>
    <w:basedOn w:val="TableTextBase"/>
    <w:rsid w:val="00BE1843"/>
    <w:pPr>
      <w:jc w:val="right"/>
    </w:pPr>
  </w:style>
  <w:style w:type="paragraph" w:customStyle="1" w:styleId="TableTextCentred">
    <w:name w:val="Table Text Centred"/>
    <w:basedOn w:val="TableTextBase"/>
    <w:rsid w:val="00BE1843"/>
    <w:pPr>
      <w:jc w:val="center"/>
    </w:pPr>
  </w:style>
  <w:style w:type="paragraph" w:customStyle="1" w:styleId="TableTextIndented">
    <w:name w:val="Table Text Indented"/>
    <w:basedOn w:val="TableTextBase"/>
    <w:rsid w:val="00BE1843"/>
    <w:pPr>
      <w:ind w:left="284"/>
    </w:pPr>
  </w:style>
  <w:style w:type="paragraph" w:customStyle="1" w:styleId="TableColumnHeadingLeft">
    <w:name w:val="Table Column Heading Left"/>
    <w:basedOn w:val="TableColumnHeadingBase"/>
    <w:next w:val="Normal"/>
    <w:rsid w:val="00BE1843"/>
  </w:style>
  <w:style w:type="paragraph" w:customStyle="1" w:styleId="TableColumnHeadingRight">
    <w:name w:val="Table Column Heading Right"/>
    <w:basedOn w:val="TableColumnHeadingBase"/>
    <w:next w:val="Normal"/>
    <w:rsid w:val="00BE1843"/>
    <w:pPr>
      <w:jc w:val="right"/>
    </w:pPr>
  </w:style>
  <w:style w:type="paragraph" w:customStyle="1" w:styleId="TableColumnHeadingCentred">
    <w:name w:val="Table Column Heading Centred"/>
    <w:basedOn w:val="TableColumnHeadingBase"/>
    <w:next w:val="Normal"/>
    <w:rsid w:val="00BE1843"/>
    <w:pPr>
      <w:jc w:val="center"/>
    </w:pPr>
  </w:style>
  <w:style w:type="paragraph" w:customStyle="1" w:styleId="Exampletextbullet">
    <w:name w:val="Example text bullet"/>
    <w:basedOn w:val="Exampletext"/>
    <w:semiHidden/>
    <w:rsid w:val="00BE1843"/>
  </w:style>
  <w:style w:type="paragraph" w:styleId="Title">
    <w:name w:val="Title"/>
    <w:basedOn w:val="Normal"/>
    <w:link w:val="TitleChar"/>
    <w:uiPriority w:val="10"/>
    <w:qFormat/>
    <w:rsid w:val="00BE1843"/>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E1843"/>
    <w:pPr>
      <w:spacing w:before="120" w:after="20"/>
    </w:pPr>
    <w:rPr>
      <w:rFonts w:ascii="Arial Bold" w:hAnsi="Arial Bold"/>
      <w:b/>
      <w:sz w:val="20"/>
    </w:rPr>
  </w:style>
  <w:style w:type="paragraph" w:customStyle="1" w:styleId="TPHeading1">
    <w:name w:val="TP Heading 1"/>
    <w:basedOn w:val="HeadingBase"/>
    <w:rsid w:val="00BE1843"/>
    <w:pPr>
      <w:spacing w:before="60" w:after="60"/>
      <w:ind w:left="851"/>
    </w:pPr>
    <w:rPr>
      <w:rFonts w:ascii="Arial Bold" w:hAnsi="Arial Bold"/>
      <w:b/>
      <w:caps/>
      <w:spacing w:val="-10"/>
      <w:sz w:val="28"/>
    </w:rPr>
  </w:style>
  <w:style w:type="paragraph" w:customStyle="1" w:styleId="TPHeading2">
    <w:name w:val="TP Heading 2"/>
    <w:basedOn w:val="HeadingBase"/>
    <w:rsid w:val="00BE1843"/>
    <w:pPr>
      <w:ind w:left="851"/>
    </w:pPr>
    <w:rPr>
      <w:caps/>
      <w:spacing w:val="-10"/>
      <w:sz w:val="28"/>
    </w:rPr>
  </w:style>
  <w:style w:type="paragraph" w:customStyle="1" w:styleId="TPHeading3">
    <w:name w:val="TP Heading 3"/>
    <w:basedOn w:val="HeadingBase"/>
    <w:rsid w:val="00BE1843"/>
    <w:pPr>
      <w:ind w:left="851"/>
    </w:pPr>
    <w:rPr>
      <w:caps/>
      <w:spacing w:val="-10"/>
    </w:rPr>
  </w:style>
  <w:style w:type="paragraph" w:customStyle="1" w:styleId="HeaderBase">
    <w:name w:val="Header Base"/>
    <w:rsid w:val="00BE1843"/>
    <w:rPr>
      <w:rFonts w:ascii="Arial" w:hAnsi="Arial"/>
      <w:color w:val="44546A"/>
      <w:sz w:val="18"/>
    </w:rPr>
  </w:style>
  <w:style w:type="paragraph" w:customStyle="1" w:styleId="HeaderEven">
    <w:name w:val="Header Even"/>
    <w:basedOn w:val="HeaderBase"/>
    <w:rsid w:val="00BE1843"/>
    <w:rPr>
      <w:color w:val="auto"/>
    </w:rPr>
  </w:style>
  <w:style w:type="paragraph" w:customStyle="1" w:styleId="HeaderOdd">
    <w:name w:val="Header Odd"/>
    <w:basedOn w:val="HeaderBase"/>
    <w:rsid w:val="00BE1843"/>
    <w:pPr>
      <w:jc w:val="right"/>
    </w:pPr>
    <w:rPr>
      <w:color w:val="000000"/>
    </w:rPr>
  </w:style>
  <w:style w:type="paragraph" w:styleId="Header">
    <w:name w:val="header"/>
    <w:basedOn w:val="HeaderBase"/>
    <w:link w:val="HeaderChar"/>
    <w:uiPriority w:val="99"/>
    <w:qFormat/>
    <w:rsid w:val="00BE1843"/>
    <w:pPr>
      <w:tabs>
        <w:tab w:val="center" w:pos="4153"/>
        <w:tab w:val="right" w:pos="8306"/>
      </w:tabs>
    </w:pPr>
    <w:rPr>
      <w:color w:val="auto"/>
    </w:rPr>
  </w:style>
  <w:style w:type="paragraph" w:customStyle="1" w:styleId="FooterBase">
    <w:name w:val="Footer Base"/>
    <w:rsid w:val="00BE1843"/>
    <w:pPr>
      <w:jc w:val="center"/>
    </w:pPr>
    <w:rPr>
      <w:rFonts w:ascii="Arial" w:hAnsi="Arial"/>
      <w:color w:val="000000"/>
    </w:rPr>
  </w:style>
  <w:style w:type="paragraph" w:styleId="Footer">
    <w:name w:val="footer"/>
    <w:basedOn w:val="FooterBase"/>
    <w:link w:val="FooterChar"/>
    <w:uiPriority w:val="99"/>
    <w:rsid w:val="00BE1843"/>
    <w:pPr>
      <w:tabs>
        <w:tab w:val="center" w:pos="4153"/>
        <w:tab w:val="right" w:pos="8306"/>
      </w:tabs>
    </w:pPr>
  </w:style>
  <w:style w:type="paragraph" w:styleId="BalloonText">
    <w:name w:val="Balloon Text"/>
    <w:basedOn w:val="Normal"/>
    <w:semiHidden/>
    <w:rsid w:val="00BE1843"/>
    <w:rPr>
      <w:rFonts w:ascii="Tahoma" w:hAnsi="Tahoma" w:cs="Tahoma"/>
      <w:sz w:val="16"/>
      <w:szCs w:val="16"/>
    </w:rPr>
  </w:style>
  <w:style w:type="paragraph" w:styleId="Caption">
    <w:name w:val="caption"/>
    <w:basedOn w:val="Normal"/>
    <w:next w:val="Normal"/>
    <w:qFormat/>
    <w:rsid w:val="00BE1843"/>
    <w:rPr>
      <w:b/>
      <w:bCs/>
    </w:rPr>
  </w:style>
  <w:style w:type="character" w:styleId="CommentReference">
    <w:name w:val="annotation reference"/>
    <w:uiPriority w:val="99"/>
    <w:semiHidden/>
    <w:rsid w:val="00BE1843"/>
    <w:rPr>
      <w:sz w:val="16"/>
      <w:szCs w:val="16"/>
    </w:rPr>
  </w:style>
  <w:style w:type="paragraph" w:styleId="CommentText">
    <w:name w:val="annotation text"/>
    <w:basedOn w:val="Normal"/>
    <w:link w:val="CommentTextChar"/>
    <w:uiPriority w:val="99"/>
    <w:qFormat/>
    <w:rsid w:val="00BE1843"/>
  </w:style>
  <w:style w:type="paragraph" w:styleId="CommentSubject">
    <w:name w:val="annotation subject"/>
    <w:basedOn w:val="CommentText"/>
    <w:next w:val="CommentText"/>
    <w:link w:val="CommentSubjectChar"/>
    <w:semiHidden/>
    <w:rsid w:val="00BE1843"/>
    <w:rPr>
      <w:b/>
      <w:bCs/>
    </w:rPr>
  </w:style>
  <w:style w:type="paragraph" w:styleId="DocumentMap">
    <w:name w:val="Document Map"/>
    <w:basedOn w:val="Normal"/>
    <w:link w:val="DocumentMapChar"/>
    <w:semiHidden/>
    <w:rsid w:val="00BE1843"/>
    <w:pPr>
      <w:shd w:val="clear" w:color="auto" w:fill="000080"/>
    </w:pPr>
    <w:rPr>
      <w:rFonts w:ascii="Tahoma" w:hAnsi="Tahoma" w:cs="Tahoma"/>
    </w:rPr>
  </w:style>
  <w:style w:type="character" w:styleId="EndnoteReference">
    <w:name w:val="endnote reference"/>
    <w:unhideWhenUsed/>
    <w:rsid w:val="00BE1843"/>
    <w:rPr>
      <w:vertAlign w:val="superscript"/>
    </w:rPr>
  </w:style>
  <w:style w:type="paragraph" w:styleId="EndnoteText">
    <w:name w:val="endnote text"/>
    <w:basedOn w:val="Normal"/>
    <w:link w:val="EndnoteTextChar"/>
    <w:unhideWhenUsed/>
    <w:rsid w:val="00BE1843"/>
  </w:style>
  <w:style w:type="character" w:styleId="FootnoteReference">
    <w:name w:val="footnote reference"/>
    <w:rsid w:val="00BE1843"/>
    <w:rPr>
      <w:vertAlign w:val="superscript"/>
    </w:rPr>
  </w:style>
  <w:style w:type="paragraph" w:styleId="FootnoteText">
    <w:name w:val="footnote text"/>
    <w:basedOn w:val="Normal"/>
    <w:link w:val="FootnoteTextChar"/>
    <w:rsid w:val="00BE1843"/>
    <w:pPr>
      <w:tabs>
        <w:tab w:val="left" w:pos="284"/>
      </w:tabs>
      <w:spacing w:before="80" w:after="0" w:line="240" w:lineRule="auto"/>
      <w:ind w:left="284" w:hanging="284"/>
      <w:contextualSpacing/>
    </w:pPr>
    <w:rPr>
      <w:sz w:val="18"/>
    </w:rPr>
  </w:style>
  <w:style w:type="paragraph" w:styleId="Index1">
    <w:name w:val="index 1"/>
    <w:basedOn w:val="Normal"/>
    <w:next w:val="Normal"/>
    <w:rsid w:val="00BE1843"/>
    <w:pPr>
      <w:ind w:left="200" w:hanging="200"/>
    </w:pPr>
  </w:style>
  <w:style w:type="paragraph" w:styleId="Index2">
    <w:name w:val="index 2"/>
    <w:basedOn w:val="Normal"/>
    <w:next w:val="Normal"/>
    <w:rsid w:val="00BE1843"/>
    <w:pPr>
      <w:ind w:left="400" w:hanging="200"/>
    </w:pPr>
  </w:style>
  <w:style w:type="paragraph" w:styleId="Index3">
    <w:name w:val="index 3"/>
    <w:basedOn w:val="Normal"/>
    <w:next w:val="Normal"/>
    <w:rsid w:val="00BE1843"/>
    <w:pPr>
      <w:ind w:left="600" w:hanging="200"/>
    </w:pPr>
  </w:style>
  <w:style w:type="paragraph" w:styleId="Index4">
    <w:name w:val="index 4"/>
    <w:basedOn w:val="Normal"/>
    <w:next w:val="Normal"/>
    <w:autoRedefine/>
    <w:semiHidden/>
    <w:rsid w:val="00BE1843"/>
    <w:pPr>
      <w:ind w:left="800" w:hanging="200"/>
    </w:pPr>
  </w:style>
  <w:style w:type="paragraph" w:styleId="Index5">
    <w:name w:val="index 5"/>
    <w:basedOn w:val="Normal"/>
    <w:next w:val="Normal"/>
    <w:autoRedefine/>
    <w:semiHidden/>
    <w:rsid w:val="00BE1843"/>
    <w:pPr>
      <w:ind w:left="1000" w:hanging="200"/>
    </w:pPr>
  </w:style>
  <w:style w:type="paragraph" w:styleId="Index6">
    <w:name w:val="index 6"/>
    <w:basedOn w:val="Normal"/>
    <w:next w:val="Normal"/>
    <w:autoRedefine/>
    <w:semiHidden/>
    <w:rsid w:val="00BE1843"/>
    <w:pPr>
      <w:ind w:left="1200" w:hanging="200"/>
    </w:pPr>
  </w:style>
  <w:style w:type="paragraph" w:styleId="Index7">
    <w:name w:val="index 7"/>
    <w:basedOn w:val="Normal"/>
    <w:next w:val="Normal"/>
    <w:autoRedefine/>
    <w:semiHidden/>
    <w:rsid w:val="00BE1843"/>
    <w:pPr>
      <w:ind w:left="1400" w:hanging="200"/>
    </w:pPr>
  </w:style>
  <w:style w:type="paragraph" w:styleId="Index8">
    <w:name w:val="index 8"/>
    <w:basedOn w:val="Normal"/>
    <w:next w:val="Normal"/>
    <w:autoRedefine/>
    <w:semiHidden/>
    <w:rsid w:val="00BE1843"/>
    <w:pPr>
      <w:ind w:left="1600" w:hanging="200"/>
    </w:pPr>
  </w:style>
  <w:style w:type="paragraph" w:styleId="Index9">
    <w:name w:val="index 9"/>
    <w:basedOn w:val="Normal"/>
    <w:next w:val="Normal"/>
    <w:autoRedefine/>
    <w:semiHidden/>
    <w:rsid w:val="00BE1843"/>
    <w:pPr>
      <w:ind w:left="1800" w:hanging="200"/>
    </w:pPr>
  </w:style>
  <w:style w:type="paragraph" w:styleId="IndexHeading">
    <w:name w:val="index heading"/>
    <w:basedOn w:val="Normal"/>
    <w:next w:val="Index1"/>
    <w:rsid w:val="00BE1843"/>
    <w:rPr>
      <w:rFonts w:ascii="Arial Bold" w:hAnsi="Arial Bold" w:cs="Arial"/>
      <w:b/>
      <w:bCs/>
      <w:color w:val="002B54"/>
    </w:rPr>
  </w:style>
  <w:style w:type="paragraph" w:styleId="MacroText">
    <w:name w:val="macro"/>
    <w:link w:val="MacroTextChar"/>
    <w:unhideWhenUsed/>
    <w:rsid w:val="00BE1843"/>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BE1843"/>
    <w:pPr>
      <w:ind w:left="200" w:hanging="200"/>
    </w:pPr>
  </w:style>
  <w:style w:type="paragraph" w:styleId="TableofFigures">
    <w:name w:val="table of figures"/>
    <w:basedOn w:val="Normal"/>
    <w:next w:val="Normal"/>
    <w:rsid w:val="00BE1843"/>
  </w:style>
  <w:style w:type="paragraph" w:styleId="TOAHeading">
    <w:name w:val="toa heading"/>
    <w:basedOn w:val="Normal"/>
    <w:next w:val="Normal"/>
    <w:rsid w:val="00BE1843"/>
    <w:pPr>
      <w:spacing w:before="120"/>
    </w:pPr>
    <w:rPr>
      <w:rFonts w:ascii="Arial" w:hAnsi="Arial" w:cs="Arial"/>
      <w:b/>
      <w:bCs/>
      <w:sz w:val="24"/>
      <w:szCs w:val="24"/>
    </w:rPr>
  </w:style>
  <w:style w:type="paragraph" w:styleId="TOC1">
    <w:name w:val="toc 1"/>
    <w:basedOn w:val="HeaderBase"/>
    <w:next w:val="Normal"/>
    <w:uiPriority w:val="39"/>
    <w:rsid w:val="00BE1843"/>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39"/>
    <w:rsid w:val="00BE1843"/>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39"/>
    <w:unhideWhenUsed/>
    <w:rsid w:val="00BE1843"/>
    <w:pPr>
      <w:tabs>
        <w:tab w:val="right" w:leader="dot" w:pos="7700"/>
      </w:tabs>
      <w:spacing w:before="40"/>
      <w:ind w:right="851"/>
    </w:pPr>
    <w:rPr>
      <w:sz w:val="20"/>
    </w:rPr>
  </w:style>
  <w:style w:type="paragraph" w:styleId="TOC4">
    <w:name w:val="toc 4"/>
    <w:basedOn w:val="HeadingBase"/>
    <w:next w:val="Normal"/>
    <w:uiPriority w:val="39"/>
    <w:unhideWhenUsed/>
    <w:rsid w:val="00BE1843"/>
    <w:pPr>
      <w:tabs>
        <w:tab w:val="right" w:leader="dot" w:pos="7700"/>
      </w:tabs>
      <w:spacing w:before="40"/>
      <w:ind w:right="851"/>
    </w:pPr>
    <w:rPr>
      <w:sz w:val="20"/>
    </w:rPr>
  </w:style>
  <w:style w:type="paragraph" w:styleId="TOC5">
    <w:name w:val="toc 5"/>
    <w:basedOn w:val="Normal"/>
    <w:next w:val="Normal"/>
    <w:autoRedefine/>
    <w:uiPriority w:val="39"/>
    <w:rsid w:val="00BE1843"/>
    <w:pPr>
      <w:tabs>
        <w:tab w:val="left" w:pos="851"/>
        <w:tab w:val="right" w:leader="dot" w:pos="7700"/>
      </w:tabs>
      <w:ind w:left="896" w:hanging="896"/>
    </w:pPr>
    <w:rPr>
      <w:rFonts w:ascii="Arial" w:hAnsi="Arial"/>
      <w:noProof/>
      <w:color w:val="002B54"/>
    </w:rPr>
  </w:style>
  <w:style w:type="paragraph" w:styleId="TOC6">
    <w:name w:val="toc 6"/>
    <w:basedOn w:val="TOC4"/>
    <w:next w:val="Normal"/>
    <w:semiHidden/>
    <w:rsid w:val="00BE1843"/>
    <w:pPr>
      <w:tabs>
        <w:tab w:val="left" w:pos="851"/>
      </w:tabs>
      <w:ind w:left="851" w:hanging="851"/>
    </w:pPr>
    <w:rPr>
      <w:color w:val="000000"/>
    </w:rPr>
  </w:style>
  <w:style w:type="paragraph" w:styleId="TOC7">
    <w:name w:val="toc 7"/>
    <w:basedOn w:val="Normal"/>
    <w:next w:val="Normal"/>
    <w:autoRedefine/>
    <w:semiHidden/>
    <w:rsid w:val="00BE1843"/>
    <w:pPr>
      <w:ind w:left="1200"/>
    </w:pPr>
  </w:style>
  <w:style w:type="paragraph" w:styleId="TOC8">
    <w:name w:val="toc 8"/>
    <w:basedOn w:val="Normal"/>
    <w:next w:val="Normal"/>
    <w:autoRedefine/>
    <w:semiHidden/>
    <w:rsid w:val="00BE1843"/>
    <w:pPr>
      <w:ind w:left="1400"/>
    </w:pPr>
  </w:style>
  <w:style w:type="paragraph" w:styleId="TOC9">
    <w:name w:val="toc 9"/>
    <w:basedOn w:val="Normal"/>
    <w:next w:val="Normal"/>
    <w:autoRedefine/>
    <w:semiHidden/>
    <w:rsid w:val="00BE1843"/>
    <w:pPr>
      <w:ind w:left="1600"/>
    </w:pPr>
  </w:style>
  <w:style w:type="paragraph" w:customStyle="1" w:styleId="FileProperties">
    <w:name w:val="File Properties"/>
    <w:basedOn w:val="Normal"/>
    <w:rsid w:val="00BE1843"/>
    <w:pPr>
      <w:spacing w:before="0"/>
    </w:pPr>
    <w:rPr>
      <w:i/>
    </w:rPr>
  </w:style>
  <w:style w:type="character" w:styleId="PageNumber">
    <w:name w:val="page number"/>
    <w:rsid w:val="00BE1843"/>
    <w:rPr>
      <w:rFonts w:ascii="Arial" w:hAnsi="Arial" w:cs="Arial"/>
      <w:color w:val="auto"/>
    </w:rPr>
  </w:style>
  <w:style w:type="character" w:customStyle="1" w:styleId="FramedHeader">
    <w:name w:val="Framed Header"/>
    <w:rsid w:val="00BE1843"/>
    <w:rPr>
      <w:rFonts w:ascii="Book Antiqua" w:hAnsi="Book Antiqua"/>
      <w:i/>
      <w:dstrike w:val="0"/>
      <w:color w:val="auto"/>
      <w:sz w:val="20"/>
      <w:vertAlign w:val="baseline"/>
    </w:rPr>
  </w:style>
  <w:style w:type="paragraph" w:styleId="NormalIndent">
    <w:name w:val="Normal Indent"/>
    <w:basedOn w:val="Normal"/>
    <w:rsid w:val="00BE1843"/>
    <w:pPr>
      <w:ind w:left="567"/>
    </w:pPr>
  </w:style>
  <w:style w:type="paragraph" w:customStyle="1" w:styleId="BlockedQuotation">
    <w:name w:val="Blocked Quotation"/>
    <w:basedOn w:val="Normal"/>
    <w:semiHidden/>
    <w:rsid w:val="00BE1843"/>
    <w:pPr>
      <w:ind w:left="567"/>
    </w:pPr>
  </w:style>
  <w:style w:type="paragraph" w:customStyle="1" w:styleId="ChartMainHeading">
    <w:name w:val="Chart Main Heading"/>
    <w:basedOn w:val="ChartHeading"/>
    <w:next w:val="ChartGraphic"/>
    <w:rsid w:val="00BE1843"/>
  </w:style>
  <w:style w:type="table" w:styleId="TableGrid">
    <w:name w:val="Table Grid"/>
    <w:basedOn w:val="TableNormal"/>
    <w:rsid w:val="00BE184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BE1843"/>
    <w:rPr>
      <w:sz w:val="24"/>
    </w:rPr>
  </w:style>
  <w:style w:type="paragraph" w:customStyle="1" w:styleId="Title3rdLevel">
    <w:name w:val="Title 3rd Level"/>
    <w:basedOn w:val="Normal"/>
    <w:next w:val="Title"/>
    <w:rsid w:val="00BE1843"/>
    <w:pPr>
      <w:jc w:val="center"/>
    </w:pPr>
    <w:rPr>
      <w:rFonts w:ascii="Arial" w:hAnsi="Arial"/>
      <w:caps/>
    </w:rPr>
  </w:style>
  <w:style w:type="paragraph" w:customStyle="1" w:styleId="Part">
    <w:name w:val="Part"/>
    <w:basedOn w:val="Title"/>
    <w:next w:val="Normal"/>
    <w:rsid w:val="00BE1843"/>
    <w:rPr>
      <w:caps/>
      <w:smallCaps w:val="0"/>
    </w:rPr>
  </w:style>
  <w:style w:type="paragraph" w:customStyle="1" w:styleId="TableHeadingNoTable">
    <w:name w:val="Table Heading No Table"/>
    <w:basedOn w:val="TableHeading"/>
    <w:next w:val="Normal"/>
    <w:rsid w:val="00BE1843"/>
    <w:pPr>
      <w:spacing w:after="240"/>
    </w:pPr>
  </w:style>
  <w:style w:type="paragraph" w:customStyle="1" w:styleId="TransmittalAddressee">
    <w:name w:val="Transmittal Addressee"/>
    <w:basedOn w:val="Normal"/>
    <w:rsid w:val="00BE1843"/>
    <w:pPr>
      <w:spacing w:before="0" w:after="0"/>
    </w:pPr>
  </w:style>
  <w:style w:type="paragraph" w:customStyle="1" w:styleId="TransmittalStyle1">
    <w:name w:val="Transmittal Style 1"/>
    <w:basedOn w:val="HeadingBase"/>
    <w:rsid w:val="00BE1843"/>
    <w:pPr>
      <w:spacing w:after="60"/>
      <w:jc w:val="right"/>
    </w:pPr>
    <w:rPr>
      <w:b/>
      <w:smallCaps/>
    </w:rPr>
  </w:style>
  <w:style w:type="paragraph" w:customStyle="1" w:styleId="TransmittalStyle2">
    <w:name w:val="Transmittal Style 2"/>
    <w:basedOn w:val="HeadingBase"/>
    <w:rsid w:val="00BE1843"/>
    <w:pPr>
      <w:spacing w:before="60" w:after="60"/>
      <w:jc w:val="right"/>
    </w:pPr>
    <w:rPr>
      <w:rFonts w:ascii="Helvetica" w:hAnsi="Helvetica"/>
      <w:b/>
      <w:caps/>
      <w:sz w:val="16"/>
    </w:rPr>
  </w:style>
  <w:style w:type="paragraph" w:customStyle="1" w:styleId="UserGuidelevelTOC">
    <w:name w:val="UserGuide level TOC"/>
    <w:basedOn w:val="HeadingBase"/>
    <w:next w:val="Normal"/>
    <w:rsid w:val="00BE1843"/>
    <w:pPr>
      <w:spacing w:before="360" w:after="360"/>
    </w:pPr>
    <w:rPr>
      <w:sz w:val="30"/>
    </w:rPr>
  </w:style>
  <w:style w:type="paragraph" w:customStyle="1" w:styleId="TableTextJustified">
    <w:name w:val="Table Text Justified"/>
    <w:basedOn w:val="TableTextBase"/>
    <w:rsid w:val="00BE1843"/>
    <w:pPr>
      <w:jc w:val="both"/>
    </w:pPr>
  </w:style>
  <w:style w:type="paragraph" w:customStyle="1" w:styleId="Department">
    <w:name w:val="Department"/>
    <w:basedOn w:val="Normal"/>
    <w:rsid w:val="00BE1843"/>
    <w:pPr>
      <w:spacing w:after="0" w:line="240" w:lineRule="auto"/>
      <w:jc w:val="center"/>
    </w:pPr>
    <w:rPr>
      <w:rFonts w:ascii="Arial" w:hAnsi="Arial"/>
      <w:b/>
      <w:sz w:val="52"/>
    </w:rPr>
  </w:style>
  <w:style w:type="paragraph" w:customStyle="1" w:styleId="DepartmentSubtitle">
    <w:name w:val="Department Subtitle"/>
    <w:basedOn w:val="Department"/>
    <w:rsid w:val="00BE1843"/>
    <w:rPr>
      <w:sz w:val="44"/>
    </w:rPr>
  </w:style>
  <w:style w:type="character" w:customStyle="1" w:styleId="ExampletextCharChar">
    <w:name w:val="Example text Char Char"/>
    <w:link w:val="Exampletext"/>
    <w:rsid w:val="00BE1843"/>
    <w:rPr>
      <w:rFonts w:ascii="Calibri" w:hAnsi="Calibri"/>
      <w:i/>
      <w:color w:val="FF0000"/>
      <w:sz w:val="19"/>
      <w:lang w:val="x-none" w:eastAsia="x-none"/>
    </w:rPr>
  </w:style>
  <w:style w:type="paragraph" w:customStyle="1" w:styleId="Crest">
    <w:name w:val="Crest"/>
    <w:basedOn w:val="Normal"/>
    <w:next w:val="TransmittalStyle1"/>
    <w:semiHidden/>
    <w:rsid w:val="00BE1843"/>
    <w:pPr>
      <w:spacing w:after="0" w:line="240" w:lineRule="auto"/>
      <w:jc w:val="center"/>
    </w:pPr>
  </w:style>
  <w:style w:type="character" w:styleId="Hyperlink">
    <w:name w:val="Hyperlink"/>
    <w:uiPriority w:val="99"/>
    <w:unhideWhenUsed/>
    <w:rsid w:val="009D6065"/>
    <w:rPr>
      <w:color w:val="auto"/>
      <w:u w:val="single"/>
    </w:rPr>
  </w:style>
  <w:style w:type="paragraph" w:customStyle="1" w:styleId="Heading1noTOC">
    <w:name w:val="Heading 1 no TOC"/>
    <w:basedOn w:val="Heading1"/>
    <w:rsid w:val="00BE1843"/>
  </w:style>
  <w:style w:type="paragraph" w:customStyle="1" w:styleId="TableColumnOutgroupHeading">
    <w:name w:val="Table Column Outgroup Heading"/>
    <w:basedOn w:val="Normal"/>
    <w:rsid w:val="00BE1843"/>
    <w:pPr>
      <w:spacing w:before="60" w:after="120" w:line="240" w:lineRule="auto"/>
    </w:pPr>
    <w:rPr>
      <w:b/>
      <w:sz w:val="22"/>
    </w:rPr>
  </w:style>
  <w:style w:type="paragraph" w:customStyle="1" w:styleId="TableColumnOutgroupSubheading">
    <w:name w:val="Table Column Outgroup Subheading"/>
    <w:basedOn w:val="Normal"/>
    <w:rsid w:val="00BE1843"/>
    <w:pPr>
      <w:spacing w:before="60" w:after="120" w:line="240" w:lineRule="auto"/>
      <w:jc w:val="center"/>
    </w:pPr>
  </w:style>
  <w:style w:type="paragraph" w:customStyle="1" w:styleId="TableTextBullet">
    <w:name w:val="Table Text Bullet"/>
    <w:basedOn w:val="TableTextBase"/>
    <w:rsid w:val="00BE1843"/>
    <w:pPr>
      <w:numPr>
        <w:numId w:val="3"/>
      </w:numPr>
    </w:pPr>
  </w:style>
  <w:style w:type="paragraph" w:customStyle="1" w:styleId="Exampletextdash">
    <w:name w:val="Example text dash"/>
    <w:basedOn w:val="Exampletextbullet"/>
    <w:semiHidden/>
    <w:rsid w:val="00BE1843"/>
    <w:pPr>
      <w:numPr>
        <w:ilvl w:val="1"/>
      </w:numPr>
    </w:pPr>
  </w:style>
  <w:style w:type="character" w:customStyle="1" w:styleId="HeadingBaseChar">
    <w:name w:val="Heading Base Char"/>
    <w:link w:val="HeadingBase"/>
    <w:rsid w:val="00BE1843"/>
    <w:rPr>
      <w:rFonts w:ascii="Arial" w:hAnsi="Arial"/>
      <w:sz w:val="24"/>
    </w:rPr>
  </w:style>
  <w:style w:type="character" w:customStyle="1" w:styleId="TableHeadingChar">
    <w:name w:val="Table Heading Char"/>
    <w:link w:val="TableHeading"/>
    <w:rsid w:val="00BE1843"/>
    <w:rPr>
      <w:rFonts w:ascii="Arial" w:hAnsi="Arial"/>
      <w:b/>
    </w:rPr>
  </w:style>
  <w:style w:type="character" w:customStyle="1" w:styleId="TableTextBaseChar">
    <w:name w:val="Table Text Base Char"/>
    <w:link w:val="TableTextBase"/>
    <w:rsid w:val="00BE1843"/>
    <w:rPr>
      <w:rFonts w:ascii="Arial" w:hAnsi="Arial"/>
      <w:sz w:val="16"/>
    </w:rPr>
  </w:style>
  <w:style w:type="character" w:customStyle="1" w:styleId="TableTextLeftChar">
    <w:name w:val="Table Text Left Char"/>
    <w:link w:val="TableTextLeft"/>
    <w:rsid w:val="00BE1843"/>
    <w:rPr>
      <w:rFonts w:ascii="Arial" w:hAnsi="Arial"/>
      <w:sz w:val="16"/>
    </w:rPr>
  </w:style>
  <w:style w:type="paragraph" w:styleId="ListParagraph">
    <w:name w:val="List Paragraph"/>
    <w:aliases w:val="NFP GP Bulleted List,List Paragraph1,Recommendation,NAST Quote,List Paragraph11,Bullet point,L,bullet point list,1 heading,Bulleted Para,Bullet points,Content descriptions,Bullet Point,FooterText,numbered,Paragraphe de liste1,列出段落,列出段落1"/>
    <w:basedOn w:val="Normal"/>
    <w:link w:val="ListParagraphChar"/>
    <w:qFormat/>
    <w:rsid w:val="00BE1843"/>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BE1843"/>
    <w:pPr>
      <w:numPr>
        <w:ilvl w:val="1"/>
        <w:numId w:val="3"/>
      </w:numPr>
    </w:pPr>
  </w:style>
  <w:style w:type="character" w:customStyle="1" w:styleId="ChartandTableFootnoteChar">
    <w:name w:val="Chart and Table Footnote Char"/>
    <w:link w:val="ChartandTableFootnote"/>
    <w:rsid w:val="00BE1843"/>
    <w:rPr>
      <w:rFonts w:ascii="Arial" w:hAnsi="Arial"/>
      <w:color w:val="000000"/>
      <w:sz w:val="16"/>
    </w:rPr>
  </w:style>
  <w:style w:type="paragraph" w:customStyle="1" w:styleId="PartHeading">
    <w:name w:val="Part Heading"/>
    <w:basedOn w:val="Title"/>
    <w:next w:val="Normal"/>
    <w:rsid w:val="00BE1843"/>
    <w:pPr>
      <w:spacing w:after="480"/>
      <w:outlineLvl w:val="9"/>
    </w:pPr>
    <w:rPr>
      <w:rFonts w:ascii="Arial Bold" w:hAnsi="Arial Bold"/>
      <w:smallCaps w:val="0"/>
    </w:rPr>
  </w:style>
  <w:style w:type="character" w:customStyle="1" w:styleId="BulletChar">
    <w:name w:val="Bullet Char"/>
    <w:link w:val="Bullet"/>
    <w:rsid w:val="00BE1843"/>
    <w:rPr>
      <w:rFonts w:ascii="Book Antiqua" w:hAnsi="Book Antiqua"/>
      <w:sz w:val="19"/>
    </w:rPr>
  </w:style>
  <w:style w:type="paragraph" w:customStyle="1" w:styleId="BoxTextBase">
    <w:name w:val="Box Text Base"/>
    <w:basedOn w:val="Normal"/>
    <w:rsid w:val="00BE1843"/>
    <w:pPr>
      <w:spacing w:after="120"/>
    </w:pPr>
    <w:rPr>
      <w:color w:val="000000"/>
    </w:rPr>
  </w:style>
  <w:style w:type="paragraph" w:customStyle="1" w:styleId="BoxDash">
    <w:name w:val="Box Dash"/>
    <w:basedOn w:val="Normal"/>
    <w:rsid w:val="00BE1843"/>
    <w:pPr>
      <w:numPr>
        <w:ilvl w:val="1"/>
        <w:numId w:val="4"/>
      </w:numPr>
    </w:pPr>
    <w:rPr>
      <w:color w:val="000000"/>
    </w:rPr>
  </w:style>
  <w:style w:type="paragraph" w:customStyle="1" w:styleId="BoxDoubleDot">
    <w:name w:val="Box Double Dot"/>
    <w:basedOn w:val="BoxTextBase"/>
    <w:rsid w:val="00BE1843"/>
    <w:pPr>
      <w:numPr>
        <w:ilvl w:val="2"/>
        <w:numId w:val="4"/>
      </w:numPr>
    </w:pPr>
  </w:style>
  <w:style w:type="paragraph" w:customStyle="1" w:styleId="Outcome">
    <w:name w:val="Outcome"/>
    <w:basedOn w:val="Normal"/>
    <w:rsid w:val="00BE1843"/>
    <w:pPr>
      <w:spacing w:before="120" w:after="120" w:line="280" w:lineRule="exact"/>
    </w:pPr>
    <w:rPr>
      <w:rFonts w:ascii="Arial" w:hAnsi="Arial" w:cs="Arial"/>
      <w:b/>
    </w:rPr>
  </w:style>
  <w:style w:type="paragraph" w:customStyle="1" w:styleId="ProgramHeading">
    <w:name w:val="Program Heading"/>
    <w:basedOn w:val="HeadingBase"/>
    <w:rsid w:val="00BE1843"/>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BE1843"/>
  </w:style>
  <w:style w:type="character" w:customStyle="1" w:styleId="Heading3Char">
    <w:name w:val="Heading 3 Char"/>
    <w:link w:val="Heading3"/>
    <w:rsid w:val="00BE1843"/>
    <w:rPr>
      <w:rFonts w:ascii="Arial Bold" w:hAnsi="Arial Bold"/>
      <w:b/>
      <w:sz w:val="22"/>
    </w:rPr>
  </w:style>
  <w:style w:type="character" w:customStyle="1" w:styleId="CommentTextChar">
    <w:name w:val="Comment Text Char"/>
    <w:link w:val="CommentText"/>
    <w:uiPriority w:val="99"/>
    <w:rsid w:val="00BE1843"/>
    <w:rPr>
      <w:rFonts w:ascii="Calibri" w:hAnsi="Calibri"/>
      <w:sz w:val="19"/>
    </w:rPr>
  </w:style>
  <w:style w:type="paragraph" w:customStyle="1" w:styleId="ExampleText0">
    <w:name w:val="Example Text"/>
    <w:basedOn w:val="Normal"/>
    <w:semiHidden/>
    <w:rsid w:val="00BE1843"/>
    <w:rPr>
      <w:i/>
      <w:color w:val="FF0000"/>
    </w:rPr>
  </w:style>
  <w:style w:type="paragraph" w:styleId="NoSpacing">
    <w:name w:val="No Spacing"/>
    <w:uiPriority w:val="1"/>
    <w:qFormat/>
    <w:rsid w:val="00BE1843"/>
    <w:rPr>
      <w:rFonts w:ascii="Book Antiqua" w:hAnsi="Book Antiqua"/>
      <w:sz w:val="19"/>
    </w:rPr>
  </w:style>
  <w:style w:type="character" w:customStyle="1" w:styleId="A5">
    <w:name w:val="A5"/>
    <w:uiPriority w:val="99"/>
    <w:rsid w:val="00BE1843"/>
    <w:rPr>
      <w:rFonts w:ascii="Swiss 721 BT" w:hAnsi="Swiss 721 BT" w:cs="Swiss 721 BT" w:hint="default"/>
      <w:color w:val="000000"/>
      <w:sz w:val="20"/>
      <w:szCs w:val="20"/>
    </w:rPr>
  </w:style>
  <w:style w:type="character" w:customStyle="1" w:styleId="HeaderChar">
    <w:name w:val="Header Char"/>
    <w:link w:val="Header"/>
    <w:uiPriority w:val="99"/>
    <w:rsid w:val="00BE1843"/>
    <w:rPr>
      <w:rFonts w:ascii="Arial" w:hAnsi="Arial"/>
      <w:sz w:val="18"/>
    </w:rPr>
  </w:style>
  <w:style w:type="character" w:styleId="FollowedHyperlink">
    <w:name w:val="FollowedHyperlink"/>
    <w:rsid w:val="00BE1843"/>
    <w:rPr>
      <w:color w:val="800080"/>
      <w:u w:val="single"/>
    </w:rPr>
  </w:style>
  <w:style w:type="character" w:customStyle="1" w:styleId="FooterChar">
    <w:name w:val="Footer Char"/>
    <w:link w:val="Footer"/>
    <w:uiPriority w:val="99"/>
    <w:rsid w:val="00BE1843"/>
    <w:rPr>
      <w:rFonts w:ascii="Arial" w:hAnsi="Arial"/>
      <w:color w:val="000000"/>
    </w:rPr>
  </w:style>
  <w:style w:type="character" w:styleId="Strong">
    <w:name w:val="Strong"/>
    <w:qFormat/>
    <w:rsid w:val="00BE1843"/>
    <w:rPr>
      <w:b/>
      <w:bCs/>
    </w:rPr>
  </w:style>
  <w:style w:type="paragraph" w:customStyle="1" w:styleId="Heading2NoTOC">
    <w:name w:val="Heading 2 No TOC"/>
    <w:basedOn w:val="Heading2"/>
    <w:qFormat/>
    <w:rsid w:val="00BE1843"/>
    <w:pPr>
      <w:outlineLvl w:val="9"/>
    </w:pPr>
  </w:style>
  <w:style w:type="paragraph" w:customStyle="1" w:styleId="PartHeading-TOC">
    <w:name w:val="Part Heading - TOC"/>
    <w:basedOn w:val="PartHeading"/>
    <w:rsid w:val="00BE1843"/>
  </w:style>
  <w:style w:type="paragraph" w:styleId="Revision">
    <w:name w:val="Revision"/>
    <w:hidden/>
    <w:uiPriority w:val="99"/>
    <w:semiHidden/>
    <w:rsid w:val="00BE1843"/>
    <w:rPr>
      <w:rFonts w:ascii="Book Antiqua" w:hAnsi="Book Antiqua"/>
    </w:rPr>
  </w:style>
  <w:style w:type="paragraph" w:styleId="NoteHeading">
    <w:name w:val="Note Heading"/>
    <w:basedOn w:val="Normal"/>
    <w:next w:val="Normal"/>
    <w:link w:val="NoteHeadingChar"/>
    <w:rsid w:val="00BE1843"/>
  </w:style>
  <w:style w:type="character" w:customStyle="1" w:styleId="NoteHeadingChar">
    <w:name w:val="Note Heading Char"/>
    <w:link w:val="NoteHeading"/>
    <w:rsid w:val="00BE1843"/>
    <w:rPr>
      <w:rFonts w:ascii="Calibri" w:hAnsi="Calibri"/>
      <w:sz w:val="19"/>
    </w:rPr>
  </w:style>
  <w:style w:type="paragraph" w:customStyle="1" w:styleId="SecurityClassificationHeader">
    <w:name w:val="Security Classification Header"/>
    <w:link w:val="SecurityClassificationHeaderChar"/>
    <w:rsid w:val="00BE1843"/>
    <w:pPr>
      <w:spacing w:before="240" w:after="60" w:line="259" w:lineRule="auto"/>
      <w:jc w:val="center"/>
    </w:pPr>
    <w:rPr>
      <w:rFonts w:ascii="Calibri" w:eastAsia="Calibri" w:hAnsi="Calibri" w:cs="Calibri"/>
      <w:b/>
      <w:caps/>
      <w:color w:val="44546A"/>
      <w:sz w:val="24"/>
      <w:szCs w:val="22"/>
      <w:lang w:eastAsia="en-US"/>
    </w:rPr>
  </w:style>
  <w:style w:type="character" w:customStyle="1" w:styleId="SecurityClassificationHeaderChar">
    <w:name w:val="Security Classification Header Char"/>
    <w:link w:val="SecurityClassificationHeader"/>
    <w:rsid w:val="00BE1843"/>
    <w:rPr>
      <w:rFonts w:ascii="Calibri" w:eastAsia="Calibri" w:hAnsi="Calibri" w:cs="Calibri"/>
      <w:b/>
      <w:caps/>
      <w:color w:val="44546A"/>
      <w:sz w:val="24"/>
      <w:szCs w:val="22"/>
      <w:lang w:eastAsia="en-US"/>
    </w:rPr>
  </w:style>
  <w:style w:type="paragraph" w:customStyle="1" w:styleId="SecurityClassificationFooter">
    <w:name w:val="Security Classification Footer"/>
    <w:link w:val="SecurityClassificationFooterChar"/>
    <w:rsid w:val="00BE1843"/>
    <w:pPr>
      <w:spacing w:before="60" w:after="240" w:line="259" w:lineRule="auto"/>
      <w:jc w:val="center"/>
    </w:pPr>
    <w:rPr>
      <w:rFonts w:ascii="Calibri" w:eastAsia="Calibri" w:hAnsi="Calibri" w:cs="Calibri"/>
      <w:b/>
      <w:caps/>
      <w:color w:val="44546A"/>
      <w:sz w:val="24"/>
      <w:szCs w:val="22"/>
      <w:lang w:eastAsia="en-US"/>
    </w:rPr>
  </w:style>
  <w:style w:type="character" w:customStyle="1" w:styleId="SecurityClassificationFooterChar">
    <w:name w:val="Security Classification Footer Char"/>
    <w:link w:val="SecurityClassificationFooter"/>
    <w:rsid w:val="00BE1843"/>
    <w:rPr>
      <w:rFonts w:ascii="Calibri" w:eastAsia="Calibri" w:hAnsi="Calibri" w:cs="Calibri"/>
      <w:b/>
      <w:caps/>
      <w:color w:val="44546A"/>
      <w:sz w:val="24"/>
      <w:szCs w:val="22"/>
      <w:lang w:eastAsia="en-US"/>
    </w:rPr>
  </w:style>
  <w:style w:type="paragraph" w:customStyle="1" w:styleId="DLMSecurityHeader">
    <w:name w:val="DLM Security Header"/>
    <w:link w:val="DLMSecurityHeaderChar"/>
    <w:rsid w:val="00BE1843"/>
    <w:pPr>
      <w:spacing w:before="60" w:after="240" w:line="259" w:lineRule="auto"/>
      <w:jc w:val="center"/>
    </w:pPr>
    <w:rPr>
      <w:rFonts w:ascii="Calibri" w:eastAsia="Calibri" w:hAnsi="Calibri" w:cs="Calibri"/>
      <w:b/>
      <w:caps/>
      <w:color w:val="44546A"/>
      <w:sz w:val="24"/>
      <w:szCs w:val="22"/>
      <w:lang w:eastAsia="en-US"/>
    </w:rPr>
  </w:style>
  <w:style w:type="character" w:customStyle="1" w:styleId="DLMSecurityHeaderChar">
    <w:name w:val="DLM Security Header Char"/>
    <w:link w:val="DLMSecurityHeader"/>
    <w:rsid w:val="00BE1843"/>
    <w:rPr>
      <w:rFonts w:ascii="Calibri" w:eastAsia="Calibri" w:hAnsi="Calibri" w:cs="Calibri"/>
      <w:b/>
      <w:caps/>
      <w:color w:val="44546A"/>
      <w:sz w:val="24"/>
      <w:szCs w:val="22"/>
      <w:lang w:val="x-none" w:eastAsia="en-US"/>
    </w:rPr>
  </w:style>
  <w:style w:type="paragraph" w:customStyle="1" w:styleId="DLMSecurityFooter">
    <w:name w:val="DLM Security Footer"/>
    <w:link w:val="DLMSecurityFooterChar"/>
    <w:rsid w:val="00BE1843"/>
    <w:pPr>
      <w:spacing w:before="240" w:after="60" w:line="259" w:lineRule="auto"/>
      <w:jc w:val="center"/>
    </w:pPr>
    <w:rPr>
      <w:rFonts w:ascii="Calibri" w:eastAsia="Calibri" w:hAnsi="Calibri" w:cs="Calibri"/>
      <w:b/>
      <w:caps/>
      <w:color w:val="44546A"/>
      <w:sz w:val="24"/>
      <w:szCs w:val="22"/>
      <w:lang w:eastAsia="en-US"/>
    </w:rPr>
  </w:style>
  <w:style w:type="character" w:customStyle="1" w:styleId="DLMSecurityFooterChar">
    <w:name w:val="DLM Security Footer Char"/>
    <w:link w:val="DLMSecurityFooter"/>
    <w:rsid w:val="00BE1843"/>
    <w:rPr>
      <w:rFonts w:ascii="Calibri" w:eastAsia="Calibri" w:hAnsi="Calibri" w:cs="Calibri"/>
      <w:b/>
      <w:caps/>
      <w:color w:val="44546A"/>
      <w:sz w:val="24"/>
      <w:szCs w:val="22"/>
      <w:lang w:val="x-none" w:eastAsia="en-US"/>
    </w:rPr>
  </w:style>
  <w:style w:type="paragraph" w:customStyle="1" w:styleId="FooterEven">
    <w:name w:val="Footer Even"/>
    <w:basedOn w:val="Footer"/>
    <w:qFormat/>
    <w:rsid w:val="00BE1843"/>
    <w:pPr>
      <w:pBdr>
        <w:top w:val="single" w:sz="4" w:space="10" w:color="000000"/>
      </w:pBdr>
      <w:jc w:val="left"/>
    </w:pPr>
    <w:rPr>
      <w:color w:val="auto"/>
      <w:sz w:val="18"/>
    </w:rPr>
  </w:style>
  <w:style w:type="paragraph" w:customStyle="1" w:styleId="ChartandTableFootnoteAlpha-Bullet">
    <w:name w:val="Chart and Table Footnote Alpha - Bullet"/>
    <w:basedOn w:val="ChartandTableFootnoteAlpha"/>
    <w:rsid w:val="00BE1843"/>
    <w:pPr>
      <w:numPr>
        <w:numId w:val="6"/>
      </w:numPr>
      <w:tabs>
        <w:tab w:val="left" w:pos="454"/>
      </w:tabs>
      <w:ind w:left="454" w:hanging="170"/>
    </w:pPr>
    <w:rPr>
      <w:rFonts w:cs="Arial"/>
      <w:szCs w:val="16"/>
    </w:rPr>
  </w:style>
  <w:style w:type="character" w:customStyle="1" w:styleId="Heading9Char">
    <w:name w:val="Heading 9 Char"/>
    <w:link w:val="Heading9"/>
    <w:uiPriority w:val="9"/>
    <w:rsid w:val="00BE1843"/>
    <w:rPr>
      <w:rFonts w:ascii="Cambria" w:hAnsi="Cambria"/>
      <w:sz w:val="22"/>
      <w:szCs w:val="22"/>
    </w:rPr>
  </w:style>
  <w:style w:type="paragraph" w:customStyle="1" w:styleId="ChartandTableFootnote-Dash">
    <w:name w:val="Chart and Table Footnote - Dash"/>
    <w:basedOn w:val="Normal"/>
    <w:rsid w:val="00BE1843"/>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BE1843"/>
    <w:pPr>
      <w:pBdr>
        <w:top w:val="single" w:sz="4" w:space="10" w:color="000000"/>
      </w:pBdr>
      <w:jc w:val="right"/>
    </w:pPr>
    <w:rPr>
      <w:sz w:val="18"/>
    </w:rPr>
  </w:style>
  <w:style w:type="paragraph" w:customStyle="1" w:styleId="Box-continuedon">
    <w:name w:val="Box - continued on"/>
    <w:basedOn w:val="Normal"/>
    <w:qFormat/>
    <w:rsid w:val="00BE1843"/>
    <w:pPr>
      <w:jc w:val="right"/>
    </w:pPr>
    <w:rPr>
      <w:rFonts w:ascii="Calibri Light" w:hAnsi="Calibri Light" w:cs="Calibri Light"/>
      <w:i/>
      <w:iCs/>
      <w:sz w:val="22"/>
      <w:szCs w:val="24"/>
    </w:rPr>
  </w:style>
  <w:style w:type="character" w:customStyle="1" w:styleId="BoxHeading-Continued">
    <w:name w:val="Box Heading - Continued"/>
    <w:uiPriority w:val="1"/>
    <w:qFormat/>
    <w:rsid w:val="00BE1843"/>
    <w:rPr>
      <w:sz w:val="22"/>
    </w:rPr>
  </w:style>
  <w:style w:type="character" w:customStyle="1" w:styleId="Heading6Char">
    <w:name w:val="Heading 6 Char"/>
    <w:link w:val="Heading6"/>
    <w:rsid w:val="00BE1843"/>
    <w:rPr>
      <w:rFonts w:ascii="Arial" w:hAnsi="Arial"/>
      <w:bCs/>
      <w:szCs w:val="22"/>
    </w:rPr>
  </w:style>
  <w:style w:type="paragraph" w:customStyle="1" w:styleId="BoxSubHeading">
    <w:name w:val="Box Sub Heading"/>
    <w:basedOn w:val="Heading6"/>
    <w:rsid w:val="00BE1843"/>
    <w:pPr>
      <w:spacing w:before="120" w:after="40"/>
    </w:pPr>
  </w:style>
  <w:style w:type="paragraph" w:customStyle="1" w:styleId="ChartHeading">
    <w:name w:val="Chart Heading"/>
    <w:basedOn w:val="HeadingBase"/>
    <w:next w:val="ChartGraphic"/>
    <w:qFormat/>
    <w:rsid w:val="00BE1843"/>
    <w:pPr>
      <w:spacing w:before="120" w:after="20"/>
    </w:pPr>
    <w:rPr>
      <w:b/>
      <w:sz w:val="20"/>
    </w:rPr>
  </w:style>
  <w:style w:type="paragraph" w:customStyle="1" w:styleId="ChartLine">
    <w:name w:val="Chart Line"/>
    <w:basedOn w:val="NoSpacing"/>
    <w:autoRedefine/>
    <w:qFormat/>
    <w:rsid w:val="00BE1843"/>
    <w:pPr>
      <w:pBdr>
        <w:bottom w:val="single" w:sz="4" w:space="2" w:color="D0CECE"/>
      </w:pBdr>
      <w:spacing w:after="240"/>
    </w:pPr>
    <w:rPr>
      <w:rFonts w:ascii="Calibri" w:hAnsi="Calibri"/>
      <w:noProof/>
      <w:sz w:val="4"/>
      <w:szCs w:val="4"/>
    </w:rPr>
  </w:style>
  <w:style w:type="character" w:customStyle="1" w:styleId="CommentSubjectChar">
    <w:name w:val="Comment Subject Char"/>
    <w:link w:val="CommentSubject"/>
    <w:semiHidden/>
    <w:rsid w:val="00BE1843"/>
    <w:rPr>
      <w:rFonts w:ascii="Calibri" w:hAnsi="Calibri"/>
      <w:b/>
      <w:bCs/>
      <w:sz w:val="19"/>
    </w:rPr>
  </w:style>
  <w:style w:type="character" w:customStyle="1" w:styleId="DocumentMapChar">
    <w:name w:val="Document Map Char"/>
    <w:link w:val="DocumentMap"/>
    <w:semiHidden/>
    <w:rsid w:val="00BE1843"/>
    <w:rPr>
      <w:rFonts w:ascii="Tahoma" w:hAnsi="Tahoma" w:cs="Tahoma"/>
      <w:sz w:val="19"/>
      <w:shd w:val="clear" w:color="auto" w:fill="000080"/>
    </w:rPr>
  </w:style>
  <w:style w:type="character" w:customStyle="1" w:styleId="EndnoteTextChar">
    <w:name w:val="Endnote Text Char"/>
    <w:link w:val="EndnoteText"/>
    <w:rsid w:val="00BE1843"/>
    <w:rPr>
      <w:rFonts w:ascii="Calibri" w:hAnsi="Calibri"/>
      <w:sz w:val="19"/>
    </w:rPr>
  </w:style>
  <w:style w:type="character" w:customStyle="1" w:styleId="FootnoteTextChar">
    <w:name w:val="Footnote Text Char"/>
    <w:link w:val="FootnoteText"/>
    <w:rsid w:val="00BE1843"/>
    <w:rPr>
      <w:rFonts w:ascii="Calibri" w:hAnsi="Calibri"/>
      <w:sz w:val="18"/>
    </w:rPr>
  </w:style>
  <w:style w:type="character" w:customStyle="1" w:styleId="Heading1Char">
    <w:name w:val="Heading 1 Char"/>
    <w:link w:val="Heading1"/>
    <w:rsid w:val="00BE1843"/>
    <w:rPr>
      <w:rFonts w:ascii="Arial Bold" w:hAnsi="Arial Bold"/>
      <w:b/>
      <w:kern w:val="34"/>
      <w:sz w:val="36"/>
    </w:rPr>
  </w:style>
  <w:style w:type="character" w:customStyle="1" w:styleId="Heading2Char">
    <w:name w:val="Heading 2 Char"/>
    <w:link w:val="Heading2"/>
    <w:rsid w:val="00BE1843"/>
    <w:rPr>
      <w:rFonts w:ascii="Arial Bold" w:hAnsi="Arial Bold"/>
      <w:b/>
      <w:sz w:val="26"/>
    </w:rPr>
  </w:style>
  <w:style w:type="paragraph" w:customStyle="1" w:styleId="Heading3noTOC">
    <w:name w:val="Heading 3 no TOC"/>
    <w:basedOn w:val="Heading3"/>
    <w:rsid w:val="00BE1843"/>
    <w:pPr>
      <w:outlineLvl w:val="9"/>
    </w:pPr>
  </w:style>
  <w:style w:type="character" w:customStyle="1" w:styleId="Heading4Char">
    <w:name w:val="Heading 4 Char"/>
    <w:link w:val="Heading4"/>
    <w:rsid w:val="00BE1843"/>
    <w:rPr>
      <w:rFonts w:ascii="Arial Bold" w:hAnsi="Arial Bold"/>
      <w:b/>
    </w:rPr>
  </w:style>
  <w:style w:type="character" w:customStyle="1" w:styleId="Heading5Char">
    <w:name w:val="Heading 5 Char"/>
    <w:link w:val="Heading5"/>
    <w:rsid w:val="00BE1843"/>
    <w:rPr>
      <w:rFonts w:ascii="Arial" w:hAnsi="Arial"/>
      <w:bCs/>
      <w:i/>
      <w:iCs/>
      <w:szCs w:val="26"/>
    </w:rPr>
  </w:style>
  <w:style w:type="character" w:customStyle="1" w:styleId="Heading7Char">
    <w:name w:val="Heading 7 Char"/>
    <w:link w:val="Heading7"/>
    <w:rsid w:val="00BE1843"/>
    <w:rPr>
      <w:rFonts w:ascii="Arial" w:hAnsi="Arial"/>
      <w:szCs w:val="24"/>
    </w:rPr>
  </w:style>
  <w:style w:type="character" w:customStyle="1" w:styleId="Heading8Char">
    <w:name w:val="Heading 8 Char"/>
    <w:link w:val="Heading8"/>
    <w:rsid w:val="00BE1843"/>
    <w:rPr>
      <w:i/>
      <w:iCs/>
      <w:sz w:val="16"/>
      <w:szCs w:val="24"/>
    </w:rPr>
  </w:style>
  <w:style w:type="character" w:customStyle="1" w:styleId="MacroTextChar">
    <w:name w:val="Macro Text Char"/>
    <w:link w:val="MacroText"/>
    <w:rsid w:val="00BE1843"/>
    <w:rPr>
      <w:rFonts w:ascii="Courier New" w:hAnsi="Courier New" w:cs="Courier New"/>
    </w:rPr>
  </w:style>
  <w:style w:type="paragraph" w:customStyle="1" w:styleId="Statement">
    <w:name w:val="Statement"/>
    <w:basedOn w:val="Normal"/>
    <w:autoRedefine/>
    <w:qFormat/>
    <w:rsid w:val="00BE1843"/>
    <w:pPr>
      <w:textboxTightWrap w:val="firstAndLastLine"/>
    </w:pPr>
    <w:rPr>
      <w:rFonts w:cs="Calibri"/>
      <w:kern w:val="18"/>
      <w:sz w:val="18"/>
    </w:rPr>
  </w:style>
  <w:style w:type="paragraph" w:customStyle="1" w:styleId="Statement-Bullet">
    <w:name w:val="Statement - Bullet"/>
    <w:basedOn w:val="Bullet"/>
    <w:qFormat/>
    <w:rsid w:val="00BE1843"/>
    <w:pPr>
      <w:ind w:left="284" w:hanging="284"/>
    </w:pPr>
  </w:style>
  <w:style w:type="paragraph" w:customStyle="1" w:styleId="TableLine">
    <w:name w:val="Table Line"/>
    <w:basedOn w:val="Normal"/>
    <w:next w:val="Normal"/>
    <w:autoRedefine/>
    <w:rsid w:val="00BE1843"/>
    <w:pPr>
      <w:pBdr>
        <w:bottom w:val="single" w:sz="4" w:space="2" w:color="D0CECE"/>
      </w:pBdr>
      <w:spacing w:before="0" w:line="240" w:lineRule="auto"/>
    </w:pPr>
    <w:rPr>
      <w:noProof/>
      <w:sz w:val="4"/>
      <w:szCs w:val="4"/>
    </w:rPr>
  </w:style>
  <w:style w:type="paragraph" w:customStyle="1" w:styleId="TPHeading3bold">
    <w:name w:val="TP Heading 3 bold"/>
    <w:basedOn w:val="TPHeading3"/>
    <w:semiHidden/>
    <w:rsid w:val="00BE1843"/>
    <w:rPr>
      <w:rFonts w:cs="Arial"/>
      <w:b/>
      <w:sz w:val="22"/>
      <w:szCs w:val="22"/>
    </w:rPr>
  </w:style>
  <w:style w:type="paragraph" w:customStyle="1" w:styleId="TPHEADING3boldspace">
    <w:name w:val="TP HEADING 3 bold space"/>
    <w:basedOn w:val="TPHeading3bold"/>
    <w:semiHidden/>
    <w:rsid w:val="00BE1843"/>
    <w:pPr>
      <w:spacing w:after="120"/>
    </w:pPr>
  </w:style>
  <w:style w:type="paragraph" w:customStyle="1" w:styleId="TPHEADING3space">
    <w:name w:val="TP HEADING 3 space"/>
    <w:basedOn w:val="TPHeading3"/>
    <w:semiHidden/>
    <w:rsid w:val="00BE1843"/>
    <w:pPr>
      <w:spacing w:before="120" w:after="120"/>
    </w:pPr>
    <w:rPr>
      <w:rFonts w:cs="Arial"/>
      <w:sz w:val="22"/>
      <w:szCs w:val="22"/>
    </w:rPr>
  </w:style>
  <w:style w:type="paragraph" w:customStyle="1" w:styleId="TPHeading4">
    <w:name w:val="TP Heading 4"/>
    <w:basedOn w:val="TPHeading3"/>
    <w:semiHidden/>
    <w:rsid w:val="00BE1843"/>
    <w:rPr>
      <w:sz w:val="20"/>
    </w:rPr>
  </w:style>
  <w:style w:type="paragraph" w:customStyle="1" w:styleId="TPHEADING4space">
    <w:name w:val="TP HEADING 4 space"/>
    <w:basedOn w:val="TPHEADING3space"/>
    <w:semiHidden/>
    <w:rsid w:val="00BE1843"/>
  </w:style>
  <w:style w:type="paragraph" w:customStyle="1" w:styleId="ChartandTableFootnoteAlphaSmall">
    <w:name w:val="Chart and Table Footnote Alpha Small"/>
    <w:basedOn w:val="HeadingBase"/>
    <w:next w:val="Normal"/>
    <w:rsid w:val="00F0167C"/>
    <w:pPr>
      <w:tabs>
        <w:tab w:val="num" w:pos="284"/>
      </w:tabs>
      <w:ind w:left="284" w:hanging="284"/>
      <w:jc w:val="both"/>
    </w:pPr>
    <w:rPr>
      <w:sz w:val="15"/>
    </w:rPr>
  </w:style>
  <w:style w:type="paragraph" w:customStyle="1" w:styleId="ChartandTableFootnoteSmall">
    <w:name w:val="Chart and Table Footnote Small"/>
    <w:basedOn w:val="HeadingBase"/>
    <w:next w:val="Normal"/>
    <w:rsid w:val="00F0167C"/>
    <w:pPr>
      <w:tabs>
        <w:tab w:val="left" w:pos="284"/>
      </w:tabs>
      <w:jc w:val="both"/>
    </w:pPr>
    <w:rPr>
      <w:sz w:val="15"/>
    </w:rPr>
  </w:style>
  <w:style w:type="paragraph" w:customStyle="1" w:styleId="BoxHeadinglevel2">
    <w:name w:val="Box Heading level 2"/>
    <w:basedOn w:val="BoxHeading"/>
    <w:rsid w:val="00F0167C"/>
    <w:pPr>
      <w:spacing w:before="0"/>
    </w:pPr>
    <w:rPr>
      <w:sz w:val="18"/>
    </w:rPr>
  </w:style>
  <w:style w:type="paragraph" w:styleId="BodyText">
    <w:name w:val="Body Text"/>
    <w:basedOn w:val="Normal"/>
    <w:link w:val="BodyTextChar"/>
    <w:qFormat/>
    <w:rsid w:val="00F0167C"/>
    <w:pPr>
      <w:spacing w:before="0" w:after="120" w:line="240" w:lineRule="auto"/>
    </w:pPr>
    <w:rPr>
      <w:rFonts w:ascii="Cambria" w:eastAsia="Cambria" w:hAnsi="Cambria"/>
      <w:sz w:val="22"/>
      <w:szCs w:val="22"/>
      <w:lang w:val="x-none" w:eastAsia="en-US"/>
    </w:rPr>
  </w:style>
  <w:style w:type="character" w:customStyle="1" w:styleId="BodyTextChar">
    <w:name w:val="Body Text Char"/>
    <w:link w:val="BodyText"/>
    <w:rsid w:val="00F0167C"/>
    <w:rPr>
      <w:rFonts w:ascii="Cambria" w:eastAsia="Cambria" w:hAnsi="Cambria"/>
      <w:sz w:val="22"/>
      <w:szCs w:val="22"/>
      <w:lang w:val="x-none" w:eastAsia="en-US"/>
    </w:rPr>
  </w:style>
  <w:style w:type="paragraph" w:customStyle="1" w:styleId="Heading1-TOC">
    <w:name w:val="Heading 1 - TOC"/>
    <w:basedOn w:val="Heading1"/>
    <w:rsid w:val="00F0167C"/>
    <w:pPr>
      <w:jc w:val="center"/>
    </w:pPr>
  </w:style>
  <w:style w:type="paragraph" w:customStyle="1" w:styleId="Heading4-NoTOC">
    <w:name w:val="Heading 4 - No TOC"/>
    <w:basedOn w:val="Heading4"/>
    <w:rsid w:val="00F0167C"/>
    <w:pPr>
      <w:tabs>
        <w:tab w:val="left" w:pos="709"/>
      </w:tabs>
      <w:outlineLvl w:val="9"/>
    </w:pPr>
  </w:style>
  <w:style w:type="table" w:customStyle="1" w:styleId="TableGrid1">
    <w:name w:val="Table Grid1"/>
    <w:basedOn w:val="TableNormal"/>
    <w:next w:val="TableGrid"/>
    <w:uiPriority w:val="59"/>
    <w:rsid w:val="00F016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167C"/>
    <w:pPr>
      <w:spacing w:before="100" w:beforeAutospacing="1" w:after="100" w:afterAutospacing="1" w:line="240" w:lineRule="auto"/>
    </w:pPr>
    <w:rPr>
      <w:rFonts w:ascii="Times New Roman" w:hAnsi="Times New Roman"/>
      <w:sz w:val="24"/>
      <w:szCs w:val="24"/>
    </w:rPr>
  </w:style>
  <w:style w:type="character" w:customStyle="1" w:styleId="ListParagraphChar">
    <w:name w:val="List Paragraph Char"/>
    <w:aliases w:val="NFP GP Bulleted List Char,List Paragraph1 Char,Recommendation Char,NAST Quote Char,List Paragraph11 Char,Bullet point Char,L Char,bullet point list Char,1 heading Char,Bulleted Para Char,Bullet points Char,Content descriptions Char"/>
    <w:link w:val="ListParagraph"/>
    <w:locked/>
    <w:rsid w:val="00F0167C"/>
    <w:rPr>
      <w:rFonts w:ascii="Calibri" w:eastAsia="Calibri" w:hAnsi="Calibri"/>
      <w:sz w:val="22"/>
      <w:szCs w:val="22"/>
      <w:lang w:val="en-US" w:eastAsia="en-US"/>
    </w:rPr>
  </w:style>
  <w:style w:type="character" w:customStyle="1" w:styleId="normaltextrun">
    <w:name w:val="normaltextrun"/>
    <w:rsid w:val="00F0167C"/>
  </w:style>
  <w:style w:type="character" w:customStyle="1" w:styleId="spellingerror">
    <w:name w:val="spellingerror"/>
    <w:rsid w:val="00F0167C"/>
  </w:style>
  <w:style w:type="character" w:customStyle="1" w:styleId="eop">
    <w:name w:val="eop"/>
    <w:rsid w:val="00F0167C"/>
  </w:style>
  <w:style w:type="paragraph" w:customStyle="1" w:styleId="TableParagraph">
    <w:name w:val="Table Paragraph"/>
    <w:basedOn w:val="Normal"/>
    <w:uiPriority w:val="1"/>
    <w:qFormat/>
    <w:rsid w:val="00F0167C"/>
    <w:pPr>
      <w:widowControl w:val="0"/>
      <w:autoSpaceDE w:val="0"/>
      <w:autoSpaceDN w:val="0"/>
      <w:spacing w:before="0" w:after="0" w:line="240" w:lineRule="auto"/>
    </w:pPr>
    <w:rPr>
      <w:rFonts w:ascii="Arial" w:eastAsia="Arial" w:hAnsi="Arial" w:cs="Arial"/>
      <w:sz w:val="22"/>
      <w:szCs w:val="22"/>
      <w:lang w:eastAsia="en-US"/>
    </w:rPr>
  </w:style>
  <w:style w:type="paragraph" w:customStyle="1" w:styleId="Heading1-NoTOC">
    <w:name w:val="Heading 1 - No TOC"/>
    <w:basedOn w:val="Heading1"/>
    <w:rsid w:val="00F0167C"/>
    <w:pPr>
      <w:spacing w:after="360"/>
      <w:jc w:val="center"/>
      <w:outlineLvl w:val="9"/>
    </w:pPr>
    <w:rPr>
      <w:rFonts w:ascii="Arial" w:hAnsi="Arial"/>
      <w:smallCaps/>
      <w:kern w:val="28"/>
      <w:sz w:val="34"/>
      <w:lang w:val="x-none"/>
    </w:rPr>
  </w:style>
  <w:style w:type="character" w:customStyle="1" w:styleId="TitleChar">
    <w:name w:val="Title Char"/>
    <w:basedOn w:val="DefaultParagraphFont"/>
    <w:link w:val="Title"/>
    <w:uiPriority w:val="10"/>
    <w:rsid w:val="00BF0558"/>
    <w:rPr>
      <w:rFonts w:ascii="Arial" w:hAnsi="Arial" w:cs="Arial"/>
      <w:b/>
      <w:bCs/>
      <w:smallCaps/>
      <w:kern w:val="28"/>
      <w:sz w:val="5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1511821">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88108796">
      <w:bodyDiv w:val="1"/>
      <w:marLeft w:val="0"/>
      <w:marRight w:val="0"/>
      <w:marTop w:val="0"/>
      <w:marBottom w:val="0"/>
      <w:divBdr>
        <w:top w:val="none" w:sz="0" w:space="0" w:color="auto"/>
        <w:left w:val="none" w:sz="0" w:space="0" w:color="auto"/>
        <w:bottom w:val="none" w:sz="0" w:space="0" w:color="auto"/>
        <w:right w:val="none" w:sz="0" w:space="0" w:color="auto"/>
      </w:divBdr>
    </w:div>
    <w:div w:id="192234398">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5062853">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45787611">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8317016">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33327223">
      <w:bodyDiv w:val="1"/>
      <w:marLeft w:val="0"/>
      <w:marRight w:val="0"/>
      <w:marTop w:val="0"/>
      <w:marBottom w:val="0"/>
      <w:divBdr>
        <w:top w:val="none" w:sz="0" w:space="0" w:color="auto"/>
        <w:left w:val="none" w:sz="0" w:space="0" w:color="auto"/>
        <w:bottom w:val="none" w:sz="0" w:space="0" w:color="auto"/>
        <w:right w:val="none" w:sz="0" w:space="0" w:color="auto"/>
      </w:divBdr>
    </w:div>
    <w:div w:id="444155996">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75945262">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56303101">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08607028">
      <w:bodyDiv w:val="1"/>
      <w:marLeft w:val="0"/>
      <w:marRight w:val="0"/>
      <w:marTop w:val="0"/>
      <w:marBottom w:val="0"/>
      <w:divBdr>
        <w:top w:val="none" w:sz="0" w:space="0" w:color="auto"/>
        <w:left w:val="none" w:sz="0" w:space="0" w:color="auto"/>
        <w:bottom w:val="none" w:sz="0" w:space="0" w:color="auto"/>
        <w:right w:val="none" w:sz="0" w:space="0" w:color="auto"/>
      </w:divBdr>
    </w:div>
    <w:div w:id="776222174">
      <w:bodyDiv w:val="1"/>
      <w:marLeft w:val="0"/>
      <w:marRight w:val="0"/>
      <w:marTop w:val="0"/>
      <w:marBottom w:val="0"/>
      <w:divBdr>
        <w:top w:val="none" w:sz="0" w:space="0" w:color="auto"/>
        <w:left w:val="none" w:sz="0" w:space="0" w:color="auto"/>
        <w:bottom w:val="none" w:sz="0" w:space="0" w:color="auto"/>
        <w:right w:val="none" w:sz="0" w:space="0" w:color="auto"/>
      </w:divBdr>
    </w:div>
    <w:div w:id="790199515">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3002854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287046">
      <w:bodyDiv w:val="1"/>
      <w:marLeft w:val="0"/>
      <w:marRight w:val="0"/>
      <w:marTop w:val="0"/>
      <w:marBottom w:val="0"/>
      <w:divBdr>
        <w:top w:val="none" w:sz="0" w:space="0" w:color="auto"/>
        <w:left w:val="none" w:sz="0" w:space="0" w:color="auto"/>
        <w:bottom w:val="none" w:sz="0" w:space="0" w:color="auto"/>
        <w:right w:val="none" w:sz="0" w:space="0" w:color="auto"/>
      </w:divBdr>
    </w:div>
    <w:div w:id="930116322">
      <w:bodyDiv w:val="1"/>
      <w:marLeft w:val="0"/>
      <w:marRight w:val="0"/>
      <w:marTop w:val="0"/>
      <w:marBottom w:val="0"/>
      <w:divBdr>
        <w:top w:val="none" w:sz="0" w:space="0" w:color="auto"/>
        <w:left w:val="none" w:sz="0" w:space="0" w:color="auto"/>
        <w:bottom w:val="none" w:sz="0" w:space="0" w:color="auto"/>
        <w:right w:val="none" w:sz="0" w:space="0" w:color="auto"/>
      </w:divBdr>
    </w:div>
    <w:div w:id="931862141">
      <w:bodyDiv w:val="1"/>
      <w:marLeft w:val="0"/>
      <w:marRight w:val="0"/>
      <w:marTop w:val="0"/>
      <w:marBottom w:val="0"/>
      <w:divBdr>
        <w:top w:val="none" w:sz="0" w:space="0" w:color="auto"/>
        <w:left w:val="none" w:sz="0" w:space="0" w:color="auto"/>
        <w:bottom w:val="none" w:sz="0" w:space="0" w:color="auto"/>
        <w:right w:val="none" w:sz="0" w:space="0" w:color="auto"/>
      </w:divBdr>
    </w:div>
    <w:div w:id="933634321">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51656991">
      <w:bodyDiv w:val="1"/>
      <w:marLeft w:val="0"/>
      <w:marRight w:val="0"/>
      <w:marTop w:val="0"/>
      <w:marBottom w:val="0"/>
      <w:divBdr>
        <w:top w:val="none" w:sz="0" w:space="0" w:color="auto"/>
        <w:left w:val="none" w:sz="0" w:space="0" w:color="auto"/>
        <w:bottom w:val="none" w:sz="0" w:space="0" w:color="auto"/>
        <w:right w:val="none" w:sz="0" w:space="0" w:color="auto"/>
      </w:divBdr>
    </w:div>
    <w:div w:id="107146431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38759865">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0339905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16957102">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22990118">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4861333">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64397205">
      <w:bodyDiv w:val="1"/>
      <w:marLeft w:val="0"/>
      <w:marRight w:val="0"/>
      <w:marTop w:val="0"/>
      <w:marBottom w:val="0"/>
      <w:divBdr>
        <w:top w:val="none" w:sz="0" w:space="0" w:color="auto"/>
        <w:left w:val="none" w:sz="0" w:space="0" w:color="auto"/>
        <w:bottom w:val="none" w:sz="0" w:space="0" w:color="auto"/>
        <w:right w:val="none" w:sz="0" w:space="0" w:color="auto"/>
      </w:divBdr>
    </w:div>
    <w:div w:id="1894731770">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0503395">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51282270">
      <w:bodyDiv w:val="1"/>
      <w:marLeft w:val="0"/>
      <w:marRight w:val="0"/>
      <w:marTop w:val="0"/>
      <w:marBottom w:val="0"/>
      <w:divBdr>
        <w:top w:val="none" w:sz="0" w:space="0" w:color="auto"/>
        <w:left w:val="none" w:sz="0" w:space="0" w:color="auto"/>
        <w:bottom w:val="none" w:sz="0" w:space="0" w:color="auto"/>
        <w:right w:val="none" w:sz="0" w:space="0" w:color="auto"/>
      </w:divBdr>
    </w:div>
    <w:div w:id="1953511041">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94485405">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3675300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image" Target="media/image10.emf"/><Relationship Id="rId39" Type="http://schemas.openxmlformats.org/officeDocument/2006/relationships/image" Target="media/image23.emf"/><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image" Target="media/image18.emf"/><Relationship Id="rId42" Type="http://schemas.openxmlformats.org/officeDocument/2006/relationships/image" Target="media/image26.emf"/><Relationship Id="rId47" Type="http://schemas.openxmlformats.org/officeDocument/2006/relationships/header" Target="header1.xml"/><Relationship Id="rId50"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image" Target="media/image22.emf"/><Relationship Id="rId46" Type="http://schemas.openxmlformats.org/officeDocument/2006/relationships/image" Target="media/image30.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emf"/><Relationship Id="rId29" Type="http://schemas.openxmlformats.org/officeDocument/2006/relationships/image" Target="media/image13.emf"/><Relationship Id="rId41" Type="http://schemas.openxmlformats.org/officeDocument/2006/relationships/image" Target="media/image2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image" Target="media/image21.emf"/><Relationship Id="rId40" Type="http://schemas.openxmlformats.org/officeDocument/2006/relationships/image" Target="media/image24.emf"/><Relationship Id="rId45" Type="http://schemas.openxmlformats.org/officeDocument/2006/relationships/image" Target="media/image29.emf"/><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20.emf"/><Relationship Id="rId49"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image" Target="media/image3.emf"/><Relationship Id="rId31" Type="http://schemas.openxmlformats.org/officeDocument/2006/relationships/image" Target="media/image15.emf"/><Relationship Id="rId44" Type="http://schemas.openxmlformats.org/officeDocument/2006/relationships/image" Target="media/image28.emf"/><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emf"/><Relationship Id="rId43" Type="http://schemas.openxmlformats.org/officeDocument/2006/relationships/image" Target="media/image27.emf"/><Relationship Id="rId48" Type="http://schemas.openxmlformats.org/officeDocument/2006/relationships/header" Target="header2.xml"/><Relationship Id="rId8" Type="http://schemas.openxmlformats.org/officeDocument/2006/relationships/numbering" Target="numbering.xml"/><Relationship Id="rId51"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31.png"/></Relationships>
</file>

<file path=word/_rels/header2.xml.rels><?xml version="1.0" encoding="UTF-8" standalone="yes"?>
<Relationships xmlns="http://schemas.openxmlformats.org/package/2006/relationships"><Relationship Id="rId1" Type="http://schemas.openxmlformats.org/officeDocument/2006/relationships/image" Target="media/image3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PB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897FAFD4E9FB2F48B7915612E1634A86" ma:contentTypeVersion="108" ma:contentTypeDescription="Create a new document." ma:contentTypeScope="" ma:versionID="e11d8671f3609da109f951f9218f5c6a">
  <xsd:schema xmlns:xsd="http://www.w3.org/2001/XMLSchema" xmlns:xs="http://www.w3.org/2001/XMLSchema" xmlns:p="http://schemas.microsoft.com/office/2006/metadata/properties" xmlns:ns1="http://schemas.microsoft.com/sharepoint/v3" xmlns:ns2="82ff9d9b-d3fc-4aad-bc42-9949ee83b815" xmlns:ns3="41381e76-744a-4e4b-b609-0f774dbc893f" targetNamespace="http://schemas.microsoft.com/office/2006/metadata/properties" ma:root="true" ma:fieldsID="e9154d8170ee14aa388c1329be229e59" ns1:_="" ns2:_="" ns3:_="">
    <xsd:import namespace="http://schemas.microsoft.com/sharepoint/v3"/>
    <xsd:import namespace="82ff9d9b-d3fc-4aad-bc42-9949ee83b815"/>
    <xsd:import namespace="41381e76-744a-4e4b-b609-0f774dbc893f"/>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1b07d73-50d0-4380-93b2-14b88234ee23}" ma:internalName="TaxCatchAll" ma:showField="CatchAllData" ma:web="41381e76-744a-4e4b-b609-0f774dbc893f">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1b07d73-50d0-4380-93b2-14b88234ee23}" ma:internalName="TaxCatchAllLabel" ma:readOnly="true" ma:showField="CatchAllDataLabel" ma:web="41381e76-744a-4e4b-b609-0f774dbc893f">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1381e76-744a-4e4b-b609-0f774dbc893f"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kb73b3df24114868a21db4ce3ca83710>
    <TaxCatchAll xmlns="82ff9d9b-d3fc-4aad-bc42-9949ee83b815"/>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k710d1823c744f64b20abec111d3c509>
    <RelatedItems xmlns="http://schemas.microsoft.com/sharepoint/v3" xsi:nil="true"/>
    <_dlc_DocId xmlns="41381e76-744a-4e4b-b609-0f774dbc893f">FIN33691-208614078-2582</_dlc_DocId>
    <_dlc_DocIdUrl xmlns="41381e76-744a-4e4b-b609-0f774dbc893f">
      <Url>https://f1.prdmgd.finance.gov.au/sites/50033691/_layouts/15/DocIdRedir.aspx?ID=FIN33691-208614078-2582</Url>
      <Description>FIN33691-208614078-2582</Description>
    </_dlc_DocIdUrl>
  </documentManagement>
</p:properties>
</file>

<file path=customXml/item4.xml><?xml version="1.0" encoding="utf-8"?>
<?mso-contentType ?>
<SharedContentType xmlns="Microsoft.SharePoint.Taxonomy.ContentTypeSync" SourceId="c5fb5116-7131-45fb-9d92-926478776364" ContentTypeId="0x010100B321FEA60C5BA343A52BC94EC00ABC9E07"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6A354-C485-4199-9F9C-2439D79AB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41381e76-744a-4e4b-b609-0f774dbc8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FC283-598D-43FD-AA1D-651ED24578EA}">
  <ds:schemaRefs>
    <ds:schemaRef ds:uri="http://schemas.microsoft.com/sharepoint/v3/contenttype/forms"/>
  </ds:schemaRefs>
</ds:datastoreItem>
</file>

<file path=customXml/itemProps3.xml><?xml version="1.0" encoding="utf-8"?>
<ds:datastoreItem xmlns:ds="http://schemas.openxmlformats.org/officeDocument/2006/customXml" ds:itemID="{F233B632-0AB7-4080-A581-A28BC5B8A0B8}">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41381e76-744a-4e4b-b609-0f774dbc893f"/>
    <ds:schemaRef ds:uri="82ff9d9b-d3fc-4aad-bc42-9949ee83b815"/>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EF0B5A09-78AF-493C-BB5B-ABE6AB859E38}">
  <ds:schemaRefs>
    <ds:schemaRef ds:uri="Microsoft.SharePoint.Taxonomy.ContentTypeSync"/>
  </ds:schemaRefs>
</ds:datastoreItem>
</file>

<file path=customXml/itemProps5.xml><?xml version="1.0" encoding="utf-8"?>
<ds:datastoreItem xmlns:ds="http://schemas.openxmlformats.org/officeDocument/2006/customXml" ds:itemID="{0EFA4458-67FE-4D53-B6C9-4E6F27A7CCD5}">
  <ds:schemaRefs>
    <ds:schemaRef ds:uri="http://schemas.microsoft.com/sharepoint/events"/>
  </ds:schemaRefs>
</ds:datastoreItem>
</file>

<file path=customXml/itemProps6.xml><?xml version="1.0" encoding="utf-8"?>
<ds:datastoreItem xmlns:ds="http://schemas.openxmlformats.org/officeDocument/2006/customXml" ds:itemID="{6F817195-3998-4905-98D7-240A62184A77}">
  <ds:schemaRefs>
    <ds:schemaRef ds:uri="http://schemas.microsoft.com/office/2006/metadata/longProperties"/>
  </ds:schemaRefs>
</ds:datastoreItem>
</file>

<file path=customXml/itemProps7.xml><?xml version="1.0" encoding="utf-8"?>
<ds:datastoreItem xmlns:ds="http://schemas.openxmlformats.org/officeDocument/2006/customXml" ds:itemID="{7AB5BAE5-6ECF-4B31-803B-D90EA65E0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PBS Template</Template>
  <TotalTime>0</TotalTime>
  <Pages>67</Pages>
  <Words>11161</Words>
  <Characters>69389</Characters>
  <Application>Microsoft Office Word</Application>
  <DocSecurity>0</DocSecurity>
  <Lines>578</Lines>
  <Paragraphs>160</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80390</CharactersWithSpaces>
  <SharedDoc>false</SharedDoc>
  <HLinks>
    <vt:vector size="144" baseType="variant">
      <vt:variant>
        <vt:i4>1114166</vt:i4>
      </vt:variant>
      <vt:variant>
        <vt:i4>125</vt:i4>
      </vt:variant>
      <vt:variant>
        <vt:i4>0</vt:i4>
      </vt:variant>
      <vt:variant>
        <vt:i4>5</vt:i4>
      </vt:variant>
      <vt:variant>
        <vt:lpwstr/>
      </vt:variant>
      <vt:variant>
        <vt:lpwstr>_Toc65243512</vt:lpwstr>
      </vt:variant>
      <vt:variant>
        <vt:i4>1179702</vt:i4>
      </vt:variant>
      <vt:variant>
        <vt:i4>119</vt:i4>
      </vt:variant>
      <vt:variant>
        <vt:i4>0</vt:i4>
      </vt:variant>
      <vt:variant>
        <vt:i4>5</vt:i4>
      </vt:variant>
      <vt:variant>
        <vt:lpwstr/>
      </vt:variant>
      <vt:variant>
        <vt:lpwstr>_Toc65243511</vt:lpwstr>
      </vt:variant>
      <vt:variant>
        <vt:i4>1245238</vt:i4>
      </vt:variant>
      <vt:variant>
        <vt:i4>113</vt:i4>
      </vt:variant>
      <vt:variant>
        <vt:i4>0</vt:i4>
      </vt:variant>
      <vt:variant>
        <vt:i4>5</vt:i4>
      </vt:variant>
      <vt:variant>
        <vt:lpwstr/>
      </vt:variant>
      <vt:variant>
        <vt:lpwstr>_Toc65243510</vt:lpwstr>
      </vt:variant>
      <vt:variant>
        <vt:i4>1703991</vt:i4>
      </vt:variant>
      <vt:variant>
        <vt:i4>107</vt:i4>
      </vt:variant>
      <vt:variant>
        <vt:i4>0</vt:i4>
      </vt:variant>
      <vt:variant>
        <vt:i4>5</vt:i4>
      </vt:variant>
      <vt:variant>
        <vt:lpwstr/>
      </vt:variant>
      <vt:variant>
        <vt:lpwstr>_Toc65243509</vt:lpwstr>
      </vt:variant>
      <vt:variant>
        <vt:i4>1769527</vt:i4>
      </vt:variant>
      <vt:variant>
        <vt:i4>101</vt:i4>
      </vt:variant>
      <vt:variant>
        <vt:i4>0</vt:i4>
      </vt:variant>
      <vt:variant>
        <vt:i4>5</vt:i4>
      </vt:variant>
      <vt:variant>
        <vt:lpwstr/>
      </vt:variant>
      <vt:variant>
        <vt:lpwstr>_Toc65243508</vt:lpwstr>
      </vt:variant>
      <vt:variant>
        <vt:i4>1310775</vt:i4>
      </vt:variant>
      <vt:variant>
        <vt:i4>95</vt:i4>
      </vt:variant>
      <vt:variant>
        <vt:i4>0</vt:i4>
      </vt:variant>
      <vt:variant>
        <vt:i4>5</vt:i4>
      </vt:variant>
      <vt:variant>
        <vt:lpwstr/>
      </vt:variant>
      <vt:variant>
        <vt:lpwstr>_Toc65243507</vt:lpwstr>
      </vt:variant>
      <vt:variant>
        <vt:i4>1376311</vt:i4>
      </vt:variant>
      <vt:variant>
        <vt:i4>89</vt:i4>
      </vt:variant>
      <vt:variant>
        <vt:i4>0</vt:i4>
      </vt:variant>
      <vt:variant>
        <vt:i4>5</vt:i4>
      </vt:variant>
      <vt:variant>
        <vt:lpwstr/>
      </vt:variant>
      <vt:variant>
        <vt:lpwstr>_Toc65243506</vt:lpwstr>
      </vt:variant>
      <vt:variant>
        <vt:i4>1441847</vt:i4>
      </vt:variant>
      <vt:variant>
        <vt:i4>83</vt:i4>
      </vt:variant>
      <vt:variant>
        <vt:i4>0</vt:i4>
      </vt:variant>
      <vt:variant>
        <vt:i4>5</vt:i4>
      </vt:variant>
      <vt:variant>
        <vt:lpwstr/>
      </vt:variant>
      <vt:variant>
        <vt:lpwstr>_Toc65243505</vt:lpwstr>
      </vt:variant>
      <vt:variant>
        <vt:i4>1048635</vt:i4>
      </vt:variant>
      <vt:variant>
        <vt:i4>74</vt:i4>
      </vt:variant>
      <vt:variant>
        <vt:i4>0</vt:i4>
      </vt:variant>
      <vt:variant>
        <vt:i4>5</vt:i4>
      </vt:variant>
      <vt:variant>
        <vt:lpwstr/>
      </vt:variant>
      <vt:variant>
        <vt:lpwstr>_Toc115190673</vt:lpwstr>
      </vt:variant>
      <vt:variant>
        <vt:i4>1048635</vt:i4>
      </vt:variant>
      <vt:variant>
        <vt:i4>68</vt:i4>
      </vt:variant>
      <vt:variant>
        <vt:i4>0</vt:i4>
      </vt:variant>
      <vt:variant>
        <vt:i4>5</vt:i4>
      </vt:variant>
      <vt:variant>
        <vt:lpwstr/>
      </vt:variant>
      <vt:variant>
        <vt:lpwstr>_Toc115190672</vt:lpwstr>
      </vt:variant>
      <vt:variant>
        <vt:i4>1048635</vt:i4>
      </vt:variant>
      <vt:variant>
        <vt:i4>62</vt:i4>
      </vt:variant>
      <vt:variant>
        <vt:i4>0</vt:i4>
      </vt:variant>
      <vt:variant>
        <vt:i4>5</vt:i4>
      </vt:variant>
      <vt:variant>
        <vt:lpwstr/>
      </vt:variant>
      <vt:variant>
        <vt:lpwstr>_Toc115190672</vt:lpwstr>
      </vt:variant>
      <vt:variant>
        <vt:i4>1048635</vt:i4>
      </vt:variant>
      <vt:variant>
        <vt:i4>56</vt:i4>
      </vt:variant>
      <vt:variant>
        <vt:i4>0</vt:i4>
      </vt:variant>
      <vt:variant>
        <vt:i4>5</vt:i4>
      </vt:variant>
      <vt:variant>
        <vt:lpwstr/>
      </vt:variant>
      <vt:variant>
        <vt:lpwstr>_Toc115190672</vt:lpwstr>
      </vt:variant>
      <vt:variant>
        <vt:i4>1048635</vt:i4>
      </vt:variant>
      <vt:variant>
        <vt:i4>50</vt:i4>
      </vt:variant>
      <vt:variant>
        <vt:i4>0</vt:i4>
      </vt:variant>
      <vt:variant>
        <vt:i4>5</vt:i4>
      </vt:variant>
      <vt:variant>
        <vt:lpwstr/>
      </vt:variant>
      <vt:variant>
        <vt:lpwstr>_Toc115190672</vt:lpwstr>
      </vt:variant>
      <vt:variant>
        <vt:i4>1048635</vt:i4>
      </vt:variant>
      <vt:variant>
        <vt:i4>44</vt:i4>
      </vt:variant>
      <vt:variant>
        <vt:i4>0</vt:i4>
      </vt:variant>
      <vt:variant>
        <vt:i4>5</vt:i4>
      </vt:variant>
      <vt:variant>
        <vt:lpwstr/>
      </vt:variant>
      <vt:variant>
        <vt:lpwstr>_Toc115190672</vt:lpwstr>
      </vt:variant>
      <vt:variant>
        <vt:i4>1048635</vt:i4>
      </vt:variant>
      <vt:variant>
        <vt:i4>38</vt:i4>
      </vt:variant>
      <vt:variant>
        <vt:i4>0</vt:i4>
      </vt:variant>
      <vt:variant>
        <vt:i4>5</vt:i4>
      </vt:variant>
      <vt:variant>
        <vt:lpwstr/>
      </vt:variant>
      <vt:variant>
        <vt:lpwstr>_Toc115190672</vt:lpwstr>
      </vt:variant>
      <vt:variant>
        <vt:i4>1048635</vt:i4>
      </vt:variant>
      <vt:variant>
        <vt:i4>32</vt:i4>
      </vt:variant>
      <vt:variant>
        <vt:i4>0</vt:i4>
      </vt:variant>
      <vt:variant>
        <vt:i4>5</vt:i4>
      </vt:variant>
      <vt:variant>
        <vt:lpwstr/>
      </vt:variant>
      <vt:variant>
        <vt:lpwstr>_Toc115190671</vt:lpwstr>
      </vt:variant>
      <vt:variant>
        <vt:i4>1048635</vt:i4>
      </vt:variant>
      <vt:variant>
        <vt:i4>26</vt:i4>
      </vt:variant>
      <vt:variant>
        <vt:i4>0</vt:i4>
      </vt:variant>
      <vt:variant>
        <vt:i4>5</vt:i4>
      </vt:variant>
      <vt:variant>
        <vt:lpwstr/>
      </vt:variant>
      <vt:variant>
        <vt:lpwstr>_Toc115190670</vt:lpwstr>
      </vt:variant>
      <vt:variant>
        <vt:i4>1114171</vt:i4>
      </vt:variant>
      <vt:variant>
        <vt:i4>20</vt:i4>
      </vt:variant>
      <vt:variant>
        <vt:i4>0</vt:i4>
      </vt:variant>
      <vt:variant>
        <vt:i4>5</vt:i4>
      </vt:variant>
      <vt:variant>
        <vt:lpwstr/>
      </vt:variant>
      <vt:variant>
        <vt:lpwstr>_Toc115190669</vt:lpwstr>
      </vt:variant>
      <vt:variant>
        <vt:i4>5374022</vt:i4>
      </vt:variant>
      <vt:variant>
        <vt:i4>15</vt:i4>
      </vt:variant>
      <vt:variant>
        <vt:i4>0</vt:i4>
      </vt:variant>
      <vt:variant>
        <vt:i4>5</vt:i4>
      </vt:variant>
      <vt:variant>
        <vt:lpwstr>http://www.budget.gov.au/</vt:lpwstr>
      </vt:variant>
      <vt:variant>
        <vt:lpwstr/>
      </vt:variant>
      <vt:variant>
        <vt:i4>1114222</vt:i4>
      </vt:variant>
      <vt:variant>
        <vt:i4>12</vt:i4>
      </vt:variant>
      <vt:variant>
        <vt:i4>0</vt:i4>
      </vt:variant>
      <vt:variant>
        <vt:i4>5</vt:i4>
      </vt:variant>
      <vt:variant>
        <vt:lpwstr>mailto:publicatins@finance.gov.au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2022-10-16T12:14:00Z</dcterms:created>
  <dcterms:modified xsi:type="dcterms:W3CDTF">2023-02-07T22:18:00Z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0x010100B321FEA60C5BA343A52BC94EC00ABC9E0700897FAFD4E9FB2F48B7915612E1634A86</vt:lpwstr>
  </property>
  <property fmtid="{D5CDD505-2E9C-101B-9397-08002B2CF9AE}" pid="3" name="TaxKeyword">
    <vt:lpwstr/>
  </property>
  <property fmtid="{D5CDD505-2E9C-101B-9397-08002B2CF9AE}" pid="4" name="AbtEntity">
    <vt:lpwstr/>
  </property>
  <property fmtid="{D5CDD505-2E9C-101B-9397-08002B2CF9AE}" pid="5" name="InitiatingEntity">
    <vt:lpwstr/>
  </property>
  <property fmtid="{D5CDD505-2E9C-101B-9397-08002B2CF9AE}" pid="6" name="Function and Activity">
    <vt:lpwstr/>
  </property>
  <property fmtid="{D5CDD505-2E9C-101B-9397-08002B2CF9AE}" pid="7" name="OrgUnit">
    <vt:lpwstr/>
  </property>
  <property fmtid="{D5CDD505-2E9C-101B-9397-08002B2CF9AE}" pid="8" name="_dlc_DocIdItemGuid">
    <vt:lpwstr>b6d882b0-3499-4a67-ab35-8217a188b696</vt:lpwstr>
  </property>
  <property fmtid="{D5CDD505-2E9C-101B-9397-08002B2CF9AE}" pid="9" name="_dlc_DocId">
    <vt:lpwstr>FIN33506-1658115890-276306</vt:lpwstr>
  </property>
  <property fmtid="{D5CDD505-2E9C-101B-9397-08002B2CF9AE}" pid="10" name="_dlc_DocIdUrl">
    <vt:lpwstr>https://f1.prdmgd.finance.gov.au/sites/50033506/_layouts/15/DocIdRedir.aspx?ID=FIN33506-1658115890-276306, FIN33506-1658115890-276306</vt:lpwstr>
  </property>
</Properties>
</file>