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9EF7" w14:textId="77777777" w:rsidR="00236901" w:rsidRDefault="00236901" w:rsidP="00236901">
      <w:pPr>
        <w:spacing w:before="360"/>
        <w:ind w:right="95"/>
        <w:jc w:val="center"/>
      </w:pPr>
      <w:bookmarkStart w:id="0" w:name="_GoBack"/>
      <w:bookmarkEnd w:id="0"/>
      <w:r>
        <w:rPr>
          <w:caps/>
          <w:noProof/>
          <w:lang w:eastAsia="en-AU"/>
        </w:rPr>
        <w:drawing>
          <wp:inline distT="0" distB="0" distL="0" distR="0" wp14:anchorId="138EB7E1" wp14:editId="653100BD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43050" w14:textId="77777777" w:rsidR="00236901" w:rsidRPr="00EC7701" w:rsidRDefault="5915E83B" w:rsidP="5915E83B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5915E83B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="00236901">
        <w:br/>
      </w:r>
      <w:r w:rsidRPr="5915E83B">
        <w:rPr>
          <w:rFonts w:ascii="Montserrat Light" w:hAnsi="Montserrat Light"/>
          <w:sz w:val="32"/>
          <w:szCs w:val="32"/>
        </w:rPr>
        <w:t>JOINT COMMITTEE OF P</w:t>
      </w:r>
      <w:r w:rsidR="004C328B">
        <w:rPr>
          <w:rFonts w:ascii="Montserrat Light" w:hAnsi="Montserrat Light"/>
          <w:sz w:val="32"/>
          <w:szCs w:val="32"/>
        </w:rPr>
        <w:t>UBLIC ACCOUNTS AND AUDIT REPORT</w:t>
      </w:r>
      <w:r w:rsidR="00D269AB">
        <w:rPr>
          <w:rFonts w:ascii="Montserrat Light" w:hAnsi="Montserrat Light"/>
          <w:sz w:val="32"/>
          <w:szCs w:val="32"/>
        </w:rPr>
        <w:t xml:space="preserve"> 492</w:t>
      </w:r>
      <w:r w:rsidRPr="5915E83B">
        <w:rPr>
          <w:rFonts w:ascii="Montserrat Light" w:hAnsi="Montserrat Light"/>
          <w:sz w:val="32"/>
          <w:szCs w:val="32"/>
        </w:rPr>
        <w:t>:</w:t>
      </w:r>
    </w:p>
    <w:p w14:paraId="169E4AF3" w14:textId="77777777" w:rsidR="00236901" w:rsidRPr="00EC7701" w:rsidRDefault="004C328B" w:rsidP="5915E83B">
      <w:pPr>
        <w:spacing w:before="240"/>
        <w:jc w:val="center"/>
        <w:rPr>
          <w:rFonts w:ascii="Montserrat Light" w:hAnsi="Montserrat Light"/>
          <w:sz w:val="32"/>
          <w:szCs w:val="32"/>
        </w:rPr>
      </w:pPr>
      <w:r>
        <w:rPr>
          <w:rFonts w:ascii="Montserrat Light" w:hAnsi="Montserrat Light"/>
          <w:sz w:val="32"/>
          <w:szCs w:val="32"/>
        </w:rPr>
        <w:t>Governance in the Stewardship of Public Resources</w:t>
      </w:r>
      <w:r w:rsidR="00B413F2">
        <w:rPr>
          <w:rFonts w:ascii="Montserrat Light" w:hAnsi="Montserrat Light"/>
          <w:sz w:val="32"/>
          <w:szCs w:val="32"/>
        </w:rPr>
        <w:t xml:space="preserve"> – Recommendation 12</w:t>
      </w:r>
    </w:p>
    <w:p w14:paraId="51AE169B" w14:textId="77777777" w:rsidR="5915E83B" w:rsidRDefault="5915E83B" w:rsidP="5915E83B"/>
    <w:p w14:paraId="1EA61958" w14:textId="77777777" w:rsidR="00D269AB" w:rsidRDefault="00D269AB" w:rsidP="5915E83B"/>
    <w:p w14:paraId="6527010F" w14:textId="77777777" w:rsidR="00D269AB" w:rsidRDefault="00D269AB" w:rsidP="5915E83B"/>
    <w:p w14:paraId="24609037" w14:textId="77777777" w:rsidR="00D269AB" w:rsidRDefault="00D269AB" w:rsidP="5915E83B"/>
    <w:p w14:paraId="278959CF" w14:textId="77777777" w:rsidR="00D269AB" w:rsidRDefault="00D269AB" w:rsidP="5915E83B"/>
    <w:p w14:paraId="5B472D25" w14:textId="77777777" w:rsidR="00D269AB" w:rsidRDefault="00D269AB" w:rsidP="5915E83B"/>
    <w:p w14:paraId="549BC134" w14:textId="77777777" w:rsidR="00D269AB" w:rsidRDefault="00D269AB" w:rsidP="5915E83B"/>
    <w:p w14:paraId="764FBCC8" w14:textId="77777777" w:rsidR="00D269AB" w:rsidRDefault="00D269AB" w:rsidP="5915E83B"/>
    <w:p w14:paraId="6C0A3D23" w14:textId="77777777" w:rsidR="00D269AB" w:rsidRDefault="00D269AB" w:rsidP="5915E83B"/>
    <w:p w14:paraId="5FD86AEA" w14:textId="77777777" w:rsidR="00D269AB" w:rsidRDefault="00D269AB" w:rsidP="5915E83B"/>
    <w:p w14:paraId="0C8A6EF3" w14:textId="77777777" w:rsidR="00D269AB" w:rsidRDefault="00D269AB" w:rsidP="5915E83B"/>
    <w:p w14:paraId="35CF0EE2" w14:textId="77777777" w:rsidR="00D269AB" w:rsidRDefault="00D269AB" w:rsidP="5915E83B"/>
    <w:p w14:paraId="637ACD31" w14:textId="77777777" w:rsidR="00D269AB" w:rsidRDefault="00D269AB" w:rsidP="5915E83B"/>
    <w:p w14:paraId="791EA983" w14:textId="77777777" w:rsidR="00D269AB" w:rsidRDefault="00D269AB" w:rsidP="5915E83B"/>
    <w:p w14:paraId="285A0931" w14:textId="77777777" w:rsidR="00D269AB" w:rsidRDefault="00D269AB" w:rsidP="5915E83B"/>
    <w:p w14:paraId="211F675B" w14:textId="77777777" w:rsidR="00D269AB" w:rsidRDefault="00D269AB" w:rsidP="5915E83B"/>
    <w:p w14:paraId="4CCCDDA2" w14:textId="77777777" w:rsidR="00D269AB" w:rsidRDefault="00D269AB" w:rsidP="5915E83B"/>
    <w:p w14:paraId="6A5F65F1" w14:textId="77777777" w:rsidR="00D269AB" w:rsidRDefault="00D269AB" w:rsidP="5915E83B"/>
    <w:p w14:paraId="68D6C370" w14:textId="77777777" w:rsidR="00D269AB" w:rsidRDefault="00D269AB" w:rsidP="5915E83B"/>
    <w:p w14:paraId="12148751" w14:textId="77777777" w:rsidR="00D269AB" w:rsidRDefault="00D269AB" w:rsidP="5915E83B"/>
    <w:p w14:paraId="3897E9EB" w14:textId="77777777" w:rsidR="00D269AB" w:rsidRDefault="00D269AB" w:rsidP="5915E83B"/>
    <w:p w14:paraId="36F5BEC1" w14:textId="77777777" w:rsidR="00D269AB" w:rsidRDefault="00D269AB" w:rsidP="5915E83B"/>
    <w:p w14:paraId="0CA3B88D" w14:textId="77777777" w:rsidR="00D269AB" w:rsidRDefault="00D269AB" w:rsidP="5915E83B"/>
    <w:p w14:paraId="7FEBA2CE" w14:textId="77777777" w:rsidR="00D269AB" w:rsidRDefault="00D269AB" w:rsidP="5915E83B"/>
    <w:p w14:paraId="0DD1B1C6" w14:textId="77777777" w:rsidR="00D269AB" w:rsidRDefault="00D269AB" w:rsidP="5915E83B"/>
    <w:p w14:paraId="409DB300" w14:textId="77777777" w:rsidR="00D269AB" w:rsidRDefault="00D269AB" w:rsidP="5915E83B"/>
    <w:p w14:paraId="7CE8D812" w14:textId="77777777" w:rsidR="00D269AB" w:rsidRDefault="00D269AB" w:rsidP="5915E83B"/>
    <w:p w14:paraId="0BB618E9" w14:textId="77777777" w:rsidR="00D269AB" w:rsidRDefault="00D269AB" w:rsidP="5915E83B"/>
    <w:p w14:paraId="63E66B8C" w14:textId="77777777" w:rsidR="00D269AB" w:rsidRDefault="00D269AB" w:rsidP="5915E83B"/>
    <w:p w14:paraId="19B8CFF3" w14:textId="77777777" w:rsidR="00D269AB" w:rsidRDefault="00D269AB" w:rsidP="5915E83B"/>
    <w:p w14:paraId="620E5AF1" w14:textId="77777777" w:rsidR="00D269AB" w:rsidRDefault="00D269AB" w:rsidP="5915E83B"/>
    <w:p w14:paraId="5BC3BC32" w14:textId="77777777" w:rsidR="00D269AB" w:rsidRDefault="00D269AB" w:rsidP="5915E83B"/>
    <w:p w14:paraId="7F17B289" w14:textId="77777777" w:rsidR="00D269AB" w:rsidRDefault="00D269AB" w:rsidP="5915E83B"/>
    <w:p w14:paraId="4B2932F2" w14:textId="260568E6" w:rsidR="00D269AB" w:rsidRPr="00120BC6" w:rsidRDefault="00F67ACF">
      <w:pPr>
        <w:ind w:left="648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Montserrat Light" w:hAnsi="Montserrat Light"/>
          <w:sz w:val="28"/>
          <w:szCs w:val="28"/>
        </w:rPr>
        <w:t>November</w:t>
      </w:r>
      <w:r w:rsidRPr="00EC7701">
        <w:rPr>
          <w:rFonts w:ascii="Montserrat Light" w:hAnsi="Montserrat Light"/>
          <w:sz w:val="28"/>
          <w:szCs w:val="28"/>
        </w:rPr>
        <w:t xml:space="preserve"> </w:t>
      </w:r>
      <w:r w:rsidR="00D269AB">
        <w:rPr>
          <w:rFonts w:ascii="Montserrat Light" w:hAnsi="Montserrat Light"/>
          <w:sz w:val="28"/>
          <w:szCs w:val="28"/>
        </w:rPr>
        <w:t>2022</w:t>
      </w:r>
    </w:p>
    <w:p w14:paraId="06944D74" w14:textId="77777777" w:rsidR="00B95A65" w:rsidRDefault="00B95A65" w:rsidP="5915E83B">
      <w:pPr>
        <w:rPr>
          <w:rFonts w:asciiTheme="minorHAnsi" w:eastAsiaTheme="minorEastAsia" w:hAnsiTheme="minorHAnsi" w:cstheme="minorBidi"/>
          <w:b/>
          <w:sz w:val="36"/>
          <w:szCs w:val="36"/>
        </w:rPr>
      </w:pPr>
    </w:p>
    <w:p w14:paraId="026BFEF6" w14:textId="77777777" w:rsidR="000B010F" w:rsidRPr="000B010F" w:rsidRDefault="000B010F" w:rsidP="5915E83B">
      <w:pPr>
        <w:rPr>
          <w:b/>
          <w:sz w:val="32"/>
          <w:szCs w:val="32"/>
        </w:rPr>
      </w:pPr>
      <w:r w:rsidRPr="003132DB">
        <w:rPr>
          <w:rFonts w:asciiTheme="minorHAnsi" w:eastAsiaTheme="minorEastAsia" w:hAnsiTheme="minorHAnsi" w:cstheme="minorBidi"/>
          <w:b/>
          <w:sz w:val="36"/>
          <w:szCs w:val="36"/>
        </w:rPr>
        <w:lastRenderedPageBreak/>
        <w:t xml:space="preserve">Response to the Committee’s Recommendation </w:t>
      </w:r>
    </w:p>
    <w:p w14:paraId="0420D01A" w14:textId="77777777" w:rsidR="00D269AB" w:rsidRDefault="008F5D00" w:rsidP="5915E83B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00B010F">
        <w:rPr>
          <w:rFonts w:asciiTheme="minorHAnsi" w:eastAsiaTheme="minorEastAsia" w:hAnsiTheme="minorHAnsi" w:cstheme="minorBidi"/>
          <w:b/>
          <w:bCs/>
          <w:i/>
          <w:iCs/>
          <w:noProof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F62FDF" wp14:editId="3697565A">
                <wp:simplePos x="0" y="0"/>
                <wp:positionH relativeFrom="margin">
                  <wp:align>left</wp:align>
                </wp:positionH>
                <wp:positionV relativeFrom="paragraph">
                  <wp:posOffset>226094</wp:posOffset>
                </wp:positionV>
                <wp:extent cx="5963920" cy="1404620"/>
                <wp:effectExtent l="0" t="0" r="17780" b="1778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89A74" w14:textId="77777777" w:rsidR="00357817" w:rsidRPr="000B010F" w:rsidRDefault="00357817" w:rsidP="00D269AB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22"/>
                                <w:szCs w:val="22"/>
                              </w:rPr>
                            </w:pPr>
                            <w:r w:rsidRPr="000B010F">
                              <w:rPr>
                                <w:rFonts w:asciiTheme="minorHAnsi" w:eastAsiaTheme="minorEastAsia" w:hAnsiTheme="minorHAnsi" w:cstheme="minorBidi"/>
                                <w:b/>
                                <w:sz w:val="22"/>
                                <w:szCs w:val="22"/>
                              </w:rPr>
                              <w:t xml:space="preserve">Recommendation 12: </w:t>
                            </w:r>
                          </w:p>
                          <w:p w14:paraId="1EAA333A" w14:textId="77777777" w:rsidR="00357817" w:rsidRPr="000B010F" w:rsidRDefault="00357817" w:rsidP="00D269AB">
                            <w:pP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</w:pPr>
                            <w:r w:rsidRPr="00AB73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6.62 </w:t>
                            </w:r>
                            <w:r w:rsidR="00640A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B010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The Committee recommends that the Department of Finance (Finance):</w:t>
                            </w:r>
                          </w:p>
                          <w:p w14:paraId="027BFECF" w14:textId="77777777" w:rsidR="00357817" w:rsidRPr="000B010F" w:rsidRDefault="00357817" w:rsidP="000B01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</w:pPr>
                            <w:r w:rsidRPr="000B010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provide an update on its review of the Lands Acquisitions Act 1989 and how the findings of Auditor-General Report 9 (2020-21) and the Independent Review of the Leppington Triangle Acquisition (Sententia Consulting, May 2021) have informed Finance’s review, and subsequent guidance issued to Commonwealth entities;</w:t>
                            </w:r>
                          </w:p>
                          <w:p w14:paraId="69EAEA4B" w14:textId="77777777" w:rsidR="00357817" w:rsidRPr="000B010F" w:rsidRDefault="00357817" w:rsidP="000B01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</w:pPr>
                            <w:r w:rsidRPr="000B010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pending any systemic changes, adopt a clear default presumption that compulsory acquisition powers shall be used for land acquisition; and</w:t>
                            </w:r>
                          </w:p>
                          <w:p w14:paraId="742B27B2" w14:textId="77777777" w:rsidR="00357817" w:rsidRDefault="00357817" w:rsidP="00120B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B010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only permit ‘off-market’ voluntary acquisitions when carefully justified and thoroughly documented, in which case compulsory acquisition methodology should be used as a benchmark to help ensure that a situation like the Leppington Triangle purchase does not happen again.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62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8pt;width:469.6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">
                <v:textbox style="mso-fit-shape-to-text:t">
                  <w:txbxContent>
                    <w:p w14:paraId="66D89A74" w14:textId="77777777" w:rsidR="00357817" w:rsidRPr="000B010F" w:rsidRDefault="00357817" w:rsidP="00D269AB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22"/>
                          <w:szCs w:val="22"/>
                        </w:rPr>
                      </w:pPr>
                      <w:r w:rsidRPr="000B010F">
                        <w:rPr>
                          <w:rFonts w:asciiTheme="minorHAnsi" w:eastAsiaTheme="minorEastAsia" w:hAnsiTheme="minorHAnsi" w:cstheme="minorBidi"/>
                          <w:b/>
                          <w:sz w:val="22"/>
                          <w:szCs w:val="22"/>
                        </w:rPr>
                        <w:t xml:space="preserve">Recommendation 12: </w:t>
                      </w:r>
                    </w:p>
                    <w:p w14:paraId="1EAA333A" w14:textId="77777777" w:rsidR="00357817" w:rsidRPr="000B010F" w:rsidRDefault="00357817" w:rsidP="00D269AB">
                      <w:pP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</w:pPr>
                      <w:r w:rsidRPr="00AB73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6.62 </w:t>
                      </w:r>
                      <w:r w:rsidR="00640A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0B010F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  <w:t>The Committee recommends that the Department of Finance (Finance):</w:t>
                      </w:r>
                    </w:p>
                    <w:p w14:paraId="027BFECF" w14:textId="77777777" w:rsidR="00357817" w:rsidRPr="000B010F" w:rsidRDefault="00357817" w:rsidP="000B01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</w:pPr>
                      <w:r w:rsidRPr="000B010F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  <w:t>provide an update on its review of the Lands Acquisitions Act 1989 and how the findings of Auditor-General Report 9 (2020-21) and the Independent Review of the Leppington Triangle Acquisition (Sententia Consulting, May 2021) have informed Finance’s review, and subsequent guidance issued to Commonwealth entities;</w:t>
                      </w:r>
                    </w:p>
                    <w:p w14:paraId="69EAEA4B" w14:textId="77777777" w:rsidR="00357817" w:rsidRPr="000B010F" w:rsidRDefault="00357817" w:rsidP="000B01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</w:pPr>
                      <w:r w:rsidRPr="000B010F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  <w:t>pending any systemic changes, adopt a clear default presumption that compulsory acquisition powers shall be used for land acquisition; and</w:t>
                      </w:r>
                    </w:p>
                    <w:p w14:paraId="742B27B2" w14:textId="77777777" w:rsidR="00357817" w:rsidRDefault="00357817" w:rsidP="00120BC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B010F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  <w:t>only permit ‘off-market’ voluntary acquisitions when carefully justified and thoroughly documented, in which case compulsory acquisition methodology should be used as a benchmark to help ensure that a situation like the Leppington Triangle purchase does not happen again.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DC39C7" w14:textId="77777777" w:rsidR="008F5D00" w:rsidRDefault="008F5D00" w:rsidP="5915E83B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0A1914E" w14:textId="77777777" w:rsidR="5915E83B" w:rsidRPr="00120BC6" w:rsidRDefault="00D269AB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CA27A2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Not Agreed</w:t>
      </w:r>
      <w:r w:rsidR="000B010F" w:rsidRPr="0CA27A2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.</w:t>
      </w:r>
      <w:r w:rsidRPr="0CA27A2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21501802" w14:textId="77777777" w:rsidR="5915E83B" w:rsidRDefault="5915E83B" w:rsidP="5915E83B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4C07C743" w14:textId="77777777" w:rsidR="00FD4436" w:rsidRDefault="00640AD9" w:rsidP="00F45C7B">
      <w:pPr>
        <w:rPr>
          <w:rFonts w:asciiTheme="minorHAnsi" w:eastAsiaTheme="minorEastAsia" w:hAnsiTheme="minorHAnsi" w:cstheme="minorBidi"/>
          <w:sz w:val="22"/>
          <w:szCs w:val="22"/>
        </w:rPr>
      </w:pPr>
      <w:r w:rsidRPr="1DFCD134">
        <w:rPr>
          <w:rFonts w:asciiTheme="minorHAnsi" w:eastAsiaTheme="minorEastAsia" w:hAnsiTheme="minorHAnsi" w:cstheme="minorBidi"/>
          <w:sz w:val="22"/>
          <w:szCs w:val="22"/>
        </w:rPr>
        <w:t xml:space="preserve">The Report on the Review of the </w:t>
      </w:r>
      <w:r w:rsidRPr="00120BC6">
        <w:rPr>
          <w:rFonts w:asciiTheme="minorHAnsi" w:eastAsiaTheme="minorEastAsia" w:hAnsiTheme="minorHAnsi" w:cstheme="minorBidi"/>
          <w:i/>
          <w:iCs/>
          <w:sz w:val="22"/>
          <w:szCs w:val="22"/>
        </w:rPr>
        <w:t>Lands Acquisition Act 1989</w:t>
      </w:r>
      <w:r w:rsidRPr="1DFCD134">
        <w:rPr>
          <w:rFonts w:asciiTheme="minorHAnsi" w:eastAsiaTheme="minorEastAsia" w:hAnsiTheme="minorHAnsi" w:cstheme="minorBidi"/>
          <w:sz w:val="22"/>
          <w:szCs w:val="22"/>
        </w:rPr>
        <w:t xml:space="preserve"> was published in August 2021 on the Department of Finance website. </w:t>
      </w:r>
      <w:r w:rsidR="00F45C7B" w:rsidRPr="0CA27A2D">
        <w:rPr>
          <w:rFonts w:asciiTheme="minorHAnsi" w:eastAsiaTheme="minorEastAsia" w:hAnsiTheme="minorHAnsi" w:cstheme="minorBidi"/>
          <w:sz w:val="22"/>
          <w:szCs w:val="22"/>
        </w:rPr>
        <w:t xml:space="preserve">The Review found the legislative framework of the LAA, coupled with the legislative requirements of the </w:t>
      </w:r>
      <w:r w:rsidR="00F45C7B" w:rsidRPr="0CA27A2D">
        <w:rPr>
          <w:rFonts w:asciiTheme="minorHAnsi" w:eastAsiaTheme="minorEastAsia" w:hAnsiTheme="minorHAnsi" w:cstheme="minorBidi"/>
          <w:i/>
          <w:iCs/>
          <w:sz w:val="22"/>
          <w:szCs w:val="22"/>
        </w:rPr>
        <w:t>Public Governance, Performance and Accountability Act 2013</w:t>
      </w:r>
      <w:r w:rsidR="00F45C7B" w:rsidRPr="0CA27A2D">
        <w:rPr>
          <w:rFonts w:asciiTheme="minorHAnsi" w:eastAsiaTheme="minorEastAsia" w:hAnsiTheme="minorHAnsi" w:cstheme="minorBidi"/>
          <w:sz w:val="22"/>
          <w:szCs w:val="22"/>
        </w:rPr>
        <w:t xml:space="preserve">, is appropriate and provides suitable safeguards to ensure </w:t>
      </w:r>
      <w:r w:rsidR="00EB65B8">
        <w:rPr>
          <w:rFonts w:asciiTheme="minorHAnsi" w:eastAsiaTheme="minorEastAsia" w:hAnsiTheme="minorHAnsi" w:cstheme="minorBidi"/>
          <w:sz w:val="22"/>
          <w:szCs w:val="22"/>
        </w:rPr>
        <w:t>appropriate conduct and outcomes</w:t>
      </w:r>
      <w:r w:rsidR="00F45C7B" w:rsidRPr="0CA27A2D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F45C7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7994EAC" w14:textId="77777777" w:rsidR="00FD4436" w:rsidRDefault="00FD4436" w:rsidP="00F45C7B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8B5C0D2" w14:textId="00D64E24" w:rsidR="00F45C7B" w:rsidRDefault="00F45C7B" w:rsidP="00F45C7B">
      <w:pPr>
        <w:rPr>
          <w:rFonts w:asciiTheme="minorHAnsi" w:eastAsiaTheme="minorEastAsia" w:hAnsiTheme="minorHAnsi" w:cstheme="minorBidi"/>
          <w:sz w:val="22"/>
          <w:szCs w:val="22"/>
        </w:rPr>
      </w:pPr>
      <w:r w:rsidRPr="00F45C7B">
        <w:rPr>
          <w:rFonts w:asciiTheme="minorHAnsi" w:eastAsiaTheme="minorEastAsia" w:hAnsiTheme="minorHAnsi" w:cstheme="minorBidi"/>
          <w:sz w:val="22"/>
          <w:szCs w:val="22"/>
        </w:rPr>
        <w:t xml:space="preserve">The Review made 16 recommendations for targeted legislative, policy and administrative </w:t>
      </w:r>
      <w:r w:rsidR="002B0939">
        <w:rPr>
          <w:rFonts w:asciiTheme="minorHAnsi" w:eastAsiaTheme="minorEastAsia" w:hAnsiTheme="minorHAnsi" w:cstheme="minorBidi"/>
          <w:sz w:val="22"/>
          <w:szCs w:val="22"/>
        </w:rPr>
        <w:t>changes</w:t>
      </w:r>
      <w:r w:rsidR="00FD4436">
        <w:rPr>
          <w:rFonts w:asciiTheme="minorHAnsi" w:eastAsiaTheme="minorEastAsia" w:hAnsiTheme="minorHAnsi" w:cstheme="minorBidi"/>
          <w:sz w:val="22"/>
          <w:szCs w:val="22"/>
        </w:rPr>
        <w:t>. This</w:t>
      </w:r>
      <w:r w:rsidR="002B0939">
        <w:rPr>
          <w:rFonts w:asciiTheme="minorHAnsi" w:eastAsiaTheme="minorEastAsia" w:hAnsiTheme="minorHAnsi" w:cstheme="minorBidi"/>
          <w:sz w:val="22"/>
          <w:szCs w:val="22"/>
        </w:rPr>
        <w:t xml:space="preserve"> includ</w:t>
      </w:r>
      <w:r w:rsidR="00FD4436">
        <w:rPr>
          <w:rFonts w:asciiTheme="minorHAnsi" w:eastAsiaTheme="minorEastAsia" w:hAnsiTheme="minorHAnsi" w:cstheme="minorBidi"/>
          <w:sz w:val="22"/>
          <w:szCs w:val="22"/>
        </w:rPr>
        <w:t>ed</w:t>
      </w:r>
      <w:r w:rsidR="002B0939">
        <w:rPr>
          <w:rFonts w:asciiTheme="minorHAnsi" w:eastAsiaTheme="minorEastAsia" w:hAnsiTheme="minorHAnsi" w:cstheme="minorBidi"/>
          <w:sz w:val="22"/>
          <w:szCs w:val="22"/>
        </w:rPr>
        <w:t xml:space="preserve"> additional guidance</w:t>
      </w:r>
      <w:r w:rsidRPr="00F45C7B">
        <w:rPr>
          <w:rFonts w:asciiTheme="minorHAnsi" w:eastAsiaTheme="minorEastAsia" w:hAnsiTheme="minorHAnsi" w:cstheme="minorBidi"/>
          <w:sz w:val="22"/>
          <w:szCs w:val="22"/>
        </w:rPr>
        <w:t xml:space="preserve"> to </w:t>
      </w:r>
      <w:r w:rsidR="002B0939">
        <w:rPr>
          <w:rFonts w:asciiTheme="minorHAnsi" w:eastAsiaTheme="minorEastAsia" w:hAnsiTheme="minorHAnsi" w:cstheme="minorBidi"/>
          <w:sz w:val="22"/>
          <w:szCs w:val="22"/>
        </w:rPr>
        <w:t xml:space="preserve">provide better support and greater clarity and certainty to landholders and </w:t>
      </w:r>
      <w:r w:rsidR="000C1491">
        <w:rPr>
          <w:rFonts w:asciiTheme="minorHAnsi" w:eastAsiaTheme="minorEastAsia" w:hAnsiTheme="minorHAnsi" w:cstheme="minorBidi"/>
          <w:sz w:val="22"/>
          <w:szCs w:val="22"/>
        </w:rPr>
        <w:t xml:space="preserve">government </w:t>
      </w:r>
      <w:r w:rsidR="002B0939">
        <w:rPr>
          <w:rFonts w:asciiTheme="minorHAnsi" w:eastAsiaTheme="minorEastAsia" w:hAnsiTheme="minorHAnsi" w:cstheme="minorBidi"/>
          <w:sz w:val="22"/>
          <w:szCs w:val="22"/>
        </w:rPr>
        <w:t>officials</w:t>
      </w:r>
      <w:r w:rsidRPr="00F45C7B">
        <w:rPr>
          <w:rFonts w:asciiTheme="minorHAnsi" w:eastAsiaTheme="minorEastAsia" w:hAnsiTheme="minorHAnsi" w:cstheme="minorBidi"/>
          <w:sz w:val="22"/>
          <w:szCs w:val="22"/>
        </w:rPr>
        <w:t>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A4B2D">
        <w:rPr>
          <w:rFonts w:asciiTheme="minorHAnsi" w:eastAsiaTheme="minorEastAsia" w:hAnsiTheme="minorHAnsi" w:cstheme="minorBidi"/>
          <w:sz w:val="22"/>
          <w:szCs w:val="22"/>
        </w:rPr>
        <w:t>The Government agree</w:t>
      </w:r>
      <w:r w:rsidR="000B5B7D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FA4B2D">
        <w:rPr>
          <w:rFonts w:asciiTheme="minorHAnsi" w:eastAsiaTheme="minorEastAsia" w:hAnsiTheme="minorHAnsi" w:cstheme="minorBidi"/>
          <w:sz w:val="22"/>
          <w:szCs w:val="22"/>
        </w:rPr>
        <w:t xml:space="preserve"> to all </w:t>
      </w:r>
      <w:r w:rsidR="00777555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="00FA4B2D">
        <w:rPr>
          <w:rFonts w:asciiTheme="minorHAnsi" w:eastAsiaTheme="minorEastAsia" w:hAnsiTheme="minorHAnsi" w:cstheme="minorBidi"/>
          <w:sz w:val="22"/>
          <w:szCs w:val="22"/>
        </w:rPr>
        <w:t xml:space="preserve">recommendations, </w:t>
      </w:r>
      <w:r w:rsidR="000B5B7D">
        <w:rPr>
          <w:rFonts w:asciiTheme="minorHAnsi" w:eastAsiaTheme="minorEastAsia" w:hAnsiTheme="minorHAnsi" w:cstheme="minorBidi"/>
          <w:sz w:val="22"/>
          <w:szCs w:val="22"/>
        </w:rPr>
        <w:t xml:space="preserve">including those that were agreed and implemented by the previous </w:t>
      </w:r>
      <w:r>
        <w:rPr>
          <w:rFonts w:asciiTheme="minorHAnsi" w:eastAsiaTheme="minorEastAsia" w:hAnsiTheme="minorHAnsi" w:cstheme="minorBidi"/>
          <w:sz w:val="22"/>
          <w:szCs w:val="22"/>
        </w:rPr>
        <w:t>Government.</w:t>
      </w:r>
    </w:p>
    <w:p w14:paraId="0FB305B1" w14:textId="77777777" w:rsidR="00F45C7B" w:rsidRPr="00120BC6" w:rsidRDefault="00F45C7B" w:rsidP="00F45C7B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1EE2320" w14:textId="29FDB1AA" w:rsidR="00226F42" w:rsidRDefault="008E5745" w:rsidP="000C1491">
      <w:pPr>
        <w:rPr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</w:t>
      </w:r>
      <w:r w:rsidR="00640AD9" w:rsidRPr="1DFCD134">
        <w:rPr>
          <w:rFonts w:asciiTheme="minorHAnsi" w:eastAsiaTheme="minorEastAsia" w:hAnsiTheme="minorHAnsi" w:cstheme="minorBidi"/>
          <w:sz w:val="22"/>
          <w:szCs w:val="22"/>
        </w:rPr>
        <w:t xml:space="preserve">he </w:t>
      </w:r>
      <w:r w:rsidR="000C1491">
        <w:rPr>
          <w:rFonts w:asciiTheme="minorHAnsi" w:eastAsiaTheme="minorEastAsia" w:hAnsiTheme="minorHAnsi" w:cstheme="minorBidi"/>
          <w:sz w:val="22"/>
          <w:szCs w:val="22"/>
        </w:rPr>
        <w:t xml:space="preserve">LAA </w:t>
      </w:r>
      <w:r w:rsidR="00640AD9" w:rsidRPr="1DFCD134">
        <w:rPr>
          <w:rFonts w:asciiTheme="minorHAnsi" w:eastAsiaTheme="minorEastAsia" w:hAnsiTheme="minorHAnsi" w:cstheme="minorBidi"/>
          <w:sz w:val="22"/>
          <w:szCs w:val="22"/>
        </w:rPr>
        <w:t xml:space="preserve">Review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recommendations </w:t>
      </w:r>
      <w:r w:rsidR="00C62360">
        <w:rPr>
          <w:rFonts w:asciiTheme="minorHAnsi" w:eastAsiaTheme="minorEastAsia" w:hAnsiTheme="minorHAnsi" w:cstheme="minorBidi"/>
          <w:sz w:val="22"/>
          <w:szCs w:val="22"/>
        </w:rPr>
        <w:t>were informed by the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lessons from </w:t>
      </w:r>
      <w:r w:rsidR="00640AD9" w:rsidRPr="1DFCD134">
        <w:rPr>
          <w:rFonts w:asciiTheme="minorHAnsi" w:eastAsiaTheme="minorEastAsia" w:hAnsiTheme="minorHAnsi" w:cstheme="minorBidi"/>
          <w:sz w:val="22"/>
          <w:szCs w:val="22"/>
        </w:rPr>
        <w:t>the Australian National Audit Office</w:t>
      </w:r>
      <w:r w:rsidR="008A3CA4">
        <w:rPr>
          <w:rFonts w:asciiTheme="minorHAnsi" w:eastAsiaTheme="minorEastAsia" w:hAnsiTheme="minorHAnsi" w:cstheme="minorBidi"/>
          <w:sz w:val="22"/>
          <w:szCs w:val="22"/>
        </w:rPr>
        <w:t>’s report into</w:t>
      </w:r>
      <w:r w:rsidR="00640AD9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the Leppington Triangle</w:t>
      </w:r>
      <w:r w:rsidR="000C1CBA">
        <w:rPr>
          <w:rFonts w:asciiTheme="minorHAnsi" w:eastAsiaTheme="minorEastAsia" w:hAnsiTheme="minorHAnsi" w:cstheme="minorBidi"/>
          <w:sz w:val="22"/>
          <w:szCs w:val="22"/>
        </w:rPr>
        <w:t xml:space="preserve"> purchase</w:t>
      </w:r>
      <w:r w:rsidR="00640AD9" w:rsidRPr="1DFCD134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Th</w:t>
      </w:r>
      <w:r w:rsidR="000C1CBA">
        <w:rPr>
          <w:rFonts w:asciiTheme="minorHAnsi" w:eastAsiaTheme="minorEastAsia" w:hAnsiTheme="minorHAnsi" w:cstheme="minorBidi"/>
          <w:sz w:val="22"/>
          <w:szCs w:val="22"/>
        </w:rPr>
        <w:t xml:space="preserve">e targeted legislative amendments </w:t>
      </w:r>
      <w:r w:rsidR="00D239C7">
        <w:rPr>
          <w:rFonts w:asciiTheme="minorHAnsi" w:eastAsiaTheme="minorEastAsia" w:hAnsiTheme="minorHAnsi" w:cstheme="minorBidi"/>
          <w:sz w:val="22"/>
          <w:szCs w:val="22"/>
        </w:rPr>
        <w:t xml:space="preserve">are expected to be finalised by </w:t>
      </w:r>
      <w:r w:rsidR="00705854">
        <w:rPr>
          <w:rFonts w:asciiTheme="minorHAnsi" w:eastAsiaTheme="minorEastAsia" w:hAnsiTheme="minorHAnsi" w:cstheme="minorBidi"/>
          <w:sz w:val="22"/>
          <w:szCs w:val="22"/>
        </w:rPr>
        <w:t>early 2023</w:t>
      </w:r>
      <w:r w:rsidR="00D239C7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r w:rsidR="000C1CBA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>provid</w:t>
      </w:r>
      <w:r w:rsidR="000C1CBA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FC0F0D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greater rigour around acquisitions by agreement, including highlighting the requirement to ensure acquisitions represent value for money. </w:t>
      </w:r>
      <w:r w:rsidR="000C1CBA">
        <w:rPr>
          <w:rFonts w:asciiTheme="minorHAnsi" w:eastAsiaTheme="minorEastAsia" w:hAnsiTheme="minorHAnsi" w:cstheme="minorBidi"/>
          <w:sz w:val="22"/>
          <w:szCs w:val="22"/>
        </w:rPr>
        <w:t xml:space="preserve">Finance published 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 xml:space="preserve">a new </w:t>
      </w:r>
      <w:r w:rsidR="00226F42" w:rsidRPr="000C1CBA">
        <w:rPr>
          <w:rFonts w:asciiTheme="minorHAnsi" w:eastAsiaTheme="minorEastAsia" w:hAnsiTheme="minorHAnsi" w:cstheme="minorBidi"/>
          <w:i/>
          <w:sz w:val="22"/>
          <w:szCs w:val="22"/>
        </w:rPr>
        <w:t>Resource Management Guide 501: Lands Acquisition Framework</w:t>
      </w:r>
      <w:r w:rsidR="00383260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in October 2021</w:t>
      </w:r>
      <w:r w:rsidR="000C1CBA">
        <w:rPr>
          <w:rFonts w:asciiTheme="minorHAnsi" w:eastAsiaTheme="minorEastAsia" w:hAnsiTheme="minorHAnsi" w:cstheme="minorBidi"/>
          <w:sz w:val="22"/>
          <w:szCs w:val="22"/>
        </w:rPr>
        <w:t xml:space="preserve"> to support best practice,</w:t>
      </w:r>
      <w:r w:rsidR="00383260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which provides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detailed guidance to </w:t>
      </w:r>
      <w:r w:rsidR="00383260" w:rsidRPr="1DFCD134">
        <w:rPr>
          <w:rFonts w:asciiTheme="minorHAnsi" w:eastAsiaTheme="minorEastAsia" w:hAnsiTheme="minorHAnsi" w:cstheme="minorBidi"/>
          <w:sz w:val="22"/>
          <w:szCs w:val="22"/>
        </w:rPr>
        <w:t xml:space="preserve">officials to 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>meet their obligations under the LAA and to encourage informed decision-making for acquisitions. Th</w:t>
      </w:r>
      <w:r w:rsidR="008A3CA4">
        <w:rPr>
          <w:rFonts w:asciiTheme="minorHAnsi" w:eastAsiaTheme="minorEastAsia" w:hAnsiTheme="minorHAnsi" w:cstheme="minorBidi"/>
          <w:sz w:val="22"/>
          <w:szCs w:val="22"/>
        </w:rPr>
        <w:t>is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guidance addresses </w:t>
      </w:r>
      <w:r w:rsidR="008A3CA4">
        <w:rPr>
          <w:rFonts w:asciiTheme="minorHAnsi" w:eastAsiaTheme="minorEastAsia" w:hAnsiTheme="minorHAnsi" w:cstheme="minorBidi"/>
          <w:sz w:val="22"/>
          <w:szCs w:val="22"/>
        </w:rPr>
        <w:t>matters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including</w:t>
      </w:r>
      <w:r w:rsidR="008A3CA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>probity, valuation, negotiation</w:t>
      </w:r>
      <w:r w:rsidR="008A3CA4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ethical conduct</w:t>
      </w:r>
      <w:r w:rsidR="008A3CA4">
        <w:rPr>
          <w:rFonts w:asciiTheme="minorHAnsi" w:eastAsiaTheme="minorEastAsia" w:hAnsiTheme="minorHAnsi" w:cstheme="minorBidi"/>
          <w:sz w:val="22"/>
          <w:szCs w:val="22"/>
        </w:rPr>
        <w:t>, record keeping, acquisition strategy and approach, and determining price or compensation.</w:t>
      </w:r>
      <w:r w:rsidR="00226F42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7C67BF0" w14:textId="77777777" w:rsidR="00226F42" w:rsidRPr="003132DB" w:rsidRDefault="00226F42" w:rsidP="003132DB">
      <w:pPr>
        <w:ind w:left="360"/>
        <w:rPr>
          <w:sz w:val="22"/>
          <w:szCs w:val="22"/>
        </w:rPr>
      </w:pPr>
    </w:p>
    <w:p w14:paraId="648D5C95" w14:textId="77777777" w:rsidR="008C76E3" w:rsidRDefault="00EE2D45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The Government </w:t>
      </w:r>
      <w:r w:rsidR="00B95A65">
        <w:rPr>
          <w:rFonts w:asciiTheme="minorHAnsi" w:eastAsiaTheme="minorEastAsia" w:hAnsiTheme="minorHAnsi" w:cstheme="minorBidi"/>
          <w:sz w:val="22"/>
          <w:szCs w:val="22"/>
        </w:rPr>
        <w:t xml:space="preserve">does not support the Committee’s recommended default presumption that compulsory acquisition powers be used for land acquisition. The Government </w:t>
      </w:r>
      <w:r>
        <w:rPr>
          <w:rFonts w:asciiTheme="minorHAnsi" w:eastAsiaTheme="minorEastAsia" w:hAnsiTheme="minorHAnsi" w:cstheme="minorBidi"/>
          <w:sz w:val="22"/>
          <w:szCs w:val="22"/>
        </w:rPr>
        <w:t>will continue to adopt the long-standing preference to pursue land acquisitions by mutual agreement</w:t>
      </w:r>
      <w:r w:rsidR="00FC6B1A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B95A65">
        <w:rPr>
          <w:rFonts w:asciiTheme="minorHAnsi" w:eastAsiaTheme="minorEastAsia" w:hAnsiTheme="minorHAnsi" w:cstheme="minorBidi"/>
          <w:sz w:val="22"/>
          <w:szCs w:val="22"/>
        </w:rPr>
        <w:t xml:space="preserve">with a focus on market value as the foundation for offers. </w:t>
      </w:r>
      <w:r w:rsidR="00FC6B1A">
        <w:rPr>
          <w:rFonts w:asciiTheme="minorHAnsi" w:eastAsiaTheme="minorEastAsia" w:hAnsiTheme="minorHAnsi" w:cstheme="minorBidi"/>
          <w:sz w:val="22"/>
          <w:szCs w:val="22"/>
        </w:rPr>
        <w:t>Under the LAA,</w:t>
      </w:r>
      <w:r w:rsidR="00B95A65">
        <w:rPr>
          <w:rFonts w:asciiTheme="minorHAnsi" w:eastAsiaTheme="minorEastAsia" w:hAnsiTheme="minorHAnsi" w:cstheme="minorBidi"/>
          <w:sz w:val="22"/>
          <w:szCs w:val="22"/>
        </w:rPr>
        <w:t xml:space="preserve"> an interest in land is defined</w:t>
      </w:r>
      <w:r w:rsidR="00652E8D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broad</w:t>
      </w:r>
      <w:r w:rsidR="00FC6B1A">
        <w:rPr>
          <w:rFonts w:asciiTheme="minorHAnsi" w:eastAsiaTheme="minorEastAsia" w:hAnsiTheme="minorHAnsi" w:cstheme="minorBidi"/>
          <w:sz w:val="22"/>
          <w:szCs w:val="22"/>
        </w:rPr>
        <w:t>ly and the scope of acquisitions includes purchasing freehold or leasehold title, entering into a lease or licence (for example, leasing office accommodation) and acquiring access rights or easements. The LAA Review noted the vast majority of acquisitions under the LAA are leas</w:t>
      </w:r>
      <w:r w:rsidR="00EB65B8">
        <w:rPr>
          <w:rFonts w:asciiTheme="minorHAnsi" w:eastAsiaTheme="minorEastAsia" w:hAnsiTheme="minorHAnsi" w:cstheme="minorBidi"/>
          <w:sz w:val="22"/>
          <w:szCs w:val="22"/>
        </w:rPr>
        <w:t xml:space="preserve">e agreements. </w:t>
      </w:r>
    </w:p>
    <w:p w14:paraId="1E25BB63" w14:textId="77777777" w:rsidR="008C76E3" w:rsidRDefault="008C76E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8929717" w14:textId="77777777" w:rsidR="00D239C7" w:rsidRDefault="00B95A65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Acquisitions by agreement are usually simpler</w:t>
      </w:r>
      <w:r w:rsidR="00EF03DF">
        <w:rPr>
          <w:rFonts w:asciiTheme="minorHAnsi" w:eastAsiaTheme="minorEastAsia" w:hAnsiTheme="minorHAnsi" w:cstheme="minorBidi"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faster </w:t>
      </w:r>
      <w:r w:rsidR="00EF03DF">
        <w:rPr>
          <w:rFonts w:asciiTheme="minorHAnsi" w:eastAsiaTheme="minorEastAsia" w:hAnsiTheme="minorHAnsi" w:cstheme="minorBidi"/>
          <w:sz w:val="22"/>
          <w:szCs w:val="22"/>
        </w:rPr>
        <w:t xml:space="preserve">and more cost-effective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than compulsory acquisitions. 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="008C76E3">
        <w:rPr>
          <w:rFonts w:asciiTheme="minorHAnsi" w:eastAsiaTheme="minorEastAsia" w:hAnsiTheme="minorHAnsi" w:cstheme="minorBidi"/>
          <w:sz w:val="22"/>
          <w:szCs w:val="22"/>
        </w:rPr>
        <w:t xml:space="preserve">LAA 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 xml:space="preserve">Review </w:t>
      </w:r>
      <w:r w:rsidR="000C1491">
        <w:rPr>
          <w:rFonts w:asciiTheme="minorHAnsi" w:eastAsiaTheme="minorEastAsia" w:hAnsiTheme="minorHAnsi" w:cstheme="minorBidi"/>
          <w:sz w:val="22"/>
          <w:szCs w:val="22"/>
        </w:rPr>
        <w:t>heard</w:t>
      </w:r>
      <w:r w:rsidR="000C1491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C1491">
        <w:rPr>
          <w:rFonts w:asciiTheme="minorHAnsi" w:eastAsiaTheme="minorEastAsia" w:hAnsiTheme="minorHAnsi" w:cstheme="minorBidi"/>
          <w:sz w:val="22"/>
          <w:szCs w:val="22"/>
        </w:rPr>
        <w:t xml:space="preserve">from landholders </w:t>
      </w:r>
      <w:r w:rsidR="00F524A4">
        <w:rPr>
          <w:rFonts w:asciiTheme="minorHAnsi" w:eastAsiaTheme="minorEastAsia" w:hAnsiTheme="minorHAnsi" w:cstheme="minorBidi"/>
          <w:sz w:val="22"/>
          <w:szCs w:val="22"/>
        </w:rPr>
        <w:t xml:space="preserve">who reported 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 xml:space="preserve">compulsory acquisition and subsequent compensation claim </w:t>
      </w:r>
      <w:r w:rsidR="00F524A4" w:rsidRPr="1DFCD134">
        <w:rPr>
          <w:rFonts w:asciiTheme="minorHAnsi" w:eastAsiaTheme="minorEastAsia" w:hAnsiTheme="minorHAnsi" w:cstheme="minorBidi"/>
          <w:sz w:val="22"/>
          <w:szCs w:val="22"/>
        </w:rPr>
        <w:t xml:space="preserve">processes </w:t>
      </w:r>
      <w:r w:rsidR="007946BC" w:rsidRPr="1DFCD134">
        <w:rPr>
          <w:rFonts w:asciiTheme="minorHAnsi" w:eastAsiaTheme="minorEastAsia" w:hAnsiTheme="minorHAnsi" w:cstheme="minorBidi"/>
          <w:sz w:val="22"/>
          <w:szCs w:val="22"/>
        </w:rPr>
        <w:t>can be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stressful </w:t>
      </w:r>
      <w:r w:rsidR="00F524A4">
        <w:rPr>
          <w:rFonts w:asciiTheme="minorHAnsi" w:eastAsiaTheme="minorEastAsia" w:hAnsiTheme="minorHAnsi" w:cstheme="minorBidi"/>
          <w:sz w:val="22"/>
          <w:szCs w:val="22"/>
        </w:rPr>
        <w:t xml:space="preserve">and felt 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>their li</w:t>
      </w:r>
      <w:r w:rsidR="007946BC" w:rsidRPr="1DFCD134">
        <w:rPr>
          <w:rFonts w:asciiTheme="minorHAnsi" w:eastAsiaTheme="minorEastAsia" w:hAnsiTheme="minorHAnsi" w:cstheme="minorBidi"/>
          <w:sz w:val="22"/>
          <w:szCs w:val="22"/>
        </w:rPr>
        <w:t>v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7946BC" w:rsidRPr="1DFCD134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946BC" w:rsidRPr="1DFCD134">
        <w:rPr>
          <w:rFonts w:asciiTheme="minorHAnsi" w:eastAsiaTheme="minorEastAsia" w:hAnsiTheme="minorHAnsi" w:cstheme="minorBidi"/>
          <w:sz w:val="22"/>
          <w:szCs w:val="22"/>
        </w:rPr>
        <w:t>were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‘on hold’ for several years</w:t>
      </w:r>
      <w:r w:rsidR="008C76E3">
        <w:rPr>
          <w:rFonts w:asciiTheme="minorHAnsi" w:eastAsiaTheme="minorEastAsia" w:hAnsiTheme="minorHAnsi" w:cstheme="minorBidi"/>
          <w:sz w:val="22"/>
          <w:szCs w:val="22"/>
        </w:rPr>
        <w:t>. T</w:t>
      </w:r>
      <w:r w:rsidR="00F524A4">
        <w:rPr>
          <w:rFonts w:asciiTheme="minorHAnsi" w:eastAsiaTheme="minorEastAsia" w:hAnsiTheme="minorHAnsi" w:cstheme="minorBidi"/>
          <w:sz w:val="22"/>
          <w:szCs w:val="22"/>
        </w:rPr>
        <w:t xml:space="preserve">he Review </w:t>
      </w:r>
      <w:r w:rsidR="008C76E3">
        <w:rPr>
          <w:rFonts w:asciiTheme="minorHAnsi" w:eastAsiaTheme="minorEastAsia" w:hAnsiTheme="minorHAnsi" w:cstheme="minorBidi"/>
          <w:sz w:val="22"/>
          <w:szCs w:val="22"/>
        </w:rPr>
        <w:t xml:space="preserve">also </w:t>
      </w:r>
      <w:r w:rsidR="00F524A4">
        <w:rPr>
          <w:rFonts w:asciiTheme="minorHAnsi" w:eastAsiaTheme="minorEastAsia" w:hAnsiTheme="minorHAnsi" w:cstheme="minorBidi"/>
          <w:sz w:val="22"/>
          <w:szCs w:val="22"/>
        </w:rPr>
        <w:t>found</w:t>
      </w:r>
      <w:r w:rsidR="000C149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B0939">
        <w:rPr>
          <w:rFonts w:asciiTheme="minorHAnsi" w:eastAsiaTheme="minorEastAsia" w:hAnsiTheme="minorHAnsi" w:cstheme="minorBidi"/>
          <w:sz w:val="22"/>
          <w:szCs w:val="22"/>
        </w:rPr>
        <w:t>l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>engthy compensation claims</w:t>
      </w:r>
      <w:r w:rsidR="00B27DA3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B0939">
        <w:rPr>
          <w:rFonts w:asciiTheme="minorHAnsi" w:eastAsiaTheme="minorEastAsia" w:hAnsiTheme="minorHAnsi" w:cstheme="minorBidi"/>
          <w:sz w:val="22"/>
          <w:szCs w:val="22"/>
        </w:rPr>
        <w:t xml:space="preserve">following </w:t>
      </w:r>
      <w:r w:rsidR="00B27DA3" w:rsidRPr="1DFCD134">
        <w:rPr>
          <w:rFonts w:asciiTheme="minorHAnsi" w:eastAsiaTheme="minorEastAsia" w:hAnsiTheme="minorHAnsi" w:cstheme="minorBidi"/>
          <w:sz w:val="22"/>
          <w:szCs w:val="22"/>
        </w:rPr>
        <w:t>compulsory acquisitions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 xml:space="preserve"> can result in </w:t>
      </w:r>
      <w:r w:rsidR="00F524A4">
        <w:rPr>
          <w:rFonts w:asciiTheme="minorHAnsi" w:eastAsiaTheme="minorEastAsia" w:hAnsiTheme="minorHAnsi" w:cstheme="minorBidi"/>
          <w:sz w:val="22"/>
          <w:szCs w:val="22"/>
        </w:rPr>
        <w:t xml:space="preserve">significantly </w:t>
      </w:r>
      <w:r w:rsidR="007946BC" w:rsidRPr="1DFCD134">
        <w:rPr>
          <w:rFonts w:asciiTheme="minorHAnsi" w:eastAsiaTheme="minorEastAsia" w:hAnsiTheme="minorHAnsi" w:cstheme="minorBidi"/>
          <w:sz w:val="22"/>
          <w:szCs w:val="22"/>
        </w:rPr>
        <w:t xml:space="preserve">increased </w:t>
      </w:r>
      <w:r w:rsidR="00F524A4">
        <w:rPr>
          <w:rFonts w:asciiTheme="minorHAnsi" w:eastAsiaTheme="minorEastAsia" w:hAnsiTheme="minorHAnsi" w:cstheme="minorBidi"/>
          <w:sz w:val="22"/>
          <w:szCs w:val="22"/>
        </w:rPr>
        <w:t xml:space="preserve">legal and </w:t>
      </w:r>
      <w:r w:rsidR="008C76E3">
        <w:rPr>
          <w:rFonts w:asciiTheme="minorHAnsi" w:eastAsiaTheme="minorEastAsia" w:hAnsiTheme="minorHAnsi" w:cstheme="minorBidi"/>
          <w:sz w:val="22"/>
          <w:szCs w:val="22"/>
        </w:rPr>
        <w:t xml:space="preserve">compounding </w:t>
      </w:r>
      <w:r w:rsidR="00F524A4">
        <w:rPr>
          <w:rFonts w:asciiTheme="minorHAnsi" w:eastAsiaTheme="minorEastAsia" w:hAnsiTheme="minorHAnsi" w:cstheme="minorBidi"/>
          <w:sz w:val="22"/>
          <w:szCs w:val="22"/>
        </w:rPr>
        <w:t xml:space="preserve">interest </w:t>
      </w:r>
      <w:r w:rsidR="007946BC" w:rsidRPr="1DFCD134">
        <w:rPr>
          <w:rFonts w:asciiTheme="minorHAnsi" w:eastAsiaTheme="minorEastAsia" w:hAnsiTheme="minorHAnsi" w:cstheme="minorBidi"/>
          <w:sz w:val="22"/>
          <w:szCs w:val="22"/>
        </w:rPr>
        <w:t>costs</w:t>
      </w:r>
      <w:r w:rsidR="00D239C7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F524A4">
        <w:rPr>
          <w:rFonts w:asciiTheme="minorHAnsi" w:eastAsiaTheme="minorEastAsia" w:hAnsiTheme="minorHAnsi" w:cstheme="minorBidi"/>
          <w:sz w:val="22"/>
          <w:szCs w:val="22"/>
        </w:rPr>
        <w:t xml:space="preserve"> which are paid by </w:t>
      </w:r>
      <w:r w:rsidR="00EE74E4" w:rsidRPr="1DFCD134">
        <w:rPr>
          <w:rFonts w:asciiTheme="minorHAnsi" w:eastAsiaTheme="minorEastAsia" w:hAnsiTheme="minorHAnsi" w:cstheme="minorBidi"/>
          <w:sz w:val="22"/>
          <w:szCs w:val="22"/>
        </w:rPr>
        <w:t>the Commonwealth.</w:t>
      </w:r>
      <w:r w:rsidR="00FA4B2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ABB03D5" w14:textId="77777777" w:rsidR="00236901" w:rsidRPr="004C328B" w:rsidRDefault="00236901" w:rsidP="00D239C7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236901" w:rsidRPr="004C328B" w:rsidSect="00120BC6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D2D"/>
    <w:multiLevelType w:val="hybridMultilevel"/>
    <w:tmpl w:val="C1B6D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87A0A"/>
    <w:multiLevelType w:val="hybridMultilevel"/>
    <w:tmpl w:val="4060F904"/>
    <w:lvl w:ilvl="0" w:tplc="9C529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82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44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22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48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C0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AB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0C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2C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C64D2"/>
    <w:multiLevelType w:val="hybridMultilevel"/>
    <w:tmpl w:val="26841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01"/>
    <w:rsid w:val="00035F3B"/>
    <w:rsid w:val="000B010F"/>
    <w:rsid w:val="000B5B7D"/>
    <w:rsid w:val="000C1491"/>
    <w:rsid w:val="000C1CBA"/>
    <w:rsid w:val="000D6F8F"/>
    <w:rsid w:val="00103063"/>
    <w:rsid w:val="00120BC6"/>
    <w:rsid w:val="0015184E"/>
    <w:rsid w:val="001B262D"/>
    <w:rsid w:val="001D322B"/>
    <w:rsid w:val="001D6A18"/>
    <w:rsid w:val="001F42CF"/>
    <w:rsid w:val="00226F42"/>
    <w:rsid w:val="00236901"/>
    <w:rsid w:val="00280E55"/>
    <w:rsid w:val="002B0939"/>
    <w:rsid w:val="002C191B"/>
    <w:rsid w:val="002D1803"/>
    <w:rsid w:val="002E42A0"/>
    <w:rsid w:val="003132DB"/>
    <w:rsid w:val="00340F54"/>
    <w:rsid w:val="00353FD7"/>
    <w:rsid w:val="00357817"/>
    <w:rsid w:val="00383260"/>
    <w:rsid w:val="004063DC"/>
    <w:rsid w:val="004C328B"/>
    <w:rsid w:val="004C5115"/>
    <w:rsid w:val="00510BCE"/>
    <w:rsid w:val="00640AD9"/>
    <w:rsid w:val="00652E8D"/>
    <w:rsid w:val="006B7C37"/>
    <w:rsid w:val="00705854"/>
    <w:rsid w:val="00777555"/>
    <w:rsid w:val="007820EC"/>
    <w:rsid w:val="007946BC"/>
    <w:rsid w:val="00854626"/>
    <w:rsid w:val="00887D6C"/>
    <w:rsid w:val="008A3CA4"/>
    <w:rsid w:val="008C76E3"/>
    <w:rsid w:val="008D1C81"/>
    <w:rsid w:val="008E5745"/>
    <w:rsid w:val="008F5D00"/>
    <w:rsid w:val="00923B44"/>
    <w:rsid w:val="00936D33"/>
    <w:rsid w:val="00952CFA"/>
    <w:rsid w:val="00A7212C"/>
    <w:rsid w:val="00AB730C"/>
    <w:rsid w:val="00AD6B1D"/>
    <w:rsid w:val="00AE40B1"/>
    <w:rsid w:val="00B27DA3"/>
    <w:rsid w:val="00B413F2"/>
    <w:rsid w:val="00B95A65"/>
    <w:rsid w:val="00C0509C"/>
    <w:rsid w:val="00C45BA7"/>
    <w:rsid w:val="00C62360"/>
    <w:rsid w:val="00D04818"/>
    <w:rsid w:val="00D142B1"/>
    <w:rsid w:val="00D239C7"/>
    <w:rsid w:val="00D269AB"/>
    <w:rsid w:val="00DA2699"/>
    <w:rsid w:val="00DC7334"/>
    <w:rsid w:val="00E22D0D"/>
    <w:rsid w:val="00E8424C"/>
    <w:rsid w:val="00EB65B8"/>
    <w:rsid w:val="00EC7701"/>
    <w:rsid w:val="00ED3C73"/>
    <w:rsid w:val="00EE2D45"/>
    <w:rsid w:val="00EE74E4"/>
    <w:rsid w:val="00EF03DF"/>
    <w:rsid w:val="00F45C7B"/>
    <w:rsid w:val="00F524A4"/>
    <w:rsid w:val="00F53754"/>
    <w:rsid w:val="00F67ACF"/>
    <w:rsid w:val="00F8029C"/>
    <w:rsid w:val="00F93F80"/>
    <w:rsid w:val="00FA4B2D"/>
    <w:rsid w:val="00FC0F0D"/>
    <w:rsid w:val="00FC6B1A"/>
    <w:rsid w:val="00FD4436"/>
    <w:rsid w:val="00FE045B"/>
    <w:rsid w:val="0CA27A2D"/>
    <w:rsid w:val="1DFCD134"/>
    <w:rsid w:val="5915E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DEDE"/>
  <w15:chartTrackingRefBased/>
  <w15:docId w15:val="{2C3BAAE3-AC54-48FD-9422-95FA7201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3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2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2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8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C73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42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1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BEE2C48244036646B442FA2E6FA92494" ma:contentTypeVersion="56" ma:contentTypeDescription="Create a new document." ma:contentTypeScope="" ma:versionID="b235841900e37c67df1fd78c802781f1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046640d8-bc48-4e6f-9dff-a962d982b296" targetNamespace="http://schemas.microsoft.com/office/2006/metadata/properties" ma:root="true" ma:fieldsID="735127c11a47b1ad34aa8be5c1d5a0f6" ns1:_="" ns2:_="" ns3:_="">
    <xsd:import namespace="http://schemas.microsoft.com/sharepoint/v3"/>
    <xsd:import namespace="82ff9d9b-d3fc-4aad-bc42-9949ee83b815"/>
    <xsd:import namespace="046640d8-bc48-4e6f-9dff-a962d982b296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a3bb7dc-5d7e-4d27-874a-3966e97cf927}" ma:internalName="TaxCatchAll" ma:showField="CatchAllData" ma:web="046640d8-bc48-4e6f-9dff-a962d982b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a3bb7dc-5d7e-4d27-874a-3966e97cf927}" ma:internalName="TaxCatchAllLabel" ma:readOnly="true" ma:showField="CatchAllDataLabel" ma:web="046640d8-bc48-4e6f-9dff-a962d982b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640d8-bc48-4e6f-9dff-a962d982b296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68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Property Policy</TermName>
          <TermId xmlns="http://schemas.microsoft.com/office/infopath/2007/PartnerControls">4f26a92f-656d-43a7-9cb5-a764f24767bc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046640d8-bc48-4e6f-9dff-a962d982b296">FIN34063-805873969-6653</_dlc_DocId>
    <_dlc_DocIdUrl xmlns="046640d8-bc48-4e6f-9dff-a962d982b296">
      <Url>https://f1.prdmgd.finance.gov.au/sites/50034063/_layouts/15/DocIdRedir.aspx?ID=FIN34063-805873969-6653</Url>
      <Description>FIN34063-805873969-6653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56C7-F61D-4598-8FF2-180B3670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046640d8-bc48-4e6f-9dff-a962d982b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BDDE6-5D41-4767-BC2E-D7BB6539D6F5}">
  <ds:schemaRefs>
    <ds:schemaRef ds:uri="http://purl.org/dc/elements/1.1/"/>
    <ds:schemaRef ds:uri="http://schemas.microsoft.com/office/2006/metadata/properties"/>
    <ds:schemaRef ds:uri="046640d8-bc48-4e6f-9dff-a962d982b296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82ff9d9b-d3fc-4aad-bc42-9949ee83b815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82325E-3071-46B8-B886-27A85734C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28BA5-589E-48D4-8413-40CBEB5931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8380A1-446C-45C1-B4ED-542DAB5DF3C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D4EFA3D-0A92-4DDD-8C6A-DE220CE6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Joint Committee of Public Accounts and Audit Report No. 492</dc:title>
  <dc:subject/>
  <dc:creator>Department of Finance</dc:creator>
  <cp:keywords/>
  <dc:description/>
  <cp:lastModifiedBy>Jorna, Natalie</cp:lastModifiedBy>
  <cp:revision>3</cp:revision>
  <dcterms:created xsi:type="dcterms:W3CDTF">2022-11-16T02:11:00Z</dcterms:created>
  <dcterms:modified xsi:type="dcterms:W3CDTF">2022-11-20T23:14:00Z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1;#UNCLASSIFIED|9c49a7c7-17c7-412f-8077-62dec89b9196</vt:lpwstr>
  </property>
  <property fmtid="{D5CDD505-2E9C-101B-9397-08002B2CF9AE}" pid="3" name="ContentTypeId">
    <vt:lpwstr>0x010100B321FEA60C5BA343A52BC94EC00ABC9E0700BEE2C48244036646B442FA2E6FA92494</vt:lpwstr>
  </property>
  <property fmtid="{D5CDD505-2E9C-101B-9397-08002B2CF9AE}" pid="4" name="ESearchTags">
    <vt:lpwstr/>
  </property>
  <property fmtid="{D5CDD505-2E9C-101B-9397-08002B2CF9AE}" pid="5" name="PMC.ESearch.TagGeneratedTime">
    <vt:lpwstr>2019-06-04T13:52:36</vt:lpwstr>
  </property>
  <property fmtid="{D5CDD505-2E9C-101B-9397-08002B2CF9AE}" pid="6" name="HPRMSecurityCaveat">
    <vt:lpwstr/>
  </property>
  <property fmtid="{D5CDD505-2E9C-101B-9397-08002B2CF9AE}" pid="7" name="TaxKeyword">
    <vt:lpwstr/>
  </property>
  <property fmtid="{D5CDD505-2E9C-101B-9397-08002B2CF9AE}" pid="8" name="AbtEntity">
    <vt:lpwstr>1;#Department of Finance|fd660e8f-8f31-49bd-92a3-d31d4da31afe</vt:lpwstr>
  </property>
  <property fmtid="{D5CDD505-2E9C-101B-9397-08002B2CF9AE}" pid="9" name="OrgUnit">
    <vt:lpwstr>68;#Property Policy|4f26a92f-656d-43a7-9cb5-a764f24767bc</vt:lpwstr>
  </property>
  <property fmtid="{D5CDD505-2E9C-101B-9397-08002B2CF9AE}" pid="10" name="InitiatingEntity">
    <vt:lpwstr>1;#Department of Finance|fd660e8f-8f31-49bd-92a3-d31d4da31afe</vt:lpwstr>
  </property>
  <property fmtid="{D5CDD505-2E9C-101B-9397-08002B2CF9AE}" pid="11" name="Function and Activity">
    <vt:lpwstr/>
  </property>
  <property fmtid="{D5CDD505-2E9C-101B-9397-08002B2CF9AE}" pid="12" name="_dlc_DocIdItemGuid">
    <vt:lpwstr>e7cc04bd-c9ef-4fbf-ac11-3a0882be4d4d</vt:lpwstr>
  </property>
</Properties>
</file>