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48" w:rsidRDefault="00604B62" w:rsidP="005A6C78">
      <w:pPr>
        <w:pStyle w:val="Firstpagespace"/>
      </w:pPr>
      <w:r>
        <w:rPr>
          <w:noProof/>
        </w:rPr>
        <w:pict w14:anchorId="7CAA2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71.05pt;margin-top:-73pt;width:595.8pt;height:193.1pt;z-index:-251658752;mso-position-horizontal-relative:text;mso-position-vertical-relative:text;mso-width-relative:page;mso-height-relative:page">
            <v:imagedata r:id="rId8" o:title="Short word cover_Comcover"/>
          </v:shape>
        </w:pict>
      </w:r>
    </w:p>
    <w:p w:rsidR="001E1038" w:rsidRPr="00906558" w:rsidRDefault="004D2DF6" w:rsidP="005A6C78">
      <w:pPr>
        <w:pStyle w:val="Title"/>
        <w:rPr>
          <w:b/>
        </w:rPr>
      </w:pPr>
      <w:r w:rsidRPr="00906558">
        <w:rPr>
          <w:b/>
        </w:rPr>
        <w:t>Com</w:t>
      </w:r>
      <w:r w:rsidR="003C2561">
        <w:rPr>
          <w:b/>
        </w:rPr>
        <w:t xml:space="preserve">monwealth </w:t>
      </w:r>
      <w:r w:rsidRPr="00906558">
        <w:rPr>
          <w:b/>
        </w:rPr>
        <w:t xml:space="preserve">Awards for </w:t>
      </w:r>
    </w:p>
    <w:p w:rsidR="005A6C78" w:rsidRPr="00906558" w:rsidRDefault="004D2DF6" w:rsidP="005A6C78">
      <w:pPr>
        <w:pStyle w:val="Title"/>
        <w:rPr>
          <w:b/>
        </w:rPr>
      </w:pPr>
      <w:r w:rsidRPr="00906558">
        <w:rPr>
          <w:b/>
        </w:rPr>
        <w:t xml:space="preserve">Excellence in Risk </w:t>
      </w:r>
      <w:r w:rsidR="0089681F" w:rsidRPr="00906558">
        <w:rPr>
          <w:b/>
        </w:rPr>
        <w:t>M</w:t>
      </w:r>
      <w:r w:rsidRPr="00906558">
        <w:rPr>
          <w:b/>
        </w:rPr>
        <w:t>anagement 20</w:t>
      </w:r>
      <w:r w:rsidR="007E75E9" w:rsidRPr="00906558">
        <w:rPr>
          <w:b/>
        </w:rPr>
        <w:t>2</w:t>
      </w:r>
      <w:r w:rsidR="00EE4C9B">
        <w:rPr>
          <w:b/>
        </w:rPr>
        <w:t>2</w:t>
      </w:r>
    </w:p>
    <w:p w:rsidR="00CD5061" w:rsidRPr="00906558" w:rsidRDefault="00133BF1" w:rsidP="00CD5061">
      <w:pPr>
        <w:pStyle w:val="Heading2"/>
        <w:rPr>
          <w:b/>
          <w:sz w:val="40"/>
          <w:szCs w:val="36"/>
        </w:rPr>
      </w:pPr>
      <w:r w:rsidRPr="00133BF1">
        <w:rPr>
          <w:b/>
          <w:sz w:val="40"/>
          <w:szCs w:val="36"/>
        </w:rPr>
        <w:t>Risk in Focus Category</w:t>
      </w:r>
      <w:r>
        <w:rPr>
          <w:b/>
          <w:sz w:val="40"/>
          <w:szCs w:val="36"/>
        </w:rPr>
        <w:t>: Shared Risk</w:t>
      </w:r>
    </w:p>
    <w:p w:rsidR="008720AA" w:rsidRPr="00133BF1" w:rsidRDefault="00890565" w:rsidP="00C02FA7">
      <w:pPr>
        <w:pStyle w:val="Heading1"/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</w:pPr>
      <w:r w:rsidRPr="00CD5061">
        <w:t>Nomination Criteria</w:t>
      </w:r>
    </w:p>
    <w:p w:rsidR="0018249D" w:rsidRDefault="00272860" w:rsidP="00906558">
      <w:pPr>
        <w:widowControl w:val="0"/>
        <w:spacing w:before="120" w:after="120" w:line="276" w:lineRule="auto"/>
        <w:rPr>
          <w:sz w:val="24"/>
        </w:rPr>
      </w:pPr>
      <w:r w:rsidRPr="00F40EDC">
        <w:rPr>
          <w:sz w:val="24"/>
        </w:rPr>
        <w:t xml:space="preserve">The </w:t>
      </w:r>
      <w:r w:rsidR="001E1038">
        <w:rPr>
          <w:sz w:val="24"/>
        </w:rPr>
        <w:t>R</w:t>
      </w:r>
      <w:r w:rsidR="001E1038" w:rsidRPr="00F40EDC">
        <w:rPr>
          <w:sz w:val="24"/>
        </w:rPr>
        <w:t xml:space="preserve">isk </w:t>
      </w:r>
      <w:r w:rsidR="00133BF1">
        <w:rPr>
          <w:sz w:val="24"/>
        </w:rPr>
        <w:t xml:space="preserve">in Focus </w:t>
      </w:r>
      <w:r w:rsidR="00E37383">
        <w:rPr>
          <w:sz w:val="24"/>
        </w:rPr>
        <w:t>c</w:t>
      </w:r>
      <w:r w:rsidR="001E1038" w:rsidRPr="00F40EDC">
        <w:rPr>
          <w:sz w:val="24"/>
        </w:rPr>
        <w:t xml:space="preserve">ategory </w:t>
      </w:r>
      <w:r w:rsidR="00133BF1" w:rsidRPr="00133BF1">
        <w:rPr>
          <w:sz w:val="24"/>
        </w:rPr>
        <w:t>focus</w:t>
      </w:r>
      <w:r w:rsidR="00133BF1">
        <w:rPr>
          <w:sz w:val="24"/>
        </w:rPr>
        <w:t>es</w:t>
      </w:r>
      <w:r w:rsidR="00133BF1" w:rsidRPr="00133BF1">
        <w:rPr>
          <w:sz w:val="24"/>
        </w:rPr>
        <w:t xml:space="preserve"> on a specific area of </w:t>
      </w:r>
      <w:r w:rsidR="00133BF1">
        <w:rPr>
          <w:sz w:val="24"/>
        </w:rPr>
        <w:t xml:space="preserve">excellence in </w:t>
      </w:r>
      <w:r w:rsidR="00133BF1" w:rsidRPr="00133BF1">
        <w:rPr>
          <w:sz w:val="24"/>
        </w:rPr>
        <w:t>risk management practice</w:t>
      </w:r>
      <w:r w:rsidR="00133BF1" w:rsidRPr="00F40EDC">
        <w:rPr>
          <w:sz w:val="24"/>
        </w:rPr>
        <w:t xml:space="preserve"> </w:t>
      </w:r>
      <w:r w:rsidR="00A20156">
        <w:rPr>
          <w:sz w:val="24"/>
        </w:rPr>
        <w:t>each year</w:t>
      </w:r>
      <w:r w:rsidR="00E37383">
        <w:rPr>
          <w:sz w:val="24"/>
        </w:rPr>
        <w:t xml:space="preserve">. This year’s category is ‘Shared Risk’. </w:t>
      </w:r>
      <w:r w:rsidR="00D17623" w:rsidRPr="00D17623">
        <w:rPr>
          <w:sz w:val="24"/>
        </w:rPr>
        <w:t xml:space="preserve">Shared risks are those risks that extend beyond a single entity, requiring high levels of cooperation between stakeholders to effectively </w:t>
      </w:r>
      <w:r w:rsidR="00D17623">
        <w:rPr>
          <w:sz w:val="24"/>
        </w:rPr>
        <w:t xml:space="preserve">and collaboratively </w:t>
      </w:r>
      <w:r w:rsidR="00D17623" w:rsidRPr="00D17623">
        <w:rPr>
          <w:sz w:val="24"/>
        </w:rPr>
        <w:t>understand and manage those risks.</w:t>
      </w:r>
      <w:r w:rsidR="00D95317">
        <w:rPr>
          <w:sz w:val="24"/>
        </w:rPr>
        <w:t xml:space="preserve"> </w:t>
      </w:r>
    </w:p>
    <w:p w:rsidR="00D17623" w:rsidRDefault="00D95317" w:rsidP="00906558">
      <w:pPr>
        <w:widowControl w:val="0"/>
        <w:spacing w:before="120" w:after="120" w:line="276" w:lineRule="auto"/>
        <w:rPr>
          <w:sz w:val="24"/>
        </w:rPr>
      </w:pPr>
      <w:r>
        <w:rPr>
          <w:sz w:val="24"/>
        </w:rPr>
        <w:t xml:space="preserve">Good risk management includes managing risks to others, </w:t>
      </w:r>
      <w:r w:rsidR="00212391">
        <w:rPr>
          <w:sz w:val="24"/>
        </w:rPr>
        <w:t xml:space="preserve">whether they </w:t>
      </w:r>
      <w:r>
        <w:rPr>
          <w:sz w:val="24"/>
        </w:rPr>
        <w:t>relate to the provision of Government services and programs</w:t>
      </w:r>
      <w:r w:rsidR="00212391">
        <w:rPr>
          <w:sz w:val="24"/>
        </w:rPr>
        <w:t>, the development of Government policy or operational risks involving multiple entities</w:t>
      </w:r>
      <w:r>
        <w:rPr>
          <w:sz w:val="24"/>
        </w:rPr>
        <w:t xml:space="preserve">. The successful nomination will provide an example of excellence in managing risks shared with others and serve as an example that other entities can learn from. </w:t>
      </w:r>
    </w:p>
    <w:p w:rsidR="00C43A1A" w:rsidRDefault="0018249D" w:rsidP="00906558">
      <w:pPr>
        <w:widowControl w:val="0"/>
        <w:spacing w:before="120" w:after="120" w:line="276" w:lineRule="auto"/>
        <w:rPr>
          <w:sz w:val="24"/>
        </w:rPr>
      </w:pPr>
      <w:r>
        <w:rPr>
          <w:sz w:val="24"/>
        </w:rPr>
        <w:t xml:space="preserve">Joint nominations </w:t>
      </w:r>
      <w:r w:rsidR="00413094">
        <w:rPr>
          <w:sz w:val="24"/>
        </w:rPr>
        <w:t>are encouraged where</w:t>
      </w:r>
      <w:r>
        <w:rPr>
          <w:sz w:val="24"/>
        </w:rPr>
        <w:t xml:space="preserve"> multiple entities collaborated to manage </w:t>
      </w:r>
      <w:r w:rsidR="00413094">
        <w:rPr>
          <w:sz w:val="24"/>
        </w:rPr>
        <w:t xml:space="preserve">a </w:t>
      </w:r>
      <w:r>
        <w:rPr>
          <w:sz w:val="24"/>
        </w:rPr>
        <w:t xml:space="preserve">shared risk(s). </w:t>
      </w:r>
      <w:r w:rsidR="006F3E8D">
        <w:rPr>
          <w:sz w:val="24"/>
        </w:rPr>
        <w:t>When nominating</w:t>
      </w:r>
      <w:r w:rsidR="0018350C">
        <w:rPr>
          <w:sz w:val="24"/>
        </w:rPr>
        <w:t>,</w:t>
      </w:r>
      <w:r w:rsidR="00272860" w:rsidRPr="00F40EDC">
        <w:rPr>
          <w:sz w:val="24"/>
        </w:rPr>
        <w:t xml:space="preserve"> </w:t>
      </w:r>
      <w:r w:rsidR="006837D6">
        <w:rPr>
          <w:sz w:val="24"/>
        </w:rPr>
        <w:t xml:space="preserve">consider </w:t>
      </w:r>
      <w:r w:rsidR="00413094">
        <w:rPr>
          <w:sz w:val="24"/>
        </w:rPr>
        <w:t xml:space="preserve">each </w:t>
      </w:r>
      <w:r w:rsidR="00957614">
        <w:rPr>
          <w:sz w:val="24"/>
        </w:rPr>
        <w:t>entit</w:t>
      </w:r>
      <w:r w:rsidR="000E580E">
        <w:rPr>
          <w:sz w:val="24"/>
        </w:rPr>
        <w:t>y’</w:t>
      </w:r>
      <w:r w:rsidR="00957614">
        <w:rPr>
          <w:sz w:val="24"/>
        </w:rPr>
        <w:t>s</w:t>
      </w:r>
      <w:r w:rsidR="00C43A1A">
        <w:rPr>
          <w:sz w:val="24"/>
        </w:rPr>
        <w:t xml:space="preserve"> approach to:</w:t>
      </w:r>
    </w:p>
    <w:p w:rsidR="00C43A1A" w:rsidRDefault="006F0246" w:rsidP="00C43A1A">
      <w:pPr>
        <w:pStyle w:val="ListParagraph"/>
        <w:widowControl w:val="0"/>
        <w:numPr>
          <w:ilvl w:val="0"/>
          <w:numId w:val="41"/>
        </w:numPr>
        <w:spacing w:before="120" w:after="120"/>
        <w:rPr>
          <w:sz w:val="24"/>
        </w:rPr>
      </w:pPr>
      <w:r>
        <w:rPr>
          <w:sz w:val="24"/>
        </w:rPr>
        <w:t>i</w:t>
      </w:r>
      <w:r w:rsidR="00C43A1A" w:rsidRPr="00C43A1A">
        <w:rPr>
          <w:sz w:val="24"/>
        </w:rPr>
        <w:t>dentifying</w:t>
      </w:r>
      <w:r w:rsidR="00957614">
        <w:rPr>
          <w:sz w:val="24"/>
        </w:rPr>
        <w:t xml:space="preserve">, </w:t>
      </w:r>
      <w:r w:rsidR="00642DC6">
        <w:rPr>
          <w:sz w:val="24"/>
        </w:rPr>
        <w:t xml:space="preserve">assessing </w:t>
      </w:r>
      <w:r w:rsidR="00C43A1A" w:rsidRPr="00C43A1A">
        <w:rPr>
          <w:sz w:val="24"/>
        </w:rPr>
        <w:t>an</w:t>
      </w:r>
      <w:r w:rsidR="00642DC6">
        <w:rPr>
          <w:sz w:val="24"/>
        </w:rPr>
        <w:t>d coordinating the management of</w:t>
      </w:r>
      <w:r w:rsidR="00957614">
        <w:rPr>
          <w:sz w:val="24"/>
        </w:rPr>
        <w:t xml:space="preserve"> shared risks</w:t>
      </w:r>
      <w:r>
        <w:rPr>
          <w:sz w:val="24"/>
        </w:rPr>
        <w:t>;</w:t>
      </w:r>
    </w:p>
    <w:p w:rsidR="00C43A1A" w:rsidRDefault="00C43A1A" w:rsidP="00C43A1A">
      <w:pPr>
        <w:pStyle w:val="ListParagraph"/>
        <w:widowControl w:val="0"/>
        <w:numPr>
          <w:ilvl w:val="0"/>
          <w:numId w:val="41"/>
        </w:numPr>
        <w:spacing w:before="120" w:after="120"/>
        <w:rPr>
          <w:sz w:val="24"/>
        </w:rPr>
      </w:pPr>
      <w:r w:rsidRPr="00C43A1A">
        <w:rPr>
          <w:sz w:val="24"/>
        </w:rPr>
        <w:t xml:space="preserve">implementing </w:t>
      </w:r>
      <w:r w:rsidR="00957614">
        <w:rPr>
          <w:sz w:val="24"/>
        </w:rPr>
        <w:t xml:space="preserve">and monitoring </w:t>
      </w:r>
      <w:r w:rsidRPr="00C43A1A">
        <w:rPr>
          <w:sz w:val="24"/>
        </w:rPr>
        <w:t xml:space="preserve">a </w:t>
      </w:r>
      <w:r w:rsidR="00957614">
        <w:rPr>
          <w:sz w:val="24"/>
        </w:rPr>
        <w:t xml:space="preserve">shared </w:t>
      </w:r>
      <w:r w:rsidRPr="00C43A1A">
        <w:rPr>
          <w:sz w:val="24"/>
        </w:rPr>
        <w:t>risk management plan</w:t>
      </w:r>
      <w:r w:rsidR="006F0246">
        <w:rPr>
          <w:sz w:val="24"/>
        </w:rPr>
        <w:t>; and</w:t>
      </w:r>
    </w:p>
    <w:p w:rsidR="00272860" w:rsidRPr="00C43A1A" w:rsidRDefault="00590B7C">
      <w:pPr>
        <w:pStyle w:val="ListParagraph"/>
        <w:widowControl w:val="0"/>
        <w:numPr>
          <w:ilvl w:val="0"/>
          <w:numId w:val="41"/>
        </w:numPr>
        <w:spacing w:before="120" w:after="120"/>
        <w:rPr>
          <w:sz w:val="24"/>
        </w:rPr>
      </w:pPr>
      <w:proofErr w:type="gramStart"/>
      <w:r>
        <w:rPr>
          <w:sz w:val="24"/>
        </w:rPr>
        <w:t>agree</w:t>
      </w:r>
      <w:r w:rsidR="00957614">
        <w:rPr>
          <w:sz w:val="24"/>
        </w:rPr>
        <w:t>ing</w:t>
      </w:r>
      <w:proofErr w:type="gramEnd"/>
      <w:r>
        <w:rPr>
          <w:sz w:val="24"/>
        </w:rPr>
        <w:t xml:space="preserve"> governance arrangements</w:t>
      </w:r>
      <w:r w:rsidR="00C43A1A" w:rsidRPr="00C43A1A">
        <w:rPr>
          <w:sz w:val="24"/>
        </w:rPr>
        <w:t xml:space="preserve"> </w:t>
      </w:r>
      <w:r w:rsidR="00957614">
        <w:rPr>
          <w:sz w:val="24"/>
        </w:rPr>
        <w:t>with other entities</w:t>
      </w:r>
      <w:r w:rsidR="002C4A78">
        <w:rPr>
          <w:sz w:val="24"/>
        </w:rPr>
        <w:t>.</w:t>
      </w:r>
    </w:p>
    <w:p w:rsidR="00C02FA7" w:rsidRPr="00AC6D6F" w:rsidRDefault="00C02FA7" w:rsidP="00906558">
      <w:pPr>
        <w:widowControl w:val="0"/>
        <w:spacing w:before="120" w:after="240" w:line="276" w:lineRule="auto"/>
        <w:rPr>
          <w:rFonts w:cs="Arial"/>
          <w:sz w:val="24"/>
        </w:rPr>
      </w:pPr>
      <w:bookmarkStart w:id="0" w:name="_Toc455062745"/>
      <w:r w:rsidRPr="005A6CC0">
        <w:rPr>
          <w:rFonts w:cs="Arial"/>
          <w:sz w:val="24"/>
        </w:rPr>
        <w:t>To nominate in this category please use the template</w:t>
      </w:r>
      <w:r w:rsidR="00AD0761">
        <w:rPr>
          <w:rFonts w:cs="Arial"/>
          <w:sz w:val="24"/>
        </w:rPr>
        <w:t xml:space="preserve"> available </w:t>
      </w:r>
      <w:hyperlink r:id="rId9" w:history="1">
        <w:r w:rsidR="00AD0761" w:rsidRPr="00604B62">
          <w:rPr>
            <w:rStyle w:val="Hyperlink"/>
            <w:rFonts w:cs="Arial"/>
            <w:sz w:val="24"/>
          </w:rPr>
          <w:t>here</w:t>
        </w:r>
      </w:hyperlink>
      <w:r w:rsidR="00AD0761">
        <w:rPr>
          <w:rFonts w:cs="Arial"/>
          <w:sz w:val="24"/>
        </w:rPr>
        <w:t>.</w:t>
      </w:r>
      <w:r w:rsidRPr="005A6CC0">
        <w:rPr>
          <w:rFonts w:cs="Arial"/>
          <w:sz w:val="24"/>
        </w:rPr>
        <w:t xml:space="preserve"> </w:t>
      </w:r>
      <w:r w:rsidR="006D26F5">
        <w:rPr>
          <w:rFonts w:cs="Arial"/>
          <w:sz w:val="24"/>
        </w:rPr>
        <w:t xml:space="preserve">For further guidance please consult the Comcover Awards for Excellence </w:t>
      </w:r>
      <w:hyperlink r:id="rId10" w:history="1">
        <w:r w:rsidR="00B43D5E" w:rsidRPr="00AC6D6F">
          <w:rPr>
            <w:rStyle w:val="Hyperlink"/>
            <w:rFonts w:cs="Arial"/>
            <w:sz w:val="24"/>
          </w:rPr>
          <w:t>I</w:t>
        </w:r>
        <w:r w:rsidR="006D26F5" w:rsidRPr="00AC6D6F">
          <w:rPr>
            <w:rStyle w:val="Hyperlink"/>
            <w:rFonts w:cs="Arial"/>
            <w:sz w:val="24"/>
          </w:rPr>
          <w:t xml:space="preserve">nformation </w:t>
        </w:r>
        <w:r w:rsidR="00B43D5E" w:rsidRPr="00AC6D6F">
          <w:rPr>
            <w:rStyle w:val="Hyperlink"/>
            <w:rFonts w:cs="Arial"/>
            <w:sz w:val="24"/>
          </w:rPr>
          <w:t>K</w:t>
        </w:r>
        <w:r w:rsidR="006D26F5" w:rsidRPr="00AC6D6F">
          <w:rPr>
            <w:rStyle w:val="Hyperlink"/>
            <w:rFonts w:cs="Arial"/>
            <w:sz w:val="24"/>
          </w:rPr>
          <w:t>it</w:t>
        </w:r>
      </w:hyperlink>
      <w:r w:rsidR="00AC6D6F">
        <w:rPr>
          <w:rFonts w:cs="Arial"/>
          <w:sz w:val="24"/>
        </w:rPr>
        <w:t>.</w:t>
      </w:r>
    </w:p>
    <w:p w:rsidR="00C02FA7" w:rsidRPr="005A6CC0" w:rsidRDefault="006F3E8D" w:rsidP="00906558">
      <w:pPr>
        <w:widowControl w:val="0"/>
        <w:spacing w:before="120" w:after="120" w:line="276" w:lineRule="auto"/>
        <w:rPr>
          <w:rFonts w:cs="Arial"/>
          <w:bCs/>
          <w:sz w:val="24"/>
        </w:rPr>
      </w:pPr>
      <w:r>
        <w:rPr>
          <w:rFonts w:cs="Arial"/>
          <w:sz w:val="24"/>
        </w:rPr>
        <w:t>Lodge your nomination</w:t>
      </w:r>
      <w:r w:rsidR="00C02FA7" w:rsidRPr="005A6CC0">
        <w:rPr>
          <w:rFonts w:cs="Arial"/>
          <w:sz w:val="24"/>
        </w:rPr>
        <w:t xml:space="preserve"> electronically by COB </w:t>
      </w:r>
      <w:r w:rsidR="0019423D">
        <w:rPr>
          <w:rFonts w:cs="Arial"/>
          <w:sz w:val="24"/>
        </w:rPr>
        <w:t>Wednesday</w:t>
      </w:r>
      <w:r w:rsidR="006D26F5">
        <w:rPr>
          <w:rFonts w:cs="Arial"/>
          <w:sz w:val="24"/>
        </w:rPr>
        <w:t xml:space="preserve">, </w:t>
      </w:r>
      <w:r w:rsidR="0019423D">
        <w:rPr>
          <w:rFonts w:cs="Arial"/>
          <w:b/>
          <w:sz w:val="24"/>
        </w:rPr>
        <w:t>21</w:t>
      </w:r>
      <w:r w:rsidR="0019423D" w:rsidRPr="00423EEF">
        <w:rPr>
          <w:rFonts w:cs="Arial"/>
          <w:b/>
          <w:sz w:val="24"/>
        </w:rPr>
        <w:t xml:space="preserve"> </w:t>
      </w:r>
      <w:r w:rsidR="00EE4C9B">
        <w:rPr>
          <w:rFonts w:cs="Arial"/>
          <w:b/>
          <w:sz w:val="24"/>
        </w:rPr>
        <w:t>September</w:t>
      </w:r>
      <w:r w:rsidR="006D26F5">
        <w:rPr>
          <w:rFonts w:cs="Arial"/>
          <w:sz w:val="24"/>
        </w:rPr>
        <w:t xml:space="preserve"> </w:t>
      </w:r>
      <w:r w:rsidR="00C02FA7" w:rsidRPr="005A6CC0">
        <w:rPr>
          <w:rFonts w:cs="Arial"/>
          <w:b/>
          <w:sz w:val="24"/>
        </w:rPr>
        <w:t>20</w:t>
      </w:r>
      <w:r w:rsidR="00AD0761">
        <w:rPr>
          <w:rFonts w:cs="Arial"/>
          <w:b/>
          <w:sz w:val="24"/>
        </w:rPr>
        <w:t>2</w:t>
      </w:r>
      <w:r w:rsidR="00EE4C9B">
        <w:rPr>
          <w:rFonts w:cs="Arial"/>
          <w:b/>
          <w:sz w:val="24"/>
        </w:rPr>
        <w:t>2</w:t>
      </w:r>
      <w:r w:rsidR="00C02FA7" w:rsidRPr="005A6CC0">
        <w:rPr>
          <w:rFonts w:cs="Arial"/>
          <w:sz w:val="24"/>
        </w:rPr>
        <w:t xml:space="preserve"> </w:t>
      </w:r>
      <w:r w:rsidR="00B632B1">
        <w:rPr>
          <w:rFonts w:cs="Arial"/>
          <w:sz w:val="24"/>
        </w:rPr>
        <w:t>to</w:t>
      </w:r>
      <w:r w:rsidR="00B632B1" w:rsidRPr="005A6CC0">
        <w:rPr>
          <w:rFonts w:cs="Arial"/>
          <w:sz w:val="24"/>
        </w:rPr>
        <w:t xml:space="preserve"> </w:t>
      </w:r>
      <w:hyperlink r:id="rId11" w:history="1">
        <w:r w:rsidR="00B632B1" w:rsidRPr="00B632B1">
          <w:rPr>
            <w:rStyle w:val="Hyperlink"/>
            <w:rFonts w:cs="Arial"/>
            <w:bCs/>
            <w:sz w:val="24"/>
          </w:rPr>
          <w:t>RiskAwards@f</w:t>
        </w:r>
        <w:r w:rsidR="00B632B1" w:rsidRPr="004F3E73">
          <w:rPr>
            <w:rStyle w:val="Hyperlink"/>
            <w:rFonts w:cs="Arial"/>
            <w:bCs/>
            <w:sz w:val="24"/>
          </w:rPr>
          <w:t>inance.gov.au</w:t>
        </w:r>
      </w:hyperlink>
    </w:p>
    <w:p w:rsidR="00A7196F" w:rsidRDefault="00EF6593" w:rsidP="00A7196F">
      <w:pPr>
        <w:pStyle w:val="Heading2"/>
      </w:pPr>
      <w:bookmarkStart w:id="1" w:name="_Toc455062746"/>
      <w:bookmarkEnd w:id="0"/>
      <w:r>
        <w:t xml:space="preserve">Brief </w:t>
      </w:r>
      <w:r w:rsidR="008720AA">
        <w:t>o</w:t>
      </w:r>
      <w:r>
        <w:t>verview of your n</w:t>
      </w:r>
      <w:r w:rsidR="00A7196F">
        <w:t>omination</w:t>
      </w:r>
      <w:bookmarkStart w:id="2" w:name="_GoBack"/>
      <w:bookmarkEnd w:id="2"/>
    </w:p>
    <w:p w:rsidR="00A7196F" w:rsidRDefault="00A7196F" w:rsidP="00906558">
      <w:pPr>
        <w:pStyle w:val="BodyText1"/>
        <w:spacing w:line="276" w:lineRule="auto"/>
        <w:rPr>
          <w:sz w:val="24"/>
        </w:rPr>
      </w:pPr>
      <w:r w:rsidRPr="00664CC2">
        <w:rPr>
          <w:sz w:val="24"/>
        </w:rPr>
        <w:t>Please provide a brief overview</w:t>
      </w:r>
      <w:r w:rsidR="00646FD0">
        <w:rPr>
          <w:sz w:val="24"/>
        </w:rPr>
        <w:t xml:space="preserve"> </w:t>
      </w:r>
      <w:r w:rsidRPr="00664CC2">
        <w:rPr>
          <w:sz w:val="24"/>
        </w:rPr>
        <w:t xml:space="preserve">outlining </w:t>
      </w:r>
      <w:r w:rsidR="00D9794C">
        <w:rPr>
          <w:sz w:val="24"/>
        </w:rPr>
        <w:t xml:space="preserve">the </w:t>
      </w:r>
      <w:r w:rsidR="00AD0761">
        <w:rPr>
          <w:sz w:val="24"/>
        </w:rPr>
        <w:t xml:space="preserve">key points of your nomination. The </w:t>
      </w:r>
      <w:r w:rsidR="00007707">
        <w:rPr>
          <w:sz w:val="24"/>
        </w:rPr>
        <w:t xml:space="preserve">nomination </w:t>
      </w:r>
      <w:r w:rsidR="00AD0761">
        <w:rPr>
          <w:sz w:val="24"/>
        </w:rPr>
        <w:t>should be written in a compelling way which makes your submission memorable and easy to read.</w:t>
      </w:r>
    </w:p>
    <w:p w:rsidR="00272860" w:rsidRPr="00F40EDC" w:rsidRDefault="00272860" w:rsidP="00906558">
      <w:pPr>
        <w:pStyle w:val="Heading3"/>
      </w:pPr>
      <w:r w:rsidRPr="00F40EDC">
        <w:lastRenderedPageBreak/>
        <w:t>Criterion 1 - Planning</w:t>
      </w:r>
    </w:p>
    <w:p w:rsidR="00B20FBB" w:rsidRPr="007709BF" w:rsidRDefault="00B20FBB" w:rsidP="00906558">
      <w:pPr>
        <w:spacing w:line="276" w:lineRule="auto"/>
      </w:pP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The </w:t>
      </w:r>
      <w:r w:rsidR="006112F8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P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lanning</w:t>
      </w: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 criterion </w:t>
      </w:r>
      <w:r w:rsidR="00451992">
        <w:rPr>
          <w:rFonts w:asciiTheme="majorHAnsi" w:hAnsiTheme="majorHAnsi"/>
          <w:color w:val="43848B" w:themeColor="accent1" w:themeShade="80"/>
          <w:sz w:val="26"/>
        </w:rPr>
        <w:t>will demonstrate</w:t>
      </w:r>
      <w:r w:rsidR="00451992" w:rsidRPr="001A6835">
        <w:rPr>
          <w:rFonts w:asciiTheme="majorHAnsi" w:hAnsiTheme="majorHAnsi"/>
          <w:color w:val="43848B" w:themeColor="accent1" w:themeShade="80"/>
          <w:sz w:val="26"/>
        </w:rPr>
        <w:t xml:space="preserve"> </w:t>
      </w: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the approach </w:t>
      </w:r>
      <w:r w:rsidR="00451992">
        <w:rPr>
          <w:rFonts w:asciiTheme="majorHAnsi" w:hAnsiTheme="majorHAnsi"/>
          <w:color w:val="43848B" w:themeColor="accent1" w:themeShade="80"/>
          <w:sz w:val="26"/>
        </w:rPr>
        <w:t>your</w:t>
      </w:r>
      <w:r w:rsidR="00451992" w:rsidRPr="001A6835">
        <w:rPr>
          <w:rFonts w:asciiTheme="majorHAnsi" w:hAnsiTheme="majorHAnsi"/>
          <w:color w:val="43848B" w:themeColor="accent1" w:themeShade="80"/>
          <w:sz w:val="26"/>
        </w:rPr>
        <w:t xml:space="preserve"> </w:t>
      </w:r>
      <w:r w:rsidRPr="001A6835">
        <w:rPr>
          <w:rFonts w:asciiTheme="majorHAnsi" w:hAnsiTheme="majorHAnsi"/>
          <w:color w:val="43848B" w:themeColor="accent1" w:themeShade="80"/>
          <w:sz w:val="26"/>
        </w:rPr>
        <w:t>e</w:t>
      </w:r>
      <w:r w:rsidR="00D17623">
        <w:rPr>
          <w:rFonts w:asciiTheme="majorHAnsi" w:hAnsiTheme="majorHAnsi"/>
          <w:color w:val="43848B" w:themeColor="accent1" w:themeShade="80"/>
          <w:sz w:val="26"/>
        </w:rPr>
        <w:t>ntity</w:t>
      </w:r>
      <w:r w:rsidR="00413094">
        <w:rPr>
          <w:rFonts w:asciiTheme="majorHAnsi" w:hAnsiTheme="majorHAnsi"/>
          <w:color w:val="43848B" w:themeColor="accent1" w:themeShade="80"/>
          <w:sz w:val="26"/>
        </w:rPr>
        <w:t>/entities</w:t>
      </w:r>
      <w:r w:rsidR="00D17623">
        <w:rPr>
          <w:rFonts w:asciiTheme="majorHAnsi" w:hAnsiTheme="majorHAnsi"/>
          <w:color w:val="43848B" w:themeColor="accent1" w:themeShade="80"/>
          <w:sz w:val="26"/>
        </w:rPr>
        <w:t xml:space="preserve"> </w:t>
      </w:r>
      <w:r w:rsidR="00413094">
        <w:rPr>
          <w:rFonts w:asciiTheme="majorHAnsi" w:hAnsiTheme="majorHAnsi"/>
          <w:color w:val="43848B" w:themeColor="accent1" w:themeShade="80"/>
          <w:sz w:val="26"/>
        </w:rPr>
        <w:t>took</w:t>
      </w:r>
      <w:r w:rsidR="00D17623">
        <w:rPr>
          <w:rFonts w:asciiTheme="majorHAnsi" w:hAnsiTheme="majorHAnsi"/>
          <w:color w:val="43848B" w:themeColor="accent1" w:themeShade="80"/>
          <w:sz w:val="26"/>
        </w:rPr>
        <w:t xml:space="preserve"> to identify shared 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risk</w:t>
      </w:r>
      <w:r w:rsidR="00212391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(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s</w:t>
      </w:r>
      <w:r w:rsidR="00212391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)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 associated with a program, project or service delivery activity</w:t>
      </w:r>
      <w:r w:rsidR="00D17623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 and/or integration into </w:t>
      </w:r>
      <w:r w:rsidR="00413094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each </w:t>
      </w:r>
      <w:r w:rsidR="00D17623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entity’s risk management framework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. </w:t>
      </w:r>
      <w:r w:rsidR="00451992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O</w:t>
      </w:r>
      <w:r w:rsidR="007709BF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utline </w:t>
      </w:r>
      <w:r w:rsidRPr="001A6835">
        <w:rPr>
          <w:rFonts w:asciiTheme="majorHAnsi" w:hAnsiTheme="majorHAnsi"/>
          <w:color w:val="43848B" w:themeColor="accent1" w:themeShade="80"/>
          <w:sz w:val="26"/>
        </w:rPr>
        <w:t>the strategies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 and</w:t>
      </w: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 processes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 undertaken in identifying</w:t>
      </w: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 </w:t>
      </w:r>
      <w:r w:rsidR="00413094">
        <w:rPr>
          <w:rFonts w:asciiTheme="majorHAnsi" w:hAnsiTheme="majorHAnsi"/>
          <w:color w:val="43848B" w:themeColor="accent1" w:themeShade="80"/>
          <w:sz w:val="26"/>
        </w:rPr>
        <w:t xml:space="preserve">each </w:t>
      </w:r>
      <w:r w:rsidR="00D17623">
        <w:rPr>
          <w:rFonts w:asciiTheme="majorHAnsi" w:hAnsiTheme="majorHAnsi"/>
          <w:color w:val="43848B" w:themeColor="accent1" w:themeShade="80"/>
          <w:sz w:val="26"/>
        </w:rPr>
        <w:t xml:space="preserve">entity’s shared risks 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and how </w:t>
      </w:r>
      <w:r w:rsidR="00D17623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the entity engaged with plann</w:t>
      </w:r>
      <w:r w:rsidR="00672BE5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ing</w:t>
      </w:r>
      <w:r w:rsidR="00D17623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 for these in consultation with </w:t>
      </w:r>
      <w:r w:rsidR="00672BE5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co-owners of risk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. </w:t>
      </w:r>
    </w:p>
    <w:p w:rsidR="00B20FBB" w:rsidRDefault="00B20FBB" w:rsidP="00906558">
      <w:pPr>
        <w:spacing w:line="276" w:lineRule="auto"/>
        <w:rPr>
          <w:sz w:val="24"/>
        </w:rPr>
      </w:pPr>
      <w:r w:rsidRPr="00B20FBB">
        <w:rPr>
          <w:sz w:val="24"/>
        </w:rPr>
        <w:t xml:space="preserve">To respond to this criterion entities </w:t>
      </w:r>
      <w:r w:rsidR="006112F8">
        <w:rPr>
          <w:sz w:val="24"/>
        </w:rPr>
        <w:t>must</w:t>
      </w:r>
      <w:r w:rsidRPr="00B20FBB">
        <w:rPr>
          <w:sz w:val="24"/>
        </w:rPr>
        <w:t xml:space="preserve"> demonstrate excellence by providing evidence of</w:t>
      </w:r>
      <w:r w:rsidR="00662B7F">
        <w:rPr>
          <w:sz w:val="24"/>
        </w:rPr>
        <w:t>:</w:t>
      </w:r>
    </w:p>
    <w:p w:rsidR="002C4A78" w:rsidRDefault="002C4A78" w:rsidP="002C4A78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>how the different visibilities of the risk(s) and related impacts where managed</w:t>
      </w:r>
      <w:r w:rsidR="00662B7F">
        <w:rPr>
          <w:sz w:val="24"/>
        </w:rPr>
        <w:t>;</w:t>
      </w:r>
    </w:p>
    <w:p w:rsidR="002C4A78" w:rsidRDefault="002C4A78" w:rsidP="002C4A78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>how exposure to the risk</w:t>
      </w:r>
      <w:r w:rsidR="00733F5B">
        <w:rPr>
          <w:sz w:val="24"/>
        </w:rPr>
        <w:t>(s)</w:t>
      </w:r>
      <w:r>
        <w:rPr>
          <w:sz w:val="24"/>
        </w:rPr>
        <w:t xml:space="preserve"> by various stakeholders were identified</w:t>
      </w:r>
      <w:r w:rsidR="00662B7F">
        <w:rPr>
          <w:sz w:val="24"/>
        </w:rPr>
        <w:t>;</w:t>
      </w:r>
      <w:r>
        <w:rPr>
          <w:sz w:val="24"/>
        </w:rPr>
        <w:t xml:space="preserve"> </w:t>
      </w:r>
    </w:p>
    <w:p w:rsidR="00B8747A" w:rsidRDefault="00B8747A" w:rsidP="00B8747A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>a structured</w:t>
      </w:r>
      <w:r w:rsidR="00D95317">
        <w:rPr>
          <w:sz w:val="24"/>
        </w:rPr>
        <w:t xml:space="preserve"> and clear</w:t>
      </w:r>
      <w:r>
        <w:rPr>
          <w:sz w:val="24"/>
        </w:rPr>
        <w:t xml:space="preserve"> approach to </w:t>
      </w:r>
      <w:r w:rsidR="00642DC6">
        <w:rPr>
          <w:sz w:val="24"/>
        </w:rPr>
        <w:t>formalising roles and responsibilities for managing the different aspects of the shared risk(s)</w:t>
      </w:r>
      <w:r w:rsidR="00662B7F">
        <w:rPr>
          <w:sz w:val="24"/>
        </w:rPr>
        <w:t>; and</w:t>
      </w:r>
    </w:p>
    <w:p w:rsidR="00B8747A" w:rsidRDefault="00642DC6" w:rsidP="000E3140">
      <w:pPr>
        <w:pStyle w:val="ListParagraph"/>
        <w:numPr>
          <w:ilvl w:val="0"/>
          <w:numId w:val="42"/>
        </w:numPr>
      </w:pPr>
      <w:proofErr w:type="gramStart"/>
      <w:r>
        <w:rPr>
          <w:sz w:val="24"/>
        </w:rPr>
        <w:t>appropriate</w:t>
      </w:r>
      <w:proofErr w:type="gramEnd"/>
      <w:r>
        <w:rPr>
          <w:sz w:val="24"/>
        </w:rPr>
        <w:t xml:space="preserve"> oversight of the shared risk(s) by relevant entities, management committees and interdepartmental governance bodies. </w:t>
      </w:r>
      <w:bookmarkEnd w:id="1"/>
    </w:p>
    <w:p w:rsidR="00272860" w:rsidRPr="00F40EDC" w:rsidRDefault="00272860" w:rsidP="00906558">
      <w:pPr>
        <w:pStyle w:val="Heading3"/>
      </w:pPr>
      <w:r w:rsidRPr="00F40EDC">
        <w:t>Criterion 2 - Implementation</w:t>
      </w:r>
    </w:p>
    <w:p w:rsidR="00272860" w:rsidRPr="00555589" w:rsidRDefault="008720AA" w:rsidP="00906558">
      <w:pPr>
        <w:pStyle w:val="Heading4"/>
        <w:spacing w:line="276" w:lineRule="auto"/>
        <w:rPr>
          <w:sz w:val="24"/>
        </w:rPr>
      </w:pPr>
      <w:r>
        <w:t>Th</w:t>
      </w:r>
      <w:r w:rsidR="00DA0C48">
        <w:t xml:space="preserve">is </w:t>
      </w:r>
      <w:r w:rsidR="003820E1">
        <w:t xml:space="preserve">criterion </w:t>
      </w:r>
      <w:r w:rsidR="00DA0C48">
        <w:t xml:space="preserve">requires entities to provide </w:t>
      </w:r>
      <w:r>
        <w:t>detail</w:t>
      </w:r>
      <w:r w:rsidRPr="00555589">
        <w:t xml:space="preserve"> </w:t>
      </w:r>
      <w:r w:rsidR="00D50D49">
        <w:t xml:space="preserve">on </w:t>
      </w:r>
      <w:r w:rsidR="00272860" w:rsidRPr="00555589">
        <w:t xml:space="preserve">how the </w:t>
      </w:r>
      <w:r w:rsidR="00212391">
        <w:t xml:space="preserve">shared </w:t>
      </w:r>
      <w:r w:rsidR="00272860" w:rsidRPr="00555589">
        <w:t xml:space="preserve">risk was successfully </w:t>
      </w:r>
      <w:r w:rsidR="00212391">
        <w:t>managed</w:t>
      </w:r>
      <w:r w:rsidR="00272860" w:rsidRPr="00555589">
        <w:t xml:space="preserve">. </w:t>
      </w:r>
      <w:r w:rsidR="00FD5E22">
        <w:t>I</w:t>
      </w:r>
      <w:r w:rsidR="00A8501D" w:rsidRPr="00B2094D">
        <w:t>nclude</w:t>
      </w:r>
      <w:r w:rsidR="00272860" w:rsidRPr="00B2094D">
        <w:t xml:space="preserve"> activities undertaken </w:t>
      </w:r>
      <w:r w:rsidR="00DA0C48">
        <w:t>that include</w:t>
      </w:r>
      <w:r w:rsidR="00FD5E22">
        <w:t>d</w:t>
      </w:r>
      <w:r w:rsidR="00DA0C48">
        <w:t xml:space="preserve"> </w:t>
      </w:r>
      <w:r w:rsidR="00413094">
        <w:t xml:space="preserve">collaboration between the entities which shared the risk, </w:t>
      </w:r>
      <w:r w:rsidR="00DA0C48">
        <w:t>engagin</w:t>
      </w:r>
      <w:r w:rsidR="006F5D7F">
        <w:t>g</w:t>
      </w:r>
      <w:r w:rsidR="00DA0C48">
        <w:t xml:space="preserve"> senior executives and Ministers where necessary, </w:t>
      </w:r>
      <w:r w:rsidR="00272860" w:rsidRPr="00B2094D">
        <w:t>the engagement of internal and external stakeholders, communication and reporting.</w:t>
      </w:r>
    </w:p>
    <w:p w:rsidR="003E0E13" w:rsidRPr="00555589" w:rsidRDefault="003E0E13" w:rsidP="00906558">
      <w:pPr>
        <w:spacing w:before="120" w:after="120" w:line="276" w:lineRule="auto"/>
        <w:rPr>
          <w:sz w:val="24"/>
        </w:rPr>
      </w:pPr>
      <w:r>
        <w:rPr>
          <w:sz w:val="24"/>
        </w:rPr>
        <w:t>To respond to this criterion, d</w:t>
      </w:r>
      <w:r w:rsidRPr="00555589">
        <w:rPr>
          <w:sz w:val="24"/>
        </w:rPr>
        <w:t xml:space="preserve">emonstrate excellence by providing evidence </w:t>
      </w:r>
      <w:r w:rsidR="00AF20C8">
        <w:rPr>
          <w:sz w:val="24"/>
        </w:rPr>
        <w:t>of how</w:t>
      </w:r>
      <w:r w:rsidR="00662B7F">
        <w:rPr>
          <w:sz w:val="24"/>
        </w:rPr>
        <w:t>:</w:t>
      </w:r>
    </w:p>
    <w:p w:rsidR="00272860" w:rsidRDefault="00D95317">
      <w:pPr>
        <w:pStyle w:val="ListParagraph"/>
        <w:numPr>
          <w:ilvl w:val="0"/>
          <w:numId w:val="39"/>
        </w:numPr>
        <w:spacing w:after="240"/>
        <w:ind w:left="714" w:hanging="357"/>
        <w:rPr>
          <w:sz w:val="24"/>
          <w:szCs w:val="24"/>
        </w:rPr>
      </w:pPr>
      <w:r>
        <w:rPr>
          <w:sz w:val="24"/>
          <w:szCs w:val="24"/>
        </w:rPr>
        <w:t>the management of the shared risk(s) was coordinated between Commonwealth entities but also other stakeholders</w:t>
      </w:r>
      <w:r w:rsidR="00662B7F">
        <w:rPr>
          <w:sz w:val="24"/>
          <w:szCs w:val="24"/>
        </w:rPr>
        <w:t xml:space="preserve"> (t</w:t>
      </w:r>
      <w:r>
        <w:rPr>
          <w:sz w:val="24"/>
          <w:szCs w:val="24"/>
        </w:rPr>
        <w:t>his could include other jurisdictions, the wider community, other sectors and</w:t>
      </w:r>
      <w:r w:rsidR="00212391">
        <w:rPr>
          <w:sz w:val="24"/>
          <w:szCs w:val="24"/>
        </w:rPr>
        <w:t>/or</w:t>
      </w:r>
      <w:r>
        <w:rPr>
          <w:sz w:val="24"/>
          <w:szCs w:val="24"/>
        </w:rPr>
        <w:t xml:space="preserve"> the public</w:t>
      </w:r>
      <w:r w:rsidR="00662B7F">
        <w:rPr>
          <w:sz w:val="24"/>
          <w:szCs w:val="24"/>
        </w:rPr>
        <w:t>);</w:t>
      </w:r>
      <w:r>
        <w:rPr>
          <w:sz w:val="24"/>
          <w:szCs w:val="24"/>
        </w:rPr>
        <w:t xml:space="preserve">  </w:t>
      </w:r>
    </w:p>
    <w:p w:rsidR="000F2FEC" w:rsidRDefault="000F2FEC">
      <w:pPr>
        <w:pStyle w:val="ListParagraph"/>
        <w:numPr>
          <w:ilvl w:val="0"/>
          <w:numId w:val="39"/>
        </w:numPr>
        <w:spacing w:after="240"/>
        <w:ind w:left="714" w:hanging="357"/>
        <w:rPr>
          <w:sz w:val="24"/>
          <w:szCs w:val="24"/>
        </w:rPr>
      </w:pPr>
      <w:r>
        <w:rPr>
          <w:sz w:val="24"/>
          <w:szCs w:val="24"/>
        </w:rPr>
        <w:t>the different tolerances and appetite for risk of the stakeholders was understood and managed</w:t>
      </w:r>
      <w:r w:rsidR="00662B7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0F2FEC" w:rsidRDefault="000F2FEC">
      <w:pPr>
        <w:pStyle w:val="ListParagraph"/>
        <w:numPr>
          <w:ilvl w:val="0"/>
          <w:numId w:val="39"/>
        </w:numPr>
        <w:spacing w:after="240"/>
        <w:ind w:left="714" w:hanging="357"/>
        <w:rPr>
          <w:sz w:val="24"/>
          <w:szCs w:val="24"/>
        </w:rPr>
      </w:pPr>
      <w:r>
        <w:rPr>
          <w:sz w:val="24"/>
          <w:szCs w:val="24"/>
        </w:rPr>
        <w:t>ownership of controls and treatments were clearly defined</w:t>
      </w:r>
      <w:r w:rsidR="00662B7F">
        <w:rPr>
          <w:sz w:val="24"/>
          <w:szCs w:val="24"/>
        </w:rPr>
        <w:t>; and</w:t>
      </w:r>
      <w:r>
        <w:rPr>
          <w:sz w:val="24"/>
          <w:szCs w:val="24"/>
        </w:rPr>
        <w:t xml:space="preserve"> </w:t>
      </w:r>
    </w:p>
    <w:p w:rsidR="002C4A78" w:rsidRPr="00D51DC8" w:rsidRDefault="002C4A78">
      <w:pPr>
        <w:pStyle w:val="ListParagraph"/>
        <w:numPr>
          <w:ilvl w:val="0"/>
          <w:numId w:val="39"/>
        </w:numPr>
        <w:spacing w:after="240"/>
        <w:ind w:left="71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responsibilities</w:t>
      </w:r>
      <w:proofErr w:type="gramEnd"/>
      <w:r>
        <w:rPr>
          <w:sz w:val="24"/>
          <w:szCs w:val="24"/>
        </w:rPr>
        <w:t xml:space="preserve"> for reporting and escalating the risk(s) were determined and defined.</w:t>
      </w:r>
    </w:p>
    <w:p w:rsidR="00CB7E31" w:rsidRPr="00362DC8" w:rsidRDefault="00CB7E31" w:rsidP="00CB7E31">
      <w:pPr>
        <w:pStyle w:val="Heading3"/>
      </w:pPr>
      <w:r w:rsidRPr="00F40EDC">
        <w:lastRenderedPageBreak/>
        <w:t xml:space="preserve">Criterion 3 - Monitor and </w:t>
      </w:r>
      <w:r w:rsidR="00A8501D">
        <w:t>M</w:t>
      </w:r>
      <w:r w:rsidRPr="00F40EDC">
        <w:t>easure</w:t>
      </w:r>
    </w:p>
    <w:p w:rsidR="00CB7E31" w:rsidRPr="00B2094D" w:rsidRDefault="008720AA" w:rsidP="00906558">
      <w:pPr>
        <w:pStyle w:val="Heading4"/>
        <w:spacing w:line="276" w:lineRule="auto"/>
      </w:pPr>
      <w:r w:rsidRPr="00B2094D">
        <w:t xml:space="preserve">The Monitor and </w:t>
      </w:r>
      <w:r w:rsidR="00A8501D" w:rsidRPr="00B2094D">
        <w:t>M</w:t>
      </w:r>
      <w:r w:rsidRPr="00B2094D">
        <w:t xml:space="preserve">easure </w:t>
      </w:r>
      <w:r w:rsidR="003820E1" w:rsidRPr="00B2094D">
        <w:t>criteri</w:t>
      </w:r>
      <w:r w:rsidR="003820E1">
        <w:t>on</w:t>
      </w:r>
      <w:r w:rsidR="003820E1" w:rsidRPr="00B2094D">
        <w:t xml:space="preserve"> </w:t>
      </w:r>
      <w:r w:rsidR="00CB7E31" w:rsidRPr="00B2094D">
        <w:t>articulate</w:t>
      </w:r>
      <w:r w:rsidRPr="00B2094D">
        <w:t>s</w:t>
      </w:r>
      <w:r w:rsidR="00CB7E31" w:rsidRPr="00B2094D">
        <w:t xml:space="preserve"> the outcomes achieved and the benefits to </w:t>
      </w:r>
      <w:r w:rsidR="00FD5E22">
        <w:t>your</w:t>
      </w:r>
      <w:r w:rsidR="00FD5E22" w:rsidRPr="00B2094D">
        <w:t xml:space="preserve"> </w:t>
      </w:r>
      <w:r w:rsidR="00CB7E31" w:rsidRPr="00B2094D">
        <w:t>entity</w:t>
      </w:r>
      <w:r w:rsidR="00413094">
        <w:t>/entities</w:t>
      </w:r>
      <w:r w:rsidR="002C4A78">
        <w:t xml:space="preserve"> and others exposed to the shared risk(s) as a result of coordination and cooperation</w:t>
      </w:r>
      <w:r w:rsidR="00CB7E31" w:rsidRPr="00B2094D">
        <w:t>.</w:t>
      </w:r>
      <w:r w:rsidR="00CB7E31">
        <w:t xml:space="preserve"> </w:t>
      </w:r>
      <w:r w:rsidR="003820E1">
        <w:t>I</w:t>
      </w:r>
      <w:r w:rsidR="00CB7E31" w:rsidRPr="00B2094D">
        <w:t xml:space="preserve">nclude evidence of clear performance measures used to track the achievements of </w:t>
      </w:r>
      <w:r w:rsidR="003820E1">
        <w:t>your</w:t>
      </w:r>
      <w:r w:rsidR="003820E1" w:rsidRPr="00B2094D">
        <w:t xml:space="preserve"> </w:t>
      </w:r>
      <w:r w:rsidR="00212391">
        <w:t xml:space="preserve">shared </w:t>
      </w:r>
      <w:r w:rsidR="00CB7E31" w:rsidRPr="00B2094D">
        <w:t xml:space="preserve">risk initiative in the short </w:t>
      </w:r>
      <w:r w:rsidR="00212391">
        <w:t>to medium</w:t>
      </w:r>
      <w:r w:rsidR="00212391" w:rsidRPr="00B2094D">
        <w:t xml:space="preserve"> </w:t>
      </w:r>
      <w:r w:rsidR="00CB7E31" w:rsidRPr="00B2094D">
        <w:t>term.</w:t>
      </w:r>
    </w:p>
    <w:p w:rsidR="003E0E13" w:rsidRPr="00555589" w:rsidRDefault="003E0E13" w:rsidP="00906558">
      <w:pPr>
        <w:spacing w:before="120" w:after="120" w:line="276" w:lineRule="auto"/>
        <w:rPr>
          <w:sz w:val="24"/>
        </w:rPr>
      </w:pPr>
      <w:r>
        <w:rPr>
          <w:sz w:val="24"/>
        </w:rPr>
        <w:t>To respond to this criterion</w:t>
      </w:r>
      <w:r w:rsidR="002C4A78">
        <w:rPr>
          <w:sz w:val="24"/>
        </w:rPr>
        <w:t xml:space="preserve"> e</w:t>
      </w:r>
      <w:r w:rsidR="00DA0C48">
        <w:rPr>
          <w:sz w:val="24"/>
        </w:rPr>
        <w:t xml:space="preserve">ntities need to </w:t>
      </w:r>
      <w:r>
        <w:rPr>
          <w:sz w:val="24"/>
        </w:rPr>
        <w:t>d</w:t>
      </w:r>
      <w:r w:rsidRPr="00555589">
        <w:rPr>
          <w:sz w:val="24"/>
        </w:rPr>
        <w:t>emonstrate excellence by providing evidence of</w:t>
      </w:r>
      <w:r w:rsidR="0065164E">
        <w:rPr>
          <w:sz w:val="24"/>
        </w:rPr>
        <w:t>:</w:t>
      </w:r>
    </w:p>
    <w:p w:rsidR="00CB7E31" w:rsidRPr="00362DC8" w:rsidRDefault="0028667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</w:rPr>
        <w:t>c</w:t>
      </w:r>
      <w:r w:rsidR="00CB7E31">
        <w:rPr>
          <w:sz w:val="24"/>
        </w:rPr>
        <w:t xml:space="preserve">lear </w:t>
      </w:r>
      <w:r w:rsidR="00CB7E31" w:rsidRPr="00555589">
        <w:rPr>
          <w:sz w:val="24"/>
        </w:rPr>
        <w:t xml:space="preserve">performance measures </w:t>
      </w:r>
      <w:r w:rsidR="00DA0C48">
        <w:rPr>
          <w:sz w:val="24"/>
        </w:rPr>
        <w:t xml:space="preserve">being set </w:t>
      </w:r>
      <w:r w:rsidR="00CB7E31" w:rsidRPr="00555589">
        <w:rPr>
          <w:sz w:val="24"/>
        </w:rPr>
        <w:t xml:space="preserve">in the short to medium term used to track the achievements of the </w:t>
      </w:r>
      <w:r w:rsidR="00DB0B60">
        <w:rPr>
          <w:sz w:val="24"/>
        </w:rPr>
        <w:t xml:space="preserve">shared </w:t>
      </w:r>
      <w:r w:rsidR="00CB7E31" w:rsidRPr="00555589">
        <w:rPr>
          <w:sz w:val="24"/>
        </w:rPr>
        <w:t xml:space="preserve">risk </w:t>
      </w:r>
      <w:r w:rsidR="00DB0B60">
        <w:rPr>
          <w:sz w:val="24"/>
        </w:rPr>
        <w:t>management</w:t>
      </w:r>
      <w:r w:rsidR="00733F5B">
        <w:rPr>
          <w:sz w:val="24"/>
        </w:rPr>
        <w:t>, which</w:t>
      </w:r>
      <w:r w:rsidR="006112F8">
        <w:rPr>
          <w:sz w:val="24"/>
        </w:rPr>
        <w:t xml:space="preserve"> </w:t>
      </w:r>
      <w:r w:rsidR="00733F5B">
        <w:rPr>
          <w:sz w:val="24"/>
        </w:rPr>
        <w:t>i</w:t>
      </w:r>
      <w:r w:rsidR="00CB7E31">
        <w:rPr>
          <w:sz w:val="24"/>
        </w:rPr>
        <w:t>nclud</w:t>
      </w:r>
      <w:r w:rsidR="006112F8">
        <w:rPr>
          <w:sz w:val="24"/>
        </w:rPr>
        <w:t>e</w:t>
      </w:r>
      <w:r w:rsidR="00733F5B">
        <w:rPr>
          <w:sz w:val="24"/>
        </w:rPr>
        <w:t>s</w:t>
      </w:r>
      <w:r w:rsidR="0065164E">
        <w:rPr>
          <w:sz w:val="24"/>
        </w:rPr>
        <w:t>:</w:t>
      </w:r>
    </w:p>
    <w:p w:rsidR="00CB7E31" w:rsidRDefault="00D9794C">
      <w:pPr>
        <w:pStyle w:val="ListParagraph"/>
        <w:numPr>
          <w:ilvl w:val="1"/>
          <w:numId w:val="39"/>
        </w:numPr>
        <w:rPr>
          <w:sz w:val="24"/>
          <w:szCs w:val="24"/>
        </w:rPr>
      </w:pPr>
      <w:r>
        <w:rPr>
          <w:sz w:val="24"/>
        </w:rPr>
        <w:t>p</w:t>
      </w:r>
      <w:r w:rsidR="00CB7E31">
        <w:rPr>
          <w:sz w:val="24"/>
        </w:rPr>
        <w:t xml:space="preserve">erformance data </w:t>
      </w:r>
      <w:r w:rsidR="00CB7E31" w:rsidRPr="00984C69">
        <w:rPr>
          <w:sz w:val="24"/>
          <w:szCs w:val="24"/>
        </w:rPr>
        <w:t xml:space="preserve">that reflects a number of </w:t>
      </w:r>
      <w:r w:rsidR="00B910B1">
        <w:rPr>
          <w:sz w:val="24"/>
          <w:szCs w:val="24"/>
        </w:rPr>
        <w:t>phases</w:t>
      </w:r>
      <w:r w:rsidR="0065164E">
        <w:rPr>
          <w:sz w:val="24"/>
          <w:szCs w:val="24"/>
        </w:rPr>
        <w:t>;</w:t>
      </w:r>
      <w:r w:rsidR="00CB7E31">
        <w:rPr>
          <w:sz w:val="24"/>
          <w:szCs w:val="24"/>
        </w:rPr>
        <w:t xml:space="preserve"> </w:t>
      </w:r>
    </w:p>
    <w:p w:rsidR="00CB7E31" w:rsidRDefault="00D9794C">
      <w:pPr>
        <w:pStyle w:val="ListParagraph"/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CB7E31">
        <w:rPr>
          <w:sz w:val="24"/>
          <w:szCs w:val="24"/>
        </w:rPr>
        <w:t xml:space="preserve">ow </w:t>
      </w:r>
      <w:r w:rsidR="00CB7E31" w:rsidRPr="00984C69">
        <w:rPr>
          <w:sz w:val="24"/>
          <w:szCs w:val="24"/>
        </w:rPr>
        <w:t>consideration is given to outcomes and results achieved, in particular the comparison of performance prior to implementation and post implementation</w:t>
      </w:r>
      <w:r w:rsidR="0065164E">
        <w:rPr>
          <w:sz w:val="24"/>
          <w:szCs w:val="24"/>
        </w:rPr>
        <w:t>; and</w:t>
      </w:r>
    </w:p>
    <w:p w:rsidR="00650E6D" w:rsidRPr="006B0EDA" w:rsidRDefault="00646FD0">
      <w:pPr>
        <w:pStyle w:val="ListParagraph"/>
        <w:numPr>
          <w:ilvl w:val="1"/>
          <w:numId w:val="3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corrective actions taken in </w:t>
      </w:r>
      <w:r w:rsidR="00212391">
        <w:rPr>
          <w:sz w:val="24"/>
          <w:szCs w:val="24"/>
        </w:rPr>
        <w:t>managing the shared risk</w:t>
      </w:r>
      <w:r w:rsidR="00DB0B60">
        <w:rPr>
          <w:sz w:val="24"/>
          <w:szCs w:val="24"/>
        </w:rPr>
        <w:t>(s)</w:t>
      </w:r>
      <w:r>
        <w:rPr>
          <w:sz w:val="24"/>
          <w:szCs w:val="24"/>
        </w:rPr>
        <w:t xml:space="preserve"> to ensure success</w:t>
      </w:r>
      <w:r w:rsidR="0065164E">
        <w:rPr>
          <w:sz w:val="24"/>
          <w:szCs w:val="24"/>
        </w:rPr>
        <w:t>.</w:t>
      </w:r>
    </w:p>
    <w:p w:rsidR="00CB7E31" w:rsidRDefault="00D9794C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r>
        <w:rPr>
          <w:sz w:val="24"/>
        </w:rPr>
        <w:t>b</w:t>
      </w:r>
      <w:r w:rsidR="00CB7E31">
        <w:rPr>
          <w:sz w:val="24"/>
        </w:rPr>
        <w:t xml:space="preserve">enefits and </w:t>
      </w:r>
      <w:r w:rsidR="00CB7E31" w:rsidRPr="00984C69">
        <w:rPr>
          <w:sz w:val="24"/>
        </w:rPr>
        <w:t xml:space="preserve">results </w:t>
      </w:r>
      <w:r w:rsidR="00CB7E31">
        <w:rPr>
          <w:sz w:val="24"/>
        </w:rPr>
        <w:t>the</w:t>
      </w:r>
      <w:r w:rsidR="00CB7E31" w:rsidRPr="00984C69">
        <w:rPr>
          <w:sz w:val="24"/>
        </w:rPr>
        <w:t xml:space="preserve"> </w:t>
      </w:r>
      <w:r w:rsidR="00DB0B60">
        <w:rPr>
          <w:sz w:val="24"/>
        </w:rPr>
        <w:t xml:space="preserve">shared risk </w:t>
      </w:r>
      <w:r w:rsidR="00CB7E31">
        <w:rPr>
          <w:sz w:val="24"/>
        </w:rPr>
        <w:t>initiative</w:t>
      </w:r>
      <w:r w:rsidR="00CB7E31" w:rsidRPr="00984C69">
        <w:rPr>
          <w:sz w:val="24"/>
        </w:rPr>
        <w:t xml:space="preserve"> has achieved</w:t>
      </w:r>
      <w:r w:rsidR="00CB7E31">
        <w:rPr>
          <w:sz w:val="24"/>
        </w:rPr>
        <w:t xml:space="preserve"> to date</w:t>
      </w:r>
      <w:r w:rsidR="00CB7E31" w:rsidRPr="00984C69">
        <w:rPr>
          <w:sz w:val="24"/>
        </w:rPr>
        <w:t>,</w:t>
      </w:r>
      <w:r w:rsidR="00CB7E31">
        <w:rPr>
          <w:sz w:val="24"/>
        </w:rPr>
        <w:t xml:space="preserve"> or the</w:t>
      </w:r>
      <w:r w:rsidR="00CB7E31" w:rsidRPr="00984C69">
        <w:rPr>
          <w:sz w:val="24"/>
        </w:rPr>
        <w:t xml:space="preserve"> future benefits </w:t>
      </w:r>
      <w:r w:rsidR="00CB7E31">
        <w:rPr>
          <w:sz w:val="24"/>
        </w:rPr>
        <w:t>likely to emerge</w:t>
      </w:r>
      <w:r w:rsidR="0065164E">
        <w:rPr>
          <w:sz w:val="24"/>
        </w:rPr>
        <w:t>;</w:t>
      </w:r>
    </w:p>
    <w:p w:rsidR="00F84A5A" w:rsidRPr="00F84A5A" w:rsidRDefault="00D9794C">
      <w:pPr>
        <w:pStyle w:val="ListParagraph"/>
        <w:widowControl w:val="0"/>
        <w:numPr>
          <w:ilvl w:val="0"/>
          <w:numId w:val="39"/>
        </w:numPr>
        <w:spacing w:before="120" w:after="240"/>
      </w:pPr>
      <w:r>
        <w:rPr>
          <w:sz w:val="24"/>
        </w:rPr>
        <w:t>r</w:t>
      </w:r>
      <w:r w:rsidR="00CB7E31">
        <w:rPr>
          <w:sz w:val="24"/>
        </w:rPr>
        <w:t xml:space="preserve">elevant data such as </w:t>
      </w:r>
      <w:r w:rsidR="00CB7E31" w:rsidRPr="00984C69">
        <w:rPr>
          <w:sz w:val="24"/>
        </w:rPr>
        <w:t xml:space="preserve">the overall reduction of incidents, as well as comparative evidence of the costs </w:t>
      </w:r>
      <w:r w:rsidR="00CB7E31">
        <w:rPr>
          <w:sz w:val="24"/>
        </w:rPr>
        <w:t>compared with</w:t>
      </w:r>
      <w:r w:rsidR="00CB7E31" w:rsidRPr="00984C69">
        <w:rPr>
          <w:sz w:val="24"/>
        </w:rPr>
        <w:t xml:space="preserve"> the value of the results or benefits achieved</w:t>
      </w:r>
      <w:r w:rsidR="00E0300C">
        <w:rPr>
          <w:sz w:val="24"/>
        </w:rPr>
        <w:t>; and</w:t>
      </w:r>
    </w:p>
    <w:p w:rsidR="00CB7E31" w:rsidRPr="00906558" w:rsidRDefault="00286676" w:rsidP="00906558">
      <w:pPr>
        <w:pStyle w:val="ListParagraph"/>
        <w:numPr>
          <w:ilvl w:val="0"/>
          <w:numId w:val="39"/>
        </w:numPr>
        <w:spacing w:after="120"/>
        <w:rPr>
          <w:sz w:val="24"/>
        </w:rPr>
      </w:pPr>
      <w:proofErr w:type="gramStart"/>
      <w:r w:rsidRPr="00906558">
        <w:rPr>
          <w:sz w:val="24"/>
        </w:rPr>
        <w:t>h</w:t>
      </w:r>
      <w:r w:rsidR="00CB7E31" w:rsidRPr="00906558">
        <w:rPr>
          <w:sz w:val="24"/>
        </w:rPr>
        <w:t>ow</w:t>
      </w:r>
      <w:proofErr w:type="gramEnd"/>
      <w:r w:rsidR="00CB7E31" w:rsidRPr="00906558">
        <w:rPr>
          <w:sz w:val="24"/>
        </w:rPr>
        <w:t xml:space="preserve"> successes were measured</w:t>
      </w:r>
      <w:r w:rsidR="00DB0B60">
        <w:rPr>
          <w:sz w:val="24"/>
        </w:rPr>
        <w:t>,</w:t>
      </w:r>
      <w:r w:rsidR="00CB7E31" w:rsidRPr="00906558">
        <w:rPr>
          <w:sz w:val="24"/>
        </w:rPr>
        <w:t xml:space="preserve"> including qualitative and quantitative assessments</w:t>
      </w:r>
      <w:r w:rsidR="001E098C" w:rsidRPr="00906558">
        <w:rPr>
          <w:sz w:val="24"/>
        </w:rPr>
        <w:t xml:space="preserve"> and how these </w:t>
      </w:r>
      <w:r w:rsidR="00CB7E31" w:rsidRPr="00906558">
        <w:rPr>
          <w:sz w:val="24"/>
        </w:rPr>
        <w:t>successes were communicated to all stakeholders</w:t>
      </w:r>
      <w:r w:rsidR="001E098C" w:rsidRPr="00906558">
        <w:rPr>
          <w:sz w:val="24"/>
        </w:rPr>
        <w:t>.</w:t>
      </w:r>
    </w:p>
    <w:p w:rsidR="00CB7E31" w:rsidRPr="00F40EDC" w:rsidRDefault="00CB7E31" w:rsidP="00CB7E31">
      <w:pPr>
        <w:pStyle w:val="Heading3"/>
      </w:pPr>
      <w:r w:rsidRPr="00F40EDC">
        <w:t>Criterion 4 - Sustain</w:t>
      </w:r>
    </w:p>
    <w:p w:rsidR="00CB7E31" w:rsidRPr="00B2094D" w:rsidRDefault="00A8501D" w:rsidP="00906558">
      <w:pPr>
        <w:pStyle w:val="Heading4"/>
        <w:spacing w:line="276" w:lineRule="auto"/>
      </w:pPr>
      <w:r w:rsidRPr="00B2094D">
        <w:t>The Sustain</w:t>
      </w:r>
      <w:r w:rsidR="00CB7E31" w:rsidRPr="00B2094D">
        <w:t xml:space="preserve"> criterion </w:t>
      </w:r>
      <w:r w:rsidR="00B2094D">
        <w:t>details</w:t>
      </w:r>
      <w:r w:rsidR="00CB7E31" w:rsidRPr="00B2094D">
        <w:t xml:space="preserve"> the </w:t>
      </w:r>
      <w:r w:rsidR="00A57855" w:rsidRPr="00B2094D">
        <w:t xml:space="preserve">longer term </w:t>
      </w:r>
      <w:r w:rsidR="00CB7E31" w:rsidRPr="00B2094D">
        <w:t xml:space="preserve">benefits for </w:t>
      </w:r>
      <w:r w:rsidR="006112F8">
        <w:t>your</w:t>
      </w:r>
      <w:r w:rsidR="006112F8" w:rsidRPr="00B2094D">
        <w:t xml:space="preserve"> </w:t>
      </w:r>
      <w:r w:rsidR="00CB7E31" w:rsidRPr="00B2094D">
        <w:t>entity</w:t>
      </w:r>
      <w:r w:rsidR="00413094">
        <w:t>/entities</w:t>
      </w:r>
      <w:r w:rsidR="00CB7E31" w:rsidRPr="00B2094D">
        <w:t xml:space="preserve">, </w:t>
      </w:r>
      <w:r w:rsidR="002C4A78">
        <w:t xml:space="preserve">other stakeholders, </w:t>
      </w:r>
      <w:r w:rsidR="00CB7E31" w:rsidRPr="00B2094D">
        <w:t>the Government</w:t>
      </w:r>
      <w:r w:rsidR="004B6157">
        <w:t xml:space="preserve"> or the broader community</w:t>
      </w:r>
      <w:r w:rsidR="00CB7E31" w:rsidRPr="00B2094D">
        <w:t xml:space="preserve"> arising </w:t>
      </w:r>
      <w:r w:rsidR="001E098C" w:rsidRPr="00B2094D">
        <w:t>from</w:t>
      </w:r>
      <w:r w:rsidR="00CB7E31" w:rsidRPr="00B2094D">
        <w:t xml:space="preserve"> </w:t>
      </w:r>
      <w:r w:rsidR="006112F8">
        <w:t>your</w:t>
      </w:r>
      <w:r w:rsidR="004B6157">
        <w:t xml:space="preserve"> shared </w:t>
      </w:r>
      <w:r w:rsidR="00CB7E31" w:rsidRPr="00B2094D">
        <w:t>risk initiative.</w:t>
      </w:r>
    </w:p>
    <w:p w:rsidR="003E0E13" w:rsidRPr="00555589" w:rsidRDefault="003E0E13" w:rsidP="00906558">
      <w:pPr>
        <w:spacing w:before="120" w:after="120" w:line="276" w:lineRule="auto"/>
        <w:rPr>
          <w:sz w:val="24"/>
        </w:rPr>
      </w:pPr>
      <w:r>
        <w:rPr>
          <w:sz w:val="24"/>
        </w:rPr>
        <w:t>To respond to this criterion, d</w:t>
      </w:r>
      <w:r w:rsidRPr="00555589">
        <w:rPr>
          <w:sz w:val="24"/>
        </w:rPr>
        <w:t>emonstrate excellence by providing evidence of</w:t>
      </w:r>
      <w:r w:rsidR="00E0300C">
        <w:rPr>
          <w:sz w:val="24"/>
        </w:rPr>
        <w:t>:</w:t>
      </w:r>
    </w:p>
    <w:p w:rsidR="00CB7E31" w:rsidRPr="00555589" w:rsidRDefault="001E098C">
      <w:pPr>
        <w:pStyle w:val="ListParagraph"/>
        <w:numPr>
          <w:ilvl w:val="0"/>
          <w:numId w:val="39"/>
        </w:numPr>
        <w:spacing w:after="240"/>
        <w:ind w:left="714" w:hanging="357"/>
      </w:pPr>
      <w:r>
        <w:rPr>
          <w:sz w:val="24"/>
          <w:szCs w:val="24"/>
        </w:rPr>
        <w:t>h</w:t>
      </w:r>
      <w:r w:rsidR="00CB7E31" w:rsidRPr="00555589">
        <w:rPr>
          <w:sz w:val="24"/>
          <w:szCs w:val="24"/>
        </w:rPr>
        <w:t xml:space="preserve">ow the </w:t>
      </w:r>
      <w:r w:rsidR="00DB0B60">
        <w:rPr>
          <w:sz w:val="24"/>
          <w:szCs w:val="24"/>
        </w:rPr>
        <w:t xml:space="preserve">shared </w:t>
      </w:r>
      <w:r w:rsidR="00CB7E31" w:rsidRPr="00555589">
        <w:rPr>
          <w:sz w:val="24"/>
          <w:szCs w:val="24"/>
        </w:rPr>
        <w:t xml:space="preserve">risk initiative has contributed to achieving key outcomes for </w:t>
      </w:r>
      <w:r w:rsidR="00413094">
        <w:rPr>
          <w:sz w:val="24"/>
          <w:szCs w:val="24"/>
        </w:rPr>
        <w:t>each</w:t>
      </w:r>
      <w:r w:rsidR="00413094" w:rsidRPr="00555589">
        <w:rPr>
          <w:sz w:val="24"/>
          <w:szCs w:val="24"/>
        </w:rPr>
        <w:t xml:space="preserve"> </w:t>
      </w:r>
      <w:r w:rsidR="00CB7E31" w:rsidRPr="00555589">
        <w:rPr>
          <w:sz w:val="24"/>
          <w:szCs w:val="24"/>
        </w:rPr>
        <w:t>entity</w:t>
      </w:r>
      <w:r w:rsidR="00E0300C">
        <w:rPr>
          <w:sz w:val="24"/>
          <w:szCs w:val="24"/>
        </w:rPr>
        <w:t>;</w:t>
      </w:r>
      <w:r w:rsidR="00CB7E31" w:rsidRPr="00555589">
        <w:rPr>
          <w:sz w:val="24"/>
          <w:szCs w:val="24"/>
        </w:rPr>
        <w:t xml:space="preserve"> </w:t>
      </w:r>
    </w:p>
    <w:p w:rsidR="00CB7E31" w:rsidRDefault="001E098C">
      <w:pPr>
        <w:pStyle w:val="ListParagraph"/>
        <w:numPr>
          <w:ilvl w:val="0"/>
          <w:numId w:val="39"/>
        </w:numPr>
        <w:spacing w:after="240"/>
        <w:ind w:left="714" w:hanging="357"/>
        <w:rPr>
          <w:sz w:val="24"/>
          <w:szCs w:val="24"/>
        </w:rPr>
      </w:pPr>
      <w:r>
        <w:rPr>
          <w:sz w:val="24"/>
          <w:szCs w:val="24"/>
        </w:rPr>
        <w:t>h</w:t>
      </w:r>
      <w:r w:rsidR="00CB7E31" w:rsidRPr="00555589">
        <w:rPr>
          <w:sz w:val="24"/>
          <w:szCs w:val="24"/>
        </w:rPr>
        <w:t xml:space="preserve">ow the initiative has contributed to achieving </w:t>
      </w:r>
      <w:r w:rsidR="00413094">
        <w:rPr>
          <w:sz w:val="24"/>
          <w:szCs w:val="24"/>
        </w:rPr>
        <w:t>each</w:t>
      </w:r>
      <w:r w:rsidR="00413094" w:rsidRPr="00555589">
        <w:rPr>
          <w:sz w:val="24"/>
          <w:szCs w:val="24"/>
        </w:rPr>
        <w:t xml:space="preserve"> </w:t>
      </w:r>
      <w:r w:rsidR="00CB7E31" w:rsidRPr="00555589">
        <w:rPr>
          <w:sz w:val="24"/>
          <w:szCs w:val="24"/>
        </w:rPr>
        <w:t>entity’s objectives</w:t>
      </w:r>
      <w:r w:rsidR="004B6157">
        <w:rPr>
          <w:sz w:val="24"/>
          <w:szCs w:val="24"/>
        </w:rPr>
        <w:t>, the objectives of other entities and stakeholders</w:t>
      </w:r>
      <w:r w:rsidR="00CB7E31" w:rsidRPr="00555589">
        <w:rPr>
          <w:sz w:val="24"/>
          <w:szCs w:val="24"/>
        </w:rPr>
        <w:t xml:space="preserve"> or contributed to a whole of Government outcome – this could include the joint delivery of services or policy implementation across a number of portfolios</w:t>
      </w:r>
      <w:r w:rsidR="00E0300C">
        <w:rPr>
          <w:sz w:val="24"/>
          <w:szCs w:val="24"/>
        </w:rPr>
        <w:t>;</w:t>
      </w:r>
    </w:p>
    <w:p w:rsidR="001E098C" w:rsidRDefault="001E098C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r>
        <w:rPr>
          <w:sz w:val="24"/>
        </w:rPr>
        <w:t xml:space="preserve">how improvements have inspired other similar initiatives in management of risk across other business areas, or integrated into </w:t>
      </w:r>
      <w:r w:rsidR="00413094">
        <w:rPr>
          <w:sz w:val="24"/>
        </w:rPr>
        <w:t xml:space="preserve">each </w:t>
      </w:r>
      <w:r>
        <w:rPr>
          <w:sz w:val="24"/>
        </w:rPr>
        <w:t>entity’s operations as business-as-usual</w:t>
      </w:r>
      <w:r w:rsidR="00E0300C">
        <w:rPr>
          <w:sz w:val="24"/>
        </w:rPr>
        <w:t>;</w:t>
      </w:r>
    </w:p>
    <w:p w:rsidR="00F84A5A" w:rsidRDefault="00F84A5A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r w:rsidRPr="00F84A5A">
        <w:rPr>
          <w:sz w:val="24"/>
        </w:rPr>
        <w:t>how any challenges encountered were overcome</w:t>
      </w:r>
      <w:r w:rsidR="00E0300C">
        <w:rPr>
          <w:sz w:val="24"/>
        </w:rPr>
        <w:t>;</w:t>
      </w:r>
    </w:p>
    <w:p w:rsidR="006B0EDA" w:rsidRPr="00F84A5A" w:rsidRDefault="006B0EDA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r>
        <w:rPr>
          <w:sz w:val="24"/>
          <w:szCs w:val="24"/>
        </w:rPr>
        <w:lastRenderedPageBreak/>
        <w:t xml:space="preserve">how </w:t>
      </w:r>
      <w:r w:rsidR="00413094">
        <w:rPr>
          <w:sz w:val="24"/>
          <w:szCs w:val="24"/>
        </w:rPr>
        <w:t xml:space="preserve">each </w:t>
      </w:r>
      <w:r>
        <w:rPr>
          <w:sz w:val="24"/>
          <w:szCs w:val="24"/>
        </w:rPr>
        <w:t>entity’s culture has been enhanced</w:t>
      </w:r>
      <w:r w:rsidR="00E0300C">
        <w:rPr>
          <w:sz w:val="24"/>
          <w:szCs w:val="24"/>
        </w:rPr>
        <w:t>; and</w:t>
      </w:r>
    </w:p>
    <w:p w:rsidR="001E098C" w:rsidRPr="00F40EDC" w:rsidRDefault="001E098C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proofErr w:type="gramStart"/>
      <w:r>
        <w:rPr>
          <w:sz w:val="24"/>
        </w:rPr>
        <w:t>documentation</w:t>
      </w:r>
      <w:proofErr w:type="gramEnd"/>
      <w:r>
        <w:rPr>
          <w:sz w:val="24"/>
        </w:rPr>
        <w:t xml:space="preserve"> and formalisation of any changes to </w:t>
      </w:r>
      <w:r w:rsidRPr="00ED5D6E">
        <w:rPr>
          <w:sz w:val="24"/>
        </w:rPr>
        <w:t>leadership, planning and governance; change and people management and innovation practices.</w:t>
      </w:r>
    </w:p>
    <w:sectPr w:rsidR="001E098C" w:rsidRPr="00F40EDC" w:rsidSect="0090655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6" w:bottom="851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4C" w:rsidRDefault="0098584C" w:rsidP="00EF4574">
      <w:pPr>
        <w:spacing w:before="0" w:after="0" w:line="240" w:lineRule="auto"/>
      </w:pPr>
      <w:r>
        <w:separator/>
      </w:r>
    </w:p>
  </w:endnote>
  <w:endnote w:type="continuationSeparator" w:id="0">
    <w:p w:rsidR="0098584C" w:rsidRDefault="0098584C" w:rsidP="00EF4574">
      <w:pPr>
        <w:spacing w:before="0" w:after="0" w:line="240" w:lineRule="auto"/>
      </w:pPr>
      <w:r>
        <w:continuationSeparator/>
      </w:r>
    </w:p>
  </w:endnote>
  <w:endnote w:type="continuationNotice" w:id="1">
    <w:p w:rsidR="0098584C" w:rsidRDefault="009858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69" w:rsidRDefault="005970EA" w:rsidP="0039715A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604B6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B" w:rsidRDefault="000A6A8B" w:rsidP="000A6A8B">
    <w:pPr>
      <w:pStyle w:val="Footer"/>
      <w:jc w:val="center"/>
      <w:rPr>
        <w:rStyle w:val="Classificatio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4C" w:rsidRDefault="0098584C" w:rsidP="0020122A">
      <w:pPr>
        <w:pStyle w:val="FootnoteSeparator"/>
      </w:pPr>
    </w:p>
  </w:footnote>
  <w:footnote w:type="continuationSeparator" w:id="0">
    <w:p w:rsidR="0098584C" w:rsidRDefault="0098584C" w:rsidP="00EF4574">
      <w:pPr>
        <w:spacing w:before="0" w:after="0" w:line="240" w:lineRule="auto"/>
      </w:pPr>
      <w:r>
        <w:continuationSeparator/>
      </w:r>
    </w:p>
  </w:footnote>
  <w:footnote w:type="continuationNotice" w:id="1">
    <w:p w:rsidR="0098584C" w:rsidRDefault="0098584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B" w:rsidRPr="000A6A8B" w:rsidRDefault="00604B62" w:rsidP="000A6A8B">
    <w:pPr>
      <w:pStyle w:val="Header"/>
      <w:jc w:val="center"/>
      <w:rPr>
        <w:rStyle w:val="Classification"/>
      </w:rPr>
    </w:pPr>
    <w:sdt>
      <w:sdtPr>
        <w:rPr>
          <w:rStyle w:val="Classification"/>
        </w:rPr>
        <w:id w:val="1634289379"/>
        <w:docPartObj>
          <w:docPartGallery w:val="Watermarks"/>
          <w:docPartUnique/>
        </w:docPartObj>
      </w:sdtPr>
      <w:sdtEndPr>
        <w:rPr>
          <w:rStyle w:val="Classification"/>
        </w:rPr>
      </w:sdtEndPr>
      <w:sdtContent>
        <w:r>
          <w:rPr>
            <w:rStyle w:val="Classification"/>
            <w:lang w:val="en-US"/>
          </w:rPr>
          <w:pict w14:anchorId="628606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:rsidR="00DB6D69" w:rsidRPr="00DB6D69" w:rsidRDefault="00AD69CC">
    <w:pPr>
      <w:pStyle w:val="Header"/>
      <w:rPr>
        <w:b/>
      </w:rPr>
    </w:pPr>
    <w:r>
      <w:rPr>
        <w:b/>
      </w:rPr>
      <w:t>Comcover</w:t>
    </w:r>
  </w:p>
  <w:p w:rsidR="00DB6D69" w:rsidRDefault="00F66939" w:rsidP="0039715A">
    <w:pPr>
      <w:pStyle w:val="Header"/>
      <w:spacing w:after="680"/>
    </w:pPr>
    <w:r>
      <w:t>Comcover Awards for Excellence in Risk Management 202</w:t>
    </w:r>
    <w:r w:rsidR="00662B7F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48" w:rsidRDefault="00604B62" w:rsidP="000A6A8B">
    <w:pPr>
      <w:pStyle w:val="Header"/>
      <w:jc w:val="center"/>
    </w:pPr>
    <w:sdt>
      <w:sdtPr>
        <w:rPr>
          <w:rStyle w:val="Classification"/>
        </w:rPr>
        <w:alias w:val="Status"/>
        <w:tag w:val=""/>
        <w:id w:val="2018492011"/>
        <w:placeholder>
          <w:docPart w:val="9D808996CD2146019246D2031F05F10B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Classification"/>
        </w:rPr>
      </w:sdtEndPr>
      <w:sdtContent>
        <w:r w:rsidR="00E84168" w:rsidRPr="006009C9">
          <w:rPr>
            <w:rStyle w:val="PlaceholderText"/>
          </w:rPr>
          <w:t>[Status]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F9925FC"/>
    <w:multiLevelType w:val="hybridMultilevel"/>
    <w:tmpl w:val="F0929E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930A6"/>
    <w:multiLevelType w:val="hybridMultilevel"/>
    <w:tmpl w:val="30D48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24A16"/>
    <w:multiLevelType w:val="hybridMultilevel"/>
    <w:tmpl w:val="F536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52E6602"/>
    <w:multiLevelType w:val="hybridMultilevel"/>
    <w:tmpl w:val="2B723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B7A"/>
    <w:multiLevelType w:val="hybridMultilevel"/>
    <w:tmpl w:val="30383D3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5A9261E7"/>
    <w:multiLevelType w:val="hybridMultilevel"/>
    <w:tmpl w:val="6DA2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6AEB09E3"/>
    <w:multiLevelType w:val="hybridMultilevel"/>
    <w:tmpl w:val="1ECA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ACE0AEA"/>
    <w:multiLevelType w:val="hybridMultilevel"/>
    <w:tmpl w:val="BB543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8"/>
  </w:num>
  <w:num w:numId="35">
    <w:abstractNumId w:val="17"/>
  </w:num>
  <w:num w:numId="36">
    <w:abstractNumId w:val="16"/>
  </w:num>
  <w:num w:numId="37">
    <w:abstractNumId w:val="12"/>
  </w:num>
  <w:num w:numId="38">
    <w:abstractNumId w:val="14"/>
  </w:num>
  <w:num w:numId="39">
    <w:abstractNumId w:val="21"/>
  </w:num>
  <w:num w:numId="40">
    <w:abstractNumId w:val="23"/>
  </w:num>
  <w:num w:numId="41">
    <w:abstractNumId w:val="1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07707"/>
    <w:rsid w:val="00010C14"/>
    <w:rsid w:val="00021B85"/>
    <w:rsid w:val="0002782F"/>
    <w:rsid w:val="00054E4D"/>
    <w:rsid w:val="00060073"/>
    <w:rsid w:val="000A1AA8"/>
    <w:rsid w:val="000A20D8"/>
    <w:rsid w:val="000A4B30"/>
    <w:rsid w:val="000A5091"/>
    <w:rsid w:val="000A6A8B"/>
    <w:rsid w:val="000C2A48"/>
    <w:rsid w:val="000D60B1"/>
    <w:rsid w:val="000E3140"/>
    <w:rsid w:val="000E3200"/>
    <w:rsid w:val="000E580E"/>
    <w:rsid w:val="000F2FEC"/>
    <w:rsid w:val="00133BF1"/>
    <w:rsid w:val="00147E75"/>
    <w:rsid w:val="001541EA"/>
    <w:rsid w:val="001577A4"/>
    <w:rsid w:val="001612A4"/>
    <w:rsid w:val="0018249D"/>
    <w:rsid w:val="0018350C"/>
    <w:rsid w:val="0019423D"/>
    <w:rsid w:val="001A6835"/>
    <w:rsid w:val="001E098C"/>
    <w:rsid w:val="001E1038"/>
    <w:rsid w:val="001E1DC0"/>
    <w:rsid w:val="001E61F1"/>
    <w:rsid w:val="0020122A"/>
    <w:rsid w:val="00212391"/>
    <w:rsid w:val="00214FF0"/>
    <w:rsid w:val="0022448D"/>
    <w:rsid w:val="00234268"/>
    <w:rsid w:val="00272860"/>
    <w:rsid w:val="00274ACC"/>
    <w:rsid w:val="00285FB4"/>
    <w:rsid w:val="0028602A"/>
    <w:rsid w:val="00286676"/>
    <w:rsid w:val="002B7B48"/>
    <w:rsid w:val="002C4A78"/>
    <w:rsid w:val="002D06AD"/>
    <w:rsid w:val="00301144"/>
    <w:rsid w:val="003148B7"/>
    <w:rsid w:val="003158C3"/>
    <w:rsid w:val="003274CD"/>
    <w:rsid w:val="00332511"/>
    <w:rsid w:val="0034554B"/>
    <w:rsid w:val="0035119D"/>
    <w:rsid w:val="003820E1"/>
    <w:rsid w:val="0039715A"/>
    <w:rsid w:val="003B4F12"/>
    <w:rsid w:val="003C2561"/>
    <w:rsid w:val="003C6A4C"/>
    <w:rsid w:val="003D0255"/>
    <w:rsid w:val="003D2FA4"/>
    <w:rsid w:val="003E0E13"/>
    <w:rsid w:val="003F3C31"/>
    <w:rsid w:val="00413094"/>
    <w:rsid w:val="00423EEF"/>
    <w:rsid w:val="00423F31"/>
    <w:rsid w:val="00431899"/>
    <w:rsid w:val="00441EDC"/>
    <w:rsid w:val="00451992"/>
    <w:rsid w:val="00466F4A"/>
    <w:rsid w:val="00486804"/>
    <w:rsid w:val="004B3775"/>
    <w:rsid w:val="004B6157"/>
    <w:rsid w:val="004D2DF6"/>
    <w:rsid w:val="004E058F"/>
    <w:rsid w:val="004E3058"/>
    <w:rsid w:val="004E3B87"/>
    <w:rsid w:val="00510921"/>
    <w:rsid w:val="00510AD3"/>
    <w:rsid w:val="00513348"/>
    <w:rsid w:val="00533B5D"/>
    <w:rsid w:val="00543089"/>
    <w:rsid w:val="005506BA"/>
    <w:rsid w:val="00563E90"/>
    <w:rsid w:val="005641A3"/>
    <w:rsid w:val="00572E3E"/>
    <w:rsid w:val="00590B7C"/>
    <w:rsid w:val="00596550"/>
    <w:rsid w:val="005970EA"/>
    <w:rsid w:val="005A6C78"/>
    <w:rsid w:val="005B4681"/>
    <w:rsid w:val="005C1A81"/>
    <w:rsid w:val="005C37F0"/>
    <w:rsid w:val="005E45E3"/>
    <w:rsid w:val="00604B62"/>
    <w:rsid w:val="006112F8"/>
    <w:rsid w:val="00623BA1"/>
    <w:rsid w:val="00624B7E"/>
    <w:rsid w:val="006346BC"/>
    <w:rsid w:val="00642DC6"/>
    <w:rsid w:val="00646FD0"/>
    <w:rsid w:val="00650E6D"/>
    <w:rsid w:val="0065164E"/>
    <w:rsid w:val="00662B7F"/>
    <w:rsid w:val="00664D71"/>
    <w:rsid w:val="0066652A"/>
    <w:rsid w:val="00672BE5"/>
    <w:rsid w:val="00680232"/>
    <w:rsid w:val="0068028B"/>
    <w:rsid w:val="00682167"/>
    <w:rsid w:val="006837D6"/>
    <w:rsid w:val="006B0EDA"/>
    <w:rsid w:val="006C42AF"/>
    <w:rsid w:val="006C4DD1"/>
    <w:rsid w:val="006D26F5"/>
    <w:rsid w:val="006D7451"/>
    <w:rsid w:val="006E2C03"/>
    <w:rsid w:val="006E57B2"/>
    <w:rsid w:val="006F0246"/>
    <w:rsid w:val="006F1017"/>
    <w:rsid w:val="006F21E2"/>
    <w:rsid w:val="006F3E8D"/>
    <w:rsid w:val="006F5D7F"/>
    <w:rsid w:val="00711D8E"/>
    <w:rsid w:val="00712672"/>
    <w:rsid w:val="00733F5B"/>
    <w:rsid w:val="00734E3F"/>
    <w:rsid w:val="00736985"/>
    <w:rsid w:val="007709BF"/>
    <w:rsid w:val="007B6200"/>
    <w:rsid w:val="007D134E"/>
    <w:rsid w:val="007E75E9"/>
    <w:rsid w:val="00801B9F"/>
    <w:rsid w:val="00802117"/>
    <w:rsid w:val="00802EF0"/>
    <w:rsid w:val="00821510"/>
    <w:rsid w:val="00833A02"/>
    <w:rsid w:val="00835C1A"/>
    <w:rsid w:val="008467A5"/>
    <w:rsid w:val="00861BFF"/>
    <w:rsid w:val="008639D1"/>
    <w:rsid w:val="0087133B"/>
    <w:rsid w:val="008720AA"/>
    <w:rsid w:val="00880B3F"/>
    <w:rsid w:val="00890565"/>
    <w:rsid w:val="0089681F"/>
    <w:rsid w:val="008B10D8"/>
    <w:rsid w:val="00906558"/>
    <w:rsid w:val="0090791C"/>
    <w:rsid w:val="009515E8"/>
    <w:rsid w:val="00957614"/>
    <w:rsid w:val="0098584C"/>
    <w:rsid w:val="009B4D3B"/>
    <w:rsid w:val="009B53C8"/>
    <w:rsid w:val="009C707F"/>
    <w:rsid w:val="009D7407"/>
    <w:rsid w:val="009E0866"/>
    <w:rsid w:val="009F5E0F"/>
    <w:rsid w:val="00A20156"/>
    <w:rsid w:val="00A24A62"/>
    <w:rsid w:val="00A30037"/>
    <w:rsid w:val="00A31C9F"/>
    <w:rsid w:val="00A510AE"/>
    <w:rsid w:val="00A57855"/>
    <w:rsid w:val="00A7196F"/>
    <w:rsid w:val="00A76378"/>
    <w:rsid w:val="00A84115"/>
    <w:rsid w:val="00A8501D"/>
    <w:rsid w:val="00AA567B"/>
    <w:rsid w:val="00AC164A"/>
    <w:rsid w:val="00AC6D6F"/>
    <w:rsid w:val="00AD0761"/>
    <w:rsid w:val="00AD69CC"/>
    <w:rsid w:val="00AF2050"/>
    <w:rsid w:val="00AF20C8"/>
    <w:rsid w:val="00B2094D"/>
    <w:rsid w:val="00B20FBB"/>
    <w:rsid w:val="00B43D5E"/>
    <w:rsid w:val="00B619F8"/>
    <w:rsid w:val="00B632B1"/>
    <w:rsid w:val="00B8747A"/>
    <w:rsid w:val="00B910B1"/>
    <w:rsid w:val="00BB26C5"/>
    <w:rsid w:val="00BB27CC"/>
    <w:rsid w:val="00BF4DE6"/>
    <w:rsid w:val="00C00916"/>
    <w:rsid w:val="00C02FA7"/>
    <w:rsid w:val="00C42CDE"/>
    <w:rsid w:val="00C43A1A"/>
    <w:rsid w:val="00C5452A"/>
    <w:rsid w:val="00CA37B1"/>
    <w:rsid w:val="00CB1959"/>
    <w:rsid w:val="00CB7E31"/>
    <w:rsid w:val="00CD5061"/>
    <w:rsid w:val="00CF0F9F"/>
    <w:rsid w:val="00D0296C"/>
    <w:rsid w:val="00D043E5"/>
    <w:rsid w:val="00D17623"/>
    <w:rsid w:val="00D205F4"/>
    <w:rsid w:val="00D25A16"/>
    <w:rsid w:val="00D359E0"/>
    <w:rsid w:val="00D503A5"/>
    <w:rsid w:val="00D50D49"/>
    <w:rsid w:val="00D76E1A"/>
    <w:rsid w:val="00D8508B"/>
    <w:rsid w:val="00D95317"/>
    <w:rsid w:val="00D9794C"/>
    <w:rsid w:val="00DA0C48"/>
    <w:rsid w:val="00DA5273"/>
    <w:rsid w:val="00DB0B60"/>
    <w:rsid w:val="00DB35A3"/>
    <w:rsid w:val="00DB6D69"/>
    <w:rsid w:val="00DC430B"/>
    <w:rsid w:val="00DF1142"/>
    <w:rsid w:val="00E0300C"/>
    <w:rsid w:val="00E24DAC"/>
    <w:rsid w:val="00E357B7"/>
    <w:rsid w:val="00E37383"/>
    <w:rsid w:val="00E53800"/>
    <w:rsid w:val="00E6081F"/>
    <w:rsid w:val="00E84168"/>
    <w:rsid w:val="00EA04B2"/>
    <w:rsid w:val="00EA20F3"/>
    <w:rsid w:val="00ED43D1"/>
    <w:rsid w:val="00EE1A95"/>
    <w:rsid w:val="00EE4C9B"/>
    <w:rsid w:val="00EE4EE1"/>
    <w:rsid w:val="00EF4574"/>
    <w:rsid w:val="00EF6593"/>
    <w:rsid w:val="00F004C0"/>
    <w:rsid w:val="00F0219E"/>
    <w:rsid w:val="00F10FA7"/>
    <w:rsid w:val="00F25ACD"/>
    <w:rsid w:val="00F2684E"/>
    <w:rsid w:val="00F33736"/>
    <w:rsid w:val="00F6166B"/>
    <w:rsid w:val="00F66939"/>
    <w:rsid w:val="00F67109"/>
    <w:rsid w:val="00F729EF"/>
    <w:rsid w:val="00F77CAE"/>
    <w:rsid w:val="00F84A5A"/>
    <w:rsid w:val="00F96BB9"/>
    <w:rsid w:val="00FA5BBA"/>
    <w:rsid w:val="00FD5E22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13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720AA"/>
    <w:pPr>
      <w:spacing w:before="240" w:line="300" w:lineRule="atLeast"/>
      <w:outlineLvl w:val="3"/>
    </w:pPr>
    <w:rPr>
      <w:iCs/>
      <w:color w:val="43848B" w:themeColor="accent1" w:themeShade="80"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720AA"/>
    <w:rPr>
      <w:rFonts w:asciiTheme="majorHAnsi" w:eastAsiaTheme="majorEastAsia" w:hAnsiTheme="majorHAnsi" w:cstheme="majorBidi"/>
      <w:bCs/>
      <w:iCs/>
      <w:color w:val="43848B" w:themeColor="accent1" w:themeShade="80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customStyle="1" w:styleId="BodyText1">
    <w:name w:val="Body Text1"/>
    <w:basedOn w:val="Normal"/>
    <w:qFormat/>
    <w:rsid w:val="00A7196F"/>
    <w:pPr>
      <w:suppressAutoHyphens w:val="0"/>
      <w:spacing w:before="0" w:after="12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24B7E"/>
    <w:pPr>
      <w:suppressAutoHyphens w:val="0"/>
      <w:spacing w:before="0"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9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2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skAwards@finance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inance.govcms.gov.au/sites/default/files/2022-07/Awards-Information-Kit-20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e.govcms.gov.au/sites/default/files/2022-08/Nomination-Template-for-Risk-in-Focus-final.docx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808996CD2146019246D2031F05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08E9-82F0-4806-B66A-59428F7C0270}"/>
      </w:docPartPr>
      <w:docPartBody>
        <w:p w:rsidR="00A60ABE" w:rsidRDefault="00751FB6" w:rsidP="00751FB6">
          <w:pPr>
            <w:pStyle w:val="9D808996CD2146019246D2031F05F10B"/>
          </w:pPr>
          <w:r w:rsidRPr="006009C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6"/>
    <w:rsid w:val="000218AF"/>
    <w:rsid w:val="00044021"/>
    <w:rsid w:val="000852E8"/>
    <w:rsid w:val="00366E4B"/>
    <w:rsid w:val="00493B91"/>
    <w:rsid w:val="00651C58"/>
    <w:rsid w:val="006F03B2"/>
    <w:rsid w:val="00751FB6"/>
    <w:rsid w:val="00764C2A"/>
    <w:rsid w:val="0096476C"/>
    <w:rsid w:val="00A20F13"/>
    <w:rsid w:val="00A60ABE"/>
    <w:rsid w:val="00AF0394"/>
    <w:rsid w:val="00D60D6E"/>
    <w:rsid w:val="00DC12C8"/>
    <w:rsid w:val="00EF40CE"/>
    <w:rsid w:val="00F84D5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021"/>
    <w:rPr>
      <w:color w:val="808080"/>
    </w:rPr>
  </w:style>
  <w:style w:type="paragraph" w:customStyle="1" w:styleId="9D808996CD2146019246D2031F05F10B">
    <w:name w:val="9D808996CD2146019246D2031F05F10B"/>
    <w:rsid w:val="00751FB6"/>
  </w:style>
  <w:style w:type="paragraph" w:customStyle="1" w:styleId="5C4B31DB2C8C4092A163BC9FC728C771">
    <w:name w:val="5C4B31DB2C8C4092A163BC9FC728C771"/>
    <w:rsid w:val="00751FB6"/>
  </w:style>
  <w:style w:type="paragraph" w:customStyle="1" w:styleId="85FCF50EFA584C32A9291D76744CD17A">
    <w:name w:val="85FCF50EFA584C32A9291D76744CD17A"/>
    <w:rsid w:val="00751FB6"/>
  </w:style>
  <w:style w:type="paragraph" w:customStyle="1" w:styleId="893D0E31CD7D4F7E8433C6932C0792F3">
    <w:name w:val="893D0E31CD7D4F7E8433C6932C0792F3"/>
    <w:rsid w:val="000852E8"/>
  </w:style>
  <w:style w:type="paragraph" w:customStyle="1" w:styleId="8F3C4A6705B247BA8A60E644099423EE">
    <w:name w:val="8F3C4A6705B247BA8A60E644099423EE"/>
    <w:rsid w:val="000852E8"/>
  </w:style>
  <w:style w:type="paragraph" w:customStyle="1" w:styleId="29D09392B75E438DA0477C6F833B705A">
    <w:name w:val="29D09392B75E438DA0477C6F833B705A"/>
    <w:rsid w:val="000852E8"/>
  </w:style>
  <w:style w:type="paragraph" w:customStyle="1" w:styleId="B22586E29B554BD08E279391433C12AB">
    <w:name w:val="B22586E29B554BD08E279391433C12AB"/>
    <w:rsid w:val="000852E8"/>
  </w:style>
  <w:style w:type="paragraph" w:customStyle="1" w:styleId="9A8AC71BE8A04361B87F32F4FE325661">
    <w:name w:val="9A8AC71BE8A04361B87F32F4FE325661"/>
    <w:rsid w:val="000852E8"/>
  </w:style>
  <w:style w:type="paragraph" w:customStyle="1" w:styleId="AA1AAA579B884E56827542F4CD4A3A62">
    <w:name w:val="AA1AAA579B884E56827542F4CD4A3A62"/>
    <w:rsid w:val="000852E8"/>
  </w:style>
  <w:style w:type="paragraph" w:customStyle="1" w:styleId="22AD370B07874380A1679DAB4F9EDCCA">
    <w:name w:val="22AD370B07874380A1679DAB4F9EDCCA"/>
    <w:rsid w:val="000852E8"/>
  </w:style>
  <w:style w:type="paragraph" w:customStyle="1" w:styleId="983357D2FFA64FD4ACE2E032B6ED3CE8">
    <w:name w:val="983357D2FFA64FD4ACE2E032B6ED3CE8"/>
    <w:rsid w:val="00044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1992-9964-41E7-AA92-52FC16FF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in Focus Nomination Criteria</vt:lpstr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in Focus Nomination Criteria</dc:title>
  <dc:subject/>
  <dc:creator>Department of Finance</dc:creator>
  <cp:keywords/>
  <dc:description/>
  <cp:lastModifiedBy>Jorna, Natalie</cp:lastModifiedBy>
  <cp:revision>3</cp:revision>
  <cp:lastPrinted>2021-06-24T01:29:00Z</cp:lastPrinted>
  <dcterms:created xsi:type="dcterms:W3CDTF">2022-08-02T23:39:00Z</dcterms:created>
  <dcterms:modified xsi:type="dcterms:W3CDTF">2022-08-03T00:35:00Z</dcterms:modified>
  <cp:contentStatus/>
</cp:coreProperties>
</file>