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9B6A" w14:textId="77777777" w:rsidR="00F65521" w:rsidRDefault="00827298" w:rsidP="00F65521">
      <w:pPr>
        <w:pStyle w:val="Title1"/>
      </w:pPr>
      <w:bookmarkStart w:id="0" w:name="_GoBack"/>
      <w:r w:rsidRPr="00F65521">
        <w:t>Example</w:t>
      </w:r>
      <w:r w:rsidR="00DE41F5" w:rsidRPr="00F65521">
        <w:t xml:space="preserve">: </w:t>
      </w:r>
      <w:r w:rsidR="004C2C17">
        <w:t>F</w:t>
      </w:r>
      <w:r w:rsidRPr="00F65521">
        <w:t>inancial statements</w:t>
      </w:r>
      <w:r w:rsidR="004C2C17">
        <w:t xml:space="preserve"> risk analysis</w:t>
      </w:r>
      <w:bookmarkEnd w:id="0"/>
    </w:p>
    <w:tbl>
      <w:tblPr>
        <w:tblStyle w:val="TableGrid"/>
        <w:tblW w:w="0" w:type="auto"/>
        <w:tblInd w:w="-5" w:type="dxa"/>
        <w:tblLook w:val="04A0" w:firstRow="1" w:lastRow="0" w:firstColumn="1" w:lastColumn="0" w:noHBand="0" w:noVBand="1"/>
        <w:tblCaption w:val="Foreword"/>
        <w:tblDescription w:val="This foreword sets out the circumstances which a reader might use this practical resource."/>
      </w:tblPr>
      <w:tblGrid>
        <w:gridCol w:w="9065"/>
      </w:tblGrid>
      <w:tr w:rsidR="00F65521" w14:paraId="0A499B72" w14:textId="77777777" w:rsidTr="00000672">
        <w:trPr>
          <w:tblHeader/>
        </w:trPr>
        <w:tc>
          <w:tcPr>
            <w:tcW w:w="9065" w:type="dxa"/>
            <w:tcBorders>
              <w:top w:val="nil"/>
              <w:left w:val="nil"/>
              <w:bottom w:val="nil"/>
              <w:right w:val="nil"/>
            </w:tcBorders>
            <w:shd w:val="clear" w:color="auto" w:fill="BDDCDF" w:themeFill="accent1"/>
          </w:tcPr>
          <w:p w14:paraId="0A499B6B" w14:textId="77777777" w:rsidR="00F65521" w:rsidRPr="00AF5FA1" w:rsidRDefault="00F65521" w:rsidP="00E2722E">
            <w:pPr>
              <w:pStyle w:val="Heading1"/>
              <w:spacing w:before="180"/>
              <w:outlineLvl w:val="0"/>
              <w:rPr>
                <w:rFonts w:asciiTheme="minorHAnsi" w:eastAsiaTheme="minorHAnsi" w:hAnsiTheme="minorHAnsi" w:cstheme="minorBidi"/>
                <w:bCs w:val="0"/>
                <w:color w:val="auto"/>
                <w:sz w:val="30"/>
                <w:szCs w:val="30"/>
              </w:rPr>
            </w:pPr>
            <w:r w:rsidRPr="00AF5FA1">
              <w:rPr>
                <w:rFonts w:asciiTheme="minorHAnsi" w:eastAsiaTheme="minorHAnsi" w:hAnsiTheme="minorHAnsi" w:cstheme="minorBidi"/>
                <w:bCs w:val="0"/>
                <w:color w:val="auto"/>
                <w:sz w:val="30"/>
                <w:szCs w:val="30"/>
              </w:rPr>
              <w:t>Foreword</w:t>
            </w:r>
          </w:p>
          <w:p w14:paraId="0A499B6C" w14:textId="77777777" w:rsidR="00AA293C" w:rsidRDefault="00F65521" w:rsidP="00F65521">
            <w:r>
              <w:t>Conducting a risk analysis for each financial statements item and its accompanyin</w:t>
            </w:r>
            <w:r w:rsidR="00AA293C">
              <w:t>g notes can assist with:</w:t>
            </w:r>
          </w:p>
          <w:p w14:paraId="0A499B6D" w14:textId="77777777" w:rsidR="00AA293C" w:rsidRDefault="003D5C8D" w:rsidP="00AA293C">
            <w:pPr>
              <w:pStyle w:val="Bullet1"/>
            </w:pPr>
            <w:r>
              <w:t xml:space="preserve">prioritising </w:t>
            </w:r>
            <w:r w:rsidR="00AA293C">
              <w:t>resources for</w:t>
            </w:r>
            <w:r w:rsidR="00F65521">
              <w:t xml:space="preserve"> the preparation of the fin</w:t>
            </w:r>
            <w:r w:rsidR="00AA293C">
              <w:t>ancial statements</w:t>
            </w:r>
          </w:p>
          <w:p w14:paraId="0A499B6E" w14:textId="77777777" w:rsidR="003D5C8D" w:rsidRDefault="003D5C8D" w:rsidP="00AA293C">
            <w:pPr>
              <w:pStyle w:val="Bullet1"/>
            </w:pPr>
            <w:r>
              <w:t xml:space="preserve">determining </w:t>
            </w:r>
            <w:r w:rsidR="00AA293C">
              <w:t>the</w:t>
            </w:r>
            <w:r w:rsidR="00F65521">
              <w:t xml:space="preserve"> exten</w:t>
            </w:r>
            <w:r w:rsidR="00AA293C">
              <w:t xml:space="preserve">t of quality assurance </w:t>
            </w:r>
            <w:r>
              <w:t>processes require</w:t>
            </w:r>
            <w:r w:rsidR="00AA293C">
              <w:t>d</w:t>
            </w:r>
            <w:r>
              <w:t>,</w:t>
            </w:r>
            <w:r w:rsidR="00AA293C">
              <w:t xml:space="preserve"> and </w:t>
            </w:r>
          </w:p>
          <w:p w14:paraId="0A499B6F" w14:textId="77777777" w:rsidR="00F65521" w:rsidRDefault="003D5C8D" w:rsidP="00AA293C">
            <w:pPr>
              <w:pStyle w:val="Bullet1"/>
            </w:pPr>
            <w:r>
              <w:t>identifying if</w:t>
            </w:r>
            <w:r w:rsidR="00F65521">
              <w:t xml:space="preserve"> there is scope to improve controls.</w:t>
            </w:r>
          </w:p>
          <w:p w14:paraId="0A499B70" w14:textId="77777777" w:rsidR="00F65521" w:rsidRDefault="00F65521" w:rsidP="00F65521">
            <w:r>
              <w:t>The degree of formality and rigor of the risk assessment will depend on a number of factors, including the overall complexity of the entity’s financial statements, the maturity of its financial statements process and the level of financial reporting risk the entity is prepared to accept.</w:t>
            </w:r>
          </w:p>
          <w:p w14:paraId="0A499B71" w14:textId="77777777" w:rsidR="00D87028" w:rsidRDefault="00F65521" w:rsidP="00F65521">
            <w:r>
              <w:t>Entities may find it useful to present the summary table (as shown at Steps 3 and 4) to the audit committee for review of progress.</w:t>
            </w:r>
          </w:p>
        </w:tc>
      </w:tr>
    </w:tbl>
    <w:p w14:paraId="0A499B73" w14:textId="77777777" w:rsidR="006D04A4" w:rsidRPr="003D5C8D" w:rsidRDefault="006D04A4" w:rsidP="006D04A4">
      <w:pPr>
        <w:pStyle w:val="Heading1"/>
        <w:rPr>
          <w:rFonts w:asciiTheme="minorHAnsi" w:eastAsiaTheme="minorHAnsi" w:hAnsiTheme="minorHAnsi" w:cstheme="minorBidi"/>
          <w:bCs w:val="0"/>
          <w:color w:val="auto"/>
          <w:sz w:val="30"/>
          <w:szCs w:val="30"/>
        </w:rPr>
      </w:pPr>
      <w:r w:rsidRPr="003D5C8D">
        <w:rPr>
          <w:rFonts w:asciiTheme="minorHAnsi" w:eastAsiaTheme="minorHAnsi" w:hAnsiTheme="minorHAnsi" w:cstheme="minorBidi"/>
          <w:bCs w:val="0"/>
          <w:color w:val="auto"/>
          <w:sz w:val="30"/>
          <w:szCs w:val="30"/>
        </w:rPr>
        <w:t>Purpose</w:t>
      </w:r>
    </w:p>
    <w:p w14:paraId="0A499B74" w14:textId="77777777" w:rsidR="002F4415" w:rsidRDefault="00F5689B" w:rsidP="00F5689B">
      <w:r>
        <w:t xml:space="preserve">The following </w:t>
      </w:r>
      <w:r w:rsidR="002F4415">
        <w:t xml:space="preserve">information is </w:t>
      </w:r>
      <w:r w:rsidR="0031022B">
        <w:t>intende</w:t>
      </w:r>
      <w:r w:rsidR="002F4415">
        <w:t>d to:</w:t>
      </w:r>
    </w:p>
    <w:p w14:paraId="0A499B75" w14:textId="77777777" w:rsidR="0031022B" w:rsidRDefault="002F4415" w:rsidP="000C5020">
      <w:pPr>
        <w:pStyle w:val="Bullet1"/>
      </w:pPr>
      <w:r>
        <w:t xml:space="preserve">provide explanatory information on the </w:t>
      </w:r>
      <w:r w:rsidR="0031022B">
        <w:t>risk analysis process for financial statements, and</w:t>
      </w:r>
    </w:p>
    <w:p w14:paraId="0A499B76" w14:textId="77777777" w:rsidR="0031022B" w:rsidRDefault="002F4415" w:rsidP="000C5020">
      <w:pPr>
        <w:pStyle w:val="Bullet1"/>
      </w:pPr>
      <w:r>
        <w:t xml:space="preserve">show an </w:t>
      </w:r>
      <w:r w:rsidR="00F5689B">
        <w:t>example</w:t>
      </w:r>
      <w:r w:rsidR="0031022B">
        <w:t xml:space="preserve"> </w:t>
      </w:r>
      <w:r w:rsidR="00965C52">
        <w:t xml:space="preserve">of </w:t>
      </w:r>
      <w:r>
        <w:t xml:space="preserve">a </w:t>
      </w:r>
      <w:r w:rsidR="0031022B">
        <w:t xml:space="preserve">risk analysis, conducted </w:t>
      </w:r>
      <w:r>
        <w:t xml:space="preserve">using the steps outlined in </w:t>
      </w:r>
      <w:r w:rsidR="0031022B">
        <w:br/>
      </w:r>
      <w:r>
        <w:t>Example: Risk framework for financial statements</w:t>
      </w:r>
      <w:r w:rsidR="000C5020">
        <w:t>.</w:t>
      </w:r>
    </w:p>
    <w:p w14:paraId="0A499B77" w14:textId="77777777" w:rsidR="00F5689B" w:rsidRDefault="00AF5FA1" w:rsidP="000C5020">
      <w:pPr>
        <w:pStyle w:val="Bullet1"/>
        <w:numPr>
          <w:ilvl w:val="0"/>
          <w:numId w:val="0"/>
        </w:numPr>
      </w:pPr>
      <w:r>
        <w:t>This</w:t>
      </w:r>
      <w:r w:rsidR="000C5020">
        <w:t xml:space="preserve"> example</w:t>
      </w:r>
      <w:r>
        <w:t xml:space="preserve"> is for </w:t>
      </w:r>
      <w:r w:rsidR="00663A2C">
        <w:t xml:space="preserve">the financial statements item </w:t>
      </w:r>
      <w:r w:rsidR="00831826">
        <w:t>Prop</w:t>
      </w:r>
      <w:r>
        <w:t>erty, Plant and Equipment (PPE)</w:t>
      </w:r>
      <w:r w:rsidR="00663A2C">
        <w:t>. The example is structured using</w:t>
      </w:r>
      <w:r>
        <w:t xml:space="preserve"> </w:t>
      </w:r>
      <w:r w:rsidR="000C5020">
        <w:t>the</w:t>
      </w:r>
      <w:r w:rsidR="002F4415">
        <w:t xml:space="preserve"> four </w:t>
      </w:r>
      <w:r w:rsidR="00831826">
        <w:t xml:space="preserve">risk analysis </w:t>
      </w:r>
      <w:r w:rsidR="002F4415">
        <w:t>steps</w:t>
      </w:r>
      <w:r w:rsidR="00F5689B">
        <w:t>:</w:t>
      </w:r>
    </w:p>
    <w:p w14:paraId="0A499B78" w14:textId="77777777" w:rsidR="00000672" w:rsidRDefault="00000672" w:rsidP="00000672">
      <w:pPr>
        <w:pStyle w:val="Bullet1"/>
        <w:numPr>
          <w:ilvl w:val="0"/>
          <w:numId w:val="0"/>
        </w:numPr>
        <w:ind w:left="284"/>
      </w:pPr>
      <w:r>
        <w:t xml:space="preserve">Step 1. Conduct an </w:t>
      </w:r>
      <w:r w:rsidRPr="00000672">
        <w:rPr>
          <w:b/>
        </w:rPr>
        <w:t>inherent risk assessment</w:t>
      </w:r>
    </w:p>
    <w:p w14:paraId="0A499B79" w14:textId="77777777" w:rsidR="00000672" w:rsidRDefault="00000672" w:rsidP="00000672">
      <w:pPr>
        <w:pStyle w:val="Bullet1"/>
        <w:numPr>
          <w:ilvl w:val="0"/>
          <w:numId w:val="0"/>
        </w:numPr>
        <w:ind w:left="284"/>
      </w:pPr>
      <w:r>
        <w:t xml:space="preserve">Step 2. Conduct a </w:t>
      </w:r>
      <w:r w:rsidRPr="00000672">
        <w:rPr>
          <w:b/>
        </w:rPr>
        <w:t>residual risk assessment</w:t>
      </w:r>
    </w:p>
    <w:p w14:paraId="0A499B7A" w14:textId="77777777" w:rsidR="00000672" w:rsidRDefault="00000672" w:rsidP="00000672">
      <w:pPr>
        <w:pStyle w:val="Bullet1"/>
        <w:numPr>
          <w:ilvl w:val="0"/>
          <w:numId w:val="0"/>
        </w:numPr>
        <w:ind w:left="284"/>
      </w:pPr>
      <w:r>
        <w:t xml:space="preserve">Step 3. Determine </w:t>
      </w:r>
      <w:r w:rsidRPr="00000672">
        <w:rPr>
          <w:b/>
        </w:rPr>
        <w:t>required treatments</w:t>
      </w:r>
      <w:r>
        <w:t xml:space="preserve"> having regard to the entity’s risk appetite, and</w:t>
      </w:r>
    </w:p>
    <w:p w14:paraId="0A499B7B" w14:textId="77777777" w:rsidR="003D5C8D" w:rsidRDefault="00000672" w:rsidP="00AA293C">
      <w:pPr>
        <w:pStyle w:val="Bullet1"/>
        <w:numPr>
          <w:ilvl w:val="0"/>
          <w:numId w:val="0"/>
        </w:numPr>
        <w:ind w:left="1134" w:hanging="850"/>
      </w:pPr>
      <w:r>
        <w:t xml:space="preserve">Step 4. </w:t>
      </w:r>
      <w:r w:rsidRPr="003D5C8D">
        <w:rPr>
          <w:b/>
        </w:rPr>
        <w:t>Summarise the</w:t>
      </w:r>
      <w:r w:rsidRPr="00000672">
        <w:rPr>
          <w:b/>
        </w:rPr>
        <w:t xml:space="preserve"> </w:t>
      </w:r>
      <w:r w:rsidRPr="00AA293C">
        <w:rPr>
          <w:b/>
        </w:rPr>
        <w:t xml:space="preserve">risk ratings </w:t>
      </w:r>
      <w:r w:rsidRPr="00C274A4">
        <w:t>to give an overall view</w:t>
      </w:r>
      <w:r w:rsidR="00AA293C" w:rsidRPr="00C274A4">
        <w:t xml:space="preserve"> o</w:t>
      </w:r>
      <w:r w:rsidR="00AA293C">
        <w:t xml:space="preserve">f the reporting risk for </w:t>
      </w:r>
      <w:r>
        <w:t>financial statement line items and assign a risk owner.</w:t>
      </w:r>
    </w:p>
    <w:p w14:paraId="0A499B7C" w14:textId="77777777" w:rsidR="00AF5FA1" w:rsidRPr="00AF5FA1" w:rsidRDefault="00663A2C" w:rsidP="00AF5FA1">
      <w:pPr>
        <w:pStyle w:val="Heading1"/>
        <w:rPr>
          <w:rFonts w:asciiTheme="minorHAnsi" w:eastAsiaTheme="minorHAnsi" w:hAnsiTheme="minorHAnsi" w:cstheme="minorBidi"/>
          <w:bCs w:val="0"/>
          <w:color w:val="auto"/>
          <w:sz w:val="30"/>
          <w:szCs w:val="30"/>
        </w:rPr>
      </w:pPr>
      <w:r>
        <w:rPr>
          <w:rFonts w:asciiTheme="minorHAnsi" w:eastAsiaTheme="minorHAnsi" w:hAnsiTheme="minorHAnsi" w:cstheme="minorBidi"/>
          <w:bCs w:val="0"/>
          <w:color w:val="auto"/>
          <w:sz w:val="30"/>
          <w:szCs w:val="30"/>
        </w:rPr>
        <w:t>Overview of the r</w:t>
      </w:r>
      <w:r w:rsidR="00AF5FA1" w:rsidRPr="00AF5FA1">
        <w:rPr>
          <w:rFonts w:asciiTheme="minorHAnsi" w:eastAsiaTheme="minorHAnsi" w:hAnsiTheme="minorHAnsi" w:cstheme="minorBidi"/>
          <w:bCs w:val="0"/>
          <w:color w:val="auto"/>
          <w:sz w:val="30"/>
          <w:szCs w:val="30"/>
        </w:rPr>
        <w:t>isk analysis steps</w:t>
      </w:r>
    </w:p>
    <w:p w14:paraId="0A499B7D" w14:textId="77777777" w:rsidR="00827298" w:rsidRPr="003D5C8D" w:rsidRDefault="00663A2C" w:rsidP="003D5C8D">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Pr>
          <w:rFonts w:asciiTheme="minorHAnsi" w:eastAsiaTheme="minorHAnsi" w:hAnsiTheme="minorHAnsi" w:cstheme="minorBidi"/>
          <w:b/>
          <w:bCs w:val="0"/>
          <w:color w:val="auto"/>
          <w:sz w:val="24"/>
          <w:szCs w:val="24"/>
        </w:rPr>
        <w:br/>
      </w:r>
      <w:r w:rsidR="00827298" w:rsidRPr="003D5C8D">
        <w:rPr>
          <w:rFonts w:asciiTheme="minorHAnsi" w:eastAsiaTheme="minorHAnsi" w:hAnsiTheme="minorHAnsi" w:cstheme="minorBidi"/>
          <w:b/>
          <w:bCs w:val="0"/>
          <w:color w:val="auto"/>
          <w:sz w:val="24"/>
          <w:szCs w:val="24"/>
        </w:rPr>
        <w:t>Step 1: Conduct inherent risk assessment</w:t>
      </w:r>
    </w:p>
    <w:p w14:paraId="0A499B7E" w14:textId="77777777" w:rsidR="00827298" w:rsidRDefault="00827298" w:rsidP="000045A1">
      <w:pPr>
        <w:pStyle w:val="ListParagraph"/>
        <w:numPr>
          <w:ilvl w:val="0"/>
          <w:numId w:val="35"/>
        </w:numPr>
        <w:ind w:left="360"/>
      </w:pPr>
      <w:r>
        <w:t>Assess the financial statements item against key inherent reporting risk factors.</w:t>
      </w:r>
    </w:p>
    <w:p w14:paraId="0A499B7F" w14:textId="77777777" w:rsidR="000045A1" w:rsidRDefault="00827298" w:rsidP="000045A1">
      <w:pPr>
        <w:ind w:left="360"/>
      </w:pPr>
      <w:r>
        <w:t xml:space="preserve">Each entity should decide on the inherent risk factors most appropriate to its own operations and circumstances and the weightings to be applied to each factor. </w:t>
      </w:r>
    </w:p>
    <w:p w14:paraId="0A499B80" w14:textId="77777777" w:rsidR="00831826" w:rsidRDefault="00827298" w:rsidP="00831826">
      <w:pPr>
        <w:ind w:left="360"/>
      </w:pPr>
      <w:r>
        <w:t>Examples of factors that can impact inherent risk are materiality, the level of judg</w:t>
      </w:r>
      <w:r w:rsidR="00663A2C">
        <w:t>e</w:t>
      </w:r>
      <w:r>
        <w:t>ment involved, disparity of data sources and results of previous audits by internal audit and the A</w:t>
      </w:r>
      <w:r w:rsidR="002F4415">
        <w:t xml:space="preserve">ustralian </w:t>
      </w:r>
      <w:r>
        <w:t>N</w:t>
      </w:r>
      <w:r w:rsidR="002F4415">
        <w:t xml:space="preserve">ational </w:t>
      </w:r>
      <w:r>
        <w:t>A</w:t>
      </w:r>
      <w:r w:rsidR="002F4415">
        <w:t xml:space="preserve">udit </w:t>
      </w:r>
      <w:r>
        <w:t>O</w:t>
      </w:r>
      <w:r w:rsidR="002F4415">
        <w:t>ffice (ANAO)</w:t>
      </w:r>
      <w:r>
        <w:t>.</w:t>
      </w:r>
    </w:p>
    <w:p w14:paraId="0A499B81" w14:textId="77777777" w:rsidR="00831826" w:rsidRDefault="002F1334" w:rsidP="00831826">
      <w:pPr>
        <w:pStyle w:val="ListParagraph"/>
        <w:numPr>
          <w:ilvl w:val="0"/>
          <w:numId w:val="35"/>
        </w:numPr>
        <w:ind w:left="360"/>
      </w:pPr>
      <w:r>
        <w:t>Based on the results of s</w:t>
      </w:r>
      <w:r w:rsidR="00827298">
        <w:t>tep (a), determine an overall inheren</w:t>
      </w:r>
      <w:r w:rsidR="000045A1">
        <w:t xml:space="preserve">t risk </w:t>
      </w:r>
      <w:r>
        <w:t xml:space="preserve">rating </w:t>
      </w:r>
      <w:r w:rsidR="000045A1">
        <w:t xml:space="preserve">of High, Medium or Low. </w:t>
      </w:r>
      <w:r w:rsidR="00827298">
        <w:t>An explanation of each risk level is set out below.</w:t>
      </w:r>
    </w:p>
    <w:p w14:paraId="0A499B82" w14:textId="77777777" w:rsidR="00827298" w:rsidRPr="006D04A4" w:rsidRDefault="00827298" w:rsidP="00827298">
      <w:pPr>
        <w:pStyle w:val="ListParagraph"/>
        <w:rPr>
          <w:color w:val="FFFFFF" w:themeColor="background1"/>
          <w:sz w:val="24"/>
          <w:szCs w:val="24"/>
        </w:rPr>
      </w:pPr>
    </w:p>
    <w:tbl>
      <w:tblPr>
        <w:tblW w:w="9060" w:type="dxa"/>
        <w:tblLook w:val="04A0" w:firstRow="1" w:lastRow="0" w:firstColumn="1" w:lastColumn="0" w:noHBand="0" w:noVBand="1"/>
        <w:tblCaption w:val="Overall Inherent Risk Rating"/>
        <w:tblDescription w:val="This table sets out the difference between an overall inherent risk rating of High, Medium or Low."/>
      </w:tblPr>
      <w:tblGrid>
        <w:gridCol w:w="3020"/>
        <w:gridCol w:w="3020"/>
        <w:gridCol w:w="3020"/>
      </w:tblGrid>
      <w:tr w:rsidR="006D04A4" w:rsidRPr="006D04A4" w14:paraId="0A499B86" w14:textId="77777777" w:rsidTr="007867E5">
        <w:trPr>
          <w:trHeight w:val="315"/>
        </w:trPr>
        <w:tc>
          <w:tcPr>
            <w:tcW w:w="3020" w:type="dxa"/>
            <w:tcBorders>
              <w:top w:val="single" w:sz="8" w:space="0" w:color="auto"/>
              <w:left w:val="nil"/>
              <w:bottom w:val="single" w:sz="8" w:space="0" w:color="FFFFFF"/>
              <w:right w:val="nil"/>
            </w:tcBorders>
            <w:shd w:val="clear" w:color="auto" w:fill="FF0000"/>
            <w:vAlign w:val="center"/>
            <w:hideMark/>
          </w:tcPr>
          <w:p w14:paraId="0A499B83" w14:textId="77777777" w:rsidR="00827298" w:rsidRPr="007867E5" w:rsidRDefault="00827298" w:rsidP="00827298">
            <w:pPr>
              <w:suppressAutoHyphens w:val="0"/>
              <w:spacing w:before="0" w:after="0" w:line="240" w:lineRule="auto"/>
              <w:jc w:val="center"/>
              <w:rPr>
                <w:rFonts w:ascii="Arial" w:eastAsia="Times New Roman" w:hAnsi="Arial" w:cs="Arial"/>
                <w:b/>
                <w:bCs/>
                <w:color w:val="FFFFFF" w:themeColor="background1"/>
                <w:sz w:val="24"/>
                <w:szCs w:val="24"/>
                <w:lang w:val="en-US" w:eastAsia="en-AU"/>
              </w:rPr>
            </w:pPr>
            <w:r w:rsidRPr="007867E5">
              <w:rPr>
                <w:rFonts w:ascii="Arial" w:eastAsia="Times New Roman" w:hAnsi="Arial" w:cs="Arial"/>
                <w:b/>
                <w:bCs/>
                <w:color w:val="FFFFFF" w:themeColor="background1"/>
                <w:sz w:val="24"/>
                <w:szCs w:val="24"/>
                <w:lang w:val="en-US" w:eastAsia="en-AU"/>
              </w:rPr>
              <w:t>High</w:t>
            </w:r>
          </w:p>
        </w:tc>
        <w:tc>
          <w:tcPr>
            <w:tcW w:w="3020" w:type="dxa"/>
            <w:tcBorders>
              <w:top w:val="single" w:sz="8" w:space="0" w:color="auto"/>
              <w:left w:val="nil"/>
              <w:bottom w:val="single" w:sz="8" w:space="0" w:color="FFFFFF"/>
              <w:right w:val="nil"/>
            </w:tcBorders>
            <w:shd w:val="clear" w:color="auto" w:fill="FFC000"/>
            <w:vAlign w:val="center"/>
            <w:hideMark/>
          </w:tcPr>
          <w:p w14:paraId="0A499B84" w14:textId="77777777" w:rsidR="00827298" w:rsidRPr="00D87028" w:rsidRDefault="00827298" w:rsidP="00827298">
            <w:pPr>
              <w:suppressAutoHyphens w:val="0"/>
              <w:spacing w:before="0" w:after="0" w:line="240" w:lineRule="auto"/>
              <w:jc w:val="center"/>
              <w:rPr>
                <w:rFonts w:ascii="Arial" w:eastAsia="Times New Roman" w:hAnsi="Arial" w:cs="Arial"/>
                <w:b/>
                <w:bCs/>
                <w:color w:val="FFFFFF" w:themeColor="background1"/>
                <w:lang w:eastAsia="en-AU"/>
              </w:rPr>
            </w:pPr>
            <w:r w:rsidRPr="00D87028">
              <w:rPr>
                <w:rFonts w:ascii="Arial" w:eastAsia="Times New Roman" w:hAnsi="Arial" w:cs="Arial"/>
                <w:b/>
                <w:bCs/>
                <w:color w:val="FFFFFF" w:themeColor="background1"/>
                <w:lang w:val="en-US" w:eastAsia="en-AU"/>
              </w:rPr>
              <w:t>Medium</w:t>
            </w:r>
          </w:p>
        </w:tc>
        <w:tc>
          <w:tcPr>
            <w:tcW w:w="3020" w:type="dxa"/>
            <w:tcBorders>
              <w:top w:val="single" w:sz="8" w:space="0" w:color="auto"/>
              <w:left w:val="nil"/>
              <w:bottom w:val="single" w:sz="8" w:space="0" w:color="FFFFFF"/>
              <w:right w:val="nil"/>
            </w:tcBorders>
            <w:shd w:val="clear" w:color="auto" w:fill="00B050"/>
            <w:vAlign w:val="center"/>
            <w:hideMark/>
          </w:tcPr>
          <w:p w14:paraId="0A499B85" w14:textId="77777777" w:rsidR="00827298" w:rsidRPr="00D87028" w:rsidRDefault="00827298" w:rsidP="00827298">
            <w:pPr>
              <w:suppressAutoHyphens w:val="0"/>
              <w:spacing w:before="0" w:after="0" w:line="240" w:lineRule="auto"/>
              <w:jc w:val="center"/>
              <w:rPr>
                <w:rFonts w:ascii="Arial" w:eastAsia="Times New Roman" w:hAnsi="Arial" w:cs="Arial"/>
                <w:b/>
                <w:bCs/>
                <w:color w:val="FFFFFF" w:themeColor="background1"/>
                <w:lang w:eastAsia="en-AU"/>
              </w:rPr>
            </w:pPr>
            <w:r w:rsidRPr="00D87028">
              <w:rPr>
                <w:rFonts w:ascii="Arial" w:eastAsia="Times New Roman" w:hAnsi="Arial" w:cs="Arial"/>
                <w:b/>
                <w:bCs/>
                <w:color w:val="FFFFFF" w:themeColor="background1"/>
                <w:lang w:val="en-US" w:eastAsia="en-AU"/>
              </w:rPr>
              <w:t>Low</w:t>
            </w:r>
          </w:p>
        </w:tc>
      </w:tr>
      <w:tr w:rsidR="00827298" w:rsidRPr="00827298" w14:paraId="0A499B8A" w14:textId="77777777" w:rsidTr="002F4415">
        <w:trPr>
          <w:trHeight w:val="444"/>
        </w:trPr>
        <w:tc>
          <w:tcPr>
            <w:tcW w:w="3020" w:type="dxa"/>
            <w:tcBorders>
              <w:top w:val="nil"/>
              <w:left w:val="single" w:sz="8" w:space="0" w:color="FFFFFF"/>
              <w:bottom w:val="nil"/>
              <w:right w:val="single" w:sz="8" w:space="0" w:color="FFFFFF"/>
            </w:tcBorders>
            <w:shd w:val="clear" w:color="000000" w:fill="E2E3E2"/>
            <w:vAlign w:val="center"/>
            <w:hideMark/>
          </w:tcPr>
          <w:p w14:paraId="0A499B87" w14:textId="77777777" w:rsidR="002F4415" w:rsidRPr="00FA356F" w:rsidRDefault="00827298" w:rsidP="002F4415">
            <w:pPr>
              <w:suppressAutoHyphens w:val="0"/>
              <w:spacing w:before="0" w:after="120" w:line="240" w:lineRule="auto"/>
              <w:rPr>
                <w:rFonts w:ascii="Arial" w:eastAsia="Times New Roman" w:hAnsi="Arial" w:cs="Arial"/>
                <w:b/>
                <w:bCs/>
                <w:iCs/>
                <w:sz w:val="18"/>
                <w:szCs w:val="18"/>
                <w:lang w:val="en-US" w:eastAsia="en-AU"/>
              </w:rPr>
            </w:pPr>
            <w:r w:rsidRPr="00FA356F">
              <w:rPr>
                <w:rFonts w:ascii="Arial" w:eastAsia="Times New Roman" w:hAnsi="Arial" w:cs="Arial"/>
                <w:b/>
                <w:bCs/>
                <w:iCs/>
                <w:sz w:val="18"/>
                <w:szCs w:val="18"/>
                <w:lang w:val="en-US" w:eastAsia="en-AU"/>
              </w:rPr>
              <w:t>Poses a signi</w:t>
            </w:r>
            <w:r w:rsidR="002F4415" w:rsidRPr="00FA356F">
              <w:rPr>
                <w:rFonts w:ascii="Arial" w:eastAsia="Times New Roman" w:hAnsi="Arial" w:cs="Arial"/>
                <w:b/>
                <w:bCs/>
                <w:iCs/>
                <w:sz w:val="18"/>
                <w:szCs w:val="18"/>
                <w:lang w:val="en-US" w:eastAsia="en-AU"/>
              </w:rPr>
              <w:t>ficant financial reporting risk:</w:t>
            </w:r>
          </w:p>
        </w:tc>
        <w:tc>
          <w:tcPr>
            <w:tcW w:w="3020" w:type="dxa"/>
            <w:tcBorders>
              <w:top w:val="nil"/>
              <w:left w:val="nil"/>
              <w:bottom w:val="nil"/>
              <w:right w:val="single" w:sz="8" w:space="0" w:color="FFFFFF"/>
            </w:tcBorders>
            <w:shd w:val="clear" w:color="000000" w:fill="E2E3E2"/>
            <w:vAlign w:val="center"/>
            <w:hideMark/>
          </w:tcPr>
          <w:p w14:paraId="0A499B88" w14:textId="77777777" w:rsidR="00827298" w:rsidRPr="00FA356F" w:rsidRDefault="00827298" w:rsidP="002F4415">
            <w:pPr>
              <w:suppressAutoHyphens w:val="0"/>
              <w:spacing w:before="0" w:after="120" w:line="240" w:lineRule="auto"/>
              <w:rPr>
                <w:rFonts w:ascii="Arial" w:eastAsia="Times New Roman" w:hAnsi="Arial" w:cs="Arial"/>
                <w:b/>
                <w:bCs/>
                <w:iCs/>
                <w:sz w:val="18"/>
                <w:szCs w:val="18"/>
                <w:lang w:eastAsia="en-AU"/>
              </w:rPr>
            </w:pPr>
            <w:r w:rsidRPr="00FA356F">
              <w:rPr>
                <w:rFonts w:ascii="Arial" w:eastAsia="Times New Roman" w:hAnsi="Arial" w:cs="Arial"/>
                <w:b/>
                <w:bCs/>
                <w:iCs/>
                <w:sz w:val="18"/>
                <w:szCs w:val="18"/>
                <w:lang w:val="en-US" w:eastAsia="en-AU"/>
              </w:rPr>
              <w:t xml:space="preserve">Poses a moderate financial </w:t>
            </w:r>
            <w:r w:rsidR="002F4415" w:rsidRPr="00FA356F">
              <w:rPr>
                <w:rFonts w:ascii="Arial" w:eastAsia="Times New Roman" w:hAnsi="Arial" w:cs="Arial"/>
                <w:b/>
                <w:bCs/>
                <w:iCs/>
                <w:sz w:val="18"/>
                <w:szCs w:val="18"/>
                <w:lang w:val="en-US" w:eastAsia="en-AU"/>
              </w:rPr>
              <w:t>reporting risk:</w:t>
            </w:r>
          </w:p>
        </w:tc>
        <w:tc>
          <w:tcPr>
            <w:tcW w:w="3020" w:type="dxa"/>
            <w:tcBorders>
              <w:top w:val="nil"/>
              <w:left w:val="nil"/>
              <w:bottom w:val="nil"/>
              <w:right w:val="single" w:sz="8" w:space="0" w:color="FFFFFF"/>
            </w:tcBorders>
            <w:shd w:val="clear" w:color="000000" w:fill="E2E3E2"/>
            <w:vAlign w:val="center"/>
            <w:hideMark/>
          </w:tcPr>
          <w:p w14:paraId="0A499B89" w14:textId="77777777" w:rsidR="00827298" w:rsidRPr="00FA356F" w:rsidRDefault="00827298" w:rsidP="002F4415">
            <w:pPr>
              <w:suppressAutoHyphens w:val="0"/>
              <w:spacing w:before="0" w:after="120" w:line="240" w:lineRule="auto"/>
              <w:rPr>
                <w:rFonts w:ascii="Arial" w:eastAsia="Times New Roman" w:hAnsi="Arial" w:cs="Arial"/>
                <w:b/>
                <w:bCs/>
                <w:iCs/>
                <w:sz w:val="18"/>
                <w:szCs w:val="18"/>
                <w:lang w:eastAsia="en-AU"/>
              </w:rPr>
            </w:pPr>
            <w:r w:rsidRPr="00FA356F">
              <w:rPr>
                <w:rFonts w:ascii="Arial" w:eastAsia="Times New Roman" w:hAnsi="Arial" w:cs="Arial"/>
                <w:b/>
                <w:bCs/>
                <w:iCs/>
                <w:sz w:val="18"/>
                <w:szCs w:val="18"/>
                <w:lang w:val="en-US" w:eastAsia="en-AU"/>
              </w:rPr>
              <w:t>Poses a m</w:t>
            </w:r>
            <w:r w:rsidR="000045A1" w:rsidRPr="00FA356F">
              <w:rPr>
                <w:rFonts w:ascii="Arial" w:eastAsia="Times New Roman" w:hAnsi="Arial" w:cs="Arial"/>
                <w:b/>
                <w:bCs/>
                <w:iCs/>
                <w:sz w:val="18"/>
                <w:szCs w:val="18"/>
                <w:lang w:val="en-US" w:eastAsia="en-AU"/>
              </w:rPr>
              <w:t>inimal financial reporting risk:</w:t>
            </w:r>
          </w:p>
        </w:tc>
      </w:tr>
      <w:tr w:rsidR="00827298" w:rsidRPr="00827298" w14:paraId="0A499B8E" w14:textId="77777777" w:rsidTr="00827298">
        <w:trPr>
          <w:trHeight w:val="820"/>
        </w:trPr>
        <w:tc>
          <w:tcPr>
            <w:tcW w:w="3020" w:type="dxa"/>
            <w:tcBorders>
              <w:top w:val="single" w:sz="8" w:space="0" w:color="FFFFFF"/>
              <w:left w:val="single" w:sz="8" w:space="0" w:color="FFFFFF"/>
              <w:bottom w:val="nil"/>
              <w:right w:val="single" w:sz="8" w:space="0" w:color="FFFFFF"/>
            </w:tcBorders>
            <w:shd w:val="clear" w:color="000000" w:fill="F2F2F2"/>
            <w:hideMark/>
          </w:tcPr>
          <w:p w14:paraId="0A499B8B" w14:textId="77777777" w:rsidR="00827298" w:rsidRPr="00BA5DEA"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18"/>
                <w:szCs w:val="18"/>
                <w:lang w:eastAsia="en-AU"/>
              </w:rPr>
            </w:pPr>
            <w:r w:rsidRPr="00BA5DEA">
              <w:rPr>
                <w:rFonts w:ascii="Arial" w:eastAsia="Times New Roman" w:hAnsi="Arial" w:cs="Arial"/>
                <w:color w:val="000000"/>
                <w:sz w:val="18"/>
                <w:szCs w:val="18"/>
                <w:lang w:val="en-US" w:eastAsia="en-AU"/>
              </w:rPr>
              <w:t xml:space="preserve">likely to require ongoing and sustained resource </w:t>
            </w:r>
            <w:r w:rsidR="006D04A4" w:rsidRPr="00BA5DEA">
              <w:rPr>
                <w:rFonts w:ascii="Arial" w:eastAsia="Times New Roman" w:hAnsi="Arial" w:cs="Arial"/>
                <w:color w:val="000000"/>
                <w:sz w:val="18"/>
                <w:szCs w:val="18"/>
                <w:lang w:val="en-US" w:eastAsia="en-AU"/>
              </w:rPr>
              <w:t>commitment</w:t>
            </w:r>
          </w:p>
        </w:tc>
        <w:tc>
          <w:tcPr>
            <w:tcW w:w="3020" w:type="dxa"/>
            <w:tcBorders>
              <w:top w:val="single" w:sz="8" w:space="0" w:color="FFFFFF"/>
              <w:left w:val="nil"/>
              <w:bottom w:val="nil"/>
              <w:right w:val="single" w:sz="8" w:space="0" w:color="FFFFFF"/>
            </w:tcBorders>
            <w:shd w:val="clear" w:color="000000" w:fill="F2F2F2"/>
            <w:hideMark/>
          </w:tcPr>
          <w:p w14:paraId="0A499B8C" w14:textId="77777777" w:rsidR="00827298" w:rsidRPr="00BA5DEA"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18"/>
                <w:szCs w:val="18"/>
                <w:lang w:eastAsia="en-AU"/>
              </w:rPr>
            </w:pPr>
            <w:r w:rsidRPr="00BA5DEA">
              <w:rPr>
                <w:rFonts w:ascii="Arial" w:eastAsia="Times New Roman" w:hAnsi="Arial" w:cs="Arial"/>
                <w:color w:val="000000"/>
                <w:sz w:val="18"/>
                <w:szCs w:val="18"/>
                <w:lang w:val="en-US" w:eastAsia="en-AU"/>
              </w:rPr>
              <w:t>likely to require modera</w:t>
            </w:r>
            <w:r w:rsidR="006D04A4" w:rsidRPr="00BA5DEA">
              <w:rPr>
                <w:rFonts w:ascii="Arial" w:eastAsia="Times New Roman" w:hAnsi="Arial" w:cs="Arial"/>
                <w:color w:val="000000"/>
                <w:sz w:val="18"/>
                <w:szCs w:val="18"/>
                <w:lang w:val="en-US" w:eastAsia="en-AU"/>
              </w:rPr>
              <w:t>te level of resource commitment</w:t>
            </w:r>
          </w:p>
        </w:tc>
        <w:tc>
          <w:tcPr>
            <w:tcW w:w="3020" w:type="dxa"/>
            <w:tcBorders>
              <w:top w:val="single" w:sz="8" w:space="0" w:color="FFFFFF"/>
              <w:left w:val="nil"/>
              <w:bottom w:val="nil"/>
              <w:right w:val="single" w:sz="8" w:space="0" w:color="FFFFFF"/>
            </w:tcBorders>
            <w:shd w:val="clear" w:color="000000" w:fill="F2F2F2"/>
            <w:hideMark/>
          </w:tcPr>
          <w:p w14:paraId="0A499B8D" w14:textId="77777777" w:rsidR="00827298" w:rsidRPr="00BA5DEA"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18"/>
                <w:szCs w:val="18"/>
                <w:lang w:eastAsia="en-AU"/>
              </w:rPr>
            </w:pPr>
            <w:r w:rsidRPr="00BA5DEA">
              <w:rPr>
                <w:rFonts w:ascii="Arial" w:eastAsia="Times New Roman" w:hAnsi="Arial" w:cs="Arial"/>
                <w:color w:val="000000"/>
                <w:sz w:val="18"/>
                <w:szCs w:val="18"/>
                <w:lang w:val="en-US" w:eastAsia="en-AU"/>
              </w:rPr>
              <w:t>likely to require l</w:t>
            </w:r>
            <w:r w:rsidR="006D04A4" w:rsidRPr="00BA5DEA">
              <w:rPr>
                <w:rFonts w:ascii="Arial" w:eastAsia="Times New Roman" w:hAnsi="Arial" w:cs="Arial"/>
                <w:color w:val="000000"/>
                <w:sz w:val="18"/>
                <w:szCs w:val="18"/>
                <w:lang w:val="en-US" w:eastAsia="en-AU"/>
              </w:rPr>
              <w:t>ow level of resource commitment</w:t>
            </w:r>
          </w:p>
        </w:tc>
      </w:tr>
      <w:tr w:rsidR="00827298" w:rsidRPr="00827298" w14:paraId="0A499B92" w14:textId="77777777" w:rsidTr="00827298">
        <w:trPr>
          <w:trHeight w:val="915"/>
        </w:trPr>
        <w:tc>
          <w:tcPr>
            <w:tcW w:w="3020" w:type="dxa"/>
            <w:tcBorders>
              <w:top w:val="single" w:sz="8" w:space="0" w:color="FFFFFF"/>
              <w:left w:val="single" w:sz="8" w:space="0" w:color="FFFFFF"/>
              <w:bottom w:val="nil"/>
              <w:right w:val="single" w:sz="8" w:space="0" w:color="FFFFFF"/>
            </w:tcBorders>
            <w:shd w:val="clear" w:color="000000" w:fill="F2F2F2"/>
            <w:hideMark/>
          </w:tcPr>
          <w:p w14:paraId="0A499B8F" w14:textId="77777777" w:rsidR="00827298" w:rsidRPr="00BA5DEA"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18"/>
                <w:szCs w:val="18"/>
                <w:lang w:eastAsia="en-AU"/>
              </w:rPr>
            </w:pPr>
            <w:r w:rsidRPr="00BA5DEA">
              <w:rPr>
                <w:rFonts w:ascii="Arial" w:eastAsia="Times New Roman" w:hAnsi="Arial" w:cs="Arial"/>
                <w:color w:val="000000"/>
                <w:sz w:val="18"/>
                <w:szCs w:val="18"/>
                <w:lang w:val="en-US" w:eastAsia="en-AU"/>
              </w:rPr>
              <w:t>likely to involve complex control and accounting issues or balances that</w:t>
            </w:r>
            <w:r w:rsidR="006D04A4" w:rsidRPr="00BA5DEA">
              <w:rPr>
                <w:rFonts w:ascii="Arial" w:eastAsia="Times New Roman" w:hAnsi="Arial" w:cs="Arial"/>
                <w:color w:val="000000"/>
                <w:sz w:val="18"/>
                <w:szCs w:val="18"/>
                <w:lang w:val="en-US" w:eastAsia="en-AU"/>
              </w:rPr>
              <w:t xml:space="preserve"> require estimation or judg</w:t>
            </w:r>
            <w:r w:rsidR="00663A2C" w:rsidRPr="00BA5DEA">
              <w:rPr>
                <w:rFonts w:ascii="Arial" w:eastAsia="Times New Roman" w:hAnsi="Arial" w:cs="Arial"/>
                <w:color w:val="000000"/>
                <w:sz w:val="18"/>
                <w:szCs w:val="18"/>
                <w:lang w:val="en-US" w:eastAsia="en-AU"/>
              </w:rPr>
              <w:t>e</w:t>
            </w:r>
            <w:r w:rsidR="006D04A4" w:rsidRPr="00BA5DEA">
              <w:rPr>
                <w:rFonts w:ascii="Arial" w:eastAsia="Times New Roman" w:hAnsi="Arial" w:cs="Arial"/>
                <w:color w:val="000000"/>
                <w:sz w:val="18"/>
                <w:szCs w:val="18"/>
                <w:lang w:val="en-US" w:eastAsia="en-AU"/>
              </w:rPr>
              <w:t>ment</w:t>
            </w:r>
          </w:p>
        </w:tc>
        <w:tc>
          <w:tcPr>
            <w:tcW w:w="3020" w:type="dxa"/>
            <w:tcBorders>
              <w:top w:val="single" w:sz="8" w:space="0" w:color="FFFFFF"/>
              <w:left w:val="nil"/>
              <w:bottom w:val="nil"/>
              <w:right w:val="single" w:sz="8" w:space="0" w:color="FFFFFF"/>
            </w:tcBorders>
            <w:shd w:val="clear" w:color="000000" w:fill="F2F2F2"/>
            <w:hideMark/>
          </w:tcPr>
          <w:p w14:paraId="0A499B90" w14:textId="77777777" w:rsidR="00827298" w:rsidRPr="00BA5DEA"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18"/>
                <w:szCs w:val="18"/>
                <w:lang w:eastAsia="en-AU"/>
              </w:rPr>
            </w:pPr>
            <w:r w:rsidRPr="00BA5DEA">
              <w:rPr>
                <w:rFonts w:ascii="Arial" w:eastAsia="Times New Roman" w:hAnsi="Arial" w:cs="Arial"/>
                <w:color w:val="000000"/>
                <w:sz w:val="18"/>
                <w:szCs w:val="18"/>
                <w:lang w:val="en-US" w:eastAsia="en-AU"/>
              </w:rPr>
              <w:t>likely to involve less comple</w:t>
            </w:r>
            <w:r w:rsidR="006D04A4" w:rsidRPr="00BA5DEA">
              <w:rPr>
                <w:rFonts w:ascii="Arial" w:eastAsia="Times New Roman" w:hAnsi="Arial" w:cs="Arial"/>
                <w:color w:val="000000"/>
                <w:sz w:val="18"/>
                <w:szCs w:val="18"/>
                <w:lang w:val="en-US" w:eastAsia="en-AU"/>
              </w:rPr>
              <w:t>x control and accounting issues</w:t>
            </w:r>
          </w:p>
        </w:tc>
        <w:tc>
          <w:tcPr>
            <w:tcW w:w="3020" w:type="dxa"/>
            <w:tcBorders>
              <w:top w:val="single" w:sz="8" w:space="0" w:color="FFFFFF"/>
              <w:left w:val="nil"/>
              <w:bottom w:val="nil"/>
              <w:right w:val="single" w:sz="8" w:space="0" w:color="FFFFFF"/>
            </w:tcBorders>
            <w:shd w:val="clear" w:color="000000" w:fill="F2F2F2"/>
            <w:hideMark/>
          </w:tcPr>
          <w:p w14:paraId="0A499B91" w14:textId="77777777" w:rsidR="00827298" w:rsidRPr="00BA5DEA"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18"/>
                <w:szCs w:val="18"/>
                <w:lang w:eastAsia="en-AU"/>
              </w:rPr>
            </w:pPr>
            <w:r w:rsidRPr="00BA5DEA">
              <w:rPr>
                <w:rFonts w:ascii="Arial" w:eastAsia="Times New Roman" w:hAnsi="Arial" w:cs="Arial"/>
                <w:color w:val="000000"/>
                <w:sz w:val="18"/>
                <w:szCs w:val="18"/>
                <w:lang w:val="en-US" w:eastAsia="en-AU"/>
              </w:rPr>
              <w:t>likely to involve routin</w:t>
            </w:r>
            <w:r w:rsidR="006D04A4" w:rsidRPr="00BA5DEA">
              <w:rPr>
                <w:rFonts w:ascii="Arial" w:eastAsia="Times New Roman" w:hAnsi="Arial" w:cs="Arial"/>
                <w:color w:val="000000"/>
                <w:sz w:val="18"/>
                <w:szCs w:val="18"/>
                <w:lang w:val="en-US" w:eastAsia="en-AU"/>
              </w:rPr>
              <w:t>e control and accounting issues</w:t>
            </w:r>
          </w:p>
        </w:tc>
      </w:tr>
    </w:tbl>
    <w:p w14:paraId="0A499B93" w14:textId="77777777" w:rsidR="00827298" w:rsidRPr="006D04A4" w:rsidRDefault="00827298" w:rsidP="006D04A4">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3D5C8D">
        <w:rPr>
          <w:rFonts w:asciiTheme="minorHAnsi" w:eastAsiaTheme="minorHAnsi" w:hAnsiTheme="minorHAnsi" w:cstheme="minorBidi"/>
          <w:b/>
          <w:bCs w:val="0"/>
          <w:color w:val="auto"/>
          <w:sz w:val="24"/>
          <w:szCs w:val="24"/>
        </w:rPr>
        <w:t>Step 2: Conduct residual risk assessment</w:t>
      </w:r>
    </w:p>
    <w:p w14:paraId="0A499B94" w14:textId="77777777" w:rsidR="00827298" w:rsidRDefault="00827298" w:rsidP="00827298">
      <w:r>
        <w:t xml:space="preserve">The effectiveness of existing controls is then assessed and an overall residual reporting risk rating of High, Medium or Low is assigned for each financial statements item. </w:t>
      </w:r>
      <w:r w:rsidR="000045A1">
        <w:t xml:space="preserve">The risk ratings are the same ones used at </w:t>
      </w:r>
      <w:r>
        <w:t>Step 1.</w:t>
      </w:r>
    </w:p>
    <w:p w14:paraId="0A499B95" w14:textId="77777777" w:rsidR="00827298" w:rsidRDefault="00827298" w:rsidP="00827298">
      <w:r>
        <w:t xml:space="preserve">A </w:t>
      </w:r>
      <w:r w:rsidR="000045A1">
        <w:t>‘</w:t>
      </w:r>
      <w:r>
        <w:t>High</w:t>
      </w:r>
      <w:r w:rsidR="000045A1">
        <w:t xml:space="preserve">’ risk </w:t>
      </w:r>
      <w:r>
        <w:t xml:space="preserve">rating would mean that there is a reasonable possibility of significant financial reporting misstatements. The item would therefore require ongoing and sustained resource commitment. Conversely, a </w:t>
      </w:r>
      <w:r w:rsidR="000045A1">
        <w:t>‘</w:t>
      </w:r>
      <w:r>
        <w:t>Low</w:t>
      </w:r>
      <w:r w:rsidR="000045A1">
        <w:t>’</w:t>
      </w:r>
      <w:r>
        <w:t xml:space="preserve"> risk rating would mean that there is a minimal financial reporting risk</w:t>
      </w:r>
      <w:r w:rsidR="000045A1">
        <w:t>,</w:t>
      </w:r>
      <w:r>
        <w:t xml:space="preserve"> which can be managed by routine control procedures and is unlikely to need the specific application of resources.</w:t>
      </w:r>
    </w:p>
    <w:p w14:paraId="0A499B96" w14:textId="77777777" w:rsidR="00827298" w:rsidRPr="003D5C8D" w:rsidRDefault="00827298" w:rsidP="006D04A4">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3D5C8D">
        <w:rPr>
          <w:rFonts w:asciiTheme="minorHAnsi" w:eastAsiaTheme="minorHAnsi" w:hAnsiTheme="minorHAnsi" w:cstheme="minorBidi"/>
          <w:b/>
          <w:bCs w:val="0"/>
          <w:color w:val="auto"/>
          <w:sz w:val="24"/>
          <w:szCs w:val="24"/>
        </w:rPr>
        <w:t>Step 3: Summarise all risk ratings</w:t>
      </w:r>
    </w:p>
    <w:p w14:paraId="0A499B97" w14:textId="77777777" w:rsidR="00827298" w:rsidRDefault="00827298" w:rsidP="00827298">
      <w:r>
        <w:t>Collate all individual risk ratings for each financial statements item to give an overall picture of the reporting risk for all financial statements items.</w:t>
      </w:r>
    </w:p>
    <w:p w14:paraId="0A499B98" w14:textId="77777777" w:rsidR="00827298" w:rsidRPr="006D04A4" w:rsidRDefault="00827298" w:rsidP="006D04A4">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6D04A4">
        <w:rPr>
          <w:rFonts w:asciiTheme="minorHAnsi" w:eastAsiaTheme="minorHAnsi" w:hAnsiTheme="minorHAnsi" w:cstheme="minorBidi"/>
          <w:b/>
          <w:bCs w:val="0"/>
          <w:color w:val="auto"/>
          <w:sz w:val="24"/>
          <w:szCs w:val="24"/>
        </w:rPr>
        <w:t xml:space="preserve">Step 4: Determine </w:t>
      </w:r>
      <w:r w:rsidRPr="003D5C8D">
        <w:rPr>
          <w:rFonts w:asciiTheme="minorHAnsi" w:eastAsiaTheme="minorHAnsi" w:hAnsiTheme="minorHAnsi" w:cstheme="minorBidi"/>
          <w:b/>
          <w:bCs w:val="0"/>
          <w:color w:val="auto"/>
          <w:sz w:val="24"/>
          <w:szCs w:val="24"/>
        </w:rPr>
        <w:t>actions required</w:t>
      </w:r>
    </w:p>
    <w:p w14:paraId="0A499B99" w14:textId="77777777" w:rsidR="00827298" w:rsidRDefault="00827298" w:rsidP="00827298">
      <w:r>
        <w:t>The final step involves determining the action required for the entity taking into account the risk rating for each financial statements item. This may include assigning a risk owner.</w:t>
      </w:r>
    </w:p>
    <w:p w14:paraId="0A499B9A" w14:textId="77777777" w:rsidR="00DD6694" w:rsidRDefault="00DD6694">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0A499B9B" w14:textId="77777777" w:rsidR="00827298" w:rsidRPr="003D5C8D" w:rsidRDefault="00827298" w:rsidP="00827298">
      <w:pPr>
        <w:pStyle w:val="Heading1"/>
        <w:rPr>
          <w:rFonts w:asciiTheme="minorHAnsi" w:eastAsiaTheme="minorHAnsi" w:hAnsiTheme="minorHAnsi" w:cstheme="minorBidi"/>
          <w:bCs w:val="0"/>
          <w:color w:val="auto"/>
          <w:sz w:val="30"/>
          <w:szCs w:val="30"/>
        </w:rPr>
      </w:pPr>
      <w:r w:rsidRPr="003D5C8D">
        <w:rPr>
          <w:rFonts w:asciiTheme="minorHAnsi" w:eastAsiaTheme="minorHAnsi" w:hAnsiTheme="minorHAnsi" w:cstheme="minorBidi"/>
          <w:bCs w:val="0"/>
          <w:color w:val="auto"/>
          <w:sz w:val="30"/>
          <w:szCs w:val="30"/>
        </w:rPr>
        <w:t>Example</w:t>
      </w:r>
      <w:r w:rsidR="005E15BD" w:rsidRPr="003D5C8D">
        <w:rPr>
          <w:rFonts w:asciiTheme="minorHAnsi" w:eastAsiaTheme="minorHAnsi" w:hAnsiTheme="minorHAnsi" w:cstheme="minorBidi"/>
          <w:bCs w:val="0"/>
          <w:color w:val="auto"/>
          <w:sz w:val="30"/>
          <w:szCs w:val="30"/>
        </w:rPr>
        <w:t>: R</w:t>
      </w:r>
      <w:r w:rsidRPr="003D5C8D">
        <w:rPr>
          <w:rFonts w:asciiTheme="minorHAnsi" w:eastAsiaTheme="minorHAnsi" w:hAnsiTheme="minorHAnsi" w:cstheme="minorBidi"/>
          <w:bCs w:val="0"/>
          <w:color w:val="auto"/>
          <w:sz w:val="30"/>
          <w:szCs w:val="30"/>
        </w:rPr>
        <w:t>isk analysis</w:t>
      </w:r>
    </w:p>
    <w:p w14:paraId="0A499B9C" w14:textId="77777777" w:rsidR="00827298" w:rsidRDefault="00827298" w:rsidP="00827298">
      <w:r>
        <w:t xml:space="preserve">An example risk analysis for the item </w:t>
      </w:r>
      <w:r w:rsidR="002F1334">
        <w:t>‘</w:t>
      </w:r>
      <w:r>
        <w:t>Property, Plant and Equipment (PPE)</w:t>
      </w:r>
      <w:r w:rsidR="002F1334">
        <w:t>’</w:t>
      </w:r>
      <w:r>
        <w:t xml:space="preserve"> is below. The example serves as an illustration only, and does not cover all financial statements items.</w:t>
      </w:r>
    </w:p>
    <w:p w14:paraId="0A499B9D" w14:textId="77777777" w:rsidR="00827298" w:rsidRPr="006D04A4" w:rsidRDefault="00827298" w:rsidP="006D04A4">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6D04A4">
        <w:rPr>
          <w:rFonts w:asciiTheme="minorHAnsi" w:eastAsiaTheme="minorHAnsi" w:hAnsiTheme="minorHAnsi" w:cstheme="minorBidi"/>
          <w:b/>
          <w:bCs w:val="0"/>
          <w:color w:val="auto"/>
          <w:sz w:val="24"/>
          <w:szCs w:val="24"/>
        </w:rPr>
        <w:t>Step 1: Conduct inherent risk assessment</w:t>
      </w:r>
    </w:p>
    <w:tbl>
      <w:tblPr>
        <w:tblW w:w="9120" w:type="dxa"/>
        <w:tblLook w:val="04A0" w:firstRow="1" w:lastRow="0" w:firstColumn="1" w:lastColumn="0" w:noHBand="0" w:noVBand="1"/>
        <w:tblCaption w:val="Inherent risk assessment "/>
        <w:tblDescription w:val="This table is an example of an inherent risk assessment the financial statements item ‘Property, Plant and Equipment (PPE)’"/>
      </w:tblPr>
      <w:tblGrid>
        <w:gridCol w:w="1480"/>
        <w:gridCol w:w="3100"/>
        <w:gridCol w:w="1440"/>
        <w:gridCol w:w="3100"/>
      </w:tblGrid>
      <w:tr w:rsidR="00A827FB" w:rsidRPr="00A827FB" w14:paraId="0A499BA2" w14:textId="77777777" w:rsidTr="008961D6">
        <w:trPr>
          <w:trHeight w:val="675"/>
          <w:tblHeader/>
        </w:trPr>
        <w:tc>
          <w:tcPr>
            <w:tcW w:w="1480" w:type="dxa"/>
            <w:tcBorders>
              <w:top w:val="single" w:sz="8" w:space="0" w:color="auto"/>
              <w:left w:val="nil"/>
              <w:bottom w:val="single" w:sz="8" w:space="0" w:color="FFFFFF"/>
              <w:right w:val="nil"/>
            </w:tcBorders>
            <w:shd w:val="clear" w:color="auto" w:fill="000000" w:themeFill="text1"/>
            <w:vAlign w:val="center"/>
            <w:hideMark/>
          </w:tcPr>
          <w:p w14:paraId="0A499B9E" w14:textId="77777777" w:rsidR="00A827FB" w:rsidRPr="008961D6" w:rsidRDefault="00A827FB" w:rsidP="00A827FB">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8961D6">
              <w:rPr>
                <w:rFonts w:ascii="Arial" w:eastAsia="Times New Roman" w:hAnsi="Arial" w:cs="Arial"/>
                <w:b/>
                <w:bCs/>
                <w:color w:val="FFFFFF" w:themeColor="background1"/>
                <w:sz w:val="20"/>
                <w:lang w:val="en-US" w:eastAsia="en-AU"/>
              </w:rPr>
              <w:t>Risk Factor (See Note 1)</w:t>
            </w:r>
          </w:p>
        </w:tc>
        <w:tc>
          <w:tcPr>
            <w:tcW w:w="3100" w:type="dxa"/>
            <w:tcBorders>
              <w:top w:val="single" w:sz="8" w:space="0" w:color="auto"/>
              <w:left w:val="nil"/>
              <w:bottom w:val="nil"/>
              <w:right w:val="nil"/>
            </w:tcBorders>
            <w:shd w:val="clear" w:color="auto" w:fill="000000" w:themeFill="text1"/>
            <w:vAlign w:val="center"/>
            <w:hideMark/>
          </w:tcPr>
          <w:p w14:paraId="0A499B9F" w14:textId="77777777" w:rsidR="00A827FB" w:rsidRPr="008961D6" w:rsidRDefault="00A827FB" w:rsidP="00A827FB">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8961D6">
              <w:rPr>
                <w:rFonts w:ascii="Arial" w:eastAsia="Times New Roman" w:hAnsi="Arial" w:cs="Arial"/>
                <w:b/>
                <w:bCs/>
                <w:color w:val="FFFFFF" w:themeColor="background1"/>
                <w:sz w:val="20"/>
                <w:lang w:val="en-US" w:eastAsia="en-AU"/>
              </w:rPr>
              <w:t>Key Questions to Consider</w:t>
            </w:r>
          </w:p>
        </w:tc>
        <w:tc>
          <w:tcPr>
            <w:tcW w:w="1440" w:type="dxa"/>
            <w:tcBorders>
              <w:top w:val="single" w:sz="8" w:space="0" w:color="auto"/>
              <w:left w:val="nil"/>
              <w:bottom w:val="single" w:sz="8" w:space="0" w:color="FFFFFF"/>
              <w:right w:val="nil"/>
            </w:tcBorders>
            <w:shd w:val="clear" w:color="auto" w:fill="000000" w:themeFill="text1"/>
            <w:vAlign w:val="center"/>
            <w:hideMark/>
          </w:tcPr>
          <w:p w14:paraId="0A499BA0" w14:textId="77777777" w:rsidR="00A827FB" w:rsidRPr="008961D6" w:rsidRDefault="00A827FB" w:rsidP="00A827FB">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8961D6">
              <w:rPr>
                <w:rFonts w:ascii="Arial" w:eastAsia="Times New Roman" w:hAnsi="Arial" w:cs="Arial"/>
                <w:b/>
                <w:bCs/>
                <w:color w:val="FFFFFF" w:themeColor="background1"/>
                <w:sz w:val="20"/>
                <w:lang w:val="en-US" w:eastAsia="en-AU"/>
              </w:rPr>
              <w:t xml:space="preserve">Rating </w:t>
            </w:r>
            <w:r w:rsidRPr="008961D6">
              <w:rPr>
                <w:rFonts w:ascii="Arial" w:eastAsia="Times New Roman" w:hAnsi="Arial" w:cs="Arial"/>
                <w:b/>
                <w:bCs/>
                <w:color w:val="FFFFFF" w:themeColor="background1"/>
                <w:sz w:val="20"/>
                <w:lang w:val="en-US" w:eastAsia="en-AU"/>
              </w:rPr>
              <w:br/>
              <w:t>(See Note 1)</w:t>
            </w:r>
          </w:p>
        </w:tc>
        <w:tc>
          <w:tcPr>
            <w:tcW w:w="3100" w:type="dxa"/>
            <w:tcBorders>
              <w:top w:val="single" w:sz="8" w:space="0" w:color="auto"/>
              <w:left w:val="nil"/>
              <w:bottom w:val="single" w:sz="8" w:space="0" w:color="FFFFFF"/>
              <w:right w:val="nil"/>
            </w:tcBorders>
            <w:shd w:val="clear" w:color="auto" w:fill="000000" w:themeFill="text1"/>
            <w:vAlign w:val="center"/>
            <w:hideMark/>
          </w:tcPr>
          <w:p w14:paraId="0A499BA1" w14:textId="77777777" w:rsidR="00A827FB" w:rsidRPr="008961D6" w:rsidRDefault="00A827FB" w:rsidP="00A827FB">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8961D6">
              <w:rPr>
                <w:rFonts w:ascii="Arial" w:eastAsia="Times New Roman" w:hAnsi="Arial" w:cs="Arial"/>
                <w:b/>
                <w:bCs/>
                <w:color w:val="FFFFFF" w:themeColor="background1"/>
                <w:sz w:val="20"/>
                <w:lang w:val="en-US" w:eastAsia="en-AU"/>
              </w:rPr>
              <w:t>Reason/Analysis</w:t>
            </w:r>
          </w:p>
        </w:tc>
      </w:tr>
      <w:tr w:rsidR="00A827FB" w:rsidRPr="00A827FB" w14:paraId="0A499BAA" w14:textId="77777777" w:rsidTr="00DD6694">
        <w:trPr>
          <w:trHeight w:val="610"/>
        </w:trPr>
        <w:tc>
          <w:tcPr>
            <w:tcW w:w="1480" w:type="dxa"/>
            <w:vMerge w:val="restart"/>
            <w:tcBorders>
              <w:top w:val="nil"/>
              <w:left w:val="single" w:sz="8" w:space="0" w:color="FFFFFF"/>
              <w:bottom w:val="nil"/>
              <w:right w:val="single" w:sz="8" w:space="0" w:color="FFFFFF"/>
            </w:tcBorders>
            <w:shd w:val="clear" w:color="000000" w:fill="E2E3E2"/>
            <w:hideMark/>
          </w:tcPr>
          <w:p w14:paraId="0A499BA3" w14:textId="77777777" w:rsidR="00DF29D2"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BA5DEA">
              <w:rPr>
                <w:rFonts w:asciiTheme="majorHAnsi" w:eastAsia="Times New Roman" w:hAnsiTheme="majorHAnsi" w:cstheme="majorHAnsi"/>
                <w:b/>
                <w:bCs/>
                <w:i/>
                <w:iCs/>
                <w:color w:val="000000"/>
                <w:sz w:val="18"/>
                <w:szCs w:val="18"/>
                <w:lang w:val="en-US" w:eastAsia="en-AU"/>
              </w:rPr>
              <w:t>Materiality</w:t>
            </w:r>
          </w:p>
          <w:p w14:paraId="0A499BA4" w14:textId="77777777" w:rsidR="00DF29D2" w:rsidRPr="00BA5DEA" w:rsidRDefault="00DF29D2" w:rsidP="00DF29D2">
            <w:pPr>
              <w:rPr>
                <w:rFonts w:asciiTheme="majorHAnsi" w:eastAsia="Times New Roman" w:hAnsiTheme="majorHAnsi" w:cstheme="majorHAnsi"/>
                <w:sz w:val="18"/>
                <w:szCs w:val="18"/>
                <w:lang w:eastAsia="en-AU"/>
              </w:rPr>
            </w:pPr>
          </w:p>
          <w:p w14:paraId="0A499BA5" w14:textId="77777777" w:rsidR="00A827FB" w:rsidRPr="00BA5DEA" w:rsidRDefault="00A827FB" w:rsidP="00DF29D2">
            <w:pPr>
              <w:jc w:val="center"/>
              <w:rPr>
                <w:rFonts w:asciiTheme="majorHAnsi" w:eastAsia="Times New Roman" w:hAnsiTheme="majorHAnsi" w:cstheme="majorHAnsi"/>
                <w:sz w:val="18"/>
                <w:szCs w:val="18"/>
                <w:lang w:eastAsia="en-AU"/>
              </w:rPr>
            </w:pPr>
          </w:p>
        </w:tc>
        <w:tc>
          <w:tcPr>
            <w:tcW w:w="3100" w:type="dxa"/>
            <w:tcBorders>
              <w:top w:val="single" w:sz="8" w:space="0" w:color="FFFFFF"/>
              <w:left w:val="nil"/>
              <w:bottom w:val="single" w:sz="8" w:space="0" w:color="FFFFFF"/>
              <w:right w:val="single" w:sz="8" w:space="0" w:color="FFFFFF"/>
            </w:tcBorders>
            <w:shd w:val="clear" w:color="000000" w:fill="F2F2F2"/>
            <w:hideMark/>
          </w:tcPr>
          <w:p w14:paraId="0A499BA6" w14:textId="77777777" w:rsidR="00A827FB" w:rsidRPr="00BA5DEA" w:rsidRDefault="00A827FB" w:rsidP="00BA5DEA">
            <w:pPr>
              <w:spacing w:before="0" w:line="240" w:lineRule="auto"/>
              <w:rPr>
                <w:sz w:val="18"/>
                <w:szCs w:val="18"/>
                <w:lang w:val="en-US" w:eastAsia="en-AU"/>
              </w:rPr>
            </w:pPr>
            <w:r w:rsidRPr="00BA5DEA">
              <w:rPr>
                <w:sz w:val="18"/>
                <w:szCs w:val="18"/>
                <w:lang w:val="en-US" w:eastAsia="en-AU"/>
              </w:rPr>
              <w:t>How significant is the item as a percentage of total income, expenses, assets or liabilities?</w:t>
            </w:r>
          </w:p>
          <w:p w14:paraId="0A499BA7" w14:textId="77777777" w:rsidR="000045A1" w:rsidRPr="00BA5DEA" w:rsidRDefault="000045A1" w:rsidP="00BA5DEA">
            <w:pPr>
              <w:spacing w:before="0" w:line="240" w:lineRule="auto"/>
              <w:rPr>
                <w:sz w:val="18"/>
                <w:szCs w:val="18"/>
                <w:lang w:eastAsia="en-AU"/>
              </w:rPr>
            </w:pPr>
          </w:p>
        </w:tc>
        <w:tc>
          <w:tcPr>
            <w:tcW w:w="1440" w:type="dxa"/>
            <w:vMerge w:val="restart"/>
            <w:tcBorders>
              <w:top w:val="nil"/>
              <w:left w:val="single" w:sz="8" w:space="0" w:color="FFFFFF"/>
              <w:bottom w:val="single" w:sz="8" w:space="0" w:color="FFFFFF"/>
              <w:right w:val="single" w:sz="8" w:space="0" w:color="FFFFFF"/>
            </w:tcBorders>
            <w:shd w:val="clear" w:color="000000" w:fill="F2F2F2"/>
            <w:vAlign w:val="center"/>
            <w:hideMark/>
          </w:tcPr>
          <w:p w14:paraId="0A499BA8" w14:textId="77777777" w:rsidR="00A827FB" w:rsidRPr="00BA5DEA" w:rsidRDefault="00A827FB" w:rsidP="00BA5DEA">
            <w:pPr>
              <w:spacing w:before="0" w:line="240" w:lineRule="auto"/>
              <w:jc w:val="center"/>
              <w:rPr>
                <w:sz w:val="18"/>
                <w:szCs w:val="18"/>
                <w:lang w:eastAsia="en-AU"/>
              </w:rPr>
            </w:pPr>
            <w:r w:rsidRPr="00BA5DEA">
              <w:rPr>
                <w:w w:val="102"/>
                <w:sz w:val="18"/>
                <w:szCs w:val="18"/>
                <w:lang w:val="en-US" w:eastAsia="en-AU"/>
              </w:rPr>
              <w:t>H</w:t>
            </w:r>
          </w:p>
        </w:tc>
        <w:tc>
          <w:tcPr>
            <w:tcW w:w="3100" w:type="dxa"/>
            <w:tcBorders>
              <w:top w:val="nil"/>
              <w:left w:val="nil"/>
              <w:bottom w:val="single" w:sz="8" w:space="0" w:color="FFFFFF"/>
              <w:right w:val="single" w:sz="8" w:space="0" w:color="FFFFFF"/>
            </w:tcBorders>
            <w:shd w:val="clear" w:color="000000" w:fill="F2F2F2"/>
            <w:hideMark/>
          </w:tcPr>
          <w:p w14:paraId="0A499BA9" w14:textId="77777777" w:rsidR="00A827FB" w:rsidRPr="00BA5DEA" w:rsidRDefault="00A827FB" w:rsidP="00BA5DEA">
            <w:pPr>
              <w:spacing w:before="0" w:line="240" w:lineRule="auto"/>
              <w:rPr>
                <w:sz w:val="18"/>
                <w:szCs w:val="18"/>
                <w:lang w:eastAsia="en-AU"/>
              </w:rPr>
            </w:pPr>
            <w:r w:rsidRPr="00BA5DEA">
              <w:rPr>
                <w:sz w:val="18"/>
                <w:szCs w:val="18"/>
                <w:lang w:val="en-US" w:eastAsia="en-AU"/>
              </w:rPr>
              <w:t>The item represents 12 per cent of total assets.</w:t>
            </w:r>
          </w:p>
        </w:tc>
      </w:tr>
      <w:tr w:rsidR="00A827FB" w:rsidRPr="00A827FB" w14:paraId="0A499BB0" w14:textId="77777777" w:rsidTr="00A827FB">
        <w:trPr>
          <w:trHeight w:val="525"/>
        </w:trPr>
        <w:tc>
          <w:tcPr>
            <w:tcW w:w="1480" w:type="dxa"/>
            <w:vMerge/>
            <w:tcBorders>
              <w:top w:val="nil"/>
              <w:left w:val="single" w:sz="8" w:space="0" w:color="FFFFFF"/>
              <w:bottom w:val="nil"/>
              <w:right w:val="single" w:sz="8" w:space="0" w:color="FFFFFF"/>
            </w:tcBorders>
            <w:vAlign w:val="center"/>
            <w:hideMark/>
          </w:tcPr>
          <w:p w14:paraId="0A499BAB"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AC" w14:textId="77777777" w:rsidR="00A827FB" w:rsidRPr="00BA5DEA" w:rsidRDefault="00A827FB" w:rsidP="00BA5DEA">
            <w:pPr>
              <w:spacing w:before="0" w:line="240" w:lineRule="auto"/>
              <w:rPr>
                <w:sz w:val="18"/>
                <w:szCs w:val="18"/>
                <w:lang w:val="en-US" w:eastAsia="en-AU"/>
              </w:rPr>
            </w:pPr>
            <w:r w:rsidRPr="00BA5DEA">
              <w:rPr>
                <w:sz w:val="18"/>
                <w:szCs w:val="18"/>
                <w:lang w:val="en-US" w:eastAsia="en-AU"/>
              </w:rPr>
              <w:t>How significant is the item to the key users of the financial statements?</w:t>
            </w:r>
          </w:p>
          <w:p w14:paraId="0A499BAD" w14:textId="77777777" w:rsidR="000045A1" w:rsidRPr="00BA5DEA" w:rsidRDefault="000045A1" w:rsidP="00BA5DEA">
            <w:pPr>
              <w:spacing w:before="0" w:line="240" w:lineRule="auto"/>
              <w:rPr>
                <w:sz w:val="18"/>
                <w:szCs w:val="18"/>
                <w:lang w:eastAsia="en-AU"/>
              </w:rPr>
            </w:pPr>
          </w:p>
        </w:tc>
        <w:tc>
          <w:tcPr>
            <w:tcW w:w="1440" w:type="dxa"/>
            <w:vMerge/>
            <w:tcBorders>
              <w:top w:val="nil"/>
              <w:left w:val="single" w:sz="8" w:space="0" w:color="FFFFFF"/>
              <w:bottom w:val="single" w:sz="8" w:space="0" w:color="FFFFFF"/>
              <w:right w:val="single" w:sz="8" w:space="0" w:color="FFFFFF"/>
            </w:tcBorders>
            <w:vAlign w:val="center"/>
            <w:hideMark/>
          </w:tcPr>
          <w:p w14:paraId="0A499BAE" w14:textId="77777777" w:rsidR="00A827FB" w:rsidRPr="00BA5DEA" w:rsidRDefault="00A827FB" w:rsidP="00BA5DEA">
            <w:pPr>
              <w:spacing w:before="0" w:line="240" w:lineRule="auto"/>
              <w:jc w:val="center"/>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AF" w14:textId="77777777" w:rsidR="00A827FB" w:rsidRPr="00BA5DEA" w:rsidRDefault="00A827FB" w:rsidP="00BA5DEA">
            <w:pPr>
              <w:spacing w:before="0" w:line="240" w:lineRule="auto"/>
              <w:rPr>
                <w:sz w:val="18"/>
                <w:szCs w:val="18"/>
                <w:lang w:eastAsia="en-AU"/>
              </w:rPr>
            </w:pPr>
            <w:r w:rsidRPr="00BA5DEA">
              <w:rPr>
                <w:sz w:val="18"/>
                <w:szCs w:val="18"/>
                <w:lang w:val="en-US" w:eastAsia="en-AU"/>
              </w:rPr>
              <w:t xml:space="preserve">The item </w:t>
            </w:r>
            <w:r w:rsidR="00965C52" w:rsidRPr="00BA5DEA">
              <w:rPr>
                <w:sz w:val="18"/>
                <w:szCs w:val="18"/>
                <w:lang w:val="en-US" w:eastAsia="en-AU"/>
              </w:rPr>
              <w:t>is topical because of</w:t>
            </w:r>
            <w:r w:rsidR="000C5020" w:rsidRPr="00BA5DEA">
              <w:rPr>
                <w:sz w:val="18"/>
                <w:szCs w:val="18"/>
                <w:lang w:val="en-US" w:eastAsia="en-AU"/>
              </w:rPr>
              <w:t xml:space="preserve"> recent </w:t>
            </w:r>
            <w:r w:rsidRPr="00BA5DEA">
              <w:rPr>
                <w:sz w:val="18"/>
                <w:szCs w:val="18"/>
                <w:lang w:val="en-US" w:eastAsia="en-AU"/>
              </w:rPr>
              <w:t>Parliamentary interest.</w:t>
            </w:r>
          </w:p>
        </w:tc>
      </w:tr>
      <w:tr w:rsidR="00A827FB" w:rsidRPr="00A827FB" w14:paraId="0A499BB5" w14:textId="77777777" w:rsidTr="00A827FB">
        <w:trPr>
          <w:trHeight w:val="495"/>
        </w:trPr>
        <w:tc>
          <w:tcPr>
            <w:tcW w:w="1480" w:type="dxa"/>
            <w:vMerge/>
            <w:tcBorders>
              <w:top w:val="nil"/>
              <w:left w:val="single" w:sz="8" w:space="0" w:color="FFFFFF"/>
              <w:bottom w:val="nil"/>
              <w:right w:val="single" w:sz="8" w:space="0" w:color="FFFFFF"/>
            </w:tcBorders>
            <w:vAlign w:val="center"/>
            <w:hideMark/>
          </w:tcPr>
          <w:p w14:paraId="0A499BB1"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B2" w14:textId="77777777" w:rsidR="00A827FB" w:rsidRPr="00BA5DEA" w:rsidRDefault="00A827FB" w:rsidP="00BA5DEA">
            <w:pPr>
              <w:spacing w:before="0" w:line="240" w:lineRule="auto"/>
              <w:rPr>
                <w:sz w:val="18"/>
                <w:szCs w:val="18"/>
                <w:lang w:eastAsia="en-AU"/>
              </w:rPr>
            </w:pPr>
            <w:r w:rsidRPr="00BA5DEA">
              <w:rPr>
                <w:sz w:val="18"/>
                <w:szCs w:val="18"/>
                <w:lang w:val="en-US" w:eastAsia="en-AU"/>
              </w:rPr>
              <w:t>How material are individual transactions?</w:t>
            </w:r>
          </w:p>
        </w:tc>
        <w:tc>
          <w:tcPr>
            <w:tcW w:w="1440" w:type="dxa"/>
            <w:vMerge/>
            <w:tcBorders>
              <w:top w:val="nil"/>
              <w:left w:val="single" w:sz="8" w:space="0" w:color="FFFFFF"/>
              <w:bottom w:val="single" w:sz="8" w:space="0" w:color="FFFFFF"/>
              <w:right w:val="single" w:sz="8" w:space="0" w:color="FFFFFF"/>
            </w:tcBorders>
            <w:vAlign w:val="center"/>
            <w:hideMark/>
          </w:tcPr>
          <w:p w14:paraId="0A499BB3" w14:textId="77777777" w:rsidR="00A827FB" w:rsidRPr="00BA5DEA" w:rsidRDefault="00A827FB" w:rsidP="00BA5DEA">
            <w:pPr>
              <w:spacing w:before="0" w:line="240" w:lineRule="auto"/>
              <w:jc w:val="center"/>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B4" w14:textId="77777777" w:rsidR="00A827FB" w:rsidRPr="00BA5DEA" w:rsidRDefault="00A827FB" w:rsidP="00BA5DEA">
            <w:pPr>
              <w:spacing w:before="0" w:line="240" w:lineRule="auto"/>
              <w:rPr>
                <w:sz w:val="18"/>
                <w:szCs w:val="18"/>
                <w:lang w:eastAsia="en-AU"/>
              </w:rPr>
            </w:pPr>
            <w:r w:rsidRPr="00BA5DEA">
              <w:rPr>
                <w:sz w:val="18"/>
                <w:szCs w:val="18"/>
                <w:lang w:val="en-US" w:eastAsia="en-AU"/>
              </w:rPr>
              <w:t>About 40 per cent of transactions have high dollar values.</w:t>
            </w:r>
          </w:p>
        </w:tc>
      </w:tr>
      <w:tr w:rsidR="00A827FB" w:rsidRPr="00A827FB" w14:paraId="0A499BBA" w14:textId="77777777" w:rsidTr="00A827FB">
        <w:trPr>
          <w:trHeight w:val="510"/>
        </w:trPr>
        <w:tc>
          <w:tcPr>
            <w:tcW w:w="1480" w:type="dxa"/>
            <w:vMerge w:val="restart"/>
            <w:tcBorders>
              <w:top w:val="single" w:sz="8" w:space="0" w:color="FFFFFF"/>
              <w:left w:val="single" w:sz="8" w:space="0" w:color="FFFFFF"/>
              <w:bottom w:val="single" w:sz="8" w:space="0" w:color="FFFFFF"/>
              <w:right w:val="single" w:sz="8" w:space="0" w:color="FFFFFF"/>
            </w:tcBorders>
            <w:shd w:val="clear" w:color="000000" w:fill="E2E3E2"/>
            <w:hideMark/>
          </w:tcPr>
          <w:p w14:paraId="0A499BB6"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BA5DEA">
              <w:rPr>
                <w:rFonts w:asciiTheme="majorHAnsi" w:eastAsia="Times New Roman" w:hAnsiTheme="majorHAnsi" w:cstheme="majorHAnsi"/>
                <w:b/>
                <w:bCs/>
                <w:i/>
                <w:iCs/>
                <w:color w:val="000000"/>
                <w:sz w:val="18"/>
                <w:szCs w:val="18"/>
                <w:lang w:val="en-US" w:eastAsia="en-AU"/>
              </w:rPr>
              <w:t>Reporting requirements</w:t>
            </w:r>
          </w:p>
        </w:tc>
        <w:tc>
          <w:tcPr>
            <w:tcW w:w="3100" w:type="dxa"/>
            <w:tcBorders>
              <w:top w:val="nil"/>
              <w:left w:val="nil"/>
              <w:bottom w:val="single" w:sz="8" w:space="0" w:color="FFFFFF"/>
              <w:right w:val="single" w:sz="8" w:space="0" w:color="FFFFFF"/>
            </w:tcBorders>
            <w:shd w:val="clear" w:color="000000" w:fill="F2F2F2"/>
            <w:hideMark/>
          </w:tcPr>
          <w:p w14:paraId="0A499BB7" w14:textId="77777777" w:rsidR="00A827FB" w:rsidRPr="00BA5DEA" w:rsidRDefault="00A827FB" w:rsidP="00BA5DEA">
            <w:pPr>
              <w:spacing w:before="0" w:line="240" w:lineRule="auto"/>
              <w:rPr>
                <w:sz w:val="18"/>
                <w:szCs w:val="18"/>
                <w:lang w:eastAsia="en-AU"/>
              </w:rPr>
            </w:pPr>
            <w:r w:rsidRPr="00BA5DEA">
              <w:rPr>
                <w:sz w:val="18"/>
                <w:szCs w:val="18"/>
                <w:lang w:val="en-US" w:eastAsia="en-AU"/>
              </w:rPr>
              <w:t>Are there</w:t>
            </w:r>
            <w:r w:rsidR="000C5020" w:rsidRPr="00BA5DEA">
              <w:rPr>
                <w:sz w:val="18"/>
                <w:szCs w:val="18"/>
                <w:lang w:val="en-US" w:eastAsia="en-AU"/>
              </w:rPr>
              <w:t xml:space="preserve"> any complex or new accounting </w:t>
            </w:r>
            <w:r w:rsidRPr="00BA5DEA">
              <w:rPr>
                <w:sz w:val="18"/>
                <w:szCs w:val="18"/>
                <w:lang w:val="en-US" w:eastAsia="en-AU"/>
              </w:rPr>
              <w:t>requirements?</w:t>
            </w:r>
          </w:p>
        </w:tc>
        <w:tc>
          <w:tcPr>
            <w:tcW w:w="1440" w:type="dxa"/>
            <w:vMerge w:val="restart"/>
            <w:tcBorders>
              <w:top w:val="nil"/>
              <w:left w:val="single" w:sz="8" w:space="0" w:color="FFFFFF"/>
              <w:bottom w:val="nil"/>
              <w:right w:val="single" w:sz="8" w:space="0" w:color="FFFFFF"/>
            </w:tcBorders>
            <w:shd w:val="clear" w:color="000000" w:fill="F2F2F2"/>
            <w:vAlign w:val="center"/>
            <w:hideMark/>
          </w:tcPr>
          <w:p w14:paraId="0A499BB8" w14:textId="77777777" w:rsidR="00A827FB" w:rsidRPr="00BA5DEA" w:rsidRDefault="00A827FB" w:rsidP="00BA5DEA">
            <w:pPr>
              <w:spacing w:before="0" w:line="240" w:lineRule="auto"/>
              <w:jc w:val="center"/>
              <w:rPr>
                <w:sz w:val="18"/>
                <w:szCs w:val="18"/>
                <w:lang w:eastAsia="en-AU"/>
              </w:rPr>
            </w:pPr>
            <w:r w:rsidRPr="00BA5DEA">
              <w:rPr>
                <w:w w:val="97"/>
                <w:sz w:val="18"/>
                <w:szCs w:val="18"/>
                <w:lang w:val="en-US" w:eastAsia="en-AU"/>
              </w:rPr>
              <w:t>L</w:t>
            </w:r>
          </w:p>
        </w:tc>
        <w:tc>
          <w:tcPr>
            <w:tcW w:w="3100" w:type="dxa"/>
            <w:tcBorders>
              <w:top w:val="nil"/>
              <w:left w:val="nil"/>
              <w:bottom w:val="single" w:sz="8" w:space="0" w:color="FFFFFF"/>
              <w:right w:val="single" w:sz="8" w:space="0" w:color="FFFFFF"/>
            </w:tcBorders>
            <w:shd w:val="clear" w:color="000000" w:fill="F2F2F2"/>
            <w:hideMark/>
          </w:tcPr>
          <w:p w14:paraId="0A499BB9" w14:textId="77777777" w:rsidR="00A827FB" w:rsidRPr="00BA5DEA" w:rsidRDefault="00A827FB" w:rsidP="00BA5DEA">
            <w:pPr>
              <w:spacing w:before="0" w:line="240" w:lineRule="auto"/>
              <w:rPr>
                <w:sz w:val="18"/>
                <w:szCs w:val="18"/>
                <w:lang w:val="en-US" w:eastAsia="en-AU"/>
              </w:rPr>
            </w:pPr>
            <w:r w:rsidRPr="00BA5DEA">
              <w:rPr>
                <w:sz w:val="18"/>
                <w:szCs w:val="18"/>
                <w:lang w:val="en-US" w:eastAsia="en-AU"/>
              </w:rPr>
              <w:t>None identified.</w:t>
            </w:r>
          </w:p>
        </w:tc>
      </w:tr>
      <w:tr w:rsidR="00A827FB" w:rsidRPr="00A827FB" w14:paraId="0A499BBF" w14:textId="77777777" w:rsidTr="00A827FB">
        <w:trPr>
          <w:trHeight w:val="495"/>
        </w:trPr>
        <w:tc>
          <w:tcPr>
            <w:tcW w:w="1480" w:type="dxa"/>
            <w:vMerge/>
            <w:tcBorders>
              <w:top w:val="single" w:sz="8" w:space="0" w:color="FFFFFF"/>
              <w:left w:val="single" w:sz="8" w:space="0" w:color="FFFFFF"/>
              <w:bottom w:val="single" w:sz="8" w:space="0" w:color="FFFFFF"/>
              <w:right w:val="single" w:sz="8" w:space="0" w:color="FFFFFF"/>
            </w:tcBorders>
            <w:vAlign w:val="center"/>
            <w:hideMark/>
          </w:tcPr>
          <w:p w14:paraId="0A499BBB"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BC" w14:textId="77777777" w:rsidR="00A827FB" w:rsidRPr="00BA5DEA" w:rsidRDefault="00A827FB" w:rsidP="00BA5DEA">
            <w:pPr>
              <w:spacing w:before="0" w:line="240" w:lineRule="auto"/>
              <w:rPr>
                <w:sz w:val="18"/>
                <w:szCs w:val="18"/>
                <w:lang w:eastAsia="en-AU"/>
              </w:rPr>
            </w:pPr>
            <w:r w:rsidRPr="00BA5DEA">
              <w:rPr>
                <w:sz w:val="18"/>
                <w:szCs w:val="18"/>
                <w:lang w:val="en-US" w:eastAsia="en-AU"/>
              </w:rPr>
              <w:t>Are there any significant compliance issues?</w:t>
            </w:r>
          </w:p>
        </w:tc>
        <w:tc>
          <w:tcPr>
            <w:tcW w:w="1440" w:type="dxa"/>
            <w:vMerge/>
            <w:tcBorders>
              <w:top w:val="nil"/>
              <w:left w:val="single" w:sz="8" w:space="0" w:color="FFFFFF"/>
              <w:bottom w:val="nil"/>
              <w:right w:val="single" w:sz="8" w:space="0" w:color="FFFFFF"/>
            </w:tcBorders>
            <w:vAlign w:val="center"/>
            <w:hideMark/>
          </w:tcPr>
          <w:p w14:paraId="0A499BBD" w14:textId="77777777" w:rsidR="00A827FB" w:rsidRPr="00BA5DEA" w:rsidRDefault="00A827FB" w:rsidP="00BA5DEA">
            <w:pPr>
              <w:spacing w:before="0" w:line="240" w:lineRule="auto"/>
              <w:jc w:val="center"/>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BE" w14:textId="77777777" w:rsidR="00A827FB" w:rsidRPr="00BA5DEA" w:rsidRDefault="00A827FB" w:rsidP="00BA5DEA">
            <w:pPr>
              <w:spacing w:before="0" w:line="240" w:lineRule="auto"/>
              <w:rPr>
                <w:sz w:val="18"/>
                <w:szCs w:val="18"/>
                <w:lang w:val="en-US" w:eastAsia="en-AU"/>
              </w:rPr>
            </w:pPr>
            <w:r w:rsidRPr="00BA5DEA">
              <w:rPr>
                <w:sz w:val="18"/>
                <w:szCs w:val="18"/>
                <w:lang w:val="en-US" w:eastAsia="en-AU"/>
              </w:rPr>
              <w:t>None identified.</w:t>
            </w:r>
          </w:p>
        </w:tc>
      </w:tr>
      <w:tr w:rsidR="00A827FB" w:rsidRPr="00A827FB" w14:paraId="0A499BC4" w14:textId="77777777" w:rsidTr="00A827FB">
        <w:trPr>
          <w:trHeight w:val="975"/>
        </w:trPr>
        <w:tc>
          <w:tcPr>
            <w:tcW w:w="1480" w:type="dxa"/>
            <w:vMerge w:val="restart"/>
            <w:tcBorders>
              <w:top w:val="nil"/>
              <w:left w:val="single" w:sz="8" w:space="0" w:color="FFFFFF"/>
              <w:bottom w:val="nil"/>
              <w:right w:val="single" w:sz="8" w:space="0" w:color="FFFFFF"/>
            </w:tcBorders>
            <w:shd w:val="clear" w:color="000000" w:fill="E2E3E2"/>
            <w:hideMark/>
          </w:tcPr>
          <w:p w14:paraId="0A499BC0"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BA5DEA">
              <w:rPr>
                <w:rFonts w:asciiTheme="majorHAnsi" w:eastAsia="Times New Roman" w:hAnsiTheme="majorHAnsi" w:cstheme="majorHAnsi"/>
                <w:b/>
                <w:bCs/>
                <w:i/>
                <w:iCs/>
                <w:color w:val="000000"/>
                <w:sz w:val="18"/>
                <w:szCs w:val="18"/>
                <w:lang w:val="en-US" w:eastAsia="en-AU"/>
              </w:rPr>
              <w:t>Level of judg</w:t>
            </w:r>
            <w:r w:rsidR="00663A2C" w:rsidRPr="00BA5DEA">
              <w:rPr>
                <w:rFonts w:asciiTheme="majorHAnsi" w:eastAsia="Times New Roman" w:hAnsiTheme="majorHAnsi" w:cstheme="majorHAnsi"/>
                <w:b/>
                <w:bCs/>
                <w:i/>
                <w:iCs/>
                <w:color w:val="000000"/>
                <w:sz w:val="18"/>
                <w:szCs w:val="18"/>
                <w:lang w:val="en-US" w:eastAsia="en-AU"/>
              </w:rPr>
              <w:t>e</w:t>
            </w:r>
            <w:r w:rsidRPr="00BA5DEA">
              <w:rPr>
                <w:rFonts w:asciiTheme="majorHAnsi" w:eastAsia="Times New Roman" w:hAnsiTheme="majorHAnsi" w:cstheme="majorHAnsi"/>
                <w:b/>
                <w:bCs/>
                <w:i/>
                <w:iCs/>
                <w:color w:val="000000"/>
                <w:sz w:val="18"/>
                <w:szCs w:val="18"/>
                <w:lang w:val="en-US" w:eastAsia="en-AU"/>
              </w:rPr>
              <w:t>ment</w:t>
            </w:r>
          </w:p>
        </w:tc>
        <w:tc>
          <w:tcPr>
            <w:tcW w:w="3100" w:type="dxa"/>
            <w:tcBorders>
              <w:top w:val="nil"/>
              <w:left w:val="nil"/>
              <w:bottom w:val="single" w:sz="8" w:space="0" w:color="FFFFFF"/>
              <w:right w:val="single" w:sz="8" w:space="0" w:color="FFFFFF"/>
            </w:tcBorders>
            <w:shd w:val="clear" w:color="000000" w:fill="F2F2F2"/>
            <w:hideMark/>
          </w:tcPr>
          <w:p w14:paraId="0A499BC1" w14:textId="77777777" w:rsidR="00A827FB" w:rsidRPr="00BA5DEA" w:rsidRDefault="00A827FB" w:rsidP="00BA5DEA">
            <w:pPr>
              <w:spacing w:before="0" w:line="240" w:lineRule="auto"/>
              <w:rPr>
                <w:sz w:val="18"/>
                <w:szCs w:val="18"/>
                <w:lang w:eastAsia="en-AU"/>
              </w:rPr>
            </w:pPr>
            <w:r w:rsidRPr="00BA5DEA">
              <w:rPr>
                <w:sz w:val="18"/>
                <w:szCs w:val="18"/>
                <w:lang w:val="en-US" w:eastAsia="en-AU"/>
              </w:rPr>
              <w:t>Does the item require considerable judg</w:t>
            </w:r>
            <w:r w:rsidR="00663A2C" w:rsidRPr="00BA5DEA">
              <w:rPr>
                <w:sz w:val="18"/>
                <w:szCs w:val="18"/>
                <w:lang w:val="en-US" w:eastAsia="en-AU"/>
              </w:rPr>
              <w:t>e</w:t>
            </w:r>
            <w:r w:rsidRPr="00BA5DEA">
              <w:rPr>
                <w:sz w:val="18"/>
                <w:szCs w:val="18"/>
                <w:lang w:val="en-US" w:eastAsia="en-AU"/>
              </w:rPr>
              <w:t>ment to record the account balances and transactions correctly?</w:t>
            </w:r>
          </w:p>
        </w:tc>
        <w:tc>
          <w:tcPr>
            <w:tcW w:w="1440" w:type="dxa"/>
            <w:vMerge w:val="restart"/>
            <w:tcBorders>
              <w:top w:val="single" w:sz="8" w:space="0" w:color="FFFFFF"/>
              <w:left w:val="single" w:sz="8" w:space="0" w:color="FFFFFF"/>
              <w:bottom w:val="nil"/>
              <w:right w:val="single" w:sz="8" w:space="0" w:color="FFFFFF"/>
            </w:tcBorders>
            <w:shd w:val="clear" w:color="000000" w:fill="F2F2F2"/>
            <w:vAlign w:val="center"/>
            <w:hideMark/>
          </w:tcPr>
          <w:p w14:paraId="0A499BC2" w14:textId="77777777" w:rsidR="00A827FB" w:rsidRPr="00BA5DEA" w:rsidRDefault="00A827FB" w:rsidP="00BA5DEA">
            <w:pPr>
              <w:spacing w:before="0" w:line="240" w:lineRule="auto"/>
              <w:jc w:val="center"/>
              <w:rPr>
                <w:sz w:val="18"/>
                <w:szCs w:val="18"/>
                <w:lang w:eastAsia="en-AU"/>
              </w:rPr>
            </w:pPr>
            <w:r w:rsidRPr="00BA5DEA">
              <w:rPr>
                <w:w w:val="102"/>
                <w:sz w:val="18"/>
                <w:szCs w:val="18"/>
                <w:lang w:val="en-US" w:eastAsia="en-AU"/>
              </w:rPr>
              <w:t>H</w:t>
            </w:r>
          </w:p>
        </w:tc>
        <w:tc>
          <w:tcPr>
            <w:tcW w:w="3100" w:type="dxa"/>
            <w:tcBorders>
              <w:top w:val="nil"/>
              <w:left w:val="nil"/>
              <w:bottom w:val="single" w:sz="8" w:space="0" w:color="FFFFFF"/>
              <w:right w:val="single" w:sz="8" w:space="0" w:color="FFFFFF"/>
            </w:tcBorders>
            <w:shd w:val="clear" w:color="000000" w:fill="F2F2F2"/>
            <w:hideMark/>
          </w:tcPr>
          <w:p w14:paraId="0A499BC3" w14:textId="77777777" w:rsidR="00A827FB" w:rsidRPr="00BA5DEA" w:rsidRDefault="00A827FB" w:rsidP="00BA5DEA">
            <w:pPr>
              <w:spacing w:before="0" w:line="240" w:lineRule="auto"/>
              <w:rPr>
                <w:sz w:val="18"/>
                <w:szCs w:val="18"/>
                <w:lang w:eastAsia="en-AU"/>
              </w:rPr>
            </w:pPr>
            <w:r w:rsidRPr="00BA5DEA">
              <w:rPr>
                <w:sz w:val="18"/>
                <w:szCs w:val="18"/>
                <w:lang w:val="en-US" w:eastAsia="en-AU"/>
              </w:rPr>
              <w:t>Judg</w:t>
            </w:r>
            <w:r w:rsidR="00663A2C" w:rsidRPr="00BA5DEA">
              <w:rPr>
                <w:sz w:val="18"/>
                <w:szCs w:val="18"/>
                <w:lang w:val="en-US" w:eastAsia="en-AU"/>
              </w:rPr>
              <w:t>e</w:t>
            </w:r>
            <w:r w:rsidRPr="00BA5DEA">
              <w:rPr>
                <w:sz w:val="18"/>
                <w:szCs w:val="18"/>
                <w:lang w:val="en-US" w:eastAsia="en-AU"/>
              </w:rPr>
              <w:t>ment is required for capitalisation threshold, useful lives and revaluations.</w:t>
            </w:r>
          </w:p>
        </w:tc>
      </w:tr>
      <w:tr w:rsidR="00A827FB" w:rsidRPr="00A827FB" w14:paraId="0A499BC9" w14:textId="77777777" w:rsidTr="00A827FB">
        <w:trPr>
          <w:trHeight w:val="975"/>
        </w:trPr>
        <w:tc>
          <w:tcPr>
            <w:tcW w:w="1480" w:type="dxa"/>
            <w:vMerge/>
            <w:tcBorders>
              <w:top w:val="nil"/>
              <w:left w:val="single" w:sz="8" w:space="0" w:color="FFFFFF"/>
              <w:bottom w:val="nil"/>
              <w:right w:val="single" w:sz="8" w:space="0" w:color="FFFFFF"/>
            </w:tcBorders>
            <w:vAlign w:val="center"/>
            <w:hideMark/>
          </w:tcPr>
          <w:p w14:paraId="0A499BC5"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C6" w14:textId="77777777" w:rsidR="00A827FB" w:rsidRPr="00BA5DEA" w:rsidRDefault="00A827FB" w:rsidP="00BA5DEA">
            <w:pPr>
              <w:spacing w:before="0" w:line="240" w:lineRule="auto"/>
              <w:rPr>
                <w:sz w:val="18"/>
                <w:szCs w:val="18"/>
                <w:lang w:eastAsia="en-AU"/>
              </w:rPr>
            </w:pPr>
            <w:r w:rsidRPr="00BA5DEA">
              <w:rPr>
                <w:sz w:val="18"/>
                <w:szCs w:val="18"/>
                <w:lang w:val="en-US" w:eastAsia="en-AU"/>
              </w:rPr>
              <w:t>Does it require estimates, management judg</w:t>
            </w:r>
            <w:r w:rsidR="00663A2C" w:rsidRPr="00BA5DEA">
              <w:rPr>
                <w:sz w:val="18"/>
                <w:szCs w:val="18"/>
                <w:lang w:val="en-US" w:eastAsia="en-AU"/>
              </w:rPr>
              <w:t>e</w:t>
            </w:r>
            <w:r w:rsidRPr="00BA5DEA">
              <w:rPr>
                <w:sz w:val="18"/>
                <w:szCs w:val="18"/>
                <w:lang w:val="en-US" w:eastAsia="en-AU"/>
              </w:rPr>
              <w:t>ment or specific knowledge and skills of the item and related accounting standards?</w:t>
            </w:r>
          </w:p>
        </w:tc>
        <w:tc>
          <w:tcPr>
            <w:tcW w:w="1440" w:type="dxa"/>
            <w:vMerge/>
            <w:tcBorders>
              <w:top w:val="single" w:sz="8" w:space="0" w:color="FFFFFF"/>
              <w:left w:val="single" w:sz="8" w:space="0" w:color="FFFFFF"/>
              <w:bottom w:val="nil"/>
              <w:right w:val="single" w:sz="8" w:space="0" w:color="FFFFFF"/>
            </w:tcBorders>
            <w:vAlign w:val="center"/>
            <w:hideMark/>
          </w:tcPr>
          <w:p w14:paraId="0A499BC7" w14:textId="77777777" w:rsidR="00A827FB" w:rsidRPr="00BA5DEA" w:rsidRDefault="00A827FB" w:rsidP="00BA5DEA">
            <w:pPr>
              <w:spacing w:before="0" w:line="240" w:lineRule="auto"/>
              <w:jc w:val="center"/>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C8" w14:textId="77777777" w:rsidR="00A827FB" w:rsidRPr="00BA5DEA" w:rsidRDefault="00A827FB" w:rsidP="00BA5DEA">
            <w:pPr>
              <w:spacing w:before="0" w:line="240" w:lineRule="auto"/>
              <w:rPr>
                <w:sz w:val="18"/>
                <w:szCs w:val="18"/>
                <w:lang w:eastAsia="en-AU"/>
              </w:rPr>
            </w:pPr>
            <w:r w:rsidRPr="00BA5DEA">
              <w:rPr>
                <w:sz w:val="18"/>
                <w:szCs w:val="18"/>
                <w:lang w:val="en-US" w:eastAsia="en-AU"/>
              </w:rPr>
              <w:t>Judg</w:t>
            </w:r>
            <w:r w:rsidR="00663A2C" w:rsidRPr="00BA5DEA">
              <w:rPr>
                <w:sz w:val="18"/>
                <w:szCs w:val="18"/>
                <w:lang w:val="en-US" w:eastAsia="en-AU"/>
              </w:rPr>
              <w:t>e</w:t>
            </w:r>
            <w:r w:rsidRPr="00BA5DEA">
              <w:rPr>
                <w:sz w:val="18"/>
                <w:szCs w:val="18"/>
                <w:lang w:val="en-US" w:eastAsia="en-AU"/>
              </w:rPr>
              <w:t>ment is required in determining whether the asset belongs to other related entities.</w:t>
            </w:r>
          </w:p>
        </w:tc>
      </w:tr>
      <w:tr w:rsidR="00A827FB" w:rsidRPr="00A827FB" w14:paraId="0A499BCE" w14:textId="77777777" w:rsidTr="00A827FB">
        <w:trPr>
          <w:trHeight w:val="975"/>
        </w:trPr>
        <w:tc>
          <w:tcPr>
            <w:tcW w:w="1480" w:type="dxa"/>
            <w:vMerge w:val="restart"/>
            <w:tcBorders>
              <w:top w:val="single" w:sz="8" w:space="0" w:color="FFFFFF"/>
              <w:left w:val="single" w:sz="8" w:space="0" w:color="FFFFFF"/>
              <w:bottom w:val="nil"/>
              <w:right w:val="single" w:sz="8" w:space="0" w:color="FFFFFF"/>
            </w:tcBorders>
            <w:shd w:val="clear" w:color="000000" w:fill="E2E3E2"/>
            <w:hideMark/>
          </w:tcPr>
          <w:p w14:paraId="0A499BCA"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BA5DEA">
              <w:rPr>
                <w:rFonts w:asciiTheme="majorHAnsi" w:eastAsia="Times New Roman" w:hAnsiTheme="majorHAnsi" w:cstheme="majorHAnsi"/>
                <w:b/>
                <w:bCs/>
                <w:i/>
                <w:iCs/>
                <w:color w:val="000000"/>
                <w:sz w:val="18"/>
                <w:szCs w:val="18"/>
                <w:lang w:val="en-US" w:eastAsia="en-AU"/>
              </w:rPr>
              <w:t>Extent of reliance</w:t>
            </w:r>
          </w:p>
        </w:tc>
        <w:tc>
          <w:tcPr>
            <w:tcW w:w="3100" w:type="dxa"/>
            <w:tcBorders>
              <w:top w:val="nil"/>
              <w:left w:val="nil"/>
              <w:bottom w:val="single" w:sz="8" w:space="0" w:color="FFFFFF"/>
              <w:right w:val="single" w:sz="8" w:space="0" w:color="FFFFFF"/>
            </w:tcBorders>
            <w:shd w:val="clear" w:color="000000" w:fill="F2F2F2"/>
            <w:hideMark/>
          </w:tcPr>
          <w:p w14:paraId="0A499BCB" w14:textId="77777777" w:rsidR="00A827FB" w:rsidRPr="00BA5DEA" w:rsidRDefault="00A827FB" w:rsidP="00BA5DEA">
            <w:pPr>
              <w:spacing w:before="0" w:line="240" w:lineRule="auto"/>
              <w:rPr>
                <w:sz w:val="18"/>
                <w:szCs w:val="18"/>
                <w:lang w:eastAsia="en-AU"/>
              </w:rPr>
            </w:pPr>
            <w:r w:rsidRPr="00BA5DEA">
              <w:rPr>
                <w:sz w:val="18"/>
                <w:szCs w:val="18"/>
                <w:lang w:val="en-US" w:eastAsia="en-AU"/>
              </w:rPr>
              <w:t>Is the accuracy of data dependent on areas, systems, experts or related e</w:t>
            </w:r>
            <w:r w:rsidR="000C5020" w:rsidRPr="00BA5DEA">
              <w:rPr>
                <w:sz w:val="18"/>
                <w:szCs w:val="18"/>
                <w:lang w:val="en-US" w:eastAsia="en-AU"/>
              </w:rPr>
              <w:t>ntities outside the control of the finance t</w:t>
            </w:r>
            <w:r w:rsidRPr="00BA5DEA">
              <w:rPr>
                <w:sz w:val="18"/>
                <w:szCs w:val="18"/>
                <w:lang w:val="en-US" w:eastAsia="en-AU"/>
              </w:rPr>
              <w:t>eam?</w:t>
            </w:r>
          </w:p>
        </w:tc>
        <w:tc>
          <w:tcPr>
            <w:tcW w:w="1440" w:type="dxa"/>
            <w:vMerge w:val="restart"/>
            <w:tcBorders>
              <w:top w:val="single" w:sz="8" w:space="0" w:color="FFFFFF"/>
              <w:left w:val="single" w:sz="8" w:space="0" w:color="FFFFFF"/>
              <w:bottom w:val="nil"/>
              <w:right w:val="single" w:sz="8" w:space="0" w:color="FFFFFF"/>
            </w:tcBorders>
            <w:shd w:val="clear" w:color="000000" w:fill="F2F2F2"/>
            <w:vAlign w:val="center"/>
            <w:hideMark/>
          </w:tcPr>
          <w:p w14:paraId="0A499BCC" w14:textId="77777777" w:rsidR="00A827FB" w:rsidRPr="00BA5DEA" w:rsidRDefault="00A827FB" w:rsidP="00BA5DEA">
            <w:pPr>
              <w:spacing w:before="0" w:line="240" w:lineRule="auto"/>
              <w:jc w:val="center"/>
              <w:rPr>
                <w:sz w:val="18"/>
                <w:szCs w:val="18"/>
                <w:lang w:eastAsia="en-AU"/>
              </w:rPr>
            </w:pPr>
            <w:r w:rsidRPr="00BA5DEA">
              <w:rPr>
                <w:w w:val="102"/>
                <w:sz w:val="18"/>
                <w:szCs w:val="18"/>
                <w:lang w:val="en-US" w:eastAsia="en-AU"/>
              </w:rPr>
              <w:t>H</w:t>
            </w:r>
          </w:p>
        </w:tc>
        <w:tc>
          <w:tcPr>
            <w:tcW w:w="3100" w:type="dxa"/>
            <w:tcBorders>
              <w:top w:val="nil"/>
              <w:left w:val="nil"/>
              <w:bottom w:val="single" w:sz="8" w:space="0" w:color="FFFFFF"/>
              <w:right w:val="single" w:sz="8" w:space="0" w:color="FFFFFF"/>
            </w:tcBorders>
            <w:shd w:val="clear" w:color="000000" w:fill="F2F2F2"/>
            <w:hideMark/>
          </w:tcPr>
          <w:p w14:paraId="0A499BCD" w14:textId="77777777" w:rsidR="00A827FB" w:rsidRPr="00BA5DEA" w:rsidRDefault="00A827FB" w:rsidP="00BA5DEA">
            <w:pPr>
              <w:spacing w:before="0" w:line="240" w:lineRule="auto"/>
              <w:rPr>
                <w:sz w:val="18"/>
                <w:szCs w:val="18"/>
                <w:lang w:eastAsia="en-AU"/>
              </w:rPr>
            </w:pPr>
            <w:r w:rsidRPr="00BA5DEA">
              <w:rPr>
                <w:sz w:val="18"/>
                <w:szCs w:val="18"/>
                <w:lang w:val="en-US" w:eastAsia="en-AU"/>
              </w:rPr>
              <w:t xml:space="preserve">Significant reliance on </w:t>
            </w:r>
            <w:r w:rsidR="000C5020" w:rsidRPr="00BA5DEA">
              <w:rPr>
                <w:sz w:val="18"/>
                <w:szCs w:val="18"/>
                <w:lang w:val="en-US" w:eastAsia="en-AU"/>
              </w:rPr>
              <w:t>business a</w:t>
            </w:r>
            <w:r w:rsidRPr="00BA5DEA">
              <w:rPr>
                <w:sz w:val="18"/>
                <w:szCs w:val="18"/>
                <w:lang w:val="en-US" w:eastAsia="en-AU"/>
              </w:rPr>
              <w:t>reas to provide information.</w:t>
            </w:r>
          </w:p>
        </w:tc>
      </w:tr>
      <w:tr w:rsidR="00A827FB" w:rsidRPr="00A827FB" w14:paraId="0A499BD3" w14:textId="77777777" w:rsidTr="00A827FB">
        <w:trPr>
          <w:trHeight w:val="735"/>
        </w:trPr>
        <w:tc>
          <w:tcPr>
            <w:tcW w:w="1480" w:type="dxa"/>
            <w:vMerge/>
            <w:tcBorders>
              <w:top w:val="single" w:sz="8" w:space="0" w:color="FFFFFF"/>
              <w:left w:val="single" w:sz="8" w:space="0" w:color="FFFFFF"/>
              <w:bottom w:val="nil"/>
              <w:right w:val="single" w:sz="8" w:space="0" w:color="FFFFFF"/>
            </w:tcBorders>
            <w:vAlign w:val="center"/>
            <w:hideMark/>
          </w:tcPr>
          <w:p w14:paraId="0A499BCF"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p>
        </w:tc>
        <w:tc>
          <w:tcPr>
            <w:tcW w:w="3100" w:type="dxa"/>
            <w:vMerge w:val="restart"/>
            <w:tcBorders>
              <w:top w:val="nil"/>
              <w:left w:val="single" w:sz="8" w:space="0" w:color="FFFFFF"/>
              <w:bottom w:val="single" w:sz="8" w:space="0" w:color="FFFFFF"/>
              <w:right w:val="single" w:sz="8" w:space="0" w:color="FFFFFF"/>
            </w:tcBorders>
            <w:shd w:val="clear" w:color="000000" w:fill="F2F2F2"/>
            <w:hideMark/>
          </w:tcPr>
          <w:p w14:paraId="0A499BD0" w14:textId="77777777" w:rsidR="00A827FB" w:rsidRPr="00BA5DEA" w:rsidRDefault="00A827FB" w:rsidP="00BA5DEA">
            <w:pPr>
              <w:spacing w:before="0" w:line="240" w:lineRule="auto"/>
              <w:rPr>
                <w:sz w:val="18"/>
                <w:szCs w:val="18"/>
                <w:lang w:eastAsia="en-AU"/>
              </w:rPr>
            </w:pPr>
            <w:r w:rsidRPr="00BA5DEA">
              <w:rPr>
                <w:sz w:val="18"/>
                <w:szCs w:val="18"/>
                <w:lang w:val="en-US" w:eastAsia="en-AU"/>
              </w:rPr>
              <w:t>Does experience suggest that such data are provided in a timely and accurate manner?</w:t>
            </w:r>
          </w:p>
        </w:tc>
        <w:tc>
          <w:tcPr>
            <w:tcW w:w="1440" w:type="dxa"/>
            <w:vMerge/>
            <w:tcBorders>
              <w:top w:val="single" w:sz="8" w:space="0" w:color="FFFFFF"/>
              <w:left w:val="single" w:sz="8" w:space="0" w:color="FFFFFF"/>
              <w:bottom w:val="nil"/>
              <w:right w:val="single" w:sz="8" w:space="0" w:color="FFFFFF"/>
            </w:tcBorders>
            <w:vAlign w:val="center"/>
            <w:hideMark/>
          </w:tcPr>
          <w:p w14:paraId="0A499BD1" w14:textId="77777777" w:rsidR="00A827FB" w:rsidRPr="00BA5DEA" w:rsidRDefault="00A827FB" w:rsidP="00BA5DEA">
            <w:pPr>
              <w:spacing w:before="0" w:line="240" w:lineRule="auto"/>
              <w:jc w:val="center"/>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D2" w14:textId="77777777" w:rsidR="00A827FB" w:rsidRPr="00BA5DEA" w:rsidRDefault="00A827FB" w:rsidP="00BA5DEA">
            <w:pPr>
              <w:spacing w:before="0" w:line="240" w:lineRule="auto"/>
              <w:rPr>
                <w:sz w:val="18"/>
                <w:szCs w:val="18"/>
                <w:lang w:eastAsia="en-AU"/>
              </w:rPr>
            </w:pPr>
            <w:r w:rsidRPr="00BA5DEA">
              <w:rPr>
                <w:sz w:val="18"/>
                <w:szCs w:val="18"/>
                <w:lang w:val="en-US" w:eastAsia="en-AU"/>
              </w:rPr>
              <w:t>Data provided in prior year had significant errors.</w:t>
            </w:r>
          </w:p>
        </w:tc>
      </w:tr>
      <w:tr w:rsidR="00A827FB" w:rsidRPr="00A827FB" w14:paraId="0A499BD8" w14:textId="77777777" w:rsidTr="00A827FB">
        <w:trPr>
          <w:trHeight w:val="495"/>
        </w:trPr>
        <w:tc>
          <w:tcPr>
            <w:tcW w:w="1480" w:type="dxa"/>
            <w:vMerge/>
            <w:tcBorders>
              <w:top w:val="single" w:sz="8" w:space="0" w:color="FFFFFF"/>
              <w:left w:val="single" w:sz="8" w:space="0" w:color="FFFFFF"/>
              <w:bottom w:val="nil"/>
              <w:right w:val="single" w:sz="8" w:space="0" w:color="FFFFFF"/>
            </w:tcBorders>
            <w:vAlign w:val="center"/>
            <w:hideMark/>
          </w:tcPr>
          <w:p w14:paraId="0A499BD4"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p>
        </w:tc>
        <w:tc>
          <w:tcPr>
            <w:tcW w:w="3100" w:type="dxa"/>
            <w:vMerge/>
            <w:tcBorders>
              <w:top w:val="nil"/>
              <w:left w:val="single" w:sz="8" w:space="0" w:color="FFFFFF"/>
              <w:bottom w:val="single" w:sz="8" w:space="0" w:color="FFFFFF"/>
              <w:right w:val="single" w:sz="8" w:space="0" w:color="FFFFFF"/>
            </w:tcBorders>
            <w:vAlign w:val="center"/>
            <w:hideMark/>
          </w:tcPr>
          <w:p w14:paraId="0A499BD5" w14:textId="77777777" w:rsidR="00A827FB" w:rsidRPr="00BA5DEA" w:rsidRDefault="00A827FB" w:rsidP="00BA5DEA">
            <w:pPr>
              <w:spacing w:before="0" w:line="240" w:lineRule="auto"/>
              <w:rPr>
                <w:sz w:val="18"/>
                <w:szCs w:val="18"/>
                <w:lang w:eastAsia="en-AU"/>
              </w:rPr>
            </w:pPr>
          </w:p>
        </w:tc>
        <w:tc>
          <w:tcPr>
            <w:tcW w:w="1440" w:type="dxa"/>
            <w:vMerge/>
            <w:tcBorders>
              <w:top w:val="single" w:sz="8" w:space="0" w:color="FFFFFF"/>
              <w:left w:val="single" w:sz="8" w:space="0" w:color="FFFFFF"/>
              <w:bottom w:val="nil"/>
              <w:right w:val="single" w:sz="8" w:space="0" w:color="FFFFFF"/>
            </w:tcBorders>
            <w:vAlign w:val="center"/>
            <w:hideMark/>
          </w:tcPr>
          <w:p w14:paraId="0A499BD6" w14:textId="77777777" w:rsidR="00A827FB" w:rsidRPr="00BA5DEA" w:rsidRDefault="00A827FB" w:rsidP="00BA5DEA">
            <w:pPr>
              <w:spacing w:before="0" w:line="240" w:lineRule="auto"/>
              <w:jc w:val="center"/>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D7" w14:textId="77777777" w:rsidR="00A827FB" w:rsidRPr="00BA5DEA" w:rsidRDefault="00A827FB" w:rsidP="00BA5DEA">
            <w:pPr>
              <w:spacing w:before="0" w:line="240" w:lineRule="auto"/>
              <w:rPr>
                <w:sz w:val="18"/>
                <w:szCs w:val="18"/>
                <w:lang w:eastAsia="en-AU"/>
              </w:rPr>
            </w:pPr>
            <w:r w:rsidRPr="00BA5DEA">
              <w:rPr>
                <w:sz w:val="18"/>
                <w:szCs w:val="18"/>
                <w:lang w:val="en-US" w:eastAsia="en-AU"/>
              </w:rPr>
              <w:t>Reliance on external experts with respect to valuation.</w:t>
            </w:r>
          </w:p>
        </w:tc>
      </w:tr>
      <w:tr w:rsidR="00A827FB" w:rsidRPr="00A827FB" w14:paraId="0A499BDD" w14:textId="77777777" w:rsidTr="00A827FB">
        <w:trPr>
          <w:trHeight w:val="735"/>
        </w:trPr>
        <w:tc>
          <w:tcPr>
            <w:tcW w:w="1480" w:type="dxa"/>
            <w:vMerge/>
            <w:tcBorders>
              <w:top w:val="single" w:sz="8" w:space="0" w:color="FFFFFF"/>
              <w:left w:val="single" w:sz="8" w:space="0" w:color="FFFFFF"/>
              <w:bottom w:val="nil"/>
              <w:right w:val="single" w:sz="8" w:space="0" w:color="FFFFFF"/>
            </w:tcBorders>
            <w:vAlign w:val="center"/>
            <w:hideMark/>
          </w:tcPr>
          <w:p w14:paraId="0A499BD9"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p>
        </w:tc>
        <w:tc>
          <w:tcPr>
            <w:tcW w:w="3100" w:type="dxa"/>
            <w:vMerge/>
            <w:tcBorders>
              <w:top w:val="nil"/>
              <w:left w:val="single" w:sz="8" w:space="0" w:color="FFFFFF"/>
              <w:bottom w:val="single" w:sz="8" w:space="0" w:color="FFFFFF"/>
              <w:right w:val="single" w:sz="8" w:space="0" w:color="FFFFFF"/>
            </w:tcBorders>
            <w:vAlign w:val="center"/>
            <w:hideMark/>
          </w:tcPr>
          <w:p w14:paraId="0A499BDA" w14:textId="77777777" w:rsidR="00A827FB" w:rsidRPr="00BA5DEA" w:rsidRDefault="00A827FB" w:rsidP="00BA5DEA">
            <w:pPr>
              <w:spacing w:before="0" w:line="240" w:lineRule="auto"/>
              <w:rPr>
                <w:sz w:val="18"/>
                <w:szCs w:val="18"/>
                <w:lang w:eastAsia="en-AU"/>
              </w:rPr>
            </w:pPr>
          </w:p>
        </w:tc>
        <w:tc>
          <w:tcPr>
            <w:tcW w:w="1440" w:type="dxa"/>
            <w:vMerge/>
            <w:tcBorders>
              <w:top w:val="single" w:sz="8" w:space="0" w:color="FFFFFF"/>
              <w:left w:val="single" w:sz="8" w:space="0" w:color="FFFFFF"/>
              <w:bottom w:val="nil"/>
              <w:right w:val="single" w:sz="8" w:space="0" w:color="FFFFFF"/>
            </w:tcBorders>
            <w:vAlign w:val="center"/>
            <w:hideMark/>
          </w:tcPr>
          <w:p w14:paraId="0A499BDB" w14:textId="77777777" w:rsidR="00A827FB" w:rsidRPr="00BA5DEA" w:rsidRDefault="00A827FB" w:rsidP="00BA5DEA">
            <w:pPr>
              <w:spacing w:before="0" w:line="240" w:lineRule="auto"/>
              <w:jc w:val="center"/>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DC" w14:textId="77777777" w:rsidR="00A827FB" w:rsidRPr="00BA5DEA" w:rsidRDefault="00A827FB" w:rsidP="00BA5DEA">
            <w:pPr>
              <w:spacing w:before="0" w:line="240" w:lineRule="auto"/>
              <w:rPr>
                <w:sz w:val="18"/>
                <w:szCs w:val="18"/>
                <w:lang w:eastAsia="en-AU"/>
              </w:rPr>
            </w:pPr>
            <w:r w:rsidRPr="00BA5DEA">
              <w:rPr>
                <w:sz w:val="18"/>
                <w:szCs w:val="18"/>
                <w:lang w:val="en-US" w:eastAsia="en-AU"/>
              </w:rPr>
              <w:t>Reliance on related entities to manage and correctly record assets in regional offices.</w:t>
            </w:r>
          </w:p>
        </w:tc>
      </w:tr>
      <w:tr w:rsidR="00A827FB" w:rsidRPr="00A827FB" w14:paraId="0A499BE2" w14:textId="77777777" w:rsidTr="00A827FB">
        <w:trPr>
          <w:trHeight w:val="735"/>
        </w:trPr>
        <w:tc>
          <w:tcPr>
            <w:tcW w:w="1480" w:type="dxa"/>
            <w:tcBorders>
              <w:top w:val="single" w:sz="8" w:space="0" w:color="FFFFFF"/>
              <w:left w:val="single" w:sz="8" w:space="0" w:color="FFFFFF"/>
              <w:bottom w:val="nil"/>
              <w:right w:val="single" w:sz="8" w:space="0" w:color="FFFFFF"/>
            </w:tcBorders>
            <w:shd w:val="clear" w:color="000000" w:fill="E2E3E2"/>
            <w:hideMark/>
          </w:tcPr>
          <w:p w14:paraId="0A499BDE"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BA5DEA">
              <w:rPr>
                <w:rFonts w:asciiTheme="majorHAnsi" w:eastAsia="Times New Roman" w:hAnsiTheme="majorHAnsi" w:cstheme="majorHAnsi"/>
                <w:b/>
                <w:bCs/>
                <w:i/>
                <w:iCs/>
                <w:color w:val="000000"/>
                <w:sz w:val="18"/>
                <w:szCs w:val="18"/>
                <w:lang w:val="en-US" w:eastAsia="en-AU"/>
              </w:rPr>
              <w:t>Transaction numbers</w:t>
            </w:r>
          </w:p>
        </w:tc>
        <w:tc>
          <w:tcPr>
            <w:tcW w:w="3100" w:type="dxa"/>
            <w:tcBorders>
              <w:top w:val="nil"/>
              <w:left w:val="nil"/>
              <w:bottom w:val="single" w:sz="8" w:space="0" w:color="FFFFFF"/>
              <w:right w:val="single" w:sz="8" w:space="0" w:color="FFFFFF"/>
            </w:tcBorders>
            <w:shd w:val="clear" w:color="000000" w:fill="F2F2F2"/>
            <w:hideMark/>
          </w:tcPr>
          <w:p w14:paraId="0A499BDF" w14:textId="77777777" w:rsidR="00A827FB" w:rsidRPr="00BA5DEA" w:rsidRDefault="00A827FB" w:rsidP="00BA5DEA">
            <w:pPr>
              <w:spacing w:before="0" w:line="240" w:lineRule="auto"/>
              <w:rPr>
                <w:sz w:val="18"/>
                <w:szCs w:val="18"/>
                <w:lang w:eastAsia="en-AU"/>
              </w:rPr>
            </w:pPr>
            <w:r w:rsidRPr="00BA5DEA">
              <w:rPr>
                <w:sz w:val="18"/>
                <w:szCs w:val="18"/>
                <w:lang w:val="en-US" w:eastAsia="en-AU"/>
              </w:rPr>
              <w:t>Is there a significant number of transactions in the population?</w:t>
            </w:r>
          </w:p>
        </w:tc>
        <w:tc>
          <w:tcPr>
            <w:tcW w:w="1440" w:type="dxa"/>
            <w:tcBorders>
              <w:top w:val="single" w:sz="8" w:space="0" w:color="FFFFFF"/>
              <w:left w:val="nil"/>
              <w:bottom w:val="nil"/>
              <w:right w:val="single" w:sz="8" w:space="0" w:color="FFFFFF"/>
            </w:tcBorders>
            <w:shd w:val="clear" w:color="000000" w:fill="F2F2F2"/>
            <w:vAlign w:val="center"/>
            <w:hideMark/>
          </w:tcPr>
          <w:p w14:paraId="0A499BE0" w14:textId="77777777" w:rsidR="00A827FB" w:rsidRPr="00BA5DEA" w:rsidRDefault="00A827FB" w:rsidP="00BA5DEA">
            <w:pPr>
              <w:spacing w:before="0" w:line="240" w:lineRule="auto"/>
              <w:jc w:val="center"/>
              <w:rPr>
                <w:sz w:val="18"/>
                <w:szCs w:val="18"/>
                <w:lang w:eastAsia="en-AU"/>
              </w:rPr>
            </w:pPr>
            <w:r w:rsidRPr="00BA5DEA">
              <w:rPr>
                <w:w w:val="108"/>
                <w:sz w:val="18"/>
                <w:szCs w:val="18"/>
                <w:lang w:val="en-US" w:eastAsia="en-AU"/>
              </w:rPr>
              <w:t>M</w:t>
            </w:r>
          </w:p>
        </w:tc>
        <w:tc>
          <w:tcPr>
            <w:tcW w:w="3100" w:type="dxa"/>
            <w:tcBorders>
              <w:top w:val="nil"/>
              <w:left w:val="nil"/>
              <w:bottom w:val="single" w:sz="8" w:space="0" w:color="FFFFFF"/>
              <w:right w:val="single" w:sz="8" w:space="0" w:color="FFFFFF"/>
            </w:tcBorders>
            <w:shd w:val="clear" w:color="000000" w:fill="F2F2F2"/>
            <w:hideMark/>
          </w:tcPr>
          <w:p w14:paraId="0A499BE1" w14:textId="77777777" w:rsidR="00A827FB" w:rsidRPr="00BA5DEA" w:rsidRDefault="00A827FB" w:rsidP="00BA5DEA">
            <w:pPr>
              <w:spacing w:before="0" w:line="240" w:lineRule="auto"/>
              <w:rPr>
                <w:sz w:val="18"/>
                <w:szCs w:val="18"/>
                <w:lang w:eastAsia="en-AU"/>
              </w:rPr>
            </w:pPr>
            <w:r w:rsidRPr="00BA5DEA">
              <w:rPr>
                <w:sz w:val="18"/>
                <w:szCs w:val="18"/>
                <w:lang w:val="en-US" w:eastAsia="en-AU"/>
              </w:rPr>
              <w:t>A significant number of individual transactions are processed each year.</w:t>
            </w:r>
          </w:p>
        </w:tc>
      </w:tr>
      <w:tr w:rsidR="00A827FB" w:rsidRPr="00A827FB" w14:paraId="0A499BE7" w14:textId="77777777" w:rsidTr="00A827FB">
        <w:trPr>
          <w:trHeight w:val="735"/>
        </w:trPr>
        <w:tc>
          <w:tcPr>
            <w:tcW w:w="1480" w:type="dxa"/>
            <w:vMerge w:val="restart"/>
            <w:tcBorders>
              <w:top w:val="single" w:sz="8" w:space="0" w:color="FFFFFF"/>
              <w:left w:val="single" w:sz="8" w:space="0" w:color="FFFFFF"/>
              <w:bottom w:val="single" w:sz="8" w:space="0" w:color="FFFFFF"/>
              <w:right w:val="single" w:sz="8" w:space="0" w:color="FFFFFF"/>
            </w:tcBorders>
            <w:shd w:val="clear" w:color="000000" w:fill="E2E3E2"/>
            <w:hideMark/>
          </w:tcPr>
          <w:p w14:paraId="0A499BE3"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BA5DEA">
              <w:rPr>
                <w:rFonts w:asciiTheme="majorHAnsi" w:eastAsia="Times New Roman" w:hAnsiTheme="majorHAnsi" w:cstheme="majorHAnsi"/>
                <w:b/>
                <w:bCs/>
                <w:i/>
                <w:iCs/>
                <w:color w:val="000000"/>
                <w:sz w:val="18"/>
                <w:szCs w:val="18"/>
                <w:lang w:val="en-US" w:eastAsia="en-AU"/>
              </w:rPr>
              <w:t>Level of manual intervention</w:t>
            </w:r>
          </w:p>
        </w:tc>
        <w:tc>
          <w:tcPr>
            <w:tcW w:w="3100" w:type="dxa"/>
            <w:tcBorders>
              <w:top w:val="nil"/>
              <w:left w:val="nil"/>
              <w:bottom w:val="single" w:sz="8" w:space="0" w:color="FFFFFF"/>
              <w:right w:val="single" w:sz="8" w:space="0" w:color="FFFFFF"/>
            </w:tcBorders>
            <w:shd w:val="clear" w:color="000000" w:fill="F2F2F2"/>
            <w:hideMark/>
          </w:tcPr>
          <w:p w14:paraId="0A499BE4" w14:textId="77777777" w:rsidR="00A827FB" w:rsidRPr="00BA5DEA" w:rsidRDefault="00A827FB" w:rsidP="00BA5DEA">
            <w:pPr>
              <w:spacing w:before="0" w:line="240" w:lineRule="auto"/>
              <w:rPr>
                <w:sz w:val="18"/>
                <w:szCs w:val="18"/>
                <w:lang w:eastAsia="en-AU"/>
              </w:rPr>
            </w:pPr>
            <w:r w:rsidRPr="00BA5DEA">
              <w:rPr>
                <w:sz w:val="18"/>
                <w:szCs w:val="18"/>
                <w:lang w:val="en-US" w:eastAsia="en-AU"/>
              </w:rPr>
              <w:t xml:space="preserve">Is the level of manual intervention used to initiate, record, </w:t>
            </w:r>
            <w:r w:rsidR="000C5020" w:rsidRPr="00BA5DEA">
              <w:rPr>
                <w:sz w:val="18"/>
                <w:szCs w:val="18"/>
                <w:lang w:val="en-US" w:eastAsia="en-AU"/>
              </w:rPr>
              <w:t xml:space="preserve">process or report transactions </w:t>
            </w:r>
            <w:r w:rsidRPr="00BA5DEA">
              <w:rPr>
                <w:sz w:val="18"/>
                <w:szCs w:val="18"/>
                <w:lang w:val="en-US" w:eastAsia="en-AU"/>
              </w:rPr>
              <w:t>significant?</w:t>
            </w:r>
          </w:p>
        </w:tc>
        <w:tc>
          <w:tcPr>
            <w:tcW w:w="1440" w:type="dxa"/>
            <w:vMerge w:val="restart"/>
            <w:tcBorders>
              <w:top w:val="single" w:sz="8" w:space="0" w:color="FFFFFF"/>
              <w:left w:val="single" w:sz="8" w:space="0" w:color="FFFFFF"/>
              <w:bottom w:val="nil"/>
              <w:right w:val="single" w:sz="8" w:space="0" w:color="FFFFFF"/>
            </w:tcBorders>
            <w:shd w:val="clear" w:color="000000" w:fill="F2F2F2"/>
            <w:vAlign w:val="center"/>
            <w:hideMark/>
          </w:tcPr>
          <w:p w14:paraId="0A499BE5" w14:textId="77777777" w:rsidR="00A827FB" w:rsidRPr="00BA5DEA" w:rsidRDefault="00A827FB" w:rsidP="00BA5DEA">
            <w:pPr>
              <w:spacing w:before="0" w:line="240" w:lineRule="auto"/>
              <w:jc w:val="center"/>
              <w:rPr>
                <w:sz w:val="18"/>
                <w:szCs w:val="18"/>
                <w:lang w:eastAsia="en-AU"/>
              </w:rPr>
            </w:pPr>
            <w:r w:rsidRPr="00BA5DEA">
              <w:rPr>
                <w:w w:val="108"/>
                <w:sz w:val="18"/>
                <w:szCs w:val="18"/>
                <w:lang w:val="en-US" w:eastAsia="en-AU"/>
              </w:rPr>
              <w:t>M</w:t>
            </w:r>
          </w:p>
        </w:tc>
        <w:tc>
          <w:tcPr>
            <w:tcW w:w="3100" w:type="dxa"/>
            <w:tcBorders>
              <w:top w:val="nil"/>
              <w:left w:val="nil"/>
              <w:bottom w:val="single" w:sz="8" w:space="0" w:color="FFFFFF"/>
              <w:right w:val="single" w:sz="8" w:space="0" w:color="FFFFFF"/>
            </w:tcBorders>
            <w:shd w:val="clear" w:color="000000" w:fill="F2F2F2"/>
            <w:hideMark/>
          </w:tcPr>
          <w:p w14:paraId="0A499BE6" w14:textId="77777777" w:rsidR="00A827FB" w:rsidRPr="00BA5DEA" w:rsidRDefault="00A827FB" w:rsidP="00BA5DEA">
            <w:pPr>
              <w:spacing w:before="0" w:line="240" w:lineRule="auto"/>
              <w:rPr>
                <w:sz w:val="18"/>
                <w:szCs w:val="18"/>
                <w:lang w:eastAsia="en-AU"/>
              </w:rPr>
            </w:pPr>
            <w:r w:rsidRPr="00BA5DEA">
              <w:rPr>
                <w:sz w:val="18"/>
                <w:szCs w:val="18"/>
                <w:lang w:val="en-US" w:eastAsia="en-AU"/>
              </w:rPr>
              <w:t>Manual adjustments are generally required to reflect revaluations and impairments of PPE.</w:t>
            </w:r>
          </w:p>
        </w:tc>
      </w:tr>
      <w:tr w:rsidR="00A827FB" w:rsidRPr="00A827FB" w14:paraId="0A499BED" w14:textId="77777777" w:rsidTr="00A827FB">
        <w:trPr>
          <w:trHeight w:val="975"/>
        </w:trPr>
        <w:tc>
          <w:tcPr>
            <w:tcW w:w="1480" w:type="dxa"/>
            <w:vMerge/>
            <w:tcBorders>
              <w:top w:val="single" w:sz="8" w:space="0" w:color="FFFFFF"/>
              <w:left w:val="single" w:sz="8" w:space="0" w:color="FFFFFF"/>
              <w:bottom w:val="single" w:sz="8" w:space="0" w:color="FFFFFF"/>
              <w:right w:val="single" w:sz="8" w:space="0" w:color="FFFFFF"/>
            </w:tcBorders>
            <w:vAlign w:val="center"/>
            <w:hideMark/>
          </w:tcPr>
          <w:p w14:paraId="0A499BE8"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E9" w14:textId="77777777" w:rsidR="00A827FB" w:rsidRPr="00BA5DEA" w:rsidRDefault="00A827FB" w:rsidP="00BA5DEA">
            <w:pPr>
              <w:spacing w:before="0" w:line="240" w:lineRule="auto"/>
              <w:rPr>
                <w:sz w:val="18"/>
                <w:szCs w:val="18"/>
                <w:lang w:eastAsia="en-AU"/>
              </w:rPr>
            </w:pPr>
            <w:r w:rsidRPr="00BA5DEA">
              <w:rPr>
                <w:sz w:val="18"/>
                <w:szCs w:val="18"/>
                <w:lang w:val="en-US" w:eastAsia="en-AU"/>
              </w:rPr>
              <w:t>Is manual intervention appropriate?</w:t>
            </w:r>
          </w:p>
        </w:tc>
        <w:tc>
          <w:tcPr>
            <w:tcW w:w="1440" w:type="dxa"/>
            <w:vMerge/>
            <w:tcBorders>
              <w:top w:val="single" w:sz="8" w:space="0" w:color="FFFFFF"/>
              <w:left w:val="single" w:sz="8" w:space="0" w:color="FFFFFF"/>
              <w:bottom w:val="nil"/>
              <w:right w:val="single" w:sz="8" w:space="0" w:color="FFFFFF"/>
            </w:tcBorders>
            <w:vAlign w:val="center"/>
            <w:hideMark/>
          </w:tcPr>
          <w:p w14:paraId="0A499BEA" w14:textId="77777777" w:rsidR="00A827FB" w:rsidRPr="00BA5DEA" w:rsidRDefault="00A827FB" w:rsidP="00BA5DEA">
            <w:pPr>
              <w:spacing w:before="0" w:line="240" w:lineRule="auto"/>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EB" w14:textId="77777777" w:rsidR="00A827FB" w:rsidRPr="00BA5DEA" w:rsidRDefault="00A827FB" w:rsidP="00BA5DEA">
            <w:pPr>
              <w:spacing w:before="0" w:line="240" w:lineRule="auto"/>
              <w:rPr>
                <w:sz w:val="18"/>
                <w:szCs w:val="18"/>
                <w:lang w:val="en-US" w:eastAsia="en-AU"/>
              </w:rPr>
            </w:pPr>
            <w:r w:rsidRPr="00BA5DEA">
              <w:rPr>
                <w:sz w:val="18"/>
                <w:szCs w:val="18"/>
                <w:lang w:val="en-US" w:eastAsia="en-AU"/>
              </w:rPr>
              <w:t>The level of manual intervention is appropriate because judg</w:t>
            </w:r>
            <w:r w:rsidR="00663A2C" w:rsidRPr="00BA5DEA">
              <w:rPr>
                <w:sz w:val="18"/>
                <w:szCs w:val="18"/>
                <w:lang w:val="en-US" w:eastAsia="en-AU"/>
              </w:rPr>
              <w:t>e</w:t>
            </w:r>
            <w:r w:rsidRPr="00BA5DEA">
              <w:rPr>
                <w:sz w:val="18"/>
                <w:szCs w:val="18"/>
                <w:lang w:val="en-US" w:eastAsia="en-AU"/>
              </w:rPr>
              <w:t>ment is required to initiate and record the adjustments.</w:t>
            </w:r>
          </w:p>
          <w:p w14:paraId="0A499BEC" w14:textId="77777777" w:rsidR="000045A1" w:rsidRPr="00BA5DEA" w:rsidRDefault="000045A1" w:rsidP="00BA5DEA">
            <w:pPr>
              <w:spacing w:before="0" w:line="240" w:lineRule="auto"/>
              <w:rPr>
                <w:sz w:val="18"/>
                <w:szCs w:val="18"/>
                <w:lang w:eastAsia="en-AU"/>
              </w:rPr>
            </w:pPr>
          </w:p>
        </w:tc>
      </w:tr>
      <w:tr w:rsidR="00A827FB" w:rsidRPr="00A827FB" w14:paraId="0A499BF2" w14:textId="77777777" w:rsidTr="00A827FB">
        <w:trPr>
          <w:trHeight w:val="495"/>
        </w:trPr>
        <w:tc>
          <w:tcPr>
            <w:tcW w:w="1480" w:type="dxa"/>
            <w:tcBorders>
              <w:top w:val="nil"/>
              <w:left w:val="single" w:sz="8" w:space="0" w:color="FFFFFF"/>
              <w:bottom w:val="nil"/>
              <w:right w:val="single" w:sz="8" w:space="0" w:color="FFFFFF"/>
            </w:tcBorders>
            <w:shd w:val="clear" w:color="000000" w:fill="E2E3E2"/>
            <w:hideMark/>
          </w:tcPr>
          <w:p w14:paraId="0A499BEE"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BA5DEA">
              <w:rPr>
                <w:rFonts w:asciiTheme="majorHAnsi" w:eastAsia="Times New Roman" w:hAnsiTheme="majorHAnsi" w:cstheme="majorHAnsi"/>
                <w:b/>
                <w:bCs/>
                <w:i/>
                <w:iCs/>
                <w:color w:val="000000"/>
                <w:sz w:val="18"/>
                <w:szCs w:val="18"/>
                <w:lang w:val="en-US" w:eastAsia="en-AU"/>
              </w:rPr>
              <w:t>Disparity of data sources</w:t>
            </w:r>
          </w:p>
        </w:tc>
        <w:tc>
          <w:tcPr>
            <w:tcW w:w="3100" w:type="dxa"/>
            <w:tcBorders>
              <w:top w:val="nil"/>
              <w:left w:val="nil"/>
              <w:bottom w:val="single" w:sz="8" w:space="0" w:color="FFFFFF"/>
              <w:right w:val="single" w:sz="8" w:space="0" w:color="FFFFFF"/>
            </w:tcBorders>
            <w:shd w:val="clear" w:color="000000" w:fill="F2F2F2"/>
            <w:hideMark/>
          </w:tcPr>
          <w:p w14:paraId="0A499BEF" w14:textId="77777777" w:rsidR="00A827FB" w:rsidRPr="00BA5DEA" w:rsidRDefault="00A827FB" w:rsidP="00BA5DEA">
            <w:pPr>
              <w:spacing w:before="0" w:line="240" w:lineRule="auto"/>
              <w:rPr>
                <w:sz w:val="18"/>
                <w:szCs w:val="18"/>
                <w:lang w:eastAsia="en-AU"/>
              </w:rPr>
            </w:pPr>
            <w:r w:rsidRPr="00BA5DEA">
              <w:rPr>
                <w:sz w:val="18"/>
                <w:szCs w:val="18"/>
                <w:lang w:val="en-US" w:eastAsia="en-AU"/>
              </w:rPr>
              <w:t>Can data be easily and reliably retrieved?</w:t>
            </w:r>
          </w:p>
        </w:tc>
        <w:tc>
          <w:tcPr>
            <w:tcW w:w="1440" w:type="dxa"/>
            <w:tcBorders>
              <w:top w:val="single" w:sz="8" w:space="0" w:color="FFFFFF"/>
              <w:left w:val="nil"/>
              <w:bottom w:val="nil"/>
              <w:right w:val="single" w:sz="8" w:space="0" w:color="FFFFFF"/>
            </w:tcBorders>
            <w:shd w:val="clear" w:color="000000" w:fill="F2F2F2"/>
            <w:vAlign w:val="center"/>
            <w:hideMark/>
          </w:tcPr>
          <w:p w14:paraId="0A499BF0" w14:textId="77777777" w:rsidR="00A827FB" w:rsidRPr="00BA5DEA" w:rsidRDefault="00A827FB" w:rsidP="00BA5DEA">
            <w:pPr>
              <w:spacing w:before="0" w:line="240" w:lineRule="auto"/>
              <w:jc w:val="center"/>
              <w:rPr>
                <w:sz w:val="18"/>
                <w:szCs w:val="18"/>
                <w:lang w:eastAsia="en-AU"/>
              </w:rPr>
            </w:pPr>
            <w:r w:rsidRPr="00BA5DEA">
              <w:rPr>
                <w:w w:val="108"/>
                <w:sz w:val="18"/>
                <w:szCs w:val="18"/>
                <w:lang w:val="en-US" w:eastAsia="en-AU"/>
              </w:rPr>
              <w:t>M</w:t>
            </w:r>
          </w:p>
        </w:tc>
        <w:tc>
          <w:tcPr>
            <w:tcW w:w="3100" w:type="dxa"/>
            <w:tcBorders>
              <w:top w:val="nil"/>
              <w:left w:val="nil"/>
              <w:bottom w:val="single" w:sz="8" w:space="0" w:color="FFFFFF"/>
              <w:right w:val="single" w:sz="8" w:space="0" w:color="FFFFFF"/>
            </w:tcBorders>
            <w:shd w:val="clear" w:color="000000" w:fill="F2F2F2"/>
            <w:hideMark/>
          </w:tcPr>
          <w:p w14:paraId="0A499BF1" w14:textId="77777777" w:rsidR="00A827FB" w:rsidRPr="00BA5DEA" w:rsidRDefault="00A827FB" w:rsidP="00BA5DEA">
            <w:pPr>
              <w:spacing w:before="0" w:line="240" w:lineRule="auto"/>
              <w:rPr>
                <w:sz w:val="18"/>
                <w:szCs w:val="18"/>
                <w:lang w:eastAsia="en-AU"/>
              </w:rPr>
            </w:pPr>
            <w:r w:rsidRPr="00BA5DEA">
              <w:rPr>
                <w:sz w:val="18"/>
                <w:szCs w:val="18"/>
                <w:lang w:val="en-US" w:eastAsia="en-AU"/>
              </w:rPr>
              <w:t>Three different registers are used to manage and control assets.</w:t>
            </w:r>
          </w:p>
        </w:tc>
      </w:tr>
      <w:tr w:rsidR="00A827FB" w:rsidRPr="00A827FB" w14:paraId="0A499BF8" w14:textId="77777777" w:rsidTr="00A827FB">
        <w:trPr>
          <w:trHeight w:val="495"/>
        </w:trPr>
        <w:tc>
          <w:tcPr>
            <w:tcW w:w="1480" w:type="dxa"/>
            <w:vMerge w:val="restart"/>
            <w:tcBorders>
              <w:top w:val="nil"/>
              <w:left w:val="single" w:sz="8" w:space="0" w:color="FFFFFF"/>
              <w:bottom w:val="single" w:sz="8" w:space="0" w:color="FFFFFF"/>
              <w:right w:val="single" w:sz="8" w:space="0" w:color="FFFFFF"/>
            </w:tcBorders>
            <w:shd w:val="clear" w:color="000000" w:fill="E2E3E2"/>
            <w:hideMark/>
          </w:tcPr>
          <w:p w14:paraId="0A499BF3" w14:textId="77777777" w:rsidR="00A827FB" w:rsidRPr="00BA5DEA" w:rsidRDefault="00A827FB" w:rsidP="00A827FB">
            <w:pPr>
              <w:suppressAutoHyphens w:val="0"/>
              <w:spacing w:before="0" w:after="0" w:line="240" w:lineRule="auto"/>
              <w:rPr>
                <w:rFonts w:asciiTheme="majorHAnsi" w:eastAsia="Times New Roman" w:hAnsiTheme="majorHAnsi" w:cstheme="majorHAnsi"/>
                <w:b/>
                <w:bCs/>
                <w:i/>
                <w:iCs/>
                <w:color w:val="000000"/>
                <w:sz w:val="18"/>
                <w:szCs w:val="18"/>
                <w:lang w:eastAsia="en-AU"/>
              </w:rPr>
            </w:pPr>
            <w:r w:rsidRPr="00BA5DEA">
              <w:rPr>
                <w:rFonts w:asciiTheme="majorHAnsi" w:eastAsia="Times New Roman" w:hAnsiTheme="majorHAnsi" w:cstheme="majorHAnsi"/>
                <w:b/>
                <w:bCs/>
                <w:i/>
                <w:iCs/>
                <w:color w:val="000000"/>
                <w:sz w:val="18"/>
                <w:szCs w:val="18"/>
                <w:lang w:val="en-US" w:eastAsia="en-AU"/>
              </w:rPr>
              <w:t>Audit issues identified</w:t>
            </w:r>
          </w:p>
        </w:tc>
        <w:tc>
          <w:tcPr>
            <w:tcW w:w="3100" w:type="dxa"/>
            <w:tcBorders>
              <w:top w:val="single" w:sz="8" w:space="0" w:color="FFFFFF"/>
              <w:left w:val="nil"/>
              <w:bottom w:val="single" w:sz="8" w:space="0" w:color="FFFFFF"/>
              <w:right w:val="single" w:sz="8" w:space="0" w:color="FFFFFF"/>
            </w:tcBorders>
            <w:shd w:val="clear" w:color="000000" w:fill="F2F2F2"/>
            <w:hideMark/>
          </w:tcPr>
          <w:p w14:paraId="0A499BF4" w14:textId="77777777" w:rsidR="00A827FB" w:rsidRPr="00BA5DEA" w:rsidRDefault="00A827FB" w:rsidP="00A827FB">
            <w:pPr>
              <w:suppressAutoHyphens w:val="0"/>
              <w:spacing w:before="0" w:after="0" w:line="240" w:lineRule="auto"/>
              <w:rPr>
                <w:rFonts w:asciiTheme="majorHAnsi" w:eastAsia="Times New Roman" w:hAnsiTheme="majorHAnsi" w:cstheme="majorHAnsi"/>
                <w:color w:val="000000"/>
                <w:sz w:val="18"/>
                <w:szCs w:val="18"/>
                <w:lang w:eastAsia="en-AU"/>
              </w:rPr>
            </w:pPr>
            <w:r w:rsidRPr="00BA5DEA">
              <w:rPr>
                <w:rFonts w:asciiTheme="majorHAnsi" w:eastAsia="Times New Roman" w:hAnsiTheme="majorHAnsi" w:cstheme="majorHAnsi"/>
                <w:color w:val="000000"/>
                <w:sz w:val="18"/>
                <w:szCs w:val="18"/>
                <w:lang w:val="en-US" w:eastAsia="en-AU"/>
              </w:rPr>
              <w:t>How significant are previous audit findings in respect of this item?</w:t>
            </w:r>
          </w:p>
        </w:tc>
        <w:tc>
          <w:tcPr>
            <w:tcW w:w="1440" w:type="dxa"/>
            <w:vMerge w:val="restart"/>
            <w:tcBorders>
              <w:top w:val="nil"/>
              <w:left w:val="single" w:sz="8" w:space="0" w:color="FFFFFF"/>
              <w:bottom w:val="nil"/>
              <w:right w:val="single" w:sz="8" w:space="0" w:color="FFFFFF"/>
            </w:tcBorders>
            <w:shd w:val="clear" w:color="000000" w:fill="F2F2F2"/>
            <w:vAlign w:val="center"/>
            <w:hideMark/>
          </w:tcPr>
          <w:p w14:paraId="0A499BF5" w14:textId="77777777" w:rsidR="00A827FB" w:rsidRPr="00BA5DEA" w:rsidRDefault="00A827FB" w:rsidP="00A827FB">
            <w:pPr>
              <w:suppressAutoHyphens w:val="0"/>
              <w:spacing w:before="0" w:after="0" w:line="240" w:lineRule="auto"/>
              <w:jc w:val="center"/>
              <w:rPr>
                <w:rFonts w:asciiTheme="majorHAnsi" w:eastAsia="Times New Roman" w:hAnsiTheme="majorHAnsi" w:cstheme="majorHAnsi"/>
                <w:color w:val="000000"/>
                <w:sz w:val="18"/>
                <w:szCs w:val="18"/>
                <w:lang w:eastAsia="en-AU"/>
              </w:rPr>
            </w:pPr>
            <w:r w:rsidRPr="00BA5DEA">
              <w:rPr>
                <w:rFonts w:asciiTheme="majorHAnsi" w:eastAsia="Times New Roman" w:hAnsiTheme="majorHAnsi" w:cstheme="majorHAnsi"/>
                <w:color w:val="000000"/>
                <w:w w:val="108"/>
                <w:sz w:val="18"/>
                <w:szCs w:val="18"/>
                <w:lang w:val="en-US" w:eastAsia="en-AU"/>
              </w:rPr>
              <w:t>M</w:t>
            </w:r>
          </w:p>
        </w:tc>
        <w:tc>
          <w:tcPr>
            <w:tcW w:w="3100" w:type="dxa"/>
            <w:vMerge w:val="restart"/>
            <w:tcBorders>
              <w:top w:val="nil"/>
              <w:left w:val="single" w:sz="8" w:space="0" w:color="FFFFFF"/>
              <w:bottom w:val="single" w:sz="8" w:space="0" w:color="FFFFFF"/>
              <w:right w:val="single" w:sz="8" w:space="0" w:color="FFFFFF"/>
            </w:tcBorders>
            <w:shd w:val="clear" w:color="000000" w:fill="F2F2F2"/>
            <w:hideMark/>
          </w:tcPr>
          <w:p w14:paraId="0A499BF6" w14:textId="77777777" w:rsidR="00A827FB" w:rsidRPr="00BA5DEA" w:rsidRDefault="00A827FB" w:rsidP="00A827FB">
            <w:pPr>
              <w:suppressAutoHyphens w:val="0"/>
              <w:spacing w:before="0" w:after="0" w:line="240" w:lineRule="auto"/>
              <w:rPr>
                <w:rFonts w:asciiTheme="majorHAnsi" w:eastAsia="Times New Roman" w:hAnsiTheme="majorHAnsi" w:cstheme="majorHAnsi"/>
                <w:color w:val="000000"/>
                <w:sz w:val="18"/>
                <w:szCs w:val="18"/>
                <w:lang w:val="en-US" w:eastAsia="en-AU"/>
              </w:rPr>
            </w:pPr>
            <w:r w:rsidRPr="00BA5DEA">
              <w:rPr>
                <w:rFonts w:asciiTheme="majorHAnsi" w:eastAsia="Times New Roman" w:hAnsiTheme="majorHAnsi" w:cstheme="majorHAnsi"/>
                <w:color w:val="000000"/>
                <w:sz w:val="18"/>
                <w:szCs w:val="18"/>
                <w:lang w:val="en-US" w:eastAsia="en-AU"/>
              </w:rPr>
              <w:t>Previous internal audit and ANAO audit findings remain outstanding. Corrective action is in progress.</w:t>
            </w:r>
          </w:p>
          <w:p w14:paraId="0A499BF7" w14:textId="77777777" w:rsidR="000C5020" w:rsidRPr="00BA5DEA" w:rsidRDefault="000C5020" w:rsidP="00A827FB">
            <w:pPr>
              <w:suppressAutoHyphens w:val="0"/>
              <w:spacing w:before="0" w:after="0" w:line="240" w:lineRule="auto"/>
              <w:rPr>
                <w:rFonts w:asciiTheme="majorHAnsi" w:eastAsia="Times New Roman" w:hAnsiTheme="majorHAnsi" w:cstheme="majorHAnsi"/>
                <w:color w:val="000000"/>
                <w:sz w:val="18"/>
                <w:szCs w:val="18"/>
                <w:lang w:eastAsia="en-AU"/>
              </w:rPr>
            </w:pPr>
          </w:p>
        </w:tc>
      </w:tr>
      <w:tr w:rsidR="00A827FB" w:rsidRPr="00A827FB" w14:paraId="0A499BFD" w14:textId="77777777" w:rsidTr="00A827FB">
        <w:trPr>
          <w:trHeight w:val="495"/>
        </w:trPr>
        <w:tc>
          <w:tcPr>
            <w:tcW w:w="1480" w:type="dxa"/>
            <w:vMerge/>
            <w:tcBorders>
              <w:top w:val="nil"/>
              <w:left w:val="single" w:sz="8" w:space="0" w:color="FFFFFF"/>
              <w:bottom w:val="single" w:sz="8" w:space="0" w:color="FFFFFF"/>
              <w:right w:val="single" w:sz="8" w:space="0" w:color="FFFFFF"/>
            </w:tcBorders>
            <w:vAlign w:val="center"/>
            <w:hideMark/>
          </w:tcPr>
          <w:p w14:paraId="0A499BF9" w14:textId="77777777"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BFA" w14:textId="77777777"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 xml:space="preserve">Have </w:t>
            </w:r>
            <w:r w:rsidR="000045A1">
              <w:rPr>
                <w:rFonts w:ascii="Arial" w:eastAsia="Times New Roman" w:hAnsi="Arial" w:cs="Arial"/>
                <w:color w:val="000000"/>
                <w:sz w:val="18"/>
                <w:lang w:val="en-US" w:eastAsia="en-AU"/>
              </w:rPr>
              <w:t xml:space="preserve">these findings been adequately </w:t>
            </w:r>
            <w:r w:rsidRPr="00A827FB">
              <w:rPr>
                <w:rFonts w:ascii="Arial" w:eastAsia="Times New Roman" w:hAnsi="Arial" w:cs="Arial"/>
                <w:color w:val="000000"/>
                <w:sz w:val="18"/>
                <w:lang w:val="en-US" w:eastAsia="en-AU"/>
              </w:rPr>
              <w:t>addressed?</w:t>
            </w:r>
          </w:p>
        </w:tc>
        <w:tc>
          <w:tcPr>
            <w:tcW w:w="1440" w:type="dxa"/>
            <w:vMerge/>
            <w:tcBorders>
              <w:top w:val="nil"/>
              <w:left w:val="single" w:sz="8" w:space="0" w:color="FFFFFF"/>
              <w:bottom w:val="nil"/>
              <w:right w:val="single" w:sz="8" w:space="0" w:color="FFFFFF"/>
            </w:tcBorders>
            <w:vAlign w:val="center"/>
            <w:hideMark/>
          </w:tcPr>
          <w:p w14:paraId="0A499BFB" w14:textId="77777777"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vMerge/>
            <w:tcBorders>
              <w:top w:val="nil"/>
              <w:left w:val="single" w:sz="8" w:space="0" w:color="FFFFFF"/>
              <w:bottom w:val="single" w:sz="8" w:space="0" w:color="FFFFFF"/>
              <w:right w:val="single" w:sz="8" w:space="0" w:color="FFFFFF"/>
            </w:tcBorders>
            <w:vAlign w:val="center"/>
            <w:hideMark/>
          </w:tcPr>
          <w:p w14:paraId="0A499BFC" w14:textId="77777777"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r>
      <w:tr w:rsidR="00A827FB" w:rsidRPr="00A827FB" w14:paraId="0A499C01" w14:textId="77777777" w:rsidTr="005E15BD">
        <w:trPr>
          <w:trHeight w:val="573"/>
        </w:trPr>
        <w:tc>
          <w:tcPr>
            <w:tcW w:w="4580" w:type="dxa"/>
            <w:gridSpan w:val="2"/>
            <w:tcBorders>
              <w:top w:val="single" w:sz="8" w:space="0" w:color="auto"/>
              <w:left w:val="nil"/>
              <w:bottom w:val="single" w:sz="8" w:space="0" w:color="FFFFFF"/>
              <w:right w:val="nil"/>
            </w:tcBorders>
            <w:shd w:val="clear" w:color="auto" w:fill="000000" w:themeFill="text1"/>
            <w:noWrap/>
            <w:vAlign w:val="center"/>
            <w:hideMark/>
          </w:tcPr>
          <w:p w14:paraId="0A499BFE" w14:textId="77777777" w:rsidR="00A827FB" w:rsidRPr="00A827FB" w:rsidRDefault="00D87028" w:rsidP="00A827FB">
            <w:pPr>
              <w:suppressAutoHyphens w:val="0"/>
              <w:spacing w:before="0" w:after="0" w:line="240" w:lineRule="auto"/>
              <w:rPr>
                <w:rFonts w:ascii="Arial" w:eastAsia="Times New Roman" w:hAnsi="Arial" w:cs="Arial"/>
                <w:b/>
                <w:bCs/>
                <w:color w:val="FFFFFF"/>
                <w:sz w:val="20"/>
                <w:szCs w:val="20"/>
                <w:lang w:eastAsia="en-AU"/>
              </w:rPr>
            </w:pPr>
            <w:r>
              <w:rPr>
                <w:rFonts w:ascii="Arial" w:eastAsia="Times New Roman" w:hAnsi="Arial" w:cs="Arial"/>
                <w:b/>
                <w:bCs/>
                <w:color w:val="FFFFFF" w:themeColor="background1"/>
                <w:sz w:val="20"/>
                <w:lang w:val="en-US" w:eastAsia="en-AU"/>
              </w:rPr>
              <w:t xml:space="preserve">Inherent </w:t>
            </w:r>
            <w:r w:rsidR="00A827FB" w:rsidRPr="00A6334F">
              <w:rPr>
                <w:rFonts w:ascii="Arial" w:eastAsia="Times New Roman" w:hAnsi="Arial" w:cs="Arial"/>
                <w:b/>
                <w:bCs/>
                <w:color w:val="FFFFFF" w:themeColor="background1"/>
                <w:sz w:val="20"/>
                <w:lang w:val="en-US" w:eastAsia="en-AU"/>
              </w:rPr>
              <w:t>Risk Summary</w:t>
            </w:r>
          </w:p>
        </w:tc>
        <w:tc>
          <w:tcPr>
            <w:tcW w:w="1440" w:type="dxa"/>
            <w:tcBorders>
              <w:top w:val="single" w:sz="8" w:space="0" w:color="auto"/>
              <w:left w:val="nil"/>
              <w:bottom w:val="single" w:sz="8" w:space="0" w:color="FFFFFF"/>
              <w:right w:val="nil"/>
            </w:tcBorders>
            <w:shd w:val="clear" w:color="auto" w:fill="000000" w:themeFill="text1"/>
            <w:vAlign w:val="center"/>
            <w:hideMark/>
          </w:tcPr>
          <w:p w14:paraId="0A499BFF" w14:textId="77777777" w:rsidR="00A827FB" w:rsidRPr="00A827FB" w:rsidRDefault="00A827FB" w:rsidP="00A827FB">
            <w:pPr>
              <w:suppressAutoHyphens w:val="0"/>
              <w:spacing w:before="0" w:after="0" w:line="240" w:lineRule="auto"/>
              <w:rPr>
                <w:rFonts w:ascii="Arial" w:eastAsia="Times New Roman" w:hAnsi="Arial" w:cs="Arial"/>
                <w:b/>
                <w:bCs/>
                <w:color w:val="FFFFFF"/>
                <w:sz w:val="20"/>
                <w:szCs w:val="20"/>
                <w:lang w:eastAsia="en-AU"/>
              </w:rPr>
            </w:pPr>
            <w:r w:rsidRPr="00A827FB">
              <w:rPr>
                <w:rFonts w:ascii="Arial" w:eastAsia="Times New Roman" w:hAnsi="Arial" w:cs="Arial"/>
                <w:b/>
                <w:bCs/>
                <w:color w:val="FFFFFF"/>
                <w:sz w:val="20"/>
                <w:szCs w:val="20"/>
                <w:lang w:eastAsia="en-AU"/>
              </w:rPr>
              <w:t> </w:t>
            </w:r>
          </w:p>
        </w:tc>
        <w:tc>
          <w:tcPr>
            <w:tcW w:w="3100" w:type="dxa"/>
            <w:tcBorders>
              <w:top w:val="single" w:sz="8" w:space="0" w:color="auto"/>
              <w:left w:val="nil"/>
              <w:bottom w:val="single" w:sz="8" w:space="0" w:color="FFFFFF"/>
              <w:right w:val="nil"/>
            </w:tcBorders>
            <w:shd w:val="clear" w:color="auto" w:fill="000000" w:themeFill="text1"/>
            <w:vAlign w:val="center"/>
            <w:hideMark/>
          </w:tcPr>
          <w:p w14:paraId="0A499C00" w14:textId="77777777" w:rsidR="00A827FB" w:rsidRPr="00A827FB" w:rsidRDefault="00A827FB" w:rsidP="00A827FB">
            <w:pPr>
              <w:suppressAutoHyphens w:val="0"/>
              <w:spacing w:before="0" w:after="0" w:line="240" w:lineRule="auto"/>
              <w:rPr>
                <w:rFonts w:ascii="Arial" w:eastAsia="Times New Roman" w:hAnsi="Arial" w:cs="Arial"/>
                <w:b/>
                <w:bCs/>
                <w:color w:val="FFFFFF"/>
                <w:sz w:val="20"/>
                <w:szCs w:val="20"/>
                <w:lang w:eastAsia="en-AU"/>
              </w:rPr>
            </w:pPr>
            <w:r w:rsidRPr="00A827FB">
              <w:rPr>
                <w:rFonts w:ascii="Arial" w:eastAsia="Times New Roman" w:hAnsi="Arial" w:cs="Arial"/>
                <w:b/>
                <w:bCs/>
                <w:color w:val="FFFFFF"/>
                <w:sz w:val="20"/>
                <w:szCs w:val="20"/>
                <w:lang w:eastAsia="en-AU"/>
              </w:rPr>
              <w:t> </w:t>
            </w:r>
          </w:p>
        </w:tc>
      </w:tr>
      <w:tr w:rsidR="00A827FB" w:rsidRPr="00A827FB" w14:paraId="0A499C06" w14:textId="77777777" w:rsidTr="00A827FB">
        <w:trPr>
          <w:trHeight w:val="495"/>
        </w:trPr>
        <w:tc>
          <w:tcPr>
            <w:tcW w:w="1480" w:type="dxa"/>
            <w:vMerge w:val="restart"/>
            <w:tcBorders>
              <w:top w:val="nil"/>
              <w:left w:val="single" w:sz="8" w:space="0" w:color="FFFFFF"/>
              <w:bottom w:val="nil"/>
              <w:right w:val="single" w:sz="8" w:space="0" w:color="FFFFFF"/>
            </w:tcBorders>
            <w:shd w:val="clear" w:color="000000" w:fill="E2E3E2"/>
            <w:hideMark/>
          </w:tcPr>
          <w:p w14:paraId="0A499C02" w14:textId="77777777" w:rsidR="00A827FB" w:rsidRPr="00FA356F" w:rsidRDefault="00A827FB" w:rsidP="00A827FB">
            <w:pPr>
              <w:suppressAutoHyphens w:val="0"/>
              <w:spacing w:before="0" w:after="0" w:line="240" w:lineRule="auto"/>
              <w:rPr>
                <w:rFonts w:ascii="Arial" w:eastAsia="Times New Roman" w:hAnsi="Arial" w:cs="Arial"/>
                <w:b/>
                <w:bCs/>
                <w:i/>
                <w:iCs/>
                <w:sz w:val="18"/>
                <w:szCs w:val="18"/>
                <w:lang w:eastAsia="en-AU"/>
              </w:rPr>
            </w:pPr>
            <w:r w:rsidRPr="00BA5DEA">
              <w:rPr>
                <w:rFonts w:ascii="Arial" w:eastAsia="Times New Roman" w:hAnsi="Arial" w:cs="Arial"/>
                <w:b/>
                <w:bCs/>
                <w:i/>
                <w:iCs/>
                <w:sz w:val="18"/>
                <w:szCs w:val="18"/>
                <w:lang w:val="en-US" w:eastAsia="en-AU"/>
              </w:rPr>
              <w:t>Inherent risk</w:t>
            </w:r>
          </w:p>
        </w:tc>
        <w:tc>
          <w:tcPr>
            <w:tcW w:w="3100" w:type="dxa"/>
            <w:tcBorders>
              <w:top w:val="nil"/>
              <w:left w:val="nil"/>
              <w:bottom w:val="single" w:sz="8" w:space="0" w:color="FFFFFF"/>
              <w:right w:val="single" w:sz="8" w:space="0" w:color="FFFFFF"/>
            </w:tcBorders>
            <w:shd w:val="clear" w:color="000000" w:fill="F2F2F2"/>
            <w:hideMark/>
          </w:tcPr>
          <w:p w14:paraId="0A499C03" w14:textId="77777777" w:rsidR="00A827FB" w:rsidRPr="00BA5DEA" w:rsidRDefault="00A827FB" w:rsidP="00BA5DEA">
            <w:pPr>
              <w:spacing w:before="0" w:line="240" w:lineRule="auto"/>
              <w:rPr>
                <w:sz w:val="18"/>
                <w:szCs w:val="18"/>
                <w:lang w:eastAsia="en-AU"/>
              </w:rPr>
            </w:pPr>
            <w:r w:rsidRPr="00BA5DEA">
              <w:rPr>
                <w:sz w:val="18"/>
                <w:szCs w:val="18"/>
                <w:lang w:val="en-US" w:eastAsia="en-AU"/>
              </w:rPr>
              <w:t>Based on the assessment above:</w:t>
            </w:r>
          </w:p>
        </w:tc>
        <w:tc>
          <w:tcPr>
            <w:tcW w:w="1440" w:type="dxa"/>
            <w:vMerge w:val="restart"/>
            <w:tcBorders>
              <w:top w:val="nil"/>
              <w:left w:val="single" w:sz="8" w:space="0" w:color="FFFFFF"/>
              <w:bottom w:val="nil"/>
              <w:right w:val="single" w:sz="8" w:space="0" w:color="FFFFFF"/>
            </w:tcBorders>
            <w:shd w:val="clear" w:color="000000" w:fill="F2F2F2"/>
            <w:vAlign w:val="center"/>
            <w:hideMark/>
          </w:tcPr>
          <w:p w14:paraId="0A499C04" w14:textId="77777777" w:rsidR="00A827FB" w:rsidRPr="00BA5DEA" w:rsidRDefault="00A827FB" w:rsidP="00BA5DEA">
            <w:pPr>
              <w:spacing w:before="0" w:line="240" w:lineRule="auto"/>
              <w:jc w:val="center"/>
              <w:rPr>
                <w:sz w:val="18"/>
                <w:szCs w:val="18"/>
                <w:lang w:eastAsia="en-AU"/>
              </w:rPr>
            </w:pPr>
            <w:r w:rsidRPr="00BA5DEA">
              <w:rPr>
                <w:w w:val="102"/>
                <w:sz w:val="18"/>
                <w:szCs w:val="18"/>
                <w:lang w:val="en-US" w:eastAsia="en-AU"/>
              </w:rPr>
              <w:t>H</w:t>
            </w:r>
          </w:p>
        </w:tc>
        <w:tc>
          <w:tcPr>
            <w:tcW w:w="3100" w:type="dxa"/>
            <w:tcBorders>
              <w:top w:val="nil"/>
              <w:left w:val="nil"/>
              <w:bottom w:val="single" w:sz="8" w:space="0" w:color="FFFFFF"/>
              <w:right w:val="single" w:sz="8" w:space="0" w:color="FFFFFF"/>
            </w:tcBorders>
            <w:shd w:val="clear" w:color="000000" w:fill="F2F2F2"/>
            <w:hideMark/>
          </w:tcPr>
          <w:p w14:paraId="0A499C05" w14:textId="77777777" w:rsidR="00A827FB" w:rsidRPr="00BA5DEA" w:rsidRDefault="00A827FB" w:rsidP="00BA5DEA">
            <w:pPr>
              <w:spacing w:before="0" w:line="240" w:lineRule="auto"/>
              <w:rPr>
                <w:sz w:val="18"/>
                <w:szCs w:val="18"/>
                <w:lang w:eastAsia="en-AU"/>
              </w:rPr>
            </w:pPr>
            <w:r w:rsidRPr="00BA5DEA">
              <w:rPr>
                <w:sz w:val="18"/>
                <w:szCs w:val="18"/>
                <w:lang w:val="en-US" w:eastAsia="en-AU"/>
              </w:rPr>
              <w:t>Key contributing factors: Materiality of the balance.</w:t>
            </w:r>
          </w:p>
        </w:tc>
      </w:tr>
      <w:tr w:rsidR="00A827FB" w:rsidRPr="00A827FB" w14:paraId="0A499C0B" w14:textId="77777777" w:rsidTr="00A827FB">
        <w:trPr>
          <w:trHeight w:val="735"/>
        </w:trPr>
        <w:tc>
          <w:tcPr>
            <w:tcW w:w="1480" w:type="dxa"/>
            <w:vMerge/>
            <w:tcBorders>
              <w:top w:val="nil"/>
              <w:left w:val="single" w:sz="8" w:space="0" w:color="FFFFFF"/>
              <w:bottom w:val="nil"/>
              <w:right w:val="single" w:sz="8" w:space="0" w:color="FFFFFF"/>
            </w:tcBorders>
            <w:vAlign w:val="center"/>
            <w:hideMark/>
          </w:tcPr>
          <w:p w14:paraId="0A499C07" w14:textId="77777777" w:rsidR="00A827FB" w:rsidRPr="00FA356F" w:rsidRDefault="00A827FB" w:rsidP="00A827FB">
            <w:pPr>
              <w:suppressAutoHyphens w:val="0"/>
              <w:spacing w:before="0" w:after="0" w:line="240" w:lineRule="auto"/>
              <w:rPr>
                <w:rFonts w:ascii="Arial" w:eastAsia="Times New Roman" w:hAnsi="Arial" w:cs="Arial"/>
                <w:b/>
                <w:bCs/>
                <w:i/>
                <w:iCs/>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08" w14:textId="77777777" w:rsidR="00A827FB" w:rsidRPr="00BA5DEA" w:rsidRDefault="00A827FB" w:rsidP="00BA5DEA">
            <w:pPr>
              <w:pStyle w:val="Bullet"/>
            </w:pPr>
            <w:r w:rsidRPr="00FA356F">
              <w:t>Have key inherent reporting risk been identified?</w:t>
            </w:r>
          </w:p>
        </w:tc>
        <w:tc>
          <w:tcPr>
            <w:tcW w:w="1440" w:type="dxa"/>
            <w:vMerge/>
            <w:tcBorders>
              <w:top w:val="nil"/>
              <w:left w:val="single" w:sz="8" w:space="0" w:color="FFFFFF"/>
              <w:bottom w:val="nil"/>
              <w:right w:val="single" w:sz="8" w:space="0" w:color="FFFFFF"/>
            </w:tcBorders>
            <w:vAlign w:val="center"/>
            <w:hideMark/>
          </w:tcPr>
          <w:p w14:paraId="0A499C09" w14:textId="77777777" w:rsidR="00A827FB" w:rsidRPr="00BA5DEA" w:rsidRDefault="00A827FB" w:rsidP="00BA5DEA">
            <w:pPr>
              <w:spacing w:before="0" w:line="240" w:lineRule="auto"/>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0A" w14:textId="77777777" w:rsidR="00A827FB" w:rsidRPr="00BA5DEA" w:rsidRDefault="00A827FB" w:rsidP="00BA5DEA">
            <w:pPr>
              <w:spacing w:before="0" w:line="240" w:lineRule="auto"/>
              <w:rPr>
                <w:sz w:val="18"/>
                <w:szCs w:val="18"/>
                <w:lang w:eastAsia="en-AU"/>
              </w:rPr>
            </w:pPr>
            <w:r w:rsidRPr="00BA5DEA">
              <w:rPr>
                <w:sz w:val="18"/>
                <w:szCs w:val="18"/>
                <w:lang w:val="en-US" w:eastAsia="en-AU"/>
              </w:rPr>
              <w:t>Level of judg</w:t>
            </w:r>
            <w:r w:rsidR="00663A2C" w:rsidRPr="00BA5DEA">
              <w:rPr>
                <w:sz w:val="18"/>
                <w:szCs w:val="18"/>
                <w:lang w:val="en-US" w:eastAsia="en-AU"/>
              </w:rPr>
              <w:t>e</w:t>
            </w:r>
            <w:r w:rsidRPr="00BA5DEA">
              <w:rPr>
                <w:sz w:val="18"/>
                <w:szCs w:val="18"/>
                <w:lang w:val="en-US" w:eastAsia="en-AU"/>
              </w:rPr>
              <w:t>ment required in determinin</w:t>
            </w:r>
            <w:r w:rsidR="000C5020" w:rsidRPr="00BA5DEA">
              <w:rPr>
                <w:sz w:val="18"/>
                <w:szCs w:val="18"/>
                <w:lang w:val="en-US" w:eastAsia="en-AU"/>
              </w:rPr>
              <w:t xml:space="preserve">g correct asset classification </w:t>
            </w:r>
            <w:r w:rsidRPr="00BA5DEA">
              <w:rPr>
                <w:sz w:val="18"/>
                <w:szCs w:val="18"/>
                <w:lang w:val="en-US" w:eastAsia="en-AU"/>
              </w:rPr>
              <w:t>and valuation.</w:t>
            </w:r>
          </w:p>
        </w:tc>
      </w:tr>
      <w:tr w:rsidR="00A827FB" w:rsidRPr="00A827FB" w14:paraId="0A499C10" w14:textId="77777777" w:rsidTr="00A827FB">
        <w:trPr>
          <w:trHeight w:val="735"/>
        </w:trPr>
        <w:tc>
          <w:tcPr>
            <w:tcW w:w="1480" w:type="dxa"/>
            <w:vMerge/>
            <w:tcBorders>
              <w:top w:val="nil"/>
              <w:left w:val="single" w:sz="8" w:space="0" w:color="FFFFFF"/>
              <w:bottom w:val="nil"/>
              <w:right w:val="single" w:sz="8" w:space="0" w:color="FFFFFF"/>
            </w:tcBorders>
            <w:vAlign w:val="center"/>
            <w:hideMark/>
          </w:tcPr>
          <w:p w14:paraId="0A499C0C" w14:textId="77777777" w:rsidR="00A827FB" w:rsidRPr="00FA356F" w:rsidRDefault="00A827FB" w:rsidP="00A827FB">
            <w:pPr>
              <w:suppressAutoHyphens w:val="0"/>
              <w:spacing w:before="0" w:after="0" w:line="240" w:lineRule="auto"/>
              <w:rPr>
                <w:rFonts w:ascii="Arial" w:eastAsia="Times New Roman" w:hAnsi="Arial" w:cs="Arial"/>
                <w:b/>
                <w:bCs/>
                <w:i/>
                <w:iCs/>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0D" w14:textId="77777777" w:rsidR="00A827FB" w:rsidRPr="00BA5DEA" w:rsidRDefault="00A827FB" w:rsidP="00BA5DEA">
            <w:pPr>
              <w:pStyle w:val="Bullet"/>
            </w:pPr>
            <w:r w:rsidRPr="00FA356F">
              <w:t>What are the key contributing inherent risk factors for the item?</w:t>
            </w:r>
          </w:p>
        </w:tc>
        <w:tc>
          <w:tcPr>
            <w:tcW w:w="1440" w:type="dxa"/>
            <w:vMerge/>
            <w:tcBorders>
              <w:top w:val="nil"/>
              <w:left w:val="single" w:sz="8" w:space="0" w:color="FFFFFF"/>
              <w:bottom w:val="nil"/>
              <w:right w:val="single" w:sz="8" w:space="0" w:color="FFFFFF"/>
            </w:tcBorders>
            <w:vAlign w:val="center"/>
            <w:hideMark/>
          </w:tcPr>
          <w:p w14:paraId="0A499C0E" w14:textId="77777777" w:rsidR="00A827FB" w:rsidRPr="00BA5DEA" w:rsidRDefault="00A827FB" w:rsidP="00BA5DEA">
            <w:pPr>
              <w:spacing w:before="0" w:line="240" w:lineRule="auto"/>
              <w:rPr>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0F" w14:textId="77777777" w:rsidR="00A827FB" w:rsidRPr="00BA5DEA" w:rsidRDefault="000C5020" w:rsidP="00BA5DEA">
            <w:pPr>
              <w:spacing w:before="0" w:line="240" w:lineRule="auto"/>
              <w:rPr>
                <w:sz w:val="18"/>
                <w:szCs w:val="18"/>
                <w:lang w:eastAsia="en-AU"/>
              </w:rPr>
            </w:pPr>
            <w:r w:rsidRPr="00BA5DEA">
              <w:rPr>
                <w:sz w:val="18"/>
                <w:szCs w:val="18"/>
                <w:lang w:val="en-US" w:eastAsia="en-AU"/>
              </w:rPr>
              <w:t>High level of reliance on business a</w:t>
            </w:r>
            <w:r w:rsidR="00A827FB" w:rsidRPr="00BA5DEA">
              <w:rPr>
                <w:sz w:val="18"/>
                <w:szCs w:val="18"/>
                <w:lang w:val="en-US" w:eastAsia="en-AU"/>
              </w:rPr>
              <w:t>reas to correctly identify assets for capitalisation.</w:t>
            </w:r>
          </w:p>
        </w:tc>
      </w:tr>
      <w:tr w:rsidR="00A827FB" w:rsidRPr="00A827FB" w14:paraId="0A499C15" w14:textId="77777777" w:rsidTr="00A827FB">
        <w:trPr>
          <w:trHeight w:val="495"/>
        </w:trPr>
        <w:tc>
          <w:tcPr>
            <w:tcW w:w="1480" w:type="dxa"/>
            <w:vMerge/>
            <w:tcBorders>
              <w:top w:val="nil"/>
              <w:left w:val="single" w:sz="8" w:space="0" w:color="FFFFFF"/>
              <w:bottom w:val="nil"/>
              <w:right w:val="single" w:sz="8" w:space="0" w:color="FFFFFF"/>
            </w:tcBorders>
            <w:vAlign w:val="center"/>
            <w:hideMark/>
          </w:tcPr>
          <w:p w14:paraId="0A499C11" w14:textId="77777777" w:rsidR="00A827FB" w:rsidRPr="00FA356F" w:rsidRDefault="00A827FB" w:rsidP="00A827FB">
            <w:pPr>
              <w:suppressAutoHyphens w:val="0"/>
              <w:spacing w:before="0" w:after="0" w:line="240" w:lineRule="auto"/>
              <w:rPr>
                <w:rFonts w:ascii="Arial" w:eastAsia="Times New Roman" w:hAnsi="Arial" w:cs="Arial"/>
                <w:b/>
                <w:bCs/>
                <w:i/>
                <w:iCs/>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12" w14:textId="77777777" w:rsidR="00A827FB" w:rsidRPr="00BA5DEA" w:rsidRDefault="00A827FB" w:rsidP="00BA5DEA">
            <w:pPr>
              <w:pStyle w:val="Bullet"/>
            </w:pPr>
            <w:r w:rsidRPr="00FA356F">
              <w:t>What is the overall inherent risk rating?</w:t>
            </w:r>
          </w:p>
        </w:tc>
        <w:tc>
          <w:tcPr>
            <w:tcW w:w="1440" w:type="dxa"/>
            <w:vMerge/>
            <w:tcBorders>
              <w:top w:val="nil"/>
              <w:left w:val="single" w:sz="8" w:space="0" w:color="FFFFFF"/>
              <w:bottom w:val="nil"/>
              <w:right w:val="single" w:sz="8" w:space="0" w:color="FFFFFF"/>
            </w:tcBorders>
            <w:vAlign w:val="center"/>
            <w:hideMark/>
          </w:tcPr>
          <w:p w14:paraId="0A499C13" w14:textId="77777777" w:rsidR="00A827FB" w:rsidRPr="00BA5DEA" w:rsidRDefault="00A827FB" w:rsidP="00BA5DEA">
            <w:pPr>
              <w:spacing w:before="0" w:line="240" w:lineRule="auto"/>
              <w:rPr>
                <w:sz w:val="18"/>
                <w:szCs w:val="18"/>
                <w:lang w:eastAsia="en-AU"/>
              </w:rPr>
            </w:pPr>
          </w:p>
        </w:tc>
        <w:tc>
          <w:tcPr>
            <w:tcW w:w="3100" w:type="dxa"/>
            <w:tcBorders>
              <w:top w:val="nil"/>
              <w:left w:val="nil"/>
              <w:bottom w:val="nil"/>
              <w:right w:val="single" w:sz="8" w:space="0" w:color="FFFFFF"/>
            </w:tcBorders>
            <w:shd w:val="clear" w:color="000000" w:fill="F2F2F2"/>
            <w:hideMark/>
          </w:tcPr>
          <w:p w14:paraId="0A499C14" w14:textId="77777777" w:rsidR="00A827FB" w:rsidRPr="00BA5DEA" w:rsidRDefault="00A827FB" w:rsidP="00BA5DEA">
            <w:pPr>
              <w:spacing w:before="0" w:line="240" w:lineRule="auto"/>
              <w:rPr>
                <w:sz w:val="18"/>
                <w:szCs w:val="18"/>
                <w:lang w:eastAsia="en-AU"/>
              </w:rPr>
            </w:pPr>
            <w:r w:rsidRPr="00BA5DEA">
              <w:rPr>
                <w:sz w:val="18"/>
                <w:szCs w:val="18"/>
                <w:lang w:val="en-US" w:eastAsia="en-AU"/>
              </w:rPr>
              <w:t>Reliance on other related entities to manage some key assets.</w:t>
            </w:r>
          </w:p>
        </w:tc>
      </w:tr>
      <w:tr w:rsidR="00A827FB" w:rsidRPr="00A827FB" w14:paraId="0A499C1A" w14:textId="77777777" w:rsidTr="00A827FB">
        <w:trPr>
          <w:trHeight w:val="300"/>
        </w:trPr>
        <w:tc>
          <w:tcPr>
            <w:tcW w:w="1480" w:type="dxa"/>
            <w:tcBorders>
              <w:top w:val="nil"/>
              <w:left w:val="nil"/>
              <w:bottom w:val="nil"/>
              <w:right w:val="nil"/>
            </w:tcBorders>
            <w:shd w:val="clear" w:color="auto" w:fill="auto"/>
            <w:noWrap/>
            <w:vAlign w:val="center"/>
            <w:hideMark/>
          </w:tcPr>
          <w:p w14:paraId="0A499C16" w14:textId="77777777"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nil"/>
              <w:right w:val="nil"/>
            </w:tcBorders>
            <w:shd w:val="clear" w:color="auto" w:fill="auto"/>
            <w:noWrap/>
            <w:vAlign w:val="bottom"/>
            <w:hideMark/>
          </w:tcPr>
          <w:p w14:paraId="0A499C17" w14:textId="77777777" w:rsidR="00A827FB" w:rsidRPr="00A827FB" w:rsidRDefault="00A827FB" w:rsidP="00A827FB">
            <w:pPr>
              <w:suppressAutoHyphens w:val="0"/>
              <w:spacing w:before="0" w:after="0" w:line="240" w:lineRule="auto"/>
              <w:rPr>
                <w:rFonts w:ascii="Times New Roman" w:eastAsia="Times New Roman" w:hAnsi="Times New Roman" w:cs="Times New Roman"/>
                <w:sz w:val="20"/>
                <w:szCs w:val="20"/>
                <w:lang w:eastAsia="en-AU"/>
              </w:rPr>
            </w:pPr>
          </w:p>
        </w:tc>
        <w:tc>
          <w:tcPr>
            <w:tcW w:w="1440" w:type="dxa"/>
            <w:tcBorders>
              <w:top w:val="nil"/>
              <w:left w:val="nil"/>
              <w:bottom w:val="nil"/>
              <w:right w:val="nil"/>
            </w:tcBorders>
            <w:shd w:val="clear" w:color="auto" w:fill="auto"/>
            <w:noWrap/>
            <w:vAlign w:val="bottom"/>
            <w:hideMark/>
          </w:tcPr>
          <w:p w14:paraId="0A499C18" w14:textId="77777777" w:rsidR="00A827FB" w:rsidRPr="00A827FB" w:rsidRDefault="00A827FB" w:rsidP="00A827FB">
            <w:pPr>
              <w:suppressAutoHyphens w:val="0"/>
              <w:spacing w:before="0" w:after="0" w:line="240" w:lineRule="auto"/>
              <w:rPr>
                <w:rFonts w:ascii="Times New Roman" w:eastAsia="Times New Roman" w:hAnsi="Times New Roman" w:cs="Times New Roman"/>
                <w:sz w:val="20"/>
                <w:szCs w:val="20"/>
                <w:lang w:eastAsia="en-AU"/>
              </w:rPr>
            </w:pPr>
          </w:p>
        </w:tc>
        <w:tc>
          <w:tcPr>
            <w:tcW w:w="3100" w:type="dxa"/>
            <w:tcBorders>
              <w:top w:val="nil"/>
              <w:left w:val="nil"/>
              <w:bottom w:val="nil"/>
              <w:right w:val="nil"/>
            </w:tcBorders>
            <w:shd w:val="clear" w:color="auto" w:fill="auto"/>
            <w:noWrap/>
            <w:vAlign w:val="bottom"/>
            <w:hideMark/>
          </w:tcPr>
          <w:p w14:paraId="0A499C19" w14:textId="77777777" w:rsidR="00A827FB" w:rsidRPr="00A827FB" w:rsidRDefault="00A827FB" w:rsidP="00A827FB">
            <w:pPr>
              <w:suppressAutoHyphens w:val="0"/>
              <w:spacing w:before="0" w:after="0" w:line="240" w:lineRule="auto"/>
              <w:rPr>
                <w:rFonts w:ascii="Times New Roman" w:eastAsia="Times New Roman" w:hAnsi="Times New Roman" w:cs="Times New Roman"/>
                <w:sz w:val="20"/>
                <w:szCs w:val="20"/>
                <w:lang w:eastAsia="en-AU"/>
              </w:rPr>
            </w:pPr>
          </w:p>
        </w:tc>
      </w:tr>
    </w:tbl>
    <w:p w14:paraId="0A499C1B" w14:textId="77777777" w:rsidR="00DD6694" w:rsidRPr="000C5020" w:rsidRDefault="00827298" w:rsidP="000C5020">
      <w:r>
        <w:t>Note 1: Different weightings should be given to each risk factor. The materiality of the financial statements item would be expected to have the greatest weighting.</w:t>
      </w:r>
      <w:r w:rsidR="00DD6694">
        <w:br w:type="page"/>
      </w:r>
    </w:p>
    <w:p w14:paraId="0A499C1C" w14:textId="77777777" w:rsidR="0031022B" w:rsidRPr="0031022B" w:rsidRDefault="00827298" w:rsidP="0031022B">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6D04A4">
        <w:rPr>
          <w:rFonts w:asciiTheme="minorHAnsi" w:eastAsiaTheme="minorHAnsi" w:hAnsiTheme="minorHAnsi" w:cstheme="minorBidi"/>
          <w:b/>
          <w:bCs w:val="0"/>
          <w:color w:val="auto"/>
          <w:sz w:val="24"/>
          <w:szCs w:val="24"/>
        </w:rPr>
        <w:t>Step 2: Conduct residual risk assessment</w:t>
      </w:r>
    </w:p>
    <w:tbl>
      <w:tblPr>
        <w:tblW w:w="9058" w:type="dxa"/>
        <w:tblLook w:val="04A0" w:firstRow="1" w:lastRow="0" w:firstColumn="1" w:lastColumn="0" w:noHBand="0" w:noVBand="1"/>
        <w:tblCaption w:val="Residual risk assessment"/>
        <w:tblDescription w:val="This table is an example of an residual risk assessment the financial statements item ‘Property, Plant and Equipment (PPE)’"/>
      </w:tblPr>
      <w:tblGrid>
        <w:gridCol w:w="1418"/>
        <w:gridCol w:w="3100"/>
        <w:gridCol w:w="1440"/>
        <w:gridCol w:w="3100"/>
      </w:tblGrid>
      <w:tr w:rsidR="00DD6694" w:rsidRPr="00DD6694" w14:paraId="0A499C20" w14:textId="77777777" w:rsidTr="00BE7B8D">
        <w:trPr>
          <w:trHeight w:val="548"/>
        </w:trPr>
        <w:tc>
          <w:tcPr>
            <w:tcW w:w="4518" w:type="dxa"/>
            <w:gridSpan w:val="2"/>
            <w:tcBorders>
              <w:top w:val="single" w:sz="8" w:space="0" w:color="auto"/>
              <w:left w:val="nil"/>
              <w:bottom w:val="single" w:sz="8" w:space="0" w:color="FFFFFF"/>
              <w:right w:val="nil"/>
            </w:tcBorders>
            <w:shd w:val="clear" w:color="auto" w:fill="000000" w:themeFill="text1"/>
            <w:noWrap/>
            <w:vAlign w:val="center"/>
            <w:hideMark/>
          </w:tcPr>
          <w:p w14:paraId="0A499C1D" w14:textId="77777777" w:rsidR="00DD6694" w:rsidRPr="00DD6694" w:rsidRDefault="000045A1" w:rsidP="00DD6694">
            <w:pPr>
              <w:suppressAutoHyphens w:val="0"/>
              <w:spacing w:before="0" w:after="0" w:line="240" w:lineRule="auto"/>
              <w:rPr>
                <w:rFonts w:ascii="Arial" w:eastAsia="Times New Roman" w:hAnsi="Arial" w:cs="Arial"/>
                <w:b/>
                <w:bCs/>
                <w:color w:val="FFFFFF"/>
                <w:sz w:val="20"/>
                <w:szCs w:val="20"/>
                <w:lang w:eastAsia="en-AU"/>
              </w:rPr>
            </w:pPr>
            <w:r w:rsidRPr="00CB74E8">
              <w:rPr>
                <w:rFonts w:ascii="Arial" w:eastAsia="Times New Roman" w:hAnsi="Arial" w:cs="Arial"/>
                <w:b/>
                <w:bCs/>
                <w:color w:val="FFFFFF" w:themeColor="background1"/>
                <w:sz w:val="20"/>
                <w:lang w:val="en-US" w:eastAsia="en-AU"/>
              </w:rPr>
              <w:t>Analysis of existing key c</w:t>
            </w:r>
            <w:r w:rsidR="00DD6694" w:rsidRPr="00CB74E8">
              <w:rPr>
                <w:rFonts w:ascii="Arial" w:eastAsia="Times New Roman" w:hAnsi="Arial" w:cs="Arial"/>
                <w:b/>
                <w:bCs/>
                <w:color w:val="FFFFFF" w:themeColor="background1"/>
                <w:sz w:val="20"/>
                <w:lang w:val="en-US" w:eastAsia="en-AU"/>
              </w:rPr>
              <w:t>ontrols</w:t>
            </w:r>
          </w:p>
        </w:tc>
        <w:tc>
          <w:tcPr>
            <w:tcW w:w="1440" w:type="dxa"/>
            <w:tcBorders>
              <w:top w:val="single" w:sz="8" w:space="0" w:color="auto"/>
              <w:left w:val="nil"/>
              <w:bottom w:val="single" w:sz="8" w:space="0" w:color="FFFFFF"/>
              <w:right w:val="nil"/>
            </w:tcBorders>
            <w:shd w:val="clear" w:color="auto" w:fill="000000" w:themeFill="text1"/>
            <w:noWrap/>
            <w:vAlign w:val="center"/>
            <w:hideMark/>
          </w:tcPr>
          <w:p w14:paraId="0A499C1E" w14:textId="77777777" w:rsidR="00DD6694" w:rsidRPr="00DD6694" w:rsidRDefault="00DD6694" w:rsidP="00DD6694">
            <w:pPr>
              <w:suppressAutoHyphens w:val="0"/>
              <w:spacing w:before="0" w:after="0" w:line="240" w:lineRule="auto"/>
              <w:rPr>
                <w:rFonts w:ascii="Arial" w:eastAsia="Times New Roman" w:hAnsi="Arial" w:cs="Arial"/>
                <w:b/>
                <w:bCs/>
                <w:color w:val="FFFFFF"/>
                <w:sz w:val="20"/>
                <w:szCs w:val="20"/>
                <w:lang w:eastAsia="en-AU"/>
              </w:rPr>
            </w:pPr>
            <w:r w:rsidRPr="00DD6694">
              <w:rPr>
                <w:rFonts w:ascii="Arial" w:eastAsia="Times New Roman" w:hAnsi="Arial" w:cs="Arial"/>
                <w:b/>
                <w:bCs/>
                <w:color w:val="FFFFFF"/>
                <w:sz w:val="20"/>
                <w:szCs w:val="20"/>
                <w:lang w:eastAsia="en-AU"/>
              </w:rPr>
              <w:t> </w:t>
            </w:r>
          </w:p>
        </w:tc>
        <w:tc>
          <w:tcPr>
            <w:tcW w:w="3100" w:type="dxa"/>
            <w:tcBorders>
              <w:top w:val="single" w:sz="8" w:space="0" w:color="auto"/>
              <w:left w:val="nil"/>
              <w:bottom w:val="single" w:sz="8" w:space="0" w:color="FFFFFF"/>
              <w:right w:val="nil"/>
            </w:tcBorders>
            <w:shd w:val="clear" w:color="auto" w:fill="000000" w:themeFill="text1"/>
            <w:noWrap/>
            <w:vAlign w:val="center"/>
            <w:hideMark/>
          </w:tcPr>
          <w:p w14:paraId="0A499C1F" w14:textId="77777777" w:rsidR="00DD6694" w:rsidRPr="00DD6694" w:rsidRDefault="00DD6694" w:rsidP="00DD6694">
            <w:pPr>
              <w:suppressAutoHyphens w:val="0"/>
              <w:spacing w:before="0" w:after="0" w:line="240" w:lineRule="auto"/>
              <w:rPr>
                <w:rFonts w:ascii="Arial" w:eastAsia="Times New Roman" w:hAnsi="Arial" w:cs="Arial"/>
                <w:b/>
                <w:bCs/>
                <w:color w:val="FFFFFF"/>
                <w:sz w:val="20"/>
                <w:szCs w:val="20"/>
                <w:lang w:eastAsia="en-AU"/>
              </w:rPr>
            </w:pPr>
            <w:r w:rsidRPr="00DD6694">
              <w:rPr>
                <w:rFonts w:ascii="Arial" w:eastAsia="Times New Roman" w:hAnsi="Arial" w:cs="Arial"/>
                <w:b/>
                <w:bCs/>
                <w:color w:val="FFFFFF"/>
                <w:sz w:val="20"/>
                <w:szCs w:val="20"/>
                <w:lang w:eastAsia="en-AU"/>
              </w:rPr>
              <w:t> </w:t>
            </w:r>
          </w:p>
        </w:tc>
      </w:tr>
      <w:tr w:rsidR="00DD6694" w:rsidRPr="00DD6694" w14:paraId="0A499C22" w14:textId="77777777" w:rsidTr="00DD6694">
        <w:trPr>
          <w:trHeight w:val="30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E2E3E2"/>
            <w:hideMark/>
          </w:tcPr>
          <w:p w14:paraId="0A499C21" w14:textId="77777777"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r w:rsidRPr="00DD6694">
              <w:rPr>
                <w:rFonts w:ascii="Arial" w:eastAsia="Times New Roman" w:hAnsi="Arial" w:cs="Arial"/>
                <w:b/>
                <w:bCs/>
                <w:i/>
                <w:iCs/>
                <w:color w:val="000000"/>
                <w:sz w:val="18"/>
                <w:lang w:val="en-US" w:eastAsia="en-AU"/>
              </w:rPr>
              <w:t>Existing key controls in place are:</w:t>
            </w:r>
          </w:p>
        </w:tc>
      </w:tr>
      <w:tr w:rsidR="00DD6694" w:rsidRPr="00DD6694" w14:paraId="0A499C24" w14:textId="77777777" w:rsidTr="00DD6694">
        <w:trPr>
          <w:trHeight w:val="795"/>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14:paraId="0A499C23" w14:textId="77777777" w:rsidR="00DD6694" w:rsidRPr="00FA356F" w:rsidRDefault="00DD6694" w:rsidP="000C5020">
            <w:pPr>
              <w:pStyle w:val="Bullet1"/>
              <w:rPr>
                <w:sz w:val="18"/>
                <w:szCs w:val="18"/>
              </w:rPr>
            </w:pPr>
            <w:r w:rsidRPr="00FA356F">
              <w:rPr>
                <w:sz w:val="18"/>
                <w:szCs w:val="18"/>
              </w:rPr>
              <w:t>Monthly reconciliation of PPE movement schedules showing opening balances, additions, disposals, transfers, depreciation, impairments and closing balances are performed to ensure completeness of all asset movements in the asset registers and FMIS.</w:t>
            </w:r>
          </w:p>
        </w:tc>
      </w:tr>
      <w:tr w:rsidR="00DD6694" w:rsidRPr="00DD6694" w14:paraId="0A499C26" w14:textId="77777777" w:rsidTr="00DD6694">
        <w:trPr>
          <w:trHeight w:val="615"/>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14:paraId="0A499C25" w14:textId="77777777" w:rsidR="00DD6694" w:rsidRPr="00FA356F" w:rsidRDefault="00DD6694" w:rsidP="000C5020">
            <w:pPr>
              <w:pStyle w:val="Bullet1"/>
              <w:rPr>
                <w:sz w:val="18"/>
                <w:szCs w:val="18"/>
              </w:rPr>
            </w:pPr>
            <w:r w:rsidRPr="00FA356F">
              <w:rPr>
                <w:sz w:val="18"/>
                <w:szCs w:val="18"/>
              </w:rPr>
              <w:t>Year-end review is undertaken to ensure assets are categorised by class and appropriately disclosed in the financial statements, including movement tables.</w:t>
            </w:r>
          </w:p>
        </w:tc>
      </w:tr>
      <w:tr w:rsidR="00DD6694" w:rsidRPr="00DD6694" w14:paraId="0A499C28" w14:textId="77777777" w:rsidTr="00DD6694">
        <w:trPr>
          <w:trHeight w:val="66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14:paraId="0A499C27" w14:textId="77777777" w:rsidR="00DD6694" w:rsidRPr="00FA356F" w:rsidRDefault="00DD6694" w:rsidP="000C5020">
            <w:pPr>
              <w:pStyle w:val="Bullet1"/>
              <w:rPr>
                <w:sz w:val="18"/>
                <w:szCs w:val="18"/>
              </w:rPr>
            </w:pPr>
            <w:r w:rsidRPr="00FA356F">
              <w:rPr>
                <w:sz w:val="18"/>
                <w:szCs w:val="18"/>
              </w:rPr>
              <w:t>Asset stocktakes are conducted in accordance with the Policy on Assets and stocktake reports are reconciled to the asset registers and FMIS. Stocktake reports are endorsed by management.</w:t>
            </w:r>
          </w:p>
        </w:tc>
      </w:tr>
      <w:tr w:rsidR="00DD6694" w:rsidRPr="00DD6694" w14:paraId="0A499C2A" w14:textId="77777777" w:rsidTr="00DD6694">
        <w:trPr>
          <w:trHeight w:val="39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14:paraId="0A499C29" w14:textId="77777777" w:rsidR="00DD6694" w:rsidRPr="00FA356F" w:rsidRDefault="00DD6694" w:rsidP="000C5020">
            <w:pPr>
              <w:pStyle w:val="Bullet1"/>
              <w:rPr>
                <w:sz w:val="18"/>
                <w:szCs w:val="18"/>
              </w:rPr>
            </w:pPr>
            <w:r w:rsidRPr="00FA356F">
              <w:rPr>
                <w:sz w:val="18"/>
                <w:szCs w:val="18"/>
              </w:rPr>
              <w:t>Year-end reviews of valuation reports are conducted.</w:t>
            </w:r>
          </w:p>
        </w:tc>
      </w:tr>
      <w:tr w:rsidR="00DD6694" w:rsidRPr="00DD6694" w14:paraId="0A499C2C" w14:textId="77777777" w:rsidTr="00DD6694">
        <w:trPr>
          <w:trHeight w:val="63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14:paraId="0A499C2B" w14:textId="77777777" w:rsidR="00DD6694" w:rsidRPr="00FA356F" w:rsidRDefault="00DD6694" w:rsidP="000C5020">
            <w:pPr>
              <w:pStyle w:val="Bullet1"/>
              <w:rPr>
                <w:sz w:val="18"/>
                <w:szCs w:val="18"/>
              </w:rPr>
            </w:pPr>
            <w:r w:rsidRPr="00FA356F">
              <w:rPr>
                <w:sz w:val="18"/>
                <w:szCs w:val="18"/>
              </w:rPr>
              <w:t>Annual review for impairment in accordance with Accounting Standard AASB 136 Impairment of Assets is carried out to ensure PPE value is not overstated.</w:t>
            </w:r>
          </w:p>
        </w:tc>
      </w:tr>
      <w:tr w:rsidR="00DD6694" w:rsidRPr="00DD6694" w14:paraId="0A499C2E" w14:textId="77777777" w:rsidTr="00DD6694">
        <w:trPr>
          <w:trHeight w:val="60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14:paraId="0A499C2D" w14:textId="77777777" w:rsidR="000045A1" w:rsidRPr="00FA356F" w:rsidRDefault="00DD6694" w:rsidP="000C5020">
            <w:pPr>
              <w:pStyle w:val="Bullet1"/>
              <w:rPr>
                <w:sz w:val="18"/>
                <w:szCs w:val="18"/>
              </w:rPr>
            </w:pPr>
            <w:r w:rsidRPr="00FA356F">
              <w:rPr>
                <w:sz w:val="18"/>
                <w:szCs w:val="18"/>
              </w:rPr>
              <w:t>Service agreements with related entities are reviewed annually to ensure that their management controls are adequate to minimise material misstatements in recording and ownership.</w:t>
            </w:r>
          </w:p>
        </w:tc>
      </w:tr>
      <w:tr w:rsidR="00DD6694" w:rsidRPr="00DD6694" w14:paraId="0A499C31" w14:textId="77777777" w:rsidTr="00BE7B8D">
        <w:trPr>
          <w:trHeight w:val="247"/>
        </w:trPr>
        <w:tc>
          <w:tcPr>
            <w:tcW w:w="9058" w:type="dxa"/>
            <w:gridSpan w:val="4"/>
            <w:tcBorders>
              <w:top w:val="single" w:sz="8" w:space="0" w:color="auto"/>
              <w:left w:val="nil"/>
              <w:bottom w:val="single" w:sz="8" w:space="0" w:color="FFFFFF"/>
              <w:right w:val="nil"/>
            </w:tcBorders>
            <w:shd w:val="clear" w:color="auto" w:fill="000000" w:themeFill="text1"/>
            <w:noWrap/>
            <w:vAlign w:val="center"/>
            <w:hideMark/>
          </w:tcPr>
          <w:p w14:paraId="0A499C2F" w14:textId="77777777" w:rsidR="00DD6694" w:rsidRPr="0031022B" w:rsidRDefault="000045A1" w:rsidP="00DD6694">
            <w:pPr>
              <w:suppressAutoHyphens w:val="0"/>
              <w:spacing w:before="0" w:after="0" w:line="240" w:lineRule="auto"/>
              <w:rPr>
                <w:rFonts w:ascii="Arial" w:eastAsia="Times New Roman" w:hAnsi="Arial" w:cs="Arial"/>
                <w:b/>
                <w:bCs/>
                <w:color w:val="FFFFFF" w:themeColor="background1"/>
                <w:sz w:val="20"/>
                <w:szCs w:val="20"/>
                <w:lang w:val="en-US" w:eastAsia="en-AU"/>
              </w:rPr>
            </w:pPr>
            <w:r w:rsidRPr="0031022B">
              <w:rPr>
                <w:rFonts w:ascii="Arial" w:eastAsia="Times New Roman" w:hAnsi="Arial" w:cs="Arial"/>
                <w:b/>
                <w:bCs/>
                <w:color w:val="FFFFFF" w:themeColor="background1"/>
                <w:sz w:val="20"/>
                <w:lang w:val="en-US" w:eastAsia="en-AU"/>
              </w:rPr>
              <w:t>Residual risk s</w:t>
            </w:r>
            <w:r w:rsidR="00DD6694" w:rsidRPr="0031022B">
              <w:rPr>
                <w:rFonts w:ascii="Arial" w:eastAsia="Times New Roman" w:hAnsi="Arial" w:cs="Arial"/>
                <w:b/>
                <w:bCs/>
                <w:color w:val="FFFFFF" w:themeColor="background1"/>
                <w:sz w:val="20"/>
                <w:lang w:val="en-US" w:eastAsia="en-AU"/>
              </w:rPr>
              <w:t>ummary</w:t>
            </w:r>
            <w:r w:rsidRPr="0031022B">
              <w:rPr>
                <w:rFonts w:ascii="Arial" w:eastAsia="Times New Roman" w:hAnsi="Arial" w:cs="Arial"/>
                <w:b/>
                <w:bCs/>
                <w:color w:val="FFFFFF" w:themeColor="background1"/>
                <w:sz w:val="20"/>
                <w:szCs w:val="20"/>
                <w:lang w:val="en-US" w:eastAsia="en-AU"/>
              </w:rPr>
              <w:t>:</w:t>
            </w:r>
          </w:p>
          <w:p w14:paraId="0A499C30" w14:textId="77777777" w:rsidR="000045A1" w:rsidRPr="00CB74E8" w:rsidRDefault="000045A1" w:rsidP="00DD6694">
            <w:pPr>
              <w:suppressAutoHyphens w:val="0"/>
              <w:spacing w:before="0" w:after="0" w:line="240" w:lineRule="auto"/>
              <w:rPr>
                <w:rFonts w:ascii="Arial" w:eastAsia="Times New Roman" w:hAnsi="Arial" w:cs="Arial"/>
                <w:b/>
                <w:bCs/>
                <w:color w:val="FFFFFF" w:themeColor="background1"/>
                <w:sz w:val="20"/>
                <w:szCs w:val="20"/>
                <w:lang w:eastAsia="en-AU"/>
              </w:rPr>
            </w:pPr>
          </w:p>
        </w:tc>
      </w:tr>
      <w:tr w:rsidR="00DD6694" w:rsidRPr="00DD6694" w14:paraId="0A499C36" w14:textId="77777777" w:rsidTr="00BE7B8D">
        <w:trPr>
          <w:trHeight w:val="407"/>
        </w:trPr>
        <w:tc>
          <w:tcPr>
            <w:tcW w:w="1418" w:type="dxa"/>
            <w:tcBorders>
              <w:top w:val="single" w:sz="8" w:space="0" w:color="auto"/>
              <w:left w:val="nil"/>
              <w:bottom w:val="single" w:sz="8" w:space="0" w:color="FFFFFF"/>
              <w:right w:val="nil"/>
            </w:tcBorders>
            <w:shd w:val="clear" w:color="auto" w:fill="000000" w:themeFill="text1"/>
            <w:vAlign w:val="center"/>
            <w:hideMark/>
          </w:tcPr>
          <w:p w14:paraId="0A499C32" w14:textId="77777777" w:rsidR="00DD6694" w:rsidRPr="00CB74E8" w:rsidRDefault="00DD6694" w:rsidP="00DD6694">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CB74E8">
              <w:rPr>
                <w:rFonts w:ascii="Arial" w:eastAsia="Times New Roman" w:hAnsi="Arial" w:cs="Arial"/>
                <w:b/>
                <w:bCs/>
                <w:color w:val="FFFFFF" w:themeColor="background1"/>
                <w:sz w:val="20"/>
                <w:lang w:val="en-US" w:eastAsia="en-AU"/>
              </w:rPr>
              <w:t xml:space="preserve">Risk Factor </w:t>
            </w:r>
          </w:p>
        </w:tc>
        <w:tc>
          <w:tcPr>
            <w:tcW w:w="3100" w:type="dxa"/>
            <w:tcBorders>
              <w:top w:val="single" w:sz="8" w:space="0" w:color="auto"/>
              <w:left w:val="nil"/>
              <w:bottom w:val="nil"/>
              <w:right w:val="nil"/>
            </w:tcBorders>
            <w:shd w:val="clear" w:color="auto" w:fill="000000" w:themeFill="text1"/>
            <w:vAlign w:val="center"/>
            <w:hideMark/>
          </w:tcPr>
          <w:p w14:paraId="0A499C33" w14:textId="77777777" w:rsidR="00DD6694" w:rsidRPr="00CB74E8" w:rsidRDefault="00DD6694" w:rsidP="00DD6694">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CB74E8">
              <w:rPr>
                <w:rFonts w:ascii="Arial" w:eastAsia="Times New Roman" w:hAnsi="Arial" w:cs="Arial"/>
                <w:b/>
                <w:bCs/>
                <w:color w:val="FFFFFF" w:themeColor="background1"/>
                <w:sz w:val="20"/>
                <w:lang w:val="en-US" w:eastAsia="en-AU"/>
              </w:rPr>
              <w:t>Key Questions to Consider</w:t>
            </w:r>
          </w:p>
        </w:tc>
        <w:tc>
          <w:tcPr>
            <w:tcW w:w="1440" w:type="dxa"/>
            <w:tcBorders>
              <w:top w:val="single" w:sz="8" w:space="0" w:color="auto"/>
              <w:left w:val="nil"/>
              <w:bottom w:val="single" w:sz="8" w:space="0" w:color="FFFFFF"/>
              <w:right w:val="nil"/>
            </w:tcBorders>
            <w:shd w:val="clear" w:color="auto" w:fill="000000" w:themeFill="text1"/>
            <w:vAlign w:val="center"/>
            <w:hideMark/>
          </w:tcPr>
          <w:p w14:paraId="0A499C34" w14:textId="77777777" w:rsidR="00DD6694" w:rsidRPr="00CB74E8" w:rsidRDefault="00DD6694" w:rsidP="00DD6694">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CB74E8">
              <w:rPr>
                <w:rFonts w:ascii="Arial" w:eastAsia="Times New Roman" w:hAnsi="Arial" w:cs="Arial"/>
                <w:b/>
                <w:bCs/>
                <w:color w:val="FFFFFF" w:themeColor="background1"/>
                <w:sz w:val="20"/>
                <w:lang w:val="en-US" w:eastAsia="en-AU"/>
              </w:rPr>
              <w:t xml:space="preserve">Rating </w:t>
            </w:r>
          </w:p>
        </w:tc>
        <w:tc>
          <w:tcPr>
            <w:tcW w:w="3100" w:type="dxa"/>
            <w:tcBorders>
              <w:top w:val="single" w:sz="8" w:space="0" w:color="auto"/>
              <w:left w:val="nil"/>
              <w:bottom w:val="single" w:sz="8" w:space="0" w:color="FFFFFF"/>
              <w:right w:val="nil"/>
            </w:tcBorders>
            <w:shd w:val="clear" w:color="auto" w:fill="000000" w:themeFill="text1"/>
            <w:vAlign w:val="center"/>
            <w:hideMark/>
          </w:tcPr>
          <w:p w14:paraId="0A499C35" w14:textId="77777777" w:rsidR="00DD6694" w:rsidRPr="00CB74E8" w:rsidRDefault="00DD6694" w:rsidP="00DD6694">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CB74E8">
              <w:rPr>
                <w:rFonts w:ascii="Arial" w:eastAsia="Times New Roman" w:hAnsi="Arial" w:cs="Arial"/>
                <w:b/>
                <w:bCs/>
                <w:color w:val="FFFFFF" w:themeColor="background1"/>
                <w:sz w:val="20"/>
                <w:lang w:val="en-US" w:eastAsia="en-AU"/>
              </w:rPr>
              <w:t>Reason/Analysis</w:t>
            </w:r>
          </w:p>
        </w:tc>
      </w:tr>
      <w:tr w:rsidR="00DD6694" w:rsidRPr="00DD6694" w14:paraId="0A499C3B" w14:textId="77777777" w:rsidTr="00DD6694">
        <w:trPr>
          <w:trHeight w:val="495"/>
        </w:trPr>
        <w:tc>
          <w:tcPr>
            <w:tcW w:w="1418" w:type="dxa"/>
            <w:vMerge w:val="restart"/>
            <w:tcBorders>
              <w:top w:val="nil"/>
              <w:left w:val="single" w:sz="8" w:space="0" w:color="FFFFFF"/>
              <w:bottom w:val="nil"/>
              <w:right w:val="single" w:sz="8" w:space="0" w:color="FFFFFF"/>
            </w:tcBorders>
            <w:shd w:val="clear" w:color="000000" w:fill="E2E3E2"/>
            <w:hideMark/>
          </w:tcPr>
          <w:p w14:paraId="0A499C37" w14:textId="77777777"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r w:rsidRPr="00DD6694">
              <w:rPr>
                <w:rFonts w:ascii="Arial" w:eastAsia="Times New Roman" w:hAnsi="Arial" w:cs="Arial"/>
                <w:b/>
                <w:bCs/>
                <w:i/>
                <w:iCs/>
                <w:color w:val="000000"/>
                <w:sz w:val="18"/>
                <w:lang w:val="en-US" w:eastAsia="en-AU"/>
              </w:rPr>
              <w:t>Residual risk</w:t>
            </w:r>
          </w:p>
        </w:tc>
        <w:tc>
          <w:tcPr>
            <w:tcW w:w="3100" w:type="dxa"/>
            <w:tcBorders>
              <w:top w:val="single" w:sz="8" w:space="0" w:color="FFFFFF"/>
              <w:left w:val="nil"/>
              <w:bottom w:val="single" w:sz="8" w:space="0" w:color="FFFFFF"/>
              <w:right w:val="single" w:sz="8" w:space="0" w:color="FFFFFF"/>
            </w:tcBorders>
            <w:shd w:val="clear" w:color="000000" w:fill="F2F2F2"/>
            <w:hideMark/>
          </w:tcPr>
          <w:p w14:paraId="0A499C38" w14:textId="77777777"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lang w:val="en-US" w:eastAsia="en-AU"/>
              </w:rPr>
              <w:t>Based on the analysis of existing controls above:</w:t>
            </w:r>
          </w:p>
        </w:tc>
        <w:tc>
          <w:tcPr>
            <w:tcW w:w="1440" w:type="dxa"/>
            <w:vMerge w:val="restart"/>
            <w:tcBorders>
              <w:top w:val="nil"/>
              <w:left w:val="single" w:sz="8" w:space="0" w:color="FFFFFF"/>
              <w:bottom w:val="nil"/>
              <w:right w:val="single" w:sz="8" w:space="0" w:color="FFFFFF"/>
            </w:tcBorders>
            <w:shd w:val="clear" w:color="000000" w:fill="F2F2F2"/>
            <w:vAlign w:val="center"/>
            <w:hideMark/>
          </w:tcPr>
          <w:p w14:paraId="0A499C39" w14:textId="77777777" w:rsidR="00DD6694" w:rsidRPr="00DD6694" w:rsidRDefault="00DD6694" w:rsidP="00DD6694">
            <w:pPr>
              <w:suppressAutoHyphens w:val="0"/>
              <w:spacing w:before="0" w:after="0" w:line="240" w:lineRule="auto"/>
              <w:jc w:val="center"/>
              <w:rPr>
                <w:rFonts w:ascii="Arial" w:eastAsia="Times New Roman" w:hAnsi="Arial" w:cs="Arial"/>
                <w:color w:val="000000"/>
                <w:sz w:val="18"/>
                <w:szCs w:val="18"/>
                <w:lang w:eastAsia="en-AU"/>
              </w:rPr>
            </w:pPr>
            <w:r w:rsidRPr="00DD6694">
              <w:rPr>
                <w:rFonts w:ascii="Arial" w:eastAsia="Times New Roman" w:hAnsi="Arial" w:cs="Arial"/>
                <w:color w:val="000000"/>
                <w:w w:val="108"/>
                <w:sz w:val="18"/>
                <w:lang w:val="en-US" w:eastAsia="en-AU"/>
              </w:rPr>
              <w:t>M</w:t>
            </w:r>
          </w:p>
        </w:tc>
        <w:tc>
          <w:tcPr>
            <w:tcW w:w="3100" w:type="dxa"/>
            <w:tcBorders>
              <w:top w:val="nil"/>
              <w:left w:val="nil"/>
              <w:bottom w:val="single" w:sz="8" w:space="0" w:color="FFFFFF"/>
              <w:right w:val="single" w:sz="8" w:space="0" w:color="FFFFFF"/>
            </w:tcBorders>
            <w:shd w:val="clear" w:color="000000" w:fill="F2F2F2"/>
            <w:hideMark/>
          </w:tcPr>
          <w:p w14:paraId="0A499C3A" w14:textId="77777777"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lang w:val="en-US" w:eastAsia="en-AU"/>
              </w:rPr>
              <w:t>Key contributing factors:</w:t>
            </w:r>
          </w:p>
        </w:tc>
      </w:tr>
      <w:tr w:rsidR="00DD6694" w:rsidRPr="00DD6694" w14:paraId="0A499C40" w14:textId="77777777" w:rsidTr="00DD6694">
        <w:trPr>
          <w:trHeight w:val="735"/>
        </w:trPr>
        <w:tc>
          <w:tcPr>
            <w:tcW w:w="1418" w:type="dxa"/>
            <w:vMerge/>
            <w:tcBorders>
              <w:top w:val="nil"/>
              <w:left w:val="single" w:sz="8" w:space="0" w:color="FFFFFF"/>
              <w:bottom w:val="nil"/>
              <w:right w:val="single" w:sz="8" w:space="0" w:color="FFFFFF"/>
            </w:tcBorders>
            <w:vAlign w:val="center"/>
            <w:hideMark/>
          </w:tcPr>
          <w:p w14:paraId="0A499C3C" w14:textId="77777777"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3D" w14:textId="77777777" w:rsidR="00DD6694" w:rsidRPr="000C5020" w:rsidRDefault="00DD6694" w:rsidP="000C5020">
            <w:pPr>
              <w:pStyle w:val="Bullet1"/>
              <w:rPr>
                <w:sz w:val="18"/>
                <w:szCs w:val="18"/>
                <w:lang w:eastAsia="en-AU"/>
              </w:rPr>
            </w:pPr>
            <w:r w:rsidRPr="000C5020">
              <w:rPr>
                <w:sz w:val="18"/>
                <w:szCs w:val="18"/>
                <w:lang w:val="en-US" w:eastAsia="en-AU"/>
              </w:rPr>
              <w:t>Have all existing key controls been identified?</w:t>
            </w:r>
          </w:p>
        </w:tc>
        <w:tc>
          <w:tcPr>
            <w:tcW w:w="1440" w:type="dxa"/>
            <w:vMerge/>
            <w:tcBorders>
              <w:top w:val="nil"/>
              <w:left w:val="single" w:sz="8" w:space="0" w:color="FFFFFF"/>
              <w:bottom w:val="nil"/>
              <w:right w:val="single" w:sz="8" w:space="0" w:color="FFFFFF"/>
            </w:tcBorders>
            <w:vAlign w:val="center"/>
            <w:hideMark/>
          </w:tcPr>
          <w:p w14:paraId="0A499C3E" w14:textId="77777777"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3F" w14:textId="77777777"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lang w:val="en-US" w:eastAsia="en-AU"/>
              </w:rPr>
              <w:t>Controls in place are relatively mature and are subject to periodic review.</w:t>
            </w:r>
          </w:p>
        </w:tc>
      </w:tr>
      <w:tr w:rsidR="00DD6694" w:rsidRPr="00DD6694" w14:paraId="0A499C45" w14:textId="77777777" w:rsidTr="00DD6694">
        <w:trPr>
          <w:trHeight w:val="975"/>
        </w:trPr>
        <w:tc>
          <w:tcPr>
            <w:tcW w:w="1418" w:type="dxa"/>
            <w:vMerge/>
            <w:tcBorders>
              <w:top w:val="nil"/>
              <w:left w:val="single" w:sz="8" w:space="0" w:color="FFFFFF"/>
              <w:bottom w:val="nil"/>
              <w:right w:val="single" w:sz="8" w:space="0" w:color="FFFFFF"/>
            </w:tcBorders>
            <w:vAlign w:val="center"/>
            <w:hideMark/>
          </w:tcPr>
          <w:p w14:paraId="0A499C41" w14:textId="77777777"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42" w14:textId="77777777" w:rsidR="000045A1" w:rsidRPr="000C5020" w:rsidRDefault="00DD6694" w:rsidP="000C5020">
            <w:pPr>
              <w:pStyle w:val="Bullet1"/>
              <w:rPr>
                <w:sz w:val="18"/>
                <w:szCs w:val="18"/>
                <w:lang w:eastAsia="en-AU"/>
              </w:rPr>
            </w:pPr>
            <w:r w:rsidRPr="000C5020">
              <w:rPr>
                <w:sz w:val="18"/>
                <w:szCs w:val="18"/>
                <w:lang w:val="en-US" w:eastAsia="en-AU"/>
              </w:rPr>
              <w:t>What are the key contributing risks remaining after existing controls have been exercised?</w:t>
            </w:r>
          </w:p>
        </w:tc>
        <w:tc>
          <w:tcPr>
            <w:tcW w:w="1440" w:type="dxa"/>
            <w:vMerge/>
            <w:tcBorders>
              <w:top w:val="nil"/>
              <w:left w:val="single" w:sz="8" w:space="0" w:color="FFFFFF"/>
              <w:bottom w:val="nil"/>
              <w:right w:val="single" w:sz="8" w:space="0" w:color="FFFFFF"/>
            </w:tcBorders>
            <w:vAlign w:val="center"/>
            <w:hideMark/>
          </w:tcPr>
          <w:p w14:paraId="0A499C43" w14:textId="77777777"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44" w14:textId="77777777"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lang w:val="en-US" w:eastAsia="en-AU"/>
              </w:rPr>
              <w:t>However the item is material and impr</w:t>
            </w:r>
            <w:r w:rsidR="00983136">
              <w:rPr>
                <w:rFonts w:ascii="Arial" w:eastAsia="Times New Roman" w:hAnsi="Arial" w:cs="Arial"/>
                <w:color w:val="000000"/>
                <w:sz w:val="18"/>
                <w:lang w:val="en-US" w:eastAsia="en-AU"/>
              </w:rPr>
              <w:t>ovements are still required by business a</w:t>
            </w:r>
            <w:r w:rsidRPr="00DD6694">
              <w:rPr>
                <w:rFonts w:ascii="Arial" w:eastAsia="Times New Roman" w:hAnsi="Arial" w:cs="Arial"/>
                <w:color w:val="000000"/>
                <w:sz w:val="18"/>
                <w:lang w:val="en-US" w:eastAsia="en-AU"/>
              </w:rPr>
              <w:t>reas to provide more timely and accurate information.</w:t>
            </w:r>
          </w:p>
        </w:tc>
      </w:tr>
      <w:tr w:rsidR="00DD6694" w:rsidRPr="00DD6694" w14:paraId="0A499C4A" w14:textId="77777777" w:rsidTr="00DD6694">
        <w:trPr>
          <w:trHeight w:val="495"/>
        </w:trPr>
        <w:tc>
          <w:tcPr>
            <w:tcW w:w="1418" w:type="dxa"/>
            <w:vMerge/>
            <w:tcBorders>
              <w:top w:val="nil"/>
              <w:left w:val="single" w:sz="8" w:space="0" w:color="FFFFFF"/>
              <w:bottom w:val="nil"/>
              <w:right w:val="single" w:sz="8" w:space="0" w:color="FFFFFF"/>
            </w:tcBorders>
            <w:vAlign w:val="center"/>
            <w:hideMark/>
          </w:tcPr>
          <w:p w14:paraId="0A499C46" w14:textId="77777777"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47" w14:textId="77777777" w:rsidR="000045A1" w:rsidRPr="000C5020" w:rsidRDefault="00DD6694" w:rsidP="000C5020">
            <w:pPr>
              <w:pStyle w:val="Bullet1"/>
              <w:rPr>
                <w:sz w:val="18"/>
                <w:szCs w:val="18"/>
                <w:lang w:eastAsia="en-AU"/>
              </w:rPr>
            </w:pPr>
            <w:r w:rsidRPr="000C5020">
              <w:rPr>
                <w:sz w:val="18"/>
                <w:szCs w:val="18"/>
                <w:lang w:val="en-US" w:eastAsia="en-AU"/>
              </w:rPr>
              <w:t>What is the overall residual risk rating?</w:t>
            </w:r>
          </w:p>
        </w:tc>
        <w:tc>
          <w:tcPr>
            <w:tcW w:w="1440" w:type="dxa"/>
            <w:vMerge/>
            <w:tcBorders>
              <w:top w:val="nil"/>
              <w:left w:val="single" w:sz="8" w:space="0" w:color="FFFFFF"/>
              <w:bottom w:val="nil"/>
              <w:right w:val="single" w:sz="8" w:space="0" w:color="FFFFFF"/>
            </w:tcBorders>
            <w:vAlign w:val="center"/>
            <w:hideMark/>
          </w:tcPr>
          <w:p w14:paraId="0A499C48" w14:textId="77777777"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14:paraId="0A499C49" w14:textId="77777777"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szCs w:val="18"/>
                <w:lang w:eastAsia="en-AU"/>
              </w:rPr>
              <w:t> </w:t>
            </w:r>
          </w:p>
        </w:tc>
      </w:tr>
    </w:tbl>
    <w:p w14:paraId="0A499C4B" w14:textId="77777777" w:rsidR="00EB5466" w:rsidRDefault="00EB5466" w:rsidP="00EB5466">
      <w:r>
        <w:br w:type="page"/>
      </w:r>
    </w:p>
    <w:p w14:paraId="0A499C4C" w14:textId="77777777" w:rsidR="00827298" w:rsidRPr="0031022B" w:rsidRDefault="00827298" w:rsidP="0031022B">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31022B">
        <w:rPr>
          <w:rFonts w:asciiTheme="minorHAnsi" w:eastAsiaTheme="minorHAnsi" w:hAnsiTheme="minorHAnsi" w:cstheme="minorBidi"/>
          <w:b/>
          <w:bCs w:val="0"/>
          <w:color w:val="auto"/>
          <w:sz w:val="24"/>
          <w:szCs w:val="24"/>
        </w:rPr>
        <w:t>Steps 3 and 4: Summarise risk ratings and determine actions required</w:t>
      </w:r>
    </w:p>
    <w:tbl>
      <w:tblPr>
        <w:tblW w:w="8879" w:type="dxa"/>
        <w:tblLook w:val="04A0" w:firstRow="1" w:lastRow="0" w:firstColumn="1" w:lastColumn="0" w:noHBand="0" w:noVBand="1"/>
        <w:tblCaption w:val="Risk Rating Summary for Financial Statement Items"/>
        <w:tblDescription w:val="This table is an example of a financial statements risk analysis, summarising a series of risk assessments made for different financial statements items.&#10;"/>
      </w:tblPr>
      <w:tblGrid>
        <w:gridCol w:w="683"/>
        <w:gridCol w:w="1392"/>
        <w:gridCol w:w="1017"/>
        <w:gridCol w:w="1019"/>
        <w:gridCol w:w="129"/>
        <w:gridCol w:w="876"/>
        <w:gridCol w:w="129"/>
        <w:gridCol w:w="921"/>
        <w:gridCol w:w="129"/>
        <w:gridCol w:w="2584"/>
      </w:tblGrid>
      <w:tr w:rsidR="00251B7E" w:rsidRPr="00BA1535" w14:paraId="0A499C55" w14:textId="77777777" w:rsidTr="00BE7B8D">
        <w:trPr>
          <w:trHeight w:val="780"/>
          <w:tblHeader/>
        </w:trPr>
        <w:tc>
          <w:tcPr>
            <w:tcW w:w="683" w:type="dxa"/>
            <w:tcBorders>
              <w:top w:val="single" w:sz="8" w:space="0" w:color="auto"/>
              <w:left w:val="nil"/>
              <w:bottom w:val="single" w:sz="8" w:space="0" w:color="FFFFFF"/>
              <w:right w:val="nil"/>
            </w:tcBorders>
            <w:shd w:val="clear" w:color="auto" w:fill="000000" w:themeFill="text1"/>
            <w:vAlign w:val="center"/>
            <w:hideMark/>
          </w:tcPr>
          <w:p w14:paraId="0A499C4D" w14:textId="77777777"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w w:val="105"/>
                <w:sz w:val="18"/>
                <w:szCs w:val="18"/>
                <w:lang w:val="en-US" w:eastAsia="en-AU"/>
              </w:rPr>
              <w:t>Note</w:t>
            </w:r>
          </w:p>
        </w:tc>
        <w:tc>
          <w:tcPr>
            <w:tcW w:w="1392" w:type="dxa"/>
            <w:tcBorders>
              <w:top w:val="single" w:sz="8" w:space="0" w:color="auto"/>
              <w:left w:val="nil"/>
              <w:bottom w:val="nil"/>
              <w:right w:val="nil"/>
            </w:tcBorders>
            <w:shd w:val="clear" w:color="auto" w:fill="000000" w:themeFill="text1"/>
            <w:vAlign w:val="center"/>
            <w:hideMark/>
          </w:tcPr>
          <w:p w14:paraId="0A499C4E" w14:textId="77777777"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w w:val="105"/>
                <w:sz w:val="18"/>
                <w:szCs w:val="18"/>
                <w:lang w:val="en-US" w:eastAsia="en-AU"/>
              </w:rPr>
              <w:t>Item</w:t>
            </w:r>
          </w:p>
        </w:tc>
        <w:tc>
          <w:tcPr>
            <w:tcW w:w="1017" w:type="dxa"/>
            <w:tcBorders>
              <w:top w:val="single" w:sz="8" w:space="0" w:color="auto"/>
              <w:left w:val="nil"/>
              <w:bottom w:val="single" w:sz="8" w:space="0" w:color="FFFFFF"/>
              <w:right w:val="nil"/>
            </w:tcBorders>
            <w:shd w:val="clear" w:color="auto" w:fill="000000" w:themeFill="text1"/>
            <w:vAlign w:val="center"/>
            <w:hideMark/>
          </w:tcPr>
          <w:p w14:paraId="0A499C4F" w14:textId="77777777"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20X2–X3 Budget ($’000)</w:t>
            </w:r>
          </w:p>
        </w:tc>
        <w:tc>
          <w:tcPr>
            <w:tcW w:w="1148" w:type="dxa"/>
            <w:gridSpan w:val="2"/>
            <w:tcBorders>
              <w:top w:val="single" w:sz="8" w:space="0" w:color="auto"/>
              <w:left w:val="nil"/>
              <w:bottom w:val="single" w:sz="8" w:space="0" w:color="FFFFFF"/>
              <w:right w:val="nil"/>
            </w:tcBorders>
            <w:shd w:val="clear" w:color="auto" w:fill="000000" w:themeFill="text1"/>
            <w:vAlign w:val="center"/>
            <w:hideMark/>
          </w:tcPr>
          <w:p w14:paraId="0A499C50" w14:textId="77777777"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20X1–X2 Actual ($’000)</w:t>
            </w:r>
          </w:p>
        </w:tc>
        <w:tc>
          <w:tcPr>
            <w:tcW w:w="1005" w:type="dxa"/>
            <w:gridSpan w:val="2"/>
            <w:tcBorders>
              <w:top w:val="single" w:sz="8" w:space="0" w:color="auto"/>
              <w:left w:val="nil"/>
              <w:bottom w:val="single" w:sz="8" w:space="0" w:color="FFFFFF"/>
              <w:right w:val="nil"/>
            </w:tcBorders>
            <w:shd w:val="clear" w:color="auto" w:fill="000000" w:themeFill="text1"/>
            <w:vAlign w:val="center"/>
            <w:hideMark/>
          </w:tcPr>
          <w:p w14:paraId="0A499C51" w14:textId="77777777"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Inherent Risk Rating</w:t>
            </w:r>
          </w:p>
        </w:tc>
        <w:tc>
          <w:tcPr>
            <w:tcW w:w="1050" w:type="dxa"/>
            <w:gridSpan w:val="2"/>
            <w:tcBorders>
              <w:top w:val="single" w:sz="8" w:space="0" w:color="auto"/>
              <w:left w:val="nil"/>
              <w:bottom w:val="nil"/>
              <w:right w:val="nil"/>
            </w:tcBorders>
            <w:shd w:val="clear" w:color="auto" w:fill="000000" w:themeFill="text1"/>
            <w:vAlign w:val="center"/>
            <w:hideMark/>
          </w:tcPr>
          <w:p w14:paraId="0A499C52" w14:textId="77777777"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Residual Risk Rating</w:t>
            </w:r>
          </w:p>
        </w:tc>
        <w:tc>
          <w:tcPr>
            <w:tcW w:w="2584" w:type="dxa"/>
            <w:tcBorders>
              <w:top w:val="single" w:sz="8" w:space="0" w:color="auto"/>
              <w:left w:val="nil"/>
              <w:bottom w:val="single" w:sz="8" w:space="0" w:color="FFFFFF"/>
              <w:right w:val="nil"/>
            </w:tcBorders>
            <w:shd w:val="clear" w:color="auto" w:fill="000000" w:themeFill="text1"/>
            <w:vAlign w:val="center"/>
            <w:hideMark/>
          </w:tcPr>
          <w:p w14:paraId="0A499C53" w14:textId="77777777" w:rsidR="00983136" w:rsidRDefault="00BA1535" w:rsidP="00BA1535">
            <w:pPr>
              <w:suppressAutoHyphens w:val="0"/>
              <w:spacing w:before="0" w:after="0" w:line="240" w:lineRule="auto"/>
              <w:jc w:val="center"/>
              <w:rPr>
                <w:rFonts w:ascii="Arial" w:eastAsia="Times New Roman" w:hAnsi="Arial" w:cs="Arial"/>
                <w:b/>
                <w:bCs/>
                <w:color w:val="FFFFFF"/>
                <w:sz w:val="18"/>
                <w:szCs w:val="18"/>
                <w:lang w:val="en-US" w:eastAsia="en-AU"/>
              </w:rPr>
            </w:pPr>
            <w:r w:rsidRPr="00BA1535">
              <w:rPr>
                <w:rFonts w:ascii="Arial" w:eastAsia="Times New Roman" w:hAnsi="Arial" w:cs="Arial"/>
                <w:b/>
                <w:bCs/>
                <w:color w:val="FFFFFF"/>
                <w:sz w:val="18"/>
                <w:szCs w:val="18"/>
                <w:lang w:val="en-US" w:eastAsia="en-AU"/>
              </w:rPr>
              <w:t xml:space="preserve">Key Actions </w:t>
            </w:r>
          </w:p>
          <w:p w14:paraId="0A499C54" w14:textId="77777777"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Taken/ Required</w:t>
            </w:r>
          </w:p>
        </w:tc>
      </w:tr>
      <w:tr w:rsidR="00251B7E" w:rsidRPr="00BA1535" w14:paraId="0A499C5D" w14:textId="77777777" w:rsidTr="00EB5466">
        <w:trPr>
          <w:trHeight w:val="461"/>
        </w:trPr>
        <w:tc>
          <w:tcPr>
            <w:tcW w:w="683" w:type="dxa"/>
            <w:tcBorders>
              <w:top w:val="nil"/>
              <w:left w:val="single" w:sz="8" w:space="0" w:color="FFFFFF"/>
              <w:bottom w:val="nil"/>
              <w:right w:val="single" w:sz="8" w:space="0" w:color="FFFFFF"/>
            </w:tcBorders>
            <w:shd w:val="clear" w:color="000000" w:fill="E2E3E2"/>
            <w:hideMark/>
          </w:tcPr>
          <w:p w14:paraId="0A499C56"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3A</w:t>
            </w:r>
          </w:p>
        </w:tc>
        <w:tc>
          <w:tcPr>
            <w:tcW w:w="1392" w:type="dxa"/>
            <w:tcBorders>
              <w:top w:val="single" w:sz="8" w:space="0" w:color="FFFFFF"/>
              <w:left w:val="nil"/>
              <w:bottom w:val="single" w:sz="8" w:space="0" w:color="FFFFFF"/>
              <w:right w:val="single" w:sz="8" w:space="0" w:color="FFFFFF"/>
            </w:tcBorders>
            <w:shd w:val="clear" w:color="000000" w:fill="F2F2F2"/>
            <w:hideMark/>
          </w:tcPr>
          <w:p w14:paraId="0A499C57"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Revenues from Government</w:t>
            </w:r>
          </w:p>
        </w:tc>
        <w:tc>
          <w:tcPr>
            <w:tcW w:w="1017" w:type="dxa"/>
            <w:tcBorders>
              <w:top w:val="nil"/>
              <w:left w:val="nil"/>
              <w:bottom w:val="single" w:sz="8" w:space="0" w:color="FFFFFF"/>
              <w:right w:val="single" w:sz="8" w:space="0" w:color="FFFFFF"/>
            </w:tcBorders>
            <w:shd w:val="clear" w:color="000000" w:fill="F2F2F2"/>
            <w:hideMark/>
          </w:tcPr>
          <w:p w14:paraId="0A499C58"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260,700 </w:t>
            </w:r>
          </w:p>
        </w:tc>
        <w:tc>
          <w:tcPr>
            <w:tcW w:w="1019" w:type="dxa"/>
            <w:tcBorders>
              <w:top w:val="nil"/>
              <w:left w:val="nil"/>
              <w:bottom w:val="single" w:sz="8" w:space="0" w:color="FFFFFF"/>
              <w:right w:val="single" w:sz="8" w:space="0" w:color="FFFFFF"/>
            </w:tcBorders>
            <w:shd w:val="clear" w:color="000000" w:fill="F2F2F2"/>
            <w:hideMark/>
          </w:tcPr>
          <w:p w14:paraId="0A499C59"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5A"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14:paraId="0A499C5B"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5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14:paraId="0A499C6A" w14:textId="77777777" w:rsidTr="00EB5466">
        <w:trPr>
          <w:trHeight w:val="2175"/>
        </w:trPr>
        <w:tc>
          <w:tcPr>
            <w:tcW w:w="683" w:type="dxa"/>
            <w:tcBorders>
              <w:top w:val="single" w:sz="8" w:space="0" w:color="FFFFFF"/>
              <w:left w:val="single" w:sz="8" w:space="0" w:color="FFFFFF"/>
              <w:bottom w:val="nil"/>
              <w:right w:val="single" w:sz="8" w:space="0" w:color="FFFFFF"/>
            </w:tcBorders>
            <w:shd w:val="clear" w:color="000000" w:fill="E2E3E2"/>
            <w:hideMark/>
          </w:tcPr>
          <w:p w14:paraId="0A499C5E"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3B</w:t>
            </w:r>
          </w:p>
        </w:tc>
        <w:tc>
          <w:tcPr>
            <w:tcW w:w="1392" w:type="dxa"/>
            <w:tcBorders>
              <w:top w:val="nil"/>
              <w:left w:val="nil"/>
              <w:bottom w:val="single" w:sz="8" w:space="0" w:color="FFFFFF"/>
              <w:right w:val="single" w:sz="8" w:space="0" w:color="FFFFFF"/>
            </w:tcBorders>
            <w:shd w:val="clear" w:color="000000" w:fill="F2F2F2"/>
            <w:hideMark/>
          </w:tcPr>
          <w:p w14:paraId="0A499C5F"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Sale of goods and rendering of services</w:t>
            </w:r>
          </w:p>
        </w:tc>
        <w:tc>
          <w:tcPr>
            <w:tcW w:w="1017" w:type="dxa"/>
            <w:tcBorders>
              <w:top w:val="nil"/>
              <w:left w:val="nil"/>
              <w:bottom w:val="single" w:sz="8" w:space="0" w:color="FFFFFF"/>
              <w:right w:val="single" w:sz="8" w:space="0" w:color="FFFFFF"/>
            </w:tcBorders>
            <w:shd w:val="clear" w:color="000000" w:fill="F2F2F2"/>
            <w:hideMark/>
          </w:tcPr>
          <w:p w14:paraId="0A499C60"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497,900 </w:t>
            </w:r>
          </w:p>
        </w:tc>
        <w:tc>
          <w:tcPr>
            <w:tcW w:w="1019" w:type="dxa"/>
            <w:tcBorders>
              <w:top w:val="nil"/>
              <w:left w:val="nil"/>
              <w:bottom w:val="single" w:sz="8" w:space="0" w:color="FFFFFF"/>
              <w:right w:val="single" w:sz="8" w:space="0" w:color="FFFFFF"/>
            </w:tcBorders>
            <w:shd w:val="clear" w:color="000000" w:fill="F2F2F2"/>
            <w:hideMark/>
          </w:tcPr>
          <w:p w14:paraId="0A499C6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nil"/>
              <w:right w:val="single" w:sz="8" w:space="0" w:color="FFFFFF"/>
            </w:tcBorders>
            <w:shd w:val="clear" w:color="000000" w:fill="F2F2F2"/>
            <w:hideMark/>
          </w:tcPr>
          <w:p w14:paraId="0A499C62"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nil"/>
              <w:right w:val="single" w:sz="8" w:space="0" w:color="FFFFFF"/>
            </w:tcBorders>
            <w:shd w:val="clear" w:color="000000" w:fill="F2F2F2"/>
            <w:hideMark/>
          </w:tcPr>
          <w:p w14:paraId="0A499C63"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2713" w:type="dxa"/>
            <w:gridSpan w:val="2"/>
            <w:tcBorders>
              <w:top w:val="nil"/>
              <w:left w:val="nil"/>
              <w:bottom w:val="single" w:sz="8" w:space="0" w:color="FFFFFF"/>
              <w:right w:val="single" w:sz="8" w:space="0" w:color="FFFFFF"/>
            </w:tcBorders>
            <w:shd w:val="clear" w:color="000000" w:fill="F2F2F2"/>
            <w:hideMark/>
          </w:tcPr>
          <w:p w14:paraId="0A499C64" w14:textId="77777777" w:rsidR="00EB5466" w:rsidRDefault="00BA1535" w:rsidP="00E36272">
            <w:pPr>
              <w:suppressAutoHyphens w:val="0"/>
              <w:spacing w:before="0" w:after="0" w:line="240" w:lineRule="auto"/>
              <w:rPr>
                <w:rFonts w:ascii="Arial" w:eastAsia="Times New Roman" w:hAnsi="Arial" w:cs="Arial"/>
                <w:color w:val="000000"/>
                <w:sz w:val="18"/>
                <w:lang w:val="en-US" w:eastAsia="en-AU"/>
              </w:rPr>
            </w:pPr>
            <w:r w:rsidRPr="00BA1535">
              <w:rPr>
                <w:rFonts w:ascii="Arial" w:eastAsia="Times New Roman" w:hAnsi="Arial" w:cs="Arial"/>
                <w:color w:val="000000"/>
                <w:sz w:val="18"/>
                <w:lang w:val="en-US" w:eastAsia="en-AU"/>
              </w:rPr>
              <w:t xml:space="preserve">Additional resources will be committed to reconcile work in progress and revenue by 31 October. </w:t>
            </w:r>
          </w:p>
          <w:p w14:paraId="0A499C65" w14:textId="77777777" w:rsidR="00EB5466" w:rsidRDefault="00EB5466" w:rsidP="00E36272">
            <w:pPr>
              <w:suppressAutoHyphens w:val="0"/>
              <w:spacing w:before="0" w:after="0" w:line="240" w:lineRule="auto"/>
              <w:rPr>
                <w:rFonts w:ascii="Arial" w:eastAsia="Times New Roman" w:hAnsi="Arial" w:cs="Arial"/>
                <w:color w:val="000000"/>
                <w:sz w:val="18"/>
                <w:lang w:val="en-US" w:eastAsia="en-AU"/>
              </w:rPr>
            </w:pPr>
          </w:p>
          <w:p w14:paraId="0A499C66" w14:textId="77777777" w:rsidR="00983136" w:rsidRDefault="00BA1535" w:rsidP="00E36272">
            <w:pPr>
              <w:suppressAutoHyphens w:val="0"/>
              <w:spacing w:before="0" w:after="0" w:line="240" w:lineRule="auto"/>
              <w:rPr>
                <w:rFonts w:ascii="Arial" w:eastAsia="Times New Roman" w:hAnsi="Arial" w:cs="Arial"/>
                <w:color w:val="000000"/>
                <w:sz w:val="18"/>
                <w:lang w:val="en-US" w:eastAsia="en-AU"/>
              </w:rPr>
            </w:pPr>
            <w:r w:rsidRPr="00BA1535">
              <w:rPr>
                <w:rFonts w:ascii="Arial" w:eastAsia="Times New Roman" w:hAnsi="Arial" w:cs="Arial"/>
                <w:color w:val="000000"/>
                <w:sz w:val="18"/>
                <w:lang w:val="en-US" w:eastAsia="en-AU"/>
              </w:rPr>
              <w:t>Information collection pack will be reviewed to ensure accurate reve</w:t>
            </w:r>
            <w:r w:rsidR="00983136">
              <w:rPr>
                <w:rFonts w:ascii="Arial" w:eastAsia="Times New Roman" w:hAnsi="Arial" w:cs="Arial"/>
                <w:color w:val="000000"/>
                <w:sz w:val="18"/>
                <w:lang w:val="en-US" w:eastAsia="en-AU"/>
              </w:rPr>
              <w:t>nue information is provided by business a</w:t>
            </w:r>
            <w:r w:rsidRPr="00BA1535">
              <w:rPr>
                <w:rFonts w:ascii="Arial" w:eastAsia="Times New Roman" w:hAnsi="Arial" w:cs="Arial"/>
                <w:color w:val="000000"/>
                <w:sz w:val="18"/>
                <w:lang w:val="en-US" w:eastAsia="en-AU"/>
              </w:rPr>
              <w:t xml:space="preserve">reas. </w:t>
            </w:r>
          </w:p>
          <w:p w14:paraId="0A499C67" w14:textId="77777777" w:rsidR="00983136" w:rsidRDefault="00983136" w:rsidP="00E36272">
            <w:pPr>
              <w:suppressAutoHyphens w:val="0"/>
              <w:spacing w:before="0" w:after="0" w:line="240" w:lineRule="auto"/>
              <w:rPr>
                <w:rFonts w:ascii="Arial" w:eastAsia="Times New Roman" w:hAnsi="Arial" w:cs="Arial"/>
                <w:color w:val="000000"/>
                <w:sz w:val="18"/>
                <w:lang w:val="en-US" w:eastAsia="en-AU"/>
              </w:rPr>
            </w:pPr>
          </w:p>
          <w:p w14:paraId="0A499C68" w14:textId="77777777" w:rsidR="00BA1535" w:rsidRDefault="00BA1535" w:rsidP="00E36272">
            <w:pPr>
              <w:suppressAutoHyphens w:val="0"/>
              <w:spacing w:before="0" w:after="0" w:line="240" w:lineRule="auto"/>
              <w:rPr>
                <w:rFonts w:ascii="Arial" w:eastAsia="Times New Roman" w:hAnsi="Arial" w:cs="Arial"/>
                <w:color w:val="000000"/>
                <w:sz w:val="18"/>
                <w:lang w:val="en-US" w:eastAsia="en-AU"/>
              </w:rPr>
            </w:pPr>
            <w:r w:rsidRPr="00BA1535">
              <w:rPr>
                <w:rFonts w:ascii="Arial" w:eastAsia="Times New Roman" w:hAnsi="Arial" w:cs="Arial"/>
                <w:color w:val="000000"/>
                <w:sz w:val="18"/>
                <w:lang w:val="en-US" w:eastAsia="en-AU"/>
              </w:rPr>
              <w:t>Prior year audit findings are being followed up.</w:t>
            </w:r>
          </w:p>
          <w:p w14:paraId="0A499C69" w14:textId="77777777" w:rsidR="00983136" w:rsidRPr="00BA1535" w:rsidRDefault="00983136" w:rsidP="00E36272">
            <w:pPr>
              <w:suppressAutoHyphens w:val="0"/>
              <w:spacing w:before="0" w:after="0" w:line="240" w:lineRule="auto"/>
              <w:rPr>
                <w:rFonts w:ascii="Arial" w:eastAsia="Times New Roman" w:hAnsi="Arial" w:cs="Arial"/>
                <w:color w:val="000000"/>
                <w:sz w:val="18"/>
                <w:szCs w:val="18"/>
                <w:lang w:eastAsia="en-AU"/>
              </w:rPr>
            </w:pPr>
          </w:p>
        </w:tc>
      </w:tr>
      <w:tr w:rsidR="00251B7E" w:rsidRPr="00BA1535" w14:paraId="0A499C72" w14:textId="77777777" w:rsidTr="00EB5466">
        <w:trPr>
          <w:trHeight w:val="343"/>
        </w:trPr>
        <w:tc>
          <w:tcPr>
            <w:tcW w:w="683" w:type="dxa"/>
            <w:tcBorders>
              <w:top w:val="single" w:sz="8" w:space="0" w:color="FFFFFF"/>
              <w:left w:val="single" w:sz="8" w:space="0" w:color="FFFFFF"/>
              <w:bottom w:val="nil"/>
              <w:right w:val="single" w:sz="8" w:space="0" w:color="FFFFFF"/>
            </w:tcBorders>
            <w:shd w:val="clear" w:color="000000" w:fill="E2E3E2"/>
            <w:hideMark/>
          </w:tcPr>
          <w:p w14:paraId="0A499C6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3C</w:t>
            </w:r>
          </w:p>
        </w:tc>
        <w:tc>
          <w:tcPr>
            <w:tcW w:w="1392" w:type="dxa"/>
            <w:tcBorders>
              <w:top w:val="nil"/>
              <w:left w:val="nil"/>
              <w:bottom w:val="single" w:sz="8" w:space="0" w:color="FFFFFF"/>
              <w:right w:val="single" w:sz="8" w:space="0" w:color="FFFFFF"/>
            </w:tcBorders>
            <w:shd w:val="clear" w:color="000000" w:fill="F2F2F2"/>
            <w:hideMark/>
          </w:tcPr>
          <w:p w14:paraId="0A499C6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Other revenue</w:t>
            </w:r>
          </w:p>
        </w:tc>
        <w:tc>
          <w:tcPr>
            <w:tcW w:w="1017" w:type="dxa"/>
            <w:tcBorders>
              <w:top w:val="nil"/>
              <w:left w:val="nil"/>
              <w:bottom w:val="single" w:sz="8" w:space="0" w:color="FFFFFF"/>
              <w:right w:val="single" w:sz="8" w:space="0" w:color="FFFFFF"/>
            </w:tcBorders>
            <w:shd w:val="clear" w:color="000000" w:fill="F2F2F2"/>
            <w:hideMark/>
          </w:tcPr>
          <w:p w14:paraId="0A499C6D"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1,200 </w:t>
            </w:r>
          </w:p>
        </w:tc>
        <w:tc>
          <w:tcPr>
            <w:tcW w:w="1019" w:type="dxa"/>
            <w:tcBorders>
              <w:top w:val="nil"/>
              <w:left w:val="nil"/>
              <w:bottom w:val="single" w:sz="8" w:space="0" w:color="FFFFFF"/>
              <w:right w:val="single" w:sz="8" w:space="0" w:color="FFFFFF"/>
            </w:tcBorders>
            <w:shd w:val="clear" w:color="000000" w:fill="F2F2F2"/>
            <w:hideMark/>
          </w:tcPr>
          <w:p w14:paraId="0A499C6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single" w:sz="8" w:space="0" w:color="FFFFFF"/>
              <w:left w:val="nil"/>
              <w:bottom w:val="single" w:sz="8" w:space="0" w:color="FFFFFF"/>
              <w:right w:val="single" w:sz="8" w:space="0" w:color="FFFFFF"/>
            </w:tcBorders>
            <w:shd w:val="clear" w:color="000000" w:fill="F2F2F2"/>
            <w:hideMark/>
          </w:tcPr>
          <w:p w14:paraId="0A499C6F"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14:paraId="0A499C70"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7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14:paraId="0A499C7A" w14:textId="77777777" w:rsidTr="00EB5466">
        <w:trPr>
          <w:trHeight w:val="1669"/>
        </w:trPr>
        <w:tc>
          <w:tcPr>
            <w:tcW w:w="683" w:type="dxa"/>
            <w:tcBorders>
              <w:top w:val="single" w:sz="8" w:space="0" w:color="FFFFFF"/>
              <w:left w:val="single" w:sz="8" w:space="0" w:color="FFFFFF"/>
              <w:bottom w:val="nil"/>
              <w:right w:val="single" w:sz="8" w:space="0" w:color="FFFFFF"/>
            </w:tcBorders>
            <w:shd w:val="clear" w:color="000000" w:fill="E2E3E2"/>
            <w:hideMark/>
          </w:tcPr>
          <w:p w14:paraId="0A499C73"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3E</w:t>
            </w:r>
          </w:p>
        </w:tc>
        <w:tc>
          <w:tcPr>
            <w:tcW w:w="1392" w:type="dxa"/>
            <w:tcBorders>
              <w:top w:val="nil"/>
              <w:left w:val="nil"/>
              <w:bottom w:val="single" w:sz="8" w:space="0" w:color="FFFFFF"/>
              <w:right w:val="single" w:sz="8" w:space="0" w:color="FFFFFF"/>
            </w:tcBorders>
            <w:shd w:val="clear" w:color="000000" w:fill="F2F2F2"/>
            <w:hideMark/>
          </w:tcPr>
          <w:p w14:paraId="0A499C74"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Other gains</w:t>
            </w:r>
          </w:p>
        </w:tc>
        <w:tc>
          <w:tcPr>
            <w:tcW w:w="1017" w:type="dxa"/>
            <w:tcBorders>
              <w:top w:val="nil"/>
              <w:left w:val="nil"/>
              <w:bottom w:val="single" w:sz="8" w:space="0" w:color="FFFFFF"/>
              <w:right w:val="single" w:sz="8" w:space="0" w:color="FFFFFF"/>
            </w:tcBorders>
            <w:shd w:val="clear" w:color="000000" w:fill="F2F2F2"/>
            <w:hideMark/>
          </w:tcPr>
          <w:p w14:paraId="0A499C75"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77,200 </w:t>
            </w:r>
          </w:p>
        </w:tc>
        <w:tc>
          <w:tcPr>
            <w:tcW w:w="1019" w:type="dxa"/>
            <w:tcBorders>
              <w:top w:val="nil"/>
              <w:left w:val="nil"/>
              <w:bottom w:val="single" w:sz="8" w:space="0" w:color="FFFFFF"/>
              <w:right w:val="single" w:sz="8" w:space="0" w:color="FFFFFF"/>
            </w:tcBorders>
            <w:shd w:val="clear" w:color="000000" w:fill="F2F2F2"/>
            <w:hideMark/>
          </w:tcPr>
          <w:p w14:paraId="0A499C76"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77"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14:paraId="0A499C7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2713" w:type="dxa"/>
            <w:gridSpan w:val="2"/>
            <w:tcBorders>
              <w:top w:val="nil"/>
              <w:left w:val="nil"/>
              <w:bottom w:val="single" w:sz="8" w:space="0" w:color="FFFFFF"/>
              <w:right w:val="single" w:sz="8" w:space="0" w:color="FFFFFF"/>
            </w:tcBorders>
            <w:shd w:val="clear" w:color="000000" w:fill="F2F2F2"/>
            <w:hideMark/>
          </w:tcPr>
          <w:p w14:paraId="0A499C79"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Additional resources will be used to review ‘resources received free of charge’ and ‘write-down of inventories’ which have not been reviewed comprehensively for the past three years.</w:t>
            </w:r>
          </w:p>
        </w:tc>
      </w:tr>
      <w:tr w:rsidR="00251B7E" w:rsidRPr="00BA1535" w14:paraId="0A499C82" w14:textId="77777777" w:rsidTr="00EB5466">
        <w:trPr>
          <w:trHeight w:val="403"/>
        </w:trPr>
        <w:tc>
          <w:tcPr>
            <w:tcW w:w="683" w:type="dxa"/>
            <w:tcBorders>
              <w:top w:val="single" w:sz="8" w:space="0" w:color="FFFFFF"/>
              <w:left w:val="single" w:sz="8" w:space="0" w:color="FFFFFF"/>
              <w:bottom w:val="nil"/>
              <w:right w:val="single" w:sz="8" w:space="0" w:color="FFFFFF"/>
            </w:tcBorders>
            <w:shd w:val="clear" w:color="000000" w:fill="E2E3E2"/>
            <w:hideMark/>
          </w:tcPr>
          <w:p w14:paraId="0A499C7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4A</w:t>
            </w:r>
          </w:p>
        </w:tc>
        <w:tc>
          <w:tcPr>
            <w:tcW w:w="1392" w:type="dxa"/>
            <w:tcBorders>
              <w:top w:val="nil"/>
              <w:left w:val="nil"/>
              <w:bottom w:val="single" w:sz="8" w:space="0" w:color="FFFFFF"/>
              <w:right w:val="single" w:sz="8" w:space="0" w:color="FFFFFF"/>
            </w:tcBorders>
            <w:shd w:val="clear" w:color="000000" w:fill="F2F2F2"/>
            <w:hideMark/>
          </w:tcPr>
          <w:p w14:paraId="0A499C7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Employee benefits</w:t>
            </w:r>
          </w:p>
        </w:tc>
        <w:tc>
          <w:tcPr>
            <w:tcW w:w="1017" w:type="dxa"/>
            <w:tcBorders>
              <w:top w:val="nil"/>
              <w:left w:val="nil"/>
              <w:bottom w:val="single" w:sz="8" w:space="0" w:color="FFFFFF"/>
              <w:right w:val="single" w:sz="8" w:space="0" w:color="FFFFFF"/>
            </w:tcBorders>
            <w:shd w:val="clear" w:color="000000" w:fill="F2F2F2"/>
            <w:hideMark/>
          </w:tcPr>
          <w:p w14:paraId="0A499C7D" w14:textId="77777777" w:rsidR="00BA1535" w:rsidRPr="00BA1535" w:rsidRDefault="00BA1535" w:rsidP="00983136">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136,500 </w:t>
            </w:r>
          </w:p>
        </w:tc>
        <w:tc>
          <w:tcPr>
            <w:tcW w:w="1019" w:type="dxa"/>
            <w:tcBorders>
              <w:top w:val="nil"/>
              <w:left w:val="nil"/>
              <w:bottom w:val="single" w:sz="8" w:space="0" w:color="FFFFFF"/>
              <w:right w:val="single" w:sz="8" w:space="0" w:color="FFFFFF"/>
            </w:tcBorders>
            <w:shd w:val="clear" w:color="000000" w:fill="F2F2F2"/>
            <w:hideMark/>
          </w:tcPr>
          <w:p w14:paraId="0A499C7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7F"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14:paraId="0A499C80"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8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14:paraId="0A499C8A" w14:textId="77777777" w:rsidTr="00EB5466">
        <w:trPr>
          <w:trHeight w:val="480"/>
        </w:trPr>
        <w:tc>
          <w:tcPr>
            <w:tcW w:w="683" w:type="dxa"/>
            <w:tcBorders>
              <w:top w:val="single" w:sz="8" w:space="0" w:color="FFFFFF"/>
              <w:left w:val="single" w:sz="8" w:space="0" w:color="FFFFFF"/>
              <w:bottom w:val="nil"/>
              <w:right w:val="single" w:sz="8" w:space="0" w:color="FFFFFF"/>
            </w:tcBorders>
            <w:shd w:val="clear" w:color="000000" w:fill="E2E3E2"/>
            <w:hideMark/>
          </w:tcPr>
          <w:p w14:paraId="0A499C83"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4B</w:t>
            </w:r>
          </w:p>
        </w:tc>
        <w:tc>
          <w:tcPr>
            <w:tcW w:w="1392" w:type="dxa"/>
            <w:tcBorders>
              <w:top w:val="nil"/>
              <w:left w:val="nil"/>
              <w:bottom w:val="single" w:sz="8" w:space="0" w:color="FFFFFF"/>
              <w:right w:val="single" w:sz="8" w:space="0" w:color="FFFFFF"/>
            </w:tcBorders>
            <w:shd w:val="clear" w:color="000000" w:fill="F2F2F2"/>
            <w:hideMark/>
          </w:tcPr>
          <w:p w14:paraId="0A499C84"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Suppliers</w:t>
            </w:r>
          </w:p>
        </w:tc>
        <w:tc>
          <w:tcPr>
            <w:tcW w:w="1017" w:type="dxa"/>
            <w:tcBorders>
              <w:top w:val="nil"/>
              <w:left w:val="nil"/>
              <w:bottom w:val="single" w:sz="8" w:space="0" w:color="FFFFFF"/>
              <w:right w:val="single" w:sz="8" w:space="0" w:color="FFFFFF"/>
            </w:tcBorders>
            <w:shd w:val="clear" w:color="000000" w:fill="F2F2F2"/>
            <w:hideMark/>
          </w:tcPr>
          <w:p w14:paraId="0A499C85"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130,200 </w:t>
            </w:r>
          </w:p>
        </w:tc>
        <w:tc>
          <w:tcPr>
            <w:tcW w:w="1019" w:type="dxa"/>
            <w:tcBorders>
              <w:top w:val="nil"/>
              <w:left w:val="nil"/>
              <w:bottom w:val="single" w:sz="8" w:space="0" w:color="FFFFFF"/>
              <w:right w:val="single" w:sz="8" w:space="0" w:color="FFFFFF"/>
            </w:tcBorders>
            <w:shd w:val="clear" w:color="000000" w:fill="F2F2F2"/>
            <w:hideMark/>
          </w:tcPr>
          <w:p w14:paraId="0A499C86"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87"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14:paraId="0A499C8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89"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14:paraId="0A499C92" w14:textId="77777777" w:rsidTr="00EB5466">
        <w:trPr>
          <w:trHeight w:val="718"/>
        </w:trPr>
        <w:tc>
          <w:tcPr>
            <w:tcW w:w="683" w:type="dxa"/>
            <w:tcBorders>
              <w:top w:val="single" w:sz="8" w:space="0" w:color="FFFFFF"/>
              <w:left w:val="single" w:sz="8" w:space="0" w:color="FFFFFF"/>
              <w:bottom w:val="nil"/>
              <w:right w:val="single" w:sz="8" w:space="0" w:color="FFFFFF"/>
            </w:tcBorders>
            <w:shd w:val="clear" w:color="000000" w:fill="E2E3E2"/>
            <w:hideMark/>
          </w:tcPr>
          <w:p w14:paraId="0A499C8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4C</w:t>
            </w:r>
          </w:p>
        </w:tc>
        <w:tc>
          <w:tcPr>
            <w:tcW w:w="1392" w:type="dxa"/>
            <w:tcBorders>
              <w:top w:val="nil"/>
              <w:left w:val="nil"/>
              <w:bottom w:val="single" w:sz="8" w:space="0" w:color="FFFFFF"/>
              <w:right w:val="single" w:sz="8" w:space="0" w:color="FFFFFF"/>
            </w:tcBorders>
            <w:shd w:val="clear" w:color="000000" w:fill="F2F2F2"/>
            <w:hideMark/>
          </w:tcPr>
          <w:p w14:paraId="0A499C8C" w14:textId="77777777" w:rsidR="00BA1535" w:rsidRPr="00BA1535" w:rsidRDefault="0031022B" w:rsidP="00E36272">
            <w:pPr>
              <w:suppressAutoHyphens w:val="0"/>
              <w:spacing w:before="0" w:after="0" w:line="240" w:lineRule="auto"/>
              <w:rPr>
                <w:rFonts w:ascii="Arial" w:eastAsia="Times New Roman" w:hAnsi="Arial" w:cs="Arial"/>
                <w:color w:val="000000"/>
                <w:sz w:val="18"/>
                <w:szCs w:val="18"/>
                <w:lang w:eastAsia="en-AU"/>
              </w:rPr>
            </w:pPr>
            <w:r>
              <w:rPr>
                <w:rFonts w:ascii="Arial" w:eastAsia="Times New Roman" w:hAnsi="Arial" w:cs="Arial"/>
                <w:color w:val="000000"/>
                <w:sz w:val="18"/>
                <w:lang w:val="en-US" w:eastAsia="en-AU"/>
              </w:rPr>
              <w:t>Depreciation and amortis</w:t>
            </w:r>
            <w:r w:rsidR="00BA1535" w:rsidRPr="00BA1535">
              <w:rPr>
                <w:rFonts w:ascii="Arial" w:eastAsia="Times New Roman" w:hAnsi="Arial" w:cs="Arial"/>
                <w:color w:val="000000"/>
                <w:sz w:val="18"/>
                <w:lang w:val="en-US" w:eastAsia="en-AU"/>
              </w:rPr>
              <w:t>ation</w:t>
            </w:r>
          </w:p>
        </w:tc>
        <w:tc>
          <w:tcPr>
            <w:tcW w:w="1017" w:type="dxa"/>
            <w:tcBorders>
              <w:top w:val="nil"/>
              <w:left w:val="nil"/>
              <w:bottom w:val="single" w:sz="8" w:space="0" w:color="FFFFFF"/>
              <w:right w:val="single" w:sz="8" w:space="0" w:color="FFFFFF"/>
            </w:tcBorders>
            <w:shd w:val="clear" w:color="000000" w:fill="F2F2F2"/>
            <w:hideMark/>
          </w:tcPr>
          <w:p w14:paraId="0A499C8D"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18,800 </w:t>
            </w:r>
          </w:p>
        </w:tc>
        <w:tc>
          <w:tcPr>
            <w:tcW w:w="1019" w:type="dxa"/>
            <w:tcBorders>
              <w:top w:val="nil"/>
              <w:left w:val="nil"/>
              <w:bottom w:val="single" w:sz="8" w:space="0" w:color="FFFFFF"/>
              <w:right w:val="single" w:sz="8" w:space="0" w:color="FFFFFF"/>
            </w:tcBorders>
            <w:shd w:val="clear" w:color="000000" w:fill="F2F2F2"/>
            <w:hideMark/>
          </w:tcPr>
          <w:p w14:paraId="0A499C8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8F"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14:paraId="0A499C90"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9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14:paraId="0A499C9A" w14:textId="77777777" w:rsidTr="00EB5466">
        <w:trPr>
          <w:trHeight w:val="315"/>
        </w:trPr>
        <w:tc>
          <w:tcPr>
            <w:tcW w:w="683" w:type="dxa"/>
            <w:tcBorders>
              <w:top w:val="single" w:sz="8" w:space="0" w:color="FFFFFF"/>
              <w:left w:val="single" w:sz="8" w:space="0" w:color="FFFFFF"/>
              <w:bottom w:val="nil"/>
              <w:right w:val="single" w:sz="8" w:space="0" w:color="FFFFFF"/>
            </w:tcBorders>
            <w:shd w:val="clear" w:color="000000" w:fill="E2E3E2"/>
            <w:hideMark/>
          </w:tcPr>
          <w:p w14:paraId="0A499C93"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4D</w:t>
            </w:r>
          </w:p>
        </w:tc>
        <w:tc>
          <w:tcPr>
            <w:tcW w:w="1392" w:type="dxa"/>
            <w:tcBorders>
              <w:top w:val="nil"/>
              <w:left w:val="nil"/>
              <w:bottom w:val="single" w:sz="8" w:space="0" w:color="FFFFFF"/>
              <w:right w:val="single" w:sz="8" w:space="0" w:color="FFFFFF"/>
            </w:tcBorders>
            <w:shd w:val="clear" w:color="000000" w:fill="F2F2F2"/>
            <w:hideMark/>
          </w:tcPr>
          <w:p w14:paraId="0A499C94"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Finance cost</w:t>
            </w:r>
          </w:p>
        </w:tc>
        <w:tc>
          <w:tcPr>
            <w:tcW w:w="1017" w:type="dxa"/>
            <w:tcBorders>
              <w:top w:val="nil"/>
              <w:left w:val="nil"/>
              <w:bottom w:val="single" w:sz="8" w:space="0" w:color="FFFFFF"/>
              <w:right w:val="single" w:sz="8" w:space="0" w:color="FFFFFF"/>
            </w:tcBorders>
            <w:shd w:val="clear" w:color="000000" w:fill="F2F2F2"/>
            <w:hideMark/>
          </w:tcPr>
          <w:p w14:paraId="0A499C95"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17,800 </w:t>
            </w:r>
          </w:p>
        </w:tc>
        <w:tc>
          <w:tcPr>
            <w:tcW w:w="1019" w:type="dxa"/>
            <w:tcBorders>
              <w:top w:val="nil"/>
              <w:left w:val="nil"/>
              <w:bottom w:val="single" w:sz="8" w:space="0" w:color="FFFFFF"/>
              <w:right w:val="single" w:sz="8" w:space="0" w:color="FFFFFF"/>
            </w:tcBorders>
            <w:shd w:val="clear" w:color="000000" w:fill="F2F2F2"/>
            <w:hideMark/>
          </w:tcPr>
          <w:p w14:paraId="0A499C96"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97"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1050" w:type="dxa"/>
            <w:gridSpan w:val="2"/>
            <w:tcBorders>
              <w:top w:val="nil"/>
              <w:left w:val="nil"/>
              <w:bottom w:val="single" w:sz="8" w:space="0" w:color="FFFFFF"/>
              <w:right w:val="single" w:sz="8" w:space="0" w:color="FFFFFF"/>
            </w:tcBorders>
            <w:shd w:val="clear" w:color="000000" w:fill="F2F2F2"/>
            <w:hideMark/>
          </w:tcPr>
          <w:p w14:paraId="0A499C9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99"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14:paraId="0A499CA2" w14:textId="77777777" w:rsidTr="00EB5466">
        <w:trPr>
          <w:trHeight w:val="735"/>
        </w:trPr>
        <w:tc>
          <w:tcPr>
            <w:tcW w:w="683" w:type="dxa"/>
            <w:tcBorders>
              <w:top w:val="single" w:sz="8" w:space="0" w:color="FFFFFF"/>
              <w:left w:val="single" w:sz="8" w:space="0" w:color="FFFFFF"/>
              <w:bottom w:val="nil"/>
              <w:right w:val="single" w:sz="8" w:space="0" w:color="FFFFFF"/>
            </w:tcBorders>
            <w:shd w:val="clear" w:color="000000" w:fill="E2E3E2"/>
            <w:hideMark/>
          </w:tcPr>
          <w:p w14:paraId="0A499C9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5A</w:t>
            </w:r>
          </w:p>
        </w:tc>
        <w:tc>
          <w:tcPr>
            <w:tcW w:w="1392" w:type="dxa"/>
            <w:tcBorders>
              <w:top w:val="nil"/>
              <w:left w:val="nil"/>
              <w:bottom w:val="single" w:sz="8" w:space="0" w:color="FFFFFF"/>
              <w:right w:val="single" w:sz="8" w:space="0" w:color="FFFFFF"/>
            </w:tcBorders>
            <w:shd w:val="clear" w:color="000000" w:fill="F2F2F2"/>
            <w:hideMark/>
          </w:tcPr>
          <w:p w14:paraId="0A499C9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Cash and cash equivalents</w:t>
            </w:r>
          </w:p>
        </w:tc>
        <w:tc>
          <w:tcPr>
            <w:tcW w:w="1017" w:type="dxa"/>
            <w:tcBorders>
              <w:top w:val="nil"/>
              <w:left w:val="nil"/>
              <w:bottom w:val="single" w:sz="8" w:space="0" w:color="FFFFFF"/>
              <w:right w:val="single" w:sz="8" w:space="0" w:color="FFFFFF"/>
            </w:tcBorders>
            <w:shd w:val="clear" w:color="000000" w:fill="F2F2F2"/>
            <w:hideMark/>
          </w:tcPr>
          <w:p w14:paraId="0A499C9D"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7,500 </w:t>
            </w:r>
          </w:p>
        </w:tc>
        <w:tc>
          <w:tcPr>
            <w:tcW w:w="1019" w:type="dxa"/>
            <w:tcBorders>
              <w:top w:val="nil"/>
              <w:left w:val="nil"/>
              <w:bottom w:val="single" w:sz="8" w:space="0" w:color="FFFFFF"/>
              <w:right w:val="single" w:sz="8" w:space="0" w:color="FFFFFF"/>
            </w:tcBorders>
            <w:shd w:val="clear" w:color="000000" w:fill="F2F2F2"/>
            <w:hideMark/>
          </w:tcPr>
          <w:p w14:paraId="0A499C9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9F"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14:paraId="0A499CA0"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A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14:paraId="0A499CAA" w14:textId="77777777" w:rsidTr="00EB5466">
        <w:trPr>
          <w:trHeight w:val="2655"/>
        </w:trPr>
        <w:tc>
          <w:tcPr>
            <w:tcW w:w="683" w:type="dxa"/>
            <w:tcBorders>
              <w:top w:val="single" w:sz="8" w:space="0" w:color="FFFFFF"/>
              <w:left w:val="single" w:sz="8" w:space="0" w:color="FFFFFF"/>
              <w:bottom w:val="nil"/>
              <w:right w:val="single" w:sz="8" w:space="0" w:color="FFFFFF"/>
            </w:tcBorders>
            <w:shd w:val="clear" w:color="000000" w:fill="E2E3E2"/>
            <w:hideMark/>
          </w:tcPr>
          <w:p w14:paraId="0A499CA3"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5B</w:t>
            </w:r>
          </w:p>
        </w:tc>
        <w:tc>
          <w:tcPr>
            <w:tcW w:w="1392" w:type="dxa"/>
            <w:tcBorders>
              <w:top w:val="nil"/>
              <w:left w:val="nil"/>
              <w:bottom w:val="nil"/>
              <w:right w:val="single" w:sz="8" w:space="0" w:color="FFFFFF"/>
            </w:tcBorders>
            <w:shd w:val="clear" w:color="000000" w:fill="F2F2F2"/>
            <w:hideMark/>
          </w:tcPr>
          <w:p w14:paraId="0A499CA4"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Trade and other receivables</w:t>
            </w:r>
          </w:p>
        </w:tc>
        <w:tc>
          <w:tcPr>
            <w:tcW w:w="1017" w:type="dxa"/>
            <w:tcBorders>
              <w:top w:val="nil"/>
              <w:left w:val="nil"/>
              <w:bottom w:val="nil"/>
              <w:right w:val="single" w:sz="8" w:space="0" w:color="FFFFFF"/>
            </w:tcBorders>
            <w:shd w:val="clear" w:color="000000" w:fill="F2F2F2"/>
            <w:hideMark/>
          </w:tcPr>
          <w:p w14:paraId="0A499CA5"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312,300 </w:t>
            </w:r>
          </w:p>
        </w:tc>
        <w:tc>
          <w:tcPr>
            <w:tcW w:w="1019" w:type="dxa"/>
            <w:tcBorders>
              <w:top w:val="nil"/>
              <w:left w:val="nil"/>
              <w:bottom w:val="nil"/>
              <w:right w:val="single" w:sz="8" w:space="0" w:color="FFFFFF"/>
            </w:tcBorders>
            <w:shd w:val="clear" w:color="000000" w:fill="F2F2F2"/>
            <w:hideMark/>
          </w:tcPr>
          <w:p w14:paraId="0A499CA6"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nil"/>
              <w:right w:val="single" w:sz="8" w:space="0" w:color="FFFFFF"/>
            </w:tcBorders>
            <w:shd w:val="clear" w:color="000000" w:fill="F2F2F2"/>
            <w:hideMark/>
          </w:tcPr>
          <w:p w14:paraId="0A499CA7"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nil"/>
              <w:right w:val="single" w:sz="8" w:space="0" w:color="FFFFFF"/>
            </w:tcBorders>
            <w:shd w:val="clear" w:color="000000" w:fill="F2F2F2"/>
            <w:hideMark/>
          </w:tcPr>
          <w:p w14:paraId="0A499CA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2713" w:type="dxa"/>
            <w:gridSpan w:val="2"/>
            <w:tcBorders>
              <w:top w:val="nil"/>
              <w:left w:val="nil"/>
              <w:bottom w:val="single" w:sz="8" w:space="0" w:color="FFFFFF"/>
              <w:right w:val="single" w:sz="8" w:space="0" w:color="FFFFFF"/>
            </w:tcBorders>
            <w:shd w:val="clear" w:color="000000" w:fill="F2F2F2"/>
            <w:hideMark/>
          </w:tcPr>
          <w:p w14:paraId="0A499CA9" w14:textId="77777777" w:rsidR="00BA1535" w:rsidRPr="00983136" w:rsidRDefault="00983136" w:rsidP="00E36272">
            <w:pPr>
              <w:suppressAutoHyphens w:val="0"/>
              <w:spacing w:before="0" w:after="0" w:line="240" w:lineRule="auto"/>
              <w:rPr>
                <w:rFonts w:ascii="Arial" w:eastAsia="Times New Roman" w:hAnsi="Arial" w:cs="Arial"/>
                <w:color w:val="000000"/>
                <w:sz w:val="18"/>
                <w:lang w:val="en-US" w:eastAsia="en-AU"/>
              </w:rPr>
            </w:pPr>
            <w:r>
              <w:rPr>
                <w:rFonts w:ascii="Arial" w:eastAsia="Times New Roman" w:hAnsi="Arial" w:cs="Arial"/>
                <w:color w:val="000000"/>
                <w:sz w:val="18"/>
                <w:lang w:val="en-US" w:eastAsia="en-AU"/>
              </w:rPr>
              <w:t xml:space="preserve">Additional </w:t>
            </w:r>
            <w:r w:rsidR="00BA1535" w:rsidRPr="00BA1535">
              <w:rPr>
                <w:rFonts w:ascii="Arial" w:eastAsia="Times New Roman" w:hAnsi="Arial" w:cs="Arial"/>
                <w:color w:val="000000"/>
                <w:sz w:val="18"/>
                <w:lang w:val="en-US" w:eastAsia="en-AU"/>
              </w:rPr>
              <w:t>resources will be used to reconcile accounts receivable with cash received. Review for indicators of impairment will be carried out. An examination of control procedures in debt collection has been completed and recommended corrective actions are planned for completion by 31 January.</w:t>
            </w:r>
          </w:p>
        </w:tc>
      </w:tr>
      <w:tr w:rsidR="00251B7E" w:rsidRPr="00BA1535" w14:paraId="0A499CB2" w14:textId="77777777" w:rsidTr="00EB5466">
        <w:trPr>
          <w:trHeight w:val="1695"/>
        </w:trPr>
        <w:tc>
          <w:tcPr>
            <w:tcW w:w="683" w:type="dxa"/>
            <w:tcBorders>
              <w:top w:val="single" w:sz="8" w:space="0" w:color="FFFFFF"/>
              <w:left w:val="single" w:sz="8" w:space="0" w:color="FFFFFF"/>
              <w:bottom w:val="nil"/>
              <w:right w:val="single" w:sz="8" w:space="0" w:color="FFFFFF"/>
            </w:tcBorders>
            <w:shd w:val="clear" w:color="000000" w:fill="E2E3E2"/>
            <w:hideMark/>
          </w:tcPr>
          <w:p w14:paraId="0A499CA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6A</w:t>
            </w:r>
          </w:p>
        </w:tc>
        <w:tc>
          <w:tcPr>
            <w:tcW w:w="1392" w:type="dxa"/>
            <w:tcBorders>
              <w:top w:val="single" w:sz="8" w:space="0" w:color="FFFFFF"/>
              <w:left w:val="nil"/>
              <w:bottom w:val="single" w:sz="8" w:space="0" w:color="FFFFFF"/>
              <w:right w:val="single" w:sz="8" w:space="0" w:color="FFFFFF"/>
            </w:tcBorders>
            <w:shd w:val="clear" w:color="000000" w:fill="F2F2F2"/>
            <w:hideMark/>
          </w:tcPr>
          <w:p w14:paraId="0A499CA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Land and buildings</w:t>
            </w:r>
          </w:p>
        </w:tc>
        <w:tc>
          <w:tcPr>
            <w:tcW w:w="1017" w:type="dxa"/>
            <w:tcBorders>
              <w:top w:val="single" w:sz="8" w:space="0" w:color="FFFFFF"/>
              <w:left w:val="nil"/>
              <w:bottom w:val="single" w:sz="8" w:space="0" w:color="FFFFFF"/>
              <w:right w:val="single" w:sz="8" w:space="0" w:color="FFFFFF"/>
            </w:tcBorders>
            <w:shd w:val="clear" w:color="000000" w:fill="F2F2F2"/>
            <w:hideMark/>
          </w:tcPr>
          <w:p w14:paraId="0A499CAD" w14:textId="77777777"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4"/>
                <w:sz w:val="18"/>
                <w:lang w:val="en-US" w:eastAsia="en-AU"/>
              </w:rPr>
              <w:t xml:space="preserve">398,100 </w:t>
            </w:r>
          </w:p>
        </w:tc>
        <w:tc>
          <w:tcPr>
            <w:tcW w:w="1019" w:type="dxa"/>
            <w:tcBorders>
              <w:top w:val="single" w:sz="8" w:space="0" w:color="FFFFFF"/>
              <w:left w:val="nil"/>
              <w:bottom w:val="single" w:sz="8" w:space="0" w:color="FFFFFF"/>
              <w:right w:val="single" w:sz="8" w:space="0" w:color="FFFFFF"/>
            </w:tcBorders>
            <w:shd w:val="clear" w:color="000000" w:fill="F2F2F2"/>
            <w:hideMark/>
          </w:tcPr>
          <w:p w14:paraId="0A499CA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single" w:sz="8" w:space="0" w:color="FFFFFF"/>
              <w:left w:val="nil"/>
              <w:bottom w:val="single" w:sz="8" w:space="0" w:color="FFFFFF"/>
              <w:right w:val="single" w:sz="8" w:space="0" w:color="FFFFFF"/>
            </w:tcBorders>
            <w:shd w:val="clear" w:color="000000" w:fill="F2F2F2"/>
            <w:hideMark/>
          </w:tcPr>
          <w:p w14:paraId="0A499CAF"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H</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14:paraId="0A499CB0"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2713" w:type="dxa"/>
            <w:gridSpan w:val="2"/>
            <w:tcBorders>
              <w:top w:val="nil"/>
              <w:left w:val="nil"/>
              <w:bottom w:val="single" w:sz="8" w:space="0" w:color="FFFFFF"/>
              <w:right w:val="single" w:sz="8" w:space="0" w:color="FFFFFF"/>
            </w:tcBorders>
            <w:shd w:val="clear" w:color="000000" w:fill="F2F2F2"/>
            <w:hideMark/>
          </w:tcPr>
          <w:p w14:paraId="0A499CB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Documents on ownership of properties will be reviewed to ensure that they are signed by the correct delegates. A comprehensive review of amounts capitalised for leases will be undertaken.</w:t>
            </w:r>
          </w:p>
        </w:tc>
      </w:tr>
      <w:tr w:rsidR="00251B7E" w:rsidRPr="00BA1535" w14:paraId="0A499CBA" w14:textId="77777777" w:rsidTr="00EB5466">
        <w:trPr>
          <w:trHeight w:val="878"/>
        </w:trPr>
        <w:tc>
          <w:tcPr>
            <w:tcW w:w="683" w:type="dxa"/>
            <w:tcBorders>
              <w:top w:val="single" w:sz="8" w:space="0" w:color="FFFFFF"/>
              <w:left w:val="single" w:sz="8" w:space="0" w:color="FFFFFF"/>
              <w:bottom w:val="nil"/>
              <w:right w:val="single" w:sz="8" w:space="0" w:color="FFFFFF"/>
            </w:tcBorders>
            <w:shd w:val="clear" w:color="000000" w:fill="E2E3E2"/>
            <w:hideMark/>
          </w:tcPr>
          <w:p w14:paraId="0A499CB3"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6C</w:t>
            </w:r>
          </w:p>
        </w:tc>
        <w:tc>
          <w:tcPr>
            <w:tcW w:w="1392" w:type="dxa"/>
            <w:tcBorders>
              <w:top w:val="nil"/>
              <w:left w:val="nil"/>
              <w:bottom w:val="single" w:sz="8" w:space="0" w:color="FFFFFF"/>
              <w:right w:val="single" w:sz="8" w:space="0" w:color="FFFFFF"/>
            </w:tcBorders>
            <w:shd w:val="clear" w:color="000000" w:fill="F2F2F2"/>
            <w:hideMark/>
          </w:tcPr>
          <w:p w14:paraId="0A499CB4"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Intangibles</w:t>
            </w:r>
          </w:p>
        </w:tc>
        <w:tc>
          <w:tcPr>
            <w:tcW w:w="1017" w:type="dxa"/>
            <w:tcBorders>
              <w:top w:val="nil"/>
              <w:left w:val="nil"/>
              <w:bottom w:val="single" w:sz="8" w:space="0" w:color="FFFFFF"/>
              <w:right w:val="single" w:sz="8" w:space="0" w:color="FFFFFF"/>
            </w:tcBorders>
            <w:shd w:val="clear" w:color="000000" w:fill="F2F2F2"/>
            <w:hideMark/>
          </w:tcPr>
          <w:p w14:paraId="0A499CB5"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5"/>
                <w:sz w:val="18"/>
                <w:szCs w:val="18"/>
                <w:lang w:eastAsia="en-AU"/>
              </w:rPr>
              <w:t xml:space="preserve">23,100 </w:t>
            </w:r>
          </w:p>
        </w:tc>
        <w:tc>
          <w:tcPr>
            <w:tcW w:w="1019" w:type="dxa"/>
            <w:tcBorders>
              <w:top w:val="nil"/>
              <w:left w:val="nil"/>
              <w:bottom w:val="single" w:sz="8" w:space="0" w:color="FFFFFF"/>
              <w:right w:val="single" w:sz="8" w:space="0" w:color="FFFFFF"/>
            </w:tcBorders>
            <w:shd w:val="clear" w:color="000000" w:fill="F2F2F2"/>
            <w:hideMark/>
          </w:tcPr>
          <w:p w14:paraId="0A499CB6"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single" w:sz="8" w:space="0" w:color="FFFFFF"/>
              <w:left w:val="nil"/>
              <w:bottom w:val="single" w:sz="8" w:space="0" w:color="FFFFFF"/>
              <w:right w:val="single" w:sz="8" w:space="0" w:color="FFFFFF"/>
            </w:tcBorders>
            <w:shd w:val="clear" w:color="000000" w:fill="F2F2F2"/>
            <w:hideMark/>
          </w:tcPr>
          <w:p w14:paraId="0A499CB7"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14:paraId="0A499CB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2713" w:type="dxa"/>
            <w:gridSpan w:val="2"/>
            <w:tcBorders>
              <w:top w:val="nil"/>
              <w:left w:val="nil"/>
              <w:bottom w:val="single" w:sz="8" w:space="0" w:color="FFFFFF"/>
              <w:right w:val="single" w:sz="8" w:space="0" w:color="FFFFFF"/>
            </w:tcBorders>
            <w:shd w:val="clear" w:color="000000" w:fill="F2F2F2"/>
            <w:hideMark/>
          </w:tcPr>
          <w:p w14:paraId="0A499CB9"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A comprehensive review of material invoices will be carried out to verify the capitalised amount.</w:t>
            </w:r>
          </w:p>
        </w:tc>
      </w:tr>
      <w:tr w:rsidR="00251B7E" w:rsidRPr="00BA1535" w14:paraId="0A499CC2" w14:textId="77777777" w:rsidTr="00EB5466">
        <w:trPr>
          <w:trHeight w:val="735"/>
        </w:trPr>
        <w:tc>
          <w:tcPr>
            <w:tcW w:w="683" w:type="dxa"/>
            <w:tcBorders>
              <w:top w:val="single" w:sz="8" w:space="0" w:color="FFFFFF"/>
              <w:left w:val="single" w:sz="8" w:space="0" w:color="FFFFFF"/>
              <w:bottom w:val="nil"/>
              <w:right w:val="single" w:sz="8" w:space="0" w:color="FFFFFF"/>
            </w:tcBorders>
            <w:shd w:val="clear" w:color="000000" w:fill="E2E3E2"/>
            <w:hideMark/>
          </w:tcPr>
          <w:p w14:paraId="0A499CB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6D</w:t>
            </w:r>
          </w:p>
        </w:tc>
        <w:tc>
          <w:tcPr>
            <w:tcW w:w="1392" w:type="dxa"/>
            <w:tcBorders>
              <w:top w:val="nil"/>
              <w:left w:val="nil"/>
              <w:bottom w:val="single" w:sz="8" w:space="0" w:color="FFFFFF"/>
              <w:right w:val="single" w:sz="8" w:space="0" w:color="FFFFFF"/>
            </w:tcBorders>
            <w:shd w:val="clear" w:color="000000" w:fill="F2F2F2"/>
            <w:hideMark/>
          </w:tcPr>
          <w:p w14:paraId="0A499CB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Other non-financial assets</w:t>
            </w:r>
          </w:p>
        </w:tc>
        <w:tc>
          <w:tcPr>
            <w:tcW w:w="1017" w:type="dxa"/>
            <w:tcBorders>
              <w:top w:val="nil"/>
              <w:left w:val="nil"/>
              <w:bottom w:val="single" w:sz="8" w:space="0" w:color="FFFFFF"/>
              <w:right w:val="single" w:sz="8" w:space="0" w:color="FFFFFF"/>
            </w:tcBorders>
            <w:shd w:val="clear" w:color="000000" w:fill="F2F2F2"/>
            <w:hideMark/>
          </w:tcPr>
          <w:p w14:paraId="0A499CBD"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7"/>
                <w:sz w:val="18"/>
                <w:lang w:val="en-US" w:eastAsia="en-AU"/>
              </w:rPr>
              <w:t xml:space="preserve">2,100 </w:t>
            </w:r>
          </w:p>
        </w:tc>
        <w:tc>
          <w:tcPr>
            <w:tcW w:w="1019" w:type="dxa"/>
            <w:tcBorders>
              <w:top w:val="nil"/>
              <w:left w:val="nil"/>
              <w:bottom w:val="single" w:sz="8" w:space="0" w:color="FFFFFF"/>
              <w:right w:val="single" w:sz="8" w:space="0" w:color="FFFFFF"/>
            </w:tcBorders>
            <w:shd w:val="clear" w:color="000000" w:fill="F2F2F2"/>
            <w:hideMark/>
          </w:tcPr>
          <w:p w14:paraId="0A499CB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BF"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L</w:t>
            </w:r>
          </w:p>
        </w:tc>
        <w:tc>
          <w:tcPr>
            <w:tcW w:w="1050" w:type="dxa"/>
            <w:gridSpan w:val="2"/>
            <w:tcBorders>
              <w:top w:val="nil"/>
              <w:left w:val="nil"/>
              <w:bottom w:val="single" w:sz="8" w:space="0" w:color="FFFFFF"/>
              <w:right w:val="single" w:sz="8" w:space="0" w:color="FFFFFF"/>
            </w:tcBorders>
            <w:shd w:val="clear" w:color="000000" w:fill="F2F2F2"/>
            <w:hideMark/>
          </w:tcPr>
          <w:p w14:paraId="0A499CC0"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C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14:paraId="0A499CCA" w14:textId="77777777" w:rsidTr="00EB5466">
        <w:trPr>
          <w:trHeight w:val="315"/>
        </w:trPr>
        <w:tc>
          <w:tcPr>
            <w:tcW w:w="683" w:type="dxa"/>
            <w:tcBorders>
              <w:top w:val="single" w:sz="8" w:space="0" w:color="FFFFFF"/>
              <w:left w:val="single" w:sz="8" w:space="0" w:color="FFFFFF"/>
              <w:bottom w:val="nil"/>
              <w:right w:val="single" w:sz="8" w:space="0" w:color="FFFFFF"/>
            </w:tcBorders>
            <w:shd w:val="clear" w:color="000000" w:fill="E2E3E2"/>
            <w:hideMark/>
          </w:tcPr>
          <w:p w14:paraId="0A499CC3"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pacing w:val="-6"/>
                <w:sz w:val="18"/>
                <w:lang w:val="en-US" w:eastAsia="en-AU"/>
              </w:rPr>
              <w:t>7A</w:t>
            </w:r>
          </w:p>
        </w:tc>
        <w:tc>
          <w:tcPr>
            <w:tcW w:w="1392" w:type="dxa"/>
            <w:tcBorders>
              <w:top w:val="nil"/>
              <w:left w:val="nil"/>
              <w:bottom w:val="single" w:sz="8" w:space="0" w:color="FFFFFF"/>
              <w:right w:val="single" w:sz="8" w:space="0" w:color="FFFFFF"/>
            </w:tcBorders>
            <w:shd w:val="clear" w:color="000000" w:fill="F2F2F2"/>
            <w:hideMark/>
          </w:tcPr>
          <w:p w14:paraId="0A499CC4"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Suppliers</w:t>
            </w:r>
          </w:p>
        </w:tc>
        <w:tc>
          <w:tcPr>
            <w:tcW w:w="1017" w:type="dxa"/>
            <w:tcBorders>
              <w:top w:val="nil"/>
              <w:left w:val="nil"/>
              <w:bottom w:val="single" w:sz="8" w:space="0" w:color="FFFFFF"/>
              <w:right w:val="single" w:sz="8" w:space="0" w:color="FFFFFF"/>
            </w:tcBorders>
            <w:shd w:val="clear" w:color="000000" w:fill="F2F2F2"/>
            <w:hideMark/>
          </w:tcPr>
          <w:p w14:paraId="0A499CC5"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xml:space="preserve">26,900 </w:t>
            </w:r>
          </w:p>
        </w:tc>
        <w:tc>
          <w:tcPr>
            <w:tcW w:w="1019" w:type="dxa"/>
            <w:tcBorders>
              <w:top w:val="nil"/>
              <w:left w:val="nil"/>
              <w:bottom w:val="single" w:sz="8" w:space="0" w:color="FFFFFF"/>
              <w:right w:val="single" w:sz="8" w:space="0" w:color="FFFFFF"/>
            </w:tcBorders>
            <w:shd w:val="clear" w:color="000000" w:fill="F2F2F2"/>
            <w:hideMark/>
          </w:tcPr>
          <w:p w14:paraId="0A499CC6"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C7"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14:paraId="0A499CC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C9"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See Note 1</w:t>
            </w:r>
          </w:p>
        </w:tc>
      </w:tr>
      <w:tr w:rsidR="00251B7E" w:rsidRPr="00BA1535" w14:paraId="0A499CD2" w14:textId="77777777" w:rsidTr="00EB5466">
        <w:trPr>
          <w:trHeight w:val="495"/>
        </w:trPr>
        <w:tc>
          <w:tcPr>
            <w:tcW w:w="683" w:type="dxa"/>
            <w:tcBorders>
              <w:top w:val="single" w:sz="8" w:space="0" w:color="FFFFFF"/>
              <w:left w:val="single" w:sz="8" w:space="0" w:color="FFFFFF"/>
              <w:bottom w:val="nil"/>
              <w:right w:val="single" w:sz="8" w:space="0" w:color="FFFFFF"/>
            </w:tcBorders>
            <w:shd w:val="clear" w:color="000000" w:fill="E2E3E2"/>
            <w:hideMark/>
          </w:tcPr>
          <w:p w14:paraId="0A499CC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8A</w:t>
            </w:r>
          </w:p>
        </w:tc>
        <w:tc>
          <w:tcPr>
            <w:tcW w:w="1392" w:type="dxa"/>
            <w:tcBorders>
              <w:top w:val="nil"/>
              <w:left w:val="nil"/>
              <w:bottom w:val="single" w:sz="8" w:space="0" w:color="FFFFFF"/>
              <w:right w:val="single" w:sz="8" w:space="0" w:color="FFFFFF"/>
            </w:tcBorders>
            <w:shd w:val="clear" w:color="000000" w:fill="F2F2F2"/>
            <w:hideMark/>
          </w:tcPr>
          <w:p w14:paraId="0A499CC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Employee provisions</w:t>
            </w:r>
          </w:p>
        </w:tc>
        <w:tc>
          <w:tcPr>
            <w:tcW w:w="1017" w:type="dxa"/>
            <w:tcBorders>
              <w:top w:val="nil"/>
              <w:left w:val="nil"/>
              <w:bottom w:val="single" w:sz="8" w:space="0" w:color="FFFFFF"/>
              <w:right w:val="single" w:sz="8" w:space="0" w:color="FFFFFF"/>
            </w:tcBorders>
            <w:shd w:val="clear" w:color="000000" w:fill="F2F2F2"/>
            <w:hideMark/>
          </w:tcPr>
          <w:p w14:paraId="0A499CCD"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7"/>
                <w:sz w:val="18"/>
                <w:lang w:val="en-US" w:eastAsia="en-AU"/>
              </w:rPr>
              <w:t xml:space="preserve">37,700 </w:t>
            </w:r>
          </w:p>
        </w:tc>
        <w:tc>
          <w:tcPr>
            <w:tcW w:w="1019" w:type="dxa"/>
            <w:tcBorders>
              <w:top w:val="nil"/>
              <w:left w:val="nil"/>
              <w:bottom w:val="single" w:sz="8" w:space="0" w:color="FFFFFF"/>
              <w:right w:val="single" w:sz="8" w:space="0" w:color="FFFFFF"/>
            </w:tcBorders>
            <w:shd w:val="clear" w:color="000000" w:fill="F2F2F2"/>
            <w:hideMark/>
          </w:tcPr>
          <w:p w14:paraId="0A499CC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CF"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14:paraId="0A499CD0"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D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14:paraId="0A499CDA" w14:textId="77777777" w:rsidTr="00EB5466">
        <w:trPr>
          <w:trHeight w:val="495"/>
        </w:trPr>
        <w:tc>
          <w:tcPr>
            <w:tcW w:w="683" w:type="dxa"/>
            <w:tcBorders>
              <w:top w:val="single" w:sz="8" w:space="0" w:color="FFFFFF"/>
              <w:left w:val="single" w:sz="8" w:space="0" w:color="FFFFFF"/>
              <w:bottom w:val="nil"/>
              <w:right w:val="single" w:sz="8" w:space="0" w:color="FFFFFF"/>
            </w:tcBorders>
            <w:shd w:val="clear" w:color="000000" w:fill="E2E3E2"/>
            <w:hideMark/>
          </w:tcPr>
          <w:p w14:paraId="0A499CD3"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8B</w:t>
            </w:r>
          </w:p>
        </w:tc>
        <w:tc>
          <w:tcPr>
            <w:tcW w:w="1392" w:type="dxa"/>
            <w:tcBorders>
              <w:top w:val="nil"/>
              <w:left w:val="nil"/>
              <w:bottom w:val="single" w:sz="8" w:space="0" w:color="FFFFFF"/>
              <w:right w:val="single" w:sz="8" w:space="0" w:color="FFFFFF"/>
            </w:tcBorders>
            <w:shd w:val="clear" w:color="000000" w:fill="F2F2F2"/>
            <w:hideMark/>
          </w:tcPr>
          <w:p w14:paraId="0A499CD4"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Other provisions</w:t>
            </w:r>
          </w:p>
        </w:tc>
        <w:tc>
          <w:tcPr>
            <w:tcW w:w="1017" w:type="dxa"/>
            <w:tcBorders>
              <w:top w:val="nil"/>
              <w:left w:val="nil"/>
              <w:bottom w:val="single" w:sz="8" w:space="0" w:color="FFFFFF"/>
              <w:right w:val="single" w:sz="8" w:space="0" w:color="FFFFFF"/>
            </w:tcBorders>
            <w:shd w:val="clear" w:color="000000" w:fill="F2F2F2"/>
            <w:hideMark/>
          </w:tcPr>
          <w:p w14:paraId="0A499CD5"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6"/>
                <w:sz w:val="18"/>
                <w:szCs w:val="18"/>
                <w:lang w:eastAsia="en-AU"/>
              </w:rPr>
              <w:t xml:space="preserve">3,100 </w:t>
            </w:r>
          </w:p>
        </w:tc>
        <w:tc>
          <w:tcPr>
            <w:tcW w:w="1019" w:type="dxa"/>
            <w:tcBorders>
              <w:top w:val="nil"/>
              <w:left w:val="nil"/>
              <w:bottom w:val="single" w:sz="8" w:space="0" w:color="FFFFFF"/>
              <w:right w:val="single" w:sz="8" w:space="0" w:color="FFFFFF"/>
            </w:tcBorders>
            <w:shd w:val="clear" w:color="000000" w:fill="F2F2F2"/>
            <w:hideMark/>
          </w:tcPr>
          <w:p w14:paraId="0A499CD6"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D7"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1050" w:type="dxa"/>
            <w:gridSpan w:val="2"/>
            <w:tcBorders>
              <w:top w:val="nil"/>
              <w:left w:val="nil"/>
              <w:bottom w:val="single" w:sz="8" w:space="0" w:color="FFFFFF"/>
              <w:right w:val="single" w:sz="8" w:space="0" w:color="FFFFFF"/>
            </w:tcBorders>
            <w:shd w:val="clear" w:color="000000" w:fill="F2F2F2"/>
            <w:hideMark/>
          </w:tcPr>
          <w:p w14:paraId="0A499CD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14:paraId="0A499CD9"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See Note 1</w:t>
            </w:r>
          </w:p>
        </w:tc>
      </w:tr>
      <w:tr w:rsidR="00251B7E" w:rsidRPr="00BA1535" w14:paraId="0A499CE2" w14:textId="77777777" w:rsidTr="00EB5466">
        <w:trPr>
          <w:trHeight w:val="315"/>
        </w:trPr>
        <w:tc>
          <w:tcPr>
            <w:tcW w:w="683" w:type="dxa"/>
            <w:tcBorders>
              <w:top w:val="single" w:sz="8" w:space="0" w:color="FFFFFF"/>
              <w:left w:val="single" w:sz="8" w:space="0" w:color="FFFFFF"/>
              <w:bottom w:val="nil"/>
              <w:right w:val="single" w:sz="8" w:space="0" w:color="FFFFFF"/>
            </w:tcBorders>
            <w:shd w:val="clear" w:color="000000" w:fill="E2E3E2"/>
            <w:hideMark/>
          </w:tcPr>
          <w:p w14:paraId="0A499CD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9</w:t>
            </w:r>
          </w:p>
        </w:tc>
        <w:tc>
          <w:tcPr>
            <w:tcW w:w="1392" w:type="dxa"/>
            <w:tcBorders>
              <w:top w:val="nil"/>
              <w:left w:val="nil"/>
              <w:bottom w:val="single" w:sz="8" w:space="0" w:color="FFFFFF"/>
              <w:right w:val="single" w:sz="8" w:space="0" w:color="FFFFFF"/>
            </w:tcBorders>
            <w:shd w:val="clear" w:color="000000" w:fill="F2F2F2"/>
            <w:hideMark/>
          </w:tcPr>
          <w:p w14:paraId="0A499CD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Restructuring</w:t>
            </w:r>
          </w:p>
        </w:tc>
        <w:tc>
          <w:tcPr>
            <w:tcW w:w="1017" w:type="dxa"/>
            <w:tcBorders>
              <w:top w:val="nil"/>
              <w:left w:val="nil"/>
              <w:bottom w:val="single" w:sz="8" w:space="0" w:color="FFFFFF"/>
              <w:right w:val="single" w:sz="8" w:space="0" w:color="FFFFFF"/>
            </w:tcBorders>
            <w:shd w:val="clear" w:color="000000" w:fill="F2F2F2"/>
            <w:hideMark/>
          </w:tcPr>
          <w:p w14:paraId="0A499CDD"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p>
        </w:tc>
        <w:tc>
          <w:tcPr>
            <w:tcW w:w="1019" w:type="dxa"/>
            <w:tcBorders>
              <w:top w:val="nil"/>
              <w:left w:val="nil"/>
              <w:bottom w:val="single" w:sz="8" w:space="0" w:color="FFFFFF"/>
              <w:right w:val="single" w:sz="8" w:space="0" w:color="FFFFFF"/>
            </w:tcBorders>
            <w:shd w:val="clear" w:color="000000" w:fill="F2F2F2"/>
            <w:hideMark/>
          </w:tcPr>
          <w:p w14:paraId="0A499CD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DF" w14:textId="224CE49C"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p>
        </w:tc>
        <w:tc>
          <w:tcPr>
            <w:tcW w:w="1050" w:type="dxa"/>
            <w:gridSpan w:val="2"/>
            <w:tcBorders>
              <w:top w:val="nil"/>
              <w:left w:val="nil"/>
              <w:bottom w:val="single" w:sz="8" w:space="0" w:color="FFFFFF"/>
              <w:right w:val="single" w:sz="8" w:space="0" w:color="FFFFFF"/>
            </w:tcBorders>
            <w:shd w:val="clear" w:color="000000" w:fill="F2F2F2"/>
            <w:hideMark/>
          </w:tcPr>
          <w:p w14:paraId="0A499CE0" w14:textId="7AEAF315"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p>
        </w:tc>
        <w:tc>
          <w:tcPr>
            <w:tcW w:w="2713" w:type="dxa"/>
            <w:gridSpan w:val="2"/>
            <w:tcBorders>
              <w:top w:val="nil"/>
              <w:left w:val="nil"/>
              <w:bottom w:val="single" w:sz="8" w:space="0" w:color="FFFFFF"/>
              <w:right w:val="single" w:sz="8" w:space="0" w:color="FFFFFF"/>
            </w:tcBorders>
            <w:shd w:val="clear" w:color="000000" w:fill="F2F2F2"/>
            <w:hideMark/>
          </w:tcPr>
          <w:p w14:paraId="0A499CE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r>
      <w:tr w:rsidR="00251B7E" w:rsidRPr="00BA1535" w14:paraId="0A499CEA" w14:textId="77777777" w:rsidTr="00EB5466">
        <w:trPr>
          <w:trHeight w:val="345"/>
        </w:trPr>
        <w:tc>
          <w:tcPr>
            <w:tcW w:w="683" w:type="dxa"/>
            <w:tcBorders>
              <w:top w:val="single" w:sz="8" w:space="0" w:color="FFFFFF"/>
              <w:left w:val="single" w:sz="8" w:space="0" w:color="FFFFFF"/>
              <w:bottom w:val="nil"/>
              <w:right w:val="single" w:sz="8" w:space="0" w:color="FFFFFF"/>
            </w:tcBorders>
            <w:shd w:val="clear" w:color="000000" w:fill="E2E3E2"/>
            <w:hideMark/>
          </w:tcPr>
          <w:p w14:paraId="0A499CE3"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szCs w:val="18"/>
                <w:lang w:eastAsia="en-AU"/>
              </w:rPr>
              <w:t> </w:t>
            </w:r>
          </w:p>
        </w:tc>
        <w:tc>
          <w:tcPr>
            <w:tcW w:w="1392" w:type="dxa"/>
            <w:tcBorders>
              <w:top w:val="nil"/>
              <w:left w:val="nil"/>
              <w:bottom w:val="single" w:sz="8" w:space="0" w:color="FFFFFF"/>
              <w:right w:val="single" w:sz="8" w:space="0" w:color="FFFFFF"/>
            </w:tcBorders>
            <w:shd w:val="clear" w:color="000000" w:fill="F2F2F2"/>
            <w:hideMark/>
          </w:tcPr>
          <w:p w14:paraId="0A499CE4"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-Departmental</w:t>
            </w:r>
          </w:p>
        </w:tc>
        <w:tc>
          <w:tcPr>
            <w:tcW w:w="1017" w:type="dxa"/>
            <w:tcBorders>
              <w:top w:val="nil"/>
              <w:left w:val="nil"/>
              <w:bottom w:val="single" w:sz="8" w:space="0" w:color="FFFFFF"/>
              <w:right w:val="single" w:sz="8" w:space="0" w:color="FFFFFF"/>
            </w:tcBorders>
            <w:shd w:val="clear" w:color="000000" w:fill="F2F2F2"/>
            <w:hideMark/>
          </w:tcPr>
          <w:p w14:paraId="0A499CE5"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21,200 </w:t>
            </w:r>
          </w:p>
        </w:tc>
        <w:tc>
          <w:tcPr>
            <w:tcW w:w="1019" w:type="dxa"/>
            <w:tcBorders>
              <w:top w:val="nil"/>
              <w:left w:val="nil"/>
              <w:bottom w:val="single" w:sz="8" w:space="0" w:color="FFFFFF"/>
              <w:right w:val="single" w:sz="8" w:space="0" w:color="FFFFFF"/>
            </w:tcBorders>
            <w:shd w:val="clear" w:color="000000" w:fill="F2F2F2"/>
            <w:hideMark/>
          </w:tcPr>
          <w:p w14:paraId="0A499CE6"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E7"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14:paraId="0A499CE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2713" w:type="dxa"/>
            <w:gridSpan w:val="2"/>
            <w:vMerge w:val="restart"/>
            <w:tcBorders>
              <w:top w:val="nil"/>
              <w:left w:val="single" w:sz="8" w:space="0" w:color="FFFFFF"/>
              <w:bottom w:val="single" w:sz="8" w:space="0" w:color="FFFFFF"/>
              <w:right w:val="single" w:sz="8" w:space="0" w:color="FFFFFF"/>
            </w:tcBorders>
            <w:shd w:val="clear" w:color="000000" w:fill="F2F2F2"/>
            <w:hideMark/>
          </w:tcPr>
          <w:p w14:paraId="0A499CE9"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Transfer of assets and liabilities from the ABC Entity underway. Due diligence review of ABC Entity’s data and supporting documentation. Contracts and lease commitments to be examined at hard close. Additional tasks incorporated in the financial statements work plan.</w:t>
            </w:r>
          </w:p>
        </w:tc>
      </w:tr>
      <w:tr w:rsidR="00251B7E" w:rsidRPr="00BA1535" w14:paraId="0A499CF2" w14:textId="77777777" w:rsidTr="00EB5466">
        <w:trPr>
          <w:trHeight w:val="1980"/>
        </w:trPr>
        <w:tc>
          <w:tcPr>
            <w:tcW w:w="683" w:type="dxa"/>
            <w:tcBorders>
              <w:top w:val="single" w:sz="8" w:space="0" w:color="FFFFFF"/>
              <w:left w:val="single" w:sz="8" w:space="0" w:color="FFFFFF"/>
              <w:bottom w:val="nil"/>
              <w:right w:val="single" w:sz="8" w:space="0" w:color="FFFFFF"/>
            </w:tcBorders>
            <w:shd w:val="clear" w:color="000000" w:fill="E2E3E2"/>
            <w:hideMark/>
          </w:tcPr>
          <w:p w14:paraId="0A499CE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szCs w:val="18"/>
                <w:lang w:eastAsia="en-AU"/>
              </w:rPr>
              <w:t> </w:t>
            </w:r>
          </w:p>
        </w:tc>
        <w:tc>
          <w:tcPr>
            <w:tcW w:w="1392" w:type="dxa"/>
            <w:tcBorders>
              <w:top w:val="nil"/>
              <w:left w:val="nil"/>
              <w:bottom w:val="single" w:sz="8" w:space="0" w:color="FFFFFF"/>
              <w:right w:val="single" w:sz="8" w:space="0" w:color="FFFFFF"/>
            </w:tcBorders>
            <w:shd w:val="clear" w:color="000000" w:fill="F2F2F2"/>
            <w:hideMark/>
          </w:tcPr>
          <w:p w14:paraId="0A499CE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-Administered</w:t>
            </w:r>
          </w:p>
        </w:tc>
        <w:tc>
          <w:tcPr>
            <w:tcW w:w="1017" w:type="dxa"/>
            <w:tcBorders>
              <w:top w:val="nil"/>
              <w:left w:val="nil"/>
              <w:bottom w:val="single" w:sz="8" w:space="0" w:color="FFFFFF"/>
              <w:right w:val="single" w:sz="8" w:space="0" w:color="FFFFFF"/>
            </w:tcBorders>
            <w:shd w:val="clear" w:color="000000" w:fill="F2F2F2"/>
            <w:hideMark/>
          </w:tcPr>
          <w:p w14:paraId="0A499CED"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5"/>
                <w:sz w:val="18"/>
                <w:lang w:val="en-US" w:eastAsia="en-AU"/>
              </w:rPr>
              <w:t xml:space="preserve">121,200 </w:t>
            </w:r>
          </w:p>
        </w:tc>
        <w:tc>
          <w:tcPr>
            <w:tcW w:w="1019" w:type="dxa"/>
            <w:tcBorders>
              <w:top w:val="nil"/>
              <w:left w:val="nil"/>
              <w:bottom w:val="single" w:sz="8" w:space="0" w:color="FFFFFF"/>
              <w:right w:val="single" w:sz="8" w:space="0" w:color="FFFFFF"/>
            </w:tcBorders>
            <w:shd w:val="clear" w:color="000000" w:fill="F2F2F2"/>
            <w:hideMark/>
          </w:tcPr>
          <w:p w14:paraId="0A499CE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EF"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14:paraId="0A499CF0"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2713" w:type="dxa"/>
            <w:gridSpan w:val="2"/>
            <w:vMerge/>
            <w:tcBorders>
              <w:top w:val="nil"/>
              <w:left w:val="single" w:sz="8" w:space="0" w:color="FFFFFF"/>
              <w:bottom w:val="single" w:sz="8" w:space="0" w:color="FFFFFF"/>
              <w:right w:val="single" w:sz="8" w:space="0" w:color="FFFFFF"/>
            </w:tcBorders>
            <w:hideMark/>
          </w:tcPr>
          <w:p w14:paraId="0A499CF1"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p>
        </w:tc>
      </w:tr>
      <w:tr w:rsidR="00251B7E" w:rsidRPr="00BA1535" w14:paraId="0A499CFA" w14:textId="77777777" w:rsidTr="00EB5466">
        <w:trPr>
          <w:trHeight w:val="1540"/>
        </w:trPr>
        <w:tc>
          <w:tcPr>
            <w:tcW w:w="683" w:type="dxa"/>
            <w:tcBorders>
              <w:top w:val="single" w:sz="8" w:space="0" w:color="FFFFFF"/>
              <w:left w:val="single" w:sz="8" w:space="0" w:color="FFFFFF"/>
              <w:bottom w:val="nil"/>
              <w:right w:val="single" w:sz="8" w:space="0" w:color="FFFFFF"/>
            </w:tcBorders>
            <w:shd w:val="clear" w:color="000000" w:fill="E2E3E2"/>
            <w:hideMark/>
          </w:tcPr>
          <w:p w14:paraId="0A499CF3"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15F</w:t>
            </w:r>
          </w:p>
        </w:tc>
        <w:tc>
          <w:tcPr>
            <w:tcW w:w="1392" w:type="dxa"/>
            <w:tcBorders>
              <w:top w:val="nil"/>
              <w:left w:val="nil"/>
              <w:bottom w:val="single" w:sz="8" w:space="0" w:color="FFFFFF"/>
              <w:right w:val="single" w:sz="8" w:space="0" w:color="FFFFFF"/>
            </w:tcBorders>
            <w:shd w:val="clear" w:color="000000" w:fill="F2F2F2"/>
            <w:hideMark/>
          </w:tcPr>
          <w:p w14:paraId="0A499CF4"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Royalties</w:t>
            </w:r>
          </w:p>
        </w:tc>
        <w:tc>
          <w:tcPr>
            <w:tcW w:w="1017" w:type="dxa"/>
            <w:tcBorders>
              <w:top w:val="nil"/>
              <w:left w:val="nil"/>
              <w:bottom w:val="single" w:sz="8" w:space="0" w:color="FFFFFF"/>
              <w:right w:val="single" w:sz="8" w:space="0" w:color="FFFFFF"/>
            </w:tcBorders>
            <w:shd w:val="clear" w:color="000000" w:fill="F2F2F2"/>
            <w:hideMark/>
          </w:tcPr>
          <w:p w14:paraId="0A499CF5" w14:textId="77777777" w:rsidR="00BA1535" w:rsidRPr="00BA1535" w:rsidRDefault="00EB5466" w:rsidP="00E36272">
            <w:pPr>
              <w:suppressAutoHyphens w:val="0"/>
              <w:spacing w:before="0" w:after="0" w:line="240" w:lineRule="auto"/>
              <w:jc w:val="right"/>
              <w:rPr>
                <w:rFonts w:ascii="Arial" w:eastAsia="Times New Roman" w:hAnsi="Arial" w:cs="Arial"/>
                <w:color w:val="000000"/>
                <w:sz w:val="18"/>
                <w:szCs w:val="18"/>
                <w:lang w:eastAsia="en-AU"/>
              </w:rPr>
            </w:pPr>
            <w:r>
              <w:rPr>
                <w:rFonts w:ascii="Arial" w:eastAsia="Times New Roman" w:hAnsi="Arial" w:cs="Arial"/>
                <w:color w:val="000000"/>
                <w:sz w:val="18"/>
                <w:lang w:val="en-US" w:eastAsia="en-AU"/>
              </w:rPr>
              <w:t xml:space="preserve"> </w:t>
            </w:r>
            <w:r w:rsidR="00BA1535" w:rsidRPr="00BA1535">
              <w:rPr>
                <w:rFonts w:ascii="Arial" w:eastAsia="Times New Roman" w:hAnsi="Arial" w:cs="Arial"/>
                <w:color w:val="000000"/>
                <w:sz w:val="18"/>
                <w:lang w:val="en-US" w:eastAsia="en-AU"/>
              </w:rPr>
              <w:t xml:space="preserve">65,700 </w:t>
            </w:r>
          </w:p>
        </w:tc>
        <w:tc>
          <w:tcPr>
            <w:tcW w:w="1019" w:type="dxa"/>
            <w:tcBorders>
              <w:top w:val="nil"/>
              <w:left w:val="nil"/>
              <w:bottom w:val="single" w:sz="8" w:space="0" w:color="FFFFFF"/>
              <w:right w:val="single" w:sz="8" w:space="0" w:color="FFFFFF"/>
            </w:tcBorders>
            <w:shd w:val="clear" w:color="000000" w:fill="F2F2F2"/>
            <w:hideMark/>
          </w:tcPr>
          <w:p w14:paraId="0A499CF6"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F7"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14:paraId="0A499CF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2713" w:type="dxa"/>
            <w:gridSpan w:val="2"/>
            <w:tcBorders>
              <w:top w:val="nil"/>
              <w:left w:val="nil"/>
              <w:bottom w:val="nil"/>
              <w:right w:val="single" w:sz="8" w:space="0" w:color="FFFFFF"/>
            </w:tcBorders>
            <w:shd w:val="clear" w:color="000000" w:fill="F2F2F2"/>
            <w:hideMark/>
          </w:tcPr>
          <w:p w14:paraId="0A499CF9"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An internal audit review will be conducted on administered revenue. Control and substantive testing on material revenue items and preparation of business process and control mapping.</w:t>
            </w:r>
          </w:p>
        </w:tc>
      </w:tr>
      <w:tr w:rsidR="00251B7E" w:rsidRPr="00BA1535" w14:paraId="0A499D03" w14:textId="77777777" w:rsidTr="00EB5466">
        <w:trPr>
          <w:trHeight w:val="2824"/>
        </w:trPr>
        <w:tc>
          <w:tcPr>
            <w:tcW w:w="683" w:type="dxa"/>
            <w:tcBorders>
              <w:top w:val="nil"/>
              <w:left w:val="single" w:sz="8" w:space="0" w:color="FFFFFF"/>
              <w:bottom w:val="nil"/>
              <w:right w:val="single" w:sz="8" w:space="0" w:color="FFFFFF"/>
            </w:tcBorders>
            <w:shd w:val="clear" w:color="000000" w:fill="E2E3E2"/>
            <w:hideMark/>
          </w:tcPr>
          <w:p w14:paraId="0A499CFB"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16D</w:t>
            </w:r>
          </w:p>
        </w:tc>
        <w:tc>
          <w:tcPr>
            <w:tcW w:w="1392" w:type="dxa"/>
            <w:tcBorders>
              <w:top w:val="single" w:sz="8" w:space="0" w:color="FFFFFF"/>
              <w:left w:val="nil"/>
              <w:bottom w:val="single" w:sz="8" w:space="0" w:color="FFFFFF"/>
              <w:right w:val="single" w:sz="8" w:space="0" w:color="FFFFFF"/>
            </w:tcBorders>
            <w:shd w:val="clear" w:color="000000" w:fill="F2F2F2"/>
            <w:hideMark/>
          </w:tcPr>
          <w:p w14:paraId="0A499CFC"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Grants</w:t>
            </w:r>
          </w:p>
        </w:tc>
        <w:tc>
          <w:tcPr>
            <w:tcW w:w="1017" w:type="dxa"/>
            <w:tcBorders>
              <w:top w:val="nil"/>
              <w:left w:val="nil"/>
              <w:bottom w:val="single" w:sz="8" w:space="0" w:color="FFFFFF"/>
              <w:right w:val="single" w:sz="8" w:space="0" w:color="FFFFFF"/>
            </w:tcBorders>
            <w:shd w:val="clear" w:color="000000" w:fill="F2F2F2"/>
            <w:hideMark/>
          </w:tcPr>
          <w:p w14:paraId="0A499CFD"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1,587,600 </w:t>
            </w:r>
          </w:p>
        </w:tc>
        <w:tc>
          <w:tcPr>
            <w:tcW w:w="1019" w:type="dxa"/>
            <w:tcBorders>
              <w:top w:val="nil"/>
              <w:left w:val="nil"/>
              <w:bottom w:val="single" w:sz="8" w:space="0" w:color="FFFFFF"/>
              <w:right w:val="single" w:sz="8" w:space="0" w:color="FFFFFF"/>
            </w:tcBorders>
            <w:shd w:val="clear" w:color="000000" w:fill="F2F2F2"/>
            <w:hideMark/>
          </w:tcPr>
          <w:p w14:paraId="0A499CFE"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CFF"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14:paraId="0A499D00"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2713" w:type="dxa"/>
            <w:gridSpan w:val="2"/>
            <w:tcBorders>
              <w:top w:val="nil"/>
              <w:left w:val="nil"/>
              <w:bottom w:val="single" w:sz="8" w:space="0" w:color="FFFFFF"/>
              <w:right w:val="single" w:sz="8" w:space="0" w:color="FFFFFF"/>
            </w:tcBorders>
            <w:shd w:val="clear" w:color="000000" w:fill="F2F2F2"/>
            <w:hideMark/>
          </w:tcPr>
          <w:p w14:paraId="0A499D01" w14:textId="77777777" w:rsidR="00983136" w:rsidRDefault="00BA1535" w:rsidP="00251B7E">
            <w:pPr>
              <w:suppressAutoHyphens w:val="0"/>
              <w:spacing w:before="0" w:after="0" w:line="240" w:lineRule="auto"/>
              <w:rPr>
                <w:rFonts w:ascii="Arial" w:eastAsia="Times New Roman" w:hAnsi="Arial" w:cs="Arial"/>
                <w:color w:val="000000"/>
                <w:sz w:val="18"/>
                <w:lang w:val="en-US" w:eastAsia="en-AU"/>
              </w:rPr>
            </w:pPr>
            <w:r w:rsidRPr="00BA1535">
              <w:rPr>
                <w:rFonts w:ascii="Arial" w:eastAsia="Times New Roman" w:hAnsi="Arial" w:cs="Arial"/>
                <w:color w:val="000000"/>
                <w:sz w:val="18"/>
                <w:lang w:val="en-US" w:eastAsia="en-AU"/>
              </w:rPr>
              <w:t>Material balance. No prior year issues</w:t>
            </w:r>
            <w:r w:rsidR="00983136">
              <w:rPr>
                <w:rFonts w:ascii="Arial" w:eastAsia="Times New Roman" w:hAnsi="Arial" w:cs="Arial"/>
                <w:color w:val="000000"/>
                <w:sz w:val="18"/>
                <w:lang w:val="en-US" w:eastAsia="en-AU"/>
              </w:rPr>
              <w:t>,</w:t>
            </w:r>
            <w:r w:rsidRPr="00BA1535">
              <w:rPr>
                <w:rFonts w:ascii="Arial" w:eastAsia="Times New Roman" w:hAnsi="Arial" w:cs="Arial"/>
                <w:color w:val="000000"/>
                <w:sz w:val="18"/>
                <w:lang w:val="en-US" w:eastAsia="en-AU"/>
              </w:rPr>
              <w:t xml:space="preserve"> except for the section 83 (of the Constitution) matter raised by the ANAO. </w:t>
            </w:r>
          </w:p>
          <w:p w14:paraId="0A499D02" w14:textId="77777777" w:rsidR="00BA1535" w:rsidRPr="00BA1535" w:rsidRDefault="00BA1535" w:rsidP="00251B7E">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Assess where the grant programs are</w:t>
            </w:r>
            <w:r w:rsidR="00251B7E">
              <w:rPr>
                <w:rFonts w:ascii="Arial" w:eastAsia="Times New Roman" w:hAnsi="Arial" w:cs="Arial"/>
                <w:color w:val="000000"/>
                <w:sz w:val="18"/>
                <w:lang w:val="en-US" w:eastAsia="en-AU"/>
              </w:rPr>
              <w:t xml:space="preserve"> </w:t>
            </w:r>
            <w:r w:rsidRPr="00BA1535">
              <w:rPr>
                <w:rFonts w:ascii="Arial" w:eastAsia="Times New Roman" w:hAnsi="Arial" w:cs="Arial"/>
                <w:color w:val="000000"/>
                <w:sz w:val="18"/>
                <w:lang w:val="en-US" w:eastAsia="en-AU"/>
              </w:rPr>
              <w:t>supported by a head of Commonwealth leg</w:t>
            </w:r>
            <w:r w:rsidR="00251B7E">
              <w:rPr>
                <w:rFonts w:ascii="Arial" w:eastAsia="Times New Roman" w:hAnsi="Arial" w:cs="Arial"/>
                <w:color w:val="000000"/>
                <w:sz w:val="18"/>
                <w:lang w:val="en-US" w:eastAsia="en-AU"/>
              </w:rPr>
              <w:t xml:space="preserve">islative power (e.g. section 51 </w:t>
            </w:r>
            <w:r w:rsidRPr="00BA1535">
              <w:rPr>
                <w:rFonts w:ascii="Arial" w:eastAsia="Times New Roman" w:hAnsi="Arial" w:cs="Arial"/>
                <w:color w:val="000000"/>
                <w:sz w:val="18"/>
                <w:lang w:val="en-US" w:eastAsia="en-AU"/>
              </w:rPr>
              <w:t>of the Constitution). Review to include reconciliation of grant database to FMIS, cut-off testing and review of commitments information.</w:t>
            </w:r>
          </w:p>
        </w:tc>
      </w:tr>
      <w:tr w:rsidR="00251B7E" w:rsidRPr="00BA1535" w14:paraId="0A499D0B" w14:textId="77777777" w:rsidTr="00EB5466">
        <w:trPr>
          <w:trHeight w:val="1716"/>
        </w:trPr>
        <w:tc>
          <w:tcPr>
            <w:tcW w:w="683" w:type="dxa"/>
            <w:tcBorders>
              <w:top w:val="single" w:sz="8" w:space="0" w:color="FFFFFF"/>
              <w:left w:val="single" w:sz="8" w:space="0" w:color="FFFFFF"/>
              <w:bottom w:val="nil"/>
              <w:right w:val="single" w:sz="8" w:space="0" w:color="FFFFFF"/>
            </w:tcBorders>
            <w:shd w:val="clear" w:color="000000" w:fill="E2E3E2"/>
            <w:hideMark/>
          </w:tcPr>
          <w:p w14:paraId="0A499D04" w14:textId="77777777"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23</w:t>
            </w:r>
          </w:p>
        </w:tc>
        <w:tc>
          <w:tcPr>
            <w:tcW w:w="1392" w:type="dxa"/>
            <w:tcBorders>
              <w:top w:val="nil"/>
              <w:left w:val="nil"/>
              <w:bottom w:val="single" w:sz="8" w:space="0" w:color="FFFFFF"/>
              <w:right w:val="single" w:sz="8" w:space="0" w:color="FFFFFF"/>
            </w:tcBorders>
            <w:shd w:val="clear" w:color="000000" w:fill="F2F2F2"/>
            <w:hideMark/>
          </w:tcPr>
          <w:p w14:paraId="0A499D05"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Special Accounts</w:t>
            </w:r>
          </w:p>
        </w:tc>
        <w:tc>
          <w:tcPr>
            <w:tcW w:w="1017" w:type="dxa"/>
            <w:tcBorders>
              <w:top w:val="nil"/>
              <w:left w:val="nil"/>
              <w:bottom w:val="single" w:sz="8" w:space="0" w:color="FFFFFF"/>
              <w:right w:val="single" w:sz="8" w:space="0" w:color="FFFFFF"/>
            </w:tcBorders>
            <w:shd w:val="clear" w:color="000000" w:fill="F2F2F2"/>
            <w:hideMark/>
          </w:tcPr>
          <w:p w14:paraId="0A499D06" w14:textId="77777777"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318,200 </w:t>
            </w:r>
          </w:p>
        </w:tc>
        <w:tc>
          <w:tcPr>
            <w:tcW w:w="1019" w:type="dxa"/>
            <w:tcBorders>
              <w:top w:val="nil"/>
              <w:left w:val="nil"/>
              <w:bottom w:val="single" w:sz="8" w:space="0" w:color="FFFFFF"/>
              <w:right w:val="single" w:sz="8" w:space="0" w:color="FFFFFF"/>
            </w:tcBorders>
            <w:shd w:val="clear" w:color="000000" w:fill="F2F2F2"/>
            <w:hideMark/>
          </w:tcPr>
          <w:p w14:paraId="0A499D07"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14:paraId="0A499D08"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14:paraId="0A499D09" w14:textId="77777777" w:rsidR="00BA1535" w:rsidRPr="00BA1535" w:rsidRDefault="00BA1535" w:rsidP="00BA5DEA">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2713" w:type="dxa"/>
            <w:gridSpan w:val="2"/>
            <w:tcBorders>
              <w:top w:val="nil"/>
              <w:left w:val="nil"/>
              <w:bottom w:val="nil"/>
              <w:right w:val="single" w:sz="8" w:space="0" w:color="FFFFFF"/>
            </w:tcBorders>
            <w:shd w:val="clear" w:color="000000" w:fill="F2F2F2"/>
            <w:hideMark/>
          </w:tcPr>
          <w:p w14:paraId="0A499D0A" w14:textId="77777777"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Assessment of section 83 (of the Constitution) matter currently being conducted. Restructuring—additional seven special accounts to be transferred. Due diligence review currently being conducted.</w:t>
            </w:r>
          </w:p>
        </w:tc>
      </w:tr>
    </w:tbl>
    <w:p w14:paraId="0A499D0C" w14:textId="77777777" w:rsidR="009F0E0F" w:rsidRPr="0031022B" w:rsidRDefault="00827298" w:rsidP="00827298">
      <w:pPr>
        <w:rPr>
          <w:sz w:val="18"/>
          <w:szCs w:val="18"/>
        </w:rPr>
      </w:pPr>
      <w:r w:rsidRPr="0031022B">
        <w:rPr>
          <w:sz w:val="18"/>
          <w:szCs w:val="18"/>
        </w:rPr>
        <w:t>Note 1: To be managed by existing control procedures. No additional resource commitment required.</w:t>
      </w:r>
    </w:p>
    <w:sectPr w:rsidR="009F0E0F" w:rsidRPr="0031022B" w:rsidSect="0039715A">
      <w:headerReference w:type="default" r:id="rId13"/>
      <w:footerReference w:type="default" r:id="rId14"/>
      <w:headerReference w:type="first" r:id="rId15"/>
      <w:footerReference w:type="first" r:id="rId16"/>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9D0F" w14:textId="77777777" w:rsidR="00802117" w:rsidRDefault="00802117" w:rsidP="00EF4574">
      <w:pPr>
        <w:spacing w:before="0" w:after="0" w:line="240" w:lineRule="auto"/>
      </w:pPr>
      <w:r>
        <w:separator/>
      </w:r>
    </w:p>
  </w:endnote>
  <w:endnote w:type="continuationSeparator" w:id="0">
    <w:p w14:paraId="0A499D10" w14:textId="77777777" w:rsidR="00802117" w:rsidRDefault="0080211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9D14" w14:textId="410C4783" w:rsidR="00DB6D69" w:rsidRDefault="005970EA" w:rsidP="0039715A">
    <w:pPr>
      <w:pStyle w:val="Footer"/>
      <w:jc w:val="right"/>
      <w:rPr>
        <w:noProof/>
      </w:rPr>
    </w:pPr>
    <w:r>
      <w:fldChar w:fldCharType="begin"/>
    </w:r>
    <w:r>
      <w:instrText xml:space="preserve"> PAGE   \* MERGEFORMAT </w:instrText>
    </w:r>
    <w:r>
      <w:fldChar w:fldCharType="separate"/>
    </w:r>
    <w:r w:rsidR="00BA5DEA">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9D16" w14:textId="77777777" w:rsidR="000A6A8B" w:rsidRDefault="000A6A8B">
    <w:pPr>
      <w:pStyle w:val="Footer"/>
    </w:pPr>
  </w:p>
  <w:p w14:paraId="0A499D17" w14:textId="77777777" w:rsidR="000A6A8B" w:rsidRDefault="000A6A8B" w:rsidP="000A6A8B">
    <w:pPr>
      <w:pStyle w:val="Footer"/>
      <w:jc w:val="center"/>
      <w:rPr>
        <w:rStyle w:val="Classification"/>
      </w:rPr>
    </w:pPr>
    <w:r w:rsidRPr="000A6A8B">
      <w:rPr>
        <w:rStyle w:val="Classification"/>
      </w:rPr>
      <w:t>Classification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9D0D" w14:textId="77777777" w:rsidR="00802117" w:rsidRDefault="00802117" w:rsidP="0020122A">
      <w:pPr>
        <w:pStyle w:val="FootnoteSeparator"/>
      </w:pPr>
    </w:p>
  </w:footnote>
  <w:footnote w:type="continuationSeparator" w:id="0">
    <w:p w14:paraId="0A499D0E" w14:textId="77777777" w:rsidR="00802117" w:rsidRDefault="00802117"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9D12" w14:textId="77777777" w:rsidR="00E17423" w:rsidRPr="0090743D" w:rsidRDefault="00E17423" w:rsidP="00E17423">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0A499D13" w14:textId="77777777" w:rsidR="00E17423" w:rsidRDefault="00E17423" w:rsidP="00E17423">
    <w:pPr>
      <w:pStyle w:val="Header"/>
    </w:pPr>
    <w:r w:rsidRPr="0090743D">
      <w:rPr>
        <w:szCs w:val="14"/>
      </w:rPr>
      <w:tab/>
    </w:r>
    <w:r w:rsidRPr="0090743D">
      <w:rPr>
        <w:szCs w:val="14"/>
      </w:rPr>
      <w:tab/>
    </w:r>
    <w:r w:rsidRPr="00E17423">
      <w:rPr>
        <w:szCs w:val="14"/>
      </w:rPr>
      <w:t>Example: Financial statements risk analysis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9D15" w14:textId="77777777" w:rsidR="000C2A48" w:rsidRDefault="000A6A8B" w:rsidP="000A6A8B">
    <w:pPr>
      <w:pStyle w:val="Header"/>
      <w:jc w:val="center"/>
    </w:pPr>
    <w:r w:rsidRPr="000A6A8B">
      <w:rPr>
        <w:rStyle w:val="Classification"/>
      </w:rPr>
      <w:t>Classification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30D2"/>
    <w:multiLevelType w:val="hybridMultilevel"/>
    <w:tmpl w:val="A1A0FBC0"/>
    <w:lvl w:ilvl="0" w:tplc="564611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540488"/>
    <w:multiLevelType w:val="hybridMultilevel"/>
    <w:tmpl w:val="F7BE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2B4EB4"/>
    <w:multiLevelType w:val="hybridMultilevel"/>
    <w:tmpl w:val="D42078A0"/>
    <w:lvl w:ilvl="0" w:tplc="308AA506">
      <w:start w:val="1"/>
      <w:numFmt w:val="decimal"/>
      <w:pStyle w:val="Heading1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7F1320"/>
    <w:multiLevelType w:val="multilevel"/>
    <w:tmpl w:val="E82447EA"/>
    <w:lvl w:ilvl="0">
      <w:start w:val="1"/>
      <w:numFmt w:val="decimal"/>
      <w:lvlText w:val="%1."/>
      <w:lvlJc w:val="left"/>
      <w:pPr>
        <w:ind w:left="568" w:hanging="284"/>
      </w:pPr>
      <w:rPr>
        <w:rFonts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27034BEB"/>
    <w:multiLevelType w:val="multilevel"/>
    <w:tmpl w:val="885CD268"/>
    <w:name w:val="StandardBulletedList"/>
    <w:lvl w:ilvl="0">
      <w:start w:val="1"/>
      <w:numFmt w:val="bullet"/>
      <w:pStyle w:val="Bullet"/>
      <w:lvlText w:val="•"/>
      <w:lvlJc w:val="left"/>
      <w:pPr>
        <w:tabs>
          <w:tab w:val="num" w:pos="425"/>
        </w:tabs>
        <w:ind w:left="425" w:hanging="425"/>
      </w:pPr>
      <w:rPr>
        <w:rFonts w:ascii="Times New Roman" w:hAnsi="Times New Roman" w:cs="Times New Roman"/>
      </w:rPr>
    </w:lvl>
    <w:lvl w:ilvl="1">
      <w:start w:val="1"/>
      <w:numFmt w:val="bullet"/>
      <w:pStyle w:val="Dash"/>
      <w:lvlText w:val="–"/>
      <w:lvlJc w:val="left"/>
      <w:pPr>
        <w:tabs>
          <w:tab w:val="num" w:pos="850"/>
        </w:tabs>
        <w:ind w:left="850" w:hanging="425"/>
      </w:pPr>
      <w:rPr>
        <w:rFonts w:ascii="Times New Roman" w:hAnsi="Times New Roman" w:cs="Times New Roman"/>
      </w:rPr>
    </w:lvl>
    <w:lvl w:ilvl="2">
      <w:start w:val="1"/>
      <w:numFmt w:val="bullet"/>
      <w:pStyle w:val="DoubleDot"/>
      <w:lvlText w:val=":"/>
      <w:lvlJc w:val="left"/>
      <w:pPr>
        <w:tabs>
          <w:tab w:val="num" w:pos="1275"/>
        </w:tabs>
        <w:ind w:left="1275"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9B159F"/>
    <w:multiLevelType w:val="multilevel"/>
    <w:tmpl w:val="82987F6E"/>
    <w:styleLink w:val="HeadingsList"/>
    <w:lvl w:ilvl="0">
      <w:start w:val="1"/>
      <w:numFmt w:val="decimal"/>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BB74D4E"/>
    <w:multiLevelType w:val="hybridMultilevel"/>
    <w:tmpl w:val="B91AC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22422E"/>
    <w:multiLevelType w:val="hybridMultilevel"/>
    <w:tmpl w:val="19B8F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B596616"/>
    <w:multiLevelType w:val="hybridMultilevel"/>
    <w:tmpl w:val="2D686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22"/>
  </w:num>
  <w:num w:numId="23">
    <w:abstractNumId w:val="22"/>
  </w:num>
  <w:num w:numId="24">
    <w:abstractNumId w:val="22"/>
  </w:num>
  <w:num w:numId="25">
    <w:abstractNumId w:val="21"/>
  </w:num>
  <w:num w:numId="26">
    <w:abstractNumId w:val="17"/>
  </w:num>
  <w:num w:numId="27">
    <w:abstractNumId w:val="17"/>
  </w:num>
  <w:num w:numId="28">
    <w:abstractNumId w:val="17"/>
  </w:num>
  <w:num w:numId="29">
    <w:abstractNumId w:val="17"/>
  </w:num>
  <w:num w:numId="30">
    <w:abstractNumId w:val="11"/>
  </w:num>
  <w:num w:numId="31">
    <w:abstractNumId w:val="11"/>
  </w:num>
  <w:num w:numId="32">
    <w:abstractNumId w:val="11"/>
  </w:num>
  <w:num w:numId="33">
    <w:abstractNumId w:val="11"/>
  </w:num>
  <w:num w:numId="34">
    <w:abstractNumId w:val="18"/>
  </w:num>
  <w:num w:numId="35">
    <w:abstractNumId w:val="10"/>
  </w:num>
  <w:num w:numId="36">
    <w:abstractNumId w:val="23"/>
  </w:num>
  <w:num w:numId="37">
    <w:abstractNumId w:val="20"/>
  </w:num>
  <w:num w:numId="38">
    <w:abstractNumId w:val="15"/>
  </w:num>
  <w:num w:numId="39">
    <w:abstractNumId w:val="14"/>
  </w:num>
  <w:num w:numId="40">
    <w:abstractNumId w:val="14"/>
  </w:num>
  <w:num w:numId="41">
    <w:abstractNumId w:val="13"/>
  </w:num>
  <w:num w:numId="42">
    <w:abstractNumId w:val="22"/>
  </w:num>
  <w:num w:numId="43">
    <w:abstractNumId w:val="1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672"/>
    <w:rsid w:val="0000142F"/>
    <w:rsid w:val="000045A1"/>
    <w:rsid w:val="00021B85"/>
    <w:rsid w:val="0002782F"/>
    <w:rsid w:val="00054E4D"/>
    <w:rsid w:val="00060073"/>
    <w:rsid w:val="000A4B30"/>
    <w:rsid w:val="000A6A8B"/>
    <w:rsid w:val="000C2A48"/>
    <w:rsid w:val="000C5020"/>
    <w:rsid w:val="000D0EA0"/>
    <w:rsid w:val="000D60B1"/>
    <w:rsid w:val="001541EA"/>
    <w:rsid w:val="00154FFA"/>
    <w:rsid w:val="001612A4"/>
    <w:rsid w:val="00184091"/>
    <w:rsid w:val="001E1DC0"/>
    <w:rsid w:val="0020122A"/>
    <w:rsid w:val="00201AF4"/>
    <w:rsid w:val="00251B7E"/>
    <w:rsid w:val="0027709D"/>
    <w:rsid w:val="002813C4"/>
    <w:rsid w:val="0028602A"/>
    <w:rsid w:val="002D4806"/>
    <w:rsid w:val="002F1334"/>
    <w:rsid w:val="002F4415"/>
    <w:rsid w:val="00301144"/>
    <w:rsid w:val="0031022B"/>
    <w:rsid w:val="0031279D"/>
    <w:rsid w:val="003148B7"/>
    <w:rsid w:val="003158C3"/>
    <w:rsid w:val="003274CD"/>
    <w:rsid w:val="0034348C"/>
    <w:rsid w:val="0035119D"/>
    <w:rsid w:val="0039715A"/>
    <w:rsid w:val="003B4F12"/>
    <w:rsid w:val="003D5C8D"/>
    <w:rsid w:val="00423F31"/>
    <w:rsid w:val="004314F8"/>
    <w:rsid w:val="00431899"/>
    <w:rsid w:val="00486804"/>
    <w:rsid w:val="004A0583"/>
    <w:rsid w:val="004B3775"/>
    <w:rsid w:val="004C2C17"/>
    <w:rsid w:val="004E058F"/>
    <w:rsid w:val="004E3B87"/>
    <w:rsid w:val="00510921"/>
    <w:rsid w:val="00510AD3"/>
    <w:rsid w:val="00513348"/>
    <w:rsid w:val="00533B5D"/>
    <w:rsid w:val="005506BA"/>
    <w:rsid w:val="00565FE6"/>
    <w:rsid w:val="005970EA"/>
    <w:rsid w:val="005A6C78"/>
    <w:rsid w:val="005C37F0"/>
    <w:rsid w:val="005E15BD"/>
    <w:rsid w:val="005E45E3"/>
    <w:rsid w:val="005F6AE9"/>
    <w:rsid w:val="00623BA1"/>
    <w:rsid w:val="006346BC"/>
    <w:rsid w:val="00663A2C"/>
    <w:rsid w:val="0066652A"/>
    <w:rsid w:val="0068028B"/>
    <w:rsid w:val="00682167"/>
    <w:rsid w:val="006C42AF"/>
    <w:rsid w:val="006C4DD1"/>
    <w:rsid w:val="006D04A4"/>
    <w:rsid w:val="006E196B"/>
    <w:rsid w:val="006E7004"/>
    <w:rsid w:val="00711D8E"/>
    <w:rsid w:val="00712672"/>
    <w:rsid w:val="00734E3F"/>
    <w:rsid w:val="00736985"/>
    <w:rsid w:val="007867E5"/>
    <w:rsid w:val="007B6200"/>
    <w:rsid w:val="007D134E"/>
    <w:rsid w:val="007F6C91"/>
    <w:rsid w:val="00801B9F"/>
    <w:rsid w:val="00802117"/>
    <w:rsid w:val="00827298"/>
    <w:rsid w:val="00831826"/>
    <w:rsid w:val="00880B3F"/>
    <w:rsid w:val="008961D6"/>
    <w:rsid w:val="008B2300"/>
    <w:rsid w:val="009222BC"/>
    <w:rsid w:val="00965C52"/>
    <w:rsid w:val="00983136"/>
    <w:rsid w:val="009B4D3B"/>
    <w:rsid w:val="009B53C8"/>
    <w:rsid w:val="009D7407"/>
    <w:rsid w:val="009E0866"/>
    <w:rsid w:val="009F0E0F"/>
    <w:rsid w:val="00A14B83"/>
    <w:rsid w:val="00A24A62"/>
    <w:rsid w:val="00A31C9F"/>
    <w:rsid w:val="00A6334F"/>
    <w:rsid w:val="00A76378"/>
    <w:rsid w:val="00A827FB"/>
    <w:rsid w:val="00AA293C"/>
    <w:rsid w:val="00AA468B"/>
    <w:rsid w:val="00AC164A"/>
    <w:rsid w:val="00AE7BB5"/>
    <w:rsid w:val="00AF2050"/>
    <w:rsid w:val="00AF5FA1"/>
    <w:rsid w:val="00BA1535"/>
    <w:rsid w:val="00BA5DEA"/>
    <w:rsid w:val="00BB26C5"/>
    <w:rsid w:val="00BB6A1A"/>
    <w:rsid w:val="00BE0248"/>
    <w:rsid w:val="00BE7B8D"/>
    <w:rsid w:val="00BF4DE6"/>
    <w:rsid w:val="00C1246A"/>
    <w:rsid w:val="00C274A4"/>
    <w:rsid w:val="00C42CDE"/>
    <w:rsid w:val="00C465FF"/>
    <w:rsid w:val="00C70EAA"/>
    <w:rsid w:val="00C7334F"/>
    <w:rsid w:val="00C76042"/>
    <w:rsid w:val="00CA37B1"/>
    <w:rsid w:val="00CB1959"/>
    <w:rsid w:val="00CB74E8"/>
    <w:rsid w:val="00D0296C"/>
    <w:rsid w:val="00D46EAE"/>
    <w:rsid w:val="00D76E1A"/>
    <w:rsid w:val="00D87028"/>
    <w:rsid w:val="00DB35A3"/>
    <w:rsid w:val="00DB6D69"/>
    <w:rsid w:val="00DC430B"/>
    <w:rsid w:val="00DD6694"/>
    <w:rsid w:val="00DE41F5"/>
    <w:rsid w:val="00DF29D2"/>
    <w:rsid w:val="00E17423"/>
    <w:rsid w:val="00E24DAC"/>
    <w:rsid w:val="00E25FBA"/>
    <w:rsid w:val="00E2722E"/>
    <w:rsid w:val="00E357B7"/>
    <w:rsid w:val="00E36272"/>
    <w:rsid w:val="00E53800"/>
    <w:rsid w:val="00E6081F"/>
    <w:rsid w:val="00EA04B2"/>
    <w:rsid w:val="00EA20F3"/>
    <w:rsid w:val="00EB5466"/>
    <w:rsid w:val="00ED43D1"/>
    <w:rsid w:val="00EE4EE1"/>
    <w:rsid w:val="00EF4574"/>
    <w:rsid w:val="00F0219E"/>
    <w:rsid w:val="00F10994"/>
    <w:rsid w:val="00F2684E"/>
    <w:rsid w:val="00F33736"/>
    <w:rsid w:val="00F40C2D"/>
    <w:rsid w:val="00F5689B"/>
    <w:rsid w:val="00F65521"/>
    <w:rsid w:val="00F729EF"/>
    <w:rsid w:val="00F77CAE"/>
    <w:rsid w:val="00F96BB9"/>
    <w:rsid w:val="00FA356F"/>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A49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1"/>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2Numbered"/>
    <w:next w:val="Normal"/>
    <w:qFormat/>
    <w:rsid w:val="006D04A4"/>
    <w:pPr>
      <w:numPr>
        <w:ilvl w:val="0"/>
        <w:numId w:val="39"/>
      </w:numPr>
    </w:pPr>
    <w:rPr>
      <w:rFonts w:asciiTheme="minorHAnsi" w:eastAsiaTheme="minorHAnsi" w:hAnsiTheme="minorHAnsi" w:cstheme="minorBidi"/>
      <w:bCs w:val="0"/>
      <w:color w:val="auto"/>
      <w:sz w:val="30"/>
      <w:szCs w:val="30"/>
    </w:r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827298"/>
    <w:pPr>
      <w:ind w:left="720"/>
      <w:contextualSpacing/>
    </w:pPr>
  </w:style>
  <w:style w:type="paragraph" w:styleId="BalloonText">
    <w:name w:val="Balloon Text"/>
    <w:basedOn w:val="Normal"/>
    <w:link w:val="BalloonTextChar"/>
    <w:uiPriority w:val="99"/>
    <w:semiHidden/>
    <w:unhideWhenUsed/>
    <w:rsid w:val="00A633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34F"/>
    <w:rPr>
      <w:rFonts w:ascii="Segoe UI" w:hAnsi="Segoe UI" w:cs="Segoe UI"/>
      <w:sz w:val="18"/>
      <w:szCs w:val="18"/>
    </w:rPr>
  </w:style>
  <w:style w:type="paragraph" w:customStyle="1" w:styleId="Title1">
    <w:name w:val="Title 1"/>
    <w:basedOn w:val="Title"/>
    <w:link w:val="Title1Char"/>
    <w:qFormat/>
    <w:rsid w:val="00F65521"/>
    <w:pPr>
      <w:keepLines w:val="0"/>
      <w:spacing w:before="180" w:after="60"/>
      <w:contextualSpacing w:val="0"/>
    </w:pPr>
    <w:rPr>
      <w:rFonts w:ascii="Arial" w:eastAsiaTheme="minorHAnsi" w:hAnsi="Arial" w:cs="Arial"/>
      <w:bCs w:val="0"/>
      <w:color w:val="auto"/>
      <w:kern w:val="0"/>
      <w:szCs w:val="40"/>
    </w:rPr>
  </w:style>
  <w:style w:type="character" w:customStyle="1" w:styleId="Title1Char">
    <w:name w:val="Title 1 Char"/>
    <w:basedOn w:val="TitleChar"/>
    <w:link w:val="Title1"/>
    <w:rsid w:val="00F65521"/>
    <w:rPr>
      <w:rFonts w:ascii="Arial" w:eastAsiaTheme="majorEastAsia" w:hAnsi="Arial" w:cs="Arial"/>
      <w:bCs w:val="0"/>
      <w:color w:val="1C1C1C" w:themeColor="text2"/>
      <w:kern w:val="28"/>
      <w:sz w:val="40"/>
      <w:szCs w:val="40"/>
    </w:rPr>
  </w:style>
  <w:style w:type="paragraph" w:customStyle="1" w:styleId="Bullet">
    <w:name w:val="Bullet"/>
    <w:basedOn w:val="Normal"/>
    <w:link w:val="BulletChar"/>
    <w:rsid w:val="00FA356F"/>
    <w:pPr>
      <w:numPr>
        <w:numId w:val="44"/>
      </w:numPr>
      <w:spacing w:before="0" w:line="240" w:lineRule="auto"/>
    </w:pPr>
    <w:rPr>
      <w:sz w:val="18"/>
      <w:szCs w:val="18"/>
      <w:lang w:val="en-US" w:eastAsia="en-AU"/>
    </w:rPr>
  </w:style>
  <w:style w:type="character" w:customStyle="1" w:styleId="BulletChar">
    <w:name w:val="Bullet Char"/>
    <w:basedOn w:val="DefaultParagraphFont"/>
    <w:link w:val="Bullet"/>
    <w:rsid w:val="00FA356F"/>
    <w:rPr>
      <w:sz w:val="18"/>
      <w:szCs w:val="18"/>
      <w:lang w:val="en-US" w:eastAsia="en-AU"/>
    </w:rPr>
  </w:style>
  <w:style w:type="paragraph" w:customStyle="1" w:styleId="Dash">
    <w:name w:val="Dash"/>
    <w:basedOn w:val="Normal"/>
    <w:link w:val="DashChar"/>
    <w:rsid w:val="00FA356F"/>
    <w:pPr>
      <w:numPr>
        <w:ilvl w:val="1"/>
        <w:numId w:val="44"/>
      </w:numPr>
      <w:spacing w:before="0" w:line="240" w:lineRule="auto"/>
    </w:pPr>
    <w:rPr>
      <w:sz w:val="18"/>
      <w:szCs w:val="18"/>
      <w:lang w:val="en-US" w:eastAsia="en-AU"/>
    </w:rPr>
  </w:style>
  <w:style w:type="character" w:customStyle="1" w:styleId="DashChar">
    <w:name w:val="Dash Char"/>
    <w:basedOn w:val="DefaultParagraphFont"/>
    <w:link w:val="Dash"/>
    <w:rsid w:val="00FA356F"/>
    <w:rPr>
      <w:sz w:val="18"/>
      <w:szCs w:val="18"/>
      <w:lang w:val="en-US" w:eastAsia="en-AU"/>
    </w:rPr>
  </w:style>
  <w:style w:type="paragraph" w:customStyle="1" w:styleId="DoubleDot">
    <w:name w:val="Double Dot"/>
    <w:basedOn w:val="Normal"/>
    <w:link w:val="DoubleDotChar"/>
    <w:rsid w:val="00FA356F"/>
    <w:pPr>
      <w:numPr>
        <w:ilvl w:val="2"/>
        <w:numId w:val="44"/>
      </w:numPr>
      <w:spacing w:before="0" w:line="240" w:lineRule="auto"/>
    </w:pPr>
    <w:rPr>
      <w:sz w:val="18"/>
      <w:szCs w:val="18"/>
      <w:lang w:val="en-US" w:eastAsia="en-AU"/>
    </w:rPr>
  </w:style>
  <w:style w:type="character" w:customStyle="1" w:styleId="DoubleDotChar">
    <w:name w:val="Double Dot Char"/>
    <w:basedOn w:val="DefaultParagraphFont"/>
    <w:link w:val="DoubleDot"/>
    <w:rsid w:val="00FA356F"/>
    <w:rPr>
      <w:sz w:val="18"/>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447">
      <w:bodyDiv w:val="1"/>
      <w:marLeft w:val="0"/>
      <w:marRight w:val="0"/>
      <w:marTop w:val="0"/>
      <w:marBottom w:val="0"/>
      <w:divBdr>
        <w:top w:val="none" w:sz="0" w:space="0" w:color="auto"/>
        <w:left w:val="none" w:sz="0" w:space="0" w:color="auto"/>
        <w:bottom w:val="none" w:sz="0" w:space="0" w:color="auto"/>
        <w:right w:val="none" w:sz="0" w:space="0" w:color="auto"/>
      </w:divBdr>
    </w:div>
    <w:div w:id="79639171">
      <w:bodyDiv w:val="1"/>
      <w:marLeft w:val="0"/>
      <w:marRight w:val="0"/>
      <w:marTop w:val="0"/>
      <w:marBottom w:val="0"/>
      <w:divBdr>
        <w:top w:val="none" w:sz="0" w:space="0" w:color="auto"/>
        <w:left w:val="none" w:sz="0" w:space="0" w:color="auto"/>
        <w:bottom w:val="none" w:sz="0" w:space="0" w:color="auto"/>
        <w:right w:val="none" w:sz="0" w:space="0" w:color="auto"/>
      </w:divBdr>
    </w:div>
    <w:div w:id="84888690">
      <w:bodyDiv w:val="1"/>
      <w:marLeft w:val="0"/>
      <w:marRight w:val="0"/>
      <w:marTop w:val="0"/>
      <w:marBottom w:val="0"/>
      <w:divBdr>
        <w:top w:val="none" w:sz="0" w:space="0" w:color="auto"/>
        <w:left w:val="none" w:sz="0" w:space="0" w:color="auto"/>
        <w:bottom w:val="none" w:sz="0" w:space="0" w:color="auto"/>
        <w:right w:val="none" w:sz="0" w:space="0" w:color="auto"/>
      </w:divBdr>
    </w:div>
    <w:div w:id="462776519">
      <w:bodyDiv w:val="1"/>
      <w:marLeft w:val="0"/>
      <w:marRight w:val="0"/>
      <w:marTop w:val="0"/>
      <w:marBottom w:val="0"/>
      <w:divBdr>
        <w:top w:val="none" w:sz="0" w:space="0" w:color="auto"/>
        <w:left w:val="none" w:sz="0" w:space="0" w:color="auto"/>
        <w:bottom w:val="none" w:sz="0" w:space="0" w:color="auto"/>
        <w:right w:val="none" w:sz="0" w:space="0" w:color="auto"/>
      </w:divBdr>
    </w:div>
    <w:div w:id="484515189">
      <w:bodyDiv w:val="1"/>
      <w:marLeft w:val="0"/>
      <w:marRight w:val="0"/>
      <w:marTop w:val="0"/>
      <w:marBottom w:val="0"/>
      <w:divBdr>
        <w:top w:val="none" w:sz="0" w:space="0" w:color="auto"/>
        <w:left w:val="none" w:sz="0" w:space="0" w:color="auto"/>
        <w:bottom w:val="none" w:sz="0" w:space="0" w:color="auto"/>
        <w:right w:val="none" w:sz="0" w:space="0" w:color="auto"/>
      </w:divBdr>
    </w:div>
    <w:div w:id="601425862">
      <w:bodyDiv w:val="1"/>
      <w:marLeft w:val="0"/>
      <w:marRight w:val="0"/>
      <w:marTop w:val="0"/>
      <w:marBottom w:val="0"/>
      <w:divBdr>
        <w:top w:val="none" w:sz="0" w:space="0" w:color="auto"/>
        <w:left w:val="none" w:sz="0" w:space="0" w:color="auto"/>
        <w:bottom w:val="none" w:sz="0" w:space="0" w:color="auto"/>
        <w:right w:val="none" w:sz="0" w:space="0" w:color="auto"/>
      </w:divBdr>
    </w:div>
    <w:div w:id="660348580">
      <w:bodyDiv w:val="1"/>
      <w:marLeft w:val="0"/>
      <w:marRight w:val="0"/>
      <w:marTop w:val="0"/>
      <w:marBottom w:val="0"/>
      <w:divBdr>
        <w:top w:val="none" w:sz="0" w:space="0" w:color="auto"/>
        <w:left w:val="none" w:sz="0" w:space="0" w:color="auto"/>
        <w:bottom w:val="none" w:sz="0" w:space="0" w:color="auto"/>
        <w:right w:val="none" w:sz="0" w:space="0" w:color="auto"/>
      </w:divBdr>
    </w:div>
    <w:div w:id="674498346">
      <w:bodyDiv w:val="1"/>
      <w:marLeft w:val="0"/>
      <w:marRight w:val="0"/>
      <w:marTop w:val="0"/>
      <w:marBottom w:val="0"/>
      <w:divBdr>
        <w:top w:val="none" w:sz="0" w:space="0" w:color="auto"/>
        <w:left w:val="none" w:sz="0" w:space="0" w:color="auto"/>
        <w:bottom w:val="none" w:sz="0" w:space="0" w:color="auto"/>
        <w:right w:val="none" w:sz="0" w:space="0" w:color="auto"/>
      </w:divBdr>
    </w:div>
    <w:div w:id="938492726">
      <w:bodyDiv w:val="1"/>
      <w:marLeft w:val="0"/>
      <w:marRight w:val="0"/>
      <w:marTop w:val="0"/>
      <w:marBottom w:val="0"/>
      <w:divBdr>
        <w:top w:val="none" w:sz="0" w:space="0" w:color="auto"/>
        <w:left w:val="none" w:sz="0" w:space="0" w:color="auto"/>
        <w:bottom w:val="none" w:sz="0" w:space="0" w:color="auto"/>
        <w:right w:val="none" w:sz="0" w:space="0" w:color="auto"/>
      </w:divBdr>
    </w:div>
    <w:div w:id="1164206703">
      <w:bodyDiv w:val="1"/>
      <w:marLeft w:val="0"/>
      <w:marRight w:val="0"/>
      <w:marTop w:val="0"/>
      <w:marBottom w:val="0"/>
      <w:divBdr>
        <w:top w:val="none" w:sz="0" w:space="0" w:color="auto"/>
        <w:left w:val="none" w:sz="0" w:space="0" w:color="auto"/>
        <w:bottom w:val="none" w:sz="0" w:space="0" w:color="auto"/>
        <w:right w:val="none" w:sz="0" w:space="0" w:color="auto"/>
      </w:divBdr>
    </w:div>
    <w:div w:id="1435634364">
      <w:bodyDiv w:val="1"/>
      <w:marLeft w:val="0"/>
      <w:marRight w:val="0"/>
      <w:marTop w:val="0"/>
      <w:marBottom w:val="0"/>
      <w:divBdr>
        <w:top w:val="none" w:sz="0" w:space="0" w:color="auto"/>
        <w:left w:val="none" w:sz="0" w:space="0" w:color="auto"/>
        <w:bottom w:val="none" w:sz="0" w:space="0" w:color="auto"/>
        <w:right w:val="none" w:sz="0" w:space="0" w:color="auto"/>
      </w:divBdr>
    </w:div>
    <w:div w:id="1580361423">
      <w:bodyDiv w:val="1"/>
      <w:marLeft w:val="0"/>
      <w:marRight w:val="0"/>
      <w:marTop w:val="0"/>
      <w:marBottom w:val="0"/>
      <w:divBdr>
        <w:top w:val="none" w:sz="0" w:space="0" w:color="auto"/>
        <w:left w:val="none" w:sz="0" w:space="0" w:color="auto"/>
        <w:bottom w:val="none" w:sz="0" w:space="0" w:color="auto"/>
        <w:right w:val="none" w:sz="0" w:space="0" w:color="auto"/>
      </w:divBdr>
    </w:div>
    <w:div w:id="1736514549">
      <w:bodyDiv w:val="1"/>
      <w:marLeft w:val="0"/>
      <w:marRight w:val="0"/>
      <w:marTop w:val="0"/>
      <w:marBottom w:val="0"/>
      <w:divBdr>
        <w:top w:val="none" w:sz="0" w:space="0" w:color="auto"/>
        <w:left w:val="none" w:sz="0" w:space="0" w:color="auto"/>
        <w:bottom w:val="none" w:sz="0" w:space="0" w:color="auto"/>
        <w:right w:val="none" w:sz="0" w:space="0" w:color="auto"/>
      </w:divBdr>
    </w:div>
    <w:div w:id="2025596975">
      <w:bodyDiv w:val="1"/>
      <w:marLeft w:val="0"/>
      <w:marRight w:val="0"/>
      <w:marTop w:val="0"/>
      <w:marBottom w:val="0"/>
      <w:divBdr>
        <w:top w:val="none" w:sz="0" w:space="0" w:color="auto"/>
        <w:left w:val="none" w:sz="0" w:space="0" w:color="auto"/>
        <w:bottom w:val="none" w:sz="0" w:space="0" w:color="auto"/>
        <w:right w:val="none" w:sz="0" w:space="0" w:color="auto"/>
      </w:divBdr>
    </w:div>
    <w:div w:id="2044479131">
      <w:bodyDiv w:val="1"/>
      <w:marLeft w:val="0"/>
      <w:marRight w:val="0"/>
      <w:marTop w:val="0"/>
      <w:marBottom w:val="0"/>
      <w:divBdr>
        <w:top w:val="none" w:sz="0" w:space="0" w:color="auto"/>
        <w:left w:val="none" w:sz="0" w:space="0" w:color="auto"/>
        <w:bottom w:val="none" w:sz="0" w:space="0" w:color="auto"/>
        <w:right w:val="none" w:sz="0" w:space="0" w:color="auto"/>
      </w:divBdr>
    </w:div>
    <w:div w:id="21401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FIN33506-77069739-40693</_dlc_DocId>
    <_dlc_DocIdUrl xmlns="fdd6b31f-a027-425f-adfa-a4194e98dae2">
      <Url>https://f1.prdmgd.finance.gov.au/sites/50033506/_layouts/15/DocIdRedir.aspx?ID=FIN33506-77069739-40693</Url>
      <Description>FIN33506-77069739-40693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8839-9D6E-4B93-823A-EE39084C05EC}">
  <ds:schemaRefs>
    <ds:schemaRef ds:uri="http://schemas.microsoft.com/sharepoint/v3/contenttype/forms"/>
  </ds:schemaRefs>
</ds:datastoreItem>
</file>

<file path=customXml/itemProps2.xml><?xml version="1.0" encoding="utf-8"?>
<ds:datastoreItem xmlns:ds="http://schemas.openxmlformats.org/officeDocument/2006/customXml" ds:itemID="{CFC136F1-604B-47F1-B0E7-B0AE34687204}">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0838EE6-3510-4210-AA43-084FFC386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4066C-EA91-4E66-879D-339DD22CC867}">
  <ds:schemaRefs>
    <ds:schemaRef ds:uri="Microsoft.SharePoint.Taxonomy.ContentTypeSync"/>
  </ds:schemaRefs>
</ds:datastoreItem>
</file>

<file path=customXml/itemProps5.xml><?xml version="1.0" encoding="utf-8"?>
<ds:datastoreItem xmlns:ds="http://schemas.openxmlformats.org/officeDocument/2006/customXml" ds:itemID="{5B9A1088-4C0A-4AAD-B28D-5573372AE7F5}">
  <ds:schemaRefs>
    <ds:schemaRef ds:uri="http://schemas.microsoft.com/sharepoint/events"/>
  </ds:schemaRefs>
</ds:datastoreItem>
</file>

<file path=customXml/itemProps6.xml><?xml version="1.0" encoding="utf-8"?>
<ds:datastoreItem xmlns:ds="http://schemas.openxmlformats.org/officeDocument/2006/customXml" ds:itemID="{727E9BDD-F66E-4433-B09B-81A64D80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Example Financial Statements Risk Analysis</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Financial Statements Risk Analysis</dc:title>
  <dc:subject/>
  <dc:creator/>
  <cp:keywords/>
  <dc:description/>
  <cp:lastModifiedBy/>
  <cp:revision>1</cp:revision>
  <dcterms:created xsi:type="dcterms:W3CDTF">2022-02-28T05:56:00Z</dcterms:created>
  <dcterms:modified xsi:type="dcterms:W3CDTF">2022-03-31T02:48:00Z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66d25b12-0a71-4028-b661-214265d88065</vt:lpwstr>
  </property>
</Properties>
</file>