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38C" w:rsidRPr="00213592" w:rsidRDefault="0001438C" w:rsidP="00213592">
      <w:pPr>
        <w:pStyle w:val="TPHeading1"/>
        <w:spacing w:before="960"/>
        <w:ind w:left="1134" w:right="1134"/>
        <w:rPr>
          <w:rFonts w:asciiTheme="majorHAnsi" w:hAnsiTheme="majorHAnsi" w:cstheme="majorHAnsi"/>
          <w:b w:val="0"/>
          <w:bCs/>
          <w:caps/>
          <w:szCs w:val="32"/>
        </w:rPr>
      </w:pPr>
      <w:r w:rsidRPr="00213592">
        <w:rPr>
          <w:rFonts w:asciiTheme="majorHAnsi" w:hAnsiTheme="majorHAnsi" w:cstheme="majorHAnsi"/>
          <w:b w:val="0"/>
          <w:bCs/>
          <w:szCs w:val="32"/>
        </w:rPr>
        <w:t xml:space="preserve">Portfolio Budget Statements </w:t>
      </w:r>
      <w:r w:rsidR="00400A8B" w:rsidRPr="00213592">
        <w:rPr>
          <w:rFonts w:asciiTheme="majorHAnsi" w:hAnsiTheme="majorHAnsi" w:cstheme="majorHAnsi"/>
          <w:b w:val="0"/>
          <w:bCs/>
          <w:szCs w:val="32"/>
        </w:rPr>
        <w:t>2022</w:t>
      </w:r>
      <w:r w:rsidR="004E3B3F" w:rsidRPr="00213592">
        <w:rPr>
          <w:rFonts w:asciiTheme="majorHAnsi" w:hAnsiTheme="majorHAnsi" w:cstheme="majorHAnsi"/>
          <w:b w:val="0"/>
          <w:bCs/>
          <w:szCs w:val="32"/>
        </w:rPr>
        <w:t>–</w:t>
      </w:r>
      <w:r w:rsidR="00400A8B" w:rsidRPr="00213592">
        <w:rPr>
          <w:rFonts w:asciiTheme="majorHAnsi" w:hAnsiTheme="majorHAnsi" w:cstheme="majorHAnsi"/>
          <w:b w:val="0"/>
          <w:bCs/>
          <w:szCs w:val="32"/>
        </w:rPr>
        <w:t>23</w:t>
      </w:r>
    </w:p>
    <w:p w:rsidR="0001438C" w:rsidRDefault="0001438C" w:rsidP="00213592">
      <w:pPr>
        <w:pStyle w:val="TPHeading1"/>
        <w:ind w:left="1134" w:right="1134"/>
        <w:rPr>
          <w:rFonts w:asciiTheme="majorHAnsi" w:hAnsiTheme="majorHAnsi" w:cstheme="majorHAnsi"/>
          <w:b w:val="0"/>
          <w:bCs/>
          <w:szCs w:val="32"/>
        </w:rPr>
      </w:pPr>
      <w:r w:rsidRPr="00213592">
        <w:rPr>
          <w:rFonts w:asciiTheme="majorHAnsi" w:hAnsiTheme="majorHAnsi" w:cstheme="majorHAnsi"/>
          <w:b w:val="0"/>
          <w:bCs/>
          <w:szCs w:val="32"/>
        </w:rPr>
        <w:t xml:space="preserve">Budget </w:t>
      </w:r>
      <w:r w:rsidR="00A70398" w:rsidRPr="00213592">
        <w:rPr>
          <w:rFonts w:asciiTheme="majorHAnsi" w:hAnsiTheme="majorHAnsi" w:cstheme="majorHAnsi"/>
          <w:b w:val="0"/>
          <w:bCs/>
          <w:szCs w:val="32"/>
        </w:rPr>
        <w:t xml:space="preserve">Related Paper </w:t>
      </w:r>
      <w:r w:rsidR="000C3C4E">
        <w:rPr>
          <w:rFonts w:asciiTheme="majorHAnsi" w:hAnsiTheme="majorHAnsi" w:cstheme="majorHAnsi"/>
          <w:b w:val="0"/>
          <w:bCs/>
          <w:szCs w:val="32"/>
        </w:rPr>
        <w:t>No. 1.5</w:t>
      </w:r>
    </w:p>
    <w:p w:rsidR="00213592" w:rsidRPr="00213592" w:rsidRDefault="00213592" w:rsidP="00213592">
      <w:pPr>
        <w:pStyle w:val="TPHeading1"/>
        <w:spacing w:after="240"/>
        <w:ind w:left="1134" w:right="1134"/>
        <w:rPr>
          <w:rFonts w:asciiTheme="majorHAnsi" w:hAnsiTheme="majorHAnsi" w:cstheme="majorHAnsi"/>
          <w:b w:val="0"/>
          <w:bCs/>
          <w:caps/>
          <w:szCs w:val="32"/>
        </w:rPr>
      </w:pPr>
    </w:p>
    <w:p w:rsidR="004900FE" w:rsidRDefault="000C3C4E" w:rsidP="00213592">
      <w:pPr>
        <w:pStyle w:val="TPHeading2"/>
        <w:spacing w:before="0"/>
        <w:ind w:left="1134" w:right="1134"/>
        <w:rPr>
          <w:rFonts w:asciiTheme="majorHAnsi" w:hAnsiTheme="majorHAnsi" w:cstheme="majorHAnsi"/>
          <w:b/>
          <w:bCs/>
          <w:sz w:val="32"/>
          <w:szCs w:val="32"/>
        </w:rPr>
      </w:pPr>
      <w:r>
        <w:rPr>
          <w:rFonts w:asciiTheme="majorHAnsi" w:hAnsiTheme="majorHAnsi" w:cstheme="majorHAnsi"/>
          <w:b/>
          <w:bCs/>
          <w:sz w:val="32"/>
          <w:szCs w:val="32"/>
        </w:rPr>
        <w:t>Finance</w:t>
      </w:r>
      <w:r w:rsidR="0001438C" w:rsidRPr="00213592">
        <w:rPr>
          <w:rFonts w:asciiTheme="majorHAnsi" w:hAnsiTheme="majorHAnsi" w:cstheme="majorHAnsi"/>
          <w:b/>
          <w:bCs/>
          <w:sz w:val="32"/>
          <w:szCs w:val="32"/>
        </w:rPr>
        <w:t xml:space="preserve"> </w:t>
      </w:r>
      <w:r w:rsidR="00B30944" w:rsidRPr="00213592">
        <w:rPr>
          <w:rFonts w:asciiTheme="majorHAnsi" w:hAnsiTheme="majorHAnsi" w:cstheme="majorHAnsi"/>
          <w:b/>
          <w:bCs/>
          <w:sz w:val="32"/>
          <w:szCs w:val="32"/>
        </w:rPr>
        <w:t>Portfolio</w:t>
      </w:r>
    </w:p>
    <w:p w:rsidR="00213592" w:rsidRPr="00AC530C" w:rsidRDefault="00213592" w:rsidP="00213592"/>
    <w:p w:rsidR="00213592" w:rsidRDefault="00213592" w:rsidP="00213592"/>
    <w:p w:rsidR="00213592" w:rsidRDefault="00213592" w:rsidP="00213592"/>
    <w:p w:rsidR="00213592" w:rsidRPr="00AC530C" w:rsidRDefault="00213592" w:rsidP="00213592"/>
    <w:p w:rsidR="00213592" w:rsidRPr="00AC530C" w:rsidRDefault="00213592" w:rsidP="00213592"/>
    <w:p w:rsidR="00213592" w:rsidRPr="00AC530C" w:rsidRDefault="00213592" w:rsidP="00213592"/>
    <w:p w:rsidR="00213592" w:rsidRPr="00AC530C" w:rsidRDefault="00213592" w:rsidP="00213592"/>
    <w:p w:rsidR="00213592" w:rsidRPr="00AC530C" w:rsidRDefault="00213592" w:rsidP="00213592"/>
    <w:p w:rsidR="00213592" w:rsidRPr="00AC530C" w:rsidRDefault="00213592" w:rsidP="00213592"/>
    <w:p w:rsidR="0001438C" w:rsidRPr="00213592" w:rsidRDefault="00B30944" w:rsidP="00213592">
      <w:pPr>
        <w:pStyle w:val="TPHeading3"/>
        <w:rPr>
          <w:rFonts w:asciiTheme="majorHAnsi" w:hAnsiTheme="majorHAnsi" w:cstheme="majorHAnsi"/>
          <w:szCs w:val="18"/>
        </w:rPr>
      </w:pPr>
      <w:r w:rsidRPr="00213592">
        <w:rPr>
          <w:rFonts w:asciiTheme="majorHAnsi" w:hAnsiTheme="majorHAnsi" w:cstheme="majorHAnsi"/>
          <w:szCs w:val="18"/>
        </w:rPr>
        <w:t xml:space="preserve">Budget </w:t>
      </w:r>
      <w:r w:rsidR="00D70BF5" w:rsidRPr="00213592">
        <w:rPr>
          <w:rFonts w:asciiTheme="majorHAnsi" w:hAnsiTheme="majorHAnsi" w:cstheme="majorHAnsi"/>
          <w:szCs w:val="18"/>
        </w:rPr>
        <w:t xml:space="preserve">Initiatives </w:t>
      </w:r>
      <w:r w:rsidR="00362AA7" w:rsidRPr="00213592">
        <w:rPr>
          <w:rFonts w:asciiTheme="majorHAnsi" w:hAnsiTheme="majorHAnsi" w:cstheme="majorHAnsi"/>
          <w:szCs w:val="18"/>
        </w:rPr>
        <w:t xml:space="preserve">and </w:t>
      </w:r>
      <w:r w:rsidR="00D70BF5" w:rsidRPr="00213592">
        <w:rPr>
          <w:rFonts w:asciiTheme="majorHAnsi" w:hAnsiTheme="majorHAnsi" w:cstheme="majorHAnsi"/>
          <w:szCs w:val="18"/>
        </w:rPr>
        <w:t xml:space="preserve">Explanations </w:t>
      </w:r>
      <w:r w:rsidR="00362AA7" w:rsidRPr="00213592">
        <w:rPr>
          <w:rFonts w:asciiTheme="majorHAnsi" w:hAnsiTheme="majorHAnsi" w:cstheme="majorHAnsi"/>
          <w:szCs w:val="18"/>
        </w:rPr>
        <w:t>of</w:t>
      </w:r>
    </w:p>
    <w:p w:rsidR="0001438C" w:rsidRPr="00213592" w:rsidRDefault="00D70BF5" w:rsidP="00C24BB1">
      <w:pPr>
        <w:pStyle w:val="TPHeading3"/>
        <w:rPr>
          <w:rFonts w:asciiTheme="majorHAnsi" w:hAnsiTheme="majorHAnsi" w:cstheme="majorHAnsi"/>
          <w:szCs w:val="18"/>
        </w:rPr>
      </w:pPr>
      <w:r w:rsidRPr="00213592">
        <w:rPr>
          <w:rFonts w:asciiTheme="majorHAnsi" w:hAnsiTheme="majorHAnsi" w:cstheme="majorHAnsi"/>
          <w:szCs w:val="18"/>
        </w:rPr>
        <w:t xml:space="preserve">Appropriations Specified </w:t>
      </w:r>
      <w:r w:rsidR="00362AA7" w:rsidRPr="00213592">
        <w:rPr>
          <w:rFonts w:asciiTheme="majorHAnsi" w:hAnsiTheme="majorHAnsi" w:cstheme="majorHAnsi"/>
          <w:szCs w:val="18"/>
        </w:rPr>
        <w:t xml:space="preserve">by </w:t>
      </w:r>
      <w:r w:rsidRPr="00213592">
        <w:rPr>
          <w:rFonts w:asciiTheme="majorHAnsi" w:hAnsiTheme="majorHAnsi" w:cstheme="majorHAnsi"/>
          <w:szCs w:val="18"/>
        </w:rPr>
        <w:t>Outcomes</w:t>
      </w:r>
    </w:p>
    <w:p w:rsidR="0001438C" w:rsidRPr="00213592" w:rsidRDefault="00362AA7" w:rsidP="00C24BB1">
      <w:pPr>
        <w:pStyle w:val="TPHeading3"/>
        <w:rPr>
          <w:rFonts w:asciiTheme="majorHAnsi" w:hAnsiTheme="majorHAnsi" w:cstheme="majorHAnsi"/>
        </w:rPr>
      </w:pPr>
      <w:proofErr w:type="gramStart"/>
      <w:r w:rsidRPr="00213592">
        <w:rPr>
          <w:rFonts w:asciiTheme="majorHAnsi" w:hAnsiTheme="majorHAnsi" w:cstheme="majorHAnsi"/>
          <w:szCs w:val="18"/>
        </w:rPr>
        <w:t>and</w:t>
      </w:r>
      <w:proofErr w:type="gramEnd"/>
      <w:r w:rsidRPr="00213592">
        <w:rPr>
          <w:rFonts w:asciiTheme="majorHAnsi" w:hAnsiTheme="majorHAnsi" w:cstheme="majorHAnsi"/>
          <w:szCs w:val="18"/>
        </w:rPr>
        <w:t xml:space="preserve"> </w:t>
      </w:r>
      <w:r w:rsidR="00290933" w:rsidRPr="00213592">
        <w:rPr>
          <w:rFonts w:asciiTheme="majorHAnsi" w:hAnsiTheme="majorHAnsi" w:cstheme="majorHAnsi"/>
          <w:szCs w:val="18"/>
        </w:rPr>
        <w:t>Programs</w:t>
      </w:r>
      <w:r w:rsidR="00D70BF5" w:rsidRPr="00213592">
        <w:rPr>
          <w:rFonts w:asciiTheme="majorHAnsi" w:hAnsiTheme="majorHAnsi" w:cstheme="majorHAnsi"/>
          <w:szCs w:val="18"/>
        </w:rPr>
        <w:t xml:space="preserve"> </w:t>
      </w:r>
      <w:r w:rsidRPr="00213592">
        <w:rPr>
          <w:rFonts w:asciiTheme="majorHAnsi" w:hAnsiTheme="majorHAnsi" w:cstheme="majorHAnsi"/>
          <w:szCs w:val="18"/>
        </w:rPr>
        <w:t xml:space="preserve">by </w:t>
      </w:r>
      <w:r w:rsidR="00D70BF5" w:rsidRPr="00213592">
        <w:rPr>
          <w:rFonts w:asciiTheme="majorHAnsi" w:hAnsiTheme="majorHAnsi" w:cstheme="majorHAnsi"/>
          <w:szCs w:val="18"/>
        </w:rPr>
        <w:t>Entity</w:t>
      </w:r>
    </w:p>
    <w:p w:rsidR="00D50C9B" w:rsidRDefault="00D50C9B" w:rsidP="00D50C9B">
      <w:pPr>
        <w:sectPr w:rsidR="00D50C9B" w:rsidSect="00213592">
          <w:headerReference w:type="default" r:id="rId14"/>
          <w:footerReference w:type="default" r:id="rId15"/>
          <w:pgSz w:w="11906" w:h="16838" w:code="9"/>
          <w:pgMar w:top="2835" w:right="2098" w:bottom="2466" w:left="2098" w:header="1814" w:footer="1814" w:gutter="0"/>
          <w:cols w:space="708"/>
          <w:vAlign w:val="bottom"/>
          <w:titlePg/>
          <w:docGrid w:linePitch="360"/>
        </w:sectPr>
      </w:pPr>
    </w:p>
    <w:p w:rsidR="00C42D37" w:rsidRPr="00982F10" w:rsidRDefault="0012022D" w:rsidP="00C42D37">
      <w:r w:rsidRPr="00982F10">
        <w:lastRenderedPageBreak/>
        <w:t>© Commonwealth of Australia</w:t>
      </w:r>
      <w:r w:rsidR="00340640">
        <w:t xml:space="preserve"> </w:t>
      </w:r>
      <w:r w:rsidR="00400A8B">
        <w:t>2022</w:t>
      </w:r>
    </w:p>
    <w:p w:rsidR="00C42D37" w:rsidRPr="00CF0538" w:rsidRDefault="005731D3" w:rsidP="0013653C">
      <w:pPr>
        <w:jc w:val="left"/>
        <w:rPr>
          <w:color w:val="000000" w:themeColor="text1"/>
        </w:rPr>
      </w:pPr>
      <w:r w:rsidRPr="00CF0538">
        <w:rPr>
          <w:color w:val="000000" w:themeColor="text1"/>
        </w:rPr>
        <w:t>ISS</w:t>
      </w:r>
      <w:r w:rsidR="0012022D" w:rsidRPr="00CF0538">
        <w:rPr>
          <w:color w:val="000000" w:themeColor="text1"/>
        </w:rPr>
        <w:t xml:space="preserve">N </w:t>
      </w:r>
      <w:r w:rsidR="00CF0538" w:rsidRPr="00CF0538">
        <w:rPr>
          <w:color w:val="000000" w:themeColor="text1"/>
        </w:rPr>
        <w:t>2209-198X (Print); 2209-1998 (Online)</w:t>
      </w:r>
    </w:p>
    <w:p w:rsidR="00C42D37" w:rsidRPr="00FA63B6" w:rsidRDefault="0012022D" w:rsidP="0013653C">
      <w:pPr>
        <w:tabs>
          <w:tab w:val="left" w:pos="1650"/>
        </w:tabs>
        <w:spacing w:before="100" w:beforeAutospacing="1" w:after="100" w:afterAutospacing="1"/>
        <w:jc w:val="left"/>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6" w:history="1">
        <w:r w:rsidRPr="00CF0538">
          <w:rPr>
            <w:rStyle w:val="Hyperlink"/>
            <w:color w:val="000000" w:themeColor="text1"/>
          </w:rPr>
          <w:t>Creative Commons BY Attribution 3.0 Australia</w:t>
        </w:r>
      </w:hyperlink>
      <w:r w:rsidRPr="00CF0538">
        <w:rPr>
          <w:rStyle w:val="A5"/>
          <w:rFonts w:ascii="Calibri" w:hAnsi="Calibri" w:cs="Calibri"/>
          <w:color w:val="000000" w:themeColor="text1"/>
          <w:sz w:val="24"/>
          <w:szCs w:val="24"/>
        </w:rPr>
        <w:t xml:space="preserve"> </w:t>
      </w:r>
      <w:r w:rsidRPr="00CF0538">
        <w:rPr>
          <w:color w:val="000000" w:themeColor="text1"/>
        </w:rPr>
        <w:t xml:space="preserve">licence, with the exception of the Commonwealth Coat of Arms, the </w:t>
      </w:r>
      <w:r w:rsidR="00CF0538" w:rsidRPr="00CF0538">
        <w:rPr>
          <w:color w:val="000000" w:themeColor="text1"/>
        </w:rPr>
        <w:t xml:space="preserve">Department of Finance (Finance) </w:t>
      </w:r>
      <w:r w:rsidRPr="00CF0538">
        <w:rPr>
          <w:color w:val="000000" w:themeColor="text1"/>
        </w:rPr>
        <w:t>logo, photographs, images, signat</w:t>
      </w:r>
      <w:r w:rsidR="00CF0538" w:rsidRPr="00CF0538">
        <w:rPr>
          <w:color w:val="000000" w:themeColor="text1"/>
        </w:rPr>
        <w:t>ures and where otherwise stated</w:t>
      </w:r>
      <w:r w:rsidRPr="00CF0538">
        <w:rPr>
          <w:color w:val="000000" w:themeColor="text1"/>
        </w:rPr>
        <w:t>. The full licence terms are available from</w:t>
      </w:r>
      <w:r w:rsidRPr="00CF0538">
        <w:rPr>
          <w:rStyle w:val="A5"/>
          <w:rFonts w:ascii="Calibri" w:hAnsi="Calibri" w:cs="Calibri"/>
          <w:color w:val="000000" w:themeColor="text1"/>
          <w:sz w:val="24"/>
          <w:szCs w:val="24"/>
        </w:rPr>
        <w:t xml:space="preserve"> </w:t>
      </w:r>
      <w:hyperlink r:id="rId17" w:history="1">
        <w:r w:rsidRPr="00CF0538">
          <w:rPr>
            <w:rStyle w:val="Hyperlink"/>
            <w:color w:val="000000" w:themeColor="text1"/>
          </w:rPr>
          <w:t>http://creativecommons.org/licenses/by/3.0/au/legalcode</w:t>
        </w:r>
      </w:hyperlink>
      <w:r w:rsidRPr="00774A83">
        <w:rPr>
          <w:rStyle w:val="Hyperlink"/>
        </w:rPr>
        <w:t>.</w:t>
      </w:r>
    </w:p>
    <w:p w:rsidR="00C42D37" w:rsidRPr="00FA63B6" w:rsidRDefault="003B3684" w:rsidP="0013653C">
      <w:pPr>
        <w:tabs>
          <w:tab w:val="left" w:pos="1650"/>
        </w:tabs>
        <w:spacing w:before="100" w:beforeAutospacing="1" w:after="100" w:afterAutospacing="1" w:line="240" w:lineRule="auto"/>
        <w:jc w:val="left"/>
        <w:rPr>
          <w:rFonts w:cs="Calibri"/>
        </w:rPr>
      </w:pPr>
      <w:r>
        <w:rPr>
          <w:rFonts w:cs="Calibri"/>
          <w:noProof/>
        </w:rPr>
        <w:drawing>
          <wp:inline distT="0" distB="0" distL="0" distR="0" wp14:anchorId="5F3900FD" wp14:editId="28E7DBE1">
            <wp:extent cx="1061085" cy="362585"/>
            <wp:effectExtent l="0" t="0" r="5715" b="0"/>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rsidR="00C42D37" w:rsidRPr="00D65575" w:rsidRDefault="0012022D" w:rsidP="0013653C">
      <w:pPr>
        <w:tabs>
          <w:tab w:val="left" w:pos="1650"/>
        </w:tabs>
        <w:spacing w:before="100" w:beforeAutospacing="1" w:after="100" w:afterAutospacing="1"/>
        <w:jc w:val="left"/>
        <w:rPr>
          <w:sz w:val="22"/>
          <w:szCs w:val="22"/>
        </w:rPr>
      </w:pPr>
      <w:r w:rsidRPr="00774A83">
        <w:t xml:space="preserve">Use of </w:t>
      </w:r>
      <w:r w:rsidR="00CF0538" w:rsidRPr="00CF0538">
        <w:rPr>
          <w:color w:val="000000" w:themeColor="text1"/>
        </w:rPr>
        <w:t xml:space="preserve">Department of Finance </w:t>
      </w:r>
      <w:r w:rsidRPr="00774A83">
        <w:t>material under a</w:t>
      </w:r>
      <w:r w:rsidRPr="00774A83">
        <w:rPr>
          <w:rFonts w:cs="Calibri"/>
          <w:color w:val="000000"/>
          <w:sz w:val="24"/>
          <w:szCs w:val="24"/>
        </w:rPr>
        <w:t xml:space="preserve"> </w:t>
      </w:r>
      <w:hyperlink r:id="rId19" w:history="1">
        <w:r w:rsidRPr="00774A83">
          <w:rPr>
            <w:rStyle w:val="Hyperlink"/>
          </w:rPr>
          <w:t>Creative Commons BY Attribution 3.0 Australia</w:t>
        </w:r>
      </w:hyperlink>
      <w:r w:rsidRPr="00774A83">
        <w:rPr>
          <w:rStyle w:val="Hyperlink"/>
        </w:rPr>
        <w:t xml:space="preserve"> </w:t>
      </w:r>
      <w:r w:rsidRPr="00774A83">
        <w:t>licence requires you to attribute the work (</w:t>
      </w:r>
      <w:r w:rsidRPr="00D65575">
        <w:t>but not in any way that suggests th</w:t>
      </w:r>
      <w:r w:rsidR="00CF0538" w:rsidRPr="00D65575">
        <w:t>at the Finance</w:t>
      </w:r>
      <w:r w:rsidRPr="00D65575">
        <w:t xml:space="preserve"> endorses you or your use of the work).</w:t>
      </w:r>
    </w:p>
    <w:p w:rsidR="00C42D37" w:rsidRPr="00D65575" w:rsidRDefault="00CF0538" w:rsidP="0013653C">
      <w:pPr>
        <w:jc w:val="left"/>
        <w:rPr>
          <w:b/>
          <w:bCs/>
        </w:rPr>
      </w:pPr>
      <w:r w:rsidRPr="00D65575">
        <w:rPr>
          <w:b/>
          <w:bCs/>
        </w:rPr>
        <w:t>Australian Government Department of Finance</w:t>
      </w:r>
      <w:r w:rsidR="0012022D" w:rsidRPr="00D65575">
        <w:rPr>
          <w:b/>
          <w:bCs/>
          <w:i/>
        </w:rPr>
        <w:t xml:space="preserve"> </w:t>
      </w:r>
      <w:r w:rsidR="0012022D" w:rsidRPr="00D65575">
        <w:rPr>
          <w:b/>
          <w:bCs/>
        </w:rPr>
        <w:t>material used 'as supplied'</w:t>
      </w:r>
    </w:p>
    <w:p w:rsidR="00C42D37" w:rsidRPr="00D65575" w:rsidRDefault="0012022D" w:rsidP="0013653C">
      <w:pPr>
        <w:jc w:val="left"/>
      </w:pPr>
      <w:r w:rsidRPr="00D65575">
        <w:t xml:space="preserve">Provided you have not modified or transformed </w:t>
      </w:r>
      <w:r w:rsidR="00CF0538" w:rsidRPr="00D65575">
        <w:t>Finance</w:t>
      </w:r>
      <w:r w:rsidRPr="00D65575">
        <w:t xml:space="preserve"> material in any way including, for example, by changing the </w:t>
      </w:r>
      <w:r w:rsidR="00CF0538" w:rsidRPr="00D65575">
        <w:t>Finance</w:t>
      </w:r>
      <w:r w:rsidRPr="00D65575">
        <w:t xml:space="preserve"> text; calculating percentage changes; graphing or charting data; or deriving new statistics from published </w:t>
      </w:r>
      <w:r w:rsidR="00CF0538" w:rsidRPr="00D65575">
        <w:t>Finance</w:t>
      </w:r>
      <w:r w:rsidRPr="00D65575">
        <w:t xml:space="preserve"> statistics – then </w:t>
      </w:r>
      <w:r w:rsidR="00CF0538" w:rsidRPr="00D65575">
        <w:t>Finance</w:t>
      </w:r>
      <w:r w:rsidRPr="00D65575">
        <w:t xml:space="preserve"> pre</w:t>
      </w:r>
      <w:r w:rsidR="00831489" w:rsidRPr="00D65575">
        <w:t>fers the following attribution:</w:t>
      </w:r>
    </w:p>
    <w:p w:rsidR="00C42D37" w:rsidRPr="00D65575" w:rsidRDefault="0012022D" w:rsidP="0013653C">
      <w:pPr>
        <w:ind w:left="567"/>
        <w:jc w:val="left"/>
      </w:pPr>
      <w:r w:rsidRPr="00D65575">
        <w:rPr>
          <w:i/>
        </w:rPr>
        <w:t xml:space="preserve">Source: The </w:t>
      </w:r>
      <w:r w:rsidRPr="00D65575">
        <w:rPr>
          <w:i/>
          <w:iCs/>
        </w:rPr>
        <w:t>Australian Government </w:t>
      </w:r>
      <w:r w:rsidR="00CF0538" w:rsidRPr="00D65575">
        <w:rPr>
          <w:i/>
          <w:iCs/>
        </w:rPr>
        <w:t>Department of Finance</w:t>
      </w:r>
    </w:p>
    <w:p w:rsidR="00C42D37" w:rsidRPr="00D65575" w:rsidRDefault="0012022D" w:rsidP="0013653C">
      <w:pPr>
        <w:spacing w:after="120"/>
        <w:jc w:val="left"/>
        <w:rPr>
          <w:b/>
        </w:rPr>
      </w:pPr>
      <w:r w:rsidRPr="00D65575">
        <w:rPr>
          <w:b/>
        </w:rPr>
        <w:t>Derivative material</w:t>
      </w:r>
    </w:p>
    <w:p w:rsidR="00C42D37" w:rsidRPr="00D65575" w:rsidRDefault="0012022D" w:rsidP="0013653C">
      <w:pPr>
        <w:jc w:val="left"/>
      </w:pPr>
      <w:r w:rsidRPr="00D65575">
        <w:t xml:space="preserve">If you have modified or transformed </w:t>
      </w:r>
      <w:r w:rsidR="00CF0538" w:rsidRPr="00D65575">
        <w:t>Finance</w:t>
      </w:r>
      <w:r w:rsidRPr="00D65575">
        <w:t xml:space="preserve"> material, or derived new material from those of the </w:t>
      </w:r>
      <w:r w:rsidR="00CF0538" w:rsidRPr="00D65575">
        <w:t>Finance</w:t>
      </w:r>
      <w:r w:rsidRPr="00D65575">
        <w:t xml:space="preserve"> in any way, then </w:t>
      </w:r>
      <w:r w:rsidR="00CF0538" w:rsidRPr="00D65575">
        <w:t>Finance</w:t>
      </w:r>
      <w:r w:rsidRPr="00D65575">
        <w:t xml:space="preserve"> pre</w:t>
      </w:r>
      <w:r w:rsidR="00831489" w:rsidRPr="00D65575">
        <w:t>fers the following attribution:</w:t>
      </w:r>
    </w:p>
    <w:p w:rsidR="00C42D37" w:rsidRPr="00D65575" w:rsidRDefault="0012022D" w:rsidP="0013653C">
      <w:pPr>
        <w:ind w:left="567"/>
        <w:jc w:val="left"/>
      </w:pPr>
      <w:r w:rsidRPr="00D65575">
        <w:rPr>
          <w:i/>
        </w:rPr>
        <w:t xml:space="preserve">Based on The Australian Government </w:t>
      </w:r>
      <w:r w:rsidR="00CF0538" w:rsidRPr="00D65575">
        <w:rPr>
          <w:i/>
        </w:rPr>
        <w:t>Department of Finance</w:t>
      </w:r>
      <w:r w:rsidRPr="00D65575">
        <w:rPr>
          <w:i/>
        </w:rPr>
        <w:t xml:space="preserve"> data</w:t>
      </w:r>
      <w:r w:rsidRPr="00D65575">
        <w:t xml:space="preserve"> </w:t>
      </w:r>
    </w:p>
    <w:p w:rsidR="00C42D37" w:rsidRPr="00D65575" w:rsidRDefault="0012022D" w:rsidP="0013653C">
      <w:pPr>
        <w:spacing w:after="120"/>
        <w:jc w:val="left"/>
        <w:rPr>
          <w:b/>
        </w:rPr>
      </w:pPr>
      <w:r w:rsidRPr="00D65575">
        <w:rPr>
          <w:b/>
        </w:rPr>
        <w:t>Use of the Coat of Arms</w:t>
      </w:r>
    </w:p>
    <w:p w:rsidR="00C42D37" w:rsidRPr="00D65575" w:rsidRDefault="00C00B3B" w:rsidP="0013653C">
      <w:pPr>
        <w:jc w:val="left"/>
      </w:pPr>
      <w:r w:rsidRPr="00D65575">
        <w:t>The terms under which the Coat of Arms can be used are set</w:t>
      </w:r>
      <w:r w:rsidR="00CC6371" w:rsidRPr="00D65575">
        <w:t xml:space="preserve"> </w:t>
      </w:r>
      <w:r w:rsidRPr="00D65575">
        <w:t>out</w:t>
      </w:r>
      <w:r w:rsidR="00CC6371" w:rsidRPr="00D65575">
        <w:t xml:space="preserve"> </w:t>
      </w:r>
      <w:r w:rsidRPr="00D65575">
        <w:t>on</w:t>
      </w:r>
      <w:r w:rsidR="00CC6371" w:rsidRPr="00D65575">
        <w:t xml:space="preserve"> </w:t>
      </w:r>
      <w:r w:rsidRPr="00D65575">
        <w:t>the Department</w:t>
      </w:r>
      <w:r w:rsidR="00CC6371" w:rsidRPr="00D65575">
        <w:t xml:space="preserve"> </w:t>
      </w:r>
      <w:r w:rsidRPr="00D65575">
        <w:t>of the Prime Minister and Cabinet website</w:t>
      </w:r>
      <w:r w:rsidR="00724257" w:rsidRPr="00D65575">
        <w:t xml:space="preserve"> </w:t>
      </w:r>
      <w:r w:rsidRPr="00D65575">
        <w:t>(see</w:t>
      </w:r>
      <w:r w:rsidR="00CC2A06" w:rsidRPr="00D65575">
        <w:t xml:space="preserve"> </w:t>
      </w:r>
      <w:hyperlink r:id="rId20" w:history="1">
        <w:r w:rsidRPr="00D65575">
          <w:rPr>
            <w:rStyle w:val="Hyperlink"/>
            <w:color w:val="auto"/>
          </w:rPr>
          <w:t>www.pmc.gov.au/government/commonwealth-coat-arms</w:t>
        </w:r>
      </w:hyperlink>
      <w:r w:rsidR="0012022D" w:rsidRPr="00D65575">
        <w:t>)</w:t>
      </w:r>
      <w:r w:rsidR="00FE3DE9" w:rsidRPr="00D65575">
        <w:t>.</w:t>
      </w:r>
    </w:p>
    <w:p w:rsidR="00C42D37" w:rsidRPr="00D65575" w:rsidRDefault="008E07C6" w:rsidP="0013653C">
      <w:pPr>
        <w:spacing w:after="120"/>
        <w:jc w:val="left"/>
        <w:rPr>
          <w:b/>
        </w:rPr>
      </w:pPr>
      <w:r w:rsidRPr="00D65575">
        <w:rPr>
          <w:b/>
        </w:rPr>
        <w:t xml:space="preserve">Other </w:t>
      </w:r>
      <w:r w:rsidR="00D81071" w:rsidRPr="00D65575">
        <w:rPr>
          <w:b/>
        </w:rPr>
        <w:t>uses</w:t>
      </w:r>
    </w:p>
    <w:p w:rsidR="00485B3F" w:rsidRPr="00D65575" w:rsidRDefault="00EE22E3" w:rsidP="0013653C">
      <w:pPr>
        <w:spacing w:after="0"/>
        <w:jc w:val="left"/>
      </w:pPr>
      <w:r w:rsidRPr="00D65575">
        <w:t>E</w:t>
      </w:r>
      <w:r w:rsidR="0012022D" w:rsidRPr="00D65575">
        <w:t>nquiries regarding this licence and any other use of this document are welcome at</w:t>
      </w:r>
      <w:proofErr w:type="gramStart"/>
      <w:r w:rsidR="0012022D" w:rsidRPr="00D65575">
        <w:t>:</w:t>
      </w:r>
      <w:proofErr w:type="gramEnd"/>
      <w:r w:rsidR="00A40FC3" w:rsidRPr="00D65575">
        <w:br/>
      </w:r>
      <w:r w:rsidR="00485B3F" w:rsidRPr="00D65575">
        <w:t xml:space="preserve">Copyright Coordinator </w:t>
      </w:r>
    </w:p>
    <w:p w:rsidR="00485B3F" w:rsidRPr="00485B3F" w:rsidRDefault="00485B3F" w:rsidP="0013653C">
      <w:pPr>
        <w:spacing w:after="0"/>
        <w:jc w:val="left"/>
      </w:pPr>
      <w:r w:rsidRPr="00485B3F">
        <w:t>Department of Finance</w:t>
      </w:r>
    </w:p>
    <w:p w:rsidR="00485B3F" w:rsidRPr="00485B3F" w:rsidRDefault="00485B3F" w:rsidP="00485B3F">
      <w:pPr>
        <w:spacing w:after="0"/>
      </w:pPr>
      <w:r w:rsidRPr="00485B3F">
        <w:t>One Canberra Avenue, FORREST ACT 2603</w:t>
      </w:r>
    </w:p>
    <w:p w:rsidR="00247262" w:rsidRDefault="00485B3F" w:rsidP="00485B3F">
      <w:pPr>
        <w:spacing w:after="0"/>
      </w:pPr>
      <w:r w:rsidRPr="00485B3F">
        <w:t>Email: publications@finance.gov.au</w:t>
      </w:r>
    </w:p>
    <w:p w:rsidR="00E20628" w:rsidRDefault="00E20628" w:rsidP="00D50C9B">
      <w:pPr>
        <w:sectPr w:rsidR="00E20628" w:rsidSect="00782467">
          <w:footerReference w:type="even" r:id="rId21"/>
          <w:headerReference w:type="first" r:id="rId22"/>
          <w:pgSz w:w="11906" w:h="16838" w:code="9"/>
          <w:pgMar w:top="2835" w:right="2098" w:bottom="2466" w:left="2098" w:header="1814" w:footer="1814" w:gutter="0"/>
          <w:cols w:space="708"/>
          <w:docGrid w:linePitch="360"/>
        </w:sectPr>
      </w:pPr>
    </w:p>
    <w:p w:rsidR="00953288" w:rsidRPr="00953288" w:rsidRDefault="00CE4BBC" w:rsidP="00953288">
      <w:pPr>
        <w:pStyle w:val="Header"/>
        <w:spacing w:line="276" w:lineRule="auto"/>
        <w:jc w:val="center"/>
        <w:rPr>
          <w:rFonts w:ascii="Times New Roman" w:hAnsi="Times New Roman"/>
          <w:b/>
          <w:i w:val="0"/>
          <w:sz w:val="32"/>
          <w:szCs w:val="32"/>
        </w:rPr>
      </w:pPr>
      <w:r>
        <w:rPr>
          <w:rFonts w:ascii="Times New Roman" w:hAnsi="Times New Roman"/>
          <w:b/>
          <w:i w:val="0"/>
          <w:noProof/>
          <w:sz w:val="32"/>
          <w:szCs w:val="32"/>
          <w:lang w:val="en-AU" w:eastAsia="zh-CN"/>
        </w:rPr>
        <w:lastRenderedPageBreak/>
        <w:object w:dxaOrig="0" w:dyaOrig="0" w14:anchorId="539A3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05pt;margin-top:92.85pt;width:93.65pt;height:68.65pt;z-index:251660288;visibility:visible;mso-wrap-edited:f;mso-position-horizontal-relative:text;mso-position-vertical-relative:page">
            <v:imagedata r:id="rId23" o:title="" croptop="2708f" cropbottom="8937f"/>
            <w10:wrap type="topAndBottom" anchory="page"/>
          </v:shape>
          <o:OLEObject Type="Embed" ProgID="Word.Picture.8" ShapeID="_x0000_s1026" DrawAspect="Content" ObjectID="_1709885044" r:id="rId24"/>
        </w:object>
      </w:r>
      <w:r w:rsidR="00953288" w:rsidRPr="00953288">
        <w:rPr>
          <w:rFonts w:ascii="Times New Roman" w:hAnsi="Times New Roman"/>
          <w:b/>
          <w:i w:val="0"/>
          <w:sz w:val="32"/>
          <w:szCs w:val="32"/>
        </w:rPr>
        <w:t>Senator the Hon Simon Birmingham</w:t>
      </w:r>
    </w:p>
    <w:p w:rsidR="00953288" w:rsidRPr="00953288" w:rsidRDefault="00953288" w:rsidP="00953288">
      <w:pPr>
        <w:pStyle w:val="Header"/>
        <w:contextualSpacing/>
        <w:jc w:val="center"/>
        <w:rPr>
          <w:rFonts w:ascii="Times New Roman" w:hAnsi="Times New Roman"/>
          <w:i w:val="0"/>
          <w:sz w:val="24"/>
          <w:szCs w:val="24"/>
        </w:rPr>
      </w:pPr>
      <w:r w:rsidRPr="00953288">
        <w:rPr>
          <w:rFonts w:ascii="Times New Roman" w:hAnsi="Times New Roman"/>
          <w:i w:val="0"/>
          <w:sz w:val="24"/>
          <w:szCs w:val="24"/>
        </w:rPr>
        <w:t>Minister for Finance</w:t>
      </w:r>
    </w:p>
    <w:p w:rsidR="00953288" w:rsidRPr="00953288" w:rsidRDefault="00953288" w:rsidP="00953288">
      <w:pPr>
        <w:pStyle w:val="Header"/>
        <w:contextualSpacing/>
        <w:jc w:val="center"/>
        <w:rPr>
          <w:rFonts w:ascii="Times New Roman" w:hAnsi="Times New Roman"/>
          <w:i w:val="0"/>
          <w:sz w:val="24"/>
          <w:szCs w:val="24"/>
        </w:rPr>
      </w:pPr>
      <w:r w:rsidRPr="00953288">
        <w:rPr>
          <w:rFonts w:ascii="Times New Roman" w:hAnsi="Times New Roman"/>
          <w:i w:val="0"/>
          <w:sz w:val="24"/>
          <w:szCs w:val="24"/>
        </w:rPr>
        <w:t>Leader of the Government in the Senate</w:t>
      </w:r>
    </w:p>
    <w:p w:rsidR="00953288" w:rsidRPr="00953288" w:rsidRDefault="00953288" w:rsidP="00953288">
      <w:pPr>
        <w:pStyle w:val="Header"/>
        <w:contextualSpacing/>
        <w:jc w:val="center"/>
        <w:rPr>
          <w:rFonts w:ascii="Times New Roman" w:hAnsi="Times New Roman"/>
          <w:i w:val="0"/>
          <w:sz w:val="24"/>
          <w:szCs w:val="24"/>
        </w:rPr>
      </w:pPr>
      <w:r w:rsidRPr="00953288">
        <w:rPr>
          <w:rFonts w:ascii="Times New Roman" w:hAnsi="Times New Roman"/>
          <w:i w:val="0"/>
          <w:sz w:val="24"/>
          <w:szCs w:val="24"/>
        </w:rPr>
        <w:t>Senator for South Australia</w:t>
      </w:r>
    </w:p>
    <w:p w:rsidR="009C0C48" w:rsidRPr="00FE3DE9" w:rsidRDefault="009C0C48" w:rsidP="00FE3DE9"/>
    <w:sdt>
      <w:sdtPr>
        <w:rPr>
          <w:color w:val="7F7F7F" w:themeColor="text1" w:themeTint="80"/>
        </w:rPr>
        <w:alias w:val="InitiatorParliamentaryTitle"/>
        <w:tag w:val="InitiatorParliamentaryTitle"/>
        <w:id w:val="3335527"/>
        <w:placeholder>
          <w:docPart w:val="49C23DBF04CB450FB43A9E68E663E9BC"/>
        </w:placeholder>
      </w:sdtPr>
      <w:sdtContent>
        <w:p w:rsidR="0045591E" w:rsidRDefault="0045591E" w:rsidP="0045591E">
          <w:pPr>
            <w:spacing w:after="0" w:line="240" w:lineRule="auto"/>
          </w:pPr>
          <w:r>
            <w:t>Senator the Hon Slade Brockman</w:t>
          </w:r>
        </w:p>
        <w:p w:rsidR="0045591E" w:rsidRDefault="0045591E" w:rsidP="0045591E">
          <w:pPr>
            <w:spacing w:after="0" w:line="240" w:lineRule="auto"/>
          </w:pPr>
          <w:r>
            <w:t>President of the Senate</w:t>
          </w:r>
        </w:p>
        <w:p w:rsidR="0045591E" w:rsidRDefault="0045591E" w:rsidP="0045591E">
          <w:pPr>
            <w:spacing w:after="0" w:line="240" w:lineRule="auto"/>
          </w:pPr>
          <w:r>
            <w:t>Australian Senate</w:t>
          </w:r>
        </w:p>
        <w:p w:rsidR="0045591E" w:rsidRDefault="0045591E" w:rsidP="0045591E">
          <w:pPr>
            <w:spacing w:after="0" w:line="240" w:lineRule="auto"/>
          </w:pPr>
          <w:r>
            <w:t>Parliament House</w:t>
          </w:r>
        </w:p>
        <w:p w:rsidR="0045591E" w:rsidRPr="00BD7414" w:rsidRDefault="0045591E" w:rsidP="0045591E">
          <w:pPr>
            <w:spacing w:after="0" w:line="240" w:lineRule="auto"/>
          </w:pPr>
          <w:r>
            <w:t>CANBERRA   ACT   2600</w:t>
          </w:r>
        </w:p>
        <w:p w:rsidR="0045591E" w:rsidRPr="00BD7414" w:rsidRDefault="00CE4BBC" w:rsidP="0045591E">
          <w:pPr>
            <w:spacing w:after="0" w:line="240" w:lineRule="auto"/>
          </w:pPr>
        </w:p>
      </w:sdtContent>
    </w:sdt>
    <w:p w:rsidR="0045591E" w:rsidRDefault="0045591E" w:rsidP="0045591E">
      <w:pPr>
        <w:spacing w:after="0" w:line="240" w:lineRule="auto"/>
      </w:pPr>
      <w:r>
        <w:t>The Hon Andrew Wallace MP</w:t>
      </w:r>
    </w:p>
    <w:p w:rsidR="0045591E" w:rsidRDefault="0045591E" w:rsidP="0045591E">
      <w:pPr>
        <w:spacing w:after="0" w:line="240" w:lineRule="auto"/>
      </w:pPr>
      <w:r>
        <w:t>Speaker</w:t>
      </w:r>
    </w:p>
    <w:p w:rsidR="0045591E" w:rsidRDefault="0045591E" w:rsidP="0045591E">
      <w:pPr>
        <w:spacing w:after="0" w:line="240" w:lineRule="auto"/>
      </w:pPr>
      <w:r>
        <w:t>House of Representatives</w:t>
      </w:r>
    </w:p>
    <w:p w:rsidR="0045591E" w:rsidRDefault="0045591E" w:rsidP="0045591E">
      <w:pPr>
        <w:spacing w:after="0" w:line="240" w:lineRule="auto"/>
      </w:pPr>
      <w:r>
        <w:t>Parliament House</w:t>
      </w:r>
    </w:p>
    <w:p w:rsidR="0045591E" w:rsidRDefault="0045591E" w:rsidP="0045591E">
      <w:pPr>
        <w:spacing w:after="0" w:line="240" w:lineRule="auto"/>
        <w:rPr>
          <w:color w:val="7F7F7F" w:themeColor="text1" w:themeTint="80"/>
        </w:rPr>
      </w:pPr>
      <w:r>
        <w:t>CANBERRA   ACT   2600</w:t>
      </w:r>
    </w:p>
    <w:p w:rsidR="0045591E" w:rsidRDefault="0045591E" w:rsidP="0045591E">
      <w:pPr>
        <w:spacing w:after="0" w:line="240" w:lineRule="auto"/>
        <w:rPr>
          <w:color w:val="7F7F7F" w:themeColor="text1" w:themeTint="80"/>
        </w:rPr>
      </w:pPr>
    </w:p>
    <w:p w:rsidR="0045591E" w:rsidRDefault="0045591E" w:rsidP="0045591E">
      <w:pPr>
        <w:spacing w:after="0" w:line="240" w:lineRule="auto"/>
        <w:rPr>
          <w:color w:val="7F7F7F" w:themeColor="text1" w:themeTint="80"/>
        </w:rPr>
      </w:pPr>
    </w:p>
    <w:p w:rsidR="0045591E" w:rsidRDefault="0045591E" w:rsidP="0045591E">
      <w:pPr>
        <w:spacing w:after="0" w:line="240" w:lineRule="auto"/>
        <w:rPr>
          <w:color w:val="7F7F7F" w:themeColor="text1" w:themeTint="80"/>
        </w:rPr>
      </w:pPr>
    </w:p>
    <w:p w:rsidR="0045591E" w:rsidRPr="00BD7414" w:rsidRDefault="0045591E" w:rsidP="0045591E">
      <w:pPr>
        <w:spacing w:after="0" w:line="240" w:lineRule="auto"/>
      </w:pPr>
      <w:r w:rsidRPr="00BD7414">
        <w:t>Dear Mr President</w:t>
      </w:r>
      <w:r>
        <w:t xml:space="preserve"> and Mr Speaker</w:t>
      </w:r>
    </w:p>
    <w:p w:rsidR="0045591E" w:rsidRPr="00BD7414" w:rsidRDefault="0045591E" w:rsidP="0045591E">
      <w:pPr>
        <w:spacing w:after="0" w:line="240" w:lineRule="auto"/>
      </w:pPr>
    </w:p>
    <w:p w:rsidR="0045591E" w:rsidRPr="00BD7414" w:rsidRDefault="00953288" w:rsidP="00953288">
      <w:pPr>
        <w:spacing w:after="0" w:line="240" w:lineRule="auto"/>
        <w:jc w:val="left"/>
      </w:pPr>
      <w:r>
        <w:t xml:space="preserve">I </w:t>
      </w:r>
      <w:r w:rsidR="0045591E" w:rsidRPr="00321EC0">
        <w:t xml:space="preserve">hereby submit Portfolio </w:t>
      </w:r>
      <w:r>
        <w:t>Budget</w:t>
      </w:r>
      <w:r w:rsidR="0045591E" w:rsidRPr="00321EC0">
        <w:t xml:space="preserve"> Statements in </w:t>
      </w:r>
      <w:r w:rsidR="0045591E">
        <w:t>support of the</w:t>
      </w:r>
      <w:r>
        <w:t xml:space="preserve"> 2022-23 Budget</w:t>
      </w:r>
      <w:r w:rsidR="0045591E" w:rsidRPr="00321EC0">
        <w:t xml:space="preserve"> for the </w:t>
      </w:r>
      <w:r>
        <w:t>F</w:t>
      </w:r>
      <w:r w:rsidR="0045591E" w:rsidRPr="00321EC0">
        <w:t>inance Portfolio</w:t>
      </w:r>
      <w:r w:rsidR="0045591E">
        <w:t>.</w:t>
      </w:r>
    </w:p>
    <w:p w:rsidR="0045591E" w:rsidRDefault="0045591E" w:rsidP="0045591E">
      <w:pPr>
        <w:spacing w:after="0" w:line="240" w:lineRule="auto"/>
      </w:pPr>
    </w:p>
    <w:p w:rsidR="0045591E" w:rsidRPr="00C13ACB" w:rsidRDefault="0045591E" w:rsidP="0045591E">
      <w:pPr>
        <w:spacing w:after="0" w:line="240" w:lineRule="auto"/>
      </w:pPr>
      <w:r w:rsidRPr="00321EC0">
        <w:t xml:space="preserve">These statements have been developed, and are submitted to the Parliament, as a statement on </w:t>
      </w:r>
      <w:r w:rsidR="00953288">
        <w:t>the outcomes</w:t>
      </w:r>
      <w:r w:rsidRPr="00321EC0">
        <w:t xml:space="preserve"> for the Portfolio</w:t>
      </w:r>
      <w:r w:rsidRPr="00C13ACB">
        <w:t>.</w:t>
      </w:r>
    </w:p>
    <w:p w:rsidR="0045591E" w:rsidRPr="00BD7414" w:rsidRDefault="0045591E" w:rsidP="0045591E">
      <w:pPr>
        <w:spacing w:after="0" w:line="240" w:lineRule="auto"/>
      </w:pPr>
    </w:p>
    <w:p w:rsidR="0045591E" w:rsidRPr="00C13ACB" w:rsidRDefault="0045591E" w:rsidP="0045591E">
      <w:pPr>
        <w:spacing w:after="0" w:line="240" w:lineRule="auto"/>
      </w:pPr>
      <w:r w:rsidRPr="00321EC0">
        <w:t>I present these statements by virtue of my ministerial responsibility for accountability to the Parliament and, through it, the public</w:t>
      </w:r>
      <w:r>
        <w:t xml:space="preserve">. </w:t>
      </w:r>
    </w:p>
    <w:p w:rsidR="0045591E" w:rsidRDefault="0045591E" w:rsidP="0045591E">
      <w:pPr>
        <w:spacing w:after="0" w:line="240" w:lineRule="auto"/>
      </w:pPr>
    </w:p>
    <w:p w:rsidR="0045591E" w:rsidRPr="006F3C7A" w:rsidRDefault="0045591E" w:rsidP="0045591E">
      <w:pPr>
        <w:spacing w:after="0" w:line="240" w:lineRule="auto"/>
      </w:pPr>
      <w:r>
        <w:t>Yours sincerely</w:t>
      </w:r>
    </w:p>
    <w:p w:rsidR="0045591E" w:rsidRDefault="0045591E" w:rsidP="0045591E">
      <w:pPr>
        <w:spacing w:after="0" w:line="240" w:lineRule="auto"/>
      </w:pPr>
    </w:p>
    <w:p w:rsidR="0045591E" w:rsidRDefault="0045591E" w:rsidP="0045591E">
      <w:pPr>
        <w:spacing w:after="0" w:line="240" w:lineRule="auto"/>
      </w:pPr>
    </w:p>
    <w:p w:rsidR="0045591E" w:rsidRDefault="0045591E" w:rsidP="0045591E">
      <w:pPr>
        <w:spacing w:after="0" w:line="240" w:lineRule="auto"/>
      </w:pPr>
    </w:p>
    <w:p w:rsidR="0045591E" w:rsidRPr="006F3C7A" w:rsidRDefault="0045591E" w:rsidP="0045591E">
      <w:pPr>
        <w:spacing w:after="0" w:line="240" w:lineRule="auto"/>
      </w:pPr>
    </w:p>
    <w:p w:rsidR="0045591E" w:rsidRPr="00684FF2" w:rsidRDefault="0045591E" w:rsidP="0045591E">
      <w:pPr>
        <w:spacing w:after="0" w:line="240" w:lineRule="auto"/>
        <w:rPr>
          <w:b/>
        </w:rPr>
      </w:pPr>
      <w:r w:rsidRPr="00684FF2">
        <w:rPr>
          <w:b/>
        </w:rPr>
        <w:t>Simon Birmingham</w:t>
      </w:r>
    </w:p>
    <w:p w:rsidR="0045591E" w:rsidRDefault="0045591E" w:rsidP="0045591E">
      <w:pPr>
        <w:spacing w:after="0" w:line="240" w:lineRule="auto"/>
      </w:pPr>
    </w:p>
    <w:p w:rsidR="0045591E" w:rsidRDefault="0045591E" w:rsidP="0045591E">
      <w:pPr>
        <w:spacing w:after="0" w:line="240" w:lineRule="auto"/>
      </w:pPr>
      <w:r>
        <w:t xml:space="preserve">              </w:t>
      </w:r>
      <w:r w:rsidR="00953288">
        <w:t>March</w:t>
      </w:r>
      <w:r>
        <w:t xml:space="preserve"> 2022</w:t>
      </w:r>
    </w:p>
    <w:p w:rsidR="00FE3DE9" w:rsidRPr="00FE3DE9" w:rsidRDefault="00FE3DE9" w:rsidP="00FE3DE9">
      <w:pPr>
        <w:sectPr w:rsidR="00FE3DE9" w:rsidRPr="00FE3DE9" w:rsidSect="00782467">
          <w:footerReference w:type="first" r:id="rId25"/>
          <w:pgSz w:w="11906" w:h="16838" w:code="9"/>
          <w:pgMar w:top="2835" w:right="2098" w:bottom="2466" w:left="2098" w:header="1814" w:footer="1814" w:gutter="0"/>
          <w:pgNumType w:fmt="lowerRoman"/>
          <w:cols w:space="708"/>
          <w:titlePg/>
          <w:docGrid w:linePitch="360"/>
        </w:sectPr>
      </w:pPr>
    </w:p>
    <w:p w:rsidR="009C0C48" w:rsidRDefault="009C0C48" w:rsidP="00834F9A">
      <w:pPr>
        <w:pStyle w:val="Heading4-NoTOC"/>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w:t>
      </w:r>
      <w:proofErr w:type="spellStart"/>
      <w:r>
        <w:t>nec</w:t>
      </w:r>
      <w:proofErr w:type="spellEnd"/>
      <w:r>
        <w:tab/>
        <w:t>not elsewhere classified</w:t>
      </w:r>
    </w:p>
    <w:p w:rsidR="009C0C48" w:rsidRDefault="00F403D6" w:rsidP="009C0C48">
      <w:pPr>
        <w:pStyle w:val="SingleParagraph"/>
        <w:tabs>
          <w:tab w:val="left" w:pos="2268"/>
        </w:tabs>
        <w:ind w:left="567"/>
      </w:pPr>
      <w:r>
        <w:t>-</w:t>
      </w:r>
      <w:r w:rsidR="009C0C48">
        <w:tab/>
      </w:r>
      <w:proofErr w:type="gramStart"/>
      <w:r w:rsidR="009C0C48">
        <w:t>nil</w:t>
      </w:r>
      <w:proofErr w:type="gramEnd"/>
    </w:p>
    <w:p w:rsidR="009C0C48" w:rsidRDefault="009C0C48" w:rsidP="009C0C48">
      <w:pPr>
        <w:pStyle w:val="SingleParagraph"/>
        <w:tabs>
          <w:tab w:val="left" w:pos="2268"/>
        </w:tabs>
        <w:ind w:left="567"/>
      </w:pPr>
      <w:r>
        <w:t>..</w:t>
      </w:r>
      <w:r>
        <w:tab/>
      </w:r>
      <w:proofErr w:type="gramStart"/>
      <w:r>
        <w:t>not</w:t>
      </w:r>
      <w:proofErr w:type="gramEnd"/>
      <w:r>
        <w:t xml:space="preserve"> zero, but rounded to zero</w:t>
      </w:r>
    </w:p>
    <w:p w:rsidR="009C0C48" w:rsidRDefault="009C0C48" w:rsidP="009C0C48">
      <w:pPr>
        <w:pStyle w:val="SingleParagraph"/>
        <w:tabs>
          <w:tab w:val="left" w:pos="2268"/>
        </w:tabs>
        <w:ind w:left="567"/>
      </w:pPr>
      <w:proofErr w:type="spellStart"/>
      <w:proofErr w:type="gramStart"/>
      <w:r>
        <w:t>na</w:t>
      </w:r>
      <w:proofErr w:type="spellEnd"/>
      <w:proofErr w:type="gramEnd"/>
      <w:r>
        <w:tab/>
        <w:t>not applicable (unless otherwise specified)</w:t>
      </w:r>
    </w:p>
    <w:p w:rsidR="009C0C48" w:rsidRDefault="009C0C48" w:rsidP="009C0C48">
      <w:pPr>
        <w:pStyle w:val="SingleParagraph"/>
        <w:tabs>
          <w:tab w:val="left" w:pos="2268"/>
        </w:tabs>
        <w:ind w:left="567"/>
      </w:pPr>
      <w:proofErr w:type="spellStart"/>
      <w:proofErr w:type="gramStart"/>
      <w:r>
        <w:t>nfp</w:t>
      </w:r>
      <w:proofErr w:type="spellEnd"/>
      <w:proofErr w:type="gramEnd"/>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834F9A">
      <w:pPr>
        <w:pStyle w:val="Heading4-NoTOC"/>
      </w:pPr>
      <w:r>
        <w:t>Enquiries</w:t>
      </w:r>
    </w:p>
    <w:p w:rsidR="009C0C48" w:rsidRDefault="009C0C48" w:rsidP="009C0C48">
      <w:r>
        <w:t xml:space="preserve">Should you have any enquiries regarding this publication please contact </w:t>
      </w:r>
      <w:r w:rsidR="00EE0ACF">
        <w:t>Chief Financ</w:t>
      </w:r>
      <w:r w:rsidR="00F403D6">
        <w:t>e</w:t>
      </w:r>
      <w:r w:rsidR="00EE0ACF">
        <w:t xml:space="preserve"> Officer</w:t>
      </w:r>
      <w:r>
        <w:t xml:space="preserve">, Department </w:t>
      </w:r>
      <w:r w:rsidRPr="00CF6108">
        <w:rPr>
          <w:color w:val="000000" w:themeColor="text1"/>
        </w:rPr>
        <w:t xml:space="preserve">of </w:t>
      </w:r>
      <w:r w:rsidR="00CF6108" w:rsidRPr="00CF6108">
        <w:rPr>
          <w:color w:val="000000" w:themeColor="text1"/>
        </w:rPr>
        <w:t>Finance</w:t>
      </w:r>
      <w:r w:rsidRPr="00CF6108">
        <w:rPr>
          <w:color w:val="000000" w:themeColor="text1"/>
        </w:rPr>
        <w:t xml:space="preserve"> on (02) </w:t>
      </w:r>
      <w:r w:rsidR="00CF6108" w:rsidRPr="00CF6108">
        <w:rPr>
          <w:color w:val="000000" w:themeColor="text1"/>
        </w:rPr>
        <w:t xml:space="preserve">6215 </w:t>
      </w:r>
      <w:proofErr w:type="gramStart"/>
      <w:r w:rsidR="00CF6108" w:rsidRPr="00CF6108">
        <w:rPr>
          <w:color w:val="000000" w:themeColor="text1"/>
        </w:rPr>
        <w:t>2222</w:t>
      </w:r>
      <w:r w:rsidRPr="00CF6108">
        <w:rPr>
          <w:color w:val="000000" w:themeColor="text1"/>
        </w:rPr>
        <w:t>.</w:t>
      </w:r>
      <w:proofErr w:type="gramEnd"/>
    </w:p>
    <w:p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6" w:history="1">
        <w:r w:rsidR="005F3506" w:rsidRPr="00F24527">
          <w:rPr>
            <w:rStyle w:val="Hyperlink"/>
          </w:rPr>
          <w:t>www.budget.gov.au</w:t>
        </w:r>
      </w:hyperlink>
      <w:r w:rsidR="009C0C48">
        <w:t>.</w:t>
      </w:r>
    </w:p>
    <w:p w:rsidR="00423003" w:rsidRPr="00174186" w:rsidRDefault="00423003" w:rsidP="00174186"/>
    <w:p w:rsidR="00174186" w:rsidRPr="00174186" w:rsidRDefault="00174186" w:rsidP="00174186"/>
    <w:p w:rsidR="00174186" w:rsidRPr="00174186" w:rsidRDefault="00174186" w:rsidP="00174186">
      <w:pPr>
        <w:sectPr w:rsidR="00174186" w:rsidRPr="00174186" w:rsidSect="00782467">
          <w:headerReference w:type="even" r:id="rId27"/>
          <w:headerReference w:type="default" r:id="rId28"/>
          <w:headerReference w:type="first" r:id="rId29"/>
          <w:footerReference w:type="first" r:id="rId30"/>
          <w:pgSz w:w="11906" w:h="16838" w:code="9"/>
          <w:pgMar w:top="2835" w:right="2098" w:bottom="2466" w:left="2098" w:header="1814" w:footer="1814" w:gutter="0"/>
          <w:pgNumType w:fmt="lowerRoman"/>
          <w:cols w:space="708"/>
          <w:titlePg/>
          <w:docGrid w:linePitch="360"/>
        </w:sectPr>
      </w:pPr>
    </w:p>
    <w:p w:rsidR="00570160" w:rsidRPr="007E3F9D" w:rsidRDefault="00570160" w:rsidP="00570160">
      <w:pPr>
        <w:pStyle w:val="ContentsHeading"/>
        <w:rPr>
          <w:b w:val="0"/>
        </w:rPr>
      </w:pPr>
      <w:r w:rsidRPr="007E3F9D">
        <w:rPr>
          <w:b w:val="0"/>
        </w:rPr>
        <w:lastRenderedPageBreak/>
        <w:t>Contents</w:t>
      </w:r>
    </w:p>
    <w:p w:rsidR="00570160" w:rsidRPr="00DC3139" w:rsidRDefault="00570160" w:rsidP="00570160">
      <w:pPr>
        <w:pStyle w:val="TOC1"/>
        <w:rPr>
          <w:rFonts w:asciiTheme="minorHAnsi" w:eastAsiaTheme="minorEastAsia" w:hAnsiTheme="minorHAnsi" w:cstheme="minorBidi"/>
          <w:b w:val="0"/>
          <w:caps w:val="0"/>
          <w:noProof/>
          <w:sz w:val="22"/>
          <w:szCs w:val="22"/>
        </w:rPr>
      </w:pPr>
      <w:r w:rsidRPr="00DC3139">
        <w:rPr>
          <w:rFonts w:ascii="Arial" w:hAnsi="Arial"/>
          <w:b w:val="0"/>
          <w:caps w:val="0"/>
        </w:rPr>
        <w:fldChar w:fldCharType="begin"/>
      </w:r>
      <w:r w:rsidRPr="00DC3139">
        <w:rPr>
          <w:rFonts w:ascii="Arial" w:hAnsi="Arial"/>
          <w:b w:val="0"/>
          <w:caps w:val="0"/>
        </w:rPr>
        <w:instrText xml:space="preserve"> TOC \h \z \t "Heading 1,1,Title,1,Title 2nd Level,1,Part,1,Heading 1 - TOC,2,Part Heading - TOC,1" </w:instrText>
      </w:r>
      <w:r w:rsidRPr="00DC3139">
        <w:rPr>
          <w:rFonts w:ascii="Arial" w:hAnsi="Arial"/>
          <w:b w:val="0"/>
          <w:caps w:val="0"/>
        </w:rPr>
        <w:fldChar w:fldCharType="separate"/>
      </w:r>
      <w:hyperlink w:anchor="_Toc97893013" w:history="1">
        <w:r w:rsidRPr="00DC3139">
          <w:rPr>
            <w:rStyle w:val="Hyperlink"/>
            <w:caps w:val="0"/>
            <w:noProof/>
          </w:rPr>
          <w:t>User</w:t>
        </w:r>
        <w:r w:rsidRPr="00DC3139">
          <w:rPr>
            <w:rStyle w:val="Hyperlink"/>
            <w:caps w:val="0"/>
            <w:noProof/>
            <w:lang w:val="en-US"/>
          </w:rPr>
          <w:t xml:space="preserve"> guide</w:t>
        </w:r>
        <w:r w:rsidRPr="00DC3139">
          <w:rPr>
            <w:caps w:val="0"/>
            <w:noProof/>
            <w:webHidden/>
          </w:rPr>
          <w:tab/>
        </w:r>
        <w:r w:rsidRPr="00DC3139">
          <w:rPr>
            <w:caps w:val="0"/>
            <w:noProof/>
            <w:webHidden/>
          </w:rPr>
          <w:fldChar w:fldCharType="begin"/>
        </w:r>
        <w:r w:rsidRPr="00DC3139">
          <w:rPr>
            <w:caps w:val="0"/>
            <w:noProof/>
            <w:webHidden/>
          </w:rPr>
          <w:instrText xml:space="preserve"> PAGEREF _Toc97893013 \h </w:instrText>
        </w:r>
        <w:r w:rsidRPr="00DC3139">
          <w:rPr>
            <w:caps w:val="0"/>
            <w:noProof/>
            <w:webHidden/>
          </w:rPr>
        </w:r>
        <w:r w:rsidRPr="00DC3139">
          <w:rPr>
            <w:caps w:val="0"/>
            <w:noProof/>
            <w:webHidden/>
          </w:rPr>
          <w:fldChar w:fldCharType="separate"/>
        </w:r>
        <w:r w:rsidR="003B3D60">
          <w:rPr>
            <w:caps w:val="0"/>
            <w:noProof/>
            <w:webHidden/>
          </w:rPr>
          <w:t>ix</w:t>
        </w:r>
        <w:r w:rsidRPr="00DC3139">
          <w:rPr>
            <w:caps w:val="0"/>
            <w:noProof/>
            <w:webHidden/>
          </w:rPr>
          <w:fldChar w:fldCharType="end"/>
        </w:r>
      </w:hyperlink>
    </w:p>
    <w:p w:rsidR="00570160" w:rsidRPr="00DC3139" w:rsidRDefault="00CE4BBC" w:rsidP="00570160">
      <w:pPr>
        <w:pStyle w:val="TOC1"/>
        <w:rPr>
          <w:rFonts w:asciiTheme="minorHAnsi" w:eastAsiaTheme="minorEastAsia" w:hAnsiTheme="minorHAnsi" w:cstheme="minorBidi"/>
          <w:b w:val="0"/>
          <w:caps w:val="0"/>
          <w:noProof/>
          <w:sz w:val="22"/>
          <w:szCs w:val="22"/>
        </w:rPr>
      </w:pPr>
      <w:hyperlink w:anchor="_Toc97893014" w:history="1">
        <w:r w:rsidR="00570160" w:rsidRPr="00DC3139">
          <w:rPr>
            <w:rStyle w:val="Hyperlink"/>
            <w:caps w:val="0"/>
            <w:noProof/>
          </w:rPr>
          <w:t>Finance Portfolio overview</w:t>
        </w:r>
        <w:r w:rsidR="00570160" w:rsidRPr="00DC3139">
          <w:rPr>
            <w:caps w:val="0"/>
            <w:noProof/>
            <w:webHidden/>
          </w:rPr>
          <w:tab/>
        </w:r>
        <w:r w:rsidR="00570160" w:rsidRPr="00DC3139">
          <w:rPr>
            <w:caps w:val="0"/>
            <w:noProof/>
            <w:webHidden/>
          </w:rPr>
          <w:fldChar w:fldCharType="begin"/>
        </w:r>
        <w:r w:rsidR="00570160" w:rsidRPr="00DC3139">
          <w:rPr>
            <w:caps w:val="0"/>
            <w:noProof/>
            <w:webHidden/>
          </w:rPr>
          <w:instrText xml:space="preserve"> PAGEREF _Toc97893014 \h </w:instrText>
        </w:r>
        <w:r w:rsidR="00570160" w:rsidRPr="00DC3139">
          <w:rPr>
            <w:caps w:val="0"/>
            <w:noProof/>
            <w:webHidden/>
          </w:rPr>
        </w:r>
        <w:r w:rsidR="00570160" w:rsidRPr="00DC3139">
          <w:rPr>
            <w:caps w:val="0"/>
            <w:noProof/>
            <w:webHidden/>
          </w:rPr>
          <w:fldChar w:fldCharType="separate"/>
        </w:r>
        <w:r w:rsidR="003B3D60">
          <w:rPr>
            <w:caps w:val="0"/>
            <w:noProof/>
            <w:webHidden/>
          </w:rPr>
          <w:t>3</w:t>
        </w:r>
        <w:r w:rsidR="00570160" w:rsidRPr="00DC3139">
          <w:rPr>
            <w:caps w:val="0"/>
            <w:noProof/>
            <w:webHidden/>
          </w:rPr>
          <w:fldChar w:fldCharType="end"/>
        </w:r>
      </w:hyperlink>
    </w:p>
    <w:p w:rsidR="00143385" w:rsidRPr="00143385" w:rsidRDefault="00CE4BBC" w:rsidP="00570160">
      <w:pPr>
        <w:pStyle w:val="TOC1"/>
        <w:rPr>
          <w:rFonts w:asciiTheme="minorHAnsi" w:eastAsiaTheme="minorEastAsia" w:hAnsiTheme="minorHAnsi" w:cstheme="minorBidi"/>
          <w:b w:val="0"/>
          <w:caps w:val="0"/>
          <w:noProof/>
          <w:sz w:val="22"/>
          <w:szCs w:val="22"/>
        </w:rPr>
      </w:pPr>
      <w:hyperlink w:anchor="_Toc97893016" w:history="1">
        <w:r w:rsidR="00143385">
          <w:rPr>
            <w:rStyle w:val="Hyperlink"/>
            <w:caps w:val="0"/>
            <w:noProof/>
          </w:rPr>
          <w:t xml:space="preserve">Entity </w:t>
        </w:r>
        <w:r w:rsidR="00143385" w:rsidRPr="00143385">
          <w:rPr>
            <w:rStyle w:val="Hyperlink"/>
            <w:b w:val="0"/>
            <w:caps w:val="0"/>
            <w:noProof/>
          </w:rPr>
          <w:t>reources</w:t>
        </w:r>
        <w:r w:rsidR="00143385">
          <w:rPr>
            <w:rStyle w:val="Hyperlink"/>
            <w:caps w:val="0"/>
            <w:noProof/>
          </w:rPr>
          <w:t xml:space="preserve"> and planned performance</w:t>
        </w:r>
        <w:r w:rsidR="00143385" w:rsidRPr="00DC3139">
          <w:rPr>
            <w:caps w:val="0"/>
            <w:noProof/>
            <w:webHidden/>
          </w:rPr>
          <w:tab/>
        </w:r>
        <w:r w:rsidR="00143385">
          <w:rPr>
            <w:caps w:val="0"/>
            <w:noProof/>
            <w:webHidden/>
          </w:rPr>
          <w:t>5</w:t>
        </w:r>
      </w:hyperlink>
    </w:p>
    <w:p w:rsidR="00570160" w:rsidRPr="00143385" w:rsidRDefault="00CE4BBC" w:rsidP="00570160">
      <w:pPr>
        <w:pStyle w:val="TOC1"/>
        <w:rPr>
          <w:rFonts w:ascii="Arial" w:eastAsiaTheme="minorEastAsia" w:hAnsi="Arial" w:cstheme="minorBidi"/>
          <w:b w:val="0"/>
          <w:caps w:val="0"/>
          <w:noProof/>
          <w:sz w:val="22"/>
          <w:szCs w:val="22"/>
        </w:rPr>
      </w:pPr>
      <w:hyperlink w:anchor="_Toc97893016" w:history="1">
        <w:r w:rsidR="00570160" w:rsidRPr="00143385">
          <w:rPr>
            <w:rStyle w:val="Hyperlink"/>
            <w:rFonts w:ascii="Arial" w:hAnsi="Arial"/>
            <w:b w:val="0"/>
            <w:caps w:val="0"/>
            <w:noProof/>
          </w:rPr>
          <w:t>Department of Finance</w:t>
        </w:r>
        <w:r w:rsidR="00570160" w:rsidRPr="00143385">
          <w:rPr>
            <w:rFonts w:ascii="Arial" w:hAnsi="Arial"/>
            <w:b w:val="0"/>
            <w:caps w:val="0"/>
            <w:noProof/>
            <w:webHidden/>
          </w:rPr>
          <w:tab/>
        </w:r>
        <w:r w:rsidR="00570160" w:rsidRPr="00143385">
          <w:rPr>
            <w:rFonts w:ascii="Arial" w:hAnsi="Arial"/>
            <w:b w:val="0"/>
            <w:caps w:val="0"/>
            <w:noProof/>
            <w:webHidden/>
          </w:rPr>
          <w:fldChar w:fldCharType="begin"/>
        </w:r>
        <w:r w:rsidR="00570160" w:rsidRPr="00143385">
          <w:rPr>
            <w:rFonts w:ascii="Arial" w:hAnsi="Arial"/>
            <w:b w:val="0"/>
            <w:caps w:val="0"/>
            <w:noProof/>
            <w:webHidden/>
          </w:rPr>
          <w:instrText xml:space="preserve"> PAGEREF _Toc97893016 \h </w:instrText>
        </w:r>
        <w:r w:rsidR="00570160" w:rsidRPr="00143385">
          <w:rPr>
            <w:rFonts w:ascii="Arial" w:hAnsi="Arial"/>
            <w:b w:val="0"/>
            <w:caps w:val="0"/>
            <w:noProof/>
            <w:webHidden/>
          </w:rPr>
        </w:r>
        <w:r w:rsidR="00570160" w:rsidRPr="00143385">
          <w:rPr>
            <w:rFonts w:ascii="Arial" w:hAnsi="Arial"/>
            <w:b w:val="0"/>
            <w:caps w:val="0"/>
            <w:noProof/>
            <w:webHidden/>
          </w:rPr>
          <w:fldChar w:fldCharType="separate"/>
        </w:r>
        <w:r w:rsidR="003B3D60">
          <w:rPr>
            <w:rFonts w:ascii="Arial" w:hAnsi="Arial"/>
            <w:b w:val="0"/>
            <w:caps w:val="0"/>
            <w:noProof/>
            <w:webHidden/>
          </w:rPr>
          <w:t>11</w:t>
        </w:r>
        <w:r w:rsidR="00570160" w:rsidRPr="00143385">
          <w:rPr>
            <w:rFonts w:ascii="Arial" w:hAnsi="Arial"/>
            <w:b w:val="0"/>
            <w:caps w:val="0"/>
            <w:noProof/>
            <w:webHidden/>
          </w:rPr>
          <w:fldChar w:fldCharType="end"/>
        </w:r>
      </w:hyperlink>
    </w:p>
    <w:p w:rsidR="00570160" w:rsidRPr="00143385" w:rsidRDefault="00CE4BBC" w:rsidP="00570160">
      <w:pPr>
        <w:pStyle w:val="TOC1"/>
        <w:rPr>
          <w:rFonts w:ascii="Arial" w:eastAsiaTheme="minorEastAsia" w:hAnsi="Arial" w:cstheme="minorBidi"/>
          <w:b w:val="0"/>
          <w:caps w:val="0"/>
          <w:noProof/>
          <w:sz w:val="22"/>
          <w:szCs w:val="22"/>
        </w:rPr>
      </w:pPr>
      <w:hyperlink w:anchor="_Toc97893017" w:history="1">
        <w:r w:rsidR="00570160" w:rsidRPr="00143385">
          <w:rPr>
            <w:rStyle w:val="Hyperlink"/>
            <w:rFonts w:ascii="Arial" w:hAnsi="Arial"/>
            <w:b w:val="0"/>
            <w:caps w:val="0"/>
            <w:noProof/>
          </w:rPr>
          <w:t>Australian Electoral Commission</w:t>
        </w:r>
        <w:r w:rsidR="00570160" w:rsidRPr="00143385">
          <w:rPr>
            <w:rFonts w:ascii="Arial" w:hAnsi="Arial"/>
            <w:b w:val="0"/>
            <w:caps w:val="0"/>
            <w:noProof/>
            <w:webHidden/>
          </w:rPr>
          <w:tab/>
        </w:r>
        <w:r w:rsidR="00570160" w:rsidRPr="00143385">
          <w:rPr>
            <w:rFonts w:ascii="Arial" w:hAnsi="Arial"/>
            <w:b w:val="0"/>
            <w:caps w:val="0"/>
            <w:noProof/>
            <w:webHidden/>
          </w:rPr>
          <w:fldChar w:fldCharType="begin"/>
        </w:r>
        <w:r w:rsidR="00570160" w:rsidRPr="00143385">
          <w:rPr>
            <w:rFonts w:ascii="Arial" w:hAnsi="Arial"/>
            <w:b w:val="0"/>
            <w:caps w:val="0"/>
            <w:noProof/>
            <w:webHidden/>
          </w:rPr>
          <w:instrText xml:space="preserve"> PAGEREF _Toc97893017 \h </w:instrText>
        </w:r>
        <w:r w:rsidR="00570160" w:rsidRPr="00143385">
          <w:rPr>
            <w:rFonts w:ascii="Arial" w:hAnsi="Arial"/>
            <w:b w:val="0"/>
            <w:caps w:val="0"/>
            <w:noProof/>
            <w:webHidden/>
          </w:rPr>
        </w:r>
        <w:r w:rsidR="00570160" w:rsidRPr="00143385">
          <w:rPr>
            <w:rFonts w:ascii="Arial" w:hAnsi="Arial"/>
            <w:b w:val="0"/>
            <w:caps w:val="0"/>
            <w:noProof/>
            <w:webHidden/>
          </w:rPr>
          <w:fldChar w:fldCharType="separate"/>
        </w:r>
        <w:r w:rsidR="003B3D60">
          <w:rPr>
            <w:rFonts w:ascii="Arial" w:hAnsi="Arial"/>
            <w:b w:val="0"/>
            <w:caps w:val="0"/>
            <w:noProof/>
            <w:webHidden/>
          </w:rPr>
          <w:t>71</w:t>
        </w:r>
        <w:r w:rsidR="00570160" w:rsidRPr="00143385">
          <w:rPr>
            <w:rFonts w:ascii="Arial" w:hAnsi="Arial"/>
            <w:b w:val="0"/>
            <w:caps w:val="0"/>
            <w:noProof/>
            <w:webHidden/>
          </w:rPr>
          <w:fldChar w:fldCharType="end"/>
        </w:r>
      </w:hyperlink>
    </w:p>
    <w:p w:rsidR="00570160" w:rsidRPr="00143385" w:rsidRDefault="00CE4BBC" w:rsidP="00570160">
      <w:pPr>
        <w:pStyle w:val="TOC1"/>
        <w:rPr>
          <w:rFonts w:ascii="Arial" w:eastAsiaTheme="minorEastAsia" w:hAnsi="Arial" w:cstheme="minorBidi"/>
          <w:b w:val="0"/>
          <w:caps w:val="0"/>
          <w:noProof/>
          <w:sz w:val="22"/>
          <w:szCs w:val="22"/>
        </w:rPr>
      </w:pPr>
      <w:hyperlink w:anchor="_Toc97893019" w:history="1">
        <w:r w:rsidR="00570160" w:rsidRPr="00143385">
          <w:rPr>
            <w:rStyle w:val="Hyperlink"/>
            <w:rFonts w:ascii="Arial" w:hAnsi="Arial"/>
            <w:b w:val="0"/>
            <w:caps w:val="0"/>
            <w:noProof/>
          </w:rPr>
          <w:t>Commonwealth Superannuation Corporation</w:t>
        </w:r>
        <w:r w:rsidR="00570160" w:rsidRPr="00143385">
          <w:rPr>
            <w:rFonts w:ascii="Arial" w:hAnsi="Arial"/>
            <w:b w:val="0"/>
            <w:caps w:val="0"/>
            <w:noProof/>
            <w:webHidden/>
          </w:rPr>
          <w:tab/>
        </w:r>
        <w:r w:rsidR="00570160" w:rsidRPr="00143385">
          <w:rPr>
            <w:rFonts w:ascii="Arial" w:hAnsi="Arial"/>
            <w:b w:val="0"/>
            <w:caps w:val="0"/>
            <w:noProof/>
            <w:webHidden/>
          </w:rPr>
          <w:fldChar w:fldCharType="begin"/>
        </w:r>
        <w:r w:rsidR="00570160" w:rsidRPr="00143385">
          <w:rPr>
            <w:rFonts w:ascii="Arial" w:hAnsi="Arial"/>
            <w:b w:val="0"/>
            <w:caps w:val="0"/>
            <w:noProof/>
            <w:webHidden/>
          </w:rPr>
          <w:instrText xml:space="preserve"> PAGEREF _Toc97893019 \h </w:instrText>
        </w:r>
        <w:r w:rsidR="00570160" w:rsidRPr="00143385">
          <w:rPr>
            <w:rFonts w:ascii="Arial" w:hAnsi="Arial"/>
            <w:b w:val="0"/>
            <w:caps w:val="0"/>
            <w:noProof/>
            <w:webHidden/>
          </w:rPr>
        </w:r>
        <w:r w:rsidR="00570160" w:rsidRPr="00143385">
          <w:rPr>
            <w:rFonts w:ascii="Arial" w:hAnsi="Arial"/>
            <w:b w:val="0"/>
            <w:caps w:val="0"/>
            <w:noProof/>
            <w:webHidden/>
          </w:rPr>
          <w:fldChar w:fldCharType="separate"/>
        </w:r>
        <w:r w:rsidR="003B3D60">
          <w:rPr>
            <w:rFonts w:ascii="Arial" w:hAnsi="Arial"/>
            <w:b w:val="0"/>
            <w:caps w:val="0"/>
            <w:noProof/>
            <w:webHidden/>
          </w:rPr>
          <w:t>95</w:t>
        </w:r>
        <w:r w:rsidR="00570160" w:rsidRPr="00143385">
          <w:rPr>
            <w:rFonts w:ascii="Arial" w:hAnsi="Arial"/>
            <w:b w:val="0"/>
            <w:caps w:val="0"/>
            <w:noProof/>
            <w:webHidden/>
          </w:rPr>
          <w:fldChar w:fldCharType="end"/>
        </w:r>
      </w:hyperlink>
    </w:p>
    <w:p w:rsidR="00570160" w:rsidRPr="00143385" w:rsidRDefault="00CE4BBC" w:rsidP="00570160">
      <w:pPr>
        <w:pStyle w:val="TOC1"/>
        <w:rPr>
          <w:rFonts w:ascii="Arial" w:eastAsiaTheme="minorEastAsia" w:hAnsi="Arial" w:cstheme="minorBidi"/>
          <w:b w:val="0"/>
          <w:caps w:val="0"/>
          <w:noProof/>
          <w:sz w:val="22"/>
          <w:szCs w:val="22"/>
        </w:rPr>
      </w:pPr>
      <w:hyperlink w:anchor="_Toc97893021" w:history="1">
        <w:r w:rsidR="00570160" w:rsidRPr="00143385">
          <w:rPr>
            <w:rStyle w:val="Hyperlink"/>
            <w:rFonts w:ascii="Arial" w:hAnsi="Arial"/>
            <w:b w:val="0"/>
            <w:caps w:val="0"/>
            <w:noProof/>
          </w:rPr>
          <w:t>Future Fund Management Agency</w:t>
        </w:r>
        <w:r w:rsidR="00570160" w:rsidRPr="00143385">
          <w:rPr>
            <w:rFonts w:ascii="Arial" w:hAnsi="Arial"/>
            <w:b w:val="0"/>
            <w:caps w:val="0"/>
            <w:noProof/>
            <w:webHidden/>
          </w:rPr>
          <w:tab/>
        </w:r>
        <w:r w:rsidR="00570160" w:rsidRPr="00143385">
          <w:rPr>
            <w:rFonts w:ascii="Arial" w:hAnsi="Arial"/>
            <w:b w:val="0"/>
            <w:caps w:val="0"/>
            <w:noProof/>
            <w:webHidden/>
          </w:rPr>
          <w:fldChar w:fldCharType="begin"/>
        </w:r>
        <w:r w:rsidR="00570160" w:rsidRPr="00143385">
          <w:rPr>
            <w:rFonts w:ascii="Arial" w:hAnsi="Arial"/>
            <w:b w:val="0"/>
            <w:caps w:val="0"/>
            <w:noProof/>
            <w:webHidden/>
          </w:rPr>
          <w:instrText xml:space="preserve"> PAGEREF _Toc97893021 \h </w:instrText>
        </w:r>
        <w:r w:rsidR="00570160" w:rsidRPr="00143385">
          <w:rPr>
            <w:rFonts w:ascii="Arial" w:hAnsi="Arial"/>
            <w:b w:val="0"/>
            <w:caps w:val="0"/>
            <w:noProof/>
            <w:webHidden/>
          </w:rPr>
        </w:r>
        <w:r w:rsidR="00570160" w:rsidRPr="00143385">
          <w:rPr>
            <w:rFonts w:ascii="Arial" w:hAnsi="Arial"/>
            <w:b w:val="0"/>
            <w:caps w:val="0"/>
            <w:noProof/>
            <w:webHidden/>
          </w:rPr>
          <w:fldChar w:fldCharType="separate"/>
        </w:r>
        <w:r w:rsidR="003B3D60">
          <w:rPr>
            <w:rFonts w:ascii="Arial" w:hAnsi="Arial"/>
            <w:b w:val="0"/>
            <w:caps w:val="0"/>
            <w:noProof/>
            <w:webHidden/>
          </w:rPr>
          <w:t>117</w:t>
        </w:r>
        <w:r w:rsidR="00570160" w:rsidRPr="00143385">
          <w:rPr>
            <w:rFonts w:ascii="Arial" w:hAnsi="Arial"/>
            <w:b w:val="0"/>
            <w:caps w:val="0"/>
            <w:noProof/>
            <w:webHidden/>
          </w:rPr>
          <w:fldChar w:fldCharType="end"/>
        </w:r>
      </w:hyperlink>
    </w:p>
    <w:p w:rsidR="00570160" w:rsidRPr="00143385" w:rsidRDefault="00CE4BBC" w:rsidP="00570160">
      <w:pPr>
        <w:pStyle w:val="TOC1"/>
        <w:rPr>
          <w:rFonts w:ascii="Arial" w:eastAsiaTheme="minorEastAsia" w:hAnsi="Arial" w:cstheme="minorBidi"/>
          <w:b w:val="0"/>
          <w:caps w:val="0"/>
          <w:noProof/>
          <w:sz w:val="22"/>
          <w:szCs w:val="22"/>
        </w:rPr>
      </w:pPr>
      <w:hyperlink w:anchor="_Toc97893023" w:history="1">
        <w:r w:rsidR="00570160" w:rsidRPr="00143385">
          <w:rPr>
            <w:rStyle w:val="Hyperlink"/>
            <w:rFonts w:ascii="Arial" w:hAnsi="Arial"/>
            <w:b w:val="0"/>
            <w:caps w:val="0"/>
            <w:noProof/>
          </w:rPr>
          <w:t>Independent Parliamentary Expenses Authority</w:t>
        </w:r>
        <w:r w:rsidR="00570160" w:rsidRPr="00143385">
          <w:rPr>
            <w:rFonts w:ascii="Arial" w:hAnsi="Arial"/>
            <w:b w:val="0"/>
            <w:caps w:val="0"/>
            <w:noProof/>
            <w:webHidden/>
          </w:rPr>
          <w:tab/>
        </w:r>
        <w:r w:rsidR="00570160" w:rsidRPr="00143385">
          <w:rPr>
            <w:rFonts w:ascii="Arial" w:hAnsi="Arial"/>
            <w:b w:val="0"/>
            <w:caps w:val="0"/>
            <w:noProof/>
            <w:webHidden/>
          </w:rPr>
          <w:fldChar w:fldCharType="begin"/>
        </w:r>
        <w:r w:rsidR="00570160" w:rsidRPr="00143385">
          <w:rPr>
            <w:rFonts w:ascii="Arial" w:hAnsi="Arial"/>
            <w:b w:val="0"/>
            <w:caps w:val="0"/>
            <w:noProof/>
            <w:webHidden/>
          </w:rPr>
          <w:instrText xml:space="preserve"> PAGEREF _Toc97893023 \h </w:instrText>
        </w:r>
        <w:r w:rsidR="00570160" w:rsidRPr="00143385">
          <w:rPr>
            <w:rFonts w:ascii="Arial" w:hAnsi="Arial"/>
            <w:b w:val="0"/>
            <w:caps w:val="0"/>
            <w:noProof/>
            <w:webHidden/>
          </w:rPr>
        </w:r>
        <w:r w:rsidR="00570160" w:rsidRPr="00143385">
          <w:rPr>
            <w:rFonts w:ascii="Arial" w:hAnsi="Arial"/>
            <w:b w:val="0"/>
            <w:caps w:val="0"/>
            <w:noProof/>
            <w:webHidden/>
          </w:rPr>
          <w:fldChar w:fldCharType="separate"/>
        </w:r>
        <w:r w:rsidR="003B3D60">
          <w:rPr>
            <w:rFonts w:ascii="Arial" w:hAnsi="Arial"/>
            <w:b w:val="0"/>
            <w:caps w:val="0"/>
            <w:noProof/>
            <w:webHidden/>
          </w:rPr>
          <w:t>141</w:t>
        </w:r>
        <w:r w:rsidR="00570160" w:rsidRPr="00143385">
          <w:rPr>
            <w:rFonts w:ascii="Arial" w:hAnsi="Arial"/>
            <w:b w:val="0"/>
            <w:caps w:val="0"/>
            <w:noProof/>
            <w:webHidden/>
          </w:rPr>
          <w:fldChar w:fldCharType="end"/>
        </w:r>
      </w:hyperlink>
    </w:p>
    <w:p w:rsidR="00570160" w:rsidRPr="00DC3139" w:rsidRDefault="00CE4BBC" w:rsidP="00570160">
      <w:pPr>
        <w:pStyle w:val="TOC1"/>
        <w:rPr>
          <w:rFonts w:asciiTheme="minorHAnsi" w:eastAsiaTheme="minorEastAsia" w:hAnsiTheme="minorHAnsi" w:cstheme="minorBidi"/>
          <w:b w:val="0"/>
          <w:caps w:val="0"/>
          <w:noProof/>
          <w:sz w:val="22"/>
          <w:szCs w:val="22"/>
        </w:rPr>
      </w:pPr>
      <w:hyperlink w:anchor="_Toc97893024" w:history="1">
        <w:r w:rsidR="00570160" w:rsidRPr="00DC3139">
          <w:rPr>
            <w:rStyle w:val="Hyperlink"/>
            <w:caps w:val="0"/>
            <w:noProof/>
          </w:rPr>
          <w:t>Portfolio glossary</w:t>
        </w:r>
        <w:r w:rsidR="00570160" w:rsidRPr="00DC3139">
          <w:rPr>
            <w:caps w:val="0"/>
            <w:noProof/>
            <w:webHidden/>
          </w:rPr>
          <w:tab/>
        </w:r>
        <w:r w:rsidR="00570160" w:rsidRPr="00DC3139">
          <w:rPr>
            <w:caps w:val="0"/>
            <w:noProof/>
            <w:webHidden/>
          </w:rPr>
          <w:fldChar w:fldCharType="begin"/>
        </w:r>
        <w:r w:rsidR="00570160" w:rsidRPr="00DC3139">
          <w:rPr>
            <w:caps w:val="0"/>
            <w:noProof/>
            <w:webHidden/>
          </w:rPr>
          <w:instrText xml:space="preserve"> PAGEREF _Toc97893024 \h </w:instrText>
        </w:r>
        <w:r w:rsidR="00570160" w:rsidRPr="00DC3139">
          <w:rPr>
            <w:caps w:val="0"/>
            <w:noProof/>
            <w:webHidden/>
          </w:rPr>
        </w:r>
        <w:r w:rsidR="00570160" w:rsidRPr="00DC3139">
          <w:rPr>
            <w:caps w:val="0"/>
            <w:noProof/>
            <w:webHidden/>
          </w:rPr>
          <w:fldChar w:fldCharType="separate"/>
        </w:r>
        <w:r w:rsidR="003B3D60">
          <w:rPr>
            <w:caps w:val="0"/>
            <w:noProof/>
            <w:webHidden/>
          </w:rPr>
          <w:t>157</w:t>
        </w:r>
        <w:r w:rsidR="00570160" w:rsidRPr="00DC3139">
          <w:rPr>
            <w:caps w:val="0"/>
            <w:noProof/>
            <w:webHidden/>
          </w:rPr>
          <w:fldChar w:fldCharType="end"/>
        </w:r>
      </w:hyperlink>
    </w:p>
    <w:p w:rsidR="00570160" w:rsidRPr="00DC3139" w:rsidRDefault="00570160" w:rsidP="00570160">
      <w:pPr>
        <w:pStyle w:val="TOC1"/>
        <w:rPr>
          <w:rFonts w:asciiTheme="minorHAnsi" w:eastAsiaTheme="minorEastAsia" w:hAnsiTheme="minorHAnsi" w:cstheme="minorBidi"/>
          <w:b w:val="0"/>
          <w:caps w:val="0"/>
          <w:noProof/>
          <w:sz w:val="22"/>
          <w:szCs w:val="22"/>
        </w:rPr>
      </w:pPr>
    </w:p>
    <w:p w:rsidR="0042482B" w:rsidRDefault="00570160" w:rsidP="00570160">
      <w:pPr>
        <w:spacing w:after="0" w:line="240" w:lineRule="auto"/>
        <w:jc w:val="left"/>
        <w:rPr>
          <w:rFonts w:ascii="Arial" w:hAnsi="Arial"/>
          <w:b/>
        </w:rPr>
        <w:sectPr w:rsidR="0042482B" w:rsidSect="00EF774D">
          <w:headerReference w:type="first" r:id="rId31"/>
          <w:footerReference w:type="first" r:id="rId32"/>
          <w:pgSz w:w="11906" w:h="16838" w:code="9"/>
          <w:pgMar w:top="2835" w:right="2098" w:bottom="2466" w:left="2098" w:header="1814" w:footer="1814" w:gutter="0"/>
          <w:pgNumType w:fmt="lowerRoman"/>
          <w:cols w:space="708"/>
          <w:titlePg/>
          <w:docGrid w:linePitch="360"/>
        </w:sectPr>
      </w:pPr>
      <w:r w:rsidRPr="00DC3139">
        <w:rPr>
          <w:rFonts w:ascii="Arial" w:hAnsi="Arial"/>
          <w:b/>
        </w:rPr>
        <w:fldChar w:fldCharType="end"/>
      </w:r>
    </w:p>
    <w:p w:rsidR="00570160" w:rsidRDefault="00570160" w:rsidP="00570160">
      <w:pPr>
        <w:spacing w:after="0" w:line="240" w:lineRule="auto"/>
        <w:jc w:val="left"/>
        <w:rPr>
          <w:rFonts w:ascii="Arial Bold" w:hAnsi="Arial Bold" w:cs="Arial"/>
          <w:b/>
          <w:bCs/>
          <w:kern w:val="28"/>
          <w:sz w:val="52"/>
          <w:szCs w:val="32"/>
        </w:rPr>
      </w:pPr>
    </w:p>
    <w:p w:rsidR="008D7DFC" w:rsidRPr="00883894" w:rsidRDefault="00883894" w:rsidP="00883894">
      <w:pPr>
        <w:pStyle w:val="PartHeading"/>
      </w:pPr>
      <w:r w:rsidRPr="00883894">
        <w:t>User Guide</w:t>
      </w:r>
      <w:r w:rsidRPr="00883894">
        <w:br/>
      </w:r>
      <w:bookmarkStart w:id="0" w:name="_Toc444523503"/>
      <w:r w:rsidR="00B476D2">
        <w:t>t</w:t>
      </w:r>
      <w:r w:rsidR="004B4862">
        <w:t>o t</w:t>
      </w:r>
      <w:r w:rsidRPr="00883894">
        <w:t>he</w:t>
      </w:r>
      <w:bookmarkEnd w:id="0"/>
      <w:r w:rsidRPr="00883894">
        <w:br/>
      </w:r>
      <w:bookmarkStart w:id="1" w:name="_Toc444523504"/>
      <w:r w:rsidRPr="00883894">
        <w:t>Portfolio Budget Statements</w:t>
      </w:r>
      <w:bookmarkEnd w:id="1"/>
    </w:p>
    <w:p w:rsidR="008D7DFC" w:rsidRPr="00883894" w:rsidRDefault="008D7DFC" w:rsidP="00883894">
      <w:pPr>
        <w:pStyle w:val="PartHeading"/>
        <w:sectPr w:rsidR="008D7DFC" w:rsidRPr="00883894" w:rsidSect="0042482B">
          <w:type w:val="oddPage"/>
          <w:pgSz w:w="11906" w:h="16838" w:code="9"/>
          <w:pgMar w:top="2835" w:right="2098" w:bottom="2466" w:left="2098" w:header="1814" w:footer="1814" w:gutter="0"/>
          <w:pgNumType w:fmt="lowerRoman"/>
          <w:cols w:space="708"/>
          <w:vAlign w:val="center"/>
          <w:titlePg/>
          <w:docGrid w:linePitch="360"/>
        </w:sectPr>
      </w:pPr>
    </w:p>
    <w:p w:rsidR="008D7DFC" w:rsidRDefault="008D7DFC" w:rsidP="006928E4">
      <w:pPr>
        <w:pStyle w:val="Heading1"/>
        <w:rPr>
          <w:lang w:val="en-US"/>
        </w:rPr>
      </w:pPr>
      <w:bookmarkStart w:id="2" w:name="_Toc112211948"/>
      <w:bookmarkStart w:id="3" w:name="_Toc112212042"/>
      <w:bookmarkStart w:id="4" w:name="_Toc112137860"/>
      <w:bookmarkStart w:id="5" w:name="_Toc112224367"/>
      <w:bookmarkStart w:id="6" w:name="_Toc112225828"/>
      <w:bookmarkStart w:id="7" w:name="_Toc97893013"/>
      <w:r w:rsidRPr="006928E4">
        <w:lastRenderedPageBreak/>
        <w:t>User</w:t>
      </w:r>
      <w:r>
        <w:rPr>
          <w:lang w:val="en-US"/>
        </w:rPr>
        <w:t xml:space="preserve"> </w:t>
      </w:r>
      <w:r w:rsidR="00CA2F21">
        <w:rPr>
          <w:lang w:val="en-US"/>
        </w:rPr>
        <w:t>g</w:t>
      </w:r>
      <w:r>
        <w:rPr>
          <w:lang w:val="en-US"/>
        </w:rPr>
        <w:t>uide</w:t>
      </w:r>
      <w:bookmarkEnd w:id="2"/>
      <w:bookmarkEnd w:id="3"/>
      <w:bookmarkEnd w:id="4"/>
      <w:bookmarkEnd w:id="5"/>
      <w:bookmarkEnd w:id="6"/>
      <w:bookmarkEnd w:id="7"/>
    </w:p>
    <w:p w:rsidR="008D7DFC" w:rsidRDefault="00A409BC" w:rsidP="008D7DFC">
      <w:r>
        <w:t xml:space="preserve">The purpose of the </w:t>
      </w:r>
      <w:r w:rsidR="00400A8B">
        <w:rPr>
          <w:i/>
        </w:rPr>
        <w:t>2022</w:t>
      </w:r>
      <w:r w:rsidR="007B5E45">
        <w:rPr>
          <w:i/>
        </w:rPr>
        <w:t>-</w:t>
      </w:r>
      <w:r w:rsidR="00400A8B">
        <w:rPr>
          <w:i/>
        </w:rPr>
        <w:t>23</w:t>
      </w:r>
      <w:r w:rsidR="00400A8B" w:rsidRPr="008E7DCC">
        <w:rPr>
          <w:i/>
        </w:rPr>
        <w:t xml:space="preserve"> </w:t>
      </w:r>
      <w:r w:rsidR="008D7DFC" w:rsidRPr="008E7DCC">
        <w:rPr>
          <w:i/>
        </w:rPr>
        <w:t>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400A8B">
        <w:t>2022</w:t>
      </w:r>
      <w:r w:rsidR="007B5E45">
        <w:t>-</w:t>
      </w:r>
      <w:r w:rsidR="00400A8B">
        <w:t xml:space="preserve">23 </w:t>
      </w:r>
      <w:r>
        <w:t xml:space="preserve">(or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400A8B">
        <w:t>2022</w:t>
      </w:r>
      <w:r w:rsidR="007B5E45">
        <w:t>-</w:t>
      </w:r>
      <w:r w:rsidR="00400A8B">
        <w:t xml:space="preserve">23 </w:t>
      </w:r>
      <w:r>
        <w:t>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8D7DFC" w:rsidRDefault="008D7DFC" w:rsidP="00834F9A">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rsidR="00AF3117" w:rsidRPr="005328A9" w:rsidRDefault="00AF3117" w:rsidP="005328A9">
      <w:pPr>
        <w:pStyle w:val="Heading2NoTOC"/>
      </w:pPr>
      <w:r w:rsidRPr="005328A9">
        <w:t>The Com</w:t>
      </w:r>
      <w:r w:rsidR="00834F9A" w:rsidRPr="005328A9">
        <w:t>monwealth Performance Framework</w:t>
      </w:r>
    </w:p>
    <w:p w:rsidR="00AF3117" w:rsidRPr="00FD522D" w:rsidRDefault="00AF3117" w:rsidP="00FD522D">
      <w:r w:rsidRPr="00FD522D">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4D0D6B" w:rsidRDefault="004D0D6B">
      <w:pPr>
        <w:spacing w:after="0" w:line="240" w:lineRule="auto"/>
        <w:jc w:val="left"/>
        <w:rPr>
          <w:rFonts w:ascii="Arial" w:hAnsi="Arial"/>
        </w:rPr>
      </w:pPr>
      <w:r>
        <w:br w:type="page"/>
      </w:r>
    </w:p>
    <w:p w:rsidR="00AA27AA" w:rsidRDefault="00A721F1" w:rsidP="00570160">
      <w:pPr>
        <w:pStyle w:val="ChartGraphic"/>
        <w:jc w:val="both"/>
      </w:pPr>
      <w:r>
        <w:rPr>
          <w:noProof/>
        </w:rPr>
        <w:lastRenderedPageBreak/>
        <mc:AlternateContent>
          <mc:Choice Requires="wpg">
            <w:drawing>
              <wp:anchor distT="0" distB="0" distL="114300" distR="114300" simplePos="0" relativeHeight="251659264" behindDoc="0" locked="0" layoutInCell="1" allowOverlap="1" wp14:anchorId="30DEEFA4" wp14:editId="739C4343">
                <wp:simplePos x="0" y="0"/>
                <wp:positionH relativeFrom="column">
                  <wp:posOffset>0</wp:posOffset>
                </wp:positionH>
                <wp:positionV relativeFrom="paragraph">
                  <wp:posOffset>0</wp:posOffset>
                </wp:positionV>
                <wp:extent cx="4882515" cy="6777990"/>
                <wp:effectExtent l="0" t="0" r="13335" b="22860"/>
                <wp:wrapNone/>
                <wp:docPr id="9" name="Group 9"/>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2" name="Group 32"/>
                        <wpg:cNvGrpSpPr>
                          <a:grpSpLocks/>
                        </wpg:cNvGrpSpPr>
                        <wpg:grpSpPr bwMode="auto">
                          <a:xfrm>
                            <a:off x="0" y="0"/>
                            <a:ext cx="4882515" cy="6777990"/>
                            <a:chOff x="1063986" y="1064206"/>
                            <a:chExt cx="48825" cy="57214"/>
                          </a:xfrm>
                        </wpg:grpSpPr>
                        <wps:wsp>
                          <wps:cNvPr id="33"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0"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Pr="005E1835"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CE4BBC" w:rsidRDefault="00CE4BBC"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Pr="003548F4"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Corporate Plan </w:t>
                                </w:r>
                                <w:r>
                                  <w:rPr>
                                    <w:rFonts w:ascii="Arial" w:hAnsi="Arial" w:cs="Arial"/>
                                    <w:color w:val="FFFFFF"/>
                                    <w:sz w:val="18"/>
                                    <w:szCs w:val="18"/>
                                  </w:rPr>
                                  <w:br/>
                                  <w:t>(August</w:t>
                                </w:r>
                                <w:proofErr w:type="gramStart"/>
                                <w:r>
                                  <w:rPr>
                                    <w:rFonts w:ascii="Arial" w:hAnsi="Arial" w:cs="Arial"/>
                                    <w:color w:val="FFFFFF"/>
                                    <w:sz w:val="18"/>
                                    <w:szCs w:val="18"/>
                                  </w:rPr>
                                  <w:t>)</w:t>
                                </w:r>
                                <w:proofErr w:type="gramEnd"/>
                                <w:r>
                                  <w:rPr>
                                    <w:rFonts w:ascii="Arial" w:hAnsi="Arial" w:cs="Arial"/>
                                    <w:color w:val="FFFFFF"/>
                                    <w:sz w:val="18"/>
                                    <w:szCs w:val="18"/>
                                  </w:rPr>
                                  <w:br/>
                                </w:r>
                                <w:r>
                                  <w:rPr>
                                    <w:i/>
                                    <w:iCs/>
                                    <w:color w:val="FFFFFF"/>
                                  </w:rPr>
                                  <w:t>Entity based</w:t>
                                </w:r>
                              </w:p>
                              <w:p w:rsidR="00CE4BBC" w:rsidRDefault="00CE4BBC"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4" name="Rectangle 7"/>
                          <wps:cNvSpPr>
                            <a:spLocks noChangeArrowheads="1"/>
                          </wps:cNvSpPr>
                          <wps:spPr bwMode="auto">
                            <a:xfrm>
                              <a:off x="1065754"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48" name="Rectangle 8"/>
                          <wps:cNvSpPr>
                            <a:spLocks noChangeArrowheads="1"/>
                          </wps:cNvSpPr>
                          <wps:spPr bwMode="auto">
                            <a:xfrm>
                              <a:off x="1090951"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52"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8" name="Rectangle 10"/>
                          <wps:cNvSpPr>
                            <a:spLocks noChangeArrowheads="1"/>
                          </wps:cNvSpPr>
                          <wps:spPr bwMode="auto">
                            <a:xfrm>
                              <a:off x="1070254" y="1104173"/>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jc w:val="center"/>
                                  <w:rPr>
                                    <w:color w:val="FFFFFF"/>
                                  </w:rPr>
                                </w:pPr>
                                <w:r>
                                  <w:rPr>
                                    <w:rFonts w:ascii="Arial" w:hAnsi="Arial" w:cs="Arial"/>
                                    <w:color w:val="FFFFFF"/>
                                    <w:sz w:val="18"/>
                                    <w:szCs w:val="18"/>
                                  </w:rPr>
                                  <w:t>Annual Performance Statement (October following year</w:t>
                                </w:r>
                                <w:proofErr w:type="gramStart"/>
                                <w:r>
                                  <w:rPr>
                                    <w:rFonts w:ascii="Arial" w:hAnsi="Arial" w:cs="Arial"/>
                                    <w:color w:val="FFFFFF"/>
                                    <w:sz w:val="18"/>
                                    <w:szCs w:val="18"/>
                                  </w:rPr>
                                  <w:t>)</w:t>
                                </w:r>
                                <w:proofErr w:type="gramEnd"/>
                                <w:r>
                                  <w:rPr>
                                    <w:rFonts w:ascii="Arial" w:hAnsi="Arial" w:cs="Arial"/>
                                    <w:i/>
                                    <w:iCs/>
                                    <w:color w:val="FFFFFF"/>
                                    <w:sz w:val="18"/>
                                    <w:szCs w:val="18"/>
                                  </w:rPr>
                                  <w:br/>
                                  <w:t>Entity based</w:t>
                                </w:r>
                              </w:p>
                              <w:p w:rsidR="00CE4BBC" w:rsidRDefault="00CE4BBC" w:rsidP="00A721F1">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9" name="Rectangle 11"/>
                          <wps:cNvSpPr>
                            <a:spLocks noChangeArrowheads="1"/>
                          </wps:cNvSpPr>
                          <wps:spPr bwMode="auto">
                            <a:xfrm>
                              <a:off x="1070254" y="1108364"/>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60" name="AutoShape 12"/>
                          <wps:cNvCnPr>
                            <a:cxnSpLocks noChangeShapeType="1"/>
                          </wps:cNvCnPr>
                          <wps:spPr bwMode="auto">
                            <a:xfrm>
                              <a:off x="1075356" y="1099872"/>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14"/>
                          <wps:cNvCnPr>
                            <a:cxnSpLocks noChangeShapeType="1"/>
                          </wps:cNvCnPr>
                          <wps:spPr bwMode="auto">
                            <a:xfrm>
                              <a:off x="1075294" y="1101637"/>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15"/>
                          <wps:cNvCnPr>
                            <a:cxnSpLocks noChangeShapeType="1"/>
                          </wps:cNvCnPr>
                          <wps:spPr bwMode="auto">
                            <a:xfrm>
                              <a:off x="1088401" y="1101652"/>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64"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anchor>
            </w:drawing>
          </mc:Choice>
          <mc:Fallback>
            <w:pict>
              <v:group w14:anchorId="30DEEFA4" id="Group 9" o:spid="_x0000_s1026" style="position:absolute;left:0;text-align:left;margin-left:0;margin-top:0;width:384.45pt;height:533.7pt;z-index:251659264"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" filled="f" fillcolor="#5b9bd5" strokecolor="black [0]" strokeweight="2pt">
                    <v:shadow color="black [0]"/>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" fillcolor="#0c0c0c" strokecolor="black [0]" strokeweight="2pt">
                    <v:shadow color="black [0]"/>
                    <v:textbox inset="2.88pt,2.88pt,2.88pt,2.88pt">
                      <w:txbxContent>
                        <w:p w:rsidR="00CE4BBC" w:rsidRDefault="00CE4BBC" w:rsidP="00A721F1">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p w:rsidR="00CE4BBC" w:rsidRDefault="00CE4BBC" w:rsidP="00A721F1">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" fillcolor="black [0]" strokecolor="black [0]" strokeweight="1pt">
                    <v:shadow color="black [0]"/>
                    <v:textbox inset="2.88pt,2.88pt,2.88pt,2.88pt">
                      <w:txbxContent>
                        <w:p w:rsidR="00CE4BBC" w:rsidRPr="005E1835"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i/>
                              <w:iCs/>
                              <w:color w:val="FFFFFF"/>
                            </w:rPr>
                            <w:t>Portfolio based</w:t>
                          </w:r>
                        </w:p>
                        <w:p w:rsidR="00CE4BBC" w:rsidRDefault="00CE4BBC" w:rsidP="00A721F1">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jixQAAANsAAAAPAAAAZHJzL2Rvd25yZXYueG1sRI9Ba8JA&#10;FITvBf/D8gQvRTfWo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AA96jixQAAANsAAAAP&#10;AAAAAAAAAAAAAAAAAAcCAABkcnMvZG93bnJldi54bWxQSwUGAAAAAAMAAwC3AAAA+QIAAAAA&#10;" fillcolor="black [0]" strokecolor="black [0]" strokeweight="1pt">
                    <v:shadow color="black [0]"/>
                    <v:textbox inset="2.88pt,2.88pt,2.88pt,2.88pt">
                      <w:txbxContent>
                        <w:p w:rsidR="00CE4BBC" w:rsidRPr="003548F4" w:rsidRDefault="00CE4BBC" w:rsidP="00A721F1">
                          <w:pPr>
                            <w:widowControl w:val="0"/>
                            <w:jc w:val="center"/>
                            <w:rPr>
                              <w:rFonts w:ascii="Arial" w:hAnsi="Arial" w:cs="Arial"/>
                              <w:color w:val="FFFFFF"/>
                              <w:sz w:val="18"/>
                              <w:szCs w:val="18"/>
                            </w:rPr>
                          </w:pPr>
                          <w:r>
                            <w:rPr>
                              <w:rFonts w:ascii="Arial" w:hAnsi="Arial" w:cs="Arial"/>
                              <w:color w:val="FFFFFF"/>
                              <w:sz w:val="18"/>
                              <w:szCs w:val="18"/>
                            </w:rPr>
                            <w:t xml:space="preserve">Corporate Plan </w:t>
                          </w:r>
                          <w:r>
                            <w:rPr>
                              <w:rFonts w:ascii="Arial" w:hAnsi="Arial" w:cs="Arial"/>
                              <w:color w:val="FFFFFF"/>
                              <w:sz w:val="18"/>
                              <w:szCs w:val="18"/>
                            </w:rPr>
                            <w:br/>
                            <w:t>(August</w:t>
                          </w:r>
                          <w:proofErr w:type="gramStart"/>
                          <w:r>
                            <w:rPr>
                              <w:rFonts w:ascii="Arial" w:hAnsi="Arial" w:cs="Arial"/>
                              <w:color w:val="FFFFFF"/>
                              <w:sz w:val="18"/>
                              <w:szCs w:val="18"/>
                            </w:rPr>
                            <w:t>)</w:t>
                          </w:r>
                          <w:proofErr w:type="gramEnd"/>
                          <w:r>
                            <w:rPr>
                              <w:rFonts w:ascii="Arial" w:hAnsi="Arial" w:cs="Arial"/>
                              <w:color w:val="FFFFFF"/>
                              <w:sz w:val="18"/>
                              <w:szCs w:val="18"/>
                            </w:rPr>
                            <w:br/>
                          </w:r>
                          <w:r>
                            <w:rPr>
                              <w:i/>
                              <w:iCs/>
                              <w:color w:val="FFFFFF"/>
                            </w:rPr>
                            <w:t>Entity based</w:t>
                          </w:r>
                        </w:p>
                        <w:p w:rsidR="00CE4BBC" w:rsidRDefault="00CE4BBC" w:rsidP="00A721F1">
                          <w:pPr>
                            <w:widowControl w:val="0"/>
                            <w:jc w:val="center"/>
                            <w:rPr>
                              <w:color w:val="FFFFFF"/>
                            </w:rPr>
                          </w:pPr>
                          <w:r>
                            <w:rPr>
                              <w:color w:val="FFFFFF"/>
                            </w:rPr>
                            <w:t> </w:t>
                          </w:r>
                        </w:p>
                      </w:txbxContent>
                    </v:textbox>
                  </v:rect>
                  <v:rect id="Rectangle 7" o:spid="_x0000_s1032"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DFwgAAANsAAAAPAAAAZHJzL2Rvd25yZXYueG1sRI/disIw&#10;FITvhX2HcBa8s2lFRK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DhzaDFwgAAANsAAAAPAAAA&#10;AAAAAAAAAAAAAAcCAABkcnMvZG93bnJldi54bWxQSwUGAAAAAAMAAwC3AAAA9gIAAAAA&#10;" filled="f" fillcolor="black [0]" strokecolor="black [0]" strokeweight=".5pt">
                    <v:shadow color="black [0]"/>
                    <v:textbox inset="2.88pt,2.88pt,2.88pt,2.88pt">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w:t>
                          </w:r>
                        </w:p>
                      </w:txbxContent>
                    </v:textbox>
                  </v:rect>
                  <v:rect id="Rectangle 8" o:spid="_x0000_s1033"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" filled="f" fillcolor="black [0]" strokecolor="black [0]" strokeweight=".5pt">
                    <v:shadow color="black [0]"/>
                    <v:textbox inset="2.88pt,2.88pt,2.88pt,2.88pt">
                      <w:txbxContent>
                        <w:p w:rsidR="00CE4BBC" w:rsidRDefault="00CE4BBC" w:rsidP="00A721F1">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" strokecolor="black [0]" strokeweight="1.25pt">
                    <v:stroke startarrow="block" endarrow="block"/>
                    <v:shadow color="black [0]"/>
                  </v:shape>
                  <v:rect id="Rectangle 10" o:spid="_x0000_s1035" style="position:absolute;left:10702;top:11041;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" fillcolor="black [0]" strokecolor="black [0]" strokeweight="1pt">
                    <v:shadow color="black [0]"/>
                    <v:textbox inset="2.88pt,2.88pt,2.88pt,2.88pt">
                      <w:txbxContent>
                        <w:p w:rsidR="00CE4BBC" w:rsidRDefault="00CE4BBC" w:rsidP="00A721F1">
                          <w:pPr>
                            <w:widowControl w:val="0"/>
                            <w:jc w:val="center"/>
                            <w:rPr>
                              <w:color w:val="FFFFFF"/>
                            </w:rPr>
                          </w:pPr>
                          <w:r>
                            <w:rPr>
                              <w:rFonts w:ascii="Arial" w:hAnsi="Arial" w:cs="Arial"/>
                              <w:color w:val="FFFFFF"/>
                              <w:sz w:val="18"/>
                              <w:szCs w:val="18"/>
                            </w:rPr>
                            <w:t>Annual Performance Statement (October following year</w:t>
                          </w:r>
                          <w:proofErr w:type="gramStart"/>
                          <w:r>
                            <w:rPr>
                              <w:rFonts w:ascii="Arial" w:hAnsi="Arial" w:cs="Arial"/>
                              <w:color w:val="FFFFFF"/>
                              <w:sz w:val="18"/>
                              <w:szCs w:val="18"/>
                            </w:rPr>
                            <w:t>)</w:t>
                          </w:r>
                          <w:proofErr w:type="gramEnd"/>
                          <w:r>
                            <w:rPr>
                              <w:rFonts w:ascii="Arial" w:hAnsi="Arial" w:cs="Arial"/>
                              <w:i/>
                              <w:iCs/>
                              <w:color w:val="FFFFFF"/>
                              <w:sz w:val="18"/>
                              <w:szCs w:val="18"/>
                            </w:rPr>
                            <w:br/>
                            <w:t>Entity based</w:t>
                          </w:r>
                        </w:p>
                        <w:p w:rsidR="00CE4BBC" w:rsidRDefault="00CE4BBC" w:rsidP="00A721F1">
                          <w:pPr>
                            <w:widowControl w:val="0"/>
                            <w:jc w:val="center"/>
                            <w:rPr>
                              <w:color w:val="FFFFFF"/>
                            </w:rPr>
                          </w:pPr>
                          <w:r>
                            <w:rPr>
                              <w:color w:val="FFFFFF"/>
                            </w:rPr>
                            <w:t> </w:t>
                          </w:r>
                        </w:p>
                      </w:txbxContent>
                    </v:textbox>
                  </v:rect>
                  <v:rect id="Rectangle 11" o:spid="_x0000_s1036" style="position:absolute;left:10702;top:11083;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" filled="f" fillcolor="black [0]" strokecolor="black [0]" strokeweight=".5pt">
                    <v:shadow color="black [0]"/>
                    <v:textbox inset="2.88pt,2.88pt,2.88pt,2.88pt">
                      <w:txbxContent>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CE4BBC" w:rsidRDefault="00CE4BBC" w:rsidP="00A721F1">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" strokecolor="black [0]" strokeweight="1.25pt">
                    <v:shadow color="black [0]"/>
                  </v:shape>
                  <v:shape id="AutoShape 14" o:spid="_x0000_s1038"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" strokecolor="black [0]" strokeweight="1.25pt">
                    <v:shadow color="black [0]"/>
                  </v:shape>
                  <v:shape id="AutoShape 15" o:spid="_x0000_s1039"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" strokecolor="black [0]" strokeweight="1.25pt">
                  <v:shadow color="black [0]"/>
                </v:shape>
              </v:group>
            </w:pict>
          </mc:Fallback>
        </mc:AlternateContent>
      </w:r>
    </w:p>
    <w:p w:rsidR="00A225E3" w:rsidRDefault="00A225E3" w:rsidP="00AA27AA">
      <w:pPr>
        <w:sectPr w:rsidR="00A225E3" w:rsidSect="00782467">
          <w:headerReference w:type="even" r:id="rId33"/>
          <w:footerReference w:type="first" r:id="rId34"/>
          <w:type w:val="oddPage"/>
          <w:pgSz w:w="11906" w:h="16838" w:code="9"/>
          <w:pgMar w:top="2835" w:right="2098" w:bottom="2466" w:left="2098" w:header="1814" w:footer="1814" w:gutter="0"/>
          <w:pgNumType w:fmt="lowerRoman"/>
          <w:cols w:space="708"/>
          <w:titlePg/>
          <w:docGrid w:linePitch="360"/>
        </w:sectPr>
      </w:pPr>
    </w:p>
    <w:p w:rsidR="00AA27AA" w:rsidRDefault="00883894" w:rsidP="00883894">
      <w:pPr>
        <w:pStyle w:val="PartHeading"/>
      </w:pPr>
      <w:bookmarkStart w:id="8" w:name="_Toc190766147"/>
      <w:bookmarkStart w:id="9" w:name="_Toc444523505"/>
      <w:r>
        <w:lastRenderedPageBreak/>
        <w:t xml:space="preserve">Portfolio </w:t>
      </w:r>
      <w:bookmarkEnd w:id="8"/>
      <w:r>
        <w:t>Overview</w:t>
      </w:r>
      <w:bookmarkEnd w:id="9"/>
    </w:p>
    <w:p w:rsidR="00081CBC" w:rsidRPr="00081CBC" w:rsidRDefault="00081CBC" w:rsidP="00081CBC"/>
    <w:p w:rsidR="00AA27AA" w:rsidRDefault="00AA27AA" w:rsidP="00883894">
      <w:pPr>
        <w:pStyle w:val="PartHeading"/>
        <w:sectPr w:rsidR="00AA27AA" w:rsidSect="00782467">
          <w:headerReference w:type="even" r:id="rId35"/>
          <w:headerReference w:type="default" r:id="rId36"/>
          <w:headerReference w:type="first" r:id="rId37"/>
          <w:footerReference w:type="first" r:id="rId38"/>
          <w:type w:val="oddPage"/>
          <w:pgSz w:w="11906" w:h="16838" w:code="9"/>
          <w:pgMar w:top="2835" w:right="2098" w:bottom="2466" w:left="2098" w:header="1814" w:footer="1814" w:gutter="0"/>
          <w:pgNumType w:start="1"/>
          <w:cols w:space="708"/>
          <w:vAlign w:val="center"/>
          <w:titlePg/>
          <w:docGrid w:linePitch="360"/>
        </w:sectPr>
      </w:pPr>
    </w:p>
    <w:p w:rsidR="00D46A7B" w:rsidRPr="00834F9A" w:rsidRDefault="006E2CEA" w:rsidP="00CE4D05">
      <w:pPr>
        <w:pStyle w:val="Heading1"/>
      </w:pPr>
      <w:bookmarkStart w:id="10" w:name="_Toc190766148"/>
      <w:bookmarkStart w:id="11" w:name="_Toc97893014"/>
      <w:r>
        <w:lastRenderedPageBreak/>
        <w:t xml:space="preserve">Finance </w:t>
      </w:r>
      <w:r w:rsidR="00E5444F" w:rsidRPr="00834F9A">
        <w:t>P</w:t>
      </w:r>
      <w:r w:rsidR="00605163" w:rsidRPr="00834F9A">
        <w:t xml:space="preserve">ortfolio </w:t>
      </w:r>
      <w:r w:rsidR="00605163" w:rsidRPr="00CE4D05">
        <w:t>o</w:t>
      </w:r>
      <w:r w:rsidR="00D46A7B" w:rsidRPr="00CE4D05">
        <w:t>verview</w:t>
      </w:r>
      <w:bookmarkEnd w:id="10"/>
      <w:bookmarkEnd w:id="11"/>
    </w:p>
    <w:p w:rsidR="00D46A7B" w:rsidRDefault="00D46A7B" w:rsidP="005328A9">
      <w:pPr>
        <w:pStyle w:val="Heading2NoTOC"/>
      </w:pPr>
      <w:bookmarkStart w:id="12" w:name="_Toc190682306"/>
      <w:bookmarkStart w:id="13" w:name="_Toc444523506"/>
      <w:r>
        <w:t>Minister(</w:t>
      </w:r>
      <w:r w:rsidR="00DF1ADC">
        <w:t>s</w:t>
      </w:r>
      <w:r>
        <w:t xml:space="preserve">) and </w:t>
      </w:r>
      <w:r w:rsidR="00605163">
        <w:t>p</w:t>
      </w:r>
      <w:r>
        <w:t xml:space="preserve">ortfolio </w:t>
      </w:r>
      <w:r w:rsidR="00605163">
        <w:t>r</w:t>
      </w:r>
      <w:r>
        <w:t>esponsibilities</w:t>
      </w:r>
      <w:bookmarkEnd w:id="12"/>
      <w:bookmarkEnd w:id="13"/>
    </w:p>
    <w:p w:rsidR="005B4779" w:rsidRPr="00343F70" w:rsidRDefault="005B4779" w:rsidP="005B4779">
      <w:pPr>
        <w:spacing w:before="100" w:beforeAutospacing="1" w:line="240" w:lineRule="auto"/>
      </w:pPr>
      <w:r w:rsidRPr="00343F70">
        <w:t>The Minister for Finance has overall responsibility for the Finance portfolio, and particular responsibility for the following:</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rPr>
          <w:rFonts w:eastAsia="Calibri"/>
          <w:lang w:val="en-US" w:eastAsia="en-US"/>
        </w:rPr>
        <w:t>Budget policy advice and process, and review of government programs.</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rPr>
          <w:rFonts w:eastAsia="Calibri"/>
          <w:lang w:val="en-US" w:eastAsia="en-US"/>
        </w:rPr>
        <w:t>Government financial accountability, governance and financial management frameworks, including grants and procurement policy and services.</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rPr>
          <w:rFonts w:eastAsia="Calibri"/>
          <w:lang w:val="en-US" w:eastAsia="en-US"/>
        </w:rPr>
        <w:t>Shareholder advice on Government Business Enterprises (GBEs) and commercial entities treated as GBEs.</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t>The Lands Acquisition Act review and reforms.</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rPr>
          <w:rFonts w:eastAsia="Calibri"/>
          <w:lang w:val="en-US" w:eastAsia="en-US"/>
        </w:rPr>
        <w:t>Policy for, and management of, act of grace requests and waiver of debts owed to the Commonwealth.</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rPr>
          <w:rFonts w:eastAsia="Calibri"/>
          <w:lang w:val="en-US" w:eastAsia="en-US"/>
        </w:rPr>
        <w:t xml:space="preserve">Policy for </w:t>
      </w:r>
      <w:proofErr w:type="spellStart"/>
      <w:r w:rsidRPr="00343F70">
        <w:rPr>
          <w:rFonts w:eastAsia="Calibri"/>
          <w:lang w:val="en-US" w:eastAsia="en-US"/>
        </w:rPr>
        <w:t>Comcover</w:t>
      </w:r>
      <w:proofErr w:type="spellEnd"/>
      <w:r w:rsidRPr="00343F70">
        <w:rPr>
          <w:rFonts w:eastAsia="Calibri"/>
          <w:color w:val="000000"/>
          <w:lang w:val="en-US" w:eastAsia="en-US"/>
        </w:rPr>
        <w:t xml:space="preserve">, the government’s self-managed insurance fund, </w:t>
      </w:r>
      <w:r w:rsidRPr="00343F70">
        <w:rPr>
          <w:rFonts w:eastAsia="Calibri"/>
          <w:lang w:val="en-US" w:eastAsia="en-US"/>
        </w:rPr>
        <w:t>and risk policy.</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rPr>
          <w:rFonts w:eastAsia="Calibri"/>
          <w:lang w:val="en-US" w:eastAsia="en-US"/>
        </w:rPr>
        <w:t>General policy guidelines for Commonwealth statutory authorities.</w:t>
      </w:r>
    </w:p>
    <w:p w:rsidR="005B4779" w:rsidRPr="00343F70"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Superannuation arrangements for Australian Government civilian employees and parliamentarians, and retirement benefits for Governors-General, Federal Judges and Federal Court Judges.</w:t>
      </w:r>
    </w:p>
    <w:p w:rsidR="005B4779" w:rsidRPr="00343F70" w:rsidRDefault="005B4779" w:rsidP="00F76FE4">
      <w:pPr>
        <w:numPr>
          <w:ilvl w:val="0"/>
          <w:numId w:val="9"/>
        </w:numPr>
        <w:spacing w:before="120" w:after="200" w:line="276" w:lineRule="auto"/>
        <w:ind w:left="426" w:hanging="284"/>
        <w:contextualSpacing/>
        <w:rPr>
          <w:rFonts w:eastAsia="Calibri"/>
          <w:lang w:val="en-US" w:eastAsia="en-US"/>
        </w:rPr>
      </w:pPr>
      <w:r w:rsidRPr="00343F70">
        <w:rPr>
          <w:rFonts w:eastAsia="Calibri"/>
          <w:lang w:val="en-US" w:eastAsia="en-US"/>
        </w:rPr>
        <w:t>Asset sales.</w:t>
      </w:r>
    </w:p>
    <w:p w:rsidR="005B4779" w:rsidRPr="00343F70"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 xml:space="preserve">Policy advice on the Future Fund and Australian Government Investment Funds, and </w:t>
      </w:r>
      <w:proofErr w:type="spellStart"/>
      <w:r w:rsidRPr="00343F70">
        <w:rPr>
          <w:rFonts w:eastAsia="Calibri"/>
          <w:color w:val="000000"/>
          <w:lang w:val="en-US" w:eastAsia="en-US"/>
        </w:rPr>
        <w:t>authorisation</w:t>
      </w:r>
      <w:proofErr w:type="spellEnd"/>
      <w:r w:rsidRPr="00343F70">
        <w:rPr>
          <w:rFonts w:eastAsia="Calibri"/>
          <w:color w:val="000000"/>
          <w:lang w:val="en-US" w:eastAsia="en-US"/>
        </w:rPr>
        <w:t xml:space="preserve"> of payments from Australian Government Investment Funds to entities.</w:t>
      </w:r>
    </w:p>
    <w:p w:rsidR="005B4779" w:rsidRPr="00343F70" w:rsidRDefault="005B4779" w:rsidP="005B4779">
      <w:pPr>
        <w:spacing w:before="100" w:beforeAutospacing="1" w:line="240" w:lineRule="auto"/>
      </w:pPr>
      <w:r w:rsidRPr="00343F70">
        <w:t>The Special Minister of State has particular responsibility for the following:</w:t>
      </w:r>
    </w:p>
    <w:p w:rsidR="005B4779"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i/>
          <w:color w:val="000000"/>
          <w:lang w:val="en-US" w:eastAsia="en-US"/>
        </w:rPr>
        <w:t>Parliamentary Business Resources Act 2017</w:t>
      </w:r>
      <w:r w:rsidRPr="00343F70">
        <w:rPr>
          <w:rFonts w:eastAsia="Calibri" w:hint="eastAsia"/>
          <w:color w:val="000000"/>
          <w:lang w:val="en-US" w:eastAsia="en-US"/>
        </w:rPr>
        <w:t> </w:t>
      </w:r>
      <w:r w:rsidRPr="00343F70">
        <w:rPr>
          <w:rFonts w:eastAsia="Calibri"/>
          <w:color w:val="000000"/>
          <w:lang w:val="en-US" w:eastAsia="en-US"/>
        </w:rPr>
        <w:t>expenses framework.</w:t>
      </w:r>
    </w:p>
    <w:p w:rsidR="005B4779" w:rsidRPr="001479E6" w:rsidRDefault="005B4779" w:rsidP="001479E6">
      <w:pPr>
        <w:numPr>
          <w:ilvl w:val="0"/>
          <w:numId w:val="9"/>
        </w:numPr>
        <w:spacing w:before="120" w:after="200" w:line="276" w:lineRule="auto"/>
        <w:ind w:left="426" w:hanging="284"/>
        <w:contextualSpacing/>
        <w:rPr>
          <w:rFonts w:eastAsia="Calibri"/>
          <w:color w:val="000000"/>
          <w:lang w:val="en-US" w:eastAsia="en-US"/>
        </w:rPr>
      </w:pPr>
      <w:r w:rsidRPr="001479E6">
        <w:rPr>
          <w:rFonts w:eastAsia="Calibri"/>
          <w:i/>
          <w:color w:val="000000"/>
          <w:lang w:val="en-US" w:eastAsia="en-US"/>
        </w:rPr>
        <w:t>Members of Parliament (Staff) Act 1984</w:t>
      </w:r>
      <w:r w:rsidRPr="001479E6">
        <w:rPr>
          <w:rFonts w:eastAsia="Calibri" w:hint="eastAsia"/>
          <w:color w:val="000000"/>
          <w:lang w:val="en-US" w:eastAsia="en-US"/>
        </w:rPr>
        <w:t> </w:t>
      </w:r>
      <w:r w:rsidRPr="001479E6">
        <w:rPr>
          <w:rFonts w:eastAsia="Calibri"/>
          <w:color w:val="000000"/>
          <w:lang w:val="en-US" w:eastAsia="en-US"/>
        </w:rPr>
        <w:t>employment framework (shared with the Prime Minister).</w:t>
      </w:r>
    </w:p>
    <w:p w:rsidR="005B4779" w:rsidRPr="00343F70"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 xml:space="preserve">Electoral policy. </w:t>
      </w:r>
    </w:p>
    <w:p w:rsidR="005B4779" w:rsidRPr="00343F70"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Electoral matters (supported by the Australian Electoral Commission (AEC)).</w:t>
      </w:r>
    </w:p>
    <w:p w:rsidR="005B4779" w:rsidRPr="00343F70"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Government campaign advertising.</w:t>
      </w:r>
    </w:p>
    <w:p w:rsidR="005B4779" w:rsidRPr="00343F70"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Whole-of-Australian-Government (</w:t>
      </w:r>
      <w:proofErr w:type="spellStart"/>
      <w:r w:rsidRPr="00343F70">
        <w:rPr>
          <w:rFonts w:eastAsia="Calibri"/>
          <w:color w:val="000000"/>
          <w:lang w:val="en-US" w:eastAsia="en-US"/>
        </w:rPr>
        <w:t>WoAG</w:t>
      </w:r>
      <w:proofErr w:type="spellEnd"/>
      <w:r w:rsidRPr="00343F70">
        <w:rPr>
          <w:rFonts w:eastAsia="Calibri"/>
          <w:color w:val="000000"/>
          <w:lang w:val="en-US" w:eastAsia="en-US"/>
        </w:rPr>
        <w:t>) property policy and administration, including non-</w:t>
      </w:r>
      <w:proofErr w:type="spellStart"/>
      <w:r w:rsidRPr="00343F70">
        <w:rPr>
          <w:rFonts w:eastAsia="Calibri"/>
          <w:color w:val="000000"/>
          <w:lang w:val="en-US" w:eastAsia="en-US"/>
        </w:rPr>
        <w:t>Defence</w:t>
      </w:r>
      <w:proofErr w:type="spellEnd"/>
      <w:r w:rsidRPr="00343F70">
        <w:rPr>
          <w:rFonts w:eastAsia="Calibri"/>
          <w:color w:val="000000"/>
          <w:lang w:val="en-US" w:eastAsia="en-US"/>
        </w:rPr>
        <w:t xml:space="preserve"> owned property (but excluding Lands Acquisition Act reform).</w:t>
      </w:r>
    </w:p>
    <w:p w:rsidR="005B4779" w:rsidRPr="00343F70" w:rsidRDefault="005B4779" w:rsidP="00F76FE4">
      <w:pPr>
        <w:numPr>
          <w:ilvl w:val="0"/>
          <w:numId w:val="9"/>
        </w:numPr>
        <w:spacing w:before="120" w:after="200" w:line="276" w:lineRule="auto"/>
        <w:ind w:left="426" w:hanging="284"/>
        <w:contextualSpacing/>
        <w:rPr>
          <w:rFonts w:eastAsia="Calibri"/>
          <w:color w:val="000000"/>
          <w:lang w:val="en-US" w:eastAsia="en-US"/>
        </w:rPr>
      </w:pPr>
      <w:r w:rsidRPr="00343F70">
        <w:rPr>
          <w:rFonts w:eastAsia="Calibri"/>
          <w:color w:val="000000"/>
          <w:lang w:val="en-US" w:eastAsia="en-US"/>
        </w:rPr>
        <w:t xml:space="preserve">Administration and operational matters for </w:t>
      </w:r>
      <w:proofErr w:type="spellStart"/>
      <w:r w:rsidRPr="00343F70">
        <w:rPr>
          <w:rFonts w:eastAsia="Calibri"/>
          <w:color w:val="000000"/>
          <w:lang w:val="en-US" w:eastAsia="en-US"/>
        </w:rPr>
        <w:t>Comcover</w:t>
      </w:r>
      <w:proofErr w:type="spellEnd"/>
      <w:r w:rsidRPr="00343F70">
        <w:rPr>
          <w:rFonts w:eastAsia="Calibri"/>
          <w:color w:val="000000"/>
          <w:lang w:val="en-US" w:eastAsia="en-US"/>
        </w:rPr>
        <w:t>, the government’s self</w:t>
      </w:r>
      <w:r>
        <w:rPr>
          <w:rFonts w:eastAsia="Calibri"/>
          <w:color w:val="000000"/>
          <w:lang w:val="en-US" w:eastAsia="en-US"/>
        </w:rPr>
        <w:t>-</w:t>
      </w:r>
      <w:r w:rsidRPr="00343F70">
        <w:rPr>
          <w:rFonts w:eastAsia="Calibri"/>
          <w:color w:val="000000"/>
          <w:lang w:val="en-US" w:eastAsia="en-US"/>
        </w:rPr>
        <w:t>managed insurance fund.</w:t>
      </w:r>
    </w:p>
    <w:p w:rsidR="00FE3DE9" w:rsidRPr="00FE3DE9" w:rsidRDefault="00932AFC" w:rsidP="00FE3DE9">
      <w:r>
        <w:t>For information on resourc</w:t>
      </w:r>
      <w:r w:rsidRPr="00932AFC">
        <w:t xml:space="preserve">ing across the portfolio, please refer to Part 1: Agency Financial Resourcing in </w:t>
      </w:r>
      <w:r w:rsidRPr="00932AFC">
        <w:rPr>
          <w:i/>
        </w:rPr>
        <w:t>Budget Paper No. 4: Agency Resourcing</w:t>
      </w:r>
      <w:r w:rsidRPr="00932AFC">
        <w:t>.</w:t>
      </w:r>
    </w:p>
    <w:p w:rsidR="00D46A7B" w:rsidRPr="005A7C0B" w:rsidRDefault="00A1133E" w:rsidP="00FE3DE9">
      <w:pPr>
        <w:pStyle w:val="FigureHeading"/>
      </w:pPr>
      <w:r w:rsidRPr="00FE3DE9">
        <w:br w:type="page"/>
      </w:r>
      <w:r>
        <w:lastRenderedPageBreak/>
        <w:t xml:space="preserve">Figure 1: </w:t>
      </w:r>
      <w:r w:rsidR="00ED4BF2">
        <w:t xml:space="preserve">Finance </w:t>
      </w:r>
      <w:r w:rsidR="00CA2F21">
        <w:t>p</w:t>
      </w:r>
      <w:r>
        <w:t xml:space="preserve">ortfolio </w:t>
      </w:r>
      <w:r w:rsidR="00605163">
        <w:t>structure and outcomes</w:t>
      </w:r>
    </w:p>
    <w:tbl>
      <w:tblPr>
        <w:tblW w:w="8222" w:type="dxa"/>
        <w:tblInd w:w="-289" w:type="dxa"/>
        <w:tblLook w:val="04A0" w:firstRow="1" w:lastRow="0" w:firstColumn="1" w:lastColumn="0" w:noHBand="0" w:noVBand="1"/>
      </w:tblPr>
      <w:tblGrid>
        <w:gridCol w:w="4143"/>
        <w:gridCol w:w="4079"/>
      </w:tblGrid>
      <w:tr w:rsidR="00696B38" w:rsidRPr="00C83AED"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DDDDDD"/>
          </w:tcPr>
          <w:p w:rsidR="00696B38" w:rsidRPr="00C24520" w:rsidRDefault="00696B38" w:rsidP="0028585E">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Minister for Finance</w:t>
            </w:r>
          </w:p>
          <w:p w:rsidR="00696B38" w:rsidRPr="00C24520" w:rsidRDefault="00696B38" w:rsidP="0028585E">
            <w:pPr>
              <w:spacing w:before="30" w:after="30" w:line="240" w:lineRule="auto"/>
              <w:jc w:val="center"/>
              <w:rPr>
                <w:rFonts w:ascii="Arial" w:eastAsia="+mn-ea" w:hAnsi="Arial" w:cs="Arial"/>
                <w:color w:val="000000"/>
                <w:sz w:val="16"/>
                <w:szCs w:val="16"/>
              </w:rPr>
            </w:pPr>
            <w:r w:rsidRPr="00C24520">
              <w:rPr>
                <w:rFonts w:ascii="Arial" w:eastAsia="+mn-ea" w:hAnsi="Arial" w:cs="Arial"/>
                <w:color w:val="000000"/>
                <w:sz w:val="16"/>
                <w:szCs w:val="16"/>
              </w:rPr>
              <w:t>Senator the Hon Simon Birmingham</w:t>
            </w:r>
          </w:p>
        </w:tc>
      </w:tr>
      <w:tr w:rsidR="00696B38" w:rsidRPr="00C24520" w:rsidTr="0028585E">
        <w:tc>
          <w:tcPr>
            <w:tcW w:w="4143" w:type="dxa"/>
            <w:tcBorders>
              <w:top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rPr>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24520" w:rsidRDefault="00696B38" w:rsidP="0028585E">
            <w:pPr>
              <w:spacing w:after="0" w:line="240" w:lineRule="auto"/>
              <w:rPr>
                <w:sz w:val="12"/>
                <w:szCs w:val="12"/>
              </w:rPr>
            </w:pPr>
          </w:p>
        </w:tc>
      </w:tr>
      <w:tr w:rsidR="00696B38" w:rsidRPr="00C83AED"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DDDDDD"/>
          </w:tcPr>
          <w:p w:rsidR="00696B38" w:rsidRPr="00C24520" w:rsidRDefault="00696B38" w:rsidP="0028585E">
            <w:pPr>
              <w:spacing w:before="30" w:after="3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Special Minister of State</w:t>
            </w:r>
            <w:r w:rsidRPr="00C24520" w:rsidDel="00C34870">
              <w:rPr>
                <w:rFonts w:ascii="Arial" w:eastAsia="+mn-ea" w:hAnsi="Arial" w:cs="Arial"/>
                <w:b/>
                <w:color w:val="000000"/>
                <w:sz w:val="16"/>
                <w:szCs w:val="16"/>
              </w:rPr>
              <w:t xml:space="preserve"> </w:t>
            </w:r>
            <w:r w:rsidRPr="00C24520">
              <w:rPr>
                <w:rFonts w:ascii="Arial" w:eastAsia="+mn-ea" w:hAnsi="Arial" w:cs="Arial"/>
                <w:b/>
                <w:color w:val="000000"/>
                <w:sz w:val="16"/>
                <w:szCs w:val="16"/>
              </w:rPr>
              <w:br/>
            </w:r>
            <w:r w:rsidRPr="00C24520">
              <w:rPr>
                <w:rFonts w:ascii="Arial" w:eastAsia="+mn-ea" w:hAnsi="Arial" w:cs="Arial"/>
                <w:color w:val="000000"/>
                <w:sz w:val="16"/>
                <w:szCs w:val="16"/>
              </w:rPr>
              <w:t>The Hon Ben Morton MP</w:t>
            </w:r>
          </w:p>
        </w:tc>
      </w:tr>
      <w:tr w:rsidR="00696B38" w:rsidRPr="00C83AED" w:rsidTr="0028585E">
        <w:trPr>
          <w:trHeight w:val="63"/>
        </w:trPr>
        <w:tc>
          <w:tcPr>
            <w:tcW w:w="4143" w:type="dxa"/>
            <w:tcBorders>
              <w:top w:val="single" w:sz="4" w:space="0" w:color="auto"/>
              <w:bottom w:val="single" w:sz="4" w:space="0" w:color="auto"/>
              <w:right w:val="single" w:sz="4" w:space="0" w:color="auto"/>
            </w:tcBorders>
            <w:shd w:val="clear" w:color="auto" w:fill="auto"/>
          </w:tcPr>
          <w:p w:rsidR="00696B38" w:rsidRPr="00C83AED" w:rsidRDefault="00696B38" w:rsidP="0028585E">
            <w:pPr>
              <w:spacing w:after="0" w:line="240" w:lineRule="auto"/>
              <w:rPr>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83AED" w:rsidRDefault="00696B38" w:rsidP="0028585E">
            <w:pPr>
              <w:spacing w:after="0" w:line="240" w:lineRule="auto"/>
              <w:rPr>
                <w:sz w:val="12"/>
                <w:szCs w:val="12"/>
              </w:rPr>
            </w:pPr>
          </w:p>
        </w:tc>
      </w:tr>
      <w:tr w:rsidR="00696B38" w:rsidRPr="00C24520" w:rsidTr="0028585E">
        <w:trPr>
          <w:trHeight w:val="784"/>
        </w:trPr>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jc w:val="center"/>
              <w:rPr>
                <w:rFonts w:ascii="Arial" w:eastAsia="+mn-ea" w:hAnsi="Arial" w:cs="Arial"/>
                <w:b/>
                <w:color w:val="000000"/>
                <w:sz w:val="16"/>
                <w:szCs w:val="16"/>
              </w:rPr>
            </w:pPr>
            <w:r w:rsidRPr="00C24520">
              <w:rPr>
                <w:rFonts w:ascii="Arial" w:eastAsia="+mn-ea" w:hAnsi="Arial" w:cs="Arial"/>
                <w:b/>
                <w:color w:val="000000"/>
                <w:sz w:val="16"/>
                <w:szCs w:val="16"/>
              </w:rPr>
              <w:t>Department of Finance</w:t>
            </w:r>
          </w:p>
          <w:p w:rsidR="00696B38" w:rsidRPr="00C24520" w:rsidRDefault="00696B38" w:rsidP="0028585E">
            <w:pPr>
              <w:spacing w:after="60" w:line="240" w:lineRule="auto"/>
              <w:jc w:val="center"/>
              <w:rPr>
                <w:rFonts w:ascii="Arial" w:hAnsi="Arial" w:cs="Arial"/>
                <w:sz w:val="16"/>
                <w:szCs w:val="16"/>
              </w:rPr>
            </w:pPr>
            <w:r w:rsidRPr="00C24520">
              <w:rPr>
                <w:rFonts w:ascii="Arial" w:hAnsi="Arial" w:cs="Arial"/>
                <w:sz w:val="16"/>
                <w:szCs w:val="16"/>
              </w:rPr>
              <w:t>Portfolio Secretary: Rosemary Huxtable PSM</w:t>
            </w:r>
          </w:p>
          <w:p w:rsidR="00696B38" w:rsidRDefault="00696B38" w:rsidP="0028585E">
            <w:pPr>
              <w:spacing w:after="60" w:line="240" w:lineRule="auto"/>
              <w:ind w:right="-113"/>
              <w:rPr>
                <w:rFonts w:ascii="Arial" w:hAnsi="Arial" w:cs="Arial"/>
                <w:sz w:val="16"/>
                <w:szCs w:val="16"/>
              </w:rPr>
            </w:pPr>
            <w:r w:rsidRPr="00C24520">
              <w:rPr>
                <w:rFonts w:ascii="Arial" w:hAnsi="Arial" w:cs="Arial"/>
                <w:sz w:val="16"/>
                <w:szCs w:val="16"/>
              </w:rPr>
              <w:t>Outcome 1: Support sustainable Australian Government finances through providing high quality policy advice and operational support to the government and Commonwealth entities</w:t>
            </w:r>
            <w:r w:rsidRPr="00C24520">
              <w:rPr>
                <w:rFonts w:ascii="Arial" w:hAnsi="Arial" w:cs="Arial"/>
                <w:i/>
                <w:sz w:val="16"/>
                <w:szCs w:val="16"/>
              </w:rPr>
              <w:t xml:space="preserve"> </w:t>
            </w:r>
            <w:r w:rsidRPr="00C24520">
              <w:rPr>
                <w:rFonts w:ascii="Arial" w:hAnsi="Arial" w:cs="Arial"/>
                <w:sz w:val="16"/>
                <w:szCs w:val="16"/>
              </w:rPr>
              <w:t>to</w:t>
            </w:r>
            <w:r w:rsidRPr="00C24520">
              <w:rPr>
                <w:rFonts w:ascii="Arial" w:hAnsi="Arial" w:cs="Arial"/>
                <w:i/>
                <w:sz w:val="16"/>
                <w:szCs w:val="16"/>
              </w:rPr>
              <w:t xml:space="preserve"> </w:t>
            </w:r>
            <w:r w:rsidRPr="00C24520">
              <w:rPr>
                <w:rFonts w:ascii="Arial" w:hAnsi="Arial" w:cs="Arial"/>
                <w:sz w:val="16"/>
                <w:szCs w:val="16"/>
              </w:rPr>
              <w:t>maintain effective and efficient use of public resources.</w:t>
            </w:r>
          </w:p>
          <w:p w:rsidR="00696B38" w:rsidRPr="00C24520" w:rsidRDefault="00696B38" w:rsidP="0028585E">
            <w:pPr>
              <w:spacing w:after="60" w:line="240" w:lineRule="auto"/>
              <w:ind w:right="-113"/>
              <w:rPr>
                <w:rFonts w:ascii="Arial" w:hAnsi="Arial" w:cs="Arial"/>
                <w:sz w:val="16"/>
                <w:szCs w:val="16"/>
              </w:rPr>
            </w:pPr>
            <w:r w:rsidRPr="00C24520">
              <w:rPr>
                <w:rFonts w:ascii="Arial" w:hAnsi="Arial" w:cs="Arial"/>
                <w:sz w:val="16"/>
                <w:szCs w:val="16"/>
              </w:rPr>
              <w:t>Outcome 2: Support an efficient and high-performing public sector through providing leadership to                Commonwealth</w:t>
            </w:r>
            <w:r w:rsidRPr="00C24520">
              <w:rPr>
                <w:rFonts w:ascii="Arial" w:hAnsi="Arial" w:cs="Arial"/>
              </w:rPr>
              <w:t xml:space="preserve"> </w:t>
            </w:r>
            <w:r w:rsidRPr="00C24520">
              <w:rPr>
                <w:rFonts w:ascii="Arial" w:hAnsi="Arial" w:cs="Arial"/>
                <w:sz w:val="16"/>
                <w:szCs w:val="16"/>
              </w:rPr>
              <w:t>entities in ongoing improvements to public sector governance, including through systems, frameworks, policy, advice, and service delivery.</w:t>
            </w:r>
          </w:p>
          <w:p w:rsidR="00696B38" w:rsidRPr="00C24520" w:rsidRDefault="00696B38" w:rsidP="0028585E">
            <w:pPr>
              <w:spacing w:after="0" w:line="240" w:lineRule="auto"/>
              <w:rPr>
                <w:rFonts w:ascii="Arial" w:eastAsia="+mn-ea" w:hAnsi="Arial" w:cs="Arial"/>
                <w:color w:val="000000"/>
                <w:sz w:val="24"/>
                <w:szCs w:val="24"/>
              </w:rPr>
            </w:pPr>
            <w:r w:rsidRPr="00C24520">
              <w:rPr>
                <w:rFonts w:ascii="Arial" w:hAnsi="Arial" w:cs="Arial"/>
                <w:sz w:val="16"/>
                <w:szCs w:val="16"/>
              </w:rPr>
              <w:t>Outcome 3: Support for parliamentarians and others</w:t>
            </w:r>
            <w:r w:rsidRPr="00C24520">
              <w:rPr>
                <w:rFonts w:ascii="Arial" w:hAnsi="Arial" w:cs="Arial"/>
              </w:rPr>
              <w:t xml:space="preserve"> </w:t>
            </w:r>
            <w:r w:rsidRPr="00C24520">
              <w:rPr>
                <w:rFonts w:ascii="Arial" w:hAnsi="Arial" w:cs="Arial"/>
                <w:sz w:val="16"/>
                <w:szCs w:val="16"/>
              </w:rPr>
              <w:t>as required by the Australian Government through the delivery of, and advice on, work</w:t>
            </w:r>
            <w:r w:rsidRPr="00C24520">
              <w:rPr>
                <w:rFonts w:ascii="Arial" w:hAnsi="Arial" w:cs="Arial"/>
              </w:rPr>
              <w:t xml:space="preserve"> </w:t>
            </w:r>
            <w:r w:rsidRPr="00C24520">
              <w:rPr>
                <w:rFonts w:ascii="Arial" w:hAnsi="Arial" w:cs="Arial"/>
                <w:sz w:val="16"/>
                <w:szCs w:val="16"/>
              </w:rPr>
              <w:t>expenses and allowances, entitlements and targeted programs.</w:t>
            </w:r>
          </w:p>
        </w:tc>
      </w:tr>
      <w:tr w:rsidR="00696B38" w:rsidRPr="00C24520" w:rsidTr="0028585E">
        <w:tc>
          <w:tcPr>
            <w:tcW w:w="4143" w:type="dxa"/>
            <w:tcBorders>
              <w:top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r>
      <w:tr w:rsidR="00696B38" w:rsidRPr="00C24520"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jc w:val="center"/>
              <w:rPr>
                <w:rFonts w:ascii="Arial" w:hAnsi="Arial" w:cs="Arial"/>
                <w:b/>
                <w:sz w:val="16"/>
                <w:szCs w:val="16"/>
              </w:rPr>
            </w:pPr>
            <w:r w:rsidRPr="00C24520">
              <w:rPr>
                <w:rFonts w:ascii="Arial" w:hAnsi="Arial" w:cs="Arial"/>
                <w:b/>
                <w:sz w:val="16"/>
                <w:szCs w:val="16"/>
              </w:rPr>
              <w:t>Australian Electoral Commission</w:t>
            </w:r>
          </w:p>
          <w:p w:rsidR="00696B38" w:rsidRPr="00C24520" w:rsidRDefault="00696B38" w:rsidP="0028585E">
            <w:pPr>
              <w:spacing w:after="60" w:line="240" w:lineRule="auto"/>
              <w:jc w:val="center"/>
              <w:rPr>
                <w:rFonts w:ascii="Arial" w:hAnsi="Arial" w:cs="Arial"/>
                <w:b/>
                <w:sz w:val="16"/>
                <w:szCs w:val="16"/>
              </w:rPr>
            </w:pPr>
            <w:r w:rsidRPr="00C24520">
              <w:rPr>
                <w:rFonts w:ascii="Arial" w:hAnsi="Arial" w:cs="Arial"/>
                <w:sz w:val="16"/>
                <w:szCs w:val="16"/>
              </w:rPr>
              <w:t>Electoral Commissioner: Tom Rogers</w:t>
            </w:r>
          </w:p>
          <w:p w:rsidR="00696B38" w:rsidRPr="00C24520" w:rsidRDefault="00696B38" w:rsidP="0028585E">
            <w:pPr>
              <w:tabs>
                <w:tab w:val="left" w:pos="0"/>
              </w:tabs>
              <w:spacing w:after="0" w:line="240" w:lineRule="auto"/>
              <w:ind w:right="-113"/>
              <w:rPr>
                <w:rFonts w:ascii="Arial" w:eastAsia="+mn-ea" w:hAnsi="Arial" w:cs="Arial"/>
                <w:color w:val="000000"/>
                <w:sz w:val="24"/>
                <w:szCs w:val="24"/>
              </w:rPr>
            </w:pPr>
            <w:r w:rsidRPr="00C24520">
              <w:rPr>
                <w:rFonts w:ascii="Arial" w:hAnsi="Arial" w:cs="Arial"/>
                <w:sz w:val="16"/>
                <w:szCs w:val="16"/>
              </w:rPr>
              <w:t>Outcome 1: Maintain an impartial and independent electoral system for eligible voters through active electoral roll management, efficient delivery of polling services, and targeted education and public awareness programs.</w:t>
            </w:r>
          </w:p>
        </w:tc>
      </w:tr>
      <w:tr w:rsidR="00696B38" w:rsidRPr="00C24520" w:rsidTr="0028585E">
        <w:tc>
          <w:tcPr>
            <w:tcW w:w="4143" w:type="dxa"/>
            <w:tcBorders>
              <w:top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r>
      <w:tr w:rsidR="00696B38" w:rsidRPr="00C83AED"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jc w:val="center"/>
              <w:rPr>
                <w:rFonts w:ascii="Arial" w:hAnsi="Arial" w:cs="Arial"/>
                <w:b/>
                <w:sz w:val="16"/>
                <w:szCs w:val="16"/>
              </w:rPr>
            </w:pPr>
            <w:r w:rsidRPr="00C24520">
              <w:rPr>
                <w:rFonts w:ascii="Arial" w:hAnsi="Arial" w:cs="Arial"/>
                <w:b/>
                <w:sz w:val="16"/>
                <w:szCs w:val="16"/>
              </w:rPr>
              <w:t>Commonwealth Superannuation Corporation</w:t>
            </w:r>
          </w:p>
          <w:p w:rsidR="00696B38" w:rsidRPr="00C24520" w:rsidRDefault="00696B38" w:rsidP="0028585E">
            <w:pPr>
              <w:spacing w:after="60" w:line="240" w:lineRule="auto"/>
              <w:jc w:val="center"/>
              <w:rPr>
                <w:rFonts w:ascii="Arial" w:hAnsi="Arial" w:cs="Arial"/>
                <w:sz w:val="16"/>
                <w:szCs w:val="16"/>
              </w:rPr>
            </w:pPr>
            <w:r w:rsidRPr="00C24520">
              <w:rPr>
                <w:rFonts w:ascii="Arial" w:hAnsi="Arial" w:cs="Arial"/>
                <w:sz w:val="16"/>
                <w:szCs w:val="16"/>
              </w:rPr>
              <w:t xml:space="preserve">Chair: Garry </w:t>
            </w:r>
            <w:proofErr w:type="spellStart"/>
            <w:r w:rsidRPr="00C24520">
              <w:rPr>
                <w:rFonts w:ascii="Arial" w:hAnsi="Arial" w:cs="Arial"/>
                <w:sz w:val="16"/>
                <w:szCs w:val="16"/>
              </w:rPr>
              <w:t>Hounsell</w:t>
            </w:r>
            <w:proofErr w:type="spellEnd"/>
          </w:p>
          <w:p w:rsidR="00696B38" w:rsidRPr="00C24520" w:rsidRDefault="00696B38" w:rsidP="0028585E">
            <w:pPr>
              <w:tabs>
                <w:tab w:val="left" w:pos="0"/>
              </w:tabs>
              <w:spacing w:after="0" w:line="240" w:lineRule="auto"/>
              <w:ind w:right="-113"/>
              <w:rPr>
                <w:rFonts w:ascii="Arial" w:eastAsia="+mn-ea" w:hAnsi="Arial" w:cs="Arial"/>
                <w:color w:val="000000"/>
                <w:sz w:val="24"/>
                <w:szCs w:val="24"/>
              </w:rPr>
            </w:pPr>
            <w:r w:rsidRPr="00C24520">
              <w:rPr>
                <w:rFonts w:ascii="Arial" w:hAnsi="Arial" w:cs="Arial"/>
                <w:sz w:val="16"/>
                <w:szCs w:val="16"/>
              </w:rPr>
              <w:t>Outcome 1: Retirement and</w:t>
            </w:r>
            <w:r w:rsidRPr="00C24520">
              <w:rPr>
                <w:rFonts w:ascii="Arial" w:hAnsi="Arial" w:cs="Arial"/>
              </w:rPr>
              <w:t xml:space="preserve"> </w:t>
            </w:r>
            <w:r w:rsidRPr="00C24520">
              <w:rPr>
                <w:rFonts w:ascii="Arial" w:hAnsi="Arial" w:cs="Arial"/>
                <w:sz w:val="16"/>
                <w:szCs w:val="16"/>
              </w:rPr>
              <w:t>insurance benefits for scheme members and</w:t>
            </w:r>
            <w:r w:rsidRPr="00C24520">
              <w:rPr>
                <w:rFonts w:ascii="Arial" w:hAnsi="Arial" w:cs="Arial"/>
                <w:color w:val="000000"/>
                <w:sz w:val="16"/>
                <w:szCs w:val="16"/>
              </w:rPr>
              <w:t xml:space="preserve"> beneficiaries, including past, present and future employees of the Australian Government and other eligible employers and members of the Australian Defence Force, through investment and administration of their superannuation funds and schemes.</w:t>
            </w:r>
          </w:p>
        </w:tc>
      </w:tr>
      <w:tr w:rsidR="00696B38" w:rsidRPr="00C24520" w:rsidTr="0028585E">
        <w:tc>
          <w:tcPr>
            <w:tcW w:w="4143" w:type="dxa"/>
            <w:tcBorders>
              <w:top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r>
      <w:tr w:rsidR="00696B38" w:rsidRPr="00C24520"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jc w:val="center"/>
              <w:rPr>
                <w:rFonts w:ascii="Arial" w:hAnsi="Arial" w:cs="Arial"/>
                <w:b/>
                <w:sz w:val="16"/>
                <w:szCs w:val="16"/>
              </w:rPr>
            </w:pPr>
            <w:r w:rsidRPr="00C24520">
              <w:rPr>
                <w:rFonts w:ascii="Arial" w:hAnsi="Arial" w:cs="Arial"/>
                <w:b/>
                <w:sz w:val="16"/>
                <w:szCs w:val="16"/>
              </w:rPr>
              <w:t>Future Fund Management Agency</w:t>
            </w:r>
          </w:p>
          <w:p w:rsidR="00696B38" w:rsidRPr="00C24520" w:rsidRDefault="00696B38" w:rsidP="0028585E">
            <w:pPr>
              <w:spacing w:after="60" w:line="240" w:lineRule="auto"/>
              <w:jc w:val="center"/>
              <w:rPr>
                <w:rFonts w:ascii="Arial" w:hAnsi="Arial" w:cs="Arial"/>
                <w:sz w:val="16"/>
                <w:szCs w:val="16"/>
              </w:rPr>
            </w:pPr>
            <w:r w:rsidRPr="00C24520">
              <w:rPr>
                <w:rFonts w:ascii="Arial" w:hAnsi="Arial" w:cs="Arial"/>
                <w:sz w:val="16"/>
                <w:szCs w:val="16"/>
              </w:rPr>
              <w:t>Chair: Hon Peter Costello AC</w:t>
            </w:r>
          </w:p>
          <w:p w:rsidR="00696B38" w:rsidRPr="00C24520" w:rsidRDefault="00696B38" w:rsidP="0028585E">
            <w:pPr>
              <w:tabs>
                <w:tab w:val="left" w:pos="0"/>
              </w:tabs>
              <w:spacing w:after="0" w:line="240" w:lineRule="auto"/>
              <w:ind w:right="-113"/>
              <w:rPr>
                <w:rFonts w:ascii="Arial" w:eastAsia="+mn-ea" w:hAnsi="Arial" w:cs="Arial"/>
                <w:color w:val="000000"/>
                <w:sz w:val="24"/>
                <w:szCs w:val="24"/>
              </w:rPr>
            </w:pPr>
            <w:r w:rsidRPr="00C24520">
              <w:rPr>
                <w:rFonts w:ascii="Arial" w:hAnsi="Arial" w:cs="Arial"/>
                <w:sz w:val="16"/>
                <w:szCs w:val="16"/>
              </w:rPr>
              <w:t>Outcome 1: Strengthen the Commonwealth’s financial position for the benefit of the Australian people, by managing the investment activities of the Future Fund and certain other Australian Government Investment Funds in line with their Investment Mandates</w:t>
            </w:r>
            <w:r w:rsidRPr="00C24520">
              <w:rPr>
                <w:rFonts w:ascii="Arial" w:hAnsi="Arial" w:cs="Arial"/>
                <w:b/>
                <w:sz w:val="16"/>
                <w:szCs w:val="16"/>
              </w:rPr>
              <w:t>.</w:t>
            </w:r>
          </w:p>
        </w:tc>
      </w:tr>
      <w:tr w:rsidR="00696B38" w:rsidRPr="00C24520" w:rsidTr="0028585E">
        <w:tc>
          <w:tcPr>
            <w:tcW w:w="4143" w:type="dxa"/>
            <w:tcBorders>
              <w:top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r>
      <w:tr w:rsidR="00696B38" w:rsidRPr="00C24520"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rsidR="00696B38" w:rsidRPr="00C24520" w:rsidRDefault="00696B38" w:rsidP="0028585E">
            <w:pPr>
              <w:pStyle w:val="NormalWeb"/>
              <w:spacing w:before="0" w:beforeAutospacing="0" w:after="0" w:afterAutospacing="0"/>
              <w:jc w:val="center"/>
              <w:rPr>
                <w:rFonts w:ascii="Arial" w:hAnsi="Arial" w:cs="Arial"/>
                <w:b/>
                <w:bCs/>
                <w:sz w:val="16"/>
                <w:szCs w:val="16"/>
              </w:rPr>
            </w:pPr>
            <w:r w:rsidRPr="00C24520">
              <w:rPr>
                <w:rFonts w:ascii="Arial" w:hAnsi="Arial" w:cs="Arial"/>
                <w:b/>
                <w:bCs/>
                <w:sz w:val="16"/>
                <w:szCs w:val="16"/>
              </w:rPr>
              <w:t>Independent Parliamentary Expenses Authority</w:t>
            </w:r>
          </w:p>
          <w:p w:rsidR="00696B38" w:rsidRPr="00C24520" w:rsidRDefault="00696B38" w:rsidP="0028585E">
            <w:pPr>
              <w:pStyle w:val="NormalWeb"/>
              <w:spacing w:before="0" w:beforeAutospacing="0" w:after="0" w:afterAutospacing="0"/>
              <w:jc w:val="center"/>
              <w:rPr>
                <w:rFonts w:ascii="Arial" w:hAnsi="Arial" w:cs="Arial"/>
                <w:sz w:val="16"/>
                <w:szCs w:val="16"/>
              </w:rPr>
            </w:pPr>
            <w:r w:rsidRPr="00C24520">
              <w:rPr>
                <w:rFonts w:ascii="Arial" w:hAnsi="Arial" w:cs="Arial"/>
                <w:sz w:val="16"/>
                <w:szCs w:val="16"/>
              </w:rPr>
              <w:t xml:space="preserve">CEO: </w:t>
            </w:r>
            <w:proofErr w:type="spellStart"/>
            <w:r w:rsidRPr="00C24520">
              <w:rPr>
                <w:rFonts w:ascii="Arial" w:hAnsi="Arial" w:cs="Arial"/>
                <w:sz w:val="16"/>
                <w:szCs w:val="16"/>
              </w:rPr>
              <w:t>Annwyn</w:t>
            </w:r>
            <w:proofErr w:type="spellEnd"/>
            <w:r w:rsidRPr="00C24520">
              <w:rPr>
                <w:rFonts w:ascii="Arial" w:hAnsi="Arial" w:cs="Arial"/>
                <w:sz w:val="16"/>
                <w:szCs w:val="16"/>
              </w:rPr>
              <w:t xml:space="preserve"> Godwin</w:t>
            </w:r>
          </w:p>
          <w:p w:rsidR="00696B38" w:rsidRPr="00C24520" w:rsidRDefault="00696B38" w:rsidP="0028585E">
            <w:pPr>
              <w:pStyle w:val="NormalWeb"/>
              <w:tabs>
                <w:tab w:val="left" w:pos="0"/>
              </w:tabs>
              <w:spacing w:before="0" w:beforeAutospacing="0" w:after="0" w:afterAutospacing="0"/>
              <w:ind w:right="-113"/>
              <w:rPr>
                <w:rFonts w:ascii="Arial" w:eastAsia="+mn-ea" w:hAnsi="Arial" w:cs="Arial"/>
                <w:color w:val="000000"/>
              </w:rPr>
            </w:pPr>
            <w:r w:rsidRPr="00C24520">
              <w:rPr>
                <w:rFonts w:ascii="Arial" w:hAnsi="Arial" w:cs="Arial"/>
                <w:bCs/>
                <w:sz w:val="16"/>
                <w:szCs w:val="16"/>
              </w:rPr>
              <w:t xml:space="preserve">Outcome 1: </w:t>
            </w:r>
            <w:r w:rsidRPr="00C24520">
              <w:rPr>
                <w:rFonts w:ascii="Arial" w:hAnsi="Arial" w:cs="Arial"/>
                <w:color w:val="000000"/>
                <w:sz w:val="16"/>
                <w:szCs w:val="16"/>
              </w:rPr>
              <w:t>Support for current and former parliamentarians and others as required by the Australian Government through the delivery of, independent oversight and advice on, work resources and travel resources.</w:t>
            </w:r>
          </w:p>
        </w:tc>
      </w:tr>
      <w:tr w:rsidR="00696B38" w:rsidRPr="00C24520" w:rsidTr="0028585E">
        <w:tc>
          <w:tcPr>
            <w:tcW w:w="4143" w:type="dxa"/>
            <w:tcBorders>
              <w:top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r>
      <w:tr w:rsidR="00696B38" w:rsidRPr="00C83AED"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rsidR="00696B38" w:rsidRPr="00C24520" w:rsidRDefault="00696B38" w:rsidP="0028585E">
            <w:pPr>
              <w:pStyle w:val="SingleParagraph"/>
              <w:tabs>
                <w:tab w:val="left" w:pos="1080"/>
              </w:tabs>
              <w:spacing w:line="240" w:lineRule="auto"/>
              <w:ind w:left="1077" w:right="-113" w:hanging="1077"/>
              <w:jc w:val="center"/>
              <w:rPr>
                <w:rFonts w:ascii="Arial" w:hAnsi="Arial" w:cs="Arial"/>
                <w:b/>
                <w:color w:val="000000"/>
                <w:sz w:val="16"/>
                <w:szCs w:val="16"/>
              </w:rPr>
            </w:pPr>
            <w:r w:rsidRPr="00C24520">
              <w:rPr>
                <w:rFonts w:ascii="Arial" w:hAnsi="Arial" w:cs="Arial"/>
                <w:b/>
                <w:color w:val="000000"/>
                <w:sz w:val="16"/>
                <w:szCs w:val="16"/>
              </w:rPr>
              <w:t>ASC Pty Ltd</w:t>
            </w:r>
          </w:p>
          <w:p w:rsidR="00696B38" w:rsidRPr="009D2BB8" w:rsidRDefault="00696B38" w:rsidP="0028585E">
            <w:pPr>
              <w:pStyle w:val="NormalWeb"/>
              <w:spacing w:before="0" w:beforeAutospacing="0" w:after="0" w:afterAutospacing="0"/>
              <w:jc w:val="center"/>
              <w:rPr>
                <w:rFonts w:ascii="Arial" w:hAnsi="Arial" w:cs="Arial"/>
                <w:color w:val="000000"/>
                <w:sz w:val="16"/>
                <w:szCs w:val="16"/>
              </w:rPr>
            </w:pPr>
            <w:r w:rsidRPr="00C24520">
              <w:rPr>
                <w:rFonts w:ascii="Arial" w:hAnsi="Arial" w:cs="Arial"/>
                <w:position w:val="4"/>
                <w:sz w:val="16"/>
                <w:szCs w:val="16"/>
              </w:rPr>
              <w:t>Chair: Bruce Carter</w:t>
            </w:r>
          </w:p>
          <w:p w:rsidR="00696B38" w:rsidRPr="00C24520" w:rsidRDefault="00696B38" w:rsidP="0028585E">
            <w:pPr>
              <w:pStyle w:val="SingleParagraph"/>
              <w:tabs>
                <w:tab w:val="left" w:pos="0"/>
              </w:tabs>
              <w:spacing w:line="240" w:lineRule="auto"/>
              <w:ind w:left="31" w:right="-113" w:hanging="31"/>
              <w:rPr>
                <w:rFonts w:ascii="Arial" w:hAnsi="Arial" w:cs="Arial"/>
                <w:color w:val="000000"/>
                <w:sz w:val="16"/>
                <w:szCs w:val="16"/>
              </w:rPr>
            </w:pPr>
            <w:r w:rsidRPr="00C24520">
              <w:rPr>
                <w:rFonts w:ascii="Arial" w:hAnsi="Arial" w:cs="Arial"/>
                <w:color w:val="000000"/>
                <w:sz w:val="16"/>
                <w:szCs w:val="16"/>
              </w:rPr>
              <w:t>Purpose: The objectives of the company, as set out in the Government’s Statement of Expectation to ASC are:</w:t>
            </w:r>
          </w:p>
          <w:p w:rsidR="00696B38" w:rsidRPr="009D2BB8" w:rsidRDefault="00696B38" w:rsidP="00F76FE4">
            <w:pPr>
              <w:pStyle w:val="ChartandTableFootnoteAlphaSmall"/>
              <w:numPr>
                <w:ilvl w:val="0"/>
                <w:numId w:val="11"/>
              </w:numPr>
              <w:jc w:val="left"/>
              <w:rPr>
                <w:rFonts w:eastAsia="+mn-ea" w:cs="Arial"/>
                <w:color w:val="000000"/>
                <w:sz w:val="16"/>
                <w:szCs w:val="16"/>
              </w:rPr>
            </w:pPr>
            <w:r w:rsidRPr="00C24520">
              <w:rPr>
                <w:rFonts w:cs="Arial"/>
                <w:sz w:val="16"/>
                <w:szCs w:val="16"/>
              </w:rPr>
              <w:t>to enhance and maintain the Australian Defence Force’s maritime capabilities</w:t>
            </w:r>
          </w:p>
          <w:p w:rsidR="00696B38" w:rsidRPr="009D2BB8" w:rsidRDefault="00696B38" w:rsidP="00F76FE4">
            <w:pPr>
              <w:pStyle w:val="ChartandTableFootnoteAlphaSmall"/>
              <w:numPr>
                <w:ilvl w:val="0"/>
                <w:numId w:val="11"/>
              </w:numPr>
              <w:jc w:val="left"/>
              <w:rPr>
                <w:rFonts w:eastAsia="+mn-ea" w:cs="Arial"/>
                <w:color w:val="000000"/>
                <w:sz w:val="16"/>
                <w:szCs w:val="16"/>
              </w:rPr>
            </w:pPr>
            <w:r w:rsidRPr="00C24520">
              <w:rPr>
                <w:rFonts w:cs="Arial"/>
                <w:sz w:val="16"/>
                <w:szCs w:val="16"/>
              </w:rPr>
              <w:t>support Australian Government policies in relation to the Australian naval shipbuilding and repair industry</w:t>
            </w:r>
          </w:p>
          <w:p w:rsidR="00696B38" w:rsidRPr="00C24520" w:rsidRDefault="00696B38" w:rsidP="00F76FE4">
            <w:pPr>
              <w:pStyle w:val="ChartandTableFootnoteAlphaSmall"/>
              <w:numPr>
                <w:ilvl w:val="0"/>
                <w:numId w:val="11"/>
              </w:numPr>
              <w:jc w:val="left"/>
              <w:rPr>
                <w:rFonts w:eastAsia="+mn-ea" w:cs="Arial"/>
                <w:color w:val="000000"/>
                <w:sz w:val="24"/>
                <w:szCs w:val="24"/>
              </w:rPr>
            </w:pPr>
            <w:proofErr w:type="gramStart"/>
            <w:r w:rsidRPr="00C24520">
              <w:rPr>
                <w:rFonts w:cs="Arial"/>
                <w:sz w:val="16"/>
                <w:szCs w:val="16"/>
              </w:rPr>
              <w:t>continue</w:t>
            </w:r>
            <w:proofErr w:type="gramEnd"/>
            <w:r w:rsidRPr="00C24520">
              <w:rPr>
                <w:rFonts w:cs="Arial"/>
                <w:sz w:val="16"/>
                <w:szCs w:val="16"/>
              </w:rPr>
              <w:t xml:space="preserve"> to be Australia’s source of sovereign submarine industrial expertise and a key contributor to the broader naval shipbuilding enterprise.</w:t>
            </w:r>
          </w:p>
        </w:tc>
      </w:tr>
      <w:tr w:rsidR="00696B38" w:rsidRPr="00C24520" w:rsidTr="0028585E">
        <w:tc>
          <w:tcPr>
            <w:tcW w:w="4143" w:type="dxa"/>
            <w:tcBorders>
              <w:top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c>
          <w:tcPr>
            <w:tcW w:w="4079" w:type="dxa"/>
            <w:tcBorders>
              <w:top w:val="single" w:sz="4" w:space="0" w:color="auto"/>
              <w:left w:val="single" w:sz="4" w:space="0" w:color="auto"/>
              <w:bottom w:val="single" w:sz="4" w:space="0" w:color="auto"/>
            </w:tcBorders>
            <w:shd w:val="clear" w:color="auto" w:fill="auto"/>
          </w:tcPr>
          <w:p w:rsidR="00696B38" w:rsidRPr="00C24520" w:rsidRDefault="00696B38" w:rsidP="0028585E">
            <w:pPr>
              <w:spacing w:after="0" w:line="240" w:lineRule="auto"/>
              <w:rPr>
                <w:rFonts w:ascii="Arial" w:hAnsi="Arial" w:cs="Arial"/>
                <w:sz w:val="12"/>
                <w:szCs w:val="12"/>
              </w:rPr>
            </w:pPr>
          </w:p>
        </w:tc>
      </w:tr>
      <w:tr w:rsidR="00696B38" w:rsidRPr="004111A7" w:rsidTr="0028585E">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rsidR="00696B38" w:rsidRPr="00C24520" w:rsidRDefault="00696B38" w:rsidP="0028585E">
            <w:pPr>
              <w:spacing w:after="0" w:line="240" w:lineRule="auto"/>
              <w:jc w:val="center"/>
              <w:rPr>
                <w:rFonts w:ascii="Arial" w:hAnsi="Arial" w:cs="Arial"/>
                <w:b/>
                <w:bCs/>
                <w:position w:val="4"/>
                <w:sz w:val="16"/>
                <w:szCs w:val="16"/>
              </w:rPr>
            </w:pPr>
            <w:r w:rsidRPr="00C24520">
              <w:rPr>
                <w:rFonts w:ascii="Arial" w:hAnsi="Arial" w:cs="Arial"/>
                <w:b/>
                <w:bCs/>
                <w:position w:val="4"/>
                <w:sz w:val="16"/>
                <w:szCs w:val="16"/>
              </w:rPr>
              <w:t>Australian Naval Infrastructure Pty Ltd</w:t>
            </w:r>
          </w:p>
          <w:p w:rsidR="00696B38" w:rsidRPr="00C24520" w:rsidRDefault="00696B38" w:rsidP="0028585E">
            <w:pPr>
              <w:spacing w:after="60" w:line="240" w:lineRule="auto"/>
              <w:jc w:val="center"/>
              <w:rPr>
                <w:rFonts w:ascii="Arial" w:hAnsi="Arial" w:cs="Arial"/>
                <w:position w:val="4"/>
                <w:sz w:val="16"/>
                <w:szCs w:val="16"/>
              </w:rPr>
            </w:pPr>
            <w:r w:rsidRPr="00C24520">
              <w:rPr>
                <w:rFonts w:ascii="Arial" w:hAnsi="Arial" w:cs="Arial"/>
                <w:position w:val="4"/>
                <w:sz w:val="16"/>
                <w:szCs w:val="16"/>
              </w:rPr>
              <w:t>Chair: Lucio Di Bartolomeo</w:t>
            </w:r>
          </w:p>
          <w:p w:rsidR="00696B38" w:rsidRPr="00C24520" w:rsidRDefault="00696B38" w:rsidP="0028585E">
            <w:pPr>
              <w:spacing w:after="0" w:line="240" w:lineRule="auto"/>
              <w:rPr>
                <w:rFonts w:ascii="Arial" w:hAnsi="Arial" w:cs="Arial"/>
                <w:sz w:val="16"/>
                <w:szCs w:val="16"/>
              </w:rPr>
            </w:pPr>
            <w:r w:rsidRPr="00C24520">
              <w:rPr>
                <w:rFonts w:ascii="Arial" w:hAnsi="Arial" w:cs="Arial"/>
                <w:sz w:val="16"/>
                <w:szCs w:val="16"/>
              </w:rPr>
              <w:t xml:space="preserve">Purpose: </w:t>
            </w:r>
            <w:r w:rsidRPr="00C24520">
              <w:rPr>
                <w:rFonts w:ascii="Arial" w:hAnsi="Arial" w:cs="Arial"/>
                <w:color w:val="000000"/>
                <w:sz w:val="16"/>
                <w:szCs w:val="16"/>
              </w:rPr>
              <w:t xml:space="preserve">The objective of the company, as set out in its constitution, is </w:t>
            </w:r>
            <w:r w:rsidRPr="00C24520">
              <w:rPr>
                <w:rFonts w:ascii="Arial" w:hAnsi="Arial" w:cs="Arial"/>
                <w:sz w:val="16"/>
                <w:szCs w:val="16"/>
              </w:rPr>
              <w:t>to support the Commonwealth’s continuous naval shipbuilding program through:</w:t>
            </w:r>
          </w:p>
          <w:p w:rsidR="00696B38" w:rsidRPr="00C24520" w:rsidRDefault="00696B38" w:rsidP="00F76FE4">
            <w:pPr>
              <w:pStyle w:val="ChartandTableFootnoteAlphaSmall"/>
              <w:numPr>
                <w:ilvl w:val="0"/>
                <w:numId w:val="11"/>
              </w:numPr>
              <w:jc w:val="left"/>
              <w:rPr>
                <w:rFonts w:cs="Arial"/>
                <w:sz w:val="16"/>
                <w:szCs w:val="16"/>
              </w:rPr>
            </w:pPr>
            <w:r w:rsidRPr="00C24520">
              <w:rPr>
                <w:rFonts w:cs="Arial"/>
                <w:position w:val="4"/>
                <w:sz w:val="16"/>
                <w:szCs w:val="16"/>
              </w:rPr>
              <w:t>acquiring, holding, managing and developing the infrastructure, and related facilities used in connection with this program</w:t>
            </w:r>
          </w:p>
          <w:p w:rsidR="00696B38" w:rsidRPr="00C24520" w:rsidRDefault="00696B38" w:rsidP="00F76FE4">
            <w:pPr>
              <w:pStyle w:val="ChartandTableFootnoteAlphaSmall"/>
              <w:numPr>
                <w:ilvl w:val="0"/>
                <w:numId w:val="11"/>
              </w:numPr>
              <w:jc w:val="left"/>
              <w:rPr>
                <w:rFonts w:cs="Arial"/>
                <w:sz w:val="16"/>
                <w:szCs w:val="16"/>
              </w:rPr>
            </w:pPr>
            <w:proofErr w:type="gramStart"/>
            <w:r w:rsidRPr="00C24520">
              <w:rPr>
                <w:rFonts w:cs="Arial"/>
                <w:position w:val="4"/>
                <w:sz w:val="16"/>
                <w:szCs w:val="16"/>
              </w:rPr>
              <w:t>efficiently</w:t>
            </w:r>
            <w:proofErr w:type="gramEnd"/>
            <w:r w:rsidRPr="00C24520">
              <w:rPr>
                <w:rFonts w:cs="Arial"/>
                <w:position w:val="4"/>
                <w:sz w:val="16"/>
                <w:szCs w:val="16"/>
              </w:rPr>
              <w:t xml:space="preserve"> and effectively managing this infrastructure (including providing access) in a manner that ensures an integrated and co-ordinated approach to the delivery of all elements of this program.</w:t>
            </w:r>
          </w:p>
        </w:tc>
      </w:tr>
    </w:tbl>
    <w:p w:rsidR="00A15E63" w:rsidRDefault="00A15E63" w:rsidP="00C946DC">
      <w:pPr>
        <w:pStyle w:val="ChartGraphic"/>
      </w:pPr>
    </w:p>
    <w:p w:rsidR="00FE3DE9" w:rsidRPr="00FE3DE9" w:rsidRDefault="00FE3DE9" w:rsidP="00FE3DE9">
      <w:pPr>
        <w:sectPr w:rsidR="00FE3DE9" w:rsidRPr="00FE3DE9" w:rsidSect="00782467">
          <w:headerReference w:type="even" r:id="rId39"/>
          <w:headerReference w:type="default" r:id="rId40"/>
          <w:footerReference w:type="even" r:id="rId41"/>
          <w:headerReference w:type="first" r:id="rId42"/>
          <w:footerReference w:type="first" r:id="rId43"/>
          <w:type w:val="oddPage"/>
          <w:pgSz w:w="11906" w:h="16838" w:code="9"/>
          <w:pgMar w:top="2835" w:right="2098" w:bottom="2466" w:left="2098" w:header="1814" w:footer="1814" w:gutter="0"/>
          <w:pgNumType w:start="2"/>
          <w:cols w:space="708"/>
          <w:titlePg/>
          <w:docGrid w:linePitch="360"/>
        </w:sectPr>
      </w:pPr>
    </w:p>
    <w:p w:rsidR="004F3A7E" w:rsidRPr="00FE0841" w:rsidRDefault="004F3A7E" w:rsidP="0013653C">
      <w:pPr>
        <w:pStyle w:val="ContentsHeading"/>
        <w:spacing w:before="4320"/>
        <w:rPr>
          <w:sz w:val="52"/>
          <w:szCs w:val="52"/>
        </w:rPr>
      </w:pPr>
      <w:bookmarkStart w:id="14" w:name="_Toc190766149"/>
      <w:bookmarkStart w:id="15" w:name="_Toc444523507"/>
      <w:r w:rsidRPr="00FE0841">
        <w:rPr>
          <w:sz w:val="52"/>
          <w:szCs w:val="52"/>
        </w:rPr>
        <w:lastRenderedPageBreak/>
        <w:t>Entity resources and</w:t>
      </w:r>
      <w:r w:rsidRPr="00FE0841">
        <w:rPr>
          <w:sz w:val="52"/>
          <w:szCs w:val="52"/>
        </w:rPr>
        <w:br/>
        <w:t>planned performance</w:t>
      </w:r>
      <w:bookmarkEnd w:id="14"/>
      <w:bookmarkEnd w:id="15"/>
    </w:p>
    <w:p w:rsidR="00A74101" w:rsidRDefault="00A74101" w:rsidP="005A7C0B">
      <w:pPr>
        <w:pStyle w:val="PartHeading"/>
        <w:sectPr w:rsidR="00A74101" w:rsidSect="000D203B">
          <w:headerReference w:type="even" r:id="rId44"/>
          <w:headerReference w:type="default" r:id="rId45"/>
          <w:headerReference w:type="first" r:id="rId46"/>
          <w:footerReference w:type="first" r:id="rId47"/>
          <w:pgSz w:w="11906" w:h="16838" w:code="9"/>
          <w:pgMar w:top="2835" w:right="2098" w:bottom="2466" w:left="2098" w:header="1814" w:footer="1814" w:gutter="0"/>
          <w:cols w:space="708"/>
          <w:titlePg/>
          <w:docGrid w:linePitch="360"/>
        </w:sectPr>
      </w:pPr>
    </w:p>
    <w:p w:rsidR="00257FF4" w:rsidRPr="005A7C0B" w:rsidRDefault="00257FF4" w:rsidP="0013653C">
      <w:pPr>
        <w:pStyle w:val="PartHeading"/>
        <w:spacing w:before="2880"/>
      </w:pPr>
      <w:r w:rsidRPr="005A7C0B">
        <w:lastRenderedPageBreak/>
        <w:t xml:space="preserve">Department of </w:t>
      </w:r>
      <w:r w:rsidR="0014778B">
        <w:t>Finance</w:t>
      </w:r>
    </w:p>
    <w:p w:rsidR="005A7C0B" w:rsidRDefault="005A7C0B" w:rsidP="005A7C0B">
      <w:pPr>
        <w:pStyle w:val="PartHeading"/>
      </w:pPr>
    </w:p>
    <w:p w:rsidR="005A7C0B" w:rsidRDefault="005A7C0B" w:rsidP="005A7C0B">
      <w:pPr>
        <w:pStyle w:val="PartHeading"/>
      </w:pPr>
    </w:p>
    <w:p w:rsidR="00257FF4" w:rsidRPr="00C951B5" w:rsidRDefault="007E6BBD" w:rsidP="006B7542">
      <w:pPr>
        <w:pStyle w:val="PartHeading-TOC"/>
        <w:rPr>
          <w:b w:val="0"/>
        </w:rPr>
      </w:pPr>
      <w:bookmarkStart w:id="17" w:name="_Toc97893015"/>
      <w:r>
        <w:t xml:space="preserve">Entity </w:t>
      </w:r>
      <w:r w:rsidR="00605163">
        <w:t xml:space="preserve">resources and planned </w:t>
      </w:r>
      <w:r w:rsidR="00605163" w:rsidRPr="00C951B5">
        <w:rPr>
          <w:b w:val="0"/>
        </w:rPr>
        <w:t>performance</w:t>
      </w:r>
      <w:bookmarkEnd w:id="17"/>
    </w:p>
    <w:p w:rsidR="00A74101" w:rsidRDefault="00A74101" w:rsidP="002A32FD">
      <w:pPr>
        <w:pStyle w:val="ContentsHeading"/>
        <w:sectPr w:rsidR="00A74101" w:rsidSect="00A74101">
          <w:type w:val="oddPage"/>
          <w:pgSz w:w="11906" w:h="16838" w:code="9"/>
          <w:pgMar w:top="2835" w:right="2098" w:bottom="2466" w:left="2098" w:header="1814" w:footer="1814" w:gutter="0"/>
          <w:cols w:space="708"/>
          <w:titlePg/>
          <w:docGrid w:linePitch="360"/>
        </w:sectPr>
      </w:pPr>
      <w:bookmarkStart w:id="18" w:name="_Toc190766150"/>
    </w:p>
    <w:p w:rsidR="00257FF4" w:rsidRPr="002A32FD" w:rsidRDefault="00257FF4" w:rsidP="002A32FD">
      <w:pPr>
        <w:pStyle w:val="ContentsHeading"/>
      </w:pPr>
      <w:r w:rsidRPr="002A32FD">
        <w:lastRenderedPageBreak/>
        <w:t xml:space="preserve">Department of </w:t>
      </w:r>
      <w:bookmarkEnd w:id="18"/>
      <w:r w:rsidR="0059481F">
        <w:t>Finance</w:t>
      </w:r>
    </w:p>
    <w:p w:rsidR="00F909F5" w:rsidRDefault="00915F49">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B90763">
        <w:instrText xml:space="preserve"> \b dof</w:instrText>
      </w:r>
      <w:r>
        <w:instrText xml:space="preserve"> </w:instrText>
      </w:r>
      <w:r>
        <w:fldChar w:fldCharType="separate"/>
      </w:r>
      <w:hyperlink w:anchor="_Toc98181304" w:history="1">
        <w:r w:rsidR="00F909F5" w:rsidRPr="003B7677">
          <w:rPr>
            <w:rStyle w:val="Hyperlink"/>
            <w:noProof/>
          </w:rPr>
          <w:t>Section 1: Entity overview and resources</w:t>
        </w:r>
        <w:r w:rsidR="00F909F5">
          <w:rPr>
            <w:noProof/>
            <w:webHidden/>
          </w:rPr>
          <w:tab/>
        </w:r>
        <w:r w:rsidR="00F909F5">
          <w:rPr>
            <w:noProof/>
            <w:webHidden/>
          </w:rPr>
          <w:fldChar w:fldCharType="begin"/>
        </w:r>
        <w:r w:rsidR="00F909F5">
          <w:rPr>
            <w:noProof/>
            <w:webHidden/>
          </w:rPr>
          <w:instrText xml:space="preserve"> PAGEREF _Toc98181304 \h </w:instrText>
        </w:r>
        <w:r w:rsidR="00F909F5">
          <w:rPr>
            <w:noProof/>
            <w:webHidden/>
          </w:rPr>
        </w:r>
        <w:r w:rsidR="00F909F5">
          <w:rPr>
            <w:noProof/>
            <w:webHidden/>
          </w:rPr>
          <w:fldChar w:fldCharType="separate"/>
        </w:r>
        <w:r w:rsidR="003B3D60">
          <w:rPr>
            <w:noProof/>
            <w:webHidden/>
          </w:rPr>
          <w:t>11</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05" w:history="1">
        <w:r w:rsidR="00F909F5" w:rsidRPr="003B7677">
          <w:rPr>
            <w:rStyle w:val="Hyperlink"/>
            <w:noProof/>
          </w:rPr>
          <w:t>1.1</w:t>
        </w:r>
        <w:r w:rsidR="00F909F5">
          <w:rPr>
            <w:rFonts w:asciiTheme="minorHAnsi" w:eastAsiaTheme="minorEastAsia" w:hAnsiTheme="minorHAnsi" w:cstheme="minorBidi"/>
            <w:noProof/>
            <w:sz w:val="22"/>
            <w:szCs w:val="22"/>
            <w:lang w:eastAsia="zh-CN"/>
          </w:rPr>
          <w:tab/>
        </w:r>
        <w:r w:rsidR="00F909F5" w:rsidRPr="003B7677">
          <w:rPr>
            <w:rStyle w:val="Hyperlink"/>
            <w:noProof/>
          </w:rPr>
          <w:t>Strategic direction statement</w:t>
        </w:r>
        <w:r w:rsidR="00F909F5">
          <w:rPr>
            <w:noProof/>
            <w:webHidden/>
          </w:rPr>
          <w:tab/>
        </w:r>
        <w:r w:rsidR="00F909F5">
          <w:rPr>
            <w:noProof/>
            <w:webHidden/>
          </w:rPr>
          <w:fldChar w:fldCharType="begin"/>
        </w:r>
        <w:r w:rsidR="00F909F5">
          <w:rPr>
            <w:noProof/>
            <w:webHidden/>
          </w:rPr>
          <w:instrText xml:space="preserve"> PAGEREF _Toc98181305 \h </w:instrText>
        </w:r>
        <w:r w:rsidR="00F909F5">
          <w:rPr>
            <w:noProof/>
            <w:webHidden/>
          </w:rPr>
        </w:r>
        <w:r w:rsidR="00F909F5">
          <w:rPr>
            <w:noProof/>
            <w:webHidden/>
          </w:rPr>
          <w:fldChar w:fldCharType="separate"/>
        </w:r>
        <w:r w:rsidR="003B3D60">
          <w:rPr>
            <w:noProof/>
            <w:webHidden/>
          </w:rPr>
          <w:t>11</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06" w:history="1">
        <w:r w:rsidR="00F909F5" w:rsidRPr="003B7677">
          <w:rPr>
            <w:rStyle w:val="Hyperlink"/>
            <w:noProof/>
          </w:rPr>
          <w:t>1.2</w:t>
        </w:r>
        <w:r w:rsidR="00F909F5">
          <w:rPr>
            <w:rFonts w:asciiTheme="minorHAnsi" w:eastAsiaTheme="minorEastAsia" w:hAnsiTheme="minorHAnsi" w:cstheme="minorBidi"/>
            <w:noProof/>
            <w:sz w:val="22"/>
            <w:szCs w:val="22"/>
            <w:lang w:eastAsia="zh-CN"/>
          </w:rPr>
          <w:tab/>
        </w:r>
        <w:r w:rsidR="00F909F5" w:rsidRPr="003B7677">
          <w:rPr>
            <w:rStyle w:val="Hyperlink"/>
            <w:noProof/>
          </w:rPr>
          <w:t>Entity resource statement</w:t>
        </w:r>
        <w:r w:rsidR="00F909F5">
          <w:rPr>
            <w:noProof/>
            <w:webHidden/>
          </w:rPr>
          <w:tab/>
        </w:r>
        <w:r w:rsidR="00F909F5">
          <w:rPr>
            <w:noProof/>
            <w:webHidden/>
          </w:rPr>
          <w:fldChar w:fldCharType="begin"/>
        </w:r>
        <w:r w:rsidR="00F909F5">
          <w:rPr>
            <w:noProof/>
            <w:webHidden/>
          </w:rPr>
          <w:instrText xml:space="preserve"> PAGEREF _Toc98181306 \h </w:instrText>
        </w:r>
        <w:r w:rsidR="00F909F5">
          <w:rPr>
            <w:noProof/>
            <w:webHidden/>
          </w:rPr>
        </w:r>
        <w:r w:rsidR="00F909F5">
          <w:rPr>
            <w:noProof/>
            <w:webHidden/>
          </w:rPr>
          <w:fldChar w:fldCharType="separate"/>
        </w:r>
        <w:r w:rsidR="003B3D60">
          <w:rPr>
            <w:noProof/>
            <w:webHidden/>
          </w:rPr>
          <w:t>13</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07" w:history="1">
        <w:r w:rsidR="00F909F5" w:rsidRPr="003B7677">
          <w:rPr>
            <w:rStyle w:val="Hyperlink"/>
            <w:noProof/>
          </w:rPr>
          <w:t>1.3</w:t>
        </w:r>
        <w:r w:rsidR="00F909F5">
          <w:rPr>
            <w:rFonts w:asciiTheme="minorHAnsi" w:eastAsiaTheme="minorEastAsia" w:hAnsiTheme="minorHAnsi" w:cstheme="minorBidi"/>
            <w:noProof/>
            <w:sz w:val="22"/>
            <w:szCs w:val="22"/>
            <w:lang w:eastAsia="zh-CN"/>
          </w:rPr>
          <w:tab/>
        </w:r>
        <w:r w:rsidR="00F909F5" w:rsidRPr="003B7677">
          <w:rPr>
            <w:rStyle w:val="Hyperlink"/>
            <w:noProof/>
          </w:rPr>
          <w:t>Budget measures</w:t>
        </w:r>
        <w:r w:rsidR="00F909F5">
          <w:rPr>
            <w:noProof/>
            <w:webHidden/>
          </w:rPr>
          <w:tab/>
        </w:r>
        <w:r w:rsidR="00F909F5">
          <w:rPr>
            <w:noProof/>
            <w:webHidden/>
          </w:rPr>
          <w:fldChar w:fldCharType="begin"/>
        </w:r>
        <w:r w:rsidR="00F909F5">
          <w:rPr>
            <w:noProof/>
            <w:webHidden/>
          </w:rPr>
          <w:instrText xml:space="preserve"> PAGEREF _Toc98181307 \h </w:instrText>
        </w:r>
        <w:r w:rsidR="00F909F5">
          <w:rPr>
            <w:noProof/>
            <w:webHidden/>
          </w:rPr>
        </w:r>
        <w:r w:rsidR="00F909F5">
          <w:rPr>
            <w:noProof/>
            <w:webHidden/>
          </w:rPr>
          <w:fldChar w:fldCharType="separate"/>
        </w:r>
        <w:r w:rsidR="003B3D60">
          <w:rPr>
            <w:noProof/>
            <w:webHidden/>
          </w:rPr>
          <w:t>17</w:t>
        </w:r>
        <w:r w:rsidR="00F909F5">
          <w:rPr>
            <w:noProof/>
            <w:webHidden/>
          </w:rPr>
          <w:fldChar w:fldCharType="end"/>
        </w:r>
      </w:hyperlink>
    </w:p>
    <w:p w:rsidR="00F909F5" w:rsidRDefault="00CE4BBC">
      <w:pPr>
        <w:pStyle w:val="TOC1"/>
        <w:rPr>
          <w:rFonts w:asciiTheme="minorHAnsi" w:eastAsiaTheme="minorEastAsia" w:hAnsiTheme="minorHAnsi" w:cstheme="minorBidi"/>
          <w:b w:val="0"/>
          <w:caps w:val="0"/>
          <w:noProof/>
          <w:sz w:val="22"/>
          <w:szCs w:val="22"/>
          <w:lang w:eastAsia="zh-CN"/>
        </w:rPr>
      </w:pPr>
      <w:hyperlink w:anchor="_Toc98181308" w:history="1">
        <w:r w:rsidR="00F909F5" w:rsidRPr="003B7677">
          <w:rPr>
            <w:rStyle w:val="Hyperlink"/>
            <w:noProof/>
          </w:rPr>
          <w:t>Section 2: Outcomes and planned performance</w:t>
        </w:r>
        <w:r w:rsidR="00F909F5">
          <w:rPr>
            <w:noProof/>
            <w:webHidden/>
          </w:rPr>
          <w:tab/>
        </w:r>
        <w:r w:rsidR="00F909F5">
          <w:rPr>
            <w:noProof/>
            <w:webHidden/>
          </w:rPr>
          <w:fldChar w:fldCharType="begin"/>
        </w:r>
        <w:r w:rsidR="00F909F5">
          <w:rPr>
            <w:noProof/>
            <w:webHidden/>
          </w:rPr>
          <w:instrText xml:space="preserve"> PAGEREF _Toc98181308 \h </w:instrText>
        </w:r>
        <w:r w:rsidR="00F909F5">
          <w:rPr>
            <w:noProof/>
            <w:webHidden/>
          </w:rPr>
        </w:r>
        <w:r w:rsidR="00F909F5">
          <w:rPr>
            <w:noProof/>
            <w:webHidden/>
          </w:rPr>
          <w:fldChar w:fldCharType="separate"/>
        </w:r>
        <w:r w:rsidR="003B3D60">
          <w:rPr>
            <w:noProof/>
            <w:webHidden/>
          </w:rPr>
          <w:t>18</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09" w:history="1">
        <w:r w:rsidR="00F909F5" w:rsidRPr="003B7677">
          <w:rPr>
            <w:rStyle w:val="Hyperlink"/>
            <w:noProof/>
          </w:rPr>
          <w:t xml:space="preserve">2.1 </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expenses and performance for Outcome 1</w:t>
        </w:r>
        <w:r w:rsidR="00F909F5">
          <w:rPr>
            <w:noProof/>
            <w:webHidden/>
          </w:rPr>
          <w:tab/>
        </w:r>
        <w:r w:rsidR="00F909F5">
          <w:rPr>
            <w:noProof/>
            <w:webHidden/>
          </w:rPr>
          <w:fldChar w:fldCharType="begin"/>
        </w:r>
        <w:r w:rsidR="00F909F5">
          <w:rPr>
            <w:noProof/>
            <w:webHidden/>
          </w:rPr>
          <w:instrText xml:space="preserve"> PAGEREF _Toc98181309 \h </w:instrText>
        </w:r>
        <w:r w:rsidR="00F909F5">
          <w:rPr>
            <w:noProof/>
            <w:webHidden/>
          </w:rPr>
        </w:r>
        <w:r w:rsidR="00F909F5">
          <w:rPr>
            <w:noProof/>
            <w:webHidden/>
          </w:rPr>
          <w:fldChar w:fldCharType="separate"/>
        </w:r>
        <w:r w:rsidR="003B3D60">
          <w:rPr>
            <w:noProof/>
            <w:webHidden/>
          </w:rPr>
          <w:t>19</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10" w:history="1">
        <w:r w:rsidR="00F909F5" w:rsidRPr="003B7677">
          <w:rPr>
            <w:rStyle w:val="Hyperlink"/>
            <w:noProof/>
          </w:rPr>
          <w:t xml:space="preserve">2.2 </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expenses and performance for Outcome 2</w:t>
        </w:r>
        <w:r w:rsidR="00F909F5">
          <w:rPr>
            <w:noProof/>
            <w:webHidden/>
          </w:rPr>
          <w:tab/>
        </w:r>
        <w:r w:rsidR="00F909F5">
          <w:rPr>
            <w:noProof/>
            <w:webHidden/>
          </w:rPr>
          <w:fldChar w:fldCharType="begin"/>
        </w:r>
        <w:r w:rsidR="00F909F5">
          <w:rPr>
            <w:noProof/>
            <w:webHidden/>
          </w:rPr>
          <w:instrText xml:space="preserve"> PAGEREF _Toc98181310 \h </w:instrText>
        </w:r>
        <w:r w:rsidR="00F909F5">
          <w:rPr>
            <w:noProof/>
            <w:webHidden/>
          </w:rPr>
        </w:r>
        <w:r w:rsidR="00F909F5">
          <w:rPr>
            <w:noProof/>
            <w:webHidden/>
          </w:rPr>
          <w:fldChar w:fldCharType="separate"/>
        </w:r>
        <w:r w:rsidR="003B3D60">
          <w:rPr>
            <w:noProof/>
            <w:webHidden/>
          </w:rPr>
          <w:t>23</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11" w:history="1">
        <w:r w:rsidR="00F909F5" w:rsidRPr="003B7677">
          <w:rPr>
            <w:rStyle w:val="Hyperlink"/>
            <w:noProof/>
          </w:rPr>
          <w:t xml:space="preserve">2.3 </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expenses and performance for Outcome 3</w:t>
        </w:r>
        <w:r w:rsidR="00F909F5">
          <w:rPr>
            <w:noProof/>
            <w:webHidden/>
          </w:rPr>
          <w:tab/>
        </w:r>
        <w:r w:rsidR="00F909F5">
          <w:rPr>
            <w:noProof/>
            <w:webHidden/>
          </w:rPr>
          <w:fldChar w:fldCharType="begin"/>
        </w:r>
        <w:r w:rsidR="00F909F5">
          <w:rPr>
            <w:noProof/>
            <w:webHidden/>
          </w:rPr>
          <w:instrText xml:space="preserve"> PAGEREF _Toc98181311 \h </w:instrText>
        </w:r>
        <w:r w:rsidR="00F909F5">
          <w:rPr>
            <w:noProof/>
            <w:webHidden/>
          </w:rPr>
        </w:r>
        <w:r w:rsidR="00F909F5">
          <w:rPr>
            <w:noProof/>
            <w:webHidden/>
          </w:rPr>
          <w:fldChar w:fldCharType="separate"/>
        </w:r>
        <w:r w:rsidR="003B3D60">
          <w:rPr>
            <w:noProof/>
            <w:webHidden/>
          </w:rPr>
          <w:t>45</w:t>
        </w:r>
        <w:r w:rsidR="00F909F5">
          <w:rPr>
            <w:noProof/>
            <w:webHidden/>
          </w:rPr>
          <w:fldChar w:fldCharType="end"/>
        </w:r>
      </w:hyperlink>
    </w:p>
    <w:p w:rsidR="00F909F5" w:rsidRDefault="00CE4BBC">
      <w:pPr>
        <w:pStyle w:val="TOC1"/>
        <w:rPr>
          <w:rFonts w:asciiTheme="minorHAnsi" w:eastAsiaTheme="minorEastAsia" w:hAnsiTheme="minorHAnsi" w:cstheme="minorBidi"/>
          <w:b w:val="0"/>
          <w:caps w:val="0"/>
          <w:noProof/>
          <w:sz w:val="22"/>
          <w:szCs w:val="22"/>
          <w:lang w:eastAsia="zh-CN"/>
        </w:rPr>
      </w:pPr>
      <w:hyperlink w:anchor="_Toc98181312" w:history="1">
        <w:r w:rsidR="00F909F5" w:rsidRPr="003B7677">
          <w:rPr>
            <w:rStyle w:val="Hyperlink"/>
            <w:noProof/>
          </w:rPr>
          <w:t>Section 3: Budgeted financial statements</w:t>
        </w:r>
        <w:r w:rsidR="00F909F5">
          <w:rPr>
            <w:noProof/>
            <w:webHidden/>
          </w:rPr>
          <w:tab/>
        </w:r>
        <w:r w:rsidR="00F909F5">
          <w:rPr>
            <w:noProof/>
            <w:webHidden/>
          </w:rPr>
          <w:fldChar w:fldCharType="begin"/>
        </w:r>
        <w:r w:rsidR="00F909F5">
          <w:rPr>
            <w:noProof/>
            <w:webHidden/>
          </w:rPr>
          <w:instrText xml:space="preserve"> PAGEREF _Toc98181312 \h </w:instrText>
        </w:r>
        <w:r w:rsidR="00F909F5">
          <w:rPr>
            <w:noProof/>
            <w:webHidden/>
          </w:rPr>
        </w:r>
        <w:r w:rsidR="00F909F5">
          <w:rPr>
            <w:noProof/>
            <w:webHidden/>
          </w:rPr>
          <w:fldChar w:fldCharType="separate"/>
        </w:r>
        <w:r w:rsidR="003B3D60">
          <w:rPr>
            <w:noProof/>
            <w:webHidden/>
          </w:rPr>
          <w:t>50</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13" w:history="1">
        <w:r w:rsidR="00F909F5" w:rsidRPr="003B7677">
          <w:rPr>
            <w:rStyle w:val="Hyperlink"/>
            <w:noProof/>
          </w:rPr>
          <w:t>3.1</w:t>
        </w:r>
        <w:r w:rsidR="00F909F5">
          <w:rPr>
            <w:rFonts w:asciiTheme="minorHAnsi" w:eastAsiaTheme="minorEastAsia" w:hAnsiTheme="minorHAnsi" w:cstheme="minorBidi"/>
            <w:noProof/>
            <w:sz w:val="22"/>
            <w:szCs w:val="22"/>
            <w:lang w:eastAsia="zh-CN"/>
          </w:rPr>
          <w:tab/>
        </w:r>
        <w:r w:rsidR="00F909F5" w:rsidRPr="003B7677">
          <w:rPr>
            <w:rStyle w:val="Hyperlink"/>
            <w:noProof/>
          </w:rPr>
          <w:t>Budgeted financial statements</w:t>
        </w:r>
        <w:r w:rsidR="00F909F5">
          <w:rPr>
            <w:noProof/>
            <w:webHidden/>
          </w:rPr>
          <w:tab/>
        </w:r>
        <w:r w:rsidR="00F909F5">
          <w:rPr>
            <w:noProof/>
            <w:webHidden/>
          </w:rPr>
          <w:fldChar w:fldCharType="begin"/>
        </w:r>
        <w:r w:rsidR="00F909F5">
          <w:rPr>
            <w:noProof/>
            <w:webHidden/>
          </w:rPr>
          <w:instrText xml:space="preserve"> PAGEREF _Toc98181313 \h </w:instrText>
        </w:r>
        <w:r w:rsidR="00F909F5">
          <w:rPr>
            <w:noProof/>
            <w:webHidden/>
          </w:rPr>
        </w:r>
        <w:r w:rsidR="00F909F5">
          <w:rPr>
            <w:noProof/>
            <w:webHidden/>
          </w:rPr>
          <w:fldChar w:fldCharType="separate"/>
        </w:r>
        <w:r w:rsidR="003B3D60">
          <w:rPr>
            <w:noProof/>
            <w:webHidden/>
          </w:rPr>
          <w:t>50</w:t>
        </w:r>
        <w:r w:rsidR="00F909F5">
          <w:rPr>
            <w:noProof/>
            <w:webHidden/>
          </w:rPr>
          <w:fldChar w:fldCharType="end"/>
        </w:r>
      </w:hyperlink>
    </w:p>
    <w:p w:rsidR="008B5AFD" w:rsidRDefault="00915F49" w:rsidP="003E2B5E">
      <w:pPr>
        <w:pStyle w:val="TOC1"/>
      </w:pPr>
      <w:r>
        <w:fldChar w:fldCharType="end"/>
      </w:r>
    </w:p>
    <w:p w:rsidR="003E2B5E" w:rsidRPr="008B5AFD" w:rsidRDefault="003E2B5E" w:rsidP="008B5AFD"/>
    <w:p w:rsidR="00A74101" w:rsidRDefault="00A74101" w:rsidP="00834F9A">
      <w:pPr>
        <w:pStyle w:val="Heading1"/>
        <w:sectPr w:rsidR="00A74101" w:rsidSect="00A74101">
          <w:type w:val="oddPage"/>
          <w:pgSz w:w="11906" w:h="16838" w:code="9"/>
          <w:pgMar w:top="2835" w:right="2098" w:bottom="2466" w:left="2098" w:header="1814" w:footer="1814" w:gutter="0"/>
          <w:cols w:space="708"/>
          <w:titlePg/>
          <w:docGrid w:linePitch="360"/>
        </w:sectPr>
      </w:pPr>
    </w:p>
    <w:p w:rsidR="00257FF4" w:rsidRDefault="00257FF4" w:rsidP="00834F9A">
      <w:pPr>
        <w:pStyle w:val="Heading1"/>
      </w:pPr>
      <w:bookmarkStart w:id="19" w:name="_Toc97893016"/>
      <w:r>
        <w:lastRenderedPageBreak/>
        <w:t xml:space="preserve">Department of </w:t>
      </w:r>
      <w:r w:rsidR="00B8505F">
        <w:t>Finance</w:t>
      </w:r>
      <w:bookmarkEnd w:id="19"/>
    </w:p>
    <w:p w:rsidR="00257FF4" w:rsidRPr="002C4D41" w:rsidRDefault="00257FF4" w:rsidP="00257FF4">
      <w:pPr>
        <w:pStyle w:val="Heading2"/>
      </w:pPr>
      <w:bookmarkStart w:id="20" w:name="_Toc190682308"/>
      <w:bookmarkStart w:id="21" w:name="_Toc190682526"/>
      <w:bookmarkStart w:id="22" w:name="_Toc444523508"/>
      <w:bookmarkStart w:id="23" w:name="_Toc98181304"/>
      <w:bookmarkStart w:id="24" w:name="DOF"/>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20"/>
      <w:bookmarkEnd w:id="21"/>
      <w:bookmarkEnd w:id="22"/>
      <w:bookmarkEnd w:id="23"/>
    </w:p>
    <w:p w:rsidR="00257FF4" w:rsidRDefault="00257FF4" w:rsidP="00257FF4">
      <w:pPr>
        <w:pStyle w:val="Heading3"/>
      </w:pPr>
      <w:bookmarkStart w:id="25" w:name="_Toc190682309"/>
      <w:bookmarkStart w:id="26" w:name="_Toc190682527"/>
      <w:bookmarkStart w:id="27" w:name="_Toc444523509"/>
      <w:bookmarkStart w:id="28" w:name="_Toc98181305"/>
      <w:r>
        <w:t>1.1</w:t>
      </w:r>
      <w:r>
        <w:tab/>
        <w:t xml:space="preserve">Strategic </w:t>
      </w:r>
      <w:r w:rsidR="00D81071">
        <w:t>direction</w:t>
      </w:r>
      <w:bookmarkEnd w:id="25"/>
      <w:bookmarkEnd w:id="26"/>
      <w:r w:rsidR="00D81071">
        <w:t xml:space="preserve"> </w:t>
      </w:r>
      <w:r w:rsidR="00605163">
        <w:t>statement</w:t>
      </w:r>
      <w:bookmarkEnd w:id="27"/>
      <w:bookmarkEnd w:id="28"/>
    </w:p>
    <w:p w:rsidR="00877BC9" w:rsidRDefault="00877BC9" w:rsidP="00877BC9">
      <w:bookmarkStart w:id="29" w:name="_Toc190682310"/>
      <w:bookmarkStart w:id="30" w:name="_Toc190682528"/>
      <w:r>
        <w:t>The Department of Finance (Finance) assists the Australian Government to achieve its fiscal and policy objectives by advising on expenditure, managing sustainable public sector resourcing, driving public sector transformation and delivering efficient, cost-effective services to, and for, government.</w:t>
      </w:r>
    </w:p>
    <w:p w:rsidR="00877BC9" w:rsidRDefault="00877BC9" w:rsidP="00877BC9">
      <w:pPr>
        <w:spacing w:line="240" w:lineRule="auto"/>
        <w:ind w:left="1560" w:hanging="1560"/>
        <w:rPr>
          <w:i/>
        </w:rPr>
      </w:pPr>
      <w:r>
        <w:rPr>
          <w:b/>
          <w:i/>
        </w:rPr>
        <w:t>Outcome 1</w:t>
      </w:r>
      <w:r>
        <w:rPr>
          <w:b/>
          <w:i/>
        </w:rPr>
        <w:tab/>
      </w:r>
      <w:r>
        <w:rPr>
          <w:i/>
        </w:rPr>
        <w:t>Support sustainable Australian Government finances through providing high-quality policy advice and operational support to the government and Commonwealth entities to maintain effective and efficient use of public resources.</w:t>
      </w:r>
    </w:p>
    <w:p w:rsidR="00877BC9" w:rsidRDefault="00877BC9" w:rsidP="00877BC9">
      <w:pPr>
        <w:spacing w:after="120" w:line="240" w:lineRule="auto"/>
      </w:pPr>
      <w:r>
        <w:t>To achieve Outcome 1, Finance:</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 xml:space="preserve">assists the Government to develop and deliver its fiscal and economic policies by producing the Budget and the government’s financial statements </w:t>
      </w:r>
    </w:p>
    <w:p w:rsidR="00877BC9" w:rsidRDefault="00877BC9" w:rsidP="00F76FE4">
      <w:pPr>
        <w:numPr>
          <w:ilvl w:val="0"/>
          <w:numId w:val="12"/>
        </w:numPr>
        <w:autoSpaceDE w:val="0"/>
        <w:autoSpaceDN w:val="0"/>
        <w:spacing w:after="200" w:line="240" w:lineRule="auto"/>
        <w:ind w:left="567"/>
        <w:contextualSpacing/>
        <w:rPr>
          <w:rFonts w:eastAsia="Calibri"/>
          <w:lang w:val="en-US"/>
        </w:rPr>
      </w:pPr>
      <w:proofErr w:type="gramStart"/>
      <w:r>
        <w:rPr>
          <w:rFonts w:eastAsia="Calibri"/>
          <w:lang w:val="en-US"/>
        </w:rPr>
        <w:t>contributes</w:t>
      </w:r>
      <w:proofErr w:type="gramEnd"/>
      <w:r>
        <w:rPr>
          <w:rFonts w:eastAsia="Calibri"/>
          <w:lang w:val="en-US"/>
        </w:rPr>
        <w:t xml:space="preserve"> to the Government’s reform agenda by seeking to improve the effectiveness of government spending.</w:t>
      </w: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spacing w:line="240" w:lineRule="auto"/>
        <w:ind w:left="1560" w:hanging="1560"/>
        <w:rPr>
          <w:i/>
        </w:rPr>
      </w:pPr>
      <w:r>
        <w:rPr>
          <w:b/>
          <w:i/>
        </w:rPr>
        <w:t>Outcome 2</w:t>
      </w:r>
      <w:r>
        <w:rPr>
          <w:b/>
          <w:i/>
        </w:rPr>
        <w:tab/>
      </w:r>
      <w:r>
        <w:rPr>
          <w:i/>
        </w:rPr>
        <w:t xml:space="preserve">Support an efficient and high-performing public sector through providing leadership to Commonwealth entities in ongoing improvements to public sector governance, including through systems, frameworks, policy, </w:t>
      </w:r>
      <w:proofErr w:type="gramStart"/>
      <w:r>
        <w:rPr>
          <w:i/>
        </w:rPr>
        <w:t>advice</w:t>
      </w:r>
      <w:proofErr w:type="gramEnd"/>
      <w:r>
        <w:rPr>
          <w:i/>
        </w:rPr>
        <w:t xml:space="preserve"> and service delivery.</w:t>
      </w:r>
    </w:p>
    <w:p w:rsidR="00877BC9" w:rsidRDefault="00877BC9" w:rsidP="00877BC9">
      <w:pPr>
        <w:spacing w:after="120" w:line="240" w:lineRule="auto"/>
      </w:pPr>
      <w:r>
        <w:t>To achieve Outcome 2, Finance:</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contributes to, and fosters, leading practice in public sector governance and accountability, encompassing the public resource management framework, procurement and grants policies and the oversight of GBEs and other commercial entities;</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develops and administers key government policies in relation to Commonwealth land, public works and property management and advertising to ensure leading practice and ongoing improvement in the public sector management of government resources;</w:t>
      </w:r>
    </w:p>
    <w:p w:rsidR="00877BC9" w:rsidRDefault="00877BC9" w:rsidP="00F76FE4">
      <w:pPr>
        <w:numPr>
          <w:ilvl w:val="0"/>
          <w:numId w:val="12"/>
        </w:numPr>
        <w:autoSpaceDE w:val="0"/>
        <w:autoSpaceDN w:val="0"/>
        <w:spacing w:after="200" w:line="240" w:lineRule="auto"/>
        <w:ind w:left="567"/>
        <w:contextualSpacing/>
        <w:rPr>
          <w:rFonts w:eastAsia="Calibri"/>
          <w:lang w:val="en-US"/>
        </w:rPr>
      </w:pPr>
      <w:r>
        <w:rPr>
          <w:rFonts w:eastAsia="Calibri"/>
          <w:lang w:val="en-US"/>
        </w:rPr>
        <w:t>delivers professional services in respect of the government’s non-</w:t>
      </w:r>
      <w:proofErr w:type="spellStart"/>
      <w:r>
        <w:rPr>
          <w:rFonts w:eastAsia="Calibri"/>
          <w:lang w:val="en-US"/>
        </w:rPr>
        <w:t>Defence</w:t>
      </w:r>
      <w:proofErr w:type="spellEnd"/>
      <w:r>
        <w:rPr>
          <w:rFonts w:eastAsia="Calibri"/>
          <w:lang w:val="en-US"/>
        </w:rPr>
        <w:t xml:space="preserve"> property portfolio within Australia (including major capital works projects), risk management and insurance arrangements (</w:t>
      </w:r>
      <w:proofErr w:type="spellStart"/>
      <w:r>
        <w:rPr>
          <w:rFonts w:eastAsia="Calibri"/>
          <w:lang w:val="en-US"/>
        </w:rPr>
        <w:t>Comcover</w:t>
      </w:r>
      <w:proofErr w:type="spellEnd"/>
      <w:r>
        <w:rPr>
          <w:rFonts w:eastAsia="Calibri"/>
          <w:lang w:val="en-US"/>
        </w:rPr>
        <w:t xml:space="preserve">), </w:t>
      </w:r>
      <w:proofErr w:type="spellStart"/>
      <w:r>
        <w:rPr>
          <w:rFonts w:eastAsia="Calibri"/>
          <w:lang w:val="en-US"/>
        </w:rPr>
        <w:t>WoAG</w:t>
      </w:r>
      <w:proofErr w:type="spellEnd"/>
      <w:r>
        <w:rPr>
          <w:rFonts w:eastAsia="Calibri"/>
          <w:lang w:val="en-US"/>
        </w:rPr>
        <w:t xml:space="preserve"> purchasing arrangements (such as travel, office equipment, stationery) to ensure the efficient and effective management of government resources and certain corporate functions delivered by the Service Delivery Office (SDO); and</w:t>
      </w:r>
    </w:p>
    <w:p w:rsidR="00877BC9" w:rsidRDefault="00877BC9" w:rsidP="00F76FE4">
      <w:pPr>
        <w:numPr>
          <w:ilvl w:val="0"/>
          <w:numId w:val="12"/>
        </w:numPr>
        <w:autoSpaceDE w:val="0"/>
        <w:autoSpaceDN w:val="0"/>
        <w:spacing w:after="200" w:line="240" w:lineRule="auto"/>
        <w:ind w:left="567"/>
        <w:contextualSpacing/>
        <w:rPr>
          <w:rFonts w:eastAsia="Calibri"/>
          <w:lang w:val="en-US"/>
        </w:rPr>
      </w:pPr>
      <w:proofErr w:type="gramStart"/>
      <w:r>
        <w:rPr>
          <w:rFonts w:eastAsia="Calibri"/>
          <w:lang w:val="en-US"/>
        </w:rPr>
        <w:lastRenderedPageBreak/>
        <w:t>advises</w:t>
      </w:r>
      <w:proofErr w:type="gramEnd"/>
      <w:r>
        <w:rPr>
          <w:rFonts w:eastAsia="Calibri"/>
          <w:lang w:val="en-US"/>
        </w:rPr>
        <w:t xml:space="preserve"> on the Government’s Investment Funds and administers superannuation arrangements for the Government’s civilian employees, politicians and judges to support the efficient and effective management of government resources.</w:t>
      </w: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autoSpaceDE w:val="0"/>
        <w:autoSpaceDN w:val="0"/>
        <w:spacing w:after="200" w:line="240" w:lineRule="auto"/>
        <w:ind w:left="567"/>
        <w:contextualSpacing/>
        <w:rPr>
          <w:rFonts w:eastAsia="Calibri"/>
          <w:lang w:val="en-US"/>
        </w:rPr>
      </w:pPr>
    </w:p>
    <w:p w:rsidR="00877BC9" w:rsidRDefault="00877BC9" w:rsidP="00877BC9">
      <w:pPr>
        <w:spacing w:line="240" w:lineRule="auto"/>
        <w:ind w:left="1560" w:hanging="1560"/>
        <w:rPr>
          <w:i/>
        </w:rPr>
      </w:pPr>
      <w:r>
        <w:rPr>
          <w:b/>
          <w:i/>
        </w:rPr>
        <w:t>Outcome 3</w:t>
      </w:r>
      <w:r>
        <w:rPr>
          <w:b/>
          <w:i/>
        </w:rPr>
        <w:tab/>
      </w:r>
      <w:r>
        <w:rPr>
          <w:i/>
        </w:rPr>
        <w:t>Support for parliamentarians and others as required by the Australian Government through the delivery of, and advice on, work expenses and allowances, entitlements and targeted programs.</w:t>
      </w:r>
    </w:p>
    <w:p w:rsidR="00877BC9" w:rsidRDefault="00877BC9" w:rsidP="00877BC9">
      <w:pPr>
        <w:spacing w:after="120" w:line="240" w:lineRule="auto"/>
      </w:pPr>
      <w:r>
        <w:t>To achieve Outcome 3, Finance provides advice and services to Ministers, Office</w:t>
      </w:r>
      <w:r>
        <w:noBreakHyphen/>
        <w:t>holders, Senators, Members, their staff and others as required by the government.</w:t>
      </w:r>
    </w:p>
    <w:p w:rsidR="00257FF4" w:rsidRDefault="000B36D8" w:rsidP="0079797F">
      <w:pPr>
        <w:pStyle w:val="Heading3"/>
      </w:pPr>
      <w:r w:rsidRPr="0079797F">
        <w:br w:type="page"/>
      </w:r>
      <w:bookmarkStart w:id="31" w:name="_Toc444523510"/>
      <w:bookmarkStart w:id="32" w:name="_Toc98181306"/>
      <w:r w:rsidR="00257FF4">
        <w:lastRenderedPageBreak/>
        <w:t>1.2</w:t>
      </w:r>
      <w:r w:rsidR="00257FF4">
        <w:tab/>
      </w:r>
      <w:r w:rsidR="007E6BBD">
        <w:t xml:space="preserve">Entity </w:t>
      </w:r>
      <w:r w:rsidR="00257FF4">
        <w:t>resource statement</w:t>
      </w:r>
      <w:bookmarkEnd w:id="29"/>
      <w:bookmarkEnd w:id="30"/>
      <w:bookmarkEnd w:id="31"/>
      <w:bookmarkEnd w:id="32"/>
    </w:p>
    <w:p w:rsidR="00E1129E" w:rsidRDefault="00257FF4" w:rsidP="00257FF4">
      <w:bookmarkStart w:id="33" w:name="OLE_LINK11"/>
      <w:bookmarkStart w:id="34"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rsidR="009F43CB" w:rsidRDefault="00331B40" w:rsidP="00257FF4">
      <w:r>
        <w:t xml:space="preserve">For more detailed information on special accounts and special appropriations, please refer to </w:t>
      </w:r>
      <w:r w:rsidRPr="00412C0B">
        <w:rPr>
          <w:i/>
        </w:rPr>
        <w:t>Budget Paper No. 4 – Agency Resourcing</w:t>
      </w:r>
      <w:r>
        <w:t>.</w:t>
      </w:r>
    </w:p>
    <w:p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8526EB">
        <w:t>Outcome</w:t>
      </w:r>
      <w:r w:rsidR="00E7371B">
        <w:t xml:space="preserve">’ </w:t>
      </w:r>
      <w:r>
        <w:t>tables in Section 2 and the financial statements in Section 3 are</w:t>
      </w:r>
      <w:r w:rsidR="00831489">
        <w:t xml:space="preserve"> presented on an accrual basis.</w:t>
      </w:r>
    </w:p>
    <w:bookmarkEnd w:id="33"/>
    <w:bookmarkEnd w:id="34"/>
    <w:p w:rsidR="00CB2844" w:rsidRDefault="00E92644" w:rsidP="00D44150">
      <w:pPr>
        <w:pStyle w:val="TableHeading"/>
        <w:rPr>
          <w:lang w:val="en-AU"/>
        </w:rPr>
      </w:pPr>
      <w:r>
        <w:br w:type="page"/>
      </w:r>
      <w:r w:rsidR="00741BF8" w:rsidRPr="00D44150">
        <w:lastRenderedPageBreak/>
        <w:t xml:space="preserve">Table 1.1: </w:t>
      </w:r>
      <w:r w:rsidR="00A02167">
        <w:rPr>
          <w:lang w:val="en-AU"/>
        </w:rPr>
        <w:t>Department of Finance</w:t>
      </w:r>
      <w:r w:rsidR="00741BF8" w:rsidRPr="00D44150">
        <w:t xml:space="preserve"> resource statement</w:t>
      </w:r>
      <w:r w:rsidR="0066176D">
        <w:t xml:space="preserve"> — Budget estimates for </w:t>
      </w:r>
      <w:r w:rsidR="00400A8B">
        <w:rPr>
          <w:lang w:val="en-AU"/>
        </w:rPr>
        <w:t>2022</w:t>
      </w:r>
      <w:r w:rsidR="00FC6CF3">
        <w:rPr>
          <w:lang w:val="en-AU"/>
        </w:rPr>
        <w:t>-</w:t>
      </w:r>
      <w:r w:rsidR="00400A8B">
        <w:rPr>
          <w:lang w:val="en-AU"/>
        </w:rPr>
        <w:t>23</w:t>
      </w:r>
      <w:r w:rsidR="00400A8B">
        <w:t xml:space="preserve"> </w:t>
      </w:r>
      <w:r w:rsidR="00741BF8" w:rsidRPr="00D44150">
        <w:t xml:space="preserve">as at Budget </w:t>
      </w:r>
      <w:r w:rsidR="00ED3B06">
        <w:rPr>
          <w:lang w:val="en-AU"/>
        </w:rPr>
        <w:t>Ma</w:t>
      </w:r>
      <w:r w:rsidR="00006B50">
        <w:rPr>
          <w:lang w:val="en-AU"/>
        </w:rPr>
        <w:t>rch</w:t>
      </w:r>
      <w:r w:rsidR="00ED3B06" w:rsidRPr="00D44150">
        <w:t xml:space="preserve"> </w:t>
      </w:r>
      <w:r w:rsidR="00400A8B">
        <w:rPr>
          <w:lang w:val="en-AU"/>
        </w:rPr>
        <w:t>2022</w:t>
      </w:r>
    </w:p>
    <w:p w:rsidR="00F71EF1" w:rsidRPr="00F71EF1" w:rsidRDefault="00BA3F23" w:rsidP="00F71EF1">
      <w:pPr>
        <w:pStyle w:val="TableGraphic"/>
        <w:rPr>
          <w:lang w:eastAsia="x-none"/>
        </w:rPr>
      </w:pPr>
      <w:r w:rsidRPr="00BA3F23">
        <w:rPr>
          <w:noProof/>
        </w:rPr>
        <w:drawing>
          <wp:inline distT="0" distB="0" distL="0" distR="0">
            <wp:extent cx="4832350" cy="57658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32350" cy="5765800"/>
                    </a:xfrm>
                    <a:prstGeom prst="rect">
                      <a:avLst/>
                    </a:prstGeom>
                    <a:noFill/>
                    <a:ln>
                      <a:noFill/>
                    </a:ln>
                  </pic:spPr>
                </pic:pic>
              </a:graphicData>
            </a:graphic>
          </wp:inline>
        </w:drawing>
      </w:r>
    </w:p>
    <w:p w:rsidR="001414B9" w:rsidRPr="00321EC0" w:rsidRDefault="001414B9" w:rsidP="003013E3">
      <w:pPr>
        <w:pStyle w:val="ChartandTableFootnoteAlpha"/>
      </w:pPr>
      <w:r w:rsidRPr="00082FED">
        <w:t>Table continues on next page</w:t>
      </w:r>
    </w:p>
    <w:p w:rsidR="001414B9" w:rsidRDefault="001414B9" w:rsidP="00634FFC">
      <w:pPr>
        <w:pStyle w:val="TableHeading"/>
      </w:pPr>
    </w:p>
    <w:p w:rsidR="0066176D" w:rsidRDefault="00D44150" w:rsidP="0066176D">
      <w:pPr>
        <w:pStyle w:val="TableHeading"/>
        <w:rPr>
          <w:lang w:val="en-AU"/>
        </w:rPr>
      </w:pPr>
      <w:r w:rsidRPr="001414B9">
        <w:br w:type="page"/>
      </w:r>
      <w:r w:rsidR="0066176D" w:rsidRPr="00D44150">
        <w:lastRenderedPageBreak/>
        <w:t xml:space="preserve">Table 1.1: </w:t>
      </w:r>
      <w:r w:rsidR="00AA7C6E">
        <w:rPr>
          <w:lang w:val="en-AU"/>
        </w:rPr>
        <w:t>Department of Finance</w:t>
      </w:r>
      <w:r w:rsidR="00AA7C6E" w:rsidRPr="00D44150">
        <w:t xml:space="preserve"> </w:t>
      </w:r>
      <w:r w:rsidR="0066176D" w:rsidRPr="00D44150">
        <w:t>resource statement</w:t>
      </w:r>
      <w:r w:rsidR="0066176D">
        <w:t xml:space="preserve"> — Budget estimates for </w:t>
      </w:r>
      <w:r w:rsidR="00400A8B">
        <w:rPr>
          <w:lang w:val="en-AU"/>
        </w:rPr>
        <w:t>2022</w:t>
      </w:r>
      <w:r w:rsidR="00FC6CF3">
        <w:rPr>
          <w:lang w:val="en-AU"/>
        </w:rPr>
        <w:t>-</w:t>
      </w:r>
      <w:r w:rsidR="00400A8B">
        <w:rPr>
          <w:lang w:val="en-AU"/>
        </w:rPr>
        <w:t>23</w:t>
      </w:r>
      <w:r w:rsidR="00400A8B">
        <w:t xml:space="preserve"> </w:t>
      </w:r>
      <w:r w:rsidR="0066176D" w:rsidRPr="00D44150">
        <w:t xml:space="preserve">as at Budget </w:t>
      </w:r>
      <w:r w:rsidR="00ED3B06">
        <w:rPr>
          <w:lang w:val="en-AU"/>
        </w:rPr>
        <w:t>Ma</w:t>
      </w:r>
      <w:r w:rsidR="00006B50">
        <w:rPr>
          <w:lang w:val="en-AU"/>
        </w:rPr>
        <w:t>rch</w:t>
      </w:r>
      <w:r w:rsidR="00ED3B06">
        <w:rPr>
          <w:lang w:val="en-AU"/>
        </w:rPr>
        <w:t xml:space="preserve"> </w:t>
      </w:r>
      <w:r w:rsidR="00400A8B">
        <w:rPr>
          <w:lang w:val="en-AU"/>
        </w:rPr>
        <w:t xml:space="preserve">2022 </w:t>
      </w:r>
      <w:r w:rsidR="0066176D">
        <w:rPr>
          <w:lang w:val="en-AU"/>
        </w:rPr>
        <w:t>(continued)</w:t>
      </w:r>
    </w:p>
    <w:p w:rsidR="0087743B" w:rsidRPr="0087743B" w:rsidRDefault="00BA3F23" w:rsidP="0087743B">
      <w:pPr>
        <w:pStyle w:val="TableGraphic"/>
        <w:rPr>
          <w:lang w:eastAsia="x-none"/>
        </w:rPr>
      </w:pPr>
      <w:r w:rsidRPr="00BA3F23">
        <w:rPr>
          <w:noProof/>
        </w:rPr>
        <w:drawing>
          <wp:inline distT="0" distB="0" distL="0" distR="0">
            <wp:extent cx="4832350" cy="24765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32350" cy="2476500"/>
                    </a:xfrm>
                    <a:prstGeom prst="rect">
                      <a:avLst/>
                    </a:prstGeom>
                    <a:noFill/>
                    <a:ln>
                      <a:noFill/>
                    </a:ln>
                  </pic:spPr>
                </pic:pic>
              </a:graphicData>
            </a:graphic>
          </wp:inline>
        </w:drawing>
      </w:r>
    </w:p>
    <w:p w:rsidR="00085982" w:rsidRDefault="00EC22C3" w:rsidP="00EC22C3">
      <w:pPr>
        <w:pStyle w:val="ChartandTableFootnote"/>
        <w:rPr>
          <w:lang w:val="en-AU"/>
        </w:rPr>
      </w:pPr>
      <w:bookmarkStart w:id="35" w:name="OLE_LINK2"/>
      <w:r w:rsidRPr="004111A7">
        <w:t>All figures shown above are GST exclusive - these may not match fig</w:t>
      </w:r>
      <w:r w:rsidR="00E53F0D">
        <w:t>ures in the cash flow statement</w:t>
      </w:r>
      <w:r w:rsidR="004B4862">
        <w:rPr>
          <w:lang w:val="en-AU"/>
        </w:rPr>
        <w:t>.</w:t>
      </w:r>
    </w:p>
    <w:p w:rsidR="00EC22C3" w:rsidRPr="004111A7" w:rsidRDefault="00085982" w:rsidP="00EC22C3">
      <w:pPr>
        <w:pStyle w:val="ChartandTableFootnote"/>
      </w:pPr>
      <w:r>
        <w:rPr>
          <w:lang w:val="en-AU"/>
        </w:rPr>
        <w:t>Prepared</w:t>
      </w:r>
      <w:r w:rsidR="00EC22C3" w:rsidRPr="004111A7">
        <w:t xml:space="preserve"> on a resourcing (</w:t>
      </w:r>
      <w:r w:rsidR="00EC22C3" w:rsidRPr="004111A7">
        <w:rPr>
          <w:lang w:val="en-AU"/>
        </w:rPr>
        <w:t>that is,</w:t>
      </w:r>
      <w:r w:rsidR="00EC22C3" w:rsidRPr="004111A7">
        <w:t xml:space="preserve"> appropriations available) basis</w:t>
      </w:r>
      <w:bookmarkEnd w:id="35"/>
      <w:r w:rsidR="00EC22C3" w:rsidRPr="004111A7">
        <w:t>.</w:t>
      </w:r>
    </w:p>
    <w:p w:rsidR="00EC22C3" w:rsidRPr="004111A7" w:rsidRDefault="00EC22C3" w:rsidP="00DA1F4B">
      <w:pPr>
        <w:pStyle w:val="ChartandTableFootnoteAlpha"/>
        <w:numPr>
          <w:ilvl w:val="0"/>
          <w:numId w:val="54"/>
        </w:numPr>
        <w:rPr>
          <w:color w:val="000000"/>
        </w:rPr>
      </w:pPr>
      <w:r>
        <w:rPr>
          <w:color w:val="000000"/>
        </w:rPr>
        <w:t>Appropriation Bill (No. 1) 2022-23</w:t>
      </w:r>
      <w:r w:rsidRPr="004111A7">
        <w:rPr>
          <w:color w:val="000000"/>
        </w:rPr>
        <w:t xml:space="preserve">. </w:t>
      </w:r>
      <w:r w:rsidRPr="004111A7">
        <w:rPr>
          <w:color w:val="000000"/>
        </w:rPr>
        <w:tab/>
      </w:r>
      <w:r w:rsidRPr="004111A7">
        <w:rPr>
          <w:color w:val="000000"/>
        </w:rPr>
        <w:tab/>
      </w:r>
    </w:p>
    <w:p w:rsidR="00EC22C3" w:rsidRPr="004111A7" w:rsidRDefault="00EC22C3" w:rsidP="00DA1F4B">
      <w:pPr>
        <w:pStyle w:val="ChartandTableFootnoteAlpha"/>
        <w:numPr>
          <w:ilvl w:val="0"/>
          <w:numId w:val="54"/>
        </w:numPr>
        <w:rPr>
          <w:color w:val="000000"/>
        </w:rPr>
      </w:pPr>
      <w:bookmarkStart w:id="36" w:name="OLE_LINK3"/>
      <w:r w:rsidRPr="004111A7">
        <w:rPr>
          <w:color w:val="000000"/>
        </w:rPr>
        <w:t>Represents estimated unspent ap</w:t>
      </w:r>
      <w:r>
        <w:rPr>
          <w:color w:val="000000"/>
        </w:rPr>
        <w:t>propriations available from 2020-21</w:t>
      </w:r>
      <w:r w:rsidRPr="004111A7">
        <w:rPr>
          <w:color w:val="000000"/>
        </w:rPr>
        <w:t>.</w:t>
      </w:r>
    </w:p>
    <w:p w:rsidR="00EC22C3" w:rsidRPr="004111A7" w:rsidRDefault="00EC22C3" w:rsidP="00DA1F4B">
      <w:pPr>
        <w:pStyle w:val="ChartandTableFootnoteAlpha"/>
        <w:numPr>
          <w:ilvl w:val="0"/>
          <w:numId w:val="54"/>
        </w:numPr>
        <w:rPr>
          <w:color w:val="000000"/>
        </w:rPr>
      </w:pPr>
      <w:r w:rsidRPr="004111A7">
        <w:rPr>
          <w:color w:val="000000"/>
        </w:rPr>
        <w:t>Excludes de</w:t>
      </w:r>
      <w:r>
        <w:rPr>
          <w:color w:val="000000"/>
        </w:rPr>
        <w:t xml:space="preserve">partmental capital budget (DCB) </w:t>
      </w:r>
      <w:r>
        <w:t>but includes $15.1 million of Appropriation Bill (No.3) 2021</w:t>
      </w:r>
      <w:r>
        <w:noBreakHyphen/>
        <w:t>22.</w:t>
      </w:r>
    </w:p>
    <w:p w:rsidR="00EC22C3" w:rsidRPr="004111A7" w:rsidRDefault="00EC22C3" w:rsidP="00DA1F4B">
      <w:pPr>
        <w:pStyle w:val="ChartandTableFootnoteAlpha"/>
        <w:numPr>
          <w:ilvl w:val="0"/>
          <w:numId w:val="54"/>
        </w:numPr>
        <w:rPr>
          <w:color w:val="000000"/>
        </w:rPr>
      </w:pPr>
      <w:r w:rsidRPr="004111A7">
        <w:rPr>
          <w:color w:val="000000"/>
        </w:rPr>
        <w:t xml:space="preserve">Estimated retained revenue receipts under section 74 of the </w:t>
      </w:r>
      <w:r w:rsidRPr="004111A7">
        <w:rPr>
          <w:i/>
          <w:color w:val="000000"/>
        </w:rPr>
        <w:t>Public Governance, Performance and Accountability Act 2013</w:t>
      </w:r>
      <w:r w:rsidRPr="004111A7">
        <w:rPr>
          <w:color w:val="000000"/>
        </w:rPr>
        <w:t xml:space="preserve"> (PGPA Act).</w:t>
      </w:r>
    </w:p>
    <w:p w:rsidR="00EC22C3" w:rsidRPr="004111A7" w:rsidRDefault="00EC22C3" w:rsidP="00DA1F4B">
      <w:pPr>
        <w:pStyle w:val="ChartandTableFootnoteAlpha"/>
        <w:numPr>
          <w:ilvl w:val="0"/>
          <w:numId w:val="54"/>
        </w:numPr>
        <w:rPr>
          <w:color w:val="000000"/>
        </w:rPr>
      </w:pPr>
      <w:r w:rsidRPr="004111A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EC22C3" w:rsidRPr="004111A7" w:rsidRDefault="00EC22C3" w:rsidP="00DA1F4B">
      <w:pPr>
        <w:pStyle w:val="ChartandTableFootnoteAlpha"/>
        <w:numPr>
          <w:ilvl w:val="0"/>
          <w:numId w:val="54"/>
        </w:numPr>
        <w:rPr>
          <w:color w:val="000000"/>
        </w:rPr>
      </w:pPr>
      <w:r>
        <w:rPr>
          <w:color w:val="000000"/>
        </w:rPr>
        <w:t>Appropriation Bill (No. 2) 2022</w:t>
      </w:r>
      <w:r w:rsidR="00083AD8">
        <w:rPr>
          <w:color w:val="000000"/>
        </w:rPr>
        <w:t>-23</w:t>
      </w:r>
      <w:r w:rsidRPr="004111A7">
        <w:rPr>
          <w:color w:val="000000"/>
        </w:rPr>
        <w:t>.</w:t>
      </w:r>
    </w:p>
    <w:p w:rsidR="00EC22C3" w:rsidRPr="004111A7" w:rsidRDefault="00EC22C3" w:rsidP="00DA1F4B">
      <w:pPr>
        <w:pStyle w:val="ChartandTableFootnoteAlpha"/>
        <w:numPr>
          <w:ilvl w:val="0"/>
          <w:numId w:val="54"/>
        </w:numPr>
        <w:rPr>
          <w:color w:val="000000"/>
        </w:rPr>
      </w:pPr>
      <w:r w:rsidRPr="004111A7">
        <w:rPr>
          <w:color w:val="000000"/>
        </w:rPr>
        <w:t xml:space="preserve">For further information on special appropriations and special accounts, please refer to </w:t>
      </w:r>
      <w:r w:rsidRPr="004111A7">
        <w:rPr>
          <w:i/>
          <w:color w:val="000000"/>
        </w:rPr>
        <w:t>Budget Paper No.4 - Agency Resourcing</w:t>
      </w:r>
      <w:r w:rsidRPr="004111A7">
        <w:rPr>
          <w:color w:val="000000"/>
        </w:rPr>
        <w:t>. Please also refer to Table 2.1.1, 2.2.1 and 2.3.1 for further information on outcome and program expenses broken down by various funding sources, e.g. annual appropriations, special appropriations and special accounts.</w:t>
      </w:r>
    </w:p>
    <w:p w:rsidR="00EC22C3" w:rsidRPr="004111A7" w:rsidRDefault="00EC22C3" w:rsidP="00DA1F4B">
      <w:pPr>
        <w:pStyle w:val="ChartandTableFootnoteAlpha"/>
        <w:numPr>
          <w:ilvl w:val="0"/>
          <w:numId w:val="54"/>
        </w:numPr>
        <w:rPr>
          <w:color w:val="000000"/>
        </w:rPr>
      </w:pPr>
      <w:r w:rsidRPr="004111A7">
        <w:rPr>
          <w:color w:val="000000"/>
        </w:rPr>
        <w:t>Amounts credited to the special account(s) from Finance’s annual and special appropriations.</w:t>
      </w:r>
    </w:p>
    <w:p w:rsidR="00EC22C3" w:rsidRPr="00EC22C3" w:rsidRDefault="00EC22C3" w:rsidP="00DA1F4B">
      <w:pPr>
        <w:pStyle w:val="ChartandTableFootnoteAlpha"/>
        <w:numPr>
          <w:ilvl w:val="0"/>
          <w:numId w:val="54"/>
        </w:numPr>
        <w:rPr>
          <w:color w:val="000000"/>
        </w:rPr>
      </w:pPr>
      <w:r w:rsidRPr="004111A7">
        <w:rPr>
          <w:color w:val="000000"/>
        </w:rPr>
        <w:t>Administered capital budgets are not separately identified in Appropriation Bill (No. 1) and form part of ordinary annual services items. Please refer to Table 3.10 for further details. For accounting purposes, this amount is designated as a 'contribution by owner'.</w:t>
      </w:r>
      <w:bookmarkEnd w:id="36"/>
    </w:p>
    <w:p w:rsidR="0044701E" w:rsidRDefault="0044701E" w:rsidP="00C7638D">
      <w:pPr>
        <w:pStyle w:val="TableHeading"/>
      </w:pPr>
      <w:r w:rsidRPr="00D44150">
        <w:lastRenderedPageBreak/>
        <w:t xml:space="preserve">Table 1.1: </w:t>
      </w:r>
      <w:r>
        <w:rPr>
          <w:lang w:val="en-AU"/>
        </w:rPr>
        <w:t>Department of Finance</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 2022 (continued)</w:t>
      </w:r>
    </w:p>
    <w:p w:rsidR="00C7638D" w:rsidRDefault="00C7638D" w:rsidP="00C7638D">
      <w:pPr>
        <w:pStyle w:val="TableHeading"/>
      </w:pPr>
      <w:r w:rsidRPr="005C4BEE">
        <w:t xml:space="preserve">Third party payments from and on behalf of other </w:t>
      </w:r>
      <w:r w:rsidR="00422F4B">
        <w:t>entities</w:t>
      </w:r>
    </w:p>
    <w:p w:rsidR="002376AD" w:rsidRDefault="00176E68" w:rsidP="00C946DC">
      <w:pPr>
        <w:pStyle w:val="TableGraphic"/>
      </w:pPr>
      <w:bookmarkStart w:id="37" w:name="_Toc190682311"/>
      <w:bookmarkStart w:id="38" w:name="_Toc190682529"/>
      <w:r w:rsidRPr="00176E68">
        <w:rPr>
          <w:noProof/>
        </w:rPr>
        <w:drawing>
          <wp:inline distT="0" distB="0" distL="0" distR="0">
            <wp:extent cx="4832350" cy="56642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32350" cy="5664200"/>
                    </a:xfrm>
                    <a:prstGeom prst="rect">
                      <a:avLst/>
                    </a:prstGeom>
                    <a:noFill/>
                    <a:ln>
                      <a:noFill/>
                    </a:ln>
                  </pic:spPr>
                </pic:pic>
              </a:graphicData>
            </a:graphic>
          </wp:inline>
        </w:drawing>
      </w:r>
    </w:p>
    <w:p w:rsidR="00CB2844" w:rsidRPr="0044701E" w:rsidRDefault="00CB2844" w:rsidP="00CB2844">
      <w:pPr>
        <w:pStyle w:val="ChartandTableFootnote"/>
        <w:rPr>
          <w:color w:val="auto"/>
        </w:rPr>
      </w:pPr>
      <w:r w:rsidRPr="0044701E">
        <w:rPr>
          <w:color w:val="auto"/>
        </w:rPr>
        <w:t>All figures shown above are GST exclusive - these may not match figures in the cash flow statement.</w:t>
      </w:r>
    </w:p>
    <w:p w:rsidR="00CB2844" w:rsidRPr="0044701E" w:rsidRDefault="00CB2844" w:rsidP="00CB2844">
      <w:pPr>
        <w:pStyle w:val="ChartandTableFootnote"/>
        <w:rPr>
          <w:color w:val="auto"/>
        </w:rPr>
      </w:pPr>
      <w:r w:rsidRPr="0044701E">
        <w:rPr>
          <w:color w:val="auto"/>
        </w:rPr>
        <w:t>Prepared on a resourcing (</w:t>
      </w:r>
      <w:r w:rsidRPr="0044701E">
        <w:rPr>
          <w:color w:val="auto"/>
          <w:lang w:val="en-AU"/>
        </w:rPr>
        <w:t>that is,</w:t>
      </w:r>
      <w:r w:rsidRPr="0044701E">
        <w:rPr>
          <w:color w:val="auto"/>
        </w:rPr>
        <w:t xml:space="preserve"> appropriations available) basis.</w:t>
      </w:r>
    </w:p>
    <w:p w:rsidR="004368FE" w:rsidRPr="0044701E" w:rsidRDefault="004368FE" w:rsidP="00DA1F4B">
      <w:pPr>
        <w:pStyle w:val="ChartandTableFootnoteAlpha"/>
        <w:numPr>
          <w:ilvl w:val="0"/>
          <w:numId w:val="53"/>
        </w:numPr>
      </w:pPr>
      <w:bookmarkStart w:id="39" w:name="OLE_LINK4"/>
      <w:r w:rsidRPr="0044701E">
        <w:t>Compensation and legal payments.</w:t>
      </w:r>
    </w:p>
    <w:p w:rsidR="004368FE" w:rsidRPr="0044701E" w:rsidRDefault="004368FE" w:rsidP="00DA1F4B">
      <w:pPr>
        <w:pStyle w:val="ChartandTableFootnoteAlpha"/>
        <w:numPr>
          <w:ilvl w:val="0"/>
          <w:numId w:val="53"/>
        </w:numPr>
      </w:pPr>
      <w:r w:rsidRPr="0044701E">
        <w:t>Act of grace payments</w:t>
      </w:r>
      <w:bookmarkEnd w:id="39"/>
      <w:r w:rsidRPr="0044701E">
        <w:t>.</w:t>
      </w:r>
    </w:p>
    <w:p w:rsidR="0008449F" w:rsidRPr="005A7C0B" w:rsidRDefault="00E06F9F" w:rsidP="00AD42E2">
      <w:pPr>
        <w:pStyle w:val="Heading3"/>
        <w:spacing w:before="0"/>
      </w:pPr>
      <w:r>
        <w:br w:type="page"/>
      </w:r>
      <w:bookmarkStart w:id="40" w:name="_Toc444523511"/>
      <w:bookmarkStart w:id="41" w:name="_Toc98181307"/>
      <w:r w:rsidR="0008449F" w:rsidRPr="005A7C0B">
        <w:lastRenderedPageBreak/>
        <w:t>1.3</w:t>
      </w:r>
      <w:r w:rsidR="0008449F" w:rsidRPr="005A7C0B">
        <w:tab/>
        <w:t>Budget measures</w:t>
      </w:r>
      <w:bookmarkEnd w:id="37"/>
      <w:bookmarkEnd w:id="38"/>
      <w:bookmarkEnd w:id="40"/>
      <w:bookmarkEnd w:id="41"/>
    </w:p>
    <w:p w:rsidR="00F20B6E" w:rsidRDefault="00DC32EC" w:rsidP="0008449F">
      <w:r w:rsidRPr="00DC32EC">
        <w:t xml:space="preserve">Budget measures </w:t>
      </w:r>
      <w:r w:rsidR="005C4BEE">
        <w:t xml:space="preserve">in Part 1 </w:t>
      </w:r>
      <w:r w:rsidRPr="00DC32EC">
        <w:t>relating to</w:t>
      </w:r>
      <w:r w:rsidR="001B03CC">
        <w:t xml:space="preserve"> </w:t>
      </w:r>
      <w:r w:rsidR="001A19ED">
        <w:t xml:space="preserve">Finance </w:t>
      </w:r>
      <w:r w:rsidRPr="00DC32EC">
        <w:t>a</w:t>
      </w:r>
      <w:r w:rsidR="00CB4589">
        <w:t>re detailed in Budget Paper No. </w:t>
      </w:r>
      <w:r w:rsidRPr="00DC32EC">
        <w:t>2</w:t>
      </w:r>
      <w:r w:rsidR="00C2641F">
        <w:t xml:space="preserve"> and are summarised </w:t>
      </w:r>
      <w:r w:rsidR="002C7703">
        <w:t>below</w:t>
      </w:r>
      <w:r w:rsidR="003D4188">
        <w:t>.</w:t>
      </w:r>
    </w:p>
    <w:p w:rsidR="00AF3811" w:rsidRPr="004760E4" w:rsidRDefault="00AF3811" w:rsidP="00E5444F">
      <w:pPr>
        <w:pStyle w:val="TableHeading"/>
      </w:pPr>
      <w:r w:rsidRPr="004760E4">
        <w:t xml:space="preserve">Table 1.2: </w:t>
      </w:r>
      <w:r w:rsidR="007A00E7" w:rsidRPr="004760E4">
        <w:t xml:space="preserve">Department of Finance </w:t>
      </w:r>
      <w:r w:rsidR="00400A8B" w:rsidRPr="004760E4">
        <w:rPr>
          <w:lang w:val="en-AU"/>
        </w:rPr>
        <w:t>2022</w:t>
      </w:r>
      <w:r w:rsidR="00FC6CF3" w:rsidRPr="004760E4">
        <w:rPr>
          <w:lang w:val="en-AU"/>
        </w:rPr>
        <w:t>-</w:t>
      </w:r>
      <w:r w:rsidR="00400A8B" w:rsidRPr="004760E4">
        <w:rPr>
          <w:lang w:val="en-AU"/>
        </w:rPr>
        <w:t xml:space="preserve">23 </w:t>
      </w:r>
      <w:r w:rsidRPr="004760E4">
        <w:t>Budget measures</w:t>
      </w:r>
    </w:p>
    <w:p w:rsidR="00704BB6" w:rsidRPr="007D4044" w:rsidRDefault="00C65397" w:rsidP="007D4044">
      <w:pPr>
        <w:pStyle w:val="TableGraphic"/>
        <w:jc w:val="left"/>
        <w:rPr>
          <w:rFonts w:ascii="Arial" w:hAnsi="Arial" w:cs="Arial"/>
          <w:b/>
        </w:rPr>
      </w:pPr>
      <w:r w:rsidRPr="004760E4">
        <w:rPr>
          <w:rFonts w:ascii="Arial" w:hAnsi="Arial" w:cs="Arial"/>
          <w:b/>
        </w:rPr>
        <w:t xml:space="preserve">Part 1: </w:t>
      </w:r>
      <w:r w:rsidR="007F6CAD" w:rsidRPr="004760E4">
        <w:rPr>
          <w:rFonts w:ascii="Arial" w:hAnsi="Arial" w:cs="Arial"/>
          <w:b/>
        </w:rPr>
        <w:t xml:space="preserve">Measures announced </w:t>
      </w:r>
      <w:r w:rsidR="00FC6CF3" w:rsidRPr="004760E4">
        <w:rPr>
          <w:rFonts w:ascii="Arial" w:hAnsi="Arial" w:cs="Arial"/>
          <w:b/>
        </w:rPr>
        <w:t xml:space="preserve">since </w:t>
      </w:r>
      <w:r w:rsidR="007F6CAD" w:rsidRPr="004760E4">
        <w:rPr>
          <w:rFonts w:ascii="Arial" w:hAnsi="Arial" w:cs="Arial"/>
          <w:b/>
        </w:rPr>
        <w:t xml:space="preserve">the </w:t>
      </w:r>
      <w:r w:rsidR="00400A8B" w:rsidRPr="004760E4">
        <w:rPr>
          <w:rFonts w:ascii="Arial" w:hAnsi="Arial" w:cs="Arial"/>
          <w:b/>
        </w:rPr>
        <w:t>202</w:t>
      </w:r>
      <w:r w:rsidR="002E59C4" w:rsidRPr="004760E4">
        <w:rPr>
          <w:rFonts w:ascii="Arial" w:hAnsi="Arial" w:cs="Arial"/>
          <w:b/>
        </w:rPr>
        <w:t>1</w:t>
      </w:r>
      <w:r w:rsidR="00FC6CF3" w:rsidRPr="004760E4">
        <w:rPr>
          <w:rFonts w:ascii="Arial" w:hAnsi="Arial" w:cs="Arial"/>
          <w:b/>
        </w:rPr>
        <w:t>-</w:t>
      </w:r>
      <w:r w:rsidR="002E59C4" w:rsidRPr="004760E4">
        <w:rPr>
          <w:rFonts w:ascii="Arial" w:hAnsi="Arial" w:cs="Arial"/>
          <w:b/>
        </w:rPr>
        <w:t xml:space="preserve">22 </w:t>
      </w:r>
      <w:r w:rsidR="00FC6CF3" w:rsidRPr="004760E4">
        <w:rPr>
          <w:rFonts w:ascii="Arial" w:hAnsi="Arial" w:cs="Arial"/>
          <w:b/>
        </w:rPr>
        <w:t>Mid-Year Economic and Fiscal Outlook (MYEFO)</w:t>
      </w:r>
    </w:p>
    <w:p w:rsidR="009E2363" w:rsidRDefault="00E22B36" w:rsidP="000C6691">
      <w:pPr>
        <w:pStyle w:val="ChartandTableFootnoteAlpha"/>
        <w:rPr>
          <w:noProof/>
        </w:rPr>
      </w:pPr>
      <w:r w:rsidRPr="00E22B36">
        <w:rPr>
          <w:noProof/>
        </w:rPr>
        <w:drawing>
          <wp:inline distT="0" distB="0" distL="0" distR="0">
            <wp:extent cx="4895850" cy="3461994"/>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95850" cy="3461994"/>
                    </a:xfrm>
                    <a:prstGeom prst="rect">
                      <a:avLst/>
                    </a:prstGeom>
                    <a:noFill/>
                    <a:ln>
                      <a:noFill/>
                    </a:ln>
                  </pic:spPr>
                </pic:pic>
              </a:graphicData>
            </a:graphic>
          </wp:inline>
        </w:drawing>
      </w:r>
    </w:p>
    <w:p w:rsidR="009B4DE3" w:rsidRPr="009B4DE3" w:rsidRDefault="009B4DE3" w:rsidP="000C6691">
      <w:pPr>
        <w:pStyle w:val="ChartandTableFootnoteAlpha"/>
        <w:rPr>
          <w:lang w:val="x-none" w:eastAsia="x-none"/>
        </w:rPr>
      </w:pPr>
      <w:r w:rsidRPr="009B4DE3">
        <w:rPr>
          <w:lang w:val="x-none" w:eastAsia="x-none"/>
        </w:rPr>
        <w:t xml:space="preserve">Prepared on a Government Financial Statistics (Underlying Cash) basis. Figures displayed as a </w:t>
      </w:r>
      <w:r w:rsidR="009B2B31" w:rsidRPr="009B4DE3">
        <w:rPr>
          <w:lang w:val="x-none" w:eastAsia="x-none"/>
        </w:rPr>
        <w:t>negative (-)</w:t>
      </w:r>
    </w:p>
    <w:p w:rsidR="00FF29E9" w:rsidRDefault="009B4DE3" w:rsidP="000C6691">
      <w:pPr>
        <w:pStyle w:val="ChartandTableFootnoteAlpha"/>
        <w:rPr>
          <w:lang w:val="x-none" w:eastAsia="x-none"/>
        </w:rPr>
      </w:pPr>
      <w:r w:rsidRPr="009B4DE3">
        <w:rPr>
          <w:lang w:val="x-none" w:eastAsia="x-none"/>
        </w:rPr>
        <w:t>represent a decrease in funds and a positive (+) represent an increase in funds</w:t>
      </w:r>
      <w:r w:rsidR="00327C00" w:rsidRPr="00327C00">
        <w:rPr>
          <w:lang w:val="x-none" w:eastAsia="x-none"/>
        </w:rPr>
        <w:t>.</w:t>
      </w:r>
    </w:p>
    <w:p w:rsidR="00FF29E9" w:rsidRPr="00FF29E9" w:rsidRDefault="00FF29E9" w:rsidP="00DA1F4B">
      <w:pPr>
        <w:pStyle w:val="ChartandTableFootnoteAlpha"/>
        <w:numPr>
          <w:ilvl w:val="0"/>
          <w:numId w:val="52"/>
        </w:numPr>
        <w:ind w:left="400" w:hanging="400"/>
        <w:rPr>
          <w:lang w:val="x-none" w:eastAsia="x-none"/>
        </w:rPr>
      </w:pPr>
      <w:bookmarkStart w:id="42" w:name="_Toc190682312"/>
      <w:bookmarkStart w:id="43" w:name="_Toc190682530"/>
      <w:r w:rsidRPr="00FF29E9">
        <w:rPr>
          <w:lang w:val="x-none" w:eastAsia="x-none"/>
        </w:rPr>
        <w:t xml:space="preserve">The lead entity for measure titled </w:t>
      </w:r>
      <w:r w:rsidRPr="005412E3">
        <w:rPr>
          <w:i/>
          <w:lang w:val="x-none" w:eastAsia="x-none"/>
        </w:rPr>
        <w:t>Au</w:t>
      </w:r>
      <w:r w:rsidR="00A265E8">
        <w:rPr>
          <w:i/>
          <w:lang w:val="x-none" w:eastAsia="x-none"/>
        </w:rPr>
        <w:t>stralian Export and Trade Support</w:t>
      </w:r>
      <w:r w:rsidRPr="00FF29E9">
        <w:rPr>
          <w:lang w:val="x-none" w:eastAsia="x-none"/>
        </w:rPr>
        <w:t xml:space="preserve"> is the Department of Foreign Affairs and Trade. The full measure description and package details appear in Budget Paper No. 2 under the Foreign Affairs and Trade portfolio. </w:t>
      </w:r>
    </w:p>
    <w:p w:rsidR="00FF29E9" w:rsidRPr="0038297F" w:rsidRDefault="00FF29E9" w:rsidP="00606621">
      <w:pPr>
        <w:pStyle w:val="ChartandTableFootnoteAlpha"/>
        <w:numPr>
          <w:ilvl w:val="0"/>
          <w:numId w:val="52"/>
        </w:numPr>
        <w:ind w:left="400" w:hanging="400"/>
        <w:rPr>
          <w:lang w:val="x-none" w:eastAsia="x-none"/>
        </w:rPr>
      </w:pPr>
      <w:r w:rsidRPr="0038297F">
        <w:rPr>
          <w:lang w:val="x-none" w:eastAsia="x-none"/>
        </w:rPr>
        <w:t xml:space="preserve">The lead entity for measure titled </w:t>
      </w:r>
      <w:r w:rsidR="006976C4" w:rsidRPr="006976C4">
        <w:rPr>
          <w:i/>
          <w:lang w:val="x-none" w:eastAsia="x-none"/>
        </w:rPr>
        <w:t>Digital Economy Strategy</w:t>
      </w:r>
      <w:r w:rsidR="006976C4">
        <w:rPr>
          <w:i/>
          <w:lang w:eastAsia="x-none"/>
        </w:rPr>
        <w:t xml:space="preserve"> </w:t>
      </w:r>
      <w:r w:rsidRPr="0038297F">
        <w:rPr>
          <w:lang w:val="x-none" w:eastAsia="x-none"/>
        </w:rPr>
        <w:t>is the Digital Transformation Agency. The full measure description and package details appear in Budget Paper</w:t>
      </w:r>
      <w:r w:rsidR="000C6691" w:rsidRPr="0038297F">
        <w:rPr>
          <w:lang w:val="x-none" w:eastAsia="x-none"/>
        </w:rPr>
        <w:t xml:space="preserve"> No. 2 under the Prime Minister</w:t>
      </w:r>
      <w:r w:rsidR="0038297F">
        <w:rPr>
          <w:lang w:eastAsia="x-none"/>
        </w:rPr>
        <w:t xml:space="preserve"> </w:t>
      </w:r>
      <w:r w:rsidRPr="0038297F">
        <w:rPr>
          <w:lang w:val="x-none" w:eastAsia="x-none"/>
        </w:rPr>
        <w:t xml:space="preserve">and Cabinet portfolio. </w:t>
      </w:r>
    </w:p>
    <w:p w:rsidR="00FF29E9" w:rsidRPr="0038297F" w:rsidRDefault="00FF29E9" w:rsidP="00DA1F4B">
      <w:pPr>
        <w:pStyle w:val="ChartandTableFootnoteAlpha"/>
        <w:numPr>
          <w:ilvl w:val="0"/>
          <w:numId w:val="52"/>
        </w:numPr>
        <w:ind w:left="400" w:hanging="400"/>
        <w:rPr>
          <w:lang w:val="x-none" w:eastAsia="x-none"/>
        </w:rPr>
      </w:pPr>
      <w:r w:rsidRPr="0038297F">
        <w:rPr>
          <w:lang w:val="x-none" w:eastAsia="x-none"/>
        </w:rPr>
        <w:t xml:space="preserve">The lead entity for measure titled </w:t>
      </w:r>
      <w:r w:rsidRPr="0038297F">
        <w:rPr>
          <w:i/>
          <w:lang w:val="x-none" w:eastAsia="x-none"/>
        </w:rPr>
        <w:t>Health Delivery Modernisation</w:t>
      </w:r>
      <w:r w:rsidR="006976C4">
        <w:rPr>
          <w:i/>
          <w:lang w:eastAsia="x-none"/>
        </w:rPr>
        <w:t xml:space="preserve"> Program – phase three</w:t>
      </w:r>
      <w:r w:rsidRPr="0038297F">
        <w:rPr>
          <w:lang w:val="x-none" w:eastAsia="x-none"/>
        </w:rPr>
        <w:t xml:space="preserve"> is the </w:t>
      </w:r>
      <w:r w:rsidR="000C6691" w:rsidRPr="0038297F">
        <w:rPr>
          <w:lang w:val="x-none" w:eastAsia="x-none"/>
        </w:rPr>
        <w:t>Services Australia.</w:t>
      </w:r>
      <w:r w:rsidR="0038297F">
        <w:rPr>
          <w:lang w:eastAsia="x-none"/>
        </w:rPr>
        <w:t xml:space="preserve"> </w:t>
      </w:r>
      <w:r w:rsidRPr="0038297F">
        <w:rPr>
          <w:lang w:val="x-none" w:eastAsia="x-none"/>
        </w:rPr>
        <w:t xml:space="preserve">The full measure description and package details appear in Budget Paper No. 2 under the Social Services portfolio. </w:t>
      </w:r>
    </w:p>
    <w:p w:rsidR="00FF29E9" w:rsidRPr="00FF29E9" w:rsidRDefault="00FF29E9" w:rsidP="00DA1F4B">
      <w:pPr>
        <w:pStyle w:val="ChartandTableFootnoteAlpha"/>
        <w:numPr>
          <w:ilvl w:val="0"/>
          <w:numId w:val="52"/>
        </w:numPr>
        <w:ind w:left="400" w:hanging="400"/>
        <w:rPr>
          <w:lang w:val="x-none" w:eastAsia="x-none"/>
        </w:rPr>
      </w:pPr>
      <w:r w:rsidRPr="00FF29E9">
        <w:rPr>
          <w:lang w:val="x-none" w:eastAsia="x-none"/>
        </w:rPr>
        <w:t xml:space="preserve">The lead entity for measure titled </w:t>
      </w:r>
      <w:r w:rsidR="006976C4">
        <w:rPr>
          <w:i/>
          <w:lang w:eastAsia="x-none"/>
        </w:rPr>
        <w:t>Large Vessel Infrastructure and Submarine Basing</w:t>
      </w:r>
      <w:r w:rsidRPr="00FF29E9">
        <w:rPr>
          <w:lang w:val="x-none" w:eastAsia="x-none"/>
        </w:rPr>
        <w:t xml:space="preserve"> is the Department of Defence. The full measure description and package details appear in Budget</w:t>
      </w:r>
      <w:r w:rsidR="0012530F">
        <w:rPr>
          <w:lang w:eastAsia="x-none"/>
        </w:rPr>
        <w:t xml:space="preserve"> Paper No.2</w:t>
      </w:r>
      <w:r w:rsidRPr="00FF29E9">
        <w:rPr>
          <w:lang w:val="x-none" w:eastAsia="x-none"/>
        </w:rPr>
        <w:t xml:space="preserve"> under the Defence portfolio. </w:t>
      </w:r>
    </w:p>
    <w:p w:rsidR="00FF29E9" w:rsidRDefault="0091787C" w:rsidP="00DA1F4B">
      <w:pPr>
        <w:pStyle w:val="ChartandTableFootnoteAlpha"/>
        <w:numPr>
          <w:ilvl w:val="0"/>
          <w:numId w:val="52"/>
        </w:numPr>
        <w:ind w:left="400" w:hanging="400"/>
        <w:rPr>
          <w:lang w:val="x-none" w:eastAsia="x-none"/>
        </w:rPr>
      </w:pPr>
      <w:r w:rsidRPr="0091787C">
        <w:rPr>
          <w:lang w:val="x-none" w:eastAsia="x-none"/>
        </w:rPr>
        <w:t xml:space="preserve">The lead entity for measure titled </w:t>
      </w:r>
      <w:r w:rsidR="006976C4">
        <w:rPr>
          <w:i/>
          <w:lang w:eastAsia="x-none"/>
        </w:rPr>
        <w:t>Support for the Australian Space Industry</w:t>
      </w:r>
      <w:r w:rsidRPr="0091787C">
        <w:rPr>
          <w:lang w:val="x-none" w:eastAsia="x-none"/>
        </w:rPr>
        <w:t xml:space="preserve"> is the Department of Industry, Science, Energy and Resources. The full measure description and package details appear in Budget Paper No.2 under the Industry, Science, Energy and Resources portfolio. The financials are not for publication due to commercial sensitivities.</w:t>
      </w:r>
    </w:p>
    <w:p w:rsidR="00BE7D58" w:rsidRPr="00FF29E9" w:rsidRDefault="0049212C" w:rsidP="00E247D5">
      <w:pPr>
        <w:pStyle w:val="Heading2"/>
        <w:rPr>
          <w:lang w:val="x-none" w:eastAsia="x-none"/>
        </w:rPr>
      </w:pPr>
      <w:r>
        <w:br w:type="page"/>
      </w:r>
      <w:bookmarkStart w:id="44" w:name="_Toc444523512"/>
      <w:bookmarkStart w:id="45" w:name="_Toc98181308"/>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44"/>
      <w:bookmarkEnd w:id="45"/>
    </w:p>
    <w:p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rsidR="00A61BD0" w:rsidRPr="00085982" w:rsidRDefault="00BE7D58" w:rsidP="00BE7D58">
      <w:pPr>
        <w:rPr>
          <w:i/>
        </w:rPr>
      </w:pPr>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085982">
        <w:t>.</w:t>
      </w:r>
      <w:r w:rsidR="0051207B" w:rsidRPr="00085982">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rsidTr="009763C1">
        <w:tc>
          <w:tcPr>
            <w:tcW w:w="7700" w:type="dxa"/>
          </w:tcPr>
          <w:p w:rsidR="00CE4D05" w:rsidRPr="00836544" w:rsidRDefault="00CE4D05" w:rsidP="009763C1">
            <w:pPr>
              <w:spacing w:before="120" w:after="120" w:line="240" w:lineRule="auto"/>
              <w:rPr>
                <w:b/>
              </w:rPr>
            </w:pPr>
            <w:r w:rsidRPr="00836544">
              <w:rPr>
                <w:b/>
              </w:rPr>
              <w:t>Note:</w:t>
            </w:r>
          </w:p>
          <w:p w:rsidR="00CE4D05" w:rsidRPr="00836544" w:rsidRDefault="00CE4D05" w:rsidP="009763C1">
            <w:r w:rsidRPr="00836544">
              <w:t>Performance reporting requirements in the Portfolio Budget Statements are part of the Commonwealth performance framework established by the</w:t>
            </w:r>
            <w:r w:rsidR="0012530F">
              <w:rPr>
                <w:i/>
              </w:rPr>
              <w:t xml:space="preserve"> </w:t>
            </w:r>
            <w:r w:rsidR="0012530F" w:rsidRPr="0012530F">
              <w:t>PGPA Act</w:t>
            </w:r>
            <w:r w:rsidRPr="00836544">
              <w:t xml:space="preserve">. It is anticipated that the performance </w:t>
            </w:r>
            <w:r w:rsidR="001A50DE" w:rsidRPr="00836544">
              <w:t xml:space="preserve">measure </w:t>
            </w:r>
            <w:r w:rsidRPr="00836544">
              <w:t>described in Portfolio Budget Statements will be read with broader information provided in an entity’s corporate plans and annual performance statements – included in Annual Reports - to provide a complete picture of an entity’s planned and actual performance.</w:t>
            </w:r>
          </w:p>
          <w:p w:rsidR="00CE4D05" w:rsidRPr="00836544" w:rsidRDefault="00CE4D05" w:rsidP="009763C1">
            <w:r w:rsidRPr="00836544">
              <w:t>The most rece</w:t>
            </w:r>
            <w:r w:rsidR="0028585E" w:rsidRPr="00836544">
              <w:t>nt corporate plan for Finance</w:t>
            </w:r>
            <w:r w:rsidRPr="00836544">
              <w:t xml:space="preserve"> can be found at: </w:t>
            </w:r>
            <w:r w:rsidR="0028585E" w:rsidRPr="00A21EC8">
              <w:rPr>
                <w:u w:val="single"/>
              </w:rPr>
              <w:t>https://www.finance.gov.au/publications/corporate-plan/corporate-plan-2021-22</w:t>
            </w:r>
            <w:r w:rsidR="0028585E" w:rsidRPr="00836544">
              <w:t>.</w:t>
            </w:r>
          </w:p>
          <w:p w:rsidR="00CE4D05" w:rsidRDefault="00CE4D05" w:rsidP="00845E77">
            <w:r w:rsidRPr="00836544">
              <w:t xml:space="preserve">The most recent annual performance statement can be found at: </w:t>
            </w:r>
            <w:r w:rsidR="0028585E" w:rsidRPr="00A21EC8">
              <w:rPr>
                <w:u w:val="single"/>
              </w:rPr>
              <w:t>https://www.finance.gov.au/publications/annual-report/annual-report-2020-21</w:t>
            </w:r>
            <w:r w:rsidR="0028585E" w:rsidRPr="00836544">
              <w:t xml:space="preserve"> </w:t>
            </w:r>
            <w:r w:rsidR="00740399" w:rsidRPr="00836544">
              <w:t xml:space="preserve">and </w:t>
            </w:r>
            <w:r w:rsidR="00740399" w:rsidRPr="00A21EC8">
              <w:rPr>
                <w:u w:val="single"/>
              </w:rPr>
              <w:t>https://www.transparency.gov.au/annual</w:t>
            </w:r>
            <w:r w:rsidR="00740399" w:rsidRPr="00A21EC8">
              <w:rPr>
                <w:u w:val="single"/>
              </w:rPr>
              <w:noBreakHyphen/>
              <w:t>reports/department</w:t>
            </w:r>
            <w:r w:rsidR="00740399" w:rsidRPr="00A21EC8">
              <w:rPr>
                <w:u w:val="single"/>
              </w:rPr>
              <w:noBreakHyphen/>
              <w:t>finance/reporting-year/2020-21</w:t>
            </w:r>
            <w:r w:rsidR="0028585E" w:rsidRPr="00836544">
              <w:t>.</w:t>
            </w:r>
          </w:p>
        </w:tc>
      </w:tr>
    </w:tbl>
    <w:p w:rsidR="00810C6A" w:rsidRDefault="00810C6A" w:rsidP="00BE7D58">
      <w:pPr>
        <w:rPr>
          <w:highlight w:val="yellow"/>
        </w:rPr>
      </w:pPr>
    </w:p>
    <w:p w:rsidR="008866EF" w:rsidRDefault="008866EF">
      <w:pPr>
        <w:spacing w:after="0" w:line="240" w:lineRule="auto"/>
        <w:jc w:val="left"/>
        <w:rPr>
          <w:rFonts w:ascii="Arial Bold" w:hAnsi="Arial Bold"/>
          <w:b/>
          <w:sz w:val="22"/>
        </w:rPr>
      </w:pPr>
      <w:bookmarkStart w:id="46" w:name="_Toc444523513"/>
      <w:r>
        <w:br w:type="page"/>
      </w:r>
    </w:p>
    <w:p w:rsidR="003876AB" w:rsidRPr="00F743D8" w:rsidRDefault="008462FB" w:rsidP="003876AB">
      <w:pPr>
        <w:pStyle w:val="Heading3"/>
      </w:pPr>
      <w:bookmarkStart w:id="47" w:name="_Toc98181309"/>
      <w:r>
        <w:lastRenderedPageBreak/>
        <w:t>2.1</w:t>
      </w:r>
      <w:r w:rsidR="003876AB" w:rsidRPr="00F743D8">
        <w:t xml:space="preserve"> </w:t>
      </w:r>
      <w:r w:rsidR="003876AB" w:rsidRPr="00F743D8">
        <w:tab/>
        <w:t xml:space="preserve">Budgeted expenses and performance for Outcome </w:t>
      </w:r>
      <w:bookmarkEnd w:id="46"/>
      <w:r w:rsidR="004B04CB">
        <w:t>1</w:t>
      </w:r>
      <w:bookmarkEnd w:id="4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rsidTr="00705172">
        <w:tc>
          <w:tcPr>
            <w:tcW w:w="7704" w:type="dxa"/>
            <w:shd w:val="clear" w:color="auto" w:fill="E6E6E6"/>
          </w:tcPr>
          <w:p w:rsidR="00BE7D58" w:rsidRPr="005E6F2B" w:rsidRDefault="00701955" w:rsidP="003876AB">
            <w:pPr>
              <w:pStyle w:val="TableColumnHeadingLeft"/>
            </w:pPr>
            <w:r w:rsidRPr="00701955">
              <w:t>Outcome 1: Support sustainable Australian Government finances through providing high quality policy advice and operational support to the government and Commonwealth entities to maintain effective and efficient use of public resources.</w:t>
            </w:r>
          </w:p>
        </w:tc>
      </w:tr>
    </w:tbl>
    <w:p w:rsidR="00451501" w:rsidRPr="005E6F2B" w:rsidRDefault="00451501" w:rsidP="00451501">
      <w:pPr>
        <w:pStyle w:val="NoSpacing"/>
      </w:pPr>
    </w:p>
    <w:p w:rsidR="00B86CCD" w:rsidRPr="00446612" w:rsidRDefault="00B86CCD" w:rsidP="00F00984">
      <w:pPr>
        <w:pStyle w:val="Heading5"/>
      </w:pPr>
      <w:r w:rsidRPr="00446612">
        <w:t xml:space="preserve">Budgeted expenses for Outcome </w:t>
      </w:r>
      <w:r w:rsidR="00705172">
        <w:t>1</w:t>
      </w:r>
    </w:p>
    <w:p w:rsidR="0051207B" w:rsidRDefault="0051207B" w:rsidP="0051207B">
      <w:r w:rsidRPr="0006171A">
        <w:t>Thi</w:t>
      </w:r>
      <w:r w:rsidRPr="00393D23">
        <w:t xml:space="preserve">s table shows how much the entity intends to spend (on an accrual basis) on achieving the outcome, broken down by </w:t>
      </w:r>
      <w:r w:rsidR="00290933" w:rsidRPr="00393D23">
        <w:t>program,</w:t>
      </w:r>
      <w:r w:rsidRPr="00393D23">
        <w:t xml:space="preserve"> as well as by Administered an</w:t>
      </w:r>
      <w:r w:rsidR="00B166C6" w:rsidRPr="00393D23">
        <w:t>d Departmental funding sources</w:t>
      </w:r>
      <w:r w:rsidR="00B166C6">
        <w:t>.</w:t>
      </w:r>
    </w:p>
    <w:p w:rsidR="006E4DF1" w:rsidRPr="006E4DF1" w:rsidRDefault="00090974" w:rsidP="006E4DF1">
      <w:pPr>
        <w:spacing w:after="0"/>
        <w:rPr>
          <w:b/>
        </w:rPr>
      </w:pPr>
      <w:r w:rsidRPr="0014334B">
        <w:rPr>
          <w:b/>
        </w:rPr>
        <w:t>Table 2.1</w:t>
      </w:r>
      <w:r w:rsidR="006E4DF1" w:rsidRPr="0014334B">
        <w:rPr>
          <w:b/>
        </w:rPr>
        <w:t>.1:</w:t>
      </w:r>
      <w:r w:rsidR="00705172" w:rsidRPr="0014334B">
        <w:rPr>
          <w:b/>
        </w:rPr>
        <w:t xml:space="preserve"> Budgeted expenses for Outcome 1</w:t>
      </w:r>
    </w:p>
    <w:p w:rsidR="00DF2C5D" w:rsidRDefault="00EA086C" w:rsidP="00DF2C5D">
      <w:pPr>
        <w:pStyle w:val="TableHeading"/>
      </w:pPr>
      <w:r w:rsidRPr="00EA086C">
        <w:rPr>
          <w:noProof/>
          <w:lang w:val="en-AU" w:eastAsia="en-AU"/>
        </w:rPr>
        <w:drawing>
          <wp:inline distT="0" distB="0" distL="0" distR="0">
            <wp:extent cx="4895850" cy="2707284"/>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95850" cy="2707284"/>
                    </a:xfrm>
                    <a:prstGeom prst="rect">
                      <a:avLst/>
                    </a:prstGeom>
                    <a:noFill/>
                    <a:ln>
                      <a:noFill/>
                    </a:ln>
                  </pic:spPr>
                </pic:pic>
              </a:graphicData>
            </a:graphic>
          </wp:inline>
        </w:drawing>
      </w:r>
    </w:p>
    <w:p w:rsidR="00F55863" w:rsidRPr="00F631F4" w:rsidRDefault="00F55863" w:rsidP="00DA1F4B">
      <w:pPr>
        <w:pStyle w:val="ChartandTableFootnote"/>
        <w:numPr>
          <w:ilvl w:val="0"/>
          <w:numId w:val="51"/>
        </w:numPr>
        <w:tabs>
          <w:tab w:val="clear" w:pos="284"/>
        </w:tabs>
        <w:rPr>
          <w:color w:val="auto"/>
        </w:rPr>
      </w:pPr>
      <w:r w:rsidRPr="00F631F4">
        <w:rPr>
          <w:color w:val="auto"/>
        </w:rPr>
        <w:t xml:space="preserve">Departmental appropriation combines ordinary annual services (Appropriation Bill No. 1) and </w:t>
      </w:r>
      <w:r w:rsidRPr="00F631F4">
        <w:rPr>
          <w:color w:val="auto"/>
        </w:rPr>
        <w:br/>
      </w:r>
      <w:r w:rsidRPr="00F631F4">
        <w:rPr>
          <w:color w:val="auto"/>
          <w:lang w:val="en-AU"/>
        </w:rPr>
        <w:t xml:space="preserve">estimated receipts retained under section </w:t>
      </w:r>
      <w:r w:rsidRPr="00F631F4">
        <w:rPr>
          <w:color w:val="auto"/>
        </w:rPr>
        <w:t xml:space="preserve">74 </w:t>
      </w:r>
      <w:r w:rsidRPr="00F631F4">
        <w:rPr>
          <w:color w:val="auto"/>
          <w:lang w:val="en-AU"/>
        </w:rPr>
        <w:t>of the PGPA Act.</w:t>
      </w:r>
    </w:p>
    <w:p w:rsidR="00F55863" w:rsidRPr="00F631F4" w:rsidRDefault="00F55863" w:rsidP="00DA1F4B">
      <w:pPr>
        <w:pStyle w:val="ChartandTableFootnote"/>
        <w:numPr>
          <w:ilvl w:val="0"/>
          <w:numId w:val="51"/>
        </w:numPr>
        <w:tabs>
          <w:tab w:val="clear" w:pos="284"/>
        </w:tabs>
        <w:rPr>
          <w:color w:val="auto"/>
        </w:rPr>
      </w:pPr>
      <w:r w:rsidRPr="00F631F4">
        <w:rPr>
          <w:color w:val="auto"/>
        </w:rPr>
        <w:t>Expenses not requiring appropriation in the Budget year is made up of</w:t>
      </w:r>
      <w:r w:rsidRPr="00F631F4">
        <w:rPr>
          <w:color w:val="auto"/>
          <w:lang w:val="en-AU"/>
        </w:rPr>
        <w:t xml:space="preserve"> </w:t>
      </w:r>
      <w:r w:rsidRPr="00F631F4">
        <w:rPr>
          <w:color w:val="auto"/>
        </w:rPr>
        <w:t xml:space="preserve">depreciation expenses and </w:t>
      </w:r>
      <w:r w:rsidRPr="00F631F4">
        <w:rPr>
          <w:color w:val="auto"/>
          <w:lang w:val="en-AU"/>
        </w:rPr>
        <w:t xml:space="preserve">amortisation </w:t>
      </w:r>
      <w:r w:rsidRPr="00F631F4">
        <w:rPr>
          <w:color w:val="auto"/>
        </w:rPr>
        <w:t>expenses.</w:t>
      </w:r>
    </w:p>
    <w:p w:rsidR="00F631F4" w:rsidRPr="00F631F4" w:rsidRDefault="00F631F4" w:rsidP="00085982">
      <w:pPr>
        <w:pStyle w:val="ChartandTableFootnote"/>
        <w:tabs>
          <w:tab w:val="clear" w:pos="284"/>
        </w:tabs>
        <w:rPr>
          <w:color w:val="auto"/>
        </w:rPr>
      </w:pPr>
    </w:p>
    <w:p w:rsidR="000C09FE" w:rsidRPr="00085982" w:rsidRDefault="00AD4C11" w:rsidP="00D64F82">
      <w:pPr>
        <w:pStyle w:val="ChartandTableFootnote"/>
        <w:jc w:val="left"/>
        <w:rPr>
          <w:color w:val="auto"/>
        </w:rPr>
      </w:pPr>
      <w:r>
        <w:rPr>
          <w:color w:val="auto"/>
        </w:rPr>
        <w:t xml:space="preserve">Note: </w:t>
      </w:r>
      <w:r w:rsidR="000C09FE" w:rsidRPr="00085982">
        <w:rPr>
          <w:color w:val="auto"/>
        </w:rPr>
        <w:t>Departmental appropriation splits and totals are indicative estimates and may change in the course of</w:t>
      </w:r>
      <w:r w:rsidR="00D64F82" w:rsidRPr="00085982">
        <w:rPr>
          <w:color w:val="auto"/>
          <w:lang w:val="en-AU"/>
        </w:rPr>
        <w:t xml:space="preserve"> </w:t>
      </w:r>
      <w:r w:rsidR="000C09FE" w:rsidRPr="00085982">
        <w:rPr>
          <w:color w:val="auto"/>
        </w:rPr>
        <w:t>the Budget year as government priorities change.</w:t>
      </w:r>
    </w:p>
    <w:p w:rsidR="000C09FE" w:rsidRPr="00085982" w:rsidRDefault="000C09FE" w:rsidP="000C09FE">
      <w:pPr>
        <w:pStyle w:val="ChartandTableFootnote"/>
        <w:rPr>
          <w:rFonts w:ascii="Book Antiqua" w:hAnsi="Book Antiqua"/>
          <w:color w:val="auto"/>
          <w:sz w:val="20"/>
        </w:rPr>
      </w:pPr>
    </w:p>
    <w:p w:rsidR="00085982" w:rsidRDefault="00085982">
      <w:pPr>
        <w:spacing w:after="0" w:line="240" w:lineRule="auto"/>
        <w:jc w:val="left"/>
      </w:pPr>
      <w:bookmarkStart w:id="48" w:name="_Toc190682315"/>
      <w:bookmarkStart w:id="49" w:name="_Toc190682532"/>
      <w:bookmarkEnd w:id="42"/>
      <w:bookmarkEnd w:id="43"/>
      <w:r>
        <w:br w:type="page"/>
      </w:r>
    </w:p>
    <w:p w:rsidR="00744525" w:rsidRDefault="00090974" w:rsidP="00393D23">
      <w:pPr>
        <w:pStyle w:val="TableHeading"/>
      </w:pPr>
      <w:r w:rsidRPr="00393D23">
        <w:lastRenderedPageBreak/>
        <w:t>Table 2.1.2</w:t>
      </w:r>
      <w:r w:rsidR="008E5BB7" w:rsidRPr="00393D23">
        <w:t xml:space="preserve">: Performance </w:t>
      </w:r>
      <w:r w:rsidR="001A50DE" w:rsidRPr="00393D23">
        <w:t xml:space="preserve">measure </w:t>
      </w:r>
      <w:r w:rsidRPr="00393D23">
        <w:t>for Outcome 1</w:t>
      </w:r>
    </w:p>
    <w:p w:rsidR="006819B5" w:rsidRPr="00EE2B7C" w:rsidRDefault="00090974" w:rsidP="00AE21E0">
      <w:pPr>
        <w:pStyle w:val="TableHeading"/>
        <w:spacing w:after="240" w:line="260" w:lineRule="exact"/>
        <w:jc w:val="both"/>
        <w:rPr>
          <w:rFonts w:ascii="Book Antiqua" w:hAnsi="Book Antiqua"/>
          <w:b w:val="0"/>
          <w:color w:val="auto"/>
          <w:lang w:val="en-AU" w:eastAsia="en-AU"/>
        </w:rPr>
      </w:pPr>
      <w:r w:rsidRPr="00393D23">
        <w:rPr>
          <w:rFonts w:ascii="Book Antiqua" w:hAnsi="Book Antiqua"/>
          <w:b w:val="0"/>
          <w:color w:val="auto"/>
          <w:lang w:val="en-AU" w:eastAsia="en-AU"/>
        </w:rPr>
        <w:t>Table 2.1</w:t>
      </w:r>
      <w:r w:rsidR="00E12264" w:rsidRPr="00393D23">
        <w:rPr>
          <w:rFonts w:ascii="Book Antiqua" w:hAnsi="Book Antiqua"/>
          <w:b w:val="0"/>
          <w:color w:val="auto"/>
          <w:lang w:val="en-AU" w:eastAsia="en-AU"/>
        </w:rPr>
        <w:t>.</w:t>
      </w:r>
      <w:r w:rsidRPr="00393D23">
        <w:rPr>
          <w:rFonts w:ascii="Book Antiqua" w:hAnsi="Book Antiqua"/>
          <w:b w:val="0"/>
          <w:color w:val="auto"/>
          <w:lang w:val="en-AU" w:eastAsia="en-AU"/>
        </w:rPr>
        <w:t>2</w:t>
      </w:r>
      <w:r w:rsidR="00E12264" w:rsidRPr="00393D23">
        <w:rPr>
          <w:rFonts w:ascii="Book Antiqua" w:hAnsi="Book Antiqua"/>
          <w:b w:val="0"/>
          <w:color w:val="auto"/>
          <w:lang w:val="en-AU" w:eastAsia="en-AU"/>
        </w:rPr>
        <w:t xml:space="preserve"> </w:t>
      </w:r>
      <w:r w:rsidR="002B72F0" w:rsidRPr="00393D23">
        <w:rPr>
          <w:rFonts w:ascii="Book Antiqua" w:hAnsi="Book Antiqua"/>
          <w:b w:val="0"/>
          <w:color w:val="auto"/>
          <w:lang w:val="en-AU" w:eastAsia="en-AU"/>
        </w:rPr>
        <w:t xml:space="preserve">details the performance measures for each </w:t>
      </w:r>
      <w:r w:rsidR="0026165D">
        <w:rPr>
          <w:rFonts w:ascii="Book Antiqua" w:hAnsi="Book Antiqua"/>
          <w:b w:val="0"/>
          <w:color w:val="auto"/>
          <w:lang w:val="en-AU" w:eastAsia="en-AU"/>
        </w:rPr>
        <w:t>program associated with Outcome </w:t>
      </w:r>
      <w:r w:rsidR="002B72F0" w:rsidRPr="00393D23">
        <w:rPr>
          <w:rFonts w:ascii="Book Antiqua" w:hAnsi="Book Antiqua"/>
          <w:b w:val="0"/>
          <w:color w:val="auto"/>
          <w:lang w:val="en-AU" w:eastAsia="en-AU"/>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257"/>
        <w:gridCol w:w="3870"/>
      </w:tblGrid>
      <w:tr w:rsidR="000627C7" w:rsidRPr="00C41058" w:rsidTr="0069681B">
        <w:trPr>
          <w:trHeight w:val="574"/>
          <w:tblHeader/>
        </w:trPr>
        <w:tc>
          <w:tcPr>
            <w:tcW w:w="7655" w:type="dxa"/>
            <w:gridSpan w:val="3"/>
            <w:shd w:val="clear" w:color="auto" w:fill="F2F2F2"/>
          </w:tcPr>
          <w:p w:rsidR="000627C7" w:rsidRPr="00C41058" w:rsidRDefault="00F10F88" w:rsidP="00C14E79">
            <w:pPr>
              <w:pStyle w:val="TableColumnHeadingLeft"/>
              <w:autoSpaceDE w:val="0"/>
              <w:autoSpaceDN w:val="0"/>
              <w:adjustRightInd w:val="0"/>
              <w:contextualSpacing/>
            </w:pPr>
            <w:r w:rsidRPr="00F10F88">
              <w:rPr>
                <w:rStyle w:val="TableHeadingChar"/>
                <w:b/>
              </w:rPr>
              <w:t xml:space="preserve">Outcome 1 – </w:t>
            </w:r>
            <w:r w:rsidRPr="00F10F88">
              <w:rPr>
                <w:rStyle w:val="TableHeadingChar"/>
              </w:rPr>
              <w:t>Support sustainable Australian Government finances through providing high-quality policy advice and operational support to the Government and Commonwealth entities to maintain effective and efficient use of public resources.</w:t>
            </w:r>
          </w:p>
        </w:tc>
      </w:tr>
      <w:tr w:rsidR="000627C7" w:rsidRPr="001B2F81" w:rsidTr="0069681B">
        <w:trPr>
          <w:trHeight w:val="526"/>
          <w:tblHeader/>
        </w:trPr>
        <w:tc>
          <w:tcPr>
            <w:tcW w:w="7655" w:type="dxa"/>
            <w:gridSpan w:val="3"/>
            <w:shd w:val="clear" w:color="auto" w:fill="F2F2F2"/>
          </w:tcPr>
          <w:p w:rsidR="00F10F88" w:rsidRPr="002D21E3" w:rsidRDefault="00F10F88" w:rsidP="00C14E79">
            <w:pPr>
              <w:pStyle w:val="TableTextLeft"/>
              <w:autoSpaceDE w:val="0"/>
              <w:autoSpaceDN w:val="0"/>
              <w:adjustRightInd w:val="0"/>
              <w:contextualSpacing/>
              <w:rPr>
                <w:b/>
                <w:szCs w:val="18"/>
              </w:rPr>
            </w:pPr>
            <w:r w:rsidRPr="002D21E3">
              <w:rPr>
                <w:b/>
                <w:szCs w:val="18"/>
              </w:rPr>
              <w:t xml:space="preserve">Program 1.1 – Budget and Financial Management </w:t>
            </w:r>
          </w:p>
          <w:p w:rsidR="000627C7" w:rsidRPr="00F10F88" w:rsidRDefault="00F10F88" w:rsidP="00C14E79">
            <w:pPr>
              <w:pStyle w:val="TableTextLeft"/>
              <w:autoSpaceDE w:val="0"/>
              <w:autoSpaceDN w:val="0"/>
              <w:adjustRightInd w:val="0"/>
              <w:contextualSpacing/>
            </w:pPr>
            <w:r w:rsidRPr="002D21E3">
              <w:rPr>
                <w:szCs w:val="18"/>
              </w:rPr>
              <w:t>This program contributes to the outcome through advising the Finance Minister and Expenditure Review Committee (ERC) on fiscal and economic policies and related matters; supporting the Finance Minister in meeting financial reporting responsibilities; and supporting the delivery of the Budget.</w:t>
            </w:r>
          </w:p>
        </w:tc>
      </w:tr>
      <w:tr w:rsidR="000627C7" w:rsidRPr="00160C23" w:rsidTr="0069681B">
        <w:trPr>
          <w:trHeight w:val="700"/>
        </w:trPr>
        <w:tc>
          <w:tcPr>
            <w:tcW w:w="1528" w:type="dxa"/>
            <w:tcBorders>
              <w:bottom w:val="double" w:sz="4" w:space="0" w:color="auto"/>
            </w:tcBorders>
          </w:tcPr>
          <w:p w:rsidR="000627C7" w:rsidRPr="00160C23" w:rsidRDefault="000627C7" w:rsidP="00EE2B7C">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tc>
        <w:tc>
          <w:tcPr>
            <w:tcW w:w="6127" w:type="dxa"/>
            <w:gridSpan w:val="2"/>
            <w:tcBorders>
              <w:bottom w:val="double" w:sz="4" w:space="0" w:color="auto"/>
            </w:tcBorders>
          </w:tcPr>
          <w:p w:rsidR="00F10F88" w:rsidRPr="00F10F88" w:rsidRDefault="00F10F88" w:rsidP="00EE2B7C">
            <w:pPr>
              <w:tabs>
                <w:tab w:val="left" w:pos="709"/>
              </w:tabs>
              <w:spacing w:before="60" w:after="60" w:line="240" w:lineRule="auto"/>
              <w:rPr>
                <w:rFonts w:ascii="Arial" w:hAnsi="Arial" w:cs="Arial"/>
                <w:b/>
                <w:bCs/>
                <w:sz w:val="16"/>
                <w:szCs w:val="16"/>
              </w:rPr>
            </w:pPr>
            <w:r w:rsidRPr="00F10F88">
              <w:rPr>
                <w:rFonts w:ascii="Arial" w:hAnsi="Arial" w:cs="Arial"/>
                <w:b/>
                <w:bCs/>
                <w:sz w:val="16"/>
                <w:szCs w:val="16"/>
              </w:rPr>
              <w:t>Deliver Budget updates, appropriation bills and financial statements</w:t>
            </w:r>
          </w:p>
          <w:p w:rsidR="000627C7" w:rsidRPr="00F10F88" w:rsidRDefault="00F10F88" w:rsidP="00EE2B7C">
            <w:pPr>
              <w:tabs>
                <w:tab w:val="left" w:pos="709"/>
              </w:tabs>
              <w:spacing w:before="60" w:after="60" w:line="240" w:lineRule="auto"/>
              <w:rPr>
                <w:rFonts w:ascii="Arial" w:hAnsi="Arial" w:cs="Arial"/>
                <w:bCs/>
                <w:sz w:val="16"/>
                <w:szCs w:val="16"/>
              </w:rPr>
            </w:pPr>
            <w:r w:rsidRPr="00F10F88">
              <w:rPr>
                <w:rFonts w:ascii="Arial" w:hAnsi="Arial" w:cs="Arial"/>
                <w:bCs/>
                <w:sz w:val="16"/>
                <w:szCs w:val="16"/>
              </w:rPr>
              <w:t>Coordinate, prepare and advise the Minister for Finance and the Expenditure Review Committee of Cabinet on the delivery of the Budget and related economic updates, including appropriations legislation and the Government’s financial statements, to contribute to promoting the Government’s fiscal strategy and policy objectives.</w:t>
            </w:r>
          </w:p>
        </w:tc>
      </w:tr>
      <w:tr w:rsidR="00A43E54" w:rsidRPr="002A0954" w:rsidTr="0069681B">
        <w:trPr>
          <w:trHeight w:val="312"/>
        </w:trPr>
        <w:tc>
          <w:tcPr>
            <w:tcW w:w="1528" w:type="dxa"/>
            <w:tcBorders>
              <w:top w:val="double" w:sz="4" w:space="0" w:color="auto"/>
              <w:bottom w:val="single" w:sz="4" w:space="0" w:color="auto"/>
              <w:right w:val="single" w:sz="4" w:space="0" w:color="auto"/>
            </w:tcBorders>
          </w:tcPr>
          <w:p w:rsidR="00A43E54" w:rsidRPr="002A0954" w:rsidRDefault="00A43E54" w:rsidP="007E3F9D">
            <w:pPr>
              <w:tabs>
                <w:tab w:val="left" w:pos="709"/>
              </w:tabs>
              <w:spacing w:before="60" w:after="60"/>
              <w:rPr>
                <w:rFonts w:ascii="Arial" w:hAnsi="Arial" w:cs="Arial"/>
                <w:b/>
                <w:bCs/>
                <w:sz w:val="16"/>
                <w:szCs w:val="16"/>
              </w:rPr>
            </w:pPr>
            <w:r w:rsidRPr="00221251">
              <w:rPr>
                <w:rFonts w:ascii="Arial" w:hAnsi="Arial" w:cs="Arial"/>
                <w:b/>
                <w:bCs/>
                <w:sz w:val="16"/>
                <w:szCs w:val="16"/>
              </w:rPr>
              <w:t>Year</w:t>
            </w:r>
          </w:p>
        </w:tc>
        <w:tc>
          <w:tcPr>
            <w:tcW w:w="2257" w:type="dxa"/>
            <w:tcBorders>
              <w:top w:val="double" w:sz="4" w:space="0" w:color="auto"/>
              <w:left w:val="single" w:sz="4" w:space="0" w:color="auto"/>
              <w:bottom w:val="single" w:sz="4" w:space="0" w:color="auto"/>
              <w:right w:val="single" w:sz="4" w:space="0" w:color="auto"/>
            </w:tcBorders>
          </w:tcPr>
          <w:p w:rsidR="00A43E54" w:rsidRPr="002A0954" w:rsidRDefault="00A43E54" w:rsidP="007E3F9D">
            <w:pPr>
              <w:tabs>
                <w:tab w:val="left" w:pos="709"/>
                <w:tab w:val="center" w:pos="1818"/>
              </w:tabs>
              <w:spacing w:before="60" w:after="60"/>
              <w:rPr>
                <w:rFonts w:ascii="Arial" w:hAnsi="Arial" w:cs="Arial"/>
                <w:b/>
                <w:bCs/>
                <w:sz w:val="16"/>
                <w:szCs w:val="16"/>
              </w:rPr>
            </w:pPr>
            <w:r w:rsidRPr="00221251">
              <w:rPr>
                <w:rFonts w:ascii="Arial" w:hAnsi="Arial" w:cs="Arial"/>
                <w:b/>
                <w:bCs/>
                <w:sz w:val="16"/>
                <w:szCs w:val="16"/>
              </w:rPr>
              <w:t>Performance measures</w:t>
            </w:r>
          </w:p>
        </w:tc>
        <w:tc>
          <w:tcPr>
            <w:tcW w:w="3870" w:type="dxa"/>
            <w:tcBorders>
              <w:top w:val="double" w:sz="4" w:space="0" w:color="auto"/>
              <w:left w:val="single" w:sz="4" w:space="0" w:color="auto"/>
              <w:bottom w:val="single" w:sz="4" w:space="0" w:color="auto"/>
            </w:tcBorders>
          </w:tcPr>
          <w:p w:rsidR="00A43E54" w:rsidRPr="002A0954" w:rsidRDefault="00A43E54" w:rsidP="007E3F9D">
            <w:pPr>
              <w:tabs>
                <w:tab w:val="left" w:pos="709"/>
              </w:tabs>
              <w:spacing w:before="60" w:after="60"/>
              <w:rPr>
                <w:rFonts w:ascii="Arial" w:hAnsi="Arial" w:cs="Arial"/>
                <w:b/>
                <w:bCs/>
                <w:sz w:val="16"/>
                <w:szCs w:val="16"/>
              </w:rPr>
            </w:pPr>
            <w:r w:rsidRPr="00221251">
              <w:rPr>
                <w:rFonts w:ascii="Arial" w:hAnsi="Arial" w:cs="Arial"/>
                <w:b/>
                <w:bCs/>
                <w:sz w:val="16"/>
                <w:szCs w:val="16"/>
              </w:rPr>
              <w:t>Expected Performance Results</w:t>
            </w:r>
          </w:p>
        </w:tc>
      </w:tr>
      <w:tr w:rsidR="00A43E54" w:rsidRPr="008C2E0D" w:rsidTr="00A43E54">
        <w:trPr>
          <w:trHeight w:val="642"/>
        </w:trPr>
        <w:tc>
          <w:tcPr>
            <w:tcW w:w="1528" w:type="dxa"/>
            <w:tcBorders>
              <w:top w:val="single" w:sz="4" w:space="0" w:color="auto"/>
              <w:right w:val="single" w:sz="4" w:space="0" w:color="auto"/>
            </w:tcBorders>
          </w:tcPr>
          <w:p w:rsidR="00A43E54" w:rsidRPr="00361E69" w:rsidRDefault="00A43E54" w:rsidP="001079D3">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p>
        </w:tc>
        <w:tc>
          <w:tcPr>
            <w:tcW w:w="2257" w:type="dxa"/>
            <w:tcBorders>
              <w:top w:val="single" w:sz="4" w:space="0" w:color="auto"/>
              <w:left w:val="single" w:sz="4" w:space="0" w:color="auto"/>
              <w:bottom w:val="single" w:sz="4" w:space="0" w:color="auto"/>
              <w:right w:val="single" w:sz="4" w:space="0" w:color="auto"/>
            </w:tcBorders>
          </w:tcPr>
          <w:p w:rsidR="00A43E54" w:rsidRPr="00361E69" w:rsidRDefault="00A43E54" w:rsidP="00821C36">
            <w:pPr>
              <w:tabs>
                <w:tab w:val="left" w:pos="709"/>
              </w:tabs>
              <w:autoSpaceDE w:val="0"/>
              <w:autoSpaceDN w:val="0"/>
              <w:adjustRightInd w:val="0"/>
              <w:spacing w:before="60" w:after="60" w:line="240" w:lineRule="auto"/>
              <w:contextualSpacing/>
              <w:jc w:val="left"/>
              <w:rPr>
                <w:rFonts w:ascii="Arial" w:eastAsia="Arial" w:hAnsi="Arial" w:cs="Arial"/>
                <w:sz w:val="16"/>
                <w:szCs w:val="16"/>
              </w:rPr>
            </w:pPr>
            <w:r w:rsidRPr="00361E69">
              <w:rPr>
                <w:rFonts w:ascii="Arial" w:eastAsia="Arial" w:hAnsi="Arial" w:cs="Arial"/>
                <w:b/>
                <w:bCs/>
                <w:sz w:val="16"/>
                <w:szCs w:val="16"/>
              </w:rPr>
              <w:t>Budget updates and Appropriation Bills</w:t>
            </w:r>
          </w:p>
          <w:p w:rsidR="00A43E54" w:rsidRPr="00361E69" w:rsidRDefault="00A43E54" w:rsidP="00821C36">
            <w:pPr>
              <w:tabs>
                <w:tab w:val="left" w:pos="709"/>
              </w:tabs>
              <w:autoSpaceDE w:val="0"/>
              <w:autoSpaceDN w:val="0"/>
              <w:adjustRightInd w:val="0"/>
              <w:spacing w:before="60" w:after="60" w:line="240" w:lineRule="auto"/>
              <w:contextualSpacing/>
              <w:jc w:val="left"/>
              <w:rPr>
                <w:rFonts w:ascii="Arial" w:hAnsi="Arial" w:cs="Arial"/>
              </w:rPr>
            </w:pPr>
            <w:r w:rsidRPr="00361E69">
              <w:rPr>
                <w:rFonts w:ascii="Arial" w:eastAsia="Arial" w:hAnsi="Arial" w:cs="Arial"/>
                <w:sz w:val="16"/>
                <w:szCs w:val="16"/>
              </w:rPr>
              <w:t>Budget papers, related updates (e.g. the MYEFO) and Appropriation Bills are accurate, consistent with external reporting standards, delivered within required timeframes and meet the Government’s fiscal and policy objectives and legislative obligations.</w:t>
            </w:r>
          </w:p>
        </w:tc>
        <w:tc>
          <w:tcPr>
            <w:tcW w:w="3870" w:type="dxa"/>
            <w:tcBorders>
              <w:top w:val="single" w:sz="4" w:space="0" w:color="auto"/>
              <w:left w:val="single" w:sz="4" w:space="0" w:color="auto"/>
              <w:bottom w:val="single" w:sz="4" w:space="0" w:color="auto"/>
            </w:tcBorders>
          </w:tcPr>
          <w:p w:rsidR="00A43E54" w:rsidRPr="002A0954" w:rsidRDefault="00A43E54" w:rsidP="00D6392B">
            <w:pPr>
              <w:autoSpaceDE w:val="0"/>
              <w:autoSpaceDN w:val="0"/>
              <w:adjustRightInd w:val="0"/>
              <w:spacing w:before="60" w:after="60" w:line="240" w:lineRule="auto"/>
              <w:contextualSpacing/>
              <w:jc w:val="left"/>
              <w:rPr>
                <w:rFonts w:ascii="Arial" w:hAnsi="Arial" w:cs="Arial"/>
                <w:b/>
                <w:bCs/>
                <w:sz w:val="16"/>
                <w:szCs w:val="16"/>
                <w:lang w:val="en"/>
              </w:rPr>
            </w:pPr>
            <w:r w:rsidRPr="002A0954">
              <w:rPr>
                <w:rFonts w:ascii="Arial" w:hAnsi="Arial" w:cs="Arial"/>
                <w:b/>
                <w:bCs/>
                <w:sz w:val="16"/>
                <w:szCs w:val="16"/>
              </w:rPr>
              <w:t>On Track</w:t>
            </w:r>
          </w:p>
          <w:p w:rsidR="00A43E54" w:rsidRDefault="00A43E54" w:rsidP="00D6392B">
            <w:pPr>
              <w:autoSpaceDE w:val="0"/>
              <w:autoSpaceDN w:val="0"/>
              <w:adjustRightInd w:val="0"/>
              <w:spacing w:before="60" w:after="60" w:line="240" w:lineRule="auto"/>
              <w:contextualSpacing/>
              <w:jc w:val="left"/>
              <w:rPr>
                <w:rFonts w:ascii="Arial" w:hAnsi="Arial" w:cs="Arial"/>
                <w:sz w:val="16"/>
                <w:szCs w:val="16"/>
                <w:u w:val="single"/>
              </w:rPr>
            </w:pPr>
            <w:r w:rsidRPr="002A0954">
              <w:rPr>
                <w:rFonts w:ascii="Arial" w:hAnsi="Arial" w:cs="Arial"/>
                <w:sz w:val="16"/>
                <w:szCs w:val="16"/>
                <w:u w:val="single"/>
              </w:rPr>
              <w:t>Budget and related papers meet timeframes:</w:t>
            </w:r>
          </w:p>
          <w:p w:rsidR="00A43E54" w:rsidRPr="002A0954" w:rsidRDefault="00A43E5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2A0954">
              <w:rPr>
                <w:rFonts w:ascii="Arial" w:hAnsi="Arial" w:cs="Arial"/>
                <w:sz w:val="16"/>
                <w:szCs w:val="16"/>
              </w:rPr>
              <w:t xml:space="preserve">The 2020-21 Final Budget Outcome </w:t>
            </w:r>
            <w:r w:rsidR="0000614C" w:rsidRPr="002A0954">
              <w:rPr>
                <w:rFonts w:ascii="Arial" w:hAnsi="Arial" w:cs="Arial"/>
                <w:sz w:val="16"/>
                <w:szCs w:val="16"/>
              </w:rPr>
              <w:t xml:space="preserve">was </w:t>
            </w:r>
            <w:r w:rsidR="0000614C">
              <w:rPr>
                <w:rFonts w:ascii="Arial" w:hAnsi="Arial" w:cs="Arial"/>
                <w:sz w:val="16"/>
                <w:szCs w:val="16"/>
              </w:rPr>
              <w:t>released</w:t>
            </w:r>
            <w:r w:rsidRPr="002A0954">
              <w:rPr>
                <w:rFonts w:ascii="Arial" w:hAnsi="Arial" w:cs="Arial"/>
                <w:sz w:val="16"/>
                <w:szCs w:val="16"/>
              </w:rPr>
              <w:t xml:space="preserve"> on 30 September 2021. </w:t>
            </w:r>
          </w:p>
          <w:p w:rsidR="00A43E54" w:rsidRPr="00045B04" w:rsidRDefault="00045B0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 xml:space="preserve">The 2021-22 MYEFO was released </w:t>
            </w:r>
            <w:r>
              <w:rPr>
                <w:rFonts w:ascii="Arial" w:hAnsi="Arial" w:cs="Arial"/>
                <w:sz w:val="16"/>
                <w:szCs w:val="16"/>
              </w:rPr>
              <w:br/>
            </w:r>
            <w:r w:rsidR="00A43E54" w:rsidRPr="00045B04">
              <w:rPr>
                <w:rFonts w:ascii="Arial" w:hAnsi="Arial" w:cs="Arial"/>
                <w:sz w:val="16"/>
                <w:szCs w:val="16"/>
              </w:rPr>
              <w:t>16</w:t>
            </w:r>
            <w:r>
              <w:rPr>
                <w:rFonts w:ascii="Arial" w:hAnsi="Arial" w:cs="Arial"/>
                <w:sz w:val="16"/>
                <w:szCs w:val="16"/>
              </w:rPr>
              <w:t xml:space="preserve"> </w:t>
            </w:r>
            <w:r w:rsidR="00A43E54" w:rsidRPr="00045B04">
              <w:rPr>
                <w:rFonts w:ascii="Arial" w:hAnsi="Arial" w:cs="Arial"/>
                <w:sz w:val="16"/>
                <w:szCs w:val="16"/>
              </w:rPr>
              <w:t>December 2021.</w:t>
            </w:r>
          </w:p>
          <w:p w:rsidR="00A43E54" w:rsidRPr="002A0954" w:rsidRDefault="00A43E5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2A0954">
              <w:rPr>
                <w:rFonts w:ascii="Arial" w:hAnsi="Arial" w:cs="Arial"/>
                <w:sz w:val="16"/>
                <w:szCs w:val="16"/>
              </w:rPr>
              <w:t>The 2022</w:t>
            </w:r>
            <w:r w:rsidRPr="002A0954">
              <w:rPr>
                <w:rFonts w:ascii="Arial" w:hAnsi="Arial" w:cs="Arial"/>
                <w:sz w:val="16"/>
                <w:szCs w:val="16"/>
              </w:rPr>
              <w:noBreakHyphen/>
              <w:t xml:space="preserve">23 Budget is on track for delivery in accordance with the requirements of the </w:t>
            </w:r>
            <w:r w:rsidRPr="00A43E54">
              <w:rPr>
                <w:rFonts w:ascii="Arial" w:hAnsi="Arial" w:cs="Arial"/>
                <w:i/>
                <w:sz w:val="16"/>
                <w:szCs w:val="16"/>
              </w:rPr>
              <w:t xml:space="preserve">Charter of Budget Honesty </w:t>
            </w:r>
            <w:r w:rsidRPr="002A0954">
              <w:rPr>
                <w:rFonts w:ascii="Arial" w:hAnsi="Arial" w:cs="Arial"/>
                <w:sz w:val="16"/>
                <w:szCs w:val="16"/>
              </w:rPr>
              <w:t>(the Charter).</w:t>
            </w:r>
          </w:p>
          <w:p w:rsidR="00A43E54" w:rsidRPr="00E22D9E" w:rsidRDefault="00A43E5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2A0954">
              <w:rPr>
                <w:rFonts w:ascii="Arial" w:hAnsi="Arial" w:cs="Arial"/>
                <w:sz w:val="16"/>
                <w:szCs w:val="16"/>
              </w:rPr>
              <w:t>Detailed planning is on track to support the delivery of a Pre-election Economic and Fiscal Outlook, as specified by the Charter.</w:t>
            </w:r>
          </w:p>
          <w:p w:rsidR="00A43E54" w:rsidRPr="002A0954" w:rsidRDefault="00A43E54" w:rsidP="00821C36">
            <w:pPr>
              <w:autoSpaceDE w:val="0"/>
              <w:autoSpaceDN w:val="0"/>
              <w:adjustRightInd w:val="0"/>
              <w:spacing w:before="60" w:after="60" w:line="240" w:lineRule="auto"/>
              <w:contextualSpacing/>
              <w:jc w:val="left"/>
              <w:rPr>
                <w:rFonts w:ascii="Arial" w:hAnsi="Arial" w:cs="Arial"/>
                <w:sz w:val="16"/>
                <w:szCs w:val="16"/>
              </w:rPr>
            </w:pPr>
            <w:r w:rsidRPr="002A0954">
              <w:rPr>
                <w:rFonts w:ascii="Arial" w:hAnsi="Arial" w:cs="Arial"/>
                <w:sz w:val="16"/>
                <w:szCs w:val="16"/>
                <w:u w:val="single"/>
              </w:rPr>
              <w:t>Accuracy of Budget Estimates</w:t>
            </w:r>
            <w:r w:rsidRPr="002A0954">
              <w:rPr>
                <w:rFonts w:ascii="Arial" w:hAnsi="Arial" w:cs="Arial"/>
                <w:sz w:val="16"/>
                <w:szCs w:val="16"/>
              </w:rPr>
              <w:t xml:space="preserve">: </w:t>
            </w:r>
          </w:p>
          <w:p w:rsidR="00A43E54" w:rsidRPr="00A43E54" w:rsidRDefault="00A43E54" w:rsidP="00821C36">
            <w:pPr>
              <w:tabs>
                <w:tab w:val="left" w:pos="709"/>
              </w:tabs>
              <w:autoSpaceDE w:val="0"/>
              <w:autoSpaceDN w:val="0"/>
              <w:adjustRightInd w:val="0"/>
              <w:spacing w:before="60" w:after="60" w:line="240" w:lineRule="auto"/>
              <w:contextualSpacing/>
              <w:jc w:val="left"/>
              <w:rPr>
                <w:rFonts w:ascii="Arial" w:eastAsia="Arial" w:hAnsi="Arial" w:cs="Arial"/>
                <w:sz w:val="16"/>
                <w:szCs w:val="16"/>
              </w:rPr>
            </w:pPr>
            <w:r w:rsidRPr="002A0954">
              <w:rPr>
                <w:rFonts w:ascii="Arial" w:eastAsia="Arial" w:hAnsi="Arial" w:cs="Arial"/>
                <w:sz w:val="16"/>
                <w:szCs w:val="16"/>
              </w:rPr>
              <w:t>Through each economic update, Budget and Financial Reporting Group works with entities to ensure expense estimates take into account the best available information at the time of the update. Other activities such as the scrutiny and agreement of costs for expense, capital and non</w:t>
            </w:r>
            <w:r w:rsidRPr="002A0954">
              <w:rPr>
                <w:rFonts w:ascii="Arial" w:eastAsia="Arial" w:hAnsi="Arial" w:cs="Arial"/>
                <w:sz w:val="16"/>
                <w:szCs w:val="16"/>
              </w:rPr>
              <w:noBreakHyphen/>
              <w:t>taxation revenue policy proposals and the Material Estimates Variations process further support the</w:t>
            </w:r>
            <w:r>
              <w:rPr>
                <w:rFonts w:ascii="Arial" w:eastAsia="Arial" w:hAnsi="Arial" w:cs="Arial"/>
                <w:sz w:val="16"/>
                <w:szCs w:val="16"/>
              </w:rPr>
              <w:t xml:space="preserve"> accuracy of expense estimates.</w:t>
            </w:r>
          </w:p>
        </w:tc>
      </w:tr>
    </w:tbl>
    <w:p w:rsidR="006819B5" w:rsidRPr="00370F86" w:rsidRDefault="00370F86" w:rsidP="006819B5">
      <w:pPr>
        <w:rPr>
          <w:rFonts w:ascii="Arial" w:hAnsi="Arial" w:cs="Arial"/>
          <w:sz w:val="16"/>
          <w:szCs w:val="16"/>
        </w:rPr>
      </w:pPr>
      <w:r w:rsidRPr="00370F86">
        <w:rPr>
          <w:rFonts w:ascii="Arial" w:hAnsi="Arial" w:cs="Arial"/>
          <w:sz w:val="16"/>
          <w:szCs w:val="16"/>
        </w:rPr>
        <w:t>Table continues on next page</w:t>
      </w:r>
    </w:p>
    <w:p w:rsidR="00AA4FDE" w:rsidRDefault="00AA4FDE" w:rsidP="006819B5"/>
    <w:p w:rsidR="007400CA" w:rsidRDefault="007400CA" w:rsidP="006819B5"/>
    <w:p w:rsidR="00AA4FDE" w:rsidRDefault="00AA4FDE" w:rsidP="00AA4FDE">
      <w:pPr>
        <w:pStyle w:val="TableHeading"/>
        <w:rPr>
          <w:lang w:val="en-AU"/>
        </w:rPr>
      </w:pPr>
      <w:r w:rsidRPr="00393D23">
        <w:lastRenderedPageBreak/>
        <w:t>Table 2.1.2: Performance measure for Outcome 1</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325"/>
        <w:gridCol w:w="3836"/>
      </w:tblGrid>
      <w:tr w:rsidR="00AA4FDE" w:rsidRPr="003E1E13" w:rsidTr="0069681B">
        <w:trPr>
          <w:trHeight w:val="312"/>
        </w:trPr>
        <w:tc>
          <w:tcPr>
            <w:tcW w:w="7655" w:type="dxa"/>
            <w:gridSpan w:val="3"/>
            <w:shd w:val="clear" w:color="auto" w:fill="F2F2F2" w:themeFill="background1" w:themeFillShade="F2"/>
          </w:tcPr>
          <w:p w:rsidR="00AA4FDE" w:rsidRPr="0012530F" w:rsidRDefault="00BA090C" w:rsidP="00EE2B7C">
            <w:pPr>
              <w:tabs>
                <w:tab w:val="left" w:pos="709"/>
              </w:tabs>
              <w:spacing w:before="60" w:after="60" w:line="240" w:lineRule="auto"/>
              <w:jc w:val="left"/>
              <w:rPr>
                <w:rFonts w:ascii="Arial" w:hAnsi="Arial"/>
                <w:b/>
                <w:sz w:val="18"/>
                <w:szCs w:val="18"/>
              </w:rPr>
            </w:pPr>
            <w:r w:rsidRPr="00BA090C">
              <w:rPr>
                <w:rFonts w:ascii="Arial" w:hAnsi="Arial"/>
                <w:b/>
                <w:sz w:val="18"/>
                <w:szCs w:val="18"/>
              </w:rPr>
              <w:t xml:space="preserve">Performance information: </w:t>
            </w:r>
            <w:r w:rsidR="00AA4FDE" w:rsidRPr="00313067">
              <w:rPr>
                <w:rFonts w:ascii="Arial" w:hAnsi="Arial"/>
                <w:b/>
                <w:sz w:val="18"/>
                <w:szCs w:val="18"/>
              </w:rPr>
              <w:t>Program 1.1 – B</w:t>
            </w:r>
            <w:r w:rsidR="0012530F">
              <w:rPr>
                <w:rFonts w:ascii="Arial" w:hAnsi="Arial"/>
                <w:b/>
                <w:sz w:val="18"/>
                <w:szCs w:val="18"/>
              </w:rPr>
              <w:t xml:space="preserve">udget and Financial Management </w:t>
            </w:r>
          </w:p>
        </w:tc>
      </w:tr>
      <w:tr w:rsidR="00AA4FDE" w:rsidRPr="008C2E0D" w:rsidTr="00824C83">
        <w:trPr>
          <w:trHeight w:val="642"/>
        </w:trPr>
        <w:tc>
          <w:tcPr>
            <w:tcW w:w="1494" w:type="dxa"/>
            <w:tcBorders>
              <w:top w:val="single" w:sz="4" w:space="0" w:color="auto"/>
              <w:bottom w:val="nil"/>
              <w:right w:val="single" w:sz="4" w:space="0" w:color="auto"/>
            </w:tcBorders>
          </w:tcPr>
          <w:p w:rsidR="00AA4FDE" w:rsidRPr="00361E69" w:rsidRDefault="004128EA" w:rsidP="00824C83">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r w:rsidR="00824C83">
              <w:rPr>
                <w:rFonts w:ascii="Arial" w:hAnsi="Arial" w:cs="Arial"/>
                <w:sz w:val="16"/>
                <w:szCs w:val="16"/>
              </w:rPr>
              <w:t xml:space="preserve"> </w:t>
            </w:r>
            <w:r>
              <w:rPr>
                <w:rFonts w:ascii="Arial" w:hAnsi="Arial" w:cs="Arial"/>
                <w:sz w:val="16"/>
                <w:szCs w:val="16"/>
              </w:rPr>
              <w:t>(continued)</w:t>
            </w:r>
          </w:p>
        </w:tc>
        <w:tc>
          <w:tcPr>
            <w:tcW w:w="2325" w:type="dxa"/>
            <w:tcBorders>
              <w:top w:val="single" w:sz="4" w:space="0" w:color="auto"/>
              <w:left w:val="single" w:sz="4" w:space="0" w:color="auto"/>
              <w:bottom w:val="dotted" w:sz="4" w:space="0" w:color="auto"/>
              <w:right w:val="single" w:sz="4" w:space="0" w:color="auto"/>
            </w:tcBorders>
          </w:tcPr>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370F86" w:rsidRDefault="00370F86" w:rsidP="00A43E54">
            <w:pPr>
              <w:tabs>
                <w:tab w:val="left" w:pos="709"/>
              </w:tabs>
              <w:spacing w:before="60" w:after="60" w:line="240" w:lineRule="auto"/>
              <w:jc w:val="left"/>
              <w:rPr>
                <w:rFonts w:ascii="Arial" w:hAnsi="Arial" w:cs="Arial"/>
                <w:sz w:val="16"/>
                <w:szCs w:val="16"/>
              </w:rPr>
            </w:pPr>
          </w:p>
          <w:p w:rsidR="00AA4FDE" w:rsidRPr="00A43E54" w:rsidRDefault="00AA4FDE" w:rsidP="00EC70E5">
            <w:pPr>
              <w:tabs>
                <w:tab w:val="left" w:pos="709"/>
              </w:tabs>
              <w:autoSpaceDE w:val="0"/>
              <w:autoSpaceDN w:val="0"/>
              <w:adjustRightInd w:val="0"/>
              <w:spacing w:before="60" w:after="60" w:line="240" w:lineRule="auto"/>
              <w:contextualSpacing/>
              <w:jc w:val="left"/>
              <w:rPr>
                <w:rFonts w:ascii="Arial" w:hAnsi="Arial" w:cs="Arial"/>
                <w:sz w:val="16"/>
                <w:szCs w:val="16"/>
              </w:rPr>
            </w:pPr>
          </w:p>
        </w:tc>
        <w:tc>
          <w:tcPr>
            <w:tcW w:w="3800" w:type="dxa"/>
            <w:tcBorders>
              <w:top w:val="single" w:sz="4" w:space="0" w:color="auto"/>
              <w:left w:val="single" w:sz="4" w:space="0" w:color="auto"/>
              <w:bottom w:val="dotted" w:sz="4" w:space="0" w:color="auto"/>
            </w:tcBorders>
          </w:tcPr>
          <w:p w:rsidR="00AA4FDE" w:rsidRPr="00A43E54" w:rsidRDefault="00AA4FDE" w:rsidP="00EC70E5">
            <w:pPr>
              <w:autoSpaceDE w:val="0"/>
              <w:autoSpaceDN w:val="0"/>
              <w:adjustRightInd w:val="0"/>
              <w:spacing w:before="60" w:after="60" w:line="240" w:lineRule="auto"/>
              <w:contextualSpacing/>
              <w:jc w:val="left"/>
              <w:rPr>
                <w:rFonts w:ascii="Arial" w:hAnsi="Arial" w:cs="Arial"/>
                <w:b/>
                <w:bCs/>
                <w:sz w:val="16"/>
                <w:szCs w:val="16"/>
              </w:rPr>
            </w:pPr>
            <w:r w:rsidRPr="00A43E54">
              <w:rPr>
                <w:rFonts w:ascii="Arial" w:hAnsi="Arial" w:cs="Arial"/>
                <w:sz w:val="16"/>
                <w:szCs w:val="16"/>
                <w:u w:val="single"/>
              </w:rPr>
              <w:t>Timeliness of Appropriation Bills</w:t>
            </w:r>
            <w:r w:rsidRPr="00A43E54">
              <w:rPr>
                <w:rFonts w:ascii="Arial" w:hAnsi="Arial" w:cs="Arial"/>
                <w:sz w:val="16"/>
                <w:szCs w:val="16"/>
              </w:rPr>
              <w:t>:</w:t>
            </w:r>
          </w:p>
          <w:p w:rsidR="00AA4FDE" w:rsidRPr="00A43E54" w:rsidRDefault="00AA4FDE"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A43E54">
              <w:rPr>
                <w:rFonts w:ascii="Arial" w:hAnsi="Arial" w:cs="Arial"/>
                <w:sz w:val="16"/>
                <w:szCs w:val="16"/>
              </w:rPr>
              <w:t>The 2021-22 Budget Appropriation Bills were introduced in the House of Representatives on 11 May 2021,</w:t>
            </w:r>
            <w:r w:rsidR="00E671D6" w:rsidRPr="00A43E54">
              <w:rPr>
                <w:rFonts w:ascii="Arial" w:hAnsi="Arial" w:cs="Arial"/>
                <w:sz w:val="16"/>
                <w:szCs w:val="16"/>
              </w:rPr>
              <w:t xml:space="preserve"> in line with the timing of the </w:t>
            </w:r>
            <w:r w:rsidRPr="00A43E54">
              <w:rPr>
                <w:rFonts w:ascii="Arial" w:hAnsi="Arial" w:cs="Arial"/>
                <w:sz w:val="16"/>
                <w:szCs w:val="16"/>
              </w:rPr>
              <w:t>2021</w:t>
            </w:r>
            <w:r w:rsidRPr="00A43E54">
              <w:rPr>
                <w:rFonts w:ascii="Arial" w:hAnsi="Arial" w:cs="Arial"/>
                <w:sz w:val="16"/>
                <w:szCs w:val="16"/>
              </w:rPr>
              <w:noBreakHyphen/>
              <w:t xml:space="preserve">22 Budget. </w:t>
            </w:r>
          </w:p>
          <w:p w:rsidR="00AA4FDE" w:rsidRPr="00A43E54" w:rsidRDefault="00AA4FDE"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A43E54">
              <w:rPr>
                <w:rFonts w:ascii="Arial" w:hAnsi="Arial" w:cs="Arial"/>
                <w:sz w:val="16"/>
                <w:szCs w:val="16"/>
              </w:rPr>
              <w:t xml:space="preserve">The Appropriation (Coronavirus Response) </w:t>
            </w:r>
            <w:r w:rsidRPr="00A43E54">
              <w:rPr>
                <w:rFonts w:ascii="Arial" w:hAnsi="Arial" w:cs="Arial"/>
                <w:sz w:val="16"/>
                <w:szCs w:val="16"/>
              </w:rPr>
              <w:br/>
              <w:t>2021</w:t>
            </w:r>
            <w:r w:rsidRPr="00A43E54">
              <w:rPr>
                <w:rFonts w:ascii="Arial" w:hAnsi="Arial" w:cs="Arial"/>
                <w:sz w:val="16"/>
                <w:szCs w:val="16"/>
              </w:rPr>
              <w:noBreakHyphen/>
              <w:t>22 Bills were introduced to Parliament on 9 February 2022.</w:t>
            </w:r>
          </w:p>
          <w:p w:rsidR="00AA4FDE" w:rsidRPr="00A43E54" w:rsidRDefault="00AA4FDE"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A43E54">
              <w:rPr>
                <w:rFonts w:ascii="Arial" w:hAnsi="Arial" w:cs="Arial"/>
                <w:sz w:val="16"/>
                <w:szCs w:val="16"/>
              </w:rPr>
              <w:t>The Additional Estimates Bills for 2021-22 were introduced to Parliament on 10 February 2022.</w:t>
            </w:r>
          </w:p>
          <w:p w:rsidR="00A43E54" w:rsidRPr="00370F86" w:rsidRDefault="00A43E54" w:rsidP="00EC70E5">
            <w:pPr>
              <w:autoSpaceDE w:val="0"/>
              <w:autoSpaceDN w:val="0"/>
              <w:adjustRightInd w:val="0"/>
              <w:spacing w:before="60" w:after="60" w:line="240" w:lineRule="auto"/>
              <w:contextualSpacing/>
              <w:jc w:val="left"/>
              <w:rPr>
                <w:rFonts w:ascii="Arial" w:hAnsi="Arial" w:cs="Arial"/>
                <w:sz w:val="16"/>
                <w:szCs w:val="16"/>
              </w:rPr>
            </w:pPr>
          </w:p>
        </w:tc>
      </w:tr>
      <w:tr w:rsidR="00824C83" w:rsidRPr="008C2E0D" w:rsidTr="00824C83">
        <w:trPr>
          <w:trHeight w:val="642"/>
        </w:trPr>
        <w:tc>
          <w:tcPr>
            <w:tcW w:w="1494" w:type="dxa"/>
            <w:tcBorders>
              <w:top w:val="nil"/>
              <w:bottom w:val="nil"/>
              <w:right w:val="single" w:sz="4" w:space="0" w:color="auto"/>
            </w:tcBorders>
          </w:tcPr>
          <w:p w:rsidR="00824C83" w:rsidRPr="00361E69" w:rsidRDefault="00824C83" w:rsidP="00B56872">
            <w:pPr>
              <w:tabs>
                <w:tab w:val="left" w:pos="709"/>
              </w:tabs>
              <w:spacing w:before="60" w:after="60" w:line="240" w:lineRule="auto"/>
              <w:jc w:val="left"/>
              <w:rPr>
                <w:rFonts w:ascii="Arial" w:hAnsi="Arial" w:cs="Arial"/>
                <w:sz w:val="16"/>
                <w:szCs w:val="16"/>
              </w:rPr>
            </w:pPr>
          </w:p>
        </w:tc>
        <w:tc>
          <w:tcPr>
            <w:tcW w:w="2325" w:type="dxa"/>
            <w:tcBorders>
              <w:top w:val="dotted" w:sz="4" w:space="0" w:color="auto"/>
              <w:left w:val="single" w:sz="4" w:space="0" w:color="auto"/>
              <w:bottom w:val="dotted" w:sz="4" w:space="0" w:color="auto"/>
              <w:right w:val="single" w:sz="4" w:space="0" w:color="auto"/>
            </w:tcBorders>
          </w:tcPr>
          <w:p w:rsidR="00824C83" w:rsidRPr="00370F86" w:rsidRDefault="00824C83" w:rsidP="00C33F82">
            <w:pPr>
              <w:tabs>
                <w:tab w:val="left" w:pos="709"/>
              </w:tabs>
              <w:autoSpaceDE w:val="0"/>
              <w:autoSpaceDN w:val="0"/>
              <w:adjustRightInd w:val="0"/>
              <w:spacing w:before="60" w:after="60" w:line="240" w:lineRule="auto"/>
              <w:jc w:val="left"/>
              <w:rPr>
                <w:rFonts w:ascii="Arial" w:hAnsi="Arial" w:cs="Arial"/>
                <w:b/>
                <w:sz w:val="16"/>
                <w:szCs w:val="16"/>
              </w:rPr>
            </w:pPr>
            <w:r w:rsidRPr="00370F86">
              <w:rPr>
                <w:rFonts w:ascii="Arial" w:hAnsi="Arial" w:cs="Arial"/>
                <w:b/>
                <w:sz w:val="16"/>
                <w:szCs w:val="16"/>
              </w:rPr>
              <w:t>Financial statements</w:t>
            </w:r>
          </w:p>
          <w:p w:rsidR="00824C83" w:rsidRPr="00A43E54" w:rsidRDefault="00824C83" w:rsidP="00C33F82">
            <w:pPr>
              <w:tabs>
                <w:tab w:val="left" w:pos="709"/>
              </w:tabs>
              <w:autoSpaceDE w:val="0"/>
              <w:autoSpaceDN w:val="0"/>
              <w:adjustRightInd w:val="0"/>
              <w:spacing w:before="60" w:after="60" w:line="240" w:lineRule="auto"/>
              <w:jc w:val="left"/>
              <w:rPr>
                <w:rFonts w:ascii="Arial" w:hAnsi="Arial" w:cs="Arial"/>
                <w:sz w:val="16"/>
                <w:szCs w:val="16"/>
              </w:rPr>
            </w:pPr>
            <w:r w:rsidRPr="00A43E54">
              <w:rPr>
                <w:rFonts w:ascii="Arial" w:hAnsi="Arial" w:cs="Arial"/>
                <w:sz w:val="16"/>
                <w:szCs w:val="16"/>
              </w:rPr>
              <w:t xml:space="preserve">The Government’s financial statements, including monthly statements, are complete, fairly presented and released publicly on timeframes agreed with the Government. </w:t>
            </w:r>
          </w:p>
          <w:p w:rsidR="00824C83" w:rsidRDefault="00824C83" w:rsidP="00C33F82">
            <w:pPr>
              <w:tabs>
                <w:tab w:val="left" w:pos="709"/>
              </w:tabs>
              <w:spacing w:before="60" w:after="60" w:line="240" w:lineRule="auto"/>
              <w:jc w:val="left"/>
              <w:rPr>
                <w:rFonts w:ascii="Arial" w:hAnsi="Arial" w:cs="Arial"/>
                <w:sz w:val="16"/>
                <w:szCs w:val="16"/>
              </w:rPr>
            </w:pPr>
          </w:p>
        </w:tc>
        <w:tc>
          <w:tcPr>
            <w:tcW w:w="3800" w:type="dxa"/>
            <w:tcBorders>
              <w:top w:val="dotted" w:sz="4" w:space="0" w:color="auto"/>
              <w:left w:val="single" w:sz="4" w:space="0" w:color="auto"/>
              <w:bottom w:val="dotted" w:sz="4" w:space="0" w:color="auto"/>
            </w:tcBorders>
          </w:tcPr>
          <w:p w:rsidR="00824C83" w:rsidRPr="00A43E54" w:rsidRDefault="00824C83" w:rsidP="00C33F82">
            <w:pPr>
              <w:autoSpaceDE w:val="0"/>
              <w:autoSpaceDN w:val="0"/>
              <w:adjustRightInd w:val="0"/>
              <w:spacing w:before="60" w:after="60" w:line="240" w:lineRule="auto"/>
              <w:jc w:val="left"/>
              <w:rPr>
                <w:rFonts w:ascii="Arial" w:hAnsi="Arial" w:cs="Arial"/>
                <w:b/>
                <w:sz w:val="16"/>
                <w:szCs w:val="16"/>
              </w:rPr>
            </w:pPr>
            <w:r w:rsidRPr="00A43E54">
              <w:rPr>
                <w:rFonts w:ascii="Arial" w:hAnsi="Arial" w:cs="Arial"/>
                <w:b/>
                <w:sz w:val="16"/>
                <w:szCs w:val="16"/>
              </w:rPr>
              <w:t>On Track</w:t>
            </w:r>
          </w:p>
          <w:p w:rsidR="00824C83" w:rsidRPr="00370F86" w:rsidRDefault="00824C83" w:rsidP="00C33F82">
            <w:pPr>
              <w:autoSpaceDE w:val="0"/>
              <w:autoSpaceDN w:val="0"/>
              <w:adjustRightInd w:val="0"/>
              <w:spacing w:before="60" w:after="60" w:line="240" w:lineRule="auto"/>
              <w:jc w:val="left"/>
              <w:rPr>
                <w:rFonts w:ascii="Arial" w:hAnsi="Arial" w:cs="Arial"/>
                <w:sz w:val="16"/>
                <w:szCs w:val="16"/>
              </w:rPr>
            </w:pPr>
            <w:r w:rsidRPr="00370F86">
              <w:rPr>
                <w:rFonts w:ascii="Arial" w:hAnsi="Arial" w:cs="Arial"/>
                <w:sz w:val="16"/>
                <w:szCs w:val="16"/>
              </w:rPr>
              <w:t>The 2021-22 monthly financial statements have been provided to the Minister for Finance on average within 21 days of the end of each month since the release of FBO.</w:t>
            </w:r>
          </w:p>
          <w:p w:rsidR="00824C83" w:rsidRPr="00A43E54" w:rsidRDefault="00824C83" w:rsidP="00C33F82">
            <w:pPr>
              <w:autoSpaceDE w:val="0"/>
              <w:autoSpaceDN w:val="0"/>
              <w:adjustRightInd w:val="0"/>
              <w:spacing w:before="60" w:after="60" w:line="240" w:lineRule="auto"/>
              <w:jc w:val="left"/>
              <w:rPr>
                <w:rFonts w:ascii="Arial" w:hAnsi="Arial" w:cs="Arial"/>
                <w:sz w:val="16"/>
                <w:szCs w:val="16"/>
                <w:u w:val="single"/>
              </w:rPr>
            </w:pPr>
            <w:r w:rsidRPr="00370F86">
              <w:rPr>
                <w:rFonts w:ascii="Arial" w:hAnsi="Arial" w:cs="Arial"/>
                <w:sz w:val="16"/>
                <w:szCs w:val="16"/>
              </w:rPr>
              <w:t>The Auditor-General issued an unmodified audit report on the 2020-21 Consolidated Financial</w:t>
            </w:r>
            <w:r w:rsidR="00C33F82" w:rsidRPr="00370F86">
              <w:rPr>
                <w:rFonts w:ascii="Arial" w:hAnsi="Arial" w:cs="Arial"/>
                <w:sz w:val="16"/>
                <w:szCs w:val="16"/>
              </w:rPr>
              <w:t xml:space="preserve"> Statements on 12 November 2021. </w:t>
            </w:r>
          </w:p>
        </w:tc>
      </w:tr>
      <w:tr w:rsidR="00824C83" w:rsidRPr="008C2E0D" w:rsidTr="00824C83">
        <w:trPr>
          <w:trHeight w:val="642"/>
        </w:trPr>
        <w:tc>
          <w:tcPr>
            <w:tcW w:w="1494" w:type="dxa"/>
            <w:tcBorders>
              <w:top w:val="nil"/>
              <w:right w:val="single" w:sz="4" w:space="0" w:color="auto"/>
            </w:tcBorders>
          </w:tcPr>
          <w:p w:rsidR="00824C83" w:rsidRPr="00361E69" w:rsidRDefault="00824C83" w:rsidP="00B56872">
            <w:pPr>
              <w:tabs>
                <w:tab w:val="left" w:pos="709"/>
              </w:tabs>
              <w:spacing w:before="60" w:after="60" w:line="240" w:lineRule="auto"/>
              <w:jc w:val="left"/>
              <w:rPr>
                <w:rFonts w:ascii="Arial" w:hAnsi="Arial" w:cs="Arial"/>
                <w:sz w:val="16"/>
                <w:szCs w:val="16"/>
              </w:rPr>
            </w:pPr>
          </w:p>
        </w:tc>
        <w:tc>
          <w:tcPr>
            <w:tcW w:w="2325" w:type="dxa"/>
            <w:tcBorders>
              <w:top w:val="dotted" w:sz="4" w:space="0" w:color="auto"/>
              <w:left w:val="single" w:sz="4" w:space="0" w:color="auto"/>
              <w:bottom w:val="single" w:sz="4" w:space="0" w:color="auto"/>
              <w:right w:val="single" w:sz="4" w:space="0" w:color="auto"/>
            </w:tcBorders>
          </w:tcPr>
          <w:p w:rsidR="00824C83" w:rsidRPr="00370F86" w:rsidRDefault="00824C83" w:rsidP="00C33F82">
            <w:pPr>
              <w:tabs>
                <w:tab w:val="left" w:pos="709"/>
              </w:tabs>
              <w:autoSpaceDE w:val="0"/>
              <w:autoSpaceDN w:val="0"/>
              <w:adjustRightInd w:val="0"/>
              <w:spacing w:before="60" w:after="60" w:line="240" w:lineRule="auto"/>
              <w:jc w:val="left"/>
              <w:rPr>
                <w:rFonts w:ascii="Arial" w:hAnsi="Arial" w:cs="Arial"/>
                <w:b/>
                <w:sz w:val="16"/>
                <w:szCs w:val="16"/>
              </w:rPr>
            </w:pPr>
            <w:r w:rsidRPr="00370F86">
              <w:rPr>
                <w:rFonts w:ascii="Arial" w:hAnsi="Arial" w:cs="Arial"/>
                <w:b/>
                <w:sz w:val="16"/>
                <w:szCs w:val="16"/>
              </w:rPr>
              <w:t>Daily disbursement of cash</w:t>
            </w:r>
          </w:p>
          <w:p w:rsidR="00824C83" w:rsidRDefault="00824C83" w:rsidP="00C33F82">
            <w:pPr>
              <w:tabs>
                <w:tab w:val="left" w:pos="709"/>
              </w:tabs>
              <w:spacing w:before="60" w:after="60" w:line="240" w:lineRule="auto"/>
              <w:jc w:val="left"/>
              <w:rPr>
                <w:rFonts w:ascii="Arial" w:hAnsi="Arial" w:cs="Arial"/>
                <w:sz w:val="16"/>
                <w:szCs w:val="16"/>
              </w:rPr>
            </w:pPr>
            <w:r w:rsidRPr="00370F86">
              <w:rPr>
                <w:rFonts w:ascii="Arial" w:hAnsi="Arial" w:cs="Arial"/>
                <w:sz w:val="16"/>
                <w:szCs w:val="16"/>
              </w:rPr>
              <w:t>Commonwealth entities</w:t>
            </w:r>
            <w:r w:rsidRPr="00A43E54">
              <w:rPr>
                <w:rFonts w:ascii="Arial" w:hAnsi="Arial" w:cs="Arial"/>
                <w:sz w:val="16"/>
                <w:szCs w:val="16"/>
              </w:rPr>
              <w:t xml:space="preserve"> have access to cash, in near real-time, as required.</w:t>
            </w:r>
          </w:p>
        </w:tc>
        <w:tc>
          <w:tcPr>
            <w:tcW w:w="3800" w:type="dxa"/>
            <w:tcBorders>
              <w:top w:val="dotted" w:sz="4" w:space="0" w:color="auto"/>
              <w:left w:val="single" w:sz="4" w:space="0" w:color="auto"/>
              <w:bottom w:val="single" w:sz="4" w:space="0" w:color="auto"/>
            </w:tcBorders>
          </w:tcPr>
          <w:p w:rsidR="00824C83" w:rsidRPr="00A43E54" w:rsidRDefault="00824C83" w:rsidP="00C33F82">
            <w:pPr>
              <w:autoSpaceDE w:val="0"/>
              <w:autoSpaceDN w:val="0"/>
              <w:adjustRightInd w:val="0"/>
              <w:spacing w:before="60" w:after="60" w:line="240" w:lineRule="auto"/>
              <w:jc w:val="left"/>
              <w:rPr>
                <w:rFonts w:ascii="Arial" w:hAnsi="Arial" w:cs="Arial"/>
                <w:sz w:val="16"/>
                <w:szCs w:val="16"/>
                <w:u w:val="single"/>
              </w:rPr>
            </w:pPr>
            <w:r w:rsidRPr="00370F86">
              <w:rPr>
                <w:rFonts w:ascii="Arial" w:hAnsi="Arial" w:cs="Arial"/>
                <w:sz w:val="16"/>
                <w:szCs w:val="16"/>
              </w:rPr>
              <w:t>All payment requests from entities have been met, in requested timeframes.</w:t>
            </w:r>
          </w:p>
        </w:tc>
      </w:tr>
    </w:tbl>
    <w:p w:rsidR="00AA4FDE" w:rsidRDefault="00370F86" w:rsidP="006819B5">
      <w:pPr>
        <w:rPr>
          <w:rFonts w:ascii="Arial" w:hAnsi="Arial" w:cs="Arial"/>
          <w:sz w:val="16"/>
          <w:szCs w:val="16"/>
        </w:rPr>
      </w:pPr>
      <w:r w:rsidRPr="00370F86">
        <w:rPr>
          <w:rFonts w:ascii="Arial" w:hAnsi="Arial" w:cs="Arial"/>
          <w:sz w:val="16"/>
          <w:szCs w:val="16"/>
        </w:rPr>
        <w:t>Table continues on next page</w:t>
      </w: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370F86" w:rsidRDefault="00370F86" w:rsidP="006819B5">
      <w:pPr>
        <w:rPr>
          <w:rFonts w:ascii="Arial" w:hAnsi="Arial" w:cs="Arial"/>
          <w:sz w:val="16"/>
          <w:szCs w:val="16"/>
        </w:rPr>
      </w:pPr>
    </w:p>
    <w:p w:rsidR="0012530F" w:rsidRDefault="0012530F" w:rsidP="006819B5">
      <w:pPr>
        <w:rPr>
          <w:rFonts w:ascii="Arial" w:hAnsi="Arial" w:cs="Arial"/>
          <w:sz w:val="16"/>
          <w:szCs w:val="16"/>
        </w:rPr>
      </w:pPr>
    </w:p>
    <w:p w:rsidR="0012530F" w:rsidRDefault="0012530F" w:rsidP="006819B5">
      <w:pPr>
        <w:rPr>
          <w:rFonts w:ascii="Arial" w:hAnsi="Arial" w:cs="Arial"/>
          <w:sz w:val="16"/>
          <w:szCs w:val="16"/>
        </w:rPr>
      </w:pPr>
    </w:p>
    <w:p w:rsidR="0012530F" w:rsidRDefault="0012530F" w:rsidP="006819B5">
      <w:pPr>
        <w:rPr>
          <w:rFonts w:ascii="Arial" w:hAnsi="Arial" w:cs="Arial"/>
          <w:sz w:val="16"/>
          <w:szCs w:val="16"/>
        </w:rPr>
      </w:pPr>
    </w:p>
    <w:p w:rsidR="00370F86" w:rsidRPr="00370F86" w:rsidRDefault="00370F86" w:rsidP="006819B5">
      <w:pPr>
        <w:rPr>
          <w:rFonts w:ascii="Arial" w:hAnsi="Arial" w:cs="Arial"/>
          <w:sz w:val="16"/>
          <w:szCs w:val="16"/>
        </w:rPr>
      </w:pPr>
    </w:p>
    <w:p w:rsidR="0054724F" w:rsidRDefault="0054724F" w:rsidP="0054724F">
      <w:pPr>
        <w:pStyle w:val="TableHeading"/>
        <w:rPr>
          <w:lang w:val="en-AU"/>
        </w:rPr>
      </w:pPr>
      <w:r w:rsidRPr="00393D23">
        <w:lastRenderedPageBreak/>
        <w:t>Table 2.1.2: Performance measure for Outcome 1</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9"/>
        <w:gridCol w:w="3952"/>
      </w:tblGrid>
      <w:tr w:rsidR="00BB0214" w:rsidRPr="003E1E13" w:rsidTr="0069681B">
        <w:trPr>
          <w:trHeight w:val="312"/>
        </w:trPr>
        <w:tc>
          <w:tcPr>
            <w:tcW w:w="7655" w:type="dxa"/>
            <w:gridSpan w:val="3"/>
            <w:shd w:val="clear" w:color="auto" w:fill="F2F2F2" w:themeFill="background1" w:themeFillShade="F2"/>
          </w:tcPr>
          <w:p w:rsidR="00BB0214" w:rsidRPr="0012530F" w:rsidRDefault="00BB0214" w:rsidP="00436AFE">
            <w:pPr>
              <w:tabs>
                <w:tab w:val="left" w:pos="709"/>
              </w:tabs>
              <w:spacing w:before="60" w:after="60" w:line="240" w:lineRule="auto"/>
              <w:jc w:val="left"/>
              <w:rPr>
                <w:rFonts w:ascii="Arial" w:hAnsi="Arial"/>
                <w:b/>
                <w:sz w:val="18"/>
                <w:szCs w:val="18"/>
              </w:rPr>
            </w:pPr>
            <w:r w:rsidRPr="00BA090C">
              <w:rPr>
                <w:rFonts w:ascii="Arial" w:hAnsi="Arial"/>
                <w:b/>
                <w:sz w:val="18"/>
                <w:szCs w:val="18"/>
              </w:rPr>
              <w:t xml:space="preserve">Performance information: </w:t>
            </w:r>
            <w:r w:rsidRPr="00313067">
              <w:rPr>
                <w:rFonts w:ascii="Arial" w:hAnsi="Arial"/>
                <w:b/>
                <w:sz w:val="18"/>
                <w:szCs w:val="18"/>
              </w:rPr>
              <w:t>Program 1.1 – B</w:t>
            </w:r>
            <w:r>
              <w:rPr>
                <w:rFonts w:ascii="Arial" w:hAnsi="Arial"/>
                <w:b/>
                <w:sz w:val="18"/>
                <w:szCs w:val="18"/>
              </w:rPr>
              <w:t xml:space="preserve">udget and Financial Management </w:t>
            </w:r>
          </w:p>
        </w:tc>
      </w:tr>
      <w:tr w:rsidR="00BB0214" w:rsidRPr="002A0954" w:rsidTr="00824C83">
        <w:trPr>
          <w:trHeight w:val="312"/>
        </w:trPr>
        <w:tc>
          <w:tcPr>
            <w:tcW w:w="1414" w:type="dxa"/>
            <w:tcBorders>
              <w:top w:val="single" w:sz="4" w:space="0" w:color="auto"/>
              <w:bottom w:val="single" w:sz="4" w:space="0" w:color="auto"/>
              <w:right w:val="single" w:sz="4" w:space="0" w:color="auto"/>
            </w:tcBorders>
          </w:tcPr>
          <w:p w:rsidR="00BB0214" w:rsidRPr="00313067" w:rsidRDefault="00BB0214" w:rsidP="00436AFE">
            <w:pPr>
              <w:tabs>
                <w:tab w:val="left" w:pos="709"/>
              </w:tabs>
              <w:spacing w:before="60" w:after="60"/>
              <w:rPr>
                <w:rFonts w:ascii="Arial" w:hAnsi="Arial" w:cs="Arial"/>
                <w:sz w:val="16"/>
                <w:szCs w:val="16"/>
              </w:rPr>
            </w:pPr>
            <w:r w:rsidRPr="00313067">
              <w:rPr>
                <w:rFonts w:ascii="Arial" w:hAnsi="Arial" w:cs="Arial"/>
                <w:b/>
                <w:bCs/>
                <w:sz w:val="16"/>
                <w:szCs w:val="16"/>
              </w:rPr>
              <w:t>Year</w:t>
            </w:r>
          </w:p>
        </w:tc>
        <w:tc>
          <w:tcPr>
            <w:tcW w:w="2289" w:type="dxa"/>
            <w:tcBorders>
              <w:top w:val="single" w:sz="4" w:space="0" w:color="auto"/>
              <w:left w:val="single" w:sz="4" w:space="0" w:color="auto"/>
              <w:bottom w:val="single" w:sz="4" w:space="0" w:color="auto"/>
              <w:right w:val="single" w:sz="4" w:space="0" w:color="auto"/>
            </w:tcBorders>
          </w:tcPr>
          <w:p w:rsidR="00BB0214" w:rsidRPr="00313067" w:rsidRDefault="00BB0214" w:rsidP="00436AFE">
            <w:pPr>
              <w:tabs>
                <w:tab w:val="left" w:pos="709"/>
              </w:tabs>
              <w:spacing w:before="60" w:after="60"/>
              <w:jc w:val="left"/>
              <w:rPr>
                <w:rFonts w:ascii="Arial" w:hAnsi="Arial" w:cs="Arial"/>
                <w:sz w:val="16"/>
                <w:szCs w:val="16"/>
              </w:rPr>
            </w:pPr>
            <w:r>
              <w:rPr>
                <w:rFonts w:ascii="Arial" w:hAnsi="Arial" w:cs="Arial"/>
                <w:b/>
                <w:bCs/>
                <w:sz w:val="16"/>
                <w:szCs w:val="16"/>
              </w:rPr>
              <w:t>Performance measures</w:t>
            </w:r>
          </w:p>
        </w:tc>
        <w:tc>
          <w:tcPr>
            <w:tcW w:w="3952" w:type="dxa"/>
            <w:tcBorders>
              <w:top w:val="single" w:sz="4" w:space="0" w:color="auto"/>
              <w:left w:val="single" w:sz="4" w:space="0" w:color="auto"/>
              <w:bottom w:val="single" w:sz="4" w:space="0" w:color="auto"/>
              <w:right w:val="single" w:sz="4" w:space="0" w:color="auto"/>
            </w:tcBorders>
          </w:tcPr>
          <w:p w:rsidR="00BB0214" w:rsidRPr="00313067" w:rsidRDefault="00BB0214" w:rsidP="00436AFE">
            <w:pPr>
              <w:tabs>
                <w:tab w:val="left" w:pos="709"/>
              </w:tabs>
              <w:spacing w:before="60" w:after="60"/>
              <w:rPr>
                <w:rFonts w:ascii="Arial" w:hAnsi="Arial" w:cs="Arial"/>
                <w:i/>
                <w:iCs/>
                <w:sz w:val="16"/>
                <w:szCs w:val="16"/>
              </w:rPr>
            </w:pPr>
            <w:r w:rsidRPr="00313067">
              <w:rPr>
                <w:rFonts w:ascii="Arial" w:hAnsi="Arial" w:cs="Arial"/>
                <w:b/>
                <w:bCs/>
                <w:sz w:val="16"/>
                <w:szCs w:val="16"/>
              </w:rPr>
              <w:t>Planned Performance Results</w:t>
            </w:r>
          </w:p>
        </w:tc>
      </w:tr>
      <w:tr w:rsidR="00BB0214" w:rsidRPr="002A0954" w:rsidTr="00824C83">
        <w:trPr>
          <w:trHeight w:val="100"/>
        </w:trPr>
        <w:tc>
          <w:tcPr>
            <w:tcW w:w="1414" w:type="dxa"/>
            <w:tcBorders>
              <w:top w:val="single" w:sz="4" w:space="0" w:color="auto"/>
              <w:bottom w:val="nil"/>
              <w:right w:val="single" w:sz="4" w:space="0" w:color="auto"/>
            </w:tcBorders>
          </w:tcPr>
          <w:p w:rsidR="00BB0214" w:rsidRPr="004E15D3" w:rsidRDefault="00BB0214" w:rsidP="00824C83">
            <w:pPr>
              <w:tabs>
                <w:tab w:val="left" w:pos="709"/>
              </w:tabs>
              <w:spacing w:before="60" w:after="60" w:line="240" w:lineRule="auto"/>
              <w:jc w:val="left"/>
              <w:rPr>
                <w:rFonts w:ascii="Arial" w:hAnsi="Arial" w:cs="Arial"/>
                <w:sz w:val="16"/>
                <w:szCs w:val="16"/>
              </w:rPr>
            </w:pPr>
            <w:r w:rsidRPr="004E15D3">
              <w:rPr>
                <w:rFonts w:ascii="Arial" w:hAnsi="Arial" w:cs="Arial"/>
                <w:sz w:val="16"/>
                <w:szCs w:val="16"/>
                <w:lang w:eastAsia="en-US"/>
              </w:rPr>
              <w:t>Budget Year 2022-23</w:t>
            </w:r>
          </w:p>
        </w:tc>
        <w:tc>
          <w:tcPr>
            <w:tcW w:w="2289" w:type="dxa"/>
            <w:tcBorders>
              <w:top w:val="single" w:sz="4" w:space="0" w:color="auto"/>
              <w:left w:val="single" w:sz="4" w:space="0" w:color="auto"/>
              <w:bottom w:val="dotted" w:sz="4" w:space="0" w:color="auto"/>
              <w:right w:val="single" w:sz="4" w:space="0" w:color="auto"/>
            </w:tcBorders>
          </w:tcPr>
          <w:p w:rsidR="00BB0214" w:rsidRPr="00C33F82" w:rsidRDefault="00BB0214" w:rsidP="00824C83">
            <w:pPr>
              <w:tabs>
                <w:tab w:val="left" w:pos="709"/>
              </w:tabs>
              <w:autoSpaceDE w:val="0"/>
              <w:autoSpaceDN w:val="0"/>
              <w:adjustRightInd w:val="0"/>
              <w:spacing w:before="60" w:after="60" w:line="240" w:lineRule="auto"/>
              <w:jc w:val="left"/>
              <w:rPr>
                <w:rFonts w:ascii="Arial" w:hAnsi="Arial" w:cs="Arial"/>
                <w:b/>
                <w:sz w:val="16"/>
                <w:szCs w:val="16"/>
              </w:rPr>
            </w:pPr>
            <w:r w:rsidRPr="00C33F82">
              <w:rPr>
                <w:rFonts w:ascii="Arial" w:hAnsi="Arial" w:cs="Arial"/>
                <w:b/>
                <w:sz w:val="16"/>
                <w:szCs w:val="16"/>
              </w:rPr>
              <w:t>Budget updates and Appropriation Bills</w:t>
            </w:r>
          </w:p>
          <w:p w:rsidR="00BB0214" w:rsidRPr="00C33F82" w:rsidRDefault="00BB0214" w:rsidP="00436AFE">
            <w:pPr>
              <w:autoSpaceDE w:val="0"/>
              <w:autoSpaceDN w:val="0"/>
              <w:adjustRightInd w:val="0"/>
              <w:spacing w:before="60" w:after="60" w:line="240" w:lineRule="auto"/>
              <w:contextualSpacing/>
              <w:jc w:val="left"/>
              <w:rPr>
                <w:rFonts w:ascii="Arial" w:hAnsi="Arial" w:cs="Arial"/>
                <w:i/>
                <w:iCs/>
                <w:sz w:val="18"/>
                <w:szCs w:val="18"/>
              </w:rPr>
            </w:pPr>
            <w:r w:rsidRPr="00C33F82">
              <w:rPr>
                <w:rFonts w:ascii="Arial" w:eastAsia="Arial" w:hAnsi="Arial" w:cs="Arial"/>
                <w:sz w:val="16"/>
                <w:szCs w:val="16"/>
              </w:rPr>
              <w:t>Budget papers, related updates (e.g. the MYEFO) and Appropriation Bills are accurate, consistent with external reporting standards, delivered within required timeframes and meets the Government’s fiscal and policy objectives and legislative obligations.</w:t>
            </w:r>
          </w:p>
        </w:tc>
        <w:tc>
          <w:tcPr>
            <w:tcW w:w="3952" w:type="dxa"/>
            <w:tcBorders>
              <w:top w:val="single" w:sz="4" w:space="0" w:color="auto"/>
              <w:left w:val="single" w:sz="4" w:space="0" w:color="auto"/>
              <w:bottom w:val="dotted" w:sz="4" w:space="0" w:color="auto"/>
            </w:tcBorders>
          </w:tcPr>
          <w:p w:rsidR="00BB0214" w:rsidRPr="00C33F82" w:rsidRDefault="00BB0214" w:rsidP="00824C83">
            <w:pPr>
              <w:autoSpaceDE w:val="0"/>
              <w:autoSpaceDN w:val="0"/>
              <w:adjustRightInd w:val="0"/>
              <w:spacing w:before="60" w:after="60" w:line="240" w:lineRule="auto"/>
              <w:jc w:val="left"/>
              <w:rPr>
                <w:rFonts w:ascii="Arial" w:hAnsi="Arial" w:cs="Arial"/>
                <w:sz w:val="16"/>
                <w:szCs w:val="16"/>
              </w:rPr>
            </w:pPr>
            <w:r w:rsidRPr="00C33F82">
              <w:rPr>
                <w:rFonts w:ascii="Arial" w:hAnsi="Arial" w:cs="Arial"/>
                <w:sz w:val="16"/>
                <w:szCs w:val="16"/>
              </w:rPr>
              <w:t>Accuracy of Budget Estimates.</w:t>
            </w:r>
          </w:p>
          <w:p w:rsidR="00BB0214" w:rsidRPr="00C33F82" w:rsidRDefault="00BB0214" w:rsidP="00436AFE">
            <w:pPr>
              <w:tabs>
                <w:tab w:val="left" w:pos="709"/>
              </w:tabs>
              <w:suppressAutoHyphens/>
              <w:spacing w:before="60" w:after="60" w:line="240" w:lineRule="auto"/>
              <w:jc w:val="left"/>
              <w:rPr>
                <w:rFonts w:ascii="Arial" w:eastAsia="Arial" w:hAnsi="Arial" w:cs="Arial"/>
                <w:sz w:val="16"/>
                <w:szCs w:val="16"/>
              </w:rPr>
            </w:pPr>
            <w:r w:rsidRPr="00C33F82">
              <w:rPr>
                <w:rFonts w:ascii="Arial" w:eastAsia="Arial" w:hAnsi="Arial" w:cs="Arial"/>
                <w:sz w:val="16"/>
                <w:szCs w:val="16"/>
              </w:rPr>
              <w:t>Variances between estimated expenses and final outcome are within set parameters.</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 xml:space="preserve">First forward year – difference </w:t>
            </w:r>
            <w:proofErr w:type="gramStart"/>
            <w:r w:rsidRPr="00C33F82">
              <w:rPr>
                <w:rFonts w:ascii="Arial" w:hAnsi="Arial" w:cs="Arial"/>
                <w:sz w:val="16"/>
                <w:szCs w:val="16"/>
              </w:rPr>
              <w:t>between  estimated</w:t>
            </w:r>
            <w:proofErr w:type="gramEnd"/>
            <w:r w:rsidRPr="00C33F82">
              <w:rPr>
                <w:rFonts w:ascii="Arial" w:hAnsi="Arial" w:cs="Arial"/>
                <w:sz w:val="16"/>
                <w:szCs w:val="16"/>
              </w:rPr>
              <w:t xml:space="preserve"> expenses and FBO &lt;2%.</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Budget year – difference between Budget estimated expenses and FBO &lt;1.5%.</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Current year – difference between the revised current year estimates at MYEFO and FBO &lt;1%.</w:t>
            </w:r>
          </w:p>
          <w:p w:rsidR="00BB0214" w:rsidRPr="00C33F82" w:rsidRDefault="00BB0214" w:rsidP="00DA1F4B">
            <w:pPr>
              <w:pStyle w:val="ListParagraph"/>
              <w:numPr>
                <w:ilvl w:val="0"/>
                <w:numId w:val="35"/>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Current year – difference between the current year estimates at budget time and Final Budget Outcome &lt;0.5%.</w:t>
            </w:r>
          </w:p>
          <w:p w:rsidR="00BB0214" w:rsidRPr="00C33F82" w:rsidRDefault="00BB0214" w:rsidP="00436AFE">
            <w:pPr>
              <w:tabs>
                <w:tab w:val="left" w:pos="709"/>
              </w:tabs>
              <w:suppressAutoHyphens/>
              <w:spacing w:before="60" w:after="60" w:line="240" w:lineRule="auto"/>
              <w:jc w:val="left"/>
              <w:rPr>
                <w:rFonts w:ascii="Arial" w:eastAsia="Arial" w:hAnsi="Arial" w:cs="Arial"/>
                <w:sz w:val="16"/>
                <w:szCs w:val="16"/>
              </w:rPr>
            </w:pPr>
            <w:r w:rsidRPr="00C33F82">
              <w:rPr>
                <w:rFonts w:ascii="Arial" w:eastAsia="Arial" w:hAnsi="Arial" w:cs="Arial"/>
                <w:sz w:val="16"/>
                <w:szCs w:val="16"/>
              </w:rPr>
              <w:t>Significant variances between estimated expenses and final outcome are explained.</w:t>
            </w:r>
          </w:p>
          <w:p w:rsidR="00BB0214" w:rsidRPr="00C33F82" w:rsidRDefault="00BB0214" w:rsidP="00436AFE">
            <w:pPr>
              <w:tabs>
                <w:tab w:val="left" w:pos="709"/>
              </w:tabs>
              <w:suppressAutoHyphens/>
              <w:spacing w:before="60" w:after="60" w:line="240" w:lineRule="auto"/>
              <w:jc w:val="left"/>
              <w:rPr>
                <w:rFonts w:ascii="Arial" w:eastAsia="Arial" w:hAnsi="Arial" w:cs="Arial"/>
                <w:sz w:val="16"/>
                <w:szCs w:val="16"/>
              </w:rPr>
            </w:pPr>
            <w:r w:rsidRPr="00C33F82">
              <w:rPr>
                <w:rFonts w:ascii="Arial" w:eastAsia="Arial" w:hAnsi="Arial" w:cs="Arial"/>
                <w:sz w:val="16"/>
                <w:szCs w:val="16"/>
              </w:rPr>
              <w:t>Timeliness of Budget Estimate Updates and Appropriation Bills.</w:t>
            </w:r>
          </w:p>
          <w:p w:rsidR="00BB0214" w:rsidRPr="00C33F82" w:rsidRDefault="00BB0214" w:rsidP="00DA1F4B">
            <w:pPr>
              <w:pStyle w:val="ListParagraph"/>
              <w:numPr>
                <w:ilvl w:val="0"/>
                <w:numId w:val="33"/>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Budget papers and related updates meet</w:t>
            </w:r>
            <w:r w:rsidR="00045B04" w:rsidRPr="00C33F82">
              <w:rPr>
                <w:rFonts w:ascii="Arial" w:hAnsi="Arial" w:cs="Arial"/>
                <w:sz w:val="16"/>
                <w:szCs w:val="16"/>
              </w:rPr>
              <w:t xml:space="preserve"> </w:t>
            </w:r>
            <w:r w:rsidRPr="00C33F82">
              <w:rPr>
                <w:rFonts w:ascii="Arial" w:hAnsi="Arial" w:cs="Arial"/>
                <w:sz w:val="16"/>
                <w:szCs w:val="16"/>
              </w:rPr>
              <w:t xml:space="preserve">timeframes set out in the </w:t>
            </w:r>
            <w:r w:rsidRPr="00C33F82">
              <w:rPr>
                <w:rFonts w:ascii="Arial" w:hAnsi="Arial" w:cs="Arial"/>
                <w:i/>
                <w:sz w:val="16"/>
                <w:szCs w:val="16"/>
              </w:rPr>
              <w:t>Charter of Budget Honesty Act 1998</w:t>
            </w:r>
            <w:r w:rsidRPr="00C33F82">
              <w:rPr>
                <w:rFonts w:ascii="Arial" w:hAnsi="Arial" w:cs="Arial"/>
                <w:sz w:val="16"/>
                <w:szCs w:val="16"/>
              </w:rPr>
              <w:t>.</w:t>
            </w:r>
          </w:p>
          <w:p w:rsidR="00BB0214" w:rsidRPr="00C33F82" w:rsidRDefault="00BB0214" w:rsidP="00DA1F4B">
            <w:pPr>
              <w:pStyle w:val="ListParagraph"/>
              <w:numPr>
                <w:ilvl w:val="0"/>
                <w:numId w:val="33"/>
              </w:numPr>
              <w:autoSpaceDE w:val="0"/>
              <w:autoSpaceDN w:val="0"/>
              <w:adjustRightInd w:val="0"/>
              <w:spacing w:before="60" w:after="60" w:line="240" w:lineRule="auto"/>
              <w:ind w:left="374" w:hanging="357"/>
              <w:rPr>
                <w:rFonts w:ascii="Arial" w:hAnsi="Arial" w:cs="Arial"/>
                <w:sz w:val="16"/>
                <w:szCs w:val="16"/>
              </w:rPr>
            </w:pPr>
            <w:r w:rsidRPr="00C33F82">
              <w:rPr>
                <w:rFonts w:ascii="Arial" w:hAnsi="Arial" w:cs="Arial"/>
                <w:sz w:val="16"/>
                <w:szCs w:val="16"/>
              </w:rPr>
              <w:t>Appropriation Bills introduced at times intended by government.</w:t>
            </w:r>
          </w:p>
          <w:p w:rsidR="00BB0214" w:rsidRPr="00C33F82" w:rsidRDefault="00BB0214" w:rsidP="00436AFE">
            <w:pPr>
              <w:tabs>
                <w:tab w:val="left" w:pos="709"/>
              </w:tabs>
              <w:spacing w:before="60" w:after="60" w:line="240" w:lineRule="auto"/>
              <w:jc w:val="left"/>
              <w:rPr>
                <w:rFonts w:ascii="Arial" w:hAnsi="Arial" w:cs="Arial"/>
                <w:i/>
                <w:iCs/>
                <w:sz w:val="18"/>
                <w:szCs w:val="18"/>
              </w:rPr>
            </w:pPr>
            <w:r w:rsidRPr="00C33F82">
              <w:rPr>
                <w:rFonts w:ascii="Arial" w:eastAsia="Arial" w:hAnsi="Arial" w:cs="Arial"/>
                <w:sz w:val="16"/>
                <w:szCs w:val="16"/>
              </w:rPr>
              <w:t>External reporting standards and legislative requirements are met.</w:t>
            </w:r>
          </w:p>
        </w:tc>
      </w:tr>
      <w:tr w:rsidR="00BB0214" w:rsidRPr="00D82E0C" w:rsidTr="00824C83">
        <w:trPr>
          <w:trHeight w:val="100"/>
        </w:trPr>
        <w:tc>
          <w:tcPr>
            <w:tcW w:w="1414" w:type="dxa"/>
            <w:tcBorders>
              <w:top w:val="nil"/>
              <w:left w:val="single" w:sz="4" w:space="0" w:color="auto"/>
              <w:bottom w:val="nil"/>
              <w:right w:val="single" w:sz="4" w:space="0" w:color="auto"/>
            </w:tcBorders>
          </w:tcPr>
          <w:p w:rsidR="00BB0214" w:rsidRPr="00370F86" w:rsidRDefault="00BB0214" w:rsidP="00436AFE">
            <w:pPr>
              <w:tabs>
                <w:tab w:val="left" w:pos="709"/>
              </w:tabs>
              <w:spacing w:line="240" w:lineRule="atLeast"/>
              <w:rPr>
                <w:rFonts w:ascii="Arial" w:hAnsi="Arial" w:cs="Arial"/>
                <w:sz w:val="16"/>
                <w:szCs w:val="16"/>
                <w:lang w:eastAsia="en-US"/>
              </w:rPr>
            </w:pPr>
          </w:p>
        </w:tc>
        <w:tc>
          <w:tcPr>
            <w:tcW w:w="2289" w:type="dxa"/>
            <w:tcBorders>
              <w:top w:val="dotted" w:sz="4" w:space="0" w:color="auto"/>
              <w:left w:val="single" w:sz="4" w:space="0" w:color="auto"/>
              <w:bottom w:val="dotted" w:sz="4" w:space="0" w:color="auto"/>
              <w:right w:val="single" w:sz="4" w:space="0" w:color="auto"/>
            </w:tcBorders>
          </w:tcPr>
          <w:p w:rsidR="00BB0214" w:rsidRPr="00C33F82" w:rsidRDefault="00BB0214" w:rsidP="00C33F82">
            <w:pPr>
              <w:tabs>
                <w:tab w:val="left" w:pos="709"/>
              </w:tabs>
              <w:autoSpaceDE w:val="0"/>
              <w:autoSpaceDN w:val="0"/>
              <w:adjustRightInd w:val="0"/>
              <w:spacing w:before="60" w:after="60" w:line="240" w:lineRule="auto"/>
              <w:jc w:val="left"/>
              <w:rPr>
                <w:rFonts w:ascii="Arial" w:eastAsia="Arial" w:hAnsi="Arial" w:cs="Arial"/>
                <w:b/>
                <w:bCs/>
                <w:sz w:val="16"/>
                <w:szCs w:val="16"/>
              </w:rPr>
            </w:pPr>
            <w:r w:rsidRPr="00C33F82">
              <w:rPr>
                <w:rFonts w:ascii="Arial" w:eastAsia="Arial" w:hAnsi="Arial" w:cs="Arial"/>
                <w:b/>
                <w:bCs/>
                <w:sz w:val="16"/>
                <w:szCs w:val="16"/>
              </w:rPr>
              <w:t>Financial statements</w:t>
            </w:r>
          </w:p>
          <w:p w:rsidR="00BB0214" w:rsidRPr="00C33F82" w:rsidRDefault="00BB0214" w:rsidP="00C33F82">
            <w:pPr>
              <w:tabs>
                <w:tab w:val="left" w:pos="709"/>
              </w:tabs>
              <w:autoSpaceDE w:val="0"/>
              <w:autoSpaceDN w:val="0"/>
              <w:adjustRightInd w:val="0"/>
              <w:spacing w:before="60" w:after="60" w:line="240" w:lineRule="auto"/>
              <w:jc w:val="left"/>
              <w:rPr>
                <w:rFonts w:ascii="Arial" w:eastAsia="Arial" w:hAnsi="Arial" w:cs="Arial"/>
                <w:bCs/>
                <w:sz w:val="16"/>
                <w:szCs w:val="16"/>
              </w:rPr>
            </w:pPr>
            <w:r w:rsidRPr="00C33F82">
              <w:rPr>
                <w:rFonts w:ascii="Arial" w:eastAsia="Arial" w:hAnsi="Arial" w:cs="Arial"/>
                <w:bCs/>
                <w:sz w:val="16"/>
                <w:szCs w:val="16"/>
              </w:rPr>
              <w:t xml:space="preserve">The Government’s financial statements, including monthly statements, are complete, fairly presented and released publicly on timeframes agreed with the Government. </w:t>
            </w:r>
          </w:p>
        </w:tc>
        <w:tc>
          <w:tcPr>
            <w:tcW w:w="3952" w:type="dxa"/>
            <w:tcBorders>
              <w:top w:val="dotted" w:sz="4" w:space="0" w:color="auto"/>
              <w:left w:val="single" w:sz="4" w:space="0" w:color="auto"/>
              <w:bottom w:val="dotted" w:sz="4" w:space="0" w:color="auto"/>
              <w:right w:val="single" w:sz="4" w:space="0" w:color="auto"/>
            </w:tcBorders>
          </w:tcPr>
          <w:p w:rsidR="00BB0214" w:rsidRPr="00C33F82" w:rsidRDefault="00BB0214" w:rsidP="00C33F82">
            <w:pPr>
              <w:autoSpaceDE w:val="0"/>
              <w:autoSpaceDN w:val="0"/>
              <w:adjustRightInd w:val="0"/>
              <w:spacing w:before="60" w:after="60" w:line="240" w:lineRule="auto"/>
              <w:jc w:val="left"/>
              <w:rPr>
                <w:rFonts w:ascii="Arial" w:hAnsi="Arial" w:cs="Arial"/>
                <w:sz w:val="16"/>
                <w:szCs w:val="16"/>
              </w:rPr>
            </w:pPr>
            <w:r w:rsidRPr="00C33F82">
              <w:rPr>
                <w:rFonts w:ascii="Arial" w:hAnsi="Arial" w:cs="Arial"/>
                <w:sz w:val="16"/>
                <w:szCs w:val="16"/>
              </w:rPr>
              <w:t>Complete and fairly presented Financial Statements.</w:t>
            </w:r>
          </w:p>
          <w:p w:rsidR="00BB0214" w:rsidRPr="00C33F82" w:rsidRDefault="00BB0214" w:rsidP="00DA1F4B">
            <w:pPr>
              <w:numPr>
                <w:ilvl w:val="0"/>
                <w:numId w:val="34"/>
              </w:numPr>
              <w:tabs>
                <w:tab w:val="left" w:pos="300"/>
              </w:tabs>
              <w:autoSpaceDE w:val="0"/>
              <w:autoSpaceDN w:val="0"/>
              <w:adjustRightInd w:val="0"/>
              <w:spacing w:before="60" w:after="60" w:line="240" w:lineRule="auto"/>
              <w:ind w:left="374" w:hanging="357"/>
              <w:jc w:val="left"/>
              <w:rPr>
                <w:rFonts w:ascii="Arial" w:hAnsi="Arial" w:cs="Arial"/>
                <w:sz w:val="16"/>
                <w:szCs w:val="16"/>
              </w:rPr>
            </w:pPr>
            <w:r w:rsidRPr="00C33F82">
              <w:rPr>
                <w:rFonts w:ascii="Arial" w:hAnsi="Arial" w:cs="Arial"/>
                <w:sz w:val="16"/>
                <w:szCs w:val="16"/>
              </w:rPr>
              <w:t>The Auditor-General issues an unmodified audit</w:t>
            </w:r>
            <w:r w:rsidR="00045B04" w:rsidRPr="00C33F82">
              <w:rPr>
                <w:rFonts w:ascii="Arial" w:hAnsi="Arial" w:cs="Arial"/>
                <w:sz w:val="16"/>
                <w:szCs w:val="16"/>
              </w:rPr>
              <w:t xml:space="preserve"> </w:t>
            </w:r>
            <w:r w:rsidRPr="00C33F82">
              <w:rPr>
                <w:rFonts w:ascii="Arial" w:hAnsi="Arial" w:cs="Arial"/>
                <w:sz w:val="16"/>
                <w:szCs w:val="16"/>
              </w:rPr>
              <w:t>report on consolidated financial statements.</w:t>
            </w:r>
          </w:p>
          <w:p w:rsidR="00BB0214" w:rsidRPr="00C33F82" w:rsidRDefault="00BB0214" w:rsidP="00C33F82">
            <w:pPr>
              <w:autoSpaceDE w:val="0"/>
              <w:autoSpaceDN w:val="0"/>
              <w:adjustRightInd w:val="0"/>
              <w:spacing w:before="60" w:after="60" w:line="240" w:lineRule="auto"/>
              <w:ind w:left="357" w:hanging="357"/>
              <w:jc w:val="left"/>
              <w:rPr>
                <w:rFonts w:ascii="Arial" w:hAnsi="Arial" w:cs="Arial"/>
                <w:sz w:val="16"/>
                <w:szCs w:val="16"/>
              </w:rPr>
            </w:pPr>
            <w:r w:rsidRPr="00C33F82">
              <w:rPr>
                <w:rFonts w:ascii="Arial" w:hAnsi="Arial" w:cs="Arial"/>
                <w:sz w:val="16"/>
                <w:szCs w:val="16"/>
              </w:rPr>
              <w:t>Timeliness of Financial Statements.</w:t>
            </w:r>
          </w:p>
          <w:p w:rsidR="00BB0214" w:rsidRPr="00C33F82" w:rsidRDefault="00BB0214" w:rsidP="00DA1F4B">
            <w:pPr>
              <w:numPr>
                <w:ilvl w:val="0"/>
                <w:numId w:val="33"/>
              </w:numPr>
              <w:tabs>
                <w:tab w:val="left" w:pos="18"/>
              </w:tabs>
              <w:autoSpaceDE w:val="0"/>
              <w:autoSpaceDN w:val="0"/>
              <w:adjustRightInd w:val="0"/>
              <w:spacing w:before="60" w:after="60" w:line="240" w:lineRule="auto"/>
              <w:ind w:left="374" w:hanging="357"/>
              <w:jc w:val="left"/>
              <w:rPr>
                <w:rFonts w:ascii="Arial" w:eastAsia="Calibri" w:hAnsi="Arial"/>
                <w:sz w:val="16"/>
                <w:szCs w:val="16"/>
                <w:lang w:val="en-US"/>
              </w:rPr>
            </w:pPr>
            <w:r w:rsidRPr="00C33F82">
              <w:rPr>
                <w:rFonts w:ascii="Arial" w:eastAsia="Calibri" w:hAnsi="Arial"/>
                <w:sz w:val="16"/>
                <w:szCs w:val="16"/>
                <w:lang w:val="en-US"/>
              </w:rPr>
              <w:t>Monthly statements (prepared within 21 days of the end of month, on average, following release of FBO).</w:t>
            </w:r>
          </w:p>
          <w:p w:rsidR="00BB0214" w:rsidRPr="00C33F82" w:rsidRDefault="00BB0214" w:rsidP="00C33F82">
            <w:pPr>
              <w:autoSpaceDE w:val="0"/>
              <w:autoSpaceDN w:val="0"/>
              <w:adjustRightInd w:val="0"/>
              <w:spacing w:before="60" w:after="60" w:line="240" w:lineRule="auto"/>
              <w:jc w:val="left"/>
              <w:rPr>
                <w:rFonts w:ascii="Arial" w:hAnsi="Arial" w:cs="Arial"/>
                <w:sz w:val="16"/>
                <w:szCs w:val="16"/>
              </w:rPr>
            </w:pPr>
            <w:r w:rsidRPr="00C33F82">
              <w:rPr>
                <w:rFonts w:ascii="Arial" w:hAnsi="Arial" w:cs="Arial"/>
                <w:sz w:val="16"/>
                <w:szCs w:val="16"/>
              </w:rPr>
              <w:t>Consolidated financial statements (provided to the Auditor-General by 30 November each year).</w:t>
            </w:r>
          </w:p>
        </w:tc>
      </w:tr>
      <w:tr w:rsidR="00BB0214" w:rsidRPr="00D82E0C" w:rsidTr="00824C83">
        <w:trPr>
          <w:trHeight w:val="100"/>
        </w:trPr>
        <w:tc>
          <w:tcPr>
            <w:tcW w:w="1414" w:type="dxa"/>
            <w:tcBorders>
              <w:top w:val="nil"/>
              <w:left w:val="single" w:sz="4" w:space="0" w:color="auto"/>
              <w:bottom w:val="single" w:sz="4" w:space="0" w:color="auto"/>
              <w:right w:val="single" w:sz="4" w:space="0" w:color="auto"/>
            </w:tcBorders>
          </w:tcPr>
          <w:p w:rsidR="00BB0214" w:rsidRPr="00370F86" w:rsidRDefault="00BB0214" w:rsidP="00436AFE">
            <w:pPr>
              <w:tabs>
                <w:tab w:val="left" w:pos="709"/>
              </w:tabs>
              <w:spacing w:before="60" w:after="60" w:line="240" w:lineRule="atLeast"/>
              <w:jc w:val="left"/>
              <w:rPr>
                <w:rFonts w:ascii="Arial" w:hAnsi="Arial" w:cs="Arial"/>
                <w:sz w:val="16"/>
                <w:szCs w:val="16"/>
                <w:lang w:eastAsia="en-US"/>
              </w:rPr>
            </w:pPr>
          </w:p>
        </w:tc>
        <w:tc>
          <w:tcPr>
            <w:tcW w:w="2289" w:type="dxa"/>
            <w:tcBorders>
              <w:top w:val="dotted" w:sz="4" w:space="0" w:color="auto"/>
              <w:left w:val="single" w:sz="4" w:space="0" w:color="auto"/>
              <w:bottom w:val="single" w:sz="4" w:space="0" w:color="auto"/>
              <w:right w:val="single" w:sz="4" w:space="0" w:color="auto"/>
            </w:tcBorders>
          </w:tcPr>
          <w:p w:rsidR="00BB0214" w:rsidRPr="00D82E0C" w:rsidRDefault="00BB0214" w:rsidP="00C33F82">
            <w:pPr>
              <w:tabs>
                <w:tab w:val="left" w:pos="709"/>
              </w:tabs>
              <w:autoSpaceDE w:val="0"/>
              <w:autoSpaceDN w:val="0"/>
              <w:adjustRightInd w:val="0"/>
              <w:spacing w:before="60" w:after="60" w:line="240" w:lineRule="auto"/>
              <w:jc w:val="left"/>
              <w:rPr>
                <w:rFonts w:ascii="Arial" w:eastAsia="Arial" w:hAnsi="Arial" w:cs="Arial"/>
                <w:b/>
                <w:bCs/>
                <w:sz w:val="16"/>
                <w:szCs w:val="16"/>
              </w:rPr>
            </w:pPr>
            <w:r w:rsidRPr="00D82E0C">
              <w:rPr>
                <w:rFonts w:ascii="Arial" w:eastAsia="Arial" w:hAnsi="Arial" w:cs="Arial"/>
                <w:b/>
                <w:bCs/>
                <w:sz w:val="16"/>
                <w:szCs w:val="16"/>
              </w:rPr>
              <w:t>Daily disbursement of cash</w:t>
            </w:r>
          </w:p>
          <w:p w:rsidR="00BB0214" w:rsidRPr="00370F86" w:rsidRDefault="00BB0214" w:rsidP="00C33F82">
            <w:pPr>
              <w:tabs>
                <w:tab w:val="left" w:pos="709"/>
              </w:tabs>
              <w:autoSpaceDE w:val="0"/>
              <w:autoSpaceDN w:val="0"/>
              <w:adjustRightInd w:val="0"/>
              <w:spacing w:before="60" w:after="60" w:line="240" w:lineRule="auto"/>
              <w:jc w:val="left"/>
              <w:rPr>
                <w:rFonts w:ascii="Arial" w:eastAsia="Arial" w:hAnsi="Arial" w:cs="Arial"/>
                <w:b/>
                <w:bCs/>
                <w:sz w:val="16"/>
                <w:szCs w:val="16"/>
              </w:rPr>
            </w:pPr>
            <w:r w:rsidRPr="00370F86">
              <w:rPr>
                <w:rFonts w:ascii="Arial" w:eastAsia="Arial" w:hAnsi="Arial" w:cs="Arial"/>
                <w:bCs/>
                <w:sz w:val="16"/>
                <w:szCs w:val="16"/>
              </w:rPr>
              <w:t>Commonwealth entities have access to cash, in near real-time, as required</w:t>
            </w:r>
            <w:r w:rsidRPr="00370F86">
              <w:rPr>
                <w:rFonts w:ascii="Arial" w:eastAsia="Arial" w:hAnsi="Arial" w:cs="Arial"/>
                <w:b/>
                <w:bCs/>
                <w:sz w:val="16"/>
                <w:szCs w:val="16"/>
              </w:rPr>
              <w:t>.</w:t>
            </w:r>
          </w:p>
        </w:tc>
        <w:tc>
          <w:tcPr>
            <w:tcW w:w="3952" w:type="dxa"/>
            <w:tcBorders>
              <w:top w:val="dotted" w:sz="4" w:space="0" w:color="auto"/>
              <w:left w:val="single" w:sz="4" w:space="0" w:color="auto"/>
              <w:bottom w:val="single" w:sz="4" w:space="0" w:color="auto"/>
              <w:right w:val="single" w:sz="4" w:space="0" w:color="auto"/>
            </w:tcBorders>
          </w:tcPr>
          <w:p w:rsidR="00BB0214" w:rsidRPr="00370F86" w:rsidRDefault="00BB0214" w:rsidP="00C33F82">
            <w:pPr>
              <w:autoSpaceDE w:val="0"/>
              <w:autoSpaceDN w:val="0"/>
              <w:adjustRightInd w:val="0"/>
              <w:spacing w:before="60" w:after="60" w:line="240" w:lineRule="auto"/>
              <w:jc w:val="left"/>
              <w:rPr>
                <w:rFonts w:ascii="Arial" w:hAnsi="Arial" w:cs="Arial"/>
                <w:sz w:val="16"/>
                <w:szCs w:val="16"/>
              </w:rPr>
            </w:pPr>
            <w:r w:rsidRPr="00370F86">
              <w:rPr>
                <w:rFonts w:ascii="Arial" w:hAnsi="Arial" w:cs="Arial"/>
                <w:sz w:val="16"/>
                <w:szCs w:val="16"/>
              </w:rPr>
              <w:t>All payment requests from entities are met, in requested timeframes</w:t>
            </w:r>
            <w:r w:rsidR="00DA485F">
              <w:rPr>
                <w:rFonts w:ascii="Arial" w:hAnsi="Arial" w:cs="Arial"/>
                <w:sz w:val="16"/>
                <w:szCs w:val="16"/>
              </w:rPr>
              <w:t>.</w:t>
            </w:r>
          </w:p>
        </w:tc>
      </w:tr>
      <w:tr w:rsidR="00BB0214" w:rsidRPr="00D82E0C" w:rsidTr="00436AFE">
        <w:trPr>
          <w:trHeight w:val="100"/>
        </w:trPr>
        <w:tc>
          <w:tcPr>
            <w:tcW w:w="1414" w:type="dxa"/>
            <w:tcBorders>
              <w:top w:val="single" w:sz="4" w:space="0" w:color="auto"/>
              <w:left w:val="single" w:sz="4" w:space="0" w:color="auto"/>
              <w:bottom w:val="single" w:sz="4" w:space="0" w:color="auto"/>
              <w:right w:val="single" w:sz="4" w:space="0" w:color="auto"/>
            </w:tcBorders>
          </w:tcPr>
          <w:p w:rsidR="00BB0214" w:rsidRPr="00370F86" w:rsidRDefault="00BB0214" w:rsidP="001079D3">
            <w:pPr>
              <w:tabs>
                <w:tab w:val="left" w:pos="709"/>
              </w:tabs>
              <w:spacing w:before="60" w:after="60" w:line="240" w:lineRule="auto"/>
              <w:jc w:val="left"/>
              <w:rPr>
                <w:rFonts w:ascii="Arial" w:hAnsi="Arial" w:cs="Arial"/>
                <w:sz w:val="16"/>
                <w:szCs w:val="16"/>
                <w:lang w:eastAsia="en-US"/>
              </w:rPr>
            </w:pPr>
            <w:r w:rsidRPr="00370F86">
              <w:rPr>
                <w:rFonts w:ascii="Arial" w:hAnsi="Arial" w:cs="Arial"/>
                <w:sz w:val="16"/>
                <w:szCs w:val="16"/>
                <w:lang w:eastAsia="en-US"/>
              </w:rPr>
              <w:t xml:space="preserve">Forward Estimates </w:t>
            </w:r>
            <w:r w:rsidR="001079D3">
              <w:rPr>
                <w:rFonts w:ascii="Arial" w:hAnsi="Arial" w:cs="Arial"/>
                <w:sz w:val="16"/>
                <w:szCs w:val="16"/>
                <w:lang w:eastAsia="en-US"/>
              </w:rPr>
              <w:br/>
            </w:r>
            <w:r w:rsidRPr="00370F86">
              <w:rPr>
                <w:rFonts w:ascii="Arial" w:hAnsi="Arial" w:cs="Arial"/>
                <w:sz w:val="16"/>
                <w:szCs w:val="16"/>
                <w:lang w:eastAsia="en-US"/>
              </w:rPr>
              <w:t>2023-26</w:t>
            </w:r>
          </w:p>
        </w:tc>
        <w:tc>
          <w:tcPr>
            <w:tcW w:w="2289" w:type="dxa"/>
            <w:tcBorders>
              <w:top w:val="single" w:sz="4" w:space="0" w:color="auto"/>
              <w:left w:val="single" w:sz="4" w:space="0" w:color="auto"/>
              <w:bottom w:val="single" w:sz="4" w:space="0" w:color="auto"/>
              <w:right w:val="single" w:sz="4" w:space="0" w:color="auto"/>
            </w:tcBorders>
          </w:tcPr>
          <w:p w:rsidR="00BB0214" w:rsidRPr="00370F86" w:rsidRDefault="00BB0214" w:rsidP="00436AFE">
            <w:pPr>
              <w:tabs>
                <w:tab w:val="left" w:pos="709"/>
              </w:tabs>
              <w:suppressAutoHyphens/>
              <w:spacing w:before="60" w:after="60" w:line="240" w:lineRule="auto"/>
              <w:jc w:val="left"/>
              <w:rPr>
                <w:rFonts w:ascii="Arial" w:eastAsia="Arial" w:hAnsi="Arial" w:cs="Arial"/>
                <w:bCs/>
                <w:sz w:val="16"/>
                <w:szCs w:val="16"/>
              </w:rPr>
            </w:pPr>
            <w:r w:rsidRPr="00370F86">
              <w:rPr>
                <w:rFonts w:ascii="Arial" w:eastAsia="Arial" w:hAnsi="Arial" w:cs="Arial"/>
                <w:bCs/>
                <w:sz w:val="16"/>
                <w:szCs w:val="16"/>
              </w:rPr>
              <w:t>As per 2022-23.</w:t>
            </w:r>
          </w:p>
        </w:tc>
        <w:tc>
          <w:tcPr>
            <w:tcW w:w="3952" w:type="dxa"/>
            <w:tcBorders>
              <w:top w:val="single" w:sz="4" w:space="0" w:color="auto"/>
              <w:left w:val="single" w:sz="4" w:space="0" w:color="auto"/>
              <w:bottom w:val="single" w:sz="4" w:space="0" w:color="auto"/>
              <w:right w:val="single" w:sz="4" w:space="0" w:color="auto"/>
            </w:tcBorders>
          </w:tcPr>
          <w:p w:rsidR="00BB0214" w:rsidRPr="00370F86" w:rsidRDefault="00BB0214" w:rsidP="00436AFE">
            <w:pPr>
              <w:autoSpaceDE w:val="0"/>
              <w:autoSpaceDN w:val="0"/>
              <w:adjustRightInd w:val="0"/>
              <w:spacing w:before="60" w:after="60" w:line="240" w:lineRule="auto"/>
              <w:jc w:val="left"/>
              <w:rPr>
                <w:rFonts w:ascii="Arial" w:hAnsi="Arial" w:cs="Arial"/>
                <w:sz w:val="16"/>
                <w:szCs w:val="16"/>
              </w:rPr>
            </w:pPr>
            <w:r w:rsidRPr="00370F86">
              <w:rPr>
                <w:rFonts w:ascii="Arial" w:hAnsi="Arial" w:cs="Arial"/>
                <w:sz w:val="16"/>
                <w:szCs w:val="16"/>
              </w:rPr>
              <w:t>As per 2022-23.</w:t>
            </w:r>
          </w:p>
        </w:tc>
      </w:tr>
      <w:tr w:rsidR="00BB0214" w:rsidRPr="00D82E0C" w:rsidTr="00436AFE">
        <w:trPr>
          <w:trHeight w:val="291"/>
        </w:trPr>
        <w:tc>
          <w:tcPr>
            <w:tcW w:w="7655" w:type="dxa"/>
            <w:gridSpan w:val="3"/>
          </w:tcPr>
          <w:p w:rsidR="00BB0214" w:rsidRPr="00D82E0C" w:rsidRDefault="00BB0214" w:rsidP="00436AFE">
            <w:pPr>
              <w:tabs>
                <w:tab w:val="left" w:pos="709"/>
              </w:tabs>
              <w:spacing w:before="60" w:after="60"/>
              <w:rPr>
                <w:rFonts w:ascii="Arial" w:eastAsia="Cambria" w:hAnsi="Arial" w:cs="Arial"/>
                <w:spacing w:val="-6"/>
                <w:sz w:val="16"/>
                <w:szCs w:val="16"/>
              </w:rPr>
            </w:pPr>
            <w:r w:rsidRPr="00D82E0C">
              <w:rPr>
                <w:rFonts w:ascii="Arial" w:hAnsi="Arial" w:cs="Arial"/>
                <w:sz w:val="16"/>
                <w:szCs w:val="16"/>
              </w:rPr>
              <w:t>Material changes to Program 1.1 resulting from 2022-23 Budget Measures:</w:t>
            </w:r>
            <w:r w:rsidRPr="00D82E0C">
              <w:rPr>
                <w:rStyle w:val="BodyTextChar"/>
                <w:spacing w:val="-6"/>
                <w:sz w:val="16"/>
                <w:szCs w:val="16"/>
              </w:rPr>
              <w:t xml:space="preserve"> </w:t>
            </w:r>
            <w:r w:rsidRPr="00D82E0C">
              <w:rPr>
                <w:rFonts w:ascii="Arial" w:hAnsi="Arial" w:cs="Arial"/>
                <w:sz w:val="16"/>
                <w:szCs w:val="16"/>
              </w:rPr>
              <w:t>Nil</w:t>
            </w:r>
          </w:p>
        </w:tc>
      </w:tr>
    </w:tbl>
    <w:p w:rsidR="00BB0214" w:rsidRDefault="00BB0214" w:rsidP="00BB0214">
      <w:pPr>
        <w:pStyle w:val="TableGraphic"/>
        <w:rPr>
          <w:lang w:eastAsia="x-none"/>
        </w:rPr>
      </w:pPr>
    </w:p>
    <w:p w:rsidR="00BB0214" w:rsidRDefault="00BB0214" w:rsidP="00BB0214">
      <w:pPr>
        <w:rPr>
          <w:lang w:eastAsia="x-none"/>
        </w:rPr>
      </w:pPr>
    </w:p>
    <w:p w:rsidR="00B56872" w:rsidRPr="00BB0214" w:rsidRDefault="00B56872" w:rsidP="00BB0214">
      <w:pPr>
        <w:rPr>
          <w:lang w:eastAsia="x-none"/>
        </w:rPr>
      </w:pPr>
    </w:p>
    <w:p w:rsidR="007B45F9" w:rsidRPr="00F743D8" w:rsidRDefault="003F509C" w:rsidP="007B45F9">
      <w:pPr>
        <w:pStyle w:val="Heading3"/>
      </w:pPr>
      <w:bookmarkStart w:id="50" w:name="_Toc98181310"/>
      <w:bookmarkStart w:id="51" w:name="_Toc444523516"/>
      <w:bookmarkEnd w:id="48"/>
      <w:bookmarkEnd w:id="49"/>
      <w:r>
        <w:lastRenderedPageBreak/>
        <w:t>2.2</w:t>
      </w:r>
      <w:r w:rsidR="007B45F9" w:rsidRPr="00F743D8">
        <w:t xml:space="preserve"> </w:t>
      </w:r>
      <w:r w:rsidR="007B45F9" w:rsidRPr="00F743D8">
        <w:tab/>
        <w:t xml:space="preserve">Budgeted expenses and performance for Outcome </w:t>
      </w:r>
      <w:r w:rsidR="007B45F9">
        <w:t>2</w:t>
      </w:r>
      <w:bookmarkEnd w:id="5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B45F9" w:rsidRPr="005E6F2B" w:rsidTr="00DD65F3">
        <w:tc>
          <w:tcPr>
            <w:tcW w:w="7704" w:type="dxa"/>
            <w:shd w:val="clear" w:color="auto" w:fill="E6E6E6"/>
          </w:tcPr>
          <w:p w:rsidR="007B45F9" w:rsidRPr="005E6F2B" w:rsidRDefault="00B64EAE" w:rsidP="003926EA">
            <w:pPr>
              <w:pStyle w:val="TableColumnHeadingLeft"/>
            </w:pPr>
            <w:r w:rsidRPr="00B64EAE">
              <w:t>Outcome 2 – Support an efficient and high-performing public sector through providing leadership to Commonwealth entities in ongoing improvements to public sector governance, including through systems, frameworks, policy, advice and service delivery.</w:t>
            </w:r>
          </w:p>
        </w:tc>
      </w:tr>
    </w:tbl>
    <w:p w:rsidR="007B45F9" w:rsidRPr="005E6F2B" w:rsidRDefault="007B45F9" w:rsidP="007B45F9">
      <w:pPr>
        <w:pStyle w:val="NoSpacing"/>
      </w:pPr>
    </w:p>
    <w:p w:rsidR="007B45F9" w:rsidRPr="005E6F2B" w:rsidRDefault="007B45F9" w:rsidP="007B45F9">
      <w:pPr>
        <w:pStyle w:val="Heading4"/>
      </w:pPr>
      <w:r w:rsidRPr="005E6F2B">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B45F9" w:rsidRPr="005E6F2B" w:rsidTr="001674BB">
        <w:trPr>
          <w:trHeight w:val="113"/>
          <w:tblHeader/>
        </w:trPr>
        <w:tc>
          <w:tcPr>
            <w:tcW w:w="7711" w:type="dxa"/>
            <w:tcBorders>
              <w:bottom w:val="dotted" w:sz="4" w:space="0" w:color="auto"/>
            </w:tcBorders>
          </w:tcPr>
          <w:p w:rsidR="007B45F9" w:rsidRPr="00C33F82" w:rsidRDefault="00723881" w:rsidP="001674BB">
            <w:pPr>
              <w:pStyle w:val="ExampleText0"/>
              <w:spacing w:before="60" w:after="60" w:line="240" w:lineRule="auto"/>
              <w:rPr>
                <w:color w:val="auto"/>
              </w:rPr>
            </w:pPr>
            <w:r w:rsidRPr="00C33F82">
              <w:rPr>
                <w:rStyle w:val="ExampletextCharChar"/>
                <w:b/>
                <w:color w:val="auto"/>
              </w:rPr>
              <w:t>Commonwealth Superannuation Corporation</w:t>
            </w:r>
          </w:p>
        </w:tc>
      </w:tr>
      <w:tr w:rsidR="007B45F9" w:rsidRPr="005E6F2B" w:rsidTr="001674BB">
        <w:trPr>
          <w:trHeight w:val="113"/>
        </w:trPr>
        <w:tc>
          <w:tcPr>
            <w:tcW w:w="7711" w:type="dxa"/>
            <w:tcBorders>
              <w:top w:val="dotted" w:sz="4" w:space="0" w:color="auto"/>
              <w:bottom w:val="single" w:sz="4" w:space="0" w:color="auto"/>
            </w:tcBorders>
          </w:tcPr>
          <w:p w:rsidR="007B45F9" w:rsidRPr="00C33F82" w:rsidRDefault="00723881" w:rsidP="00A84193">
            <w:pPr>
              <w:spacing w:before="60" w:after="60" w:line="240" w:lineRule="auto"/>
              <w:rPr>
                <w:rStyle w:val="ExampletextCharChar"/>
                <w:b/>
                <w:i w:val="0"/>
                <w:color w:val="auto"/>
              </w:rPr>
            </w:pPr>
            <w:r w:rsidRPr="00C33F82">
              <w:rPr>
                <w:rStyle w:val="ExampletextCharChar"/>
                <w:b/>
                <w:i w:val="0"/>
                <w:color w:val="auto"/>
              </w:rPr>
              <w:t>Program</w:t>
            </w:r>
          </w:p>
          <w:p w:rsidR="007B45F9" w:rsidRPr="00C33F82" w:rsidRDefault="007B45F9" w:rsidP="00F76FE4">
            <w:pPr>
              <w:numPr>
                <w:ilvl w:val="0"/>
                <w:numId w:val="7"/>
              </w:numPr>
              <w:spacing w:before="60" w:after="60" w:line="240" w:lineRule="auto"/>
              <w:ind w:left="714" w:hanging="357"/>
              <w:rPr>
                <w:rStyle w:val="ExampletextCharChar"/>
                <w:i w:val="0"/>
                <w:color w:val="auto"/>
              </w:rPr>
            </w:pPr>
            <w:r w:rsidRPr="00C33F82">
              <w:rPr>
                <w:rStyle w:val="ExampletextCharChar"/>
                <w:i w:val="0"/>
                <w:color w:val="auto"/>
              </w:rPr>
              <w:t xml:space="preserve">Program </w:t>
            </w:r>
            <w:r w:rsidR="00723881" w:rsidRPr="00C33F82">
              <w:rPr>
                <w:rStyle w:val="ExampletextCharChar"/>
                <w:i w:val="0"/>
                <w:color w:val="auto"/>
              </w:rPr>
              <w:t>1.1 – Superannuation Scheme Governance</w:t>
            </w:r>
          </w:p>
        </w:tc>
      </w:tr>
      <w:tr w:rsidR="007B45F9" w:rsidRPr="005E6F2B" w:rsidTr="001674BB">
        <w:trPr>
          <w:trHeight w:val="113"/>
        </w:trPr>
        <w:tc>
          <w:tcPr>
            <w:tcW w:w="7711" w:type="dxa"/>
            <w:tcBorders>
              <w:bottom w:val="dotted" w:sz="4" w:space="0" w:color="auto"/>
            </w:tcBorders>
          </w:tcPr>
          <w:p w:rsidR="007B45F9" w:rsidRPr="00C33F82" w:rsidRDefault="00723881" w:rsidP="001674BB">
            <w:pPr>
              <w:pStyle w:val="ExampleText0"/>
              <w:spacing w:before="60" w:after="60" w:line="240" w:lineRule="auto"/>
              <w:rPr>
                <w:color w:val="auto"/>
              </w:rPr>
            </w:pPr>
            <w:r w:rsidRPr="00C33F82">
              <w:rPr>
                <w:rStyle w:val="ExampletextCharChar"/>
                <w:b/>
                <w:color w:val="auto"/>
              </w:rPr>
              <w:t>Future Fund Management Agency</w:t>
            </w:r>
          </w:p>
        </w:tc>
      </w:tr>
      <w:tr w:rsidR="007B45F9" w:rsidRPr="005E6F2B" w:rsidTr="001674BB">
        <w:trPr>
          <w:trHeight w:val="113"/>
        </w:trPr>
        <w:tc>
          <w:tcPr>
            <w:tcW w:w="7711" w:type="dxa"/>
            <w:tcBorders>
              <w:top w:val="dotted" w:sz="4" w:space="0" w:color="auto"/>
              <w:bottom w:val="single" w:sz="4" w:space="0" w:color="auto"/>
            </w:tcBorders>
          </w:tcPr>
          <w:p w:rsidR="007B45F9" w:rsidRPr="00C33F82" w:rsidRDefault="007B45F9" w:rsidP="00A84193">
            <w:pPr>
              <w:spacing w:before="60" w:after="60" w:line="240" w:lineRule="auto"/>
              <w:rPr>
                <w:rStyle w:val="ExampletextCharChar"/>
                <w:b/>
                <w:i w:val="0"/>
                <w:color w:val="auto"/>
              </w:rPr>
            </w:pPr>
            <w:r w:rsidRPr="00C33F82">
              <w:rPr>
                <w:rStyle w:val="ExampletextCharChar"/>
                <w:b/>
                <w:i w:val="0"/>
                <w:color w:val="auto"/>
              </w:rPr>
              <w:t>Programs</w:t>
            </w:r>
          </w:p>
          <w:p w:rsidR="00723881" w:rsidRPr="00C33F82" w:rsidRDefault="00723881" w:rsidP="00F76FE4">
            <w:pPr>
              <w:numPr>
                <w:ilvl w:val="0"/>
                <w:numId w:val="7"/>
              </w:numPr>
              <w:spacing w:before="60" w:after="60" w:line="240" w:lineRule="auto"/>
              <w:ind w:left="714" w:hanging="357"/>
              <w:rPr>
                <w:rStyle w:val="ExampletextCharChar"/>
                <w:i w:val="0"/>
                <w:color w:val="auto"/>
              </w:rPr>
            </w:pPr>
            <w:r w:rsidRPr="00C33F82">
              <w:rPr>
                <w:rStyle w:val="ExampletextCharChar"/>
                <w:i w:val="0"/>
                <w:color w:val="auto"/>
              </w:rPr>
              <w:t>Program 1.1 – Management of the Investment of the Future Fund</w:t>
            </w:r>
          </w:p>
          <w:p w:rsidR="007B45F9" w:rsidRPr="00C33F82" w:rsidRDefault="00723881" w:rsidP="00F76FE4">
            <w:pPr>
              <w:numPr>
                <w:ilvl w:val="0"/>
                <w:numId w:val="7"/>
              </w:numPr>
              <w:spacing w:before="60" w:after="60" w:line="240" w:lineRule="auto"/>
              <w:ind w:left="714" w:hanging="357"/>
              <w:rPr>
                <w:rStyle w:val="ExampletextCharChar"/>
                <w:i w:val="0"/>
                <w:color w:val="auto"/>
              </w:rPr>
            </w:pPr>
            <w:r w:rsidRPr="00C33F82">
              <w:rPr>
                <w:rStyle w:val="ExampletextCharChar"/>
                <w:i w:val="0"/>
                <w:color w:val="auto"/>
              </w:rPr>
              <w:t>Program 1.2 – Management of the Investment of the Australian Government Investment Funds</w:t>
            </w:r>
          </w:p>
        </w:tc>
      </w:tr>
      <w:tr w:rsidR="007B45F9" w:rsidRPr="005E6F2B" w:rsidTr="00F047C7">
        <w:trPr>
          <w:trHeight w:val="1864"/>
        </w:trPr>
        <w:tc>
          <w:tcPr>
            <w:tcW w:w="7711" w:type="dxa"/>
            <w:tcBorders>
              <w:bottom w:val="single" w:sz="4" w:space="0" w:color="auto"/>
            </w:tcBorders>
          </w:tcPr>
          <w:p w:rsidR="007B45F9" w:rsidRPr="00C33F82" w:rsidRDefault="00747286" w:rsidP="00F047C7">
            <w:pPr>
              <w:spacing w:before="60" w:after="60" w:line="240" w:lineRule="auto"/>
              <w:rPr>
                <w:rStyle w:val="ExampletextCharChar"/>
                <w:b/>
                <w:i w:val="0"/>
                <w:color w:val="auto"/>
              </w:rPr>
            </w:pPr>
            <w:r w:rsidRPr="00C33F82">
              <w:rPr>
                <w:rStyle w:val="ExampletextCharChar"/>
                <w:b/>
                <w:i w:val="0"/>
                <w:color w:val="auto"/>
              </w:rPr>
              <w:t>Contribution to Outcome 2</w:t>
            </w:r>
            <w:r w:rsidR="007B45F9" w:rsidRPr="00C33F82">
              <w:rPr>
                <w:rStyle w:val="ExampletextCharChar"/>
                <w:b/>
                <w:i w:val="0"/>
                <w:color w:val="auto"/>
              </w:rPr>
              <w:t xml:space="preserve"> made by linked programs</w:t>
            </w:r>
          </w:p>
          <w:p w:rsidR="00723881" w:rsidRPr="00C33F82" w:rsidRDefault="00723881" w:rsidP="00F047C7">
            <w:pPr>
              <w:autoSpaceDE w:val="0"/>
              <w:autoSpaceDN w:val="0"/>
              <w:adjustRightInd w:val="0"/>
              <w:spacing w:before="60" w:after="60" w:line="240" w:lineRule="auto"/>
              <w:rPr>
                <w:rStyle w:val="ExampletextCharChar"/>
                <w:i w:val="0"/>
                <w:color w:val="auto"/>
              </w:rPr>
            </w:pPr>
            <w:r w:rsidRPr="00C33F82">
              <w:rPr>
                <w:rStyle w:val="ExampletextCharChar"/>
                <w:i w:val="0"/>
                <w:color w:val="auto"/>
              </w:rPr>
              <w:t>Finance works with the Commonwealth Superannuation Corporation to ensure that the management of public sector superannuation is consistent with legislative obligations.</w:t>
            </w:r>
          </w:p>
          <w:p w:rsidR="00723881" w:rsidRPr="00C33F82" w:rsidRDefault="00723881" w:rsidP="00F047C7">
            <w:pPr>
              <w:autoSpaceDE w:val="0"/>
              <w:autoSpaceDN w:val="0"/>
              <w:adjustRightInd w:val="0"/>
              <w:spacing w:before="60" w:after="60" w:line="240" w:lineRule="auto"/>
              <w:rPr>
                <w:rStyle w:val="ExampletextCharChar"/>
                <w:i w:val="0"/>
                <w:color w:val="auto"/>
              </w:rPr>
            </w:pPr>
          </w:p>
          <w:p w:rsidR="007B45F9" w:rsidRPr="00C33F82" w:rsidRDefault="00723881" w:rsidP="00F047C7">
            <w:pPr>
              <w:autoSpaceDE w:val="0"/>
              <w:autoSpaceDN w:val="0"/>
              <w:adjustRightInd w:val="0"/>
              <w:spacing w:before="60" w:after="60" w:line="240" w:lineRule="auto"/>
              <w:rPr>
                <w:rStyle w:val="ExampletextCharChar"/>
                <w:color w:val="auto"/>
              </w:rPr>
            </w:pPr>
            <w:r w:rsidRPr="00C33F82">
              <w:rPr>
                <w:rStyle w:val="ExampletextCharChar"/>
                <w:i w:val="0"/>
                <w:color w:val="auto"/>
              </w:rPr>
              <w:t>Finance works with the Future Fund Management Agency to ensure that the management of the Future Fund and the Australian Government Investment Funds is consistent with legislation and maximises returns to taxpayers.</w:t>
            </w:r>
          </w:p>
        </w:tc>
      </w:tr>
    </w:tbl>
    <w:p w:rsidR="00A12F37" w:rsidRDefault="00A12F37" w:rsidP="007B45F9">
      <w:pPr>
        <w:pStyle w:val="Heading5"/>
      </w:pPr>
    </w:p>
    <w:p w:rsidR="00A12F37" w:rsidRPr="00A12F37" w:rsidRDefault="00A12F37" w:rsidP="00A12F37"/>
    <w:p w:rsidR="00A12F37" w:rsidRPr="00A12F37" w:rsidRDefault="00A12F37" w:rsidP="00A12F37"/>
    <w:p w:rsidR="00A12F37" w:rsidRDefault="00A12F37" w:rsidP="007B45F9">
      <w:pPr>
        <w:pStyle w:val="Heading5"/>
      </w:pPr>
    </w:p>
    <w:p w:rsidR="00A12F37" w:rsidRDefault="00A12F37" w:rsidP="00A12F37">
      <w:pPr>
        <w:pStyle w:val="Heading5"/>
        <w:tabs>
          <w:tab w:val="left" w:pos="3157"/>
        </w:tabs>
      </w:pPr>
      <w:r>
        <w:tab/>
      </w:r>
    </w:p>
    <w:p w:rsidR="007B45F9" w:rsidRPr="00446612" w:rsidRDefault="007B45F9" w:rsidP="007B45F9">
      <w:pPr>
        <w:pStyle w:val="Heading5"/>
      </w:pPr>
      <w:r w:rsidRPr="00A12F37">
        <w:br w:type="page"/>
      </w:r>
      <w:r w:rsidRPr="00446612">
        <w:lastRenderedPageBreak/>
        <w:t xml:space="preserve">Budgeted expenses for Outcome </w:t>
      </w:r>
      <w:r w:rsidR="00723881">
        <w:t>2</w:t>
      </w:r>
    </w:p>
    <w:p w:rsidR="007B45F9" w:rsidRDefault="007B45F9" w:rsidP="007B45F9">
      <w:r w:rsidRPr="00950281">
        <w:t>This table shows how much the entity intends to spend (on an accrual basis) on achieving the outcome, broken down by program, as well as by Administered an</w:t>
      </w:r>
      <w:r>
        <w:t>d Departmental funding sources.</w:t>
      </w:r>
    </w:p>
    <w:p w:rsidR="007B45F9" w:rsidRPr="006B43CE" w:rsidRDefault="0076583C" w:rsidP="007B45F9">
      <w:pPr>
        <w:spacing w:after="0"/>
        <w:rPr>
          <w:b/>
        </w:rPr>
      </w:pPr>
      <w:r w:rsidRPr="006B43CE">
        <w:rPr>
          <w:b/>
        </w:rPr>
        <w:t>Table 2.2</w:t>
      </w:r>
      <w:r w:rsidR="007B45F9" w:rsidRPr="006B43CE">
        <w:rPr>
          <w:b/>
        </w:rPr>
        <w:t>.1: Budgeted expenses for Ou</w:t>
      </w:r>
      <w:r w:rsidRPr="006B43CE">
        <w:rPr>
          <w:b/>
        </w:rPr>
        <w:t>tcome 2</w:t>
      </w:r>
    </w:p>
    <w:p w:rsidR="00AE58BF" w:rsidRPr="00AE58BF" w:rsidRDefault="007601F3" w:rsidP="00AE58BF">
      <w:pPr>
        <w:pStyle w:val="TableHeading"/>
        <w:rPr>
          <w:b w:val="0"/>
        </w:rPr>
      </w:pPr>
      <w:r w:rsidRPr="007601F3">
        <w:rPr>
          <w:noProof/>
          <w:lang w:val="en-AU" w:eastAsia="en-AU"/>
        </w:rPr>
        <w:drawing>
          <wp:inline distT="0" distB="0" distL="0" distR="0">
            <wp:extent cx="4895850" cy="400622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95850" cy="4006224"/>
                    </a:xfrm>
                    <a:prstGeom prst="rect">
                      <a:avLst/>
                    </a:prstGeom>
                    <a:noFill/>
                    <a:ln>
                      <a:noFill/>
                    </a:ln>
                  </pic:spPr>
                </pic:pic>
              </a:graphicData>
            </a:graphic>
          </wp:inline>
        </w:drawing>
      </w:r>
      <w:r w:rsidR="00AE58BF" w:rsidRPr="00AE58BF">
        <w:rPr>
          <w:rFonts w:cs="Arial"/>
          <w:b w:val="0"/>
          <w:sz w:val="16"/>
          <w:szCs w:val="16"/>
        </w:rPr>
        <w:t>Table continues on next page</w:t>
      </w:r>
    </w:p>
    <w:p w:rsidR="007B45F9" w:rsidRDefault="007B45F9" w:rsidP="007B45F9"/>
    <w:p w:rsidR="007B45F9" w:rsidRDefault="007B45F9" w:rsidP="007B45F9">
      <w:pPr>
        <w:pStyle w:val="TableHeading"/>
        <w:rPr>
          <w:lang w:val="en-AU"/>
        </w:rPr>
      </w:pPr>
      <w:r>
        <w:br w:type="page"/>
      </w:r>
      <w:r w:rsidR="0076583C" w:rsidRPr="009E6F01">
        <w:lastRenderedPageBreak/>
        <w:t>Table 2.2</w:t>
      </w:r>
      <w:r w:rsidRPr="009E6F01">
        <w:t>.1:</w:t>
      </w:r>
      <w:r w:rsidR="0076583C" w:rsidRPr="009E6F01">
        <w:t xml:space="preserve"> Budgeted expenses for Outcome 2</w:t>
      </w:r>
      <w:r w:rsidRPr="009E6F01">
        <w:rPr>
          <w:lang w:val="en-AU"/>
        </w:rPr>
        <w:t xml:space="preserve"> (continued)</w:t>
      </w:r>
    </w:p>
    <w:p w:rsidR="007B45F9" w:rsidRDefault="0077661D" w:rsidP="007B45F9">
      <w:pPr>
        <w:pStyle w:val="TableGraphic"/>
      </w:pPr>
      <w:r w:rsidRPr="0077661D">
        <w:rPr>
          <w:noProof/>
        </w:rPr>
        <w:drawing>
          <wp:inline distT="0" distB="0" distL="0" distR="0">
            <wp:extent cx="4895850" cy="56459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95850" cy="5645927"/>
                    </a:xfrm>
                    <a:prstGeom prst="rect">
                      <a:avLst/>
                    </a:prstGeom>
                    <a:noFill/>
                    <a:ln>
                      <a:noFill/>
                    </a:ln>
                  </pic:spPr>
                </pic:pic>
              </a:graphicData>
            </a:graphic>
          </wp:inline>
        </w:drawing>
      </w:r>
    </w:p>
    <w:p w:rsidR="00AE58BF" w:rsidRPr="00AE58BF" w:rsidRDefault="00AE58BF" w:rsidP="00AE58BF">
      <w:r w:rsidRPr="00353C44">
        <w:rPr>
          <w:rFonts w:ascii="Arial" w:hAnsi="Arial" w:cs="Arial"/>
          <w:sz w:val="16"/>
          <w:szCs w:val="16"/>
        </w:rPr>
        <w:t>Table continues on next page</w:t>
      </w:r>
    </w:p>
    <w:p w:rsidR="007B45F9" w:rsidRDefault="007B45F9" w:rsidP="007B45F9">
      <w:pPr>
        <w:pStyle w:val="TableHeadingcontinued"/>
        <w:rPr>
          <w:rFonts w:ascii="Arial" w:hAnsi="Arial"/>
          <w:color w:val="000000"/>
          <w:lang w:val="x-none" w:eastAsia="x-none"/>
        </w:rPr>
      </w:pPr>
      <w:r w:rsidRPr="00221972">
        <w:br w:type="page"/>
      </w:r>
      <w:r w:rsidR="0076583C" w:rsidRPr="00FC1DFE">
        <w:rPr>
          <w:rFonts w:ascii="Arial" w:hAnsi="Arial"/>
          <w:color w:val="000000"/>
          <w:lang w:val="x-none" w:eastAsia="x-none"/>
        </w:rPr>
        <w:lastRenderedPageBreak/>
        <w:t>Table 2.2</w:t>
      </w:r>
      <w:r w:rsidRPr="00FC1DFE">
        <w:rPr>
          <w:rFonts w:ascii="Arial" w:hAnsi="Arial"/>
          <w:color w:val="000000"/>
          <w:lang w:val="x-none" w:eastAsia="x-none"/>
        </w:rPr>
        <w:t>.1:</w:t>
      </w:r>
      <w:r w:rsidR="0076583C" w:rsidRPr="00FC1DFE">
        <w:rPr>
          <w:rFonts w:ascii="Arial" w:hAnsi="Arial"/>
          <w:color w:val="000000"/>
          <w:lang w:val="x-none" w:eastAsia="x-none"/>
        </w:rPr>
        <w:t xml:space="preserve"> Budgeted expenses for Outcome 2</w:t>
      </w:r>
      <w:r w:rsidRPr="00FC1DFE">
        <w:rPr>
          <w:rFonts w:ascii="Arial" w:hAnsi="Arial"/>
          <w:color w:val="000000"/>
          <w:lang w:val="x-none" w:eastAsia="x-none"/>
        </w:rPr>
        <w:t xml:space="preserve"> (continued)</w:t>
      </w:r>
    </w:p>
    <w:p w:rsidR="00AE58BF" w:rsidRPr="00AE58BF" w:rsidRDefault="00310272" w:rsidP="00AE58BF">
      <w:pPr>
        <w:pStyle w:val="TableGraphic"/>
        <w:rPr>
          <w:lang w:val="x-none" w:eastAsia="x-none"/>
        </w:rPr>
      </w:pPr>
      <w:r w:rsidRPr="00310272">
        <w:rPr>
          <w:noProof/>
        </w:rPr>
        <w:drawing>
          <wp:inline distT="0" distB="0" distL="0" distR="0">
            <wp:extent cx="4895850" cy="507315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95850" cy="5073152"/>
                    </a:xfrm>
                    <a:prstGeom prst="rect">
                      <a:avLst/>
                    </a:prstGeom>
                    <a:noFill/>
                    <a:ln>
                      <a:noFill/>
                    </a:ln>
                  </pic:spPr>
                </pic:pic>
              </a:graphicData>
            </a:graphic>
          </wp:inline>
        </w:drawing>
      </w:r>
    </w:p>
    <w:p w:rsidR="00AE58BF" w:rsidRPr="00AE58BF" w:rsidRDefault="00AE58BF" w:rsidP="00AE58BF">
      <w:pPr>
        <w:pStyle w:val="TableHeading"/>
        <w:rPr>
          <w:b w:val="0"/>
        </w:rPr>
      </w:pPr>
      <w:r w:rsidRPr="00AE58BF">
        <w:rPr>
          <w:rFonts w:cs="Arial"/>
          <w:b w:val="0"/>
          <w:sz w:val="16"/>
          <w:szCs w:val="16"/>
        </w:rPr>
        <w:t>Table continues on next page</w:t>
      </w:r>
    </w:p>
    <w:p w:rsidR="007B45F9" w:rsidRDefault="007B45F9" w:rsidP="007B45F9">
      <w:pPr>
        <w:pStyle w:val="TableGraphic"/>
      </w:pPr>
    </w:p>
    <w:p w:rsidR="00AE58BF" w:rsidRDefault="00AE58BF" w:rsidP="00AE58BF"/>
    <w:p w:rsidR="00AE58BF" w:rsidRDefault="00AE58BF" w:rsidP="00AE58BF"/>
    <w:p w:rsidR="00AE58BF" w:rsidRDefault="00AE58BF" w:rsidP="00AE58BF"/>
    <w:p w:rsidR="00AE58BF" w:rsidRDefault="00AE58BF" w:rsidP="00AE58BF"/>
    <w:p w:rsidR="00AE58BF" w:rsidRDefault="00AE58BF" w:rsidP="00AE58BF"/>
    <w:p w:rsidR="00AE58BF" w:rsidRDefault="00AE58BF" w:rsidP="00AE58BF">
      <w:pPr>
        <w:pStyle w:val="TableHeadingcontinued"/>
        <w:rPr>
          <w:rFonts w:ascii="Arial" w:hAnsi="Arial"/>
          <w:color w:val="000000"/>
          <w:lang w:val="x-none" w:eastAsia="x-none"/>
        </w:rPr>
      </w:pPr>
      <w:r w:rsidRPr="00FC1DFE">
        <w:rPr>
          <w:rFonts w:ascii="Arial" w:hAnsi="Arial"/>
          <w:color w:val="000000"/>
          <w:lang w:val="x-none" w:eastAsia="x-none"/>
        </w:rPr>
        <w:lastRenderedPageBreak/>
        <w:t>Table 2.2.1: Budgeted expenses for Outcome 2 (continued)</w:t>
      </w:r>
    </w:p>
    <w:p w:rsidR="00AE58BF" w:rsidRPr="00AE58BF" w:rsidRDefault="002F47EC" w:rsidP="00AE58BF">
      <w:pPr>
        <w:pStyle w:val="TableGraphic"/>
        <w:rPr>
          <w:lang w:val="x-none" w:eastAsia="x-none"/>
        </w:rPr>
      </w:pPr>
      <w:r w:rsidRPr="002F47EC">
        <w:rPr>
          <w:noProof/>
        </w:rPr>
        <w:drawing>
          <wp:inline distT="0" distB="0" distL="0" distR="0">
            <wp:extent cx="4895850" cy="4651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95850" cy="4651639"/>
                    </a:xfrm>
                    <a:prstGeom prst="rect">
                      <a:avLst/>
                    </a:prstGeom>
                    <a:noFill/>
                    <a:ln>
                      <a:noFill/>
                    </a:ln>
                  </pic:spPr>
                </pic:pic>
              </a:graphicData>
            </a:graphic>
          </wp:inline>
        </w:drawing>
      </w:r>
    </w:p>
    <w:p w:rsidR="00147A2F" w:rsidRPr="00802A36" w:rsidRDefault="00147A2F" w:rsidP="00DA1F4B">
      <w:pPr>
        <w:pStyle w:val="ChartandTableFootnoteAlpha"/>
        <w:numPr>
          <w:ilvl w:val="0"/>
          <w:numId w:val="50"/>
        </w:numPr>
      </w:pPr>
      <w:r w:rsidRPr="00802A36">
        <w:t>Departmental appropriation combines ordinary annual services (Appropriation Bill No. 1) and estimated receipts retained under section 74 of the PGPA Act.</w:t>
      </w:r>
    </w:p>
    <w:p w:rsidR="00147A2F" w:rsidRPr="00802A36" w:rsidRDefault="00147A2F" w:rsidP="00DA1F4B">
      <w:pPr>
        <w:pStyle w:val="ChartandTableFootnoteAlpha"/>
        <w:numPr>
          <w:ilvl w:val="0"/>
          <w:numId w:val="50"/>
        </w:numPr>
      </w:pPr>
      <w:r w:rsidRPr="00802A36">
        <w:t>‘Expenses not requiring appropriation in the Budget year’ is made up of depreciation expenses and amortisation expenses.</w:t>
      </w:r>
    </w:p>
    <w:p w:rsidR="00147A2F" w:rsidRPr="00802A36" w:rsidRDefault="00147A2F" w:rsidP="00DA1F4B">
      <w:pPr>
        <w:pStyle w:val="ChartandTableFootnoteAlpha"/>
        <w:numPr>
          <w:ilvl w:val="0"/>
          <w:numId w:val="50"/>
        </w:numPr>
      </w:pPr>
      <w:r w:rsidRPr="00802A36">
        <w:t xml:space="preserve">More information on the </w:t>
      </w:r>
      <w:proofErr w:type="spellStart"/>
      <w:r w:rsidRPr="00802A36">
        <w:t>DisabilityCare</w:t>
      </w:r>
      <w:proofErr w:type="spellEnd"/>
      <w:r w:rsidRPr="00802A36">
        <w:t xml:space="preserve"> Australia Fund can be f</w:t>
      </w:r>
      <w:r w:rsidR="00184354">
        <w:t>ound in Table 2.2.1.1 on page 28</w:t>
      </w:r>
      <w:r w:rsidRPr="00802A36">
        <w:t>.</w:t>
      </w:r>
    </w:p>
    <w:p w:rsidR="00147A2F" w:rsidRPr="00802A36" w:rsidRDefault="00147A2F" w:rsidP="00DA1F4B">
      <w:pPr>
        <w:pStyle w:val="ChartandTableFootnoteAlpha"/>
        <w:numPr>
          <w:ilvl w:val="0"/>
          <w:numId w:val="50"/>
        </w:numPr>
      </w:pPr>
      <w:r w:rsidRPr="00802A36">
        <w:t>More information on the Medical Research Future Fund can be found in Table 2.2.1</w:t>
      </w:r>
      <w:r w:rsidR="00184354">
        <w:t>.2 on page 29</w:t>
      </w:r>
      <w:r w:rsidRPr="00802A36">
        <w:t>.</w:t>
      </w:r>
    </w:p>
    <w:p w:rsidR="00147A2F" w:rsidRPr="00802A36" w:rsidRDefault="00147A2F" w:rsidP="00DA1F4B">
      <w:pPr>
        <w:pStyle w:val="ChartandTableFootnoteAlpha"/>
        <w:numPr>
          <w:ilvl w:val="0"/>
          <w:numId w:val="50"/>
        </w:numPr>
      </w:pPr>
      <w:r w:rsidRPr="00802A36">
        <w:t>More information on the Aboriginal and Torres Strait Islander Land and Sea Future Fund can be f</w:t>
      </w:r>
      <w:r w:rsidR="00184354">
        <w:t>ound in Table 2.2.1.3 on page 30</w:t>
      </w:r>
      <w:r w:rsidRPr="00802A36">
        <w:t>.</w:t>
      </w:r>
    </w:p>
    <w:p w:rsidR="00147A2F" w:rsidRPr="00802A36" w:rsidRDefault="00147A2F" w:rsidP="00DA1F4B">
      <w:pPr>
        <w:pStyle w:val="ChartandTableFootnoteAlpha"/>
        <w:numPr>
          <w:ilvl w:val="0"/>
          <w:numId w:val="50"/>
        </w:numPr>
      </w:pPr>
      <w:r w:rsidRPr="00802A36">
        <w:t>More information on the Future Drought Fund can be f</w:t>
      </w:r>
      <w:r w:rsidR="00184354">
        <w:t>ound in Table 2.2.1.4 on page 31</w:t>
      </w:r>
      <w:r w:rsidRPr="00802A36">
        <w:t>.</w:t>
      </w:r>
    </w:p>
    <w:p w:rsidR="00147A2F" w:rsidRPr="00802A36" w:rsidRDefault="00147A2F" w:rsidP="00DA1F4B">
      <w:pPr>
        <w:pStyle w:val="ChartandTableFootnoteAlpha"/>
        <w:numPr>
          <w:ilvl w:val="0"/>
          <w:numId w:val="50"/>
        </w:numPr>
      </w:pPr>
      <w:r w:rsidRPr="00802A36">
        <w:t>More information on the Emergency Response Fund can be f</w:t>
      </w:r>
      <w:r w:rsidR="00184354">
        <w:t>ound in Table 2.2.1.5 on page 32</w:t>
      </w:r>
      <w:r w:rsidRPr="00802A36">
        <w:t>.</w:t>
      </w:r>
    </w:p>
    <w:p w:rsidR="00147A2F" w:rsidRPr="00802A36" w:rsidRDefault="00147A2F" w:rsidP="00147A2F">
      <w:pPr>
        <w:pStyle w:val="ChartandTableFootnoteAlpha"/>
        <w:tabs>
          <w:tab w:val="num" w:pos="284"/>
        </w:tabs>
        <w:ind w:left="284" w:hanging="284"/>
      </w:pPr>
    </w:p>
    <w:p w:rsidR="002F08EB" w:rsidRDefault="00147A2F" w:rsidP="00D64F82">
      <w:pPr>
        <w:pStyle w:val="ChartandTableFootnoteAlpha"/>
        <w:tabs>
          <w:tab w:val="num" w:pos="284"/>
        </w:tabs>
        <w:ind w:left="284" w:hanging="284"/>
        <w:jc w:val="left"/>
      </w:pPr>
      <w:r w:rsidRPr="00802A36">
        <w:t xml:space="preserve">Note: Departmental appropriation splits and totals are indicative estimates and may change in the course of </w:t>
      </w:r>
    </w:p>
    <w:p w:rsidR="00AE58BF" w:rsidRPr="00802A36" w:rsidRDefault="00147A2F" w:rsidP="00D64F82">
      <w:pPr>
        <w:pStyle w:val="ChartandTableFootnoteAlpha"/>
        <w:tabs>
          <w:tab w:val="num" w:pos="284"/>
        </w:tabs>
        <w:jc w:val="left"/>
      </w:pPr>
      <w:proofErr w:type="gramStart"/>
      <w:r w:rsidRPr="00802A36">
        <w:t>the</w:t>
      </w:r>
      <w:proofErr w:type="gramEnd"/>
      <w:r w:rsidRPr="00802A36">
        <w:t xml:space="preserve"> budget year as government priorities change.</w:t>
      </w:r>
    </w:p>
    <w:p w:rsidR="00B20077" w:rsidRPr="00F93B93" w:rsidRDefault="007B45F9" w:rsidP="00F93B93">
      <w:pPr>
        <w:spacing w:after="0" w:line="240" w:lineRule="auto"/>
        <w:rPr>
          <w:rStyle w:val="TableHeadingChar"/>
          <w:rFonts w:cs="Arial"/>
          <w:b w:val="0"/>
          <w:bCs/>
          <w:sz w:val="16"/>
          <w:szCs w:val="16"/>
          <w:lang w:val="en-AU" w:eastAsia="zh-CN"/>
        </w:rPr>
      </w:pPr>
      <w:r>
        <w:rPr>
          <w:highlight w:val="yellow"/>
        </w:rPr>
        <w:br w:type="page"/>
      </w:r>
      <w:r w:rsidRPr="00D71530">
        <w:rPr>
          <w:rFonts w:ascii="Arial" w:hAnsi="Arial" w:cs="Arial"/>
          <w:b/>
          <w:color w:val="000000"/>
          <w:lang w:val="x-none" w:eastAsia="x-none"/>
        </w:rPr>
        <w:lastRenderedPageBreak/>
        <w:t>Table 2.</w:t>
      </w:r>
      <w:r w:rsidR="007948F2" w:rsidRPr="00D71530">
        <w:rPr>
          <w:rFonts w:ascii="Arial" w:hAnsi="Arial" w:cs="Arial"/>
          <w:b/>
          <w:color w:val="000000"/>
          <w:lang w:val="x-none" w:eastAsia="x-none"/>
        </w:rPr>
        <w:t>2</w:t>
      </w:r>
      <w:r w:rsidR="00F93B93" w:rsidRPr="00D71530">
        <w:rPr>
          <w:rFonts w:ascii="Arial" w:hAnsi="Arial" w:cs="Arial"/>
          <w:b/>
          <w:color w:val="000000"/>
          <w:lang w:val="x-none" w:eastAsia="x-none"/>
        </w:rPr>
        <w:t>.1</w:t>
      </w:r>
      <w:r w:rsidR="00885E6A" w:rsidRPr="00D71530">
        <w:rPr>
          <w:rFonts w:ascii="Arial" w:hAnsi="Arial" w:cs="Arial"/>
          <w:b/>
          <w:color w:val="000000"/>
          <w:lang w:val="x-none" w:eastAsia="x-none"/>
        </w:rPr>
        <w:t>.1</w:t>
      </w:r>
      <w:r w:rsidR="00F93B93" w:rsidRPr="00D71530">
        <w:rPr>
          <w:rFonts w:ascii="Arial" w:hAnsi="Arial" w:cs="Arial"/>
          <w:b/>
          <w:color w:val="000000"/>
          <w:lang w:val="x-none" w:eastAsia="x-none"/>
        </w:rPr>
        <w:t xml:space="preserve">: </w:t>
      </w:r>
      <w:proofErr w:type="spellStart"/>
      <w:r w:rsidR="00F93B93" w:rsidRPr="00D71530">
        <w:rPr>
          <w:rFonts w:ascii="Arial" w:hAnsi="Arial" w:cs="Arial"/>
          <w:b/>
          <w:color w:val="000000"/>
          <w:lang w:val="x-none" w:eastAsia="x-none"/>
        </w:rPr>
        <w:t>DisabilityCare</w:t>
      </w:r>
      <w:proofErr w:type="spellEnd"/>
      <w:r w:rsidR="00F93B93" w:rsidRPr="00D71530">
        <w:rPr>
          <w:rFonts w:ascii="Arial" w:hAnsi="Arial" w:cs="Arial"/>
          <w:b/>
          <w:color w:val="000000"/>
          <w:lang w:val="x-none" w:eastAsia="x-none"/>
        </w:rPr>
        <w:t xml:space="preserve"> Australia Fund</w:t>
      </w:r>
      <w:r w:rsidR="006E2039">
        <w:rPr>
          <w:rFonts w:ascii="Arial" w:hAnsi="Arial" w:cs="Arial"/>
          <w:b/>
          <w:color w:val="000000"/>
          <w:lang w:eastAsia="x-none"/>
        </w:rPr>
        <w:t xml:space="preserve"> </w:t>
      </w:r>
      <w:r w:rsidR="00855749" w:rsidRPr="00D71530">
        <w:rPr>
          <w:rStyle w:val="TableHeadingChar"/>
        </w:rPr>
        <w:t>- Estimates of Fund Balances</w:t>
      </w:r>
    </w:p>
    <w:p w:rsidR="007B45F9" w:rsidRPr="00C978F2" w:rsidRDefault="00EE1890" w:rsidP="007B45F9">
      <w:pPr>
        <w:pStyle w:val="TableGraphic"/>
      </w:pPr>
      <w:r w:rsidRPr="00EE1890">
        <w:rPr>
          <w:noProof/>
        </w:rPr>
        <w:drawing>
          <wp:inline distT="0" distB="0" distL="0" distR="0">
            <wp:extent cx="4895850" cy="198227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95850" cy="1982273"/>
                    </a:xfrm>
                    <a:prstGeom prst="rect">
                      <a:avLst/>
                    </a:prstGeom>
                    <a:noFill/>
                    <a:ln>
                      <a:noFill/>
                    </a:ln>
                  </pic:spPr>
                </pic:pic>
              </a:graphicData>
            </a:graphic>
          </wp:inline>
        </w:drawing>
      </w:r>
    </w:p>
    <w:p w:rsidR="003864EF" w:rsidRPr="00817208" w:rsidRDefault="003864EF" w:rsidP="00DA1F4B">
      <w:pPr>
        <w:pStyle w:val="ListParagraph"/>
        <w:numPr>
          <w:ilvl w:val="0"/>
          <w:numId w:val="49"/>
        </w:numPr>
        <w:spacing w:after="0" w:line="240" w:lineRule="auto"/>
        <w:rPr>
          <w:rFonts w:ascii="Arial" w:hAnsi="Arial" w:cs="Arial"/>
          <w:sz w:val="16"/>
          <w:szCs w:val="16"/>
        </w:rPr>
      </w:pPr>
      <w:r w:rsidRPr="00817208">
        <w:rPr>
          <w:rFonts w:ascii="Arial" w:hAnsi="Arial" w:cs="Arial"/>
          <w:sz w:val="16"/>
          <w:szCs w:val="16"/>
        </w:rPr>
        <w:t>The DCAF consists of the DCAF Special Account and investments of the DCAF. The investments are managed by the Future Fund Board of Guardians. The special account is used to record all transactions relating to the DCAF, including interest and Medicare levy proceeds received and payments.</w:t>
      </w:r>
    </w:p>
    <w:p w:rsidR="003864EF" w:rsidRPr="00F93B93" w:rsidRDefault="003864EF" w:rsidP="00DA1F4B">
      <w:pPr>
        <w:numPr>
          <w:ilvl w:val="0"/>
          <w:numId w:val="49"/>
        </w:numPr>
        <w:spacing w:after="0" w:line="240" w:lineRule="auto"/>
        <w:contextualSpacing/>
        <w:rPr>
          <w:rFonts w:ascii="Arial" w:hAnsi="Arial" w:cs="Arial"/>
          <w:sz w:val="16"/>
          <w:szCs w:val="16"/>
        </w:rPr>
      </w:pPr>
      <w:r w:rsidRPr="00F93B93">
        <w:rPr>
          <w:rFonts w:ascii="Arial" w:hAnsi="Arial" w:cs="Arial"/>
          <w:sz w:val="16"/>
          <w:szCs w:val="16"/>
        </w:rPr>
        <w:t xml:space="preserve">The Commonwealth agreed to credit the DCAF with money raised from the increase in the Medicare levy for 10 years to fund the additional costs of delivering the National Disability Insurance Scheme (NDIS) (formerly </w:t>
      </w:r>
      <w:proofErr w:type="spellStart"/>
      <w:r w:rsidRPr="00F93B93">
        <w:rPr>
          <w:rFonts w:ascii="Arial" w:hAnsi="Arial" w:cs="Arial"/>
          <w:sz w:val="16"/>
          <w:szCs w:val="16"/>
        </w:rPr>
        <w:t>DisabilityCare</w:t>
      </w:r>
      <w:proofErr w:type="spellEnd"/>
      <w:r w:rsidRPr="00F93B93">
        <w:rPr>
          <w:rFonts w:ascii="Arial" w:hAnsi="Arial" w:cs="Arial"/>
          <w:sz w:val="16"/>
          <w:szCs w:val="16"/>
        </w:rPr>
        <w:t xml:space="preserve"> Australia). This 10 year period concludes in 2023-24.</w:t>
      </w:r>
    </w:p>
    <w:p w:rsidR="003864EF" w:rsidRPr="00F93B93" w:rsidRDefault="003864EF" w:rsidP="00DA1F4B">
      <w:pPr>
        <w:numPr>
          <w:ilvl w:val="0"/>
          <w:numId w:val="49"/>
        </w:numPr>
        <w:spacing w:after="0" w:line="240" w:lineRule="auto"/>
        <w:contextualSpacing/>
        <w:rPr>
          <w:rFonts w:ascii="Arial" w:hAnsi="Arial" w:cs="Arial"/>
          <w:sz w:val="16"/>
        </w:rPr>
      </w:pPr>
      <w:r w:rsidRPr="00F93B93">
        <w:rPr>
          <w:rFonts w:ascii="Arial" w:hAnsi="Arial" w:cs="Arial"/>
          <w:sz w:val="16"/>
          <w:szCs w:val="16"/>
        </w:rPr>
        <w:t>The transfers relate to reimbursing the Commonwealth and the States and Territories for the costs of the operations of the NDIS.</w:t>
      </w:r>
    </w:p>
    <w:p w:rsidR="003864EF" w:rsidRPr="00F93B93" w:rsidRDefault="003864EF" w:rsidP="003864EF">
      <w:pPr>
        <w:spacing w:after="0" w:line="240" w:lineRule="auto"/>
        <w:contextualSpacing/>
        <w:rPr>
          <w:rFonts w:ascii="Arial" w:hAnsi="Arial" w:cs="Arial"/>
          <w:sz w:val="16"/>
        </w:rPr>
      </w:pPr>
    </w:p>
    <w:p w:rsidR="00B70326" w:rsidRDefault="003864EF" w:rsidP="00B70326">
      <w:pPr>
        <w:spacing w:after="0" w:line="240" w:lineRule="auto"/>
        <w:ind w:left="284" w:hanging="284"/>
        <w:contextualSpacing/>
        <w:rPr>
          <w:rFonts w:ascii="Arial" w:hAnsi="Arial" w:cs="Arial"/>
          <w:sz w:val="16"/>
          <w:szCs w:val="16"/>
        </w:rPr>
      </w:pPr>
      <w:r w:rsidRPr="00F93B93">
        <w:rPr>
          <w:rFonts w:ascii="Arial" w:hAnsi="Arial" w:cs="Arial"/>
          <w:sz w:val="16"/>
          <w:szCs w:val="16"/>
        </w:rPr>
        <w:t xml:space="preserve">Note: The expenses figure does not include losses made on investments; rather this amount has been applied </w:t>
      </w:r>
    </w:p>
    <w:p w:rsidR="003864EF" w:rsidRPr="00F93B93" w:rsidRDefault="003864EF" w:rsidP="00B70326">
      <w:pPr>
        <w:spacing w:after="0" w:line="240" w:lineRule="auto"/>
        <w:ind w:left="284" w:hanging="284"/>
        <w:contextualSpacing/>
        <w:rPr>
          <w:rFonts w:ascii="Arial" w:hAnsi="Arial" w:cs="Arial"/>
          <w:sz w:val="16"/>
          <w:szCs w:val="16"/>
        </w:rPr>
      </w:pPr>
      <w:proofErr w:type="gramStart"/>
      <w:r w:rsidRPr="00F93B93">
        <w:rPr>
          <w:rFonts w:ascii="Arial" w:hAnsi="Arial" w:cs="Arial"/>
          <w:sz w:val="16"/>
          <w:szCs w:val="16"/>
        </w:rPr>
        <w:t>against</w:t>
      </w:r>
      <w:proofErr w:type="gramEnd"/>
      <w:r w:rsidRPr="00F93B93">
        <w:rPr>
          <w:rFonts w:ascii="Arial" w:hAnsi="Arial" w:cs="Arial"/>
          <w:sz w:val="16"/>
          <w:szCs w:val="16"/>
        </w:rPr>
        <w:t xml:space="preserve"> investment earnings and gains.</w:t>
      </w:r>
    </w:p>
    <w:p w:rsidR="00885E6A" w:rsidRPr="00232EEF" w:rsidRDefault="007B45F9" w:rsidP="00232EEF">
      <w:pPr>
        <w:pStyle w:val="NoSpacing"/>
        <w:rPr>
          <w:rStyle w:val="TableHeadingChar"/>
          <w:rFonts w:ascii="Book Antiqua" w:hAnsi="Book Antiqua"/>
          <w:b w:val="0"/>
          <w:color w:val="auto"/>
          <w:lang w:val="en-AU" w:eastAsia="en-AU"/>
        </w:rPr>
      </w:pPr>
      <w:r>
        <w:rPr>
          <w:highlight w:val="yellow"/>
          <w:lang w:val="en-US"/>
        </w:rPr>
        <w:br w:type="page"/>
      </w:r>
      <w:r w:rsidR="00885E6A" w:rsidRPr="00F61B48">
        <w:rPr>
          <w:rStyle w:val="TableHeadingChar"/>
        </w:rPr>
        <w:lastRenderedPageBreak/>
        <w:t>Table 2.</w:t>
      </w:r>
      <w:r w:rsidR="00885E6A" w:rsidRPr="00F61B48">
        <w:rPr>
          <w:rStyle w:val="TableHeadingChar"/>
          <w:lang w:val="en-AU"/>
        </w:rPr>
        <w:t>2</w:t>
      </w:r>
      <w:r w:rsidR="00232EEF" w:rsidRPr="00F61B48">
        <w:rPr>
          <w:rStyle w:val="TableHeadingChar"/>
        </w:rPr>
        <w:t>.1</w:t>
      </w:r>
      <w:r w:rsidR="00885E6A" w:rsidRPr="00F61B48">
        <w:rPr>
          <w:rStyle w:val="TableHeadingChar"/>
          <w:lang w:val="en-AU"/>
        </w:rPr>
        <w:t>.2</w:t>
      </w:r>
      <w:r w:rsidR="00232EEF" w:rsidRPr="00F61B48">
        <w:rPr>
          <w:rStyle w:val="TableHeadingChar"/>
        </w:rPr>
        <w:t>: Medical Research Future Fund - Estimates of Fund Balances</w:t>
      </w:r>
    </w:p>
    <w:p w:rsidR="00885E6A" w:rsidRPr="00C978F2" w:rsidRDefault="0077699B" w:rsidP="00885E6A">
      <w:pPr>
        <w:pStyle w:val="TableGraphic"/>
      </w:pPr>
      <w:r w:rsidRPr="0077699B">
        <w:rPr>
          <w:noProof/>
        </w:rPr>
        <w:drawing>
          <wp:inline distT="0" distB="0" distL="0" distR="0">
            <wp:extent cx="4895850" cy="195846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95850" cy="1958460"/>
                    </a:xfrm>
                    <a:prstGeom prst="rect">
                      <a:avLst/>
                    </a:prstGeom>
                    <a:noFill/>
                    <a:ln>
                      <a:noFill/>
                    </a:ln>
                  </pic:spPr>
                </pic:pic>
              </a:graphicData>
            </a:graphic>
          </wp:inline>
        </w:drawing>
      </w:r>
    </w:p>
    <w:p w:rsidR="00A5781C" w:rsidRPr="00817208" w:rsidRDefault="00A5781C" w:rsidP="00DA1F4B">
      <w:pPr>
        <w:pStyle w:val="ListParagraph"/>
        <w:numPr>
          <w:ilvl w:val="0"/>
          <w:numId w:val="48"/>
        </w:numPr>
        <w:spacing w:after="0" w:line="240" w:lineRule="auto"/>
        <w:rPr>
          <w:rFonts w:ascii="Arial" w:hAnsi="Arial" w:cs="Arial"/>
          <w:sz w:val="16"/>
        </w:rPr>
      </w:pPr>
      <w:r w:rsidRPr="00817208">
        <w:rPr>
          <w:rFonts w:ascii="Arial" w:hAnsi="Arial" w:cs="Arial"/>
          <w:sz w:val="16"/>
        </w:rPr>
        <w:t>The MRFF consists of the MRFF Special Account and investments of the MRFF. The investments are managed by the Future Fund Board of Guardians. The special account is used to record all transactions relating to the MRFF, including interest received and payments.</w:t>
      </w:r>
    </w:p>
    <w:p w:rsidR="00A5781C" w:rsidRPr="004111A7" w:rsidRDefault="00A5781C" w:rsidP="00A5781C">
      <w:pPr>
        <w:spacing w:after="0" w:line="240" w:lineRule="auto"/>
        <w:contextualSpacing/>
        <w:rPr>
          <w:rFonts w:ascii="Arial" w:hAnsi="Arial" w:cs="Arial"/>
          <w:color w:val="000000"/>
          <w:sz w:val="16"/>
          <w:szCs w:val="16"/>
        </w:rPr>
      </w:pPr>
    </w:p>
    <w:p w:rsidR="00BC76E6" w:rsidRDefault="00A5781C" w:rsidP="00BC76E6">
      <w:pPr>
        <w:spacing w:after="0" w:line="240" w:lineRule="auto"/>
        <w:ind w:left="284" w:hanging="284"/>
        <w:rPr>
          <w:rFonts w:ascii="Arial" w:hAnsi="Arial" w:cs="Arial"/>
          <w:color w:val="000000"/>
          <w:sz w:val="16"/>
          <w:szCs w:val="16"/>
        </w:rPr>
      </w:pPr>
      <w:r w:rsidRPr="004111A7">
        <w:rPr>
          <w:rFonts w:ascii="Arial" w:hAnsi="Arial" w:cs="Arial"/>
          <w:color w:val="000000"/>
          <w:sz w:val="16"/>
          <w:szCs w:val="16"/>
        </w:rPr>
        <w:t>Note: The expenses figure does not include losses made on investments; rather this amount has been applied</w:t>
      </w:r>
    </w:p>
    <w:p w:rsidR="00A5781C" w:rsidRPr="004111A7" w:rsidRDefault="00A5781C" w:rsidP="00D64F82">
      <w:pPr>
        <w:spacing w:after="0" w:line="240" w:lineRule="auto"/>
        <w:rPr>
          <w:rFonts w:ascii="Arial" w:hAnsi="Arial" w:cs="Arial"/>
          <w:color w:val="000000"/>
          <w:sz w:val="16"/>
          <w:szCs w:val="16"/>
        </w:rPr>
      </w:pPr>
      <w:proofErr w:type="gramStart"/>
      <w:r w:rsidRPr="004111A7">
        <w:rPr>
          <w:rFonts w:ascii="Arial" w:hAnsi="Arial" w:cs="Arial"/>
          <w:color w:val="000000"/>
          <w:sz w:val="16"/>
          <w:szCs w:val="16"/>
        </w:rPr>
        <w:t>against</w:t>
      </w:r>
      <w:proofErr w:type="gramEnd"/>
      <w:r w:rsidRPr="004111A7">
        <w:rPr>
          <w:rFonts w:ascii="Arial" w:hAnsi="Arial" w:cs="Arial"/>
          <w:color w:val="000000"/>
          <w:sz w:val="16"/>
          <w:szCs w:val="16"/>
        </w:rPr>
        <w:t xml:space="preserve"> investment earnings and gains.</w:t>
      </w:r>
    </w:p>
    <w:p w:rsidR="0033397A" w:rsidRDefault="00885E6A" w:rsidP="00885E6A">
      <w:pPr>
        <w:spacing w:after="0"/>
        <w:rPr>
          <w:lang w:val="en-US"/>
        </w:rPr>
      </w:pPr>
      <w:r>
        <w:rPr>
          <w:highlight w:val="yellow"/>
          <w:lang w:val="en-US"/>
        </w:rPr>
        <w:br w:type="page"/>
      </w:r>
    </w:p>
    <w:p w:rsidR="00885E6A" w:rsidRPr="00C33F82" w:rsidRDefault="00AA5A42" w:rsidP="00CE542C">
      <w:pPr>
        <w:spacing w:after="0"/>
        <w:jc w:val="left"/>
        <w:rPr>
          <w:b/>
        </w:rPr>
      </w:pPr>
      <w:r w:rsidRPr="001E41DC">
        <w:rPr>
          <w:rStyle w:val="TableHeadingChar"/>
          <w:lang w:val="en-AU"/>
        </w:rPr>
        <w:lastRenderedPageBreak/>
        <w:t xml:space="preserve">Table </w:t>
      </w:r>
      <w:r w:rsidR="00855749" w:rsidRPr="001E41DC">
        <w:rPr>
          <w:rStyle w:val="TableHeadingChar"/>
        </w:rPr>
        <w:t xml:space="preserve">2.2.1.3: Aboriginal </w:t>
      </w:r>
      <w:r w:rsidR="00855749" w:rsidRPr="00C33F82">
        <w:rPr>
          <w:rStyle w:val="TableHeadingChar"/>
          <w:color w:val="auto"/>
        </w:rPr>
        <w:t>and Torres Strait Islander Land and Sea Future - Estimates of Fund Balances</w:t>
      </w:r>
    </w:p>
    <w:p w:rsidR="00885E6A" w:rsidRPr="00C978F2" w:rsidRDefault="009212C4" w:rsidP="00885E6A">
      <w:pPr>
        <w:pStyle w:val="TableGraphic"/>
      </w:pPr>
      <w:r w:rsidRPr="009212C4">
        <w:rPr>
          <w:noProof/>
        </w:rPr>
        <w:drawing>
          <wp:inline distT="0" distB="0" distL="0" distR="0">
            <wp:extent cx="4895850" cy="2502976"/>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95850" cy="2502976"/>
                    </a:xfrm>
                    <a:prstGeom prst="rect">
                      <a:avLst/>
                    </a:prstGeom>
                    <a:noFill/>
                    <a:ln>
                      <a:noFill/>
                    </a:ln>
                  </pic:spPr>
                </pic:pic>
              </a:graphicData>
            </a:graphic>
          </wp:inline>
        </w:drawing>
      </w:r>
    </w:p>
    <w:p w:rsidR="00027C3A" w:rsidRPr="004111A7" w:rsidRDefault="00027C3A" w:rsidP="00F76FE4">
      <w:pPr>
        <w:numPr>
          <w:ilvl w:val="0"/>
          <w:numId w:val="17"/>
        </w:numPr>
        <w:spacing w:after="0" w:line="240" w:lineRule="auto"/>
        <w:ind w:left="357" w:hanging="357"/>
        <w:contextualSpacing/>
        <w:rPr>
          <w:rFonts w:ascii="Arial" w:hAnsi="Arial" w:cs="Arial"/>
          <w:sz w:val="16"/>
          <w:szCs w:val="16"/>
        </w:rPr>
      </w:pPr>
      <w:r w:rsidRPr="004111A7">
        <w:rPr>
          <w:rFonts w:ascii="Arial" w:hAnsi="Arial" w:cs="Arial"/>
          <w:sz w:val="16"/>
          <w:szCs w:val="16"/>
        </w:rPr>
        <w:t>The ATSILSFF consists of the ATSILSFF Special Account and the investments of the ATSILSFF. The investments are managed by the Future Fund Board of Guardians. The special account is used to record all transactions relating to the ATSILSFF, including interest and payments.</w:t>
      </w:r>
    </w:p>
    <w:p w:rsidR="00027C3A" w:rsidRPr="004111A7" w:rsidRDefault="00027C3A" w:rsidP="000B165D">
      <w:pPr>
        <w:spacing w:after="0" w:line="240" w:lineRule="auto"/>
        <w:ind w:left="284" w:hanging="284"/>
        <w:contextualSpacing/>
        <w:rPr>
          <w:rFonts w:ascii="Arial" w:hAnsi="Arial" w:cs="Arial"/>
          <w:sz w:val="16"/>
          <w:szCs w:val="16"/>
        </w:rPr>
      </w:pPr>
    </w:p>
    <w:p w:rsidR="000B165D" w:rsidRDefault="00027C3A" w:rsidP="00D64F82">
      <w:pPr>
        <w:pStyle w:val="ChartandTableFootnoteAlpha"/>
        <w:rPr>
          <w:rFonts w:cs="Arial"/>
          <w:szCs w:val="16"/>
        </w:rPr>
      </w:pPr>
      <w:r w:rsidRPr="004111A7">
        <w:rPr>
          <w:rFonts w:cs="Arial"/>
          <w:szCs w:val="16"/>
        </w:rPr>
        <w:t xml:space="preserve">Note: The expenses figure does not include losses made on investments; rather this amount has been applied </w:t>
      </w:r>
    </w:p>
    <w:p w:rsidR="00AA5A42" w:rsidRPr="00D64F82" w:rsidRDefault="00027C3A" w:rsidP="00D64F82">
      <w:pPr>
        <w:pStyle w:val="ChartandTableFootnoteAlpha"/>
        <w:rPr>
          <w:rFonts w:cs="Arial"/>
          <w:szCs w:val="16"/>
        </w:rPr>
      </w:pPr>
      <w:proofErr w:type="gramStart"/>
      <w:r w:rsidRPr="004111A7">
        <w:rPr>
          <w:rFonts w:cs="Arial"/>
          <w:szCs w:val="16"/>
        </w:rPr>
        <w:t>against</w:t>
      </w:r>
      <w:proofErr w:type="gramEnd"/>
      <w:r w:rsidRPr="004111A7">
        <w:rPr>
          <w:rFonts w:cs="Arial"/>
          <w:szCs w:val="16"/>
        </w:rPr>
        <w:t xml:space="preserve"> investment earnings and gains.</w:t>
      </w: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AA5A42" w:rsidP="00AA5A42">
      <w:pPr>
        <w:spacing w:after="0" w:line="240" w:lineRule="auto"/>
        <w:contextualSpacing/>
        <w:rPr>
          <w:rFonts w:ascii="Arial" w:hAnsi="Arial" w:cs="Arial"/>
          <w:sz w:val="16"/>
        </w:rPr>
      </w:pPr>
    </w:p>
    <w:p w:rsidR="00AA5A42" w:rsidRDefault="00607BD3" w:rsidP="00AA5A42">
      <w:pPr>
        <w:spacing w:after="0" w:line="240" w:lineRule="auto"/>
        <w:contextualSpacing/>
        <w:rPr>
          <w:rStyle w:val="TableHeadingChar"/>
        </w:rPr>
      </w:pPr>
      <w:r w:rsidRPr="00464189">
        <w:rPr>
          <w:rStyle w:val="TableHeadingChar"/>
        </w:rPr>
        <w:lastRenderedPageBreak/>
        <w:t>Table 2.</w:t>
      </w:r>
      <w:r w:rsidRPr="00464189">
        <w:rPr>
          <w:rStyle w:val="TableHeadingChar"/>
          <w:lang w:val="en-AU"/>
        </w:rPr>
        <w:t>2</w:t>
      </w:r>
      <w:r w:rsidR="00AA5A42" w:rsidRPr="00464189">
        <w:rPr>
          <w:rStyle w:val="TableHeadingChar"/>
        </w:rPr>
        <w:t>.1</w:t>
      </w:r>
      <w:r w:rsidRPr="00464189">
        <w:rPr>
          <w:rStyle w:val="TableHeadingChar"/>
          <w:lang w:val="en-AU"/>
        </w:rPr>
        <w:t>.</w:t>
      </w:r>
      <w:r w:rsidR="00E562C9" w:rsidRPr="00464189">
        <w:rPr>
          <w:rStyle w:val="TableHeadingChar"/>
          <w:lang w:val="en-AU"/>
        </w:rPr>
        <w:t>4</w:t>
      </w:r>
      <w:r w:rsidR="006E2039">
        <w:rPr>
          <w:rStyle w:val="TableHeadingChar"/>
        </w:rPr>
        <w:t xml:space="preserve">: Future Drought Fund </w:t>
      </w:r>
      <w:r w:rsidR="00AA5A42" w:rsidRPr="00464189">
        <w:rPr>
          <w:rStyle w:val="TableHeadingChar"/>
        </w:rPr>
        <w:t>- Estimates of Fund Balances</w:t>
      </w:r>
    </w:p>
    <w:p w:rsidR="00607BD3" w:rsidRPr="00AA5A42" w:rsidRDefault="00722B0A" w:rsidP="00AA5A42">
      <w:pPr>
        <w:spacing w:after="0" w:line="240" w:lineRule="auto"/>
        <w:contextualSpacing/>
        <w:rPr>
          <w:lang w:val="x-none"/>
        </w:rPr>
      </w:pPr>
      <w:r w:rsidRPr="00722B0A">
        <w:rPr>
          <w:noProof/>
        </w:rPr>
        <w:drawing>
          <wp:inline distT="0" distB="0" distL="0" distR="0">
            <wp:extent cx="4895850" cy="1901087"/>
            <wp:effectExtent l="0" t="0" r="0" b="444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895850" cy="1901087"/>
                    </a:xfrm>
                    <a:prstGeom prst="rect">
                      <a:avLst/>
                    </a:prstGeom>
                    <a:noFill/>
                    <a:ln>
                      <a:noFill/>
                    </a:ln>
                  </pic:spPr>
                </pic:pic>
              </a:graphicData>
            </a:graphic>
          </wp:inline>
        </w:drawing>
      </w:r>
    </w:p>
    <w:p w:rsidR="009B2CDB" w:rsidRPr="004111A7" w:rsidRDefault="009B2CDB" w:rsidP="00F76FE4">
      <w:pPr>
        <w:numPr>
          <w:ilvl w:val="0"/>
          <w:numId w:val="18"/>
        </w:numPr>
        <w:spacing w:after="0" w:line="240" w:lineRule="auto"/>
        <w:ind w:left="357" w:hanging="357"/>
        <w:contextualSpacing/>
        <w:rPr>
          <w:rFonts w:ascii="Arial" w:hAnsi="Arial" w:cs="Arial"/>
          <w:sz w:val="16"/>
          <w:szCs w:val="16"/>
        </w:rPr>
      </w:pPr>
      <w:r w:rsidRPr="004111A7">
        <w:rPr>
          <w:rFonts w:ascii="Arial" w:hAnsi="Arial" w:cs="Arial"/>
          <w:sz w:val="16"/>
          <w:szCs w:val="16"/>
        </w:rPr>
        <w:t>The FDF consists of the FDF Special Account and investments of the FDF. The investments are managed by the Future Fund Board of Guardians. The special account is used to record all transactions relating to the FDF, including interest and payments.</w:t>
      </w:r>
    </w:p>
    <w:p w:rsidR="009B2CDB" w:rsidRPr="004111A7" w:rsidRDefault="009B2CDB" w:rsidP="009B2CDB">
      <w:pPr>
        <w:spacing w:after="0" w:line="240" w:lineRule="auto"/>
        <w:ind w:left="284"/>
        <w:contextualSpacing/>
        <w:rPr>
          <w:rFonts w:ascii="Arial" w:hAnsi="Arial" w:cs="Arial"/>
          <w:sz w:val="16"/>
          <w:szCs w:val="16"/>
        </w:rPr>
      </w:pPr>
    </w:p>
    <w:p w:rsidR="009B2CDB" w:rsidRPr="004111A7" w:rsidRDefault="009B2CDB" w:rsidP="009B2CDB">
      <w:pPr>
        <w:pStyle w:val="ChartandTableFootnoteAlpha"/>
        <w:rPr>
          <w:rFonts w:cs="Arial"/>
          <w:szCs w:val="16"/>
        </w:rPr>
      </w:pPr>
      <w:r w:rsidRPr="004111A7">
        <w:rPr>
          <w:rFonts w:cs="Arial"/>
          <w:szCs w:val="16"/>
        </w:rPr>
        <w:t>Note: The expenses figure does not include losses made on investments; rather this amount has been applied against investment earnings and gains.</w:t>
      </w:r>
    </w:p>
    <w:p w:rsidR="009B2CDB" w:rsidRDefault="009B2CDB" w:rsidP="00607BD3">
      <w:pPr>
        <w:spacing w:after="0"/>
        <w:rPr>
          <w:rStyle w:val="TableHeadingChar"/>
          <w:lang w:val="en-AU"/>
        </w:rPr>
      </w:pPr>
    </w:p>
    <w:p w:rsidR="009B2CDB" w:rsidRDefault="009B2CDB" w:rsidP="00607BD3">
      <w:pPr>
        <w:spacing w:after="0"/>
        <w:rPr>
          <w:rStyle w:val="TableHeadingChar"/>
          <w:lang w:val="en-AU"/>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CE542C" w:rsidRDefault="00CE542C" w:rsidP="00607BD3">
      <w:pPr>
        <w:spacing w:after="0"/>
        <w:rPr>
          <w:rStyle w:val="TableHeadingChar"/>
        </w:rPr>
      </w:pPr>
    </w:p>
    <w:p w:rsidR="00607BD3" w:rsidRDefault="00607BD3" w:rsidP="00607BD3">
      <w:pPr>
        <w:spacing w:after="0"/>
        <w:rPr>
          <w:rStyle w:val="TableHeadingChar"/>
        </w:rPr>
      </w:pPr>
      <w:r w:rsidRPr="00464189">
        <w:rPr>
          <w:rStyle w:val="TableHeadingChar"/>
        </w:rPr>
        <w:lastRenderedPageBreak/>
        <w:t xml:space="preserve">Table </w:t>
      </w:r>
      <w:r w:rsidR="004A16BD" w:rsidRPr="00464189">
        <w:rPr>
          <w:rStyle w:val="TableHeadingChar"/>
        </w:rPr>
        <w:t>2.</w:t>
      </w:r>
      <w:r w:rsidR="006E2039">
        <w:rPr>
          <w:rStyle w:val="TableHeadingChar"/>
        </w:rPr>
        <w:t xml:space="preserve">2.1.5: Emergency Response Fund </w:t>
      </w:r>
      <w:r w:rsidR="004A16BD" w:rsidRPr="00464189">
        <w:rPr>
          <w:rStyle w:val="TableHeadingChar"/>
        </w:rPr>
        <w:t>- Estimates of Fund Balances</w:t>
      </w:r>
    </w:p>
    <w:p w:rsidR="00607BD3" w:rsidRPr="00C978F2" w:rsidRDefault="00EE1890" w:rsidP="00607BD3">
      <w:pPr>
        <w:pStyle w:val="TableGraphic"/>
        <w:jc w:val="left"/>
      </w:pPr>
      <w:r w:rsidRPr="00EE1890">
        <w:rPr>
          <w:noProof/>
        </w:rPr>
        <w:drawing>
          <wp:inline distT="0" distB="0" distL="0" distR="0">
            <wp:extent cx="4895850" cy="189495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95850" cy="1894954"/>
                    </a:xfrm>
                    <a:prstGeom prst="rect">
                      <a:avLst/>
                    </a:prstGeom>
                    <a:noFill/>
                    <a:ln>
                      <a:noFill/>
                    </a:ln>
                  </pic:spPr>
                </pic:pic>
              </a:graphicData>
            </a:graphic>
          </wp:inline>
        </w:drawing>
      </w:r>
    </w:p>
    <w:p w:rsidR="009B2CDB" w:rsidRPr="004111A7" w:rsidRDefault="009B2CDB" w:rsidP="00F76FE4">
      <w:pPr>
        <w:numPr>
          <w:ilvl w:val="0"/>
          <w:numId w:val="19"/>
        </w:numPr>
        <w:spacing w:after="0" w:line="240" w:lineRule="auto"/>
        <w:ind w:left="357" w:hanging="357"/>
        <w:contextualSpacing/>
        <w:rPr>
          <w:rFonts w:ascii="Arial" w:hAnsi="Arial" w:cs="Arial"/>
          <w:sz w:val="16"/>
          <w:szCs w:val="16"/>
        </w:rPr>
      </w:pPr>
      <w:r w:rsidRPr="004111A7">
        <w:rPr>
          <w:rFonts w:ascii="Arial" w:hAnsi="Arial" w:cs="Arial"/>
          <w:sz w:val="16"/>
          <w:szCs w:val="16"/>
        </w:rPr>
        <w:t>The ERF consists of the ERF Special Account and investments of the ERF. The investments are managed by the Future Fund Board of Guardians. The special account is used to record all transactions relating to the ERF, including interest and payments.</w:t>
      </w:r>
    </w:p>
    <w:p w:rsidR="009B2CDB" w:rsidRPr="004111A7" w:rsidRDefault="009B2CDB" w:rsidP="009B2CDB">
      <w:pPr>
        <w:spacing w:after="0" w:line="240" w:lineRule="auto"/>
        <w:ind w:left="284"/>
        <w:contextualSpacing/>
        <w:rPr>
          <w:rFonts w:ascii="Arial" w:hAnsi="Arial" w:cs="Arial"/>
          <w:sz w:val="16"/>
          <w:szCs w:val="16"/>
        </w:rPr>
      </w:pPr>
    </w:p>
    <w:p w:rsidR="00C66C6C" w:rsidRDefault="009B2CDB" w:rsidP="00C66C6C">
      <w:pPr>
        <w:spacing w:after="0" w:line="240" w:lineRule="auto"/>
        <w:contextualSpacing/>
        <w:rPr>
          <w:rFonts w:ascii="Arial" w:hAnsi="Arial" w:cs="Arial"/>
          <w:sz w:val="16"/>
          <w:szCs w:val="16"/>
        </w:rPr>
      </w:pPr>
      <w:r w:rsidRPr="004111A7">
        <w:rPr>
          <w:rFonts w:ascii="Arial" w:hAnsi="Arial" w:cs="Arial"/>
          <w:sz w:val="16"/>
          <w:szCs w:val="16"/>
        </w:rPr>
        <w:t>Note: The expenses figure does not include losses made on investments; rath</w:t>
      </w:r>
      <w:r w:rsidR="00C66C6C">
        <w:rPr>
          <w:rFonts w:ascii="Arial" w:hAnsi="Arial" w:cs="Arial"/>
          <w:sz w:val="16"/>
          <w:szCs w:val="16"/>
        </w:rPr>
        <w:t>er this amount has been applied</w:t>
      </w:r>
    </w:p>
    <w:p w:rsidR="009B2CDB" w:rsidRPr="004111A7" w:rsidRDefault="009B2CDB" w:rsidP="00C66C6C">
      <w:pPr>
        <w:spacing w:after="0" w:line="240" w:lineRule="auto"/>
        <w:contextualSpacing/>
        <w:rPr>
          <w:rFonts w:ascii="Arial" w:hAnsi="Arial" w:cs="Arial"/>
          <w:sz w:val="16"/>
          <w:szCs w:val="16"/>
        </w:rPr>
      </w:pPr>
      <w:proofErr w:type="gramStart"/>
      <w:r w:rsidRPr="004111A7">
        <w:rPr>
          <w:rFonts w:ascii="Arial" w:hAnsi="Arial" w:cs="Arial"/>
          <w:sz w:val="16"/>
          <w:szCs w:val="16"/>
        </w:rPr>
        <w:t>against</w:t>
      </w:r>
      <w:proofErr w:type="gramEnd"/>
      <w:r w:rsidRPr="004111A7">
        <w:rPr>
          <w:rFonts w:ascii="Arial" w:hAnsi="Arial" w:cs="Arial"/>
          <w:sz w:val="16"/>
          <w:szCs w:val="16"/>
        </w:rPr>
        <w:t xml:space="preserve"> investment earnings and gains.</w:t>
      </w:r>
    </w:p>
    <w:p w:rsidR="00607BD3" w:rsidRPr="00AE599E" w:rsidRDefault="00607BD3" w:rsidP="009B2CDB">
      <w:pPr>
        <w:pStyle w:val="ChartandTableFootnoteAlpha"/>
      </w:pPr>
    </w:p>
    <w:p w:rsidR="007B45F9" w:rsidRDefault="00607BD3" w:rsidP="002218FB">
      <w:pPr>
        <w:pStyle w:val="TableHeading"/>
      </w:pPr>
      <w:r>
        <w:rPr>
          <w:highlight w:val="yellow"/>
          <w:lang w:val="en-US"/>
        </w:rPr>
        <w:br w:type="page"/>
      </w:r>
      <w:r w:rsidR="007B09DF">
        <w:lastRenderedPageBreak/>
        <w:t>Table 2.2</w:t>
      </w:r>
      <w:r w:rsidR="00B5792D">
        <w:t>.</w:t>
      </w:r>
      <w:r w:rsidR="00115AEC">
        <w:rPr>
          <w:lang w:val="en-AU"/>
        </w:rPr>
        <w:t>2</w:t>
      </w:r>
      <w:r w:rsidR="007B45F9" w:rsidRPr="00F71634">
        <w:t xml:space="preserve">: Performance </w:t>
      </w:r>
      <w:r w:rsidR="007B45F9" w:rsidRPr="000E4F0F">
        <w:t>measure</w:t>
      </w:r>
      <w:r w:rsidR="007B45F9" w:rsidRPr="00F71634">
        <w:t xml:space="preserve"> </w:t>
      </w:r>
      <w:r w:rsidR="00026D37">
        <w:t>for Outcome 2</w:t>
      </w:r>
    </w:p>
    <w:p w:rsidR="002218FB" w:rsidRDefault="00115AEC" w:rsidP="003926EA">
      <w:r>
        <w:t>Table 2.2.2</w:t>
      </w:r>
      <w:r w:rsidR="002863D9">
        <w:t xml:space="preserve"> </w:t>
      </w:r>
      <w:r w:rsidR="002218FB" w:rsidRPr="00161BC9">
        <w:t xml:space="preserve">details the performance measures for each </w:t>
      </w:r>
      <w:r w:rsidR="002A1206">
        <w:t>program associated with Outcome </w:t>
      </w:r>
      <w:r w:rsidR="002218FB" w:rsidRPr="00161BC9">
        <w:t xml:space="preserve">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w:t>
      </w:r>
      <w:r w:rsidR="002218FB">
        <w:t>existing programs are provided.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89"/>
        <w:gridCol w:w="3951"/>
      </w:tblGrid>
      <w:tr w:rsidR="00DA697E" w:rsidRPr="002C4D06" w:rsidTr="0069681B">
        <w:trPr>
          <w:trHeight w:val="569"/>
        </w:trPr>
        <w:tc>
          <w:tcPr>
            <w:tcW w:w="7655" w:type="dxa"/>
            <w:gridSpan w:val="3"/>
            <w:shd w:val="clear" w:color="auto" w:fill="F2F2F2"/>
          </w:tcPr>
          <w:p w:rsidR="00DA697E" w:rsidRPr="002C4D06" w:rsidRDefault="00DA697E" w:rsidP="003926EA">
            <w:pPr>
              <w:pStyle w:val="TableColumnHeadingLeft"/>
            </w:pPr>
            <w:r w:rsidRPr="00161BC9">
              <w:rPr>
                <w:rStyle w:val="TableHeadingChar"/>
                <w:b/>
              </w:rPr>
              <w:t>Outcome 2</w:t>
            </w:r>
            <w:r w:rsidRPr="00161BC9">
              <w:rPr>
                <w:rStyle w:val="TableHeadingChar"/>
              </w:rPr>
              <w:t xml:space="preserve"> – Support an efficient and high-performing public sector through providing leadership to Commonwealth entities in ongoing improvements to public sector governance, including through systems, frameworks, policy, advice and service delivery.</w:t>
            </w:r>
          </w:p>
        </w:tc>
      </w:tr>
      <w:tr w:rsidR="00DA697E" w:rsidRPr="002C4D06" w:rsidTr="0069681B">
        <w:trPr>
          <w:trHeight w:val="522"/>
        </w:trPr>
        <w:tc>
          <w:tcPr>
            <w:tcW w:w="7655" w:type="dxa"/>
            <w:gridSpan w:val="3"/>
            <w:shd w:val="clear" w:color="auto" w:fill="F2F2F2"/>
          </w:tcPr>
          <w:p w:rsidR="00DA697E" w:rsidRPr="00161BC9" w:rsidRDefault="00DA697E" w:rsidP="003926EA">
            <w:pPr>
              <w:tabs>
                <w:tab w:val="left" w:pos="709"/>
              </w:tabs>
              <w:spacing w:before="60" w:after="60" w:line="240" w:lineRule="auto"/>
              <w:jc w:val="left"/>
              <w:rPr>
                <w:rFonts w:ascii="Arial" w:hAnsi="Arial" w:cs="Arial"/>
                <w:b/>
                <w:sz w:val="18"/>
                <w:szCs w:val="18"/>
              </w:rPr>
            </w:pPr>
            <w:r w:rsidRPr="00161BC9">
              <w:rPr>
                <w:rFonts w:ascii="Arial" w:hAnsi="Arial" w:cs="Arial"/>
                <w:b/>
                <w:sz w:val="18"/>
                <w:szCs w:val="18"/>
              </w:rPr>
              <w:t xml:space="preserve">Program 2.1 – </w:t>
            </w:r>
            <w:r w:rsidRPr="00161BC9">
              <w:rPr>
                <w:rFonts w:ascii="Arial" w:eastAsia="Arial" w:hAnsi="Arial" w:cs="Arial"/>
                <w:b/>
                <w:sz w:val="18"/>
                <w:szCs w:val="18"/>
              </w:rPr>
              <w:t>Public Sector Governance</w:t>
            </w:r>
          </w:p>
          <w:p w:rsidR="00DA697E" w:rsidRPr="002C4D06" w:rsidRDefault="00DA697E" w:rsidP="003926EA">
            <w:pPr>
              <w:tabs>
                <w:tab w:val="left" w:pos="709"/>
              </w:tabs>
              <w:spacing w:before="60" w:after="60" w:line="240" w:lineRule="auto"/>
              <w:jc w:val="left"/>
              <w:rPr>
                <w:rFonts w:ascii="Arial" w:hAnsi="Arial" w:cs="Arial"/>
                <w:sz w:val="16"/>
                <w:szCs w:val="16"/>
              </w:rPr>
            </w:pPr>
            <w:r w:rsidRPr="00161BC9">
              <w:rPr>
                <w:rFonts w:ascii="Arial" w:eastAsia="Arial" w:hAnsi="Arial" w:cs="Arial"/>
                <w:sz w:val="18"/>
                <w:szCs w:val="18"/>
              </w:rPr>
              <w:t>This program contributes to the outcome through developing and maintaining the public sector resource management framework and improving the standard of governance, performance and accountability of Commonwealth entities.</w:t>
            </w:r>
          </w:p>
        </w:tc>
      </w:tr>
      <w:tr w:rsidR="00DA697E" w:rsidRPr="00161BC9" w:rsidTr="0069681B">
        <w:trPr>
          <w:trHeight w:val="694"/>
        </w:trPr>
        <w:tc>
          <w:tcPr>
            <w:tcW w:w="1418" w:type="dxa"/>
            <w:tcBorders>
              <w:bottom w:val="double" w:sz="4" w:space="0" w:color="auto"/>
            </w:tcBorders>
          </w:tcPr>
          <w:p w:rsidR="00DA697E" w:rsidRPr="00161BC9" w:rsidRDefault="00391C9E" w:rsidP="00997D76">
            <w:pPr>
              <w:tabs>
                <w:tab w:val="left" w:pos="709"/>
              </w:tabs>
              <w:spacing w:before="60" w:after="60"/>
              <w:rPr>
                <w:rFonts w:ascii="Arial" w:hAnsi="Arial" w:cs="Arial"/>
                <w:b/>
                <w:sz w:val="16"/>
                <w:szCs w:val="16"/>
              </w:rPr>
            </w:pPr>
            <w:r>
              <w:rPr>
                <w:rFonts w:ascii="Arial" w:hAnsi="Arial" w:cs="Arial"/>
                <w:b/>
                <w:sz w:val="16"/>
                <w:szCs w:val="16"/>
              </w:rPr>
              <w:t>Key Activities</w:t>
            </w:r>
          </w:p>
        </w:tc>
        <w:tc>
          <w:tcPr>
            <w:tcW w:w="5885" w:type="dxa"/>
            <w:gridSpan w:val="2"/>
            <w:tcBorders>
              <w:bottom w:val="double" w:sz="4" w:space="0" w:color="auto"/>
            </w:tcBorders>
          </w:tcPr>
          <w:p w:rsidR="00DA697E" w:rsidRPr="00161BC9" w:rsidRDefault="00DA697E" w:rsidP="003926EA">
            <w:pPr>
              <w:tabs>
                <w:tab w:val="left" w:pos="709"/>
              </w:tabs>
              <w:spacing w:before="60" w:after="60" w:line="240" w:lineRule="auto"/>
              <w:rPr>
                <w:rFonts w:ascii="Arial" w:hAnsi="Arial" w:cs="Arial"/>
                <w:b/>
                <w:bCs/>
                <w:sz w:val="16"/>
                <w:szCs w:val="16"/>
              </w:rPr>
            </w:pPr>
            <w:r w:rsidRPr="00161BC9">
              <w:rPr>
                <w:rFonts w:ascii="Arial" w:hAnsi="Arial" w:cs="Arial"/>
                <w:b/>
                <w:bCs/>
                <w:sz w:val="16"/>
                <w:szCs w:val="16"/>
              </w:rPr>
              <w:t>Support the proper use and management of public resources</w:t>
            </w:r>
          </w:p>
          <w:p w:rsidR="00DA697E" w:rsidRPr="00161BC9" w:rsidRDefault="00DA697E" w:rsidP="003926EA">
            <w:pPr>
              <w:tabs>
                <w:tab w:val="left" w:pos="709"/>
              </w:tabs>
              <w:spacing w:before="60" w:after="60" w:line="240" w:lineRule="auto"/>
              <w:rPr>
                <w:rFonts w:ascii="Arial" w:hAnsi="Arial" w:cs="Arial"/>
                <w:i/>
                <w:sz w:val="16"/>
                <w:szCs w:val="16"/>
              </w:rPr>
            </w:pPr>
            <w:r w:rsidRPr="00161BC9">
              <w:rPr>
                <w:rFonts w:ascii="Arial" w:hAnsi="Arial" w:cs="Arial"/>
                <w:bCs/>
                <w:sz w:val="16"/>
                <w:szCs w:val="16"/>
              </w:rPr>
              <w:t>Support the proper use of public resources by Commonwealth entities and companies under the Commonwealth Resource Management Framework</w:t>
            </w:r>
          </w:p>
        </w:tc>
      </w:tr>
      <w:tr w:rsidR="00DA697E" w:rsidRPr="002C4D06" w:rsidTr="0069681B">
        <w:trPr>
          <w:trHeight w:val="312"/>
        </w:trPr>
        <w:tc>
          <w:tcPr>
            <w:tcW w:w="1418" w:type="dxa"/>
            <w:tcBorders>
              <w:top w:val="double" w:sz="4" w:space="0" w:color="auto"/>
              <w:bottom w:val="single" w:sz="4" w:space="0" w:color="auto"/>
              <w:right w:val="single" w:sz="4" w:space="0" w:color="auto"/>
            </w:tcBorders>
          </w:tcPr>
          <w:p w:rsidR="00DA697E" w:rsidRPr="002C4D06" w:rsidRDefault="00DA697E" w:rsidP="00997D76">
            <w:pPr>
              <w:tabs>
                <w:tab w:val="left" w:pos="709"/>
              </w:tabs>
              <w:spacing w:before="60" w:after="60"/>
              <w:rPr>
                <w:rFonts w:ascii="Arial" w:hAnsi="Arial" w:cs="Arial"/>
                <w:b/>
                <w:sz w:val="16"/>
                <w:szCs w:val="16"/>
              </w:rPr>
            </w:pPr>
            <w:r w:rsidRPr="002C4D06">
              <w:rPr>
                <w:rFonts w:ascii="Arial" w:hAnsi="Arial" w:cs="Arial"/>
                <w:b/>
                <w:sz w:val="16"/>
                <w:szCs w:val="16"/>
              </w:rPr>
              <w:t>Year</w:t>
            </w:r>
          </w:p>
        </w:tc>
        <w:tc>
          <w:tcPr>
            <w:tcW w:w="2296" w:type="dxa"/>
            <w:tcBorders>
              <w:top w:val="double" w:sz="4" w:space="0" w:color="auto"/>
              <w:left w:val="single" w:sz="4" w:space="0" w:color="auto"/>
              <w:bottom w:val="single" w:sz="4" w:space="0" w:color="auto"/>
              <w:right w:val="single" w:sz="4" w:space="0" w:color="auto"/>
            </w:tcBorders>
          </w:tcPr>
          <w:p w:rsidR="00DA697E" w:rsidRPr="002C4D06" w:rsidRDefault="00DA697E" w:rsidP="00997D76">
            <w:pPr>
              <w:tabs>
                <w:tab w:val="left" w:pos="709"/>
                <w:tab w:val="center" w:pos="1818"/>
              </w:tabs>
              <w:spacing w:before="60" w:after="60"/>
              <w:rPr>
                <w:rFonts w:ascii="Arial" w:hAnsi="Arial" w:cs="Arial"/>
                <w:b/>
                <w:sz w:val="16"/>
                <w:szCs w:val="16"/>
              </w:rPr>
            </w:pPr>
            <w:r w:rsidRPr="002C4D06">
              <w:rPr>
                <w:rFonts w:ascii="Arial" w:hAnsi="Arial" w:cs="Arial"/>
                <w:b/>
                <w:sz w:val="16"/>
                <w:szCs w:val="16"/>
              </w:rPr>
              <w:t>Performance measures</w:t>
            </w:r>
          </w:p>
        </w:tc>
        <w:tc>
          <w:tcPr>
            <w:tcW w:w="3969" w:type="dxa"/>
            <w:tcBorders>
              <w:top w:val="double" w:sz="4" w:space="0" w:color="auto"/>
              <w:left w:val="single" w:sz="4" w:space="0" w:color="auto"/>
              <w:bottom w:val="single" w:sz="4" w:space="0" w:color="auto"/>
            </w:tcBorders>
          </w:tcPr>
          <w:p w:rsidR="00DA697E" w:rsidRPr="002C4D06" w:rsidRDefault="00DA697E" w:rsidP="00997D76">
            <w:pPr>
              <w:tabs>
                <w:tab w:val="left" w:pos="709"/>
              </w:tabs>
              <w:spacing w:before="60" w:after="60"/>
              <w:rPr>
                <w:rFonts w:ascii="Arial" w:hAnsi="Arial" w:cs="Arial"/>
                <w:b/>
                <w:sz w:val="16"/>
                <w:szCs w:val="16"/>
              </w:rPr>
            </w:pPr>
            <w:r w:rsidRPr="002C4D06">
              <w:rPr>
                <w:rFonts w:ascii="Arial" w:hAnsi="Arial" w:cs="Arial"/>
                <w:b/>
                <w:sz w:val="16"/>
                <w:szCs w:val="16"/>
              </w:rPr>
              <w:t>Expected Performance Results</w:t>
            </w:r>
          </w:p>
        </w:tc>
      </w:tr>
      <w:tr w:rsidR="00DA697E" w:rsidRPr="002C4D06" w:rsidTr="00DB582A">
        <w:trPr>
          <w:trHeight w:val="2527"/>
        </w:trPr>
        <w:tc>
          <w:tcPr>
            <w:tcW w:w="1418" w:type="dxa"/>
            <w:tcBorders>
              <w:top w:val="single" w:sz="4" w:space="0" w:color="auto"/>
              <w:right w:val="single" w:sz="4" w:space="0" w:color="auto"/>
            </w:tcBorders>
          </w:tcPr>
          <w:p w:rsidR="00DA697E" w:rsidRPr="002C4D06" w:rsidRDefault="00DA697E" w:rsidP="001079D3">
            <w:pPr>
              <w:tabs>
                <w:tab w:val="left" w:pos="709"/>
              </w:tabs>
              <w:spacing w:before="60" w:after="60" w:line="240" w:lineRule="auto"/>
              <w:jc w:val="left"/>
              <w:rPr>
                <w:rFonts w:ascii="Arial" w:hAnsi="Arial" w:cs="Arial"/>
                <w:sz w:val="16"/>
                <w:szCs w:val="16"/>
              </w:rPr>
            </w:pPr>
            <w:r w:rsidRPr="002C4D06">
              <w:rPr>
                <w:rFonts w:ascii="Arial" w:hAnsi="Arial" w:cs="Arial"/>
                <w:sz w:val="16"/>
                <w:szCs w:val="16"/>
              </w:rPr>
              <w:t>Current year 2021-22</w:t>
            </w:r>
          </w:p>
        </w:tc>
        <w:tc>
          <w:tcPr>
            <w:tcW w:w="2296" w:type="dxa"/>
            <w:tcBorders>
              <w:top w:val="single" w:sz="4" w:space="0" w:color="auto"/>
              <w:left w:val="single" w:sz="4" w:space="0" w:color="auto"/>
              <w:right w:val="single" w:sz="4" w:space="0" w:color="auto"/>
            </w:tcBorders>
          </w:tcPr>
          <w:p w:rsidR="00C33F82" w:rsidRDefault="00DA697E" w:rsidP="00C33F82">
            <w:pPr>
              <w:tabs>
                <w:tab w:val="left" w:pos="709"/>
              </w:tabs>
              <w:autoSpaceDE w:val="0"/>
              <w:autoSpaceDN w:val="0"/>
              <w:spacing w:before="60" w:after="60" w:line="240" w:lineRule="auto"/>
              <w:jc w:val="left"/>
              <w:rPr>
                <w:rFonts w:ascii="Arial" w:eastAsia="Arial" w:hAnsi="Arial" w:cs="Arial"/>
                <w:b/>
                <w:bCs/>
                <w:sz w:val="16"/>
                <w:szCs w:val="16"/>
              </w:rPr>
            </w:pPr>
            <w:r w:rsidRPr="002C4D06">
              <w:rPr>
                <w:rFonts w:ascii="Arial" w:eastAsia="Arial" w:hAnsi="Arial" w:cs="Arial"/>
                <w:b/>
                <w:bCs/>
                <w:sz w:val="16"/>
                <w:szCs w:val="16"/>
              </w:rPr>
              <w:t>Governance and accountability</w:t>
            </w:r>
          </w:p>
          <w:p w:rsidR="00DA697E" w:rsidRPr="002C4D06" w:rsidRDefault="00DA697E" w:rsidP="00C33F82">
            <w:pPr>
              <w:tabs>
                <w:tab w:val="left" w:pos="709"/>
              </w:tabs>
              <w:autoSpaceDE w:val="0"/>
              <w:autoSpaceDN w:val="0"/>
              <w:spacing w:before="60" w:after="60" w:line="240" w:lineRule="auto"/>
              <w:jc w:val="left"/>
              <w:rPr>
                <w:rFonts w:ascii="Arial" w:hAnsi="Arial" w:cs="Arial"/>
              </w:rPr>
            </w:pPr>
            <w:r w:rsidRPr="000C08A5">
              <w:rPr>
                <w:rFonts w:ascii="Arial" w:eastAsia="Calibri" w:hAnsi="Arial" w:cs="Arial"/>
                <w:sz w:val="16"/>
                <w:szCs w:val="16"/>
              </w:rPr>
              <w:t>Finance ensures the resource management framework is maintained as a fit-for-purpose framework for the proper use of</w:t>
            </w:r>
            <w:r w:rsidR="006E0C5F" w:rsidRPr="000C08A5">
              <w:rPr>
                <w:rFonts w:ascii="Arial" w:eastAsia="Calibri" w:hAnsi="Arial" w:cs="Arial"/>
                <w:sz w:val="16"/>
                <w:szCs w:val="16"/>
              </w:rPr>
              <w:t xml:space="preserve"> public resources, and supports </w:t>
            </w:r>
            <w:r w:rsidRPr="000C08A5">
              <w:rPr>
                <w:rFonts w:ascii="Arial" w:eastAsia="Calibri" w:hAnsi="Arial" w:cs="Arial"/>
                <w:sz w:val="16"/>
                <w:szCs w:val="16"/>
              </w:rPr>
              <w:t>Commonwealth entities and companies to meet high standards of governance, performance and accountability through effective engagement and the provision of guidance.</w:t>
            </w:r>
          </w:p>
        </w:tc>
        <w:tc>
          <w:tcPr>
            <w:tcW w:w="3969" w:type="dxa"/>
            <w:tcBorders>
              <w:top w:val="single" w:sz="4" w:space="0" w:color="auto"/>
              <w:left w:val="single" w:sz="4" w:space="0" w:color="auto"/>
            </w:tcBorders>
          </w:tcPr>
          <w:p w:rsidR="00EE2B10" w:rsidRDefault="00DA697E" w:rsidP="00C40D38">
            <w:pPr>
              <w:autoSpaceDE w:val="0"/>
              <w:autoSpaceDN w:val="0"/>
              <w:spacing w:before="60" w:after="60" w:line="240" w:lineRule="auto"/>
              <w:jc w:val="left"/>
              <w:rPr>
                <w:rFonts w:ascii="Arial" w:hAnsi="Arial" w:cs="Arial"/>
                <w:b/>
                <w:sz w:val="16"/>
                <w:szCs w:val="16"/>
                <w:lang w:val="en"/>
              </w:rPr>
            </w:pPr>
            <w:r w:rsidRPr="002C4D06">
              <w:rPr>
                <w:rFonts w:ascii="Arial" w:hAnsi="Arial" w:cs="Arial"/>
                <w:b/>
                <w:bCs/>
                <w:sz w:val="16"/>
                <w:szCs w:val="16"/>
              </w:rPr>
              <w:t>On Track</w:t>
            </w:r>
          </w:p>
          <w:p w:rsidR="00DA697E" w:rsidRPr="00EE2B10" w:rsidRDefault="00DA697E" w:rsidP="00C40D38">
            <w:pPr>
              <w:autoSpaceDE w:val="0"/>
              <w:autoSpaceDN w:val="0"/>
              <w:spacing w:before="60" w:after="60" w:line="240" w:lineRule="auto"/>
              <w:jc w:val="left"/>
              <w:rPr>
                <w:rFonts w:ascii="Arial" w:hAnsi="Arial" w:cs="Arial"/>
                <w:b/>
                <w:sz w:val="16"/>
                <w:szCs w:val="16"/>
                <w:lang w:val="en"/>
              </w:rPr>
            </w:pPr>
            <w:r w:rsidRPr="002C4D06">
              <w:rPr>
                <w:rFonts w:ascii="Arial" w:eastAsia="Calibri" w:hAnsi="Arial" w:cs="Arial"/>
                <w:sz w:val="16"/>
                <w:szCs w:val="16"/>
              </w:rPr>
              <w:t>The annual PGPA survey of Commonwealth entities, which will provide feedback on the effectiveness of Finance’s stewardship, policy advice, engagement and guidance</w:t>
            </w:r>
            <w:r w:rsidRPr="002C4D06">
              <w:t xml:space="preserve"> </w:t>
            </w:r>
            <w:r w:rsidRPr="002C4D06">
              <w:rPr>
                <w:rFonts w:ascii="Arial" w:eastAsia="Calibri" w:hAnsi="Arial" w:cs="Arial"/>
                <w:sz w:val="16"/>
                <w:szCs w:val="16"/>
              </w:rPr>
              <w:t xml:space="preserve">is </w:t>
            </w:r>
            <w:r w:rsidRPr="002C4D06">
              <w:rPr>
                <w:rFonts w:ascii="Arial" w:hAnsi="Arial" w:cs="Arial"/>
                <w:sz w:val="16"/>
                <w:szCs w:val="16"/>
              </w:rPr>
              <w:t>scheduled for Quarter 4 2021-22.</w:t>
            </w:r>
          </w:p>
          <w:p w:rsidR="00DA697E" w:rsidRPr="002C4D06" w:rsidRDefault="00DA697E" w:rsidP="00C40D38">
            <w:pPr>
              <w:tabs>
                <w:tab w:val="left" w:pos="360"/>
              </w:tabs>
              <w:autoSpaceDE w:val="0"/>
              <w:autoSpaceDN w:val="0"/>
              <w:spacing w:before="60" w:after="60" w:line="240" w:lineRule="auto"/>
              <w:jc w:val="left"/>
              <w:rPr>
                <w:rFonts w:ascii="Arial" w:eastAsia="Calibri" w:hAnsi="Arial" w:cs="Arial"/>
                <w:sz w:val="16"/>
                <w:szCs w:val="16"/>
              </w:rPr>
            </w:pPr>
            <w:r w:rsidRPr="002C4D06">
              <w:rPr>
                <w:rFonts w:ascii="Arial" w:hAnsi="Arial" w:cs="Arial"/>
                <w:sz w:val="16"/>
                <w:szCs w:val="16"/>
              </w:rPr>
              <w:t>Target – 80% satisfaction with the level of support Finance provides to entities on the application of the resource management framework.</w:t>
            </w:r>
          </w:p>
          <w:p w:rsidR="00DA697E" w:rsidRPr="002C4D06" w:rsidRDefault="00DA697E" w:rsidP="00C40D38">
            <w:pPr>
              <w:tabs>
                <w:tab w:val="left" w:pos="360"/>
              </w:tabs>
              <w:autoSpaceDE w:val="0"/>
              <w:autoSpaceDN w:val="0"/>
              <w:spacing w:before="60" w:after="60" w:line="240" w:lineRule="auto"/>
              <w:jc w:val="left"/>
              <w:rPr>
                <w:rFonts w:ascii="Arial" w:eastAsia="Calibri" w:hAnsi="Arial" w:cs="Arial"/>
                <w:sz w:val="16"/>
                <w:szCs w:val="16"/>
              </w:rPr>
            </w:pPr>
            <w:r w:rsidRPr="002C4D06">
              <w:rPr>
                <w:rFonts w:ascii="Arial" w:eastAsia="Calibri" w:hAnsi="Arial" w:cs="Arial"/>
                <w:sz w:val="16"/>
                <w:szCs w:val="16"/>
              </w:rPr>
              <w:t xml:space="preserve">Performance audit reports tabled by the Auditor-General and reports tabled by the JCPAA are providing commentary on and making recommendations relating to the resource management framework and the application of the performance framework by entities.   </w:t>
            </w:r>
          </w:p>
          <w:p w:rsidR="00DA697E" w:rsidRPr="002C4D06" w:rsidRDefault="00DA697E" w:rsidP="003926EA">
            <w:pPr>
              <w:tabs>
                <w:tab w:val="left" w:pos="360"/>
              </w:tabs>
              <w:autoSpaceDE w:val="0"/>
              <w:autoSpaceDN w:val="0"/>
              <w:adjustRightInd w:val="0"/>
              <w:spacing w:before="60" w:after="60" w:line="240" w:lineRule="auto"/>
              <w:jc w:val="left"/>
              <w:rPr>
                <w:rFonts w:ascii="Arial" w:eastAsia="Calibri" w:hAnsi="Arial" w:cs="Arial"/>
                <w:sz w:val="16"/>
                <w:szCs w:val="16"/>
              </w:rPr>
            </w:pPr>
          </w:p>
        </w:tc>
      </w:tr>
    </w:tbl>
    <w:p w:rsidR="002218FB" w:rsidRDefault="00353C44" w:rsidP="002218FB">
      <w:pPr>
        <w:rPr>
          <w:rFonts w:ascii="Arial" w:hAnsi="Arial" w:cs="Arial"/>
          <w:sz w:val="16"/>
          <w:szCs w:val="16"/>
        </w:rPr>
      </w:pPr>
      <w:r w:rsidRPr="00353C44">
        <w:rPr>
          <w:rFonts w:ascii="Arial" w:hAnsi="Arial" w:cs="Arial"/>
          <w:sz w:val="16"/>
          <w:szCs w:val="16"/>
        </w:rPr>
        <w:t>Table continues on next page</w:t>
      </w:r>
    </w:p>
    <w:p w:rsidR="003926EA" w:rsidRDefault="003926EA" w:rsidP="002218FB">
      <w:pPr>
        <w:rPr>
          <w:rFonts w:ascii="Arial" w:hAnsi="Arial" w:cs="Arial"/>
          <w:sz w:val="16"/>
          <w:szCs w:val="16"/>
        </w:rPr>
      </w:pPr>
    </w:p>
    <w:p w:rsidR="003926EA" w:rsidRDefault="003926EA" w:rsidP="002218FB">
      <w:pPr>
        <w:rPr>
          <w:rFonts w:ascii="Arial" w:hAnsi="Arial" w:cs="Arial"/>
          <w:sz w:val="16"/>
          <w:szCs w:val="16"/>
        </w:rPr>
      </w:pPr>
    </w:p>
    <w:p w:rsidR="003926EA" w:rsidRDefault="003926EA" w:rsidP="002218FB">
      <w:pPr>
        <w:rPr>
          <w:rFonts w:ascii="Arial" w:hAnsi="Arial" w:cs="Arial"/>
          <w:sz w:val="16"/>
          <w:szCs w:val="16"/>
        </w:rPr>
      </w:pPr>
    </w:p>
    <w:p w:rsidR="00DB582A" w:rsidRPr="00353C44" w:rsidRDefault="00DB582A" w:rsidP="002218FB">
      <w:pPr>
        <w:rPr>
          <w:rFonts w:ascii="Arial" w:hAnsi="Arial" w:cs="Arial"/>
          <w:sz w:val="16"/>
          <w:szCs w:val="16"/>
        </w:rPr>
      </w:pPr>
    </w:p>
    <w:p w:rsidR="00EF5C5E" w:rsidRDefault="00115AEC" w:rsidP="00EF5C5E">
      <w:pPr>
        <w:pStyle w:val="TableHeading"/>
        <w:rPr>
          <w:lang w:val="en-AU"/>
        </w:rPr>
      </w:pPr>
      <w:r>
        <w:lastRenderedPageBreak/>
        <w:t>Table 2.2.</w:t>
      </w:r>
      <w:r>
        <w:rPr>
          <w:lang w:val="en-AU"/>
        </w:rPr>
        <w:t>2</w:t>
      </w:r>
      <w:r w:rsidR="00EF5C5E" w:rsidRPr="00EF5C5E">
        <w:t>: Performance measure for Outcome 2</w:t>
      </w:r>
      <w:r w:rsidR="00EF5C5E">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76"/>
        <w:gridCol w:w="3964"/>
      </w:tblGrid>
      <w:tr w:rsidR="00EF5C5E" w:rsidRPr="002C4D06" w:rsidTr="0069681B">
        <w:trPr>
          <w:trHeight w:val="312"/>
        </w:trPr>
        <w:tc>
          <w:tcPr>
            <w:tcW w:w="7655" w:type="dxa"/>
            <w:gridSpan w:val="3"/>
            <w:shd w:val="clear" w:color="auto" w:fill="F2F2F2"/>
          </w:tcPr>
          <w:p w:rsidR="00EF5C5E" w:rsidRPr="000A7CB1" w:rsidRDefault="00777FAE" w:rsidP="00C200C8">
            <w:pPr>
              <w:tabs>
                <w:tab w:val="left" w:pos="709"/>
              </w:tabs>
              <w:spacing w:before="60" w:after="60" w:line="240" w:lineRule="auto"/>
              <w:jc w:val="left"/>
              <w:rPr>
                <w:rFonts w:ascii="Arial" w:hAnsi="Arial" w:cs="Arial"/>
                <w:b/>
                <w:sz w:val="18"/>
                <w:szCs w:val="18"/>
              </w:rPr>
            </w:pPr>
            <w:r w:rsidRPr="00BA090C">
              <w:rPr>
                <w:rFonts w:ascii="Arial" w:hAnsi="Arial"/>
                <w:b/>
                <w:sz w:val="18"/>
                <w:szCs w:val="18"/>
              </w:rPr>
              <w:t xml:space="preserve">Performance information: </w:t>
            </w:r>
            <w:r w:rsidR="00EF5C5E" w:rsidRPr="00161BC9">
              <w:rPr>
                <w:rFonts w:ascii="Arial" w:hAnsi="Arial" w:cs="Arial"/>
                <w:b/>
                <w:sz w:val="18"/>
                <w:szCs w:val="18"/>
              </w:rPr>
              <w:t xml:space="preserve">Program 2.1 – </w:t>
            </w:r>
            <w:r w:rsidR="00EF5C5E" w:rsidRPr="00161BC9">
              <w:rPr>
                <w:rFonts w:ascii="Arial" w:eastAsia="Arial" w:hAnsi="Arial" w:cs="Arial"/>
                <w:b/>
                <w:sz w:val="18"/>
                <w:szCs w:val="18"/>
              </w:rPr>
              <w:t>Public Sector Governance</w:t>
            </w:r>
          </w:p>
        </w:tc>
      </w:tr>
      <w:tr w:rsidR="00EF5C5E" w:rsidRPr="002C4D06" w:rsidTr="0069681B">
        <w:trPr>
          <w:trHeight w:val="312"/>
        </w:trPr>
        <w:tc>
          <w:tcPr>
            <w:tcW w:w="1418" w:type="dxa"/>
            <w:tcBorders>
              <w:top w:val="single" w:sz="4" w:space="0" w:color="auto"/>
              <w:bottom w:val="dotted" w:sz="4" w:space="0" w:color="auto"/>
              <w:right w:val="single" w:sz="4" w:space="0" w:color="auto"/>
            </w:tcBorders>
          </w:tcPr>
          <w:p w:rsidR="00EF5C5E" w:rsidRPr="002C4D06" w:rsidRDefault="00EF5C5E" w:rsidP="00C200C8">
            <w:pPr>
              <w:tabs>
                <w:tab w:val="left" w:pos="709"/>
              </w:tabs>
              <w:spacing w:before="60" w:after="60" w:line="240" w:lineRule="auto"/>
              <w:rPr>
                <w:rFonts w:ascii="Arial" w:hAnsi="Arial" w:cs="Arial"/>
                <w:sz w:val="16"/>
                <w:szCs w:val="16"/>
              </w:rPr>
            </w:pPr>
            <w:r w:rsidRPr="002C4D06">
              <w:rPr>
                <w:rFonts w:ascii="Arial" w:hAnsi="Arial" w:cs="Arial"/>
                <w:b/>
                <w:sz w:val="16"/>
                <w:szCs w:val="16"/>
              </w:rPr>
              <w:t>Year</w:t>
            </w:r>
          </w:p>
        </w:tc>
        <w:tc>
          <w:tcPr>
            <w:tcW w:w="2281" w:type="dxa"/>
            <w:tcBorders>
              <w:top w:val="single" w:sz="4" w:space="0" w:color="auto"/>
              <w:left w:val="single" w:sz="4" w:space="0" w:color="auto"/>
              <w:bottom w:val="dotted" w:sz="4" w:space="0" w:color="auto"/>
              <w:right w:val="single" w:sz="4" w:space="0" w:color="auto"/>
            </w:tcBorders>
          </w:tcPr>
          <w:p w:rsidR="00EF5C5E" w:rsidRPr="002C4D06" w:rsidRDefault="006E0C5F" w:rsidP="00C200C8">
            <w:pPr>
              <w:tabs>
                <w:tab w:val="left" w:pos="709"/>
              </w:tabs>
              <w:spacing w:before="60" w:after="60" w:line="240" w:lineRule="auto"/>
              <w:rPr>
                <w:rFonts w:ascii="Arial" w:hAnsi="Arial" w:cs="Arial"/>
              </w:rPr>
            </w:pPr>
            <w:r>
              <w:rPr>
                <w:rFonts w:ascii="Arial" w:hAnsi="Arial" w:cs="Arial"/>
                <w:b/>
                <w:sz w:val="16"/>
                <w:szCs w:val="16"/>
              </w:rPr>
              <w:t>Performance measures</w:t>
            </w:r>
          </w:p>
        </w:tc>
        <w:tc>
          <w:tcPr>
            <w:tcW w:w="3977" w:type="dxa"/>
            <w:tcBorders>
              <w:top w:val="single" w:sz="4" w:space="0" w:color="auto"/>
              <w:left w:val="single" w:sz="4" w:space="0" w:color="auto"/>
              <w:bottom w:val="dotted" w:sz="4" w:space="0" w:color="auto"/>
            </w:tcBorders>
          </w:tcPr>
          <w:p w:rsidR="00EF5C5E" w:rsidRPr="002C4D06" w:rsidRDefault="00EF5C5E" w:rsidP="00C200C8">
            <w:pPr>
              <w:tabs>
                <w:tab w:val="left" w:pos="709"/>
              </w:tabs>
              <w:spacing w:before="60" w:after="60" w:line="240" w:lineRule="auto"/>
              <w:rPr>
                <w:rFonts w:ascii="Arial" w:hAnsi="Arial" w:cs="Arial"/>
                <w:i/>
                <w:sz w:val="16"/>
                <w:szCs w:val="16"/>
              </w:rPr>
            </w:pPr>
            <w:r w:rsidRPr="002C4D06">
              <w:rPr>
                <w:rFonts w:ascii="Arial" w:hAnsi="Arial" w:cs="Arial"/>
                <w:b/>
                <w:sz w:val="16"/>
                <w:szCs w:val="16"/>
              </w:rPr>
              <w:t>Planned Performance Results</w:t>
            </w:r>
          </w:p>
        </w:tc>
      </w:tr>
      <w:tr w:rsidR="00EF5C5E" w:rsidRPr="00161BC9" w:rsidTr="00DB582A">
        <w:trPr>
          <w:trHeight w:val="2404"/>
        </w:trPr>
        <w:tc>
          <w:tcPr>
            <w:tcW w:w="1418" w:type="dxa"/>
            <w:tcBorders>
              <w:top w:val="single" w:sz="4" w:space="0" w:color="auto"/>
              <w:right w:val="single" w:sz="4" w:space="0" w:color="auto"/>
            </w:tcBorders>
          </w:tcPr>
          <w:p w:rsidR="00EF5C5E" w:rsidRPr="00C200C8" w:rsidRDefault="00EF5C5E" w:rsidP="00C33F82">
            <w:pPr>
              <w:tabs>
                <w:tab w:val="left" w:pos="709"/>
              </w:tabs>
              <w:spacing w:before="60" w:after="60" w:line="240" w:lineRule="auto"/>
              <w:jc w:val="left"/>
              <w:rPr>
                <w:rFonts w:ascii="Arial" w:hAnsi="Arial" w:cs="Arial"/>
                <w:sz w:val="16"/>
                <w:szCs w:val="16"/>
              </w:rPr>
            </w:pPr>
            <w:r w:rsidRPr="00C200C8">
              <w:rPr>
                <w:rFonts w:ascii="Arial" w:hAnsi="Arial" w:cs="Arial"/>
                <w:sz w:val="16"/>
                <w:szCs w:val="16"/>
              </w:rPr>
              <w:t>Budget Year 2022-23</w:t>
            </w:r>
          </w:p>
        </w:tc>
        <w:tc>
          <w:tcPr>
            <w:tcW w:w="2281" w:type="dxa"/>
            <w:tcBorders>
              <w:top w:val="single" w:sz="4" w:space="0" w:color="auto"/>
              <w:left w:val="single" w:sz="4" w:space="0" w:color="auto"/>
              <w:right w:val="single" w:sz="4" w:space="0" w:color="auto"/>
            </w:tcBorders>
          </w:tcPr>
          <w:p w:rsidR="00C33F82" w:rsidRDefault="00EF5C5E" w:rsidP="00C33F82">
            <w:pPr>
              <w:autoSpaceDE w:val="0"/>
              <w:autoSpaceDN w:val="0"/>
              <w:spacing w:before="60" w:after="60" w:line="240" w:lineRule="auto"/>
              <w:jc w:val="left"/>
              <w:rPr>
                <w:rFonts w:ascii="Arial" w:eastAsia="Arial" w:hAnsi="Arial" w:cs="Arial"/>
                <w:b/>
                <w:sz w:val="16"/>
                <w:szCs w:val="16"/>
              </w:rPr>
            </w:pPr>
            <w:r w:rsidRPr="00C200C8">
              <w:rPr>
                <w:rFonts w:ascii="Arial" w:eastAsia="Arial" w:hAnsi="Arial" w:cs="Arial"/>
                <w:b/>
                <w:sz w:val="16"/>
                <w:szCs w:val="16"/>
              </w:rPr>
              <w:t>Governance and accountability</w:t>
            </w:r>
          </w:p>
          <w:p w:rsidR="00EF5C5E" w:rsidRPr="00C200C8" w:rsidRDefault="00EF5C5E" w:rsidP="00C33F82">
            <w:pPr>
              <w:autoSpaceDE w:val="0"/>
              <w:autoSpaceDN w:val="0"/>
              <w:spacing w:before="60" w:after="60" w:line="240" w:lineRule="auto"/>
              <w:jc w:val="left"/>
              <w:rPr>
                <w:rFonts w:ascii="Arial" w:eastAsia="Arial" w:hAnsi="Arial" w:cs="Arial"/>
                <w:sz w:val="16"/>
                <w:szCs w:val="16"/>
              </w:rPr>
            </w:pPr>
            <w:r w:rsidRPr="00C200C8">
              <w:rPr>
                <w:rFonts w:ascii="Arial" w:eastAsia="Calibri" w:hAnsi="Arial" w:cs="Arial"/>
                <w:sz w:val="16"/>
                <w:szCs w:val="16"/>
              </w:rPr>
              <w:t>Finance ensures the resource management framework is maintained as a fit-for-purpose framework for the proper use of public resources, and supports Commonwealth entities and companies to mee</w:t>
            </w:r>
            <w:r w:rsidR="007F58C2" w:rsidRPr="00C200C8">
              <w:rPr>
                <w:rFonts w:ascii="Arial" w:eastAsia="Calibri" w:hAnsi="Arial" w:cs="Arial"/>
                <w:sz w:val="16"/>
                <w:szCs w:val="16"/>
              </w:rPr>
              <w:t xml:space="preserve">t high standards of governance, </w:t>
            </w:r>
            <w:r w:rsidRPr="00C200C8">
              <w:rPr>
                <w:rFonts w:ascii="Arial" w:eastAsia="Calibri" w:hAnsi="Arial" w:cs="Arial"/>
                <w:sz w:val="16"/>
                <w:szCs w:val="16"/>
              </w:rPr>
              <w:t>performance and accountability through effective engagement a</w:t>
            </w:r>
            <w:r w:rsidR="00E83210" w:rsidRPr="00C200C8">
              <w:rPr>
                <w:rFonts w:ascii="Arial" w:eastAsia="Calibri" w:hAnsi="Arial" w:cs="Arial"/>
                <w:sz w:val="16"/>
                <w:szCs w:val="16"/>
              </w:rPr>
              <w:t>nd the provision of guidance.</w:t>
            </w:r>
            <w:r w:rsidR="00E83210" w:rsidRPr="00C200C8">
              <w:rPr>
                <w:rFonts w:ascii="Arial" w:eastAsia="Arial" w:hAnsi="Arial" w:cs="Arial"/>
                <w:sz w:val="16"/>
                <w:szCs w:val="16"/>
              </w:rPr>
              <w:t xml:space="preserve"> </w:t>
            </w:r>
          </w:p>
        </w:tc>
        <w:tc>
          <w:tcPr>
            <w:tcW w:w="3977" w:type="dxa"/>
            <w:tcBorders>
              <w:top w:val="single" w:sz="4" w:space="0" w:color="auto"/>
              <w:left w:val="single" w:sz="4" w:space="0" w:color="auto"/>
            </w:tcBorders>
          </w:tcPr>
          <w:p w:rsidR="00EF5C5E" w:rsidRPr="00C200C8" w:rsidRDefault="00EF5C5E" w:rsidP="00F346CA">
            <w:pPr>
              <w:autoSpaceDE w:val="0"/>
              <w:autoSpaceDN w:val="0"/>
              <w:spacing w:before="60" w:after="60" w:line="240" w:lineRule="auto"/>
              <w:jc w:val="left"/>
              <w:rPr>
                <w:rFonts w:ascii="Arial" w:eastAsia="Arial" w:hAnsi="Arial" w:cs="Arial"/>
                <w:sz w:val="16"/>
                <w:szCs w:val="16"/>
              </w:rPr>
            </w:pPr>
            <w:r w:rsidRPr="00C200C8">
              <w:rPr>
                <w:rFonts w:ascii="Arial" w:eastAsia="Arial" w:hAnsi="Arial" w:cs="Arial"/>
                <w:sz w:val="16"/>
                <w:szCs w:val="16"/>
              </w:rPr>
              <w:t>Annual PGPA Survey results</w:t>
            </w:r>
          </w:p>
          <w:p w:rsidR="00EF5C5E" w:rsidRPr="00C200C8" w:rsidRDefault="00EF5C5E" w:rsidP="00F346CA">
            <w:pPr>
              <w:autoSpaceDE w:val="0"/>
              <w:autoSpaceDN w:val="0"/>
              <w:spacing w:before="60" w:after="60" w:line="240" w:lineRule="auto"/>
              <w:jc w:val="left"/>
              <w:rPr>
                <w:rFonts w:ascii="Arial" w:hAnsi="Arial" w:cs="Arial"/>
                <w:sz w:val="16"/>
                <w:szCs w:val="16"/>
              </w:rPr>
            </w:pPr>
            <w:r w:rsidRPr="00C200C8">
              <w:rPr>
                <w:rFonts w:ascii="Arial" w:eastAsia="Arial" w:hAnsi="Arial" w:cs="Arial"/>
                <w:sz w:val="16"/>
                <w:szCs w:val="16"/>
              </w:rPr>
              <w:t xml:space="preserve">Target </w:t>
            </w:r>
            <w:r w:rsidRPr="00C200C8">
              <w:rPr>
                <w:rFonts w:ascii="Arial" w:hAnsi="Arial" w:cs="Arial"/>
                <w:sz w:val="16"/>
                <w:szCs w:val="16"/>
              </w:rPr>
              <w:t>80% satisfaction with the level of support Finance provides to entities on the application of the resource management framework.</w:t>
            </w:r>
          </w:p>
          <w:p w:rsidR="00EF5C5E" w:rsidRPr="00C200C8" w:rsidRDefault="00EF5C5E" w:rsidP="00F346CA">
            <w:pPr>
              <w:autoSpaceDE w:val="0"/>
              <w:autoSpaceDN w:val="0"/>
              <w:spacing w:before="60" w:after="60" w:line="240" w:lineRule="auto"/>
              <w:jc w:val="left"/>
              <w:rPr>
                <w:rFonts w:ascii="Arial" w:eastAsia="Calibri" w:hAnsi="Arial" w:cs="Arial"/>
                <w:sz w:val="16"/>
                <w:szCs w:val="16"/>
              </w:rPr>
            </w:pPr>
            <w:r w:rsidRPr="00C200C8">
              <w:rPr>
                <w:rFonts w:ascii="Arial" w:eastAsia="Calibri" w:hAnsi="Arial" w:cs="Arial"/>
                <w:sz w:val="16"/>
                <w:szCs w:val="16"/>
              </w:rPr>
              <w:t>Performance audit reports tabled by the Auditor-General and reports tabled by the JCPAA provide commentary on and make recommendations relating to the resource management framework and the application of the performance framework by entities.</w:t>
            </w:r>
          </w:p>
          <w:p w:rsidR="003B6269" w:rsidRPr="00C200C8" w:rsidRDefault="003B6269" w:rsidP="00C200C8">
            <w:pPr>
              <w:spacing w:before="60" w:after="60" w:line="240" w:lineRule="auto"/>
              <w:jc w:val="left"/>
              <w:rPr>
                <w:rFonts w:ascii="Arial" w:hAnsi="Arial" w:cs="Arial"/>
                <w:i/>
                <w:sz w:val="16"/>
                <w:szCs w:val="16"/>
              </w:rPr>
            </w:pPr>
          </w:p>
          <w:p w:rsidR="00EF5C5E" w:rsidRPr="00C200C8" w:rsidRDefault="003B6269" w:rsidP="00C200C8">
            <w:pPr>
              <w:tabs>
                <w:tab w:val="left" w:pos="936"/>
              </w:tabs>
              <w:spacing w:before="60" w:after="60" w:line="240" w:lineRule="auto"/>
              <w:rPr>
                <w:rFonts w:ascii="Arial" w:hAnsi="Arial" w:cs="Arial"/>
                <w:sz w:val="16"/>
                <w:szCs w:val="16"/>
              </w:rPr>
            </w:pPr>
            <w:r w:rsidRPr="00C200C8">
              <w:rPr>
                <w:rFonts w:ascii="Arial" w:hAnsi="Arial" w:cs="Arial"/>
                <w:sz w:val="16"/>
                <w:szCs w:val="16"/>
              </w:rPr>
              <w:tab/>
            </w:r>
          </w:p>
        </w:tc>
      </w:tr>
      <w:tr w:rsidR="00EF5C5E" w:rsidRPr="00161BC9" w:rsidTr="00DB582A">
        <w:trPr>
          <w:trHeight w:val="491"/>
        </w:trPr>
        <w:tc>
          <w:tcPr>
            <w:tcW w:w="1418" w:type="dxa"/>
            <w:tcBorders>
              <w:top w:val="dotted" w:sz="4" w:space="0" w:color="auto"/>
              <w:bottom w:val="dotted" w:sz="4" w:space="0" w:color="auto"/>
              <w:right w:val="single" w:sz="4" w:space="0" w:color="auto"/>
            </w:tcBorders>
          </w:tcPr>
          <w:p w:rsidR="00EF5C5E" w:rsidRPr="00C200C8" w:rsidRDefault="002771DF" w:rsidP="001079D3">
            <w:pPr>
              <w:tabs>
                <w:tab w:val="left" w:pos="709"/>
              </w:tabs>
              <w:spacing w:before="60" w:after="60" w:line="240" w:lineRule="auto"/>
              <w:jc w:val="left"/>
              <w:rPr>
                <w:rFonts w:ascii="Arial" w:hAnsi="Arial" w:cs="Arial"/>
                <w:b/>
                <w:sz w:val="16"/>
                <w:szCs w:val="16"/>
              </w:rPr>
            </w:pPr>
            <w:r w:rsidRPr="00C200C8">
              <w:rPr>
                <w:rFonts w:ascii="Arial" w:hAnsi="Arial" w:cs="Arial"/>
                <w:sz w:val="16"/>
                <w:szCs w:val="16"/>
              </w:rPr>
              <w:t xml:space="preserve">Forward Estimates </w:t>
            </w:r>
            <w:r w:rsidR="001079D3">
              <w:rPr>
                <w:rFonts w:ascii="Arial" w:hAnsi="Arial" w:cs="Arial"/>
                <w:sz w:val="16"/>
                <w:szCs w:val="16"/>
              </w:rPr>
              <w:br/>
            </w:r>
            <w:r w:rsidRPr="00C200C8">
              <w:rPr>
                <w:rFonts w:ascii="Arial" w:hAnsi="Arial" w:cs="Arial"/>
                <w:sz w:val="16"/>
                <w:szCs w:val="16"/>
              </w:rPr>
              <w:t>2023-26</w:t>
            </w:r>
          </w:p>
        </w:tc>
        <w:tc>
          <w:tcPr>
            <w:tcW w:w="2281" w:type="dxa"/>
            <w:tcBorders>
              <w:top w:val="dotted" w:sz="4" w:space="0" w:color="auto"/>
              <w:left w:val="single" w:sz="4" w:space="0" w:color="auto"/>
              <w:bottom w:val="dotted" w:sz="4" w:space="0" w:color="auto"/>
              <w:right w:val="single" w:sz="4" w:space="0" w:color="auto"/>
            </w:tcBorders>
          </w:tcPr>
          <w:p w:rsidR="00EF5C5E" w:rsidRPr="00C200C8" w:rsidRDefault="00EF5C5E" w:rsidP="00C200C8">
            <w:pPr>
              <w:tabs>
                <w:tab w:val="left" w:pos="709"/>
              </w:tabs>
              <w:spacing w:before="60" w:after="60" w:line="240" w:lineRule="auto"/>
              <w:rPr>
                <w:rFonts w:ascii="Arial" w:hAnsi="Arial" w:cs="Arial"/>
                <w:b/>
                <w:sz w:val="16"/>
                <w:szCs w:val="16"/>
              </w:rPr>
            </w:pPr>
            <w:r w:rsidRPr="00C200C8">
              <w:rPr>
                <w:rFonts w:ascii="Arial" w:eastAsia="Arial" w:hAnsi="Arial" w:cs="Arial"/>
                <w:sz w:val="16"/>
                <w:szCs w:val="16"/>
              </w:rPr>
              <w:t>As per 2022-23.</w:t>
            </w:r>
          </w:p>
        </w:tc>
        <w:tc>
          <w:tcPr>
            <w:tcW w:w="3977" w:type="dxa"/>
            <w:tcBorders>
              <w:top w:val="dotted" w:sz="4" w:space="0" w:color="auto"/>
              <w:left w:val="single" w:sz="4" w:space="0" w:color="auto"/>
              <w:bottom w:val="dotted" w:sz="4" w:space="0" w:color="auto"/>
            </w:tcBorders>
          </w:tcPr>
          <w:p w:rsidR="00EF5C5E" w:rsidRPr="00C200C8" w:rsidRDefault="00EF5C5E" w:rsidP="00F346CA">
            <w:pPr>
              <w:autoSpaceDE w:val="0"/>
              <w:autoSpaceDN w:val="0"/>
              <w:spacing w:before="60" w:after="60" w:line="240" w:lineRule="auto"/>
              <w:jc w:val="left"/>
              <w:rPr>
                <w:rFonts w:ascii="Arial" w:eastAsia="Arial" w:hAnsi="Arial" w:cs="Arial"/>
                <w:sz w:val="16"/>
                <w:szCs w:val="16"/>
              </w:rPr>
            </w:pPr>
            <w:r w:rsidRPr="00C200C8">
              <w:rPr>
                <w:rFonts w:ascii="Arial" w:eastAsia="Arial" w:hAnsi="Arial" w:cs="Arial"/>
                <w:sz w:val="16"/>
                <w:szCs w:val="16"/>
              </w:rPr>
              <w:t xml:space="preserve">Target 85% </w:t>
            </w:r>
            <w:r w:rsidRPr="00C200C8">
              <w:rPr>
                <w:rFonts w:ascii="Arial" w:hAnsi="Arial" w:cs="Arial"/>
                <w:sz w:val="16"/>
                <w:szCs w:val="16"/>
              </w:rPr>
              <w:t>satisfaction with the level of support Finance provides to entities on the application of the resource management framework.</w:t>
            </w:r>
          </w:p>
          <w:p w:rsidR="00EF5C5E" w:rsidRPr="00C200C8" w:rsidRDefault="00EF5C5E" w:rsidP="00F346CA">
            <w:pPr>
              <w:tabs>
                <w:tab w:val="left" w:pos="709"/>
              </w:tabs>
              <w:autoSpaceDE w:val="0"/>
              <w:autoSpaceDN w:val="0"/>
              <w:spacing w:before="60" w:after="60" w:line="240" w:lineRule="auto"/>
              <w:jc w:val="left"/>
              <w:rPr>
                <w:rFonts w:ascii="Arial" w:hAnsi="Arial" w:cs="Arial"/>
                <w:b/>
                <w:sz w:val="16"/>
                <w:szCs w:val="16"/>
              </w:rPr>
            </w:pPr>
            <w:r w:rsidRPr="00C200C8">
              <w:rPr>
                <w:rFonts w:ascii="Arial" w:eastAsia="Arial" w:hAnsi="Arial" w:cs="Arial"/>
                <w:sz w:val="16"/>
                <w:szCs w:val="16"/>
              </w:rPr>
              <w:t>As per 2022-23.</w:t>
            </w:r>
          </w:p>
        </w:tc>
      </w:tr>
      <w:tr w:rsidR="00EF5C5E" w:rsidRPr="002A0954" w:rsidTr="00391C9E">
        <w:trPr>
          <w:trHeight w:val="291"/>
        </w:trPr>
        <w:tc>
          <w:tcPr>
            <w:tcW w:w="7655" w:type="dxa"/>
            <w:gridSpan w:val="3"/>
          </w:tcPr>
          <w:p w:rsidR="00EF5C5E" w:rsidRPr="002A0954" w:rsidRDefault="00EF5C5E" w:rsidP="00C200C8">
            <w:pPr>
              <w:tabs>
                <w:tab w:val="left" w:pos="709"/>
              </w:tabs>
              <w:spacing w:before="60" w:after="60" w:line="240" w:lineRule="auto"/>
              <w:rPr>
                <w:rFonts w:ascii="Arial" w:eastAsia="Cambria" w:hAnsi="Arial" w:cs="Arial"/>
                <w:bCs/>
                <w:iCs/>
                <w:spacing w:val="-6"/>
                <w:sz w:val="16"/>
                <w:szCs w:val="16"/>
              </w:rPr>
            </w:pPr>
            <w:r w:rsidRPr="002C4D06">
              <w:rPr>
                <w:rFonts w:ascii="Arial" w:hAnsi="Arial" w:cs="Arial"/>
                <w:sz w:val="16"/>
                <w:szCs w:val="16"/>
              </w:rPr>
              <w:t>Material changes to Program 2.1 resulting from 2022-23 Budget Measures:</w:t>
            </w:r>
            <w:r w:rsidRPr="002A0954">
              <w:rPr>
                <w:rFonts w:ascii="Arial" w:hAnsi="Arial" w:cs="Arial"/>
                <w:sz w:val="16"/>
                <w:szCs w:val="16"/>
              </w:rPr>
              <w:t xml:space="preserve"> Nil</w:t>
            </w:r>
          </w:p>
        </w:tc>
      </w:tr>
    </w:tbl>
    <w:p w:rsidR="00413DBF" w:rsidRPr="00353C44" w:rsidRDefault="00413DBF" w:rsidP="00413DBF">
      <w:pPr>
        <w:rPr>
          <w:rFonts w:ascii="Arial" w:hAnsi="Arial" w:cs="Arial"/>
          <w:sz w:val="16"/>
          <w:szCs w:val="16"/>
        </w:rPr>
      </w:pPr>
      <w:r w:rsidRPr="00353C44">
        <w:rPr>
          <w:rFonts w:ascii="Arial" w:hAnsi="Arial" w:cs="Arial"/>
          <w:sz w:val="16"/>
          <w:szCs w:val="16"/>
        </w:rPr>
        <w:t>Table continues on next page</w:t>
      </w:r>
    </w:p>
    <w:p w:rsidR="00EF5C5E" w:rsidRPr="00EF5C5E" w:rsidRDefault="00EF5C5E" w:rsidP="00EF5C5E">
      <w:pPr>
        <w:pStyle w:val="TableGraphic"/>
        <w:rPr>
          <w:lang w:eastAsia="x-none"/>
        </w:rPr>
      </w:pPr>
    </w:p>
    <w:p w:rsidR="00A206A3" w:rsidRDefault="00A206A3">
      <w:pPr>
        <w:spacing w:after="0" w:line="240" w:lineRule="auto"/>
        <w:jc w:val="left"/>
      </w:pPr>
      <w:r>
        <w:br w:type="page"/>
      </w:r>
    </w:p>
    <w:p w:rsidR="008E568F" w:rsidRDefault="00026D37" w:rsidP="00026D37">
      <w:pPr>
        <w:pStyle w:val="TableHeading"/>
      </w:pPr>
      <w:r>
        <w:lastRenderedPageBreak/>
        <w:t>Table 2.2</w:t>
      </w:r>
      <w:r w:rsidRPr="00F71634">
        <w:t>.</w:t>
      </w:r>
      <w:r w:rsidR="00115AEC">
        <w:rPr>
          <w:lang w:val="en-AU"/>
        </w:rPr>
        <w:t>2</w:t>
      </w:r>
      <w:r w:rsidRPr="00F71634">
        <w:t xml:space="preserve">: Performance </w:t>
      </w:r>
      <w:r w:rsidRPr="00026D37">
        <w:t>measure</w:t>
      </w:r>
      <w:r w:rsidRPr="00F71634">
        <w:t xml:space="preserve"> </w:t>
      </w:r>
      <w:r>
        <w:t>for Outcome 2</w:t>
      </w:r>
      <w:r w:rsidRPr="00413DBF">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90"/>
        <w:gridCol w:w="3951"/>
      </w:tblGrid>
      <w:tr w:rsidR="00413DBF" w:rsidRPr="00361E69" w:rsidTr="0069681B">
        <w:trPr>
          <w:trHeight w:val="291"/>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3DBF" w:rsidRPr="00413DBF" w:rsidRDefault="00413DBF" w:rsidP="006C35DA">
            <w:pPr>
              <w:tabs>
                <w:tab w:val="left" w:pos="709"/>
              </w:tabs>
              <w:spacing w:before="60" w:after="60" w:line="240" w:lineRule="auto"/>
              <w:jc w:val="left"/>
              <w:rPr>
                <w:rFonts w:ascii="Arial" w:eastAsia="Arial" w:hAnsi="Arial" w:cs="Arial"/>
                <w:b/>
                <w:sz w:val="18"/>
                <w:szCs w:val="18"/>
              </w:rPr>
            </w:pPr>
            <w:r w:rsidRPr="00413DBF">
              <w:rPr>
                <w:rFonts w:ascii="Arial" w:eastAsia="Arial" w:hAnsi="Arial" w:cs="Arial"/>
                <w:b/>
                <w:sz w:val="18"/>
                <w:szCs w:val="18"/>
              </w:rPr>
              <w:t>Program 2.2 – Transforming Government</w:t>
            </w:r>
          </w:p>
          <w:p w:rsidR="00413DBF" w:rsidRPr="00361E69" w:rsidRDefault="00413DBF" w:rsidP="006C35DA">
            <w:pPr>
              <w:tabs>
                <w:tab w:val="left" w:pos="709"/>
              </w:tabs>
              <w:spacing w:before="60" w:after="60" w:line="240" w:lineRule="auto"/>
              <w:jc w:val="left"/>
              <w:rPr>
                <w:rFonts w:ascii="Arial" w:hAnsi="Arial" w:cs="Arial"/>
                <w:sz w:val="16"/>
                <w:szCs w:val="16"/>
              </w:rPr>
            </w:pPr>
            <w:r w:rsidRPr="00413DBF">
              <w:rPr>
                <w:rFonts w:ascii="Arial" w:eastAsia="Arial" w:hAnsi="Arial" w:cs="Arial"/>
                <w:sz w:val="18"/>
                <w:szCs w:val="18"/>
              </w:rPr>
              <w:t>This program contributes to the outcome by providing leadership in the development and delivery of reforms and initiatives that support the modernisation of government and increase public sector productivity.</w:t>
            </w:r>
          </w:p>
        </w:tc>
      </w:tr>
      <w:tr w:rsidR="00413DBF" w:rsidRPr="00361E69" w:rsidTr="00C33F82">
        <w:trPr>
          <w:trHeight w:val="567"/>
        </w:trPr>
        <w:tc>
          <w:tcPr>
            <w:tcW w:w="1414" w:type="dxa"/>
            <w:tcBorders>
              <w:bottom w:val="double" w:sz="4" w:space="0" w:color="auto"/>
            </w:tcBorders>
          </w:tcPr>
          <w:p w:rsidR="00413DBF" w:rsidRPr="00361E69" w:rsidRDefault="00413DBF" w:rsidP="006C35DA">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 xml:space="preserve">Key </w:t>
            </w:r>
            <w:r>
              <w:rPr>
                <w:rFonts w:ascii="Arial" w:hAnsi="Arial" w:cs="Arial"/>
                <w:b/>
                <w:bCs/>
                <w:sz w:val="16"/>
                <w:szCs w:val="16"/>
              </w:rPr>
              <w:t>Activities</w:t>
            </w:r>
          </w:p>
        </w:tc>
        <w:tc>
          <w:tcPr>
            <w:tcW w:w="6241" w:type="dxa"/>
            <w:gridSpan w:val="2"/>
            <w:tcBorders>
              <w:bottom w:val="double" w:sz="4" w:space="0" w:color="auto"/>
            </w:tcBorders>
          </w:tcPr>
          <w:p w:rsidR="00413DBF" w:rsidRPr="00361E69" w:rsidRDefault="00413DBF" w:rsidP="006C35DA">
            <w:pPr>
              <w:tabs>
                <w:tab w:val="left" w:pos="709"/>
              </w:tabs>
              <w:spacing w:before="60" w:after="60" w:line="240" w:lineRule="auto"/>
              <w:jc w:val="left"/>
              <w:rPr>
                <w:rFonts w:ascii="Arial" w:hAnsi="Arial" w:cs="Arial"/>
                <w:b/>
                <w:bCs/>
                <w:sz w:val="16"/>
                <w:szCs w:val="16"/>
              </w:rPr>
            </w:pPr>
            <w:r w:rsidRPr="1362A57E">
              <w:rPr>
                <w:rFonts w:ascii="Arial" w:hAnsi="Arial" w:cs="Arial"/>
                <w:b/>
                <w:bCs/>
                <w:sz w:val="16"/>
                <w:szCs w:val="16"/>
              </w:rPr>
              <w:t>Modernise the APS through ICT projects</w:t>
            </w:r>
          </w:p>
          <w:p w:rsidR="00413DBF" w:rsidRPr="00361E69" w:rsidRDefault="00413DBF" w:rsidP="006C35DA">
            <w:pPr>
              <w:tabs>
                <w:tab w:val="left" w:pos="709"/>
              </w:tabs>
              <w:spacing w:before="60" w:after="60" w:line="240" w:lineRule="auto"/>
              <w:jc w:val="left"/>
              <w:rPr>
                <w:rFonts w:ascii="Arial" w:hAnsi="Arial" w:cs="Arial"/>
                <w:i/>
                <w:sz w:val="16"/>
                <w:szCs w:val="16"/>
              </w:rPr>
            </w:pPr>
            <w:r w:rsidRPr="1362A57E">
              <w:rPr>
                <w:rFonts w:ascii="Arial" w:hAnsi="Arial" w:cs="Arial"/>
                <w:sz w:val="16"/>
                <w:szCs w:val="16"/>
              </w:rPr>
              <w:t>Undertaking ICT development projects to support the modernisation of the APS.</w:t>
            </w:r>
          </w:p>
        </w:tc>
      </w:tr>
      <w:tr w:rsidR="00413DBF" w:rsidRPr="00361E69" w:rsidTr="00C33F82">
        <w:trPr>
          <w:trHeight w:val="312"/>
        </w:trPr>
        <w:tc>
          <w:tcPr>
            <w:tcW w:w="1414" w:type="dxa"/>
            <w:tcBorders>
              <w:top w:val="double" w:sz="4" w:space="0" w:color="auto"/>
              <w:bottom w:val="single" w:sz="4" w:space="0" w:color="auto"/>
              <w:right w:val="single" w:sz="4" w:space="0" w:color="auto"/>
            </w:tcBorders>
            <w:shd w:val="clear" w:color="auto" w:fill="auto"/>
          </w:tcPr>
          <w:p w:rsidR="00413DBF" w:rsidRPr="00361E69" w:rsidRDefault="00413DBF" w:rsidP="006C35DA">
            <w:pPr>
              <w:tabs>
                <w:tab w:val="left" w:pos="709"/>
              </w:tabs>
              <w:spacing w:before="60" w:after="60" w:line="240" w:lineRule="auto"/>
              <w:rPr>
                <w:rFonts w:ascii="Arial" w:hAnsi="Arial" w:cs="Arial"/>
                <w:b/>
                <w:bCs/>
                <w:sz w:val="16"/>
                <w:szCs w:val="16"/>
              </w:rPr>
            </w:pPr>
            <w:r w:rsidRPr="1362A57E">
              <w:rPr>
                <w:rFonts w:ascii="Arial" w:hAnsi="Arial" w:cs="Arial"/>
                <w:b/>
                <w:bCs/>
                <w:sz w:val="16"/>
                <w:szCs w:val="16"/>
              </w:rPr>
              <w:t>Year</w:t>
            </w:r>
          </w:p>
        </w:tc>
        <w:tc>
          <w:tcPr>
            <w:tcW w:w="2290" w:type="dxa"/>
            <w:tcBorders>
              <w:top w:val="double" w:sz="4" w:space="0" w:color="auto"/>
              <w:left w:val="single" w:sz="4" w:space="0" w:color="auto"/>
              <w:bottom w:val="single" w:sz="4" w:space="0" w:color="auto"/>
              <w:right w:val="single" w:sz="4" w:space="0" w:color="auto"/>
            </w:tcBorders>
            <w:shd w:val="clear" w:color="auto" w:fill="auto"/>
          </w:tcPr>
          <w:p w:rsidR="00413DBF" w:rsidRPr="00361E69" w:rsidRDefault="00413DBF" w:rsidP="006C35DA">
            <w:pPr>
              <w:tabs>
                <w:tab w:val="left" w:pos="709"/>
                <w:tab w:val="center" w:pos="1818"/>
              </w:tabs>
              <w:spacing w:before="60" w:after="60" w:line="240" w:lineRule="auto"/>
              <w:jc w:val="left"/>
              <w:rPr>
                <w:rFonts w:ascii="Arial" w:hAnsi="Arial" w:cs="Arial"/>
                <w:b/>
                <w:bCs/>
                <w:sz w:val="16"/>
                <w:szCs w:val="16"/>
              </w:rPr>
            </w:pPr>
            <w:r w:rsidRPr="1362A57E">
              <w:rPr>
                <w:rFonts w:ascii="Arial" w:hAnsi="Arial" w:cs="Arial"/>
                <w:b/>
                <w:bCs/>
                <w:sz w:val="16"/>
                <w:szCs w:val="16"/>
              </w:rPr>
              <w:t>Performance measures</w:t>
            </w:r>
          </w:p>
        </w:tc>
        <w:tc>
          <w:tcPr>
            <w:tcW w:w="3951" w:type="dxa"/>
            <w:tcBorders>
              <w:top w:val="double" w:sz="4" w:space="0" w:color="auto"/>
              <w:left w:val="single" w:sz="4" w:space="0" w:color="auto"/>
              <w:bottom w:val="single" w:sz="4" w:space="0" w:color="auto"/>
            </w:tcBorders>
            <w:shd w:val="clear" w:color="auto" w:fill="auto"/>
          </w:tcPr>
          <w:p w:rsidR="00413DBF" w:rsidRPr="00361E69" w:rsidRDefault="00413DBF" w:rsidP="00DB582A">
            <w:pPr>
              <w:tabs>
                <w:tab w:val="left" w:pos="709"/>
              </w:tabs>
              <w:spacing w:before="60" w:after="60" w:line="240" w:lineRule="auto"/>
              <w:jc w:val="left"/>
              <w:rPr>
                <w:rFonts w:ascii="Arial" w:hAnsi="Arial" w:cs="Arial"/>
                <w:b/>
                <w:bCs/>
                <w:sz w:val="16"/>
                <w:szCs w:val="16"/>
              </w:rPr>
            </w:pPr>
            <w:r w:rsidRPr="1362A57E">
              <w:rPr>
                <w:rFonts w:ascii="Arial" w:hAnsi="Arial" w:cs="Arial"/>
                <w:b/>
                <w:bCs/>
                <w:sz w:val="16"/>
                <w:szCs w:val="16"/>
              </w:rPr>
              <w:t>Expected Performance Results</w:t>
            </w:r>
          </w:p>
        </w:tc>
      </w:tr>
      <w:tr w:rsidR="00413DBF" w:rsidRPr="00D608AB" w:rsidTr="00C33F82">
        <w:trPr>
          <w:trHeight w:val="1999"/>
        </w:trPr>
        <w:tc>
          <w:tcPr>
            <w:tcW w:w="1414" w:type="dxa"/>
            <w:tcBorders>
              <w:top w:val="single" w:sz="4" w:space="0" w:color="auto"/>
              <w:right w:val="single" w:sz="4" w:space="0" w:color="auto"/>
            </w:tcBorders>
            <w:shd w:val="clear" w:color="auto" w:fill="auto"/>
          </w:tcPr>
          <w:p w:rsidR="00413DBF" w:rsidRPr="00361E69" w:rsidRDefault="00413DBF" w:rsidP="001079D3">
            <w:pPr>
              <w:tabs>
                <w:tab w:val="left" w:pos="709"/>
              </w:tabs>
              <w:spacing w:before="60" w:after="60" w:line="240" w:lineRule="auto"/>
              <w:jc w:val="left"/>
              <w:rPr>
                <w:rFonts w:ascii="Arial" w:hAnsi="Arial" w:cs="Arial"/>
                <w:sz w:val="16"/>
                <w:szCs w:val="16"/>
              </w:rPr>
            </w:pPr>
            <w:r w:rsidRPr="1362A57E">
              <w:rPr>
                <w:rFonts w:ascii="Arial" w:hAnsi="Arial" w:cs="Arial"/>
                <w:sz w:val="16"/>
                <w:szCs w:val="16"/>
              </w:rPr>
              <w:t>Current year 2021-22</w:t>
            </w:r>
          </w:p>
        </w:tc>
        <w:tc>
          <w:tcPr>
            <w:tcW w:w="2290" w:type="dxa"/>
            <w:tcBorders>
              <w:top w:val="single" w:sz="4" w:space="0" w:color="auto"/>
              <w:left w:val="single" w:sz="4" w:space="0" w:color="auto"/>
              <w:right w:val="single" w:sz="4" w:space="0" w:color="auto"/>
            </w:tcBorders>
            <w:shd w:val="clear" w:color="auto" w:fill="auto"/>
          </w:tcPr>
          <w:p w:rsidR="00413DBF" w:rsidRPr="001079D3" w:rsidRDefault="00413DBF" w:rsidP="006C35DA">
            <w:pPr>
              <w:tabs>
                <w:tab w:val="left" w:pos="709"/>
              </w:tabs>
              <w:spacing w:before="60" w:after="60" w:line="240" w:lineRule="auto"/>
              <w:jc w:val="left"/>
              <w:rPr>
                <w:rFonts w:ascii="Arial" w:eastAsia="Arial" w:hAnsi="Arial" w:cs="Arial"/>
                <w:b/>
                <w:bCs/>
                <w:sz w:val="16"/>
                <w:szCs w:val="16"/>
              </w:rPr>
            </w:pPr>
            <w:proofErr w:type="spellStart"/>
            <w:r w:rsidRPr="001079D3">
              <w:rPr>
                <w:rFonts w:ascii="Arial" w:eastAsia="Arial" w:hAnsi="Arial" w:cs="Arial"/>
                <w:b/>
                <w:bCs/>
                <w:sz w:val="16"/>
                <w:szCs w:val="16"/>
              </w:rPr>
              <w:t>GovTEAMS</w:t>
            </w:r>
            <w:proofErr w:type="spellEnd"/>
            <w:r w:rsidRPr="001079D3">
              <w:rPr>
                <w:rFonts w:ascii="Arial" w:eastAsia="Arial" w:hAnsi="Arial" w:cs="Arial"/>
                <w:b/>
                <w:bCs/>
                <w:sz w:val="16"/>
                <w:szCs w:val="16"/>
              </w:rPr>
              <w:t xml:space="preserve"> improves public sector productivity</w:t>
            </w:r>
          </w:p>
          <w:p w:rsidR="00413DBF" w:rsidRPr="001079D3" w:rsidRDefault="00413DBF" w:rsidP="006C35DA">
            <w:pPr>
              <w:tabs>
                <w:tab w:val="left" w:pos="709"/>
              </w:tabs>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Commonwealth entities and companies have access to </w:t>
            </w:r>
            <w:proofErr w:type="spellStart"/>
            <w:r w:rsidRPr="001079D3">
              <w:rPr>
                <w:rFonts w:ascii="Arial" w:eastAsia="Arial" w:hAnsi="Arial" w:cs="Arial"/>
                <w:sz w:val="16"/>
                <w:szCs w:val="16"/>
              </w:rPr>
              <w:t>GovTEAMS</w:t>
            </w:r>
            <w:proofErr w:type="spellEnd"/>
            <w:r w:rsidRPr="001079D3">
              <w:rPr>
                <w:rFonts w:ascii="Arial" w:eastAsia="Arial" w:hAnsi="Arial" w:cs="Arial"/>
                <w:sz w:val="16"/>
                <w:szCs w:val="16"/>
              </w:rPr>
              <w:t xml:space="preserve">, a new generation platform to provide a single environment for both internal and external collaboration across government.  </w:t>
            </w:r>
          </w:p>
        </w:tc>
        <w:tc>
          <w:tcPr>
            <w:tcW w:w="3951" w:type="dxa"/>
            <w:tcBorders>
              <w:top w:val="single" w:sz="4" w:space="0" w:color="auto"/>
              <w:left w:val="single" w:sz="4" w:space="0" w:color="auto"/>
            </w:tcBorders>
            <w:shd w:val="clear" w:color="auto" w:fill="auto"/>
          </w:tcPr>
          <w:p w:rsidR="00591826" w:rsidRPr="001079D3" w:rsidRDefault="00413DBF" w:rsidP="00DB582A">
            <w:pPr>
              <w:autoSpaceDE w:val="0"/>
              <w:autoSpaceDN w:val="0"/>
              <w:adjustRightInd w:val="0"/>
              <w:spacing w:before="60" w:after="60" w:line="240" w:lineRule="auto"/>
              <w:jc w:val="left"/>
              <w:rPr>
                <w:rFonts w:ascii="Arial" w:hAnsi="Arial" w:cs="Arial"/>
                <w:b/>
                <w:bCs/>
                <w:sz w:val="16"/>
                <w:szCs w:val="16"/>
                <w:lang w:eastAsia="en-US"/>
              </w:rPr>
            </w:pPr>
            <w:r w:rsidRPr="001079D3">
              <w:rPr>
                <w:rFonts w:ascii="Arial" w:hAnsi="Arial" w:cs="Arial"/>
                <w:b/>
                <w:bCs/>
                <w:sz w:val="16"/>
                <w:szCs w:val="16"/>
                <w:lang w:eastAsia="en-US"/>
              </w:rPr>
              <w:t>On Track</w:t>
            </w:r>
          </w:p>
          <w:p w:rsidR="00413DBF" w:rsidRPr="001079D3" w:rsidRDefault="00413DBF" w:rsidP="00DB582A">
            <w:pPr>
              <w:autoSpaceDE w:val="0"/>
              <w:autoSpaceDN w:val="0"/>
              <w:adjustRightInd w:val="0"/>
              <w:spacing w:before="60" w:after="60" w:line="240" w:lineRule="auto"/>
              <w:jc w:val="left"/>
              <w:rPr>
                <w:rFonts w:ascii="Arial" w:hAnsi="Arial" w:cs="Arial"/>
                <w:b/>
                <w:bCs/>
                <w:sz w:val="16"/>
                <w:szCs w:val="16"/>
                <w:lang w:eastAsia="en-US"/>
              </w:rPr>
            </w:pPr>
            <w:r w:rsidRPr="001079D3">
              <w:rPr>
                <w:rFonts w:ascii="Arial" w:hAnsi="Arial" w:cs="Arial"/>
                <w:bCs/>
                <w:sz w:val="16"/>
                <w:szCs w:val="16"/>
                <w:lang w:eastAsia="en-US"/>
              </w:rPr>
              <w:t>Set performance</w:t>
            </w:r>
            <w:r w:rsidRPr="001079D3">
              <w:rPr>
                <w:rFonts w:ascii="Arial" w:hAnsi="Arial" w:cs="Arial"/>
                <w:sz w:val="16"/>
                <w:szCs w:val="16"/>
              </w:rPr>
              <w:t xml:space="preserve"> targets are fully operational (99% of the time) and were achieved.</w:t>
            </w:r>
          </w:p>
          <w:p w:rsidR="00413DBF" w:rsidRPr="001079D3" w:rsidRDefault="00413DBF" w:rsidP="00DB582A">
            <w:pPr>
              <w:tabs>
                <w:tab w:val="left" w:pos="709"/>
              </w:tabs>
              <w:spacing w:before="60" w:after="60" w:line="240" w:lineRule="auto"/>
              <w:jc w:val="left"/>
              <w:rPr>
                <w:rFonts w:ascii="Arial" w:hAnsi="Arial" w:cs="Arial"/>
                <w:sz w:val="16"/>
                <w:szCs w:val="16"/>
              </w:rPr>
            </w:pPr>
            <w:r w:rsidRPr="001079D3">
              <w:rPr>
                <w:rFonts w:ascii="Arial" w:eastAsia="Arial" w:hAnsi="Arial" w:cs="Arial"/>
                <w:sz w:val="16"/>
                <w:szCs w:val="16"/>
              </w:rPr>
              <w:t>Target exceeded. Current registered users in excess of 145,000 (Target: 90,000 users).</w:t>
            </w:r>
          </w:p>
        </w:tc>
      </w:tr>
      <w:tr w:rsidR="001079D3" w:rsidRPr="00D608AB" w:rsidTr="001079D3">
        <w:trPr>
          <w:trHeight w:val="263"/>
        </w:trPr>
        <w:tc>
          <w:tcPr>
            <w:tcW w:w="1414" w:type="dxa"/>
            <w:tcBorders>
              <w:top w:val="single" w:sz="4" w:space="0" w:color="auto"/>
              <w:right w:val="single" w:sz="4" w:space="0" w:color="auto"/>
            </w:tcBorders>
            <w:shd w:val="clear" w:color="auto" w:fill="auto"/>
          </w:tcPr>
          <w:p w:rsidR="001079D3" w:rsidRPr="00361E69" w:rsidRDefault="001079D3" w:rsidP="001079D3">
            <w:pPr>
              <w:tabs>
                <w:tab w:val="left" w:pos="709"/>
              </w:tabs>
              <w:spacing w:before="60" w:after="60" w:line="240" w:lineRule="auto"/>
              <w:rPr>
                <w:rFonts w:ascii="Arial" w:hAnsi="Arial" w:cs="Arial"/>
                <w:sz w:val="16"/>
                <w:szCs w:val="16"/>
              </w:rPr>
            </w:pPr>
            <w:r w:rsidRPr="00361E69">
              <w:rPr>
                <w:rFonts w:ascii="Arial" w:hAnsi="Arial" w:cs="Arial"/>
                <w:b/>
                <w:sz w:val="16"/>
                <w:szCs w:val="16"/>
              </w:rPr>
              <w:t>Year</w:t>
            </w:r>
          </w:p>
        </w:tc>
        <w:tc>
          <w:tcPr>
            <w:tcW w:w="2290" w:type="dxa"/>
            <w:tcBorders>
              <w:top w:val="single" w:sz="4" w:space="0" w:color="auto"/>
              <w:left w:val="single" w:sz="4" w:space="0" w:color="auto"/>
              <w:right w:val="single" w:sz="4" w:space="0" w:color="auto"/>
            </w:tcBorders>
            <w:shd w:val="clear" w:color="auto" w:fill="auto"/>
          </w:tcPr>
          <w:p w:rsidR="001079D3" w:rsidRPr="001079D3" w:rsidRDefault="001079D3" w:rsidP="001079D3">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3951" w:type="dxa"/>
            <w:tcBorders>
              <w:top w:val="single" w:sz="4" w:space="0" w:color="auto"/>
              <w:left w:val="single" w:sz="4" w:space="0" w:color="auto"/>
            </w:tcBorders>
            <w:shd w:val="clear" w:color="auto" w:fill="auto"/>
          </w:tcPr>
          <w:p w:rsidR="001079D3" w:rsidRPr="001079D3" w:rsidRDefault="001079D3" w:rsidP="001079D3">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1079D3" w:rsidRPr="001536F6" w:rsidTr="00C33F82">
        <w:trPr>
          <w:trHeight w:val="1834"/>
        </w:trPr>
        <w:tc>
          <w:tcPr>
            <w:tcW w:w="1414" w:type="dxa"/>
            <w:tcBorders>
              <w:top w:val="single"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Budget Year 2022-23</w:t>
            </w:r>
          </w:p>
        </w:tc>
        <w:tc>
          <w:tcPr>
            <w:tcW w:w="2290" w:type="dxa"/>
            <w:tcBorders>
              <w:top w:val="single" w:sz="4" w:space="0" w:color="auto"/>
              <w:left w:val="single" w:sz="4" w:space="0" w:color="auto"/>
              <w:right w:val="single" w:sz="4" w:space="0" w:color="auto"/>
            </w:tcBorders>
          </w:tcPr>
          <w:p w:rsidR="001079D3" w:rsidRPr="001079D3" w:rsidRDefault="001079D3" w:rsidP="001079D3">
            <w:pPr>
              <w:autoSpaceDE w:val="0"/>
              <w:autoSpaceDN w:val="0"/>
              <w:spacing w:before="60" w:after="60" w:line="240" w:lineRule="auto"/>
              <w:jc w:val="left"/>
              <w:rPr>
                <w:rFonts w:ascii="Arial" w:eastAsia="Arial" w:hAnsi="Arial" w:cs="Arial"/>
                <w:b/>
                <w:bCs/>
                <w:sz w:val="16"/>
                <w:szCs w:val="16"/>
              </w:rPr>
            </w:pPr>
            <w:proofErr w:type="spellStart"/>
            <w:r w:rsidRPr="001079D3">
              <w:rPr>
                <w:rFonts w:ascii="Arial" w:eastAsia="Arial" w:hAnsi="Arial" w:cs="Arial"/>
                <w:b/>
                <w:bCs/>
                <w:sz w:val="16"/>
                <w:szCs w:val="16"/>
              </w:rPr>
              <w:t>GovTEAMS</w:t>
            </w:r>
            <w:proofErr w:type="spellEnd"/>
            <w:r w:rsidRPr="001079D3">
              <w:rPr>
                <w:rFonts w:ascii="Arial" w:eastAsia="Arial" w:hAnsi="Arial" w:cs="Arial"/>
                <w:b/>
                <w:bCs/>
                <w:sz w:val="16"/>
                <w:szCs w:val="16"/>
              </w:rPr>
              <w:t xml:space="preserve"> improves public sector productivity</w:t>
            </w:r>
          </w:p>
          <w:p w:rsidR="001079D3" w:rsidRPr="001079D3" w:rsidRDefault="001079D3" w:rsidP="001079D3">
            <w:pPr>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Commonwealth entities and companies have access to </w:t>
            </w:r>
            <w:proofErr w:type="spellStart"/>
            <w:r w:rsidRPr="001079D3">
              <w:rPr>
                <w:rFonts w:ascii="Arial" w:eastAsia="Arial" w:hAnsi="Arial" w:cs="Arial"/>
                <w:sz w:val="16"/>
                <w:szCs w:val="16"/>
              </w:rPr>
              <w:t>GovTEAMS</w:t>
            </w:r>
            <w:proofErr w:type="spellEnd"/>
            <w:r w:rsidRPr="001079D3">
              <w:rPr>
                <w:rFonts w:ascii="Arial" w:eastAsia="Arial" w:hAnsi="Arial" w:cs="Arial"/>
                <w:sz w:val="16"/>
                <w:szCs w:val="16"/>
              </w:rPr>
              <w:t xml:space="preserve">, a new generation platform to provide a single environment for both internal and external collaboration across government.  </w:t>
            </w:r>
          </w:p>
        </w:tc>
        <w:tc>
          <w:tcPr>
            <w:tcW w:w="3951" w:type="dxa"/>
            <w:tcBorders>
              <w:top w:val="single" w:sz="4" w:space="0" w:color="auto"/>
              <w:left w:val="single" w:sz="4" w:space="0" w:color="auto"/>
            </w:tcBorders>
          </w:tcPr>
          <w:p w:rsidR="001079D3" w:rsidRPr="001079D3" w:rsidRDefault="001079D3" w:rsidP="001079D3">
            <w:pPr>
              <w:autoSpaceDE w:val="0"/>
              <w:autoSpaceDN w:val="0"/>
              <w:spacing w:before="60" w:after="60" w:line="240" w:lineRule="auto"/>
              <w:jc w:val="left"/>
              <w:rPr>
                <w:rFonts w:ascii="Arial" w:eastAsia="Arial" w:hAnsi="Arial" w:cs="Arial"/>
                <w:sz w:val="16"/>
                <w:szCs w:val="16"/>
              </w:rPr>
            </w:pPr>
            <w:proofErr w:type="spellStart"/>
            <w:r w:rsidRPr="001079D3">
              <w:rPr>
                <w:rFonts w:ascii="Arial" w:eastAsia="Arial" w:hAnsi="Arial" w:cs="Arial"/>
                <w:sz w:val="16"/>
                <w:szCs w:val="16"/>
              </w:rPr>
              <w:t>GovTEAMS</w:t>
            </w:r>
            <w:proofErr w:type="spellEnd"/>
            <w:r w:rsidRPr="001079D3">
              <w:rPr>
                <w:rFonts w:ascii="Arial" w:eastAsia="Arial" w:hAnsi="Arial" w:cs="Arial"/>
                <w:sz w:val="16"/>
                <w:szCs w:val="16"/>
              </w:rPr>
              <w:t xml:space="preserve"> platform is fully operational in accordance with set performance targets (99%).</w:t>
            </w:r>
          </w:p>
          <w:p w:rsidR="001079D3" w:rsidRPr="001079D3" w:rsidRDefault="001079D3" w:rsidP="001079D3">
            <w:pPr>
              <w:autoSpaceDE w:val="0"/>
              <w:autoSpaceDN w:val="0"/>
              <w:spacing w:before="60" w:after="60" w:line="240" w:lineRule="auto"/>
              <w:jc w:val="left"/>
              <w:rPr>
                <w:rFonts w:ascii="Arial" w:hAnsi="Arial" w:cs="Arial"/>
                <w:i/>
                <w:iCs/>
                <w:sz w:val="16"/>
                <w:szCs w:val="16"/>
              </w:rPr>
            </w:pPr>
            <w:proofErr w:type="spellStart"/>
            <w:r w:rsidRPr="001079D3">
              <w:rPr>
                <w:rFonts w:ascii="Arial" w:eastAsia="Arial" w:hAnsi="Arial" w:cs="Arial"/>
                <w:sz w:val="16"/>
                <w:szCs w:val="16"/>
              </w:rPr>
              <w:t>GovTEAMS</w:t>
            </w:r>
            <w:proofErr w:type="spellEnd"/>
            <w:r w:rsidRPr="001079D3">
              <w:rPr>
                <w:rFonts w:ascii="Arial" w:eastAsia="Arial" w:hAnsi="Arial" w:cs="Arial"/>
                <w:sz w:val="16"/>
                <w:szCs w:val="16"/>
              </w:rPr>
              <w:t xml:space="preserve"> user adoption rates (&gt;145,000 registered users) exceed set performance targets (90,000 registered users).</w:t>
            </w:r>
          </w:p>
        </w:tc>
      </w:tr>
      <w:tr w:rsidR="001079D3" w:rsidRPr="001536F6" w:rsidTr="00C33F82">
        <w:trPr>
          <w:trHeight w:val="491"/>
        </w:trPr>
        <w:tc>
          <w:tcPr>
            <w:tcW w:w="1414" w:type="dxa"/>
            <w:tcBorders>
              <w:top w:val="dotted" w:sz="4" w:space="0" w:color="auto"/>
              <w:bottom w:val="dotted"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b/>
                <w:bCs/>
                <w:sz w:val="16"/>
                <w:szCs w:val="16"/>
              </w:rPr>
            </w:pPr>
            <w:r w:rsidRPr="001079D3">
              <w:rPr>
                <w:rFonts w:ascii="Arial" w:hAnsi="Arial" w:cs="Arial"/>
                <w:sz w:val="16"/>
                <w:szCs w:val="16"/>
              </w:rPr>
              <w:t xml:space="preserve">Forward Estimates </w:t>
            </w:r>
            <w:r>
              <w:rPr>
                <w:rFonts w:ascii="Arial" w:hAnsi="Arial" w:cs="Arial"/>
                <w:sz w:val="16"/>
                <w:szCs w:val="16"/>
              </w:rPr>
              <w:br/>
            </w:r>
            <w:r w:rsidRPr="001079D3">
              <w:rPr>
                <w:rFonts w:ascii="Arial" w:hAnsi="Arial" w:cs="Arial"/>
                <w:sz w:val="16"/>
                <w:szCs w:val="16"/>
              </w:rPr>
              <w:t>2023-26</w:t>
            </w:r>
          </w:p>
        </w:tc>
        <w:tc>
          <w:tcPr>
            <w:tcW w:w="2290" w:type="dxa"/>
            <w:tcBorders>
              <w:top w:val="dotted" w:sz="4" w:space="0" w:color="auto"/>
              <w:left w:val="single" w:sz="4" w:space="0" w:color="auto"/>
              <w:bottom w:val="dotted"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b/>
                <w:bCs/>
                <w:sz w:val="16"/>
                <w:szCs w:val="16"/>
              </w:rPr>
            </w:pPr>
            <w:r w:rsidRPr="001079D3">
              <w:rPr>
                <w:rFonts w:ascii="Arial" w:eastAsia="Arial" w:hAnsi="Arial" w:cs="Arial"/>
                <w:sz w:val="16"/>
                <w:szCs w:val="16"/>
              </w:rPr>
              <w:t>As per 2022-23.</w:t>
            </w:r>
          </w:p>
        </w:tc>
        <w:tc>
          <w:tcPr>
            <w:tcW w:w="3951" w:type="dxa"/>
            <w:tcBorders>
              <w:top w:val="dotted" w:sz="4" w:space="0" w:color="auto"/>
              <w:left w:val="single" w:sz="4" w:space="0" w:color="auto"/>
              <w:bottom w:val="dotted" w:sz="4" w:space="0" w:color="auto"/>
            </w:tcBorders>
          </w:tcPr>
          <w:p w:rsidR="001079D3" w:rsidRPr="001079D3" w:rsidRDefault="001079D3" w:rsidP="001079D3">
            <w:pPr>
              <w:tabs>
                <w:tab w:val="left" w:pos="709"/>
              </w:tabs>
              <w:spacing w:before="60" w:after="60" w:line="240" w:lineRule="auto"/>
              <w:jc w:val="left"/>
              <w:rPr>
                <w:rFonts w:ascii="Arial" w:hAnsi="Arial" w:cs="Arial"/>
                <w:b/>
                <w:bCs/>
                <w:sz w:val="16"/>
                <w:szCs w:val="16"/>
              </w:rPr>
            </w:pPr>
            <w:r w:rsidRPr="001079D3">
              <w:rPr>
                <w:rFonts w:ascii="Arial" w:eastAsia="Arial" w:hAnsi="Arial" w:cs="Arial"/>
                <w:sz w:val="16"/>
                <w:szCs w:val="16"/>
              </w:rPr>
              <w:t>As per 2022-23.</w:t>
            </w:r>
          </w:p>
        </w:tc>
      </w:tr>
      <w:tr w:rsidR="001079D3" w:rsidRPr="00361E69" w:rsidTr="00372EBB">
        <w:trPr>
          <w:trHeight w:val="291"/>
        </w:trPr>
        <w:tc>
          <w:tcPr>
            <w:tcW w:w="7655" w:type="dxa"/>
            <w:gridSpan w:val="3"/>
          </w:tcPr>
          <w:p w:rsidR="001079D3" w:rsidRPr="001079D3" w:rsidRDefault="001079D3" w:rsidP="001079D3">
            <w:pPr>
              <w:tabs>
                <w:tab w:val="left" w:pos="709"/>
              </w:tabs>
              <w:spacing w:before="60" w:after="60" w:line="240" w:lineRule="auto"/>
              <w:jc w:val="left"/>
              <w:rPr>
                <w:rFonts w:ascii="Arial" w:eastAsia="Cambria" w:hAnsi="Arial" w:cs="Arial"/>
                <w:bCs/>
                <w:iCs/>
                <w:spacing w:val="-6"/>
                <w:sz w:val="16"/>
                <w:szCs w:val="16"/>
              </w:rPr>
            </w:pPr>
            <w:r w:rsidRPr="001079D3">
              <w:rPr>
                <w:rFonts w:ascii="Arial" w:hAnsi="Arial" w:cs="Arial"/>
                <w:sz w:val="16"/>
                <w:szCs w:val="16"/>
              </w:rPr>
              <w:t>Material changes to Program 2.2 resulting from 2022-23 Budget Measures:</w:t>
            </w:r>
            <w:r w:rsidRPr="001079D3">
              <w:rPr>
                <w:rStyle w:val="BodyTextChar"/>
                <w:bCs/>
                <w:iCs/>
                <w:spacing w:val="-6"/>
                <w:sz w:val="16"/>
                <w:szCs w:val="16"/>
              </w:rPr>
              <w:t xml:space="preserve"> </w:t>
            </w:r>
            <w:r w:rsidRPr="001079D3">
              <w:rPr>
                <w:rFonts w:ascii="Arial" w:hAnsi="Arial" w:cs="Arial"/>
                <w:sz w:val="16"/>
                <w:szCs w:val="16"/>
              </w:rPr>
              <w:t>Nil</w:t>
            </w:r>
          </w:p>
        </w:tc>
      </w:tr>
    </w:tbl>
    <w:p w:rsidR="00A206A3" w:rsidRPr="00F61956" w:rsidRDefault="003D39FF" w:rsidP="00EC4613">
      <w:pPr>
        <w:pStyle w:val="TableHeading"/>
      </w:pPr>
      <w:r w:rsidRPr="00AE77A3">
        <w:rPr>
          <w:b w:val="0"/>
          <w:sz w:val="16"/>
        </w:rPr>
        <w:t>Table continues on next page</w:t>
      </w:r>
      <w:r w:rsidR="00A206A3">
        <w:br w:type="page"/>
      </w:r>
    </w:p>
    <w:p w:rsidR="00BE674A" w:rsidRDefault="00DC13D0" w:rsidP="00DC13D0">
      <w:pPr>
        <w:pStyle w:val="TableHeading"/>
        <w:rPr>
          <w:lang w:val="en-AU"/>
        </w:rPr>
      </w:pPr>
      <w:r>
        <w:lastRenderedPageBreak/>
        <w:t>Table 2.2</w:t>
      </w:r>
      <w:r w:rsidRPr="00F71634">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130"/>
        <w:gridCol w:w="4111"/>
      </w:tblGrid>
      <w:tr w:rsidR="00671517" w:rsidRPr="00361E69" w:rsidTr="00391C9E">
        <w:trPr>
          <w:trHeight w:val="522"/>
        </w:trPr>
        <w:tc>
          <w:tcPr>
            <w:tcW w:w="7655" w:type="dxa"/>
            <w:gridSpan w:val="3"/>
            <w:shd w:val="clear" w:color="auto" w:fill="F2F2F2"/>
          </w:tcPr>
          <w:p w:rsidR="00671517" w:rsidRPr="00777FAE" w:rsidRDefault="00671517" w:rsidP="00F67166">
            <w:pPr>
              <w:tabs>
                <w:tab w:val="left" w:pos="709"/>
              </w:tabs>
              <w:spacing w:before="60" w:after="60" w:line="240" w:lineRule="auto"/>
              <w:jc w:val="left"/>
              <w:rPr>
                <w:rFonts w:ascii="Arial" w:hAnsi="Arial" w:cs="Arial"/>
                <w:b/>
                <w:sz w:val="18"/>
                <w:szCs w:val="18"/>
              </w:rPr>
            </w:pPr>
            <w:r w:rsidRPr="00777FAE">
              <w:rPr>
                <w:rFonts w:ascii="Arial" w:hAnsi="Arial" w:cs="Arial"/>
                <w:b/>
                <w:sz w:val="18"/>
                <w:szCs w:val="18"/>
              </w:rPr>
              <w:t xml:space="preserve">Program 2.3 – </w:t>
            </w:r>
            <w:r w:rsidRPr="00777FAE">
              <w:rPr>
                <w:rFonts w:ascii="Arial" w:eastAsia="Arial" w:hAnsi="Arial" w:cs="Arial"/>
                <w:b/>
                <w:sz w:val="18"/>
                <w:szCs w:val="18"/>
              </w:rPr>
              <w:t>Property and Construction</w:t>
            </w:r>
          </w:p>
          <w:p w:rsidR="00671517" w:rsidRPr="00361E69" w:rsidRDefault="00671517" w:rsidP="00F67166">
            <w:pPr>
              <w:tabs>
                <w:tab w:val="left" w:pos="709"/>
              </w:tabs>
              <w:spacing w:before="60" w:after="60" w:line="240" w:lineRule="auto"/>
              <w:jc w:val="left"/>
              <w:rPr>
                <w:rFonts w:ascii="Arial" w:hAnsi="Arial" w:cs="Arial"/>
                <w:sz w:val="16"/>
                <w:szCs w:val="16"/>
              </w:rPr>
            </w:pPr>
            <w:r w:rsidRPr="00777FAE">
              <w:rPr>
                <w:rFonts w:ascii="Arial" w:eastAsia="Arial" w:hAnsi="Arial" w:cs="Arial"/>
                <w:sz w:val="18"/>
                <w:szCs w:val="18"/>
              </w:rPr>
              <w:t>This program contributes to the outcome by providing policy advice, guidance and support on managing Commonwealth property, land and public works across the Government; and managing specified major capital works projects and the government’s non-Defence property portfolio within Australia.</w:t>
            </w:r>
          </w:p>
        </w:tc>
      </w:tr>
      <w:tr w:rsidR="00671517" w:rsidRPr="00361E69" w:rsidTr="00025381">
        <w:trPr>
          <w:trHeight w:val="694"/>
        </w:trPr>
        <w:tc>
          <w:tcPr>
            <w:tcW w:w="1414" w:type="dxa"/>
            <w:tcBorders>
              <w:bottom w:val="double" w:sz="4" w:space="0" w:color="auto"/>
            </w:tcBorders>
          </w:tcPr>
          <w:p w:rsidR="00671517" w:rsidRPr="00361E69" w:rsidRDefault="00864F86" w:rsidP="00F67166">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6241" w:type="dxa"/>
            <w:gridSpan w:val="2"/>
            <w:tcBorders>
              <w:bottom w:val="double" w:sz="4" w:space="0" w:color="auto"/>
            </w:tcBorders>
          </w:tcPr>
          <w:p w:rsidR="00671517" w:rsidRPr="00361E69" w:rsidRDefault="00671517" w:rsidP="00F67166">
            <w:pPr>
              <w:tabs>
                <w:tab w:val="left" w:pos="709"/>
              </w:tabs>
              <w:spacing w:before="60" w:after="60" w:line="240" w:lineRule="auto"/>
              <w:rPr>
                <w:rFonts w:ascii="Arial" w:hAnsi="Arial" w:cs="Arial"/>
                <w:b/>
                <w:bCs/>
                <w:sz w:val="16"/>
                <w:szCs w:val="16"/>
              </w:rPr>
            </w:pPr>
            <w:r>
              <w:rPr>
                <w:rFonts w:ascii="Arial" w:hAnsi="Arial" w:cs="Arial"/>
                <w:b/>
                <w:bCs/>
                <w:sz w:val="16"/>
                <w:szCs w:val="16"/>
              </w:rPr>
              <w:t>Commonwealth property initiatives are efficient and effective</w:t>
            </w:r>
          </w:p>
          <w:p w:rsidR="00671517" w:rsidRPr="006C2E93" w:rsidRDefault="00671517" w:rsidP="00F67166">
            <w:pPr>
              <w:tabs>
                <w:tab w:val="left" w:pos="709"/>
              </w:tabs>
              <w:spacing w:before="60" w:after="60" w:line="240" w:lineRule="auto"/>
              <w:jc w:val="left"/>
              <w:rPr>
                <w:rFonts w:ascii="Arial" w:hAnsi="Arial" w:cs="Arial"/>
                <w:bCs/>
                <w:sz w:val="16"/>
                <w:szCs w:val="16"/>
              </w:rPr>
            </w:pPr>
            <w:r w:rsidRPr="000A3AC8">
              <w:rPr>
                <w:rFonts w:ascii="Arial" w:hAnsi="Arial" w:cs="Arial"/>
                <w:bCs/>
                <w:sz w:val="16"/>
                <w:szCs w:val="16"/>
              </w:rPr>
              <w:t>The management of Commonwealth property demonstrates best practice effectiveness in an evolving</w:t>
            </w:r>
            <w:r w:rsidR="006C2E93">
              <w:rPr>
                <w:rFonts w:ascii="Arial" w:hAnsi="Arial" w:cs="Arial"/>
                <w:bCs/>
                <w:sz w:val="16"/>
                <w:szCs w:val="16"/>
              </w:rPr>
              <w:t xml:space="preserve"> </w:t>
            </w:r>
            <w:r w:rsidRPr="000A3AC8">
              <w:rPr>
                <w:rFonts w:ascii="Arial" w:hAnsi="Arial" w:cs="Arial"/>
                <w:bCs/>
                <w:sz w:val="16"/>
                <w:szCs w:val="16"/>
              </w:rPr>
              <w:t>environment, and deliv</w:t>
            </w:r>
            <w:r w:rsidR="006C2E93">
              <w:rPr>
                <w:rFonts w:ascii="Arial" w:hAnsi="Arial" w:cs="Arial"/>
                <w:bCs/>
                <w:sz w:val="16"/>
                <w:szCs w:val="16"/>
              </w:rPr>
              <w:t xml:space="preserve">ers efficiencies in relation to </w:t>
            </w:r>
            <w:r w:rsidRPr="000A3AC8">
              <w:rPr>
                <w:rFonts w:ascii="Arial" w:hAnsi="Arial" w:cs="Arial"/>
                <w:bCs/>
                <w:sz w:val="16"/>
                <w:szCs w:val="16"/>
              </w:rPr>
              <w:t>leasing and faciliti</w:t>
            </w:r>
            <w:r w:rsidR="006C2E93">
              <w:rPr>
                <w:rFonts w:ascii="Arial" w:hAnsi="Arial" w:cs="Arial"/>
                <w:bCs/>
                <w:sz w:val="16"/>
                <w:szCs w:val="16"/>
              </w:rPr>
              <w:t xml:space="preserve">es management for non-corporate </w:t>
            </w:r>
            <w:r w:rsidRPr="000A3AC8">
              <w:rPr>
                <w:rFonts w:ascii="Arial" w:hAnsi="Arial" w:cs="Arial"/>
                <w:bCs/>
                <w:sz w:val="16"/>
                <w:szCs w:val="16"/>
              </w:rPr>
              <w:t>Commonwealth entities.</w:t>
            </w:r>
          </w:p>
        </w:tc>
      </w:tr>
      <w:tr w:rsidR="00671517" w:rsidRPr="00361E69" w:rsidTr="00F346CA">
        <w:trPr>
          <w:trHeight w:val="312"/>
        </w:trPr>
        <w:tc>
          <w:tcPr>
            <w:tcW w:w="1414" w:type="dxa"/>
            <w:tcBorders>
              <w:top w:val="double" w:sz="4" w:space="0" w:color="auto"/>
              <w:bottom w:val="single" w:sz="4" w:space="0" w:color="auto"/>
              <w:right w:val="single" w:sz="4" w:space="0" w:color="auto"/>
            </w:tcBorders>
          </w:tcPr>
          <w:p w:rsidR="00671517" w:rsidRPr="001777A1" w:rsidRDefault="00671517" w:rsidP="00F67166">
            <w:pPr>
              <w:tabs>
                <w:tab w:val="left" w:pos="709"/>
              </w:tabs>
              <w:spacing w:before="60" w:after="60" w:line="240" w:lineRule="auto"/>
              <w:jc w:val="left"/>
              <w:rPr>
                <w:rFonts w:ascii="Arial" w:hAnsi="Arial" w:cs="Arial"/>
                <w:b/>
                <w:sz w:val="16"/>
                <w:szCs w:val="16"/>
              </w:rPr>
            </w:pPr>
            <w:r w:rsidRPr="001777A1">
              <w:rPr>
                <w:rFonts w:ascii="Arial" w:hAnsi="Arial" w:cs="Arial"/>
                <w:b/>
                <w:sz w:val="16"/>
                <w:szCs w:val="16"/>
              </w:rPr>
              <w:t>Year</w:t>
            </w:r>
          </w:p>
        </w:tc>
        <w:tc>
          <w:tcPr>
            <w:tcW w:w="2130" w:type="dxa"/>
            <w:tcBorders>
              <w:top w:val="double" w:sz="4" w:space="0" w:color="auto"/>
              <w:left w:val="single" w:sz="4" w:space="0" w:color="auto"/>
              <w:bottom w:val="single" w:sz="4" w:space="0" w:color="auto"/>
              <w:right w:val="single" w:sz="4" w:space="0" w:color="auto"/>
            </w:tcBorders>
          </w:tcPr>
          <w:p w:rsidR="00671517" w:rsidRPr="001777A1" w:rsidRDefault="00671517" w:rsidP="00F67166">
            <w:pPr>
              <w:tabs>
                <w:tab w:val="left" w:pos="709"/>
                <w:tab w:val="center" w:pos="1818"/>
              </w:tabs>
              <w:spacing w:before="60" w:after="60" w:line="240" w:lineRule="auto"/>
              <w:jc w:val="left"/>
              <w:rPr>
                <w:rFonts w:ascii="Arial" w:hAnsi="Arial" w:cs="Arial"/>
                <w:b/>
                <w:sz w:val="16"/>
                <w:szCs w:val="16"/>
              </w:rPr>
            </w:pPr>
            <w:r w:rsidRPr="001777A1">
              <w:rPr>
                <w:rFonts w:ascii="Arial" w:hAnsi="Arial" w:cs="Arial"/>
                <w:b/>
                <w:sz w:val="16"/>
                <w:szCs w:val="16"/>
              </w:rPr>
              <w:t>Performance measures</w:t>
            </w:r>
          </w:p>
        </w:tc>
        <w:tc>
          <w:tcPr>
            <w:tcW w:w="4111" w:type="dxa"/>
            <w:tcBorders>
              <w:top w:val="double" w:sz="4" w:space="0" w:color="auto"/>
              <w:left w:val="single" w:sz="4" w:space="0" w:color="auto"/>
              <w:bottom w:val="single" w:sz="4" w:space="0" w:color="auto"/>
            </w:tcBorders>
          </w:tcPr>
          <w:p w:rsidR="00671517" w:rsidRPr="001777A1" w:rsidRDefault="00671517" w:rsidP="00F67166">
            <w:pPr>
              <w:tabs>
                <w:tab w:val="left" w:pos="709"/>
              </w:tabs>
              <w:spacing w:before="60" w:after="60" w:line="240" w:lineRule="auto"/>
              <w:jc w:val="left"/>
              <w:rPr>
                <w:rFonts w:ascii="Arial" w:hAnsi="Arial" w:cs="Arial"/>
                <w:b/>
                <w:sz w:val="16"/>
                <w:szCs w:val="16"/>
              </w:rPr>
            </w:pPr>
            <w:r w:rsidRPr="001777A1">
              <w:rPr>
                <w:rFonts w:ascii="Arial" w:hAnsi="Arial" w:cs="Arial"/>
                <w:b/>
                <w:sz w:val="16"/>
                <w:szCs w:val="16"/>
              </w:rPr>
              <w:t>Expected Performance Results</w:t>
            </w:r>
          </w:p>
        </w:tc>
      </w:tr>
      <w:tr w:rsidR="00671517" w:rsidRPr="00267C11" w:rsidTr="001079D3">
        <w:trPr>
          <w:trHeight w:val="3349"/>
        </w:trPr>
        <w:tc>
          <w:tcPr>
            <w:tcW w:w="1414" w:type="dxa"/>
            <w:tcBorders>
              <w:top w:val="single" w:sz="4" w:space="0" w:color="auto"/>
              <w:right w:val="single" w:sz="4" w:space="0" w:color="auto"/>
            </w:tcBorders>
          </w:tcPr>
          <w:p w:rsidR="00671517" w:rsidRPr="001079D3" w:rsidRDefault="00671517" w:rsidP="001079D3">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Current year 2021-22</w:t>
            </w:r>
          </w:p>
        </w:tc>
        <w:tc>
          <w:tcPr>
            <w:tcW w:w="2130" w:type="dxa"/>
            <w:tcBorders>
              <w:top w:val="single" w:sz="4" w:space="0" w:color="auto"/>
              <w:left w:val="single" w:sz="4" w:space="0" w:color="auto"/>
              <w:right w:val="single" w:sz="4" w:space="0" w:color="auto"/>
            </w:tcBorders>
          </w:tcPr>
          <w:p w:rsidR="00671517" w:rsidRPr="001079D3" w:rsidRDefault="00671517" w:rsidP="00F346CA">
            <w:pPr>
              <w:tabs>
                <w:tab w:val="left" w:pos="709"/>
              </w:tabs>
              <w:autoSpaceDE w:val="0"/>
              <w:autoSpaceDN w:val="0"/>
              <w:spacing w:before="60" w:after="60" w:line="240" w:lineRule="auto"/>
              <w:jc w:val="left"/>
              <w:rPr>
                <w:rFonts w:ascii="Arial" w:eastAsia="Arial" w:hAnsi="Arial" w:cs="Arial"/>
                <w:b/>
                <w:sz w:val="16"/>
                <w:szCs w:val="16"/>
              </w:rPr>
            </w:pPr>
            <w:r w:rsidRPr="001079D3">
              <w:rPr>
                <w:rFonts w:ascii="Arial" w:eastAsia="Arial" w:hAnsi="Arial" w:cs="Arial"/>
                <w:b/>
                <w:sz w:val="16"/>
                <w:szCs w:val="16"/>
              </w:rPr>
              <w:t>Commonwealth property initiatives are efficient and effective</w:t>
            </w:r>
          </w:p>
          <w:p w:rsidR="00671517" w:rsidRPr="001079D3" w:rsidRDefault="00671517" w:rsidP="00F346CA">
            <w:pPr>
              <w:tabs>
                <w:tab w:val="left" w:pos="709"/>
              </w:tabs>
              <w:autoSpaceDE w:val="0"/>
              <w:autoSpaceDN w:val="0"/>
              <w:spacing w:before="60" w:after="60" w:line="240" w:lineRule="auto"/>
              <w:jc w:val="left"/>
              <w:rPr>
                <w:rFonts w:ascii="Arial" w:eastAsia="Arial" w:hAnsi="Arial" w:cs="Arial"/>
                <w:sz w:val="16"/>
                <w:szCs w:val="16"/>
                <w:vertAlign w:val="superscript"/>
              </w:rPr>
            </w:pPr>
            <w:r w:rsidRPr="001079D3">
              <w:rPr>
                <w:rFonts w:ascii="Arial" w:eastAsia="Arial" w:hAnsi="Arial" w:cs="Arial"/>
                <w:sz w:val="16"/>
                <w:szCs w:val="16"/>
              </w:rPr>
              <w:t>The management of Commonwealth property demonstrates best practice effectiveness in an evolving environment, and delivers efficiencies in relati</w:t>
            </w:r>
            <w:r w:rsidR="002617F8" w:rsidRPr="001079D3">
              <w:rPr>
                <w:rFonts w:ascii="Arial" w:eastAsia="Arial" w:hAnsi="Arial" w:cs="Arial"/>
                <w:sz w:val="16"/>
                <w:szCs w:val="16"/>
              </w:rPr>
              <w:t xml:space="preserve">on to </w:t>
            </w:r>
            <w:r w:rsidRPr="001079D3">
              <w:rPr>
                <w:rFonts w:ascii="Arial" w:eastAsia="Arial" w:hAnsi="Arial" w:cs="Arial"/>
                <w:sz w:val="16"/>
                <w:szCs w:val="16"/>
              </w:rPr>
              <w:t>leasing and facilities management for non-corporate Commonwealth entities.</w:t>
            </w:r>
            <w:r w:rsidRPr="001079D3">
              <w:rPr>
                <w:rFonts w:ascii="Arial" w:eastAsia="Arial" w:hAnsi="Arial" w:cs="Arial"/>
                <w:sz w:val="16"/>
                <w:szCs w:val="16"/>
                <w:vertAlign w:val="superscript"/>
              </w:rPr>
              <w:t xml:space="preserve"> </w:t>
            </w:r>
          </w:p>
          <w:p w:rsidR="00671517" w:rsidRPr="001079D3" w:rsidRDefault="00671517" w:rsidP="00F67166">
            <w:pPr>
              <w:tabs>
                <w:tab w:val="left" w:pos="709"/>
              </w:tabs>
              <w:spacing w:before="60" w:after="60" w:line="240" w:lineRule="auto"/>
              <w:jc w:val="left"/>
              <w:rPr>
                <w:rFonts w:ascii="Arial" w:hAnsi="Arial" w:cs="Arial"/>
                <w:sz w:val="16"/>
                <w:szCs w:val="16"/>
              </w:rPr>
            </w:pPr>
          </w:p>
        </w:tc>
        <w:tc>
          <w:tcPr>
            <w:tcW w:w="4111" w:type="dxa"/>
            <w:tcBorders>
              <w:top w:val="single" w:sz="4" w:space="0" w:color="auto"/>
              <w:left w:val="single" w:sz="4" w:space="0" w:color="auto"/>
            </w:tcBorders>
          </w:tcPr>
          <w:p w:rsidR="00591826" w:rsidRPr="001079D3" w:rsidRDefault="00671517" w:rsidP="00F346CA">
            <w:pPr>
              <w:autoSpaceDE w:val="0"/>
              <w:autoSpaceDN w:val="0"/>
              <w:spacing w:before="60" w:after="60" w:line="240" w:lineRule="auto"/>
              <w:jc w:val="left"/>
              <w:rPr>
                <w:rFonts w:ascii="Arial" w:hAnsi="Arial" w:cs="Arial"/>
                <w:b/>
                <w:bCs/>
                <w:sz w:val="16"/>
                <w:szCs w:val="16"/>
                <w:lang w:eastAsia="en-US"/>
              </w:rPr>
            </w:pPr>
            <w:r w:rsidRPr="001079D3">
              <w:rPr>
                <w:rFonts w:ascii="Arial" w:hAnsi="Arial" w:cs="Arial"/>
                <w:b/>
                <w:bCs/>
                <w:sz w:val="16"/>
                <w:szCs w:val="16"/>
                <w:lang w:eastAsia="en-US"/>
              </w:rPr>
              <w:t>On Track</w:t>
            </w:r>
          </w:p>
          <w:p w:rsidR="00553688" w:rsidRPr="001079D3" w:rsidRDefault="00671517" w:rsidP="00F346CA">
            <w:pPr>
              <w:autoSpaceDE w:val="0"/>
              <w:autoSpaceDN w:val="0"/>
              <w:spacing w:before="60" w:after="60" w:line="240" w:lineRule="auto"/>
              <w:jc w:val="left"/>
              <w:rPr>
                <w:rFonts w:ascii="Arial" w:hAnsi="Arial" w:cs="Arial"/>
                <w:sz w:val="16"/>
                <w:szCs w:val="16"/>
                <w:lang w:eastAsia="en-US"/>
              </w:rPr>
            </w:pPr>
            <w:r w:rsidRPr="001079D3">
              <w:rPr>
                <w:rFonts w:ascii="Arial" w:hAnsi="Arial" w:cs="Arial"/>
                <w:bCs/>
                <w:sz w:val="16"/>
                <w:szCs w:val="16"/>
                <w:lang w:eastAsia="en-US"/>
              </w:rPr>
              <w:t>The national occupational</w:t>
            </w:r>
            <w:r w:rsidRPr="001079D3">
              <w:rPr>
                <w:rFonts w:ascii="Arial" w:hAnsi="Arial" w:cs="Arial"/>
                <w:sz w:val="16"/>
                <w:szCs w:val="16"/>
              </w:rPr>
              <w:t xml:space="preserve"> density </w:t>
            </w:r>
            <w:r w:rsidRPr="001079D3">
              <w:rPr>
                <w:rFonts w:ascii="Arial" w:hAnsi="Arial" w:cs="Arial"/>
                <w:bCs/>
                <w:sz w:val="16"/>
                <w:szCs w:val="16"/>
              </w:rPr>
              <w:t>has decreased</w:t>
            </w:r>
            <w:r w:rsidRPr="001079D3">
              <w:rPr>
                <w:rFonts w:ascii="Arial" w:hAnsi="Arial" w:cs="Arial"/>
                <w:sz w:val="16"/>
                <w:szCs w:val="16"/>
              </w:rPr>
              <w:t xml:space="preserve"> from 15.1 m</w:t>
            </w:r>
            <w:r w:rsidRPr="001079D3">
              <w:rPr>
                <w:rFonts w:ascii="Arial" w:hAnsi="Arial" w:cs="Arial"/>
                <w:sz w:val="16"/>
                <w:szCs w:val="16"/>
                <w:vertAlign w:val="superscript"/>
              </w:rPr>
              <w:t>2</w:t>
            </w:r>
            <w:r w:rsidRPr="001079D3">
              <w:rPr>
                <w:rFonts w:ascii="Arial" w:hAnsi="Arial" w:cs="Arial"/>
                <w:sz w:val="16"/>
                <w:szCs w:val="16"/>
              </w:rPr>
              <w:t xml:space="preserve"> in 2020</w:t>
            </w:r>
            <w:r w:rsidRPr="001079D3">
              <w:rPr>
                <w:rFonts w:ascii="Arial" w:hAnsi="Arial" w:cs="Arial"/>
                <w:bCs/>
                <w:sz w:val="16"/>
                <w:szCs w:val="16"/>
              </w:rPr>
              <w:t xml:space="preserve"> to 14.7 m</w:t>
            </w:r>
            <w:r w:rsidRPr="001079D3">
              <w:rPr>
                <w:rFonts w:ascii="Arial" w:hAnsi="Arial" w:cs="Arial"/>
                <w:bCs/>
                <w:sz w:val="16"/>
                <w:szCs w:val="16"/>
                <w:vertAlign w:val="superscript"/>
              </w:rPr>
              <w:t>2</w:t>
            </w:r>
            <w:r w:rsidRPr="001079D3">
              <w:rPr>
                <w:rFonts w:ascii="Arial" w:hAnsi="Arial" w:cs="Arial"/>
                <w:bCs/>
                <w:sz w:val="16"/>
                <w:szCs w:val="16"/>
              </w:rPr>
              <w:t xml:space="preserve"> in 2021</w:t>
            </w:r>
            <w:r w:rsidRPr="001079D3">
              <w:rPr>
                <w:rFonts w:ascii="Arial" w:hAnsi="Arial" w:cs="Arial"/>
                <w:sz w:val="16"/>
                <w:szCs w:val="16"/>
              </w:rPr>
              <w:t xml:space="preserve">, and the percentage of </w:t>
            </w:r>
            <w:r w:rsidRPr="001079D3">
              <w:rPr>
                <w:rFonts w:ascii="Arial" w:hAnsi="Arial" w:cs="Arial"/>
                <w:bCs/>
                <w:sz w:val="16"/>
                <w:szCs w:val="16"/>
              </w:rPr>
              <w:t>tenancies</w:t>
            </w:r>
            <w:r w:rsidRPr="001079D3">
              <w:rPr>
                <w:rFonts w:ascii="Arial" w:hAnsi="Arial" w:cs="Arial"/>
                <w:sz w:val="16"/>
                <w:szCs w:val="16"/>
              </w:rPr>
              <w:t xml:space="preserve"> meeting the occupational density target </w:t>
            </w:r>
            <w:r w:rsidRPr="001079D3">
              <w:rPr>
                <w:rFonts w:ascii="Arial" w:hAnsi="Arial" w:cs="Arial"/>
                <w:bCs/>
                <w:sz w:val="16"/>
                <w:szCs w:val="16"/>
              </w:rPr>
              <w:t>has</w:t>
            </w:r>
            <w:r w:rsidRPr="001079D3">
              <w:rPr>
                <w:rFonts w:ascii="Arial" w:hAnsi="Arial" w:cs="Arial"/>
                <w:sz w:val="16"/>
                <w:szCs w:val="16"/>
              </w:rPr>
              <w:t xml:space="preserve"> increased from 40.1% </w:t>
            </w:r>
            <w:r w:rsidRPr="001079D3">
              <w:rPr>
                <w:rFonts w:ascii="Arial" w:hAnsi="Arial" w:cs="Arial"/>
                <w:bCs/>
                <w:sz w:val="16"/>
                <w:szCs w:val="16"/>
              </w:rPr>
              <w:t xml:space="preserve">in 2020 to 43.6% in 2021. </w:t>
            </w:r>
            <w:r w:rsidRPr="001079D3">
              <w:rPr>
                <w:rFonts w:ascii="Arial" w:hAnsi="Arial" w:cs="Arial"/>
                <w:sz w:val="16"/>
                <w:szCs w:val="16"/>
                <w:lang w:eastAsia="en-US"/>
              </w:rPr>
              <w:t>The work-point vacancy rate has reduced, from 8.8% in 2020 to 7.4% in 2021.</w:t>
            </w:r>
          </w:p>
          <w:p w:rsidR="00474B5A" w:rsidRPr="001079D3" w:rsidRDefault="00671517" w:rsidP="00F346CA">
            <w:pPr>
              <w:autoSpaceDE w:val="0"/>
              <w:autoSpaceDN w:val="0"/>
              <w:spacing w:before="60" w:after="60" w:line="240" w:lineRule="auto"/>
              <w:jc w:val="left"/>
              <w:rPr>
                <w:rFonts w:ascii="Arial" w:hAnsi="Arial" w:cs="Arial"/>
                <w:bCs/>
                <w:sz w:val="16"/>
                <w:szCs w:val="16"/>
              </w:rPr>
            </w:pPr>
            <w:r w:rsidRPr="001079D3">
              <w:rPr>
                <w:rFonts w:ascii="Arial" w:hAnsi="Arial" w:cs="Arial"/>
                <w:sz w:val="16"/>
                <w:szCs w:val="16"/>
                <w:lang w:eastAsia="en-US"/>
              </w:rPr>
              <w:t>Despite most leases including</w:t>
            </w:r>
            <w:r w:rsidRPr="001079D3">
              <w:rPr>
                <w:rFonts w:ascii="Arial" w:hAnsi="Arial" w:cs="Arial"/>
                <w:bCs/>
                <w:sz w:val="16"/>
                <w:szCs w:val="16"/>
              </w:rPr>
              <w:t xml:space="preserve"> an annual escalation, in line with market norms, cost</w:t>
            </w:r>
            <w:r w:rsidRPr="001079D3">
              <w:rPr>
                <w:rFonts w:ascii="Arial" w:hAnsi="Arial" w:cs="Arial"/>
                <w:sz w:val="16"/>
                <w:szCs w:val="16"/>
              </w:rPr>
              <w:t xml:space="preserve"> indicators for </w:t>
            </w:r>
            <w:r w:rsidRPr="001079D3">
              <w:rPr>
                <w:rFonts w:ascii="Arial" w:hAnsi="Arial" w:cs="Arial"/>
                <w:bCs/>
                <w:sz w:val="16"/>
                <w:szCs w:val="16"/>
              </w:rPr>
              <w:t>2021 only increased marginally</w:t>
            </w:r>
            <w:r w:rsidRPr="001079D3">
              <w:rPr>
                <w:rFonts w:ascii="Arial" w:hAnsi="Arial" w:cs="Arial"/>
                <w:sz w:val="16"/>
                <w:szCs w:val="16"/>
              </w:rPr>
              <w:t>, with the national cost per m</w:t>
            </w:r>
            <w:r w:rsidRPr="001079D3">
              <w:rPr>
                <w:rFonts w:ascii="Arial" w:hAnsi="Arial" w:cs="Arial"/>
                <w:sz w:val="16"/>
                <w:szCs w:val="16"/>
                <w:vertAlign w:val="superscript"/>
              </w:rPr>
              <w:t>2</w:t>
            </w:r>
            <w:r w:rsidRPr="001079D3">
              <w:rPr>
                <w:rFonts w:ascii="Arial" w:hAnsi="Arial" w:cs="Arial"/>
                <w:sz w:val="16"/>
                <w:szCs w:val="16"/>
              </w:rPr>
              <w:t xml:space="preserve"> increasing by $</w:t>
            </w:r>
            <w:r w:rsidRPr="001079D3">
              <w:rPr>
                <w:rFonts w:ascii="Arial" w:hAnsi="Arial" w:cs="Arial"/>
                <w:bCs/>
                <w:sz w:val="16"/>
                <w:szCs w:val="16"/>
              </w:rPr>
              <w:t>15</w:t>
            </w:r>
            <w:r w:rsidRPr="001079D3">
              <w:rPr>
                <w:rFonts w:ascii="Arial" w:hAnsi="Arial" w:cs="Arial"/>
                <w:sz w:val="16"/>
                <w:szCs w:val="16"/>
              </w:rPr>
              <w:t xml:space="preserve"> per m</w:t>
            </w:r>
            <w:r w:rsidRPr="001079D3">
              <w:rPr>
                <w:rFonts w:ascii="Arial" w:hAnsi="Arial" w:cs="Arial"/>
                <w:sz w:val="16"/>
                <w:szCs w:val="16"/>
                <w:vertAlign w:val="superscript"/>
              </w:rPr>
              <w:t>2</w:t>
            </w:r>
            <w:r w:rsidRPr="001079D3">
              <w:rPr>
                <w:rFonts w:ascii="Arial" w:hAnsi="Arial" w:cs="Arial"/>
                <w:sz w:val="16"/>
                <w:szCs w:val="16"/>
              </w:rPr>
              <w:t xml:space="preserve"> in </w:t>
            </w:r>
            <w:r w:rsidRPr="001079D3">
              <w:rPr>
                <w:rFonts w:ascii="Arial" w:hAnsi="Arial" w:cs="Arial"/>
                <w:bCs/>
                <w:sz w:val="16"/>
                <w:szCs w:val="16"/>
              </w:rPr>
              <w:t>2021,</w:t>
            </w:r>
            <w:r w:rsidRPr="001079D3">
              <w:rPr>
                <w:rFonts w:ascii="Arial" w:hAnsi="Arial" w:cs="Arial"/>
                <w:sz w:val="16"/>
                <w:szCs w:val="16"/>
              </w:rPr>
              <w:t xml:space="preserve"> to $</w:t>
            </w:r>
            <w:r w:rsidRPr="001079D3">
              <w:rPr>
                <w:rFonts w:ascii="Arial" w:hAnsi="Arial" w:cs="Arial"/>
                <w:bCs/>
                <w:sz w:val="16"/>
                <w:szCs w:val="16"/>
              </w:rPr>
              <w:t xml:space="preserve">496 </w:t>
            </w:r>
            <w:r w:rsidRPr="001079D3">
              <w:rPr>
                <w:rFonts w:ascii="Arial" w:hAnsi="Arial" w:cs="Arial"/>
                <w:sz w:val="16"/>
                <w:szCs w:val="16"/>
              </w:rPr>
              <w:t>per m</w:t>
            </w:r>
            <w:r w:rsidRPr="001079D3">
              <w:rPr>
                <w:rFonts w:ascii="Arial" w:hAnsi="Arial" w:cs="Arial"/>
                <w:sz w:val="16"/>
                <w:szCs w:val="16"/>
                <w:vertAlign w:val="superscript"/>
              </w:rPr>
              <w:t>2</w:t>
            </w:r>
            <w:r w:rsidRPr="001079D3">
              <w:rPr>
                <w:rFonts w:ascii="Arial" w:hAnsi="Arial" w:cs="Arial"/>
                <w:sz w:val="16"/>
                <w:szCs w:val="16"/>
              </w:rPr>
              <w:t>.</w:t>
            </w:r>
            <w:r w:rsidRPr="001079D3">
              <w:rPr>
                <w:rFonts w:ascii="Arial" w:hAnsi="Arial" w:cs="Arial"/>
                <w:bCs/>
                <w:sz w:val="16"/>
                <w:szCs w:val="16"/>
              </w:rPr>
              <w:t xml:space="preserve">  </w:t>
            </w:r>
          </w:p>
          <w:p w:rsidR="00671517" w:rsidRPr="001079D3" w:rsidRDefault="00671517" w:rsidP="00F346CA">
            <w:pPr>
              <w:autoSpaceDE w:val="0"/>
              <w:autoSpaceDN w:val="0"/>
              <w:spacing w:before="60" w:after="60" w:line="240" w:lineRule="auto"/>
              <w:jc w:val="left"/>
              <w:rPr>
                <w:rFonts w:ascii="Arial" w:hAnsi="Arial" w:cs="Arial"/>
                <w:bCs/>
                <w:sz w:val="16"/>
                <w:szCs w:val="16"/>
              </w:rPr>
            </w:pPr>
            <w:r w:rsidRPr="001079D3">
              <w:rPr>
                <w:rFonts w:ascii="Arial" w:hAnsi="Arial" w:cs="Arial"/>
                <w:sz w:val="16"/>
                <w:szCs w:val="16"/>
              </w:rPr>
              <w:t>The Whole-of-Australian-Government Property Services Coordinated Procurement Arrangements continue to deliver efficiencies for entities, with Property Service Providers (PSPs) collectively exceeding the Property Operating Expense savings targets over the duration of the Deed.</w:t>
            </w:r>
          </w:p>
        </w:tc>
      </w:tr>
      <w:tr w:rsidR="001079D3" w:rsidRPr="00267C11" w:rsidTr="001079D3">
        <w:trPr>
          <w:trHeight w:val="269"/>
        </w:trPr>
        <w:tc>
          <w:tcPr>
            <w:tcW w:w="1414" w:type="dxa"/>
            <w:tcBorders>
              <w:top w:val="single" w:sz="4" w:space="0" w:color="auto"/>
              <w:right w:val="single" w:sz="4" w:space="0" w:color="auto"/>
            </w:tcBorders>
          </w:tcPr>
          <w:p w:rsidR="001079D3" w:rsidRPr="001079D3" w:rsidRDefault="001079D3" w:rsidP="001079D3">
            <w:pPr>
              <w:tabs>
                <w:tab w:val="left" w:pos="709"/>
              </w:tabs>
              <w:spacing w:before="60" w:after="60" w:line="240" w:lineRule="auto"/>
              <w:rPr>
                <w:rFonts w:ascii="Arial" w:hAnsi="Arial" w:cs="Arial"/>
                <w:sz w:val="16"/>
                <w:szCs w:val="16"/>
              </w:rPr>
            </w:pPr>
            <w:r w:rsidRPr="001079D3">
              <w:rPr>
                <w:rFonts w:ascii="Arial" w:hAnsi="Arial" w:cs="Arial"/>
                <w:b/>
                <w:sz w:val="16"/>
                <w:szCs w:val="16"/>
              </w:rPr>
              <w:t>Year</w:t>
            </w:r>
          </w:p>
        </w:tc>
        <w:tc>
          <w:tcPr>
            <w:tcW w:w="2130" w:type="dxa"/>
            <w:tcBorders>
              <w:top w:val="single" w:sz="4" w:space="0" w:color="auto"/>
              <w:left w:val="single" w:sz="4" w:space="0" w:color="auto"/>
              <w:right w:val="single" w:sz="4" w:space="0" w:color="auto"/>
            </w:tcBorders>
          </w:tcPr>
          <w:p w:rsidR="001079D3" w:rsidRPr="001079D3" w:rsidRDefault="001079D3" w:rsidP="001079D3">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4111" w:type="dxa"/>
            <w:tcBorders>
              <w:top w:val="single" w:sz="4" w:space="0" w:color="auto"/>
              <w:left w:val="single" w:sz="4" w:space="0" w:color="auto"/>
            </w:tcBorders>
          </w:tcPr>
          <w:p w:rsidR="001079D3" w:rsidRPr="001079D3" w:rsidRDefault="001079D3" w:rsidP="001079D3">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1079D3" w:rsidRPr="003B2445" w:rsidTr="00025381">
        <w:trPr>
          <w:trHeight w:val="1699"/>
        </w:trPr>
        <w:tc>
          <w:tcPr>
            <w:tcW w:w="1414" w:type="dxa"/>
            <w:tcBorders>
              <w:top w:val="single"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Budget Year  2022-23</w:t>
            </w:r>
          </w:p>
        </w:tc>
        <w:tc>
          <w:tcPr>
            <w:tcW w:w="2130" w:type="dxa"/>
            <w:tcBorders>
              <w:top w:val="single" w:sz="4" w:space="0" w:color="auto"/>
              <w:left w:val="single" w:sz="4" w:space="0" w:color="auto"/>
              <w:right w:val="single" w:sz="4" w:space="0" w:color="auto"/>
            </w:tcBorders>
          </w:tcPr>
          <w:p w:rsidR="001079D3" w:rsidRPr="001079D3" w:rsidRDefault="001079D3" w:rsidP="001079D3">
            <w:pPr>
              <w:tabs>
                <w:tab w:val="left" w:pos="709"/>
              </w:tabs>
              <w:autoSpaceDE w:val="0"/>
              <w:autoSpaceDN w:val="0"/>
              <w:spacing w:before="60" w:after="60" w:line="240" w:lineRule="auto"/>
              <w:jc w:val="left"/>
              <w:rPr>
                <w:rFonts w:ascii="Arial" w:eastAsia="Arial" w:hAnsi="Arial" w:cs="Arial"/>
                <w:b/>
                <w:sz w:val="16"/>
                <w:szCs w:val="16"/>
              </w:rPr>
            </w:pPr>
            <w:r w:rsidRPr="001079D3">
              <w:rPr>
                <w:rFonts w:ascii="Arial" w:eastAsia="Arial" w:hAnsi="Arial" w:cs="Arial"/>
                <w:b/>
                <w:sz w:val="16"/>
                <w:szCs w:val="16"/>
              </w:rPr>
              <w:t>Commonwealth property initiatives are efficient and effective</w:t>
            </w:r>
          </w:p>
          <w:p w:rsidR="001079D3" w:rsidRPr="001079D3" w:rsidRDefault="001079D3" w:rsidP="001079D3">
            <w:pPr>
              <w:tabs>
                <w:tab w:val="left" w:pos="709"/>
              </w:tabs>
              <w:autoSpaceDE w:val="0"/>
              <w:autoSpaceDN w:val="0"/>
              <w:spacing w:before="60" w:after="60" w:line="240" w:lineRule="auto"/>
              <w:jc w:val="left"/>
              <w:rPr>
                <w:rFonts w:ascii="Arial" w:eastAsia="Arial" w:hAnsi="Arial" w:cs="Arial"/>
                <w:sz w:val="16"/>
                <w:szCs w:val="16"/>
                <w:vertAlign w:val="superscript"/>
              </w:rPr>
            </w:pPr>
            <w:r w:rsidRPr="001079D3">
              <w:rPr>
                <w:rFonts w:ascii="Arial" w:eastAsia="Arial" w:hAnsi="Arial" w:cs="Arial"/>
                <w:sz w:val="16"/>
                <w:szCs w:val="16"/>
              </w:rPr>
              <w:t>The management of Commonwealth property demonstrates best practice effectiveness in an evolving environment, and delivers efficiencies in relation to leasing and facilities management for non-corporate Commonwealth entities.</w:t>
            </w:r>
            <w:r w:rsidRPr="001079D3">
              <w:rPr>
                <w:rFonts w:ascii="Arial" w:eastAsia="Arial" w:hAnsi="Arial" w:cs="Arial"/>
                <w:sz w:val="16"/>
                <w:szCs w:val="16"/>
                <w:vertAlign w:val="superscript"/>
              </w:rPr>
              <w:t xml:space="preserve"> </w:t>
            </w:r>
          </w:p>
        </w:tc>
        <w:tc>
          <w:tcPr>
            <w:tcW w:w="4111" w:type="dxa"/>
            <w:tcBorders>
              <w:top w:val="single" w:sz="4" w:space="0" w:color="auto"/>
              <w:left w:val="single" w:sz="4" w:space="0" w:color="auto"/>
            </w:tcBorders>
          </w:tcPr>
          <w:p w:rsidR="001079D3" w:rsidRPr="001079D3" w:rsidRDefault="001079D3" w:rsidP="001079D3">
            <w:pPr>
              <w:autoSpaceDE w:val="0"/>
              <w:autoSpaceDN w:val="0"/>
              <w:spacing w:before="60" w:after="60" w:line="240" w:lineRule="auto"/>
              <w:jc w:val="left"/>
              <w:rPr>
                <w:rFonts w:ascii="Arial" w:eastAsia="Arial" w:hAnsi="Arial" w:cs="Arial"/>
                <w:sz w:val="16"/>
                <w:szCs w:val="16"/>
                <w:lang w:eastAsia="en-US"/>
              </w:rPr>
            </w:pPr>
            <w:r w:rsidRPr="001079D3">
              <w:rPr>
                <w:rFonts w:ascii="Arial" w:eastAsia="Arial" w:hAnsi="Arial" w:cs="Arial"/>
                <w:sz w:val="16"/>
                <w:szCs w:val="16"/>
              </w:rPr>
              <w:t xml:space="preserve">Property efficiencies are delivered through the </w:t>
            </w:r>
            <w:proofErr w:type="spellStart"/>
            <w:r w:rsidRPr="001079D3">
              <w:rPr>
                <w:rFonts w:ascii="Arial" w:eastAsia="Arial" w:hAnsi="Arial" w:cs="Arial"/>
                <w:sz w:val="16"/>
                <w:szCs w:val="16"/>
                <w:lang w:eastAsia="en-US"/>
              </w:rPr>
              <w:t>WoAG</w:t>
            </w:r>
            <w:proofErr w:type="spellEnd"/>
            <w:r w:rsidRPr="001079D3">
              <w:rPr>
                <w:rFonts w:ascii="Arial" w:eastAsia="Arial" w:hAnsi="Arial" w:cs="Arial"/>
                <w:sz w:val="16"/>
                <w:szCs w:val="16"/>
                <w:lang w:eastAsia="en-US"/>
              </w:rPr>
              <w:t xml:space="preserve"> PSCP Arrangements for leasing and facilities management.</w:t>
            </w:r>
          </w:p>
          <w:p w:rsidR="001079D3" w:rsidRPr="001079D3" w:rsidRDefault="001079D3" w:rsidP="001079D3">
            <w:pPr>
              <w:autoSpaceDE w:val="0"/>
              <w:autoSpaceDN w:val="0"/>
              <w:spacing w:before="60" w:after="60" w:line="240" w:lineRule="auto"/>
              <w:jc w:val="left"/>
              <w:rPr>
                <w:rFonts w:ascii="Arial" w:hAnsi="Arial" w:cs="Arial"/>
                <w:i/>
                <w:sz w:val="16"/>
                <w:szCs w:val="16"/>
              </w:rPr>
            </w:pPr>
            <w:r w:rsidRPr="001079D3">
              <w:rPr>
                <w:rFonts w:ascii="Arial" w:eastAsia="Arial" w:hAnsi="Arial" w:cs="Arial"/>
                <w:sz w:val="16"/>
                <w:szCs w:val="16"/>
                <w:lang w:eastAsia="en-US"/>
              </w:rPr>
              <w:t>Finance's stewardship, policy advice, engagement and guidance on Commonwealth property management is effective.</w:t>
            </w:r>
          </w:p>
        </w:tc>
      </w:tr>
      <w:tr w:rsidR="001079D3" w:rsidRPr="003B2445" w:rsidTr="00025381">
        <w:trPr>
          <w:trHeight w:val="491"/>
        </w:trPr>
        <w:tc>
          <w:tcPr>
            <w:tcW w:w="1414" w:type="dxa"/>
            <w:tcBorders>
              <w:top w:val="dotted" w:sz="4" w:space="0" w:color="auto"/>
              <w:bottom w:val="single" w:sz="4" w:space="0" w:color="auto"/>
              <w:right w:val="single" w:sz="4" w:space="0" w:color="auto"/>
            </w:tcBorders>
          </w:tcPr>
          <w:p w:rsidR="001079D3" w:rsidRPr="001079D3" w:rsidRDefault="001079D3" w:rsidP="001079D3">
            <w:pPr>
              <w:pStyle w:val="TableTextBase"/>
              <w:rPr>
                <w:rFonts w:cs="Arial"/>
                <w:b/>
                <w:sz w:val="16"/>
                <w:szCs w:val="16"/>
              </w:rPr>
            </w:pPr>
            <w:r w:rsidRPr="001079D3">
              <w:rPr>
                <w:rFonts w:cs="Arial"/>
                <w:sz w:val="16"/>
                <w:szCs w:val="16"/>
              </w:rPr>
              <w:t xml:space="preserve">Forward Estimates </w:t>
            </w:r>
            <w:r>
              <w:rPr>
                <w:rFonts w:cs="Arial"/>
                <w:sz w:val="16"/>
                <w:szCs w:val="16"/>
              </w:rPr>
              <w:br/>
            </w:r>
            <w:r w:rsidRPr="001079D3">
              <w:rPr>
                <w:rFonts w:cs="Arial"/>
                <w:sz w:val="16"/>
                <w:szCs w:val="16"/>
              </w:rPr>
              <w:t>2023-26</w:t>
            </w:r>
          </w:p>
        </w:tc>
        <w:tc>
          <w:tcPr>
            <w:tcW w:w="2130" w:type="dxa"/>
            <w:tcBorders>
              <w:top w:val="dotted" w:sz="4" w:space="0" w:color="auto"/>
              <w:left w:val="single" w:sz="4" w:space="0" w:color="auto"/>
              <w:bottom w:val="single" w:sz="4" w:space="0" w:color="auto"/>
              <w:right w:val="single" w:sz="4" w:space="0" w:color="auto"/>
            </w:tcBorders>
          </w:tcPr>
          <w:p w:rsidR="001079D3" w:rsidRPr="001079D3" w:rsidRDefault="001079D3" w:rsidP="001079D3">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c>
          <w:tcPr>
            <w:tcW w:w="4111" w:type="dxa"/>
            <w:tcBorders>
              <w:top w:val="dotted" w:sz="4" w:space="0" w:color="auto"/>
              <w:left w:val="single" w:sz="4" w:space="0" w:color="auto"/>
              <w:bottom w:val="single" w:sz="4" w:space="0" w:color="auto"/>
            </w:tcBorders>
          </w:tcPr>
          <w:p w:rsidR="001079D3" w:rsidRPr="001079D3" w:rsidRDefault="001079D3" w:rsidP="001079D3">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r>
      <w:tr w:rsidR="001079D3" w:rsidRPr="00361E69" w:rsidTr="0045637B">
        <w:trPr>
          <w:trHeight w:val="291"/>
        </w:trPr>
        <w:tc>
          <w:tcPr>
            <w:tcW w:w="7655" w:type="dxa"/>
            <w:gridSpan w:val="3"/>
            <w:tcBorders>
              <w:bottom w:val="single" w:sz="4" w:space="0" w:color="auto"/>
            </w:tcBorders>
          </w:tcPr>
          <w:p w:rsidR="001079D3" w:rsidRPr="001079D3" w:rsidRDefault="001079D3" w:rsidP="001079D3">
            <w:pPr>
              <w:tabs>
                <w:tab w:val="left" w:pos="709"/>
              </w:tabs>
              <w:spacing w:before="60" w:after="60" w:line="240" w:lineRule="auto"/>
              <w:jc w:val="left"/>
              <w:rPr>
                <w:rFonts w:ascii="Arial" w:eastAsia="Cambria" w:hAnsi="Arial" w:cs="Arial"/>
                <w:bCs/>
                <w:iCs/>
                <w:spacing w:val="-6"/>
                <w:sz w:val="16"/>
                <w:szCs w:val="16"/>
              </w:rPr>
            </w:pPr>
            <w:r w:rsidRPr="001079D3">
              <w:rPr>
                <w:rFonts w:ascii="Arial" w:hAnsi="Arial" w:cs="Arial"/>
                <w:sz w:val="16"/>
                <w:szCs w:val="16"/>
              </w:rPr>
              <w:t>Material changes to Program 2.3 resulting from 2022-23 Budget Measures:</w:t>
            </w:r>
            <w:r w:rsidRPr="001079D3">
              <w:rPr>
                <w:rStyle w:val="BodyTextChar"/>
                <w:rFonts w:ascii="Arial" w:hAnsi="Arial" w:cs="Arial"/>
                <w:bCs/>
                <w:iCs/>
                <w:spacing w:val="-6"/>
                <w:sz w:val="16"/>
                <w:szCs w:val="16"/>
              </w:rPr>
              <w:t xml:space="preserve"> </w:t>
            </w:r>
            <w:r w:rsidRPr="001079D3">
              <w:rPr>
                <w:rFonts w:ascii="Arial" w:hAnsi="Arial" w:cs="Arial"/>
                <w:sz w:val="16"/>
                <w:szCs w:val="16"/>
              </w:rPr>
              <w:t>Nil</w:t>
            </w:r>
          </w:p>
        </w:tc>
      </w:tr>
    </w:tbl>
    <w:p w:rsidR="0045637B" w:rsidRPr="00AE77A3" w:rsidRDefault="0045637B" w:rsidP="0045637B">
      <w:pPr>
        <w:pStyle w:val="TableHeading"/>
        <w:rPr>
          <w:b w:val="0"/>
        </w:rPr>
      </w:pPr>
      <w:r w:rsidRPr="00AE77A3">
        <w:rPr>
          <w:b w:val="0"/>
          <w:sz w:val="16"/>
        </w:rPr>
        <w:t>Table continues on next page</w:t>
      </w:r>
    </w:p>
    <w:p w:rsidR="00391C9E" w:rsidRPr="00391C9E" w:rsidRDefault="00391C9E" w:rsidP="00391C9E">
      <w:pPr>
        <w:rPr>
          <w:lang w:val="x-none" w:eastAsia="x-none"/>
        </w:rPr>
      </w:pPr>
    </w:p>
    <w:p w:rsidR="00A206A3" w:rsidRDefault="006F751E" w:rsidP="00671517">
      <w:pPr>
        <w:pStyle w:val="TableHeading"/>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sidRPr="00EF3E32">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291"/>
        <w:gridCol w:w="3948"/>
      </w:tblGrid>
      <w:tr w:rsidR="00557563" w:rsidRPr="00361E69" w:rsidTr="00C80C3E">
        <w:trPr>
          <w:trHeight w:val="522"/>
          <w:tblHeader/>
        </w:trPr>
        <w:tc>
          <w:tcPr>
            <w:tcW w:w="7654" w:type="dxa"/>
            <w:gridSpan w:val="3"/>
            <w:shd w:val="clear" w:color="auto" w:fill="F2F2F2"/>
          </w:tcPr>
          <w:p w:rsidR="00557563" w:rsidRPr="00777FAE" w:rsidRDefault="00557563" w:rsidP="00040B2E">
            <w:pPr>
              <w:tabs>
                <w:tab w:val="left" w:pos="709"/>
              </w:tabs>
              <w:spacing w:before="60" w:after="60" w:line="240" w:lineRule="auto"/>
              <w:rPr>
                <w:rFonts w:ascii="Arial" w:hAnsi="Arial" w:cs="Arial"/>
                <w:b/>
                <w:sz w:val="18"/>
                <w:szCs w:val="18"/>
              </w:rPr>
            </w:pPr>
            <w:r w:rsidRPr="00777FAE">
              <w:rPr>
                <w:rFonts w:ascii="Arial" w:hAnsi="Arial" w:cs="Arial"/>
                <w:b/>
                <w:sz w:val="18"/>
                <w:szCs w:val="18"/>
              </w:rPr>
              <w:t xml:space="preserve">Program 2.4 – </w:t>
            </w:r>
            <w:r w:rsidRPr="00777FAE">
              <w:rPr>
                <w:rFonts w:ascii="Arial" w:eastAsia="Arial" w:hAnsi="Arial" w:cs="Arial"/>
                <w:b/>
                <w:sz w:val="18"/>
                <w:szCs w:val="18"/>
              </w:rPr>
              <w:t>Insurance and Risk Management</w:t>
            </w:r>
          </w:p>
          <w:p w:rsidR="00557563" w:rsidRPr="00361E69" w:rsidRDefault="00557563" w:rsidP="00040B2E">
            <w:pPr>
              <w:tabs>
                <w:tab w:val="left" w:pos="709"/>
              </w:tabs>
              <w:spacing w:before="60" w:after="60" w:line="240" w:lineRule="auto"/>
              <w:jc w:val="left"/>
              <w:rPr>
                <w:rFonts w:ascii="Arial" w:hAnsi="Arial" w:cs="Arial"/>
                <w:sz w:val="16"/>
                <w:szCs w:val="16"/>
              </w:rPr>
            </w:pPr>
            <w:r w:rsidRPr="00777FAE">
              <w:rPr>
                <w:rFonts w:ascii="Arial" w:eastAsia="Arial" w:hAnsi="Arial" w:cs="Arial"/>
                <w:sz w:val="18"/>
                <w:szCs w:val="18"/>
              </w:rPr>
              <w:t xml:space="preserve">This program contributes to the outcome by providing general insurance services and promoting risk management across the Government through the </w:t>
            </w:r>
            <w:proofErr w:type="spellStart"/>
            <w:r w:rsidRPr="00777FAE">
              <w:rPr>
                <w:rFonts w:ascii="Arial" w:eastAsia="Arial" w:hAnsi="Arial" w:cs="Arial"/>
                <w:sz w:val="18"/>
                <w:szCs w:val="18"/>
              </w:rPr>
              <w:t>Comcover</w:t>
            </w:r>
            <w:proofErr w:type="spellEnd"/>
            <w:r w:rsidRPr="00777FAE">
              <w:rPr>
                <w:rFonts w:ascii="Arial" w:eastAsia="Arial" w:hAnsi="Arial" w:cs="Arial"/>
                <w:sz w:val="18"/>
                <w:szCs w:val="18"/>
              </w:rPr>
              <w:t xml:space="preserve"> Special Account.</w:t>
            </w:r>
          </w:p>
        </w:tc>
      </w:tr>
      <w:tr w:rsidR="00557563" w:rsidRPr="00361E69" w:rsidTr="00C80C3E">
        <w:trPr>
          <w:trHeight w:val="694"/>
        </w:trPr>
        <w:tc>
          <w:tcPr>
            <w:tcW w:w="1417" w:type="dxa"/>
            <w:tcBorders>
              <w:bottom w:val="double" w:sz="4" w:space="0" w:color="auto"/>
            </w:tcBorders>
          </w:tcPr>
          <w:p w:rsidR="00557563" w:rsidRDefault="002D7A39" w:rsidP="00040B2E">
            <w:pPr>
              <w:tabs>
                <w:tab w:val="left" w:pos="709"/>
              </w:tabs>
              <w:spacing w:before="60" w:after="60" w:line="240" w:lineRule="auto"/>
              <w:rPr>
                <w:rFonts w:ascii="Arial" w:hAnsi="Arial" w:cs="Arial"/>
                <w:b/>
                <w:sz w:val="16"/>
                <w:szCs w:val="16"/>
              </w:rPr>
            </w:pPr>
            <w:r>
              <w:rPr>
                <w:rFonts w:ascii="Arial" w:hAnsi="Arial" w:cs="Arial"/>
                <w:b/>
                <w:sz w:val="16"/>
                <w:szCs w:val="16"/>
              </w:rPr>
              <w:t>Key Activities</w:t>
            </w:r>
          </w:p>
          <w:p w:rsidR="002D7A39" w:rsidRPr="00361E69" w:rsidRDefault="002D7A39" w:rsidP="00040B2E">
            <w:pPr>
              <w:tabs>
                <w:tab w:val="left" w:pos="709"/>
              </w:tabs>
              <w:spacing w:before="60" w:after="60" w:line="240" w:lineRule="auto"/>
              <w:rPr>
                <w:rFonts w:ascii="Arial" w:hAnsi="Arial" w:cs="Arial"/>
                <w:b/>
                <w:sz w:val="16"/>
                <w:szCs w:val="16"/>
              </w:rPr>
            </w:pPr>
          </w:p>
        </w:tc>
        <w:tc>
          <w:tcPr>
            <w:tcW w:w="6237" w:type="dxa"/>
            <w:gridSpan w:val="2"/>
            <w:tcBorders>
              <w:bottom w:val="double" w:sz="4" w:space="0" w:color="auto"/>
            </w:tcBorders>
          </w:tcPr>
          <w:p w:rsidR="00557563" w:rsidRDefault="00557563" w:rsidP="00040B2E">
            <w:pPr>
              <w:tabs>
                <w:tab w:val="left" w:pos="709"/>
              </w:tabs>
              <w:spacing w:before="60" w:after="60" w:line="240" w:lineRule="auto"/>
              <w:jc w:val="left"/>
              <w:rPr>
                <w:rFonts w:ascii="Arial" w:hAnsi="Arial" w:cs="Arial"/>
                <w:b/>
                <w:bCs/>
                <w:sz w:val="16"/>
                <w:szCs w:val="16"/>
              </w:rPr>
            </w:pPr>
            <w:r w:rsidRPr="00875FE3">
              <w:rPr>
                <w:rFonts w:ascii="Arial" w:hAnsi="Arial" w:cs="Arial"/>
                <w:b/>
                <w:bCs/>
                <w:sz w:val="16"/>
                <w:szCs w:val="16"/>
              </w:rPr>
              <w:t>Provide insurance and risk management support for</w:t>
            </w:r>
            <w:r>
              <w:rPr>
                <w:rFonts w:ascii="Arial" w:hAnsi="Arial" w:cs="Arial"/>
                <w:b/>
                <w:bCs/>
                <w:sz w:val="16"/>
                <w:szCs w:val="16"/>
              </w:rPr>
              <w:t xml:space="preserve"> </w:t>
            </w:r>
            <w:r w:rsidRPr="00875FE3">
              <w:rPr>
                <w:rFonts w:ascii="Arial" w:hAnsi="Arial" w:cs="Arial"/>
                <w:b/>
                <w:bCs/>
                <w:sz w:val="16"/>
                <w:szCs w:val="16"/>
              </w:rPr>
              <w:t>Commonwealth entities</w:t>
            </w:r>
          </w:p>
          <w:p w:rsidR="00557563" w:rsidRPr="00361E69" w:rsidRDefault="00556329" w:rsidP="00040B2E">
            <w:pPr>
              <w:tabs>
                <w:tab w:val="left" w:pos="709"/>
              </w:tabs>
              <w:spacing w:before="60" w:after="60" w:line="240" w:lineRule="auto"/>
              <w:jc w:val="left"/>
              <w:rPr>
                <w:rFonts w:ascii="Arial" w:hAnsi="Arial" w:cs="Arial"/>
                <w:i/>
                <w:sz w:val="16"/>
                <w:szCs w:val="16"/>
              </w:rPr>
            </w:pPr>
            <w:r w:rsidRPr="00556329">
              <w:rPr>
                <w:rFonts w:ascii="Arial" w:hAnsi="Arial" w:cs="Arial"/>
                <w:bCs/>
                <w:sz w:val="16"/>
                <w:szCs w:val="16"/>
              </w:rPr>
              <w:t xml:space="preserve">Support best practice risk management and protect Commonwealth entities against insurable </w:t>
            </w:r>
            <w:r w:rsidR="009571D2" w:rsidRPr="00556329">
              <w:rPr>
                <w:rFonts w:ascii="Arial" w:hAnsi="Arial" w:cs="Arial"/>
                <w:bCs/>
                <w:sz w:val="16"/>
                <w:szCs w:val="16"/>
              </w:rPr>
              <w:t>losses through</w:t>
            </w:r>
            <w:r w:rsidRPr="00556329">
              <w:rPr>
                <w:rFonts w:ascii="Arial" w:hAnsi="Arial" w:cs="Arial"/>
                <w:bCs/>
                <w:sz w:val="16"/>
                <w:szCs w:val="16"/>
              </w:rPr>
              <w:t xml:space="preserve"> the Government’s self-managed insurance fund, </w:t>
            </w:r>
            <w:proofErr w:type="spellStart"/>
            <w:r w:rsidRPr="00556329">
              <w:rPr>
                <w:rFonts w:ascii="Arial" w:hAnsi="Arial" w:cs="Arial"/>
                <w:bCs/>
                <w:sz w:val="16"/>
                <w:szCs w:val="16"/>
              </w:rPr>
              <w:t>Comcover</w:t>
            </w:r>
            <w:proofErr w:type="spellEnd"/>
            <w:r w:rsidR="009571D2" w:rsidRPr="00556329">
              <w:rPr>
                <w:rFonts w:ascii="Arial" w:hAnsi="Arial" w:cs="Arial"/>
                <w:bCs/>
                <w:sz w:val="16"/>
                <w:szCs w:val="16"/>
              </w:rPr>
              <w:t>.</w:t>
            </w:r>
          </w:p>
        </w:tc>
      </w:tr>
      <w:tr w:rsidR="00557563" w:rsidRPr="00361E69" w:rsidTr="00F06C4E">
        <w:trPr>
          <w:trHeight w:val="312"/>
        </w:trPr>
        <w:tc>
          <w:tcPr>
            <w:tcW w:w="1417" w:type="dxa"/>
            <w:tcBorders>
              <w:top w:val="double" w:sz="4" w:space="0" w:color="auto"/>
              <w:bottom w:val="single" w:sz="4" w:space="0" w:color="auto"/>
              <w:right w:val="single" w:sz="4" w:space="0" w:color="auto"/>
            </w:tcBorders>
          </w:tcPr>
          <w:p w:rsidR="00557563" w:rsidRPr="00361E69" w:rsidRDefault="00557563" w:rsidP="00040B2E">
            <w:pPr>
              <w:tabs>
                <w:tab w:val="left" w:pos="709"/>
              </w:tabs>
              <w:spacing w:before="60" w:after="60" w:line="240" w:lineRule="auto"/>
              <w:rPr>
                <w:rFonts w:ascii="Arial" w:hAnsi="Arial" w:cs="Arial"/>
                <w:b/>
                <w:sz w:val="16"/>
                <w:szCs w:val="16"/>
              </w:rPr>
            </w:pPr>
            <w:r w:rsidRPr="00361E69">
              <w:rPr>
                <w:rFonts w:ascii="Arial" w:hAnsi="Arial" w:cs="Arial"/>
                <w:b/>
                <w:sz w:val="16"/>
                <w:szCs w:val="16"/>
              </w:rPr>
              <w:t>Year</w:t>
            </w:r>
          </w:p>
        </w:tc>
        <w:tc>
          <w:tcPr>
            <w:tcW w:w="2292" w:type="dxa"/>
            <w:tcBorders>
              <w:top w:val="double" w:sz="4" w:space="0" w:color="auto"/>
              <w:left w:val="single" w:sz="4" w:space="0" w:color="auto"/>
              <w:bottom w:val="single" w:sz="4" w:space="0" w:color="auto"/>
              <w:right w:val="single" w:sz="4" w:space="0" w:color="auto"/>
            </w:tcBorders>
          </w:tcPr>
          <w:p w:rsidR="00557563" w:rsidRPr="00361E69" w:rsidRDefault="00557563" w:rsidP="00040B2E">
            <w:pPr>
              <w:tabs>
                <w:tab w:val="left" w:pos="709"/>
                <w:tab w:val="center" w:pos="1818"/>
              </w:tabs>
              <w:spacing w:before="60" w:after="60" w:line="240" w:lineRule="auto"/>
              <w:rPr>
                <w:rFonts w:ascii="Arial" w:hAnsi="Arial" w:cs="Arial"/>
                <w:b/>
                <w:sz w:val="16"/>
                <w:szCs w:val="16"/>
              </w:rPr>
            </w:pPr>
            <w:r w:rsidRPr="00361E69">
              <w:rPr>
                <w:rFonts w:ascii="Arial" w:hAnsi="Arial" w:cs="Arial"/>
                <w:b/>
                <w:sz w:val="16"/>
                <w:szCs w:val="16"/>
              </w:rPr>
              <w:t>Performance measures</w:t>
            </w:r>
          </w:p>
        </w:tc>
        <w:tc>
          <w:tcPr>
            <w:tcW w:w="3945" w:type="dxa"/>
            <w:tcBorders>
              <w:top w:val="double" w:sz="4" w:space="0" w:color="auto"/>
              <w:left w:val="single" w:sz="4" w:space="0" w:color="auto"/>
              <w:bottom w:val="single" w:sz="4" w:space="0" w:color="auto"/>
            </w:tcBorders>
          </w:tcPr>
          <w:p w:rsidR="00557563" w:rsidRPr="00361E69" w:rsidRDefault="00557563" w:rsidP="00040B2E">
            <w:pPr>
              <w:tabs>
                <w:tab w:val="left" w:pos="709"/>
              </w:tabs>
              <w:spacing w:before="60" w:after="60" w:line="240" w:lineRule="auto"/>
              <w:rPr>
                <w:rFonts w:ascii="Arial" w:hAnsi="Arial" w:cs="Arial"/>
                <w:b/>
                <w:sz w:val="16"/>
                <w:szCs w:val="16"/>
              </w:rPr>
            </w:pPr>
            <w:r w:rsidRPr="00361E69">
              <w:rPr>
                <w:rFonts w:ascii="Arial" w:hAnsi="Arial" w:cs="Arial"/>
                <w:b/>
                <w:sz w:val="16"/>
                <w:szCs w:val="16"/>
              </w:rPr>
              <w:t>Expected Performance Results</w:t>
            </w:r>
          </w:p>
        </w:tc>
      </w:tr>
      <w:tr w:rsidR="00557563" w:rsidRPr="009F0A2E" w:rsidTr="00C80C3E">
        <w:trPr>
          <w:trHeight w:val="2527"/>
        </w:trPr>
        <w:tc>
          <w:tcPr>
            <w:tcW w:w="1417" w:type="dxa"/>
            <w:tcBorders>
              <w:top w:val="single" w:sz="4" w:space="0" w:color="auto"/>
              <w:right w:val="single" w:sz="4" w:space="0" w:color="auto"/>
            </w:tcBorders>
          </w:tcPr>
          <w:p w:rsidR="00557563" w:rsidRPr="00361E69" w:rsidRDefault="00557563" w:rsidP="001079D3">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p>
        </w:tc>
        <w:tc>
          <w:tcPr>
            <w:tcW w:w="2292" w:type="dxa"/>
            <w:tcBorders>
              <w:top w:val="single" w:sz="4" w:space="0" w:color="auto"/>
              <w:left w:val="single" w:sz="4" w:space="0" w:color="auto"/>
              <w:right w:val="single" w:sz="4" w:space="0" w:color="auto"/>
            </w:tcBorders>
          </w:tcPr>
          <w:p w:rsidR="00557563" w:rsidRPr="001079D3" w:rsidRDefault="00557563" w:rsidP="00040B2E">
            <w:pPr>
              <w:tabs>
                <w:tab w:val="left" w:pos="709"/>
              </w:tabs>
              <w:suppressAutoHyphens/>
              <w:spacing w:before="60" w:after="60" w:line="240" w:lineRule="auto"/>
              <w:jc w:val="left"/>
              <w:rPr>
                <w:rFonts w:ascii="Arial" w:eastAsia="Arial" w:hAnsi="Arial" w:cs="Arial"/>
                <w:b/>
                <w:sz w:val="16"/>
                <w:szCs w:val="16"/>
              </w:rPr>
            </w:pPr>
            <w:r w:rsidRPr="001079D3">
              <w:rPr>
                <w:rFonts w:ascii="Arial" w:eastAsia="Arial" w:hAnsi="Arial" w:cs="Arial"/>
                <w:b/>
                <w:sz w:val="16"/>
                <w:szCs w:val="16"/>
              </w:rPr>
              <w:t>Treatment of insurable risks and claims management</w:t>
            </w:r>
          </w:p>
          <w:p w:rsidR="00557563" w:rsidRPr="001079D3" w:rsidRDefault="00557563" w:rsidP="00040B2E">
            <w:pPr>
              <w:tabs>
                <w:tab w:val="left" w:pos="709"/>
              </w:tabs>
              <w:suppressAutoHyphens/>
              <w:spacing w:before="60" w:after="60" w:line="240" w:lineRule="auto"/>
              <w:jc w:val="left"/>
              <w:rPr>
                <w:rFonts w:ascii="Arial" w:eastAsia="Arial" w:hAnsi="Arial" w:cs="Arial"/>
                <w:sz w:val="16"/>
                <w:szCs w:val="16"/>
                <w:vertAlign w:val="superscript"/>
              </w:rPr>
            </w:pPr>
            <w:proofErr w:type="spellStart"/>
            <w:r w:rsidRPr="001079D3">
              <w:rPr>
                <w:rFonts w:ascii="Arial" w:eastAsia="Arial" w:hAnsi="Arial" w:cs="Arial"/>
                <w:sz w:val="16"/>
                <w:szCs w:val="16"/>
              </w:rPr>
              <w:t>Comcover</w:t>
            </w:r>
            <w:proofErr w:type="spellEnd"/>
            <w:r w:rsidRPr="001079D3">
              <w:rPr>
                <w:rFonts w:ascii="Arial" w:eastAsia="Arial" w:hAnsi="Arial" w:cs="Arial"/>
                <w:sz w:val="16"/>
                <w:szCs w:val="16"/>
              </w:rPr>
              <w:t xml:space="preserve"> is effectively managed to</w:t>
            </w:r>
            <w:r w:rsidR="00762EEE" w:rsidRPr="001079D3">
              <w:rPr>
                <w:rFonts w:ascii="Arial" w:eastAsia="Arial" w:hAnsi="Arial" w:cs="Arial"/>
                <w:sz w:val="16"/>
                <w:szCs w:val="16"/>
              </w:rPr>
              <w:t xml:space="preserve"> ensure the fund is financially </w:t>
            </w:r>
            <w:r w:rsidRPr="001079D3">
              <w:rPr>
                <w:rFonts w:ascii="Arial" w:eastAsia="Arial" w:hAnsi="Arial" w:cs="Arial"/>
                <w:sz w:val="16"/>
                <w:szCs w:val="16"/>
              </w:rPr>
              <w:t xml:space="preserve">sustainable, there is a consistent, </w:t>
            </w:r>
            <w:proofErr w:type="spellStart"/>
            <w:r w:rsidRPr="001079D3">
              <w:rPr>
                <w:rFonts w:ascii="Arial" w:eastAsia="Arial" w:hAnsi="Arial" w:cs="Arial"/>
                <w:sz w:val="16"/>
                <w:szCs w:val="16"/>
              </w:rPr>
              <w:t>WoAG</w:t>
            </w:r>
            <w:proofErr w:type="spellEnd"/>
            <w:r w:rsidRPr="001079D3">
              <w:rPr>
                <w:rFonts w:ascii="Arial" w:eastAsia="Arial" w:hAnsi="Arial" w:cs="Arial"/>
                <w:sz w:val="16"/>
                <w:szCs w:val="16"/>
              </w:rPr>
              <w:t xml:space="preserve"> approach to the management of claims and </w:t>
            </w:r>
            <w:proofErr w:type="spellStart"/>
            <w:r w:rsidRPr="001079D3">
              <w:rPr>
                <w:rFonts w:ascii="Arial" w:eastAsia="Arial" w:hAnsi="Arial" w:cs="Arial"/>
                <w:sz w:val="16"/>
                <w:szCs w:val="16"/>
              </w:rPr>
              <w:t>Comcover</w:t>
            </w:r>
            <w:proofErr w:type="spellEnd"/>
            <w:r w:rsidRPr="001079D3">
              <w:rPr>
                <w:rFonts w:ascii="Arial" w:eastAsia="Arial" w:hAnsi="Arial" w:cs="Arial"/>
                <w:sz w:val="16"/>
                <w:szCs w:val="16"/>
              </w:rPr>
              <w:t xml:space="preserve"> supports the improvement of risk maturity in General Government Sector entities over time.</w:t>
            </w:r>
          </w:p>
          <w:p w:rsidR="00557563" w:rsidRPr="001079D3" w:rsidRDefault="00557563" w:rsidP="00040B2E">
            <w:pPr>
              <w:tabs>
                <w:tab w:val="left" w:pos="709"/>
              </w:tabs>
              <w:spacing w:before="60" w:after="60" w:line="240" w:lineRule="auto"/>
              <w:jc w:val="left"/>
              <w:rPr>
                <w:rFonts w:ascii="Arial" w:hAnsi="Arial" w:cs="Arial"/>
              </w:rPr>
            </w:pPr>
          </w:p>
        </w:tc>
        <w:tc>
          <w:tcPr>
            <w:tcW w:w="3945" w:type="dxa"/>
            <w:tcBorders>
              <w:top w:val="single" w:sz="4" w:space="0" w:color="auto"/>
              <w:left w:val="single" w:sz="4" w:space="0" w:color="auto"/>
            </w:tcBorders>
          </w:tcPr>
          <w:p w:rsidR="00557563" w:rsidRPr="001079D3" w:rsidRDefault="00557563" w:rsidP="00040B2E">
            <w:pPr>
              <w:tabs>
                <w:tab w:val="left" w:pos="709"/>
              </w:tabs>
              <w:suppressAutoHyphens/>
              <w:spacing w:before="60" w:after="60" w:line="240" w:lineRule="auto"/>
              <w:rPr>
                <w:rFonts w:ascii="Arial" w:eastAsia="Arial" w:hAnsi="Arial" w:cs="Arial"/>
                <w:b/>
                <w:sz w:val="16"/>
                <w:szCs w:val="16"/>
              </w:rPr>
            </w:pPr>
            <w:r w:rsidRPr="001079D3">
              <w:rPr>
                <w:rFonts w:ascii="Arial" w:eastAsia="Arial" w:hAnsi="Arial" w:cs="Arial"/>
                <w:b/>
                <w:sz w:val="16"/>
                <w:szCs w:val="16"/>
              </w:rPr>
              <w:t>On Track</w:t>
            </w:r>
          </w:p>
          <w:p w:rsidR="00557563" w:rsidRPr="001079D3" w:rsidRDefault="00557563" w:rsidP="00040B2E">
            <w:pPr>
              <w:tabs>
                <w:tab w:val="left" w:pos="709"/>
              </w:tabs>
              <w:suppressAutoHyphens/>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The </w:t>
            </w:r>
            <w:proofErr w:type="spellStart"/>
            <w:r w:rsidRPr="001079D3">
              <w:rPr>
                <w:rFonts w:ascii="Arial" w:eastAsia="Arial" w:hAnsi="Arial" w:cs="Arial"/>
                <w:sz w:val="16"/>
                <w:szCs w:val="16"/>
              </w:rPr>
              <w:t>Comcover</w:t>
            </w:r>
            <w:proofErr w:type="spellEnd"/>
            <w:r w:rsidRPr="001079D3">
              <w:rPr>
                <w:rFonts w:ascii="Arial" w:eastAsia="Arial" w:hAnsi="Arial" w:cs="Arial"/>
                <w:sz w:val="16"/>
                <w:szCs w:val="16"/>
              </w:rPr>
              <w:t xml:space="preserve"> Fund has adequate reserves to meet at least 3 years of actuarially assessed ordinary claim payments.</w:t>
            </w:r>
          </w:p>
          <w:p w:rsidR="00557563" w:rsidRPr="001079D3" w:rsidRDefault="00557563" w:rsidP="00040B2E">
            <w:pPr>
              <w:tabs>
                <w:tab w:val="left" w:pos="709"/>
              </w:tabs>
              <w:suppressAutoHyphens/>
              <w:spacing w:before="60" w:after="60" w:line="240" w:lineRule="auto"/>
              <w:jc w:val="left"/>
              <w:rPr>
                <w:rFonts w:ascii="Arial" w:eastAsia="Arial" w:hAnsi="Arial" w:cs="Arial"/>
                <w:sz w:val="16"/>
                <w:szCs w:val="16"/>
              </w:rPr>
            </w:pPr>
            <w:proofErr w:type="spellStart"/>
            <w:r w:rsidRPr="001079D3">
              <w:rPr>
                <w:rFonts w:ascii="Arial" w:eastAsia="Arial" w:hAnsi="Arial" w:cs="Arial"/>
                <w:sz w:val="16"/>
                <w:szCs w:val="16"/>
              </w:rPr>
              <w:t>Comcover's</w:t>
            </w:r>
            <w:proofErr w:type="spellEnd"/>
            <w:r w:rsidRPr="001079D3">
              <w:rPr>
                <w:rFonts w:ascii="Arial" w:eastAsia="Arial" w:hAnsi="Arial" w:cs="Arial"/>
                <w:sz w:val="16"/>
                <w:szCs w:val="16"/>
              </w:rPr>
              <w:t xml:space="preserve"> approach to claims management continues to align with the Commonwealth's Legal Services Directions.</w:t>
            </w:r>
          </w:p>
          <w:p w:rsidR="00557563" w:rsidRPr="001079D3" w:rsidRDefault="00557563" w:rsidP="00D9575D">
            <w:pPr>
              <w:tabs>
                <w:tab w:val="left" w:pos="709"/>
              </w:tabs>
              <w:suppressAutoHyphens/>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Attendance at </w:t>
            </w:r>
            <w:proofErr w:type="spellStart"/>
            <w:r w:rsidRPr="001079D3">
              <w:rPr>
                <w:rFonts w:ascii="Arial" w:eastAsia="Arial" w:hAnsi="Arial" w:cs="Arial"/>
                <w:sz w:val="16"/>
                <w:szCs w:val="16"/>
              </w:rPr>
              <w:t>Comcover's</w:t>
            </w:r>
            <w:proofErr w:type="spellEnd"/>
            <w:r w:rsidRPr="001079D3">
              <w:rPr>
                <w:rFonts w:ascii="Arial" w:eastAsia="Arial" w:hAnsi="Arial" w:cs="Arial"/>
                <w:sz w:val="16"/>
                <w:szCs w:val="16"/>
              </w:rPr>
              <w:t xml:space="preserve"> education workshops and completion of e-learning modules has increased by 129% and 101% when compared to the same period in 2020-21. Feedback from attendees continues to indicate an increased level of understanding and knowledge of the target learning areas. </w:t>
            </w:r>
          </w:p>
          <w:p w:rsidR="00557563" w:rsidRPr="001079D3" w:rsidRDefault="00557563" w:rsidP="00040B2E">
            <w:pPr>
              <w:tabs>
                <w:tab w:val="left" w:pos="709"/>
              </w:tabs>
              <w:suppressAutoHyphens/>
              <w:spacing w:before="60" w:after="60" w:line="240" w:lineRule="auto"/>
              <w:jc w:val="left"/>
              <w:rPr>
                <w:rFonts w:ascii="Arial" w:hAnsi="Arial" w:cs="Arial"/>
                <w:sz w:val="16"/>
                <w:szCs w:val="16"/>
              </w:rPr>
            </w:pPr>
            <w:r w:rsidRPr="001079D3">
              <w:rPr>
                <w:rFonts w:ascii="Arial" w:eastAsia="Arial" w:hAnsi="Arial" w:cs="Arial"/>
                <w:sz w:val="16"/>
                <w:szCs w:val="16"/>
              </w:rPr>
              <w:t>156 entities participated in the 2021 Benchmarking Survey – the results indicated an overall improvement in risk maturity across the Commonwealth.</w:t>
            </w:r>
          </w:p>
        </w:tc>
      </w:tr>
      <w:tr w:rsidR="00C80C3E" w:rsidRPr="001B2F81" w:rsidTr="00F06C4E">
        <w:trPr>
          <w:trHeight w:val="312"/>
        </w:trPr>
        <w:tc>
          <w:tcPr>
            <w:tcW w:w="1415" w:type="dxa"/>
            <w:tcBorders>
              <w:top w:val="single" w:sz="4" w:space="0" w:color="auto"/>
              <w:bottom w:val="dotted" w:sz="4" w:space="0" w:color="auto"/>
              <w:right w:val="single" w:sz="4" w:space="0" w:color="auto"/>
            </w:tcBorders>
          </w:tcPr>
          <w:p w:rsidR="00C80C3E" w:rsidRPr="00361E69" w:rsidRDefault="00C80C3E" w:rsidP="00436AFE">
            <w:pPr>
              <w:tabs>
                <w:tab w:val="left" w:pos="709"/>
              </w:tabs>
              <w:spacing w:before="60" w:after="60" w:line="240" w:lineRule="auto"/>
              <w:rPr>
                <w:rFonts w:ascii="Arial" w:hAnsi="Arial" w:cs="Arial"/>
                <w:sz w:val="16"/>
                <w:szCs w:val="16"/>
              </w:rPr>
            </w:pPr>
            <w:r w:rsidRPr="00361E69">
              <w:rPr>
                <w:rFonts w:ascii="Arial" w:hAnsi="Arial" w:cs="Arial"/>
                <w:b/>
                <w:sz w:val="16"/>
                <w:szCs w:val="16"/>
              </w:rPr>
              <w:t>Year</w:t>
            </w:r>
          </w:p>
        </w:tc>
        <w:tc>
          <w:tcPr>
            <w:tcW w:w="2289" w:type="dxa"/>
            <w:tcBorders>
              <w:top w:val="single" w:sz="4" w:space="0" w:color="auto"/>
              <w:left w:val="single" w:sz="4" w:space="0" w:color="auto"/>
              <w:bottom w:val="dotted" w:sz="4" w:space="0" w:color="auto"/>
              <w:right w:val="single" w:sz="4" w:space="0" w:color="auto"/>
            </w:tcBorders>
          </w:tcPr>
          <w:p w:rsidR="00C80C3E" w:rsidRPr="001079D3" w:rsidRDefault="00C80C3E" w:rsidP="00436AFE">
            <w:pPr>
              <w:tabs>
                <w:tab w:val="left" w:pos="709"/>
              </w:tabs>
              <w:spacing w:before="60" w:after="60" w:line="240" w:lineRule="auto"/>
              <w:rPr>
                <w:rFonts w:ascii="Arial" w:hAnsi="Arial" w:cs="Arial"/>
              </w:rPr>
            </w:pPr>
            <w:r w:rsidRPr="001079D3">
              <w:rPr>
                <w:rFonts w:ascii="Arial" w:hAnsi="Arial" w:cs="Arial"/>
                <w:b/>
                <w:sz w:val="16"/>
                <w:szCs w:val="16"/>
              </w:rPr>
              <w:t>Performance measures</w:t>
            </w:r>
          </w:p>
        </w:tc>
        <w:tc>
          <w:tcPr>
            <w:tcW w:w="3951" w:type="dxa"/>
            <w:tcBorders>
              <w:top w:val="single" w:sz="4" w:space="0" w:color="auto"/>
              <w:left w:val="single" w:sz="4" w:space="0" w:color="auto"/>
              <w:bottom w:val="dotted" w:sz="4" w:space="0" w:color="auto"/>
            </w:tcBorders>
          </w:tcPr>
          <w:p w:rsidR="00C80C3E" w:rsidRPr="001079D3" w:rsidRDefault="00C80C3E" w:rsidP="00436AFE">
            <w:pPr>
              <w:tabs>
                <w:tab w:val="left" w:pos="709"/>
              </w:tabs>
              <w:spacing w:before="60" w:after="60" w:line="240" w:lineRule="auto"/>
              <w:rPr>
                <w:rFonts w:ascii="Arial" w:hAnsi="Arial" w:cs="Arial"/>
                <w:i/>
                <w:sz w:val="16"/>
                <w:szCs w:val="16"/>
              </w:rPr>
            </w:pPr>
            <w:r w:rsidRPr="001079D3">
              <w:rPr>
                <w:rFonts w:ascii="Arial" w:hAnsi="Arial" w:cs="Arial"/>
                <w:b/>
                <w:sz w:val="16"/>
                <w:szCs w:val="16"/>
              </w:rPr>
              <w:t>Planned Performance Results</w:t>
            </w:r>
          </w:p>
        </w:tc>
      </w:tr>
      <w:tr w:rsidR="00C80C3E" w:rsidRPr="00361E69" w:rsidTr="00C80C3E">
        <w:trPr>
          <w:trHeight w:val="2404"/>
        </w:trPr>
        <w:tc>
          <w:tcPr>
            <w:tcW w:w="1415" w:type="dxa"/>
            <w:tcBorders>
              <w:top w:val="single" w:sz="4" w:space="0" w:color="auto"/>
              <w:right w:val="single" w:sz="4" w:space="0" w:color="auto"/>
            </w:tcBorders>
          </w:tcPr>
          <w:p w:rsidR="00C80C3E" w:rsidRPr="001079D3" w:rsidRDefault="00C80C3E" w:rsidP="00B56872">
            <w:pPr>
              <w:tabs>
                <w:tab w:val="left" w:pos="709"/>
              </w:tabs>
              <w:spacing w:before="60" w:after="60" w:line="240" w:lineRule="auto"/>
              <w:jc w:val="left"/>
              <w:rPr>
                <w:rFonts w:ascii="Arial" w:hAnsi="Arial" w:cs="Arial"/>
                <w:sz w:val="16"/>
                <w:szCs w:val="16"/>
              </w:rPr>
            </w:pPr>
            <w:r w:rsidRPr="001079D3">
              <w:rPr>
                <w:rFonts w:ascii="Arial" w:hAnsi="Arial" w:cs="Arial"/>
                <w:sz w:val="16"/>
                <w:szCs w:val="16"/>
              </w:rPr>
              <w:t>Budget Year     2022-23</w:t>
            </w:r>
          </w:p>
        </w:tc>
        <w:tc>
          <w:tcPr>
            <w:tcW w:w="2289" w:type="dxa"/>
            <w:tcBorders>
              <w:top w:val="single" w:sz="4" w:space="0" w:color="auto"/>
              <w:left w:val="single" w:sz="4" w:space="0" w:color="auto"/>
              <w:right w:val="single" w:sz="4" w:space="0" w:color="auto"/>
            </w:tcBorders>
          </w:tcPr>
          <w:p w:rsidR="00C80C3E" w:rsidRPr="001079D3" w:rsidRDefault="00C80C3E" w:rsidP="00D9575D">
            <w:pPr>
              <w:tabs>
                <w:tab w:val="left" w:pos="709"/>
              </w:tabs>
              <w:suppressAutoHyphens/>
              <w:spacing w:before="60" w:after="60" w:line="240" w:lineRule="auto"/>
              <w:jc w:val="left"/>
              <w:rPr>
                <w:rFonts w:ascii="Arial" w:eastAsia="Arial" w:hAnsi="Arial" w:cs="Arial"/>
                <w:b/>
                <w:sz w:val="16"/>
                <w:szCs w:val="16"/>
              </w:rPr>
            </w:pPr>
            <w:r w:rsidRPr="001079D3">
              <w:rPr>
                <w:rFonts w:ascii="Arial" w:eastAsia="Arial" w:hAnsi="Arial" w:cs="Arial"/>
                <w:b/>
                <w:sz w:val="16"/>
                <w:szCs w:val="16"/>
              </w:rPr>
              <w:t>Treatment of insurable risks and claims management</w:t>
            </w:r>
          </w:p>
          <w:p w:rsidR="00C80C3E" w:rsidRPr="001079D3" w:rsidRDefault="00C80C3E" w:rsidP="00D9575D">
            <w:pPr>
              <w:tabs>
                <w:tab w:val="left" w:pos="709"/>
              </w:tabs>
              <w:suppressAutoHyphens/>
              <w:spacing w:before="60" w:after="60" w:line="240" w:lineRule="auto"/>
              <w:jc w:val="left"/>
              <w:rPr>
                <w:rFonts w:ascii="Arial" w:eastAsia="Arial" w:hAnsi="Arial" w:cs="Arial"/>
                <w:sz w:val="16"/>
                <w:szCs w:val="16"/>
                <w:vertAlign w:val="superscript"/>
              </w:rPr>
            </w:pPr>
            <w:proofErr w:type="spellStart"/>
            <w:r w:rsidRPr="001079D3">
              <w:rPr>
                <w:rFonts w:ascii="Arial" w:eastAsia="Arial" w:hAnsi="Arial" w:cs="Arial"/>
                <w:sz w:val="16"/>
                <w:szCs w:val="16"/>
              </w:rPr>
              <w:t>Comcover</w:t>
            </w:r>
            <w:proofErr w:type="spellEnd"/>
            <w:r w:rsidRPr="001079D3">
              <w:rPr>
                <w:rFonts w:ascii="Arial" w:eastAsia="Arial" w:hAnsi="Arial" w:cs="Arial"/>
                <w:sz w:val="16"/>
                <w:szCs w:val="16"/>
              </w:rPr>
              <w:t xml:space="preserve"> is effectively managed to ensure the fund is financially sustainable, there is a consistent, </w:t>
            </w:r>
            <w:proofErr w:type="spellStart"/>
            <w:r w:rsidRPr="001079D3">
              <w:rPr>
                <w:rFonts w:ascii="Arial" w:eastAsia="Arial" w:hAnsi="Arial" w:cs="Arial"/>
                <w:sz w:val="16"/>
                <w:szCs w:val="16"/>
              </w:rPr>
              <w:t>WoAG</w:t>
            </w:r>
            <w:proofErr w:type="spellEnd"/>
            <w:r w:rsidRPr="001079D3">
              <w:rPr>
                <w:rFonts w:ascii="Arial" w:eastAsia="Arial" w:hAnsi="Arial" w:cs="Arial"/>
                <w:sz w:val="16"/>
                <w:szCs w:val="16"/>
              </w:rPr>
              <w:t xml:space="preserve"> approach to the management of claims and </w:t>
            </w:r>
            <w:proofErr w:type="spellStart"/>
            <w:r w:rsidRPr="001079D3">
              <w:rPr>
                <w:rFonts w:ascii="Arial" w:eastAsia="Arial" w:hAnsi="Arial" w:cs="Arial"/>
                <w:sz w:val="16"/>
                <w:szCs w:val="16"/>
              </w:rPr>
              <w:t>Comcover</w:t>
            </w:r>
            <w:proofErr w:type="spellEnd"/>
            <w:r w:rsidRPr="001079D3">
              <w:rPr>
                <w:rFonts w:ascii="Arial" w:eastAsia="Arial" w:hAnsi="Arial" w:cs="Arial"/>
                <w:sz w:val="16"/>
                <w:szCs w:val="16"/>
              </w:rPr>
              <w:t xml:space="preserve"> supports the improvement of risk maturity in General Government Sector entities over time.</w:t>
            </w:r>
          </w:p>
          <w:p w:rsidR="00C80C3E" w:rsidRPr="001079D3" w:rsidRDefault="00C80C3E" w:rsidP="00436AFE">
            <w:pPr>
              <w:spacing w:before="60" w:after="60" w:line="240" w:lineRule="auto"/>
              <w:jc w:val="left"/>
              <w:rPr>
                <w:rFonts w:ascii="Arial" w:eastAsia="Arial" w:hAnsi="Arial" w:cs="Arial"/>
                <w:sz w:val="16"/>
                <w:szCs w:val="16"/>
              </w:rPr>
            </w:pPr>
          </w:p>
        </w:tc>
        <w:tc>
          <w:tcPr>
            <w:tcW w:w="3951" w:type="dxa"/>
            <w:tcBorders>
              <w:top w:val="single" w:sz="4" w:space="0" w:color="auto"/>
              <w:left w:val="single" w:sz="4" w:space="0" w:color="auto"/>
            </w:tcBorders>
          </w:tcPr>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proofErr w:type="spellStart"/>
            <w:r w:rsidRPr="001079D3">
              <w:rPr>
                <w:rFonts w:ascii="Arial" w:eastAsia="Arial" w:hAnsi="Arial" w:cs="Arial"/>
                <w:sz w:val="16"/>
                <w:szCs w:val="16"/>
              </w:rPr>
              <w:t>Comcover</w:t>
            </w:r>
            <w:proofErr w:type="spellEnd"/>
            <w:r w:rsidRPr="001079D3">
              <w:rPr>
                <w:rFonts w:ascii="Arial" w:eastAsia="Arial" w:hAnsi="Arial" w:cs="Arial"/>
                <w:sz w:val="16"/>
                <w:szCs w:val="16"/>
              </w:rPr>
              <w:t xml:space="preserve"> reviews and publishes an annual statement of cover that consistently applies to Fund Members.</w:t>
            </w:r>
          </w:p>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Actuarial assessments are undertaken (at least four per year), with consideration of claims history and the risk profile of Fund Members, to inform the setting of annual member premiums.</w:t>
            </w:r>
          </w:p>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 xml:space="preserve">The </w:t>
            </w:r>
            <w:proofErr w:type="spellStart"/>
            <w:r w:rsidRPr="001079D3">
              <w:rPr>
                <w:rFonts w:ascii="Arial" w:eastAsia="Arial" w:hAnsi="Arial" w:cs="Arial"/>
                <w:sz w:val="16"/>
                <w:szCs w:val="16"/>
              </w:rPr>
              <w:t>Comcover</w:t>
            </w:r>
            <w:proofErr w:type="spellEnd"/>
            <w:r w:rsidRPr="001079D3">
              <w:rPr>
                <w:rFonts w:ascii="Arial" w:eastAsia="Arial" w:hAnsi="Arial" w:cs="Arial"/>
                <w:sz w:val="16"/>
                <w:szCs w:val="16"/>
              </w:rPr>
              <w:t xml:space="preserve"> Fund has adequate reserves to meet at least 3 years of actuarially assessed ordinary claim payments </w:t>
            </w:r>
            <w:r w:rsidRPr="001079D3">
              <w:rPr>
                <w:rFonts w:ascii="Arial" w:eastAsia="Arial" w:hAnsi="Arial" w:cs="Arial"/>
                <w:sz w:val="16"/>
                <w:szCs w:val="16"/>
                <w:vertAlign w:val="superscript"/>
              </w:rPr>
              <w:t>(a)</w:t>
            </w:r>
            <w:r w:rsidRPr="001079D3">
              <w:rPr>
                <w:rFonts w:ascii="Arial" w:eastAsia="Arial" w:hAnsi="Arial" w:cs="Arial"/>
                <w:sz w:val="16"/>
                <w:szCs w:val="16"/>
              </w:rPr>
              <w:t>.</w:t>
            </w:r>
          </w:p>
          <w:p w:rsidR="00C80C3E" w:rsidRPr="001079D3" w:rsidRDefault="00C80C3E" w:rsidP="00F06C4E">
            <w:pPr>
              <w:tabs>
                <w:tab w:val="left" w:pos="709"/>
              </w:tabs>
              <w:autoSpaceDE w:val="0"/>
              <w:autoSpaceDN w:val="0"/>
              <w:spacing w:before="60" w:after="60" w:line="240" w:lineRule="auto"/>
              <w:jc w:val="left"/>
              <w:rPr>
                <w:rFonts w:ascii="Arial" w:eastAsia="Arial" w:hAnsi="Arial" w:cs="Arial"/>
                <w:sz w:val="16"/>
                <w:szCs w:val="16"/>
              </w:rPr>
            </w:pPr>
            <w:r w:rsidRPr="001079D3">
              <w:rPr>
                <w:rFonts w:ascii="Arial" w:eastAsia="Arial" w:hAnsi="Arial" w:cs="Arial"/>
                <w:sz w:val="16"/>
                <w:szCs w:val="16"/>
              </w:rPr>
              <w:t>Litigation is undertaken honestly and fairly as a model litigant.</w:t>
            </w:r>
          </w:p>
          <w:p w:rsidR="00C80C3E" w:rsidRPr="001079D3" w:rsidRDefault="00C80C3E" w:rsidP="00F06C4E">
            <w:pPr>
              <w:autoSpaceDE w:val="0"/>
              <w:autoSpaceDN w:val="0"/>
              <w:spacing w:before="60" w:after="60" w:line="240" w:lineRule="auto"/>
              <w:jc w:val="left"/>
              <w:rPr>
                <w:rFonts w:ascii="Arial" w:hAnsi="Arial" w:cs="Arial"/>
                <w:i/>
                <w:sz w:val="16"/>
                <w:szCs w:val="16"/>
              </w:rPr>
            </w:pPr>
            <w:r w:rsidRPr="001079D3">
              <w:rPr>
                <w:rFonts w:ascii="Arial" w:eastAsia="Arial" w:hAnsi="Arial" w:cs="Arial"/>
                <w:sz w:val="16"/>
                <w:szCs w:val="16"/>
              </w:rPr>
              <w:t xml:space="preserve">Effectiveness of </w:t>
            </w:r>
            <w:proofErr w:type="spellStart"/>
            <w:r w:rsidRPr="001079D3">
              <w:rPr>
                <w:rFonts w:ascii="Arial" w:eastAsia="Arial" w:hAnsi="Arial" w:cs="Arial"/>
                <w:sz w:val="16"/>
                <w:szCs w:val="16"/>
              </w:rPr>
              <w:t>Comcover's</w:t>
            </w:r>
            <w:proofErr w:type="spellEnd"/>
            <w:r w:rsidRPr="001079D3">
              <w:rPr>
                <w:rFonts w:ascii="Arial" w:eastAsia="Arial" w:hAnsi="Arial" w:cs="Arial"/>
                <w:sz w:val="16"/>
                <w:szCs w:val="16"/>
              </w:rPr>
              <w:t xml:space="preserve"> stewardship, policy advice, engagement and guidance on risk management.</w:t>
            </w:r>
            <w:r w:rsidRPr="001079D3">
              <w:rPr>
                <w:rFonts w:ascii="Arial" w:eastAsia="Arial" w:hAnsi="Arial" w:cs="Arial"/>
                <w:i/>
                <w:sz w:val="16"/>
                <w:szCs w:val="16"/>
              </w:rPr>
              <w:t> </w:t>
            </w:r>
          </w:p>
        </w:tc>
      </w:tr>
      <w:tr w:rsidR="00C80C3E" w:rsidRPr="00361E69" w:rsidTr="00C80C3E">
        <w:trPr>
          <w:trHeight w:val="491"/>
        </w:trPr>
        <w:tc>
          <w:tcPr>
            <w:tcW w:w="1415" w:type="dxa"/>
            <w:tcBorders>
              <w:top w:val="dotted" w:sz="4" w:space="0" w:color="auto"/>
              <w:bottom w:val="dotted" w:sz="4" w:space="0" w:color="auto"/>
              <w:right w:val="single" w:sz="4" w:space="0" w:color="auto"/>
            </w:tcBorders>
          </w:tcPr>
          <w:p w:rsidR="00C80C3E" w:rsidRPr="001079D3" w:rsidRDefault="00C80C3E" w:rsidP="001079D3">
            <w:pPr>
              <w:tabs>
                <w:tab w:val="left" w:pos="709"/>
              </w:tabs>
              <w:spacing w:before="60" w:after="60" w:line="240" w:lineRule="auto"/>
              <w:jc w:val="left"/>
              <w:rPr>
                <w:rFonts w:ascii="Arial" w:hAnsi="Arial" w:cs="Arial"/>
                <w:b/>
                <w:sz w:val="16"/>
                <w:szCs w:val="16"/>
              </w:rPr>
            </w:pPr>
            <w:r w:rsidRPr="001079D3">
              <w:rPr>
                <w:rFonts w:ascii="Arial" w:hAnsi="Arial" w:cs="Arial"/>
                <w:sz w:val="16"/>
                <w:szCs w:val="16"/>
              </w:rPr>
              <w:t xml:space="preserve">Forward Estimates </w:t>
            </w:r>
            <w:r w:rsidR="001079D3">
              <w:rPr>
                <w:rFonts w:ascii="Arial" w:hAnsi="Arial" w:cs="Arial"/>
                <w:sz w:val="16"/>
                <w:szCs w:val="16"/>
              </w:rPr>
              <w:br/>
              <w:t>2</w:t>
            </w:r>
            <w:r w:rsidRPr="001079D3">
              <w:rPr>
                <w:rFonts w:ascii="Arial" w:hAnsi="Arial" w:cs="Arial"/>
                <w:sz w:val="16"/>
                <w:szCs w:val="16"/>
              </w:rPr>
              <w:t>023-26</w:t>
            </w:r>
          </w:p>
        </w:tc>
        <w:tc>
          <w:tcPr>
            <w:tcW w:w="2289" w:type="dxa"/>
            <w:tcBorders>
              <w:top w:val="dotted" w:sz="4" w:space="0" w:color="auto"/>
              <w:left w:val="single" w:sz="4" w:space="0" w:color="auto"/>
              <w:bottom w:val="dotted" w:sz="4" w:space="0" w:color="auto"/>
              <w:right w:val="single" w:sz="4" w:space="0" w:color="auto"/>
            </w:tcBorders>
          </w:tcPr>
          <w:p w:rsidR="00C80C3E" w:rsidRPr="001079D3" w:rsidRDefault="00C80C3E" w:rsidP="00436AFE">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c>
          <w:tcPr>
            <w:tcW w:w="3951" w:type="dxa"/>
            <w:tcBorders>
              <w:top w:val="dotted" w:sz="4" w:space="0" w:color="auto"/>
              <w:left w:val="single" w:sz="4" w:space="0" w:color="auto"/>
              <w:bottom w:val="dotted" w:sz="4" w:space="0" w:color="auto"/>
            </w:tcBorders>
          </w:tcPr>
          <w:p w:rsidR="00C80C3E" w:rsidRPr="001079D3" w:rsidRDefault="00C80C3E" w:rsidP="00436AFE">
            <w:pPr>
              <w:tabs>
                <w:tab w:val="left" w:pos="709"/>
              </w:tabs>
              <w:spacing w:before="60" w:after="60" w:line="240" w:lineRule="auto"/>
              <w:jc w:val="left"/>
              <w:rPr>
                <w:rFonts w:ascii="Arial" w:hAnsi="Arial" w:cs="Arial"/>
                <w:b/>
                <w:sz w:val="16"/>
                <w:szCs w:val="16"/>
              </w:rPr>
            </w:pPr>
            <w:r w:rsidRPr="001079D3">
              <w:rPr>
                <w:rFonts w:ascii="Arial" w:eastAsia="Arial" w:hAnsi="Arial" w:cs="Arial"/>
                <w:sz w:val="16"/>
                <w:szCs w:val="16"/>
              </w:rPr>
              <w:t>As per 2022-23.</w:t>
            </w:r>
          </w:p>
        </w:tc>
      </w:tr>
      <w:tr w:rsidR="00C80C3E" w:rsidRPr="00361E69" w:rsidTr="00C80C3E">
        <w:trPr>
          <w:trHeight w:val="291"/>
        </w:trPr>
        <w:tc>
          <w:tcPr>
            <w:tcW w:w="7655" w:type="dxa"/>
            <w:gridSpan w:val="3"/>
          </w:tcPr>
          <w:p w:rsidR="00C80C3E" w:rsidRPr="001079D3" w:rsidRDefault="00C80C3E" w:rsidP="00436AFE">
            <w:pPr>
              <w:tabs>
                <w:tab w:val="left" w:pos="709"/>
              </w:tabs>
              <w:spacing w:before="60" w:after="60" w:line="240" w:lineRule="auto"/>
              <w:rPr>
                <w:rFonts w:ascii="Arial" w:eastAsia="Cambria" w:hAnsi="Arial" w:cs="Arial"/>
                <w:bCs/>
                <w:iCs/>
                <w:spacing w:val="-6"/>
                <w:sz w:val="16"/>
                <w:szCs w:val="16"/>
              </w:rPr>
            </w:pPr>
            <w:r w:rsidRPr="001079D3">
              <w:rPr>
                <w:rFonts w:ascii="Arial" w:hAnsi="Arial" w:cs="Arial"/>
                <w:sz w:val="16"/>
                <w:szCs w:val="16"/>
              </w:rPr>
              <w:t>Material changes to Program 2.4 resulting from 2022-23 Budget Measures:</w:t>
            </w:r>
            <w:r w:rsidRPr="001079D3">
              <w:rPr>
                <w:rStyle w:val="BodyTextChar"/>
                <w:rFonts w:ascii="Arial" w:hAnsi="Arial" w:cs="Arial"/>
                <w:bCs/>
                <w:iCs/>
                <w:spacing w:val="-6"/>
                <w:sz w:val="16"/>
                <w:szCs w:val="16"/>
              </w:rPr>
              <w:t xml:space="preserve"> </w:t>
            </w:r>
            <w:r w:rsidRPr="001079D3">
              <w:rPr>
                <w:rFonts w:ascii="Arial" w:hAnsi="Arial" w:cs="Arial"/>
                <w:sz w:val="16"/>
                <w:szCs w:val="16"/>
              </w:rPr>
              <w:t>Nil</w:t>
            </w:r>
          </w:p>
        </w:tc>
      </w:tr>
    </w:tbl>
    <w:p w:rsidR="00C80C3E" w:rsidRPr="00DA1F4B" w:rsidRDefault="00C80C3E" w:rsidP="00DA1F4B">
      <w:pPr>
        <w:pStyle w:val="ListParagraph"/>
        <w:numPr>
          <w:ilvl w:val="0"/>
          <w:numId w:val="62"/>
        </w:numPr>
        <w:spacing w:after="0" w:line="240" w:lineRule="auto"/>
        <w:rPr>
          <w:rFonts w:ascii="Arial" w:hAnsi="Arial" w:cs="Arial"/>
          <w:sz w:val="16"/>
          <w:szCs w:val="16"/>
          <w:lang w:eastAsia="x-none"/>
        </w:rPr>
      </w:pPr>
      <w:r w:rsidRPr="00DA1F4B">
        <w:rPr>
          <w:rFonts w:ascii="Arial" w:hAnsi="Arial" w:cs="Arial"/>
          <w:sz w:val="16"/>
          <w:szCs w:val="16"/>
          <w:lang w:val="x-none" w:eastAsia="x-none"/>
        </w:rPr>
        <w:t>Planned performance results have been updated since the 2021-22 Corporate Plan to provide a more robust and comprehensive view of performance and will be reflected in the 2022-23 Corporate Plan.</w:t>
      </w:r>
    </w:p>
    <w:p w:rsidR="00557563" w:rsidRDefault="00557563" w:rsidP="00557563"/>
    <w:p w:rsidR="00552206" w:rsidRDefault="00552206" w:rsidP="00557563"/>
    <w:p w:rsidR="00A206A3" w:rsidRDefault="0008233C" w:rsidP="00BB0A58">
      <w:pPr>
        <w:pStyle w:val="TableHeading"/>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sidRPr="00BB0A58">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87"/>
        <w:gridCol w:w="3951"/>
      </w:tblGrid>
      <w:tr w:rsidR="00857E5D" w:rsidRPr="00F96D93" w:rsidTr="0087743B">
        <w:trPr>
          <w:trHeight w:val="522"/>
        </w:trPr>
        <w:tc>
          <w:tcPr>
            <w:tcW w:w="7655" w:type="dxa"/>
            <w:gridSpan w:val="3"/>
            <w:shd w:val="clear" w:color="auto" w:fill="F2F2F2"/>
          </w:tcPr>
          <w:p w:rsidR="00857E5D" w:rsidRPr="00F96D93" w:rsidRDefault="00857E5D" w:rsidP="00777FAE">
            <w:pPr>
              <w:tabs>
                <w:tab w:val="left" w:pos="709"/>
              </w:tabs>
              <w:spacing w:before="60" w:after="60" w:line="240" w:lineRule="auto"/>
              <w:jc w:val="left"/>
              <w:rPr>
                <w:rFonts w:ascii="Arial" w:hAnsi="Arial" w:cs="Arial"/>
                <w:b/>
                <w:sz w:val="18"/>
                <w:szCs w:val="18"/>
              </w:rPr>
            </w:pPr>
            <w:r w:rsidRPr="00F96D93">
              <w:rPr>
                <w:rFonts w:ascii="Arial" w:hAnsi="Arial" w:cs="Arial"/>
                <w:b/>
                <w:sz w:val="18"/>
                <w:szCs w:val="18"/>
              </w:rPr>
              <w:t>Program 2.5 – Technology and Procurement</w:t>
            </w:r>
          </w:p>
          <w:p w:rsidR="00857E5D" w:rsidRPr="00F96D93" w:rsidRDefault="00857E5D" w:rsidP="00777FAE">
            <w:pPr>
              <w:tabs>
                <w:tab w:val="left" w:pos="709"/>
              </w:tabs>
              <w:spacing w:before="60" w:after="60" w:line="240" w:lineRule="auto"/>
              <w:jc w:val="left"/>
              <w:rPr>
                <w:rFonts w:ascii="Arial" w:hAnsi="Arial" w:cs="Arial"/>
                <w:sz w:val="16"/>
                <w:szCs w:val="16"/>
              </w:rPr>
            </w:pPr>
            <w:r w:rsidRPr="00F96D93">
              <w:rPr>
                <w:rFonts w:ascii="Arial" w:hAnsi="Arial" w:cs="Arial"/>
                <w:sz w:val="18"/>
                <w:szCs w:val="18"/>
              </w:rPr>
              <w:t xml:space="preserve">This program contributes to the outcome through providing timely and relevant procurement policy advice; providing advice to the Government on advertising; establishing and maintaining </w:t>
            </w:r>
            <w:proofErr w:type="spellStart"/>
            <w:r w:rsidRPr="00F96D93">
              <w:rPr>
                <w:rFonts w:ascii="Arial" w:hAnsi="Arial" w:cs="Arial"/>
                <w:sz w:val="18"/>
                <w:szCs w:val="18"/>
              </w:rPr>
              <w:t>WoAG</w:t>
            </w:r>
            <w:proofErr w:type="spellEnd"/>
            <w:r w:rsidRPr="00F96D93">
              <w:rPr>
                <w:rFonts w:ascii="Arial" w:hAnsi="Arial" w:cs="Arial"/>
                <w:sz w:val="18"/>
                <w:szCs w:val="18"/>
              </w:rPr>
              <w:t xml:space="preserve"> procurement arrangements for common goods and services; and establishing, developing and maintaining </w:t>
            </w:r>
            <w:proofErr w:type="spellStart"/>
            <w:r w:rsidRPr="00F96D93">
              <w:rPr>
                <w:rFonts w:ascii="Arial" w:hAnsi="Arial" w:cs="Arial"/>
                <w:sz w:val="18"/>
                <w:szCs w:val="18"/>
              </w:rPr>
              <w:t>WoAG</w:t>
            </w:r>
            <w:proofErr w:type="spellEnd"/>
            <w:r w:rsidRPr="00F96D93">
              <w:rPr>
                <w:rFonts w:ascii="Arial" w:hAnsi="Arial" w:cs="Arial"/>
                <w:sz w:val="18"/>
                <w:szCs w:val="18"/>
              </w:rPr>
              <w:t xml:space="preserve"> and cross-entity ICT infrastructure, platforms, systems and services</w:t>
            </w:r>
          </w:p>
        </w:tc>
      </w:tr>
      <w:tr w:rsidR="00857E5D" w:rsidRPr="000738F4" w:rsidTr="0087743B">
        <w:trPr>
          <w:trHeight w:val="694"/>
        </w:trPr>
        <w:tc>
          <w:tcPr>
            <w:tcW w:w="1418" w:type="dxa"/>
            <w:tcBorders>
              <w:bottom w:val="double" w:sz="4" w:space="0" w:color="auto"/>
            </w:tcBorders>
          </w:tcPr>
          <w:p w:rsidR="00857E5D" w:rsidRPr="000738F4" w:rsidRDefault="00857E5D" w:rsidP="0087743B">
            <w:pPr>
              <w:tabs>
                <w:tab w:val="left" w:pos="709"/>
              </w:tabs>
              <w:spacing w:before="60" w:after="60" w:line="240" w:lineRule="auto"/>
              <w:jc w:val="left"/>
              <w:rPr>
                <w:rFonts w:ascii="Arial" w:hAnsi="Arial" w:cs="Arial"/>
                <w:b/>
                <w:bCs/>
                <w:sz w:val="18"/>
                <w:szCs w:val="18"/>
              </w:rPr>
            </w:pPr>
            <w:r>
              <w:rPr>
                <w:rFonts w:ascii="Arial" w:hAnsi="Arial" w:cs="Arial"/>
                <w:b/>
                <w:bCs/>
                <w:sz w:val="18"/>
                <w:szCs w:val="18"/>
              </w:rPr>
              <w:t>Key Activities</w:t>
            </w:r>
          </w:p>
        </w:tc>
        <w:tc>
          <w:tcPr>
            <w:tcW w:w="6237" w:type="dxa"/>
            <w:gridSpan w:val="2"/>
            <w:tcBorders>
              <w:bottom w:val="double" w:sz="4" w:space="0" w:color="auto"/>
            </w:tcBorders>
          </w:tcPr>
          <w:p w:rsidR="00857E5D" w:rsidRPr="00312DCA" w:rsidRDefault="00857E5D" w:rsidP="0087743B">
            <w:pPr>
              <w:tabs>
                <w:tab w:val="left" w:pos="709"/>
              </w:tabs>
              <w:spacing w:before="60" w:after="60" w:line="240" w:lineRule="auto"/>
              <w:jc w:val="left"/>
              <w:rPr>
                <w:rFonts w:ascii="Arial" w:hAnsi="Arial" w:cs="Arial"/>
                <w:b/>
                <w:iCs/>
                <w:sz w:val="18"/>
                <w:szCs w:val="18"/>
              </w:rPr>
            </w:pPr>
            <w:r w:rsidRPr="00312DCA">
              <w:rPr>
                <w:rFonts w:ascii="Arial" w:hAnsi="Arial" w:cs="Arial"/>
                <w:b/>
                <w:iCs/>
                <w:sz w:val="18"/>
                <w:szCs w:val="18"/>
              </w:rPr>
              <w:t>Enable value for money procurements</w:t>
            </w:r>
          </w:p>
          <w:p w:rsidR="00857E5D" w:rsidRPr="00312DCA" w:rsidRDefault="00857E5D" w:rsidP="0087743B">
            <w:pPr>
              <w:tabs>
                <w:tab w:val="left" w:pos="709"/>
              </w:tabs>
              <w:spacing w:before="60" w:after="60" w:line="240" w:lineRule="auto"/>
              <w:jc w:val="left"/>
              <w:rPr>
                <w:rFonts w:ascii="Arial" w:hAnsi="Arial" w:cs="Arial"/>
                <w:iCs/>
                <w:sz w:val="18"/>
                <w:szCs w:val="18"/>
              </w:rPr>
            </w:pPr>
            <w:r w:rsidRPr="00312DCA">
              <w:rPr>
                <w:rFonts w:ascii="Arial" w:hAnsi="Arial" w:cs="Arial"/>
                <w:iCs/>
                <w:sz w:val="18"/>
                <w:szCs w:val="18"/>
              </w:rPr>
              <w:t>Leverage experience and support the Australian Government to achieve value for money procurements and support the national interest.</w:t>
            </w:r>
          </w:p>
        </w:tc>
      </w:tr>
      <w:tr w:rsidR="00857E5D" w:rsidRPr="00F96D93" w:rsidTr="00233CA5">
        <w:trPr>
          <w:trHeight w:val="312"/>
        </w:trPr>
        <w:tc>
          <w:tcPr>
            <w:tcW w:w="1414" w:type="dxa"/>
            <w:tcBorders>
              <w:top w:val="single" w:sz="4" w:space="0" w:color="auto"/>
              <w:bottom w:val="dotted" w:sz="4" w:space="0" w:color="auto"/>
              <w:right w:val="single" w:sz="4" w:space="0" w:color="auto"/>
            </w:tcBorders>
          </w:tcPr>
          <w:p w:rsidR="00857E5D" w:rsidRPr="00F96D93" w:rsidRDefault="00857E5D" w:rsidP="0087743B">
            <w:pPr>
              <w:tabs>
                <w:tab w:val="left" w:pos="709"/>
              </w:tabs>
              <w:spacing w:before="60" w:after="60" w:line="240" w:lineRule="auto"/>
              <w:jc w:val="left"/>
              <w:rPr>
                <w:rFonts w:ascii="Arial" w:hAnsi="Arial" w:cs="Arial"/>
                <w:sz w:val="16"/>
                <w:szCs w:val="16"/>
              </w:rPr>
            </w:pPr>
            <w:r w:rsidRPr="00F96D93">
              <w:rPr>
                <w:rFonts w:ascii="Arial" w:hAnsi="Arial" w:cs="Arial"/>
                <w:b/>
                <w:sz w:val="16"/>
                <w:szCs w:val="16"/>
              </w:rPr>
              <w:t>Year</w:t>
            </w:r>
          </w:p>
        </w:tc>
        <w:tc>
          <w:tcPr>
            <w:tcW w:w="2288" w:type="dxa"/>
            <w:tcBorders>
              <w:top w:val="single" w:sz="4" w:space="0" w:color="auto"/>
              <w:left w:val="single" w:sz="4" w:space="0" w:color="auto"/>
              <w:bottom w:val="dotted" w:sz="4" w:space="0" w:color="auto"/>
              <w:right w:val="single" w:sz="4" w:space="0" w:color="auto"/>
            </w:tcBorders>
          </w:tcPr>
          <w:p w:rsidR="00857E5D" w:rsidRPr="00F96D93" w:rsidRDefault="00857E5D" w:rsidP="0087743B">
            <w:pPr>
              <w:tabs>
                <w:tab w:val="left" w:pos="709"/>
              </w:tabs>
              <w:spacing w:before="60" w:after="60" w:line="240" w:lineRule="auto"/>
              <w:jc w:val="left"/>
              <w:rPr>
                <w:rFonts w:ascii="Arial" w:hAnsi="Arial" w:cs="Arial"/>
                <w:sz w:val="16"/>
                <w:szCs w:val="16"/>
              </w:rPr>
            </w:pPr>
            <w:r w:rsidRPr="00F96D93">
              <w:rPr>
                <w:rFonts w:ascii="Arial" w:hAnsi="Arial" w:cs="Arial"/>
                <w:b/>
                <w:sz w:val="16"/>
                <w:szCs w:val="16"/>
              </w:rPr>
              <w:t>Performance measures</w:t>
            </w:r>
          </w:p>
        </w:tc>
        <w:tc>
          <w:tcPr>
            <w:tcW w:w="3953" w:type="dxa"/>
            <w:tcBorders>
              <w:top w:val="single" w:sz="4" w:space="0" w:color="auto"/>
              <w:left w:val="single" w:sz="4" w:space="0" w:color="auto"/>
              <w:bottom w:val="dotted" w:sz="4" w:space="0" w:color="auto"/>
            </w:tcBorders>
          </w:tcPr>
          <w:p w:rsidR="00857E5D" w:rsidRPr="00F96D93" w:rsidRDefault="00857E5D" w:rsidP="0087743B">
            <w:pPr>
              <w:tabs>
                <w:tab w:val="left" w:pos="709"/>
              </w:tabs>
              <w:spacing w:before="60" w:after="60" w:line="240" w:lineRule="auto"/>
              <w:jc w:val="left"/>
              <w:rPr>
                <w:rFonts w:ascii="Arial" w:hAnsi="Arial" w:cs="Arial"/>
                <w:i/>
                <w:color w:val="0070C0"/>
                <w:sz w:val="16"/>
                <w:szCs w:val="16"/>
              </w:rPr>
            </w:pPr>
            <w:r w:rsidRPr="00F96D93">
              <w:rPr>
                <w:rFonts w:ascii="Arial" w:hAnsi="Arial" w:cs="Arial"/>
                <w:b/>
                <w:sz w:val="16"/>
                <w:szCs w:val="16"/>
              </w:rPr>
              <w:t>Expected Performance Results</w:t>
            </w:r>
          </w:p>
        </w:tc>
      </w:tr>
      <w:tr w:rsidR="00857E5D" w:rsidRPr="0052248D" w:rsidTr="0087743B">
        <w:trPr>
          <w:trHeight w:val="1699"/>
        </w:trPr>
        <w:tc>
          <w:tcPr>
            <w:tcW w:w="1414" w:type="dxa"/>
            <w:tcBorders>
              <w:top w:val="single" w:sz="4" w:space="0" w:color="auto"/>
              <w:right w:val="single" w:sz="4" w:space="0" w:color="auto"/>
            </w:tcBorders>
          </w:tcPr>
          <w:p w:rsidR="00857E5D" w:rsidRPr="00F96D93" w:rsidRDefault="00857E5D" w:rsidP="001079D3">
            <w:pPr>
              <w:tabs>
                <w:tab w:val="left" w:pos="709"/>
              </w:tabs>
              <w:spacing w:before="60" w:after="60" w:line="240" w:lineRule="auto"/>
              <w:jc w:val="left"/>
              <w:rPr>
                <w:rFonts w:ascii="Arial" w:hAnsi="Arial" w:cs="Arial"/>
                <w:sz w:val="16"/>
                <w:szCs w:val="16"/>
              </w:rPr>
            </w:pPr>
            <w:r w:rsidRPr="00F96D93">
              <w:rPr>
                <w:rFonts w:ascii="Arial" w:hAnsi="Arial" w:cs="Arial"/>
                <w:sz w:val="16"/>
                <w:szCs w:val="16"/>
              </w:rPr>
              <w:t>Current year 2021-22</w:t>
            </w:r>
          </w:p>
        </w:tc>
        <w:tc>
          <w:tcPr>
            <w:tcW w:w="2288" w:type="dxa"/>
            <w:tcBorders>
              <w:top w:val="single" w:sz="4" w:space="0" w:color="auto"/>
              <w:left w:val="single" w:sz="4" w:space="0" w:color="auto"/>
              <w:right w:val="single" w:sz="4" w:space="0" w:color="auto"/>
            </w:tcBorders>
          </w:tcPr>
          <w:p w:rsidR="00857E5D" w:rsidRPr="00F96D93" w:rsidRDefault="00857E5D" w:rsidP="00233CA5">
            <w:pPr>
              <w:tabs>
                <w:tab w:val="left" w:pos="709"/>
              </w:tabs>
              <w:autoSpaceDE w:val="0"/>
              <w:autoSpaceDN w:val="0"/>
              <w:spacing w:before="60" w:after="60" w:line="240" w:lineRule="auto"/>
              <w:jc w:val="left"/>
              <w:rPr>
                <w:rFonts w:ascii="Arial" w:hAnsi="Arial" w:cs="Arial"/>
                <w:b/>
                <w:bCs/>
                <w:sz w:val="16"/>
                <w:szCs w:val="16"/>
              </w:rPr>
            </w:pPr>
            <w:r w:rsidRPr="00F96D93">
              <w:rPr>
                <w:rFonts w:ascii="Arial" w:hAnsi="Arial" w:cs="Arial"/>
                <w:b/>
                <w:bCs/>
                <w:sz w:val="16"/>
                <w:szCs w:val="16"/>
              </w:rPr>
              <w:t>Stewardship over procurement systems and policies</w:t>
            </w:r>
          </w:p>
          <w:p w:rsidR="00857E5D" w:rsidRPr="00F96D93" w:rsidRDefault="00857E5D" w:rsidP="00233CA5">
            <w:pPr>
              <w:autoSpaceDE w:val="0"/>
              <w:autoSpaceDN w:val="0"/>
              <w:spacing w:before="60" w:after="60" w:line="240" w:lineRule="auto"/>
              <w:jc w:val="left"/>
              <w:rPr>
                <w:rFonts w:ascii="Arial" w:hAnsi="Arial" w:cs="Arial"/>
                <w:sz w:val="16"/>
                <w:szCs w:val="16"/>
              </w:rPr>
            </w:pPr>
            <w:r w:rsidRPr="00F96D93">
              <w:rPr>
                <w:rFonts w:ascii="Arial" w:hAnsi="Arial" w:cs="Arial"/>
                <w:sz w:val="16"/>
                <w:szCs w:val="16"/>
              </w:rPr>
              <w:t>Finance works with external stakeholders to: Provide stewardship over systems and policies to support a fair, efficient, and transparent procurement framework.</w:t>
            </w:r>
          </w:p>
          <w:p w:rsidR="00857E5D" w:rsidRPr="00F96D93" w:rsidRDefault="00857E5D" w:rsidP="00233CA5">
            <w:pPr>
              <w:autoSpaceDE w:val="0"/>
              <w:autoSpaceDN w:val="0"/>
              <w:spacing w:before="60" w:after="60" w:line="240" w:lineRule="auto"/>
              <w:jc w:val="left"/>
              <w:rPr>
                <w:rFonts w:ascii="Arial" w:hAnsi="Arial" w:cs="Arial"/>
                <w:sz w:val="16"/>
                <w:szCs w:val="16"/>
              </w:rPr>
            </w:pPr>
            <w:r w:rsidRPr="00F96D93">
              <w:rPr>
                <w:rFonts w:ascii="Arial" w:hAnsi="Arial" w:cs="Arial"/>
                <w:sz w:val="16"/>
                <w:szCs w:val="16"/>
              </w:rPr>
              <w:t xml:space="preserve">Implement and maintain </w:t>
            </w:r>
            <w:proofErr w:type="spellStart"/>
            <w:r w:rsidRPr="00F96D93">
              <w:rPr>
                <w:rFonts w:ascii="Arial" w:hAnsi="Arial" w:cs="Arial"/>
                <w:sz w:val="16"/>
                <w:szCs w:val="16"/>
              </w:rPr>
              <w:t>WoAG</w:t>
            </w:r>
            <w:proofErr w:type="spellEnd"/>
            <w:r w:rsidRPr="00F96D93">
              <w:rPr>
                <w:rFonts w:ascii="Arial" w:hAnsi="Arial" w:cs="Arial"/>
                <w:sz w:val="16"/>
                <w:szCs w:val="16"/>
              </w:rPr>
              <w:t xml:space="preserve"> procurement arrangements for non-ICT services (e.g. travel bookings and major office equipment) to generate price savings and operating efficiencies.</w:t>
            </w:r>
            <w:r w:rsidRPr="00F96D93">
              <w:rPr>
                <w:rFonts w:ascii="Arial" w:eastAsia="Arial" w:hAnsi="Arial" w:cs="Arial"/>
                <w:sz w:val="16"/>
                <w:szCs w:val="16"/>
                <w:vertAlign w:val="superscript"/>
              </w:rPr>
              <w:t xml:space="preserve"> </w:t>
            </w:r>
          </w:p>
        </w:tc>
        <w:tc>
          <w:tcPr>
            <w:tcW w:w="3953" w:type="dxa"/>
            <w:tcBorders>
              <w:top w:val="single" w:sz="4" w:space="0" w:color="auto"/>
              <w:left w:val="single" w:sz="4" w:space="0" w:color="auto"/>
            </w:tcBorders>
          </w:tcPr>
          <w:p w:rsidR="00857E5D" w:rsidRPr="00FD6CAB" w:rsidRDefault="00857E5D" w:rsidP="0087743B">
            <w:pPr>
              <w:autoSpaceDE w:val="0"/>
              <w:autoSpaceDN w:val="0"/>
              <w:adjustRightInd w:val="0"/>
              <w:spacing w:before="60" w:after="60" w:line="240" w:lineRule="auto"/>
              <w:rPr>
                <w:rFonts w:ascii="Arial" w:hAnsi="Arial" w:cs="Arial"/>
                <w:b/>
                <w:sz w:val="16"/>
                <w:szCs w:val="16"/>
              </w:rPr>
            </w:pPr>
            <w:r w:rsidRPr="00FD6CAB">
              <w:rPr>
                <w:rFonts w:ascii="Arial" w:hAnsi="Arial" w:cs="Arial"/>
                <w:b/>
                <w:sz w:val="16"/>
                <w:szCs w:val="16"/>
              </w:rPr>
              <w:t>On Track</w:t>
            </w:r>
          </w:p>
          <w:p w:rsidR="00857E5D" w:rsidRPr="00C37004" w:rsidRDefault="00857E5D" w:rsidP="0087743B">
            <w:pPr>
              <w:autoSpaceDE w:val="0"/>
              <w:autoSpaceDN w:val="0"/>
              <w:adjustRightInd w:val="0"/>
              <w:spacing w:before="60" w:after="60" w:line="240" w:lineRule="auto"/>
              <w:jc w:val="left"/>
              <w:rPr>
                <w:rFonts w:ascii="Arial" w:hAnsi="Arial" w:cs="Arial"/>
                <w:sz w:val="16"/>
                <w:szCs w:val="16"/>
              </w:rPr>
            </w:pPr>
            <w:r w:rsidRPr="00C37004">
              <w:rPr>
                <w:rFonts w:ascii="Arial" w:hAnsi="Arial" w:cs="Arial"/>
                <w:sz w:val="16"/>
                <w:szCs w:val="16"/>
              </w:rPr>
              <w:t>For the period 1 July to 31 December 2021, Finance:</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H</w:t>
            </w:r>
            <w:r w:rsidR="00857E5D" w:rsidRPr="00303CE6">
              <w:rPr>
                <w:rFonts w:ascii="Arial" w:eastAsia="Calibri" w:hAnsi="Arial" w:cs="Arial"/>
                <w:sz w:val="16"/>
                <w:szCs w:val="16"/>
                <w:lang w:val="en-US"/>
              </w:rPr>
              <w:t>eld 5 meetings of the Senior Procurement Officials Reference Group.</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H</w:t>
            </w:r>
            <w:r w:rsidR="00857E5D" w:rsidRPr="00303CE6">
              <w:rPr>
                <w:rFonts w:ascii="Arial" w:eastAsia="Calibri" w:hAnsi="Arial" w:cs="Arial"/>
                <w:sz w:val="16"/>
                <w:szCs w:val="16"/>
                <w:lang w:val="en-US"/>
              </w:rPr>
              <w:t>eld 18 strategic outreach meetings with entities.</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R</w:t>
            </w:r>
            <w:r w:rsidR="00857E5D" w:rsidRPr="00303CE6">
              <w:rPr>
                <w:rFonts w:ascii="Arial" w:eastAsia="Calibri" w:hAnsi="Arial" w:cs="Arial"/>
                <w:sz w:val="16"/>
                <w:szCs w:val="16"/>
                <w:lang w:val="en-US"/>
              </w:rPr>
              <w:t>eceived 259 enquiries to the procurement agency advice inbox, with 97% responded to within the three day KPI.</w:t>
            </w:r>
          </w:p>
          <w:p w:rsidR="00857E5D" w:rsidRDefault="00857E5D" w:rsidP="00FB59C7">
            <w:pPr>
              <w:autoSpaceDE w:val="0"/>
              <w:autoSpaceDN w:val="0"/>
              <w:adjustRightInd w:val="0"/>
              <w:spacing w:before="60" w:after="60" w:line="240" w:lineRule="auto"/>
              <w:jc w:val="left"/>
              <w:rPr>
                <w:rFonts w:ascii="Arial" w:hAnsi="Arial" w:cs="Arial"/>
                <w:sz w:val="16"/>
                <w:szCs w:val="16"/>
              </w:rPr>
            </w:pPr>
            <w:r w:rsidRPr="00C37004">
              <w:rPr>
                <w:rFonts w:ascii="Arial" w:hAnsi="Arial" w:cs="Arial"/>
                <w:sz w:val="16"/>
                <w:szCs w:val="16"/>
              </w:rPr>
              <w:t>For the period 1 July to 31 December 2021,</w:t>
            </w:r>
            <w:r w:rsidR="004E3FFE">
              <w:rPr>
                <w:rFonts w:ascii="Arial" w:hAnsi="Arial" w:cs="Arial"/>
                <w:sz w:val="16"/>
                <w:szCs w:val="16"/>
              </w:rPr>
              <w:t xml:space="preserve">          </w:t>
            </w:r>
            <w:r w:rsidRPr="00C37004">
              <w:rPr>
                <w:rFonts w:ascii="Arial" w:hAnsi="Arial" w:cs="Arial"/>
                <w:sz w:val="16"/>
                <w:szCs w:val="16"/>
              </w:rPr>
              <w:t xml:space="preserve"> the </w:t>
            </w:r>
            <w:proofErr w:type="spellStart"/>
            <w:r w:rsidRPr="00C37004">
              <w:rPr>
                <w:rFonts w:ascii="Arial" w:hAnsi="Arial" w:cs="Arial"/>
                <w:sz w:val="16"/>
                <w:szCs w:val="16"/>
              </w:rPr>
              <w:t>AusTender</w:t>
            </w:r>
            <w:proofErr w:type="spellEnd"/>
            <w:r w:rsidRPr="00C37004">
              <w:rPr>
                <w:rFonts w:ascii="Arial" w:hAnsi="Arial" w:cs="Arial"/>
                <w:sz w:val="16"/>
                <w:szCs w:val="16"/>
              </w:rPr>
              <w:t xml:space="preserve"> platform and data were available to users in excess of 99.5% of the ti</w:t>
            </w:r>
            <w:r>
              <w:rPr>
                <w:rFonts w:ascii="Arial" w:hAnsi="Arial" w:cs="Arial"/>
                <w:sz w:val="16"/>
                <w:szCs w:val="16"/>
              </w:rPr>
              <w:t xml:space="preserve">me, against a target of 99.5%. </w:t>
            </w:r>
          </w:p>
          <w:p w:rsidR="00857E5D" w:rsidRPr="00C37004" w:rsidRDefault="00857E5D" w:rsidP="00FB59C7">
            <w:pPr>
              <w:autoSpaceDE w:val="0"/>
              <w:autoSpaceDN w:val="0"/>
              <w:adjustRightInd w:val="0"/>
              <w:spacing w:before="60" w:after="60" w:line="240" w:lineRule="auto"/>
              <w:jc w:val="left"/>
              <w:rPr>
                <w:rFonts w:ascii="Arial" w:hAnsi="Arial" w:cs="Arial"/>
                <w:sz w:val="16"/>
                <w:szCs w:val="16"/>
              </w:rPr>
            </w:pPr>
            <w:r w:rsidRPr="00C37004">
              <w:rPr>
                <w:rFonts w:ascii="Arial" w:hAnsi="Arial" w:cs="Arial"/>
                <w:sz w:val="16"/>
                <w:szCs w:val="16"/>
              </w:rPr>
              <w:t xml:space="preserve">For the period 1 July to 31 December 2021, Finance participated in: </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sidRPr="00C50527">
              <w:rPr>
                <w:rFonts w:ascii="Arial" w:eastAsia="Calibri" w:hAnsi="Arial" w:cs="Arial"/>
                <w:sz w:val="16"/>
                <w:szCs w:val="16"/>
              </w:rPr>
              <w:t>N</w:t>
            </w:r>
            <w:proofErr w:type="spellStart"/>
            <w:r w:rsidR="00E4470E" w:rsidRPr="00C50527">
              <w:rPr>
                <w:rFonts w:ascii="Arial" w:eastAsia="Calibri" w:hAnsi="Arial" w:cs="Arial"/>
                <w:sz w:val="16"/>
                <w:szCs w:val="16"/>
                <w:lang w:val="en-US"/>
              </w:rPr>
              <w:t>egotiations</w:t>
            </w:r>
            <w:proofErr w:type="spellEnd"/>
            <w:r w:rsidR="00857E5D" w:rsidRPr="00303CE6">
              <w:rPr>
                <w:rFonts w:ascii="Arial" w:eastAsia="Calibri" w:hAnsi="Arial" w:cs="Arial"/>
                <w:sz w:val="16"/>
                <w:szCs w:val="16"/>
                <w:lang w:val="en-US"/>
              </w:rPr>
              <w:t xml:space="preserve"> to </w:t>
            </w:r>
            <w:proofErr w:type="spellStart"/>
            <w:r w:rsidR="00857E5D" w:rsidRPr="00303CE6">
              <w:rPr>
                <w:rFonts w:ascii="Arial" w:eastAsia="Calibri" w:hAnsi="Arial" w:cs="Arial"/>
                <w:sz w:val="16"/>
                <w:szCs w:val="16"/>
                <w:lang w:val="en-US"/>
              </w:rPr>
              <w:t>finalise</w:t>
            </w:r>
            <w:proofErr w:type="spellEnd"/>
            <w:r w:rsidR="00857E5D" w:rsidRPr="00303CE6">
              <w:rPr>
                <w:rFonts w:ascii="Arial" w:eastAsia="Calibri" w:hAnsi="Arial" w:cs="Arial"/>
                <w:sz w:val="16"/>
                <w:szCs w:val="16"/>
                <w:lang w:val="en-US"/>
              </w:rPr>
              <w:t xml:space="preserve"> a trade agreement with the United Kingdom.</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O</w:t>
            </w:r>
            <w:r w:rsidR="00857E5D" w:rsidRPr="00303CE6">
              <w:rPr>
                <w:rFonts w:ascii="Arial" w:eastAsia="Calibri" w:hAnsi="Arial" w:cs="Arial"/>
                <w:sz w:val="16"/>
                <w:szCs w:val="16"/>
                <w:lang w:val="en-US"/>
              </w:rPr>
              <w:t>ne negotiation round of the ASEAN (Association Southeast Asian Nations)-Australia-New Zealand Free Trade Agreement.</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T</w:t>
            </w:r>
            <w:r w:rsidR="00857E5D" w:rsidRPr="00303CE6">
              <w:rPr>
                <w:rFonts w:ascii="Arial" w:eastAsia="Calibri" w:hAnsi="Arial" w:cs="Arial"/>
                <w:sz w:val="16"/>
                <w:szCs w:val="16"/>
                <w:lang w:val="en-US"/>
              </w:rPr>
              <w:t>wo meetings with India regarding possible inclusion of Government Procurement in an Australia-India Comprehensive Economic Cooperation Agreement.</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O</w:t>
            </w:r>
            <w:r w:rsidR="00857E5D" w:rsidRPr="00303CE6">
              <w:rPr>
                <w:rFonts w:ascii="Arial" w:eastAsia="Calibri" w:hAnsi="Arial" w:cs="Arial"/>
                <w:sz w:val="16"/>
                <w:szCs w:val="16"/>
                <w:lang w:val="en-US"/>
              </w:rPr>
              <w:t>ne meeting of the Organization for Economic Co-operation and Development (OECD) Working Party of the Leading Practitioners on Public Procurement and three meetings of the OECD Garment and Public Procurement Pilot.</w:t>
            </w:r>
          </w:p>
          <w:p w:rsidR="00857E5D"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lang w:val="en-US"/>
              </w:rPr>
              <w:t>O</w:t>
            </w:r>
            <w:r w:rsidR="00857E5D" w:rsidRPr="00303CE6">
              <w:rPr>
                <w:rFonts w:ascii="Arial" w:eastAsia="Calibri" w:hAnsi="Arial" w:cs="Arial"/>
                <w:sz w:val="16"/>
                <w:szCs w:val="16"/>
                <w:lang w:val="en-US"/>
              </w:rPr>
              <w:t>ne meeting of the World Trade Organization Committee on Government Procurement.</w:t>
            </w:r>
          </w:p>
          <w:p w:rsidR="00857E5D" w:rsidRPr="0052248D"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hAnsi="Arial" w:cs="Arial"/>
                <w:sz w:val="16"/>
                <w:szCs w:val="16"/>
              </w:rPr>
            </w:pPr>
            <w:r>
              <w:rPr>
                <w:rFonts w:ascii="Arial" w:eastAsia="Calibri" w:hAnsi="Arial" w:cs="Arial"/>
                <w:sz w:val="16"/>
                <w:szCs w:val="16"/>
                <w:lang w:val="en-US"/>
              </w:rPr>
              <w:t>A</w:t>
            </w:r>
            <w:r w:rsidR="00857E5D" w:rsidRPr="00303CE6">
              <w:rPr>
                <w:rFonts w:ascii="Arial" w:eastAsia="Calibri" w:hAnsi="Arial" w:cs="Arial"/>
                <w:sz w:val="16"/>
                <w:szCs w:val="16"/>
                <w:lang w:val="en-US"/>
              </w:rPr>
              <w:t xml:space="preserve"> discussion session with the </w:t>
            </w:r>
            <w:r w:rsidR="00A94FB4" w:rsidRPr="00C50527">
              <w:rPr>
                <w:rFonts w:ascii="Arial" w:eastAsia="Calibri" w:hAnsi="Arial" w:cs="Arial"/>
                <w:sz w:val="16"/>
                <w:szCs w:val="16"/>
                <w:lang w:val="en-US"/>
              </w:rPr>
              <w:t>European Union</w:t>
            </w:r>
            <w:r w:rsidR="00A94FB4">
              <w:rPr>
                <w:rFonts w:ascii="Arial" w:eastAsia="Calibri" w:hAnsi="Arial" w:cs="Arial"/>
                <w:sz w:val="16"/>
                <w:szCs w:val="16"/>
                <w:lang w:val="en-US"/>
              </w:rPr>
              <w:t xml:space="preserve"> </w:t>
            </w:r>
            <w:r w:rsidR="00857E5D" w:rsidRPr="00303CE6">
              <w:rPr>
                <w:rFonts w:ascii="Arial" w:eastAsia="Calibri" w:hAnsi="Arial" w:cs="Arial"/>
                <w:sz w:val="16"/>
                <w:szCs w:val="16"/>
                <w:lang w:val="en-US"/>
              </w:rPr>
              <w:t>in preparation for the next round of negotiations.</w:t>
            </w:r>
          </w:p>
        </w:tc>
      </w:tr>
    </w:tbl>
    <w:p w:rsidR="00040B2E" w:rsidRPr="00040B2E" w:rsidRDefault="00040B2E" w:rsidP="00040B2E">
      <w:pPr>
        <w:pStyle w:val="TableHeading"/>
        <w:rPr>
          <w:b w:val="0"/>
          <w:sz w:val="16"/>
          <w:szCs w:val="16"/>
        </w:rPr>
      </w:pPr>
      <w:r w:rsidRPr="00040B2E">
        <w:rPr>
          <w:b w:val="0"/>
          <w:color w:val="auto"/>
          <w:sz w:val="16"/>
          <w:szCs w:val="16"/>
          <w:lang w:val="en-AU"/>
        </w:rPr>
        <w:t>Table continues on next page</w:t>
      </w:r>
    </w:p>
    <w:p w:rsidR="00040B2E" w:rsidRDefault="00040B2E" w:rsidP="0052248D">
      <w:pPr>
        <w:pStyle w:val="TableHeading"/>
      </w:pPr>
    </w:p>
    <w:p w:rsidR="00040B2E" w:rsidRDefault="00040B2E" w:rsidP="00040B2E">
      <w:pPr>
        <w:pStyle w:val="TableGraphic"/>
        <w:rPr>
          <w:lang w:val="x-none" w:eastAsia="x-none"/>
        </w:rPr>
      </w:pPr>
    </w:p>
    <w:p w:rsidR="00807626" w:rsidRPr="00807626" w:rsidRDefault="00807626" w:rsidP="00807626">
      <w:pPr>
        <w:rPr>
          <w:lang w:val="x-none" w:eastAsia="x-none"/>
        </w:rPr>
      </w:pPr>
    </w:p>
    <w:p w:rsidR="00040B2E" w:rsidRPr="00040B2E" w:rsidRDefault="00040B2E" w:rsidP="00040B2E">
      <w:pPr>
        <w:rPr>
          <w:lang w:val="x-none" w:eastAsia="x-none"/>
        </w:rPr>
      </w:pPr>
    </w:p>
    <w:p w:rsidR="00A206A3" w:rsidRDefault="00115AEC" w:rsidP="0052248D">
      <w:pPr>
        <w:pStyle w:val="TableHeading"/>
        <w:rPr>
          <w:lang w:val="en-AU"/>
        </w:rPr>
      </w:pPr>
      <w:r>
        <w:lastRenderedPageBreak/>
        <w:t>Table 2.2.</w:t>
      </w:r>
      <w:r>
        <w:rPr>
          <w:lang w:val="en-AU"/>
        </w:rPr>
        <w:t>2</w:t>
      </w:r>
      <w:r w:rsidR="0008233C" w:rsidRPr="0052248D">
        <w:t>: Performance measure for Outcome 2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8"/>
        <w:gridCol w:w="3953"/>
      </w:tblGrid>
      <w:tr w:rsidR="00102932" w:rsidRPr="00361E69" w:rsidTr="00F54027">
        <w:trPr>
          <w:trHeight w:val="309"/>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02932" w:rsidRPr="00701D55" w:rsidRDefault="00777FAE" w:rsidP="002B50A9">
            <w:pPr>
              <w:tabs>
                <w:tab w:val="left" w:pos="709"/>
              </w:tabs>
              <w:spacing w:before="60" w:after="60" w:line="240" w:lineRule="auto"/>
              <w:jc w:val="left"/>
              <w:rPr>
                <w:rFonts w:ascii="Arial" w:hAnsi="Arial" w:cs="Arial"/>
                <w:b/>
                <w:sz w:val="18"/>
                <w:szCs w:val="18"/>
              </w:rPr>
            </w:pPr>
            <w:r w:rsidRPr="00BA090C">
              <w:rPr>
                <w:rFonts w:ascii="Arial" w:hAnsi="Arial"/>
                <w:b/>
                <w:sz w:val="18"/>
                <w:szCs w:val="18"/>
              </w:rPr>
              <w:t xml:space="preserve">Performance information: </w:t>
            </w:r>
            <w:r w:rsidR="00102932" w:rsidRPr="00102932">
              <w:rPr>
                <w:rFonts w:ascii="Arial" w:hAnsi="Arial" w:cs="Arial"/>
                <w:b/>
                <w:sz w:val="18"/>
                <w:szCs w:val="18"/>
              </w:rPr>
              <w:t xml:space="preserve">Program 2.5 – </w:t>
            </w:r>
            <w:r w:rsidR="00102932" w:rsidRPr="00102932">
              <w:rPr>
                <w:rFonts w:ascii="Arial" w:eastAsia="Arial" w:hAnsi="Arial" w:cs="Arial"/>
                <w:b/>
                <w:sz w:val="18"/>
                <w:szCs w:val="18"/>
              </w:rPr>
              <w:t>Technology and Procurement</w:t>
            </w:r>
          </w:p>
        </w:tc>
      </w:tr>
      <w:tr w:rsidR="00102932" w:rsidRPr="00361E69" w:rsidTr="00F54027">
        <w:trPr>
          <w:trHeight w:val="312"/>
        </w:trPr>
        <w:tc>
          <w:tcPr>
            <w:tcW w:w="1414" w:type="dxa"/>
            <w:tcBorders>
              <w:top w:val="single" w:sz="4" w:space="0" w:color="auto"/>
              <w:bottom w:val="single" w:sz="4" w:space="0" w:color="auto"/>
              <w:right w:val="single" w:sz="4" w:space="0" w:color="auto"/>
            </w:tcBorders>
          </w:tcPr>
          <w:p w:rsidR="00102932" w:rsidRPr="00102932" w:rsidRDefault="00102932" w:rsidP="008518CA">
            <w:pPr>
              <w:tabs>
                <w:tab w:val="left" w:pos="709"/>
              </w:tabs>
              <w:spacing w:before="60" w:after="60"/>
              <w:rPr>
                <w:rFonts w:ascii="Arial" w:hAnsi="Arial" w:cs="Arial"/>
                <w:b/>
                <w:sz w:val="16"/>
                <w:szCs w:val="16"/>
              </w:rPr>
            </w:pPr>
            <w:r w:rsidRPr="00102932">
              <w:rPr>
                <w:rFonts w:ascii="Arial" w:hAnsi="Arial" w:cs="Arial"/>
                <w:b/>
                <w:sz w:val="16"/>
                <w:szCs w:val="16"/>
              </w:rPr>
              <w:t>Year</w:t>
            </w:r>
          </w:p>
        </w:tc>
        <w:tc>
          <w:tcPr>
            <w:tcW w:w="2288" w:type="dxa"/>
            <w:tcBorders>
              <w:top w:val="single" w:sz="4" w:space="0" w:color="auto"/>
              <w:left w:val="single" w:sz="4" w:space="0" w:color="auto"/>
              <w:bottom w:val="single" w:sz="4" w:space="0" w:color="auto"/>
              <w:right w:val="single" w:sz="4" w:space="0" w:color="auto"/>
            </w:tcBorders>
          </w:tcPr>
          <w:p w:rsidR="00102932" w:rsidRPr="00102932" w:rsidRDefault="00102932" w:rsidP="008518CA">
            <w:pPr>
              <w:tabs>
                <w:tab w:val="left" w:pos="709"/>
                <w:tab w:val="center" w:pos="1818"/>
              </w:tabs>
              <w:spacing w:before="60" w:after="60"/>
              <w:rPr>
                <w:rFonts w:ascii="Arial" w:hAnsi="Arial" w:cs="Arial"/>
                <w:b/>
                <w:sz w:val="16"/>
                <w:szCs w:val="16"/>
              </w:rPr>
            </w:pPr>
            <w:r w:rsidRPr="00102932">
              <w:rPr>
                <w:rFonts w:ascii="Arial" w:hAnsi="Arial" w:cs="Arial"/>
                <w:b/>
                <w:sz w:val="16"/>
                <w:szCs w:val="16"/>
              </w:rPr>
              <w:t>Performance measures</w:t>
            </w:r>
          </w:p>
        </w:tc>
        <w:tc>
          <w:tcPr>
            <w:tcW w:w="3953" w:type="dxa"/>
            <w:tcBorders>
              <w:top w:val="single" w:sz="4" w:space="0" w:color="auto"/>
              <w:left w:val="single" w:sz="4" w:space="0" w:color="auto"/>
              <w:bottom w:val="single" w:sz="4" w:space="0" w:color="auto"/>
            </w:tcBorders>
          </w:tcPr>
          <w:p w:rsidR="00102932" w:rsidRPr="00102932" w:rsidRDefault="00102932" w:rsidP="008518CA">
            <w:pPr>
              <w:tabs>
                <w:tab w:val="left" w:pos="709"/>
              </w:tabs>
              <w:spacing w:before="60" w:after="60"/>
              <w:rPr>
                <w:rFonts w:ascii="Arial" w:hAnsi="Arial" w:cs="Arial"/>
                <w:b/>
                <w:sz w:val="16"/>
                <w:szCs w:val="16"/>
              </w:rPr>
            </w:pPr>
            <w:r w:rsidRPr="00102932">
              <w:rPr>
                <w:rFonts w:ascii="Arial" w:hAnsi="Arial" w:cs="Arial"/>
                <w:b/>
                <w:sz w:val="16"/>
                <w:szCs w:val="16"/>
              </w:rPr>
              <w:t>Expected Performance Results</w:t>
            </w:r>
          </w:p>
        </w:tc>
      </w:tr>
      <w:tr w:rsidR="00102932" w:rsidRPr="004559BE" w:rsidTr="007C6F9F">
        <w:trPr>
          <w:trHeight w:val="2437"/>
        </w:trPr>
        <w:tc>
          <w:tcPr>
            <w:tcW w:w="1414" w:type="dxa"/>
            <w:tcBorders>
              <w:top w:val="single" w:sz="4" w:space="0" w:color="auto"/>
              <w:right w:val="single" w:sz="4" w:space="0" w:color="auto"/>
            </w:tcBorders>
          </w:tcPr>
          <w:p w:rsidR="00B56872" w:rsidRPr="00102932" w:rsidRDefault="00B56872" w:rsidP="00F445EC">
            <w:pPr>
              <w:tabs>
                <w:tab w:val="left" w:pos="709"/>
              </w:tabs>
              <w:spacing w:before="60" w:after="60" w:line="240" w:lineRule="auto"/>
              <w:jc w:val="left"/>
              <w:rPr>
                <w:rFonts w:ascii="Arial" w:hAnsi="Arial" w:cs="Arial"/>
                <w:sz w:val="16"/>
                <w:szCs w:val="16"/>
              </w:rPr>
            </w:pPr>
            <w:r w:rsidRPr="00F96D93">
              <w:rPr>
                <w:rFonts w:ascii="Arial" w:hAnsi="Arial" w:cs="Arial"/>
                <w:sz w:val="16"/>
                <w:szCs w:val="16"/>
              </w:rPr>
              <w:t>Current year 2021-22</w:t>
            </w:r>
            <w:r w:rsidR="00F445EC">
              <w:rPr>
                <w:rFonts w:ascii="Arial" w:hAnsi="Arial" w:cs="Arial"/>
                <w:sz w:val="16"/>
                <w:szCs w:val="16"/>
              </w:rPr>
              <w:t xml:space="preserve"> </w:t>
            </w:r>
            <w:r>
              <w:rPr>
                <w:rFonts w:ascii="Arial" w:hAnsi="Arial" w:cs="Arial"/>
                <w:sz w:val="16"/>
                <w:szCs w:val="16"/>
              </w:rPr>
              <w:t>(continued)</w:t>
            </w:r>
          </w:p>
        </w:tc>
        <w:tc>
          <w:tcPr>
            <w:tcW w:w="2288" w:type="dxa"/>
            <w:tcBorders>
              <w:top w:val="single" w:sz="4" w:space="0" w:color="auto"/>
              <w:left w:val="single" w:sz="4" w:space="0" w:color="auto"/>
              <w:right w:val="single" w:sz="4" w:space="0" w:color="auto"/>
            </w:tcBorders>
          </w:tcPr>
          <w:p w:rsidR="00102932" w:rsidRPr="00102932" w:rsidRDefault="00102932" w:rsidP="00303CE6">
            <w:pPr>
              <w:autoSpaceDE w:val="0"/>
              <w:autoSpaceDN w:val="0"/>
              <w:adjustRightInd w:val="0"/>
              <w:spacing w:before="60" w:after="60" w:line="240" w:lineRule="auto"/>
              <w:rPr>
                <w:rFonts w:ascii="Arial" w:hAnsi="Arial" w:cs="Arial"/>
                <w:sz w:val="16"/>
                <w:szCs w:val="16"/>
              </w:rPr>
            </w:pPr>
          </w:p>
        </w:tc>
        <w:tc>
          <w:tcPr>
            <w:tcW w:w="3953" w:type="dxa"/>
            <w:tcBorders>
              <w:top w:val="single" w:sz="4" w:space="0" w:color="auto"/>
              <w:left w:val="single" w:sz="4" w:space="0" w:color="auto"/>
            </w:tcBorders>
          </w:tcPr>
          <w:p w:rsidR="00F748B1" w:rsidRPr="00303CE6" w:rsidRDefault="00B96A82" w:rsidP="00DA1F4B">
            <w:pPr>
              <w:numPr>
                <w:ilvl w:val="0"/>
                <w:numId w:val="34"/>
              </w:numPr>
              <w:tabs>
                <w:tab w:val="left" w:pos="442"/>
              </w:tabs>
              <w:autoSpaceDE w:val="0"/>
              <w:autoSpaceDN w:val="0"/>
              <w:adjustRightInd w:val="0"/>
              <w:spacing w:before="60" w:after="60" w:line="240" w:lineRule="auto"/>
              <w:ind w:left="374" w:hanging="357"/>
              <w:contextualSpacing/>
              <w:jc w:val="left"/>
              <w:rPr>
                <w:rFonts w:ascii="Arial" w:eastAsia="Calibri" w:hAnsi="Arial" w:cs="Arial"/>
                <w:sz w:val="16"/>
                <w:szCs w:val="16"/>
                <w:lang w:val="en-US"/>
              </w:rPr>
            </w:pPr>
            <w:r>
              <w:rPr>
                <w:rFonts w:ascii="Arial" w:eastAsia="Calibri" w:hAnsi="Arial" w:cs="Arial"/>
                <w:sz w:val="16"/>
                <w:szCs w:val="16"/>
              </w:rPr>
              <w:t>M</w:t>
            </w:r>
            <w:proofErr w:type="spellStart"/>
            <w:r w:rsidR="00102932" w:rsidRPr="00303CE6">
              <w:rPr>
                <w:rFonts w:ascii="Arial" w:eastAsia="Calibri" w:hAnsi="Arial" w:cs="Arial"/>
                <w:sz w:val="16"/>
                <w:szCs w:val="16"/>
                <w:lang w:val="en-US"/>
              </w:rPr>
              <w:t>eetings</w:t>
            </w:r>
            <w:proofErr w:type="spellEnd"/>
            <w:r w:rsidR="00102932" w:rsidRPr="00303CE6">
              <w:rPr>
                <w:rFonts w:ascii="Arial" w:eastAsia="Calibri" w:hAnsi="Arial" w:cs="Arial"/>
                <w:sz w:val="16"/>
                <w:szCs w:val="16"/>
                <w:lang w:val="en-US"/>
              </w:rPr>
              <w:t xml:space="preserve"> and knowledge sharing events held by the Asia</w:t>
            </w:r>
            <w:r w:rsidR="00102932" w:rsidRPr="00303CE6">
              <w:rPr>
                <w:rFonts w:ascii="Arial" w:eastAsia="Calibri" w:hAnsi="Arial" w:cs="Arial"/>
                <w:sz w:val="16"/>
                <w:szCs w:val="16"/>
                <w:lang w:val="en-US"/>
              </w:rPr>
              <w:noBreakHyphen/>
              <w:t xml:space="preserve">Pacific Economic Cooperation, the OECD and the Association of Southeast Asian Nations Secretariat.  </w:t>
            </w:r>
          </w:p>
          <w:p w:rsidR="004F3044" w:rsidRPr="00102932" w:rsidRDefault="00102932" w:rsidP="00FB59C7">
            <w:pPr>
              <w:autoSpaceDE w:val="0"/>
              <w:autoSpaceDN w:val="0"/>
              <w:spacing w:before="60" w:after="60" w:line="240" w:lineRule="auto"/>
              <w:jc w:val="left"/>
              <w:rPr>
                <w:rFonts w:ascii="Arial" w:hAnsi="Arial" w:cs="Arial"/>
                <w:iCs/>
                <w:sz w:val="16"/>
                <w:szCs w:val="16"/>
                <w:lang w:eastAsia="en-US"/>
              </w:rPr>
            </w:pPr>
            <w:r w:rsidRPr="00102932">
              <w:rPr>
                <w:rFonts w:ascii="Arial" w:hAnsi="Arial" w:cs="Arial"/>
                <w:iCs/>
                <w:sz w:val="16"/>
                <w:szCs w:val="16"/>
                <w:lang w:eastAsia="en-US"/>
              </w:rPr>
              <w:t>The </w:t>
            </w:r>
            <w:proofErr w:type="spellStart"/>
            <w:r w:rsidRPr="00102932">
              <w:rPr>
                <w:rFonts w:ascii="Arial" w:hAnsi="Arial" w:cs="Arial"/>
                <w:iCs/>
                <w:sz w:val="16"/>
                <w:szCs w:val="16"/>
                <w:lang w:eastAsia="en-US"/>
              </w:rPr>
              <w:t>WoAG</w:t>
            </w:r>
            <w:proofErr w:type="spellEnd"/>
            <w:r w:rsidRPr="00102932">
              <w:rPr>
                <w:rFonts w:ascii="Arial" w:hAnsi="Arial" w:cs="Arial"/>
                <w:iCs/>
                <w:sz w:val="16"/>
                <w:szCs w:val="16"/>
                <w:lang w:eastAsia="en-US"/>
              </w:rPr>
              <w:t> Travel and Fleet arrangements are periodically benchmarked against other governments and comparable peers.  Benchmarking confirms these arrangements continue to deliver savings and efficiencies for the Australian Government. </w:t>
            </w:r>
          </w:p>
          <w:p w:rsidR="00102932" w:rsidRPr="00102932" w:rsidRDefault="00102932" w:rsidP="00FB59C7">
            <w:pPr>
              <w:autoSpaceDE w:val="0"/>
              <w:autoSpaceDN w:val="0"/>
              <w:spacing w:before="60" w:after="60" w:line="240" w:lineRule="auto"/>
              <w:jc w:val="left"/>
              <w:rPr>
                <w:rFonts w:ascii="Arial" w:hAnsi="Arial" w:cs="Arial"/>
                <w:sz w:val="16"/>
                <w:szCs w:val="16"/>
              </w:rPr>
            </w:pPr>
            <w:r w:rsidRPr="00102932">
              <w:rPr>
                <w:rFonts w:ascii="Arial" w:hAnsi="Arial" w:cs="Arial"/>
                <w:iCs/>
                <w:sz w:val="16"/>
                <w:szCs w:val="16"/>
                <w:lang w:eastAsia="en-US"/>
              </w:rPr>
              <w:t>With the first phase of the Management Advisory Services Panel, Finance achieved reductions in cost of up to 50% when compared to existing Panel arrangements.</w:t>
            </w:r>
          </w:p>
        </w:tc>
      </w:tr>
      <w:tr w:rsidR="00102932" w:rsidRPr="001B2F81" w:rsidTr="007C6F9F">
        <w:trPr>
          <w:trHeight w:val="309"/>
        </w:trPr>
        <w:tc>
          <w:tcPr>
            <w:tcW w:w="1414" w:type="dxa"/>
            <w:tcBorders>
              <w:top w:val="single" w:sz="4" w:space="0" w:color="auto"/>
              <w:bottom w:val="dotted" w:sz="4" w:space="0" w:color="auto"/>
              <w:right w:val="single" w:sz="4" w:space="0" w:color="auto"/>
            </w:tcBorders>
          </w:tcPr>
          <w:p w:rsidR="00102932" w:rsidRPr="008636BF" w:rsidRDefault="00102932" w:rsidP="008636BF">
            <w:pPr>
              <w:tabs>
                <w:tab w:val="left" w:pos="709"/>
              </w:tabs>
              <w:spacing w:before="60" w:after="60" w:line="240" w:lineRule="auto"/>
              <w:jc w:val="left"/>
              <w:rPr>
                <w:rFonts w:ascii="Arial" w:hAnsi="Arial" w:cs="Arial"/>
                <w:sz w:val="16"/>
                <w:szCs w:val="16"/>
              </w:rPr>
            </w:pPr>
            <w:r w:rsidRPr="008636BF">
              <w:rPr>
                <w:rFonts w:ascii="Arial" w:hAnsi="Arial" w:cs="Arial"/>
                <w:b/>
                <w:sz w:val="16"/>
                <w:szCs w:val="16"/>
              </w:rPr>
              <w:t>Year</w:t>
            </w:r>
          </w:p>
        </w:tc>
        <w:tc>
          <w:tcPr>
            <w:tcW w:w="2288" w:type="dxa"/>
            <w:tcBorders>
              <w:top w:val="single" w:sz="4" w:space="0" w:color="auto"/>
              <w:left w:val="single" w:sz="4" w:space="0" w:color="auto"/>
              <w:bottom w:val="dotted" w:sz="4" w:space="0" w:color="auto"/>
              <w:right w:val="single" w:sz="4" w:space="0" w:color="auto"/>
            </w:tcBorders>
          </w:tcPr>
          <w:p w:rsidR="00102932" w:rsidRPr="008636BF" w:rsidRDefault="0052248D" w:rsidP="008636BF">
            <w:pPr>
              <w:tabs>
                <w:tab w:val="left" w:pos="709"/>
              </w:tabs>
              <w:spacing w:before="60" w:after="60" w:line="240" w:lineRule="auto"/>
              <w:jc w:val="left"/>
              <w:rPr>
                <w:rFonts w:ascii="Arial" w:hAnsi="Arial" w:cs="Arial"/>
                <w:sz w:val="16"/>
                <w:szCs w:val="16"/>
              </w:rPr>
            </w:pPr>
            <w:r w:rsidRPr="008636BF">
              <w:rPr>
                <w:rFonts w:ascii="Arial" w:hAnsi="Arial" w:cs="Arial"/>
                <w:b/>
                <w:sz w:val="16"/>
                <w:szCs w:val="16"/>
              </w:rPr>
              <w:t xml:space="preserve">Performance measures </w:t>
            </w:r>
          </w:p>
        </w:tc>
        <w:tc>
          <w:tcPr>
            <w:tcW w:w="3953" w:type="dxa"/>
            <w:tcBorders>
              <w:top w:val="single" w:sz="4" w:space="0" w:color="auto"/>
              <w:left w:val="single" w:sz="4" w:space="0" w:color="auto"/>
              <w:bottom w:val="dotted" w:sz="4" w:space="0" w:color="auto"/>
            </w:tcBorders>
          </w:tcPr>
          <w:p w:rsidR="00102932" w:rsidRPr="008636BF" w:rsidRDefault="00102932" w:rsidP="008636BF">
            <w:pPr>
              <w:tabs>
                <w:tab w:val="left" w:pos="709"/>
              </w:tabs>
              <w:spacing w:before="60" w:after="60" w:line="240" w:lineRule="auto"/>
              <w:jc w:val="left"/>
              <w:rPr>
                <w:rFonts w:ascii="Arial" w:hAnsi="Arial" w:cs="Arial"/>
                <w:i/>
                <w:color w:val="0070C0"/>
                <w:sz w:val="16"/>
                <w:szCs w:val="16"/>
              </w:rPr>
            </w:pPr>
            <w:r w:rsidRPr="008636BF">
              <w:rPr>
                <w:rFonts w:ascii="Arial" w:hAnsi="Arial" w:cs="Arial"/>
                <w:b/>
                <w:sz w:val="16"/>
                <w:szCs w:val="16"/>
              </w:rPr>
              <w:t>Planned Performance Results</w:t>
            </w:r>
          </w:p>
        </w:tc>
      </w:tr>
      <w:tr w:rsidR="00102932" w:rsidRPr="00361E69" w:rsidTr="007C6F9F">
        <w:trPr>
          <w:trHeight w:val="2318"/>
        </w:trPr>
        <w:tc>
          <w:tcPr>
            <w:tcW w:w="1414" w:type="dxa"/>
            <w:tcBorders>
              <w:top w:val="single" w:sz="4" w:space="0" w:color="auto"/>
              <w:right w:val="single" w:sz="4" w:space="0" w:color="auto"/>
            </w:tcBorders>
          </w:tcPr>
          <w:p w:rsidR="00102932" w:rsidRPr="008636BF" w:rsidRDefault="00102932" w:rsidP="00785EA1">
            <w:pPr>
              <w:tabs>
                <w:tab w:val="left" w:pos="709"/>
              </w:tabs>
              <w:spacing w:before="60" w:after="60" w:line="240" w:lineRule="auto"/>
              <w:jc w:val="left"/>
              <w:rPr>
                <w:rFonts w:ascii="Arial" w:hAnsi="Arial" w:cs="Arial"/>
                <w:sz w:val="16"/>
                <w:szCs w:val="16"/>
              </w:rPr>
            </w:pPr>
            <w:r w:rsidRPr="008636BF">
              <w:rPr>
                <w:rFonts w:ascii="Arial" w:hAnsi="Arial" w:cs="Arial"/>
                <w:sz w:val="16"/>
                <w:szCs w:val="16"/>
              </w:rPr>
              <w:t>Budget Year 2022-23</w:t>
            </w:r>
          </w:p>
        </w:tc>
        <w:tc>
          <w:tcPr>
            <w:tcW w:w="2288" w:type="dxa"/>
            <w:tcBorders>
              <w:top w:val="single" w:sz="4" w:space="0" w:color="auto"/>
              <w:left w:val="single" w:sz="4" w:space="0" w:color="auto"/>
              <w:right w:val="single" w:sz="4" w:space="0" w:color="auto"/>
            </w:tcBorders>
          </w:tcPr>
          <w:p w:rsidR="00102932" w:rsidRPr="008636BF" w:rsidRDefault="00C96C9E" w:rsidP="00FB59C7">
            <w:pPr>
              <w:tabs>
                <w:tab w:val="left" w:pos="709"/>
              </w:tabs>
              <w:autoSpaceDE w:val="0"/>
              <w:autoSpaceDN w:val="0"/>
              <w:spacing w:before="60" w:after="60" w:line="240" w:lineRule="auto"/>
              <w:jc w:val="left"/>
              <w:rPr>
                <w:rFonts w:ascii="Arial" w:eastAsia="Arial" w:hAnsi="Arial" w:cs="Arial"/>
                <w:b/>
                <w:sz w:val="16"/>
                <w:szCs w:val="16"/>
              </w:rPr>
            </w:pPr>
            <w:r w:rsidRPr="008636BF">
              <w:rPr>
                <w:rFonts w:ascii="Arial" w:eastAsia="Arial" w:hAnsi="Arial" w:cs="Arial"/>
                <w:b/>
                <w:sz w:val="16"/>
                <w:szCs w:val="16"/>
              </w:rPr>
              <w:t xml:space="preserve">Stewardship over procurement </w:t>
            </w:r>
            <w:r w:rsidR="00102932" w:rsidRPr="008636BF">
              <w:rPr>
                <w:rFonts w:ascii="Arial" w:eastAsia="Arial" w:hAnsi="Arial" w:cs="Arial"/>
                <w:b/>
                <w:sz w:val="16"/>
                <w:szCs w:val="16"/>
              </w:rPr>
              <w:t>systems and policies</w:t>
            </w:r>
          </w:p>
          <w:p w:rsidR="00102932" w:rsidRPr="008636BF" w:rsidRDefault="00C96C9E"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 xml:space="preserve">Finance works with external </w:t>
            </w:r>
            <w:r w:rsidR="00102932" w:rsidRPr="008636BF">
              <w:rPr>
                <w:rFonts w:ascii="Arial" w:eastAsia="Arial" w:hAnsi="Arial" w:cs="Arial"/>
                <w:sz w:val="16"/>
                <w:szCs w:val="16"/>
              </w:rPr>
              <w:t>stakeholders to:</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Provi</w:t>
            </w:r>
            <w:r w:rsidR="008636BF">
              <w:rPr>
                <w:rFonts w:ascii="Arial" w:eastAsia="Arial" w:hAnsi="Arial" w:cs="Arial"/>
                <w:sz w:val="16"/>
                <w:szCs w:val="16"/>
              </w:rPr>
              <w:t xml:space="preserve">de stewardship over systems and </w:t>
            </w:r>
            <w:r w:rsidRPr="008636BF">
              <w:rPr>
                <w:rFonts w:ascii="Arial" w:eastAsia="Arial" w:hAnsi="Arial" w:cs="Arial"/>
                <w:sz w:val="16"/>
                <w:szCs w:val="16"/>
              </w:rPr>
              <w:t>policies to support a fair, efficient, and</w:t>
            </w:r>
            <w:r w:rsidR="00F748B1" w:rsidRPr="008636BF">
              <w:rPr>
                <w:rFonts w:ascii="Arial" w:eastAsia="Arial" w:hAnsi="Arial" w:cs="Arial"/>
                <w:sz w:val="16"/>
                <w:szCs w:val="16"/>
              </w:rPr>
              <w:t xml:space="preserve"> </w:t>
            </w:r>
            <w:r w:rsidRPr="008636BF">
              <w:rPr>
                <w:rFonts w:ascii="Arial" w:eastAsia="Arial" w:hAnsi="Arial" w:cs="Arial"/>
                <w:sz w:val="16"/>
                <w:szCs w:val="16"/>
              </w:rPr>
              <w:t>transparent procurement framework.</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Implemen</w:t>
            </w:r>
            <w:r w:rsidR="008636BF">
              <w:rPr>
                <w:rFonts w:ascii="Arial" w:eastAsia="Arial" w:hAnsi="Arial" w:cs="Arial"/>
                <w:sz w:val="16"/>
                <w:szCs w:val="16"/>
              </w:rPr>
              <w:t xml:space="preserve">t and maintain </w:t>
            </w:r>
            <w:proofErr w:type="spellStart"/>
            <w:r w:rsidR="008636BF">
              <w:rPr>
                <w:rFonts w:ascii="Arial" w:eastAsia="Arial" w:hAnsi="Arial" w:cs="Arial"/>
                <w:sz w:val="16"/>
                <w:szCs w:val="16"/>
              </w:rPr>
              <w:t>WoAG</w:t>
            </w:r>
            <w:proofErr w:type="spellEnd"/>
            <w:r w:rsidR="008636BF">
              <w:rPr>
                <w:rFonts w:ascii="Arial" w:eastAsia="Arial" w:hAnsi="Arial" w:cs="Arial"/>
                <w:sz w:val="16"/>
                <w:szCs w:val="16"/>
              </w:rPr>
              <w:t xml:space="preserve"> procurement </w:t>
            </w:r>
            <w:r w:rsidRPr="008636BF">
              <w:rPr>
                <w:rFonts w:ascii="Arial" w:eastAsia="Arial" w:hAnsi="Arial" w:cs="Arial"/>
                <w:sz w:val="16"/>
                <w:szCs w:val="16"/>
              </w:rPr>
              <w:t>arrangements for non-ICT services (e.g.</w:t>
            </w:r>
            <w:r w:rsidR="00F748B1" w:rsidRPr="008636BF">
              <w:rPr>
                <w:rFonts w:ascii="Arial" w:eastAsia="Arial" w:hAnsi="Arial" w:cs="Arial"/>
                <w:sz w:val="16"/>
                <w:szCs w:val="16"/>
              </w:rPr>
              <w:t xml:space="preserve"> </w:t>
            </w:r>
            <w:r w:rsidRPr="008636BF">
              <w:rPr>
                <w:rFonts w:ascii="Arial" w:eastAsia="Arial" w:hAnsi="Arial" w:cs="Arial"/>
                <w:sz w:val="16"/>
                <w:szCs w:val="16"/>
              </w:rPr>
              <w:t>travel bookings and stationery)</w:t>
            </w:r>
            <w:r w:rsidR="00F748B1" w:rsidRPr="008636BF">
              <w:rPr>
                <w:rFonts w:ascii="Arial" w:eastAsia="Arial" w:hAnsi="Arial" w:cs="Arial"/>
                <w:sz w:val="16"/>
                <w:szCs w:val="16"/>
              </w:rPr>
              <w:t xml:space="preserve"> </w:t>
            </w:r>
            <w:r w:rsidRPr="008636BF">
              <w:rPr>
                <w:rFonts w:ascii="Arial" w:eastAsia="Arial" w:hAnsi="Arial" w:cs="Arial"/>
                <w:sz w:val="16"/>
                <w:szCs w:val="16"/>
              </w:rPr>
              <w:t>to gener</w:t>
            </w:r>
            <w:r w:rsidR="00F748B1" w:rsidRPr="008636BF">
              <w:rPr>
                <w:rFonts w:ascii="Arial" w:eastAsia="Arial" w:hAnsi="Arial" w:cs="Arial"/>
                <w:sz w:val="16"/>
                <w:szCs w:val="16"/>
              </w:rPr>
              <w:t xml:space="preserve">ate price savings and operating </w:t>
            </w:r>
            <w:r w:rsidRPr="008636BF">
              <w:rPr>
                <w:rFonts w:ascii="Arial" w:eastAsia="Arial" w:hAnsi="Arial" w:cs="Arial"/>
                <w:sz w:val="16"/>
                <w:szCs w:val="16"/>
              </w:rPr>
              <w:t>efficiencies.</w:t>
            </w:r>
          </w:p>
        </w:tc>
        <w:tc>
          <w:tcPr>
            <w:tcW w:w="3953" w:type="dxa"/>
            <w:tcBorders>
              <w:top w:val="single" w:sz="4" w:space="0" w:color="auto"/>
              <w:left w:val="single" w:sz="4" w:space="0" w:color="auto"/>
            </w:tcBorders>
          </w:tcPr>
          <w:p w:rsidR="004F3044"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Effectiveness of Finance's stewardship, policy advice,</w:t>
            </w:r>
            <w:r w:rsidR="00F748B1" w:rsidRPr="008636BF">
              <w:rPr>
                <w:rFonts w:ascii="Arial" w:eastAsia="Arial" w:hAnsi="Arial" w:cs="Arial"/>
                <w:sz w:val="16"/>
                <w:szCs w:val="16"/>
              </w:rPr>
              <w:t xml:space="preserve"> engagement and guidance on </w:t>
            </w:r>
            <w:r w:rsidRPr="008636BF">
              <w:rPr>
                <w:rFonts w:ascii="Arial" w:eastAsia="Arial" w:hAnsi="Arial" w:cs="Arial"/>
                <w:sz w:val="16"/>
                <w:szCs w:val="16"/>
              </w:rPr>
              <w:t>procurement systems and policies.</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proofErr w:type="spellStart"/>
            <w:r w:rsidRPr="008636BF">
              <w:rPr>
                <w:rFonts w:ascii="Arial" w:eastAsia="Arial" w:hAnsi="Arial" w:cs="Arial"/>
                <w:sz w:val="16"/>
                <w:szCs w:val="16"/>
              </w:rPr>
              <w:t>AusTender</w:t>
            </w:r>
            <w:proofErr w:type="spellEnd"/>
            <w:r w:rsidRPr="008636BF">
              <w:rPr>
                <w:rFonts w:ascii="Arial" w:eastAsia="Arial" w:hAnsi="Arial" w:cs="Arial"/>
                <w:sz w:val="16"/>
                <w:szCs w:val="16"/>
              </w:rPr>
              <w:t xml:space="preserve"> platform and data is available to users 99.5% of the time.</w:t>
            </w:r>
          </w:p>
          <w:p w:rsidR="00102932"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r w:rsidRPr="008636BF">
              <w:rPr>
                <w:rFonts w:ascii="Arial" w:eastAsia="Arial" w:hAnsi="Arial" w:cs="Arial"/>
                <w:sz w:val="16"/>
                <w:szCs w:val="16"/>
              </w:rPr>
              <w:t xml:space="preserve">Engagement with domestic and international </w:t>
            </w:r>
          </w:p>
          <w:p w:rsidR="004F3044" w:rsidRPr="008636BF" w:rsidRDefault="00102932" w:rsidP="00FB59C7">
            <w:pPr>
              <w:tabs>
                <w:tab w:val="left" w:pos="709"/>
              </w:tabs>
              <w:autoSpaceDE w:val="0"/>
              <w:autoSpaceDN w:val="0"/>
              <w:spacing w:before="60" w:after="60" w:line="240" w:lineRule="auto"/>
              <w:jc w:val="left"/>
              <w:rPr>
                <w:rFonts w:ascii="Arial" w:eastAsia="Arial" w:hAnsi="Arial" w:cs="Arial"/>
                <w:sz w:val="16"/>
                <w:szCs w:val="16"/>
              </w:rPr>
            </w:pPr>
            <w:proofErr w:type="gramStart"/>
            <w:r w:rsidRPr="008636BF">
              <w:rPr>
                <w:rFonts w:ascii="Arial" w:eastAsia="Arial" w:hAnsi="Arial" w:cs="Arial"/>
                <w:sz w:val="16"/>
                <w:szCs w:val="16"/>
              </w:rPr>
              <w:t>stakeholders</w:t>
            </w:r>
            <w:proofErr w:type="gramEnd"/>
            <w:r w:rsidRPr="008636BF">
              <w:rPr>
                <w:rFonts w:ascii="Arial" w:eastAsia="Arial" w:hAnsi="Arial" w:cs="Arial"/>
                <w:sz w:val="16"/>
                <w:szCs w:val="16"/>
              </w:rPr>
              <w:t xml:space="preserve"> su</w:t>
            </w:r>
            <w:r w:rsidR="0052248D" w:rsidRPr="008636BF">
              <w:rPr>
                <w:rFonts w:ascii="Arial" w:eastAsia="Arial" w:hAnsi="Arial" w:cs="Arial"/>
                <w:sz w:val="16"/>
                <w:szCs w:val="16"/>
              </w:rPr>
              <w:t xml:space="preserve">pports information exchange on </w:t>
            </w:r>
            <w:r w:rsidRPr="008636BF">
              <w:rPr>
                <w:rFonts w:ascii="Arial" w:eastAsia="Arial" w:hAnsi="Arial" w:cs="Arial"/>
                <w:sz w:val="16"/>
                <w:szCs w:val="16"/>
              </w:rPr>
              <w:t>advances in procurement policy.</w:t>
            </w:r>
          </w:p>
          <w:p w:rsidR="00102932" w:rsidRPr="008636BF" w:rsidRDefault="004C2CC5" w:rsidP="00FB59C7">
            <w:pPr>
              <w:autoSpaceDE w:val="0"/>
              <w:autoSpaceDN w:val="0"/>
              <w:spacing w:before="60" w:after="60" w:line="240" w:lineRule="auto"/>
              <w:jc w:val="left"/>
              <w:rPr>
                <w:rFonts w:ascii="Arial" w:eastAsia="Arial" w:hAnsi="Arial" w:cs="Arial"/>
                <w:sz w:val="16"/>
                <w:szCs w:val="16"/>
              </w:rPr>
            </w:pPr>
            <w:r>
              <w:rPr>
                <w:rFonts w:ascii="Arial" w:eastAsia="Arial" w:hAnsi="Arial" w:cs="Arial"/>
                <w:sz w:val="16"/>
                <w:szCs w:val="16"/>
              </w:rPr>
              <w:t>S</w:t>
            </w:r>
            <w:r w:rsidR="00102932" w:rsidRPr="008636BF">
              <w:rPr>
                <w:rFonts w:ascii="Arial" w:eastAsia="Arial" w:hAnsi="Arial" w:cs="Arial"/>
                <w:sz w:val="16"/>
                <w:szCs w:val="16"/>
              </w:rPr>
              <w:t xml:space="preserve">avings and efficiencies from </w:t>
            </w:r>
            <w:proofErr w:type="spellStart"/>
            <w:r w:rsidR="00102932" w:rsidRPr="008636BF">
              <w:rPr>
                <w:rFonts w:ascii="Arial" w:eastAsia="Arial" w:hAnsi="Arial" w:cs="Arial"/>
                <w:sz w:val="16"/>
                <w:szCs w:val="16"/>
              </w:rPr>
              <w:t>WoAG</w:t>
            </w:r>
            <w:proofErr w:type="spellEnd"/>
            <w:r w:rsidR="00102932" w:rsidRPr="008636BF">
              <w:rPr>
                <w:rFonts w:ascii="Arial" w:eastAsia="Arial" w:hAnsi="Arial" w:cs="Arial"/>
                <w:sz w:val="16"/>
                <w:szCs w:val="16"/>
              </w:rPr>
              <w:t xml:space="preserve"> arrangement</w:t>
            </w:r>
            <w:r w:rsidR="00F748B1" w:rsidRPr="008636BF">
              <w:rPr>
                <w:rFonts w:ascii="Arial" w:eastAsia="Arial" w:hAnsi="Arial" w:cs="Arial"/>
                <w:sz w:val="16"/>
                <w:szCs w:val="16"/>
              </w:rPr>
              <w:t xml:space="preserve">s are compared, where possible, </w:t>
            </w:r>
            <w:r w:rsidR="00102932" w:rsidRPr="008636BF">
              <w:rPr>
                <w:rFonts w:ascii="Arial" w:eastAsia="Arial" w:hAnsi="Arial" w:cs="Arial"/>
                <w:sz w:val="16"/>
                <w:szCs w:val="16"/>
              </w:rPr>
              <w:t>against</w:t>
            </w:r>
            <w:r w:rsidR="00F748B1" w:rsidRPr="008636BF">
              <w:rPr>
                <w:rFonts w:ascii="Arial" w:eastAsia="Arial" w:hAnsi="Arial" w:cs="Arial"/>
                <w:sz w:val="16"/>
                <w:szCs w:val="16"/>
              </w:rPr>
              <w:t xml:space="preserve"> similar arrangements, previous </w:t>
            </w:r>
            <w:r w:rsidR="00102932" w:rsidRPr="008636BF">
              <w:rPr>
                <w:rFonts w:ascii="Arial" w:eastAsia="Arial" w:hAnsi="Arial" w:cs="Arial"/>
                <w:sz w:val="16"/>
                <w:szCs w:val="16"/>
              </w:rPr>
              <w:t>arrangements or markets.</w:t>
            </w:r>
          </w:p>
        </w:tc>
      </w:tr>
      <w:tr w:rsidR="00BB5846" w:rsidRPr="00D61BE4" w:rsidTr="007C6F9F">
        <w:trPr>
          <w:trHeight w:val="281"/>
        </w:trPr>
        <w:tc>
          <w:tcPr>
            <w:tcW w:w="1414" w:type="dxa"/>
            <w:tcBorders>
              <w:top w:val="single" w:sz="4" w:space="0" w:color="auto"/>
              <w:left w:val="single" w:sz="4" w:space="0" w:color="auto"/>
              <w:bottom w:val="single" w:sz="4" w:space="0" w:color="auto"/>
              <w:right w:val="single" w:sz="4" w:space="0" w:color="auto"/>
            </w:tcBorders>
          </w:tcPr>
          <w:p w:rsidR="00BB5846" w:rsidRPr="00BB5846" w:rsidRDefault="00BB5846" w:rsidP="00F445EC">
            <w:pPr>
              <w:tabs>
                <w:tab w:val="left" w:pos="709"/>
              </w:tabs>
              <w:spacing w:before="60" w:after="60" w:line="240" w:lineRule="auto"/>
              <w:jc w:val="left"/>
              <w:rPr>
                <w:rFonts w:ascii="Arial" w:hAnsi="Arial" w:cs="Arial"/>
                <w:sz w:val="16"/>
                <w:szCs w:val="16"/>
              </w:rPr>
            </w:pPr>
            <w:r w:rsidRPr="00BB5846">
              <w:rPr>
                <w:rFonts w:ascii="Arial" w:hAnsi="Arial" w:cs="Arial"/>
                <w:sz w:val="16"/>
                <w:szCs w:val="16"/>
              </w:rPr>
              <w:t xml:space="preserve">Forward Estimates </w:t>
            </w:r>
            <w:r w:rsidR="00F445EC">
              <w:rPr>
                <w:rFonts w:ascii="Arial" w:hAnsi="Arial" w:cs="Arial"/>
                <w:sz w:val="16"/>
                <w:szCs w:val="16"/>
              </w:rPr>
              <w:br/>
              <w:t>2</w:t>
            </w:r>
            <w:r w:rsidRPr="00BB5846">
              <w:rPr>
                <w:rFonts w:ascii="Arial" w:hAnsi="Arial" w:cs="Arial"/>
                <w:sz w:val="16"/>
                <w:szCs w:val="16"/>
              </w:rPr>
              <w:t>023-26</w:t>
            </w:r>
          </w:p>
        </w:tc>
        <w:tc>
          <w:tcPr>
            <w:tcW w:w="2288" w:type="dxa"/>
            <w:tcBorders>
              <w:top w:val="single" w:sz="4" w:space="0" w:color="auto"/>
              <w:left w:val="single" w:sz="4" w:space="0" w:color="auto"/>
              <w:bottom w:val="single" w:sz="4" w:space="0" w:color="auto"/>
              <w:right w:val="single" w:sz="4" w:space="0" w:color="auto"/>
            </w:tcBorders>
          </w:tcPr>
          <w:p w:rsidR="00BB5846" w:rsidRPr="00BB5846" w:rsidRDefault="00BB5846" w:rsidP="002B50A9">
            <w:pPr>
              <w:tabs>
                <w:tab w:val="left" w:pos="709"/>
              </w:tabs>
              <w:suppressAutoHyphens/>
              <w:spacing w:before="60" w:after="60" w:line="240" w:lineRule="auto"/>
              <w:jc w:val="left"/>
              <w:rPr>
                <w:rFonts w:ascii="Arial" w:eastAsia="Arial" w:hAnsi="Arial" w:cs="Arial"/>
                <w:sz w:val="16"/>
                <w:szCs w:val="16"/>
              </w:rPr>
            </w:pPr>
            <w:r w:rsidRPr="00BB5846">
              <w:rPr>
                <w:rFonts w:ascii="Arial" w:eastAsia="Arial" w:hAnsi="Arial" w:cs="Arial"/>
                <w:sz w:val="16"/>
                <w:szCs w:val="16"/>
              </w:rPr>
              <w:t>As per 2022-23.</w:t>
            </w:r>
          </w:p>
        </w:tc>
        <w:tc>
          <w:tcPr>
            <w:tcW w:w="3953" w:type="dxa"/>
            <w:tcBorders>
              <w:top w:val="single" w:sz="4" w:space="0" w:color="auto"/>
              <w:left w:val="single" w:sz="4" w:space="0" w:color="auto"/>
              <w:bottom w:val="single" w:sz="4" w:space="0" w:color="auto"/>
              <w:right w:val="single" w:sz="4" w:space="0" w:color="auto"/>
            </w:tcBorders>
          </w:tcPr>
          <w:p w:rsidR="00BB5846" w:rsidRPr="00BB5846" w:rsidRDefault="00BB5846" w:rsidP="002B50A9">
            <w:pPr>
              <w:tabs>
                <w:tab w:val="left" w:pos="709"/>
              </w:tabs>
              <w:suppressAutoHyphens/>
              <w:spacing w:before="60" w:after="60" w:line="240" w:lineRule="auto"/>
              <w:jc w:val="left"/>
              <w:rPr>
                <w:rFonts w:ascii="Arial" w:eastAsia="Arial" w:hAnsi="Arial" w:cs="Arial"/>
                <w:sz w:val="16"/>
                <w:szCs w:val="16"/>
              </w:rPr>
            </w:pPr>
            <w:r w:rsidRPr="00BB5846">
              <w:rPr>
                <w:rFonts w:ascii="Arial" w:eastAsia="Arial" w:hAnsi="Arial" w:cs="Arial"/>
                <w:sz w:val="16"/>
                <w:szCs w:val="16"/>
              </w:rPr>
              <w:t>As per 2022-23.</w:t>
            </w:r>
          </w:p>
        </w:tc>
      </w:tr>
      <w:tr w:rsidR="00BB5846" w:rsidRPr="00D61BE4" w:rsidTr="00BB5846">
        <w:trPr>
          <w:trHeight w:val="291"/>
        </w:trPr>
        <w:tc>
          <w:tcPr>
            <w:tcW w:w="7655" w:type="dxa"/>
            <w:gridSpan w:val="3"/>
          </w:tcPr>
          <w:p w:rsidR="00BB5846" w:rsidRPr="00D61BE4" w:rsidRDefault="00BB5846" w:rsidP="002B50A9">
            <w:pPr>
              <w:tabs>
                <w:tab w:val="left" w:pos="709"/>
              </w:tabs>
              <w:spacing w:before="60" w:after="60" w:line="240" w:lineRule="auto"/>
              <w:jc w:val="left"/>
              <w:rPr>
                <w:rFonts w:ascii="Arial" w:eastAsia="Cambria" w:hAnsi="Arial" w:cs="Arial"/>
                <w:bCs/>
                <w:iCs/>
                <w:color w:val="0070C0"/>
                <w:spacing w:val="-6"/>
                <w:sz w:val="16"/>
                <w:szCs w:val="16"/>
              </w:rPr>
            </w:pPr>
            <w:r w:rsidRPr="00D61BE4">
              <w:rPr>
                <w:rFonts w:ascii="Arial" w:hAnsi="Arial" w:cs="Arial"/>
                <w:sz w:val="16"/>
                <w:szCs w:val="16"/>
              </w:rPr>
              <w:t>Material changes to Program 2.5 resulting from 2022-23 Budget Measures:</w:t>
            </w:r>
            <w:r w:rsidRPr="00D61BE4">
              <w:rPr>
                <w:rStyle w:val="BodyTextChar"/>
                <w:rFonts w:ascii="Arial" w:hAnsi="Arial" w:cs="Arial"/>
                <w:bCs/>
                <w:iCs/>
                <w:spacing w:val="-6"/>
                <w:sz w:val="16"/>
                <w:szCs w:val="16"/>
              </w:rPr>
              <w:t xml:space="preserve"> </w:t>
            </w:r>
            <w:r w:rsidRPr="00D61BE4">
              <w:rPr>
                <w:rFonts w:ascii="Arial" w:hAnsi="Arial" w:cs="Arial"/>
                <w:sz w:val="16"/>
                <w:szCs w:val="16"/>
              </w:rPr>
              <w:t>Nil</w:t>
            </w:r>
          </w:p>
        </w:tc>
      </w:tr>
    </w:tbl>
    <w:p w:rsidR="00FE3AD0" w:rsidRPr="00FE3AD0" w:rsidRDefault="00FE3AD0" w:rsidP="002B50A9">
      <w:pPr>
        <w:pStyle w:val="TableHeading"/>
        <w:spacing w:after="0"/>
        <w:rPr>
          <w:b w:val="0"/>
          <w:sz w:val="16"/>
          <w:szCs w:val="16"/>
        </w:rPr>
      </w:pPr>
      <w:r w:rsidRPr="00FE3AD0">
        <w:rPr>
          <w:b w:val="0"/>
          <w:sz w:val="16"/>
          <w:szCs w:val="16"/>
        </w:rPr>
        <w:t>Table continues on next page</w:t>
      </w:r>
    </w:p>
    <w:p w:rsidR="00FE3AD0" w:rsidRPr="00FE3AD0" w:rsidRDefault="00FE3AD0" w:rsidP="00FE3AD0">
      <w:pPr>
        <w:pStyle w:val="TableGraphic"/>
        <w:rPr>
          <w:lang w:val="x-none" w:eastAsia="x-none"/>
        </w:rPr>
      </w:pPr>
    </w:p>
    <w:p w:rsidR="00FE3AD0" w:rsidRDefault="00FE3AD0" w:rsidP="009611F2">
      <w:pPr>
        <w:pStyle w:val="TableHeading"/>
        <w:rPr>
          <w:lang w:val="en-AU"/>
        </w:rPr>
      </w:pPr>
    </w:p>
    <w:p w:rsidR="008636BF" w:rsidRDefault="008636BF" w:rsidP="008636BF">
      <w:pPr>
        <w:pStyle w:val="TableGraphic"/>
        <w:rPr>
          <w:lang w:eastAsia="x-none"/>
        </w:rPr>
      </w:pPr>
    </w:p>
    <w:p w:rsidR="00FE3AD0" w:rsidRPr="00FE3AD0" w:rsidRDefault="00FE3AD0" w:rsidP="00FE3AD0">
      <w:pPr>
        <w:rPr>
          <w:rFonts w:ascii="Arial" w:hAnsi="Arial"/>
          <w:b/>
          <w:color w:val="000000"/>
          <w:lang w:eastAsia="x-none"/>
        </w:rPr>
      </w:pPr>
    </w:p>
    <w:p w:rsidR="009611F2" w:rsidRDefault="009611F2" w:rsidP="009611F2">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48"/>
        <w:gridCol w:w="3989"/>
      </w:tblGrid>
      <w:tr w:rsidR="009611F2" w:rsidRPr="00361E69" w:rsidTr="003603E9">
        <w:trPr>
          <w:trHeight w:val="522"/>
          <w:tblHeader/>
        </w:trPr>
        <w:tc>
          <w:tcPr>
            <w:tcW w:w="7655" w:type="dxa"/>
            <w:gridSpan w:val="3"/>
            <w:shd w:val="clear" w:color="auto" w:fill="F2F2F2" w:themeFill="background1" w:themeFillShade="F2"/>
          </w:tcPr>
          <w:p w:rsidR="009611F2" w:rsidRPr="000738F4" w:rsidRDefault="009611F2" w:rsidP="00A040F8">
            <w:pPr>
              <w:tabs>
                <w:tab w:val="left" w:pos="709"/>
              </w:tabs>
              <w:spacing w:before="60" w:after="60" w:line="240" w:lineRule="auto"/>
              <w:jc w:val="left"/>
              <w:rPr>
                <w:rFonts w:ascii="Arial" w:hAnsi="Arial" w:cs="Arial"/>
                <w:b/>
                <w:bCs/>
                <w:sz w:val="18"/>
                <w:szCs w:val="18"/>
              </w:rPr>
            </w:pPr>
            <w:r w:rsidRPr="000738F4">
              <w:rPr>
                <w:rFonts w:ascii="Arial" w:hAnsi="Arial" w:cs="Arial"/>
                <w:b/>
                <w:bCs/>
                <w:sz w:val="18"/>
                <w:szCs w:val="18"/>
              </w:rPr>
              <w:t xml:space="preserve">Program 2.6 – </w:t>
            </w:r>
            <w:r w:rsidRPr="000738F4">
              <w:rPr>
                <w:rFonts w:ascii="Arial" w:eastAsia="Arial" w:hAnsi="Arial" w:cs="Arial"/>
                <w:b/>
                <w:bCs/>
                <w:sz w:val="18"/>
                <w:szCs w:val="18"/>
              </w:rPr>
              <w:t>Service Delivery Office</w:t>
            </w:r>
          </w:p>
          <w:p w:rsidR="009611F2" w:rsidRPr="00361E69" w:rsidRDefault="009611F2" w:rsidP="00A040F8">
            <w:pPr>
              <w:tabs>
                <w:tab w:val="left" w:pos="709"/>
              </w:tabs>
              <w:spacing w:before="60" w:after="60" w:line="240" w:lineRule="auto"/>
              <w:jc w:val="left"/>
              <w:rPr>
                <w:rFonts w:ascii="Arial" w:hAnsi="Arial" w:cs="Arial"/>
                <w:sz w:val="16"/>
                <w:szCs w:val="16"/>
              </w:rPr>
            </w:pPr>
            <w:r w:rsidRPr="000738F4">
              <w:rPr>
                <w:rFonts w:ascii="Arial" w:eastAsia="Arial" w:hAnsi="Arial" w:cs="Arial"/>
                <w:sz w:val="18"/>
                <w:szCs w:val="18"/>
              </w:rPr>
              <w:t>This program contributes to the outcome through providing a range of corporate services to Australian</w:t>
            </w:r>
            <w:r>
              <w:rPr>
                <w:rFonts w:ascii="Arial" w:eastAsia="Arial" w:hAnsi="Arial" w:cs="Arial"/>
                <w:sz w:val="18"/>
                <w:szCs w:val="18"/>
              </w:rPr>
              <w:t xml:space="preserve"> </w:t>
            </w:r>
            <w:r w:rsidRPr="000738F4">
              <w:rPr>
                <w:rFonts w:ascii="Arial" w:eastAsia="Arial" w:hAnsi="Arial" w:cs="Arial"/>
                <w:sz w:val="18"/>
                <w:szCs w:val="18"/>
              </w:rPr>
              <w:t>Government entities.</w:t>
            </w:r>
          </w:p>
        </w:tc>
      </w:tr>
      <w:tr w:rsidR="009611F2" w:rsidRPr="000738F4" w:rsidTr="00775D53">
        <w:trPr>
          <w:trHeight w:val="694"/>
        </w:trPr>
        <w:tc>
          <w:tcPr>
            <w:tcW w:w="1418" w:type="dxa"/>
            <w:tcBorders>
              <w:bottom w:val="double" w:sz="4" w:space="0" w:color="auto"/>
            </w:tcBorders>
          </w:tcPr>
          <w:p w:rsidR="009611F2" w:rsidRPr="000738F4" w:rsidRDefault="009611F2" w:rsidP="00A040F8">
            <w:pPr>
              <w:tabs>
                <w:tab w:val="left" w:pos="709"/>
              </w:tabs>
              <w:spacing w:before="60" w:after="60" w:line="240" w:lineRule="auto"/>
              <w:jc w:val="left"/>
              <w:rPr>
                <w:rFonts w:ascii="Arial" w:hAnsi="Arial" w:cs="Arial"/>
                <w:b/>
                <w:bCs/>
                <w:sz w:val="18"/>
                <w:szCs w:val="18"/>
              </w:rPr>
            </w:pPr>
            <w:r>
              <w:rPr>
                <w:rFonts w:ascii="Arial" w:hAnsi="Arial" w:cs="Arial"/>
                <w:b/>
                <w:bCs/>
                <w:sz w:val="18"/>
                <w:szCs w:val="18"/>
              </w:rPr>
              <w:t>Key Activities</w:t>
            </w:r>
          </w:p>
        </w:tc>
        <w:tc>
          <w:tcPr>
            <w:tcW w:w="6237" w:type="dxa"/>
            <w:gridSpan w:val="2"/>
            <w:tcBorders>
              <w:bottom w:val="double" w:sz="4" w:space="0" w:color="auto"/>
            </w:tcBorders>
          </w:tcPr>
          <w:p w:rsidR="009611F2" w:rsidRPr="000738F4" w:rsidRDefault="009611F2" w:rsidP="00775D53">
            <w:pPr>
              <w:tabs>
                <w:tab w:val="left" w:pos="709"/>
              </w:tabs>
              <w:spacing w:before="60" w:after="60" w:line="240" w:lineRule="auto"/>
              <w:jc w:val="left"/>
              <w:rPr>
                <w:rFonts w:ascii="Arial" w:hAnsi="Arial" w:cs="Arial"/>
                <w:b/>
                <w:bCs/>
                <w:sz w:val="18"/>
                <w:szCs w:val="18"/>
              </w:rPr>
            </w:pPr>
            <w:r w:rsidRPr="000738F4">
              <w:rPr>
                <w:rFonts w:ascii="Arial" w:hAnsi="Arial" w:cs="Arial"/>
                <w:b/>
                <w:bCs/>
                <w:sz w:val="18"/>
                <w:szCs w:val="18"/>
              </w:rPr>
              <w:t>Transform Commonwealth entities through shared services</w:t>
            </w:r>
          </w:p>
          <w:p w:rsidR="009611F2" w:rsidRPr="000738F4" w:rsidRDefault="009611F2" w:rsidP="00775D53">
            <w:pPr>
              <w:tabs>
                <w:tab w:val="left" w:pos="709"/>
              </w:tabs>
              <w:spacing w:before="60" w:after="60" w:line="240" w:lineRule="auto"/>
              <w:jc w:val="left"/>
              <w:rPr>
                <w:rFonts w:ascii="Arial" w:hAnsi="Arial" w:cs="Arial"/>
                <w:i/>
                <w:iCs/>
                <w:sz w:val="18"/>
                <w:szCs w:val="18"/>
              </w:rPr>
            </w:pPr>
            <w:r w:rsidRPr="000738F4">
              <w:rPr>
                <w:rFonts w:ascii="Arial" w:hAnsi="Arial" w:cs="Arial"/>
                <w:sz w:val="18"/>
                <w:szCs w:val="18"/>
              </w:rPr>
              <w:t>Support the transformation of Commonwealth entities through policy development and delivery of shared technologies and standardised processes to increase the effectiveness and efficiency of organisational management.</w:t>
            </w:r>
          </w:p>
        </w:tc>
      </w:tr>
      <w:tr w:rsidR="009611F2" w:rsidRPr="00361E69" w:rsidTr="00454A2D">
        <w:trPr>
          <w:trHeight w:val="312"/>
        </w:trPr>
        <w:tc>
          <w:tcPr>
            <w:tcW w:w="1418" w:type="dxa"/>
            <w:tcBorders>
              <w:top w:val="double" w:sz="4" w:space="0" w:color="auto"/>
              <w:bottom w:val="single" w:sz="4" w:space="0" w:color="auto"/>
              <w:right w:val="single" w:sz="4" w:space="0" w:color="auto"/>
            </w:tcBorders>
          </w:tcPr>
          <w:p w:rsidR="009611F2" w:rsidRPr="00361E69" w:rsidRDefault="009611F2" w:rsidP="00C739D5">
            <w:pPr>
              <w:tabs>
                <w:tab w:val="left" w:pos="709"/>
              </w:tabs>
              <w:spacing w:before="60" w:after="60" w:line="240" w:lineRule="auto"/>
              <w:rPr>
                <w:rFonts w:ascii="Arial" w:hAnsi="Arial" w:cs="Arial"/>
                <w:b/>
                <w:bCs/>
                <w:sz w:val="16"/>
                <w:szCs w:val="16"/>
              </w:rPr>
            </w:pPr>
            <w:r w:rsidRPr="70B0D103">
              <w:rPr>
                <w:rFonts w:ascii="Arial" w:hAnsi="Arial" w:cs="Arial"/>
                <w:b/>
                <w:bCs/>
                <w:sz w:val="16"/>
                <w:szCs w:val="16"/>
              </w:rPr>
              <w:t>Year</w:t>
            </w:r>
          </w:p>
        </w:tc>
        <w:tc>
          <w:tcPr>
            <w:tcW w:w="2248" w:type="dxa"/>
            <w:tcBorders>
              <w:top w:val="double" w:sz="4" w:space="0" w:color="auto"/>
              <w:left w:val="single" w:sz="4" w:space="0" w:color="auto"/>
              <w:bottom w:val="single" w:sz="4" w:space="0" w:color="auto"/>
              <w:right w:val="single" w:sz="4" w:space="0" w:color="auto"/>
            </w:tcBorders>
          </w:tcPr>
          <w:p w:rsidR="009611F2" w:rsidRPr="00361E69" w:rsidRDefault="009611F2" w:rsidP="00C739D5">
            <w:pPr>
              <w:tabs>
                <w:tab w:val="left" w:pos="709"/>
                <w:tab w:val="center" w:pos="1818"/>
              </w:tabs>
              <w:spacing w:before="60" w:after="60" w:line="240" w:lineRule="auto"/>
              <w:jc w:val="left"/>
              <w:rPr>
                <w:rFonts w:ascii="Arial" w:hAnsi="Arial" w:cs="Arial"/>
                <w:b/>
                <w:bCs/>
                <w:sz w:val="16"/>
                <w:szCs w:val="16"/>
              </w:rPr>
            </w:pPr>
            <w:r w:rsidRPr="70B0D103">
              <w:rPr>
                <w:rFonts w:ascii="Arial" w:hAnsi="Arial" w:cs="Arial"/>
                <w:b/>
                <w:bCs/>
                <w:sz w:val="16"/>
                <w:szCs w:val="16"/>
              </w:rPr>
              <w:t>Performance measures</w:t>
            </w:r>
          </w:p>
        </w:tc>
        <w:tc>
          <w:tcPr>
            <w:tcW w:w="3989" w:type="dxa"/>
            <w:tcBorders>
              <w:top w:val="double" w:sz="4" w:space="0" w:color="auto"/>
              <w:left w:val="single" w:sz="4" w:space="0" w:color="auto"/>
              <w:bottom w:val="single" w:sz="4" w:space="0" w:color="auto"/>
            </w:tcBorders>
          </w:tcPr>
          <w:p w:rsidR="009611F2" w:rsidRPr="00361E69" w:rsidRDefault="009611F2" w:rsidP="00C739D5">
            <w:pPr>
              <w:tabs>
                <w:tab w:val="left" w:pos="709"/>
              </w:tabs>
              <w:spacing w:before="60" w:after="60" w:line="240" w:lineRule="auto"/>
              <w:jc w:val="left"/>
              <w:rPr>
                <w:rFonts w:ascii="Arial" w:hAnsi="Arial" w:cs="Arial"/>
                <w:b/>
                <w:bCs/>
                <w:sz w:val="16"/>
                <w:szCs w:val="16"/>
              </w:rPr>
            </w:pPr>
            <w:r w:rsidRPr="70B0D103">
              <w:rPr>
                <w:rFonts w:ascii="Arial" w:hAnsi="Arial" w:cs="Arial"/>
                <w:b/>
                <w:bCs/>
                <w:sz w:val="16"/>
                <w:szCs w:val="16"/>
              </w:rPr>
              <w:t>Expected Performance Results</w:t>
            </w:r>
          </w:p>
        </w:tc>
      </w:tr>
      <w:tr w:rsidR="009611F2" w:rsidRPr="00C92882" w:rsidTr="00454A2D">
        <w:trPr>
          <w:trHeight w:val="4297"/>
        </w:trPr>
        <w:tc>
          <w:tcPr>
            <w:tcW w:w="1418" w:type="dxa"/>
            <w:tcBorders>
              <w:top w:val="single" w:sz="4" w:space="0" w:color="auto"/>
              <w:right w:val="single" w:sz="4" w:space="0" w:color="auto"/>
            </w:tcBorders>
          </w:tcPr>
          <w:p w:rsidR="009611F2" w:rsidRPr="00C92882" w:rsidRDefault="009611F2" w:rsidP="00F445EC">
            <w:pPr>
              <w:tabs>
                <w:tab w:val="left" w:pos="709"/>
              </w:tabs>
              <w:spacing w:before="60" w:after="60" w:line="240" w:lineRule="auto"/>
              <w:jc w:val="left"/>
              <w:rPr>
                <w:rFonts w:ascii="Arial" w:hAnsi="Arial" w:cs="Arial"/>
                <w:sz w:val="16"/>
                <w:szCs w:val="16"/>
              </w:rPr>
            </w:pPr>
            <w:r w:rsidRPr="00C92882">
              <w:rPr>
                <w:rFonts w:ascii="Arial" w:hAnsi="Arial" w:cs="Arial"/>
                <w:sz w:val="16"/>
                <w:szCs w:val="16"/>
              </w:rPr>
              <w:t>Current year 2021-22</w:t>
            </w:r>
          </w:p>
        </w:tc>
        <w:tc>
          <w:tcPr>
            <w:tcW w:w="2248" w:type="dxa"/>
            <w:tcBorders>
              <w:top w:val="single" w:sz="4" w:space="0" w:color="auto"/>
              <w:left w:val="single" w:sz="4" w:space="0" w:color="auto"/>
              <w:right w:val="single" w:sz="4" w:space="0" w:color="auto"/>
            </w:tcBorders>
          </w:tcPr>
          <w:p w:rsidR="009611F2" w:rsidRPr="00C92882" w:rsidRDefault="009611F2" w:rsidP="00A040F8">
            <w:pPr>
              <w:tabs>
                <w:tab w:val="left" w:pos="709"/>
              </w:tabs>
              <w:spacing w:before="60" w:after="60" w:line="240" w:lineRule="auto"/>
              <w:jc w:val="left"/>
              <w:rPr>
                <w:rFonts w:ascii="Arial" w:hAnsi="Arial" w:cs="Arial"/>
                <w:b/>
                <w:bCs/>
                <w:sz w:val="16"/>
                <w:szCs w:val="16"/>
              </w:rPr>
            </w:pPr>
            <w:r w:rsidRPr="00C92882">
              <w:rPr>
                <w:rFonts w:ascii="Arial" w:hAnsi="Arial" w:cs="Arial"/>
                <w:b/>
                <w:bCs/>
                <w:sz w:val="16"/>
                <w:szCs w:val="16"/>
              </w:rPr>
              <w:t>Shared services hub meets clients’ needs</w:t>
            </w:r>
          </w:p>
          <w:p w:rsidR="009611F2" w:rsidRPr="00C92882" w:rsidRDefault="009611F2" w:rsidP="00A040F8">
            <w:pPr>
              <w:tabs>
                <w:tab w:val="left" w:pos="709"/>
              </w:tabs>
              <w:spacing w:before="60" w:after="60" w:line="240" w:lineRule="auto"/>
              <w:jc w:val="left"/>
              <w:rPr>
                <w:rFonts w:ascii="Arial" w:hAnsi="Arial" w:cs="Arial"/>
              </w:rPr>
            </w:pPr>
            <w:r w:rsidRPr="00C92882">
              <w:rPr>
                <w:rFonts w:ascii="Arial" w:hAnsi="Arial" w:cs="Arial"/>
                <w:sz w:val="16"/>
                <w:szCs w:val="16"/>
              </w:rPr>
              <w:t>As a Shared Services hub, the SDO provides quality and efficient services to client entities.</w:t>
            </w:r>
          </w:p>
        </w:tc>
        <w:tc>
          <w:tcPr>
            <w:tcW w:w="3989" w:type="dxa"/>
            <w:tcBorders>
              <w:top w:val="single" w:sz="4" w:space="0" w:color="auto"/>
              <w:left w:val="single" w:sz="4" w:space="0" w:color="auto"/>
            </w:tcBorders>
          </w:tcPr>
          <w:p w:rsidR="009611F2" w:rsidRPr="00C92882" w:rsidRDefault="009611F2" w:rsidP="00A040F8">
            <w:pPr>
              <w:tabs>
                <w:tab w:val="left" w:pos="709"/>
              </w:tabs>
              <w:spacing w:before="60" w:after="60" w:line="240" w:lineRule="auto"/>
              <w:jc w:val="left"/>
              <w:rPr>
                <w:rFonts w:ascii="Arial" w:hAnsi="Arial" w:cs="Arial"/>
                <w:b/>
                <w:bCs/>
                <w:sz w:val="16"/>
                <w:szCs w:val="16"/>
                <w:lang w:val="en"/>
              </w:rPr>
            </w:pPr>
            <w:r w:rsidRPr="00C92882">
              <w:rPr>
                <w:rFonts w:ascii="Arial" w:hAnsi="Arial" w:cs="Arial"/>
                <w:b/>
                <w:bCs/>
                <w:sz w:val="16"/>
                <w:szCs w:val="16"/>
              </w:rPr>
              <w:t>On Track</w:t>
            </w:r>
          </w:p>
          <w:p w:rsidR="009611F2" w:rsidRPr="00C92882" w:rsidRDefault="009611F2" w:rsidP="00A040F8">
            <w:pPr>
              <w:autoSpaceDE w:val="0"/>
              <w:autoSpaceDN w:val="0"/>
              <w:adjustRightInd w:val="0"/>
              <w:spacing w:before="60" w:after="60" w:line="240" w:lineRule="auto"/>
              <w:jc w:val="left"/>
              <w:rPr>
                <w:rFonts w:ascii="Arial" w:hAnsi="Arial" w:cs="Arial"/>
                <w:sz w:val="16"/>
                <w:szCs w:val="16"/>
              </w:rPr>
            </w:pPr>
            <w:r w:rsidRPr="00C92882">
              <w:rPr>
                <w:rFonts w:ascii="Arial" w:hAnsi="Arial" w:cs="Arial"/>
                <w:sz w:val="16"/>
                <w:szCs w:val="16"/>
              </w:rPr>
              <w:t>As at 31 December 2021:</w:t>
            </w:r>
          </w:p>
          <w:p w:rsidR="009611F2" w:rsidRPr="00C92882" w:rsidRDefault="000425E2" w:rsidP="00F76FE4">
            <w:pPr>
              <w:pStyle w:val="ListParagraph"/>
              <w:numPr>
                <w:ilvl w:val="0"/>
                <w:numId w:val="14"/>
              </w:numPr>
              <w:autoSpaceDE w:val="0"/>
              <w:autoSpaceDN w:val="0"/>
              <w:adjustRightInd w:val="0"/>
              <w:spacing w:before="60" w:after="60" w:line="240" w:lineRule="auto"/>
              <w:ind w:left="527" w:hanging="357"/>
              <w:rPr>
                <w:rFonts w:ascii="Arial" w:hAnsi="Arial" w:cs="Arial"/>
                <w:sz w:val="16"/>
                <w:szCs w:val="16"/>
              </w:rPr>
            </w:pPr>
            <w:r>
              <w:rPr>
                <w:rFonts w:ascii="Arial" w:hAnsi="Arial" w:cs="Arial"/>
                <w:sz w:val="16"/>
                <w:szCs w:val="16"/>
                <w:lang w:val="en-AU"/>
              </w:rPr>
              <w:t>T</w:t>
            </w:r>
            <w:r w:rsidR="009611F2" w:rsidRPr="00C92882">
              <w:rPr>
                <w:rFonts w:ascii="Arial" w:hAnsi="Arial" w:cs="Arial"/>
                <w:sz w:val="16"/>
                <w:szCs w:val="16"/>
              </w:rPr>
              <w:t>he SDO was meeting service level outcomes for accounts payable, accounts receivable, payroll administration, credit card management and HUB usage.</w:t>
            </w:r>
          </w:p>
          <w:p w:rsidR="009611F2" w:rsidRPr="00C92882" w:rsidRDefault="000425E2" w:rsidP="00F76FE4">
            <w:pPr>
              <w:pStyle w:val="ListParagraph"/>
              <w:numPr>
                <w:ilvl w:val="0"/>
                <w:numId w:val="14"/>
              </w:numPr>
              <w:autoSpaceDE w:val="0"/>
              <w:autoSpaceDN w:val="0"/>
              <w:adjustRightInd w:val="0"/>
              <w:spacing w:before="60" w:after="60" w:line="240" w:lineRule="auto"/>
              <w:ind w:left="527" w:hanging="357"/>
              <w:rPr>
                <w:rFonts w:ascii="Arial" w:hAnsi="Arial" w:cs="Arial"/>
                <w:sz w:val="16"/>
                <w:szCs w:val="16"/>
              </w:rPr>
            </w:pPr>
            <w:r>
              <w:rPr>
                <w:rFonts w:ascii="Arial" w:hAnsi="Arial" w:cs="Arial"/>
                <w:sz w:val="16"/>
                <w:szCs w:val="16"/>
              </w:rPr>
              <w:t>T</w:t>
            </w:r>
            <w:r w:rsidR="009611F2" w:rsidRPr="00C92882">
              <w:rPr>
                <w:rFonts w:ascii="Arial" w:hAnsi="Arial" w:cs="Arial"/>
                <w:sz w:val="16"/>
                <w:szCs w:val="16"/>
              </w:rPr>
              <w:t xml:space="preserve">here were 9,165 HUB users, continuing the increasing trend in the number of hub users.  </w:t>
            </w:r>
          </w:p>
          <w:p w:rsidR="009611F2" w:rsidRPr="00C92882" w:rsidRDefault="009611F2" w:rsidP="00F76FE4">
            <w:pPr>
              <w:pStyle w:val="ListParagraph"/>
              <w:numPr>
                <w:ilvl w:val="0"/>
                <w:numId w:val="14"/>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Over 55,000 tickets were raised and resolved, with an average resolution time of 5.</w:t>
            </w:r>
            <w:r w:rsidR="00F445EC">
              <w:rPr>
                <w:rFonts w:ascii="Arial" w:hAnsi="Arial" w:cs="Arial"/>
                <w:sz w:val="16"/>
                <w:szCs w:val="16"/>
              </w:rPr>
              <w:t>1</w:t>
            </w:r>
            <w:r w:rsidRPr="00C92882">
              <w:rPr>
                <w:rFonts w:ascii="Arial" w:hAnsi="Arial" w:cs="Arial"/>
                <w:sz w:val="16"/>
                <w:szCs w:val="16"/>
              </w:rPr>
              <w:t xml:space="preserve"> days.</w:t>
            </w:r>
          </w:p>
          <w:p w:rsidR="009611F2" w:rsidRPr="00C92882" w:rsidRDefault="009611F2" w:rsidP="00A040F8">
            <w:pPr>
              <w:tabs>
                <w:tab w:val="left" w:pos="709"/>
              </w:tabs>
              <w:suppressAutoHyphens/>
              <w:spacing w:before="60" w:after="60" w:line="240" w:lineRule="auto"/>
              <w:jc w:val="left"/>
              <w:rPr>
                <w:rFonts w:ascii="Arial" w:eastAsia="Arial" w:hAnsi="Arial" w:cs="Arial"/>
                <w:sz w:val="16"/>
                <w:szCs w:val="16"/>
              </w:rPr>
            </w:pPr>
            <w:r w:rsidRPr="00C92882">
              <w:rPr>
                <w:rFonts w:ascii="Arial" w:eastAsia="Arial" w:hAnsi="Arial" w:cs="Arial"/>
                <w:sz w:val="16"/>
                <w:szCs w:val="16"/>
              </w:rPr>
              <w:t>Results from the SDO client surveys at the end of the December quarter continued to increase with ‘positive’ or ‘very positive’ response rates of:</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Quality – 60% </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Timeliness – 57% </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Interaction – 62% </w:t>
            </w:r>
          </w:p>
          <w:p w:rsidR="009611F2" w:rsidRPr="00C92882" w:rsidRDefault="009611F2" w:rsidP="00F76FE4">
            <w:pPr>
              <w:pStyle w:val="ListParagraph"/>
              <w:numPr>
                <w:ilvl w:val="0"/>
                <w:numId w:val="13"/>
              </w:numPr>
              <w:autoSpaceDE w:val="0"/>
              <w:autoSpaceDN w:val="0"/>
              <w:adjustRightInd w:val="0"/>
              <w:spacing w:before="60" w:after="60" w:line="240" w:lineRule="auto"/>
              <w:ind w:left="527" w:hanging="357"/>
              <w:rPr>
                <w:rFonts w:ascii="Arial" w:hAnsi="Arial" w:cs="Arial"/>
                <w:sz w:val="16"/>
                <w:szCs w:val="16"/>
              </w:rPr>
            </w:pPr>
            <w:r w:rsidRPr="00C92882">
              <w:rPr>
                <w:rFonts w:ascii="Arial" w:hAnsi="Arial" w:cs="Arial"/>
                <w:sz w:val="16"/>
                <w:szCs w:val="16"/>
              </w:rPr>
              <w:t xml:space="preserve">Overall Experience – 57% </w:t>
            </w:r>
          </w:p>
          <w:p w:rsidR="009611F2" w:rsidRPr="00C92882" w:rsidRDefault="009611F2" w:rsidP="00454A2D">
            <w:pPr>
              <w:autoSpaceDE w:val="0"/>
              <w:autoSpaceDN w:val="0"/>
              <w:spacing w:before="60" w:after="60" w:line="240" w:lineRule="auto"/>
              <w:jc w:val="left"/>
              <w:rPr>
                <w:rFonts w:ascii="Arial" w:eastAsia="Calibri" w:hAnsi="Arial" w:cs="Arial"/>
                <w:sz w:val="16"/>
                <w:szCs w:val="16"/>
              </w:rPr>
            </w:pPr>
            <w:r w:rsidRPr="00C92882">
              <w:rPr>
                <w:rFonts w:ascii="Arial" w:eastAsia="Calibri" w:hAnsi="Arial" w:cs="Arial"/>
                <w:sz w:val="16"/>
                <w:szCs w:val="16"/>
              </w:rPr>
              <w:t xml:space="preserve">During 2021-22, the SDO increased its service offer by on-boarding the Office of the Australian Information Commissioner to shared services and uplifting its remaining small and medium client agencies to the e-Invoicing solution. </w:t>
            </w:r>
          </w:p>
        </w:tc>
      </w:tr>
    </w:tbl>
    <w:p w:rsidR="00A206A3" w:rsidRDefault="00CB1040" w:rsidP="00A040F8">
      <w:pPr>
        <w:spacing w:after="0" w:line="240" w:lineRule="auto"/>
        <w:jc w:val="left"/>
      </w:pPr>
      <w:r w:rsidRPr="008877BE">
        <w:rPr>
          <w:rFonts w:ascii="Arial" w:hAnsi="Arial"/>
          <w:sz w:val="16"/>
        </w:rPr>
        <w:t>Table continues on next page</w:t>
      </w:r>
      <w:r>
        <w:t xml:space="preserve"> </w:t>
      </w:r>
      <w:r w:rsidR="00A206A3">
        <w:br w:type="page"/>
      </w:r>
    </w:p>
    <w:p w:rsidR="0013768B" w:rsidRDefault="0008233C" w:rsidP="00915209">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289"/>
        <w:gridCol w:w="3952"/>
      </w:tblGrid>
      <w:tr w:rsidR="00DD002F" w:rsidRPr="00361E69" w:rsidTr="00BD7A64">
        <w:trPr>
          <w:trHeight w:val="312"/>
          <w:tblHeader/>
        </w:trPr>
        <w:tc>
          <w:tcPr>
            <w:tcW w:w="7655" w:type="dxa"/>
            <w:gridSpan w:val="3"/>
            <w:shd w:val="clear" w:color="auto" w:fill="F2F2F2" w:themeFill="background1" w:themeFillShade="F2"/>
          </w:tcPr>
          <w:p w:rsidR="00DD002F" w:rsidRPr="000425E2" w:rsidRDefault="00777FAE" w:rsidP="00A040F8">
            <w:pPr>
              <w:tabs>
                <w:tab w:val="left" w:pos="709"/>
              </w:tabs>
              <w:spacing w:before="60" w:after="60" w:line="240" w:lineRule="auto"/>
              <w:jc w:val="left"/>
              <w:rPr>
                <w:rFonts w:ascii="Arial" w:hAnsi="Arial" w:cs="Arial"/>
                <w:b/>
                <w:bCs/>
                <w:sz w:val="18"/>
                <w:szCs w:val="18"/>
              </w:rPr>
            </w:pPr>
            <w:r w:rsidRPr="00BA090C">
              <w:rPr>
                <w:rFonts w:ascii="Arial" w:hAnsi="Arial"/>
                <w:b/>
                <w:sz w:val="18"/>
                <w:szCs w:val="18"/>
              </w:rPr>
              <w:t xml:space="preserve">Performance information: </w:t>
            </w:r>
            <w:r w:rsidR="00DD002F" w:rsidRPr="000738F4">
              <w:rPr>
                <w:rFonts w:ascii="Arial" w:hAnsi="Arial" w:cs="Arial"/>
                <w:b/>
                <w:bCs/>
                <w:sz w:val="18"/>
                <w:szCs w:val="18"/>
              </w:rPr>
              <w:t xml:space="preserve">Program 2.6 – </w:t>
            </w:r>
            <w:r w:rsidR="00DD002F" w:rsidRPr="000738F4">
              <w:rPr>
                <w:rFonts w:ascii="Arial" w:eastAsia="Arial" w:hAnsi="Arial" w:cs="Arial"/>
                <w:b/>
                <w:bCs/>
                <w:sz w:val="18"/>
                <w:szCs w:val="18"/>
              </w:rPr>
              <w:t>Service Delivery Office</w:t>
            </w:r>
          </w:p>
        </w:tc>
      </w:tr>
      <w:tr w:rsidR="00DD002F" w:rsidRPr="00C92882" w:rsidTr="00BD7A64">
        <w:trPr>
          <w:trHeight w:val="312"/>
        </w:trPr>
        <w:tc>
          <w:tcPr>
            <w:tcW w:w="1418" w:type="dxa"/>
            <w:tcBorders>
              <w:top w:val="single" w:sz="4" w:space="0" w:color="auto"/>
              <w:bottom w:val="dotted" w:sz="4" w:space="0" w:color="auto"/>
              <w:right w:val="single" w:sz="4" w:space="0" w:color="auto"/>
            </w:tcBorders>
          </w:tcPr>
          <w:p w:rsidR="00DD002F" w:rsidRPr="00C92882" w:rsidRDefault="00DD002F" w:rsidP="008518CA">
            <w:pPr>
              <w:tabs>
                <w:tab w:val="left" w:pos="709"/>
              </w:tabs>
              <w:spacing w:before="60" w:after="60"/>
              <w:rPr>
                <w:rFonts w:ascii="Arial" w:hAnsi="Arial" w:cs="Arial"/>
                <w:sz w:val="16"/>
                <w:szCs w:val="16"/>
              </w:rPr>
            </w:pPr>
            <w:r w:rsidRPr="00C92882">
              <w:rPr>
                <w:rFonts w:ascii="Arial" w:hAnsi="Arial" w:cs="Arial"/>
                <w:b/>
                <w:bCs/>
                <w:sz w:val="16"/>
                <w:szCs w:val="16"/>
              </w:rPr>
              <w:t>Year</w:t>
            </w:r>
          </w:p>
        </w:tc>
        <w:tc>
          <w:tcPr>
            <w:tcW w:w="2296" w:type="dxa"/>
            <w:tcBorders>
              <w:top w:val="single" w:sz="4" w:space="0" w:color="auto"/>
              <w:left w:val="single" w:sz="4" w:space="0" w:color="auto"/>
              <w:bottom w:val="dotted" w:sz="4" w:space="0" w:color="auto"/>
              <w:right w:val="single" w:sz="4" w:space="0" w:color="auto"/>
            </w:tcBorders>
          </w:tcPr>
          <w:p w:rsidR="00DD002F" w:rsidRPr="00C92882" w:rsidRDefault="00DD002F" w:rsidP="008518CA">
            <w:pPr>
              <w:tabs>
                <w:tab w:val="left" w:pos="709"/>
              </w:tabs>
              <w:spacing w:before="60" w:after="60"/>
              <w:rPr>
                <w:rFonts w:ascii="Arial" w:hAnsi="Arial" w:cs="Arial"/>
              </w:rPr>
            </w:pPr>
            <w:r w:rsidRPr="00C92882">
              <w:rPr>
                <w:rFonts w:ascii="Arial" w:hAnsi="Arial" w:cs="Arial"/>
                <w:b/>
                <w:bCs/>
                <w:sz w:val="16"/>
                <w:szCs w:val="16"/>
              </w:rPr>
              <w:t>Performance measures</w:t>
            </w:r>
          </w:p>
        </w:tc>
        <w:tc>
          <w:tcPr>
            <w:tcW w:w="3969" w:type="dxa"/>
            <w:tcBorders>
              <w:top w:val="single" w:sz="4" w:space="0" w:color="auto"/>
              <w:left w:val="single" w:sz="4" w:space="0" w:color="auto"/>
              <w:bottom w:val="dotted" w:sz="4" w:space="0" w:color="auto"/>
            </w:tcBorders>
          </w:tcPr>
          <w:p w:rsidR="00DD002F" w:rsidRPr="00C92882" w:rsidRDefault="00DD002F" w:rsidP="008518CA">
            <w:pPr>
              <w:tabs>
                <w:tab w:val="left" w:pos="709"/>
              </w:tabs>
              <w:spacing w:before="60" w:after="60"/>
              <w:rPr>
                <w:rFonts w:ascii="Arial" w:hAnsi="Arial" w:cs="Arial"/>
                <w:i/>
                <w:iCs/>
                <w:sz w:val="16"/>
                <w:szCs w:val="16"/>
              </w:rPr>
            </w:pPr>
            <w:r w:rsidRPr="00C92882">
              <w:rPr>
                <w:rFonts w:ascii="Arial" w:hAnsi="Arial" w:cs="Arial"/>
                <w:b/>
                <w:bCs/>
                <w:sz w:val="16"/>
                <w:szCs w:val="16"/>
              </w:rPr>
              <w:t>Planned Performance Results</w:t>
            </w:r>
          </w:p>
        </w:tc>
      </w:tr>
      <w:tr w:rsidR="00DD002F" w:rsidRPr="000738F4" w:rsidTr="00775D53">
        <w:trPr>
          <w:trHeight w:val="2404"/>
        </w:trPr>
        <w:tc>
          <w:tcPr>
            <w:tcW w:w="1418" w:type="dxa"/>
            <w:tcBorders>
              <w:top w:val="single" w:sz="4" w:space="0" w:color="auto"/>
              <w:right w:val="single" w:sz="4" w:space="0" w:color="auto"/>
            </w:tcBorders>
          </w:tcPr>
          <w:p w:rsidR="00DD002F" w:rsidRPr="00A040F8" w:rsidRDefault="00DD002F" w:rsidP="008D540B">
            <w:pPr>
              <w:tabs>
                <w:tab w:val="left" w:pos="709"/>
              </w:tabs>
              <w:spacing w:before="60" w:after="60" w:line="240" w:lineRule="auto"/>
              <w:jc w:val="left"/>
              <w:rPr>
                <w:rFonts w:ascii="Arial" w:hAnsi="Arial" w:cs="Arial"/>
                <w:sz w:val="16"/>
                <w:szCs w:val="16"/>
              </w:rPr>
            </w:pPr>
            <w:r w:rsidRPr="00A040F8">
              <w:rPr>
                <w:rFonts w:ascii="Arial" w:hAnsi="Arial" w:cs="Arial"/>
                <w:sz w:val="16"/>
                <w:szCs w:val="16"/>
              </w:rPr>
              <w:t>Budget Year     2022-23</w:t>
            </w:r>
          </w:p>
        </w:tc>
        <w:tc>
          <w:tcPr>
            <w:tcW w:w="2296" w:type="dxa"/>
            <w:tcBorders>
              <w:top w:val="single" w:sz="4" w:space="0" w:color="auto"/>
              <w:left w:val="single" w:sz="4" w:space="0" w:color="auto"/>
              <w:right w:val="single" w:sz="4" w:space="0" w:color="auto"/>
            </w:tcBorders>
          </w:tcPr>
          <w:p w:rsidR="00DD002F" w:rsidRPr="00A040F8" w:rsidRDefault="00DD002F" w:rsidP="00A040F8">
            <w:pPr>
              <w:tabs>
                <w:tab w:val="left" w:pos="709"/>
              </w:tabs>
              <w:spacing w:before="60" w:after="60" w:line="240" w:lineRule="auto"/>
              <w:jc w:val="left"/>
              <w:rPr>
                <w:rFonts w:ascii="Arial" w:hAnsi="Arial" w:cs="Arial"/>
                <w:b/>
                <w:bCs/>
                <w:sz w:val="16"/>
                <w:szCs w:val="16"/>
              </w:rPr>
            </w:pPr>
            <w:r w:rsidRPr="00A040F8">
              <w:rPr>
                <w:rFonts w:ascii="Arial" w:hAnsi="Arial" w:cs="Arial"/>
                <w:b/>
                <w:bCs/>
                <w:sz w:val="16"/>
                <w:szCs w:val="16"/>
              </w:rPr>
              <w:t>Shared services hub meets clients’ needs</w:t>
            </w:r>
          </w:p>
          <w:p w:rsidR="00DD002F" w:rsidRPr="00A040F8" w:rsidRDefault="00DD002F" w:rsidP="00A040F8">
            <w:pPr>
              <w:spacing w:before="60" w:after="60" w:line="240" w:lineRule="auto"/>
              <w:jc w:val="left"/>
              <w:rPr>
                <w:rFonts w:ascii="Arial" w:eastAsia="Arial" w:hAnsi="Arial" w:cs="Arial"/>
                <w:sz w:val="16"/>
                <w:szCs w:val="16"/>
              </w:rPr>
            </w:pPr>
            <w:r w:rsidRPr="00A040F8">
              <w:rPr>
                <w:rFonts w:ascii="Arial" w:hAnsi="Arial" w:cs="Arial"/>
                <w:sz w:val="16"/>
                <w:szCs w:val="16"/>
              </w:rPr>
              <w:t>As a Shared Services hub, the SDO provides quality and efficient services to client entities.</w:t>
            </w:r>
          </w:p>
        </w:tc>
        <w:tc>
          <w:tcPr>
            <w:tcW w:w="3969" w:type="dxa"/>
            <w:tcBorders>
              <w:top w:val="single" w:sz="4" w:space="0" w:color="auto"/>
              <w:left w:val="single" w:sz="4" w:space="0" w:color="auto"/>
            </w:tcBorders>
          </w:tcPr>
          <w:p w:rsidR="00DD002F" w:rsidRPr="00A040F8" w:rsidRDefault="00DD002F" w:rsidP="00775D53">
            <w:pPr>
              <w:tabs>
                <w:tab w:val="left" w:pos="709"/>
              </w:tabs>
              <w:suppressAutoHyphens/>
              <w:spacing w:before="60" w:after="60" w:line="240" w:lineRule="auto"/>
              <w:jc w:val="left"/>
              <w:rPr>
                <w:rFonts w:ascii="Arial" w:eastAsia="Arial" w:hAnsi="Arial" w:cs="Arial"/>
                <w:sz w:val="16"/>
                <w:szCs w:val="16"/>
              </w:rPr>
            </w:pPr>
            <w:r w:rsidRPr="00C50527">
              <w:rPr>
                <w:rFonts w:ascii="Arial" w:eastAsia="Arial" w:hAnsi="Arial" w:cs="Arial"/>
                <w:sz w:val="16"/>
                <w:szCs w:val="16"/>
              </w:rPr>
              <w:t>Service level agreements with client entities, including</w:t>
            </w:r>
            <w:r w:rsidR="00E4470E" w:rsidRPr="00C50527">
              <w:rPr>
                <w:rFonts w:ascii="Arial" w:eastAsia="Arial" w:hAnsi="Arial" w:cs="Arial"/>
                <w:sz w:val="16"/>
                <w:szCs w:val="16"/>
              </w:rPr>
              <w:t xml:space="preserve"> </w:t>
            </w:r>
            <w:r w:rsidR="00390FD9" w:rsidRPr="00C50527">
              <w:rPr>
                <w:rFonts w:ascii="Arial" w:eastAsia="Arial" w:hAnsi="Arial" w:cs="Arial"/>
                <w:sz w:val="16"/>
                <w:szCs w:val="16"/>
              </w:rPr>
              <w:t xml:space="preserve">measurement of efficiency and </w:t>
            </w:r>
            <w:r w:rsidRPr="00C50527">
              <w:rPr>
                <w:rFonts w:ascii="Arial" w:eastAsia="Arial" w:hAnsi="Arial" w:cs="Arial"/>
                <w:sz w:val="16"/>
                <w:szCs w:val="16"/>
              </w:rPr>
              <w:t>effectiveness of services, are met, including:</w:t>
            </w:r>
          </w:p>
          <w:p w:rsidR="00DD002F" w:rsidRPr="00A040F8" w:rsidRDefault="00DD002F" w:rsidP="00F76FE4">
            <w:pPr>
              <w:pStyle w:val="ListParagraph"/>
              <w:numPr>
                <w:ilvl w:val="0"/>
                <w:numId w:val="13"/>
              </w:numPr>
              <w:autoSpaceDE w:val="0"/>
              <w:autoSpaceDN w:val="0"/>
              <w:adjustRightInd w:val="0"/>
              <w:spacing w:before="60" w:after="60" w:line="240" w:lineRule="auto"/>
              <w:ind w:left="374" w:hanging="357"/>
              <w:rPr>
                <w:rFonts w:ascii="Arial" w:eastAsia="Arial" w:hAnsi="Arial" w:cs="Arial"/>
                <w:sz w:val="16"/>
                <w:szCs w:val="16"/>
              </w:rPr>
            </w:pPr>
            <w:r w:rsidRPr="00A040F8">
              <w:rPr>
                <w:rFonts w:ascii="Arial" w:eastAsia="Arial" w:hAnsi="Arial" w:cs="Arial"/>
                <w:sz w:val="16"/>
                <w:szCs w:val="16"/>
              </w:rPr>
              <w:t>Average resolution time of client request of &lt;10 days.</w:t>
            </w:r>
          </w:p>
          <w:p w:rsidR="00DD002F" w:rsidRPr="00A040F8" w:rsidRDefault="00DD002F" w:rsidP="00F76FE4">
            <w:pPr>
              <w:pStyle w:val="ListParagraph"/>
              <w:numPr>
                <w:ilvl w:val="0"/>
                <w:numId w:val="13"/>
              </w:numPr>
              <w:autoSpaceDE w:val="0"/>
              <w:autoSpaceDN w:val="0"/>
              <w:adjustRightInd w:val="0"/>
              <w:spacing w:before="60" w:after="60" w:line="240" w:lineRule="auto"/>
              <w:ind w:left="374" w:hanging="357"/>
              <w:rPr>
                <w:rFonts w:ascii="Arial" w:eastAsia="Arial" w:hAnsi="Arial" w:cs="Arial"/>
                <w:sz w:val="16"/>
                <w:szCs w:val="16"/>
              </w:rPr>
            </w:pPr>
            <w:r w:rsidRPr="00A040F8">
              <w:rPr>
                <w:rFonts w:ascii="Arial" w:eastAsia="Arial" w:hAnsi="Arial" w:cs="Arial"/>
                <w:sz w:val="16"/>
                <w:szCs w:val="16"/>
              </w:rPr>
              <w:t>1% increase in client satisfaction surveys.</w:t>
            </w:r>
          </w:p>
          <w:p w:rsidR="00DD002F" w:rsidRPr="00A040F8" w:rsidRDefault="00DD002F" w:rsidP="00775D53">
            <w:pPr>
              <w:tabs>
                <w:tab w:val="left" w:pos="709"/>
              </w:tabs>
              <w:suppressAutoHyphens/>
              <w:spacing w:before="60" w:after="60" w:line="240" w:lineRule="auto"/>
              <w:jc w:val="left"/>
              <w:rPr>
                <w:rFonts w:ascii="Arial" w:eastAsia="Arial" w:hAnsi="Arial" w:cs="Arial"/>
                <w:sz w:val="16"/>
                <w:szCs w:val="16"/>
              </w:rPr>
            </w:pPr>
            <w:r w:rsidRPr="00A040F8">
              <w:rPr>
                <w:rFonts w:ascii="Arial" w:eastAsia="Arial" w:hAnsi="Arial" w:cs="Arial"/>
                <w:sz w:val="16"/>
                <w:szCs w:val="16"/>
              </w:rPr>
              <w:t xml:space="preserve">The benefits of shared, standard and sustainable </w:t>
            </w:r>
          </w:p>
          <w:p w:rsidR="00DD002F" w:rsidRPr="00A040F8" w:rsidRDefault="00DD002F" w:rsidP="00775D53">
            <w:pPr>
              <w:tabs>
                <w:tab w:val="left" w:pos="709"/>
              </w:tabs>
              <w:suppressAutoHyphens/>
              <w:spacing w:before="60" w:after="60" w:line="240" w:lineRule="auto"/>
              <w:jc w:val="left"/>
              <w:rPr>
                <w:rFonts w:ascii="Arial" w:eastAsia="Arial" w:hAnsi="Arial" w:cs="Arial"/>
                <w:sz w:val="16"/>
                <w:szCs w:val="16"/>
              </w:rPr>
            </w:pPr>
            <w:r w:rsidRPr="00A040F8">
              <w:rPr>
                <w:rFonts w:ascii="Arial" w:eastAsia="Arial" w:hAnsi="Arial" w:cs="Arial"/>
                <w:sz w:val="16"/>
                <w:szCs w:val="16"/>
              </w:rPr>
              <w:t>technologies and processes are realised:</w:t>
            </w:r>
          </w:p>
          <w:p w:rsidR="00DD002F" w:rsidRPr="00A040F8" w:rsidRDefault="00DD002F" w:rsidP="00F76FE4">
            <w:pPr>
              <w:pStyle w:val="ListParagraph"/>
              <w:numPr>
                <w:ilvl w:val="0"/>
                <w:numId w:val="15"/>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A040F8">
              <w:rPr>
                <w:rFonts w:ascii="Arial" w:eastAsia="Arial" w:hAnsi="Arial" w:cs="Arial"/>
                <w:sz w:val="16"/>
                <w:szCs w:val="16"/>
              </w:rPr>
              <w:t>Increased client uptake of shared ERP technology solutions (year-on-year increase).</w:t>
            </w:r>
          </w:p>
          <w:p w:rsidR="00DD002F" w:rsidRPr="00A040F8" w:rsidRDefault="00DD002F" w:rsidP="00F76FE4">
            <w:pPr>
              <w:pStyle w:val="ListParagraph"/>
              <w:numPr>
                <w:ilvl w:val="0"/>
                <w:numId w:val="15"/>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A040F8">
              <w:rPr>
                <w:rFonts w:ascii="Arial" w:hAnsi="Arial" w:cs="Arial"/>
                <w:sz w:val="16"/>
                <w:szCs w:val="16"/>
              </w:rPr>
              <w:t>I</w:t>
            </w:r>
            <w:r w:rsidRPr="00A040F8">
              <w:rPr>
                <w:rFonts w:ascii="Arial" w:eastAsia="Arial" w:hAnsi="Arial" w:cs="Arial"/>
                <w:sz w:val="16"/>
                <w:szCs w:val="16"/>
              </w:rPr>
              <w:t xml:space="preserve">ncreased client adoption of end-to-end </w:t>
            </w:r>
            <w:proofErr w:type="spellStart"/>
            <w:r w:rsidRPr="00A040F8">
              <w:rPr>
                <w:rFonts w:ascii="Arial" w:eastAsia="Arial" w:hAnsi="Arial" w:cs="Arial"/>
                <w:sz w:val="16"/>
                <w:szCs w:val="16"/>
              </w:rPr>
              <w:t>WoAG</w:t>
            </w:r>
            <w:proofErr w:type="spellEnd"/>
            <w:r w:rsidRPr="00A040F8">
              <w:rPr>
                <w:rFonts w:ascii="Arial" w:eastAsia="Arial" w:hAnsi="Arial" w:cs="Arial"/>
                <w:sz w:val="16"/>
                <w:szCs w:val="16"/>
              </w:rPr>
              <w:t xml:space="preserve"> business processes (year-on-year increase).</w:t>
            </w:r>
          </w:p>
        </w:tc>
      </w:tr>
      <w:tr w:rsidR="00DD002F" w:rsidRPr="000738F4" w:rsidTr="00775D53">
        <w:trPr>
          <w:trHeight w:val="491"/>
        </w:trPr>
        <w:tc>
          <w:tcPr>
            <w:tcW w:w="1418" w:type="dxa"/>
            <w:tcBorders>
              <w:top w:val="dotted" w:sz="4" w:space="0" w:color="auto"/>
              <w:bottom w:val="dotted" w:sz="4" w:space="0" w:color="auto"/>
              <w:right w:val="single" w:sz="4" w:space="0" w:color="auto"/>
            </w:tcBorders>
          </w:tcPr>
          <w:p w:rsidR="00DD002F" w:rsidRPr="00A040F8" w:rsidRDefault="00DD002F" w:rsidP="006A4649">
            <w:pPr>
              <w:pStyle w:val="TableTextBase"/>
              <w:rPr>
                <w:rFonts w:cs="Arial"/>
                <w:b/>
                <w:bCs/>
                <w:sz w:val="16"/>
                <w:szCs w:val="16"/>
              </w:rPr>
            </w:pPr>
            <w:r w:rsidRPr="00A040F8">
              <w:rPr>
                <w:rFonts w:cs="Arial"/>
                <w:sz w:val="16"/>
                <w:szCs w:val="16"/>
              </w:rPr>
              <w:t xml:space="preserve">Forward Estimates </w:t>
            </w:r>
            <w:r w:rsidR="006A4649">
              <w:rPr>
                <w:rFonts w:cs="Arial"/>
                <w:sz w:val="16"/>
                <w:szCs w:val="16"/>
              </w:rPr>
              <w:br/>
            </w:r>
            <w:r w:rsidRPr="00A040F8">
              <w:rPr>
                <w:rFonts w:cs="Arial"/>
                <w:sz w:val="16"/>
                <w:szCs w:val="16"/>
              </w:rPr>
              <w:t>2023-26</w:t>
            </w:r>
          </w:p>
        </w:tc>
        <w:tc>
          <w:tcPr>
            <w:tcW w:w="2296" w:type="dxa"/>
            <w:tcBorders>
              <w:top w:val="dotted" w:sz="4" w:space="0" w:color="auto"/>
              <w:left w:val="single" w:sz="4" w:space="0" w:color="auto"/>
              <w:bottom w:val="dotted" w:sz="4" w:space="0" w:color="auto"/>
              <w:right w:val="single" w:sz="4" w:space="0" w:color="auto"/>
            </w:tcBorders>
          </w:tcPr>
          <w:p w:rsidR="00DD002F" w:rsidRPr="00A040F8" w:rsidRDefault="00DD002F" w:rsidP="00A040F8">
            <w:pPr>
              <w:tabs>
                <w:tab w:val="left" w:pos="709"/>
              </w:tabs>
              <w:spacing w:before="60" w:after="60" w:line="240" w:lineRule="auto"/>
              <w:jc w:val="left"/>
              <w:rPr>
                <w:rFonts w:ascii="Arial" w:hAnsi="Arial" w:cs="Arial"/>
                <w:b/>
                <w:bCs/>
                <w:sz w:val="16"/>
                <w:szCs w:val="16"/>
              </w:rPr>
            </w:pPr>
            <w:r w:rsidRPr="00A040F8">
              <w:rPr>
                <w:rFonts w:ascii="Arial" w:eastAsia="Arial" w:hAnsi="Arial" w:cs="Arial"/>
                <w:sz w:val="16"/>
                <w:szCs w:val="16"/>
              </w:rPr>
              <w:t>As per 2022-23.</w:t>
            </w:r>
          </w:p>
        </w:tc>
        <w:tc>
          <w:tcPr>
            <w:tcW w:w="3969" w:type="dxa"/>
            <w:tcBorders>
              <w:top w:val="dotted" w:sz="4" w:space="0" w:color="auto"/>
              <w:left w:val="single" w:sz="4" w:space="0" w:color="auto"/>
              <w:bottom w:val="dotted" w:sz="4" w:space="0" w:color="auto"/>
            </w:tcBorders>
          </w:tcPr>
          <w:p w:rsidR="00DD002F" w:rsidRPr="00A040F8" w:rsidRDefault="00DD002F" w:rsidP="00A040F8">
            <w:pPr>
              <w:tabs>
                <w:tab w:val="left" w:pos="709"/>
              </w:tabs>
              <w:spacing w:before="60" w:after="60" w:line="240" w:lineRule="auto"/>
              <w:jc w:val="left"/>
              <w:rPr>
                <w:rFonts w:ascii="Arial" w:hAnsi="Arial" w:cs="Arial"/>
                <w:b/>
                <w:bCs/>
                <w:sz w:val="16"/>
                <w:szCs w:val="16"/>
              </w:rPr>
            </w:pPr>
            <w:r w:rsidRPr="00A040F8">
              <w:rPr>
                <w:rFonts w:ascii="Arial" w:eastAsia="Arial" w:hAnsi="Arial" w:cs="Arial"/>
                <w:sz w:val="16"/>
                <w:szCs w:val="16"/>
              </w:rPr>
              <w:t>As per 2022-23.</w:t>
            </w:r>
          </w:p>
        </w:tc>
      </w:tr>
      <w:tr w:rsidR="00DD002F" w:rsidRPr="000738F4" w:rsidTr="00F46A69">
        <w:trPr>
          <w:trHeight w:val="230"/>
        </w:trPr>
        <w:tc>
          <w:tcPr>
            <w:tcW w:w="7655" w:type="dxa"/>
            <w:gridSpan w:val="3"/>
          </w:tcPr>
          <w:p w:rsidR="00DD002F" w:rsidRPr="00A040F8" w:rsidRDefault="00DD002F" w:rsidP="00775D53">
            <w:pPr>
              <w:tabs>
                <w:tab w:val="left" w:pos="709"/>
              </w:tabs>
              <w:spacing w:before="60" w:after="60"/>
              <w:jc w:val="left"/>
              <w:rPr>
                <w:rFonts w:ascii="Arial" w:eastAsia="Cambria" w:hAnsi="Arial" w:cs="Arial"/>
                <w:sz w:val="16"/>
                <w:szCs w:val="16"/>
              </w:rPr>
            </w:pPr>
            <w:r w:rsidRPr="00A040F8">
              <w:rPr>
                <w:rFonts w:ascii="Arial" w:hAnsi="Arial" w:cs="Arial"/>
                <w:sz w:val="16"/>
                <w:szCs w:val="16"/>
              </w:rPr>
              <w:t>Material changes to Program 2.6 resulting from 2022-23 Budget Measures:</w:t>
            </w:r>
            <w:r w:rsidRPr="00A040F8">
              <w:rPr>
                <w:rStyle w:val="BodyTextChar"/>
                <w:rFonts w:ascii="Arial" w:hAnsi="Arial" w:cs="Arial"/>
                <w:spacing w:val="-6"/>
                <w:sz w:val="16"/>
                <w:szCs w:val="16"/>
              </w:rPr>
              <w:t xml:space="preserve"> </w:t>
            </w:r>
            <w:r w:rsidRPr="00A040F8">
              <w:rPr>
                <w:rFonts w:ascii="Arial" w:hAnsi="Arial" w:cs="Arial"/>
                <w:sz w:val="16"/>
                <w:szCs w:val="16"/>
              </w:rPr>
              <w:t>Nil</w:t>
            </w:r>
          </w:p>
        </w:tc>
      </w:tr>
    </w:tbl>
    <w:p w:rsidR="00A040F8" w:rsidRDefault="00A040F8" w:rsidP="00A040F8">
      <w:pPr>
        <w:spacing w:after="0" w:line="240" w:lineRule="auto"/>
        <w:jc w:val="left"/>
      </w:pPr>
      <w:r w:rsidRPr="000717B9">
        <w:rPr>
          <w:rFonts w:ascii="Arial" w:hAnsi="Arial"/>
          <w:sz w:val="16"/>
        </w:rPr>
        <w:t>Table continues on next page</w:t>
      </w:r>
      <w:r>
        <w:t xml:space="preserve"> </w:t>
      </w:r>
    </w:p>
    <w:p w:rsidR="00DD002F" w:rsidRDefault="00DD002F" w:rsidP="00DD002F">
      <w:pPr>
        <w:rPr>
          <w:lang w:eastAsia="x-none"/>
        </w:rPr>
      </w:pPr>
    </w:p>
    <w:p w:rsidR="00DD002F" w:rsidRDefault="00DD002F" w:rsidP="00DD002F">
      <w:pPr>
        <w:rPr>
          <w:lang w:eastAsia="x-none"/>
        </w:rPr>
      </w:pPr>
    </w:p>
    <w:p w:rsidR="00DD002F" w:rsidRDefault="00DD002F" w:rsidP="00DD002F">
      <w:pPr>
        <w:rPr>
          <w:lang w:eastAsia="x-none"/>
        </w:rPr>
      </w:pPr>
    </w:p>
    <w:p w:rsidR="00DD002F" w:rsidRDefault="00DD002F" w:rsidP="00DD002F">
      <w:pPr>
        <w:rPr>
          <w:lang w:eastAsia="x-none"/>
        </w:rPr>
      </w:pPr>
    </w:p>
    <w:p w:rsidR="00DD002F" w:rsidRDefault="00DD002F" w:rsidP="00DD002F">
      <w:pPr>
        <w:rPr>
          <w:lang w:eastAsia="x-none"/>
        </w:rPr>
      </w:pPr>
    </w:p>
    <w:p w:rsidR="00A040F8" w:rsidRDefault="00A040F8" w:rsidP="00DD002F">
      <w:pPr>
        <w:rPr>
          <w:lang w:eastAsia="x-none"/>
        </w:rPr>
      </w:pPr>
    </w:p>
    <w:p w:rsidR="00A040F8" w:rsidRDefault="00A040F8" w:rsidP="00DD002F">
      <w:pPr>
        <w:rPr>
          <w:lang w:eastAsia="x-none"/>
        </w:rPr>
      </w:pPr>
    </w:p>
    <w:p w:rsidR="00DD002F" w:rsidRDefault="00DD002F" w:rsidP="00DD002F">
      <w:pPr>
        <w:rPr>
          <w:lang w:eastAsia="x-none"/>
        </w:rPr>
      </w:pPr>
    </w:p>
    <w:p w:rsidR="00DD002F" w:rsidRDefault="00DD002F" w:rsidP="00DD002F">
      <w:pPr>
        <w:rPr>
          <w:lang w:eastAsia="x-none"/>
        </w:rPr>
      </w:pPr>
    </w:p>
    <w:p w:rsidR="00BD7A64" w:rsidRDefault="00BD7A64" w:rsidP="00DD002F">
      <w:pPr>
        <w:rPr>
          <w:lang w:eastAsia="x-none"/>
        </w:rPr>
      </w:pPr>
    </w:p>
    <w:p w:rsidR="00DD002F" w:rsidRDefault="00DD002F" w:rsidP="00DD002F">
      <w:pPr>
        <w:rPr>
          <w:lang w:eastAsia="x-none"/>
        </w:rPr>
      </w:pPr>
    </w:p>
    <w:p w:rsidR="00DD002F" w:rsidRDefault="00DD002F" w:rsidP="00DD002F">
      <w:pPr>
        <w:rPr>
          <w:lang w:eastAsia="x-none"/>
        </w:rPr>
      </w:pPr>
    </w:p>
    <w:p w:rsidR="008163DB" w:rsidRDefault="008163DB" w:rsidP="008163DB">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2266"/>
        <w:gridCol w:w="3878"/>
      </w:tblGrid>
      <w:tr w:rsidR="008163DB" w:rsidRPr="00361E69" w:rsidTr="008518CA">
        <w:trPr>
          <w:trHeight w:val="522"/>
        </w:trPr>
        <w:tc>
          <w:tcPr>
            <w:tcW w:w="7542" w:type="dxa"/>
            <w:gridSpan w:val="3"/>
            <w:shd w:val="clear" w:color="auto" w:fill="F2F2F2"/>
          </w:tcPr>
          <w:p w:rsidR="008163DB" w:rsidRPr="008163DB" w:rsidRDefault="008163DB" w:rsidP="00CD4C02">
            <w:pPr>
              <w:tabs>
                <w:tab w:val="left" w:pos="709"/>
              </w:tabs>
              <w:spacing w:before="60" w:after="60" w:line="240" w:lineRule="auto"/>
              <w:jc w:val="left"/>
              <w:rPr>
                <w:rFonts w:ascii="Arial" w:hAnsi="Arial" w:cs="Arial"/>
                <w:b/>
                <w:sz w:val="18"/>
                <w:szCs w:val="18"/>
              </w:rPr>
            </w:pPr>
            <w:r w:rsidRPr="008163DB">
              <w:rPr>
                <w:rFonts w:ascii="Arial" w:hAnsi="Arial" w:cs="Arial"/>
                <w:b/>
                <w:sz w:val="18"/>
                <w:szCs w:val="18"/>
              </w:rPr>
              <w:t xml:space="preserve">Program 2.7 – </w:t>
            </w:r>
            <w:r w:rsidRPr="008163DB">
              <w:rPr>
                <w:rFonts w:ascii="Arial" w:eastAsia="Arial" w:hAnsi="Arial" w:cs="Arial"/>
                <w:b/>
                <w:sz w:val="18"/>
                <w:szCs w:val="18"/>
              </w:rPr>
              <w:t>Public Sector Superannuation</w:t>
            </w:r>
          </w:p>
          <w:p w:rsidR="008163DB" w:rsidRPr="00361E69" w:rsidRDefault="008163DB" w:rsidP="00CD4C02">
            <w:pPr>
              <w:tabs>
                <w:tab w:val="left" w:pos="709"/>
              </w:tabs>
              <w:spacing w:before="60" w:after="60" w:line="240" w:lineRule="auto"/>
              <w:jc w:val="left"/>
              <w:rPr>
                <w:rFonts w:ascii="Arial" w:hAnsi="Arial" w:cs="Arial"/>
                <w:sz w:val="16"/>
                <w:szCs w:val="16"/>
              </w:rPr>
            </w:pPr>
            <w:r w:rsidRPr="008163DB">
              <w:rPr>
                <w:rFonts w:ascii="Arial" w:eastAsia="Arial" w:hAnsi="Arial" w:cs="Arial"/>
                <w:sz w:val="18"/>
                <w:szCs w:val="18"/>
              </w:rPr>
              <w:t>This program contributes to the outcome through advising the Government on the stability of the Government’s unfunded superannuation liabilities and its associated administered expense items and superannuation arrangements for government employees. This includes the administration and management of superannuation arrangements for parliamentarians, as well as current and former governors-general, federal judges and Federal Circuit Court Judges.</w:t>
            </w:r>
          </w:p>
        </w:tc>
      </w:tr>
      <w:tr w:rsidR="008163DB" w:rsidRPr="00361E69" w:rsidTr="00BD7A64">
        <w:trPr>
          <w:trHeight w:val="102"/>
        </w:trPr>
        <w:tc>
          <w:tcPr>
            <w:tcW w:w="1418" w:type="dxa"/>
            <w:tcBorders>
              <w:bottom w:val="double" w:sz="4" w:space="0" w:color="auto"/>
            </w:tcBorders>
          </w:tcPr>
          <w:p w:rsidR="008163DB" w:rsidRPr="00361E69" w:rsidRDefault="008163DB" w:rsidP="00BD7A64">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5836" w:type="dxa"/>
            <w:gridSpan w:val="2"/>
            <w:tcBorders>
              <w:bottom w:val="double" w:sz="4" w:space="0" w:color="auto"/>
            </w:tcBorders>
          </w:tcPr>
          <w:p w:rsidR="008163DB" w:rsidRDefault="008163DB" w:rsidP="00BD7A64">
            <w:pPr>
              <w:tabs>
                <w:tab w:val="left" w:pos="709"/>
              </w:tabs>
              <w:autoSpaceDE w:val="0"/>
              <w:autoSpaceDN w:val="0"/>
              <w:spacing w:before="60" w:after="60" w:line="240" w:lineRule="auto"/>
              <w:jc w:val="left"/>
              <w:rPr>
                <w:rFonts w:ascii="Arial" w:hAnsi="Arial" w:cs="Arial"/>
                <w:b/>
                <w:bCs/>
                <w:sz w:val="16"/>
                <w:szCs w:val="16"/>
              </w:rPr>
            </w:pPr>
            <w:r w:rsidRPr="00A5602E">
              <w:rPr>
                <w:rFonts w:ascii="Arial" w:hAnsi="Arial" w:cs="Arial"/>
                <w:b/>
                <w:bCs/>
                <w:sz w:val="16"/>
                <w:szCs w:val="16"/>
              </w:rPr>
              <w:t>Enable civilian</w:t>
            </w:r>
            <w:r>
              <w:rPr>
                <w:rFonts w:ascii="Arial" w:hAnsi="Arial" w:cs="Arial"/>
                <w:b/>
                <w:bCs/>
                <w:sz w:val="16"/>
                <w:szCs w:val="16"/>
              </w:rPr>
              <w:t xml:space="preserve"> </w:t>
            </w:r>
            <w:r w:rsidRPr="00A5602E">
              <w:rPr>
                <w:rFonts w:ascii="Arial" w:hAnsi="Arial" w:cs="Arial"/>
                <w:b/>
                <w:bCs/>
                <w:sz w:val="16"/>
                <w:szCs w:val="16"/>
              </w:rPr>
              <w:t>superannuation schemes</w:t>
            </w:r>
          </w:p>
          <w:p w:rsidR="008163DB" w:rsidRPr="00361E69" w:rsidRDefault="008163DB" w:rsidP="00BD7A64">
            <w:pPr>
              <w:tabs>
                <w:tab w:val="left" w:pos="709"/>
              </w:tabs>
              <w:autoSpaceDE w:val="0"/>
              <w:autoSpaceDN w:val="0"/>
              <w:spacing w:before="60" w:after="60" w:line="240" w:lineRule="auto"/>
              <w:jc w:val="left"/>
              <w:rPr>
                <w:rFonts w:ascii="Arial" w:hAnsi="Arial" w:cs="Arial"/>
                <w:i/>
                <w:sz w:val="16"/>
                <w:szCs w:val="16"/>
              </w:rPr>
            </w:pPr>
            <w:r w:rsidRPr="00A5602E">
              <w:rPr>
                <w:rFonts w:ascii="Arial" w:hAnsi="Arial" w:cs="Arial"/>
                <w:bCs/>
                <w:sz w:val="16"/>
                <w:szCs w:val="16"/>
              </w:rPr>
              <w:t>Provide a policy, regulatory and legislative framework that enables the</w:t>
            </w:r>
            <w:r>
              <w:rPr>
                <w:rFonts w:ascii="Arial" w:hAnsi="Arial" w:cs="Arial"/>
                <w:bCs/>
                <w:sz w:val="16"/>
                <w:szCs w:val="16"/>
              </w:rPr>
              <w:t xml:space="preserve"> </w:t>
            </w:r>
            <w:r w:rsidRPr="00A5602E">
              <w:rPr>
                <w:rFonts w:ascii="Arial" w:hAnsi="Arial" w:cs="Arial"/>
                <w:bCs/>
                <w:sz w:val="16"/>
                <w:szCs w:val="16"/>
              </w:rPr>
              <w:t>civilian superannuation</w:t>
            </w:r>
            <w:r>
              <w:rPr>
                <w:rFonts w:ascii="Arial" w:hAnsi="Arial" w:cs="Arial"/>
                <w:bCs/>
                <w:sz w:val="16"/>
                <w:szCs w:val="16"/>
              </w:rPr>
              <w:t xml:space="preserve"> </w:t>
            </w:r>
            <w:r w:rsidRPr="00A5602E">
              <w:rPr>
                <w:rFonts w:ascii="Arial" w:hAnsi="Arial" w:cs="Arial"/>
                <w:bCs/>
                <w:sz w:val="16"/>
                <w:szCs w:val="16"/>
              </w:rPr>
              <w:t>scheme compliance.</w:t>
            </w:r>
          </w:p>
        </w:tc>
      </w:tr>
      <w:tr w:rsidR="008163DB" w:rsidRPr="00361E69" w:rsidTr="00785EA1">
        <w:trPr>
          <w:trHeight w:val="312"/>
        </w:trPr>
        <w:tc>
          <w:tcPr>
            <w:tcW w:w="1418" w:type="dxa"/>
            <w:tcBorders>
              <w:top w:val="double" w:sz="4" w:space="0" w:color="auto"/>
              <w:bottom w:val="single" w:sz="4" w:space="0" w:color="auto"/>
              <w:right w:val="single" w:sz="4" w:space="0" w:color="auto"/>
            </w:tcBorders>
          </w:tcPr>
          <w:p w:rsidR="008163DB" w:rsidRPr="00361E69" w:rsidRDefault="008163DB" w:rsidP="00CD4C02">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Year</w:t>
            </w:r>
          </w:p>
        </w:tc>
        <w:tc>
          <w:tcPr>
            <w:tcW w:w="2296" w:type="dxa"/>
            <w:tcBorders>
              <w:top w:val="double" w:sz="4" w:space="0" w:color="auto"/>
              <w:left w:val="single" w:sz="4" w:space="0" w:color="auto"/>
              <w:bottom w:val="single" w:sz="4" w:space="0" w:color="auto"/>
              <w:right w:val="single" w:sz="4" w:space="0" w:color="auto"/>
            </w:tcBorders>
          </w:tcPr>
          <w:p w:rsidR="008163DB" w:rsidRPr="00361E69" w:rsidRDefault="008163DB" w:rsidP="00CD4C02">
            <w:pPr>
              <w:tabs>
                <w:tab w:val="left" w:pos="709"/>
                <w:tab w:val="center" w:pos="1818"/>
              </w:tabs>
              <w:spacing w:before="60" w:after="60" w:line="240" w:lineRule="auto"/>
              <w:jc w:val="left"/>
              <w:rPr>
                <w:rFonts w:ascii="Arial" w:hAnsi="Arial" w:cs="Arial"/>
                <w:b/>
                <w:sz w:val="16"/>
                <w:szCs w:val="16"/>
              </w:rPr>
            </w:pPr>
            <w:r w:rsidRPr="00361E69">
              <w:rPr>
                <w:rFonts w:ascii="Arial" w:hAnsi="Arial" w:cs="Arial"/>
                <w:b/>
                <w:sz w:val="16"/>
                <w:szCs w:val="16"/>
              </w:rPr>
              <w:t>Performance measures</w:t>
            </w:r>
          </w:p>
        </w:tc>
        <w:tc>
          <w:tcPr>
            <w:tcW w:w="3969" w:type="dxa"/>
            <w:tcBorders>
              <w:top w:val="double" w:sz="4" w:space="0" w:color="auto"/>
              <w:left w:val="single" w:sz="4" w:space="0" w:color="auto"/>
              <w:bottom w:val="single" w:sz="4" w:space="0" w:color="auto"/>
            </w:tcBorders>
          </w:tcPr>
          <w:p w:rsidR="008163DB" w:rsidRPr="00361E69" w:rsidRDefault="008163DB" w:rsidP="00CD4C02">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Expected Performance Results</w:t>
            </w:r>
          </w:p>
        </w:tc>
      </w:tr>
      <w:tr w:rsidR="008163DB" w:rsidRPr="00C92882" w:rsidTr="00785EA1">
        <w:trPr>
          <w:trHeight w:val="2078"/>
        </w:trPr>
        <w:tc>
          <w:tcPr>
            <w:tcW w:w="1418" w:type="dxa"/>
            <w:vMerge w:val="restart"/>
            <w:tcBorders>
              <w:top w:val="single" w:sz="4" w:space="0" w:color="auto"/>
              <w:right w:val="single" w:sz="4" w:space="0" w:color="auto"/>
            </w:tcBorders>
          </w:tcPr>
          <w:p w:rsidR="008163DB" w:rsidRPr="00361E69" w:rsidRDefault="008163DB" w:rsidP="006A4649">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 xml:space="preserve">Current year </w:t>
            </w:r>
            <w:r w:rsidR="006A4649">
              <w:rPr>
                <w:rFonts w:ascii="Arial" w:hAnsi="Arial" w:cs="Arial"/>
                <w:sz w:val="16"/>
                <w:szCs w:val="16"/>
              </w:rPr>
              <w:br/>
            </w:r>
            <w:r w:rsidRPr="00361E69">
              <w:rPr>
                <w:rFonts w:ascii="Arial" w:hAnsi="Arial" w:cs="Arial"/>
                <w:sz w:val="16"/>
                <w:szCs w:val="16"/>
              </w:rPr>
              <w:t>2021-22</w:t>
            </w:r>
          </w:p>
        </w:tc>
        <w:tc>
          <w:tcPr>
            <w:tcW w:w="2296" w:type="dxa"/>
            <w:tcBorders>
              <w:top w:val="single" w:sz="4" w:space="0" w:color="auto"/>
              <w:left w:val="single" w:sz="4" w:space="0" w:color="auto"/>
              <w:bottom w:val="dotted" w:sz="4" w:space="0" w:color="auto"/>
              <w:right w:val="single" w:sz="4" w:space="0" w:color="auto"/>
            </w:tcBorders>
          </w:tcPr>
          <w:p w:rsidR="008163DB" w:rsidRPr="00033F86" w:rsidRDefault="008163DB" w:rsidP="00CD4C02">
            <w:pPr>
              <w:tabs>
                <w:tab w:val="left" w:pos="709"/>
              </w:tabs>
              <w:spacing w:before="60" w:after="60" w:line="240" w:lineRule="auto"/>
              <w:jc w:val="left"/>
              <w:rPr>
                <w:rFonts w:ascii="Arial" w:hAnsi="Arial" w:cs="Arial"/>
                <w:b/>
                <w:bCs/>
                <w:sz w:val="16"/>
                <w:szCs w:val="16"/>
              </w:rPr>
            </w:pPr>
            <w:r w:rsidRPr="00033F86">
              <w:rPr>
                <w:rFonts w:ascii="Arial" w:hAnsi="Arial" w:cs="Arial"/>
                <w:b/>
                <w:bCs/>
                <w:sz w:val="16"/>
                <w:szCs w:val="16"/>
              </w:rPr>
              <w:t>Public sector civilian superannuation schemes</w:t>
            </w:r>
          </w:p>
          <w:p w:rsidR="008163DB" w:rsidRPr="00033F86" w:rsidRDefault="008163DB" w:rsidP="00775D53">
            <w:pPr>
              <w:spacing w:before="60" w:after="60" w:line="240" w:lineRule="auto"/>
              <w:jc w:val="left"/>
              <w:rPr>
                <w:rFonts w:ascii="Arial" w:hAnsi="Arial" w:cs="Arial"/>
                <w:sz w:val="16"/>
                <w:szCs w:val="16"/>
              </w:rPr>
            </w:pPr>
            <w:r w:rsidRPr="00033F86">
              <w:rPr>
                <w:rFonts w:ascii="Arial" w:hAnsi="Arial" w:cs="Arial"/>
                <w:sz w:val="16"/>
                <w:szCs w:val="16"/>
              </w:rPr>
              <w:t>The legislative framework for the</w:t>
            </w:r>
            <w:r w:rsidR="008518CA">
              <w:rPr>
                <w:rFonts w:ascii="Arial" w:hAnsi="Arial" w:cs="Arial"/>
                <w:sz w:val="16"/>
                <w:szCs w:val="16"/>
              </w:rPr>
              <w:t xml:space="preserve"> </w:t>
            </w:r>
            <w:r w:rsidRPr="00033F86">
              <w:rPr>
                <w:rFonts w:ascii="Arial" w:hAnsi="Arial" w:cs="Arial"/>
                <w:sz w:val="16"/>
                <w:szCs w:val="16"/>
              </w:rPr>
              <w:t>Com</w:t>
            </w:r>
            <w:r w:rsidR="00775D53">
              <w:rPr>
                <w:rFonts w:ascii="Arial" w:hAnsi="Arial" w:cs="Arial"/>
                <w:sz w:val="16"/>
                <w:szCs w:val="16"/>
              </w:rPr>
              <w:t xml:space="preserve">monwealth Government's civilian </w:t>
            </w:r>
            <w:r w:rsidRPr="00033F86">
              <w:rPr>
                <w:rFonts w:ascii="Arial" w:hAnsi="Arial" w:cs="Arial"/>
                <w:sz w:val="16"/>
                <w:szCs w:val="16"/>
              </w:rPr>
              <w:t>superannuation schemes enables the</w:t>
            </w:r>
            <w:r w:rsidR="00983027">
              <w:rPr>
                <w:rFonts w:ascii="Arial" w:hAnsi="Arial" w:cs="Arial"/>
                <w:sz w:val="16"/>
                <w:szCs w:val="16"/>
              </w:rPr>
              <w:t xml:space="preserve"> </w:t>
            </w:r>
            <w:r w:rsidRPr="00033F86">
              <w:rPr>
                <w:rFonts w:ascii="Arial" w:hAnsi="Arial" w:cs="Arial"/>
                <w:sz w:val="16"/>
                <w:szCs w:val="16"/>
              </w:rPr>
              <w:t>schemes t</w:t>
            </w:r>
            <w:r w:rsidR="00033F86" w:rsidRPr="00033F86">
              <w:rPr>
                <w:rFonts w:ascii="Arial" w:hAnsi="Arial" w:cs="Arial"/>
                <w:sz w:val="16"/>
                <w:szCs w:val="16"/>
              </w:rPr>
              <w:t xml:space="preserve">o be administered in accordance </w:t>
            </w:r>
            <w:r w:rsidRPr="00033F86">
              <w:rPr>
                <w:rFonts w:ascii="Arial" w:hAnsi="Arial" w:cs="Arial"/>
                <w:sz w:val="16"/>
                <w:szCs w:val="16"/>
              </w:rPr>
              <w:t>with the applic</w:t>
            </w:r>
            <w:r w:rsidR="00392B92" w:rsidRPr="00033F86">
              <w:rPr>
                <w:rFonts w:ascii="Arial" w:hAnsi="Arial" w:cs="Arial"/>
                <w:sz w:val="16"/>
                <w:szCs w:val="16"/>
              </w:rPr>
              <w:t xml:space="preserve">able regulatory and legislative </w:t>
            </w:r>
            <w:r w:rsidRPr="00033F86">
              <w:rPr>
                <w:rFonts w:ascii="Arial" w:hAnsi="Arial" w:cs="Arial"/>
                <w:sz w:val="16"/>
                <w:szCs w:val="16"/>
              </w:rPr>
              <w:t xml:space="preserve">requirements. </w:t>
            </w:r>
          </w:p>
          <w:p w:rsidR="008163DB" w:rsidRPr="00033F86" w:rsidRDefault="008163DB" w:rsidP="00CD4C02">
            <w:pPr>
              <w:tabs>
                <w:tab w:val="left" w:pos="709"/>
              </w:tabs>
              <w:spacing w:before="60" w:after="60" w:line="240" w:lineRule="auto"/>
              <w:jc w:val="left"/>
              <w:rPr>
                <w:rFonts w:ascii="Arial" w:hAnsi="Arial" w:cs="Arial"/>
                <w:bCs/>
                <w:sz w:val="16"/>
                <w:szCs w:val="16"/>
              </w:rPr>
            </w:pPr>
          </w:p>
        </w:tc>
        <w:tc>
          <w:tcPr>
            <w:tcW w:w="3969" w:type="dxa"/>
            <w:tcBorders>
              <w:top w:val="single" w:sz="4" w:space="0" w:color="auto"/>
              <w:left w:val="single" w:sz="4" w:space="0" w:color="auto"/>
              <w:bottom w:val="dotted" w:sz="4" w:space="0" w:color="auto"/>
            </w:tcBorders>
          </w:tcPr>
          <w:p w:rsidR="008163DB" w:rsidRPr="00C92882" w:rsidRDefault="008163DB" w:rsidP="00CD4C02">
            <w:pPr>
              <w:autoSpaceDE w:val="0"/>
              <w:autoSpaceDN w:val="0"/>
              <w:adjustRightInd w:val="0"/>
              <w:spacing w:before="60" w:after="60" w:line="240" w:lineRule="auto"/>
              <w:jc w:val="left"/>
              <w:rPr>
                <w:rFonts w:ascii="Arial" w:hAnsi="Arial" w:cs="Arial"/>
                <w:b/>
                <w:sz w:val="16"/>
                <w:szCs w:val="16"/>
                <w:lang w:val="en"/>
              </w:rPr>
            </w:pPr>
            <w:r w:rsidRPr="00C92882">
              <w:rPr>
                <w:rFonts w:ascii="Arial" w:hAnsi="Arial" w:cs="Arial"/>
                <w:b/>
                <w:bCs/>
                <w:sz w:val="16"/>
                <w:szCs w:val="16"/>
              </w:rPr>
              <w:t>On Track</w:t>
            </w:r>
          </w:p>
          <w:p w:rsidR="008163DB" w:rsidRPr="00C92882" w:rsidRDefault="008163DB" w:rsidP="00CD4C02">
            <w:pPr>
              <w:tabs>
                <w:tab w:val="left" w:pos="709"/>
              </w:tabs>
              <w:spacing w:before="60" w:after="60" w:line="240" w:lineRule="auto"/>
              <w:jc w:val="left"/>
              <w:rPr>
                <w:rFonts w:ascii="Arial" w:hAnsi="Arial" w:cs="Arial"/>
                <w:sz w:val="16"/>
                <w:szCs w:val="16"/>
              </w:rPr>
            </w:pPr>
            <w:r w:rsidRPr="00C92882">
              <w:rPr>
                <w:rFonts w:ascii="Arial" w:hAnsi="Arial" w:cs="Arial"/>
                <w:bCs/>
                <w:sz w:val="16"/>
                <w:szCs w:val="16"/>
              </w:rPr>
              <w:t>The legislation establishing the civilian superannuation schemes continues to comply with regulatory and legislative requirements.</w:t>
            </w:r>
          </w:p>
        </w:tc>
      </w:tr>
      <w:tr w:rsidR="008163DB" w:rsidRPr="00C92882" w:rsidTr="00785EA1">
        <w:trPr>
          <w:trHeight w:val="1021"/>
        </w:trPr>
        <w:tc>
          <w:tcPr>
            <w:tcW w:w="1706" w:type="dxa"/>
            <w:vMerge/>
            <w:tcBorders>
              <w:right w:val="single" w:sz="4" w:space="0" w:color="auto"/>
            </w:tcBorders>
          </w:tcPr>
          <w:p w:rsidR="008163DB" w:rsidRPr="00361E69" w:rsidRDefault="008163DB" w:rsidP="008518CA">
            <w:pPr>
              <w:tabs>
                <w:tab w:val="left" w:pos="709"/>
              </w:tabs>
              <w:spacing w:before="60" w:after="60"/>
              <w:rPr>
                <w:rFonts w:ascii="Arial" w:hAnsi="Arial" w:cs="Arial"/>
                <w:sz w:val="16"/>
                <w:szCs w:val="16"/>
              </w:rPr>
            </w:pPr>
          </w:p>
        </w:tc>
        <w:tc>
          <w:tcPr>
            <w:tcW w:w="2296" w:type="dxa"/>
            <w:tcBorders>
              <w:top w:val="dotted" w:sz="4" w:space="0" w:color="auto"/>
              <w:left w:val="single" w:sz="4" w:space="0" w:color="auto"/>
              <w:right w:val="single" w:sz="4" w:space="0" w:color="auto"/>
            </w:tcBorders>
          </w:tcPr>
          <w:p w:rsidR="008163DB" w:rsidRPr="00033F86" w:rsidRDefault="008163DB" w:rsidP="00CD4C02">
            <w:pPr>
              <w:tabs>
                <w:tab w:val="left" w:pos="709"/>
              </w:tabs>
              <w:spacing w:before="60" w:after="60" w:line="240" w:lineRule="auto"/>
              <w:jc w:val="left"/>
              <w:rPr>
                <w:rFonts w:ascii="Arial" w:hAnsi="Arial" w:cs="Arial"/>
                <w:b/>
                <w:bCs/>
                <w:sz w:val="16"/>
                <w:szCs w:val="16"/>
              </w:rPr>
            </w:pPr>
            <w:r w:rsidRPr="00033F86">
              <w:rPr>
                <w:rFonts w:ascii="Arial" w:hAnsi="Arial" w:cs="Arial"/>
                <w:b/>
                <w:bCs/>
                <w:sz w:val="16"/>
                <w:szCs w:val="16"/>
              </w:rPr>
              <w:t>Administration of pension schemes for former parliamentarians, judges and governors-general</w:t>
            </w:r>
          </w:p>
          <w:p w:rsidR="008163DB" w:rsidRPr="00392B92" w:rsidRDefault="008163DB" w:rsidP="00CD4C02">
            <w:pPr>
              <w:spacing w:before="60" w:after="60" w:line="240" w:lineRule="auto"/>
              <w:jc w:val="left"/>
              <w:rPr>
                <w:rFonts w:ascii="Arial" w:hAnsi="Arial" w:cs="Arial"/>
                <w:sz w:val="16"/>
                <w:szCs w:val="16"/>
              </w:rPr>
            </w:pPr>
            <w:r w:rsidRPr="00033F86">
              <w:rPr>
                <w:rFonts w:ascii="Arial" w:hAnsi="Arial" w:cs="Arial"/>
                <w:sz w:val="16"/>
                <w:szCs w:val="16"/>
              </w:rPr>
              <w:t>The pension schemes are administered</w:t>
            </w:r>
            <w:r w:rsidRPr="00C92882">
              <w:rPr>
                <w:rFonts w:ascii="Arial" w:hAnsi="Arial" w:cs="Arial"/>
                <w:sz w:val="16"/>
                <w:szCs w:val="16"/>
              </w:rPr>
              <w:t xml:space="preserve"> by</w:t>
            </w:r>
            <w:r w:rsidR="008518CA">
              <w:rPr>
                <w:rFonts w:ascii="Arial" w:hAnsi="Arial" w:cs="Arial"/>
                <w:sz w:val="16"/>
                <w:szCs w:val="16"/>
              </w:rPr>
              <w:t xml:space="preserve"> </w:t>
            </w:r>
            <w:r w:rsidRPr="00C92882">
              <w:rPr>
                <w:rFonts w:ascii="Arial" w:hAnsi="Arial" w:cs="Arial"/>
                <w:sz w:val="16"/>
                <w:szCs w:val="16"/>
              </w:rPr>
              <w:t>Finance effe</w:t>
            </w:r>
            <w:r w:rsidR="00033F86">
              <w:rPr>
                <w:rFonts w:ascii="Arial" w:hAnsi="Arial" w:cs="Arial"/>
                <w:sz w:val="16"/>
                <w:szCs w:val="16"/>
              </w:rPr>
              <w:t xml:space="preserve">ctively, in accordance with the </w:t>
            </w:r>
            <w:r w:rsidRPr="00C92882">
              <w:rPr>
                <w:rFonts w:ascii="Arial" w:hAnsi="Arial" w:cs="Arial"/>
                <w:sz w:val="16"/>
                <w:szCs w:val="16"/>
              </w:rPr>
              <w:t>applicable regulatory and l</w:t>
            </w:r>
            <w:r w:rsidR="00392B92">
              <w:rPr>
                <w:rFonts w:ascii="Arial" w:hAnsi="Arial" w:cs="Arial"/>
                <w:sz w:val="16"/>
                <w:szCs w:val="16"/>
              </w:rPr>
              <w:t xml:space="preserve">egislative </w:t>
            </w:r>
            <w:r w:rsidRPr="00C92882">
              <w:rPr>
                <w:rFonts w:ascii="Arial" w:hAnsi="Arial" w:cs="Arial"/>
                <w:sz w:val="16"/>
                <w:szCs w:val="16"/>
              </w:rPr>
              <w:t>requirements.</w:t>
            </w:r>
          </w:p>
        </w:tc>
        <w:tc>
          <w:tcPr>
            <w:tcW w:w="3969" w:type="dxa"/>
            <w:tcBorders>
              <w:top w:val="dotted" w:sz="4" w:space="0" w:color="auto"/>
              <w:left w:val="single" w:sz="4" w:space="0" w:color="auto"/>
            </w:tcBorders>
          </w:tcPr>
          <w:p w:rsidR="00033F86" w:rsidRDefault="008163DB" w:rsidP="00CD4C02">
            <w:pPr>
              <w:autoSpaceDE w:val="0"/>
              <w:autoSpaceDN w:val="0"/>
              <w:adjustRightInd w:val="0"/>
              <w:spacing w:before="60" w:after="60" w:line="240" w:lineRule="auto"/>
              <w:jc w:val="left"/>
              <w:rPr>
                <w:rFonts w:ascii="Arial" w:hAnsi="Arial" w:cs="Arial"/>
                <w:b/>
                <w:sz w:val="16"/>
                <w:szCs w:val="16"/>
                <w:lang w:val="en"/>
              </w:rPr>
            </w:pPr>
            <w:r w:rsidRPr="00C92882">
              <w:rPr>
                <w:rFonts w:ascii="Arial" w:hAnsi="Arial" w:cs="Arial"/>
                <w:b/>
                <w:bCs/>
                <w:sz w:val="16"/>
                <w:szCs w:val="16"/>
              </w:rPr>
              <w:t>On Track</w:t>
            </w:r>
          </w:p>
          <w:p w:rsidR="008163DB" w:rsidRPr="00033F86" w:rsidRDefault="008163DB" w:rsidP="00CD4C02">
            <w:pPr>
              <w:autoSpaceDE w:val="0"/>
              <w:autoSpaceDN w:val="0"/>
              <w:adjustRightInd w:val="0"/>
              <w:spacing w:before="60" w:after="60" w:line="240" w:lineRule="auto"/>
              <w:jc w:val="left"/>
              <w:rPr>
                <w:rFonts w:ascii="Arial" w:hAnsi="Arial" w:cs="Arial"/>
                <w:b/>
                <w:sz w:val="16"/>
                <w:szCs w:val="16"/>
                <w:lang w:val="en"/>
              </w:rPr>
            </w:pPr>
            <w:r w:rsidRPr="00C92882">
              <w:rPr>
                <w:rFonts w:ascii="Arial" w:hAnsi="Arial" w:cs="Arial"/>
                <w:bCs/>
                <w:sz w:val="16"/>
                <w:szCs w:val="16"/>
              </w:rPr>
              <w:t>No regulatory or legislative issues have been identified in relation to the operation of the Finance administered schemes, and:</w:t>
            </w:r>
          </w:p>
          <w:p w:rsidR="008163DB" w:rsidRPr="00C92882" w:rsidRDefault="008163DB"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C92882">
              <w:rPr>
                <w:rFonts w:ascii="Arial" w:hAnsi="Arial" w:cs="Arial"/>
                <w:bCs/>
                <w:sz w:val="16"/>
                <w:szCs w:val="16"/>
              </w:rPr>
              <w:t>Payments have been made on schedule.</w:t>
            </w:r>
          </w:p>
          <w:p w:rsidR="008163DB" w:rsidRPr="00C92882" w:rsidRDefault="008163DB"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C92882">
              <w:rPr>
                <w:rFonts w:ascii="Arial" w:hAnsi="Arial" w:cs="Arial"/>
                <w:bCs/>
                <w:sz w:val="16"/>
                <w:szCs w:val="16"/>
              </w:rPr>
              <w:t xml:space="preserve">Statutory reporting requirements have been met. </w:t>
            </w:r>
          </w:p>
          <w:p w:rsidR="008163DB" w:rsidRPr="00C92882" w:rsidRDefault="008163DB"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eastAsia="Arial" w:hAnsi="Arial" w:cs="Arial"/>
                <w:sz w:val="16"/>
                <w:szCs w:val="16"/>
              </w:rPr>
            </w:pPr>
            <w:r w:rsidRPr="00C92882">
              <w:rPr>
                <w:rFonts w:ascii="Arial" w:hAnsi="Arial" w:cs="Arial"/>
                <w:bCs/>
                <w:sz w:val="16"/>
                <w:szCs w:val="16"/>
              </w:rPr>
              <w:t>No disruptions to the superannuation IT system have significantly affected member services.</w:t>
            </w:r>
          </w:p>
        </w:tc>
      </w:tr>
    </w:tbl>
    <w:p w:rsidR="008163DB" w:rsidRDefault="00025737" w:rsidP="00CD4C02">
      <w:pPr>
        <w:spacing w:after="0" w:line="240" w:lineRule="auto"/>
        <w:jc w:val="left"/>
      </w:pPr>
      <w:r>
        <w:rPr>
          <w:rFonts w:ascii="Arial" w:hAnsi="Arial"/>
          <w:sz w:val="16"/>
        </w:rPr>
        <w:t xml:space="preserve">  </w:t>
      </w:r>
      <w:r w:rsidR="000717B9" w:rsidRPr="000717B9">
        <w:rPr>
          <w:rFonts w:ascii="Arial" w:hAnsi="Arial"/>
          <w:sz w:val="16"/>
        </w:rPr>
        <w:t>Table continues on next page</w:t>
      </w:r>
      <w:r w:rsidR="000717B9">
        <w:t xml:space="preserve"> </w:t>
      </w:r>
    </w:p>
    <w:p w:rsidR="008163DB" w:rsidRDefault="008163DB" w:rsidP="0013768B">
      <w:pPr>
        <w:spacing w:after="0" w:line="240" w:lineRule="auto"/>
        <w:jc w:val="left"/>
      </w:pPr>
    </w:p>
    <w:p w:rsidR="008163DB" w:rsidRDefault="008163DB" w:rsidP="0013768B">
      <w:pPr>
        <w:spacing w:after="0" w:line="240" w:lineRule="auto"/>
        <w:jc w:val="left"/>
      </w:pPr>
    </w:p>
    <w:p w:rsidR="001D7BEB" w:rsidRDefault="001D7BEB"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1B4BDA" w:rsidRDefault="001B4BDA"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CD4C02" w:rsidRDefault="00CD4C02" w:rsidP="0013768B">
      <w:pPr>
        <w:spacing w:after="0" w:line="240" w:lineRule="auto"/>
        <w:jc w:val="left"/>
      </w:pPr>
    </w:p>
    <w:p w:rsidR="008163DB" w:rsidRDefault="008163DB" w:rsidP="0013768B">
      <w:pPr>
        <w:spacing w:after="0" w:line="240" w:lineRule="auto"/>
        <w:jc w:val="left"/>
      </w:pPr>
    </w:p>
    <w:p w:rsidR="008163DB" w:rsidRDefault="008163DB" w:rsidP="008163DB">
      <w:pPr>
        <w:pStyle w:val="TableHeading"/>
        <w:rPr>
          <w:lang w:val="en-AU"/>
        </w:rPr>
      </w:pPr>
      <w:r>
        <w:lastRenderedPageBreak/>
        <w:t>Table 2.2</w:t>
      </w:r>
      <w:r w:rsidR="00115AEC">
        <w:t>.</w:t>
      </w:r>
      <w:r w:rsidR="00115AEC">
        <w:rPr>
          <w:lang w:val="en-AU"/>
        </w:rPr>
        <w:t>2</w:t>
      </w:r>
      <w:r w:rsidRPr="00F71634">
        <w:t xml:space="preserve">: Performance </w:t>
      </w:r>
      <w:r w:rsidRPr="00026D37">
        <w:t>measure</w:t>
      </w:r>
      <w:r w:rsidRPr="00F71634">
        <w:t xml:space="preserve"> </w:t>
      </w:r>
      <w:r>
        <w:t>for Outcome 2</w:t>
      </w:r>
      <w:r>
        <w:rPr>
          <w:lang w:val="en-AU"/>
        </w:rPr>
        <w:t xml:space="preserve">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287"/>
        <w:gridCol w:w="3953"/>
      </w:tblGrid>
      <w:tr w:rsidR="001B5203" w:rsidRPr="00361E69" w:rsidTr="00785EA1">
        <w:trPr>
          <w:trHeight w:val="460"/>
        </w:trPr>
        <w:tc>
          <w:tcPr>
            <w:tcW w:w="7655" w:type="dxa"/>
            <w:gridSpan w:val="3"/>
            <w:tcBorders>
              <w:bottom w:val="nil"/>
            </w:tcBorders>
            <w:shd w:val="clear" w:color="auto" w:fill="F2F2F2"/>
          </w:tcPr>
          <w:p w:rsidR="001B5203" w:rsidRPr="000425E2" w:rsidRDefault="00777FAE" w:rsidP="00CD4C02">
            <w:pPr>
              <w:tabs>
                <w:tab w:val="left" w:pos="709"/>
              </w:tabs>
              <w:spacing w:before="60" w:after="60" w:line="240" w:lineRule="auto"/>
              <w:jc w:val="left"/>
              <w:rPr>
                <w:rFonts w:ascii="Arial" w:hAnsi="Arial" w:cs="Arial"/>
                <w:b/>
                <w:sz w:val="18"/>
                <w:szCs w:val="18"/>
              </w:rPr>
            </w:pPr>
            <w:r w:rsidRPr="00BA090C">
              <w:rPr>
                <w:rFonts w:ascii="Arial" w:hAnsi="Arial"/>
                <w:b/>
                <w:sz w:val="18"/>
                <w:szCs w:val="18"/>
              </w:rPr>
              <w:t xml:space="preserve">Performance information: </w:t>
            </w:r>
            <w:r w:rsidR="001B5203" w:rsidRPr="001B5203">
              <w:rPr>
                <w:rFonts w:ascii="Arial" w:hAnsi="Arial" w:cs="Arial"/>
                <w:b/>
                <w:sz w:val="18"/>
                <w:szCs w:val="18"/>
              </w:rPr>
              <w:t xml:space="preserve">Program 2.7 – </w:t>
            </w:r>
            <w:r w:rsidR="001B5203" w:rsidRPr="001B5203">
              <w:rPr>
                <w:rFonts w:ascii="Arial" w:eastAsia="Arial" w:hAnsi="Arial" w:cs="Arial"/>
                <w:b/>
                <w:sz w:val="18"/>
                <w:szCs w:val="18"/>
              </w:rPr>
              <w:t>Public Sector Superannuation</w:t>
            </w:r>
          </w:p>
        </w:tc>
      </w:tr>
      <w:tr w:rsidR="00785EA1" w:rsidRPr="002F196B" w:rsidTr="00785EA1">
        <w:trPr>
          <w:trHeight w:val="296"/>
        </w:trPr>
        <w:tc>
          <w:tcPr>
            <w:tcW w:w="1415" w:type="dxa"/>
            <w:tcBorders>
              <w:top w:val="single" w:sz="4" w:space="0" w:color="auto"/>
              <w:left w:val="single" w:sz="4" w:space="0" w:color="auto"/>
              <w:bottom w:val="nil"/>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Year</w:t>
            </w:r>
          </w:p>
        </w:tc>
        <w:tc>
          <w:tcPr>
            <w:tcW w:w="2287" w:type="dxa"/>
            <w:tcBorders>
              <w:top w:val="single" w:sz="4" w:space="0" w:color="auto"/>
              <w:left w:val="single" w:sz="4" w:space="0" w:color="auto"/>
              <w:bottom w:val="single"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Performance measures</w:t>
            </w:r>
          </w:p>
        </w:tc>
        <w:tc>
          <w:tcPr>
            <w:tcW w:w="3953" w:type="dxa"/>
            <w:tcBorders>
              <w:top w:val="single" w:sz="4" w:space="0" w:color="auto"/>
              <w:left w:val="single" w:sz="4" w:space="0" w:color="auto"/>
              <w:bottom w:val="single"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i/>
                <w:sz w:val="16"/>
                <w:szCs w:val="16"/>
              </w:rPr>
            </w:pPr>
            <w:r w:rsidRPr="006A4649">
              <w:rPr>
                <w:rFonts w:ascii="Arial" w:hAnsi="Arial" w:cs="Arial"/>
                <w:b/>
                <w:sz w:val="16"/>
                <w:szCs w:val="16"/>
              </w:rPr>
              <w:t>Planned Performance Results</w:t>
            </w:r>
          </w:p>
        </w:tc>
      </w:tr>
      <w:tr w:rsidR="00785EA1" w:rsidRPr="002F196B" w:rsidTr="00785EA1">
        <w:trPr>
          <w:trHeight w:val="475"/>
        </w:trPr>
        <w:tc>
          <w:tcPr>
            <w:tcW w:w="1415" w:type="dxa"/>
            <w:tcBorders>
              <w:top w:val="single" w:sz="4" w:space="0" w:color="auto"/>
              <w:left w:val="single" w:sz="4" w:space="0" w:color="auto"/>
              <w:bottom w:val="nil"/>
              <w:right w:val="single" w:sz="4" w:space="0" w:color="auto"/>
            </w:tcBorders>
          </w:tcPr>
          <w:p w:rsidR="00785EA1" w:rsidRPr="002F196B" w:rsidRDefault="00785EA1" w:rsidP="00785EA1">
            <w:pPr>
              <w:tabs>
                <w:tab w:val="left" w:pos="709"/>
              </w:tabs>
              <w:spacing w:before="60" w:after="60" w:line="240" w:lineRule="auto"/>
              <w:jc w:val="left"/>
              <w:rPr>
                <w:rFonts w:ascii="Arial" w:hAnsi="Arial" w:cs="Arial"/>
                <w:sz w:val="16"/>
                <w:szCs w:val="16"/>
              </w:rPr>
            </w:pPr>
            <w:r w:rsidRPr="002F196B">
              <w:rPr>
                <w:rFonts w:ascii="Arial" w:hAnsi="Arial" w:cs="Arial"/>
                <w:sz w:val="16"/>
                <w:szCs w:val="16"/>
              </w:rPr>
              <w:t>Budget Year     2022-23</w:t>
            </w:r>
          </w:p>
        </w:tc>
        <w:tc>
          <w:tcPr>
            <w:tcW w:w="2287" w:type="dxa"/>
            <w:tcBorders>
              <w:top w:val="single" w:sz="4" w:space="0" w:color="auto"/>
              <w:left w:val="single" w:sz="4" w:space="0" w:color="auto"/>
              <w:bottom w:val="dotted" w:sz="4" w:space="0" w:color="auto"/>
              <w:right w:val="single" w:sz="4" w:space="0" w:color="auto"/>
            </w:tcBorders>
          </w:tcPr>
          <w:p w:rsidR="00785EA1" w:rsidRPr="002F196B" w:rsidRDefault="00785EA1" w:rsidP="00785EA1">
            <w:pPr>
              <w:tabs>
                <w:tab w:val="left" w:pos="709"/>
              </w:tabs>
              <w:spacing w:before="60" w:after="60" w:line="240" w:lineRule="auto"/>
              <w:jc w:val="left"/>
              <w:rPr>
                <w:rFonts w:ascii="Arial" w:hAnsi="Arial" w:cs="Arial"/>
                <w:b/>
                <w:bCs/>
                <w:sz w:val="16"/>
                <w:szCs w:val="16"/>
              </w:rPr>
            </w:pPr>
            <w:r w:rsidRPr="002F196B">
              <w:rPr>
                <w:rFonts w:ascii="Arial" w:hAnsi="Arial" w:cs="Arial"/>
                <w:b/>
                <w:bCs/>
                <w:sz w:val="16"/>
                <w:szCs w:val="16"/>
              </w:rPr>
              <w:t>Public sector civilian superannuation schemes</w:t>
            </w:r>
          </w:p>
          <w:p w:rsidR="00785EA1" w:rsidRPr="008D540B" w:rsidRDefault="00785EA1" w:rsidP="00785EA1">
            <w:pPr>
              <w:spacing w:before="60" w:after="60" w:line="240" w:lineRule="auto"/>
              <w:jc w:val="left"/>
              <w:rPr>
                <w:rFonts w:ascii="Arial" w:hAnsi="Arial" w:cs="Arial"/>
                <w:sz w:val="16"/>
                <w:szCs w:val="16"/>
              </w:rPr>
            </w:pPr>
            <w:r w:rsidRPr="002F196B">
              <w:rPr>
                <w:rFonts w:ascii="Arial" w:hAnsi="Arial" w:cs="Arial"/>
                <w:sz w:val="16"/>
                <w:szCs w:val="16"/>
              </w:rPr>
              <w:t>Th</w:t>
            </w:r>
            <w:r>
              <w:rPr>
                <w:rFonts w:ascii="Arial" w:hAnsi="Arial" w:cs="Arial"/>
                <w:sz w:val="16"/>
                <w:szCs w:val="16"/>
              </w:rPr>
              <w:t xml:space="preserve">e legislative framework for the </w:t>
            </w:r>
            <w:r w:rsidRPr="002F196B">
              <w:rPr>
                <w:rFonts w:ascii="Arial" w:hAnsi="Arial" w:cs="Arial"/>
                <w:sz w:val="16"/>
                <w:szCs w:val="16"/>
              </w:rPr>
              <w:t>Commonwe</w:t>
            </w:r>
            <w:r>
              <w:rPr>
                <w:rFonts w:ascii="Arial" w:hAnsi="Arial" w:cs="Arial"/>
                <w:sz w:val="16"/>
                <w:szCs w:val="16"/>
              </w:rPr>
              <w:t xml:space="preserve">alth Government's civilian </w:t>
            </w:r>
            <w:r w:rsidRPr="002F196B">
              <w:rPr>
                <w:rFonts w:ascii="Arial" w:hAnsi="Arial" w:cs="Arial"/>
                <w:sz w:val="16"/>
                <w:szCs w:val="16"/>
              </w:rPr>
              <w:t>superannuation schemes enables the schemes to be administered in accordance with the applicable regulatory</w:t>
            </w:r>
            <w:r>
              <w:rPr>
                <w:rFonts w:ascii="Arial" w:hAnsi="Arial" w:cs="Arial"/>
                <w:sz w:val="16"/>
                <w:szCs w:val="16"/>
              </w:rPr>
              <w:t xml:space="preserve"> and legislative requirements. </w:t>
            </w:r>
          </w:p>
        </w:tc>
        <w:tc>
          <w:tcPr>
            <w:tcW w:w="3953" w:type="dxa"/>
            <w:tcBorders>
              <w:top w:val="single" w:sz="4" w:space="0" w:color="auto"/>
              <w:left w:val="single" w:sz="4" w:space="0" w:color="auto"/>
              <w:bottom w:val="dotted" w:sz="4" w:space="0" w:color="auto"/>
              <w:right w:val="single" w:sz="4" w:space="0" w:color="auto"/>
            </w:tcBorders>
          </w:tcPr>
          <w:p w:rsidR="00785EA1" w:rsidRPr="002F196B" w:rsidRDefault="00785EA1" w:rsidP="00785EA1">
            <w:pPr>
              <w:autoSpaceDE w:val="0"/>
              <w:autoSpaceDN w:val="0"/>
              <w:spacing w:before="60" w:after="60" w:line="240" w:lineRule="auto"/>
              <w:jc w:val="left"/>
              <w:rPr>
                <w:rFonts w:ascii="Arial" w:eastAsia="Arial" w:hAnsi="Arial" w:cs="Arial"/>
                <w:sz w:val="16"/>
                <w:szCs w:val="16"/>
              </w:rPr>
            </w:pPr>
            <w:r w:rsidRPr="002F196B">
              <w:rPr>
                <w:rFonts w:ascii="Arial" w:hAnsi="Arial" w:cs="Arial"/>
                <w:sz w:val="16"/>
                <w:szCs w:val="16"/>
              </w:rPr>
              <w:t>The legislation establishing the civilian superannuation schemes is reviewed to ensure it complies with the broader regulatory and legislative requirements.</w:t>
            </w:r>
          </w:p>
        </w:tc>
      </w:tr>
      <w:tr w:rsidR="00785EA1" w:rsidRPr="002F196B" w:rsidTr="00785EA1">
        <w:trPr>
          <w:trHeight w:val="1827"/>
        </w:trPr>
        <w:tc>
          <w:tcPr>
            <w:tcW w:w="1415" w:type="dxa"/>
            <w:tcBorders>
              <w:top w:val="nil"/>
              <w:right w:val="single" w:sz="4" w:space="0" w:color="auto"/>
            </w:tcBorders>
          </w:tcPr>
          <w:p w:rsidR="00785EA1" w:rsidRPr="002F196B" w:rsidRDefault="00785EA1" w:rsidP="00785EA1">
            <w:pPr>
              <w:tabs>
                <w:tab w:val="left" w:pos="709"/>
              </w:tabs>
              <w:spacing w:before="60" w:after="60" w:line="240" w:lineRule="auto"/>
              <w:jc w:val="left"/>
              <w:rPr>
                <w:rFonts w:ascii="Arial" w:hAnsi="Arial" w:cs="Arial"/>
                <w:sz w:val="16"/>
                <w:szCs w:val="16"/>
              </w:rPr>
            </w:pPr>
          </w:p>
        </w:tc>
        <w:tc>
          <w:tcPr>
            <w:tcW w:w="2287" w:type="dxa"/>
            <w:tcBorders>
              <w:top w:val="dotted" w:sz="4" w:space="0" w:color="auto"/>
              <w:left w:val="single" w:sz="4" w:space="0" w:color="auto"/>
              <w:right w:val="single" w:sz="4" w:space="0" w:color="auto"/>
            </w:tcBorders>
          </w:tcPr>
          <w:p w:rsidR="00785EA1" w:rsidRPr="002F196B" w:rsidRDefault="00785EA1" w:rsidP="00785EA1">
            <w:pPr>
              <w:tabs>
                <w:tab w:val="left" w:pos="709"/>
              </w:tabs>
              <w:autoSpaceDE w:val="0"/>
              <w:autoSpaceDN w:val="0"/>
              <w:spacing w:before="60" w:after="60" w:line="240" w:lineRule="auto"/>
              <w:jc w:val="left"/>
              <w:rPr>
                <w:rFonts w:ascii="Arial" w:hAnsi="Arial" w:cs="Arial"/>
                <w:b/>
                <w:bCs/>
                <w:sz w:val="16"/>
                <w:szCs w:val="16"/>
              </w:rPr>
            </w:pPr>
            <w:r w:rsidRPr="002F196B">
              <w:rPr>
                <w:rFonts w:ascii="Arial" w:hAnsi="Arial" w:cs="Arial"/>
                <w:b/>
                <w:bCs/>
                <w:sz w:val="16"/>
                <w:szCs w:val="16"/>
              </w:rPr>
              <w:t>Administration of pension schemes for former parliamentarians, judges and governors-general</w:t>
            </w:r>
          </w:p>
          <w:p w:rsidR="00785EA1" w:rsidRPr="002F196B" w:rsidRDefault="00785EA1" w:rsidP="00785EA1">
            <w:pPr>
              <w:autoSpaceDE w:val="0"/>
              <w:autoSpaceDN w:val="0"/>
              <w:spacing w:before="60" w:after="60" w:line="240" w:lineRule="auto"/>
              <w:jc w:val="left"/>
              <w:rPr>
                <w:rFonts w:ascii="Arial" w:hAnsi="Arial" w:cs="Arial"/>
                <w:sz w:val="16"/>
                <w:szCs w:val="16"/>
              </w:rPr>
            </w:pPr>
            <w:r w:rsidRPr="002F196B">
              <w:rPr>
                <w:rFonts w:ascii="Arial" w:hAnsi="Arial" w:cs="Arial"/>
                <w:sz w:val="16"/>
                <w:szCs w:val="16"/>
              </w:rPr>
              <w:t>The pension schemes are administered by Finance effectively, in accordance with the applicable regulatory and legislative requirements.</w:t>
            </w:r>
          </w:p>
        </w:tc>
        <w:tc>
          <w:tcPr>
            <w:tcW w:w="3953" w:type="dxa"/>
            <w:tcBorders>
              <w:top w:val="dotted" w:sz="4" w:space="0" w:color="auto"/>
              <w:left w:val="single" w:sz="4" w:space="0" w:color="auto"/>
            </w:tcBorders>
          </w:tcPr>
          <w:p w:rsidR="00785EA1" w:rsidRPr="002F196B" w:rsidRDefault="00785EA1" w:rsidP="00785EA1">
            <w:pPr>
              <w:tabs>
                <w:tab w:val="left" w:pos="709"/>
              </w:tabs>
              <w:suppressAutoHyphens/>
              <w:autoSpaceDE w:val="0"/>
              <w:autoSpaceDN w:val="0"/>
              <w:spacing w:before="60" w:after="60" w:line="240" w:lineRule="auto"/>
              <w:jc w:val="left"/>
              <w:rPr>
                <w:rFonts w:ascii="Arial" w:eastAsia="Arial" w:hAnsi="Arial" w:cs="Arial"/>
                <w:sz w:val="16"/>
                <w:szCs w:val="16"/>
              </w:rPr>
            </w:pPr>
            <w:r w:rsidRPr="002F196B">
              <w:rPr>
                <w:rFonts w:ascii="Arial" w:hAnsi="Arial" w:cs="Arial"/>
                <w:sz w:val="16"/>
                <w:szCs w:val="16"/>
              </w:rPr>
              <w:t>The operations of the pension schemes administered by Finance continue to comply with the regulatory and legislative requirements.</w:t>
            </w:r>
          </w:p>
        </w:tc>
      </w:tr>
      <w:tr w:rsidR="00785EA1" w:rsidRPr="002F196B" w:rsidTr="00785EA1">
        <w:trPr>
          <w:trHeight w:val="491"/>
        </w:trPr>
        <w:tc>
          <w:tcPr>
            <w:tcW w:w="1415" w:type="dxa"/>
            <w:tcBorders>
              <w:top w:val="dotted" w:sz="4" w:space="0" w:color="auto"/>
              <w:bottom w:val="dotted"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b/>
                <w:sz w:val="16"/>
                <w:szCs w:val="16"/>
              </w:rPr>
            </w:pPr>
            <w:r w:rsidRPr="006A4649">
              <w:rPr>
                <w:rFonts w:ascii="Arial" w:hAnsi="Arial" w:cs="Arial"/>
                <w:sz w:val="16"/>
                <w:szCs w:val="16"/>
              </w:rPr>
              <w:t xml:space="preserve">Forward Estimates </w:t>
            </w:r>
            <w:r w:rsidRPr="006A4649">
              <w:rPr>
                <w:rFonts w:ascii="Arial" w:hAnsi="Arial" w:cs="Arial"/>
                <w:sz w:val="16"/>
                <w:szCs w:val="16"/>
              </w:rPr>
              <w:br/>
              <w:t>2023-26</w:t>
            </w:r>
          </w:p>
        </w:tc>
        <w:tc>
          <w:tcPr>
            <w:tcW w:w="2287" w:type="dxa"/>
            <w:tcBorders>
              <w:top w:val="dotted" w:sz="4" w:space="0" w:color="auto"/>
              <w:left w:val="single" w:sz="4" w:space="0" w:color="auto"/>
              <w:bottom w:val="dotted" w:sz="4" w:space="0" w:color="auto"/>
              <w:right w:val="single" w:sz="4" w:space="0" w:color="auto"/>
            </w:tcBorders>
          </w:tcPr>
          <w:p w:rsidR="00785EA1" w:rsidRPr="006A4649" w:rsidRDefault="00785EA1" w:rsidP="00785EA1">
            <w:pPr>
              <w:tabs>
                <w:tab w:val="left" w:pos="709"/>
              </w:tabs>
              <w:spacing w:before="60" w:after="60" w:line="240" w:lineRule="auto"/>
              <w:jc w:val="left"/>
              <w:rPr>
                <w:rFonts w:ascii="Arial" w:hAnsi="Arial" w:cs="Arial"/>
                <w:b/>
                <w:sz w:val="16"/>
                <w:szCs w:val="16"/>
              </w:rPr>
            </w:pPr>
            <w:r w:rsidRPr="006A4649">
              <w:rPr>
                <w:rFonts w:ascii="Arial" w:eastAsia="Arial" w:hAnsi="Arial" w:cs="Arial"/>
                <w:sz w:val="16"/>
                <w:szCs w:val="16"/>
              </w:rPr>
              <w:t>As per 2022-23.</w:t>
            </w:r>
          </w:p>
        </w:tc>
        <w:tc>
          <w:tcPr>
            <w:tcW w:w="3953" w:type="dxa"/>
            <w:tcBorders>
              <w:top w:val="dotted" w:sz="4" w:space="0" w:color="auto"/>
              <w:left w:val="single" w:sz="4" w:space="0" w:color="auto"/>
              <w:bottom w:val="dotted" w:sz="4" w:space="0" w:color="auto"/>
            </w:tcBorders>
          </w:tcPr>
          <w:p w:rsidR="00785EA1" w:rsidRPr="006A4649" w:rsidRDefault="00785EA1" w:rsidP="00785EA1">
            <w:pPr>
              <w:tabs>
                <w:tab w:val="left" w:pos="709"/>
              </w:tabs>
              <w:spacing w:before="60" w:after="60" w:line="240" w:lineRule="auto"/>
              <w:jc w:val="left"/>
              <w:rPr>
                <w:rFonts w:ascii="Arial" w:hAnsi="Arial" w:cs="Arial"/>
                <w:b/>
                <w:sz w:val="16"/>
                <w:szCs w:val="16"/>
              </w:rPr>
            </w:pPr>
            <w:r w:rsidRPr="006A4649">
              <w:rPr>
                <w:rFonts w:ascii="Arial" w:eastAsia="Arial" w:hAnsi="Arial" w:cs="Arial"/>
                <w:sz w:val="16"/>
                <w:szCs w:val="16"/>
              </w:rPr>
              <w:t>As per 2022-23.</w:t>
            </w:r>
          </w:p>
        </w:tc>
      </w:tr>
      <w:tr w:rsidR="00785EA1" w:rsidRPr="002F196B" w:rsidTr="00EC4613">
        <w:trPr>
          <w:trHeight w:val="291"/>
        </w:trPr>
        <w:tc>
          <w:tcPr>
            <w:tcW w:w="7655" w:type="dxa"/>
            <w:gridSpan w:val="3"/>
          </w:tcPr>
          <w:p w:rsidR="00785EA1" w:rsidRPr="002F196B" w:rsidRDefault="00785EA1" w:rsidP="00785EA1">
            <w:pPr>
              <w:tabs>
                <w:tab w:val="left" w:pos="709"/>
              </w:tabs>
              <w:spacing w:before="60" w:after="60" w:line="240" w:lineRule="auto"/>
              <w:jc w:val="left"/>
              <w:rPr>
                <w:rFonts w:ascii="Arial" w:eastAsia="Cambria" w:hAnsi="Arial" w:cs="Arial"/>
                <w:bCs/>
                <w:iCs/>
                <w:spacing w:val="-6"/>
                <w:sz w:val="16"/>
                <w:szCs w:val="16"/>
              </w:rPr>
            </w:pPr>
            <w:r w:rsidRPr="002F196B">
              <w:rPr>
                <w:rFonts w:ascii="Arial" w:hAnsi="Arial" w:cs="Arial"/>
                <w:sz w:val="16"/>
                <w:szCs w:val="16"/>
              </w:rPr>
              <w:t>Material changes to Program 2.7 resulting from 2022-23 Budget Measures: Nil</w:t>
            </w:r>
          </w:p>
        </w:tc>
      </w:tr>
    </w:tbl>
    <w:p w:rsidR="00065B93" w:rsidRPr="002F196B" w:rsidRDefault="00065B93" w:rsidP="002F196B">
      <w:pPr>
        <w:spacing w:before="60" w:after="60" w:line="240" w:lineRule="auto"/>
        <w:jc w:val="left"/>
        <w:rPr>
          <w:sz w:val="16"/>
          <w:szCs w:val="16"/>
        </w:rPr>
      </w:pPr>
      <w:r w:rsidRPr="002F196B">
        <w:rPr>
          <w:rFonts w:ascii="Arial" w:hAnsi="Arial"/>
          <w:sz w:val="16"/>
          <w:szCs w:val="16"/>
        </w:rPr>
        <w:t>Table continues on next page</w:t>
      </w:r>
      <w:r w:rsidRPr="002F196B">
        <w:rPr>
          <w:sz w:val="16"/>
          <w:szCs w:val="16"/>
        </w:rPr>
        <w:t xml:space="preserve"> </w:t>
      </w:r>
    </w:p>
    <w:p w:rsidR="001B5203" w:rsidRDefault="001B5203" w:rsidP="002F196B">
      <w:pPr>
        <w:pStyle w:val="TableGraphic"/>
        <w:spacing w:before="60" w:after="60"/>
        <w:ind w:right="0"/>
        <w:jc w:val="left"/>
        <w:rPr>
          <w:lang w:eastAsia="x-none"/>
        </w:rPr>
      </w:pPr>
    </w:p>
    <w:p w:rsidR="00032558" w:rsidRDefault="00032558" w:rsidP="00032558">
      <w:pPr>
        <w:rPr>
          <w:lang w:eastAsia="x-none"/>
        </w:rPr>
      </w:pPr>
    </w:p>
    <w:p w:rsidR="00032558" w:rsidRDefault="00032558" w:rsidP="00032558">
      <w:pPr>
        <w:rPr>
          <w:lang w:eastAsia="x-none"/>
        </w:rPr>
      </w:pPr>
    </w:p>
    <w:p w:rsidR="00B70005" w:rsidRPr="00032558" w:rsidRDefault="00B70005" w:rsidP="00032558">
      <w:pPr>
        <w:rPr>
          <w:lang w:eastAsia="x-none"/>
        </w:rPr>
      </w:pPr>
    </w:p>
    <w:p w:rsidR="0013768B" w:rsidRPr="00915209" w:rsidRDefault="00115AEC" w:rsidP="00915209">
      <w:pPr>
        <w:pStyle w:val="TableHeading"/>
        <w:rPr>
          <w:lang w:val="en-AU"/>
        </w:rPr>
      </w:pPr>
      <w:r>
        <w:lastRenderedPageBreak/>
        <w:t>Table 2.2.</w:t>
      </w:r>
      <w:r>
        <w:rPr>
          <w:lang w:val="en-AU"/>
        </w:rPr>
        <w:t>2</w:t>
      </w:r>
      <w:r w:rsidR="0008233C" w:rsidRPr="0033318A">
        <w:t>:</w:t>
      </w:r>
      <w:r w:rsidR="0008233C" w:rsidRPr="00F71634">
        <w:t xml:space="preserve"> Performance </w:t>
      </w:r>
      <w:r w:rsidR="0008233C" w:rsidRPr="00026D37">
        <w:t>measure</w:t>
      </w:r>
      <w:r w:rsidR="0008233C" w:rsidRPr="00F71634">
        <w:t xml:space="preserve"> </w:t>
      </w:r>
      <w:r w:rsidR="0008233C">
        <w:t>for Outcome 2</w:t>
      </w:r>
      <w:r w:rsidR="0008233C">
        <w:rPr>
          <w:lang w:val="en-AU"/>
        </w:rPr>
        <w:t xml:space="preserve"> (continued)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259"/>
        <w:gridCol w:w="3880"/>
      </w:tblGrid>
      <w:tr w:rsidR="00E74408" w:rsidRPr="00361E69" w:rsidTr="00A0116B">
        <w:trPr>
          <w:trHeight w:val="522"/>
          <w:tblHeader/>
        </w:trPr>
        <w:tc>
          <w:tcPr>
            <w:tcW w:w="7541" w:type="dxa"/>
            <w:gridSpan w:val="3"/>
            <w:shd w:val="clear" w:color="auto" w:fill="F2F2F2"/>
          </w:tcPr>
          <w:p w:rsidR="00E74408" w:rsidRPr="00E74408" w:rsidRDefault="00E74408" w:rsidP="00A0116B">
            <w:pPr>
              <w:tabs>
                <w:tab w:val="left" w:pos="709"/>
              </w:tabs>
              <w:spacing w:before="60" w:after="60" w:line="240" w:lineRule="auto"/>
              <w:jc w:val="left"/>
              <w:rPr>
                <w:rFonts w:ascii="Arial" w:hAnsi="Arial" w:cs="Arial"/>
                <w:b/>
                <w:sz w:val="18"/>
                <w:szCs w:val="18"/>
              </w:rPr>
            </w:pPr>
            <w:r w:rsidRPr="00E74408">
              <w:rPr>
                <w:rFonts w:ascii="Arial" w:hAnsi="Arial" w:cs="Arial"/>
                <w:b/>
                <w:sz w:val="18"/>
                <w:szCs w:val="18"/>
              </w:rPr>
              <w:t xml:space="preserve">Program 2.8 – </w:t>
            </w:r>
            <w:r w:rsidRPr="00E74408">
              <w:rPr>
                <w:rFonts w:ascii="Arial" w:eastAsia="Arial" w:hAnsi="Arial" w:cs="Arial"/>
                <w:b/>
                <w:sz w:val="18"/>
                <w:szCs w:val="18"/>
              </w:rPr>
              <w:t>Australian Government Investment Funds</w:t>
            </w:r>
          </w:p>
          <w:p w:rsidR="00E74408" w:rsidRPr="00B70005" w:rsidRDefault="00E74408" w:rsidP="00A0116B">
            <w:pPr>
              <w:tabs>
                <w:tab w:val="left" w:pos="709"/>
              </w:tabs>
              <w:spacing w:before="60" w:after="60" w:line="240" w:lineRule="auto"/>
              <w:jc w:val="left"/>
              <w:rPr>
                <w:rFonts w:ascii="Arial" w:eastAsia="Arial" w:hAnsi="Arial" w:cs="Arial"/>
                <w:sz w:val="18"/>
                <w:szCs w:val="18"/>
              </w:rPr>
            </w:pPr>
            <w:r w:rsidRPr="00B70005">
              <w:rPr>
                <w:rFonts w:ascii="Arial" w:eastAsia="Arial" w:hAnsi="Arial" w:cs="Arial"/>
                <w:sz w:val="18"/>
                <w:szCs w:val="18"/>
              </w:rPr>
              <w:t>This program contributes to the outcome through providing advice on investment mandates and governance arrangements for the Government’s Investment Funds, to maximise the value of the funds to the Government. This includes advice on credit of amounts to the Funds and debits for payments from the Funds. The Funds are:</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Future Fund</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proofErr w:type="spellStart"/>
            <w:r w:rsidRPr="00B70005">
              <w:rPr>
                <w:rFonts w:ascii="Arial" w:hAnsi="Arial" w:cs="Arial"/>
                <w:bCs/>
                <w:sz w:val="18"/>
                <w:szCs w:val="18"/>
              </w:rPr>
              <w:t>DisabilityCare</w:t>
            </w:r>
            <w:proofErr w:type="spellEnd"/>
            <w:r w:rsidRPr="00B70005">
              <w:rPr>
                <w:rFonts w:ascii="Arial" w:hAnsi="Arial" w:cs="Arial"/>
                <w:bCs/>
                <w:sz w:val="18"/>
                <w:szCs w:val="18"/>
              </w:rPr>
              <w:t xml:space="preserve"> Australia Fund</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 xml:space="preserve">Medical Research Future Fund </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Aboriginal and Torres Strait Islander Land and Sea Future Fund</w:t>
            </w:r>
          </w:p>
          <w:p w:rsidR="00E74408" w:rsidRPr="00B70005"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bCs/>
                <w:sz w:val="18"/>
                <w:szCs w:val="18"/>
              </w:rPr>
            </w:pPr>
            <w:r w:rsidRPr="00B70005">
              <w:rPr>
                <w:rFonts w:ascii="Arial" w:hAnsi="Arial" w:cs="Arial"/>
                <w:bCs/>
                <w:sz w:val="18"/>
                <w:szCs w:val="18"/>
              </w:rPr>
              <w:t>Future Drought Fund</w:t>
            </w:r>
          </w:p>
          <w:p w:rsidR="00E74408" w:rsidRPr="00361E69" w:rsidRDefault="00E74408" w:rsidP="00F76FE4">
            <w:pPr>
              <w:pStyle w:val="ListParagraph"/>
              <w:numPr>
                <w:ilvl w:val="0"/>
                <w:numId w:val="16"/>
              </w:numPr>
              <w:tabs>
                <w:tab w:val="left" w:pos="709"/>
              </w:tabs>
              <w:autoSpaceDE w:val="0"/>
              <w:autoSpaceDN w:val="0"/>
              <w:adjustRightInd w:val="0"/>
              <w:spacing w:before="60" w:after="60" w:line="240" w:lineRule="auto"/>
              <w:ind w:left="374" w:hanging="357"/>
              <w:rPr>
                <w:rFonts w:ascii="Arial" w:hAnsi="Arial" w:cs="Arial"/>
                <w:sz w:val="16"/>
                <w:szCs w:val="16"/>
              </w:rPr>
            </w:pPr>
            <w:r w:rsidRPr="00B70005">
              <w:rPr>
                <w:rFonts w:ascii="Arial" w:hAnsi="Arial" w:cs="Arial"/>
                <w:bCs/>
                <w:sz w:val="18"/>
                <w:szCs w:val="18"/>
              </w:rPr>
              <w:t>Emergency Response Fund.</w:t>
            </w:r>
          </w:p>
        </w:tc>
      </w:tr>
      <w:tr w:rsidR="00E74408" w:rsidRPr="00C92882" w:rsidTr="00785EA1">
        <w:trPr>
          <w:trHeight w:val="694"/>
        </w:trPr>
        <w:tc>
          <w:tcPr>
            <w:tcW w:w="1402" w:type="dxa"/>
            <w:tcBorders>
              <w:bottom w:val="double" w:sz="4" w:space="0" w:color="auto"/>
            </w:tcBorders>
          </w:tcPr>
          <w:p w:rsidR="00E74408" w:rsidRPr="00A0116B" w:rsidRDefault="00E74408" w:rsidP="00A0116B">
            <w:pPr>
              <w:tabs>
                <w:tab w:val="left" w:pos="709"/>
              </w:tabs>
              <w:spacing w:before="60" w:after="60" w:line="240" w:lineRule="auto"/>
              <w:jc w:val="left"/>
              <w:rPr>
                <w:rFonts w:ascii="Arial" w:hAnsi="Arial" w:cs="Arial"/>
                <w:b/>
                <w:sz w:val="16"/>
                <w:szCs w:val="16"/>
              </w:rPr>
            </w:pPr>
            <w:r w:rsidRPr="00A0116B">
              <w:rPr>
                <w:rFonts w:ascii="Arial" w:hAnsi="Arial" w:cs="Arial"/>
                <w:b/>
                <w:sz w:val="16"/>
                <w:szCs w:val="16"/>
              </w:rPr>
              <w:t xml:space="preserve">Key Activities </w:t>
            </w:r>
          </w:p>
        </w:tc>
        <w:tc>
          <w:tcPr>
            <w:tcW w:w="6139" w:type="dxa"/>
            <w:gridSpan w:val="2"/>
            <w:tcBorders>
              <w:bottom w:val="double" w:sz="4" w:space="0" w:color="auto"/>
            </w:tcBorders>
          </w:tcPr>
          <w:p w:rsidR="00E74408" w:rsidRPr="00A0116B" w:rsidRDefault="00E74408" w:rsidP="00A0116B">
            <w:pPr>
              <w:tabs>
                <w:tab w:val="left" w:pos="709"/>
              </w:tabs>
              <w:spacing w:before="60" w:after="60" w:line="240" w:lineRule="auto"/>
              <w:jc w:val="left"/>
              <w:rPr>
                <w:rFonts w:ascii="Arial" w:hAnsi="Arial" w:cs="Arial"/>
                <w:b/>
                <w:bCs/>
                <w:sz w:val="16"/>
                <w:szCs w:val="16"/>
              </w:rPr>
            </w:pPr>
            <w:r w:rsidRPr="00A0116B">
              <w:rPr>
                <w:rFonts w:ascii="Arial" w:hAnsi="Arial" w:cs="Arial"/>
                <w:b/>
                <w:bCs/>
                <w:sz w:val="16"/>
                <w:szCs w:val="16"/>
              </w:rPr>
              <w:t xml:space="preserve">Enable investment funds </w:t>
            </w:r>
          </w:p>
          <w:p w:rsidR="00E74408" w:rsidRPr="00A0116B" w:rsidRDefault="00E74408" w:rsidP="00767BE0">
            <w:pPr>
              <w:tabs>
                <w:tab w:val="left" w:pos="709"/>
              </w:tabs>
              <w:spacing w:before="60" w:after="60" w:line="240" w:lineRule="auto"/>
              <w:jc w:val="left"/>
              <w:rPr>
                <w:rFonts w:ascii="Arial" w:hAnsi="Arial" w:cs="Arial"/>
                <w:i/>
                <w:sz w:val="16"/>
                <w:szCs w:val="16"/>
              </w:rPr>
            </w:pPr>
            <w:r w:rsidRPr="00A0116B">
              <w:rPr>
                <w:rFonts w:ascii="Arial" w:hAnsi="Arial" w:cs="Arial"/>
                <w:bCs/>
                <w:sz w:val="16"/>
                <w:szCs w:val="16"/>
              </w:rPr>
              <w:t xml:space="preserve">Provide a policy, regulatory and legislative framework that enables the maximisation of returns on investment funds </w:t>
            </w:r>
          </w:p>
        </w:tc>
      </w:tr>
      <w:tr w:rsidR="00E74408" w:rsidRPr="00361E69" w:rsidTr="00785EA1">
        <w:trPr>
          <w:trHeight w:val="312"/>
        </w:trPr>
        <w:tc>
          <w:tcPr>
            <w:tcW w:w="1402" w:type="dxa"/>
            <w:tcBorders>
              <w:top w:val="double" w:sz="4" w:space="0" w:color="auto"/>
              <w:bottom w:val="single" w:sz="4" w:space="0" w:color="auto"/>
              <w:right w:val="single" w:sz="4" w:space="0" w:color="auto"/>
            </w:tcBorders>
          </w:tcPr>
          <w:p w:rsidR="00E74408" w:rsidRPr="00A0116B" w:rsidRDefault="00E74408" w:rsidP="00A0116B">
            <w:pPr>
              <w:tabs>
                <w:tab w:val="left" w:pos="709"/>
              </w:tabs>
              <w:spacing w:before="60" w:after="60" w:line="240" w:lineRule="auto"/>
              <w:jc w:val="left"/>
              <w:rPr>
                <w:rFonts w:ascii="Arial" w:hAnsi="Arial" w:cs="Arial"/>
                <w:b/>
                <w:sz w:val="16"/>
                <w:szCs w:val="16"/>
              </w:rPr>
            </w:pPr>
            <w:r w:rsidRPr="00A0116B">
              <w:rPr>
                <w:rFonts w:ascii="Arial" w:hAnsi="Arial" w:cs="Arial"/>
                <w:b/>
                <w:sz w:val="16"/>
                <w:szCs w:val="16"/>
              </w:rPr>
              <w:t>Year</w:t>
            </w:r>
          </w:p>
        </w:tc>
        <w:tc>
          <w:tcPr>
            <w:tcW w:w="2259" w:type="dxa"/>
            <w:tcBorders>
              <w:top w:val="double" w:sz="4" w:space="0" w:color="auto"/>
              <w:left w:val="single" w:sz="4" w:space="0" w:color="auto"/>
              <w:bottom w:val="single" w:sz="4" w:space="0" w:color="auto"/>
              <w:right w:val="single" w:sz="4" w:space="0" w:color="auto"/>
            </w:tcBorders>
          </w:tcPr>
          <w:p w:rsidR="00E74408" w:rsidRPr="00A0116B" w:rsidRDefault="00E74408" w:rsidP="00A0116B">
            <w:pPr>
              <w:tabs>
                <w:tab w:val="left" w:pos="709"/>
                <w:tab w:val="center" w:pos="1818"/>
              </w:tabs>
              <w:spacing w:before="60" w:after="60" w:line="240" w:lineRule="auto"/>
              <w:jc w:val="left"/>
              <w:rPr>
                <w:rFonts w:ascii="Arial" w:hAnsi="Arial" w:cs="Arial"/>
                <w:b/>
                <w:sz w:val="16"/>
                <w:szCs w:val="16"/>
              </w:rPr>
            </w:pPr>
            <w:r w:rsidRPr="00A0116B">
              <w:rPr>
                <w:rFonts w:ascii="Arial" w:hAnsi="Arial" w:cs="Arial"/>
                <w:b/>
                <w:sz w:val="16"/>
                <w:szCs w:val="16"/>
              </w:rPr>
              <w:t>Performance measures</w:t>
            </w:r>
          </w:p>
        </w:tc>
        <w:tc>
          <w:tcPr>
            <w:tcW w:w="3880" w:type="dxa"/>
            <w:tcBorders>
              <w:top w:val="double" w:sz="4" w:space="0" w:color="auto"/>
              <w:left w:val="single" w:sz="4" w:space="0" w:color="auto"/>
              <w:bottom w:val="single" w:sz="4" w:space="0" w:color="auto"/>
            </w:tcBorders>
          </w:tcPr>
          <w:p w:rsidR="00E74408" w:rsidRPr="00A0116B" w:rsidRDefault="00E74408" w:rsidP="00A0116B">
            <w:pPr>
              <w:tabs>
                <w:tab w:val="left" w:pos="709"/>
              </w:tabs>
              <w:spacing w:before="60" w:after="60" w:line="240" w:lineRule="auto"/>
              <w:jc w:val="left"/>
              <w:rPr>
                <w:rFonts w:ascii="Arial" w:hAnsi="Arial" w:cs="Arial"/>
                <w:b/>
                <w:sz w:val="16"/>
                <w:szCs w:val="16"/>
              </w:rPr>
            </w:pPr>
            <w:r w:rsidRPr="00A0116B">
              <w:rPr>
                <w:rFonts w:ascii="Arial" w:hAnsi="Arial" w:cs="Arial"/>
                <w:b/>
                <w:sz w:val="16"/>
                <w:szCs w:val="16"/>
              </w:rPr>
              <w:t>Expected Performance Results</w:t>
            </w:r>
          </w:p>
        </w:tc>
      </w:tr>
      <w:tr w:rsidR="00E74408" w:rsidRPr="00C92882" w:rsidTr="00785EA1">
        <w:trPr>
          <w:trHeight w:val="2158"/>
        </w:trPr>
        <w:tc>
          <w:tcPr>
            <w:tcW w:w="1402" w:type="dxa"/>
            <w:tcBorders>
              <w:top w:val="single" w:sz="4" w:space="0" w:color="auto"/>
              <w:right w:val="single" w:sz="4" w:space="0" w:color="auto"/>
            </w:tcBorders>
          </w:tcPr>
          <w:p w:rsidR="00E74408" w:rsidRPr="006A4649" w:rsidRDefault="00E74408" w:rsidP="006A4649">
            <w:pPr>
              <w:tabs>
                <w:tab w:val="left" w:pos="709"/>
              </w:tabs>
              <w:spacing w:before="60" w:after="60" w:line="240" w:lineRule="auto"/>
              <w:jc w:val="left"/>
              <w:rPr>
                <w:rFonts w:ascii="Arial" w:hAnsi="Arial" w:cs="Arial"/>
                <w:sz w:val="16"/>
                <w:szCs w:val="16"/>
              </w:rPr>
            </w:pPr>
            <w:r w:rsidRPr="006A4649">
              <w:rPr>
                <w:rFonts w:ascii="Arial" w:hAnsi="Arial" w:cs="Arial"/>
                <w:sz w:val="16"/>
                <w:szCs w:val="16"/>
              </w:rPr>
              <w:t>Current year 2021-22</w:t>
            </w:r>
          </w:p>
        </w:tc>
        <w:tc>
          <w:tcPr>
            <w:tcW w:w="2259" w:type="dxa"/>
            <w:tcBorders>
              <w:top w:val="single" w:sz="4" w:space="0" w:color="auto"/>
              <w:left w:val="single" w:sz="4" w:space="0" w:color="auto"/>
              <w:right w:val="single" w:sz="4" w:space="0" w:color="auto"/>
            </w:tcBorders>
          </w:tcPr>
          <w:p w:rsidR="00E74408" w:rsidRPr="006A4649" w:rsidRDefault="00E74408" w:rsidP="00A0116B">
            <w:pPr>
              <w:tabs>
                <w:tab w:val="left" w:pos="709"/>
              </w:tabs>
              <w:spacing w:before="60" w:after="60" w:line="240" w:lineRule="auto"/>
              <w:jc w:val="left"/>
              <w:rPr>
                <w:rFonts w:ascii="Arial" w:hAnsi="Arial" w:cs="Arial"/>
                <w:b/>
                <w:bCs/>
                <w:sz w:val="16"/>
                <w:szCs w:val="16"/>
              </w:rPr>
            </w:pPr>
            <w:r w:rsidRPr="006A4649">
              <w:rPr>
                <w:rFonts w:ascii="Arial" w:hAnsi="Arial" w:cs="Arial"/>
                <w:b/>
                <w:bCs/>
                <w:sz w:val="16"/>
                <w:szCs w:val="16"/>
              </w:rPr>
              <w:t xml:space="preserve">Investment mandates for each Australian Government Investment Fund </w:t>
            </w:r>
          </w:p>
          <w:p w:rsidR="00E74408" w:rsidRPr="006A4649" w:rsidRDefault="00E74408" w:rsidP="00A0116B">
            <w:pPr>
              <w:tabs>
                <w:tab w:val="left" w:pos="709"/>
              </w:tabs>
              <w:spacing w:before="60" w:after="60" w:line="240" w:lineRule="auto"/>
              <w:jc w:val="left"/>
              <w:rPr>
                <w:rFonts w:ascii="Arial" w:hAnsi="Arial" w:cs="Arial"/>
                <w:bCs/>
                <w:sz w:val="16"/>
                <w:szCs w:val="16"/>
              </w:rPr>
            </w:pPr>
            <w:r w:rsidRPr="006A4649">
              <w:rPr>
                <w:rFonts w:ascii="Arial" w:hAnsi="Arial" w:cs="Arial"/>
                <w:bCs/>
                <w:sz w:val="16"/>
                <w:szCs w:val="16"/>
              </w:rPr>
              <w:t>Investment mandates are set for each Australian Government Investment Fund which assist in achieving the financial and risk objectives and are consistent with the policy, regulatory and legislative framework.</w:t>
            </w:r>
          </w:p>
        </w:tc>
        <w:tc>
          <w:tcPr>
            <w:tcW w:w="3880" w:type="dxa"/>
            <w:tcBorders>
              <w:top w:val="single" w:sz="4" w:space="0" w:color="auto"/>
              <w:left w:val="single" w:sz="4" w:space="0" w:color="auto"/>
            </w:tcBorders>
          </w:tcPr>
          <w:p w:rsidR="00E74408" w:rsidRPr="006A4649" w:rsidRDefault="00E74408" w:rsidP="00A0116B">
            <w:pPr>
              <w:tabs>
                <w:tab w:val="left" w:pos="709"/>
              </w:tabs>
              <w:spacing w:before="60" w:after="60" w:line="240" w:lineRule="auto"/>
              <w:jc w:val="left"/>
              <w:rPr>
                <w:rFonts w:ascii="Arial" w:hAnsi="Arial" w:cs="Arial"/>
                <w:b/>
                <w:sz w:val="16"/>
                <w:szCs w:val="16"/>
                <w:lang w:val="en"/>
              </w:rPr>
            </w:pPr>
            <w:r w:rsidRPr="006A4649">
              <w:rPr>
                <w:rFonts w:ascii="Arial" w:hAnsi="Arial" w:cs="Arial"/>
                <w:b/>
                <w:bCs/>
                <w:sz w:val="16"/>
                <w:szCs w:val="16"/>
              </w:rPr>
              <w:t>On Track</w:t>
            </w:r>
          </w:p>
          <w:p w:rsidR="00E74408" w:rsidRPr="006A4649" w:rsidRDefault="00E74408" w:rsidP="00A0116B">
            <w:pPr>
              <w:tabs>
                <w:tab w:val="left" w:pos="709"/>
              </w:tabs>
              <w:spacing w:before="60" w:after="60" w:line="240" w:lineRule="auto"/>
              <w:jc w:val="left"/>
              <w:rPr>
                <w:rFonts w:ascii="Arial" w:hAnsi="Arial" w:cs="Arial"/>
                <w:bCs/>
                <w:sz w:val="16"/>
                <w:szCs w:val="16"/>
              </w:rPr>
            </w:pPr>
            <w:r w:rsidRPr="006A4649">
              <w:rPr>
                <w:rFonts w:ascii="Arial" w:hAnsi="Arial" w:cs="Arial"/>
                <w:bCs/>
                <w:sz w:val="16"/>
                <w:szCs w:val="16"/>
              </w:rPr>
              <w:t xml:space="preserve">Returns for each investment fund have met or exceeded the benchmark rate of return over the long term (as at the December 2021 quarter).  </w:t>
            </w:r>
          </w:p>
          <w:p w:rsidR="00E74408" w:rsidRPr="006A4649" w:rsidRDefault="00E74408" w:rsidP="00A0116B">
            <w:pPr>
              <w:tabs>
                <w:tab w:val="left" w:pos="709"/>
              </w:tabs>
              <w:spacing w:before="60" w:after="60" w:line="240" w:lineRule="auto"/>
              <w:jc w:val="left"/>
              <w:rPr>
                <w:rFonts w:ascii="Arial" w:hAnsi="Arial" w:cs="Arial"/>
                <w:sz w:val="16"/>
                <w:szCs w:val="16"/>
              </w:rPr>
            </w:pPr>
          </w:p>
        </w:tc>
      </w:tr>
      <w:tr w:rsidR="00E74408" w:rsidRPr="00C92882" w:rsidTr="00785EA1">
        <w:trPr>
          <w:trHeight w:val="312"/>
        </w:trPr>
        <w:tc>
          <w:tcPr>
            <w:tcW w:w="1402" w:type="dxa"/>
            <w:tcBorders>
              <w:top w:val="single" w:sz="4" w:space="0" w:color="auto"/>
              <w:bottom w:val="dotted" w:sz="4" w:space="0" w:color="auto"/>
              <w:right w:val="single" w:sz="4" w:space="0" w:color="auto"/>
            </w:tcBorders>
          </w:tcPr>
          <w:p w:rsidR="00E74408" w:rsidRPr="006A4649" w:rsidRDefault="00E74408" w:rsidP="00A0116B">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Year</w:t>
            </w:r>
          </w:p>
        </w:tc>
        <w:tc>
          <w:tcPr>
            <w:tcW w:w="2259" w:type="dxa"/>
            <w:tcBorders>
              <w:top w:val="single" w:sz="4" w:space="0" w:color="auto"/>
              <w:left w:val="single" w:sz="4" w:space="0" w:color="auto"/>
              <w:bottom w:val="dotted" w:sz="4" w:space="0" w:color="auto"/>
              <w:right w:val="single" w:sz="4" w:space="0" w:color="auto"/>
            </w:tcBorders>
          </w:tcPr>
          <w:p w:rsidR="00E74408" w:rsidRPr="006A4649" w:rsidRDefault="00694195" w:rsidP="00A0116B">
            <w:pPr>
              <w:tabs>
                <w:tab w:val="left" w:pos="709"/>
              </w:tabs>
              <w:spacing w:before="60" w:after="60" w:line="240" w:lineRule="auto"/>
              <w:jc w:val="left"/>
              <w:rPr>
                <w:rFonts w:ascii="Arial" w:hAnsi="Arial" w:cs="Arial"/>
                <w:sz w:val="16"/>
                <w:szCs w:val="16"/>
              </w:rPr>
            </w:pPr>
            <w:r w:rsidRPr="006A4649">
              <w:rPr>
                <w:rFonts w:ascii="Arial" w:hAnsi="Arial" w:cs="Arial"/>
                <w:b/>
                <w:sz w:val="16"/>
                <w:szCs w:val="16"/>
              </w:rPr>
              <w:t>Performance measures</w:t>
            </w:r>
          </w:p>
        </w:tc>
        <w:tc>
          <w:tcPr>
            <w:tcW w:w="3880" w:type="dxa"/>
            <w:tcBorders>
              <w:top w:val="single" w:sz="4" w:space="0" w:color="auto"/>
              <w:left w:val="single" w:sz="4" w:space="0" w:color="auto"/>
              <w:bottom w:val="dotted" w:sz="4" w:space="0" w:color="auto"/>
            </w:tcBorders>
          </w:tcPr>
          <w:p w:rsidR="00E74408" w:rsidRPr="006A4649" w:rsidRDefault="00E74408" w:rsidP="00A0116B">
            <w:pPr>
              <w:tabs>
                <w:tab w:val="left" w:pos="709"/>
              </w:tabs>
              <w:spacing w:before="60" w:after="60" w:line="240" w:lineRule="auto"/>
              <w:jc w:val="left"/>
              <w:rPr>
                <w:rFonts w:ascii="Arial" w:hAnsi="Arial" w:cs="Arial"/>
                <w:i/>
                <w:sz w:val="16"/>
                <w:szCs w:val="16"/>
              </w:rPr>
            </w:pPr>
            <w:r w:rsidRPr="006A4649">
              <w:rPr>
                <w:rFonts w:ascii="Arial" w:hAnsi="Arial" w:cs="Arial"/>
                <w:b/>
                <w:sz w:val="16"/>
                <w:szCs w:val="16"/>
              </w:rPr>
              <w:t>Planned Performance Results</w:t>
            </w:r>
          </w:p>
        </w:tc>
      </w:tr>
      <w:tr w:rsidR="00E74408" w:rsidRPr="00CD2D20" w:rsidTr="00785EA1">
        <w:trPr>
          <w:trHeight w:val="475"/>
        </w:trPr>
        <w:tc>
          <w:tcPr>
            <w:tcW w:w="1402" w:type="dxa"/>
            <w:tcBorders>
              <w:top w:val="single" w:sz="4" w:space="0" w:color="auto"/>
              <w:right w:val="single" w:sz="4" w:space="0" w:color="auto"/>
            </w:tcBorders>
          </w:tcPr>
          <w:p w:rsidR="00E74408" w:rsidRPr="006A4649" w:rsidRDefault="00E74408" w:rsidP="00785EA1">
            <w:pPr>
              <w:tabs>
                <w:tab w:val="left" w:pos="709"/>
              </w:tabs>
              <w:spacing w:before="60" w:after="60" w:line="240" w:lineRule="auto"/>
              <w:jc w:val="left"/>
              <w:rPr>
                <w:rFonts w:ascii="Arial" w:hAnsi="Arial" w:cs="Arial"/>
                <w:sz w:val="16"/>
                <w:szCs w:val="16"/>
              </w:rPr>
            </w:pPr>
            <w:r w:rsidRPr="006A4649">
              <w:rPr>
                <w:rFonts w:ascii="Arial" w:hAnsi="Arial" w:cs="Arial"/>
                <w:sz w:val="16"/>
                <w:szCs w:val="16"/>
              </w:rPr>
              <w:t>Budget Year 2022-23</w:t>
            </w:r>
          </w:p>
        </w:tc>
        <w:tc>
          <w:tcPr>
            <w:tcW w:w="2259" w:type="dxa"/>
            <w:tcBorders>
              <w:top w:val="single" w:sz="4" w:space="0" w:color="auto"/>
              <w:left w:val="single" w:sz="4" w:space="0" w:color="auto"/>
              <w:right w:val="single" w:sz="4" w:space="0" w:color="auto"/>
            </w:tcBorders>
          </w:tcPr>
          <w:p w:rsidR="00E74408" w:rsidRPr="006A4649" w:rsidRDefault="00E74408" w:rsidP="00A0116B">
            <w:pPr>
              <w:tabs>
                <w:tab w:val="left" w:pos="709"/>
              </w:tabs>
              <w:spacing w:before="60" w:after="60" w:line="240" w:lineRule="auto"/>
              <w:jc w:val="left"/>
              <w:rPr>
                <w:rFonts w:ascii="Arial" w:hAnsi="Arial" w:cs="Arial"/>
                <w:b/>
                <w:bCs/>
                <w:sz w:val="16"/>
                <w:szCs w:val="16"/>
              </w:rPr>
            </w:pPr>
            <w:r w:rsidRPr="006A4649">
              <w:rPr>
                <w:rFonts w:ascii="Arial" w:hAnsi="Arial" w:cs="Arial"/>
                <w:b/>
                <w:bCs/>
                <w:sz w:val="16"/>
                <w:szCs w:val="16"/>
              </w:rPr>
              <w:t>Investment mandates for each Australian</w:t>
            </w:r>
            <w:r w:rsidR="001D7BEB" w:rsidRPr="006A4649">
              <w:rPr>
                <w:rFonts w:ascii="Arial" w:hAnsi="Arial" w:cs="Arial"/>
                <w:b/>
                <w:bCs/>
                <w:sz w:val="16"/>
                <w:szCs w:val="16"/>
              </w:rPr>
              <w:t xml:space="preserve"> </w:t>
            </w:r>
            <w:r w:rsidRPr="006A4649">
              <w:rPr>
                <w:rFonts w:ascii="Arial" w:hAnsi="Arial" w:cs="Arial"/>
                <w:b/>
                <w:bCs/>
                <w:sz w:val="16"/>
                <w:szCs w:val="16"/>
              </w:rPr>
              <w:t xml:space="preserve">Government Investment Fund </w:t>
            </w:r>
          </w:p>
          <w:p w:rsidR="00E74408" w:rsidRPr="006A4649" w:rsidRDefault="00E74408" w:rsidP="00A0116B">
            <w:pPr>
              <w:spacing w:before="60" w:after="60" w:line="240" w:lineRule="auto"/>
              <w:jc w:val="left"/>
              <w:rPr>
                <w:rFonts w:ascii="Arial" w:eastAsia="Arial" w:hAnsi="Arial" w:cs="Arial"/>
                <w:sz w:val="16"/>
                <w:szCs w:val="16"/>
              </w:rPr>
            </w:pPr>
            <w:r w:rsidRPr="006A4649">
              <w:rPr>
                <w:rFonts w:ascii="Arial" w:hAnsi="Arial" w:cs="Arial"/>
                <w:bCs/>
                <w:sz w:val="16"/>
                <w:szCs w:val="16"/>
              </w:rPr>
              <w:t>Investment mandates are set for each Australian Government Investment Fund which establish the financial and risk objectives of each fund consistent with the policy, regulatory and legislative framework.</w:t>
            </w:r>
          </w:p>
        </w:tc>
        <w:tc>
          <w:tcPr>
            <w:tcW w:w="3880" w:type="dxa"/>
            <w:tcBorders>
              <w:top w:val="single" w:sz="4" w:space="0" w:color="auto"/>
              <w:left w:val="single" w:sz="4" w:space="0" w:color="auto"/>
            </w:tcBorders>
          </w:tcPr>
          <w:p w:rsidR="00E74408" w:rsidRPr="006A4649" w:rsidRDefault="00E74408" w:rsidP="00A0116B">
            <w:pPr>
              <w:tabs>
                <w:tab w:val="left" w:pos="709"/>
              </w:tabs>
              <w:suppressAutoHyphens/>
              <w:spacing w:before="60" w:after="60" w:line="240" w:lineRule="auto"/>
              <w:jc w:val="left"/>
              <w:rPr>
                <w:rFonts w:ascii="Arial" w:eastAsia="Arial" w:hAnsi="Arial" w:cs="Arial"/>
                <w:sz w:val="16"/>
                <w:szCs w:val="16"/>
              </w:rPr>
            </w:pPr>
            <w:r w:rsidRPr="006A4649">
              <w:rPr>
                <w:rFonts w:ascii="Arial" w:eastAsia="Arial" w:hAnsi="Arial" w:cs="Arial"/>
                <w:sz w:val="16"/>
                <w:szCs w:val="16"/>
              </w:rPr>
              <w:t>Investment mandates for the Australian Government Investment Funds are set and monitored.</w:t>
            </w:r>
          </w:p>
        </w:tc>
      </w:tr>
      <w:tr w:rsidR="00A0116B" w:rsidRPr="00A0116B" w:rsidTr="00785EA1">
        <w:trPr>
          <w:trHeight w:val="475"/>
        </w:trPr>
        <w:tc>
          <w:tcPr>
            <w:tcW w:w="1402" w:type="dxa"/>
            <w:tcBorders>
              <w:top w:val="single" w:sz="4" w:space="0" w:color="auto"/>
              <w:left w:val="single" w:sz="4" w:space="0" w:color="auto"/>
              <w:bottom w:val="single" w:sz="4" w:space="0" w:color="auto"/>
              <w:right w:val="single" w:sz="4" w:space="0" w:color="auto"/>
            </w:tcBorders>
          </w:tcPr>
          <w:p w:rsidR="00A0116B" w:rsidRPr="006A4649" w:rsidRDefault="00A0116B" w:rsidP="006A4649">
            <w:pPr>
              <w:tabs>
                <w:tab w:val="left" w:pos="709"/>
              </w:tabs>
              <w:spacing w:before="60" w:after="60" w:line="240" w:lineRule="auto"/>
              <w:jc w:val="left"/>
              <w:rPr>
                <w:rFonts w:ascii="Arial" w:hAnsi="Arial" w:cs="Arial"/>
                <w:sz w:val="16"/>
                <w:szCs w:val="16"/>
              </w:rPr>
            </w:pPr>
            <w:r w:rsidRPr="006A4649">
              <w:rPr>
                <w:rFonts w:ascii="Arial" w:hAnsi="Arial" w:cs="Arial"/>
                <w:sz w:val="16"/>
                <w:szCs w:val="16"/>
              </w:rPr>
              <w:t>Forward Estimate</w:t>
            </w:r>
            <w:r w:rsidR="003101A3" w:rsidRPr="006A4649">
              <w:rPr>
                <w:rFonts w:ascii="Arial" w:hAnsi="Arial" w:cs="Arial"/>
                <w:sz w:val="16"/>
                <w:szCs w:val="16"/>
              </w:rPr>
              <w:t xml:space="preserve">s </w:t>
            </w:r>
            <w:r w:rsidR="006A4649" w:rsidRPr="006A4649">
              <w:rPr>
                <w:rFonts w:ascii="Arial" w:hAnsi="Arial" w:cs="Arial"/>
                <w:sz w:val="16"/>
                <w:szCs w:val="16"/>
              </w:rPr>
              <w:br/>
            </w:r>
            <w:r w:rsidRPr="006A4649">
              <w:rPr>
                <w:rFonts w:ascii="Arial" w:hAnsi="Arial" w:cs="Arial"/>
                <w:sz w:val="16"/>
                <w:szCs w:val="16"/>
              </w:rPr>
              <w:t>2023-26</w:t>
            </w:r>
          </w:p>
        </w:tc>
        <w:tc>
          <w:tcPr>
            <w:tcW w:w="2259" w:type="dxa"/>
            <w:tcBorders>
              <w:top w:val="single" w:sz="4" w:space="0" w:color="auto"/>
              <w:left w:val="single" w:sz="4" w:space="0" w:color="auto"/>
              <w:bottom w:val="single" w:sz="4" w:space="0" w:color="auto"/>
              <w:right w:val="single" w:sz="4" w:space="0" w:color="auto"/>
            </w:tcBorders>
          </w:tcPr>
          <w:p w:rsidR="00A0116B" w:rsidRPr="00785EA1" w:rsidRDefault="00A0116B" w:rsidP="00AD3119">
            <w:pPr>
              <w:tabs>
                <w:tab w:val="left" w:pos="709"/>
              </w:tabs>
              <w:spacing w:before="60" w:after="60" w:line="240" w:lineRule="auto"/>
              <w:jc w:val="left"/>
              <w:rPr>
                <w:rFonts w:ascii="Arial" w:hAnsi="Arial" w:cs="Arial"/>
                <w:bCs/>
                <w:sz w:val="16"/>
                <w:szCs w:val="16"/>
              </w:rPr>
            </w:pPr>
            <w:r w:rsidRPr="00785EA1">
              <w:rPr>
                <w:rFonts w:ascii="Arial" w:hAnsi="Arial" w:cs="Arial"/>
                <w:bCs/>
                <w:sz w:val="16"/>
                <w:szCs w:val="16"/>
              </w:rPr>
              <w:t>As per 2022-23.</w:t>
            </w:r>
          </w:p>
        </w:tc>
        <w:tc>
          <w:tcPr>
            <w:tcW w:w="3880" w:type="dxa"/>
            <w:tcBorders>
              <w:top w:val="single" w:sz="4" w:space="0" w:color="auto"/>
              <w:left w:val="single" w:sz="4" w:space="0" w:color="auto"/>
              <w:bottom w:val="single" w:sz="4" w:space="0" w:color="auto"/>
              <w:right w:val="single" w:sz="4" w:space="0" w:color="auto"/>
            </w:tcBorders>
          </w:tcPr>
          <w:p w:rsidR="00A0116B" w:rsidRPr="006A4649" w:rsidRDefault="00A0116B" w:rsidP="00A0116B">
            <w:pPr>
              <w:tabs>
                <w:tab w:val="left" w:pos="709"/>
              </w:tabs>
              <w:suppressAutoHyphens/>
              <w:spacing w:before="60" w:after="60" w:line="240" w:lineRule="auto"/>
              <w:jc w:val="left"/>
              <w:rPr>
                <w:rFonts w:ascii="Arial" w:eastAsia="Arial" w:hAnsi="Arial" w:cs="Arial"/>
                <w:sz w:val="16"/>
                <w:szCs w:val="16"/>
              </w:rPr>
            </w:pPr>
            <w:r w:rsidRPr="006A4649">
              <w:rPr>
                <w:rFonts w:ascii="Arial" w:eastAsia="Arial" w:hAnsi="Arial" w:cs="Arial"/>
                <w:sz w:val="16"/>
                <w:szCs w:val="16"/>
              </w:rPr>
              <w:t>As per 2022-23.</w:t>
            </w:r>
          </w:p>
        </w:tc>
      </w:tr>
      <w:tr w:rsidR="00A0116B" w:rsidRPr="00A0116B" w:rsidTr="00A0116B">
        <w:trPr>
          <w:trHeight w:val="291"/>
        </w:trPr>
        <w:tc>
          <w:tcPr>
            <w:tcW w:w="7541" w:type="dxa"/>
            <w:gridSpan w:val="3"/>
          </w:tcPr>
          <w:p w:rsidR="00A0116B" w:rsidRPr="006A4649" w:rsidRDefault="00A0116B" w:rsidP="00AD3119">
            <w:pPr>
              <w:tabs>
                <w:tab w:val="left" w:pos="709"/>
              </w:tabs>
              <w:spacing w:before="60" w:after="60" w:line="240" w:lineRule="auto"/>
              <w:jc w:val="left"/>
              <w:rPr>
                <w:rFonts w:ascii="Arial" w:eastAsia="Cambria" w:hAnsi="Arial" w:cs="Arial"/>
                <w:bCs/>
                <w:iCs/>
                <w:spacing w:val="-6"/>
                <w:sz w:val="16"/>
                <w:szCs w:val="16"/>
              </w:rPr>
            </w:pPr>
            <w:r w:rsidRPr="006A4649">
              <w:rPr>
                <w:rFonts w:ascii="Arial" w:hAnsi="Arial" w:cs="Arial"/>
                <w:sz w:val="16"/>
                <w:szCs w:val="16"/>
              </w:rPr>
              <w:t>Material changes to Program 2.8 resulting from 2022-23 Budget Measures:</w:t>
            </w:r>
            <w:r w:rsidRPr="006A4649">
              <w:rPr>
                <w:rStyle w:val="BodyTextChar"/>
                <w:rFonts w:ascii="Arial" w:hAnsi="Arial" w:cs="Arial"/>
                <w:bCs/>
                <w:iCs/>
                <w:spacing w:val="-6"/>
                <w:sz w:val="16"/>
                <w:szCs w:val="16"/>
              </w:rPr>
              <w:t xml:space="preserve"> </w:t>
            </w:r>
            <w:r w:rsidRPr="006A4649">
              <w:rPr>
                <w:rFonts w:ascii="Arial" w:hAnsi="Arial" w:cs="Arial"/>
                <w:sz w:val="16"/>
                <w:szCs w:val="16"/>
              </w:rPr>
              <w:t>Nil</w:t>
            </w:r>
          </w:p>
        </w:tc>
      </w:tr>
    </w:tbl>
    <w:p w:rsidR="00262682" w:rsidRPr="00262682" w:rsidRDefault="00262682" w:rsidP="00262682">
      <w:pPr>
        <w:rPr>
          <w:lang w:eastAsia="x-none"/>
        </w:rPr>
      </w:pPr>
    </w:p>
    <w:p w:rsidR="007B45F9" w:rsidRPr="00F743D8" w:rsidRDefault="003F509C" w:rsidP="007B45F9">
      <w:pPr>
        <w:pStyle w:val="Heading3"/>
      </w:pPr>
      <w:bookmarkStart w:id="52" w:name="_Toc98181311"/>
      <w:r>
        <w:lastRenderedPageBreak/>
        <w:t>2.3</w:t>
      </w:r>
      <w:r w:rsidR="007B45F9" w:rsidRPr="00F743D8">
        <w:t xml:space="preserve"> </w:t>
      </w:r>
      <w:r w:rsidR="007B45F9" w:rsidRPr="00F743D8">
        <w:tab/>
        <w:t>Budgeted expens</w:t>
      </w:r>
      <w:r w:rsidR="00905EA5">
        <w:t>es and performance for Outcome 3</w:t>
      </w:r>
      <w:bookmarkEnd w:id="5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B45F9" w:rsidRPr="005E6F2B" w:rsidTr="00933F6F">
        <w:tc>
          <w:tcPr>
            <w:tcW w:w="7704" w:type="dxa"/>
            <w:shd w:val="clear" w:color="auto" w:fill="E6E6E6"/>
          </w:tcPr>
          <w:p w:rsidR="007B45F9" w:rsidRPr="005E6F2B" w:rsidRDefault="009301D5" w:rsidP="00775D53">
            <w:pPr>
              <w:pStyle w:val="TableColumnHeadingLeft"/>
            </w:pPr>
            <w:r w:rsidRPr="009301D5">
              <w:t>Outcome 3 – Support for parliamentarians and others as required by the Australian Government through the delivery of, and advice on, work expenses and allowances, entitlements and targeted programs.</w:t>
            </w:r>
          </w:p>
        </w:tc>
      </w:tr>
    </w:tbl>
    <w:p w:rsidR="007B45F9" w:rsidRPr="005E6F2B" w:rsidRDefault="007B45F9" w:rsidP="007B45F9">
      <w:pPr>
        <w:pStyle w:val="NoSpacing"/>
      </w:pPr>
    </w:p>
    <w:p w:rsidR="007B45F9" w:rsidRPr="00446612" w:rsidRDefault="001E58FB" w:rsidP="007B45F9">
      <w:pPr>
        <w:pStyle w:val="Heading5"/>
      </w:pPr>
      <w:r>
        <w:t>Budgeted expenses for Outcome 3</w:t>
      </w:r>
    </w:p>
    <w:p w:rsidR="007B45F9" w:rsidRDefault="007B45F9" w:rsidP="007B45F9">
      <w:r w:rsidRPr="00950281">
        <w:t>This table shows how much the entity intends to spend (on an accrual basis) on achieving the outcome, broken down by program, as well as by Administered an</w:t>
      </w:r>
      <w:r>
        <w:t>d Departmental funding sources.</w:t>
      </w:r>
    </w:p>
    <w:p w:rsidR="007B45F9" w:rsidRPr="003C6E27" w:rsidRDefault="00C4749C" w:rsidP="003C6E27">
      <w:pPr>
        <w:spacing w:after="0"/>
        <w:rPr>
          <w:b/>
        </w:rPr>
      </w:pPr>
      <w:r w:rsidRPr="003C6E27">
        <w:rPr>
          <w:b/>
        </w:rPr>
        <w:t xml:space="preserve">Table 2.3.1: Budgeted expenses for Outcome 3 </w:t>
      </w:r>
    </w:p>
    <w:p w:rsidR="00C4749C" w:rsidRDefault="00074361" w:rsidP="00C4749C">
      <w:pPr>
        <w:pStyle w:val="TableGraphic"/>
        <w:rPr>
          <w:lang w:eastAsia="zh-CN"/>
        </w:rPr>
      </w:pPr>
      <w:r w:rsidRPr="00074361">
        <w:rPr>
          <w:noProof/>
        </w:rPr>
        <w:drawing>
          <wp:inline distT="0" distB="0" distL="0" distR="0">
            <wp:extent cx="4895850" cy="45298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95850" cy="4529805"/>
                    </a:xfrm>
                    <a:prstGeom prst="rect">
                      <a:avLst/>
                    </a:prstGeom>
                    <a:noFill/>
                    <a:ln>
                      <a:noFill/>
                    </a:ln>
                  </pic:spPr>
                </pic:pic>
              </a:graphicData>
            </a:graphic>
          </wp:inline>
        </w:drawing>
      </w:r>
    </w:p>
    <w:p w:rsidR="00C4749C" w:rsidRDefault="00C4749C" w:rsidP="00C4749C">
      <w:pPr>
        <w:spacing w:after="0" w:line="240" w:lineRule="auto"/>
        <w:jc w:val="left"/>
      </w:pPr>
      <w:r w:rsidRPr="000717B9">
        <w:rPr>
          <w:rFonts w:ascii="Arial" w:hAnsi="Arial"/>
          <w:sz w:val="16"/>
        </w:rPr>
        <w:t>Table continues on next page</w:t>
      </w:r>
      <w:r>
        <w:t xml:space="preserve"> </w:t>
      </w:r>
    </w:p>
    <w:p w:rsidR="00C4749C" w:rsidRPr="00C4749C" w:rsidRDefault="00C4749C" w:rsidP="00C4749C">
      <w:pPr>
        <w:rPr>
          <w:lang w:eastAsia="zh-CN"/>
        </w:rPr>
      </w:pPr>
    </w:p>
    <w:p w:rsidR="007B45F9" w:rsidRDefault="007B45F9" w:rsidP="007B45F9"/>
    <w:p w:rsidR="007B45F9" w:rsidRDefault="00C4749C" w:rsidP="003F509C">
      <w:pPr>
        <w:pStyle w:val="TableHeading"/>
      </w:pPr>
      <w:r w:rsidRPr="00905ADB">
        <w:lastRenderedPageBreak/>
        <w:t xml:space="preserve">Table 2.3.1: Budgeted expenses for Outcome 3 </w:t>
      </w:r>
      <w:r w:rsidR="007B45F9" w:rsidRPr="00905ADB">
        <w:t>(continued)</w:t>
      </w:r>
    </w:p>
    <w:p w:rsidR="007B45F9" w:rsidRPr="00C4749C" w:rsidRDefault="00B73422" w:rsidP="007B45F9">
      <w:pPr>
        <w:pStyle w:val="TableGraphic"/>
        <w:rPr>
          <w:lang w:val="x-none" w:eastAsia="x-none"/>
        </w:rPr>
      </w:pPr>
      <w:r w:rsidRPr="00B73422">
        <w:rPr>
          <w:noProof/>
        </w:rPr>
        <w:drawing>
          <wp:inline distT="0" distB="0" distL="0" distR="0">
            <wp:extent cx="4895850" cy="2967622"/>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895850" cy="2967622"/>
                    </a:xfrm>
                    <a:prstGeom prst="rect">
                      <a:avLst/>
                    </a:prstGeom>
                    <a:noFill/>
                    <a:ln>
                      <a:noFill/>
                    </a:ln>
                  </pic:spPr>
                </pic:pic>
              </a:graphicData>
            </a:graphic>
          </wp:inline>
        </w:drawing>
      </w:r>
    </w:p>
    <w:p w:rsidR="00832587" w:rsidRPr="008A5009" w:rsidRDefault="00832587" w:rsidP="00DA1F4B">
      <w:pPr>
        <w:pStyle w:val="ListParagraph"/>
        <w:numPr>
          <w:ilvl w:val="0"/>
          <w:numId w:val="47"/>
        </w:numPr>
        <w:spacing w:after="0" w:line="240" w:lineRule="auto"/>
        <w:rPr>
          <w:rFonts w:ascii="Arial" w:hAnsi="Arial" w:cs="Arial"/>
          <w:sz w:val="16"/>
          <w:szCs w:val="16"/>
        </w:rPr>
      </w:pPr>
      <w:r w:rsidRPr="008A5009">
        <w:rPr>
          <w:rFonts w:ascii="Arial" w:hAnsi="Arial" w:cs="Arial"/>
          <w:sz w:val="16"/>
          <w:szCs w:val="16"/>
        </w:rPr>
        <w:t xml:space="preserve">Estimates for this item are subject to the </w:t>
      </w:r>
      <w:r w:rsidRPr="008A5009">
        <w:rPr>
          <w:rFonts w:ascii="Arial" w:hAnsi="Arial" w:cs="Arial"/>
          <w:i/>
          <w:sz w:val="16"/>
          <w:szCs w:val="16"/>
        </w:rPr>
        <w:t>Ministers of State Regulation 2012</w:t>
      </w:r>
      <w:r w:rsidRPr="008A5009">
        <w:rPr>
          <w:rFonts w:ascii="Arial" w:hAnsi="Arial" w:cs="Arial"/>
          <w:sz w:val="16"/>
          <w:szCs w:val="16"/>
        </w:rPr>
        <w:t>.</w:t>
      </w:r>
    </w:p>
    <w:p w:rsidR="00832587" w:rsidRPr="004111A7" w:rsidRDefault="00832587" w:rsidP="00DA1F4B">
      <w:pPr>
        <w:pStyle w:val="ListParagraph"/>
        <w:numPr>
          <w:ilvl w:val="0"/>
          <w:numId w:val="47"/>
        </w:numPr>
        <w:spacing w:after="0" w:line="240" w:lineRule="auto"/>
        <w:jc w:val="both"/>
        <w:rPr>
          <w:rFonts w:ascii="Arial" w:hAnsi="Arial" w:cs="Arial"/>
          <w:sz w:val="16"/>
          <w:szCs w:val="16"/>
        </w:rPr>
      </w:pPr>
      <w:r w:rsidRPr="004111A7">
        <w:rPr>
          <w:rFonts w:ascii="Arial" w:hAnsi="Arial" w:cs="Arial"/>
          <w:sz w:val="16"/>
          <w:szCs w:val="16"/>
        </w:rPr>
        <w:t xml:space="preserve">‘Expenses </w:t>
      </w:r>
      <w:r w:rsidRPr="004111A7">
        <w:rPr>
          <w:rFonts w:ascii="Arial" w:eastAsia="Times New Roman" w:hAnsi="Arial" w:cs="Arial"/>
          <w:sz w:val="16"/>
          <w:szCs w:val="16"/>
          <w:lang w:val="en-AU" w:eastAsia="en-AU"/>
        </w:rPr>
        <w:t>not</w:t>
      </w:r>
      <w:r w:rsidRPr="004111A7">
        <w:rPr>
          <w:rFonts w:ascii="Arial" w:hAnsi="Arial" w:cs="Arial"/>
          <w:sz w:val="16"/>
          <w:szCs w:val="16"/>
        </w:rPr>
        <w:t xml:space="preserve"> </w:t>
      </w:r>
      <w:r>
        <w:rPr>
          <w:rFonts w:ascii="Arial" w:hAnsi="Arial" w:cs="Arial"/>
          <w:sz w:val="16"/>
          <w:szCs w:val="16"/>
        </w:rPr>
        <w:t>requiring appropriation in the B</w:t>
      </w:r>
      <w:r w:rsidRPr="004111A7">
        <w:rPr>
          <w:rFonts w:ascii="Arial" w:hAnsi="Arial" w:cs="Arial"/>
          <w:sz w:val="16"/>
          <w:szCs w:val="16"/>
        </w:rPr>
        <w:t xml:space="preserve">udget year’ is made up of depreciation expenses, </w:t>
      </w:r>
      <w:proofErr w:type="spellStart"/>
      <w:r w:rsidRPr="004111A7">
        <w:rPr>
          <w:rFonts w:ascii="Arial" w:hAnsi="Arial" w:cs="Arial"/>
          <w:sz w:val="16"/>
          <w:szCs w:val="16"/>
        </w:rPr>
        <w:t>amortisation</w:t>
      </w:r>
      <w:proofErr w:type="spellEnd"/>
      <w:r w:rsidRPr="004111A7">
        <w:rPr>
          <w:rFonts w:ascii="Arial" w:hAnsi="Arial" w:cs="Arial"/>
          <w:sz w:val="16"/>
          <w:szCs w:val="16"/>
        </w:rPr>
        <w:t xml:space="preserve"> expenses and resources received free of charge.</w:t>
      </w:r>
    </w:p>
    <w:p w:rsidR="00832587" w:rsidRPr="004111A7" w:rsidRDefault="00832587" w:rsidP="00DA1F4B">
      <w:pPr>
        <w:pStyle w:val="ListParagraph"/>
        <w:numPr>
          <w:ilvl w:val="0"/>
          <w:numId w:val="47"/>
        </w:numPr>
        <w:spacing w:after="0" w:line="240" w:lineRule="auto"/>
        <w:jc w:val="both"/>
        <w:rPr>
          <w:rFonts w:ascii="Book Antiqua" w:hAnsi="Book Antiqua"/>
          <w:sz w:val="16"/>
          <w:szCs w:val="16"/>
        </w:rPr>
      </w:pPr>
      <w:r w:rsidRPr="004111A7">
        <w:rPr>
          <w:rFonts w:ascii="Arial" w:eastAsia="Times New Roman" w:hAnsi="Arial" w:cs="Arial"/>
          <w:sz w:val="16"/>
          <w:szCs w:val="16"/>
          <w:lang w:val="en-AU" w:eastAsia="en-AU"/>
        </w:rPr>
        <w:t>Departmental</w:t>
      </w:r>
      <w:r w:rsidRPr="004111A7">
        <w:rPr>
          <w:rFonts w:ascii="Arial" w:hAnsi="Arial" w:cs="Arial"/>
          <w:sz w:val="16"/>
          <w:szCs w:val="16"/>
        </w:rPr>
        <w:t xml:space="preserve"> appropriation combines ordinary annual services (Appropriation Bill No. 1) and </w:t>
      </w:r>
      <w:r w:rsidRPr="004111A7">
        <w:rPr>
          <w:rFonts w:ascii="Arial" w:hAnsi="Arial" w:cs="Arial"/>
          <w:sz w:val="16"/>
          <w:szCs w:val="16"/>
        </w:rPr>
        <w:br/>
        <w:t>estimated receipts retained under s</w:t>
      </w:r>
      <w:r>
        <w:rPr>
          <w:rFonts w:ascii="Arial" w:hAnsi="Arial" w:cs="Arial"/>
          <w:sz w:val="16"/>
          <w:szCs w:val="16"/>
        </w:rPr>
        <w:t xml:space="preserve">ection </w:t>
      </w:r>
      <w:r w:rsidRPr="004111A7">
        <w:rPr>
          <w:rFonts w:ascii="Arial" w:hAnsi="Arial" w:cs="Arial"/>
          <w:sz w:val="16"/>
          <w:szCs w:val="16"/>
        </w:rPr>
        <w:t xml:space="preserve">74 of the PGPA Act. </w:t>
      </w:r>
    </w:p>
    <w:p w:rsidR="00832587" w:rsidRPr="004111A7" w:rsidRDefault="00832587" w:rsidP="00832587">
      <w:pPr>
        <w:pStyle w:val="ListParagraph"/>
        <w:spacing w:after="0" w:line="240" w:lineRule="auto"/>
        <w:ind w:left="284"/>
        <w:jc w:val="both"/>
        <w:rPr>
          <w:rFonts w:ascii="Book Antiqua" w:hAnsi="Book Antiqua"/>
          <w:sz w:val="16"/>
          <w:szCs w:val="16"/>
        </w:rPr>
      </w:pPr>
    </w:p>
    <w:p w:rsidR="00832587" w:rsidRPr="004111A7" w:rsidRDefault="00832587" w:rsidP="00832587">
      <w:pPr>
        <w:spacing w:after="0" w:line="240" w:lineRule="auto"/>
        <w:rPr>
          <w:rFonts w:ascii="Arial" w:eastAsia="Calibri" w:hAnsi="Arial" w:cs="Arial"/>
          <w:sz w:val="16"/>
          <w:szCs w:val="16"/>
          <w:lang w:val="en-US" w:eastAsia="en-US"/>
        </w:rPr>
      </w:pPr>
      <w:r w:rsidRPr="004111A7">
        <w:rPr>
          <w:rFonts w:ascii="Arial" w:eastAsia="Calibri" w:hAnsi="Arial" w:cs="Arial"/>
          <w:sz w:val="16"/>
          <w:szCs w:val="16"/>
          <w:lang w:val="en-US" w:eastAsia="en-US"/>
        </w:rPr>
        <w:t>Note: Departmental appropriation splits and totals are indicative estimates and may change in the course of the Budget year as government priorities change.</w:t>
      </w:r>
    </w:p>
    <w:p w:rsidR="007B45F9" w:rsidRPr="003F509C" w:rsidRDefault="007B45F9" w:rsidP="003F509C">
      <w:pPr>
        <w:spacing w:after="0"/>
        <w:rPr>
          <w:rStyle w:val="TableHeadingChar"/>
          <w:rFonts w:ascii="Book Antiqua" w:hAnsi="Book Antiqua"/>
          <w:color w:val="FF0000"/>
          <w:lang w:val="en-AU" w:eastAsia="en-AU"/>
        </w:rPr>
      </w:pPr>
      <w:r>
        <w:rPr>
          <w:highlight w:val="yellow"/>
        </w:rPr>
        <w:br w:type="page"/>
      </w:r>
      <w:r w:rsidR="009301D5" w:rsidRPr="009301D5">
        <w:rPr>
          <w:rFonts w:ascii="Arial" w:hAnsi="Arial"/>
          <w:b/>
          <w:color w:val="000000"/>
          <w:lang w:val="x-none" w:eastAsia="x-none"/>
        </w:rPr>
        <w:lastRenderedPageBreak/>
        <w:t>Table 2</w:t>
      </w:r>
      <w:r w:rsidR="009301D5">
        <w:rPr>
          <w:rFonts w:ascii="Arial" w:hAnsi="Arial"/>
          <w:b/>
          <w:color w:val="000000"/>
          <w:lang w:val="x-none" w:eastAsia="x-none"/>
        </w:rPr>
        <w:t>.3.</w:t>
      </w:r>
      <w:r w:rsidR="009301D5">
        <w:rPr>
          <w:rFonts w:ascii="Arial" w:hAnsi="Arial"/>
          <w:b/>
          <w:color w:val="000000"/>
          <w:lang w:eastAsia="x-none"/>
        </w:rPr>
        <w:t>2</w:t>
      </w:r>
      <w:r w:rsidR="009301D5" w:rsidRPr="009301D5">
        <w:rPr>
          <w:rFonts w:ascii="Arial" w:hAnsi="Arial"/>
          <w:b/>
          <w:color w:val="000000"/>
          <w:lang w:val="x-none" w:eastAsia="x-none"/>
        </w:rPr>
        <w:t>: Performance measure for Outcome 3</w:t>
      </w:r>
      <w:r w:rsidR="009301D5">
        <w:t xml:space="preserve"> </w:t>
      </w:r>
    </w:p>
    <w:p w:rsidR="007B45F9" w:rsidRDefault="007B45F9" w:rsidP="00775D53">
      <w:pPr>
        <w:spacing w:line="240" w:lineRule="exact"/>
        <w:rPr>
          <w:rFonts w:ascii="Arial" w:hAnsi="Arial" w:cs="Arial"/>
        </w:rPr>
      </w:pPr>
      <w:r w:rsidRPr="0041023D">
        <w:rPr>
          <w:rFonts w:ascii="Arial" w:hAnsi="Arial" w:cs="Arial"/>
        </w:rPr>
        <w:t>T</w:t>
      </w:r>
      <w:r w:rsidR="006D0195" w:rsidRPr="0041023D">
        <w:rPr>
          <w:rFonts w:ascii="Arial" w:hAnsi="Arial" w:cs="Arial"/>
        </w:rPr>
        <w:t>able 2.3</w:t>
      </w:r>
      <w:r w:rsidRPr="0041023D">
        <w:rPr>
          <w:rFonts w:ascii="Arial" w:hAnsi="Arial" w:cs="Arial"/>
        </w:rPr>
        <w:t>.</w:t>
      </w:r>
      <w:r w:rsidR="006D0195" w:rsidRPr="0041023D">
        <w:rPr>
          <w:rFonts w:ascii="Arial" w:hAnsi="Arial" w:cs="Arial"/>
        </w:rPr>
        <w:t>2</w:t>
      </w:r>
      <w:r w:rsidR="00D006C6">
        <w:rPr>
          <w:rFonts w:ascii="Arial" w:hAnsi="Arial" w:cs="Arial"/>
        </w:rPr>
        <w:t xml:space="preserve"> </w:t>
      </w:r>
      <w:r w:rsidR="004D1269" w:rsidRPr="004D1269">
        <w:rPr>
          <w:rFonts w:ascii="Arial" w:hAnsi="Arial" w:cs="Arial"/>
        </w:rPr>
        <w:t>details the performance measures for each program associated with Outcome 3.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2248"/>
        <w:gridCol w:w="3902"/>
      </w:tblGrid>
      <w:tr w:rsidR="0040574F" w:rsidRPr="00361E69" w:rsidTr="00065B93">
        <w:trPr>
          <w:trHeight w:val="569"/>
        </w:trPr>
        <w:tc>
          <w:tcPr>
            <w:tcW w:w="7541" w:type="dxa"/>
            <w:gridSpan w:val="3"/>
            <w:shd w:val="clear" w:color="auto" w:fill="F2F2F2"/>
          </w:tcPr>
          <w:p w:rsidR="0040574F" w:rsidRPr="00361E69" w:rsidRDefault="0040574F" w:rsidP="00C91E97">
            <w:pPr>
              <w:pStyle w:val="TableColumnHeadingLeft"/>
            </w:pPr>
            <w:r w:rsidRPr="00361E69">
              <w:t xml:space="preserve">Outcome </w:t>
            </w:r>
            <w:r>
              <w:t>3</w:t>
            </w:r>
            <w:r w:rsidRPr="00361E69">
              <w:t xml:space="preserve"> – </w:t>
            </w:r>
            <w:r w:rsidRPr="005E6868">
              <w:rPr>
                <w:b w:val="0"/>
              </w:rPr>
              <w:t>Support for parliamentarians and others as required by the Australian Government through the delivery of, and advice on, work expenses and allowances, entitlements and targeted programs.</w:t>
            </w:r>
          </w:p>
        </w:tc>
      </w:tr>
      <w:tr w:rsidR="0040574F" w:rsidRPr="00361E69" w:rsidTr="00065B93">
        <w:trPr>
          <w:trHeight w:val="522"/>
        </w:trPr>
        <w:tc>
          <w:tcPr>
            <w:tcW w:w="7541" w:type="dxa"/>
            <w:gridSpan w:val="3"/>
            <w:shd w:val="clear" w:color="auto" w:fill="F2F2F2"/>
          </w:tcPr>
          <w:p w:rsidR="0040574F" w:rsidRPr="001B3FE6" w:rsidRDefault="0040574F" w:rsidP="00C91E97">
            <w:pPr>
              <w:tabs>
                <w:tab w:val="left" w:pos="709"/>
              </w:tabs>
              <w:spacing w:before="60" w:after="60" w:line="240" w:lineRule="auto"/>
              <w:jc w:val="left"/>
              <w:rPr>
                <w:rFonts w:ascii="Arial" w:eastAsia="Arial" w:hAnsi="Arial" w:cs="Arial"/>
                <w:b/>
                <w:sz w:val="18"/>
                <w:szCs w:val="18"/>
              </w:rPr>
            </w:pPr>
            <w:r w:rsidRPr="001B3FE6">
              <w:rPr>
                <w:rFonts w:ascii="Arial" w:hAnsi="Arial" w:cs="Arial"/>
                <w:b/>
                <w:sz w:val="18"/>
                <w:szCs w:val="18"/>
              </w:rPr>
              <w:t xml:space="preserve">Program 3.1 – </w:t>
            </w:r>
            <w:r w:rsidRPr="001B3FE6">
              <w:rPr>
                <w:rFonts w:ascii="Arial" w:eastAsia="Arial" w:hAnsi="Arial" w:cs="Arial"/>
                <w:b/>
                <w:sz w:val="18"/>
                <w:szCs w:val="18"/>
              </w:rPr>
              <w:t xml:space="preserve">Ministerial and Parliamentary Services </w:t>
            </w:r>
          </w:p>
          <w:p w:rsidR="0040574F" w:rsidRPr="00361E69" w:rsidRDefault="0040574F" w:rsidP="00C91E97">
            <w:pPr>
              <w:tabs>
                <w:tab w:val="left" w:pos="709"/>
              </w:tabs>
              <w:spacing w:before="60" w:after="60" w:line="240" w:lineRule="auto"/>
              <w:jc w:val="left"/>
              <w:rPr>
                <w:rFonts w:ascii="Arial" w:hAnsi="Arial" w:cs="Arial"/>
                <w:sz w:val="16"/>
                <w:szCs w:val="16"/>
              </w:rPr>
            </w:pPr>
            <w:r w:rsidRPr="001B3FE6">
              <w:rPr>
                <w:rFonts w:ascii="Arial" w:eastAsia="Arial" w:hAnsi="Arial" w:cs="Arial"/>
                <w:sz w:val="18"/>
                <w:szCs w:val="18"/>
              </w:rPr>
              <w:t>This program contributes to the outcome through the provision of advice on, access to, and payment of Parliamentary and post-Parliamentary, work expenses, allowances and entitlements and targeted programs.</w:t>
            </w:r>
          </w:p>
        </w:tc>
      </w:tr>
      <w:tr w:rsidR="0040574F" w:rsidRPr="00361E69" w:rsidTr="00775D53">
        <w:trPr>
          <w:trHeight w:val="694"/>
        </w:trPr>
        <w:tc>
          <w:tcPr>
            <w:tcW w:w="1418" w:type="dxa"/>
            <w:tcBorders>
              <w:bottom w:val="double" w:sz="4" w:space="0" w:color="auto"/>
            </w:tcBorders>
          </w:tcPr>
          <w:p w:rsidR="0040574F" w:rsidRPr="00361E69" w:rsidRDefault="00CF6DDB" w:rsidP="00C91E97">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6334" w:type="dxa"/>
            <w:gridSpan w:val="2"/>
            <w:tcBorders>
              <w:bottom w:val="double" w:sz="4" w:space="0" w:color="auto"/>
            </w:tcBorders>
          </w:tcPr>
          <w:p w:rsidR="0040574F" w:rsidRDefault="0040574F" w:rsidP="00C91E97">
            <w:pPr>
              <w:tabs>
                <w:tab w:val="left" w:pos="709"/>
              </w:tabs>
              <w:spacing w:before="60" w:after="60" w:line="240" w:lineRule="auto"/>
              <w:jc w:val="left"/>
              <w:rPr>
                <w:rFonts w:ascii="Arial" w:hAnsi="Arial" w:cs="Arial"/>
                <w:b/>
                <w:bCs/>
                <w:sz w:val="16"/>
                <w:szCs w:val="16"/>
              </w:rPr>
            </w:pPr>
            <w:r w:rsidRPr="003C1CFE">
              <w:rPr>
                <w:rFonts w:ascii="Arial" w:hAnsi="Arial" w:cs="Arial"/>
                <w:b/>
                <w:bCs/>
                <w:sz w:val="16"/>
                <w:szCs w:val="16"/>
              </w:rPr>
              <w:t>Deliver ministerial and parliamentary services</w:t>
            </w:r>
          </w:p>
          <w:p w:rsidR="0040574F" w:rsidRPr="00361E69" w:rsidRDefault="0040574F" w:rsidP="00C91E97">
            <w:pPr>
              <w:tabs>
                <w:tab w:val="left" w:pos="709"/>
              </w:tabs>
              <w:spacing w:before="60" w:after="60" w:line="240" w:lineRule="auto"/>
              <w:jc w:val="left"/>
              <w:rPr>
                <w:rFonts w:ascii="Arial" w:hAnsi="Arial" w:cs="Arial"/>
                <w:i/>
                <w:sz w:val="16"/>
                <w:szCs w:val="16"/>
              </w:rPr>
            </w:pPr>
            <w:r w:rsidRPr="003C1CFE">
              <w:rPr>
                <w:rFonts w:ascii="Arial" w:hAnsi="Arial" w:cs="Arial"/>
                <w:bCs/>
                <w:sz w:val="16"/>
                <w:szCs w:val="16"/>
              </w:rPr>
              <w:t>Provide a range of services to parliamentarians, their employees</w:t>
            </w:r>
            <w:r>
              <w:rPr>
                <w:rFonts w:ascii="Arial" w:hAnsi="Arial" w:cs="Arial"/>
                <w:bCs/>
                <w:sz w:val="16"/>
                <w:szCs w:val="16"/>
              </w:rPr>
              <w:t xml:space="preserve"> </w:t>
            </w:r>
            <w:r w:rsidRPr="003C1CFE">
              <w:rPr>
                <w:rFonts w:ascii="Arial" w:hAnsi="Arial" w:cs="Arial"/>
                <w:bCs/>
                <w:sz w:val="16"/>
                <w:szCs w:val="16"/>
              </w:rPr>
              <w:t>and others as determined by the Australian Government to assist</w:t>
            </w:r>
            <w:r>
              <w:rPr>
                <w:rFonts w:ascii="Arial" w:hAnsi="Arial" w:cs="Arial"/>
                <w:bCs/>
                <w:sz w:val="16"/>
                <w:szCs w:val="16"/>
              </w:rPr>
              <w:t xml:space="preserve"> </w:t>
            </w:r>
            <w:r w:rsidRPr="003C1CFE">
              <w:rPr>
                <w:rFonts w:ascii="Arial" w:hAnsi="Arial" w:cs="Arial"/>
                <w:bCs/>
                <w:sz w:val="16"/>
                <w:szCs w:val="16"/>
              </w:rPr>
              <w:t>them in undertaking their duties</w:t>
            </w:r>
            <w:r>
              <w:rPr>
                <w:rFonts w:ascii="Arial" w:hAnsi="Arial" w:cs="Arial"/>
                <w:bCs/>
                <w:sz w:val="16"/>
                <w:szCs w:val="16"/>
              </w:rPr>
              <w:t>.</w:t>
            </w:r>
          </w:p>
        </w:tc>
      </w:tr>
      <w:tr w:rsidR="0040574F" w:rsidRPr="00361E69" w:rsidTr="00D079A9">
        <w:trPr>
          <w:trHeight w:val="312"/>
        </w:trPr>
        <w:tc>
          <w:tcPr>
            <w:tcW w:w="1418" w:type="dxa"/>
            <w:tcBorders>
              <w:top w:val="double" w:sz="4" w:space="0" w:color="auto"/>
              <w:bottom w:val="single" w:sz="4" w:space="0" w:color="auto"/>
              <w:right w:val="single" w:sz="4" w:space="0" w:color="auto"/>
            </w:tcBorders>
          </w:tcPr>
          <w:p w:rsidR="0040574F" w:rsidRPr="00361E69" w:rsidRDefault="0040574F" w:rsidP="00C91E97">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Year</w:t>
            </w:r>
          </w:p>
        </w:tc>
        <w:tc>
          <w:tcPr>
            <w:tcW w:w="2296" w:type="dxa"/>
            <w:tcBorders>
              <w:top w:val="double" w:sz="4" w:space="0" w:color="auto"/>
              <w:left w:val="single" w:sz="4" w:space="0" w:color="auto"/>
              <w:bottom w:val="single" w:sz="4" w:space="0" w:color="auto"/>
              <w:right w:val="single" w:sz="4" w:space="0" w:color="auto"/>
            </w:tcBorders>
          </w:tcPr>
          <w:p w:rsidR="0040574F" w:rsidRPr="00361E69" w:rsidRDefault="0040574F" w:rsidP="00C91E97">
            <w:pPr>
              <w:tabs>
                <w:tab w:val="left" w:pos="709"/>
                <w:tab w:val="center" w:pos="1818"/>
              </w:tabs>
              <w:spacing w:before="60" w:after="60" w:line="240" w:lineRule="auto"/>
              <w:jc w:val="left"/>
              <w:rPr>
                <w:rFonts w:ascii="Arial" w:hAnsi="Arial" w:cs="Arial"/>
                <w:b/>
                <w:sz w:val="16"/>
                <w:szCs w:val="16"/>
              </w:rPr>
            </w:pPr>
            <w:r w:rsidRPr="00361E69">
              <w:rPr>
                <w:rFonts w:ascii="Arial" w:hAnsi="Arial" w:cs="Arial"/>
                <w:b/>
                <w:sz w:val="16"/>
                <w:szCs w:val="16"/>
              </w:rPr>
              <w:t>Performance measures</w:t>
            </w:r>
          </w:p>
        </w:tc>
        <w:tc>
          <w:tcPr>
            <w:tcW w:w="3969" w:type="dxa"/>
            <w:tcBorders>
              <w:top w:val="double" w:sz="4" w:space="0" w:color="auto"/>
              <w:left w:val="single" w:sz="4" w:space="0" w:color="auto"/>
              <w:bottom w:val="single" w:sz="4" w:space="0" w:color="auto"/>
            </w:tcBorders>
          </w:tcPr>
          <w:p w:rsidR="0040574F" w:rsidRPr="00361E69" w:rsidRDefault="0040574F" w:rsidP="00C91E97">
            <w:pPr>
              <w:tabs>
                <w:tab w:val="left" w:pos="709"/>
              </w:tabs>
              <w:spacing w:before="60" w:after="60" w:line="240" w:lineRule="auto"/>
              <w:jc w:val="left"/>
              <w:rPr>
                <w:rFonts w:ascii="Arial" w:hAnsi="Arial" w:cs="Arial"/>
                <w:b/>
                <w:sz w:val="16"/>
                <w:szCs w:val="16"/>
              </w:rPr>
            </w:pPr>
            <w:r w:rsidRPr="00361E69">
              <w:rPr>
                <w:rFonts w:ascii="Arial" w:hAnsi="Arial" w:cs="Arial"/>
                <w:b/>
                <w:sz w:val="16"/>
                <w:szCs w:val="16"/>
              </w:rPr>
              <w:t>Expected Performance Results</w:t>
            </w:r>
          </w:p>
        </w:tc>
      </w:tr>
      <w:tr w:rsidR="0040574F" w:rsidRPr="00C92882" w:rsidTr="00775D53">
        <w:trPr>
          <w:trHeight w:val="1599"/>
        </w:trPr>
        <w:tc>
          <w:tcPr>
            <w:tcW w:w="1418" w:type="dxa"/>
            <w:tcBorders>
              <w:top w:val="single" w:sz="4" w:space="0" w:color="auto"/>
              <w:right w:val="single" w:sz="4" w:space="0" w:color="auto"/>
            </w:tcBorders>
          </w:tcPr>
          <w:p w:rsidR="0040574F" w:rsidRPr="00361E69" w:rsidRDefault="0040574F" w:rsidP="00AE5868">
            <w:pPr>
              <w:tabs>
                <w:tab w:val="left" w:pos="709"/>
              </w:tabs>
              <w:spacing w:before="60" w:after="60" w:line="240" w:lineRule="auto"/>
              <w:jc w:val="left"/>
              <w:rPr>
                <w:rFonts w:ascii="Arial" w:hAnsi="Arial" w:cs="Arial"/>
                <w:sz w:val="16"/>
                <w:szCs w:val="16"/>
              </w:rPr>
            </w:pPr>
            <w:r w:rsidRPr="00361E69">
              <w:rPr>
                <w:rFonts w:ascii="Arial" w:hAnsi="Arial" w:cs="Arial"/>
                <w:sz w:val="16"/>
                <w:szCs w:val="16"/>
              </w:rPr>
              <w:t>Current year 2021-22</w:t>
            </w:r>
          </w:p>
        </w:tc>
        <w:tc>
          <w:tcPr>
            <w:tcW w:w="2296" w:type="dxa"/>
            <w:tcBorders>
              <w:top w:val="single" w:sz="4" w:space="0" w:color="auto"/>
              <w:left w:val="single" w:sz="4" w:space="0" w:color="auto"/>
              <w:right w:val="single" w:sz="4" w:space="0" w:color="auto"/>
            </w:tcBorders>
          </w:tcPr>
          <w:p w:rsidR="0040574F" w:rsidRPr="005E6868" w:rsidRDefault="0040574F" w:rsidP="00C91E97">
            <w:pPr>
              <w:tabs>
                <w:tab w:val="left" w:pos="709"/>
              </w:tabs>
              <w:spacing w:before="60" w:after="60" w:line="240" w:lineRule="auto"/>
              <w:jc w:val="left"/>
              <w:rPr>
                <w:rFonts w:ascii="Arial" w:hAnsi="Arial" w:cs="Arial"/>
                <w:b/>
                <w:bCs/>
                <w:sz w:val="16"/>
                <w:szCs w:val="16"/>
              </w:rPr>
            </w:pPr>
            <w:r w:rsidRPr="005E6868">
              <w:rPr>
                <w:rFonts w:ascii="Arial" w:hAnsi="Arial" w:cs="Arial"/>
                <w:b/>
                <w:bCs/>
                <w:sz w:val="16"/>
                <w:szCs w:val="16"/>
              </w:rPr>
              <w:t>Services meet clients’ needs</w:t>
            </w:r>
          </w:p>
          <w:p w:rsidR="0040574F" w:rsidRPr="005E6868" w:rsidRDefault="0040574F" w:rsidP="00C91E97">
            <w:pPr>
              <w:tabs>
                <w:tab w:val="left" w:pos="709"/>
              </w:tabs>
              <w:spacing w:before="60" w:after="60" w:line="240" w:lineRule="auto"/>
              <w:jc w:val="left"/>
              <w:rPr>
                <w:rFonts w:ascii="Arial" w:hAnsi="Arial" w:cs="Arial"/>
                <w:bCs/>
                <w:sz w:val="16"/>
                <w:szCs w:val="16"/>
              </w:rPr>
            </w:pPr>
            <w:r w:rsidRPr="004F3044">
              <w:rPr>
                <w:rFonts w:ascii="Arial" w:hAnsi="Arial" w:cs="Arial"/>
                <w:sz w:val="16"/>
                <w:szCs w:val="16"/>
              </w:rPr>
              <w:t>Services meet the needs of parliamentarians, their employees and others as required by the Australian Government.</w:t>
            </w:r>
          </w:p>
        </w:tc>
        <w:tc>
          <w:tcPr>
            <w:tcW w:w="3969" w:type="dxa"/>
            <w:tcBorders>
              <w:top w:val="single" w:sz="4" w:space="0" w:color="auto"/>
              <w:left w:val="single" w:sz="4" w:space="0" w:color="auto"/>
            </w:tcBorders>
          </w:tcPr>
          <w:p w:rsidR="0040574F" w:rsidRPr="00C92882" w:rsidRDefault="0040574F" w:rsidP="00C91E97">
            <w:pPr>
              <w:tabs>
                <w:tab w:val="left" w:pos="709"/>
              </w:tabs>
              <w:spacing w:before="60" w:after="60" w:line="240" w:lineRule="auto"/>
              <w:jc w:val="left"/>
              <w:rPr>
                <w:rFonts w:ascii="Arial" w:hAnsi="Arial" w:cs="Arial"/>
                <w:b/>
                <w:sz w:val="16"/>
                <w:szCs w:val="16"/>
                <w:lang w:val="en"/>
              </w:rPr>
            </w:pPr>
            <w:r w:rsidRPr="00C92882">
              <w:rPr>
                <w:rFonts w:ascii="Arial" w:hAnsi="Arial" w:cs="Arial"/>
                <w:b/>
                <w:bCs/>
                <w:sz w:val="16"/>
                <w:szCs w:val="16"/>
              </w:rPr>
              <w:t>On Track</w:t>
            </w:r>
          </w:p>
          <w:p w:rsidR="0040574F" w:rsidRPr="00C92882" w:rsidRDefault="0040574F" w:rsidP="00C91E97">
            <w:pPr>
              <w:autoSpaceDE w:val="0"/>
              <w:autoSpaceDN w:val="0"/>
              <w:spacing w:before="60" w:after="60" w:line="240" w:lineRule="auto"/>
              <w:jc w:val="left"/>
              <w:rPr>
                <w:rFonts w:ascii="Arial" w:hAnsi="Arial" w:cs="Arial"/>
                <w:sz w:val="16"/>
                <w:szCs w:val="16"/>
                <w:lang w:eastAsia="en-US"/>
              </w:rPr>
            </w:pPr>
            <w:r w:rsidRPr="00C92882">
              <w:rPr>
                <w:rFonts w:ascii="Arial" w:hAnsi="Arial" w:cs="Arial"/>
                <w:sz w:val="16"/>
                <w:szCs w:val="16"/>
              </w:rPr>
              <w:t xml:space="preserve">For </w:t>
            </w:r>
            <w:r w:rsidRPr="00C92882">
              <w:rPr>
                <w:rFonts w:ascii="Arial" w:hAnsi="Arial" w:cs="Arial"/>
                <w:sz w:val="16"/>
                <w:szCs w:val="16"/>
                <w:lang w:eastAsia="en-US"/>
              </w:rPr>
              <w:t>the period 1 July 2021 to 31 December 2021:</w:t>
            </w:r>
          </w:p>
          <w:p w:rsidR="0040574F" w:rsidRPr="00165C4D" w:rsidRDefault="0040574F" w:rsidP="00DA1F4B">
            <w:pPr>
              <w:pStyle w:val="ListParagraph"/>
              <w:numPr>
                <w:ilvl w:val="0"/>
                <w:numId w:val="37"/>
              </w:numPr>
              <w:autoSpaceDE w:val="0"/>
              <w:autoSpaceDN w:val="0"/>
              <w:adjustRightInd w:val="0"/>
              <w:spacing w:before="60" w:after="60" w:line="240" w:lineRule="auto"/>
              <w:ind w:left="374" w:hanging="357"/>
              <w:rPr>
                <w:rFonts w:ascii="Arial" w:hAnsi="Arial" w:cs="Arial"/>
                <w:sz w:val="16"/>
                <w:szCs w:val="16"/>
              </w:rPr>
            </w:pPr>
            <w:r w:rsidRPr="00165C4D">
              <w:rPr>
                <w:rFonts w:ascii="Arial" w:hAnsi="Arial" w:cs="Arial"/>
                <w:sz w:val="16"/>
                <w:szCs w:val="16"/>
              </w:rPr>
              <w:t>O</w:t>
            </w:r>
            <w:r w:rsidR="00032558">
              <w:rPr>
                <w:rFonts w:ascii="Arial" w:hAnsi="Arial" w:cs="Arial"/>
                <w:sz w:val="16"/>
                <w:szCs w:val="16"/>
              </w:rPr>
              <w:t>ur help desks acknowledged 96.7</w:t>
            </w:r>
            <w:r w:rsidRPr="00165C4D">
              <w:rPr>
                <w:rFonts w:ascii="Arial" w:hAnsi="Arial" w:cs="Arial"/>
                <w:sz w:val="16"/>
                <w:szCs w:val="16"/>
              </w:rPr>
              <w:t>% of client contacts or queries within 24 hours and responded within agreed timeframes.</w:t>
            </w:r>
          </w:p>
          <w:p w:rsidR="0040574F" w:rsidRPr="00C92882" w:rsidRDefault="00415922" w:rsidP="00DA1F4B">
            <w:pPr>
              <w:pStyle w:val="ListParagraph"/>
              <w:numPr>
                <w:ilvl w:val="0"/>
                <w:numId w:val="36"/>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95.3</w:t>
            </w:r>
            <w:r w:rsidR="0040574F" w:rsidRPr="00C92882">
              <w:rPr>
                <w:rFonts w:ascii="Arial" w:hAnsi="Arial" w:cs="Arial"/>
                <w:sz w:val="16"/>
                <w:szCs w:val="16"/>
              </w:rPr>
              <w:t>% of payments (including payroll) were made within agreed timeframes.</w:t>
            </w:r>
          </w:p>
          <w:p w:rsidR="0040574F" w:rsidRPr="00C92882" w:rsidRDefault="0040574F" w:rsidP="00DA1F4B">
            <w:pPr>
              <w:pStyle w:val="ListParagraph"/>
              <w:numPr>
                <w:ilvl w:val="0"/>
                <w:numId w:val="36"/>
              </w:numPr>
              <w:autoSpaceDE w:val="0"/>
              <w:autoSpaceDN w:val="0"/>
              <w:adjustRightInd w:val="0"/>
              <w:spacing w:before="60" w:after="60" w:line="240" w:lineRule="auto"/>
              <w:ind w:left="374" w:hanging="357"/>
              <w:rPr>
                <w:rFonts w:ascii="Arial" w:hAnsi="Arial" w:cs="Arial"/>
                <w:sz w:val="16"/>
                <w:szCs w:val="16"/>
              </w:rPr>
            </w:pPr>
            <w:r w:rsidRPr="00C92882">
              <w:rPr>
                <w:rFonts w:ascii="Arial" w:hAnsi="Arial" w:cs="Arial"/>
                <w:sz w:val="16"/>
                <w:szCs w:val="16"/>
              </w:rPr>
              <w:t xml:space="preserve">100% of office establishment and relocation projects have been delivered in accordance with the National </w:t>
            </w:r>
            <w:proofErr w:type="spellStart"/>
            <w:r w:rsidRPr="00C92882">
              <w:rPr>
                <w:rFonts w:ascii="Arial" w:hAnsi="Arial" w:cs="Arial"/>
                <w:sz w:val="16"/>
                <w:szCs w:val="16"/>
              </w:rPr>
              <w:t>Fitout</w:t>
            </w:r>
            <w:proofErr w:type="spellEnd"/>
            <w:r w:rsidRPr="00C92882">
              <w:rPr>
                <w:rFonts w:ascii="Arial" w:hAnsi="Arial" w:cs="Arial"/>
                <w:sz w:val="16"/>
                <w:szCs w:val="16"/>
              </w:rPr>
              <w:t xml:space="preserve"> Standards.</w:t>
            </w:r>
          </w:p>
          <w:p w:rsidR="0040574F" w:rsidRPr="00C92882" w:rsidRDefault="00415922" w:rsidP="00DA1F4B">
            <w:pPr>
              <w:pStyle w:val="ListParagraph"/>
              <w:numPr>
                <w:ilvl w:val="0"/>
                <w:numId w:val="36"/>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COMCAR completed 99.7</w:t>
            </w:r>
            <w:r w:rsidR="0040574F" w:rsidRPr="00C92882">
              <w:rPr>
                <w:rFonts w:ascii="Arial" w:hAnsi="Arial" w:cs="Arial"/>
                <w:sz w:val="16"/>
                <w:szCs w:val="16"/>
              </w:rPr>
              <w:t>% of reservations without service failure.</w:t>
            </w:r>
          </w:p>
        </w:tc>
      </w:tr>
    </w:tbl>
    <w:p w:rsidR="00065B93" w:rsidRDefault="00065B93" w:rsidP="00065B93">
      <w:pPr>
        <w:spacing w:after="0" w:line="240" w:lineRule="auto"/>
        <w:jc w:val="left"/>
      </w:pPr>
      <w:r w:rsidRPr="000717B9">
        <w:rPr>
          <w:rFonts w:ascii="Arial" w:hAnsi="Arial"/>
          <w:sz w:val="16"/>
        </w:rPr>
        <w:t>Table continues on next page</w:t>
      </w:r>
      <w:r>
        <w:t xml:space="preserve"> </w:t>
      </w:r>
    </w:p>
    <w:p w:rsidR="00E6210D" w:rsidRDefault="00E6210D" w:rsidP="0041023D">
      <w:pPr>
        <w:jc w:val="left"/>
        <w:rPr>
          <w:rFonts w:ascii="Arial" w:hAnsi="Arial" w:cs="Arial"/>
        </w:rPr>
      </w:pPr>
    </w:p>
    <w:p w:rsidR="00065B93" w:rsidRDefault="00065B93"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E6210D" w:rsidRDefault="00E6210D" w:rsidP="0041023D">
      <w:pPr>
        <w:jc w:val="left"/>
        <w:rPr>
          <w:rFonts w:ascii="Arial" w:hAnsi="Arial" w:cs="Arial"/>
        </w:rPr>
      </w:pPr>
    </w:p>
    <w:p w:rsidR="00C91E97" w:rsidRDefault="00C91E97" w:rsidP="0041023D">
      <w:pPr>
        <w:jc w:val="left"/>
        <w:rPr>
          <w:rFonts w:ascii="Arial" w:hAnsi="Arial" w:cs="Arial"/>
        </w:rPr>
      </w:pPr>
    </w:p>
    <w:p w:rsidR="00C11EAA" w:rsidRPr="00FD12C6" w:rsidRDefault="00FD12C6" w:rsidP="00FD12C6">
      <w:pPr>
        <w:spacing w:after="0"/>
        <w:rPr>
          <w:b/>
          <w:color w:val="FF0000"/>
        </w:rPr>
      </w:pPr>
      <w:r w:rsidRPr="009301D5">
        <w:rPr>
          <w:rFonts w:ascii="Arial" w:hAnsi="Arial"/>
          <w:b/>
          <w:color w:val="000000"/>
          <w:lang w:val="x-none" w:eastAsia="x-none"/>
        </w:rPr>
        <w:lastRenderedPageBreak/>
        <w:t>Table 2</w:t>
      </w:r>
      <w:r>
        <w:rPr>
          <w:rFonts w:ascii="Arial" w:hAnsi="Arial"/>
          <w:b/>
          <w:color w:val="000000"/>
          <w:lang w:val="x-none" w:eastAsia="x-none"/>
        </w:rPr>
        <w:t>.3.</w:t>
      </w:r>
      <w:r>
        <w:rPr>
          <w:rFonts w:ascii="Arial" w:hAnsi="Arial"/>
          <w:b/>
          <w:color w:val="000000"/>
          <w:lang w:eastAsia="x-none"/>
        </w:rPr>
        <w:t>2</w:t>
      </w:r>
      <w:r w:rsidRPr="009301D5">
        <w:rPr>
          <w:rFonts w:ascii="Arial" w:hAnsi="Arial"/>
          <w:b/>
          <w:color w:val="000000"/>
          <w:lang w:val="x-none" w:eastAsia="x-none"/>
        </w:rPr>
        <w:t>: Performance measure for Outcome 3</w:t>
      </w:r>
      <w:r>
        <w:t xml:space="preserve"> </w:t>
      </w:r>
      <w:r w:rsidR="006D1663">
        <w:t>(</w:t>
      </w:r>
      <w:r w:rsidR="006D1663" w:rsidRPr="004F3044">
        <w:rPr>
          <w:rFonts w:ascii="Arial" w:hAnsi="Arial"/>
          <w:b/>
          <w:color w:val="000000"/>
          <w:lang w:val="x-none" w:eastAsia="x-none"/>
        </w:rPr>
        <w:t>continued)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338"/>
        <w:gridCol w:w="3813"/>
      </w:tblGrid>
      <w:tr w:rsidR="00C11EAA" w:rsidRPr="00361E69" w:rsidTr="002A4A53">
        <w:trPr>
          <w:trHeight w:val="312"/>
        </w:trPr>
        <w:tc>
          <w:tcPr>
            <w:tcW w:w="7541" w:type="dxa"/>
            <w:gridSpan w:val="3"/>
            <w:tcBorders>
              <w:top w:val="single" w:sz="4" w:space="0" w:color="auto"/>
              <w:left w:val="single" w:sz="4" w:space="0" w:color="auto"/>
              <w:bottom w:val="single" w:sz="4" w:space="0" w:color="auto"/>
              <w:right w:val="single" w:sz="4" w:space="0" w:color="auto"/>
            </w:tcBorders>
            <w:shd w:val="clear" w:color="auto" w:fill="F2F2F2"/>
          </w:tcPr>
          <w:p w:rsidR="00C11EAA" w:rsidRPr="00B74856" w:rsidRDefault="00354588" w:rsidP="00C91E97">
            <w:pPr>
              <w:tabs>
                <w:tab w:val="left" w:pos="709"/>
              </w:tabs>
              <w:spacing w:before="60" w:after="60" w:line="240" w:lineRule="auto"/>
              <w:jc w:val="left"/>
              <w:rPr>
                <w:rFonts w:ascii="Arial" w:eastAsia="Arial" w:hAnsi="Arial" w:cs="Arial"/>
                <w:b/>
                <w:sz w:val="18"/>
                <w:szCs w:val="18"/>
              </w:rPr>
            </w:pPr>
            <w:r w:rsidRPr="00BA090C">
              <w:rPr>
                <w:rFonts w:ascii="Arial" w:hAnsi="Arial"/>
                <w:b/>
                <w:sz w:val="18"/>
                <w:szCs w:val="18"/>
              </w:rPr>
              <w:t xml:space="preserve">Performance information: </w:t>
            </w:r>
            <w:r w:rsidR="00C11EAA" w:rsidRPr="00BC20C8">
              <w:rPr>
                <w:rFonts w:ascii="Arial" w:hAnsi="Arial" w:cs="Arial"/>
                <w:b/>
                <w:sz w:val="18"/>
                <w:szCs w:val="18"/>
              </w:rPr>
              <w:t xml:space="preserve">Program 3.1 – </w:t>
            </w:r>
            <w:r w:rsidR="00C11EAA" w:rsidRPr="00BC20C8">
              <w:rPr>
                <w:rFonts w:ascii="Arial" w:eastAsia="Arial" w:hAnsi="Arial" w:cs="Arial"/>
                <w:b/>
                <w:sz w:val="18"/>
                <w:szCs w:val="18"/>
              </w:rPr>
              <w:t>Ministerial and P</w:t>
            </w:r>
            <w:r w:rsidR="00B74856">
              <w:rPr>
                <w:rFonts w:ascii="Arial" w:eastAsia="Arial" w:hAnsi="Arial" w:cs="Arial"/>
                <w:b/>
                <w:sz w:val="18"/>
                <w:szCs w:val="18"/>
              </w:rPr>
              <w:t xml:space="preserve">arliamentary Services </w:t>
            </w:r>
          </w:p>
        </w:tc>
      </w:tr>
      <w:tr w:rsidR="00C11EAA" w:rsidRPr="00361E69" w:rsidTr="002A3D61">
        <w:trPr>
          <w:trHeight w:val="312"/>
        </w:trPr>
        <w:tc>
          <w:tcPr>
            <w:tcW w:w="1418" w:type="dxa"/>
            <w:tcBorders>
              <w:top w:val="single" w:sz="4" w:space="0" w:color="auto"/>
              <w:bottom w:val="single" w:sz="4" w:space="0" w:color="auto"/>
              <w:right w:val="single" w:sz="4" w:space="0" w:color="auto"/>
            </w:tcBorders>
          </w:tcPr>
          <w:p w:rsidR="00C11EAA" w:rsidRPr="00361E69" w:rsidRDefault="00C11EAA" w:rsidP="008518CA">
            <w:pPr>
              <w:tabs>
                <w:tab w:val="left" w:pos="709"/>
              </w:tabs>
              <w:spacing w:before="60" w:after="60"/>
              <w:rPr>
                <w:rFonts w:ascii="Arial" w:hAnsi="Arial" w:cs="Arial"/>
                <w:b/>
                <w:sz w:val="16"/>
                <w:szCs w:val="16"/>
              </w:rPr>
            </w:pPr>
            <w:r w:rsidRPr="00361E69">
              <w:rPr>
                <w:rFonts w:ascii="Arial" w:hAnsi="Arial" w:cs="Arial"/>
                <w:b/>
                <w:sz w:val="16"/>
                <w:szCs w:val="16"/>
              </w:rPr>
              <w:t>Year</w:t>
            </w:r>
          </w:p>
        </w:tc>
        <w:tc>
          <w:tcPr>
            <w:tcW w:w="2416" w:type="dxa"/>
            <w:tcBorders>
              <w:top w:val="single" w:sz="4" w:space="0" w:color="auto"/>
              <w:left w:val="single" w:sz="4" w:space="0" w:color="auto"/>
              <w:bottom w:val="single" w:sz="4" w:space="0" w:color="auto"/>
              <w:right w:val="single" w:sz="4" w:space="0" w:color="auto"/>
            </w:tcBorders>
          </w:tcPr>
          <w:p w:rsidR="00C11EAA" w:rsidRPr="00361E69" w:rsidRDefault="00C11EAA" w:rsidP="008518CA">
            <w:pPr>
              <w:tabs>
                <w:tab w:val="left" w:pos="709"/>
                <w:tab w:val="center" w:pos="1818"/>
              </w:tabs>
              <w:spacing w:before="60" w:after="60"/>
              <w:rPr>
                <w:rFonts w:ascii="Arial" w:hAnsi="Arial" w:cs="Arial"/>
                <w:b/>
                <w:sz w:val="16"/>
                <w:szCs w:val="16"/>
              </w:rPr>
            </w:pPr>
            <w:r w:rsidRPr="00361E69">
              <w:rPr>
                <w:rFonts w:ascii="Arial" w:hAnsi="Arial" w:cs="Arial"/>
                <w:b/>
                <w:sz w:val="16"/>
                <w:szCs w:val="16"/>
              </w:rPr>
              <w:t>Performance measures</w:t>
            </w:r>
          </w:p>
        </w:tc>
        <w:tc>
          <w:tcPr>
            <w:tcW w:w="3874" w:type="dxa"/>
            <w:tcBorders>
              <w:top w:val="single" w:sz="4" w:space="0" w:color="auto"/>
              <w:left w:val="single" w:sz="4" w:space="0" w:color="auto"/>
              <w:bottom w:val="single" w:sz="4" w:space="0" w:color="auto"/>
            </w:tcBorders>
          </w:tcPr>
          <w:p w:rsidR="00C11EAA" w:rsidRPr="00361E69" w:rsidRDefault="00C11EAA" w:rsidP="008518CA">
            <w:pPr>
              <w:tabs>
                <w:tab w:val="left" w:pos="709"/>
              </w:tabs>
              <w:spacing w:before="60" w:after="60"/>
              <w:rPr>
                <w:rFonts w:ascii="Arial" w:hAnsi="Arial" w:cs="Arial"/>
                <w:b/>
                <w:sz w:val="16"/>
                <w:szCs w:val="16"/>
              </w:rPr>
            </w:pPr>
            <w:r w:rsidRPr="00361E69">
              <w:rPr>
                <w:rFonts w:ascii="Arial" w:hAnsi="Arial" w:cs="Arial"/>
                <w:b/>
                <w:sz w:val="16"/>
                <w:szCs w:val="16"/>
              </w:rPr>
              <w:t>Expected Performance Results</w:t>
            </w:r>
          </w:p>
        </w:tc>
      </w:tr>
      <w:tr w:rsidR="00C11EAA" w:rsidRPr="00C92882" w:rsidTr="002A3D61">
        <w:trPr>
          <w:trHeight w:val="1599"/>
        </w:trPr>
        <w:tc>
          <w:tcPr>
            <w:tcW w:w="1418" w:type="dxa"/>
            <w:tcBorders>
              <w:top w:val="single" w:sz="4" w:space="0" w:color="auto"/>
              <w:right w:val="single" w:sz="4" w:space="0" w:color="auto"/>
            </w:tcBorders>
          </w:tcPr>
          <w:p w:rsidR="00415922" w:rsidRPr="00361E69" w:rsidRDefault="00BE2D7E" w:rsidP="00AE5868">
            <w:pPr>
              <w:tabs>
                <w:tab w:val="left" w:pos="709"/>
              </w:tabs>
              <w:spacing w:before="60" w:after="60" w:line="240" w:lineRule="auto"/>
              <w:jc w:val="left"/>
              <w:rPr>
                <w:rFonts w:ascii="Arial" w:hAnsi="Arial" w:cs="Arial"/>
                <w:sz w:val="16"/>
                <w:szCs w:val="16"/>
              </w:rPr>
            </w:pPr>
            <w:r w:rsidRPr="00BE2D7E">
              <w:rPr>
                <w:rFonts w:ascii="Arial" w:hAnsi="Arial" w:cs="Arial"/>
                <w:sz w:val="16"/>
                <w:szCs w:val="16"/>
              </w:rPr>
              <w:t>Current year 2021-22</w:t>
            </w:r>
            <w:r w:rsidR="00AE5868">
              <w:rPr>
                <w:rFonts w:ascii="Arial" w:hAnsi="Arial" w:cs="Arial"/>
                <w:sz w:val="16"/>
                <w:szCs w:val="16"/>
              </w:rPr>
              <w:t xml:space="preserve"> </w:t>
            </w:r>
            <w:r w:rsidR="00415922">
              <w:rPr>
                <w:rFonts w:ascii="Arial" w:hAnsi="Arial" w:cs="Arial"/>
                <w:sz w:val="16"/>
                <w:szCs w:val="16"/>
              </w:rPr>
              <w:t>(continued)</w:t>
            </w:r>
          </w:p>
        </w:tc>
        <w:tc>
          <w:tcPr>
            <w:tcW w:w="2416" w:type="dxa"/>
            <w:tcBorders>
              <w:top w:val="single" w:sz="4" w:space="0" w:color="auto"/>
              <w:left w:val="single" w:sz="4" w:space="0" w:color="auto"/>
              <w:right w:val="single" w:sz="4" w:space="0" w:color="auto"/>
            </w:tcBorders>
          </w:tcPr>
          <w:p w:rsidR="00065B93" w:rsidRPr="004111A7" w:rsidRDefault="00065B93" w:rsidP="00C91E97">
            <w:pPr>
              <w:tabs>
                <w:tab w:val="left" w:pos="709"/>
              </w:tabs>
              <w:suppressAutoHyphens/>
              <w:spacing w:before="60" w:after="60" w:line="240" w:lineRule="auto"/>
              <w:jc w:val="left"/>
              <w:rPr>
                <w:rFonts w:ascii="Arial" w:eastAsia="Arial" w:hAnsi="Arial" w:cs="Arial"/>
                <w:sz w:val="16"/>
                <w:szCs w:val="16"/>
              </w:rPr>
            </w:pPr>
            <w:r w:rsidRPr="004111A7">
              <w:rPr>
                <w:rFonts w:ascii="Arial" w:eastAsia="Arial" w:hAnsi="Arial" w:cs="Arial"/>
                <w:b/>
                <w:bCs/>
                <w:sz w:val="16"/>
                <w:szCs w:val="16"/>
              </w:rPr>
              <w:t>Improve administration of parliamentary work expenses</w:t>
            </w:r>
          </w:p>
          <w:p w:rsidR="00C11EAA" w:rsidRPr="005E6868" w:rsidRDefault="00065B93" w:rsidP="00C91E97">
            <w:pPr>
              <w:tabs>
                <w:tab w:val="left" w:pos="709"/>
              </w:tabs>
              <w:spacing w:before="60" w:after="60" w:line="240" w:lineRule="auto"/>
              <w:jc w:val="left"/>
              <w:rPr>
                <w:rFonts w:ascii="Arial" w:hAnsi="Arial" w:cs="Arial"/>
                <w:bCs/>
                <w:sz w:val="16"/>
                <w:szCs w:val="16"/>
              </w:rPr>
            </w:pPr>
            <w:r w:rsidRPr="004111A7">
              <w:rPr>
                <w:rFonts w:ascii="Arial" w:eastAsia="Arial" w:hAnsi="Arial" w:cs="Arial"/>
                <w:sz w:val="16"/>
                <w:szCs w:val="16"/>
              </w:rPr>
              <w:t>The timeliness, efficiency, clarity and transparency of the administration of parliamentary work expenses is improved</w:t>
            </w:r>
          </w:p>
        </w:tc>
        <w:tc>
          <w:tcPr>
            <w:tcW w:w="3969" w:type="dxa"/>
            <w:tcBorders>
              <w:top w:val="single" w:sz="4" w:space="0" w:color="auto"/>
              <w:left w:val="single" w:sz="4" w:space="0" w:color="auto"/>
            </w:tcBorders>
          </w:tcPr>
          <w:p w:rsidR="00065B93" w:rsidRPr="0040574F" w:rsidRDefault="00065B93" w:rsidP="002A4A53">
            <w:pPr>
              <w:autoSpaceDE w:val="0"/>
              <w:autoSpaceDN w:val="0"/>
              <w:adjustRightInd w:val="0"/>
              <w:spacing w:before="60" w:after="60" w:line="240" w:lineRule="auto"/>
              <w:jc w:val="left"/>
              <w:rPr>
                <w:rFonts w:ascii="Arial" w:hAnsi="Arial" w:cs="Arial"/>
                <w:b/>
                <w:bCs/>
                <w:sz w:val="16"/>
                <w:szCs w:val="16"/>
                <w:lang w:eastAsia="en-US"/>
              </w:rPr>
            </w:pPr>
            <w:r w:rsidRPr="00C92882">
              <w:rPr>
                <w:rFonts w:ascii="Arial" w:hAnsi="Arial" w:cs="Arial"/>
                <w:b/>
                <w:bCs/>
                <w:sz w:val="16"/>
                <w:szCs w:val="16"/>
                <w:lang w:eastAsia="en-US"/>
              </w:rPr>
              <w:t>On Track</w:t>
            </w:r>
          </w:p>
          <w:p w:rsidR="00065B93" w:rsidRPr="0040574F" w:rsidRDefault="00065B93" w:rsidP="002A4A53">
            <w:pPr>
              <w:autoSpaceDE w:val="0"/>
              <w:autoSpaceDN w:val="0"/>
              <w:adjustRightInd w:val="0"/>
              <w:spacing w:before="60" w:after="60" w:line="240" w:lineRule="auto"/>
              <w:jc w:val="left"/>
              <w:rPr>
                <w:rFonts w:ascii="Arial" w:hAnsi="Arial" w:cs="Arial"/>
                <w:bCs/>
                <w:sz w:val="16"/>
                <w:szCs w:val="16"/>
                <w:lang w:eastAsia="en-US"/>
              </w:rPr>
            </w:pPr>
            <w:r w:rsidRPr="0040574F">
              <w:rPr>
                <w:rFonts w:ascii="Arial" w:hAnsi="Arial" w:cs="Arial"/>
                <w:bCs/>
                <w:sz w:val="16"/>
                <w:szCs w:val="16"/>
                <w:lang w:eastAsia="en-US"/>
              </w:rPr>
              <w:t xml:space="preserve">Met – Phase 1 of Milestone 7 (HR functionality) was released on 1 July 2021. The HR functions have been operating </w:t>
            </w:r>
            <w:r w:rsidR="008536F6">
              <w:rPr>
                <w:rFonts w:ascii="Arial" w:hAnsi="Arial" w:cs="Arial"/>
                <w:bCs/>
                <w:sz w:val="16"/>
                <w:szCs w:val="16"/>
                <w:lang w:eastAsia="en-US"/>
              </w:rPr>
              <w:t xml:space="preserve">successfully since July without </w:t>
            </w:r>
            <w:r w:rsidRPr="0040574F">
              <w:rPr>
                <w:rFonts w:ascii="Arial" w:hAnsi="Arial" w:cs="Arial"/>
                <w:bCs/>
                <w:sz w:val="16"/>
                <w:szCs w:val="16"/>
                <w:lang w:eastAsia="en-US"/>
              </w:rPr>
              <w:t>major issues.</w:t>
            </w:r>
          </w:p>
          <w:p w:rsidR="00065B93" w:rsidRPr="00C92882" w:rsidRDefault="00065B93" w:rsidP="002A4A53">
            <w:pPr>
              <w:autoSpaceDE w:val="0"/>
              <w:autoSpaceDN w:val="0"/>
              <w:spacing w:before="60" w:after="60" w:line="240" w:lineRule="auto"/>
              <w:jc w:val="left"/>
              <w:rPr>
                <w:rFonts w:ascii="Arial" w:hAnsi="Arial" w:cs="Arial"/>
                <w:sz w:val="16"/>
                <w:szCs w:val="16"/>
              </w:rPr>
            </w:pPr>
            <w:r w:rsidRPr="00C92882">
              <w:rPr>
                <w:rFonts w:ascii="Arial" w:hAnsi="Arial" w:cs="Arial"/>
                <w:sz w:val="16"/>
                <w:szCs w:val="16"/>
              </w:rPr>
              <w:t xml:space="preserve">Phase 2 of Milestone 7 will see the release of the work expenses functionality by no later than mid-2022. </w:t>
            </w:r>
          </w:p>
          <w:p w:rsidR="00C11EAA" w:rsidRPr="004F3044" w:rsidRDefault="00C11EAA" w:rsidP="002A4A53">
            <w:pPr>
              <w:autoSpaceDE w:val="0"/>
              <w:autoSpaceDN w:val="0"/>
              <w:adjustRightInd w:val="0"/>
              <w:spacing w:before="60" w:after="60" w:line="240" w:lineRule="auto"/>
              <w:jc w:val="left"/>
              <w:rPr>
                <w:rFonts w:ascii="Arial" w:hAnsi="Arial" w:cs="Arial"/>
                <w:bCs/>
                <w:sz w:val="16"/>
                <w:szCs w:val="16"/>
                <w:lang w:eastAsia="en-US"/>
              </w:rPr>
            </w:pPr>
            <w:r w:rsidRPr="00C92882">
              <w:rPr>
                <w:rFonts w:ascii="Arial" w:hAnsi="Arial" w:cs="Arial"/>
                <w:sz w:val="16"/>
                <w:szCs w:val="16"/>
              </w:rPr>
              <w:t xml:space="preserve">Iterations of PEMS has been delivered since 2018, allowing parliamentarians and their staff to access PEMS from any computer or mobile device, to lodge, monitor and certify work expense claims. This provides increased efficiencies and reduces the administrative burden on parliamentarians’ offices. Since July 2021 parliamentarians and their staff are able to access HR </w:t>
            </w:r>
            <w:r w:rsidRPr="004F3044">
              <w:rPr>
                <w:rFonts w:ascii="Arial" w:hAnsi="Arial" w:cs="Arial"/>
                <w:bCs/>
                <w:sz w:val="16"/>
                <w:szCs w:val="16"/>
                <w:lang w:eastAsia="en-US"/>
              </w:rPr>
              <w:t xml:space="preserve">management functions. </w:t>
            </w:r>
          </w:p>
          <w:p w:rsidR="00C11EAA" w:rsidRPr="00C92882" w:rsidRDefault="00C11EAA" w:rsidP="002A4A53">
            <w:pPr>
              <w:autoSpaceDE w:val="0"/>
              <w:autoSpaceDN w:val="0"/>
              <w:adjustRightInd w:val="0"/>
              <w:spacing w:before="60" w:after="60" w:line="240" w:lineRule="auto"/>
              <w:jc w:val="left"/>
              <w:rPr>
                <w:rFonts w:ascii="Arial" w:hAnsi="Arial" w:cs="Arial"/>
                <w:sz w:val="16"/>
                <w:szCs w:val="16"/>
              </w:rPr>
            </w:pPr>
            <w:r w:rsidRPr="004F3044">
              <w:rPr>
                <w:rFonts w:ascii="Arial" w:hAnsi="Arial" w:cs="Arial"/>
                <w:bCs/>
                <w:sz w:val="16"/>
                <w:szCs w:val="16"/>
                <w:lang w:eastAsia="en-US"/>
              </w:rPr>
              <w:t>Since 1 July 2021,</w:t>
            </w:r>
            <w:r w:rsidRPr="00C92882">
              <w:rPr>
                <w:rFonts w:ascii="Arial" w:hAnsi="Arial" w:cs="Arial"/>
                <w:sz w:val="16"/>
                <w:szCs w:val="16"/>
              </w:rPr>
              <w:t xml:space="preserve"> usage of PEMS by parliamentarians and their staff for office expense claims, travel expense claims and to perform HR functions has increased. In the 6 month period to 31 December 2021:</w:t>
            </w:r>
          </w:p>
          <w:p w:rsidR="00C11EAA" w:rsidRPr="00271180" w:rsidRDefault="00C11EAA" w:rsidP="00DA1F4B">
            <w:pPr>
              <w:pStyle w:val="ListParagraph"/>
              <w:numPr>
                <w:ilvl w:val="0"/>
                <w:numId w:val="37"/>
              </w:numPr>
              <w:autoSpaceDE w:val="0"/>
              <w:autoSpaceDN w:val="0"/>
              <w:adjustRightInd w:val="0"/>
              <w:spacing w:before="60" w:after="60" w:line="240" w:lineRule="auto"/>
              <w:ind w:left="374" w:hanging="357"/>
              <w:rPr>
                <w:rFonts w:ascii="Arial" w:hAnsi="Arial" w:cs="Arial"/>
                <w:i/>
                <w:sz w:val="16"/>
                <w:szCs w:val="16"/>
              </w:rPr>
            </w:pPr>
            <w:r w:rsidRPr="008121B8">
              <w:rPr>
                <w:rFonts w:ascii="Arial" w:hAnsi="Arial" w:cs="Arial"/>
                <w:sz w:val="16"/>
                <w:szCs w:val="16"/>
              </w:rPr>
              <w:t>72%</w:t>
            </w:r>
            <w:r w:rsidRPr="008536F6">
              <w:rPr>
                <w:rFonts w:ascii="Arial" w:hAnsi="Arial" w:cs="Arial"/>
                <w:sz w:val="16"/>
                <w:szCs w:val="16"/>
              </w:rPr>
              <w:t xml:space="preserve"> of parliamentarians have personally used PEMS to cert</w:t>
            </w:r>
            <w:r w:rsidR="002A4A53">
              <w:rPr>
                <w:rFonts w:ascii="Arial" w:hAnsi="Arial" w:cs="Arial"/>
                <w:sz w:val="16"/>
                <w:szCs w:val="16"/>
              </w:rPr>
              <w:t>ify claims (office or travel)</w:t>
            </w:r>
          </w:p>
          <w:p w:rsidR="00C11EAA" w:rsidRPr="00C92882" w:rsidRDefault="00C11EAA" w:rsidP="00DA1F4B">
            <w:pPr>
              <w:pStyle w:val="ListParagraph"/>
              <w:numPr>
                <w:ilvl w:val="0"/>
                <w:numId w:val="37"/>
              </w:numPr>
              <w:autoSpaceDE w:val="0"/>
              <w:autoSpaceDN w:val="0"/>
              <w:adjustRightInd w:val="0"/>
              <w:spacing w:before="60" w:after="60" w:line="240" w:lineRule="auto"/>
              <w:ind w:left="374" w:hanging="357"/>
              <w:rPr>
                <w:rFonts w:ascii="Arial" w:hAnsi="Arial" w:cs="Arial"/>
                <w:sz w:val="16"/>
                <w:szCs w:val="16"/>
              </w:rPr>
            </w:pPr>
            <w:r w:rsidRPr="002A4A53">
              <w:rPr>
                <w:rFonts w:ascii="Arial" w:hAnsi="Arial" w:cs="Arial"/>
                <w:sz w:val="16"/>
                <w:szCs w:val="16"/>
              </w:rPr>
              <w:t>96%</w:t>
            </w:r>
            <w:r w:rsidRPr="008536F6">
              <w:rPr>
                <w:rFonts w:ascii="Arial" w:hAnsi="Arial" w:cs="Arial"/>
                <w:sz w:val="16"/>
                <w:szCs w:val="16"/>
              </w:rPr>
              <w:t xml:space="preserve"> of</w:t>
            </w:r>
            <w:r w:rsidRPr="00C92882">
              <w:rPr>
                <w:rFonts w:ascii="Arial" w:hAnsi="Arial" w:cs="Arial"/>
                <w:sz w:val="16"/>
                <w:szCs w:val="16"/>
              </w:rPr>
              <w:t xml:space="preserve"> parliamentary offices have used PEMS to certify at least</w:t>
            </w:r>
            <w:r w:rsidR="002A4A53">
              <w:rPr>
                <w:rFonts w:ascii="Arial" w:hAnsi="Arial" w:cs="Arial"/>
                <w:sz w:val="16"/>
                <w:szCs w:val="16"/>
              </w:rPr>
              <w:t xml:space="preserve"> one claim (office or travel)</w:t>
            </w:r>
          </w:p>
          <w:p w:rsidR="00C11EAA" w:rsidRPr="00271180" w:rsidRDefault="00271180" w:rsidP="00DA1F4B">
            <w:pPr>
              <w:pStyle w:val="ListParagraph"/>
              <w:numPr>
                <w:ilvl w:val="0"/>
                <w:numId w:val="37"/>
              </w:numPr>
              <w:autoSpaceDE w:val="0"/>
              <w:autoSpaceDN w:val="0"/>
              <w:adjustRightInd w:val="0"/>
              <w:spacing w:before="60" w:after="60" w:line="240" w:lineRule="auto"/>
              <w:ind w:left="374" w:hanging="357"/>
              <w:rPr>
                <w:rFonts w:ascii="Arial" w:hAnsi="Arial" w:cs="Arial"/>
                <w:sz w:val="16"/>
                <w:szCs w:val="16"/>
              </w:rPr>
            </w:pPr>
            <w:r>
              <w:rPr>
                <w:rFonts w:ascii="Arial" w:hAnsi="Arial" w:cs="Arial"/>
                <w:sz w:val="16"/>
                <w:szCs w:val="16"/>
              </w:rPr>
              <w:t>T</w:t>
            </w:r>
            <w:r w:rsidR="00C11EAA" w:rsidRPr="00C92882">
              <w:rPr>
                <w:rFonts w:ascii="Arial" w:hAnsi="Arial" w:cs="Arial"/>
                <w:sz w:val="16"/>
                <w:szCs w:val="16"/>
              </w:rPr>
              <w:t xml:space="preserve">he proportion of claims processed through PEMS (relating to claims where PEMS functionality is </w:t>
            </w:r>
            <w:r w:rsidR="00C11EAA" w:rsidRPr="008536F6">
              <w:rPr>
                <w:rFonts w:ascii="Arial" w:hAnsi="Arial" w:cs="Arial"/>
                <w:sz w:val="16"/>
                <w:szCs w:val="16"/>
              </w:rPr>
              <w:t xml:space="preserve">available) is </w:t>
            </w:r>
            <w:r w:rsidR="00C11EAA" w:rsidRPr="00271180">
              <w:rPr>
                <w:rFonts w:ascii="Arial" w:hAnsi="Arial" w:cs="Arial"/>
                <w:sz w:val="16"/>
                <w:szCs w:val="16"/>
              </w:rPr>
              <w:t>94%</w:t>
            </w:r>
            <w:r w:rsidR="002A4A53">
              <w:rPr>
                <w:rFonts w:ascii="Arial" w:hAnsi="Arial" w:cs="Arial"/>
                <w:sz w:val="16"/>
                <w:szCs w:val="16"/>
              </w:rPr>
              <w:t xml:space="preserve"> for office expenses</w:t>
            </w:r>
          </w:p>
          <w:p w:rsidR="00C11EAA" w:rsidRPr="00C03C4C" w:rsidRDefault="00C11EAA" w:rsidP="00BA6812">
            <w:pPr>
              <w:autoSpaceDE w:val="0"/>
              <w:autoSpaceDN w:val="0"/>
              <w:spacing w:before="60" w:after="60" w:line="240" w:lineRule="auto"/>
              <w:ind w:left="17"/>
              <w:rPr>
                <w:rFonts w:ascii="Arial" w:hAnsi="Arial" w:cs="Arial"/>
                <w:sz w:val="16"/>
                <w:szCs w:val="16"/>
              </w:rPr>
            </w:pPr>
            <w:r w:rsidRPr="00C03C4C">
              <w:rPr>
                <w:rFonts w:ascii="Arial" w:hAnsi="Arial" w:cs="Arial"/>
                <w:sz w:val="16"/>
                <w:szCs w:val="16"/>
              </w:rPr>
              <w:t>Since July 2021, users accessing the system has increased by 70%</w:t>
            </w:r>
            <w:r w:rsidRPr="00C03C4C">
              <w:rPr>
                <w:rFonts w:ascii="Arial" w:hAnsi="Arial" w:cs="Arial"/>
                <w:i/>
                <w:iCs/>
                <w:sz w:val="16"/>
                <w:szCs w:val="16"/>
              </w:rPr>
              <w:t xml:space="preserve"> </w:t>
            </w:r>
            <w:r w:rsidRPr="00E634F7">
              <w:rPr>
                <w:rFonts w:ascii="Arial" w:hAnsi="Arial" w:cs="Arial"/>
                <w:iCs/>
                <w:sz w:val="16"/>
                <w:szCs w:val="16"/>
              </w:rPr>
              <w:t>(on average 750 users have access the system weekly).</w:t>
            </w:r>
          </w:p>
        </w:tc>
      </w:tr>
    </w:tbl>
    <w:p w:rsidR="00FD12C6" w:rsidRDefault="00FD12C6" w:rsidP="00FD12C6">
      <w:pPr>
        <w:spacing w:after="0" w:line="240" w:lineRule="auto"/>
        <w:jc w:val="left"/>
      </w:pPr>
      <w:r w:rsidRPr="000717B9">
        <w:rPr>
          <w:rFonts w:ascii="Arial" w:hAnsi="Arial"/>
          <w:sz w:val="16"/>
        </w:rPr>
        <w:t>Table continues on next page</w:t>
      </w:r>
      <w:r>
        <w:t xml:space="preserve"> </w:t>
      </w:r>
    </w:p>
    <w:p w:rsidR="00C11EAA" w:rsidRDefault="00C11EAA"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C91E97" w:rsidRDefault="00C91E97" w:rsidP="0041023D">
      <w:pPr>
        <w:jc w:val="left"/>
        <w:rPr>
          <w:rFonts w:ascii="Arial" w:hAnsi="Arial" w:cs="Arial"/>
        </w:rPr>
      </w:pPr>
    </w:p>
    <w:p w:rsidR="00AF55E0" w:rsidRDefault="00AF55E0" w:rsidP="0041023D">
      <w:pPr>
        <w:jc w:val="left"/>
        <w:rPr>
          <w:rFonts w:ascii="Arial" w:hAnsi="Arial" w:cs="Arial"/>
        </w:rPr>
      </w:pPr>
    </w:p>
    <w:p w:rsidR="00D64F82" w:rsidRDefault="00D64F82" w:rsidP="0041023D">
      <w:pPr>
        <w:jc w:val="left"/>
        <w:rPr>
          <w:rFonts w:ascii="Arial" w:hAnsi="Arial" w:cs="Arial"/>
        </w:rPr>
      </w:pPr>
    </w:p>
    <w:p w:rsidR="00B40B9F" w:rsidRDefault="00B40B9F" w:rsidP="0041023D">
      <w:pPr>
        <w:jc w:val="left"/>
        <w:rPr>
          <w:rFonts w:ascii="Arial" w:hAnsi="Arial" w:cs="Arial"/>
        </w:rPr>
      </w:pPr>
    </w:p>
    <w:p w:rsidR="00B312CE" w:rsidRPr="00FD12C6" w:rsidRDefault="00B312CE" w:rsidP="00B312CE">
      <w:pPr>
        <w:spacing w:after="0"/>
        <w:rPr>
          <w:b/>
          <w:color w:val="FF0000"/>
        </w:rPr>
      </w:pPr>
      <w:r w:rsidRPr="009301D5">
        <w:rPr>
          <w:rFonts w:ascii="Arial" w:hAnsi="Arial"/>
          <w:b/>
          <w:color w:val="000000"/>
          <w:lang w:val="x-none" w:eastAsia="x-none"/>
        </w:rPr>
        <w:lastRenderedPageBreak/>
        <w:t>Table 2</w:t>
      </w:r>
      <w:r>
        <w:rPr>
          <w:rFonts w:ascii="Arial" w:hAnsi="Arial"/>
          <w:b/>
          <w:color w:val="000000"/>
          <w:lang w:val="x-none" w:eastAsia="x-none"/>
        </w:rPr>
        <w:t>.3.</w:t>
      </w:r>
      <w:r>
        <w:rPr>
          <w:rFonts w:ascii="Arial" w:hAnsi="Arial"/>
          <w:b/>
          <w:color w:val="000000"/>
          <w:lang w:eastAsia="x-none"/>
        </w:rPr>
        <w:t>2</w:t>
      </w:r>
      <w:r w:rsidRPr="009301D5">
        <w:rPr>
          <w:rFonts w:ascii="Arial" w:hAnsi="Arial"/>
          <w:b/>
          <w:color w:val="000000"/>
          <w:lang w:val="x-none" w:eastAsia="x-none"/>
        </w:rPr>
        <w:t>: Performance measure for Outcome 3</w:t>
      </w:r>
      <w:r w:rsidRPr="006D1663">
        <w:rPr>
          <w:rFonts w:ascii="Arial" w:hAnsi="Arial"/>
          <w:b/>
          <w:color w:val="000000"/>
          <w:lang w:val="x-none" w:eastAsia="x-none"/>
        </w:rPr>
        <w:t xml:space="preserve"> </w:t>
      </w:r>
      <w:r w:rsidR="006D1663" w:rsidRPr="006D1663">
        <w:rPr>
          <w:rFonts w:ascii="Arial" w:hAnsi="Arial"/>
          <w:b/>
          <w:color w:val="000000"/>
          <w:lang w:val="x-none" w:eastAsia="x-none"/>
        </w:rPr>
        <w:t>(continued)</w:t>
      </w:r>
    </w:p>
    <w:tbl>
      <w:tblPr>
        <w:tblW w:w="7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013"/>
        <w:gridCol w:w="4230"/>
      </w:tblGrid>
      <w:tr w:rsidR="00B312CE" w:rsidRPr="00361E69" w:rsidTr="00E2528C">
        <w:trPr>
          <w:trHeight w:val="309"/>
        </w:trPr>
        <w:tc>
          <w:tcPr>
            <w:tcW w:w="7654" w:type="dxa"/>
            <w:gridSpan w:val="3"/>
            <w:shd w:val="clear" w:color="auto" w:fill="F2F2F2"/>
          </w:tcPr>
          <w:p w:rsidR="00B312CE" w:rsidRPr="00354588" w:rsidRDefault="00354588" w:rsidP="00C91E97">
            <w:pPr>
              <w:tabs>
                <w:tab w:val="left" w:pos="709"/>
              </w:tabs>
              <w:spacing w:before="60" w:after="60" w:line="240" w:lineRule="auto"/>
              <w:jc w:val="left"/>
              <w:rPr>
                <w:rFonts w:ascii="Arial" w:eastAsia="Arial" w:hAnsi="Arial" w:cs="Arial"/>
                <w:b/>
                <w:sz w:val="18"/>
                <w:szCs w:val="18"/>
              </w:rPr>
            </w:pPr>
            <w:r w:rsidRPr="00BA090C">
              <w:rPr>
                <w:rFonts w:ascii="Arial" w:hAnsi="Arial"/>
                <w:b/>
                <w:sz w:val="18"/>
                <w:szCs w:val="18"/>
              </w:rPr>
              <w:t xml:space="preserve">Performance information: </w:t>
            </w:r>
            <w:r w:rsidR="00B312CE" w:rsidRPr="00BC20C8">
              <w:rPr>
                <w:rFonts w:ascii="Arial" w:hAnsi="Arial" w:cs="Arial"/>
                <w:b/>
                <w:sz w:val="18"/>
                <w:szCs w:val="18"/>
              </w:rPr>
              <w:t xml:space="preserve">Program 3.1 – </w:t>
            </w:r>
            <w:r w:rsidR="00B312CE" w:rsidRPr="00BC20C8">
              <w:rPr>
                <w:rFonts w:ascii="Arial" w:eastAsia="Arial" w:hAnsi="Arial" w:cs="Arial"/>
                <w:b/>
                <w:sz w:val="18"/>
                <w:szCs w:val="18"/>
              </w:rPr>
              <w:t>Minister</w:t>
            </w:r>
            <w:r>
              <w:rPr>
                <w:rFonts w:ascii="Arial" w:eastAsia="Arial" w:hAnsi="Arial" w:cs="Arial"/>
                <w:b/>
                <w:sz w:val="18"/>
                <w:szCs w:val="18"/>
              </w:rPr>
              <w:t xml:space="preserve">ial and Parliamentary Services </w:t>
            </w:r>
          </w:p>
        </w:tc>
      </w:tr>
      <w:tr w:rsidR="00B312CE" w:rsidRPr="001B2F81" w:rsidTr="00E2528C">
        <w:trPr>
          <w:trHeight w:val="312"/>
        </w:trPr>
        <w:tc>
          <w:tcPr>
            <w:tcW w:w="1411" w:type="dxa"/>
            <w:tcBorders>
              <w:top w:val="single" w:sz="4" w:space="0" w:color="auto"/>
              <w:bottom w:val="dotted" w:sz="4" w:space="0" w:color="auto"/>
              <w:right w:val="single" w:sz="4" w:space="0" w:color="auto"/>
            </w:tcBorders>
          </w:tcPr>
          <w:p w:rsidR="00B312CE" w:rsidRPr="00C91E97" w:rsidRDefault="00B312CE" w:rsidP="008518CA">
            <w:pPr>
              <w:tabs>
                <w:tab w:val="left" w:pos="709"/>
              </w:tabs>
              <w:spacing w:before="60" w:after="60"/>
              <w:rPr>
                <w:rFonts w:ascii="Arial" w:hAnsi="Arial" w:cs="Arial"/>
                <w:sz w:val="16"/>
                <w:szCs w:val="16"/>
              </w:rPr>
            </w:pPr>
            <w:r w:rsidRPr="00C91E97">
              <w:rPr>
                <w:rFonts w:ascii="Arial" w:hAnsi="Arial" w:cs="Arial"/>
                <w:b/>
                <w:sz w:val="16"/>
                <w:szCs w:val="16"/>
              </w:rPr>
              <w:t>Year</w:t>
            </w:r>
          </w:p>
        </w:tc>
        <w:tc>
          <w:tcPr>
            <w:tcW w:w="2013" w:type="dxa"/>
            <w:tcBorders>
              <w:top w:val="single" w:sz="4" w:space="0" w:color="auto"/>
              <w:left w:val="single" w:sz="4" w:space="0" w:color="auto"/>
              <w:bottom w:val="single" w:sz="4" w:space="0" w:color="auto"/>
              <w:right w:val="single" w:sz="4" w:space="0" w:color="auto"/>
            </w:tcBorders>
          </w:tcPr>
          <w:p w:rsidR="00B312CE" w:rsidRPr="00C91E97" w:rsidRDefault="00B312CE" w:rsidP="008518CA">
            <w:pPr>
              <w:tabs>
                <w:tab w:val="left" w:pos="709"/>
              </w:tabs>
              <w:spacing w:before="60" w:after="60"/>
              <w:rPr>
                <w:rFonts w:ascii="Arial" w:hAnsi="Arial" w:cs="Arial"/>
                <w:sz w:val="16"/>
                <w:szCs w:val="16"/>
              </w:rPr>
            </w:pPr>
            <w:r w:rsidRPr="00C91E97">
              <w:rPr>
                <w:rFonts w:ascii="Arial" w:hAnsi="Arial" w:cs="Arial"/>
                <w:b/>
                <w:sz w:val="16"/>
                <w:szCs w:val="16"/>
              </w:rPr>
              <w:t>Performance measures</w:t>
            </w:r>
          </w:p>
        </w:tc>
        <w:tc>
          <w:tcPr>
            <w:tcW w:w="4230" w:type="dxa"/>
            <w:tcBorders>
              <w:top w:val="single" w:sz="4" w:space="0" w:color="auto"/>
              <w:left w:val="single" w:sz="4" w:space="0" w:color="auto"/>
              <w:bottom w:val="single" w:sz="4" w:space="0" w:color="auto"/>
            </w:tcBorders>
          </w:tcPr>
          <w:p w:rsidR="00B312CE" w:rsidRPr="00C91E97" w:rsidRDefault="00B312CE" w:rsidP="008518CA">
            <w:pPr>
              <w:tabs>
                <w:tab w:val="left" w:pos="709"/>
              </w:tabs>
              <w:spacing w:before="60" w:after="60"/>
              <w:rPr>
                <w:rFonts w:ascii="Arial" w:hAnsi="Arial" w:cs="Arial"/>
                <w:i/>
                <w:sz w:val="16"/>
                <w:szCs w:val="16"/>
              </w:rPr>
            </w:pPr>
            <w:r w:rsidRPr="00C91E97">
              <w:rPr>
                <w:rFonts w:ascii="Arial" w:hAnsi="Arial" w:cs="Arial"/>
                <w:b/>
                <w:sz w:val="16"/>
                <w:szCs w:val="16"/>
              </w:rPr>
              <w:t>Planned Performance Results</w:t>
            </w:r>
          </w:p>
        </w:tc>
      </w:tr>
      <w:tr w:rsidR="00B312CE" w:rsidRPr="00325A62" w:rsidTr="00E2528C">
        <w:trPr>
          <w:trHeight w:val="475"/>
        </w:trPr>
        <w:tc>
          <w:tcPr>
            <w:tcW w:w="1411" w:type="dxa"/>
            <w:vMerge w:val="restart"/>
            <w:tcBorders>
              <w:top w:val="single" w:sz="4" w:space="0" w:color="auto"/>
              <w:right w:val="single" w:sz="4" w:space="0" w:color="auto"/>
            </w:tcBorders>
          </w:tcPr>
          <w:p w:rsidR="00B312CE" w:rsidRPr="00C91E97" w:rsidRDefault="00B312CE" w:rsidP="003101A3">
            <w:pPr>
              <w:tabs>
                <w:tab w:val="left" w:pos="709"/>
              </w:tabs>
              <w:spacing w:before="60" w:after="60" w:line="240" w:lineRule="auto"/>
              <w:jc w:val="left"/>
              <w:rPr>
                <w:rFonts w:ascii="Arial" w:hAnsi="Arial" w:cs="Arial"/>
                <w:sz w:val="16"/>
                <w:szCs w:val="16"/>
              </w:rPr>
            </w:pPr>
            <w:r w:rsidRPr="00C91E97">
              <w:rPr>
                <w:rFonts w:ascii="Arial" w:hAnsi="Arial" w:cs="Arial"/>
                <w:sz w:val="16"/>
                <w:szCs w:val="16"/>
              </w:rPr>
              <w:t>Budget Year     2022-23</w:t>
            </w:r>
          </w:p>
        </w:tc>
        <w:tc>
          <w:tcPr>
            <w:tcW w:w="2013" w:type="dxa"/>
            <w:tcBorders>
              <w:top w:val="single" w:sz="4" w:space="0" w:color="auto"/>
              <w:left w:val="single" w:sz="4" w:space="0" w:color="auto"/>
              <w:bottom w:val="dotted" w:sz="4" w:space="0" w:color="auto"/>
              <w:right w:val="single" w:sz="4" w:space="0" w:color="auto"/>
            </w:tcBorders>
          </w:tcPr>
          <w:p w:rsidR="00B312CE" w:rsidRPr="00C91E97" w:rsidRDefault="00B312CE" w:rsidP="00C91E97">
            <w:pPr>
              <w:tabs>
                <w:tab w:val="left" w:pos="709"/>
              </w:tabs>
              <w:spacing w:before="60" w:after="60" w:line="240" w:lineRule="auto"/>
              <w:jc w:val="left"/>
              <w:rPr>
                <w:rFonts w:ascii="Arial" w:hAnsi="Arial" w:cs="Arial"/>
                <w:b/>
                <w:bCs/>
                <w:sz w:val="16"/>
                <w:szCs w:val="16"/>
              </w:rPr>
            </w:pPr>
            <w:r w:rsidRPr="00C91E97">
              <w:rPr>
                <w:rFonts w:ascii="Arial" w:hAnsi="Arial" w:cs="Arial"/>
                <w:b/>
                <w:bCs/>
                <w:sz w:val="16"/>
                <w:szCs w:val="16"/>
              </w:rPr>
              <w:t>Services meet clients’ needs</w:t>
            </w:r>
          </w:p>
          <w:p w:rsidR="00B312CE" w:rsidRPr="00C91E97" w:rsidRDefault="00B312CE" w:rsidP="00C91E97">
            <w:pPr>
              <w:spacing w:before="60" w:after="60" w:line="240" w:lineRule="auto"/>
              <w:jc w:val="left"/>
              <w:rPr>
                <w:rFonts w:ascii="Arial" w:eastAsia="Arial" w:hAnsi="Arial" w:cs="Arial"/>
                <w:sz w:val="16"/>
                <w:szCs w:val="16"/>
              </w:rPr>
            </w:pPr>
            <w:r w:rsidRPr="00C91E97">
              <w:rPr>
                <w:rFonts w:ascii="Arial" w:hAnsi="Arial" w:cs="Arial"/>
                <w:bCs/>
                <w:sz w:val="16"/>
                <w:szCs w:val="16"/>
              </w:rPr>
              <w:t>Services meet the needs of parliamentarians, their employees and others as required by the Australian Government.</w:t>
            </w:r>
          </w:p>
        </w:tc>
        <w:tc>
          <w:tcPr>
            <w:tcW w:w="4230" w:type="dxa"/>
            <w:tcBorders>
              <w:top w:val="single" w:sz="4" w:space="0" w:color="auto"/>
              <w:left w:val="single" w:sz="4" w:space="0" w:color="auto"/>
              <w:bottom w:val="dotted" w:sz="4" w:space="0" w:color="auto"/>
            </w:tcBorders>
          </w:tcPr>
          <w:p w:rsidR="00B312CE" w:rsidRPr="00C91E97" w:rsidRDefault="00B312CE" w:rsidP="00C91E97">
            <w:pPr>
              <w:tabs>
                <w:tab w:val="left" w:pos="709"/>
              </w:tabs>
              <w:suppressAutoHyphens/>
              <w:spacing w:before="60" w:after="60" w:line="240" w:lineRule="auto"/>
              <w:jc w:val="left"/>
              <w:rPr>
                <w:rFonts w:ascii="Arial" w:eastAsia="Arial" w:hAnsi="Arial" w:cs="Arial"/>
                <w:sz w:val="16"/>
                <w:szCs w:val="16"/>
              </w:rPr>
            </w:pPr>
            <w:r w:rsidRPr="00C91E97">
              <w:rPr>
                <w:rFonts w:ascii="Arial" w:eastAsia="Arial" w:hAnsi="Arial" w:cs="Arial"/>
                <w:sz w:val="16"/>
                <w:szCs w:val="16"/>
              </w:rPr>
              <w:t>The following service standards are met or exceeded.</w:t>
            </w:r>
          </w:p>
          <w:p w:rsidR="00B312CE" w:rsidRPr="00C63C6E"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63C6E">
              <w:rPr>
                <w:rFonts w:ascii="Arial" w:eastAsia="Calibri" w:hAnsi="Arial" w:cs="Arial"/>
                <w:sz w:val="16"/>
                <w:szCs w:val="16"/>
                <w:lang w:val="en-US" w:eastAsia="en-US"/>
              </w:rPr>
              <w:t>Client contacts acknowledged within 24 hours and responded to within agreed timeframes 95% of the time.</w:t>
            </w:r>
          </w:p>
          <w:p w:rsidR="00B312CE" w:rsidRPr="00C63C6E"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63C6E">
              <w:rPr>
                <w:rFonts w:ascii="Arial" w:eastAsia="Calibri" w:hAnsi="Arial" w:cs="Arial"/>
                <w:sz w:val="16"/>
                <w:szCs w:val="16"/>
                <w:lang w:val="en-US" w:eastAsia="en-US"/>
              </w:rPr>
              <w:t>Payments (including payroll) will be made within agreed timeframes 95% of the time.</w:t>
            </w:r>
          </w:p>
          <w:p w:rsidR="00B312CE" w:rsidRPr="00C63C6E"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63C6E">
              <w:rPr>
                <w:rFonts w:ascii="Arial" w:eastAsia="Calibri" w:hAnsi="Arial" w:cs="Arial"/>
                <w:sz w:val="16"/>
                <w:szCs w:val="16"/>
                <w:lang w:val="en-US" w:eastAsia="en-US"/>
              </w:rPr>
              <w:t xml:space="preserve">Office establishment and relocation projects will be delivered in accordance with the National </w:t>
            </w:r>
            <w:proofErr w:type="spellStart"/>
            <w:r w:rsidRPr="00C63C6E">
              <w:rPr>
                <w:rFonts w:ascii="Arial" w:eastAsia="Calibri" w:hAnsi="Arial" w:cs="Arial"/>
                <w:sz w:val="16"/>
                <w:szCs w:val="16"/>
                <w:lang w:val="en-US" w:eastAsia="en-US"/>
              </w:rPr>
              <w:t>Fitout</w:t>
            </w:r>
            <w:proofErr w:type="spellEnd"/>
            <w:r w:rsidRPr="00C63C6E">
              <w:rPr>
                <w:rFonts w:ascii="Arial" w:eastAsia="Calibri" w:hAnsi="Arial" w:cs="Arial"/>
                <w:sz w:val="16"/>
                <w:szCs w:val="16"/>
                <w:lang w:val="en-US" w:eastAsia="en-US"/>
              </w:rPr>
              <w:t xml:space="preserve"> Standards 100% of the time.</w:t>
            </w:r>
          </w:p>
          <w:p w:rsidR="00B312CE" w:rsidRPr="00C91E97" w:rsidRDefault="00B312CE" w:rsidP="00DA1F4B">
            <w:pPr>
              <w:numPr>
                <w:ilvl w:val="0"/>
                <w:numId w:val="38"/>
              </w:numPr>
              <w:autoSpaceDE w:val="0"/>
              <w:autoSpaceDN w:val="0"/>
              <w:adjustRightInd w:val="0"/>
              <w:spacing w:before="60" w:after="60" w:line="240" w:lineRule="auto"/>
              <w:ind w:left="374" w:hanging="357"/>
              <w:contextualSpacing/>
              <w:jc w:val="left"/>
              <w:rPr>
                <w:rFonts w:ascii="Arial" w:eastAsia="Arial" w:hAnsi="Arial" w:cs="Arial"/>
                <w:sz w:val="16"/>
                <w:szCs w:val="16"/>
              </w:rPr>
            </w:pPr>
            <w:r w:rsidRPr="00C63C6E">
              <w:rPr>
                <w:rFonts w:ascii="Arial" w:eastAsia="Calibri" w:hAnsi="Arial" w:cs="Arial"/>
                <w:sz w:val="16"/>
                <w:szCs w:val="16"/>
                <w:lang w:val="en-US" w:eastAsia="en-US"/>
              </w:rPr>
              <w:t>COMCAR reservations will be completed without service failure 99% of the time.</w:t>
            </w:r>
          </w:p>
        </w:tc>
      </w:tr>
      <w:tr w:rsidR="00B312CE" w:rsidRPr="00692842" w:rsidTr="00E2528C">
        <w:trPr>
          <w:trHeight w:val="475"/>
        </w:trPr>
        <w:tc>
          <w:tcPr>
            <w:tcW w:w="1411" w:type="dxa"/>
            <w:vMerge/>
            <w:tcBorders>
              <w:right w:val="single" w:sz="4" w:space="0" w:color="auto"/>
            </w:tcBorders>
          </w:tcPr>
          <w:p w:rsidR="00B312CE" w:rsidRPr="00C91E97" w:rsidRDefault="00B312CE" w:rsidP="00C91E97">
            <w:pPr>
              <w:tabs>
                <w:tab w:val="left" w:pos="709"/>
              </w:tabs>
              <w:spacing w:before="60" w:after="60" w:line="240" w:lineRule="auto"/>
              <w:jc w:val="left"/>
              <w:rPr>
                <w:rFonts w:ascii="Arial" w:hAnsi="Arial" w:cs="Arial"/>
                <w:sz w:val="16"/>
                <w:szCs w:val="16"/>
              </w:rPr>
            </w:pPr>
          </w:p>
        </w:tc>
        <w:tc>
          <w:tcPr>
            <w:tcW w:w="2013" w:type="dxa"/>
            <w:tcBorders>
              <w:top w:val="dotted" w:sz="4" w:space="0" w:color="auto"/>
              <w:left w:val="single" w:sz="4" w:space="0" w:color="auto"/>
              <w:right w:val="single" w:sz="4" w:space="0" w:color="auto"/>
            </w:tcBorders>
          </w:tcPr>
          <w:p w:rsidR="00B312CE" w:rsidRPr="00C91E97" w:rsidRDefault="00B312CE" w:rsidP="00C91E97">
            <w:pPr>
              <w:tabs>
                <w:tab w:val="left" w:pos="709"/>
              </w:tabs>
              <w:suppressAutoHyphens/>
              <w:spacing w:before="60" w:after="60" w:line="240" w:lineRule="auto"/>
              <w:jc w:val="left"/>
              <w:rPr>
                <w:rFonts w:ascii="Arial" w:eastAsia="Arial" w:hAnsi="Arial" w:cs="Arial"/>
                <w:sz w:val="16"/>
                <w:szCs w:val="16"/>
              </w:rPr>
            </w:pPr>
            <w:r w:rsidRPr="00C91E97">
              <w:rPr>
                <w:rFonts w:ascii="Arial" w:eastAsia="Arial" w:hAnsi="Arial" w:cs="Arial"/>
                <w:b/>
                <w:bCs/>
                <w:sz w:val="16"/>
                <w:szCs w:val="16"/>
              </w:rPr>
              <w:t>Improve administration of parliamentary work expenses</w:t>
            </w:r>
          </w:p>
          <w:p w:rsidR="00B312CE" w:rsidRPr="00C91E97" w:rsidRDefault="00B312CE" w:rsidP="00C91E97">
            <w:pPr>
              <w:spacing w:before="60" w:after="60" w:line="240" w:lineRule="auto"/>
              <w:jc w:val="left"/>
              <w:rPr>
                <w:rFonts w:ascii="Arial" w:eastAsia="Arial" w:hAnsi="Arial" w:cs="Arial"/>
                <w:sz w:val="16"/>
                <w:szCs w:val="16"/>
              </w:rPr>
            </w:pPr>
            <w:r w:rsidRPr="00C91E97">
              <w:rPr>
                <w:rFonts w:ascii="Arial" w:eastAsia="Arial" w:hAnsi="Arial" w:cs="Arial"/>
                <w:sz w:val="16"/>
                <w:szCs w:val="16"/>
              </w:rPr>
              <w:t>The timeliness, efficiency, clarity and transparency of the administration of parliamentary work expenses is improved.</w:t>
            </w:r>
          </w:p>
        </w:tc>
        <w:tc>
          <w:tcPr>
            <w:tcW w:w="4230" w:type="dxa"/>
            <w:tcBorders>
              <w:top w:val="dotted" w:sz="4" w:space="0" w:color="auto"/>
              <w:left w:val="single" w:sz="4" w:space="0" w:color="auto"/>
            </w:tcBorders>
          </w:tcPr>
          <w:p w:rsidR="00B312CE" w:rsidRPr="00C91E97" w:rsidRDefault="00B312CE" w:rsidP="00B312CE">
            <w:pPr>
              <w:tabs>
                <w:tab w:val="left" w:pos="709"/>
              </w:tabs>
              <w:suppressAutoHyphens/>
              <w:spacing w:before="60" w:after="60" w:line="240" w:lineRule="auto"/>
              <w:jc w:val="left"/>
              <w:rPr>
                <w:rFonts w:ascii="Arial" w:eastAsia="Arial" w:hAnsi="Arial" w:cs="Arial"/>
                <w:sz w:val="16"/>
                <w:szCs w:val="16"/>
              </w:rPr>
            </w:pPr>
            <w:r w:rsidRPr="00C91E97">
              <w:rPr>
                <w:rFonts w:ascii="Arial" w:eastAsia="Arial" w:hAnsi="Arial" w:cs="Arial"/>
                <w:sz w:val="16"/>
                <w:szCs w:val="16"/>
              </w:rPr>
              <w:t>Increased usage of PEMS by parliamentarians and their staff.</w:t>
            </w:r>
          </w:p>
        </w:tc>
      </w:tr>
      <w:tr w:rsidR="00B312CE" w:rsidRPr="00361E69" w:rsidTr="00E2528C">
        <w:trPr>
          <w:trHeight w:val="491"/>
        </w:trPr>
        <w:tc>
          <w:tcPr>
            <w:tcW w:w="1411" w:type="dxa"/>
            <w:tcBorders>
              <w:top w:val="dotted" w:sz="4" w:space="0" w:color="auto"/>
              <w:bottom w:val="dotted" w:sz="4" w:space="0" w:color="auto"/>
              <w:right w:val="single" w:sz="4" w:space="0" w:color="auto"/>
            </w:tcBorders>
          </w:tcPr>
          <w:p w:rsidR="00B312CE" w:rsidRPr="00C91E97" w:rsidRDefault="003F64C5" w:rsidP="00AE5868">
            <w:pPr>
              <w:tabs>
                <w:tab w:val="left" w:pos="709"/>
              </w:tabs>
              <w:spacing w:before="60" w:after="60" w:line="240" w:lineRule="auto"/>
              <w:jc w:val="left"/>
              <w:rPr>
                <w:rFonts w:ascii="Arial" w:hAnsi="Arial" w:cs="Arial"/>
                <w:b/>
                <w:color w:val="0070C0"/>
                <w:sz w:val="16"/>
                <w:szCs w:val="16"/>
              </w:rPr>
            </w:pPr>
            <w:r w:rsidRPr="00C91E97">
              <w:rPr>
                <w:rFonts w:ascii="Arial" w:hAnsi="Arial" w:cs="Arial"/>
                <w:sz w:val="16"/>
                <w:szCs w:val="16"/>
              </w:rPr>
              <w:t xml:space="preserve">Forward Estimates </w:t>
            </w:r>
            <w:r w:rsidR="00AE5868">
              <w:rPr>
                <w:rFonts w:ascii="Arial" w:hAnsi="Arial" w:cs="Arial"/>
                <w:sz w:val="16"/>
                <w:szCs w:val="16"/>
              </w:rPr>
              <w:br/>
            </w:r>
            <w:r w:rsidRPr="00C91E97">
              <w:rPr>
                <w:rFonts w:ascii="Arial" w:hAnsi="Arial" w:cs="Arial"/>
                <w:sz w:val="16"/>
                <w:szCs w:val="16"/>
              </w:rPr>
              <w:t>2023-26</w:t>
            </w:r>
          </w:p>
        </w:tc>
        <w:tc>
          <w:tcPr>
            <w:tcW w:w="2013" w:type="dxa"/>
            <w:tcBorders>
              <w:top w:val="dotted" w:sz="4" w:space="0" w:color="auto"/>
              <w:left w:val="single" w:sz="4" w:space="0" w:color="auto"/>
              <w:bottom w:val="dotted" w:sz="4" w:space="0" w:color="auto"/>
              <w:right w:val="single" w:sz="4" w:space="0" w:color="auto"/>
            </w:tcBorders>
          </w:tcPr>
          <w:p w:rsidR="00B312CE" w:rsidRPr="00C91E97" w:rsidRDefault="00B312CE" w:rsidP="00B312CE">
            <w:pPr>
              <w:tabs>
                <w:tab w:val="left" w:pos="709"/>
              </w:tabs>
              <w:spacing w:before="60" w:after="60"/>
              <w:jc w:val="left"/>
              <w:rPr>
                <w:rFonts w:ascii="Arial" w:hAnsi="Arial" w:cs="Arial"/>
                <w:b/>
                <w:sz w:val="16"/>
                <w:szCs w:val="16"/>
              </w:rPr>
            </w:pPr>
            <w:r w:rsidRPr="00C91E97">
              <w:rPr>
                <w:rFonts w:ascii="Arial" w:eastAsia="Arial" w:hAnsi="Arial" w:cs="Arial"/>
                <w:sz w:val="16"/>
                <w:szCs w:val="16"/>
              </w:rPr>
              <w:t>As per 2022-23.</w:t>
            </w:r>
          </w:p>
        </w:tc>
        <w:tc>
          <w:tcPr>
            <w:tcW w:w="4230" w:type="dxa"/>
            <w:tcBorders>
              <w:top w:val="dotted" w:sz="4" w:space="0" w:color="auto"/>
              <w:left w:val="single" w:sz="4" w:space="0" w:color="auto"/>
              <w:bottom w:val="dotted" w:sz="4" w:space="0" w:color="auto"/>
            </w:tcBorders>
          </w:tcPr>
          <w:p w:rsidR="00B312CE" w:rsidRPr="00C91E97" w:rsidRDefault="00B312CE" w:rsidP="00B312CE">
            <w:pPr>
              <w:tabs>
                <w:tab w:val="left" w:pos="709"/>
              </w:tabs>
              <w:spacing w:before="60" w:after="60"/>
              <w:jc w:val="left"/>
              <w:rPr>
                <w:rFonts w:ascii="Arial" w:hAnsi="Arial" w:cs="Arial"/>
                <w:b/>
                <w:sz w:val="16"/>
                <w:szCs w:val="16"/>
              </w:rPr>
            </w:pPr>
            <w:r w:rsidRPr="00C91E97">
              <w:rPr>
                <w:rFonts w:ascii="Arial" w:eastAsia="Arial" w:hAnsi="Arial" w:cs="Arial"/>
                <w:sz w:val="16"/>
                <w:szCs w:val="16"/>
              </w:rPr>
              <w:t>As per 2022-23.</w:t>
            </w:r>
          </w:p>
        </w:tc>
      </w:tr>
      <w:tr w:rsidR="00E2528C" w:rsidRPr="006A4649" w:rsidTr="00E2528C">
        <w:trPr>
          <w:trHeight w:val="291"/>
        </w:trPr>
        <w:tc>
          <w:tcPr>
            <w:tcW w:w="7654" w:type="dxa"/>
            <w:gridSpan w:val="3"/>
          </w:tcPr>
          <w:p w:rsidR="00E2528C" w:rsidRPr="006A4649" w:rsidRDefault="00E2528C" w:rsidP="00CE4BBC">
            <w:pPr>
              <w:tabs>
                <w:tab w:val="left" w:pos="709"/>
              </w:tabs>
              <w:spacing w:before="60" w:after="60" w:line="240" w:lineRule="auto"/>
              <w:jc w:val="left"/>
              <w:rPr>
                <w:rFonts w:ascii="Arial" w:eastAsia="Cambria" w:hAnsi="Arial" w:cs="Arial"/>
                <w:bCs/>
                <w:iCs/>
                <w:spacing w:val="-6"/>
                <w:sz w:val="16"/>
                <w:szCs w:val="16"/>
              </w:rPr>
            </w:pPr>
            <w:r w:rsidRPr="006A4649">
              <w:rPr>
                <w:rFonts w:ascii="Arial" w:hAnsi="Arial" w:cs="Arial"/>
                <w:sz w:val="16"/>
                <w:szCs w:val="16"/>
              </w:rPr>
              <w:t>Material changes to Program 2.8 resulting from 2022-23 Budget Measures:</w:t>
            </w:r>
            <w:r w:rsidRPr="006A4649">
              <w:rPr>
                <w:rStyle w:val="BodyTextChar"/>
                <w:rFonts w:ascii="Arial" w:hAnsi="Arial" w:cs="Arial"/>
                <w:bCs/>
                <w:iCs/>
                <w:spacing w:val="-6"/>
                <w:sz w:val="16"/>
                <w:szCs w:val="16"/>
              </w:rPr>
              <w:t xml:space="preserve"> </w:t>
            </w:r>
            <w:r w:rsidRPr="006A4649">
              <w:rPr>
                <w:rFonts w:ascii="Arial" w:hAnsi="Arial" w:cs="Arial"/>
                <w:sz w:val="16"/>
                <w:szCs w:val="16"/>
              </w:rPr>
              <w:t>Nil</w:t>
            </w:r>
          </w:p>
        </w:tc>
      </w:tr>
    </w:tbl>
    <w:p w:rsidR="00B312CE" w:rsidRDefault="00B312CE" w:rsidP="00B312CE">
      <w:pPr>
        <w:spacing w:line="240" w:lineRule="auto"/>
        <w:rPr>
          <w:lang w:val="x-none" w:eastAsia="x-none"/>
        </w:rPr>
      </w:pPr>
    </w:p>
    <w:p w:rsidR="00D006C6" w:rsidRDefault="00D006C6" w:rsidP="00B312CE">
      <w:pPr>
        <w:spacing w:line="240" w:lineRule="auto"/>
        <w:rPr>
          <w:lang w:val="x-none" w:eastAsia="x-none"/>
        </w:rPr>
      </w:pPr>
    </w:p>
    <w:p w:rsidR="0011559E" w:rsidRDefault="0011559E" w:rsidP="00B312CE">
      <w:pPr>
        <w:spacing w:line="240" w:lineRule="auto"/>
        <w:rPr>
          <w:lang w:val="x-none" w:eastAsia="x-none"/>
        </w:rPr>
      </w:pPr>
    </w:p>
    <w:p w:rsidR="00D006C6" w:rsidRDefault="00D006C6" w:rsidP="00B312CE">
      <w:pPr>
        <w:spacing w:line="240" w:lineRule="auto"/>
        <w:rPr>
          <w:lang w:val="x-none" w:eastAsia="x-none"/>
        </w:rPr>
      </w:pPr>
    </w:p>
    <w:p w:rsidR="00D006C6" w:rsidRDefault="00D006C6" w:rsidP="00B312CE">
      <w:pPr>
        <w:spacing w:line="240" w:lineRule="auto"/>
        <w:rPr>
          <w:lang w:val="x-none" w:eastAsia="x-none"/>
        </w:rPr>
      </w:pPr>
    </w:p>
    <w:p w:rsidR="00415922" w:rsidRDefault="00415922" w:rsidP="00B312CE">
      <w:pPr>
        <w:spacing w:line="240" w:lineRule="auto"/>
        <w:rPr>
          <w:lang w:val="x-none" w:eastAsia="x-none"/>
        </w:rPr>
      </w:pPr>
    </w:p>
    <w:p w:rsidR="00BC20C8" w:rsidRDefault="00BC20C8" w:rsidP="00B312CE">
      <w:pPr>
        <w:spacing w:line="240" w:lineRule="auto"/>
        <w:rPr>
          <w:lang w:val="x-none" w:eastAsia="x-none"/>
        </w:rPr>
      </w:pPr>
    </w:p>
    <w:p w:rsidR="00D006C6" w:rsidRDefault="00D006C6" w:rsidP="00B312CE">
      <w:pPr>
        <w:spacing w:line="240" w:lineRule="auto"/>
        <w:rPr>
          <w:lang w:val="x-none" w:eastAsia="x-none"/>
        </w:rPr>
      </w:pPr>
    </w:p>
    <w:p w:rsidR="00D006C6" w:rsidRPr="002A0954" w:rsidRDefault="00D006C6" w:rsidP="00B312CE">
      <w:pPr>
        <w:spacing w:line="240" w:lineRule="auto"/>
        <w:rPr>
          <w:lang w:val="x-none" w:eastAsia="x-none"/>
        </w:rPr>
      </w:pPr>
    </w:p>
    <w:p w:rsidR="002F530C" w:rsidRPr="00AD42E2" w:rsidRDefault="002F530C" w:rsidP="00AD42E2">
      <w:pPr>
        <w:pStyle w:val="Heading2"/>
      </w:pPr>
      <w:bookmarkStart w:id="53" w:name="_Toc98181312"/>
      <w:r w:rsidRPr="00AD42E2">
        <w:lastRenderedPageBreak/>
        <w:t>Section 3: Budgeted financial statements</w:t>
      </w:r>
      <w:bookmarkEnd w:id="51"/>
      <w:bookmarkEnd w:id="53"/>
    </w:p>
    <w:p w:rsidR="00A6388E" w:rsidRDefault="00CF5085" w:rsidP="00EC4613">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2A1CC2">
        <w:t>-</w:t>
      </w:r>
      <w:r w:rsidR="002E59C4">
        <w:t>23</w:t>
      </w:r>
      <w:r w:rsidR="002E59C4" w:rsidRPr="00EC4613">
        <w:t xml:space="preserve"> </w:t>
      </w:r>
      <w:r w:rsidR="0027614D">
        <w:t>budget year</w:t>
      </w:r>
      <w:r w:rsidR="007118AC">
        <w:t>, including the impact of budget measures and resourcing on financial statements</w:t>
      </w:r>
      <w:r w:rsidR="00B04964">
        <w:t>.</w:t>
      </w:r>
    </w:p>
    <w:p w:rsidR="00E4582E" w:rsidRPr="005328A9" w:rsidRDefault="007118AC" w:rsidP="005328A9">
      <w:pPr>
        <w:pStyle w:val="Heading3"/>
      </w:pPr>
      <w:bookmarkStart w:id="54" w:name="_Toc190682317"/>
      <w:bookmarkStart w:id="55" w:name="_Toc444523517"/>
      <w:bookmarkStart w:id="56" w:name="_Toc98181313"/>
      <w:r w:rsidRPr="005328A9">
        <w:t>3.1</w:t>
      </w:r>
      <w:r w:rsidR="00E4582E" w:rsidRPr="005328A9">
        <w:tab/>
        <w:t>Budgeted financial statements</w:t>
      </w:r>
      <w:bookmarkEnd w:id="54"/>
      <w:bookmarkEnd w:id="55"/>
      <w:bookmarkEnd w:id="56"/>
    </w:p>
    <w:p w:rsidR="00E4582E" w:rsidRPr="00EC4613" w:rsidRDefault="00A23BC2" w:rsidP="00E4582E">
      <w:pPr>
        <w:pStyle w:val="Heading4"/>
        <w:rPr>
          <w:sz w:val="22"/>
        </w:rPr>
      </w:pPr>
      <w:r w:rsidRPr="00EC4613">
        <w:rPr>
          <w:sz w:val="22"/>
        </w:rPr>
        <w:t>3.</w:t>
      </w:r>
      <w:r w:rsidR="007118AC" w:rsidRPr="00EC4613">
        <w:rPr>
          <w:sz w:val="22"/>
        </w:rPr>
        <w:t>1</w:t>
      </w:r>
      <w:r w:rsidRPr="00EC4613">
        <w:rPr>
          <w:sz w:val="22"/>
        </w:rPr>
        <w:t>.1</w:t>
      </w:r>
      <w:r w:rsidR="005F29CD" w:rsidRPr="00EC4613">
        <w:rPr>
          <w:sz w:val="22"/>
        </w:rPr>
        <w:tab/>
      </w:r>
      <w:r w:rsidR="00E4582E" w:rsidRPr="00EC4613">
        <w:rPr>
          <w:sz w:val="22"/>
        </w:rPr>
        <w:t xml:space="preserve">Differences </w:t>
      </w:r>
      <w:r w:rsidR="007118AC" w:rsidRPr="00EC4613">
        <w:rPr>
          <w:sz w:val="22"/>
        </w:rPr>
        <w:t>between</w:t>
      </w:r>
      <w:r w:rsidR="00E4582E" w:rsidRPr="00EC4613">
        <w:rPr>
          <w:sz w:val="22"/>
        </w:rPr>
        <w:t xml:space="preserve"> </w:t>
      </w:r>
      <w:r w:rsidR="000216BF" w:rsidRPr="00EC4613">
        <w:rPr>
          <w:sz w:val="22"/>
        </w:rPr>
        <w:t>entity resourcing and financial statements</w:t>
      </w:r>
    </w:p>
    <w:p w:rsidR="00E4582E" w:rsidRPr="00EC4613" w:rsidRDefault="00907015" w:rsidP="004054F6">
      <w:pPr>
        <w:pStyle w:val="ExampleText0"/>
        <w:rPr>
          <w:i w:val="0"/>
          <w:color w:val="auto"/>
        </w:rPr>
      </w:pPr>
      <w:r w:rsidRPr="00EC4613">
        <w:rPr>
          <w:i w:val="0"/>
          <w:color w:val="auto"/>
        </w:rPr>
        <w:t xml:space="preserve">No material differences exist between entity resourcing and the financial statements. </w:t>
      </w:r>
    </w:p>
    <w:p w:rsidR="00E4582E" w:rsidRPr="001D7BEB" w:rsidRDefault="00A23BC2" w:rsidP="00E4582E">
      <w:pPr>
        <w:pStyle w:val="Heading4"/>
        <w:rPr>
          <w:b w:val="0"/>
        </w:rPr>
      </w:pPr>
      <w:r w:rsidRPr="001D7BEB">
        <w:rPr>
          <w:b w:val="0"/>
        </w:rPr>
        <w:t>3.</w:t>
      </w:r>
      <w:r w:rsidR="007118AC" w:rsidRPr="001D7BEB">
        <w:rPr>
          <w:b w:val="0"/>
        </w:rPr>
        <w:t>1</w:t>
      </w:r>
      <w:r w:rsidRPr="001D7BEB">
        <w:rPr>
          <w:b w:val="0"/>
        </w:rPr>
        <w:t>.2</w:t>
      </w:r>
      <w:r w:rsidR="005F29CD" w:rsidRPr="001D7BEB">
        <w:rPr>
          <w:b w:val="0"/>
        </w:rPr>
        <w:tab/>
      </w:r>
      <w:r w:rsidR="003B7C64" w:rsidRPr="001D7BEB">
        <w:rPr>
          <w:b w:val="0"/>
        </w:rPr>
        <w:t xml:space="preserve">Explanatory notes and analysis </w:t>
      </w:r>
      <w:r w:rsidR="00E4582E" w:rsidRPr="001D7BEB">
        <w:rPr>
          <w:b w:val="0"/>
        </w:rPr>
        <w:t xml:space="preserve">of </w:t>
      </w:r>
      <w:r w:rsidR="000216BF" w:rsidRPr="001D7BEB">
        <w:rPr>
          <w:b w:val="0"/>
        </w:rPr>
        <w:t>budgeted financial statements</w:t>
      </w:r>
    </w:p>
    <w:p w:rsidR="00907015" w:rsidRPr="001D7BEB" w:rsidRDefault="00907015" w:rsidP="00907015">
      <w:pPr>
        <w:pStyle w:val="ExampleText0"/>
        <w:rPr>
          <w:rFonts w:ascii="Arial" w:hAnsi="Arial" w:cs="Arial"/>
          <w:b/>
          <w:i w:val="0"/>
          <w:iCs/>
          <w:color w:val="auto"/>
        </w:rPr>
      </w:pPr>
      <w:r w:rsidRPr="001D7BEB">
        <w:rPr>
          <w:rFonts w:ascii="Arial" w:hAnsi="Arial" w:cs="Arial"/>
          <w:b/>
          <w:i w:val="0"/>
          <w:iCs/>
          <w:color w:val="auto"/>
        </w:rPr>
        <w:t xml:space="preserve">Comprehensive income statement – Departmental </w:t>
      </w:r>
    </w:p>
    <w:p w:rsidR="00625EFA" w:rsidRPr="00A8063F" w:rsidRDefault="00625EFA" w:rsidP="00625EFA">
      <w:pPr>
        <w:pStyle w:val="ExampleText0"/>
        <w:rPr>
          <w:b/>
          <w:i w:val="0"/>
          <w:color w:val="auto"/>
        </w:rPr>
      </w:pPr>
      <w:r w:rsidRPr="00A8063F">
        <w:rPr>
          <w:b/>
          <w:i w:val="0"/>
          <w:color w:val="auto"/>
        </w:rPr>
        <w:t>2022-23</w:t>
      </w:r>
    </w:p>
    <w:p w:rsidR="00625EFA" w:rsidRPr="00625EFA" w:rsidRDefault="00625EFA" w:rsidP="0047758F">
      <w:pPr>
        <w:pStyle w:val="ExampleText0"/>
        <w:jc w:val="both"/>
        <w:rPr>
          <w:i w:val="0"/>
          <w:color w:val="auto"/>
        </w:rPr>
      </w:pPr>
      <w:r w:rsidRPr="00625EFA">
        <w:rPr>
          <w:i w:val="0"/>
          <w:color w:val="auto"/>
        </w:rPr>
        <w:t xml:space="preserve">Finance is forecasting expenses of $660.1 million in 2022-23, an increase from </w:t>
      </w:r>
      <w:r w:rsidR="0047758F" w:rsidRPr="00625EFA">
        <w:rPr>
          <w:i w:val="0"/>
          <w:color w:val="auto"/>
        </w:rPr>
        <w:t>the</w:t>
      </w:r>
      <w:r w:rsidR="0047758F">
        <w:rPr>
          <w:i w:val="0"/>
          <w:color w:val="auto"/>
        </w:rPr>
        <w:t xml:space="preserve"> </w:t>
      </w:r>
      <w:r w:rsidR="0047758F" w:rsidRPr="00625EFA">
        <w:rPr>
          <w:i w:val="0"/>
          <w:color w:val="auto"/>
        </w:rPr>
        <w:t>$</w:t>
      </w:r>
      <w:r w:rsidRPr="00625EFA">
        <w:rPr>
          <w:i w:val="0"/>
          <w:color w:val="auto"/>
        </w:rPr>
        <w:t>558.7 million forecast in the 2021-22 Portfolio Additional Estimates Statements (PAES). This is primarily due to increases in budgeted supplier expenses and depreciation and amortisation.</w:t>
      </w:r>
    </w:p>
    <w:p w:rsidR="00625EFA" w:rsidRPr="00625EFA" w:rsidRDefault="00625EFA" w:rsidP="0047758F">
      <w:pPr>
        <w:pStyle w:val="ExampleText0"/>
        <w:jc w:val="both"/>
        <w:rPr>
          <w:i w:val="0"/>
          <w:color w:val="auto"/>
        </w:rPr>
      </w:pPr>
      <w:r w:rsidRPr="00625EFA">
        <w:rPr>
          <w:i w:val="0"/>
          <w:color w:val="auto"/>
        </w:rPr>
        <w:t>Finance is forecasting total own source income of $336.4 milli</w:t>
      </w:r>
      <w:r w:rsidR="0047758F">
        <w:rPr>
          <w:i w:val="0"/>
          <w:color w:val="auto"/>
        </w:rPr>
        <w:t xml:space="preserve">on, an increase from the $332.8 </w:t>
      </w:r>
      <w:r w:rsidRPr="00625EFA">
        <w:rPr>
          <w:i w:val="0"/>
          <w:color w:val="auto"/>
        </w:rPr>
        <w:t>million forecast in the 2021-22 PAES. This is mainly due to an increase in insurance premiums.</w:t>
      </w:r>
    </w:p>
    <w:p w:rsidR="00625EFA" w:rsidRDefault="00625EFA" w:rsidP="0047758F">
      <w:pPr>
        <w:pStyle w:val="ExampleText0"/>
        <w:jc w:val="both"/>
        <w:rPr>
          <w:i w:val="0"/>
          <w:color w:val="auto"/>
        </w:rPr>
      </w:pPr>
      <w:r w:rsidRPr="00625EFA">
        <w:rPr>
          <w:i w:val="0"/>
          <w:color w:val="auto"/>
        </w:rPr>
        <w:t>Finance is budgeting for a deficit of $51.2 million, a decrease from the forecast surplus of $44.5 million in the 2021-22 PAES. This is mainly due to an increase of</w:t>
      </w:r>
      <w:r w:rsidR="0047758F">
        <w:rPr>
          <w:i w:val="0"/>
          <w:color w:val="auto"/>
        </w:rPr>
        <w:t xml:space="preserve"> </w:t>
      </w:r>
      <w:r w:rsidRPr="00625EFA">
        <w:rPr>
          <w:i w:val="0"/>
          <w:color w:val="auto"/>
        </w:rPr>
        <w:t xml:space="preserve">$69.5 million in depreciation and amortisation </w:t>
      </w:r>
      <w:r w:rsidR="00457A3D">
        <w:rPr>
          <w:i w:val="0"/>
          <w:color w:val="auto"/>
        </w:rPr>
        <w:t xml:space="preserve">expenses </w:t>
      </w:r>
      <w:r w:rsidRPr="00625EFA">
        <w:rPr>
          <w:i w:val="0"/>
          <w:color w:val="auto"/>
        </w:rPr>
        <w:t xml:space="preserve">and a decrease of $22.8 million in gains from </w:t>
      </w:r>
      <w:r w:rsidR="0014158A" w:rsidRPr="00C50527">
        <w:rPr>
          <w:i w:val="0"/>
          <w:color w:val="auto"/>
        </w:rPr>
        <w:t xml:space="preserve">asset </w:t>
      </w:r>
      <w:r w:rsidR="00690EDF" w:rsidRPr="00C50527">
        <w:rPr>
          <w:i w:val="0"/>
          <w:color w:val="auto"/>
        </w:rPr>
        <w:t>sales</w:t>
      </w:r>
      <w:r w:rsidRPr="00C50527">
        <w:rPr>
          <w:i w:val="0"/>
          <w:color w:val="auto"/>
        </w:rPr>
        <w:t>.</w:t>
      </w:r>
    </w:p>
    <w:p w:rsidR="00907015" w:rsidRPr="001D7BEB" w:rsidRDefault="00907015" w:rsidP="00625EFA">
      <w:pPr>
        <w:pStyle w:val="ExampleText0"/>
        <w:rPr>
          <w:rFonts w:ascii="Arial" w:hAnsi="Arial" w:cs="Arial"/>
          <w:b/>
          <w:i w:val="0"/>
          <w:iCs/>
          <w:color w:val="auto"/>
        </w:rPr>
      </w:pPr>
      <w:r w:rsidRPr="001D7BEB">
        <w:rPr>
          <w:rFonts w:ascii="Arial" w:hAnsi="Arial" w:cs="Arial"/>
          <w:b/>
          <w:i w:val="0"/>
          <w:iCs/>
          <w:color w:val="auto"/>
        </w:rPr>
        <w:t xml:space="preserve">Balance sheet – Departmental </w:t>
      </w:r>
    </w:p>
    <w:p w:rsidR="00543374" w:rsidRPr="00EC4613" w:rsidRDefault="00625EFA" w:rsidP="0047758F">
      <w:pPr>
        <w:pStyle w:val="ExampleText0"/>
        <w:jc w:val="both"/>
        <w:rPr>
          <w:i w:val="0"/>
          <w:color w:val="auto"/>
        </w:rPr>
      </w:pPr>
      <w:r w:rsidRPr="00625EFA">
        <w:rPr>
          <w:i w:val="0"/>
          <w:color w:val="auto"/>
        </w:rPr>
        <w:t>The budgeted net asset position as at 30 June 2023 of $3,382.2 million represents a decrease from the $3,461.8 million forecast in the 2021-22 PAES. This is primarily d</w:t>
      </w:r>
      <w:r>
        <w:rPr>
          <w:i w:val="0"/>
          <w:color w:val="auto"/>
        </w:rPr>
        <w:t>ue to revised estimates for non-</w:t>
      </w:r>
      <w:r w:rsidRPr="00625EFA">
        <w:rPr>
          <w:i w:val="0"/>
          <w:color w:val="auto"/>
        </w:rPr>
        <w:t>financial asset balances.</w:t>
      </w: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F19F1" w:rsidRPr="00EC4613" w:rsidRDefault="009F19F1" w:rsidP="00907015">
      <w:pPr>
        <w:pStyle w:val="ExampleText0"/>
        <w:rPr>
          <w:i w:val="0"/>
          <w:iCs/>
          <w:color w:val="auto"/>
        </w:rPr>
      </w:pPr>
    </w:p>
    <w:p w:rsidR="00907015" w:rsidRPr="001D7BEB" w:rsidRDefault="00907015" w:rsidP="00907015">
      <w:pPr>
        <w:pStyle w:val="ExampleText0"/>
        <w:rPr>
          <w:rFonts w:ascii="Arial" w:hAnsi="Arial" w:cs="Arial"/>
          <w:b/>
          <w:i w:val="0"/>
          <w:iCs/>
          <w:color w:val="auto"/>
        </w:rPr>
      </w:pPr>
      <w:r w:rsidRPr="001D7BEB">
        <w:rPr>
          <w:rFonts w:ascii="Arial" w:hAnsi="Arial" w:cs="Arial"/>
          <w:b/>
          <w:i w:val="0"/>
          <w:iCs/>
          <w:color w:val="auto"/>
        </w:rPr>
        <w:lastRenderedPageBreak/>
        <w:t>Schedule of budgeted income and expenses – Administered</w:t>
      </w:r>
    </w:p>
    <w:p w:rsidR="00625EFA" w:rsidRPr="00A8063F" w:rsidRDefault="00625EFA" w:rsidP="0047758F">
      <w:pPr>
        <w:pStyle w:val="ExampleText0"/>
        <w:jc w:val="both"/>
        <w:rPr>
          <w:b/>
          <w:i w:val="0"/>
          <w:color w:val="auto"/>
        </w:rPr>
      </w:pPr>
      <w:r w:rsidRPr="00A8063F">
        <w:rPr>
          <w:b/>
          <w:i w:val="0"/>
          <w:color w:val="auto"/>
        </w:rPr>
        <w:t>2022-23</w:t>
      </w:r>
    </w:p>
    <w:p w:rsidR="00625EFA" w:rsidRPr="00625EFA" w:rsidRDefault="00625EFA" w:rsidP="0047758F">
      <w:pPr>
        <w:pStyle w:val="ExampleText0"/>
        <w:jc w:val="both"/>
        <w:rPr>
          <w:i w:val="0"/>
          <w:color w:val="auto"/>
        </w:rPr>
      </w:pPr>
      <w:r w:rsidRPr="00625EFA">
        <w:rPr>
          <w:i w:val="0"/>
          <w:color w:val="auto"/>
        </w:rPr>
        <w:t>Total Administered income is $2,453.8 million in 2022-23, a decrease from $2,751.4 million reported in the 2021-22 PAES. This is primarily due to revised estimates for interest, dividends and gain on sale of investment for the Australian Government Investments Funds</w:t>
      </w:r>
    </w:p>
    <w:p w:rsidR="00543374" w:rsidRPr="00625EFA" w:rsidRDefault="00625EFA" w:rsidP="0047758F">
      <w:pPr>
        <w:pStyle w:val="ExampleText0"/>
        <w:jc w:val="both"/>
        <w:rPr>
          <w:i w:val="0"/>
          <w:color w:val="auto"/>
        </w:rPr>
      </w:pPr>
      <w:r w:rsidRPr="00625EFA">
        <w:rPr>
          <w:i w:val="0"/>
          <w:color w:val="auto"/>
        </w:rPr>
        <w:t>Finance is budgeting for Administered expenses of $11,666.8 million, an increase from the $11,445.4 million budgeted for in the 2021-22 PAES. This is primarily due to revisions in estimates for superannuation.</w:t>
      </w:r>
    </w:p>
    <w:p w:rsidR="00907015" w:rsidRPr="001D7BEB" w:rsidRDefault="00907015" w:rsidP="00907015">
      <w:pPr>
        <w:pStyle w:val="ExampleText0"/>
        <w:rPr>
          <w:rFonts w:ascii="Arial" w:hAnsi="Arial" w:cs="Arial"/>
          <w:b/>
          <w:i w:val="0"/>
          <w:iCs/>
          <w:color w:val="auto"/>
        </w:rPr>
      </w:pPr>
      <w:r w:rsidRPr="001D7BEB">
        <w:rPr>
          <w:rFonts w:ascii="Arial" w:hAnsi="Arial" w:cs="Arial"/>
          <w:b/>
          <w:i w:val="0"/>
          <w:iCs/>
          <w:color w:val="auto"/>
        </w:rPr>
        <w:t xml:space="preserve">Schedule of </w:t>
      </w:r>
      <w:r w:rsidR="009149FD" w:rsidRPr="001D7BEB">
        <w:rPr>
          <w:rFonts w:ascii="Arial" w:hAnsi="Arial" w:cs="Arial"/>
          <w:b/>
          <w:i w:val="0"/>
          <w:iCs/>
          <w:color w:val="auto"/>
        </w:rPr>
        <w:t>budgeted</w:t>
      </w:r>
      <w:r w:rsidRPr="001D7BEB">
        <w:rPr>
          <w:rFonts w:ascii="Arial" w:hAnsi="Arial" w:cs="Arial"/>
          <w:b/>
          <w:i w:val="0"/>
          <w:iCs/>
          <w:color w:val="auto"/>
        </w:rPr>
        <w:t xml:space="preserve"> assets and liabilities – Administered</w:t>
      </w:r>
    </w:p>
    <w:p w:rsidR="0047758F" w:rsidRDefault="0047758F" w:rsidP="0047758F">
      <w:r>
        <w:t>Administered assets are budgeted to total $51,84</w:t>
      </w:r>
      <w:r w:rsidR="00200577">
        <w:t>5.5</w:t>
      </w:r>
      <w:r>
        <w:t xml:space="preserve"> million by 30 June 2023, a decrease from the $52,813.0 million estimated in the 2021-22 PAES. This is primarily due to investments for the Australian Government Investment Funds.</w:t>
      </w:r>
    </w:p>
    <w:p w:rsidR="00E4582E" w:rsidRDefault="0047758F" w:rsidP="0047758F">
      <w:r>
        <w:t>Administered liabilities are estimated to total $149,123.6 million by 30 June 2023, an increase from the $148,627.0 million estimated in the 2021-22 PAES. This is mainly due to superannuation liabilities.</w:t>
      </w:r>
      <w:r w:rsidR="000A6897">
        <w:br w:type="page"/>
      </w:r>
      <w:bookmarkStart w:id="57" w:name="_Toc444523518"/>
      <w:r w:rsidR="00E4582E" w:rsidRPr="00D232B7">
        <w:rPr>
          <w:rStyle w:val="TableHeadingChar"/>
        </w:rPr>
        <w:lastRenderedPageBreak/>
        <w:t>3.2.</w:t>
      </w:r>
      <w:r w:rsidR="005F29CD" w:rsidRPr="00D232B7">
        <w:rPr>
          <w:rStyle w:val="TableHeadingChar"/>
        </w:rPr>
        <w:tab/>
      </w:r>
      <w:r w:rsidR="00E4582E" w:rsidRPr="00D232B7">
        <w:rPr>
          <w:rStyle w:val="TableHeadingChar"/>
        </w:rPr>
        <w:t xml:space="preserve">Budgeted </w:t>
      </w:r>
      <w:r w:rsidR="00F626C2" w:rsidRPr="00D232B7">
        <w:rPr>
          <w:rStyle w:val="TableHeadingChar"/>
        </w:rPr>
        <w:t>financial statements tables</w:t>
      </w:r>
      <w:bookmarkEnd w:id="57"/>
    </w:p>
    <w:p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p w:rsidR="00174584" w:rsidRPr="00174584" w:rsidRDefault="00266CF9" w:rsidP="00174584">
      <w:pPr>
        <w:pStyle w:val="TableGraphic"/>
        <w:rPr>
          <w:lang w:val="x-none" w:eastAsia="x-none"/>
        </w:rPr>
      </w:pPr>
      <w:r w:rsidRPr="00266CF9">
        <w:rPr>
          <w:noProof/>
        </w:rPr>
        <w:drawing>
          <wp:inline distT="0" distB="0" distL="0" distR="0">
            <wp:extent cx="4895850" cy="5473503"/>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95850" cy="5473503"/>
                    </a:xfrm>
                    <a:prstGeom prst="rect">
                      <a:avLst/>
                    </a:prstGeom>
                    <a:noFill/>
                    <a:ln>
                      <a:noFill/>
                    </a:ln>
                  </pic:spPr>
                </pic:pic>
              </a:graphicData>
            </a:graphic>
          </wp:inline>
        </w:drawing>
      </w:r>
    </w:p>
    <w:p w:rsidR="005A3836" w:rsidRPr="006E7954" w:rsidRDefault="005A3836" w:rsidP="006E7954">
      <w:pPr>
        <w:pStyle w:val="TableHeading"/>
      </w:pPr>
      <w:r w:rsidRPr="005A3836">
        <w:rPr>
          <w:rFonts w:cs="Arial"/>
          <w:b w:val="0"/>
          <w:sz w:val="16"/>
          <w:szCs w:val="16"/>
        </w:rPr>
        <w:t>Table continues on next page</w:t>
      </w:r>
    </w:p>
    <w:p w:rsidR="005A3836" w:rsidRDefault="005A3836" w:rsidP="005A3836">
      <w:pPr>
        <w:pStyle w:val="TableHeadingcontinued"/>
      </w:pPr>
    </w:p>
    <w:p w:rsidR="00146B5E" w:rsidRDefault="007742FF" w:rsidP="00146B5E">
      <w:pPr>
        <w:pStyle w:val="TableHeadingcontinued"/>
        <w:rPr>
          <w:snapToGrid w:val="0"/>
        </w:rPr>
      </w:pPr>
      <w:r w:rsidRPr="005A3836">
        <w:br w:type="page"/>
      </w:r>
      <w:r w:rsidR="00146B5E" w:rsidRPr="00E855E0">
        <w:lastRenderedPageBreak/>
        <w:t>Table</w:t>
      </w:r>
      <w:r w:rsidR="00146B5E">
        <w:t xml:space="preserve"> 3.</w:t>
      </w:r>
      <w:r w:rsidR="00146B5E" w:rsidRPr="00E855E0">
        <w:t>1</w:t>
      </w:r>
      <w:r w:rsidR="00146B5E">
        <w:t>:</w:t>
      </w:r>
      <w:r w:rsidR="00146B5E" w:rsidRPr="00E855E0">
        <w:t xml:space="preserve"> Comprehensive income statement (showing net cost of services)</w:t>
      </w:r>
      <w:r w:rsidR="00146B5E">
        <w:t xml:space="preserve"> </w:t>
      </w:r>
      <w:r w:rsidR="00146B5E">
        <w:rPr>
          <w:snapToGrid w:val="0"/>
        </w:rPr>
        <w:t>for the period ended 30 June</w:t>
      </w:r>
      <w:r w:rsidR="00765A82">
        <w:rPr>
          <w:snapToGrid w:val="0"/>
        </w:rPr>
        <w:t xml:space="preserve"> (continued)</w:t>
      </w:r>
    </w:p>
    <w:p w:rsidR="00C81B4E" w:rsidRPr="00C81B4E" w:rsidRDefault="00C81B4E" w:rsidP="00C81B4E">
      <w:pPr>
        <w:pStyle w:val="TableGraphic"/>
      </w:pPr>
    </w:p>
    <w:p w:rsidR="00C81B4E" w:rsidRPr="00C81B4E" w:rsidRDefault="00C81B4E" w:rsidP="00C81B4E">
      <w:pPr>
        <w:pStyle w:val="TableHeadingNoTable"/>
        <w:spacing w:after="0"/>
      </w:pPr>
      <w:r w:rsidRPr="003819E1">
        <w:t xml:space="preserve">Note: Impact of net </w:t>
      </w:r>
      <w:r>
        <w:t>cash appropriation arrangements</w:t>
      </w:r>
    </w:p>
    <w:p w:rsidR="00A965CD" w:rsidRPr="003819E1" w:rsidRDefault="00671784" w:rsidP="002C1D11">
      <w:pPr>
        <w:pStyle w:val="TableGraphic"/>
        <w:rPr>
          <w:rFonts w:ascii="Arial" w:hAnsi="Arial" w:cs="Arial"/>
        </w:rPr>
      </w:pPr>
      <w:r w:rsidRPr="00671784">
        <w:rPr>
          <w:noProof/>
        </w:rPr>
        <w:drawing>
          <wp:inline distT="0" distB="0" distL="0" distR="0">
            <wp:extent cx="4895850" cy="21558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95850" cy="2155860"/>
                    </a:xfrm>
                    <a:prstGeom prst="rect">
                      <a:avLst/>
                    </a:prstGeom>
                    <a:noFill/>
                    <a:ln>
                      <a:noFill/>
                    </a:ln>
                  </pic:spPr>
                </pic:pic>
              </a:graphicData>
            </a:graphic>
          </wp:inline>
        </w:drawing>
      </w:r>
    </w:p>
    <w:p w:rsidR="0089681B" w:rsidRPr="00B47849" w:rsidRDefault="00DB56F1" w:rsidP="00B47849">
      <w:pPr>
        <w:pStyle w:val="ChartandTableFootnote"/>
      </w:pPr>
      <w:r w:rsidRPr="00B47849">
        <w:t>Prepared on Australian Accounting Standards basis.</w:t>
      </w:r>
    </w:p>
    <w:p w:rsidR="002638DA" w:rsidRPr="004C1F8D" w:rsidRDefault="002638DA" w:rsidP="00DA1F4B">
      <w:pPr>
        <w:pStyle w:val="ChartandTableFootnoteAlpha"/>
        <w:numPr>
          <w:ilvl w:val="0"/>
          <w:numId w:val="46"/>
        </w:numPr>
        <w:jc w:val="left"/>
        <w:rPr>
          <w:color w:val="000000"/>
        </w:rPr>
      </w:pPr>
      <w:r w:rsidRPr="004C1F8D">
        <w:rPr>
          <w:color w:val="000000"/>
        </w:rPr>
        <w:t>From 2010-11, the Government introduced net cash appropriation arrangements where Appropriation Bill (No. 1) revenue appropriations for the depreciation/amortisation expenses of</w:t>
      </w:r>
      <w:r w:rsidR="004C1F8D">
        <w:rPr>
          <w:color w:val="000000"/>
        </w:rPr>
        <w:t xml:space="preserve"> </w:t>
      </w:r>
      <w:r w:rsidRPr="004C1F8D">
        <w:rPr>
          <w:color w:val="000000"/>
        </w:rPr>
        <w:t xml:space="preserve">non-corporate </w:t>
      </w:r>
      <w:r w:rsidR="00012D09" w:rsidRPr="004C1F8D">
        <w:rPr>
          <w:color w:val="000000"/>
        </w:rPr>
        <w:t>Commonwealth</w:t>
      </w:r>
      <w:r w:rsidRPr="004C1F8D">
        <w:rPr>
          <w:color w:val="000000"/>
        </w:rPr>
        <w:t xml:space="preserve"> entities (and select corporate Commonwealth entities) were replaced with a separate capital budget (the DCB) provided through Appropriation Bill (No. 1) equity appropriations. For information regarding DCBs, please refer to Table 3.5 Departmental Capital Budget Statement.</w:t>
      </w:r>
    </w:p>
    <w:p w:rsidR="002638DA" w:rsidRPr="00B47849" w:rsidRDefault="002638DA" w:rsidP="00DA1F4B">
      <w:pPr>
        <w:pStyle w:val="ChartandTableFootnoteAlpha"/>
        <w:numPr>
          <w:ilvl w:val="0"/>
          <w:numId w:val="46"/>
        </w:numPr>
        <w:rPr>
          <w:color w:val="000000"/>
        </w:rPr>
      </w:pPr>
      <w:r w:rsidRPr="00B47849">
        <w:rPr>
          <w:color w:val="000000"/>
        </w:rPr>
        <w:t>Represents the net gain/loss from the government’s non-Defence Property Divestment Program within</w:t>
      </w:r>
      <w:r w:rsidR="004C1F8D">
        <w:rPr>
          <w:color w:val="000000"/>
        </w:rPr>
        <w:t xml:space="preserve"> </w:t>
      </w:r>
      <w:r w:rsidRPr="00B47849">
        <w:rPr>
          <w:color w:val="000000"/>
        </w:rPr>
        <w:t>Australia.</w:t>
      </w:r>
    </w:p>
    <w:p w:rsidR="002638DA" w:rsidRPr="00B47849" w:rsidRDefault="002638DA" w:rsidP="00DA1F4B">
      <w:pPr>
        <w:pStyle w:val="ChartandTableFootnoteAlpha"/>
        <w:numPr>
          <w:ilvl w:val="0"/>
          <w:numId w:val="46"/>
        </w:numPr>
        <w:rPr>
          <w:color w:val="000000"/>
        </w:rPr>
      </w:pPr>
      <w:r w:rsidRPr="00B47849">
        <w:rPr>
          <w:color w:val="000000"/>
        </w:rPr>
        <w:t>Other gains includes resources received free of charge for financial st</w:t>
      </w:r>
      <w:r w:rsidR="004C1F8D">
        <w:rPr>
          <w:color w:val="000000"/>
        </w:rPr>
        <w:t xml:space="preserve">atement audit services from the </w:t>
      </w:r>
      <w:r w:rsidRPr="00B47849">
        <w:rPr>
          <w:color w:val="000000"/>
        </w:rPr>
        <w:t xml:space="preserve">Australian National Audit Office. </w:t>
      </w:r>
    </w:p>
    <w:p w:rsidR="009334AE" w:rsidRDefault="002638DA" w:rsidP="00DA1F4B">
      <w:pPr>
        <w:pStyle w:val="ChartandTableFootnoteAlpha"/>
        <w:numPr>
          <w:ilvl w:val="0"/>
          <w:numId w:val="46"/>
        </w:numPr>
      </w:pPr>
      <w:r w:rsidRPr="00B47849">
        <w:rPr>
          <w:color w:val="000000"/>
        </w:rPr>
        <w:t>Applies to Right-of-Use (ROU) assets under</w:t>
      </w:r>
      <w:r w:rsidRPr="00012D09">
        <w:rPr>
          <w:color w:val="000000"/>
        </w:rPr>
        <w:t xml:space="preserve"> AASB 16 Leases.</w:t>
      </w: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9334AE" w:rsidRDefault="009334AE" w:rsidP="00012D09">
      <w:pPr>
        <w:pStyle w:val="ChartandTableFootnoteAlpha"/>
        <w:tabs>
          <w:tab w:val="num" w:pos="284"/>
        </w:tabs>
        <w:ind w:left="284" w:hanging="284"/>
      </w:pPr>
    </w:p>
    <w:p w:rsidR="006E7320" w:rsidRPr="006E7320" w:rsidRDefault="006E7320" w:rsidP="006E7320"/>
    <w:p w:rsidR="00E4582E" w:rsidRDefault="00525AB1" w:rsidP="00012D09">
      <w:pPr>
        <w:pStyle w:val="ChartandTableFootnoteAlpha"/>
        <w:tabs>
          <w:tab w:val="num" w:pos="284"/>
        </w:tabs>
        <w:ind w:left="284" w:hanging="284"/>
      </w:pPr>
      <w:r w:rsidRPr="009334AE">
        <w:rPr>
          <w:rFonts w:ascii="Arial Bold" w:hAnsi="Arial Bold"/>
          <w:b/>
          <w:sz w:val="20"/>
        </w:rPr>
        <w:lastRenderedPageBreak/>
        <w:t>Table</w:t>
      </w:r>
      <w:r w:rsidR="00971CBF" w:rsidRPr="009334AE">
        <w:rPr>
          <w:rFonts w:ascii="Arial Bold" w:hAnsi="Arial Bold"/>
          <w:b/>
          <w:sz w:val="20"/>
        </w:rPr>
        <w:t xml:space="preserve"> 3.</w:t>
      </w:r>
      <w:r w:rsidRPr="009334AE">
        <w:rPr>
          <w:rFonts w:ascii="Arial Bold" w:hAnsi="Arial Bold"/>
          <w:b/>
          <w:sz w:val="20"/>
        </w:rPr>
        <w:t xml:space="preserve">2: Budgeted </w:t>
      </w:r>
      <w:r w:rsidR="00F626C2" w:rsidRPr="009334AE">
        <w:rPr>
          <w:rFonts w:ascii="Arial Bold" w:hAnsi="Arial Bold"/>
          <w:b/>
          <w:sz w:val="20"/>
        </w:rPr>
        <w:t xml:space="preserve">departmental balance sheet </w:t>
      </w:r>
      <w:r w:rsidRPr="009334AE">
        <w:rPr>
          <w:rFonts w:ascii="Arial Bold" w:hAnsi="Arial Bold"/>
          <w:b/>
          <w:sz w:val="20"/>
        </w:rPr>
        <w:t>(as at 30 June)</w:t>
      </w:r>
    </w:p>
    <w:p w:rsidR="00BB5176" w:rsidRPr="00BB5176" w:rsidRDefault="00140AED" w:rsidP="00BB5176">
      <w:pPr>
        <w:pStyle w:val="TableGraphic"/>
        <w:rPr>
          <w:lang w:val="x-none" w:eastAsia="x-none"/>
        </w:rPr>
      </w:pPr>
      <w:r w:rsidRPr="00140AED">
        <w:rPr>
          <w:noProof/>
        </w:rPr>
        <w:drawing>
          <wp:inline distT="0" distB="0" distL="0" distR="0">
            <wp:extent cx="4895850" cy="5653048"/>
            <wp:effectExtent l="0" t="0" r="0" b="508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95850" cy="5653048"/>
                    </a:xfrm>
                    <a:prstGeom prst="rect">
                      <a:avLst/>
                    </a:prstGeom>
                    <a:noFill/>
                    <a:ln>
                      <a:noFill/>
                    </a:ln>
                  </pic:spPr>
                </pic:pic>
              </a:graphicData>
            </a:graphic>
          </wp:inline>
        </w:drawing>
      </w:r>
    </w:p>
    <w:p w:rsidR="00D606C2" w:rsidRPr="00C26E37" w:rsidRDefault="00D606C2" w:rsidP="00D606C2">
      <w:pPr>
        <w:pStyle w:val="Source"/>
        <w:rPr>
          <w:rFonts w:cs="Arial"/>
        </w:rPr>
      </w:pPr>
      <w:r w:rsidRPr="00C26E37">
        <w:rPr>
          <w:rFonts w:cs="Arial"/>
        </w:rPr>
        <w:t>Prepared on Australian Accounting Standards basis.</w:t>
      </w:r>
    </w:p>
    <w:p w:rsidR="00AC72C2" w:rsidRPr="002C2CB2" w:rsidRDefault="00E4582E" w:rsidP="002C2CB2">
      <w:pPr>
        <w:pStyle w:val="ChartandTableFootnote"/>
        <w:rPr>
          <w:rFonts w:cs="Arial"/>
          <w:color w:val="auto"/>
        </w:rPr>
      </w:pPr>
      <w:r w:rsidRPr="00C26E37">
        <w:rPr>
          <w:rFonts w:cs="Arial"/>
          <w:color w:val="auto"/>
        </w:rPr>
        <w:t>*</w:t>
      </w:r>
      <w:r w:rsidR="0087400E" w:rsidRPr="00C26E37">
        <w:rPr>
          <w:rFonts w:cs="Arial"/>
          <w:color w:val="auto"/>
          <w:lang w:val="en-AU"/>
        </w:rPr>
        <w:t>‘</w:t>
      </w:r>
      <w:r w:rsidRPr="00C26E37">
        <w:rPr>
          <w:rFonts w:cs="Arial"/>
          <w:color w:val="auto"/>
        </w:rPr>
        <w:t>E</w:t>
      </w:r>
      <w:r w:rsidR="00F626C2" w:rsidRPr="00C26E37">
        <w:rPr>
          <w:rFonts w:cs="Arial"/>
          <w:color w:val="auto"/>
        </w:rPr>
        <w:t>quity’</w:t>
      </w:r>
      <w:r w:rsidRPr="00C26E37">
        <w:rPr>
          <w:rFonts w:cs="Arial"/>
          <w:color w:val="auto"/>
        </w:rPr>
        <w:t xml:space="preserve"> is the residual interest in assets after deduction of liabilities.</w:t>
      </w:r>
    </w:p>
    <w:p w:rsidR="00CF5889" w:rsidRPr="00C26E37" w:rsidRDefault="00CF5889" w:rsidP="00DA1F4B">
      <w:pPr>
        <w:pStyle w:val="ChartandTableFootnoteAlpha"/>
        <w:numPr>
          <w:ilvl w:val="0"/>
          <w:numId w:val="45"/>
        </w:numPr>
        <w:rPr>
          <w:rFonts w:cs="Arial"/>
        </w:rPr>
      </w:pPr>
      <w:r w:rsidRPr="00C26E37">
        <w:rPr>
          <w:rFonts w:cs="Arial"/>
        </w:rPr>
        <w:t>Primarily represents appropriation receivable (including capital appropriation) and the special accounts.</w:t>
      </w:r>
    </w:p>
    <w:p w:rsidR="00CF5889" w:rsidRPr="00C26E37" w:rsidRDefault="00CF5889" w:rsidP="00DA1F4B">
      <w:pPr>
        <w:pStyle w:val="ChartandTableFootnoteAlpha"/>
        <w:numPr>
          <w:ilvl w:val="0"/>
          <w:numId w:val="45"/>
        </w:numPr>
      </w:pPr>
      <w:r w:rsidRPr="00C26E37">
        <w:rPr>
          <w:rFonts w:cs="Arial"/>
        </w:rPr>
        <w:t>Primarily</w:t>
      </w:r>
      <w:r w:rsidRPr="00C26E37">
        <w:rPr>
          <w:rFonts w:cs="Arial"/>
          <w:szCs w:val="16"/>
        </w:rPr>
        <w:t xml:space="preserve"> represents properties in the government’s non-Defence property portfolio.</w:t>
      </w:r>
    </w:p>
    <w:p w:rsidR="00132F9E" w:rsidRPr="00152B2B" w:rsidRDefault="00132F9E" w:rsidP="00152B2B"/>
    <w:p w:rsidR="0061675B" w:rsidRPr="00152B2B" w:rsidRDefault="0061675B" w:rsidP="00152B2B"/>
    <w:p w:rsidR="00A16CBA" w:rsidRDefault="000A24C4" w:rsidP="009763C1">
      <w:pPr>
        <w:pStyle w:val="TableHeading"/>
      </w:pPr>
      <w:r>
        <w:br w:type="page"/>
      </w:r>
      <w:r w:rsidR="00A11AAD" w:rsidRPr="00F33D22">
        <w:lastRenderedPageBreak/>
        <w:t>Table 3.3: Departmental statement of changes in equity — summary of movement (Budget year 2022-23)</w:t>
      </w:r>
    </w:p>
    <w:p w:rsidR="00C26E37" w:rsidRPr="00C26E37" w:rsidRDefault="00DD2A8D" w:rsidP="00C26E37">
      <w:pPr>
        <w:pStyle w:val="TableGraphic"/>
        <w:rPr>
          <w:lang w:val="x-none" w:eastAsia="x-none"/>
        </w:rPr>
      </w:pPr>
      <w:r w:rsidRPr="00DD2A8D">
        <w:rPr>
          <w:noProof/>
        </w:rPr>
        <w:drawing>
          <wp:inline distT="0" distB="0" distL="0" distR="0">
            <wp:extent cx="4895850" cy="4302451"/>
            <wp:effectExtent l="0" t="0" r="0" b="317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95850" cy="4302451"/>
                    </a:xfrm>
                    <a:prstGeom prst="rect">
                      <a:avLst/>
                    </a:prstGeom>
                    <a:noFill/>
                    <a:ln>
                      <a:noFill/>
                    </a:ln>
                  </pic:spPr>
                </pic:pic>
              </a:graphicData>
            </a:graphic>
          </wp:inline>
        </w:drawing>
      </w:r>
    </w:p>
    <w:p w:rsidR="004B6034" w:rsidRDefault="00F821E7" w:rsidP="004B6034">
      <w:pPr>
        <w:pStyle w:val="TableGraphic"/>
        <w:rPr>
          <w:rFonts w:ascii="Arial" w:hAnsi="Arial"/>
          <w:sz w:val="16"/>
        </w:rPr>
      </w:pPr>
      <w:r w:rsidRPr="00C26E37">
        <w:rPr>
          <w:rFonts w:ascii="Arial" w:hAnsi="Arial"/>
          <w:sz w:val="16"/>
        </w:rPr>
        <w:t>Prepared on Australian Accounting Standards basis.</w:t>
      </w:r>
    </w:p>
    <w:p w:rsidR="004B6034" w:rsidRPr="004B6034" w:rsidRDefault="004B6034" w:rsidP="009E114C">
      <w:pPr>
        <w:pStyle w:val="ChartandTableFootnoteAlpha"/>
        <w:spacing w:after="20"/>
        <w:jc w:val="left"/>
        <w:rPr>
          <w:rFonts w:cs="Arial"/>
          <w:szCs w:val="16"/>
        </w:rPr>
      </w:pPr>
    </w:p>
    <w:p w:rsidR="00F821E7" w:rsidRPr="004B6034" w:rsidRDefault="00F821E7" w:rsidP="004B6034">
      <w:pPr>
        <w:pStyle w:val="TableGraphic"/>
        <w:rPr>
          <w:rFonts w:ascii="Arial" w:hAnsi="Arial"/>
          <w:sz w:val="16"/>
        </w:rPr>
      </w:pPr>
    </w:p>
    <w:p w:rsidR="00C038D0" w:rsidRPr="00A16CBA" w:rsidRDefault="00C038D0" w:rsidP="00A16CBA">
      <w:pPr>
        <w:pStyle w:val="ChartandTableFootnoteAlpha"/>
        <w:rPr>
          <w:rFonts w:cs="Arial"/>
        </w:rPr>
      </w:pPr>
    </w:p>
    <w:p w:rsidR="00A00283" w:rsidRDefault="000A24C4">
      <w:pPr>
        <w:pStyle w:val="TableHeading"/>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p w:rsidR="00150E8B" w:rsidRDefault="00150E8B" w:rsidP="00104624">
      <w:pPr>
        <w:pStyle w:val="TableGraphic"/>
        <w:rPr>
          <w:noProof/>
        </w:rPr>
      </w:pPr>
      <w:r w:rsidRPr="00150E8B">
        <w:rPr>
          <w:noProof/>
        </w:rPr>
        <w:drawing>
          <wp:inline distT="0" distB="0" distL="0" distR="0">
            <wp:extent cx="4895850" cy="5441823"/>
            <wp:effectExtent l="0" t="0" r="0"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95850" cy="5441823"/>
                    </a:xfrm>
                    <a:prstGeom prst="rect">
                      <a:avLst/>
                    </a:prstGeom>
                    <a:noFill/>
                    <a:ln>
                      <a:noFill/>
                    </a:ln>
                  </pic:spPr>
                </pic:pic>
              </a:graphicData>
            </a:graphic>
          </wp:inline>
        </w:drawing>
      </w:r>
    </w:p>
    <w:p w:rsidR="00E358F6" w:rsidRPr="00104624" w:rsidRDefault="00E358F6" w:rsidP="00104624">
      <w:pPr>
        <w:pStyle w:val="TableGraphic"/>
        <w:rPr>
          <w:lang w:val="x-none" w:eastAsia="x-none"/>
        </w:rPr>
      </w:pPr>
      <w:r w:rsidRPr="000A6CD5">
        <w:rPr>
          <w:rFonts w:ascii="Arial" w:hAnsi="Arial" w:cs="Arial"/>
          <w:sz w:val="16"/>
          <w:szCs w:val="16"/>
          <w:lang w:eastAsia="x-none"/>
        </w:rPr>
        <w:t>Table continues on next page</w:t>
      </w:r>
    </w:p>
    <w:p w:rsidR="00E358F6" w:rsidRPr="00E358F6" w:rsidRDefault="00E358F6" w:rsidP="00E358F6">
      <w:pPr>
        <w:rPr>
          <w:lang w:val="x-none" w:eastAsia="x-none"/>
        </w:rPr>
      </w:pPr>
    </w:p>
    <w:p w:rsidR="00A00283" w:rsidRDefault="00132F9E">
      <w:pPr>
        <w:pStyle w:val="TableHeadingcontinued"/>
      </w:pPr>
      <w:r>
        <w:br w:type="page"/>
      </w:r>
      <w:r w:rsidR="00345CCD" w:rsidRPr="00BD210E">
        <w:lastRenderedPageBreak/>
        <w:t>Table</w:t>
      </w:r>
      <w:r w:rsidR="00971CBF">
        <w:t xml:space="preserve"> 3.</w:t>
      </w:r>
      <w:r w:rsidR="00345CCD" w:rsidRPr="00BD210E">
        <w:t xml:space="preserve">4: Budgeted </w:t>
      </w:r>
      <w:r w:rsidR="00F10305" w:rsidRPr="00BD210E">
        <w:t>departmental statement of cash flows</w:t>
      </w:r>
      <w:r w:rsidR="00F10305">
        <w:t xml:space="preserve"> </w:t>
      </w:r>
      <w:r w:rsidR="00345CCD" w:rsidRPr="00BD210E">
        <w:t>(for the period ended 30 June) (continued)</w:t>
      </w:r>
    </w:p>
    <w:p w:rsidR="00E358F6" w:rsidRPr="00E358F6" w:rsidRDefault="00E26660" w:rsidP="00E358F6">
      <w:pPr>
        <w:pStyle w:val="TableGraphic"/>
      </w:pPr>
      <w:r w:rsidRPr="00E26660">
        <w:rPr>
          <w:noProof/>
        </w:rPr>
        <w:drawing>
          <wp:inline distT="0" distB="0" distL="0" distR="0">
            <wp:extent cx="4895850" cy="3178875"/>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95850" cy="3178875"/>
                    </a:xfrm>
                    <a:prstGeom prst="rect">
                      <a:avLst/>
                    </a:prstGeom>
                    <a:noFill/>
                    <a:ln>
                      <a:noFill/>
                    </a:ln>
                  </pic:spPr>
                </pic:pic>
              </a:graphicData>
            </a:graphic>
          </wp:inline>
        </w:drawing>
      </w:r>
    </w:p>
    <w:p w:rsidR="00345CCD" w:rsidRPr="00132F9E" w:rsidRDefault="00345CCD" w:rsidP="00A9401F">
      <w:pPr>
        <w:pStyle w:val="TableGraphic"/>
        <w:rPr>
          <w:rFonts w:ascii="Arial" w:hAnsi="Arial" w:cs="Arial"/>
          <w:sz w:val="16"/>
          <w:szCs w:val="16"/>
        </w:rPr>
      </w:pPr>
      <w:r w:rsidRPr="00132F9E">
        <w:rPr>
          <w:rFonts w:ascii="Arial" w:hAnsi="Arial" w:cs="Arial"/>
          <w:sz w:val="16"/>
          <w:szCs w:val="16"/>
        </w:rPr>
        <w:t>Prepared on Australian Accounting Standards basis.</w:t>
      </w:r>
    </w:p>
    <w:p w:rsidR="0061675B" w:rsidRPr="00132F9E" w:rsidRDefault="0061675B" w:rsidP="00601A28">
      <w:pPr>
        <w:pStyle w:val="NoSpacing"/>
        <w:rPr>
          <w:rFonts w:ascii="Arial" w:hAnsi="Arial" w:cs="Arial"/>
          <w:sz w:val="16"/>
          <w:szCs w:val="16"/>
        </w:rPr>
      </w:pPr>
    </w:p>
    <w:p w:rsidR="00A00283" w:rsidRDefault="000A24C4">
      <w:pPr>
        <w:pStyle w:val="TableHeading"/>
      </w:pPr>
      <w:r>
        <w:br w:type="page"/>
      </w:r>
      <w:r w:rsidR="008B4464" w:rsidRPr="00AF5C2F">
        <w:lastRenderedPageBreak/>
        <w:t>Table</w:t>
      </w:r>
      <w:r w:rsidR="00971CBF" w:rsidRPr="00AF5C2F">
        <w:t xml:space="preserve"> 3.</w:t>
      </w:r>
      <w:r w:rsidR="008B4464" w:rsidRPr="00AF5C2F">
        <w:t xml:space="preserve">5: </w:t>
      </w:r>
      <w:r w:rsidR="00F54947" w:rsidRPr="00AF5C2F">
        <w:t xml:space="preserve">Departmental </w:t>
      </w:r>
      <w:r w:rsidR="00F10305" w:rsidRPr="00AF5C2F">
        <w:t>capital budget statement</w:t>
      </w:r>
      <w:r w:rsidR="005067C7" w:rsidRPr="00AF5C2F">
        <w:t xml:space="preserve"> (for the period ended 30 June)</w:t>
      </w:r>
    </w:p>
    <w:p w:rsidR="008C78C9" w:rsidRPr="008C78C9" w:rsidRDefault="006E7320" w:rsidP="008C78C9">
      <w:pPr>
        <w:pStyle w:val="TableGraphic"/>
        <w:rPr>
          <w:lang w:val="x-none" w:eastAsia="x-none"/>
        </w:rPr>
      </w:pPr>
      <w:r w:rsidRPr="006E7320">
        <w:rPr>
          <w:noProof/>
        </w:rPr>
        <w:drawing>
          <wp:inline distT="0" distB="0" distL="0" distR="0">
            <wp:extent cx="4895850" cy="334281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895850" cy="3342814"/>
                    </a:xfrm>
                    <a:prstGeom prst="rect">
                      <a:avLst/>
                    </a:prstGeom>
                    <a:noFill/>
                    <a:ln>
                      <a:noFill/>
                    </a:ln>
                  </pic:spPr>
                </pic:pic>
              </a:graphicData>
            </a:graphic>
          </wp:inline>
        </w:drawing>
      </w:r>
    </w:p>
    <w:p w:rsidR="00D606C2" w:rsidRPr="00864333" w:rsidRDefault="00D606C2" w:rsidP="0038323B">
      <w:pPr>
        <w:pStyle w:val="TableGraphic"/>
        <w:jc w:val="left"/>
        <w:rPr>
          <w:rFonts w:ascii="Arial" w:hAnsi="Arial" w:cs="Arial"/>
          <w:sz w:val="16"/>
          <w:szCs w:val="16"/>
        </w:rPr>
      </w:pPr>
      <w:r w:rsidRPr="00864333">
        <w:rPr>
          <w:rFonts w:ascii="Arial" w:hAnsi="Arial" w:cs="Arial"/>
          <w:sz w:val="16"/>
          <w:szCs w:val="16"/>
        </w:rPr>
        <w:t>Prepared on Australian Accounting Standards basis.</w:t>
      </w:r>
    </w:p>
    <w:p w:rsidR="00AC41D0" w:rsidRPr="00864333" w:rsidRDefault="00AC41D0" w:rsidP="00DA1F4B">
      <w:pPr>
        <w:pStyle w:val="ChartandTableFootnoteAlpha"/>
        <w:numPr>
          <w:ilvl w:val="0"/>
          <w:numId w:val="61"/>
        </w:numPr>
        <w:spacing w:after="20"/>
        <w:jc w:val="left"/>
        <w:rPr>
          <w:rFonts w:cs="Arial"/>
          <w:szCs w:val="16"/>
        </w:rPr>
      </w:pPr>
      <w:r w:rsidRPr="00864333">
        <w:rPr>
          <w:rFonts w:cs="Arial"/>
          <w:szCs w:val="16"/>
        </w:rPr>
        <w:t>Does not include annual finance lease costs.</w:t>
      </w:r>
    </w:p>
    <w:p w:rsidR="00AC41D0" w:rsidRPr="00864333" w:rsidRDefault="00AC41D0" w:rsidP="00DA1F4B">
      <w:pPr>
        <w:pStyle w:val="ChartandTableFootnoteAlpha"/>
        <w:numPr>
          <w:ilvl w:val="0"/>
          <w:numId w:val="61"/>
        </w:numPr>
        <w:spacing w:after="20"/>
        <w:jc w:val="left"/>
        <w:rPr>
          <w:rFonts w:cs="Arial"/>
          <w:szCs w:val="16"/>
        </w:rPr>
      </w:pPr>
      <w:r w:rsidRPr="00864333">
        <w:rPr>
          <w:rFonts w:cs="Arial"/>
          <w:szCs w:val="16"/>
        </w:rPr>
        <w:t>Includes the following sources of funding:</w:t>
      </w:r>
    </w:p>
    <w:p w:rsidR="00AC41D0" w:rsidRPr="00864333" w:rsidRDefault="00AC41D0" w:rsidP="00F76FE4">
      <w:pPr>
        <w:pStyle w:val="ListParagraph"/>
        <w:numPr>
          <w:ilvl w:val="0"/>
          <w:numId w:val="20"/>
        </w:numPr>
        <w:spacing w:after="0" w:line="240" w:lineRule="auto"/>
        <w:ind w:left="567" w:hanging="141"/>
        <w:rPr>
          <w:rFonts w:ascii="Arial" w:hAnsi="Arial" w:cs="Arial"/>
          <w:sz w:val="16"/>
          <w:szCs w:val="16"/>
        </w:rPr>
      </w:pPr>
      <w:r w:rsidRPr="00864333">
        <w:rPr>
          <w:rFonts w:ascii="Arial" w:hAnsi="Arial" w:cs="Arial"/>
          <w:sz w:val="16"/>
          <w:szCs w:val="16"/>
        </w:rPr>
        <w:t>Current and prior year annual appropriation.</w:t>
      </w:r>
    </w:p>
    <w:p w:rsidR="00AC41D0" w:rsidRPr="00864333" w:rsidRDefault="00AC41D0" w:rsidP="00F76FE4">
      <w:pPr>
        <w:pStyle w:val="ListParagraph"/>
        <w:numPr>
          <w:ilvl w:val="0"/>
          <w:numId w:val="20"/>
        </w:numPr>
        <w:spacing w:after="0" w:line="240" w:lineRule="auto"/>
        <w:ind w:left="567" w:hanging="141"/>
        <w:rPr>
          <w:rFonts w:ascii="Arial" w:hAnsi="Arial" w:cs="Arial"/>
          <w:sz w:val="16"/>
          <w:szCs w:val="16"/>
        </w:rPr>
      </w:pPr>
      <w:r w:rsidRPr="00864333">
        <w:rPr>
          <w:rFonts w:ascii="Arial" w:hAnsi="Arial" w:cs="Arial"/>
          <w:sz w:val="16"/>
          <w:szCs w:val="16"/>
        </w:rPr>
        <w:t>Funds held in special accounts.</w:t>
      </w:r>
    </w:p>
    <w:p w:rsidR="00E855E0" w:rsidRPr="004C1F8D" w:rsidRDefault="00E855E0" w:rsidP="0061675B">
      <w:pPr>
        <w:pStyle w:val="NoSpacing"/>
        <w:rPr>
          <w:lang w:val="en-US"/>
        </w:rPr>
      </w:pPr>
    </w:p>
    <w:p w:rsidR="00982444" w:rsidRPr="004C1F8D" w:rsidRDefault="00982444"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Pr="004C1F8D" w:rsidRDefault="00F40A46" w:rsidP="0061675B">
      <w:pPr>
        <w:pStyle w:val="ExampleText0"/>
        <w:rPr>
          <w:color w:val="auto"/>
        </w:rPr>
      </w:pPr>
    </w:p>
    <w:p w:rsidR="00F40A46" w:rsidRDefault="00F40A46" w:rsidP="00F40A46">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p w:rsidR="00334137" w:rsidRPr="00334137" w:rsidRDefault="003B3D60" w:rsidP="00334137">
      <w:pPr>
        <w:pStyle w:val="TableGraphic"/>
        <w:rPr>
          <w:lang w:val="x-none" w:eastAsia="x-none"/>
        </w:rPr>
      </w:pPr>
      <w:r w:rsidRPr="003B3D60">
        <w:rPr>
          <w:noProof/>
        </w:rPr>
        <w:drawing>
          <wp:inline distT="0" distB="0" distL="0" distR="0">
            <wp:extent cx="4895850" cy="5593623"/>
            <wp:effectExtent l="0" t="0" r="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95850" cy="5593623"/>
                    </a:xfrm>
                    <a:prstGeom prst="rect">
                      <a:avLst/>
                    </a:prstGeom>
                    <a:noFill/>
                    <a:ln>
                      <a:noFill/>
                    </a:ln>
                  </pic:spPr>
                </pic:pic>
              </a:graphicData>
            </a:graphic>
          </wp:inline>
        </w:drawing>
      </w:r>
    </w:p>
    <w:p w:rsidR="00AE37DD" w:rsidRPr="00930570" w:rsidRDefault="00AE37DD" w:rsidP="00930570">
      <w:pPr>
        <w:pStyle w:val="ChartandTableFootnoteAlpha"/>
        <w:tabs>
          <w:tab w:val="num" w:pos="284"/>
        </w:tabs>
        <w:ind w:left="284" w:hanging="284"/>
        <w:rPr>
          <w:color w:val="000000"/>
        </w:rPr>
      </w:pPr>
      <w:r w:rsidRPr="00930570">
        <w:rPr>
          <w:color w:val="000000"/>
        </w:rPr>
        <w:t>Prepared on Australian Accounting Standards basis:</w:t>
      </w:r>
    </w:p>
    <w:p w:rsidR="00AE37DD" w:rsidRPr="00930570" w:rsidRDefault="00AE37DD" w:rsidP="00DA1F4B">
      <w:pPr>
        <w:pStyle w:val="ChartandTableFootnoteAlpha"/>
        <w:numPr>
          <w:ilvl w:val="0"/>
          <w:numId w:val="43"/>
        </w:numPr>
        <w:rPr>
          <w:color w:val="000000"/>
        </w:rPr>
      </w:pPr>
      <w:r w:rsidRPr="00930570">
        <w:rPr>
          <w:color w:val="000000"/>
        </w:rPr>
        <w:t>‘Appropriation equity’ refers to equity injection appropriations provided through Appropriation Bill (No. 2) 202</w:t>
      </w:r>
      <w:r w:rsidR="002C2CB2" w:rsidRPr="00930570">
        <w:rPr>
          <w:color w:val="000000"/>
        </w:rPr>
        <w:t>2</w:t>
      </w:r>
      <w:r w:rsidRPr="00930570">
        <w:rPr>
          <w:color w:val="000000"/>
        </w:rPr>
        <w:t>-2</w:t>
      </w:r>
      <w:r w:rsidR="002C2CB2" w:rsidRPr="00930570">
        <w:rPr>
          <w:color w:val="000000"/>
        </w:rPr>
        <w:t>3</w:t>
      </w:r>
      <w:r w:rsidRPr="00930570">
        <w:rPr>
          <w:color w:val="000000"/>
        </w:rPr>
        <w:t xml:space="preserve">. </w:t>
      </w:r>
    </w:p>
    <w:p w:rsidR="00AE37DD" w:rsidRPr="00930570" w:rsidRDefault="00AE37DD" w:rsidP="00DA1F4B">
      <w:pPr>
        <w:pStyle w:val="ChartandTableFootnoteAlpha"/>
        <w:numPr>
          <w:ilvl w:val="0"/>
          <w:numId w:val="43"/>
        </w:numPr>
        <w:jc w:val="left"/>
        <w:rPr>
          <w:color w:val="000000"/>
        </w:rPr>
      </w:pPr>
      <w:r w:rsidRPr="00930570">
        <w:rPr>
          <w:color w:val="000000"/>
        </w:rPr>
        <w:t>‘Appropriation ordinary annual services’ refers to funding provided through Appropriation Bill (No. 1) 202</w:t>
      </w:r>
      <w:r w:rsidR="002C2CB2" w:rsidRPr="00930570">
        <w:rPr>
          <w:color w:val="000000"/>
        </w:rPr>
        <w:t>2-23</w:t>
      </w:r>
      <w:r w:rsidRPr="00930570">
        <w:rPr>
          <w:color w:val="000000"/>
        </w:rPr>
        <w:t xml:space="preserve"> for depreciation/amortisation expenses, DCBs or other operational expenses.</w:t>
      </w:r>
    </w:p>
    <w:p w:rsidR="00266E0D" w:rsidRPr="00930570" w:rsidRDefault="00AE37DD" w:rsidP="00DA1F4B">
      <w:pPr>
        <w:pStyle w:val="ChartandTableFootnoteAlpha"/>
        <w:numPr>
          <w:ilvl w:val="0"/>
          <w:numId w:val="43"/>
        </w:numPr>
        <w:rPr>
          <w:color w:val="000000"/>
        </w:rPr>
      </w:pPr>
      <w:r w:rsidRPr="00930570">
        <w:rPr>
          <w:color w:val="000000"/>
        </w:rPr>
        <w:t xml:space="preserve">Net proceeds may be returned to the Official </w:t>
      </w:r>
      <w:r w:rsidR="009758AD" w:rsidRPr="00930570">
        <w:rPr>
          <w:color w:val="000000"/>
        </w:rPr>
        <w:t>Public Account</w:t>
      </w:r>
      <w:r w:rsidR="005F40EE">
        <w:rPr>
          <w:color w:val="000000"/>
        </w:rPr>
        <w:t>.</w:t>
      </w:r>
    </w:p>
    <w:p w:rsidR="00266E0D" w:rsidRPr="00334137" w:rsidRDefault="00266E0D">
      <w:pPr>
        <w:spacing w:after="0" w:line="240" w:lineRule="auto"/>
        <w:jc w:val="left"/>
        <w:rPr>
          <w:rFonts w:ascii="Arial" w:hAnsi="Arial" w:cs="Arial"/>
          <w:color w:val="FF0000"/>
          <w:sz w:val="16"/>
          <w:szCs w:val="16"/>
        </w:rPr>
      </w:pPr>
      <w:r w:rsidRPr="00334137">
        <w:rPr>
          <w:rFonts w:ascii="Arial" w:hAnsi="Arial" w:cs="Arial"/>
          <w:color w:val="FF0000"/>
          <w:szCs w:val="16"/>
        </w:rPr>
        <w:br w:type="page"/>
      </w:r>
    </w:p>
    <w:p w:rsidR="004B0D66" w:rsidRPr="00855DF4" w:rsidRDefault="00D30CBA" w:rsidP="000F54E8">
      <w:pPr>
        <w:pStyle w:val="TableHeading"/>
      </w:pPr>
      <w:r w:rsidRPr="00855DF4">
        <w:lastRenderedPageBreak/>
        <w:t>Table</w:t>
      </w:r>
      <w:r w:rsidR="00971CBF" w:rsidRPr="00855DF4">
        <w:t xml:space="preserve"> 3.</w:t>
      </w:r>
      <w:r w:rsidR="00B93884" w:rsidRPr="00855DF4">
        <w:t>7</w:t>
      </w:r>
      <w:r w:rsidRPr="00855DF4">
        <w:t xml:space="preserve">: Schedule of </w:t>
      </w:r>
      <w:r w:rsidR="00F10305" w:rsidRPr="00855DF4">
        <w:t>budgeted income and expenses administered on behalf of</w:t>
      </w:r>
      <w:r w:rsidR="002C7A63" w:rsidRPr="00855DF4">
        <w:t xml:space="preserve"> G</w:t>
      </w:r>
      <w:r w:rsidRPr="00855DF4">
        <w:t>ove</w:t>
      </w:r>
      <w:r w:rsidR="004F5573" w:rsidRPr="00855DF4">
        <w:t>rnment (for the period ended 30 </w:t>
      </w:r>
      <w:r w:rsidRPr="00855DF4">
        <w:t>June)</w:t>
      </w:r>
    </w:p>
    <w:p w:rsidR="00852EEF" w:rsidRDefault="00756AD6" w:rsidP="0044552A">
      <w:pPr>
        <w:pStyle w:val="TableGraphic"/>
      </w:pPr>
      <w:r w:rsidRPr="00756AD6">
        <w:rPr>
          <w:noProof/>
        </w:rPr>
        <w:drawing>
          <wp:inline distT="0" distB="0" distL="0" distR="0">
            <wp:extent cx="4895850" cy="5285211"/>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95850" cy="5285211"/>
                    </a:xfrm>
                    <a:prstGeom prst="rect">
                      <a:avLst/>
                    </a:prstGeom>
                    <a:noFill/>
                    <a:ln>
                      <a:noFill/>
                    </a:ln>
                  </pic:spPr>
                </pic:pic>
              </a:graphicData>
            </a:graphic>
          </wp:inline>
        </w:drawing>
      </w:r>
    </w:p>
    <w:p w:rsidR="004E0AE1" w:rsidRPr="00930570" w:rsidRDefault="00DD53A9" w:rsidP="00930570">
      <w:pPr>
        <w:pStyle w:val="ChartandTableFootnoteAlpha"/>
        <w:tabs>
          <w:tab w:val="num" w:pos="284"/>
        </w:tabs>
        <w:ind w:left="284" w:hanging="284"/>
        <w:rPr>
          <w:color w:val="000000"/>
        </w:rPr>
      </w:pPr>
      <w:r w:rsidRPr="00930570">
        <w:rPr>
          <w:color w:val="000000"/>
        </w:rPr>
        <w:t>Prepared on Australian Accounting Standards basis</w:t>
      </w:r>
      <w:r w:rsidR="009A5F36" w:rsidRPr="00930570">
        <w:rPr>
          <w:color w:val="000000"/>
        </w:rPr>
        <w:t>.</w:t>
      </w:r>
    </w:p>
    <w:p w:rsidR="004E0AE1" w:rsidRPr="00930570" w:rsidRDefault="004E0AE1" w:rsidP="00DA1F4B">
      <w:pPr>
        <w:pStyle w:val="ChartandTableFootnoteAlpha"/>
        <w:numPr>
          <w:ilvl w:val="0"/>
          <w:numId w:val="42"/>
        </w:numPr>
        <w:ind w:left="357" w:hanging="357"/>
        <w:rPr>
          <w:color w:val="000000"/>
        </w:rPr>
      </w:pPr>
      <w:r w:rsidRPr="00930570">
        <w:rPr>
          <w:color w:val="000000"/>
        </w:rPr>
        <w:t xml:space="preserve">Estimates of distributions to be transferred from the Australian Government Investment Funds. This item </w:t>
      </w:r>
      <w:r w:rsidR="008A3B54">
        <w:rPr>
          <w:color w:val="000000"/>
        </w:rPr>
        <w:t xml:space="preserve">          </w:t>
      </w:r>
      <w:r w:rsidRPr="00930570">
        <w:rPr>
          <w:color w:val="000000"/>
        </w:rPr>
        <w:t>does not include equity payments. For more detail on each fund, refer to Tables 2.2.1.1 to 2.2.1.5</w:t>
      </w:r>
      <w:r w:rsidR="006B5595">
        <w:rPr>
          <w:color w:val="000000"/>
        </w:rPr>
        <w:t>.</w:t>
      </w:r>
    </w:p>
    <w:p w:rsidR="004E0AE1" w:rsidRPr="00930570" w:rsidRDefault="004E0AE1" w:rsidP="00DA1F4B">
      <w:pPr>
        <w:pStyle w:val="ChartandTableFootnoteAlpha"/>
        <w:numPr>
          <w:ilvl w:val="0"/>
          <w:numId w:val="42"/>
        </w:numPr>
        <w:ind w:left="357" w:hanging="357"/>
        <w:rPr>
          <w:color w:val="000000"/>
        </w:rPr>
      </w:pPr>
      <w:r w:rsidRPr="00930570">
        <w:rPr>
          <w:color w:val="000000"/>
        </w:rPr>
        <w:t>From 2010-11, the Government introduced net cash appropriation arrangements where Bill 1 revenue appropriations for the depreciation/amortisation expenses of non-corporate Commonwealth entities were replaced with a separate capital budget (the Administered Capital Budget, or ACB) provided through Bill 1 equity appropriations. For information regarding ACBs, please refer to Table 3.10 Administered Capital Budget Statement.</w:t>
      </w:r>
    </w:p>
    <w:p w:rsidR="004E0AE1" w:rsidRPr="00930570" w:rsidRDefault="004E0AE1" w:rsidP="00DA1F4B">
      <w:pPr>
        <w:pStyle w:val="ChartandTableFootnoteAlpha"/>
        <w:numPr>
          <w:ilvl w:val="0"/>
          <w:numId w:val="42"/>
        </w:numPr>
        <w:ind w:left="357" w:hanging="357"/>
        <w:rPr>
          <w:color w:val="000000"/>
        </w:rPr>
      </w:pPr>
      <w:r w:rsidRPr="00930570">
        <w:rPr>
          <w:color w:val="000000"/>
        </w:rPr>
        <w:t>Includes earnings for the Australian Government Investment Funds and corporate Commonwealth entities.</w:t>
      </w:r>
    </w:p>
    <w:p w:rsidR="0061675B" w:rsidRPr="00930570" w:rsidRDefault="004E0AE1" w:rsidP="00DA1F4B">
      <w:pPr>
        <w:pStyle w:val="ChartandTableFootnoteAlpha"/>
        <w:numPr>
          <w:ilvl w:val="0"/>
          <w:numId w:val="42"/>
        </w:numPr>
        <w:ind w:left="357" w:hanging="357"/>
        <w:rPr>
          <w:color w:val="000000"/>
        </w:rPr>
      </w:pPr>
      <w:r w:rsidRPr="00930570">
        <w:rPr>
          <w:color w:val="000000"/>
        </w:rPr>
        <w:t>Principally Commonwealth Superannuation Scheme (CSS) and Public Sector Superannuation Scheme (PSS) notional employer superannuation contributions.</w:t>
      </w:r>
    </w:p>
    <w:p w:rsidR="00D30CBA" w:rsidRDefault="000A24C4" w:rsidP="00146B5E">
      <w:pPr>
        <w:pStyle w:val="TableHeading"/>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p w:rsidR="00471FDA" w:rsidRPr="00471FDA" w:rsidRDefault="00CD54B0" w:rsidP="00471FDA">
      <w:pPr>
        <w:pStyle w:val="TableGraphic"/>
        <w:rPr>
          <w:lang w:val="x-none" w:eastAsia="x-none"/>
        </w:rPr>
      </w:pPr>
      <w:r w:rsidRPr="00CD54B0">
        <w:rPr>
          <w:noProof/>
        </w:rPr>
        <w:drawing>
          <wp:inline distT="0" distB="0" distL="0" distR="0">
            <wp:extent cx="4895850" cy="42166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895850" cy="4216690"/>
                    </a:xfrm>
                    <a:prstGeom prst="rect">
                      <a:avLst/>
                    </a:prstGeom>
                    <a:noFill/>
                    <a:ln>
                      <a:noFill/>
                    </a:ln>
                  </pic:spPr>
                </pic:pic>
              </a:graphicData>
            </a:graphic>
          </wp:inline>
        </w:drawing>
      </w:r>
    </w:p>
    <w:p w:rsidR="00C93FD5" w:rsidRPr="00930570" w:rsidRDefault="007A0BB9" w:rsidP="00930570">
      <w:pPr>
        <w:pStyle w:val="ChartandTableFootnoteAlpha"/>
        <w:tabs>
          <w:tab w:val="num" w:pos="284"/>
        </w:tabs>
        <w:ind w:left="284" w:hanging="284"/>
        <w:rPr>
          <w:color w:val="000000"/>
        </w:rPr>
      </w:pPr>
      <w:r w:rsidRPr="00930570">
        <w:rPr>
          <w:color w:val="000000"/>
        </w:rPr>
        <w:t>Prepared on Australian Accounting Standards basis.</w:t>
      </w:r>
    </w:p>
    <w:p w:rsidR="00F96452" w:rsidRPr="00930570" w:rsidRDefault="00C93FD5" w:rsidP="00DA1F4B">
      <w:pPr>
        <w:pStyle w:val="ChartandTableFootnoteAlpha"/>
        <w:numPr>
          <w:ilvl w:val="0"/>
          <w:numId w:val="41"/>
        </w:numPr>
        <w:rPr>
          <w:color w:val="000000"/>
        </w:rPr>
      </w:pPr>
      <w:r w:rsidRPr="00930570">
        <w:rPr>
          <w:color w:val="000000"/>
        </w:rPr>
        <w:t>Represents balance held in the DHA Borro</w:t>
      </w:r>
      <w:r w:rsidR="00F96452" w:rsidRPr="00930570">
        <w:rPr>
          <w:color w:val="000000"/>
        </w:rPr>
        <w:t>wings Special Account 2020.</w:t>
      </w:r>
    </w:p>
    <w:p w:rsidR="00C93FD5" w:rsidRPr="00930570" w:rsidRDefault="00C93FD5" w:rsidP="00DA1F4B">
      <w:pPr>
        <w:pStyle w:val="ChartandTableFootnoteAlpha"/>
        <w:numPr>
          <w:ilvl w:val="0"/>
          <w:numId w:val="41"/>
        </w:numPr>
        <w:jc w:val="left"/>
        <w:rPr>
          <w:color w:val="000000"/>
        </w:rPr>
      </w:pPr>
      <w:r w:rsidRPr="00930570">
        <w:rPr>
          <w:color w:val="000000"/>
        </w:rPr>
        <w:t>Represents investments in the Australian Government Investment Funds. Also represented are investments in other Commonwealth entities that are</w:t>
      </w:r>
      <w:r w:rsidR="00A67D19">
        <w:rPr>
          <w:color w:val="000000"/>
        </w:rPr>
        <w:t xml:space="preserve"> 100% owned by the Commonwealth.</w:t>
      </w:r>
    </w:p>
    <w:p w:rsidR="00C93FD5" w:rsidRPr="00362CFE" w:rsidRDefault="00C93FD5" w:rsidP="00DA1F4B">
      <w:pPr>
        <w:pStyle w:val="ChartandTableFootnoteAlpha"/>
        <w:numPr>
          <w:ilvl w:val="0"/>
          <w:numId w:val="41"/>
        </w:numPr>
        <w:rPr>
          <w:color w:val="000000"/>
        </w:rPr>
      </w:pPr>
      <w:r w:rsidRPr="00930570">
        <w:rPr>
          <w:color w:val="000000"/>
        </w:rPr>
        <w:t>Represents Life Gold Pass Holders liabilities and employee provisio</w:t>
      </w:r>
      <w:r w:rsidR="00362CFE">
        <w:rPr>
          <w:color w:val="000000"/>
        </w:rPr>
        <w:t xml:space="preserve">ns for staff employed under the </w:t>
      </w:r>
      <w:r w:rsidRPr="00362CFE">
        <w:rPr>
          <w:i/>
          <w:color w:val="000000"/>
        </w:rPr>
        <w:t>Members of Parliament (Staff) Act 1984.</w:t>
      </w:r>
    </w:p>
    <w:p w:rsidR="0061675B" w:rsidRPr="00B7521F" w:rsidRDefault="0061675B" w:rsidP="00B7521F">
      <w:pPr>
        <w:pStyle w:val="SingleParagraph"/>
        <w:spacing w:line="240" w:lineRule="auto"/>
        <w:rPr>
          <w:rFonts w:ascii="Arial" w:hAnsi="Arial" w:cs="Arial"/>
          <w:sz w:val="16"/>
          <w:szCs w:val="16"/>
        </w:rPr>
      </w:pPr>
    </w:p>
    <w:p w:rsidR="00A67D19" w:rsidRDefault="00A67D19" w:rsidP="00146B5E">
      <w:pPr>
        <w:pStyle w:val="TableHeading"/>
      </w:pPr>
      <w:bookmarkStart w:id="58" w:name="OLE_LINK1"/>
    </w:p>
    <w:p w:rsidR="00A67D19" w:rsidRDefault="00A67D19" w:rsidP="00146B5E">
      <w:pPr>
        <w:pStyle w:val="TableHeading"/>
      </w:pPr>
    </w:p>
    <w:p w:rsidR="00A67D19" w:rsidRDefault="00A67D19" w:rsidP="00146B5E">
      <w:pPr>
        <w:pStyle w:val="TableHeading"/>
      </w:pPr>
    </w:p>
    <w:p w:rsidR="00A67D19" w:rsidRDefault="00A67D19" w:rsidP="00A67D19">
      <w:pPr>
        <w:pStyle w:val="TableHeading"/>
        <w:tabs>
          <w:tab w:val="left" w:pos="6956"/>
        </w:tabs>
      </w:pPr>
      <w:r>
        <w:tab/>
      </w:r>
    </w:p>
    <w:p w:rsidR="00C41D55" w:rsidRDefault="000A24C4" w:rsidP="00146B5E">
      <w:pPr>
        <w:pStyle w:val="TableHeading"/>
      </w:pPr>
      <w:r w:rsidRPr="00A67D19">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p w:rsidR="00020766" w:rsidRPr="00020766" w:rsidRDefault="00005CA1" w:rsidP="00020766">
      <w:pPr>
        <w:pStyle w:val="TableGraphic"/>
        <w:rPr>
          <w:lang w:val="x-none" w:eastAsia="x-none"/>
        </w:rPr>
      </w:pPr>
      <w:r w:rsidRPr="00005CA1">
        <w:rPr>
          <w:noProof/>
        </w:rPr>
        <w:drawing>
          <wp:inline distT="0" distB="0" distL="0" distR="0">
            <wp:extent cx="4895850" cy="6434088"/>
            <wp:effectExtent l="0" t="0" r="0" b="508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95850" cy="6434088"/>
                    </a:xfrm>
                    <a:prstGeom prst="rect">
                      <a:avLst/>
                    </a:prstGeom>
                    <a:noFill/>
                    <a:ln>
                      <a:noFill/>
                    </a:ln>
                  </pic:spPr>
                </pic:pic>
              </a:graphicData>
            </a:graphic>
          </wp:inline>
        </w:drawing>
      </w:r>
    </w:p>
    <w:p w:rsidR="0044552A" w:rsidRPr="00020766" w:rsidRDefault="00020766" w:rsidP="009A5F36">
      <w:pPr>
        <w:pStyle w:val="TableGraphic"/>
        <w:rPr>
          <w:rFonts w:ascii="Arial" w:hAnsi="Arial" w:cs="Arial"/>
          <w:sz w:val="16"/>
          <w:szCs w:val="16"/>
        </w:rPr>
      </w:pPr>
      <w:r w:rsidRPr="00020766">
        <w:rPr>
          <w:rFonts w:ascii="Arial" w:hAnsi="Arial" w:cs="Arial"/>
          <w:noProof/>
          <w:sz w:val="16"/>
          <w:szCs w:val="16"/>
          <w:lang w:eastAsia="zh-CN"/>
        </w:rPr>
        <w:t>Table continues on next page</w:t>
      </w:r>
    </w:p>
    <w:p w:rsidR="0061675B" w:rsidRPr="00B7521F" w:rsidRDefault="0061675B" w:rsidP="00AF560E">
      <w:pPr>
        <w:pStyle w:val="NoSpacing"/>
        <w:rPr>
          <w:rFonts w:ascii="Arial" w:hAnsi="Arial" w:cs="Arial"/>
          <w:sz w:val="16"/>
          <w:szCs w:val="16"/>
        </w:rPr>
      </w:pPr>
    </w:p>
    <w:bookmarkEnd w:id="58"/>
    <w:p w:rsidR="00C41D55" w:rsidRDefault="00B7521F" w:rsidP="00146B5E">
      <w:pPr>
        <w:pStyle w:val="TableHeadingcontinued"/>
      </w:pPr>
      <w:r>
        <w:br w:type="page"/>
      </w:r>
      <w:r w:rsidR="00C41D55" w:rsidRPr="004C5507">
        <w:lastRenderedPageBreak/>
        <w:t>Table</w:t>
      </w:r>
      <w:r w:rsidR="00971CBF">
        <w:t xml:space="preserve"> 3.</w:t>
      </w:r>
      <w:r w:rsidR="00F81CE4">
        <w:t>9</w:t>
      </w:r>
      <w:r w:rsidR="00C41D55" w:rsidRPr="004C5507">
        <w:t xml:space="preserve">: Schedule of </w:t>
      </w:r>
      <w:r w:rsidR="00A20C5D" w:rsidRPr="004C5507">
        <w:t>budgeted administered cash flows</w:t>
      </w:r>
      <w:r w:rsidR="00A20C5D">
        <w:t xml:space="preserve"> </w:t>
      </w:r>
      <w:r w:rsidR="00C41D55" w:rsidRPr="004C5507">
        <w:t>(for the period ended 30 June) (continued)</w:t>
      </w:r>
    </w:p>
    <w:p w:rsidR="000921EE" w:rsidRPr="000921EE" w:rsidRDefault="00005CA1" w:rsidP="000921EE">
      <w:pPr>
        <w:pStyle w:val="TableGraphic"/>
      </w:pPr>
      <w:r w:rsidRPr="00005CA1">
        <w:rPr>
          <w:noProof/>
        </w:rPr>
        <w:drawing>
          <wp:inline distT="0" distB="0" distL="0" distR="0">
            <wp:extent cx="4895850" cy="471150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95850" cy="4711508"/>
                    </a:xfrm>
                    <a:prstGeom prst="rect">
                      <a:avLst/>
                    </a:prstGeom>
                    <a:noFill/>
                    <a:ln>
                      <a:noFill/>
                    </a:ln>
                  </pic:spPr>
                </pic:pic>
              </a:graphicData>
            </a:graphic>
          </wp:inline>
        </w:drawing>
      </w:r>
    </w:p>
    <w:p w:rsidR="004061FD" w:rsidRPr="00930570" w:rsidRDefault="00B94ADF" w:rsidP="00930570">
      <w:pPr>
        <w:pStyle w:val="ChartandTableFootnoteAlpha"/>
        <w:tabs>
          <w:tab w:val="num" w:pos="284"/>
        </w:tabs>
        <w:ind w:left="284" w:hanging="284"/>
        <w:rPr>
          <w:color w:val="000000"/>
        </w:rPr>
      </w:pPr>
      <w:r w:rsidRPr="00930570">
        <w:rPr>
          <w:color w:val="000000"/>
        </w:rPr>
        <w:t>Prepared on Australian Accounting Standards basis.</w:t>
      </w:r>
    </w:p>
    <w:p w:rsidR="004061FD" w:rsidRPr="00930570" w:rsidRDefault="004061FD" w:rsidP="00DA1F4B">
      <w:pPr>
        <w:pStyle w:val="ChartandTableFootnoteAlpha"/>
        <w:numPr>
          <w:ilvl w:val="0"/>
          <w:numId w:val="39"/>
        </w:numPr>
        <w:ind w:left="357" w:hanging="357"/>
        <w:rPr>
          <w:color w:val="000000"/>
        </w:rPr>
      </w:pPr>
      <w:r w:rsidRPr="00930570">
        <w:rPr>
          <w:color w:val="000000"/>
        </w:rPr>
        <w:t>Estimates include interest earnings for the Australian Government Investment Funds. For more detail on the interest estimates for each fund, refer to Tables 2.2.1.1 to 2.2.1.5.</w:t>
      </w:r>
    </w:p>
    <w:p w:rsidR="004061FD" w:rsidRPr="00930570" w:rsidRDefault="004061FD" w:rsidP="00DA1F4B">
      <w:pPr>
        <w:pStyle w:val="ChartandTableFootnoteAlpha"/>
        <w:numPr>
          <w:ilvl w:val="0"/>
          <w:numId w:val="39"/>
        </w:numPr>
        <w:ind w:left="357" w:hanging="357"/>
        <w:rPr>
          <w:color w:val="000000"/>
        </w:rPr>
      </w:pPr>
      <w:r w:rsidRPr="00930570">
        <w:rPr>
          <w:color w:val="000000"/>
        </w:rPr>
        <w:t>Primarily represents the CSS and PSS notional employer contributions.</w:t>
      </w:r>
    </w:p>
    <w:p w:rsidR="004061FD" w:rsidRPr="00930570" w:rsidRDefault="004061FD" w:rsidP="00DA1F4B">
      <w:pPr>
        <w:pStyle w:val="ChartandTableFootnoteAlpha"/>
        <w:numPr>
          <w:ilvl w:val="0"/>
          <w:numId w:val="39"/>
        </w:numPr>
        <w:ind w:left="357" w:hanging="357"/>
        <w:rPr>
          <w:color w:val="000000"/>
        </w:rPr>
      </w:pPr>
      <w:r w:rsidRPr="00930570">
        <w:rPr>
          <w:color w:val="000000"/>
        </w:rPr>
        <w:t>Primarily represents offsets from the CSS and PSS funds and return of overpaid benefits.</w:t>
      </w:r>
    </w:p>
    <w:p w:rsidR="004061FD" w:rsidRPr="00930570" w:rsidRDefault="004061FD" w:rsidP="00DA1F4B">
      <w:pPr>
        <w:pStyle w:val="ChartandTableFootnoteAlpha"/>
        <w:numPr>
          <w:ilvl w:val="0"/>
          <w:numId w:val="39"/>
        </w:numPr>
        <w:ind w:left="357" w:hanging="357"/>
        <w:rPr>
          <w:color w:val="000000"/>
        </w:rPr>
      </w:pPr>
      <w:r w:rsidRPr="00930570">
        <w:rPr>
          <w:color w:val="000000"/>
        </w:rPr>
        <w:t xml:space="preserve">Represents expenditure on staff employed under the </w:t>
      </w:r>
      <w:r w:rsidRPr="00177DE4">
        <w:rPr>
          <w:i/>
          <w:color w:val="000000"/>
        </w:rPr>
        <w:t>Members of Parliament (Staff) Act 1984</w:t>
      </w:r>
      <w:r w:rsidRPr="00930570">
        <w:rPr>
          <w:color w:val="000000"/>
        </w:rPr>
        <w:t>.</w:t>
      </w:r>
    </w:p>
    <w:p w:rsidR="004061FD" w:rsidRPr="00930570" w:rsidRDefault="004061FD" w:rsidP="00DA1F4B">
      <w:pPr>
        <w:pStyle w:val="ChartandTableFootnoteAlpha"/>
        <w:numPr>
          <w:ilvl w:val="0"/>
          <w:numId w:val="39"/>
        </w:numPr>
        <w:ind w:left="357" w:hanging="357"/>
        <w:rPr>
          <w:color w:val="000000"/>
        </w:rPr>
      </w:pPr>
      <w:r w:rsidRPr="00930570">
        <w:rPr>
          <w:color w:val="000000"/>
        </w:rPr>
        <w:t>Distributions from the Investment Funds represents estimates of cash payments from the Funds to other entities and the Consolidated Revenue Fund.</w:t>
      </w:r>
    </w:p>
    <w:p w:rsidR="004061FD" w:rsidRPr="00DD692B" w:rsidRDefault="004061FD" w:rsidP="00DA1F4B">
      <w:pPr>
        <w:pStyle w:val="ChartandTableFootnoteAlpha"/>
        <w:numPr>
          <w:ilvl w:val="0"/>
          <w:numId w:val="39"/>
        </w:numPr>
        <w:ind w:left="357" w:hanging="357"/>
        <w:rPr>
          <w:rFonts w:cs="Arial"/>
          <w:szCs w:val="16"/>
        </w:rPr>
      </w:pPr>
      <w:r w:rsidRPr="00930570">
        <w:rPr>
          <w:color w:val="000000"/>
        </w:rPr>
        <w:t>Expenditure associated with unfunded liabilities for the government’s civilian superannuation schemes</w:t>
      </w:r>
      <w:r w:rsidRPr="00DD692B">
        <w:rPr>
          <w:rFonts w:cs="Arial"/>
          <w:szCs w:val="16"/>
        </w:rPr>
        <w:t>.</w:t>
      </w:r>
    </w:p>
    <w:p w:rsidR="004061FD" w:rsidRPr="004061FD" w:rsidRDefault="004061FD" w:rsidP="004061FD">
      <w:pPr>
        <w:rPr>
          <w:lang w:eastAsia="x-none"/>
        </w:rPr>
      </w:pPr>
    </w:p>
    <w:p w:rsidR="00715A32" w:rsidRDefault="000A24C4" w:rsidP="00146B5E">
      <w:pPr>
        <w:pStyle w:val="TableHeading"/>
      </w:pPr>
      <w:r>
        <w:br w:type="page"/>
      </w:r>
      <w:r w:rsidR="00715A32" w:rsidRPr="00D30CBA">
        <w:lastRenderedPageBreak/>
        <w:t>Table</w:t>
      </w:r>
      <w:r w:rsidR="00971CBF">
        <w:t xml:space="preserve"> 3.</w:t>
      </w:r>
      <w:r w:rsidR="00715A32">
        <w:t>1</w:t>
      </w:r>
      <w:r w:rsidR="00F81CE4">
        <w:t>0</w:t>
      </w:r>
      <w:r w:rsidR="00715A32" w:rsidRPr="00D30CBA">
        <w:t xml:space="preserve">: </w:t>
      </w:r>
      <w:r w:rsidR="000D28EB">
        <w:rPr>
          <w:lang w:val="en-AU"/>
        </w:rPr>
        <w:t xml:space="preserve">Schedule of </w:t>
      </w:r>
      <w:r w:rsidR="000D28EB">
        <w:t>administered</w:t>
      </w:r>
      <w:r w:rsidR="00715A32">
        <w:t xml:space="preserve"> </w:t>
      </w:r>
      <w:r w:rsidR="00A20C5D">
        <w:t>capital budget statement</w:t>
      </w:r>
      <w:r w:rsidR="00EB1B80">
        <w:t xml:space="preserve"> (for the period </w:t>
      </w:r>
      <w:r w:rsidR="001B7BAD">
        <w:t>ended</w:t>
      </w:r>
      <w:r w:rsidR="00EB1B80">
        <w:t xml:space="preserve"> 30 June)</w:t>
      </w:r>
    </w:p>
    <w:p w:rsidR="00A20C5D" w:rsidRPr="00A20C5D" w:rsidRDefault="00B20D70" w:rsidP="009A5F36">
      <w:pPr>
        <w:pStyle w:val="TableGraphic"/>
      </w:pPr>
      <w:r w:rsidRPr="00B20D70">
        <w:rPr>
          <w:noProof/>
        </w:rPr>
        <w:drawing>
          <wp:inline distT="0" distB="0" distL="0" distR="0">
            <wp:extent cx="4895850" cy="34315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95850" cy="3431587"/>
                    </a:xfrm>
                    <a:prstGeom prst="rect">
                      <a:avLst/>
                    </a:prstGeom>
                    <a:noFill/>
                    <a:ln>
                      <a:noFill/>
                    </a:ln>
                  </pic:spPr>
                </pic:pic>
              </a:graphicData>
            </a:graphic>
          </wp:inline>
        </w:drawing>
      </w:r>
    </w:p>
    <w:p w:rsidR="00FE2022" w:rsidRPr="00930570" w:rsidRDefault="00FE2022" w:rsidP="00930570">
      <w:pPr>
        <w:pStyle w:val="ChartandTableFootnoteAlpha"/>
        <w:tabs>
          <w:tab w:val="num" w:pos="284"/>
        </w:tabs>
        <w:ind w:left="284" w:hanging="284"/>
        <w:rPr>
          <w:color w:val="000000"/>
        </w:rPr>
      </w:pPr>
      <w:r w:rsidRPr="00930570">
        <w:rPr>
          <w:color w:val="000000"/>
        </w:rPr>
        <w:t>Prepared on Australian Accounting Standards basis.</w:t>
      </w:r>
    </w:p>
    <w:p w:rsidR="00C27F9A" w:rsidRPr="00930570" w:rsidRDefault="00C27F9A" w:rsidP="00DA1F4B">
      <w:pPr>
        <w:pStyle w:val="ChartandTableFootnoteAlpha"/>
        <w:numPr>
          <w:ilvl w:val="0"/>
          <w:numId w:val="40"/>
        </w:numPr>
        <w:ind w:left="357" w:hanging="357"/>
        <w:rPr>
          <w:color w:val="000000"/>
        </w:rPr>
      </w:pPr>
      <w:r w:rsidRPr="00930570">
        <w:rPr>
          <w:color w:val="000000"/>
        </w:rPr>
        <w:t>ACB is used to fund the replacement of assets purchased through administered annual appropriations.</w:t>
      </w:r>
    </w:p>
    <w:p w:rsidR="0061675B" w:rsidRPr="00930570" w:rsidRDefault="00C27F9A" w:rsidP="00DA1F4B">
      <w:pPr>
        <w:pStyle w:val="ChartandTableFootnoteAlpha"/>
        <w:numPr>
          <w:ilvl w:val="0"/>
          <w:numId w:val="40"/>
        </w:numPr>
        <w:ind w:left="357" w:hanging="357"/>
        <w:rPr>
          <w:color w:val="000000"/>
        </w:rPr>
      </w:pPr>
      <w:r w:rsidRPr="00930570">
        <w:rPr>
          <w:color w:val="000000"/>
        </w:rPr>
        <w:t>Administered Assets and Liabilities includes a capital injection for acts of grace and liabilities, and an injection</w:t>
      </w:r>
      <w:r w:rsidR="001669F4" w:rsidRPr="00930570">
        <w:rPr>
          <w:color w:val="000000"/>
        </w:rPr>
        <w:t xml:space="preserve"> for capital works on the Intra-</w:t>
      </w:r>
      <w:r w:rsidR="00032AA7" w:rsidRPr="00930570">
        <w:rPr>
          <w:color w:val="000000"/>
        </w:rPr>
        <w:t>g</w:t>
      </w:r>
      <w:r w:rsidRPr="00930570">
        <w:rPr>
          <w:color w:val="000000"/>
        </w:rPr>
        <w:t>overnment Communications Network which is offset through entity contributions that are returned to the Budget.</w:t>
      </w:r>
    </w:p>
    <w:p w:rsidR="00B648BB" w:rsidRDefault="00B648BB" w:rsidP="00B648BB"/>
    <w:p w:rsidR="000E67DB" w:rsidRDefault="000E67DB" w:rsidP="00B648BB"/>
    <w:p w:rsidR="000E67DB" w:rsidRDefault="000E67DB" w:rsidP="00B648BB"/>
    <w:p w:rsidR="000E67DB" w:rsidRDefault="000E67DB" w:rsidP="00B648BB"/>
    <w:p w:rsidR="00CE4BBC" w:rsidRDefault="00CE4BBC">
      <w:pPr>
        <w:spacing w:after="0" w:line="240" w:lineRule="auto"/>
        <w:jc w:val="left"/>
      </w:pPr>
      <w:r>
        <w:br w:type="page"/>
      </w:r>
    </w:p>
    <w:p w:rsidR="00B648BB" w:rsidRDefault="00CE4BBC" w:rsidP="00B648BB">
      <w:pPr>
        <w:pStyle w:val="TableHeading"/>
      </w:pPr>
      <w:r>
        <w:lastRenderedPageBreak/>
        <w:t xml:space="preserve">Table 3.11: </w:t>
      </w:r>
      <w:r w:rsidR="00B648BB" w:rsidRPr="00B648BB">
        <w:t>Statement of administered asset movements (2022-23 Budget year)</w:t>
      </w:r>
    </w:p>
    <w:p w:rsidR="000E67DB" w:rsidRDefault="00E96314" w:rsidP="000E67DB">
      <w:pPr>
        <w:pStyle w:val="TableGraphic"/>
        <w:rPr>
          <w:lang w:val="x-none" w:eastAsia="x-none"/>
        </w:rPr>
      </w:pPr>
      <w:r w:rsidRPr="00E96314">
        <w:rPr>
          <w:noProof/>
        </w:rPr>
        <w:drawing>
          <wp:inline distT="0" distB="0" distL="0" distR="0">
            <wp:extent cx="4895850" cy="506435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95850" cy="5064350"/>
                    </a:xfrm>
                    <a:prstGeom prst="rect">
                      <a:avLst/>
                    </a:prstGeom>
                    <a:noFill/>
                    <a:ln>
                      <a:noFill/>
                    </a:ln>
                  </pic:spPr>
                </pic:pic>
              </a:graphicData>
            </a:graphic>
          </wp:inline>
        </w:drawing>
      </w:r>
    </w:p>
    <w:p w:rsidR="005F4446" w:rsidRPr="00C23E3B" w:rsidRDefault="005F4446" w:rsidP="005F4446">
      <w:pPr>
        <w:pStyle w:val="Source"/>
        <w:rPr>
          <w:rFonts w:cs="Arial"/>
          <w:szCs w:val="16"/>
        </w:rPr>
      </w:pPr>
      <w:r w:rsidRPr="00C23E3B">
        <w:rPr>
          <w:rFonts w:cs="Arial"/>
          <w:szCs w:val="16"/>
        </w:rPr>
        <w:t>Prepared on Australian Accounting Standards basis.</w:t>
      </w:r>
    </w:p>
    <w:bookmarkEnd w:id="24"/>
    <w:p w:rsidR="006127BD" w:rsidRDefault="006127BD" w:rsidP="005F4446">
      <w:pPr>
        <w:pStyle w:val="Source"/>
        <w:rPr>
          <w:rFonts w:cs="Arial"/>
          <w:color w:val="FF0000"/>
          <w:szCs w:val="16"/>
        </w:rPr>
        <w:sectPr w:rsidR="006127BD" w:rsidSect="00A74101">
          <w:footerReference w:type="first" r:id="rId78"/>
          <w:type w:val="oddPage"/>
          <w:pgSz w:w="11906" w:h="16838" w:code="9"/>
          <w:pgMar w:top="2835" w:right="2098" w:bottom="2466" w:left="2098" w:header="1814" w:footer="1814" w:gutter="0"/>
          <w:cols w:space="708"/>
          <w:titlePg/>
          <w:docGrid w:linePitch="360"/>
        </w:sectPr>
      </w:pPr>
    </w:p>
    <w:p w:rsidR="00E2528C" w:rsidRDefault="00E0355E" w:rsidP="00E2528C">
      <w:pPr>
        <w:pStyle w:val="PartHeading"/>
      </w:pPr>
      <w:r>
        <w:lastRenderedPageBreak/>
        <w:t>Australian Electoral Commission</w:t>
      </w:r>
    </w:p>
    <w:p w:rsidR="00E2528C" w:rsidRDefault="00E2528C" w:rsidP="00E2528C">
      <w:pPr>
        <w:pStyle w:val="PartHeading"/>
      </w:pPr>
    </w:p>
    <w:p w:rsidR="00E2528C" w:rsidRDefault="00E2528C" w:rsidP="00E2528C">
      <w:pPr>
        <w:pStyle w:val="PartHeading-TOC"/>
      </w:pPr>
      <w:r>
        <w:t>Entity resources and planned performance</w:t>
      </w:r>
    </w:p>
    <w:p w:rsidR="00E2528C" w:rsidRDefault="00E2528C" w:rsidP="00E2528C">
      <w:pPr>
        <w:pStyle w:val="ContentsHeading"/>
        <w:sectPr w:rsidR="00E2528C" w:rsidSect="00E2528C">
          <w:headerReference w:type="first" r:id="rId79"/>
          <w:footerReference w:type="first" r:id="rId80"/>
          <w:type w:val="oddPage"/>
          <w:pgSz w:w="11906" w:h="16838" w:code="9"/>
          <w:pgMar w:top="2835" w:right="2098" w:bottom="2466" w:left="2098" w:header="1814" w:footer="1814" w:gutter="0"/>
          <w:cols w:space="708"/>
          <w:vAlign w:val="center"/>
          <w:titlePg/>
          <w:docGrid w:linePitch="360"/>
        </w:sectPr>
      </w:pPr>
    </w:p>
    <w:p w:rsidR="00BF35D9" w:rsidRPr="002A32FD" w:rsidRDefault="00BF35D9" w:rsidP="00BF35D9">
      <w:pPr>
        <w:pStyle w:val="ContentsHeading"/>
      </w:pPr>
      <w:r>
        <w:lastRenderedPageBreak/>
        <w:t>Australian Electoral Commission</w:t>
      </w:r>
    </w:p>
    <w:p w:rsidR="00F909F5" w:rsidRDefault="00BF35D9">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B90763">
        <w:instrText xml:space="preserve"> \b aec</w:instrText>
      </w:r>
      <w:r>
        <w:instrText xml:space="preserve"> </w:instrText>
      </w:r>
      <w:r>
        <w:fldChar w:fldCharType="separate"/>
      </w:r>
      <w:hyperlink w:anchor="_Toc98181321" w:history="1">
        <w:r w:rsidR="00F909F5" w:rsidRPr="00964F36">
          <w:rPr>
            <w:rStyle w:val="Hyperlink"/>
            <w:noProof/>
          </w:rPr>
          <w:t>Section 1: Entity overview and resources</w:t>
        </w:r>
        <w:r w:rsidR="00F909F5">
          <w:rPr>
            <w:noProof/>
            <w:webHidden/>
          </w:rPr>
          <w:tab/>
        </w:r>
        <w:r w:rsidR="00F909F5">
          <w:rPr>
            <w:noProof/>
            <w:webHidden/>
          </w:rPr>
          <w:fldChar w:fldCharType="begin"/>
        </w:r>
        <w:r w:rsidR="00F909F5">
          <w:rPr>
            <w:noProof/>
            <w:webHidden/>
          </w:rPr>
          <w:instrText xml:space="preserve"> PAGEREF _Toc98181321 \h </w:instrText>
        </w:r>
        <w:r w:rsidR="00F909F5">
          <w:rPr>
            <w:noProof/>
            <w:webHidden/>
          </w:rPr>
        </w:r>
        <w:r w:rsidR="00F909F5">
          <w:rPr>
            <w:noProof/>
            <w:webHidden/>
          </w:rPr>
          <w:fldChar w:fldCharType="separate"/>
        </w:r>
        <w:r w:rsidR="003B3D60">
          <w:rPr>
            <w:noProof/>
            <w:webHidden/>
          </w:rPr>
          <w:t>71</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22" w:history="1">
        <w:r w:rsidR="00F909F5" w:rsidRPr="00964F36">
          <w:rPr>
            <w:rStyle w:val="Hyperlink"/>
            <w:noProof/>
          </w:rPr>
          <w:t>1.1</w:t>
        </w:r>
        <w:r w:rsidR="00F909F5">
          <w:rPr>
            <w:rFonts w:asciiTheme="minorHAnsi" w:eastAsiaTheme="minorEastAsia" w:hAnsiTheme="minorHAnsi" w:cstheme="minorBidi"/>
            <w:noProof/>
            <w:sz w:val="22"/>
            <w:szCs w:val="22"/>
            <w:lang w:eastAsia="zh-CN"/>
          </w:rPr>
          <w:tab/>
        </w:r>
        <w:r w:rsidR="00F909F5" w:rsidRPr="00964F36">
          <w:rPr>
            <w:rStyle w:val="Hyperlink"/>
            <w:noProof/>
          </w:rPr>
          <w:t>Strategic direction statement</w:t>
        </w:r>
        <w:r w:rsidR="00F909F5">
          <w:rPr>
            <w:noProof/>
            <w:webHidden/>
          </w:rPr>
          <w:tab/>
        </w:r>
        <w:r w:rsidR="00F909F5">
          <w:rPr>
            <w:noProof/>
            <w:webHidden/>
          </w:rPr>
          <w:fldChar w:fldCharType="begin"/>
        </w:r>
        <w:r w:rsidR="00F909F5">
          <w:rPr>
            <w:noProof/>
            <w:webHidden/>
          </w:rPr>
          <w:instrText xml:space="preserve"> PAGEREF _Toc98181322 \h </w:instrText>
        </w:r>
        <w:r w:rsidR="00F909F5">
          <w:rPr>
            <w:noProof/>
            <w:webHidden/>
          </w:rPr>
        </w:r>
        <w:r w:rsidR="00F909F5">
          <w:rPr>
            <w:noProof/>
            <w:webHidden/>
          </w:rPr>
          <w:fldChar w:fldCharType="separate"/>
        </w:r>
        <w:r w:rsidR="003B3D60">
          <w:rPr>
            <w:noProof/>
            <w:webHidden/>
          </w:rPr>
          <w:t>71</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23" w:history="1">
        <w:r w:rsidR="00F909F5" w:rsidRPr="00964F36">
          <w:rPr>
            <w:rStyle w:val="Hyperlink"/>
            <w:noProof/>
          </w:rPr>
          <w:t>1.2</w:t>
        </w:r>
        <w:r w:rsidR="00F909F5">
          <w:rPr>
            <w:rFonts w:asciiTheme="minorHAnsi" w:eastAsiaTheme="minorEastAsia" w:hAnsiTheme="minorHAnsi" w:cstheme="minorBidi"/>
            <w:noProof/>
            <w:sz w:val="22"/>
            <w:szCs w:val="22"/>
            <w:lang w:eastAsia="zh-CN"/>
          </w:rPr>
          <w:tab/>
        </w:r>
        <w:r w:rsidR="00F909F5" w:rsidRPr="00964F36">
          <w:rPr>
            <w:rStyle w:val="Hyperlink"/>
            <w:noProof/>
          </w:rPr>
          <w:t>Entity resource statement</w:t>
        </w:r>
        <w:r w:rsidR="00F909F5">
          <w:rPr>
            <w:noProof/>
            <w:webHidden/>
          </w:rPr>
          <w:tab/>
        </w:r>
        <w:r w:rsidR="00F909F5">
          <w:rPr>
            <w:noProof/>
            <w:webHidden/>
          </w:rPr>
          <w:fldChar w:fldCharType="begin"/>
        </w:r>
        <w:r w:rsidR="00F909F5">
          <w:rPr>
            <w:noProof/>
            <w:webHidden/>
          </w:rPr>
          <w:instrText xml:space="preserve"> PAGEREF _Toc98181323 \h </w:instrText>
        </w:r>
        <w:r w:rsidR="00F909F5">
          <w:rPr>
            <w:noProof/>
            <w:webHidden/>
          </w:rPr>
        </w:r>
        <w:r w:rsidR="00F909F5">
          <w:rPr>
            <w:noProof/>
            <w:webHidden/>
          </w:rPr>
          <w:fldChar w:fldCharType="separate"/>
        </w:r>
        <w:r w:rsidR="003B3D60">
          <w:rPr>
            <w:noProof/>
            <w:webHidden/>
          </w:rPr>
          <w:t>72</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24" w:history="1">
        <w:r w:rsidR="00F909F5" w:rsidRPr="00964F36">
          <w:rPr>
            <w:rStyle w:val="Hyperlink"/>
            <w:noProof/>
          </w:rPr>
          <w:t>1.3</w:t>
        </w:r>
        <w:r w:rsidR="00F909F5">
          <w:rPr>
            <w:rFonts w:asciiTheme="minorHAnsi" w:eastAsiaTheme="minorEastAsia" w:hAnsiTheme="minorHAnsi" w:cstheme="minorBidi"/>
            <w:noProof/>
            <w:sz w:val="22"/>
            <w:szCs w:val="22"/>
            <w:lang w:eastAsia="zh-CN"/>
          </w:rPr>
          <w:tab/>
        </w:r>
        <w:r w:rsidR="00F909F5" w:rsidRPr="00964F36">
          <w:rPr>
            <w:rStyle w:val="Hyperlink"/>
            <w:noProof/>
          </w:rPr>
          <w:t>Budget measures</w:t>
        </w:r>
        <w:r w:rsidR="00F909F5">
          <w:rPr>
            <w:noProof/>
            <w:webHidden/>
          </w:rPr>
          <w:tab/>
        </w:r>
        <w:r w:rsidR="00F909F5">
          <w:rPr>
            <w:noProof/>
            <w:webHidden/>
          </w:rPr>
          <w:fldChar w:fldCharType="begin"/>
        </w:r>
        <w:r w:rsidR="00F909F5">
          <w:rPr>
            <w:noProof/>
            <w:webHidden/>
          </w:rPr>
          <w:instrText xml:space="preserve"> PAGEREF _Toc98181324 \h </w:instrText>
        </w:r>
        <w:r w:rsidR="00F909F5">
          <w:rPr>
            <w:noProof/>
            <w:webHidden/>
          </w:rPr>
        </w:r>
        <w:r w:rsidR="00F909F5">
          <w:rPr>
            <w:noProof/>
            <w:webHidden/>
          </w:rPr>
          <w:fldChar w:fldCharType="separate"/>
        </w:r>
        <w:r w:rsidR="003B3D60">
          <w:rPr>
            <w:noProof/>
            <w:webHidden/>
          </w:rPr>
          <w:t>73</w:t>
        </w:r>
        <w:r w:rsidR="00F909F5">
          <w:rPr>
            <w:noProof/>
            <w:webHidden/>
          </w:rPr>
          <w:fldChar w:fldCharType="end"/>
        </w:r>
      </w:hyperlink>
    </w:p>
    <w:p w:rsidR="00F909F5" w:rsidRDefault="00CE4BBC">
      <w:pPr>
        <w:pStyle w:val="TOC1"/>
        <w:rPr>
          <w:rFonts w:asciiTheme="minorHAnsi" w:eastAsiaTheme="minorEastAsia" w:hAnsiTheme="minorHAnsi" w:cstheme="minorBidi"/>
          <w:b w:val="0"/>
          <w:caps w:val="0"/>
          <w:noProof/>
          <w:sz w:val="22"/>
          <w:szCs w:val="22"/>
          <w:lang w:eastAsia="zh-CN"/>
        </w:rPr>
      </w:pPr>
      <w:hyperlink w:anchor="_Toc98181325" w:history="1">
        <w:r w:rsidR="00F909F5" w:rsidRPr="00964F36">
          <w:rPr>
            <w:rStyle w:val="Hyperlink"/>
            <w:noProof/>
          </w:rPr>
          <w:t>Section 2: Outcomes and planned performance</w:t>
        </w:r>
        <w:r w:rsidR="00F909F5">
          <w:rPr>
            <w:noProof/>
            <w:webHidden/>
          </w:rPr>
          <w:tab/>
        </w:r>
        <w:r w:rsidR="00F909F5">
          <w:rPr>
            <w:noProof/>
            <w:webHidden/>
          </w:rPr>
          <w:fldChar w:fldCharType="begin"/>
        </w:r>
        <w:r w:rsidR="00F909F5">
          <w:rPr>
            <w:noProof/>
            <w:webHidden/>
          </w:rPr>
          <w:instrText xml:space="preserve"> PAGEREF _Toc98181325 \h </w:instrText>
        </w:r>
        <w:r w:rsidR="00F909F5">
          <w:rPr>
            <w:noProof/>
            <w:webHidden/>
          </w:rPr>
        </w:r>
        <w:r w:rsidR="00F909F5">
          <w:rPr>
            <w:noProof/>
            <w:webHidden/>
          </w:rPr>
          <w:fldChar w:fldCharType="separate"/>
        </w:r>
        <w:r w:rsidR="003B3D60">
          <w:rPr>
            <w:noProof/>
            <w:webHidden/>
          </w:rPr>
          <w:t>74</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26" w:history="1">
        <w:r w:rsidR="00F909F5" w:rsidRPr="00964F36">
          <w:rPr>
            <w:rStyle w:val="Hyperlink"/>
            <w:noProof/>
          </w:rPr>
          <w:t xml:space="preserve">2.1 </w:t>
        </w:r>
        <w:r w:rsidR="00F909F5">
          <w:rPr>
            <w:rFonts w:asciiTheme="minorHAnsi" w:eastAsiaTheme="minorEastAsia" w:hAnsiTheme="minorHAnsi" w:cstheme="minorBidi"/>
            <w:noProof/>
            <w:sz w:val="22"/>
            <w:szCs w:val="22"/>
            <w:lang w:eastAsia="zh-CN"/>
          </w:rPr>
          <w:tab/>
        </w:r>
        <w:r w:rsidR="00F909F5" w:rsidRPr="00964F36">
          <w:rPr>
            <w:rStyle w:val="Hyperlink"/>
            <w:noProof/>
          </w:rPr>
          <w:t>Budgeted expenses and performance for Outcome 1</w:t>
        </w:r>
        <w:r w:rsidR="00F909F5">
          <w:rPr>
            <w:noProof/>
            <w:webHidden/>
          </w:rPr>
          <w:tab/>
        </w:r>
        <w:r w:rsidR="00F909F5">
          <w:rPr>
            <w:noProof/>
            <w:webHidden/>
          </w:rPr>
          <w:fldChar w:fldCharType="begin"/>
        </w:r>
        <w:r w:rsidR="00F909F5">
          <w:rPr>
            <w:noProof/>
            <w:webHidden/>
          </w:rPr>
          <w:instrText xml:space="preserve"> PAGEREF _Toc98181326 \h </w:instrText>
        </w:r>
        <w:r w:rsidR="00F909F5">
          <w:rPr>
            <w:noProof/>
            <w:webHidden/>
          </w:rPr>
        </w:r>
        <w:r w:rsidR="00F909F5">
          <w:rPr>
            <w:noProof/>
            <w:webHidden/>
          </w:rPr>
          <w:fldChar w:fldCharType="separate"/>
        </w:r>
        <w:r w:rsidR="003B3D60">
          <w:rPr>
            <w:noProof/>
            <w:webHidden/>
          </w:rPr>
          <w:t>75</w:t>
        </w:r>
        <w:r w:rsidR="00F909F5">
          <w:rPr>
            <w:noProof/>
            <w:webHidden/>
          </w:rPr>
          <w:fldChar w:fldCharType="end"/>
        </w:r>
      </w:hyperlink>
    </w:p>
    <w:p w:rsidR="00F909F5" w:rsidRDefault="00CE4BBC">
      <w:pPr>
        <w:pStyle w:val="TOC1"/>
        <w:rPr>
          <w:rFonts w:asciiTheme="minorHAnsi" w:eastAsiaTheme="minorEastAsia" w:hAnsiTheme="minorHAnsi" w:cstheme="minorBidi"/>
          <w:b w:val="0"/>
          <w:caps w:val="0"/>
          <w:noProof/>
          <w:sz w:val="22"/>
          <w:szCs w:val="22"/>
          <w:lang w:eastAsia="zh-CN"/>
        </w:rPr>
      </w:pPr>
      <w:hyperlink w:anchor="_Toc98181327" w:history="1">
        <w:r w:rsidR="00F909F5" w:rsidRPr="00964F36">
          <w:rPr>
            <w:rStyle w:val="Hyperlink"/>
            <w:noProof/>
          </w:rPr>
          <w:t>Section 3: Budgeted financial statements</w:t>
        </w:r>
        <w:r w:rsidR="00F909F5">
          <w:rPr>
            <w:noProof/>
            <w:webHidden/>
          </w:rPr>
          <w:tab/>
        </w:r>
        <w:r w:rsidR="00F909F5">
          <w:rPr>
            <w:noProof/>
            <w:webHidden/>
          </w:rPr>
          <w:fldChar w:fldCharType="begin"/>
        </w:r>
        <w:r w:rsidR="00F909F5">
          <w:rPr>
            <w:noProof/>
            <w:webHidden/>
          </w:rPr>
          <w:instrText xml:space="preserve"> PAGEREF _Toc98181327 \h </w:instrText>
        </w:r>
        <w:r w:rsidR="00F909F5">
          <w:rPr>
            <w:noProof/>
            <w:webHidden/>
          </w:rPr>
        </w:r>
        <w:r w:rsidR="00F909F5">
          <w:rPr>
            <w:noProof/>
            <w:webHidden/>
          </w:rPr>
          <w:fldChar w:fldCharType="separate"/>
        </w:r>
        <w:r w:rsidR="003B3D60">
          <w:rPr>
            <w:noProof/>
            <w:webHidden/>
          </w:rPr>
          <w:t>81</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28" w:history="1">
        <w:r w:rsidR="00F909F5" w:rsidRPr="00964F36">
          <w:rPr>
            <w:rStyle w:val="Hyperlink"/>
            <w:noProof/>
          </w:rPr>
          <w:t>3.1</w:t>
        </w:r>
        <w:r w:rsidR="00F909F5">
          <w:rPr>
            <w:rFonts w:asciiTheme="minorHAnsi" w:eastAsiaTheme="minorEastAsia" w:hAnsiTheme="minorHAnsi" w:cstheme="minorBidi"/>
            <w:noProof/>
            <w:sz w:val="22"/>
            <w:szCs w:val="22"/>
            <w:lang w:eastAsia="zh-CN"/>
          </w:rPr>
          <w:tab/>
        </w:r>
        <w:r w:rsidR="00F909F5" w:rsidRPr="00964F36">
          <w:rPr>
            <w:rStyle w:val="Hyperlink"/>
            <w:noProof/>
          </w:rPr>
          <w:t>Budgeted financial statements</w:t>
        </w:r>
        <w:r w:rsidR="00F909F5">
          <w:rPr>
            <w:noProof/>
            <w:webHidden/>
          </w:rPr>
          <w:tab/>
        </w:r>
        <w:r w:rsidR="00F909F5">
          <w:rPr>
            <w:noProof/>
            <w:webHidden/>
          </w:rPr>
          <w:fldChar w:fldCharType="begin"/>
        </w:r>
        <w:r w:rsidR="00F909F5">
          <w:rPr>
            <w:noProof/>
            <w:webHidden/>
          </w:rPr>
          <w:instrText xml:space="preserve"> PAGEREF _Toc98181328 \h </w:instrText>
        </w:r>
        <w:r w:rsidR="00F909F5">
          <w:rPr>
            <w:noProof/>
            <w:webHidden/>
          </w:rPr>
        </w:r>
        <w:r w:rsidR="00F909F5">
          <w:rPr>
            <w:noProof/>
            <w:webHidden/>
          </w:rPr>
          <w:fldChar w:fldCharType="separate"/>
        </w:r>
        <w:r w:rsidR="003B3D60">
          <w:rPr>
            <w:noProof/>
            <w:webHidden/>
          </w:rPr>
          <w:t>81</w:t>
        </w:r>
        <w:r w:rsidR="00F909F5">
          <w:rPr>
            <w:noProof/>
            <w:webHidden/>
          </w:rPr>
          <w:fldChar w:fldCharType="end"/>
        </w:r>
      </w:hyperlink>
    </w:p>
    <w:p w:rsidR="00BF35D9" w:rsidRDefault="00BF35D9" w:rsidP="00BF35D9">
      <w:pPr>
        <w:pStyle w:val="Source"/>
        <w:jc w:val="center"/>
        <w:sectPr w:rsidR="00BF35D9" w:rsidSect="006127BD">
          <w:headerReference w:type="first" r:id="rId81"/>
          <w:footerReference w:type="first" r:id="rId82"/>
          <w:type w:val="oddPage"/>
          <w:pgSz w:w="11906" w:h="16838" w:code="9"/>
          <w:pgMar w:top="2835" w:right="2098" w:bottom="2466" w:left="2098" w:header="1814" w:footer="1814" w:gutter="0"/>
          <w:cols w:space="708"/>
          <w:titlePg/>
          <w:docGrid w:linePitch="360"/>
        </w:sectPr>
      </w:pPr>
      <w:r>
        <w:fldChar w:fldCharType="end"/>
      </w:r>
    </w:p>
    <w:p w:rsidR="00BF35D9" w:rsidRDefault="00BF35D9" w:rsidP="00BF35D9">
      <w:pPr>
        <w:pStyle w:val="Heading1"/>
      </w:pPr>
      <w:bookmarkStart w:id="59" w:name="_Toc97893017"/>
      <w:r>
        <w:lastRenderedPageBreak/>
        <w:t xml:space="preserve">Australian Electoral </w:t>
      </w:r>
      <w:r w:rsidR="008866EF">
        <w:t>Commission</w:t>
      </w:r>
      <w:bookmarkEnd w:id="59"/>
    </w:p>
    <w:p w:rsidR="00BF35D9" w:rsidRPr="002C4D41" w:rsidRDefault="00BF35D9" w:rsidP="00BF35D9">
      <w:pPr>
        <w:pStyle w:val="Heading2"/>
      </w:pPr>
      <w:bookmarkStart w:id="60" w:name="_Toc98181321"/>
      <w:bookmarkStart w:id="61" w:name="AEC"/>
      <w:r w:rsidRPr="002C4D41">
        <w:t xml:space="preserve">Section 1: Entity overview and </w:t>
      </w:r>
      <w:r>
        <w:t>reso</w:t>
      </w:r>
      <w:r w:rsidRPr="002C4D41">
        <w:t>urces</w:t>
      </w:r>
      <w:bookmarkEnd w:id="60"/>
    </w:p>
    <w:p w:rsidR="00BF35D9" w:rsidRDefault="00BF35D9" w:rsidP="00BF35D9">
      <w:pPr>
        <w:pStyle w:val="Heading3"/>
      </w:pPr>
      <w:bookmarkStart w:id="62" w:name="_Toc98181322"/>
      <w:r>
        <w:t>1.1</w:t>
      </w:r>
      <w:r>
        <w:tab/>
        <w:t>Strategic direction statement</w:t>
      </w:r>
      <w:bookmarkEnd w:id="62"/>
    </w:p>
    <w:p w:rsidR="00BF35D9" w:rsidRPr="00B1643C" w:rsidRDefault="00BF35D9" w:rsidP="00BF35D9">
      <w:r w:rsidRPr="00B1643C">
        <w:t xml:space="preserve">The Australian Electoral Commission (AEC) administers the </w:t>
      </w:r>
      <w:r w:rsidRPr="00506EBE">
        <w:rPr>
          <w:i/>
        </w:rPr>
        <w:t>Commonwealth Electoral Act 1918</w:t>
      </w:r>
      <w:r w:rsidRPr="00B1643C">
        <w:t xml:space="preserve"> (the Electoral Act), making it responsible for:</w:t>
      </w: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conducting electoral events, including federal elections, by-elections and referendums, and industrial elections and ballots</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ensuring confidence in the Commonwealth Electoral Roll</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regulating political party registrations and financial disclosure</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r w:rsidRPr="00F83BFE">
        <w:rPr>
          <w:rFonts w:ascii="Book Antiqua" w:eastAsia="Times New Roman" w:hAnsi="Book Antiqua" w:cs="Arial"/>
          <w:sz w:val="20"/>
          <w:szCs w:val="20"/>
          <w:lang w:val="en-AU" w:eastAsia="en-AU"/>
        </w:rPr>
        <w:t>supporting electoral redistributions</w:t>
      </w:r>
    </w:p>
    <w:p w:rsidR="009C5D44" w:rsidRPr="00F83BFE" w:rsidRDefault="009C5D44" w:rsidP="00B1643C">
      <w:pPr>
        <w:pStyle w:val="ListParagraph"/>
        <w:spacing w:line="240" w:lineRule="auto"/>
        <w:ind w:left="567" w:hanging="357"/>
        <w:jc w:val="both"/>
        <w:rPr>
          <w:rFonts w:ascii="Book Antiqua" w:eastAsia="Times New Roman" w:hAnsi="Book Antiqua" w:cs="Arial"/>
          <w:sz w:val="20"/>
          <w:szCs w:val="20"/>
          <w:lang w:val="en-AU" w:eastAsia="en-AU"/>
        </w:rPr>
      </w:pPr>
    </w:p>
    <w:p w:rsidR="00BF35D9" w:rsidRPr="00F83BFE" w:rsidRDefault="00BF35D9" w:rsidP="00F76FE4">
      <w:pPr>
        <w:pStyle w:val="ListParagraph"/>
        <w:numPr>
          <w:ilvl w:val="0"/>
          <w:numId w:val="22"/>
        </w:numPr>
        <w:spacing w:line="240" w:lineRule="auto"/>
        <w:ind w:left="567" w:hanging="357"/>
        <w:jc w:val="both"/>
        <w:rPr>
          <w:rFonts w:ascii="Book Antiqua" w:eastAsia="Times New Roman" w:hAnsi="Book Antiqua" w:cs="Arial"/>
          <w:sz w:val="20"/>
          <w:szCs w:val="20"/>
          <w:lang w:val="en-AU" w:eastAsia="en-AU"/>
        </w:rPr>
      </w:pPr>
      <w:proofErr w:type="gramStart"/>
      <w:r w:rsidRPr="00F83BFE">
        <w:rPr>
          <w:rFonts w:ascii="Book Antiqua" w:eastAsia="Times New Roman" w:hAnsi="Book Antiqua" w:cs="Arial"/>
          <w:sz w:val="20"/>
          <w:szCs w:val="20"/>
          <w:lang w:val="en-AU" w:eastAsia="en-AU"/>
        </w:rPr>
        <w:t>undertaking</w:t>
      </w:r>
      <w:proofErr w:type="gramEnd"/>
      <w:r w:rsidRPr="00F83BFE">
        <w:rPr>
          <w:rFonts w:ascii="Book Antiqua" w:eastAsia="Times New Roman" w:hAnsi="Book Antiqua" w:cs="Arial"/>
          <w:sz w:val="20"/>
          <w:szCs w:val="20"/>
          <w:lang w:val="en-AU" w:eastAsia="en-AU"/>
        </w:rPr>
        <w:t xml:space="preserve"> public awareness activities.</w:t>
      </w:r>
    </w:p>
    <w:p w:rsidR="00BF35D9" w:rsidRPr="00B1643C" w:rsidRDefault="00BF35D9" w:rsidP="00BF35D9">
      <w:r w:rsidRPr="00B1643C">
        <w:t xml:space="preserve">The AEC also provides a range of electoral information and education programs both in Australia and in support of Australia’s international interests.  </w:t>
      </w:r>
    </w:p>
    <w:p w:rsidR="00BF35D9" w:rsidRPr="00B1643C" w:rsidRDefault="00BF35D9" w:rsidP="00BF35D9">
      <w:r w:rsidRPr="00B1643C">
        <w:t>The AEC’s actions impact on the Australian community as stated in its outcome:</w:t>
      </w:r>
    </w:p>
    <w:p w:rsidR="00BF35D9" w:rsidRPr="0089325C" w:rsidRDefault="00BF35D9" w:rsidP="00BF35D9">
      <w:pPr>
        <w:rPr>
          <w:i/>
        </w:rPr>
      </w:pPr>
      <w:r w:rsidRPr="0089325C">
        <w:rPr>
          <w:i/>
        </w:rPr>
        <w:t>Maintain an impartial and independent electoral system for eligible voters through active electoral roll management, efficient delivery of polling services, and targeted education and public awareness programs.</w:t>
      </w:r>
    </w:p>
    <w:p w:rsidR="00E90803" w:rsidRPr="00F83BFE" w:rsidRDefault="00E90803" w:rsidP="00BF35D9">
      <w:pPr>
        <w:pStyle w:val="Heading3"/>
      </w:pPr>
    </w:p>
    <w:p w:rsidR="00E90803" w:rsidRPr="00E90803" w:rsidRDefault="00E90803" w:rsidP="00150452"/>
    <w:p w:rsidR="00E90803" w:rsidRPr="00E90803" w:rsidRDefault="00E90803" w:rsidP="00150452"/>
    <w:p w:rsidR="00E90803" w:rsidRDefault="00E90803" w:rsidP="00BF35D9">
      <w:pPr>
        <w:pStyle w:val="Heading3"/>
      </w:pPr>
    </w:p>
    <w:p w:rsidR="00E90803" w:rsidRDefault="00E90803" w:rsidP="00150452">
      <w:pPr>
        <w:pStyle w:val="Heading3"/>
        <w:tabs>
          <w:tab w:val="clear" w:pos="709"/>
          <w:tab w:val="left" w:pos="4583"/>
        </w:tabs>
      </w:pPr>
      <w:r>
        <w:tab/>
      </w:r>
    </w:p>
    <w:p w:rsidR="00BF35D9" w:rsidRDefault="00BF35D9" w:rsidP="00BF35D9">
      <w:pPr>
        <w:pStyle w:val="Heading3"/>
      </w:pPr>
      <w:r w:rsidRPr="00E505CE">
        <w:br w:type="page"/>
      </w:r>
      <w:bookmarkStart w:id="63" w:name="_Toc98181323"/>
      <w:r>
        <w:lastRenderedPageBreak/>
        <w:t>1.2</w:t>
      </w:r>
      <w:r>
        <w:tab/>
        <w:t>Entity resource statement</w:t>
      </w:r>
      <w:bookmarkEnd w:id="63"/>
    </w:p>
    <w:p w:rsidR="00BF35D9" w:rsidRDefault="00BF35D9" w:rsidP="00BF35D9">
      <w:r>
        <w:t>Table 1.1 shows the total funding from all sources available to the AEC for its operations and to deliver programs and services on behalf of the Government.</w:t>
      </w:r>
    </w:p>
    <w:p w:rsidR="00BF35D9" w:rsidRDefault="00BF35D9" w:rsidP="00BF35D9">
      <w:r>
        <w:t>The table summarises how resources will be applied by outcome (government strategic policy objectives) and by administered (on behalf of the Government or the public) and departmental (for the AEC’s operations) classification.</w:t>
      </w:r>
    </w:p>
    <w:p w:rsidR="00BF35D9" w:rsidRDefault="00BF35D9" w:rsidP="00BF35D9">
      <w:r>
        <w:t xml:space="preserve">For more detailed information on special accounts and special appropriations, please refer to </w:t>
      </w:r>
      <w:r w:rsidRPr="00412C0B">
        <w:rPr>
          <w:i/>
        </w:rPr>
        <w:t>Budget Paper No. 4 – Agency Resourcing</w:t>
      </w:r>
      <w:r>
        <w:t>.</w:t>
      </w:r>
    </w:p>
    <w:p w:rsidR="00BF35D9" w:rsidRDefault="00BF35D9" w:rsidP="00BF35D9">
      <w:r>
        <w:t>Information in this table is presented on a resourcing (that is, appropriations/cash available) basis, whilst the ‘Budgeted expenses by Outcome 1’ tables in Section 2 and the financial statements in Section 3 are presented on an accrual basis.</w:t>
      </w:r>
    </w:p>
    <w:p w:rsidR="00BF35D9" w:rsidRDefault="00BF35D9" w:rsidP="00BF35D9">
      <w:pPr>
        <w:pStyle w:val="TableHeading"/>
      </w:pPr>
    </w:p>
    <w:p w:rsidR="00BF35D9" w:rsidRDefault="00BF35D9" w:rsidP="00BF35D9">
      <w:pPr>
        <w:pStyle w:val="TableHeading"/>
      </w:pPr>
    </w:p>
    <w:p w:rsidR="00BF35D9" w:rsidRDefault="00BF35D9" w:rsidP="00BF35D9">
      <w:pPr>
        <w:pStyle w:val="TableHeading"/>
      </w:pPr>
    </w:p>
    <w:p w:rsidR="00BF35D9" w:rsidRDefault="00BF35D9" w:rsidP="00BF35D9">
      <w:pPr>
        <w:pStyle w:val="TableHeading"/>
      </w:pPr>
    </w:p>
    <w:p w:rsidR="00BF35D9" w:rsidRDefault="00BF35D9" w:rsidP="00BF35D9">
      <w:pPr>
        <w:pStyle w:val="TableGraphic"/>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Default="00BF35D9" w:rsidP="00BF35D9">
      <w:pPr>
        <w:rPr>
          <w:lang w:val="x-none" w:eastAsia="x-none"/>
        </w:rPr>
      </w:pPr>
    </w:p>
    <w:p w:rsidR="00BF35D9" w:rsidRPr="00C87D27" w:rsidRDefault="00BF35D9" w:rsidP="00BF35D9">
      <w:pPr>
        <w:tabs>
          <w:tab w:val="left" w:pos="2865"/>
        </w:tabs>
        <w:rPr>
          <w:lang w:val="x-none" w:eastAsia="x-none"/>
        </w:rPr>
      </w:pPr>
      <w:r>
        <w:rPr>
          <w:lang w:val="x-none" w:eastAsia="x-none"/>
        </w:rPr>
        <w:tab/>
      </w:r>
    </w:p>
    <w:p w:rsidR="00BF35D9" w:rsidRPr="001A10E2" w:rsidRDefault="00BF35D9" w:rsidP="00BF35D9">
      <w:pPr>
        <w:pStyle w:val="TableHeading"/>
        <w:rPr>
          <w:b w:val="0"/>
          <w:lang w:val="en-AU"/>
        </w:rPr>
      </w:pPr>
      <w:r w:rsidRPr="00D44150">
        <w:lastRenderedPageBreak/>
        <w:t xml:space="preserve">Table 1.1: </w:t>
      </w:r>
      <w:r>
        <w:rPr>
          <w:lang w:val="en-AU"/>
        </w:rPr>
        <w:t>Australian Electoral Commission</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p w:rsidR="00465F27" w:rsidRDefault="00BF35D9" w:rsidP="00BF35D9">
      <w:pPr>
        <w:pStyle w:val="ChartandTableFootnote"/>
      </w:pPr>
      <w:r w:rsidRPr="00F160D1">
        <w:rPr>
          <w:noProof/>
          <w:lang w:val="en-AU" w:eastAsia="en-AU"/>
        </w:rPr>
        <w:drawing>
          <wp:inline distT="0" distB="0" distL="0" distR="0" wp14:anchorId="61B5E84E" wp14:editId="1A9DF3F8">
            <wp:extent cx="4895850" cy="2714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95850" cy="2714625"/>
                    </a:xfrm>
                    <a:prstGeom prst="rect">
                      <a:avLst/>
                    </a:prstGeom>
                    <a:noFill/>
                    <a:ln>
                      <a:noFill/>
                    </a:ln>
                  </pic:spPr>
                </pic:pic>
              </a:graphicData>
            </a:graphic>
          </wp:inline>
        </w:drawing>
      </w:r>
    </w:p>
    <w:p w:rsidR="00465F27" w:rsidRPr="00CB2844" w:rsidRDefault="00465F27" w:rsidP="00465F27">
      <w:pPr>
        <w:pStyle w:val="ChartandTableFootnote"/>
      </w:pPr>
      <w:r w:rsidRPr="00696AA8">
        <w:t>All figures shown above are GST exclusive - these may not match figures in the cash flow statement.</w:t>
      </w:r>
    </w:p>
    <w:p w:rsidR="00465F27" w:rsidRDefault="00465F27" w:rsidP="00465F27">
      <w:pPr>
        <w:pStyle w:val="ChartandTableFootnote"/>
      </w:pPr>
      <w:r>
        <w:t>Prepared on a resourcing (</w:t>
      </w:r>
      <w:r>
        <w:rPr>
          <w:lang w:val="en-AU"/>
        </w:rPr>
        <w:t>that is,</w:t>
      </w:r>
      <w:r>
        <w:t xml:space="preserve"> appropriations available) basis.</w:t>
      </w:r>
    </w:p>
    <w:p w:rsidR="00465F27" w:rsidRPr="00150452" w:rsidRDefault="00465F27" w:rsidP="00DA1F4B">
      <w:pPr>
        <w:pStyle w:val="ChartandTableFootnoteAlpha"/>
        <w:numPr>
          <w:ilvl w:val="0"/>
          <w:numId w:val="60"/>
        </w:numPr>
        <w:rPr>
          <w:color w:val="000000"/>
        </w:rPr>
      </w:pPr>
      <w:r w:rsidRPr="00150452">
        <w:rPr>
          <w:color w:val="000000"/>
        </w:rPr>
        <w:t>Appropriation Bill (No. 1) 2022-23</w:t>
      </w:r>
      <w:r w:rsidR="0089325C">
        <w:rPr>
          <w:color w:val="000000"/>
        </w:rPr>
        <w:t>.</w:t>
      </w:r>
    </w:p>
    <w:p w:rsidR="00465F27" w:rsidRPr="00150452" w:rsidRDefault="00465F27" w:rsidP="00DA1F4B">
      <w:pPr>
        <w:pStyle w:val="ChartandTableFootnoteAlpha"/>
        <w:numPr>
          <w:ilvl w:val="0"/>
          <w:numId w:val="60"/>
        </w:numPr>
        <w:rPr>
          <w:color w:val="000000"/>
        </w:rPr>
      </w:pPr>
      <w:r w:rsidRPr="00150452">
        <w:rPr>
          <w:color w:val="000000"/>
        </w:rPr>
        <w:t>2021-22 Departmental appropriation excludes $29.9m subject to administrative quarantine by Finance.</w:t>
      </w:r>
    </w:p>
    <w:p w:rsidR="00465F27" w:rsidRPr="00150452" w:rsidRDefault="00465F27" w:rsidP="00DA1F4B">
      <w:pPr>
        <w:pStyle w:val="ChartandTableFootnoteAlpha"/>
        <w:numPr>
          <w:ilvl w:val="0"/>
          <w:numId w:val="60"/>
        </w:numPr>
        <w:rPr>
          <w:color w:val="000000"/>
        </w:rPr>
      </w:pPr>
      <w:r w:rsidRPr="00150452">
        <w:rPr>
          <w:color w:val="000000"/>
        </w:rPr>
        <w:t>Estimated External Revenue receipts under section 74 of the PGPA Act.</w:t>
      </w:r>
    </w:p>
    <w:p w:rsidR="00465F27" w:rsidRPr="00150452" w:rsidRDefault="00465F27" w:rsidP="00DA1F4B">
      <w:pPr>
        <w:pStyle w:val="ChartandTableFootnoteAlpha"/>
        <w:numPr>
          <w:ilvl w:val="0"/>
          <w:numId w:val="60"/>
        </w:numPr>
        <w:rPr>
          <w:color w:val="000000"/>
        </w:rPr>
      </w:pPr>
      <w:r w:rsidRPr="00150452">
        <w:rPr>
          <w:color w:val="000000"/>
        </w:rPr>
        <w:t xml:space="preserve">Departmental capital budgets are not separately identified in Appropriation Bill (No.1) and form part of ordinary annual services items. Please refer to Table 3.5 for further details. For accounting purposes, this amount has been designated as a 'contribution by owner'. </w:t>
      </w:r>
    </w:p>
    <w:p w:rsidR="00465F27" w:rsidRPr="00906EA8" w:rsidRDefault="00465F27" w:rsidP="00DA1F4B">
      <w:pPr>
        <w:pStyle w:val="ChartandTableFootnoteAlpha"/>
        <w:numPr>
          <w:ilvl w:val="0"/>
          <w:numId w:val="60"/>
        </w:numPr>
      </w:pPr>
      <w:r w:rsidRPr="00150452">
        <w:rPr>
          <w:color w:val="000000"/>
        </w:rPr>
        <w:t>Excludes trust moneys held in Services for Other Entities and Trust Moneys (SOETM).</w:t>
      </w:r>
    </w:p>
    <w:p w:rsidR="00BF35D9" w:rsidRDefault="00BF35D9" w:rsidP="00BF35D9">
      <w:pPr>
        <w:pStyle w:val="ChartandTableFootnote"/>
        <w:rPr>
          <w:rFonts w:ascii="Times New Roman" w:hAnsi="Times New Roman"/>
          <w:color w:val="auto"/>
          <w:sz w:val="20"/>
          <w:lang w:val="en-AU" w:eastAsia="en-AU"/>
        </w:rPr>
      </w:pPr>
      <w:r>
        <w:fldChar w:fldCharType="begin"/>
      </w:r>
      <w:r>
        <w:instrText xml:space="preserve"> LINK Excel.Sheet.12 "\\\\prod.aec.gov.au\\can0\\branch\\CFO\\Financial Management\\Budgeting\\Budget 22-23\\External Budget\\PBS\\Excel\\Attachment B - 2022-23 PBS Excel Tables draft.xlsx" "Table 1.1 NCCE!R3C3:R64C5" \a \f 4 \h </w:instrText>
      </w:r>
      <w:r>
        <w:fldChar w:fldCharType="separate"/>
      </w:r>
    </w:p>
    <w:p w:rsidR="00BF35D9" w:rsidRDefault="00BF35D9" w:rsidP="00E505CE">
      <w:pPr>
        <w:pStyle w:val="ChartandTableFootnote"/>
      </w:pPr>
      <w:r>
        <w:rPr>
          <w:b/>
        </w:rPr>
        <w:fldChar w:fldCharType="end"/>
      </w:r>
    </w:p>
    <w:p w:rsidR="00BF35D9" w:rsidRDefault="00BF35D9" w:rsidP="00BF35D9">
      <w:pPr>
        <w:pStyle w:val="TableHeading"/>
      </w:pPr>
    </w:p>
    <w:p w:rsidR="00BF35D9" w:rsidRDefault="00BF35D9" w:rsidP="00BF35D9">
      <w:pPr>
        <w:pStyle w:val="TableHeading"/>
      </w:pPr>
    </w:p>
    <w:p w:rsidR="00BF35D9" w:rsidRPr="005A7C0B" w:rsidRDefault="00BF35D9" w:rsidP="00BF35D9">
      <w:pPr>
        <w:pStyle w:val="Heading3"/>
        <w:spacing w:before="0"/>
      </w:pPr>
      <w:bookmarkStart w:id="64" w:name="_Toc98181324"/>
      <w:r w:rsidRPr="005A7C0B">
        <w:t>1.3</w:t>
      </w:r>
      <w:r w:rsidRPr="005A7C0B">
        <w:tab/>
        <w:t>Budget measures</w:t>
      </w:r>
      <w:bookmarkEnd w:id="64"/>
    </w:p>
    <w:p w:rsidR="00BF35D9" w:rsidRPr="004111A7" w:rsidRDefault="00146836" w:rsidP="00BF35D9">
      <w:r>
        <w:t xml:space="preserve">No Budget measures have been announced </w:t>
      </w:r>
      <w:r w:rsidR="00BF35D9" w:rsidRPr="004111A7">
        <w:t>since the 202</w:t>
      </w:r>
      <w:r w:rsidR="00BF35D9">
        <w:t>1</w:t>
      </w:r>
      <w:r w:rsidR="00BF35D9" w:rsidRPr="004111A7">
        <w:t>-2</w:t>
      </w:r>
      <w:r w:rsidR="00BF35D9">
        <w:t>2</w:t>
      </w:r>
      <w:r w:rsidR="00BF35D9" w:rsidRPr="004111A7">
        <w:t xml:space="preserve"> Mid-Year Econ</w:t>
      </w:r>
      <w:r>
        <w:t>omic and Fiscal Outlook (MYEFO) that impact AEC.</w:t>
      </w:r>
    </w:p>
    <w:p w:rsidR="00F909F5" w:rsidRDefault="00F909F5" w:rsidP="00440016"/>
    <w:p w:rsidR="00F909F5" w:rsidRDefault="00F909F5" w:rsidP="00440016"/>
    <w:p w:rsidR="00F909F5" w:rsidRDefault="00F909F5" w:rsidP="00440016"/>
    <w:p w:rsidR="00F909F5" w:rsidRDefault="00F909F5" w:rsidP="00440016"/>
    <w:p w:rsidR="00F909F5" w:rsidRPr="00F61956" w:rsidRDefault="00F909F5" w:rsidP="00440016"/>
    <w:p w:rsidR="00BF35D9" w:rsidRPr="00810C6A" w:rsidRDefault="00BF35D9" w:rsidP="00BF35D9">
      <w:pPr>
        <w:pStyle w:val="Heading2"/>
      </w:pPr>
      <w:bookmarkStart w:id="65" w:name="_Toc98181325"/>
      <w:r w:rsidRPr="00810C6A">
        <w:lastRenderedPageBreak/>
        <w:t>Section 2: Outcomes and planned performance</w:t>
      </w:r>
      <w:bookmarkEnd w:id="65"/>
    </w:p>
    <w:p w:rsidR="00BF35D9" w:rsidRPr="00AE5868" w:rsidRDefault="00BF35D9" w:rsidP="00BF35D9">
      <w:r w:rsidRPr="005E6F2B">
        <w:t xml:space="preserve">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w:t>
      </w:r>
      <w:r w:rsidRPr="00AE5868">
        <w:t>the Budget and forward years.</w:t>
      </w:r>
    </w:p>
    <w:p w:rsidR="00BF35D9" w:rsidRPr="00AE5868" w:rsidRDefault="00BF35D9" w:rsidP="00BF35D9">
      <w:pPr>
        <w:rPr>
          <w:i/>
        </w:rPr>
      </w:pPr>
      <w:r w:rsidRPr="00AE5868">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BF35D9" w:rsidTr="005D36C8">
        <w:tc>
          <w:tcPr>
            <w:tcW w:w="7700" w:type="dxa"/>
          </w:tcPr>
          <w:p w:rsidR="00BF35D9" w:rsidRPr="006906E4" w:rsidRDefault="00BF35D9" w:rsidP="005D36C8">
            <w:pPr>
              <w:spacing w:before="120" w:after="120" w:line="240" w:lineRule="auto"/>
              <w:rPr>
                <w:b/>
              </w:rPr>
            </w:pPr>
            <w:r w:rsidRPr="006906E4">
              <w:rPr>
                <w:b/>
              </w:rPr>
              <w:t>Note:</w:t>
            </w:r>
          </w:p>
          <w:p w:rsidR="00BF35D9" w:rsidRDefault="00BF35D9" w:rsidP="005D36C8">
            <w:r>
              <w:t xml:space="preserve">Performance reporting requirements in the Portfolio Budget Statements are part of the Commonwealth performance framework established by the </w:t>
            </w:r>
            <w:r w:rsidR="00A8063F" w:rsidRPr="00A8063F">
              <w:t>PGPA Act</w:t>
            </w:r>
            <w:r w:rsidR="00A8063F">
              <w:rPr>
                <w:i/>
              </w:rPr>
              <w:t xml:space="preserve">. </w:t>
            </w:r>
            <w:r>
              <w:t>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BF35D9" w:rsidRDefault="00BF35D9" w:rsidP="005D36C8">
            <w:r>
              <w:t xml:space="preserve">The most recent corporate plan for the Australian Electoral Commission can be found at: </w:t>
            </w:r>
            <w:hyperlink r:id="rId84" w:history="1">
              <w:r w:rsidRPr="003D1E65">
                <w:rPr>
                  <w:u w:val="single"/>
                </w:rPr>
                <w:t>AEC Corporate Plan 2021-22</w:t>
              </w:r>
            </w:hyperlink>
            <w:r w:rsidR="006241BA" w:rsidRPr="006241BA">
              <w:t>.</w:t>
            </w:r>
          </w:p>
          <w:p w:rsidR="00BF35D9" w:rsidRPr="006241BA" w:rsidRDefault="00BF35D9" w:rsidP="005D36C8">
            <w:r>
              <w:t xml:space="preserve">The most recent annual performance statement can be found at: </w:t>
            </w:r>
            <w:hyperlink r:id="rId85" w:history="1">
              <w:r w:rsidRPr="003D1E65">
                <w:rPr>
                  <w:u w:val="single"/>
                </w:rPr>
                <w:t>2020-21 Annual Performance Statements</w:t>
              </w:r>
            </w:hyperlink>
            <w:r w:rsidR="006241BA">
              <w:t>.</w:t>
            </w:r>
          </w:p>
          <w:p w:rsidR="00BF35D9" w:rsidRDefault="00BF35D9" w:rsidP="005D36C8"/>
        </w:tc>
      </w:tr>
    </w:tbl>
    <w:p w:rsidR="00BF35D9" w:rsidRDefault="00BF35D9" w:rsidP="00BF35D9">
      <w:pPr>
        <w:rPr>
          <w:highlight w:val="yellow"/>
        </w:rPr>
      </w:pPr>
    </w:p>
    <w:p w:rsidR="00BF35D9" w:rsidRDefault="00BF35D9" w:rsidP="00BF35D9">
      <w:pPr>
        <w:pStyle w:val="Heading3"/>
        <w:sectPr w:rsidR="00BF35D9" w:rsidSect="005D36C8">
          <w:headerReference w:type="even" r:id="rId86"/>
          <w:headerReference w:type="default" r:id="rId87"/>
          <w:headerReference w:type="first" r:id="rId88"/>
          <w:footerReference w:type="first" r:id="rId89"/>
          <w:type w:val="oddPage"/>
          <w:pgSz w:w="11906" w:h="16838" w:code="9"/>
          <w:pgMar w:top="2835" w:right="2098" w:bottom="2466" w:left="2098" w:header="1814" w:footer="1814" w:gutter="0"/>
          <w:cols w:space="708"/>
          <w:titlePg/>
          <w:docGrid w:linePitch="360"/>
        </w:sectPr>
      </w:pPr>
    </w:p>
    <w:p w:rsidR="00BF35D9" w:rsidRPr="00831489" w:rsidRDefault="00BF35D9" w:rsidP="00BF35D9">
      <w:pPr>
        <w:pStyle w:val="Heading3"/>
      </w:pPr>
      <w:bookmarkStart w:id="66" w:name="_Toc98181326"/>
      <w:r>
        <w:lastRenderedPageBreak/>
        <w:t>2.1</w:t>
      </w:r>
      <w:r w:rsidRPr="00F743D8">
        <w:t xml:space="preserve"> </w:t>
      </w:r>
      <w:r w:rsidRPr="00F743D8">
        <w:tab/>
        <w:t xml:space="preserve">Budgeted expenses and performance for Outcome </w:t>
      </w:r>
      <w:r>
        <w:t>1</w:t>
      </w:r>
      <w:bookmarkEnd w:id="6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F35D9" w:rsidRPr="005E6F2B" w:rsidTr="005D36C8">
        <w:tc>
          <w:tcPr>
            <w:tcW w:w="7713" w:type="dxa"/>
            <w:shd w:val="clear" w:color="auto" w:fill="E6E6E6"/>
          </w:tcPr>
          <w:p w:rsidR="00BF35D9" w:rsidRPr="005E6F2B" w:rsidRDefault="00BF35D9" w:rsidP="005D36C8">
            <w:pPr>
              <w:pStyle w:val="TableColumnHeadingLeft"/>
            </w:pPr>
            <w:r w:rsidRPr="005E6F2B">
              <w:t xml:space="preserve">Outcome </w:t>
            </w:r>
            <w:r>
              <w:t>1</w:t>
            </w:r>
            <w:r w:rsidRPr="005E6F2B">
              <w:t xml:space="preserve">: </w:t>
            </w:r>
            <w:r w:rsidRPr="00617538">
              <w:rPr>
                <w:rFonts w:cs="Arial"/>
              </w:rPr>
              <w:t>Maintain an impartial and independent electoral system for eligible voters through active electoral roll management, efficient delivery of polling services, and targeted education and public awareness programs.</w:t>
            </w:r>
          </w:p>
        </w:tc>
      </w:tr>
    </w:tbl>
    <w:p w:rsidR="00BF35D9" w:rsidRPr="005E6F2B" w:rsidRDefault="00BF35D9" w:rsidP="00BF35D9">
      <w:pPr>
        <w:pStyle w:val="NoSpacing"/>
      </w:pPr>
    </w:p>
    <w:p w:rsidR="00BF35D9" w:rsidRPr="00446612" w:rsidRDefault="00BF35D9" w:rsidP="00BF35D9">
      <w:pPr>
        <w:pStyle w:val="Heading5"/>
      </w:pPr>
      <w:r w:rsidRPr="00446612">
        <w:t xml:space="preserve">Budgeted expenses for Outcome </w:t>
      </w:r>
      <w:r>
        <w:t>1</w:t>
      </w:r>
    </w:p>
    <w:p w:rsidR="00BF35D9" w:rsidRDefault="00BF35D9" w:rsidP="00BF35D9">
      <w:r w:rsidRPr="00950281">
        <w:t>This table shows how much the entity intends to spend (on an accrual basis) on achieving the outcome, broken down by program, as well as by Administered an</w:t>
      </w:r>
      <w:r>
        <w:t>d Departmental funding sources.</w:t>
      </w:r>
    </w:p>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 w:rsidR="00BF35D9" w:rsidRDefault="00BF35D9" w:rsidP="00BF35D9">
      <w:pPr>
        <w:spacing w:after="0"/>
      </w:pPr>
    </w:p>
    <w:p w:rsidR="00BF35D9" w:rsidRDefault="00BF35D9" w:rsidP="00BF35D9">
      <w:pPr>
        <w:spacing w:after="0"/>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Default="00BF35D9" w:rsidP="00BF35D9">
      <w:pPr>
        <w:spacing w:after="0"/>
        <w:rPr>
          <w:b/>
        </w:rPr>
      </w:pPr>
    </w:p>
    <w:p w:rsidR="00BF35D9" w:rsidRPr="00150452" w:rsidRDefault="00BF35D9" w:rsidP="00BF35D9">
      <w:pPr>
        <w:spacing w:after="0"/>
        <w:rPr>
          <w:rFonts w:ascii="Arial" w:hAnsi="Arial" w:cs="Arial"/>
          <w:b/>
        </w:rPr>
      </w:pPr>
      <w:r w:rsidRPr="00150452">
        <w:rPr>
          <w:rFonts w:ascii="Arial" w:hAnsi="Arial" w:cs="Arial"/>
          <w:b/>
        </w:rPr>
        <w:lastRenderedPageBreak/>
        <w:t>Table 2.1.1: Budgeted expenses for Outcome 1</w:t>
      </w:r>
    </w:p>
    <w:p w:rsidR="00B95C42" w:rsidRDefault="00BF35D9" w:rsidP="00BF35D9">
      <w:pPr>
        <w:pStyle w:val="TableHeading"/>
        <w:rPr>
          <w:noProof/>
        </w:rPr>
      </w:pPr>
      <w:r w:rsidRPr="00F160D1">
        <w:rPr>
          <w:noProof/>
          <w:lang w:val="en-AU" w:eastAsia="en-AU"/>
        </w:rPr>
        <w:drawing>
          <wp:inline distT="0" distB="0" distL="0" distR="0" wp14:anchorId="38A53FB2" wp14:editId="368957E5">
            <wp:extent cx="4818380" cy="5542280"/>
            <wp:effectExtent l="0" t="0" r="127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18380" cy="5542280"/>
                    </a:xfrm>
                    <a:prstGeom prst="rect">
                      <a:avLst/>
                    </a:prstGeom>
                    <a:noFill/>
                    <a:ln>
                      <a:noFill/>
                    </a:ln>
                  </pic:spPr>
                </pic:pic>
              </a:graphicData>
            </a:graphic>
          </wp:inline>
        </w:drawing>
      </w:r>
    </w:p>
    <w:p w:rsidR="00B95C42" w:rsidRDefault="00B95C42" w:rsidP="00DA1F4B">
      <w:pPr>
        <w:pStyle w:val="ChartandTableFootnoteAlpha"/>
        <w:numPr>
          <w:ilvl w:val="0"/>
          <w:numId w:val="59"/>
        </w:numPr>
      </w:pPr>
      <w:r>
        <w:t>Estimated expenses incurred in relation to receipts retained under section 74 of the PGPA Act 2013.</w:t>
      </w:r>
    </w:p>
    <w:p w:rsidR="00B95C42" w:rsidRDefault="00B95C42" w:rsidP="00DA1F4B">
      <w:pPr>
        <w:pStyle w:val="ChartandTableFootnoteAlpha"/>
        <w:numPr>
          <w:ilvl w:val="0"/>
          <w:numId w:val="59"/>
        </w:numPr>
      </w:pPr>
      <w:r>
        <w:t>Expenses not requiring appropriation in the Budget year are made up of depreciation expenses, amortisation expenses, make good expenses and audit fees.</w:t>
      </w:r>
    </w:p>
    <w:p w:rsidR="00C5146A" w:rsidRDefault="00C5146A" w:rsidP="00C5146A">
      <w:pPr>
        <w:pStyle w:val="ChartandTableFootnoteAlpha"/>
        <w:tabs>
          <w:tab w:val="num" w:pos="284"/>
        </w:tabs>
        <w:ind w:left="284" w:right="400" w:hanging="284"/>
      </w:pPr>
    </w:p>
    <w:p w:rsidR="00C5146A" w:rsidRPr="006746EB" w:rsidRDefault="00B95C42" w:rsidP="006746EB">
      <w:pPr>
        <w:pStyle w:val="ChartandTableFootnoteAlpha"/>
        <w:tabs>
          <w:tab w:val="num" w:pos="284"/>
        </w:tabs>
      </w:pPr>
      <w:r>
        <w:t xml:space="preserve">Note: Departmental appropriation splits and totals are indicative estimates </w:t>
      </w:r>
      <w:r w:rsidR="006746EB">
        <w:t xml:space="preserve">and may change in the course </w:t>
      </w:r>
      <w:r w:rsidR="00C5146A" w:rsidRPr="00C5146A">
        <w:rPr>
          <w:rFonts w:cs="Arial"/>
          <w:szCs w:val="16"/>
        </w:rPr>
        <w:t>of the budget year as government priorities change.</w:t>
      </w:r>
    </w:p>
    <w:p w:rsidR="00C5146A" w:rsidRDefault="00C5146A" w:rsidP="00C5146A">
      <w:pPr>
        <w:pStyle w:val="ChartandTableFootnoteAlpha"/>
        <w:tabs>
          <w:tab w:val="num" w:pos="284"/>
        </w:tabs>
        <w:ind w:left="284" w:right="400" w:hanging="284"/>
      </w:pPr>
      <w:r>
        <w:t xml:space="preserve">          </w:t>
      </w:r>
    </w:p>
    <w:p w:rsidR="00BF35D9" w:rsidRPr="00150452" w:rsidRDefault="00BF35D9" w:rsidP="00C5146A">
      <w:pPr>
        <w:pStyle w:val="ChartandTableFootnoteAlpha"/>
        <w:tabs>
          <w:tab w:val="num" w:pos="284"/>
        </w:tabs>
        <w:ind w:left="284" w:hanging="284"/>
        <w:jc w:val="right"/>
        <w:rPr>
          <w:b/>
        </w:rPr>
      </w:pPr>
      <w:r>
        <w:fldChar w:fldCharType="begin"/>
      </w:r>
      <w:r>
        <w:instrText xml:space="preserve"> LINK Excel.Sheet.12 "\\\\prod.aec.gov.au\\can0\\branch\\CFO\\Financial Management\\Budgeting\\Budget 22-23\\External Budget\\PBS\\Excel\\Attachment B - 2022-23 PBS Excel Tables draft.xlsx" "Table 2.1.1 NCCE!R5C1:R85C6" \a \f 4 \h </w:instrText>
      </w:r>
      <w:r w:rsidR="00B95C42">
        <w:instrText xml:space="preserve"> \* MERGEFORMAT </w:instrText>
      </w:r>
      <w:r>
        <w:fldChar w:fldCharType="separate"/>
      </w:r>
    </w:p>
    <w:p w:rsidR="00BF35D9" w:rsidRDefault="00BF35D9" w:rsidP="00C5146A">
      <w:pPr>
        <w:pStyle w:val="ChartandTableFootnoteAlpha"/>
        <w:tabs>
          <w:tab w:val="num" w:pos="284"/>
        </w:tabs>
        <w:ind w:left="284" w:hanging="284"/>
        <w:jc w:val="right"/>
      </w:pPr>
      <w:r>
        <w:fldChar w:fldCharType="end"/>
      </w:r>
    </w:p>
    <w:p w:rsidR="00253FF3" w:rsidRDefault="00253FF3" w:rsidP="00150452"/>
    <w:p w:rsidR="00253FF3" w:rsidRPr="00253FF3" w:rsidRDefault="00253FF3" w:rsidP="00150452"/>
    <w:p w:rsidR="00BF35D9" w:rsidRPr="004A3A9A" w:rsidRDefault="00BF35D9" w:rsidP="00BF35D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rsidR="00BF35D9" w:rsidRDefault="00BF35D9" w:rsidP="00BF35D9">
      <w:r w:rsidRPr="00617538">
        <w:t>Table 2.1.</w:t>
      </w:r>
      <w:r>
        <w:t>2</w:t>
      </w:r>
      <w:r w:rsidRPr="00617538">
        <w:t xml:space="preserve">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is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5150" w:rsidRPr="001B2F81" w:rsidTr="00436AFE">
        <w:trPr>
          <w:trHeight w:val="569"/>
        </w:trPr>
        <w:tc>
          <w:tcPr>
            <w:tcW w:w="7796" w:type="dxa"/>
            <w:gridSpan w:val="3"/>
            <w:tcBorders>
              <w:top w:val="single" w:sz="4" w:space="0" w:color="auto"/>
            </w:tcBorders>
            <w:shd w:val="clear" w:color="auto" w:fill="F2F2F2"/>
          </w:tcPr>
          <w:p w:rsidR="00E55150" w:rsidRPr="00C41058" w:rsidRDefault="00E55150" w:rsidP="00436AFE">
            <w:pPr>
              <w:pStyle w:val="TableColumnHeadingLeft"/>
            </w:pPr>
            <w:r w:rsidRPr="00C41058">
              <w:rPr>
                <w:rStyle w:val="TableHeadingChar"/>
                <w:b/>
              </w:rPr>
              <w:t xml:space="preserve">Outcome </w:t>
            </w:r>
            <w:r>
              <w:rPr>
                <w:rStyle w:val="TableHeadingChar"/>
                <w:b/>
                <w:lang w:val="en-AU"/>
              </w:rPr>
              <w:t>1</w:t>
            </w:r>
            <w:r w:rsidRPr="00AF55E0">
              <w:rPr>
                <w:b w:val="0"/>
              </w:rPr>
              <w:t xml:space="preserve"> – </w:t>
            </w:r>
            <w:r w:rsidRPr="00AF55E0">
              <w:rPr>
                <w:rFonts w:cs="Arial"/>
                <w:b w:val="0"/>
              </w:rPr>
              <w:t>Maintain an impartial and independent electoral system for eligible voters through active electoral roll management, efficient delivery of polling services, and targeted education and public awareness programs.</w:t>
            </w:r>
          </w:p>
        </w:tc>
      </w:tr>
      <w:tr w:rsidR="00E55150" w:rsidRPr="001B2F81" w:rsidTr="00436AFE">
        <w:trPr>
          <w:trHeight w:val="522"/>
        </w:trPr>
        <w:tc>
          <w:tcPr>
            <w:tcW w:w="7796" w:type="dxa"/>
            <w:gridSpan w:val="3"/>
            <w:shd w:val="clear" w:color="auto" w:fill="F2F2F2"/>
          </w:tcPr>
          <w:p w:rsidR="00E55150" w:rsidRPr="00617538" w:rsidRDefault="00E55150" w:rsidP="00436AFE">
            <w:pPr>
              <w:pStyle w:val="TableTextLeft"/>
              <w:rPr>
                <w:rFonts w:eastAsia="Arial"/>
                <w:b/>
                <w:highlight w:val="yellow"/>
              </w:rPr>
            </w:pPr>
            <w:r w:rsidRPr="00617538">
              <w:rPr>
                <w:b/>
              </w:rPr>
              <w:t>Program 1.</w:t>
            </w:r>
            <w:r w:rsidRPr="00091B3B">
              <w:rPr>
                <w:b/>
              </w:rPr>
              <w:t>1 – Deliver Electoral Events</w:t>
            </w:r>
          </w:p>
        </w:tc>
      </w:tr>
      <w:tr w:rsidR="00E55150" w:rsidRPr="001B2F81" w:rsidTr="00436AFE">
        <w:trPr>
          <w:trHeight w:val="694"/>
        </w:trPr>
        <w:tc>
          <w:tcPr>
            <w:tcW w:w="1560" w:type="dxa"/>
            <w:tcBorders>
              <w:bottom w:val="double" w:sz="4" w:space="0" w:color="auto"/>
            </w:tcBorders>
          </w:tcPr>
          <w:p w:rsidR="00E55150" w:rsidRPr="00617538" w:rsidRDefault="00E55150" w:rsidP="00436AFE">
            <w:pPr>
              <w:tabs>
                <w:tab w:val="left" w:pos="709"/>
              </w:tabs>
              <w:spacing w:before="60"/>
              <w:rPr>
                <w:rFonts w:ascii="Arial" w:hAnsi="Arial" w:cs="Arial"/>
                <w:b/>
                <w:sz w:val="16"/>
                <w:szCs w:val="16"/>
              </w:rPr>
            </w:pPr>
            <w:r w:rsidRPr="00250C7B">
              <w:rPr>
                <w:rFonts w:ascii="Arial" w:hAnsi="Arial" w:cs="Arial"/>
                <w:b/>
                <w:sz w:val="16"/>
                <w:szCs w:val="16"/>
              </w:rPr>
              <w:t>Key Activities</w:t>
            </w:r>
          </w:p>
        </w:tc>
        <w:tc>
          <w:tcPr>
            <w:tcW w:w="6236" w:type="dxa"/>
            <w:gridSpan w:val="2"/>
            <w:tcBorders>
              <w:bottom w:val="double" w:sz="4" w:space="0" w:color="auto"/>
            </w:tcBorders>
          </w:tcPr>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Maintain the integrity of electoral and regulatory processes.</w:t>
            </w:r>
          </w:p>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Prepare for and deliver electoral events.</w:t>
            </w:r>
          </w:p>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 xml:space="preserve">Engage with our stakeholders through education and public awareness activities. </w:t>
            </w:r>
          </w:p>
          <w:p w:rsidR="00E55150" w:rsidRPr="004275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C201D2">
              <w:rPr>
                <w:rFonts w:ascii="Arial" w:eastAsia="Calibri" w:hAnsi="Arial" w:cs="Arial"/>
                <w:sz w:val="16"/>
                <w:szCs w:val="16"/>
                <w:lang w:val="en-US" w:eastAsia="en-US"/>
              </w:rPr>
              <w:t xml:space="preserve">Maintain a capable and agile </w:t>
            </w:r>
            <w:proofErr w:type="spellStart"/>
            <w:r w:rsidRPr="00C201D2">
              <w:rPr>
                <w:rFonts w:ascii="Arial" w:eastAsia="Calibri" w:hAnsi="Arial" w:cs="Arial"/>
                <w:sz w:val="16"/>
                <w:szCs w:val="16"/>
                <w:lang w:val="en-US" w:eastAsia="en-US"/>
              </w:rPr>
              <w:t>organisation</w:t>
            </w:r>
            <w:proofErr w:type="spellEnd"/>
            <w:r w:rsidRPr="00C201D2">
              <w:rPr>
                <w:rFonts w:ascii="Arial" w:eastAsia="Calibri" w:hAnsi="Arial" w:cs="Arial"/>
                <w:sz w:val="16"/>
                <w:szCs w:val="16"/>
                <w:lang w:val="en-US" w:eastAsia="en-US"/>
              </w:rPr>
              <w:t xml:space="preserve"> and continue to </w:t>
            </w:r>
            <w:proofErr w:type="spellStart"/>
            <w:r w:rsidRPr="00C201D2">
              <w:rPr>
                <w:rFonts w:ascii="Arial" w:eastAsia="Calibri" w:hAnsi="Arial" w:cs="Arial"/>
                <w:sz w:val="16"/>
                <w:szCs w:val="16"/>
                <w:lang w:val="en-US" w:eastAsia="en-US"/>
              </w:rPr>
              <w:t>professionalise</w:t>
            </w:r>
            <w:proofErr w:type="spellEnd"/>
            <w:r w:rsidRPr="00C201D2">
              <w:rPr>
                <w:rFonts w:ascii="Arial" w:eastAsia="Calibri" w:hAnsi="Arial" w:cs="Arial"/>
                <w:sz w:val="16"/>
                <w:szCs w:val="16"/>
                <w:lang w:val="en-US" w:eastAsia="en-US"/>
              </w:rPr>
              <w:t xml:space="preserve"> our workforce.</w:t>
            </w:r>
          </w:p>
        </w:tc>
      </w:tr>
      <w:tr w:rsidR="00E55150" w:rsidRPr="001B2F81" w:rsidTr="00436AFE">
        <w:trPr>
          <w:trHeight w:val="258"/>
        </w:trPr>
        <w:tc>
          <w:tcPr>
            <w:tcW w:w="1560" w:type="dxa"/>
            <w:tcBorders>
              <w:top w:val="double" w:sz="4" w:space="0" w:color="auto"/>
              <w:bottom w:val="single" w:sz="4" w:space="0" w:color="auto"/>
              <w:right w:val="single" w:sz="4" w:space="0" w:color="auto"/>
            </w:tcBorders>
          </w:tcPr>
          <w:p w:rsidR="00E55150" w:rsidRPr="00160C23" w:rsidRDefault="00E55150" w:rsidP="00436AFE">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Expected Performance Results</w:t>
            </w:r>
          </w:p>
        </w:tc>
      </w:tr>
      <w:tr w:rsidR="00E55150" w:rsidRPr="001B2F81" w:rsidTr="00436AFE">
        <w:trPr>
          <w:trHeight w:val="1577"/>
        </w:trPr>
        <w:tc>
          <w:tcPr>
            <w:tcW w:w="1560" w:type="dxa"/>
            <w:tcBorders>
              <w:top w:val="single" w:sz="4" w:space="0" w:color="auto"/>
              <w:bottom w:val="nil"/>
              <w:right w:val="single" w:sz="4" w:space="0" w:color="auto"/>
            </w:tcBorders>
          </w:tcPr>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 xml:space="preserve">Current year </w:t>
            </w:r>
          </w:p>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2021-22</w:t>
            </w:r>
          </w:p>
          <w:p w:rsidR="00E55150" w:rsidRPr="00160C23" w:rsidRDefault="00E55150" w:rsidP="006804A1">
            <w:pPr>
              <w:pStyle w:val="TableTextBase"/>
              <w:rPr>
                <w:b/>
                <w:sz w:val="16"/>
                <w:szCs w:val="16"/>
              </w:rPr>
            </w:pPr>
          </w:p>
        </w:tc>
        <w:tc>
          <w:tcPr>
            <w:tcW w:w="3118" w:type="dxa"/>
            <w:tcBorders>
              <w:top w:val="single" w:sz="4" w:space="0" w:color="auto"/>
              <w:left w:val="single" w:sz="4" w:space="0" w:color="auto"/>
              <w:bottom w:val="nil"/>
              <w:right w:val="single" w:sz="4" w:space="0" w:color="auto"/>
            </w:tcBorders>
          </w:tcPr>
          <w:p w:rsidR="00E55150" w:rsidRPr="00F16945" w:rsidRDefault="00E55150" w:rsidP="00436AFE">
            <w:pPr>
              <w:tabs>
                <w:tab w:val="left" w:pos="709"/>
              </w:tabs>
              <w:spacing w:before="60" w:after="60" w:line="240" w:lineRule="auto"/>
              <w:ind w:left="374" w:hanging="357"/>
              <w:jc w:val="left"/>
              <w:rPr>
                <w:rFonts w:ascii="Arial" w:hAnsi="Arial" w:cs="Arial"/>
                <w:b/>
                <w:sz w:val="16"/>
                <w:szCs w:val="16"/>
              </w:rPr>
            </w:pPr>
            <w:r w:rsidRPr="00F16945">
              <w:rPr>
                <w:rFonts w:ascii="Arial" w:hAnsi="Arial" w:cs="Arial"/>
                <w:b/>
                <w:sz w:val="16"/>
                <w:szCs w:val="16"/>
              </w:rPr>
              <w:t xml:space="preserve">Electoral Roll Management </w:t>
            </w:r>
          </w:p>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Percentage of eligible voters enrolled (enrolment rate).</w:t>
            </w:r>
          </w:p>
          <w:p w:rsidR="00E55150" w:rsidRPr="00160C23" w:rsidRDefault="00E55150" w:rsidP="00436AFE">
            <w:pPr>
              <w:pStyle w:val="TableTextBase"/>
              <w:ind w:left="374" w:hanging="357"/>
              <w:rPr>
                <w:rFonts w:cs="Arial"/>
                <w:b/>
                <w:sz w:val="16"/>
                <w:szCs w:val="16"/>
              </w:rPr>
            </w:pPr>
          </w:p>
        </w:tc>
        <w:tc>
          <w:tcPr>
            <w:tcW w:w="3118" w:type="dxa"/>
            <w:tcBorders>
              <w:top w:val="single" w:sz="4" w:space="0" w:color="auto"/>
              <w:left w:val="single" w:sz="4" w:space="0" w:color="auto"/>
              <w:bottom w:val="nil"/>
            </w:tcBorders>
          </w:tcPr>
          <w:p w:rsidR="00E55150" w:rsidRPr="00F16945"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Target:</w:t>
            </w:r>
            <w:r w:rsidRPr="00F16945">
              <w:rPr>
                <w:rFonts w:ascii="Arial" w:hAnsi="Arial" w:cs="Arial"/>
                <w:sz w:val="16"/>
                <w:szCs w:val="16"/>
              </w:rPr>
              <w:t xml:space="preserve"> ≥ 95% reported annually and at close of rolls for a federal election or referendum.</w:t>
            </w:r>
          </w:p>
          <w:p w:rsidR="00E55150" w:rsidRPr="00BC0109"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Performance:</w:t>
            </w:r>
            <w:r w:rsidRPr="00F16945">
              <w:rPr>
                <w:rFonts w:ascii="Arial" w:hAnsi="Arial" w:cs="Arial"/>
                <w:sz w:val="16"/>
                <w:szCs w:val="16"/>
              </w:rPr>
              <w:t xml:space="preserve"> On track to be met. The enrolment rate at 31 December 2021 was 96.3% and is expected to remain above 95%.</w:t>
            </w:r>
          </w:p>
        </w:tc>
      </w:tr>
      <w:tr w:rsidR="00E55150" w:rsidRPr="001B2F81" w:rsidTr="00436AFE">
        <w:trPr>
          <w:trHeight w:val="258"/>
        </w:trPr>
        <w:tc>
          <w:tcPr>
            <w:tcW w:w="1560" w:type="dxa"/>
            <w:tcBorders>
              <w:top w:val="nil"/>
              <w:bottom w:val="single" w:sz="4" w:space="0" w:color="auto"/>
              <w:right w:val="single" w:sz="4" w:space="0" w:color="auto"/>
            </w:tcBorders>
          </w:tcPr>
          <w:p w:rsidR="00E55150" w:rsidRPr="00F16945" w:rsidRDefault="00E55150" w:rsidP="00436AFE">
            <w:pPr>
              <w:pStyle w:val="TableTextBase"/>
              <w:rPr>
                <w:rFonts w:cs="Arial"/>
                <w:sz w:val="16"/>
                <w:szCs w:val="16"/>
              </w:rPr>
            </w:pPr>
          </w:p>
        </w:tc>
        <w:tc>
          <w:tcPr>
            <w:tcW w:w="3118" w:type="dxa"/>
            <w:tcBorders>
              <w:top w:val="nil"/>
              <w:left w:val="single" w:sz="4" w:space="0" w:color="auto"/>
              <w:bottom w:val="single" w:sz="4" w:space="0" w:color="auto"/>
              <w:right w:val="single" w:sz="4" w:space="0" w:color="auto"/>
            </w:tcBorders>
          </w:tcPr>
          <w:p w:rsidR="00E55150" w:rsidRPr="00C201D2"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C201D2">
              <w:rPr>
                <w:rFonts w:ascii="Arial" w:eastAsia="Calibri" w:hAnsi="Arial" w:cs="Arial"/>
                <w:sz w:val="16"/>
                <w:szCs w:val="16"/>
                <w:lang w:val="en-US" w:eastAsia="en-US"/>
              </w:rPr>
              <w:t xml:space="preserve">Redistributions determined when planned in accordance with timeframes identified in the </w:t>
            </w:r>
            <w:r w:rsidRPr="004141C4">
              <w:rPr>
                <w:rFonts w:ascii="Arial" w:eastAsia="Calibri" w:hAnsi="Arial" w:cs="Arial"/>
                <w:i/>
                <w:sz w:val="16"/>
                <w:szCs w:val="16"/>
                <w:lang w:val="en-US" w:eastAsia="en-US"/>
              </w:rPr>
              <w:t>Commonwealth Electoral Act 1918</w:t>
            </w:r>
            <w:r w:rsidRPr="00F16945">
              <w:rPr>
                <w:rFonts w:ascii="Arial" w:eastAsia="Calibri" w:hAnsi="Arial" w:cs="Arial"/>
                <w:sz w:val="16"/>
                <w:szCs w:val="16"/>
                <w:lang w:val="en-US" w:eastAsia="en-US"/>
              </w:rPr>
              <w:t>.</w:t>
            </w:r>
          </w:p>
          <w:p w:rsidR="00E55150" w:rsidRPr="00F16945" w:rsidRDefault="00E55150" w:rsidP="00436AFE">
            <w:pPr>
              <w:tabs>
                <w:tab w:val="left" w:pos="709"/>
              </w:tabs>
              <w:spacing w:before="60" w:after="60" w:line="240" w:lineRule="auto"/>
              <w:ind w:left="374" w:hanging="357"/>
              <w:jc w:val="left"/>
              <w:rPr>
                <w:rFonts w:ascii="Arial" w:hAnsi="Arial" w:cs="Arial"/>
                <w:b/>
                <w:sz w:val="16"/>
                <w:szCs w:val="16"/>
              </w:rPr>
            </w:pPr>
          </w:p>
        </w:tc>
        <w:tc>
          <w:tcPr>
            <w:tcW w:w="3118" w:type="dxa"/>
            <w:tcBorders>
              <w:top w:val="nil"/>
              <w:left w:val="single" w:sz="4" w:space="0" w:color="auto"/>
              <w:bottom w:val="single" w:sz="4" w:space="0" w:color="auto"/>
            </w:tcBorders>
          </w:tcPr>
          <w:p w:rsidR="00E55150"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Target:</w:t>
            </w:r>
            <w:r w:rsidRPr="00F16945">
              <w:rPr>
                <w:rFonts w:ascii="Arial" w:hAnsi="Arial" w:cs="Arial"/>
                <w:sz w:val="16"/>
                <w:szCs w:val="16"/>
              </w:rPr>
              <w:t xml:space="preserve"> All redistributions in the period determined and affected electors informed. </w:t>
            </w:r>
          </w:p>
          <w:p w:rsidR="00E55150" w:rsidRPr="00F16945" w:rsidRDefault="00E55150" w:rsidP="00436AFE">
            <w:pPr>
              <w:autoSpaceDE w:val="0"/>
              <w:autoSpaceDN w:val="0"/>
              <w:spacing w:before="60" w:after="60" w:line="240" w:lineRule="auto"/>
              <w:jc w:val="left"/>
              <w:rPr>
                <w:rFonts w:ascii="Arial" w:hAnsi="Arial" w:cs="Arial"/>
                <w:sz w:val="16"/>
                <w:szCs w:val="16"/>
              </w:rPr>
            </w:pPr>
            <w:r w:rsidRPr="00F16945">
              <w:rPr>
                <w:rFonts w:ascii="Arial" w:hAnsi="Arial" w:cs="Arial"/>
                <w:b/>
                <w:bCs/>
                <w:sz w:val="16"/>
                <w:szCs w:val="16"/>
              </w:rPr>
              <w:t>Performance:</w:t>
            </w:r>
            <w:r w:rsidRPr="00F16945">
              <w:rPr>
                <w:rFonts w:ascii="Arial" w:hAnsi="Arial" w:cs="Arial"/>
                <w:sz w:val="16"/>
                <w:szCs w:val="16"/>
              </w:rPr>
              <w:t xml:space="preserve"> On track to be met. The Victorian redistribution was determined on 26 July 2021 and the Western Australian redistribution was determined on 2 August 2021. Electors who were transferred between electoral rolls as a result of the two redistributions were informed by notices published in state-wide newspapers and newspapers targeted to Indigenous and rural audiences. Letters were also sent to households affected by these transfers. </w:t>
            </w:r>
          </w:p>
          <w:p w:rsidR="00E55150" w:rsidRPr="00F16945" w:rsidRDefault="00E55150" w:rsidP="00436AFE">
            <w:pPr>
              <w:autoSpaceDE w:val="0"/>
              <w:autoSpaceDN w:val="0"/>
              <w:spacing w:before="60" w:after="60" w:line="240" w:lineRule="auto"/>
              <w:jc w:val="left"/>
              <w:rPr>
                <w:rFonts w:ascii="Arial" w:hAnsi="Arial" w:cs="Arial"/>
                <w:b/>
                <w:bCs/>
                <w:sz w:val="16"/>
                <w:szCs w:val="16"/>
              </w:rPr>
            </w:pPr>
          </w:p>
        </w:tc>
      </w:tr>
    </w:tbl>
    <w:p w:rsidR="00E55150" w:rsidRDefault="00E55150" w:rsidP="00E55150">
      <w:pPr>
        <w:spacing w:after="0" w:line="240" w:lineRule="auto"/>
        <w:jc w:val="left"/>
      </w:pPr>
      <w:r w:rsidRPr="000717B9">
        <w:rPr>
          <w:rFonts w:ascii="Arial" w:hAnsi="Arial"/>
          <w:sz w:val="16"/>
        </w:rPr>
        <w:t>Table continues on next page</w:t>
      </w:r>
      <w:r>
        <w:t xml:space="preserve"> </w:t>
      </w:r>
    </w:p>
    <w:p w:rsidR="00E55150" w:rsidRDefault="00E55150" w:rsidP="00BF35D9"/>
    <w:p w:rsidR="00E55150" w:rsidRDefault="00E55150" w:rsidP="00BF35D9"/>
    <w:p w:rsidR="00E55150" w:rsidRDefault="00E55150" w:rsidP="00BF35D9"/>
    <w:p w:rsidR="00E55150" w:rsidRDefault="00E55150" w:rsidP="00E55150">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r w:rsidRPr="00E55150">
        <w:rPr>
          <w:lang w:val="en-AU"/>
        </w:rPr>
        <w:t xml:space="preserve">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E55150" w:rsidRPr="00617538" w:rsidTr="00436AFE">
        <w:trPr>
          <w:trHeight w:val="522"/>
        </w:trPr>
        <w:tc>
          <w:tcPr>
            <w:tcW w:w="7796" w:type="dxa"/>
            <w:gridSpan w:val="3"/>
            <w:shd w:val="clear" w:color="auto" w:fill="F2F2F2"/>
          </w:tcPr>
          <w:p w:rsidR="00E55150" w:rsidRPr="00617538" w:rsidRDefault="00677731" w:rsidP="00436AFE">
            <w:pPr>
              <w:pStyle w:val="TableTextLeft"/>
              <w:rPr>
                <w:rFonts w:eastAsia="Arial"/>
                <w:b/>
                <w:highlight w:val="yellow"/>
              </w:rPr>
            </w:pPr>
            <w:r w:rsidRPr="00BA090C">
              <w:rPr>
                <w:b/>
                <w:szCs w:val="18"/>
              </w:rPr>
              <w:t xml:space="preserve">Performance information: </w:t>
            </w:r>
            <w:r w:rsidR="00E55150" w:rsidRPr="00617538">
              <w:rPr>
                <w:b/>
              </w:rPr>
              <w:t>Program 1.</w:t>
            </w:r>
            <w:r w:rsidR="00E55150" w:rsidRPr="00091B3B">
              <w:rPr>
                <w:b/>
              </w:rPr>
              <w:t>1 – Deliver Electoral Events</w:t>
            </w:r>
          </w:p>
        </w:tc>
      </w:tr>
      <w:tr w:rsidR="00E55150" w:rsidRPr="00160C23" w:rsidTr="00E55150">
        <w:trPr>
          <w:trHeight w:val="258"/>
        </w:trPr>
        <w:tc>
          <w:tcPr>
            <w:tcW w:w="1560" w:type="dxa"/>
            <w:tcBorders>
              <w:top w:val="single" w:sz="4" w:space="0" w:color="auto"/>
              <w:bottom w:val="single" w:sz="4" w:space="0" w:color="auto"/>
              <w:right w:val="single" w:sz="4" w:space="0" w:color="auto"/>
            </w:tcBorders>
          </w:tcPr>
          <w:p w:rsidR="00E55150" w:rsidRPr="00160C23" w:rsidRDefault="00E55150" w:rsidP="00436AFE">
            <w:pPr>
              <w:pStyle w:val="TableTextBase"/>
              <w:rPr>
                <w:b/>
                <w:sz w:val="16"/>
                <w:szCs w:val="16"/>
              </w:rPr>
            </w:pPr>
            <w:r w:rsidRPr="00160C23">
              <w:rPr>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Performance measures</w:t>
            </w:r>
          </w:p>
        </w:tc>
        <w:tc>
          <w:tcPr>
            <w:tcW w:w="3118" w:type="dxa"/>
            <w:tcBorders>
              <w:top w:val="single" w:sz="4" w:space="0" w:color="auto"/>
              <w:left w:val="single" w:sz="4" w:space="0" w:color="auto"/>
              <w:bottom w:val="single" w:sz="4" w:space="0" w:color="auto"/>
            </w:tcBorders>
          </w:tcPr>
          <w:p w:rsidR="00E55150" w:rsidRPr="00160C23" w:rsidRDefault="00E55150" w:rsidP="00436AFE">
            <w:pPr>
              <w:pStyle w:val="TableTextBase"/>
              <w:rPr>
                <w:rFonts w:cs="Arial"/>
                <w:b/>
                <w:sz w:val="16"/>
                <w:szCs w:val="16"/>
              </w:rPr>
            </w:pPr>
            <w:r w:rsidRPr="00160C23">
              <w:rPr>
                <w:rFonts w:cs="Arial"/>
                <w:b/>
                <w:sz w:val="16"/>
                <w:szCs w:val="16"/>
              </w:rPr>
              <w:t>Expected Performance Results</w:t>
            </w:r>
          </w:p>
        </w:tc>
      </w:tr>
      <w:tr w:rsidR="00E55150" w:rsidRPr="0084191D" w:rsidTr="00436AFE">
        <w:trPr>
          <w:trHeight w:val="258"/>
        </w:trPr>
        <w:tc>
          <w:tcPr>
            <w:tcW w:w="1560" w:type="dxa"/>
            <w:tcBorders>
              <w:top w:val="single" w:sz="4" w:space="0" w:color="auto"/>
              <w:bottom w:val="nil"/>
              <w:right w:val="single" w:sz="4" w:space="0" w:color="auto"/>
            </w:tcBorders>
          </w:tcPr>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 xml:space="preserve">Current year </w:t>
            </w:r>
          </w:p>
          <w:p w:rsidR="006804A1" w:rsidRPr="006804A1" w:rsidRDefault="006804A1" w:rsidP="006804A1">
            <w:pPr>
              <w:pStyle w:val="TableTextBase"/>
              <w:autoSpaceDE w:val="0"/>
              <w:autoSpaceDN w:val="0"/>
              <w:contextualSpacing/>
              <w:rPr>
                <w:rFonts w:cs="Arial"/>
                <w:sz w:val="16"/>
                <w:szCs w:val="16"/>
              </w:rPr>
            </w:pPr>
            <w:r w:rsidRPr="006804A1">
              <w:rPr>
                <w:rFonts w:cs="Arial"/>
                <w:sz w:val="16"/>
                <w:szCs w:val="16"/>
              </w:rPr>
              <w:t>2021-22</w:t>
            </w:r>
          </w:p>
          <w:p w:rsidR="00E55150" w:rsidRPr="00F16945" w:rsidRDefault="006804A1" w:rsidP="006804A1">
            <w:pPr>
              <w:pStyle w:val="TableTextBase"/>
              <w:rPr>
                <w:rFonts w:cs="Arial"/>
                <w:sz w:val="16"/>
                <w:szCs w:val="16"/>
              </w:rPr>
            </w:pPr>
            <w:r w:rsidRPr="006804A1">
              <w:rPr>
                <w:rFonts w:cs="Arial"/>
                <w:sz w:val="16"/>
                <w:szCs w:val="16"/>
              </w:rPr>
              <w:t>(continued)</w:t>
            </w:r>
          </w:p>
        </w:tc>
        <w:tc>
          <w:tcPr>
            <w:tcW w:w="3118" w:type="dxa"/>
            <w:tcBorders>
              <w:top w:val="single" w:sz="4" w:space="0" w:color="auto"/>
              <w:left w:val="single" w:sz="4" w:space="0" w:color="auto"/>
              <w:bottom w:val="nil"/>
              <w:right w:val="single" w:sz="4" w:space="0" w:color="auto"/>
            </w:tcBorders>
          </w:tcPr>
          <w:p w:rsidR="00E55150" w:rsidRPr="00AE5868" w:rsidRDefault="00E55150" w:rsidP="00436AFE">
            <w:pPr>
              <w:spacing w:after="0" w:line="240" w:lineRule="auto"/>
              <w:jc w:val="left"/>
              <w:rPr>
                <w:rFonts w:ascii="Arial" w:hAnsi="Arial" w:cs="Arial"/>
                <w:b/>
                <w:sz w:val="16"/>
                <w:szCs w:val="16"/>
                <w:highlight w:val="yellow"/>
              </w:rPr>
            </w:pPr>
            <w:r w:rsidRPr="00AE5868">
              <w:rPr>
                <w:rFonts w:ascii="Arial" w:hAnsi="Arial" w:cs="Arial"/>
                <w:b/>
                <w:sz w:val="16"/>
                <w:szCs w:val="16"/>
              </w:rPr>
              <w:t>Elections, By-elections and Referendums</w:t>
            </w:r>
          </w:p>
          <w:p w:rsidR="00E55150" w:rsidRPr="00AE5868" w:rsidRDefault="00E55150" w:rsidP="00F76FE4">
            <w:pPr>
              <w:numPr>
                <w:ilvl w:val="0"/>
                <w:numId w:val="21"/>
              </w:numPr>
              <w:autoSpaceDE w:val="0"/>
              <w:autoSpaceDN w:val="0"/>
              <w:adjustRightInd w:val="0"/>
              <w:spacing w:before="60" w:after="60" w:line="240" w:lineRule="auto"/>
              <w:ind w:left="378" w:hanging="361"/>
              <w:contextualSpacing/>
              <w:jc w:val="left"/>
              <w:rPr>
                <w:rFonts w:ascii="Arial" w:hAnsi="Arial" w:cs="Arial"/>
                <w:sz w:val="16"/>
                <w:szCs w:val="16"/>
              </w:rPr>
            </w:pPr>
            <w:r w:rsidRPr="00AE5868">
              <w:rPr>
                <w:rFonts w:ascii="Arial" w:eastAsia="Calibri" w:hAnsi="Arial" w:cs="Arial"/>
                <w:sz w:val="16"/>
                <w:szCs w:val="16"/>
                <w:lang w:val="en-US" w:eastAsia="en-US"/>
              </w:rPr>
              <w:t>The writs for a federal election event are issued and returned in accordance with legislation and timeframes.</w:t>
            </w:r>
            <w:r w:rsidRPr="00AE5868">
              <w:rPr>
                <w:rFonts w:ascii="Arial" w:hAnsi="Arial" w:cs="Arial"/>
                <w:sz w:val="16"/>
                <w:szCs w:val="16"/>
              </w:rPr>
              <w:t xml:space="preserve"> </w:t>
            </w:r>
          </w:p>
        </w:tc>
        <w:tc>
          <w:tcPr>
            <w:tcW w:w="3118" w:type="dxa"/>
            <w:tcBorders>
              <w:top w:val="single" w:sz="4" w:space="0" w:color="auto"/>
              <w:left w:val="single" w:sz="4" w:space="0" w:color="auto"/>
              <w:bottom w:val="nil"/>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Date on the returned election writs falls within the timeframe specified.</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The AEC anticipates returning the writs for the federal election within specified timeframes. </w:t>
            </w:r>
          </w:p>
        </w:tc>
      </w:tr>
      <w:tr w:rsidR="00E55150" w:rsidRPr="00C552B1" w:rsidTr="00436AFE">
        <w:trPr>
          <w:trHeight w:val="258"/>
        </w:trPr>
        <w:tc>
          <w:tcPr>
            <w:tcW w:w="1560" w:type="dxa"/>
            <w:tcBorders>
              <w:top w:val="nil"/>
              <w:bottom w:val="nil"/>
              <w:right w:val="single" w:sz="4" w:space="0" w:color="auto"/>
            </w:tcBorders>
          </w:tcPr>
          <w:p w:rsidR="00E55150" w:rsidRPr="00F16945" w:rsidRDefault="00E55150" w:rsidP="00436AFE">
            <w:pPr>
              <w:pStyle w:val="TableTextBase"/>
              <w:rPr>
                <w:rFonts w:cs="Arial"/>
                <w:sz w:val="16"/>
                <w:szCs w:val="16"/>
              </w:rPr>
            </w:pPr>
          </w:p>
        </w:tc>
        <w:tc>
          <w:tcPr>
            <w:tcW w:w="3118" w:type="dxa"/>
            <w:tcBorders>
              <w:top w:val="nil"/>
              <w:left w:val="single" w:sz="4" w:space="0" w:color="auto"/>
              <w:bottom w:val="single" w:sz="4" w:space="0" w:color="FFFFFF" w:themeColor="background1"/>
              <w:right w:val="single" w:sz="4" w:space="0" w:color="auto"/>
            </w:tcBorders>
          </w:tcPr>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For industrial elections and ballots, results are delivered with integrity and withstand scrutiny.</w:t>
            </w:r>
          </w:p>
          <w:p w:rsidR="00E55150" w:rsidRPr="00AE5868" w:rsidRDefault="00E55150" w:rsidP="00436AFE">
            <w:pPr>
              <w:spacing w:before="60" w:after="60" w:line="240" w:lineRule="auto"/>
              <w:ind w:left="374" w:hanging="357"/>
              <w:jc w:val="left"/>
              <w:rPr>
                <w:rFonts w:ascii="Arial" w:hAnsi="Arial" w:cs="Arial"/>
                <w:b/>
                <w:sz w:val="16"/>
                <w:szCs w:val="16"/>
              </w:rPr>
            </w:pPr>
          </w:p>
        </w:tc>
        <w:tc>
          <w:tcPr>
            <w:tcW w:w="3118" w:type="dxa"/>
            <w:tcBorders>
              <w:top w:val="nil"/>
              <w:left w:val="single" w:sz="4" w:space="0" w:color="auto"/>
              <w:bottom w:val="single" w:sz="4" w:space="0" w:color="FFFFFF" w:themeColor="background1"/>
              <w:right w:val="single" w:sz="4" w:space="0" w:color="auto"/>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No targets. The AEC will report on the number of events where the AEC’s conduct is challenged before a court and whether the court dismissed the challenge or upheld in favour of the AEC. </w:t>
            </w:r>
          </w:p>
          <w:p w:rsidR="00E55150" w:rsidRPr="00AE5868" w:rsidRDefault="00E55150" w:rsidP="00436AFE">
            <w:pPr>
              <w:autoSpaceDE w:val="0"/>
              <w:autoSpaceDN w:val="0"/>
              <w:spacing w:before="60" w:after="60" w:line="240" w:lineRule="auto"/>
              <w:jc w:val="left"/>
              <w:rPr>
                <w:rFonts w:ascii="Arial" w:hAnsi="Arial" w:cs="Arial"/>
                <w:b/>
                <w:sz w:val="16"/>
                <w:szCs w:val="16"/>
              </w:rPr>
            </w:pPr>
            <w:r w:rsidRPr="00AE5868">
              <w:rPr>
                <w:rFonts w:ascii="Arial" w:hAnsi="Arial" w:cs="Arial"/>
                <w:b/>
                <w:bCs/>
                <w:sz w:val="16"/>
                <w:szCs w:val="16"/>
              </w:rPr>
              <w:t xml:space="preserve">Performance: </w:t>
            </w:r>
            <w:r w:rsidRPr="00AE5868">
              <w:rPr>
                <w:rFonts w:ascii="Arial" w:hAnsi="Arial" w:cs="Arial"/>
                <w:sz w:val="16"/>
                <w:szCs w:val="16"/>
              </w:rPr>
              <w:t>On track to be met. There were no findings of fault of the AEC’s conduct of the industrial elections and ballots to date.</w:t>
            </w:r>
          </w:p>
        </w:tc>
      </w:tr>
      <w:tr w:rsidR="00E55150" w:rsidRPr="00C552B1" w:rsidTr="00436AFE">
        <w:trPr>
          <w:trHeight w:val="258"/>
        </w:trPr>
        <w:tc>
          <w:tcPr>
            <w:tcW w:w="1560" w:type="dxa"/>
            <w:tcBorders>
              <w:top w:val="nil"/>
              <w:bottom w:val="nil"/>
              <w:right w:val="single" w:sz="4" w:space="0" w:color="auto"/>
            </w:tcBorders>
          </w:tcPr>
          <w:p w:rsidR="00E55150" w:rsidRPr="00F16945" w:rsidRDefault="00E55150" w:rsidP="00436AFE">
            <w:pPr>
              <w:pStyle w:val="TableTextBase"/>
              <w:rPr>
                <w:rFonts w:cs="Arial"/>
                <w:sz w:val="16"/>
                <w:szCs w:val="16"/>
              </w:rPr>
            </w:pPr>
          </w:p>
        </w:tc>
        <w:tc>
          <w:tcPr>
            <w:tcW w:w="3118" w:type="dxa"/>
            <w:tcBorders>
              <w:top w:val="single" w:sz="4" w:space="0" w:color="FFFFFF" w:themeColor="background1"/>
              <w:left w:val="single" w:sz="4" w:space="0" w:color="auto"/>
              <w:bottom w:val="single" w:sz="4" w:space="0" w:color="FFFFFF" w:themeColor="background1"/>
              <w:right w:val="single" w:sz="4" w:space="0" w:color="auto"/>
            </w:tcBorders>
          </w:tcPr>
          <w:p w:rsidR="00E55150" w:rsidRPr="00AE5868" w:rsidRDefault="00E55150" w:rsidP="00436AFE">
            <w:pPr>
              <w:spacing w:before="60" w:after="60" w:line="240" w:lineRule="auto"/>
              <w:ind w:left="374" w:hanging="357"/>
              <w:jc w:val="left"/>
              <w:rPr>
                <w:rFonts w:ascii="Arial" w:hAnsi="Arial" w:cs="Arial"/>
                <w:b/>
                <w:sz w:val="16"/>
                <w:szCs w:val="16"/>
              </w:rPr>
            </w:pPr>
            <w:r w:rsidRPr="00AE5868">
              <w:rPr>
                <w:rFonts w:ascii="Arial" w:hAnsi="Arial" w:cs="Arial"/>
                <w:b/>
                <w:sz w:val="16"/>
                <w:szCs w:val="16"/>
              </w:rPr>
              <w:t>Public Awareness</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Deliver public awareness and education products that target all Australian citizens aged 18 years and over.</w:t>
            </w:r>
          </w:p>
          <w:p w:rsidR="00E55150" w:rsidRPr="00AE5868" w:rsidRDefault="00E55150" w:rsidP="00436AFE">
            <w:pPr>
              <w:autoSpaceDE w:val="0"/>
              <w:autoSpaceDN w:val="0"/>
              <w:spacing w:before="60" w:after="60" w:line="240" w:lineRule="auto"/>
              <w:ind w:left="374" w:hanging="357"/>
              <w:jc w:val="left"/>
              <w:rPr>
                <w:rFonts w:ascii="Arial" w:hAnsi="Arial" w:cs="Arial"/>
                <w:sz w:val="16"/>
                <w:szCs w:val="16"/>
              </w:rPr>
            </w:pPr>
          </w:p>
        </w:tc>
        <w:tc>
          <w:tcPr>
            <w:tcW w:w="3118" w:type="dxa"/>
            <w:tcBorders>
              <w:top w:val="single" w:sz="4" w:space="0" w:color="FFFFFF" w:themeColor="background1"/>
              <w:left w:val="single" w:sz="4" w:space="0" w:color="auto"/>
              <w:bottom w:val="single" w:sz="4" w:space="0" w:color="FFFFFF" w:themeColor="background1"/>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Campaign is delivered in accordance with objectives outlined in the campaign strategy.</w:t>
            </w:r>
          </w:p>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The AEC has developed an integrated multi-channel communication campaign to be run during the 2022 federal election. This campaign is to provide to voters (all Australian citizens ager 18 and over) the information they need to effectively participate in the election, including to specialist audiences of culturally and linguistically diverse voters, Indigenous voters and voters who are blind or have low vision</w:t>
            </w:r>
            <w:r w:rsidRPr="00AE5868">
              <w:rPr>
                <w:rFonts w:ascii="Arial" w:hAnsi="Arial" w:cs="Arial"/>
                <w:bCs/>
                <w:sz w:val="16"/>
                <w:szCs w:val="16"/>
              </w:rPr>
              <w:t>.</w:t>
            </w:r>
          </w:p>
        </w:tc>
      </w:tr>
      <w:tr w:rsidR="00E55150" w:rsidRPr="00F16945" w:rsidTr="00E55150">
        <w:trPr>
          <w:trHeight w:val="258"/>
        </w:trPr>
        <w:tc>
          <w:tcPr>
            <w:tcW w:w="1560" w:type="dxa"/>
            <w:tcBorders>
              <w:top w:val="nil"/>
              <w:bottom w:val="single" w:sz="4" w:space="0" w:color="auto"/>
              <w:right w:val="single" w:sz="4" w:space="0" w:color="auto"/>
            </w:tcBorders>
          </w:tcPr>
          <w:p w:rsidR="00E55150" w:rsidRPr="00F16945" w:rsidRDefault="00E55150" w:rsidP="00436AFE">
            <w:pPr>
              <w:pStyle w:val="TableTextBase"/>
              <w:rPr>
                <w:rFonts w:cs="Arial"/>
                <w:sz w:val="16"/>
                <w:szCs w:val="16"/>
              </w:rPr>
            </w:pPr>
          </w:p>
        </w:tc>
        <w:tc>
          <w:tcPr>
            <w:tcW w:w="3118" w:type="dxa"/>
            <w:tcBorders>
              <w:top w:val="single" w:sz="4" w:space="0" w:color="FFFFFF" w:themeColor="background1"/>
              <w:left w:val="single" w:sz="4" w:space="0" w:color="auto"/>
              <w:bottom w:val="single" w:sz="4" w:space="0" w:color="auto"/>
              <w:right w:val="single" w:sz="4" w:space="0" w:color="auto"/>
            </w:tcBorders>
          </w:tcPr>
          <w:p w:rsidR="00E55150" w:rsidRPr="00AE5868" w:rsidRDefault="00E55150" w:rsidP="00436AFE">
            <w:pPr>
              <w:spacing w:before="60" w:after="60" w:line="240" w:lineRule="auto"/>
              <w:ind w:left="374" w:hanging="357"/>
              <w:jc w:val="left"/>
              <w:rPr>
                <w:rFonts w:ascii="Arial" w:hAnsi="Arial" w:cs="Arial"/>
                <w:b/>
                <w:sz w:val="16"/>
                <w:szCs w:val="16"/>
              </w:rPr>
            </w:pPr>
            <w:r w:rsidRPr="00AE5868">
              <w:rPr>
                <w:rFonts w:ascii="Arial" w:hAnsi="Arial" w:cs="Arial"/>
                <w:b/>
                <w:sz w:val="16"/>
                <w:szCs w:val="16"/>
              </w:rPr>
              <w:t>Party Registration and Financial Disclosure</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The AEC maintains an up-to-date public register of political parties.</w:t>
            </w:r>
          </w:p>
          <w:p w:rsidR="00E55150" w:rsidRPr="00AE5868" w:rsidRDefault="00E55150" w:rsidP="00436AFE">
            <w:pPr>
              <w:spacing w:before="60" w:after="60" w:line="240" w:lineRule="auto"/>
              <w:ind w:left="374" w:hanging="357"/>
              <w:jc w:val="left"/>
              <w:rPr>
                <w:rFonts w:ascii="Arial" w:hAnsi="Arial" w:cs="Arial"/>
                <w:b/>
                <w:sz w:val="16"/>
                <w:szCs w:val="16"/>
              </w:rPr>
            </w:pPr>
          </w:p>
        </w:tc>
        <w:tc>
          <w:tcPr>
            <w:tcW w:w="3118" w:type="dxa"/>
            <w:tcBorders>
              <w:top w:val="single" w:sz="4" w:space="0" w:color="FFFFFF" w:themeColor="background1"/>
              <w:left w:val="single" w:sz="4" w:space="0" w:color="auto"/>
              <w:bottom w:val="single" w:sz="4" w:space="0" w:color="auto"/>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Compliance with Part XI of the </w:t>
            </w:r>
            <w:r w:rsidRPr="00AE5868">
              <w:rPr>
                <w:rFonts w:ascii="Arial" w:eastAsia="Calibri" w:hAnsi="Arial" w:cs="Arial"/>
                <w:i/>
                <w:sz w:val="16"/>
                <w:szCs w:val="16"/>
                <w:lang w:val="en-US"/>
              </w:rPr>
              <w:t>Commonwealth Electoral Act 1918</w:t>
            </w:r>
            <w:r w:rsidRPr="00AE5868">
              <w:rPr>
                <w:rFonts w:ascii="Arial" w:eastAsia="Calibri" w:hAnsi="Arial" w:cs="Arial"/>
                <w:sz w:val="16"/>
                <w:szCs w:val="16"/>
                <w:lang w:val="en-US"/>
              </w:rPr>
              <w:t>.</w:t>
            </w:r>
          </w:p>
          <w:p w:rsidR="00E55150" w:rsidRPr="00AE5868" w:rsidRDefault="00E55150" w:rsidP="00436AFE">
            <w:pPr>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The AEC has continued to maintain an up-to-date public register of political parties. </w:t>
            </w:r>
          </w:p>
          <w:p w:rsidR="00E55150" w:rsidRPr="00AE5868" w:rsidRDefault="00E55150" w:rsidP="00436AFE">
            <w:pPr>
              <w:autoSpaceDE w:val="0"/>
              <w:autoSpaceDN w:val="0"/>
              <w:spacing w:before="60" w:after="60" w:line="240" w:lineRule="auto"/>
              <w:jc w:val="left"/>
              <w:rPr>
                <w:rFonts w:ascii="Arial" w:hAnsi="Arial" w:cs="Arial"/>
                <w:b/>
                <w:bCs/>
                <w:sz w:val="16"/>
                <w:szCs w:val="16"/>
              </w:rPr>
            </w:pPr>
          </w:p>
        </w:tc>
      </w:tr>
    </w:tbl>
    <w:p w:rsidR="00E55150" w:rsidRDefault="00E55150" w:rsidP="00E55150">
      <w:pPr>
        <w:spacing w:after="0" w:line="240" w:lineRule="auto"/>
        <w:jc w:val="left"/>
      </w:pPr>
      <w:r w:rsidRPr="000717B9">
        <w:rPr>
          <w:rFonts w:ascii="Arial" w:hAnsi="Arial"/>
          <w:sz w:val="16"/>
        </w:rPr>
        <w:t>Table continues on next page</w:t>
      </w:r>
      <w:r>
        <w:t xml:space="preserve"> </w:t>
      </w:r>
    </w:p>
    <w:p w:rsidR="00E55150" w:rsidRPr="00E55150" w:rsidRDefault="00E55150" w:rsidP="00E55150">
      <w:pPr>
        <w:pStyle w:val="TableGraphic"/>
        <w:rPr>
          <w:lang w:eastAsia="x-none"/>
        </w:rPr>
      </w:pPr>
    </w:p>
    <w:p w:rsidR="00E55150" w:rsidRDefault="00E55150" w:rsidP="00BF35D9"/>
    <w:p w:rsidR="00E55150" w:rsidRDefault="00E55150" w:rsidP="00BF35D9"/>
    <w:p w:rsidR="00E55150" w:rsidRDefault="00E55150" w:rsidP="00BF35D9"/>
    <w:p w:rsidR="00E55150" w:rsidRDefault="00E55150" w:rsidP="00BF35D9"/>
    <w:p w:rsidR="00E55150" w:rsidRDefault="00E55150" w:rsidP="00E55150">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r w:rsidRPr="00E55150">
        <w:rPr>
          <w:lang w:val="en-AU"/>
        </w:rPr>
        <w:t xml:space="preserve">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3177"/>
        <w:gridCol w:w="3175"/>
      </w:tblGrid>
      <w:tr w:rsidR="00E55150" w:rsidRPr="00617538" w:rsidTr="00E8784B">
        <w:trPr>
          <w:trHeight w:val="312"/>
        </w:trPr>
        <w:tc>
          <w:tcPr>
            <w:tcW w:w="7796" w:type="dxa"/>
            <w:gridSpan w:val="3"/>
            <w:shd w:val="clear" w:color="auto" w:fill="F2F2F2"/>
          </w:tcPr>
          <w:p w:rsidR="00E55150" w:rsidRPr="00617538" w:rsidRDefault="00677731" w:rsidP="00436AFE">
            <w:pPr>
              <w:pStyle w:val="TableTextLeft"/>
              <w:rPr>
                <w:rFonts w:eastAsia="Arial"/>
                <w:b/>
                <w:highlight w:val="yellow"/>
              </w:rPr>
            </w:pPr>
            <w:r w:rsidRPr="00BA090C">
              <w:rPr>
                <w:b/>
                <w:szCs w:val="18"/>
              </w:rPr>
              <w:t xml:space="preserve">Performance information: </w:t>
            </w:r>
            <w:r w:rsidR="00E55150" w:rsidRPr="00617538">
              <w:rPr>
                <w:b/>
              </w:rPr>
              <w:t>Program 1.</w:t>
            </w:r>
            <w:r w:rsidR="00E55150" w:rsidRPr="00091B3B">
              <w:rPr>
                <w:b/>
              </w:rPr>
              <w:t>1 – Deliver Electoral Events</w:t>
            </w:r>
          </w:p>
        </w:tc>
      </w:tr>
      <w:tr w:rsidR="00E55150" w:rsidRPr="00160C23" w:rsidTr="00E8784B">
        <w:trPr>
          <w:trHeight w:val="312"/>
        </w:trPr>
        <w:tc>
          <w:tcPr>
            <w:tcW w:w="1444" w:type="dxa"/>
            <w:tcBorders>
              <w:top w:val="single" w:sz="4" w:space="0" w:color="auto"/>
              <w:bottom w:val="single" w:sz="4" w:space="0" w:color="auto"/>
              <w:right w:val="single" w:sz="4" w:space="0" w:color="auto"/>
            </w:tcBorders>
          </w:tcPr>
          <w:p w:rsidR="00E55150" w:rsidRPr="00160C23" w:rsidRDefault="00E55150" w:rsidP="00436AFE">
            <w:pPr>
              <w:pStyle w:val="TableTextBase"/>
              <w:rPr>
                <w:b/>
                <w:sz w:val="16"/>
                <w:szCs w:val="16"/>
              </w:rPr>
            </w:pPr>
            <w:r w:rsidRPr="00160C23">
              <w:rPr>
                <w:b/>
                <w:sz w:val="16"/>
                <w:szCs w:val="16"/>
              </w:rPr>
              <w:t>Year</w:t>
            </w:r>
          </w:p>
        </w:tc>
        <w:tc>
          <w:tcPr>
            <w:tcW w:w="3177"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b/>
                <w:sz w:val="16"/>
                <w:szCs w:val="16"/>
              </w:rPr>
            </w:pPr>
            <w:r w:rsidRPr="00783FCC">
              <w:rPr>
                <w:rFonts w:cs="Arial"/>
                <w:b/>
                <w:sz w:val="16"/>
                <w:szCs w:val="16"/>
              </w:rPr>
              <w:t>Performance measures</w:t>
            </w:r>
          </w:p>
        </w:tc>
        <w:tc>
          <w:tcPr>
            <w:tcW w:w="3175" w:type="dxa"/>
            <w:tcBorders>
              <w:top w:val="single" w:sz="4" w:space="0" w:color="auto"/>
              <w:left w:val="single" w:sz="4" w:space="0" w:color="auto"/>
              <w:bottom w:val="single" w:sz="4" w:space="0" w:color="auto"/>
            </w:tcBorders>
          </w:tcPr>
          <w:p w:rsidR="00E55150" w:rsidRPr="00783FCC" w:rsidRDefault="00E55150" w:rsidP="00436AFE">
            <w:pPr>
              <w:pStyle w:val="TableTextBase"/>
              <w:rPr>
                <w:rFonts w:cs="Arial"/>
                <w:b/>
                <w:sz w:val="16"/>
                <w:szCs w:val="16"/>
              </w:rPr>
            </w:pPr>
            <w:r w:rsidRPr="00783FCC">
              <w:rPr>
                <w:rFonts w:cs="Arial"/>
                <w:b/>
                <w:sz w:val="16"/>
                <w:szCs w:val="16"/>
              </w:rPr>
              <w:t>Expected Performance Results</w:t>
            </w:r>
          </w:p>
        </w:tc>
      </w:tr>
      <w:tr w:rsidR="00E55150" w:rsidRPr="00F16945" w:rsidTr="00436AFE">
        <w:trPr>
          <w:trHeight w:val="4064"/>
        </w:trPr>
        <w:tc>
          <w:tcPr>
            <w:tcW w:w="1444" w:type="dxa"/>
            <w:tcBorders>
              <w:top w:val="single" w:sz="4" w:space="0" w:color="auto"/>
              <w:bottom w:val="dotted" w:sz="4" w:space="0" w:color="auto"/>
              <w:right w:val="single" w:sz="4" w:space="0" w:color="auto"/>
            </w:tcBorders>
          </w:tcPr>
          <w:p w:rsidR="00213599" w:rsidRPr="006804A1" w:rsidRDefault="00213599" w:rsidP="00213599">
            <w:pPr>
              <w:pStyle w:val="TableTextBase"/>
              <w:autoSpaceDE w:val="0"/>
              <w:autoSpaceDN w:val="0"/>
              <w:contextualSpacing/>
              <w:rPr>
                <w:rFonts w:cs="Arial"/>
                <w:sz w:val="16"/>
                <w:szCs w:val="16"/>
              </w:rPr>
            </w:pPr>
            <w:r w:rsidRPr="006804A1">
              <w:rPr>
                <w:rFonts w:cs="Arial"/>
                <w:sz w:val="16"/>
                <w:szCs w:val="16"/>
              </w:rPr>
              <w:t xml:space="preserve">Current year </w:t>
            </w:r>
          </w:p>
          <w:p w:rsidR="00213599" w:rsidRPr="006804A1" w:rsidRDefault="00213599" w:rsidP="00213599">
            <w:pPr>
              <w:pStyle w:val="TableTextBase"/>
              <w:autoSpaceDE w:val="0"/>
              <w:autoSpaceDN w:val="0"/>
              <w:contextualSpacing/>
              <w:rPr>
                <w:rFonts w:cs="Arial"/>
                <w:sz w:val="16"/>
                <w:szCs w:val="16"/>
              </w:rPr>
            </w:pPr>
            <w:r w:rsidRPr="006804A1">
              <w:rPr>
                <w:rFonts w:cs="Arial"/>
                <w:sz w:val="16"/>
                <w:szCs w:val="16"/>
              </w:rPr>
              <w:t>2021-22</w:t>
            </w:r>
          </w:p>
          <w:p w:rsidR="00E55150" w:rsidRDefault="00213599" w:rsidP="00213599">
            <w:pPr>
              <w:pStyle w:val="TableTextBase"/>
              <w:rPr>
                <w:rFonts w:cs="Arial"/>
                <w:sz w:val="16"/>
                <w:szCs w:val="16"/>
              </w:rPr>
            </w:pPr>
            <w:r w:rsidRPr="006804A1">
              <w:rPr>
                <w:rFonts w:cs="Arial"/>
                <w:sz w:val="16"/>
                <w:szCs w:val="16"/>
              </w:rPr>
              <w:t>(continued)</w:t>
            </w: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Default="00E55150" w:rsidP="00436AFE">
            <w:pPr>
              <w:pStyle w:val="TableTextBase"/>
              <w:rPr>
                <w:rFonts w:cs="Arial"/>
                <w:sz w:val="16"/>
                <w:szCs w:val="16"/>
              </w:rPr>
            </w:pPr>
          </w:p>
          <w:p w:rsidR="00E55150" w:rsidRPr="00F16945" w:rsidRDefault="00E55150" w:rsidP="00436AFE">
            <w:pPr>
              <w:pStyle w:val="TableTextBase"/>
              <w:rPr>
                <w:rFonts w:cs="Arial"/>
                <w:sz w:val="16"/>
                <w:szCs w:val="16"/>
              </w:rPr>
            </w:pPr>
          </w:p>
        </w:tc>
        <w:tc>
          <w:tcPr>
            <w:tcW w:w="3177" w:type="dxa"/>
            <w:tcBorders>
              <w:top w:val="single" w:sz="4" w:space="0" w:color="auto"/>
              <w:left w:val="single" w:sz="4" w:space="0" w:color="auto"/>
              <w:bottom w:val="dotted" w:sz="4" w:space="0" w:color="auto"/>
              <w:right w:val="single" w:sz="4" w:space="0" w:color="auto"/>
            </w:tcBorders>
          </w:tcPr>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xml:space="preserve">Disclosure returns are published and regulated in accordance with timeframes in the </w:t>
            </w:r>
            <w:r w:rsidRPr="00AE5868">
              <w:rPr>
                <w:rFonts w:ascii="Arial" w:eastAsia="Calibri" w:hAnsi="Arial" w:cs="Arial"/>
                <w:i/>
                <w:sz w:val="16"/>
                <w:szCs w:val="16"/>
                <w:lang w:val="en-US" w:eastAsia="en-US"/>
              </w:rPr>
              <w:t>Commonwealth Electoral Act 1918</w:t>
            </w:r>
            <w:r w:rsidRPr="00AE5868">
              <w:rPr>
                <w:rFonts w:ascii="Arial" w:eastAsia="Calibri" w:hAnsi="Arial" w:cs="Arial"/>
                <w:sz w:val="16"/>
                <w:szCs w:val="16"/>
                <w:lang w:val="en-US" w:eastAsia="en-US"/>
              </w:rPr>
              <w:t>.</w:t>
            </w: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i/>
                <w:sz w:val="16"/>
                <w:szCs w:val="16"/>
              </w:rPr>
            </w:pPr>
          </w:p>
        </w:tc>
        <w:tc>
          <w:tcPr>
            <w:tcW w:w="3175" w:type="dxa"/>
            <w:tcBorders>
              <w:top w:val="single" w:sz="4" w:space="0" w:color="auto"/>
              <w:left w:val="single" w:sz="4" w:space="0" w:color="auto"/>
              <w:bottom w:val="dotted" w:sz="4" w:space="0" w:color="auto"/>
            </w:tcBorders>
          </w:tcPr>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xml:space="preserve"> Annual returns published on the first working day in February. </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436AFE">
            <w:pPr>
              <w:spacing w:before="60" w:after="60" w:line="240" w:lineRule="auto"/>
              <w:jc w:val="left"/>
              <w:rPr>
                <w:rFonts w:ascii="Arial" w:hAnsi="Arial" w:cs="Arial"/>
                <w:sz w:val="16"/>
                <w:szCs w:val="16"/>
              </w:rPr>
            </w:pPr>
            <w:r w:rsidRPr="00AE5868">
              <w:rPr>
                <w:rFonts w:ascii="Arial" w:hAnsi="Arial" w:cs="Arial"/>
                <w:b/>
                <w:bCs/>
                <w:sz w:val="16"/>
                <w:szCs w:val="16"/>
              </w:rPr>
              <w:t>Performance:</w:t>
            </w:r>
            <w:r w:rsidRPr="00AE5868">
              <w:rPr>
                <w:rFonts w:ascii="Arial" w:hAnsi="Arial" w:cs="Arial"/>
                <w:sz w:val="16"/>
                <w:szCs w:val="16"/>
              </w:rPr>
              <w:t xml:space="preserve"> On track to be met. 2020–21 annual disclosure returns received by the AEC were published, as planned, on the first working day in February 2022. The annual disclosure returns related to </w:t>
            </w:r>
            <w:r w:rsidRPr="00AE5868">
              <w:rPr>
                <w:rFonts w:ascii="Arial" w:hAnsi="Arial" w:cs="Arial"/>
                <w:i/>
                <w:iCs/>
                <w:sz w:val="16"/>
                <w:szCs w:val="16"/>
              </w:rPr>
              <w:t>the Electoral Legislation Amendment (Annual Disclosure Equality) Act 2021</w:t>
            </w:r>
            <w:r w:rsidRPr="00AE5868">
              <w:rPr>
                <w:rFonts w:ascii="Arial" w:hAnsi="Arial" w:cs="Arial"/>
                <w:sz w:val="16"/>
                <w:szCs w:val="16"/>
              </w:rPr>
              <w:t> were published on 1 March 2022 in line with the recent legislative amendment to the aforementioned Bill. </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436AFE">
            <w:pPr>
              <w:autoSpaceDE w:val="0"/>
              <w:autoSpaceDN w:val="0"/>
              <w:spacing w:before="60" w:after="60" w:line="240" w:lineRule="auto"/>
              <w:jc w:val="left"/>
              <w:rPr>
                <w:rFonts w:ascii="Arial" w:hAnsi="Arial" w:cs="Arial"/>
                <w:sz w:val="16"/>
                <w:szCs w:val="16"/>
              </w:rPr>
            </w:pPr>
            <w:r w:rsidRPr="00AE5868">
              <w:rPr>
                <w:rFonts w:ascii="Arial" w:hAnsi="Arial" w:cs="Arial"/>
                <w:b/>
                <w:bCs/>
                <w:sz w:val="16"/>
                <w:szCs w:val="16"/>
              </w:rPr>
              <w:t>Target</w:t>
            </w:r>
            <w:r w:rsidRPr="00AE5868">
              <w:rPr>
                <w:rFonts w:ascii="Arial" w:hAnsi="Arial" w:cs="Arial"/>
                <w:sz w:val="16"/>
                <w:szCs w:val="16"/>
              </w:rPr>
              <w:t>: Election returns published 24 weeks after polling day for each electoral event.</w:t>
            </w:r>
          </w:p>
          <w:p w:rsidR="00E55150" w:rsidRPr="00AE5868" w:rsidRDefault="00E55150" w:rsidP="00436AFE">
            <w:pPr>
              <w:autoSpaceDE w:val="0"/>
              <w:autoSpaceDN w:val="0"/>
              <w:spacing w:before="60" w:after="60" w:line="240" w:lineRule="auto"/>
              <w:jc w:val="left"/>
              <w:rPr>
                <w:rFonts w:ascii="Arial" w:hAnsi="Arial" w:cs="Arial"/>
                <w:sz w:val="16"/>
                <w:szCs w:val="16"/>
                <w:highlight w:val="red"/>
              </w:rPr>
            </w:pPr>
          </w:p>
          <w:p w:rsidR="00E55150" w:rsidRPr="00AE5868" w:rsidRDefault="00E55150" w:rsidP="00436AFE">
            <w:pPr>
              <w:autoSpaceDE w:val="0"/>
              <w:autoSpaceDN w:val="0"/>
              <w:spacing w:before="60" w:after="60" w:line="240" w:lineRule="auto"/>
              <w:jc w:val="left"/>
              <w:rPr>
                <w:rFonts w:ascii="Arial" w:hAnsi="Arial" w:cs="Arial"/>
                <w:b/>
                <w:bCs/>
                <w:sz w:val="16"/>
                <w:szCs w:val="16"/>
              </w:rPr>
            </w:pPr>
            <w:r w:rsidRPr="00AE5868">
              <w:rPr>
                <w:rFonts w:ascii="Arial" w:hAnsi="Arial" w:cs="Arial"/>
                <w:b/>
                <w:bCs/>
                <w:sz w:val="16"/>
                <w:szCs w:val="16"/>
              </w:rPr>
              <w:t xml:space="preserve">Performance: </w:t>
            </w:r>
            <w:r w:rsidRPr="00AE5868">
              <w:rPr>
                <w:rFonts w:ascii="Arial" w:hAnsi="Arial" w:cs="Arial"/>
                <w:sz w:val="16"/>
                <w:szCs w:val="16"/>
              </w:rPr>
              <w:t>On track to be met. Note that there have been no electoral events within the reportable timeframe.</w:t>
            </w:r>
            <w:r w:rsidRPr="00AE5868">
              <w:rPr>
                <w:rFonts w:ascii="Arial" w:hAnsi="Arial" w:cs="Arial"/>
                <w:b/>
                <w:bCs/>
                <w:sz w:val="16"/>
                <w:szCs w:val="16"/>
              </w:rPr>
              <w:t xml:space="preserve"> </w:t>
            </w:r>
          </w:p>
        </w:tc>
      </w:tr>
      <w:tr w:rsidR="00E55150" w:rsidRPr="00160C23" w:rsidTr="00E8784B">
        <w:trPr>
          <w:trHeight w:val="312"/>
        </w:trPr>
        <w:tc>
          <w:tcPr>
            <w:tcW w:w="1444"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sz w:val="16"/>
                <w:szCs w:val="16"/>
              </w:rPr>
            </w:pPr>
            <w:r w:rsidRPr="00783FCC">
              <w:rPr>
                <w:rFonts w:cs="Arial"/>
                <w:b/>
                <w:sz w:val="16"/>
                <w:szCs w:val="16"/>
              </w:rPr>
              <w:t>Year</w:t>
            </w:r>
          </w:p>
        </w:tc>
        <w:tc>
          <w:tcPr>
            <w:tcW w:w="3177"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ind w:left="280" w:hanging="284"/>
              <w:rPr>
                <w:rFonts w:ascii="Arial" w:hAnsi="Arial" w:cs="Arial"/>
                <w:b/>
                <w:sz w:val="16"/>
                <w:szCs w:val="16"/>
              </w:rPr>
            </w:pPr>
            <w:r w:rsidRPr="00AE5868">
              <w:rPr>
                <w:rFonts w:ascii="Arial" w:hAnsi="Arial" w:cs="Arial"/>
                <w:b/>
                <w:sz w:val="16"/>
                <w:szCs w:val="16"/>
              </w:rPr>
              <w:t>Performance measures</w:t>
            </w:r>
          </w:p>
        </w:tc>
        <w:tc>
          <w:tcPr>
            <w:tcW w:w="3175"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rPr>
                <w:rFonts w:ascii="Arial" w:hAnsi="Arial" w:cs="Arial"/>
                <w:b/>
                <w:bCs/>
                <w:sz w:val="16"/>
                <w:szCs w:val="16"/>
              </w:rPr>
            </w:pPr>
            <w:r w:rsidRPr="00AE5868">
              <w:rPr>
                <w:rFonts w:ascii="Arial" w:hAnsi="Arial" w:cs="Arial"/>
                <w:b/>
                <w:bCs/>
                <w:sz w:val="16"/>
                <w:szCs w:val="16"/>
              </w:rPr>
              <w:t>Planned Performance Results</w:t>
            </w:r>
          </w:p>
        </w:tc>
      </w:tr>
      <w:tr w:rsidR="00E55150" w:rsidRPr="00C552B1" w:rsidTr="00E8784B">
        <w:trPr>
          <w:trHeight w:val="4213"/>
        </w:trPr>
        <w:tc>
          <w:tcPr>
            <w:tcW w:w="1444"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sz w:val="16"/>
                <w:szCs w:val="16"/>
              </w:rPr>
            </w:pPr>
            <w:r w:rsidRPr="00783FCC">
              <w:rPr>
                <w:rFonts w:cs="Arial"/>
                <w:sz w:val="16"/>
                <w:szCs w:val="16"/>
              </w:rPr>
              <w:t>Budget Year     2022-23</w:t>
            </w: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p w:rsidR="00E55150" w:rsidRPr="00783FCC" w:rsidRDefault="00E55150" w:rsidP="00436AFE">
            <w:pPr>
              <w:pStyle w:val="TableTextBase"/>
              <w:rPr>
                <w:rFonts w:cs="Arial"/>
                <w:sz w:val="16"/>
                <w:szCs w:val="16"/>
              </w:rPr>
            </w:pPr>
          </w:p>
        </w:tc>
        <w:tc>
          <w:tcPr>
            <w:tcW w:w="3177"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line="240" w:lineRule="auto"/>
              <w:jc w:val="left"/>
              <w:rPr>
                <w:rFonts w:ascii="Arial" w:hAnsi="Arial" w:cs="Arial"/>
                <w:b/>
                <w:sz w:val="16"/>
                <w:szCs w:val="16"/>
              </w:rPr>
            </w:pPr>
            <w:r w:rsidRPr="00AE5868">
              <w:rPr>
                <w:rFonts w:ascii="Arial" w:hAnsi="Arial" w:cs="Arial"/>
                <w:b/>
                <w:sz w:val="16"/>
                <w:szCs w:val="16"/>
              </w:rPr>
              <w:t xml:space="preserve">Electoral Roll Management </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Percentage of eligible voters enrolled (enrolment rate).</w:t>
            </w: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i/>
                <w:sz w:val="16"/>
                <w:szCs w:val="16"/>
                <w:lang w:val="en-US" w:eastAsia="en-US"/>
              </w:rPr>
            </w:pPr>
            <w:r w:rsidRPr="00AE5868">
              <w:rPr>
                <w:rFonts w:ascii="Arial" w:eastAsia="Calibri" w:hAnsi="Arial" w:cs="Arial"/>
                <w:sz w:val="16"/>
                <w:szCs w:val="16"/>
                <w:lang w:val="en-US" w:eastAsia="en-US"/>
              </w:rPr>
              <w:t xml:space="preserve">Redistributions determined in accordance with </w:t>
            </w:r>
            <w:r w:rsidRPr="00AE5868">
              <w:rPr>
                <w:rFonts w:ascii="Arial" w:eastAsia="Calibri" w:hAnsi="Arial" w:cs="Arial"/>
                <w:i/>
                <w:sz w:val="16"/>
                <w:szCs w:val="16"/>
                <w:lang w:val="en-US" w:eastAsia="en-US"/>
              </w:rPr>
              <w:t>the Commonwealth Electoral Act 1918</w:t>
            </w:r>
            <w:r w:rsidRPr="00AE5868">
              <w:rPr>
                <w:rFonts w:ascii="Arial" w:eastAsia="Calibri" w:hAnsi="Arial" w:cs="Arial"/>
                <w:sz w:val="16"/>
                <w:szCs w:val="16"/>
                <w:lang w:val="en-US" w:eastAsia="en-US"/>
              </w:rPr>
              <w:t>.</w:t>
            </w: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r w:rsidRPr="00AE5868">
              <w:rPr>
                <w:rFonts w:ascii="Arial" w:hAnsi="Arial" w:cs="Arial"/>
                <w:b/>
                <w:sz w:val="16"/>
                <w:szCs w:val="16"/>
              </w:rPr>
              <w:t>Elections, By-elections and</w:t>
            </w:r>
            <w:r w:rsidRPr="00AE5868">
              <w:rPr>
                <w:rFonts w:ascii="Arial" w:hAnsi="Arial" w:cs="Arial"/>
                <w:sz w:val="16"/>
                <w:szCs w:val="16"/>
              </w:rPr>
              <w:t xml:space="preserve"> </w:t>
            </w:r>
            <w:r w:rsidRPr="00AE5868">
              <w:rPr>
                <w:rFonts w:ascii="Arial" w:hAnsi="Arial" w:cs="Arial"/>
                <w:b/>
                <w:sz w:val="16"/>
                <w:szCs w:val="16"/>
              </w:rPr>
              <w:t>Referendums</w:t>
            </w: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xml:space="preserve">The election result – for each event – is delivered in accordance with the </w:t>
            </w:r>
            <w:r w:rsidRPr="00AE5868">
              <w:rPr>
                <w:rFonts w:ascii="Arial" w:eastAsia="Calibri" w:hAnsi="Arial" w:cs="Arial"/>
                <w:i/>
                <w:sz w:val="16"/>
                <w:szCs w:val="16"/>
                <w:lang w:val="en-US" w:eastAsia="en-US"/>
              </w:rPr>
              <w:t>Commonwealth Electoral Act 1918</w:t>
            </w:r>
            <w:r w:rsidRPr="00AE5868">
              <w:rPr>
                <w:rFonts w:ascii="Arial" w:eastAsia="Calibri" w:hAnsi="Arial" w:cs="Arial"/>
                <w:sz w:val="16"/>
                <w:szCs w:val="16"/>
                <w:lang w:val="en-US" w:eastAsia="en-US"/>
              </w:rPr>
              <w:t>.</w:t>
            </w:r>
          </w:p>
          <w:p w:rsidR="00E55150" w:rsidRPr="00AE5868" w:rsidRDefault="00E55150" w:rsidP="00436AFE">
            <w:pPr>
              <w:autoSpaceDE w:val="0"/>
              <w:autoSpaceDN w:val="0"/>
              <w:spacing w:before="60" w:after="60" w:line="240" w:lineRule="auto"/>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Industrial election and ballot results are delivered with integrity and withstand scrutiny.</w:t>
            </w:r>
          </w:p>
          <w:p w:rsidR="00E55150" w:rsidRPr="00AE5868" w:rsidRDefault="00E55150" w:rsidP="00436AFE">
            <w:pPr>
              <w:autoSpaceDE w:val="0"/>
              <w:autoSpaceDN w:val="0"/>
              <w:spacing w:before="60" w:after="60" w:line="240" w:lineRule="auto"/>
              <w:ind w:left="357" w:hanging="357"/>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ind w:left="280" w:hanging="284"/>
              <w:jc w:val="left"/>
              <w:rPr>
                <w:rFonts w:ascii="Arial" w:hAnsi="Arial" w:cs="Arial"/>
                <w:sz w:val="16"/>
                <w:szCs w:val="16"/>
              </w:rPr>
            </w:pPr>
          </w:p>
        </w:tc>
        <w:tc>
          <w:tcPr>
            <w:tcW w:w="3175" w:type="dxa"/>
            <w:tcBorders>
              <w:top w:val="single" w:sz="4" w:space="0" w:color="auto"/>
              <w:left w:val="single" w:sz="4" w:space="0" w:color="auto"/>
              <w:bottom w:val="single" w:sz="4" w:space="0" w:color="auto"/>
              <w:right w:val="single" w:sz="4" w:space="0" w:color="auto"/>
            </w:tcBorders>
          </w:tcPr>
          <w:p w:rsidR="00E55150" w:rsidRPr="00AE5868" w:rsidRDefault="00E55150" w:rsidP="00436AFE">
            <w:pPr>
              <w:autoSpaceDE w:val="0"/>
              <w:autoSpaceDN w:val="0"/>
              <w:spacing w:before="10" w:after="10" w:line="240" w:lineRule="auto"/>
              <w:ind w:left="280"/>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95% reported annually and at close of rolls for a federal election or referendum.</w:t>
            </w:r>
          </w:p>
          <w:p w:rsidR="00E55150" w:rsidRPr="00AE5868" w:rsidRDefault="00E55150" w:rsidP="00436AFE">
            <w:pPr>
              <w:autoSpaceDE w:val="0"/>
              <w:autoSpaceDN w:val="0"/>
              <w:spacing w:before="10" w:after="10" w:line="240" w:lineRule="auto"/>
              <w:ind w:left="280"/>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All redistributions are determined in accordance with the planned determination date and impacted electors are notified prior to the relevant federal election.</w:t>
            </w: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436AFE">
            <w:pPr>
              <w:autoSpaceDE w:val="0"/>
              <w:autoSpaceDN w:val="0"/>
              <w:spacing w:before="10" w:after="10" w:line="240" w:lineRule="auto"/>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AE5868">
              <w:rPr>
                <w:rFonts w:ascii="Arial" w:eastAsia="Calibri" w:hAnsi="Arial" w:cs="Arial"/>
                <w:sz w:val="16"/>
                <w:szCs w:val="16"/>
                <w:lang w:val="en-US" w:eastAsia="en-US"/>
              </w:rPr>
              <w:t xml:space="preserve">The writs for a federal election event are issued and returned in accordance with legislative requirements and timeframes. </w:t>
            </w:r>
          </w:p>
          <w:p w:rsidR="00E55150" w:rsidRPr="00AE5868" w:rsidRDefault="00E55150" w:rsidP="00436AFE">
            <w:pPr>
              <w:autoSpaceDE w:val="0"/>
              <w:autoSpaceDN w:val="0"/>
              <w:spacing w:before="10" w:after="10" w:line="240" w:lineRule="auto"/>
              <w:ind w:left="280"/>
              <w:jc w:val="left"/>
              <w:rPr>
                <w:rFonts w:ascii="Arial" w:hAnsi="Arial" w:cs="Arial"/>
                <w:sz w:val="16"/>
                <w:szCs w:val="16"/>
              </w:rPr>
            </w:pPr>
          </w:p>
          <w:p w:rsidR="00E55150" w:rsidRPr="00AE5868" w:rsidRDefault="00E55150" w:rsidP="00F76FE4">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AE5868">
              <w:rPr>
                <w:rFonts w:ascii="Arial" w:eastAsia="Calibri" w:hAnsi="Arial" w:cs="Arial"/>
                <w:sz w:val="16"/>
                <w:szCs w:val="16"/>
                <w:lang w:val="en-US" w:eastAsia="en-US"/>
              </w:rPr>
              <w:t>The AEC will report on the outcomes and number of events in which the AEC's conduct is challenged before a court.</w:t>
            </w:r>
          </w:p>
        </w:tc>
      </w:tr>
    </w:tbl>
    <w:p w:rsidR="00E55150" w:rsidRDefault="00E55150" w:rsidP="00E55150">
      <w:pPr>
        <w:spacing w:after="0" w:line="240" w:lineRule="auto"/>
        <w:jc w:val="left"/>
      </w:pPr>
      <w:r w:rsidRPr="000717B9">
        <w:rPr>
          <w:rFonts w:ascii="Arial" w:hAnsi="Arial"/>
          <w:sz w:val="16"/>
        </w:rPr>
        <w:t>Table continues on next page</w:t>
      </w:r>
      <w:r>
        <w:t xml:space="preserve"> </w:t>
      </w:r>
    </w:p>
    <w:p w:rsidR="00E55150" w:rsidRDefault="00E55150" w:rsidP="00BF35D9"/>
    <w:p w:rsidR="00E55150" w:rsidRDefault="00E55150" w:rsidP="00BF35D9"/>
    <w:p w:rsidR="00E55150" w:rsidRDefault="00E55150" w:rsidP="00E55150">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r w:rsidRPr="00E55150">
        <w:rPr>
          <w:lang w:val="en-AU"/>
        </w:rPr>
        <w:t xml:space="preserve"> (continued)</w:t>
      </w:r>
    </w:p>
    <w:tbl>
      <w:tblPr>
        <w:tblW w:w="7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175"/>
        <w:gridCol w:w="3190"/>
      </w:tblGrid>
      <w:tr w:rsidR="00E55150" w:rsidRPr="00617538" w:rsidTr="00DC4614">
        <w:trPr>
          <w:trHeight w:val="312"/>
        </w:trPr>
        <w:tc>
          <w:tcPr>
            <w:tcW w:w="7811" w:type="dxa"/>
            <w:gridSpan w:val="3"/>
            <w:shd w:val="clear" w:color="auto" w:fill="F2F2F2"/>
          </w:tcPr>
          <w:p w:rsidR="00E55150" w:rsidRPr="00617538" w:rsidRDefault="00677731" w:rsidP="00436AFE">
            <w:pPr>
              <w:pStyle w:val="TableTextLeft"/>
              <w:rPr>
                <w:rFonts w:eastAsia="Arial"/>
                <w:b/>
                <w:highlight w:val="yellow"/>
              </w:rPr>
            </w:pPr>
            <w:r w:rsidRPr="00BA090C">
              <w:rPr>
                <w:b/>
                <w:szCs w:val="18"/>
              </w:rPr>
              <w:t xml:space="preserve">Performance information: </w:t>
            </w:r>
            <w:r w:rsidR="00E55150" w:rsidRPr="00617538">
              <w:rPr>
                <w:b/>
              </w:rPr>
              <w:t>Program 1.</w:t>
            </w:r>
            <w:r w:rsidR="00E55150" w:rsidRPr="00091B3B">
              <w:rPr>
                <w:b/>
              </w:rPr>
              <w:t>1 – Deliver Electoral Events</w:t>
            </w:r>
          </w:p>
        </w:tc>
      </w:tr>
      <w:tr w:rsidR="00E55150" w:rsidRPr="00783FCC" w:rsidTr="00297E20">
        <w:trPr>
          <w:trHeight w:val="312"/>
        </w:trPr>
        <w:tc>
          <w:tcPr>
            <w:tcW w:w="1446" w:type="dxa"/>
            <w:tcBorders>
              <w:top w:val="single" w:sz="4" w:space="0" w:color="auto"/>
              <w:bottom w:val="single" w:sz="4" w:space="0" w:color="auto"/>
              <w:right w:val="single" w:sz="4" w:space="0" w:color="auto"/>
            </w:tcBorders>
          </w:tcPr>
          <w:p w:rsidR="00E55150" w:rsidRPr="00783FCC" w:rsidRDefault="00E55150" w:rsidP="00436AFE">
            <w:pPr>
              <w:pStyle w:val="TableTextBase"/>
              <w:rPr>
                <w:b/>
                <w:sz w:val="16"/>
                <w:szCs w:val="16"/>
              </w:rPr>
            </w:pPr>
            <w:r w:rsidRPr="00F13016">
              <w:rPr>
                <w:b/>
                <w:sz w:val="16"/>
                <w:szCs w:val="16"/>
              </w:rPr>
              <w:t>Year</w:t>
            </w:r>
          </w:p>
        </w:tc>
        <w:tc>
          <w:tcPr>
            <w:tcW w:w="3175" w:type="dxa"/>
            <w:tcBorders>
              <w:top w:val="single" w:sz="4" w:space="0" w:color="auto"/>
              <w:left w:val="single" w:sz="4" w:space="0" w:color="auto"/>
              <w:bottom w:val="single" w:sz="4" w:space="0" w:color="auto"/>
              <w:right w:val="single" w:sz="4" w:space="0" w:color="auto"/>
            </w:tcBorders>
          </w:tcPr>
          <w:p w:rsidR="00E55150" w:rsidRPr="00783FCC" w:rsidRDefault="00E55150" w:rsidP="00436AFE">
            <w:pPr>
              <w:pStyle w:val="TableTextBase"/>
              <w:rPr>
                <w:rFonts w:cs="Arial"/>
                <w:b/>
                <w:sz w:val="16"/>
                <w:szCs w:val="16"/>
              </w:rPr>
            </w:pPr>
            <w:r w:rsidRPr="00F13016">
              <w:rPr>
                <w:rFonts w:cs="Arial"/>
                <w:b/>
                <w:sz w:val="16"/>
                <w:szCs w:val="16"/>
              </w:rPr>
              <w:t>Performance measures</w:t>
            </w:r>
          </w:p>
        </w:tc>
        <w:tc>
          <w:tcPr>
            <w:tcW w:w="2713" w:type="dxa"/>
            <w:tcBorders>
              <w:top w:val="single" w:sz="4" w:space="0" w:color="auto"/>
              <w:left w:val="single" w:sz="4" w:space="0" w:color="auto"/>
              <w:bottom w:val="single" w:sz="4" w:space="0" w:color="auto"/>
            </w:tcBorders>
          </w:tcPr>
          <w:p w:rsidR="00E55150" w:rsidRPr="00783FCC" w:rsidRDefault="00E55150" w:rsidP="00436AFE">
            <w:pPr>
              <w:pStyle w:val="TableTextBase"/>
              <w:rPr>
                <w:rFonts w:cs="Arial"/>
                <w:b/>
                <w:bCs/>
                <w:sz w:val="16"/>
                <w:szCs w:val="16"/>
              </w:rPr>
            </w:pPr>
            <w:r w:rsidRPr="00783FCC">
              <w:rPr>
                <w:rFonts w:cs="Arial"/>
                <w:b/>
                <w:bCs/>
                <w:sz w:val="16"/>
                <w:szCs w:val="16"/>
              </w:rPr>
              <w:t>Planned Performance Results</w:t>
            </w:r>
          </w:p>
        </w:tc>
      </w:tr>
      <w:tr w:rsidR="00E55150" w:rsidRPr="00783FCC" w:rsidTr="00297E20">
        <w:trPr>
          <w:trHeight w:val="642"/>
        </w:trPr>
        <w:tc>
          <w:tcPr>
            <w:tcW w:w="1446" w:type="dxa"/>
            <w:tcBorders>
              <w:top w:val="single" w:sz="4" w:space="0" w:color="FFFFFF" w:themeColor="background1"/>
              <w:bottom w:val="single" w:sz="4" w:space="0" w:color="auto"/>
              <w:right w:val="single" w:sz="4" w:space="0" w:color="auto"/>
            </w:tcBorders>
          </w:tcPr>
          <w:p w:rsidR="00213599" w:rsidRPr="006804A1" w:rsidRDefault="00213599" w:rsidP="00213599">
            <w:pPr>
              <w:pStyle w:val="TableTextBase"/>
              <w:autoSpaceDE w:val="0"/>
              <w:autoSpaceDN w:val="0"/>
              <w:contextualSpacing/>
              <w:rPr>
                <w:rFonts w:cs="Arial"/>
                <w:sz w:val="16"/>
                <w:szCs w:val="16"/>
              </w:rPr>
            </w:pPr>
            <w:r>
              <w:rPr>
                <w:rFonts w:cs="Arial"/>
                <w:sz w:val="16"/>
                <w:szCs w:val="16"/>
              </w:rPr>
              <w:t>Budget</w:t>
            </w:r>
            <w:r w:rsidRPr="006804A1">
              <w:rPr>
                <w:rFonts w:cs="Arial"/>
                <w:sz w:val="16"/>
                <w:szCs w:val="16"/>
              </w:rPr>
              <w:t xml:space="preserve"> year </w:t>
            </w:r>
          </w:p>
          <w:p w:rsidR="00213599" w:rsidRPr="006804A1" w:rsidRDefault="006241BA" w:rsidP="00213599">
            <w:pPr>
              <w:pStyle w:val="TableTextBase"/>
              <w:autoSpaceDE w:val="0"/>
              <w:autoSpaceDN w:val="0"/>
              <w:contextualSpacing/>
              <w:rPr>
                <w:rFonts w:cs="Arial"/>
                <w:sz w:val="16"/>
                <w:szCs w:val="16"/>
              </w:rPr>
            </w:pPr>
            <w:r>
              <w:rPr>
                <w:rFonts w:cs="Arial"/>
                <w:sz w:val="16"/>
                <w:szCs w:val="16"/>
              </w:rPr>
              <w:t>2022</w:t>
            </w:r>
            <w:r w:rsidR="00213599" w:rsidRPr="006804A1">
              <w:rPr>
                <w:rFonts w:cs="Arial"/>
                <w:sz w:val="16"/>
                <w:szCs w:val="16"/>
              </w:rPr>
              <w:t>-2</w:t>
            </w:r>
            <w:r>
              <w:rPr>
                <w:rFonts w:cs="Arial"/>
                <w:sz w:val="16"/>
                <w:szCs w:val="16"/>
              </w:rPr>
              <w:t>3</w:t>
            </w:r>
          </w:p>
          <w:p w:rsidR="00213599" w:rsidRDefault="00213599" w:rsidP="00213599">
            <w:pPr>
              <w:pStyle w:val="TableTextBase"/>
              <w:rPr>
                <w:rFonts w:cs="Arial"/>
                <w:sz w:val="16"/>
                <w:szCs w:val="16"/>
              </w:rPr>
            </w:pPr>
            <w:r w:rsidRPr="006804A1">
              <w:rPr>
                <w:rFonts w:cs="Arial"/>
                <w:sz w:val="16"/>
                <w:szCs w:val="16"/>
              </w:rPr>
              <w:t>(continued)</w:t>
            </w:r>
          </w:p>
          <w:p w:rsidR="00213599" w:rsidRPr="00783FCC" w:rsidRDefault="00213599" w:rsidP="00213599">
            <w:pPr>
              <w:pStyle w:val="TableTextBase"/>
              <w:rPr>
                <w:rFonts w:cs="Arial"/>
                <w:sz w:val="16"/>
                <w:szCs w:val="16"/>
              </w:rPr>
            </w:pPr>
          </w:p>
          <w:p w:rsidR="00E55150" w:rsidRPr="00783FCC" w:rsidRDefault="00E55150" w:rsidP="00436AFE">
            <w:pPr>
              <w:pStyle w:val="TableTextBase"/>
              <w:rPr>
                <w:rFonts w:cs="Arial"/>
                <w:sz w:val="16"/>
                <w:szCs w:val="16"/>
              </w:rPr>
            </w:pPr>
          </w:p>
        </w:tc>
        <w:tc>
          <w:tcPr>
            <w:tcW w:w="3175" w:type="dxa"/>
            <w:tcBorders>
              <w:top w:val="single" w:sz="4" w:space="0" w:color="FFFFFF" w:themeColor="background1"/>
              <w:left w:val="single" w:sz="4" w:space="0" w:color="auto"/>
              <w:bottom w:val="single" w:sz="4" w:space="0" w:color="auto"/>
              <w:right w:val="single" w:sz="4" w:space="0" w:color="auto"/>
            </w:tcBorders>
          </w:tcPr>
          <w:p w:rsidR="00E55150" w:rsidRPr="00783FCC" w:rsidRDefault="00E55150" w:rsidP="00436AFE">
            <w:pPr>
              <w:autoSpaceDE w:val="0"/>
              <w:autoSpaceDN w:val="0"/>
              <w:spacing w:before="10" w:after="10" w:line="240" w:lineRule="auto"/>
              <w:ind w:left="-4"/>
              <w:jc w:val="left"/>
              <w:rPr>
                <w:rFonts w:ascii="Arial" w:hAnsi="Arial" w:cs="Arial"/>
                <w:b/>
                <w:bCs/>
                <w:sz w:val="16"/>
                <w:szCs w:val="16"/>
              </w:rPr>
            </w:pPr>
            <w:r w:rsidRPr="00783FCC">
              <w:rPr>
                <w:rFonts w:ascii="Arial" w:hAnsi="Arial" w:cs="Arial"/>
                <w:b/>
                <w:bCs/>
                <w:sz w:val="16"/>
                <w:szCs w:val="16"/>
              </w:rPr>
              <w:t>Public Awareness</w:t>
            </w:r>
          </w:p>
          <w:p w:rsidR="00E55150" w:rsidRPr="00AF0BDC" w:rsidRDefault="00E55150" w:rsidP="00F76FE4">
            <w:pPr>
              <w:pStyle w:val="ListParagraph"/>
              <w:numPr>
                <w:ilvl w:val="0"/>
                <w:numId w:val="23"/>
              </w:numPr>
              <w:autoSpaceDE w:val="0"/>
              <w:autoSpaceDN w:val="0"/>
              <w:spacing w:before="60" w:after="60" w:line="240" w:lineRule="auto"/>
              <w:ind w:left="374" w:hanging="357"/>
              <w:rPr>
                <w:rFonts w:ascii="Arial" w:hAnsi="Arial" w:cs="Arial"/>
                <w:sz w:val="16"/>
                <w:szCs w:val="16"/>
              </w:rPr>
            </w:pPr>
            <w:r w:rsidRPr="00AF0BDC">
              <w:rPr>
                <w:rFonts w:ascii="Arial" w:hAnsi="Arial" w:cs="Arial"/>
                <w:sz w:val="16"/>
                <w:szCs w:val="16"/>
              </w:rPr>
              <w:t>Deliver public awareness and education products that target all Australian citizens aged 18 years and over.</w:t>
            </w:r>
          </w:p>
          <w:p w:rsidR="00E55150" w:rsidRPr="00783FCC" w:rsidRDefault="00E55150" w:rsidP="00436AFE">
            <w:pPr>
              <w:autoSpaceDE w:val="0"/>
              <w:autoSpaceDN w:val="0"/>
              <w:spacing w:before="10" w:after="10" w:line="240" w:lineRule="auto"/>
              <w:ind w:left="-4"/>
              <w:jc w:val="left"/>
              <w:rPr>
                <w:rFonts w:ascii="Arial" w:hAnsi="Arial" w:cs="Arial"/>
                <w:b/>
                <w:bCs/>
                <w:sz w:val="16"/>
                <w:szCs w:val="16"/>
              </w:rPr>
            </w:pPr>
          </w:p>
          <w:p w:rsidR="00E55150" w:rsidRPr="00783FCC" w:rsidRDefault="00E55150" w:rsidP="00436AFE">
            <w:pPr>
              <w:autoSpaceDE w:val="0"/>
              <w:autoSpaceDN w:val="0"/>
              <w:spacing w:before="10" w:after="10" w:line="240" w:lineRule="auto"/>
              <w:ind w:left="-4"/>
              <w:jc w:val="left"/>
              <w:rPr>
                <w:rFonts w:ascii="Arial" w:hAnsi="Arial" w:cs="Arial"/>
                <w:b/>
                <w:bCs/>
                <w:sz w:val="16"/>
                <w:szCs w:val="16"/>
              </w:rPr>
            </w:pPr>
            <w:r w:rsidRPr="00783FCC">
              <w:rPr>
                <w:rFonts w:ascii="Arial" w:hAnsi="Arial" w:cs="Arial"/>
                <w:b/>
                <w:bCs/>
                <w:sz w:val="16"/>
                <w:szCs w:val="16"/>
              </w:rPr>
              <w:t>Party Registration and Financial Disclosure</w:t>
            </w:r>
          </w:p>
          <w:p w:rsidR="00E55150" w:rsidRPr="00AF0BD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AF0BDC">
              <w:rPr>
                <w:rFonts w:ascii="Arial" w:hAnsi="Arial" w:cs="Arial"/>
                <w:sz w:val="16"/>
                <w:szCs w:val="16"/>
              </w:rPr>
              <w:t>The AEC maintains an up-to-date public register of political parties</w:t>
            </w:r>
            <w:r w:rsidRPr="00783FCC">
              <w:rPr>
                <w:rFonts w:ascii="Arial" w:hAnsi="Arial" w:cs="Arial"/>
                <w:sz w:val="16"/>
                <w:szCs w:val="16"/>
              </w:rPr>
              <w:t>.</w:t>
            </w:r>
          </w:p>
          <w:p w:rsidR="00E55150" w:rsidRPr="00783FC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 xml:space="preserve">Disclosure returns are published and regulated in accordance with timeframes in the </w:t>
            </w:r>
            <w:r w:rsidRPr="000738AB">
              <w:rPr>
                <w:rFonts w:ascii="Arial" w:hAnsi="Arial" w:cs="Arial"/>
                <w:i/>
                <w:sz w:val="16"/>
                <w:szCs w:val="16"/>
              </w:rPr>
              <w:t>Commonwealth Electoral Act 1918</w:t>
            </w:r>
            <w:r w:rsidRPr="00783FCC">
              <w:rPr>
                <w:rFonts w:ascii="Arial" w:hAnsi="Arial" w:cs="Arial"/>
                <w:sz w:val="16"/>
                <w:szCs w:val="16"/>
              </w:rPr>
              <w:t>.</w:t>
            </w:r>
          </w:p>
          <w:p w:rsidR="00E55150" w:rsidRPr="00783FCC" w:rsidRDefault="00E55150" w:rsidP="00436AFE">
            <w:pPr>
              <w:spacing w:before="10" w:after="10" w:line="240" w:lineRule="auto"/>
              <w:jc w:val="left"/>
              <w:rPr>
                <w:rFonts w:ascii="Arial" w:hAnsi="Arial" w:cs="Arial"/>
                <w:b/>
                <w:sz w:val="16"/>
                <w:szCs w:val="16"/>
              </w:rPr>
            </w:pPr>
          </w:p>
        </w:tc>
        <w:tc>
          <w:tcPr>
            <w:tcW w:w="2713" w:type="dxa"/>
            <w:tcBorders>
              <w:top w:val="single" w:sz="4" w:space="0" w:color="FFFFFF" w:themeColor="background1"/>
              <w:left w:val="single" w:sz="4" w:space="0" w:color="auto"/>
              <w:bottom w:val="single" w:sz="4" w:space="0" w:color="auto"/>
            </w:tcBorders>
          </w:tcPr>
          <w:p w:rsidR="00E55150" w:rsidRPr="00783FC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The AEC's public awareness campaign is delivered in accordance with key objectives outlined in the campaign strategy.</w:t>
            </w:r>
          </w:p>
          <w:p w:rsidR="00E55150" w:rsidRPr="00783FCC" w:rsidRDefault="00E55150" w:rsidP="00DC4614">
            <w:pPr>
              <w:autoSpaceDE w:val="0"/>
              <w:autoSpaceDN w:val="0"/>
              <w:adjustRightInd w:val="0"/>
              <w:spacing w:before="60" w:after="60" w:line="240" w:lineRule="auto"/>
              <w:ind w:left="374" w:hanging="357"/>
              <w:contextualSpacing/>
              <w:jc w:val="left"/>
              <w:rPr>
                <w:rFonts w:ascii="Arial" w:hAnsi="Arial" w:cs="Arial"/>
                <w:sz w:val="16"/>
                <w:szCs w:val="16"/>
              </w:rPr>
            </w:pPr>
          </w:p>
          <w:p w:rsidR="00E55150" w:rsidRPr="00783FCC" w:rsidRDefault="00E55150" w:rsidP="00F76FE4">
            <w:pPr>
              <w:pStyle w:val="ListParagraph"/>
              <w:numPr>
                <w:ilvl w:val="0"/>
                <w:numId w:val="23"/>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 xml:space="preserve">Compliance with </w:t>
            </w:r>
            <w:proofErr w:type="gramStart"/>
            <w:r w:rsidRPr="00783FCC">
              <w:rPr>
                <w:rFonts w:ascii="Arial" w:hAnsi="Arial" w:cs="Arial"/>
                <w:sz w:val="16"/>
                <w:szCs w:val="16"/>
              </w:rPr>
              <w:t>s125(</w:t>
            </w:r>
            <w:proofErr w:type="gramEnd"/>
            <w:r w:rsidRPr="00783FCC">
              <w:rPr>
                <w:rFonts w:ascii="Arial" w:hAnsi="Arial" w:cs="Arial"/>
                <w:sz w:val="16"/>
                <w:szCs w:val="16"/>
              </w:rPr>
              <w:t xml:space="preserve">1) of Part XI of the </w:t>
            </w:r>
            <w:r w:rsidRPr="00AF0BDC">
              <w:rPr>
                <w:rFonts w:ascii="Arial" w:hAnsi="Arial" w:cs="Arial"/>
                <w:i/>
                <w:sz w:val="16"/>
                <w:szCs w:val="16"/>
              </w:rPr>
              <w:t>Commonwealth Electoral Act 1918</w:t>
            </w:r>
            <w:r w:rsidRPr="00783FCC">
              <w:rPr>
                <w:rFonts w:ascii="Arial" w:hAnsi="Arial" w:cs="Arial"/>
                <w:sz w:val="16"/>
                <w:szCs w:val="16"/>
              </w:rPr>
              <w:t>.</w:t>
            </w:r>
          </w:p>
          <w:p w:rsidR="00E55150" w:rsidRPr="00783FCC" w:rsidRDefault="00E55150" w:rsidP="00F76FE4">
            <w:pPr>
              <w:pStyle w:val="ListParagraph"/>
              <w:numPr>
                <w:ilvl w:val="0"/>
                <w:numId w:val="21"/>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Annual returns published on the first working day in February.</w:t>
            </w:r>
          </w:p>
          <w:p w:rsidR="00E55150" w:rsidRPr="00783FCC" w:rsidRDefault="00E55150" w:rsidP="00F76FE4">
            <w:pPr>
              <w:pStyle w:val="ListParagraph"/>
              <w:numPr>
                <w:ilvl w:val="0"/>
                <w:numId w:val="21"/>
              </w:numPr>
              <w:autoSpaceDE w:val="0"/>
              <w:autoSpaceDN w:val="0"/>
              <w:adjustRightInd w:val="0"/>
              <w:spacing w:before="60" w:after="60" w:line="240" w:lineRule="auto"/>
              <w:ind w:left="374" w:hanging="357"/>
              <w:rPr>
                <w:rFonts w:ascii="Arial" w:hAnsi="Arial" w:cs="Arial"/>
                <w:sz w:val="16"/>
                <w:szCs w:val="16"/>
              </w:rPr>
            </w:pPr>
            <w:r w:rsidRPr="00783FCC">
              <w:rPr>
                <w:rFonts w:ascii="Arial" w:hAnsi="Arial" w:cs="Arial"/>
                <w:sz w:val="16"/>
                <w:szCs w:val="16"/>
              </w:rPr>
              <w:t>Election returns published 24 weeks after polling day for each electoral event.</w:t>
            </w:r>
          </w:p>
          <w:p w:rsidR="00E55150" w:rsidRPr="00783FCC" w:rsidRDefault="00E55150" w:rsidP="00436AFE">
            <w:pPr>
              <w:autoSpaceDE w:val="0"/>
              <w:autoSpaceDN w:val="0"/>
              <w:spacing w:before="10" w:after="10" w:line="240" w:lineRule="auto"/>
              <w:jc w:val="left"/>
              <w:rPr>
                <w:rFonts w:ascii="Arial" w:hAnsi="Arial" w:cs="Arial"/>
                <w:sz w:val="16"/>
                <w:szCs w:val="16"/>
              </w:rPr>
            </w:pPr>
          </w:p>
        </w:tc>
      </w:tr>
      <w:tr w:rsidR="00E55150" w:rsidRPr="00783FCC" w:rsidTr="00297E20">
        <w:trPr>
          <w:trHeight w:val="58"/>
        </w:trPr>
        <w:tc>
          <w:tcPr>
            <w:tcW w:w="1446" w:type="dxa"/>
            <w:tcBorders>
              <w:top w:val="single" w:sz="4" w:space="0" w:color="auto"/>
              <w:bottom w:val="dotted" w:sz="4" w:space="0" w:color="auto"/>
              <w:right w:val="single" w:sz="4" w:space="0" w:color="auto"/>
            </w:tcBorders>
          </w:tcPr>
          <w:p w:rsidR="00E55150" w:rsidRPr="00783FCC" w:rsidRDefault="00E55150" w:rsidP="00436AFE">
            <w:pPr>
              <w:pStyle w:val="TableTextBase"/>
              <w:rPr>
                <w:rFonts w:cs="Arial"/>
                <w:sz w:val="16"/>
                <w:szCs w:val="16"/>
              </w:rPr>
            </w:pPr>
            <w:r w:rsidRPr="00783FCC">
              <w:rPr>
                <w:rFonts w:cs="Arial"/>
                <w:sz w:val="16"/>
                <w:szCs w:val="16"/>
              </w:rPr>
              <w:t xml:space="preserve">Forward Estimates </w:t>
            </w:r>
          </w:p>
          <w:p w:rsidR="00E55150" w:rsidRPr="00783FCC" w:rsidRDefault="00E55150" w:rsidP="00436AFE">
            <w:pPr>
              <w:pStyle w:val="TableTextBase"/>
              <w:rPr>
                <w:rFonts w:cs="Arial"/>
                <w:b/>
                <w:sz w:val="16"/>
                <w:szCs w:val="16"/>
              </w:rPr>
            </w:pPr>
            <w:r w:rsidRPr="00783FCC">
              <w:rPr>
                <w:rFonts w:cs="Arial"/>
                <w:sz w:val="16"/>
                <w:szCs w:val="16"/>
              </w:rPr>
              <w:t xml:space="preserve">2023-26 </w:t>
            </w:r>
          </w:p>
        </w:tc>
        <w:tc>
          <w:tcPr>
            <w:tcW w:w="3175" w:type="dxa"/>
            <w:tcBorders>
              <w:top w:val="single" w:sz="4" w:space="0" w:color="auto"/>
              <w:left w:val="single" w:sz="4" w:space="0" w:color="auto"/>
              <w:bottom w:val="dotted" w:sz="4" w:space="0" w:color="auto"/>
              <w:right w:val="single" w:sz="4" w:space="0" w:color="auto"/>
            </w:tcBorders>
          </w:tcPr>
          <w:p w:rsidR="00E55150" w:rsidRPr="00783FCC" w:rsidRDefault="00E55150" w:rsidP="00436AFE">
            <w:pPr>
              <w:pStyle w:val="TableTextBase"/>
              <w:rPr>
                <w:rFonts w:cs="Arial"/>
                <w:b/>
                <w:color w:val="0070C0"/>
                <w:sz w:val="16"/>
                <w:szCs w:val="16"/>
              </w:rPr>
            </w:pPr>
            <w:r w:rsidRPr="00783FCC">
              <w:rPr>
                <w:rFonts w:cs="Arial"/>
                <w:iCs/>
                <w:sz w:val="16"/>
                <w:szCs w:val="16"/>
              </w:rPr>
              <w:t>As per 2022-23</w:t>
            </w:r>
            <w:r>
              <w:rPr>
                <w:rFonts w:cs="Arial"/>
                <w:iCs/>
                <w:sz w:val="16"/>
                <w:szCs w:val="16"/>
              </w:rPr>
              <w:t>.</w:t>
            </w:r>
          </w:p>
        </w:tc>
        <w:tc>
          <w:tcPr>
            <w:tcW w:w="2713" w:type="dxa"/>
            <w:tcBorders>
              <w:top w:val="single" w:sz="4" w:space="0" w:color="auto"/>
              <w:left w:val="single" w:sz="4" w:space="0" w:color="auto"/>
              <w:bottom w:val="dotted" w:sz="4" w:space="0" w:color="auto"/>
            </w:tcBorders>
          </w:tcPr>
          <w:p w:rsidR="00E55150" w:rsidRPr="00783FCC" w:rsidRDefault="00E55150" w:rsidP="00436AFE">
            <w:pPr>
              <w:pStyle w:val="TableTextBase"/>
              <w:rPr>
                <w:b/>
                <w:color w:val="0070C0"/>
                <w:sz w:val="16"/>
                <w:szCs w:val="16"/>
              </w:rPr>
            </w:pPr>
            <w:r w:rsidRPr="00783FCC">
              <w:rPr>
                <w:rFonts w:cs="Arial"/>
                <w:iCs/>
                <w:sz w:val="16"/>
                <w:szCs w:val="16"/>
              </w:rPr>
              <w:t>As per 2022-23</w:t>
            </w:r>
            <w:r>
              <w:rPr>
                <w:rFonts w:cs="Arial"/>
                <w:iCs/>
                <w:sz w:val="16"/>
                <w:szCs w:val="16"/>
              </w:rPr>
              <w:t>.</w:t>
            </w:r>
          </w:p>
        </w:tc>
      </w:tr>
      <w:tr w:rsidR="00E55150" w:rsidRPr="00783FCC" w:rsidTr="00436AFE">
        <w:trPr>
          <w:trHeight w:val="58"/>
        </w:trPr>
        <w:tc>
          <w:tcPr>
            <w:tcW w:w="7811" w:type="dxa"/>
            <w:gridSpan w:val="3"/>
          </w:tcPr>
          <w:p w:rsidR="00E55150" w:rsidRPr="00783FCC" w:rsidRDefault="00E55150" w:rsidP="00436AFE">
            <w:pPr>
              <w:pStyle w:val="TableTextBase"/>
              <w:rPr>
                <w:rFonts w:cs="Arial"/>
                <w:sz w:val="16"/>
                <w:szCs w:val="16"/>
              </w:rPr>
            </w:pPr>
            <w:r w:rsidRPr="00783FCC">
              <w:rPr>
                <w:rFonts w:cs="Arial"/>
                <w:sz w:val="16"/>
                <w:szCs w:val="16"/>
              </w:rPr>
              <w:t>Material changes to Program 1.1 resulting from 2022-23 Budget Measures: Nil</w:t>
            </w:r>
          </w:p>
        </w:tc>
      </w:tr>
    </w:tbl>
    <w:p w:rsidR="00E55150" w:rsidRPr="00F71634" w:rsidRDefault="00E55150" w:rsidP="00BF35D9"/>
    <w:p w:rsidR="00BF35D9" w:rsidRPr="00AD42E2" w:rsidRDefault="00BF35D9" w:rsidP="00BF35D9">
      <w:pPr>
        <w:pStyle w:val="Heading2"/>
      </w:pPr>
      <w:r w:rsidRPr="005B6A94">
        <w:br w:type="page"/>
      </w:r>
      <w:bookmarkStart w:id="67" w:name="_Toc98181327"/>
      <w:r w:rsidRPr="00AD42E2">
        <w:lastRenderedPageBreak/>
        <w:t>Section 3: Budgeted financial statements</w:t>
      </w:r>
      <w:bookmarkEnd w:id="67"/>
    </w:p>
    <w:p w:rsidR="00BF35D9" w:rsidRDefault="00BF35D9" w:rsidP="00BF35D9">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BF35D9" w:rsidRPr="005328A9" w:rsidRDefault="00BF35D9" w:rsidP="00BF35D9">
      <w:pPr>
        <w:pStyle w:val="Heading3"/>
      </w:pPr>
      <w:bookmarkStart w:id="68" w:name="_Toc98181328"/>
      <w:r w:rsidRPr="005328A9">
        <w:t>3.1</w:t>
      </w:r>
      <w:r w:rsidRPr="005328A9">
        <w:tab/>
        <w:t>Budgeted financial statements</w:t>
      </w:r>
      <w:bookmarkEnd w:id="68"/>
    </w:p>
    <w:p w:rsidR="00BF35D9" w:rsidRDefault="00BF35D9" w:rsidP="00BF35D9">
      <w:pPr>
        <w:pStyle w:val="Heading4"/>
      </w:pPr>
      <w:r>
        <w:t>3.1.1</w:t>
      </w:r>
      <w:r>
        <w:tab/>
        <w:t>Differences between entity resourcing and financial statements</w:t>
      </w:r>
    </w:p>
    <w:p w:rsidR="00BF35D9" w:rsidRPr="00150452" w:rsidRDefault="00BF35D9" w:rsidP="00BF35D9">
      <w:pPr>
        <w:jc w:val="left"/>
      </w:pPr>
      <w:r w:rsidRPr="00150452">
        <w:t>No material differences exist between entity resourcing and the financial statements.</w:t>
      </w:r>
    </w:p>
    <w:p w:rsidR="00BF35D9" w:rsidRDefault="00BF35D9" w:rsidP="00BF35D9">
      <w:pPr>
        <w:pStyle w:val="Heading4"/>
      </w:pPr>
      <w:r>
        <w:t>3.1.2</w:t>
      </w:r>
      <w:r>
        <w:tab/>
        <w:t>Explanatory notes and analysis of budgeted financial statements</w:t>
      </w:r>
    </w:p>
    <w:p w:rsidR="00BF35D9" w:rsidRPr="00150452" w:rsidRDefault="00BF35D9" w:rsidP="00BF35D9">
      <w:pPr>
        <w:jc w:val="left"/>
      </w:pPr>
      <w:r w:rsidRPr="00150452">
        <w:t>The budgeted financial statements have not changed materially from the amounts published in the Portfolio Additional Estimates Statements 2021-22 (PAES). The changes reflect the effect of economic parameter adjustments.</w:t>
      </w:r>
    </w:p>
    <w:p w:rsidR="00BF35D9" w:rsidRDefault="00BF35D9" w:rsidP="00BF35D9">
      <w:pPr>
        <w:jc w:val="left"/>
      </w:pPr>
      <w:r>
        <w:br w:type="page"/>
      </w:r>
      <w:r w:rsidRPr="00D232B7">
        <w:rPr>
          <w:rStyle w:val="TableHeadingChar"/>
        </w:rPr>
        <w:lastRenderedPageBreak/>
        <w:t>3.2.</w:t>
      </w:r>
      <w:r w:rsidRPr="00D232B7">
        <w:rPr>
          <w:rStyle w:val="TableHeadingChar"/>
        </w:rPr>
        <w:tab/>
        <w:t>Budgeted financial statements tables</w:t>
      </w:r>
    </w:p>
    <w:p w:rsidR="00BF35D9" w:rsidRDefault="00BF35D9" w:rsidP="00BF35D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BF35D9" w:rsidRDefault="00BF35D9" w:rsidP="00BF35D9">
      <w:pPr>
        <w:pStyle w:val="TableGraphic"/>
        <w:rPr>
          <w:lang w:val="x-none" w:eastAsia="x-none"/>
        </w:rPr>
      </w:pPr>
      <w:r w:rsidRPr="0077020F">
        <w:rPr>
          <w:noProof/>
        </w:rPr>
        <w:drawing>
          <wp:inline distT="0" distB="0" distL="0" distR="0" wp14:anchorId="4DFDC9ED" wp14:editId="1C386BDB">
            <wp:extent cx="4819650" cy="4295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819650" cy="4295775"/>
                    </a:xfrm>
                    <a:prstGeom prst="rect">
                      <a:avLst/>
                    </a:prstGeom>
                    <a:noFill/>
                    <a:ln>
                      <a:noFill/>
                    </a:ln>
                  </pic:spPr>
                </pic:pic>
              </a:graphicData>
            </a:graphic>
          </wp:inline>
        </w:drawing>
      </w:r>
    </w:p>
    <w:p w:rsidR="00BF35D9" w:rsidRDefault="00BF35D9" w:rsidP="00BF35D9">
      <w:r w:rsidRPr="00432F71">
        <w:rPr>
          <w:rFonts w:ascii="Arial" w:hAnsi="Arial" w:cs="Arial"/>
          <w:sz w:val="16"/>
          <w:szCs w:val="16"/>
        </w:rPr>
        <w:t>Table continues on next page</w:t>
      </w:r>
      <w:r>
        <w:t xml:space="preserve"> </w:t>
      </w:r>
      <w:r>
        <w:br w:type="page"/>
      </w:r>
    </w:p>
    <w:tbl>
      <w:tblPr>
        <w:tblW w:w="7710" w:type="dxa"/>
        <w:tblLook w:val="04A0" w:firstRow="1" w:lastRow="0" w:firstColumn="1" w:lastColumn="0" w:noHBand="0" w:noVBand="1"/>
      </w:tblPr>
      <w:tblGrid>
        <w:gridCol w:w="7710"/>
      </w:tblGrid>
      <w:tr w:rsidR="00BF35D9" w:rsidRPr="00432F71" w:rsidTr="005D36C8">
        <w:trPr>
          <w:trHeight w:val="225"/>
        </w:trPr>
        <w:tc>
          <w:tcPr>
            <w:tcW w:w="7710" w:type="dxa"/>
            <w:tcBorders>
              <w:top w:val="nil"/>
              <w:left w:val="nil"/>
              <w:bottom w:val="nil"/>
              <w:right w:val="nil"/>
            </w:tcBorders>
            <w:shd w:val="clear" w:color="auto" w:fill="auto"/>
            <w:vAlign w:val="bottom"/>
            <w:hideMark/>
          </w:tcPr>
          <w:p w:rsidR="00BF35D9" w:rsidRDefault="00BF35D9" w:rsidP="005D36C8">
            <w:pPr>
              <w:pStyle w:val="TableHeadingcontinued"/>
              <w:ind w:left="-105"/>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BF35D9" w:rsidRDefault="00BF35D9" w:rsidP="005D36C8">
            <w:pPr>
              <w:pStyle w:val="TableHeadingNoTable"/>
              <w:spacing w:after="0"/>
            </w:pPr>
          </w:p>
          <w:p w:rsidR="00BF35D9" w:rsidRPr="00A72726" w:rsidRDefault="00BF35D9" w:rsidP="005D36C8">
            <w:pPr>
              <w:pStyle w:val="TableHeadingNoTable"/>
              <w:spacing w:after="0"/>
              <w:ind w:left="-105"/>
            </w:pPr>
            <w:r w:rsidRPr="003819E1">
              <w:t>Note: Impact of net cash appropriation arrangements</w:t>
            </w:r>
            <w:r w:rsidRPr="00BC74F4">
              <w:rPr>
                <w:noProof/>
                <w:lang w:val="en-AU" w:eastAsia="en-AU"/>
              </w:rPr>
              <w:drawing>
                <wp:inline distT="0" distB="0" distL="0" distR="0" wp14:anchorId="3B8E7378" wp14:editId="62F0A44C">
                  <wp:extent cx="4819650" cy="1914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19650" cy="1914525"/>
                          </a:xfrm>
                          <a:prstGeom prst="rect">
                            <a:avLst/>
                          </a:prstGeom>
                          <a:noFill/>
                          <a:ln>
                            <a:noFill/>
                          </a:ln>
                        </pic:spPr>
                      </pic:pic>
                    </a:graphicData>
                  </a:graphic>
                </wp:inline>
              </w:drawing>
            </w:r>
          </w:p>
        </w:tc>
      </w:tr>
    </w:tbl>
    <w:p w:rsidR="00BF35D9" w:rsidRDefault="00BF35D9" w:rsidP="00150452">
      <w:pPr>
        <w:pStyle w:val="Source"/>
      </w:pPr>
      <w:r w:rsidRPr="009D54F3">
        <w:rPr>
          <w:rFonts w:cs="Arial"/>
        </w:rPr>
        <w:t>Prepared on Australian Accounting Standards basis.</w:t>
      </w:r>
      <w:r>
        <w:fldChar w:fldCharType="begin"/>
      </w:r>
      <w:r>
        <w:instrText xml:space="preserve"> LINK Excel.Sheet.12 "\\\\prod.aec.gov.au\\can0\\branch\\CFO\\Financial Management\\Budgeting\\Budget 22-23\\External Budget\\PBS\\Excel\\Attachment B - 2022-23 PBS Excel Tables draft.xlsx" "Table 3.1 NCCE!R45C3:R50C8" \a \f 4 \h </w:instrText>
      </w:r>
      <w:r>
        <w:fldChar w:fldCharType="end"/>
      </w:r>
      <w:r>
        <w:fldChar w:fldCharType="begin"/>
      </w:r>
      <w:r>
        <w:instrText xml:space="preserve"> LINK Excel.Sheet.12 "\\\\prod.aec.gov.au\\can0\\branch\\CFO\\Financial Management\\Budgeting\\Budget 22-23\\External Budget\\PBS\\Excel\\Attachment B - 2022-23 PBS Excel Tables draft.xlsx" "Table 3.1 NCCE!R45C3:R50C8" \a \f 4 \h </w:instrText>
      </w:r>
      <w:r>
        <w:fldChar w:fldCharType="end"/>
      </w:r>
    </w:p>
    <w:p w:rsidR="00BF35D9" w:rsidRDefault="00BF35D9" w:rsidP="00DA1F4B">
      <w:pPr>
        <w:pStyle w:val="ChartandTableFootnoteAlpha"/>
        <w:numPr>
          <w:ilvl w:val="0"/>
          <w:numId w:val="58"/>
        </w:numPr>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BF35D9" w:rsidRPr="002A0F2E" w:rsidRDefault="00BF35D9" w:rsidP="00DA1F4B">
      <w:pPr>
        <w:pStyle w:val="ChartandTableFootnoteAlpha"/>
        <w:numPr>
          <w:ilvl w:val="0"/>
          <w:numId w:val="58"/>
        </w:numPr>
      </w:pPr>
      <w:r w:rsidRPr="00D52088">
        <w:t>Applies</w:t>
      </w:r>
      <w:r>
        <w:t xml:space="preserve"> to</w:t>
      </w:r>
      <w:r w:rsidRPr="00D52088">
        <w:t xml:space="preserve"> leases under AASB 16 Leases.</w:t>
      </w:r>
    </w:p>
    <w:p w:rsidR="00BF35D9" w:rsidRDefault="00BF35D9" w:rsidP="00BF35D9">
      <w:pPr>
        <w:pStyle w:val="Source"/>
        <w:rPr>
          <w:rFonts w:cs="Arial"/>
        </w:rPr>
      </w:pPr>
    </w:p>
    <w:p w:rsidR="00BF35D9" w:rsidRDefault="00BF35D9" w:rsidP="00BF35D9">
      <w:pPr>
        <w:pStyle w:val="Source"/>
        <w:rPr>
          <w:rFonts w:cs="Arial"/>
        </w:rPr>
      </w:pPr>
    </w:p>
    <w:p w:rsidR="00BF35D9" w:rsidRDefault="00BF35D9" w:rsidP="00BF35D9">
      <w:pPr>
        <w:pStyle w:val="Source"/>
        <w:rPr>
          <w:rFonts w:cs="Arial"/>
        </w:rPr>
      </w:pPr>
    </w:p>
    <w:p w:rsidR="00BF35D9" w:rsidRPr="00150452" w:rsidRDefault="00BF35D9" w:rsidP="00BF35D9">
      <w:pPr>
        <w:pStyle w:val="TableHeadingcontinued"/>
        <w:rPr>
          <w:rFonts w:ascii="Arial" w:hAnsi="Arial" w:cs="Arial"/>
        </w:rPr>
      </w:pPr>
      <w:r>
        <w:br w:type="page"/>
      </w:r>
      <w:r w:rsidRPr="00150452">
        <w:rPr>
          <w:rFonts w:ascii="Arial" w:hAnsi="Arial" w:cs="Arial"/>
        </w:rPr>
        <w:lastRenderedPageBreak/>
        <w:t>Table 3.2: Budgeted departmental balance sheet (as at 30 June)</w:t>
      </w:r>
    </w:p>
    <w:p w:rsidR="00BF35D9" w:rsidRDefault="00BF35D9" w:rsidP="00BF35D9">
      <w:pPr>
        <w:pStyle w:val="TableHeadingcontinued"/>
        <w:rPr>
          <w:rFonts w:ascii="Arial" w:hAnsi="Arial" w:cs="Arial"/>
          <w:b w:val="0"/>
          <w:color w:val="000000"/>
          <w:sz w:val="16"/>
          <w:lang w:val="x-none" w:eastAsia="x-none"/>
        </w:rPr>
      </w:pPr>
      <w:r w:rsidRPr="0085611C">
        <w:rPr>
          <w:noProof/>
        </w:rPr>
        <w:drawing>
          <wp:inline distT="0" distB="0" distL="0" distR="0" wp14:anchorId="44DBF26B" wp14:editId="44EFC18C">
            <wp:extent cx="4819650" cy="5724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819650" cy="5724525"/>
                    </a:xfrm>
                    <a:prstGeom prst="rect">
                      <a:avLst/>
                    </a:prstGeom>
                    <a:noFill/>
                    <a:ln>
                      <a:noFill/>
                    </a:ln>
                  </pic:spPr>
                </pic:pic>
              </a:graphicData>
            </a:graphic>
          </wp:inline>
        </w:drawing>
      </w:r>
    </w:p>
    <w:p w:rsidR="00BF35D9" w:rsidRPr="00C26B46" w:rsidRDefault="00BF35D9" w:rsidP="00BF35D9">
      <w:pPr>
        <w:pStyle w:val="TableHeadingcontinued"/>
        <w:rPr>
          <w:rFonts w:ascii="Arial" w:hAnsi="Arial" w:cs="Arial"/>
          <w:b w:val="0"/>
          <w:color w:val="000000"/>
          <w:sz w:val="16"/>
          <w:lang w:val="x-none" w:eastAsia="x-none"/>
        </w:rPr>
      </w:pPr>
      <w:r w:rsidRPr="00C26B46">
        <w:rPr>
          <w:rFonts w:ascii="Arial" w:hAnsi="Arial" w:cs="Arial"/>
          <w:b w:val="0"/>
          <w:color w:val="000000"/>
          <w:sz w:val="16"/>
          <w:lang w:val="x-none" w:eastAsia="x-none"/>
        </w:rPr>
        <w:t>Prepared on Australian Accounting Standards basis.</w:t>
      </w:r>
    </w:p>
    <w:p w:rsidR="00BF35D9" w:rsidRPr="00132F9E" w:rsidRDefault="00BF35D9" w:rsidP="00BF35D9">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BF35D9" w:rsidRPr="00152B2B" w:rsidRDefault="00BF35D9" w:rsidP="00BF35D9"/>
    <w:p w:rsidR="00BF35D9" w:rsidRPr="00444858" w:rsidRDefault="00BF35D9" w:rsidP="00BF35D9">
      <w:pPr>
        <w:pStyle w:val="TableHeading"/>
      </w:pPr>
      <w:r>
        <w:br w:type="page"/>
      </w:r>
      <w:r w:rsidRPr="00AD42E2">
        <w:lastRenderedPageBreak/>
        <w:t>Table 3.3: Departmental statement of changes in equity — summary of</w:t>
      </w:r>
      <w:r>
        <w:t xml:space="preserve"> movement (Budget year </w:t>
      </w:r>
      <w:r>
        <w:rPr>
          <w:lang w:val="en-AU"/>
        </w:rPr>
        <w:t>2022-23</w:t>
      </w:r>
      <w:r w:rsidRPr="00D30CBA">
        <w:t>)</w:t>
      </w:r>
      <w:r>
        <w:fldChar w:fldCharType="begin"/>
      </w:r>
      <w:r>
        <w:instrText xml:space="preserve"> LINK Excel.Sheet.12 "\\\\prod.aec.gov.au\\can0\\branch\\CFO\\Financial Management\\Budgeting\\Budget 22-23\\External Budget\\PBS\\Excel\\Attachment B - 2022-23 PBS Excel Tables draft.xlsx" "Table 3.3!R3C4:R34C9" \a \f 4 \h </w:instrText>
      </w:r>
      <w:r>
        <w:fldChar w:fldCharType="separate"/>
      </w:r>
    </w:p>
    <w:p w:rsidR="00BF35D9" w:rsidRDefault="00CE4BBC" w:rsidP="00BF35D9">
      <w:pPr>
        <w:pStyle w:val="TableHeading"/>
      </w:pPr>
      <w:r>
        <w:pict w14:anchorId="0C197D60">
          <v:shape id="_x0000_i1026" type="#_x0000_t75" style="width:346.45pt;height:240.25pt" o:ole="">
            <v:imagedata r:id="rId94" o:title=""/>
          </v:shape>
        </w:pict>
      </w:r>
    </w:p>
    <w:p w:rsidR="00BF35D9" w:rsidRPr="00C26B46" w:rsidRDefault="00BF35D9" w:rsidP="00BF35D9">
      <w:pPr>
        <w:pStyle w:val="TableHeading"/>
        <w:rPr>
          <w:b w:val="0"/>
          <w:color w:val="auto"/>
          <w:sz w:val="16"/>
          <w:lang w:val="en-AU" w:eastAsia="en-AU"/>
        </w:rPr>
      </w:pPr>
      <w:r>
        <w:fldChar w:fldCharType="end"/>
      </w:r>
      <w:r w:rsidRPr="00C26B46">
        <w:rPr>
          <w:b w:val="0"/>
          <w:color w:val="auto"/>
          <w:sz w:val="16"/>
          <w:lang w:val="en-AU" w:eastAsia="en-AU"/>
        </w:rPr>
        <w:t>Prepared on Australian Accounting Standards basis</w:t>
      </w:r>
    </w:p>
    <w:p w:rsidR="00BF35D9" w:rsidRDefault="00BF35D9" w:rsidP="00BF35D9">
      <w:pPr>
        <w:pStyle w:val="Source"/>
      </w:pPr>
    </w:p>
    <w:p w:rsidR="00BF35D9" w:rsidRPr="00152B2B" w:rsidRDefault="00BF35D9" w:rsidP="00BF35D9"/>
    <w:p w:rsidR="00BF35D9" w:rsidRDefault="00BF35D9" w:rsidP="00BF35D9">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BF35D9" w:rsidRPr="00917267" w:rsidRDefault="00BF35D9" w:rsidP="00BF35D9">
      <w:pPr>
        <w:pStyle w:val="TableHeading"/>
        <w:rPr>
          <w:rFonts w:ascii="Times New Roman" w:hAnsi="Times New Roman"/>
        </w:rPr>
      </w:pPr>
      <w:r w:rsidRPr="009C4941">
        <w:rPr>
          <w:noProof/>
          <w:lang w:val="en-AU" w:eastAsia="en-AU"/>
        </w:rPr>
        <w:drawing>
          <wp:inline distT="0" distB="0" distL="0" distR="0" wp14:anchorId="3CE0E70F" wp14:editId="1B0D0411">
            <wp:extent cx="4819650" cy="54673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19650" cy="5467350"/>
                    </a:xfrm>
                    <a:prstGeom prst="rect">
                      <a:avLst/>
                    </a:prstGeom>
                    <a:noFill/>
                    <a:ln>
                      <a:noFill/>
                    </a:ln>
                  </pic:spPr>
                </pic:pic>
              </a:graphicData>
            </a:graphic>
          </wp:inline>
        </w:drawing>
      </w:r>
      <w:r>
        <w:rPr>
          <w:noProof/>
        </w:rPr>
        <w:fldChar w:fldCharType="begin"/>
      </w:r>
      <w:r>
        <w:rPr>
          <w:noProof/>
        </w:rPr>
        <w:instrText xml:space="preserve"> LINK Excel.Sheet.12 "\\\\prod.aec.gov.au\\can0\\branch\\CFO\\Financial Management\\Budgeting\\Budget 22-23\\External Budget\\PBS\\Excel\\Attachment B - 2022-23 PBS Excel Tables draft.xlsx" "Table 3.4!R3C4:R61C9" \a \f 4 \h  \* MERGEFORMAT </w:instrText>
      </w:r>
      <w:r>
        <w:rPr>
          <w:noProof/>
        </w:rPr>
        <w:fldChar w:fldCharType="separate"/>
      </w:r>
    </w:p>
    <w:p w:rsidR="00BF35D9" w:rsidRPr="00C26B46" w:rsidRDefault="00BF35D9" w:rsidP="00BF35D9">
      <w:pPr>
        <w:pStyle w:val="TableGraphic"/>
        <w:tabs>
          <w:tab w:val="left" w:pos="6237"/>
        </w:tabs>
      </w:pPr>
      <w:r>
        <w:rPr>
          <w:noProof/>
        </w:rPr>
        <w:fldChar w:fldCharType="end"/>
      </w:r>
      <w:r w:rsidRPr="00132F9E">
        <w:rPr>
          <w:rFonts w:ascii="Arial" w:hAnsi="Arial" w:cs="Arial"/>
          <w:sz w:val="16"/>
          <w:szCs w:val="16"/>
        </w:rPr>
        <w:t>Prepared on Australian Accounting Standards basis.</w:t>
      </w:r>
    </w:p>
    <w:p w:rsidR="00BF35D9" w:rsidRPr="00132F9E" w:rsidRDefault="00BF35D9" w:rsidP="00BF35D9">
      <w:pPr>
        <w:pStyle w:val="NoSpacing"/>
        <w:rPr>
          <w:rFonts w:ascii="Arial" w:hAnsi="Arial" w:cs="Arial"/>
          <w:sz w:val="16"/>
          <w:szCs w:val="16"/>
        </w:rPr>
      </w:pPr>
    </w:p>
    <w:p w:rsidR="00F1472B" w:rsidRDefault="00BF35D9" w:rsidP="00BF35D9">
      <w:pPr>
        <w:pStyle w:val="TableHeading"/>
      </w:pPr>
      <w:r>
        <w:br w:type="page"/>
      </w:r>
      <w:r w:rsidRPr="00D30CBA">
        <w:lastRenderedPageBreak/>
        <w:t>Table</w:t>
      </w:r>
      <w:r>
        <w:t xml:space="preserve"> 3.5</w:t>
      </w:r>
      <w:r w:rsidRPr="00D30CBA">
        <w:t xml:space="preserve">: </w:t>
      </w:r>
      <w:r>
        <w:t>Departmental capital budget statement (for the period ended 30 June)</w:t>
      </w:r>
    </w:p>
    <w:p w:rsidR="00F1472B" w:rsidRPr="00906EA8" w:rsidRDefault="00F1472B" w:rsidP="00150452">
      <w:pPr>
        <w:pStyle w:val="TableGraphic"/>
      </w:pPr>
      <w:r w:rsidRPr="00F1472B">
        <w:rPr>
          <w:noProof/>
        </w:rPr>
        <w:drawing>
          <wp:inline distT="0" distB="0" distL="0" distR="0" wp14:anchorId="01E9CC41" wp14:editId="2F6AF578">
            <wp:extent cx="4895850" cy="276428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95850" cy="2764281"/>
                    </a:xfrm>
                    <a:prstGeom prst="rect">
                      <a:avLst/>
                    </a:prstGeom>
                    <a:noFill/>
                    <a:ln>
                      <a:noFill/>
                    </a:ln>
                  </pic:spPr>
                </pic:pic>
              </a:graphicData>
            </a:graphic>
          </wp:inline>
        </w:drawing>
      </w:r>
    </w:p>
    <w:p w:rsidR="00BF35D9" w:rsidRPr="00C40EFA" w:rsidRDefault="00F1472B" w:rsidP="00BF35D9">
      <w:pPr>
        <w:pStyle w:val="TableHeading"/>
        <w:rPr>
          <w:rFonts w:cs="Arial"/>
          <w:b w:val="0"/>
          <w:sz w:val="16"/>
          <w:szCs w:val="16"/>
        </w:rPr>
      </w:pPr>
      <w:r w:rsidRPr="00C40EFA">
        <w:rPr>
          <w:rFonts w:cs="Arial"/>
          <w:b w:val="0"/>
          <w:noProof/>
          <w:sz w:val="16"/>
          <w:szCs w:val="16"/>
        </w:rPr>
        <w:t>Prepared on Australian Accounting Standards basis.</w:t>
      </w:r>
      <w:r w:rsidR="00BF35D9" w:rsidRPr="00150452">
        <w:rPr>
          <w:rFonts w:cs="Arial"/>
          <w:b w:val="0"/>
          <w:noProof/>
          <w:sz w:val="16"/>
          <w:szCs w:val="16"/>
        </w:rPr>
        <w:fldChar w:fldCharType="begin"/>
      </w:r>
      <w:r w:rsidR="00BF35D9" w:rsidRPr="00C40EFA">
        <w:rPr>
          <w:rFonts w:cs="Arial"/>
          <w:b w:val="0"/>
          <w:noProof/>
          <w:sz w:val="16"/>
          <w:szCs w:val="16"/>
        </w:rPr>
        <w:instrText xml:space="preserve"> LINK Excel.Sheet.12 "\\\\prod.aec.gov.au\\can0\\branch\\CFO\\Financial Management\\Budgeting\\Budget 22-23\\External Budget\\PBS\\Excel\\Attachment B - 2022-23 PBS Excel Tables draft.xlsx" "Table 3.5!R3C3:R27C8" \a \f 4 \h </w:instrText>
      </w:r>
      <w:r w:rsidRPr="00C40EFA">
        <w:rPr>
          <w:rFonts w:cs="Arial"/>
          <w:b w:val="0"/>
          <w:noProof/>
          <w:sz w:val="16"/>
          <w:szCs w:val="16"/>
        </w:rPr>
        <w:instrText xml:space="preserve"> \* MERGEFORMAT </w:instrText>
      </w:r>
      <w:r w:rsidR="00BF35D9" w:rsidRPr="00150452">
        <w:rPr>
          <w:rFonts w:cs="Arial"/>
          <w:b w:val="0"/>
          <w:noProof/>
          <w:sz w:val="16"/>
          <w:szCs w:val="16"/>
        </w:rPr>
        <w:fldChar w:fldCharType="separate"/>
      </w:r>
    </w:p>
    <w:p w:rsidR="00BF35D9" w:rsidRPr="00C26B46" w:rsidRDefault="00BF35D9" w:rsidP="00BF35D9">
      <w:pPr>
        <w:pStyle w:val="TableGraphic"/>
      </w:pPr>
      <w:r w:rsidRPr="00150452">
        <w:rPr>
          <w:rFonts w:ascii="Arial" w:hAnsi="Arial" w:cs="Arial"/>
          <w:noProof/>
          <w:sz w:val="16"/>
          <w:szCs w:val="16"/>
        </w:rPr>
        <w:fldChar w:fldCharType="end"/>
      </w:r>
    </w:p>
    <w:p w:rsidR="00BF35D9" w:rsidRPr="00C26B46" w:rsidRDefault="00BF35D9" w:rsidP="00BF35D9">
      <w:pPr>
        <w:pStyle w:val="ChartandTableFootnoteAlpha"/>
        <w:rPr>
          <w:rFonts w:cs="Arial"/>
          <w:szCs w:val="16"/>
        </w:rPr>
      </w:pPr>
    </w:p>
    <w:p w:rsidR="00A74101" w:rsidRDefault="00A74101">
      <w:pPr>
        <w:spacing w:after="0" w:line="240" w:lineRule="auto"/>
        <w:jc w:val="left"/>
        <w:rPr>
          <w:rFonts w:ascii="Arial" w:hAnsi="Arial"/>
          <w:b/>
          <w:color w:val="000000"/>
          <w:lang w:val="x-none" w:eastAsia="x-none"/>
        </w:rPr>
      </w:pPr>
      <w:r>
        <w:br w:type="page"/>
      </w:r>
    </w:p>
    <w:p w:rsidR="00BF35D9" w:rsidRDefault="00BF35D9" w:rsidP="00BF35D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p w:rsidR="00BF35D9" w:rsidRPr="00056DAC" w:rsidRDefault="00BF35D9" w:rsidP="00BF35D9">
      <w:pPr>
        <w:pStyle w:val="TableHeading"/>
      </w:pPr>
      <w:r w:rsidRPr="00B06E77">
        <w:rPr>
          <w:noProof/>
          <w:lang w:val="en-AU" w:eastAsia="en-AU"/>
        </w:rPr>
        <w:drawing>
          <wp:inline distT="0" distB="0" distL="0" distR="0" wp14:anchorId="7FE1306F" wp14:editId="7D0C0F00">
            <wp:extent cx="4514850" cy="4867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514850" cy="4867275"/>
                    </a:xfrm>
                    <a:prstGeom prst="rect">
                      <a:avLst/>
                    </a:prstGeom>
                    <a:noFill/>
                    <a:ln>
                      <a:noFill/>
                    </a:ln>
                  </pic:spPr>
                </pic:pic>
              </a:graphicData>
            </a:graphic>
          </wp:inline>
        </w:drawing>
      </w:r>
      <w:r>
        <w:fldChar w:fldCharType="begin"/>
      </w:r>
      <w:r>
        <w:instrText xml:space="preserve"> LINK Excel.Sheet.12 "\\\\prod.aec.gov.au\\can0\\branch\\CFO\\Financial Management\\Budgeting\\Budget 22-23\\External Budget\\PBS\\Excel\\Attachment B - 2022-23 PBS Excel Tables draft.xlsx" "Table 3.6!R4C3:R42C12" \a \f 4 \h </w:instrText>
      </w:r>
      <w:r>
        <w:fldChar w:fldCharType="separate"/>
      </w:r>
    </w:p>
    <w:p w:rsidR="00586D78" w:rsidRDefault="00BF35D9" w:rsidP="00586D78">
      <w:pPr>
        <w:pStyle w:val="TableGraphic"/>
        <w:rPr>
          <w:rFonts w:ascii="Arial" w:hAnsi="Arial" w:cs="Arial"/>
          <w:sz w:val="16"/>
          <w:szCs w:val="16"/>
        </w:rPr>
      </w:pPr>
      <w:r>
        <w:fldChar w:fldCharType="end"/>
      </w:r>
      <w:r w:rsidRPr="00C26B46">
        <w:rPr>
          <w:rFonts w:ascii="Arial" w:hAnsi="Arial" w:cs="Arial"/>
          <w:sz w:val="16"/>
          <w:szCs w:val="16"/>
        </w:rPr>
        <w:t>Prepared on Australian Accounting Standards basis.</w:t>
      </w:r>
    </w:p>
    <w:p w:rsidR="00FF53F1" w:rsidRPr="00586D78" w:rsidRDefault="009A11D4" w:rsidP="00DA1F4B">
      <w:pPr>
        <w:pStyle w:val="TableGraphic"/>
        <w:numPr>
          <w:ilvl w:val="1"/>
          <w:numId w:val="62"/>
        </w:numPr>
        <w:ind w:left="357" w:right="0" w:hanging="357"/>
        <w:rPr>
          <w:rFonts w:ascii="Arial" w:hAnsi="Arial" w:cs="Arial"/>
          <w:sz w:val="16"/>
          <w:szCs w:val="16"/>
        </w:rPr>
      </w:pPr>
      <w:r w:rsidRPr="00586D78">
        <w:rPr>
          <w:rFonts w:ascii="Arial" w:hAnsi="Arial" w:cs="Arial"/>
          <w:sz w:val="16"/>
          <w:szCs w:val="16"/>
        </w:rPr>
        <w:t>‘</w:t>
      </w:r>
      <w:r w:rsidR="0015701B" w:rsidRPr="00586D78">
        <w:rPr>
          <w:rFonts w:ascii="Arial" w:hAnsi="Arial" w:cs="Arial"/>
          <w:sz w:val="16"/>
          <w:szCs w:val="16"/>
        </w:rPr>
        <w:t>Appropriation ordinary annual services’ refers to funding provided through Appropriation Bill (No. 1)</w:t>
      </w:r>
      <w:r w:rsidR="00586D78" w:rsidRPr="00586D78">
        <w:rPr>
          <w:rFonts w:ascii="Arial" w:hAnsi="Arial" w:cs="Arial"/>
          <w:sz w:val="16"/>
          <w:szCs w:val="16"/>
        </w:rPr>
        <w:t xml:space="preserve"> </w:t>
      </w:r>
      <w:r w:rsidR="00FF53F1" w:rsidRPr="00586D78">
        <w:rPr>
          <w:rFonts w:ascii="Arial" w:hAnsi="Arial" w:cs="Arial"/>
          <w:sz w:val="16"/>
          <w:szCs w:val="16"/>
        </w:rPr>
        <w:t>Departmental Capital Budget 2022-23.</w:t>
      </w:r>
    </w:p>
    <w:p w:rsidR="00FF53F1" w:rsidRDefault="00FF53F1" w:rsidP="00FF53F1">
      <w:pPr>
        <w:jc w:val="left"/>
        <w:rPr>
          <w:rFonts w:ascii="Arial" w:hAnsi="Arial" w:cs="Arial"/>
          <w:sz w:val="16"/>
          <w:szCs w:val="16"/>
        </w:rPr>
      </w:pPr>
    </w:p>
    <w:p w:rsidR="0015701B" w:rsidRPr="00117D51" w:rsidRDefault="00FF53F1" w:rsidP="00FF53F1">
      <w:pPr>
        <w:jc w:val="left"/>
      </w:pPr>
      <w:r>
        <w:rPr>
          <w:rFonts w:ascii="Arial" w:hAnsi="Arial" w:cs="Arial"/>
          <w:sz w:val="16"/>
          <w:szCs w:val="16"/>
        </w:rPr>
        <w:t xml:space="preserve"> </w:t>
      </w:r>
    </w:p>
    <w:p w:rsidR="00BF35D9" w:rsidRDefault="00BF35D9" w:rsidP="00117D51">
      <w:pPr>
        <w:pStyle w:val="ChartandTableFootnoteAlpha"/>
        <w:rPr>
          <w:rFonts w:cs="Arial"/>
          <w:szCs w:val="16"/>
        </w:rPr>
      </w:pPr>
    </w:p>
    <w:p w:rsidR="00266E0D" w:rsidRPr="00266E0D" w:rsidRDefault="00266E0D" w:rsidP="00DA1F4B">
      <w:pPr>
        <w:pStyle w:val="ChartandTableFootnoteAlpha"/>
        <w:numPr>
          <w:ilvl w:val="0"/>
          <w:numId w:val="31"/>
        </w:numPr>
        <w:jc w:val="left"/>
        <w:rPr>
          <w:b/>
          <w:color w:val="000000"/>
          <w:lang w:val="x-none" w:eastAsia="x-none"/>
        </w:rPr>
      </w:pPr>
      <w:r>
        <w:br w:type="page"/>
      </w:r>
    </w:p>
    <w:p w:rsidR="00BF35D9" w:rsidRDefault="00BF35D9" w:rsidP="00BF35D9">
      <w:pPr>
        <w:pStyle w:val="TableHeading"/>
        <w:rPr>
          <w:rFonts w:ascii="Times New Roman" w:hAnsi="Times New Roman"/>
        </w:rPr>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r>
        <w:rPr>
          <w:noProof/>
        </w:rPr>
        <w:fldChar w:fldCharType="begin"/>
      </w:r>
      <w:r>
        <w:rPr>
          <w:noProof/>
        </w:rPr>
        <w:instrText xml:space="preserve"> LINK Excel.Sheet.12 "\\\\prod.aec.gov.au\\can0\\branch\\CFO\\Financial Management\\Budgeting\\Budget 22-23\\External Budget\\PBS\\Excel\\Attachment B - 2022-23 PBS Excel Tables draft.xlsx" "Table 3.7!R3C3:R54C8" \a \f 4 \h </w:instrText>
      </w:r>
      <w:r>
        <w:rPr>
          <w:noProof/>
        </w:rPr>
        <w:fldChar w:fldCharType="separate"/>
      </w:r>
    </w:p>
    <w:p w:rsidR="00BF35D9" w:rsidRDefault="00CE4BBC" w:rsidP="00BF35D9">
      <w:pPr>
        <w:pStyle w:val="TableGraphic"/>
        <w:rPr>
          <w:noProof/>
        </w:rPr>
      </w:pPr>
      <w:r>
        <w:pict w14:anchorId="48EB85CB">
          <v:shape id="_x0000_i1027" type="#_x0000_t75" style="width:380.65pt;height:262.35pt" o:ole="">
            <v:imagedata r:id="rId98" o:title=""/>
          </v:shape>
        </w:pict>
      </w:r>
    </w:p>
    <w:p w:rsidR="00BF35D9" w:rsidRPr="00C26B46" w:rsidRDefault="00BF35D9" w:rsidP="00BF35D9">
      <w:pPr>
        <w:pStyle w:val="TableGraphic"/>
        <w:rPr>
          <w:rFonts w:ascii="Arial" w:hAnsi="Arial" w:cs="Arial"/>
          <w:sz w:val="16"/>
        </w:rPr>
      </w:pPr>
      <w:r>
        <w:rPr>
          <w:noProof/>
        </w:rPr>
        <w:fldChar w:fldCharType="end"/>
      </w:r>
      <w:r w:rsidRPr="00C26B46">
        <w:rPr>
          <w:rFonts w:ascii="Arial" w:hAnsi="Arial" w:cs="Arial"/>
          <w:sz w:val="16"/>
        </w:rPr>
        <w:t>Prepared on Australian Accounting Standards basis.</w:t>
      </w:r>
    </w:p>
    <w:p w:rsidR="00BF35D9" w:rsidRPr="00FD522D" w:rsidRDefault="00BF35D9" w:rsidP="00BF35D9"/>
    <w:p w:rsidR="00BF35D9" w:rsidRDefault="00BF35D9" w:rsidP="00BF35D9">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BF35D9" w:rsidRPr="009763C1" w:rsidRDefault="00BF35D9" w:rsidP="00BF35D9">
      <w:pPr>
        <w:pStyle w:val="TableGraphic"/>
        <w:rPr>
          <w:lang w:val="x-none" w:eastAsia="x-none"/>
        </w:rPr>
      </w:pPr>
    </w:p>
    <w:p w:rsidR="00BF35D9" w:rsidRPr="003B6C79" w:rsidRDefault="00BF35D9" w:rsidP="00BF35D9">
      <w:r w:rsidRPr="003B6C79">
        <w:t xml:space="preserve">The AEC has no budgeted assets and liabilities administered on behalf of the Government. </w:t>
      </w:r>
    </w:p>
    <w:p w:rsidR="00BF35D9" w:rsidRPr="00B7521F" w:rsidRDefault="00BF35D9" w:rsidP="00BF35D9">
      <w:pPr>
        <w:pStyle w:val="TableHeadingcontinued"/>
      </w:pPr>
    </w:p>
    <w:p w:rsidR="00BF35D9" w:rsidRPr="00B7521F" w:rsidRDefault="00BF35D9" w:rsidP="00BF35D9">
      <w:pPr>
        <w:pStyle w:val="SingleParagraph"/>
        <w:spacing w:line="240" w:lineRule="auto"/>
        <w:rPr>
          <w:rFonts w:ascii="Arial" w:hAnsi="Arial" w:cs="Arial"/>
          <w:sz w:val="16"/>
          <w:szCs w:val="16"/>
        </w:rPr>
      </w:pPr>
    </w:p>
    <w:p w:rsidR="00BF35D9" w:rsidRDefault="00BF35D9" w:rsidP="00BF35D9">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p w:rsidR="00BF35D9" w:rsidRPr="00444858" w:rsidRDefault="00BF35D9" w:rsidP="00BF35D9">
      <w:pPr>
        <w:pStyle w:val="TableHeading"/>
      </w:pPr>
      <w:r w:rsidRPr="00056DAC">
        <w:rPr>
          <w:noProof/>
          <w:lang w:val="en-AU" w:eastAsia="en-AU"/>
        </w:rPr>
        <w:drawing>
          <wp:inline distT="0" distB="0" distL="0" distR="0" wp14:anchorId="52A87CCB" wp14:editId="24C85316">
            <wp:extent cx="4818380" cy="3275965"/>
            <wp:effectExtent l="0" t="0" r="127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818380" cy="3275965"/>
                    </a:xfrm>
                    <a:prstGeom prst="rect">
                      <a:avLst/>
                    </a:prstGeom>
                    <a:noFill/>
                    <a:ln>
                      <a:noFill/>
                    </a:ln>
                  </pic:spPr>
                </pic:pic>
              </a:graphicData>
            </a:graphic>
          </wp:inline>
        </w:drawing>
      </w:r>
      <w:r>
        <w:rPr>
          <w:noProof/>
        </w:rPr>
        <w:fldChar w:fldCharType="begin"/>
      </w:r>
      <w:r>
        <w:rPr>
          <w:noProof/>
        </w:rPr>
        <w:instrText xml:space="preserve"> LINK Excel.Sheet.12 "\\\\prod.aec.gov.au\\can0\\branch\\CFO\\Financial Management\\Budgeting\\Budget 22-23\\External Budget\\PBS\\Excel\\Attachment B - 2022-23 PBS Excel Tables draft.xlsx" "Table 3.9!R3C3:R77C8" \a \f 4 \h  \* MERGEFORMAT </w:instrText>
      </w:r>
      <w:r>
        <w:rPr>
          <w:noProof/>
        </w:rPr>
        <w:fldChar w:fldCharType="separate"/>
      </w:r>
    </w:p>
    <w:p w:rsidR="00BF35D9" w:rsidRDefault="00BF35D9" w:rsidP="00BF35D9">
      <w:pPr>
        <w:pStyle w:val="TableGraphic"/>
      </w:pPr>
      <w:r>
        <w:rPr>
          <w:noProof/>
        </w:rPr>
        <w:fldChar w:fldCharType="end"/>
      </w:r>
      <w:r w:rsidRPr="00C26B46">
        <w:rPr>
          <w:rFonts w:ascii="Arial" w:hAnsi="Arial" w:cs="Arial"/>
          <w:sz w:val="16"/>
        </w:rPr>
        <w:t>Prepared on Australian Accounting Standards basis.</w:t>
      </w:r>
    </w:p>
    <w:p w:rsidR="00BF35D9" w:rsidRDefault="00BF35D9" w:rsidP="00BF35D9">
      <w:pPr>
        <w:pStyle w:val="TableHeading"/>
      </w:pPr>
    </w:p>
    <w:p w:rsidR="00BF35D9" w:rsidRDefault="00BF35D9" w:rsidP="00BF35D9">
      <w:pPr>
        <w:pStyle w:val="TableHeading"/>
      </w:pPr>
    </w:p>
    <w:p w:rsidR="00BF35D9" w:rsidRDefault="00BF35D9" w:rsidP="00BF35D9">
      <w:pPr>
        <w:pStyle w:val="TableHeading"/>
        <w:rPr>
          <w:lang w:val="en-AU"/>
        </w:rPr>
      </w:pPr>
      <w:r w:rsidRPr="00D30CBA">
        <w:t>Table</w:t>
      </w:r>
      <w:r>
        <w:t xml:space="preserve"> 3.10</w:t>
      </w:r>
      <w:r w:rsidRPr="00D30CBA">
        <w:t xml:space="preserve">: </w:t>
      </w:r>
      <w:r>
        <w:rPr>
          <w:lang w:val="en-AU"/>
        </w:rPr>
        <w:t xml:space="preserve">Schedule of </w:t>
      </w:r>
      <w:r>
        <w:t>administered capital budget statement (for the period ended 30 June)</w:t>
      </w:r>
    </w:p>
    <w:p w:rsidR="00BF35D9" w:rsidRPr="00C26B46" w:rsidRDefault="00BF35D9" w:rsidP="00BF35D9">
      <w:pPr>
        <w:pStyle w:val="TableGraphic"/>
        <w:rPr>
          <w:lang w:eastAsia="x-none"/>
        </w:rPr>
      </w:pPr>
    </w:p>
    <w:p w:rsidR="00BF35D9" w:rsidRDefault="00BF35D9" w:rsidP="00BF35D9">
      <w:r w:rsidRPr="00D63A79">
        <w:t>The AEC has no budgeted capital administered on behalf of the Government.</w:t>
      </w:r>
    </w:p>
    <w:p w:rsidR="00BF35D9" w:rsidRDefault="00BF35D9" w:rsidP="00BF35D9">
      <w:pPr>
        <w:pStyle w:val="TableHeading"/>
        <w:keepNext w:val="0"/>
        <w:spacing w:after="0" w:line="260" w:lineRule="exact"/>
        <w:jc w:val="both"/>
      </w:pPr>
      <w:r>
        <w:t xml:space="preserve">Table 3.11: Statement of administered asset movements (Budget year </w:t>
      </w:r>
      <w:r>
        <w:rPr>
          <w:lang w:val="en-AU"/>
        </w:rPr>
        <w:t>2022-23</w:t>
      </w:r>
      <w:r>
        <w:t>)</w:t>
      </w:r>
    </w:p>
    <w:p w:rsidR="00BF35D9" w:rsidRPr="000867C1" w:rsidRDefault="00BF35D9" w:rsidP="000867C1">
      <w:pPr>
        <w:pStyle w:val="TableGraphic"/>
        <w:jc w:val="left"/>
      </w:pPr>
    </w:p>
    <w:p w:rsidR="000867C1" w:rsidRDefault="00BF35D9" w:rsidP="000867C1">
      <w:pPr>
        <w:pStyle w:val="Source"/>
        <w:jc w:val="left"/>
        <w:rPr>
          <w:rFonts w:ascii="Book Antiqua" w:hAnsi="Book Antiqua"/>
          <w:sz w:val="20"/>
        </w:rPr>
        <w:sectPr w:rsidR="000867C1" w:rsidSect="006127BD">
          <w:type w:val="oddPage"/>
          <w:pgSz w:w="11906" w:h="16838" w:code="9"/>
          <w:pgMar w:top="2835" w:right="2098" w:bottom="2466" w:left="2098" w:header="1814" w:footer="1814" w:gutter="0"/>
          <w:cols w:space="708"/>
          <w:titlePg/>
          <w:docGrid w:linePitch="360"/>
        </w:sectPr>
      </w:pPr>
      <w:r w:rsidRPr="000867C1">
        <w:rPr>
          <w:rFonts w:ascii="Book Antiqua" w:hAnsi="Book Antiqua"/>
          <w:sz w:val="20"/>
        </w:rPr>
        <w:t>The AEC has no budgeted non-financial assets administered on behalf of the Government</w:t>
      </w:r>
      <w:bookmarkEnd w:id="61"/>
      <w:r w:rsidRPr="000867C1">
        <w:rPr>
          <w:rFonts w:ascii="Book Antiqua" w:hAnsi="Book Antiqua"/>
          <w:sz w:val="20"/>
        </w:rPr>
        <w:t>.</w:t>
      </w:r>
    </w:p>
    <w:p w:rsidR="00E91117" w:rsidRDefault="00E91117" w:rsidP="00E91117">
      <w:pPr>
        <w:pStyle w:val="PartHeading"/>
      </w:pPr>
      <w:r>
        <w:lastRenderedPageBreak/>
        <w:t>Commonwealth Superannuation Corporation</w:t>
      </w:r>
    </w:p>
    <w:p w:rsidR="00E91117" w:rsidRDefault="00E91117" w:rsidP="00E91117">
      <w:pPr>
        <w:pStyle w:val="PartHeading"/>
      </w:pPr>
    </w:p>
    <w:p w:rsidR="00E91117" w:rsidRDefault="00E91117" w:rsidP="00E91117">
      <w:pPr>
        <w:pStyle w:val="PartHeading-TOC"/>
      </w:pPr>
      <w:bookmarkStart w:id="69" w:name="_Toc97893018"/>
      <w:r>
        <w:t>Entity resources and planned performance</w:t>
      </w:r>
      <w:bookmarkEnd w:id="69"/>
    </w:p>
    <w:p w:rsidR="00B52711" w:rsidRDefault="00B52711" w:rsidP="00E91117">
      <w:pPr>
        <w:pStyle w:val="ContentsHeading"/>
        <w:sectPr w:rsidR="00B52711" w:rsidSect="00AD3119">
          <w:headerReference w:type="first" r:id="rId100"/>
          <w:footerReference w:type="first" r:id="rId101"/>
          <w:pgSz w:w="11906" w:h="16838" w:code="9"/>
          <w:pgMar w:top="2835" w:right="2098" w:bottom="2466" w:left="2098" w:header="1814" w:footer="1814" w:gutter="0"/>
          <w:cols w:space="708"/>
          <w:vAlign w:val="center"/>
          <w:titlePg/>
          <w:docGrid w:linePitch="360"/>
        </w:sectPr>
      </w:pPr>
    </w:p>
    <w:p w:rsidR="00E91117" w:rsidRPr="002A32FD" w:rsidRDefault="00C404BB" w:rsidP="00E91117">
      <w:pPr>
        <w:pStyle w:val="ContentsHeading"/>
      </w:pPr>
      <w:r>
        <w:lastRenderedPageBreak/>
        <w:t>Commonwealth Superannuation Corporation</w:t>
      </w:r>
    </w:p>
    <w:p w:rsidR="008E22C6" w:rsidRDefault="00E91117">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ED61E7">
        <w:instrText xml:space="preserve"> \B CSC</w:instrText>
      </w:r>
      <w:r>
        <w:instrText xml:space="preserve"> </w:instrText>
      </w:r>
      <w:r>
        <w:fldChar w:fldCharType="separate"/>
      </w:r>
      <w:hyperlink w:anchor="_Toc99120440" w:history="1">
        <w:r w:rsidR="008E22C6" w:rsidRPr="006870D9">
          <w:rPr>
            <w:rStyle w:val="Hyperlink"/>
            <w:noProof/>
          </w:rPr>
          <w:t>Section 1: Entity overview and resources</w:t>
        </w:r>
        <w:r w:rsidR="008E22C6">
          <w:rPr>
            <w:noProof/>
            <w:webHidden/>
          </w:rPr>
          <w:tab/>
        </w:r>
        <w:r w:rsidR="008E22C6">
          <w:rPr>
            <w:noProof/>
            <w:webHidden/>
          </w:rPr>
          <w:fldChar w:fldCharType="begin"/>
        </w:r>
        <w:r w:rsidR="008E22C6">
          <w:rPr>
            <w:noProof/>
            <w:webHidden/>
          </w:rPr>
          <w:instrText xml:space="preserve"> PAGEREF _Toc99120440 \h </w:instrText>
        </w:r>
        <w:r w:rsidR="008E22C6">
          <w:rPr>
            <w:noProof/>
            <w:webHidden/>
          </w:rPr>
        </w:r>
        <w:r w:rsidR="008E22C6">
          <w:rPr>
            <w:noProof/>
            <w:webHidden/>
          </w:rPr>
          <w:fldChar w:fldCharType="separate"/>
        </w:r>
        <w:r w:rsidR="003B3D60">
          <w:rPr>
            <w:noProof/>
            <w:webHidden/>
          </w:rPr>
          <w:t>95</w:t>
        </w:r>
        <w:r w:rsidR="008E22C6">
          <w:rPr>
            <w:noProof/>
            <w:webHidden/>
          </w:rPr>
          <w:fldChar w:fldCharType="end"/>
        </w:r>
      </w:hyperlink>
    </w:p>
    <w:p w:rsidR="008E22C6" w:rsidRDefault="00CE4BBC">
      <w:pPr>
        <w:pStyle w:val="TOC2"/>
        <w:tabs>
          <w:tab w:val="left" w:pos="800"/>
        </w:tabs>
        <w:rPr>
          <w:rFonts w:asciiTheme="minorHAnsi" w:eastAsiaTheme="minorEastAsia" w:hAnsiTheme="minorHAnsi" w:cstheme="minorBidi"/>
          <w:noProof/>
          <w:sz w:val="22"/>
          <w:szCs w:val="22"/>
          <w:lang w:eastAsia="zh-CN"/>
        </w:rPr>
      </w:pPr>
      <w:hyperlink w:anchor="_Toc99120441" w:history="1">
        <w:r w:rsidR="008E22C6" w:rsidRPr="006870D9">
          <w:rPr>
            <w:rStyle w:val="Hyperlink"/>
            <w:noProof/>
          </w:rPr>
          <w:t>1.1</w:t>
        </w:r>
        <w:r w:rsidR="008E22C6">
          <w:rPr>
            <w:rFonts w:asciiTheme="minorHAnsi" w:eastAsiaTheme="minorEastAsia" w:hAnsiTheme="minorHAnsi" w:cstheme="minorBidi"/>
            <w:noProof/>
            <w:sz w:val="22"/>
            <w:szCs w:val="22"/>
            <w:lang w:eastAsia="zh-CN"/>
          </w:rPr>
          <w:tab/>
        </w:r>
        <w:r w:rsidR="008E22C6" w:rsidRPr="006870D9">
          <w:rPr>
            <w:rStyle w:val="Hyperlink"/>
            <w:noProof/>
          </w:rPr>
          <w:t>Strategic direction statement</w:t>
        </w:r>
        <w:r w:rsidR="008E22C6">
          <w:rPr>
            <w:noProof/>
            <w:webHidden/>
          </w:rPr>
          <w:tab/>
        </w:r>
        <w:r w:rsidR="008E22C6">
          <w:rPr>
            <w:noProof/>
            <w:webHidden/>
          </w:rPr>
          <w:fldChar w:fldCharType="begin"/>
        </w:r>
        <w:r w:rsidR="008E22C6">
          <w:rPr>
            <w:noProof/>
            <w:webHidden/>
          </w:rPr>
          <w:instrText xml:space="preserve"> PAGEREF _Toc99120441 \h </w:instrText>
        </w:r>
        <w:r w:rsidR="008E22C6">
          <w:rPr>
            <w:noProof/>
            <w:webHidden/>
          </w:rPr>
        </w:r>
        <w:r w:rsidR="008E22C6">
          <w:rPr>
            <w:noProof/>
            <w:webHidden/>
          </w:rPr>
          <w:fldChar w:fldCharType="separate"/>
        </w:r>
        <w:r w:rsidR="003B3D60">
          <w:rPr>
            <w:noProof/>
            <w:webHidden/>
          </w:rPr>
          <w:t>95</w:t>
        </w:r>
        <w:r w:rsidR="008E22C6">
          <w:rPr>
            <w:noProof/>
            <w:webHidden/>
          </w:rPr>
          <w:fldChar w:fldCharType="end"/>
        </w:r>
      </w:hyperlink>
    </w:p>
    <w:p w:rsidR="008E22C6" w:rsidRDefault="00CE4BBC">
      <w:pPr>
        <w:pStyle w:val="TOC2"/>
        <w:tabs>
          <w:tab w:val="left" w:pos="800"/>
        </w:tabs>
        <w:rPr>
          <w:rFonts w:asciiTheme="minorHAnsi" w:eastAsiaTheme="minorEastAsia" w:hAnsiTheme="minorHAnsi" w:cstheme="minorBidi"/>
          <w:noProof/>
          <w:sz w:val="22"/>
          <w:szCs w:val="22"/>
          <w:lang w:eastAsia="zh-CN"/>
        </w:rPr>
      </w:pPr>
      <w:hyperlink w:anchor="_Toc99120442" w:history="1">
        <w:r w:rsidR="008E22C6" w:rsidRPr="006870D9">
          <w:rPr>
            <w:rStyle w:val="Hyperlink"/>
            <w:noProof/>
          </w:rPr>
          <w:t>1.2</w:t>
        </w:r>
        <w:r w:rsidR="008E22C6">
          <w:rPr>
            <w:rFonts w:asciiTheme="minorHAnsi" w:eastAsiaTheme="minorEastAsia" w:hAnsiTheme="minorHAnsi" w:cstheme="minorBidi"/>
            <w:noProof/>
            <w:sz w:val="22"/>
            <w:szCs w:val="22"/>
            <w:lang w:eastAsia="zh-CN"/>
          </w:rPr>
          <w:tab/>
        </w:r>
        <w:r w:rsidR="008E22C6" w:rsidRPr="006870D9">
          <w:rPr>
            <w:rStyle w:val="Hyperlink"/>
            <w:noProof/>
          </w:rPr>
          <w:t>Entity resource statement</w:t>
        </w:r>
        <w:r w:rsidR="008E22C6">
          <w:rPr>
            <w:noProof/>
            <w:webHidden/>
          </w:rPr>
          <w:tab/>
        </w:r>
        <w:r w:rsidR="008E22C6">
          <w:rPr>
            <w:noProof/>
            <w:webHidden/>
          </w:rPr>
          <w:fldChar w:fldCharType="begin"/>
        </w:r>
        <w:r w:rsidR="008E22C6">
          <w:rPr>
            <w:noProof/>
            <w:webHidden/>
          </w:rPr>
          <w:instrText xml:space="preserve"> PAGEREF _Toc99120442 \h </w:instrText>
        </w:r>
        <w:r w:rsidR="008E22C6">
          <w:rPr>
            <w:noProof/>
            <w:webHidden/>
          </w:rPr>
        </w:r>
        <w:r w:rsidR="008E22C6">
          <w:rPr>
            <w:noProof/>
            <w:webHidden/>
          </w:rPr>
          <w:fldChar w:fldCharType="separate"/>
        </w:r>
        <w:r w:rsidR="003B3D60">
          <w:rPr>
            <w:noProof/>
            <w:webHidden/>
          </w:rPr>
          <w:t>96</w:t>
        </w:r>
        <w:r w:rsidR="008E22C6">
          <w:rPr>
            <w:noProof/>
            <w:webHidden/>
          </w:rPr>
          <w:fldChar w:fldCharType="end"/>
        </w:r>
      </w:hyperlink>
    </w:p>
    <w:p w:rsidR="008E22C6" w:rsidRDefault="00CE4BBC">
      <w:pPr>
        <w:pStyle w:val="TOC2"/>
        <w:tabs>
          <w:tab w:val="left" w:pos="800"/>
        </w:tabs>
        <w:rPr>
          <w:rFonts w:asciiTheme="minorHAnsi" w:eastAsiaTheme="minorEastAsia" w:hAnsiTheme="minorHAnsi" w:cstheme="minorBidi"/>
          <w:noProof/>
          <w:sz w:val="22"/>
          <w:szCs w:val="22"/>
          <w:lang w:eastAsia="zh-CN"/>
        </w:rPr>
      </w:pPr>
      <w:hyperlink w:anchor="_Toc99120443" w:history="1">
        <w:r w:rsidR="008E22C6" w:rsidRPr="006870D9">
          <w:rPr>
            <w:rStyle w:val="Hyperlink"/>
            <w:noProof/>
          </w:rPr>
          <w:t>1.3</w:t>
        </w:r>
        <w:r w:rsidR="008E22C6">
          <w:rPr>
            <w:rFonts w:asciiTheme="minorHAnsi" w:eastAsiaTheme="minorEastAsia" w:hAnsiTheme="minorHAnsi" w:cstheme="minorBidi"/>
            <w:noProof/>
            <w:sz w:val="22"/>
            <w:szCs w:val="22"/>
            <w:lang w:eastAsia="zh-CN"/>
          </w:rPr>
          <w:tab/>
        </w:r>
        <w:r w:rsidR="008E22C6" w:rsidRPr="006870D9">
          <w:rPr>
            <w:rStyle w:val="Hyperlink"/>
            <w:noProof/>
          </w:rPr>
          <w:t>Budget measures</w:t>
        </w:r>
        <w:r w:rsidR="008E22C6">
          <w:rPr>
            <w:noProof/>
            <w:webHidden/>
          </w:rPr>
          <w:tab/>
        </w:r>
        <w:r w:rsidR="008E22C6">
          <w:rPr>
            <w:noProof/>
            <w:webHidden/>
          </w:rPr>
          <w:fldChar w:fldCharType="begin"/>
        </w:r>
        <w:r w:rsidR="008E22C6">
          <w:rPr>
            <w:noProof/>
            <w:webHidden/>
          </w:rPr>
          <w:instrText xml:space="preserve"> PAGEREF _Toc99120443 \h </w:instrText>
        </w:r>
        <w:r w:rsidR="008E22C6">
          <w:rPr>
            <w:noProof/>
            <w:webHidden/>
          </w:rPr>
        </w:r>
        <w:r w:rsidR="008E22C6">
          <w:rPr>
            <w:noProof/>
            <w:webHidden/>
          </w:rPr>
          <w:fldChar w:fldCharType="separate"/>
        </w:r>
        <w:r w:rsidR="003B3D60">
          <w:rPr>
            <w:noProof/>
            <w:webHidden/>
          </w:rPr>
          <w:t>98</w:t>
        </w:r>
        <w:r w:rsidR="008E22C6">
          <w:rPr>
            <w:noProof/>
            <w:webHidden/>
          </w:rPr>
          <w:fldChar w:fldCharType="end"/>
        </w:r>
      </w:hyperlink>
    </w:p>
    <w:p w:rsidR="008E22C6" w:rsidRDefault="00CE4BBC">
      <w:pPr>
        <w:pStyle w:val="TOC1"/>
        <w:rPr>
          <w:rFonts w:asciiTheme="minorHAnsi" w:eastAsiaTheme="minorEastAsia" w:hAnsiTheme="minorHAnsi" w:cstheme="minorBidi"/>
          <w:b w:val="0"/>
          <w:caps w:val="0"/>
          <w:noProof/>
          <w:sz w:val="22"/>
          <w:szCs w:val="22"/>
          <w:lang w:eastAsia="zh-CN"/>
        </w:rPr>
      </w:pPr>
      <w:hyperlink w:anchor="_Toc99120444" w:history="1">
        <w:r w:rsidR="008E22C6" w:rsidRPr="006870D9">
          <w:rPr>
            <w:rStyle w:val="Hyperlink"/>
            <w:noProof/>
          </w:rPr>
          <w:t>Section 2: Outcomes and planned performance</w:t>
        </w:r>
        <w:r w:rsidR="008E22C6">
          <w:rPr>
            <w:noProof/>
            <w:webHidden/>
          </w:rPr>
          <w:tab/>
        </w:r>
        <w:r w:rsidR="008E22C6">
          <w:rPr>
            <w:noProof/>
            <w:webHidden/>
          </w:rPr>
          <w:fldChar w:fldCharType="begin"/>
        </w:r>
        <w:r w:rsidR="008E22C6">
          <w:rPr>
            <w:noProof/>
            <w:webHidden/>
          </w:rPr>
          <w:instrText xml:space="preserve"> PAGEREF _Toc99120444 \h </w:instrText>
        </w:r>
        <w:r w:rsidR="008E22C6">
          <w:rPr>
            <w:noProof/>
            <w:webHidden/>
          </w:rPr>
        </w:r>
        <w:r w:rsidR="008E22C6">
          <w:rPr>
            <w:noProof/>
            <w:webHidden/>
          </w:rPr>
          <w:fldChar w:fldCharType="separate"/>
        </w:r>
        <w:r w:rsidR="003B3D60">
          <w:rPr>
            <w:noProof/>
            <w:webHidden/>
          </w:rPr>
          <w:t>99</w:t>
        </w:r>
        <w:r w:rsidR="008E22C6">
          <w:rPr>
            <w:noProof/>
            <w:webHidden/>
          </w:rPr>
          <w:fldChar w:fldCharType="end"/>
        </w:r>
      </w:hyperlink>
    </w:p>
    <w:p w:rsidR="008E22C6" w:rsidRDefault="00CE4BBC">
      <w:pPr>
        <w:pStyle w:val="TOC2"/>
        <w:tabs>
          <w:tab w:val="left" w:pos="800"/>
        </w:tabs>
        <w:rPr>
          <w:rFonts w:asciiTheme="minorHAnsi" w:eastAsiaTheme="minorEastAsia" w:hAnsiTheme="minorHAnsi" w:cstheme="minorBidi"/>
          <w:noProof/>
          <w:sz w:val="22"/>
          <w:szCs w:val="22"/>
          <w:lang w:eastAsia="zh-CN"/>
        </w:rPr>
      </w:pPr>
      <w:hyperlink w:anchor="_Toc99120445" w:history="1">
        <w:r w:rsidR="008E22C6" w:rsidRPr="006870D9">
          <w:rPr>
            <w:rStyle w:val="Hyperlink"/>
            <w:noProof/>
          </w:rPr>
          <w:t xml:space="preserve">2.1 </w:t>
        </w:r>
        <w:r w:rsidR="008E22C6">
          <w:rPr>
            <w:rFonts w:asciiTheme="minorHAnsi" w:eastAsiaTheme="minorEastAsia" w:hAnsiTheme="minorHAnsi" w:cstheme="minorBidi"/>
            <w:noProof/>
            <w:sz w:val="22"/>
            <w:szCs w:val="22"/>
            <w:lang w:eastAsia="zh-CN"/>
          </w:rPr>
          <w:tab/>
        </w:r>
        <w:r w:rsidR="008E22C6" w:rsidRPr="006870D9">
          <w:rPr>
            <w:rStyle w:val="Hyperlink"/>
            <w:noProof/>
          </w:rPr>
          <w:t>Budgeted expenses and performance for Outcome 1</w:t>
        </w:r>
        <w:r w:rsidR="008E22C6">
          <w:rPr>
            <w:noProof/>
            <w:webHidden/>
          </w:rPr>
          <w:tab/>
        </w:r>
        <w:r w:rsidR="008E22C6">
          <w:rPr>
            <w:noProof/>
            <w:webHidden/>
          </w:rPr>
          <w:fldChar w:fldCharType="begin"/>
        </w:r>
        <w:r w:rsidR="008E22C6">
          <w:rPr>
            <w:noProof/>
            <w:webHidden/>
          </w:rPr>
          <w:instrText xml:space="preserve"> PAGEREF _Toc99120445 \h </w:instrText>
        </w:r>
        <w:r w:rsidR="008E22C6">
          <w:rPr>
            <w:noProof/>
            <w:webHidden/>
          </w:rPr>
        </w:r>
        <w:r w:rsidR="008E22C6">
          <w:rPr>
            <w:noProof/>
            <w:webHidden/>
          </w:rPr>
          <w:fldChar w:fldCharType="separate"/>
        </w:r>
        <w:r w:rsidR="003B3D60">
          <w:rPr>
            <w:noProof/>
            <w:webHidden/>
          </w:rPr>
          <w:t>100</w:t>
        </w:r>
        <w:r w:rsidR="008E22C6">
          <w:rPr>
            <w:noProof/>
            <w:webHidden/>
          </w:rPr>
          <w:fldChar w:fldCharType="end"/>
        </w:r>
      </w:hyperlink>
    </w:p>
    <w:p w:rsidR="008E22C6" w:rsidRDefault="00CE4BBC">
      <w:pPr>
        <w:pStyle w:val="TOC1"/>
        <w:rPr>
          <w:rFonts w:asciiTheme="minorHAnsi" w:eastAsiaTheme="minorEastAsia" w:hAnsiTheme="minorHAnsi" w:cstheme="minorBidi"/>
          <w:b w:val="0"/>
          <w:caps w:val="0"/>
          <w:noProof/>
          <w:sz w:val="22"/>
          <w:szCs w:val="22"/>
          <w:lang w:eastAsia="zh-CN"/>
        </w:rPr>
      </w:pPr>
      <w:hyperlink w:anchor="_Toc99120446" w:history="1">
        <w:r w:rsidR="008E22C6" w:rsidRPr="006870D9">
          <w:rPr>
            <w:rStyle w:val="Hyperlink"/>
            <w:noProof/>
          </w:rPr>
          <w:t>Section 3: Budgeted financial statements</w:t>
        </w:r>
        <w:r w:rsidR="008E22C6">
          <w:rPr>
            <w:noProof/>
            <w:webHidden/>
          </w:rPr>
          <w:tab/>
        </w:r>
        <w:r w:rsidR="008E22C6">
          <w:rPr>
            <w:noProof/>
            <w:webHidden/>
          </w:rPr>
          <w:fldChar w:fldCharType="begin"/>
        </w:r>
        <w:r w:rsidR="008E22C6">
          <w:rPr>
            <w:noProof/>
            <w:webHidden/>
          </w:rPr>
          <w:instrText xml:space="preserve"> PAGEREF _Toc99120446 \h </w:instrText>
        </w:r>
        <w:r w:rsidR="008E22C6">
          <w:rPr>
            <w:noProof/>
            <w:webHidden/>
          </w:rPr>
        </w:r>
        <w:r w:rsidR="008E22C6">
          <w:rPr>
            <w:noProof/>
            <w:webHidden/>
          </w:rPr>
          <w:fldChar w:fldCharType="separate"/>
        </w:r>
        <w:r w:rsidR="003B3D60">
          <w:rPr>
            <w:noProof/>
            <w:webHidden/>
          </w:rPr>
          <w:t>103</w:t>
        </w:r>
        <w:r w:rsidR="008E22C6">
          <w:rPr>
            <w:noProof/>
            <w:webHidden/>
          </w:rPr>
          <w:fldChar w:fldCharType="end"/>
        </w:r>
      </w:hyperlink>
    </w:p>
    <w:p w:rsidR="008E22C6" w:rsidRDefault="00CE4BBC">
      <w:pPr>
        <w:pStyle w:val="TOC2"/>
        <w:tabs>
          <w:tab w:val="left" w:pos="800"/>
        </w:tabs>
        <w:rPr>
          <w:rFonts w:asciiTheme="minorHAnsi" w:eastAsiaTheme="minorEastAsia" w:hAnsiTheme="minorHAnsi" w:cstheme="minorBidi"/>
          <w:noProof/>
          <w:sz w:val="22"/>
          <w:szCs w:val="22"/>
          <w:lang w:eastAsia="zh-CN"/>
        </w:rPr>
      </w:pPr>
      <w:hyperlink w:anchor="_Toc99120447" w:history="1">
        <w:r w:rsidR="008E22C6" w:rsidRPr="006870D9">
          <w:rPr>
            <w:rStyle w:val="Hyperlink"/>
            <w:noProof/>
          </w:rPr>
          <w:t>3.1</w:t>
        </w:r>
        <w:r w:rsidR="008E22C6">
          <w:rPr>
            <w:rFonts w:asciiTheme="minorHAnsi" w:eastAsiaTheme="minorEastAsia" w:hAnsiTheme="minorHAnsi" w:cstheme="minorBidi"/>
            <w:noProof/>
            <w:sz w:val="22"/>
            <w:szCs w:val="22"/>
            <w:lang w:eastAsia="zh-CN"/>
          </w:rPr>
          <w:tab/>
        </w:r>
        <w:r w:rsidR="008E22C6" w:rsidRPr="006870D9">
          <w:rPr>
            <w:rStyle w:val="Hyperlink"/>
            <w:noProof/>
          </w:rPr>
          <w:t>Budgeted financial statements</w:t>
        </w:r>
        <w:r w:rsidR="008E22C6">
          <w:rPr>
            <w:noProof/>
            <w:webHidden/>
          </w:rPr>
          <w:tab/>
        </w:r>
        <w:r w:rsidR="008E22C6">
          <w:rPr>
            <w:noProof/>
            <w:webHidden/>
          </w:rPr>
          <w:fldChar w:fldCharType="begin"/>
        </w:r>
        <w:r w:rsidR="008E22C6">
          <w:rPr>
            <w:noProof/>
            <w:webHidden/>
          </w:rPr>
          <w:instrText xml:space="preserve"> PAGEREF _Toc99120447 \h </w:instrText>
        </w:r>
        <w:r w:rsidR="008E22C6">
          <w:rPr>
            <w:noProof/>
            <w:webHidden/>
          </w:rPr>
        </w:r>
        <w:r w:rsidR="008E22C6">
          <w:rPr>
            <w:noProof/>
            <w:webHidden/>
          </w:rPr>
          <w:fldChar w:fldCharType="separate"/>
        </w:r>
        <w:r w:rsidR="003B3D60">
          <w:rPr>
            <w:noProof/>
            <w:webHidden/>
          </w:rPr>
          <w:t>103</w:t>
        </w:r>
        <w:r w:rsidR="008E22C6">
          <w:rPr>
            <w:noProof/>
            <w:webHidden/>
          </w:rPr>
          <w:fldChar w:fldCharType="end"/>
        </w:r>
      </w:hyperlink>
    </w:p>
    <w:p w:rsidR="00E91117" w:rsidRDefault="00E91117" w:rsidP="00E91117">
      <w:pPr>
        <w:pStyle w:val="TOC1"/>
      </w:pPr>
      <w:r>
        <w:fldChar w:fldCharType="end"/>
      </w:r>
    </w:p>
    <w:p w:rsidR="00E91117" w:rsidRPr="008B5AFD" w:rsidRDefault="00E91117" w:rsidP="00E91117"/>
    <w:p w:rsidR="005D2B5B" w:rsidRDefault="005D2B5B" w:rsidP="00E91117">
      <w:pPr>
        <w:pStyle w:val="Heading1"/>
        <w:sectPr w:rsidR="005D2B5B" w:rsidSect="00B52711">
          <w:type w:val="oddPage"/>
          <w:pgSz w:w="11906" w:h="16838" w:code="9"/>
          <w:pgMar w:top="2835" w:right="2098" w:bottom="2466" w:left="2098" w:header="1814" w:footer="1814" w:gutter="0"/>
          <w:cols w:space="708"/>
          <w:titlePg/>
          <w:docGrid w:linePitch="360"/>
        </w:sectPr>
      </w:pPr>
    </w:p>
    <w:p w:rsidR="00E91117" w:rsidRDefault="00C404BB" w:rsidP="00E91117">
      <w:pPr>
        <w:pStyle w:val="Heading1"/>
      </w:pPr>
      <w:bookmarkStart w:id="70" w:name="_Toc97893019"/>
      <w:r>
        <w:lastRenderedPageBreak/>
        <w:t>Commonwealth Superannuation Corporation</w:t>
      </w:r>
      <w:bookmarkEnd w:id="70"/>
    </w:p>
    <w:p w:rsidR="00E91117" w:rsidRPr="002C4D41" w:rsidRDefault="00E91117" w:rsidP="00E91117">
      <w:pPr>
        <w:pStyle w:val="Heading2"/>
      </w:pPr>
      <w:bookmarkStart w:id="71" w:name="_Toc99120440"/>
      <w:bookmarkStart w:id="72" w:name="CSC"/>
      <w:r w:rsidRPr="002C4D41">
        <w:t xml:space="preserve">Section 1: Entity overview and </w:t>
      </w:r>
      <w:r>
        <w:t>reso</w:t>
      </w:r>
      <w:r w:rsidRPr="002C4D41">
        <w:t>urces</w:t>
      </w:r>
      <w:bookmarkEnd w:id="71"/>
    </w:p>
    <w:p w:rsidR="00E91117" w:rsidRDefault="00E91117" w:rsidP="00E91117">
      <w:pPr>
        <w:pStyle w:val="Heading3"/>
      </w:pPr>
      <w:bookmarkStart w:id="73" w:name="_Toc99120441"/>
      <w:r>
        <w:t>1.1</w:t>
      </w:r>
      <w:r>
        <w:tab/>
        <w:t>Strategic direction statement</w:t>
      </w:r>
      <w:bookmarkEnd w:id="73"/>
    </w:p>
    <w:p w:rsidR="00E91117" w:rsidRPr="00926AAA" w:rsidRDefault="00E91117" w:rsidP="00E91117">
      <w:r w:rsidRPr="00926AAA">
        <w:t>Commonwealth Superannuation Corporation (CSC) is responsible for the investment of funds and administration of the Public Superannuation Scheme Accumulation Plan (</w:t>
      </w:r>
      <w:proofErr w:type="spellStart"/>
      <w:r w:rsidRPr="00926AAA">
        <w:t>PSSap</w:t>
      </w:r>
      <w:proofErr w:type="spellEnd"/>
      <w:r w:rsidRPr="00926AAA">
        <w:t>); the Public Sector Superannuation Scheme (PSS); the Commonwealth Superannuation Scheme (CSS); the Military Supe</w:t>
      </w:r>
      <w:r>
        <w:t xml:space="preserve">rannuation and Benefits Scheme </w:t>
      </w:r>
      <w:r w:rsidRPr="00926AAA">
        <w:t xml:space="preserve">(MSBS); and the Australian Defence Force Superannuation Scheme (ADF Super). In addition, CSC administers six ‘unfunded’ superannuation schemes: the Defence Forces Retirement Benefits Scheme (DFRB), the Defence Force Retirement and Death Benefits Scheme (DFRDB), the Defence Force (Superannuation) (Productivity Benefit) Scheme (DFSPB), the 1922 Scheme, the Papua New Guinea Scheme (PNG), and the Australian Defence Force Cover Scheme (ADF Cover). </w:t>
      </w:r>
    </w:p>
    <w:p w:rsidR="00E91117" w:rsidRPr="00926AAA" w:rsidRDefault="00E91117" w:rsidP="00E91117">
      <w:r w:rsidRPr="00926AAA">
        <w:t xml:space="preserve">CSC seeks to achieve its outcome agreed with the government by delivering consistently competitive and risk-managed investment performance, efficient scheme administration for contributors and beneficiaries, and effective interaction with its other stakeholders. </w:t>
      </w:r>
    </w:p>
    <w:p w:rsidR="00E91117" w:rsidRDefault="00E91117" w:rsidP="00E91117">
      <w:r w:rsidRPr="00926AAA">
        <w:t xml:space="preserve">CSC aspires to maintain its leadership position as a superannuation provider of choice in the Commonwealth sector. CSC will work with the government to improve or modernise scheme design and will work to improve service to members.  </w:t>
      </w:r>
    </w:p>
    <w:p w:rsidR="00E91117" w:rsidRPr="00926AAA" w:rsidRDefault="00E91117" w:rsidP="00E91117">
      <w:r w:rsidRPr="00926AAA">
        <w:t>As a holder of licences from both Australian Prudential Regulation Authority (APRA) and Australian Securities and Investments Commission (ASIC), CSC will continue to ensure the highest standards are maintained and will seek to meet all compliance obligations.</w:t>
      </w:r>
      <w:r>
        <w:rPr>
          <w:i/>
          <w:color w:val="FF0000"/>
          <w:lang w:val="x-none" w:eastAsia="x-none"/>
        </w:rPr>
        <w:t xml:space="preserve"> </w:t>
      </w:r>
    </w:p>
    <w:p w:rsidR="00E91117" w:rsidRDefault="00E91117" w:rsidP="00E91117">
      <w:pPr>
        <w:pStyle w:val="Heading3"/>
      </w:pPr>
      <w:r w:rsidRPr="0079797F">
        <w:br w:type="page"/>
      </w:r>
      <w:bookmarkStart w:id="74" w:name="_Toc99120442"/>
      <w:r>
        <w:lastRenderedPageBreak/>
        <w:t>1.2</w:t>
      </w:r>
      <w:r>
        <w:tab/>
        <w:t>Entity resource statement</w:t>
      </w:r>
      <w:bookmarkEnd w:id="74"/>
    </w:p>
    <w:p w:rsidR="00E91117" w:rsidRDefault="00E91117" w:rsidP="00E91117">
      <w:r>
        <w:t>Table 1.1 shows the total funding from all sources available to CSC for its operations and to deliver programs and services on behalf of the Government.</w:t>
      </w:r>
    </w:p>
    <w:p w:rsidR="00E91117" w:rsidRDefault="00E91117" w:rsidP="00E91117">
      <w:r>
        <w:t>The table summarises how resources will be applied by outcome (government strategic policy objectives) and by administered (on behalf of the Government or the public) and departmental (for the entity’s operations) classification.</w:t>
      </w:r>
    </w:p>
    <w:p w:rsidR="00E91117" w:rsidRDefault="00E91117" w:rsidP="00E91117">
      <w:r>
        <w:t xml:space="preserve">For more detailed information on special accounts and special appropriations, please refer to </w:t>
      </w:r>
      <w:r w:rsidRPr="00412C0B">
        <w:rPr>
          <w:i/>
        </w:rPr>
        <w:t>Budget Paper No. 4 – Agency Resourcing</w:t>
      </w:r>
      <w:r>
        <w:t>.</w:t>
      </w:r>
    </w:p>
    <w:p w:rsidR="00E91117" w:rsidRDefault="00E91117" w:rsidP="00E91117">
      <w:r>
        <w:t>Information in this table is presented on a resourcing (that is, appropriations/cash available) basis, whilst the ‘Budgeted expenses by Outcome 1’ tables in Section 2 and the financial statements in Section 3 are presented on an accrual basis.</w:t>
      </w:r>
    </w:p>
    <w:p w:rsidR="00E91117" w:rsidRDefault="00E91117" w:rsidP="00E91117">
      <w:pPr>
        <w:keepNext/>
        <w:spacing w:after="20" w:line="240" w:lineRule="auto"/>
        <w:jc w:val="left"/>
        <w:rPr>
          <w:rFonts w:ascii="Arial" w:hAnsi="Arial"/>
          <w:b/>
          <w:color w:val="000000"/>
          <w:lang w:eastAsia="x-none"/>
        </w:rPr>
      </w:pPr>
      <w:r w:rsidRPr="00DF6101">
        <w:rPr>
          <w:rFonts w:ascii="Arial" w:hAnsi="Arial"/>
          <w:b/>
          <w:color w:val="000000"/>
          <w:lang w:val="x-none" w:eastAsia="x-none"/>
        </w:rPr>
        <w:t>Table 1.1: Commonwealth Superannuation Corporation resource state</w:t>
      </w:r>
      <w:r>
        <w:rPr>
          <w:rFonts w:ascii="Arial" w:hAnsi="Arial"/>
          <w:b/>
          <w:color w:val="000000"/>
          <w:lang w:val="x-none" w:eastAsia="x-none"/>
        </w:rPr>
        <w:t>ment - Budget estimates for 2022</w:t>
      </w:r>
      <w:r w:rsidRPr="00DF6101">
        <w:rPr>
          <w:rFonts w:ascii="Arial" w:hAnsi="Arial"/>
          <w:b/>
          <w:color w:val="000000"/>
          <w:lang w:val="x-none" w:eastAsia="x-none"/>
        </w:rPr>
        <w:t>-2</w:t>
      </w:r>
      <w:r>
        <w:rPr>
          <w:rFonts w:ascii="Arial" w:hAnsi="Arial"/>
          <w:b/>
          <w:color w:val="000000"/>
          <w:lang w:eastAsia="x-none"/>
        </w:rPr>
        <w:t>3</w:t>
      </w:r>
      <w:r w:rsidRPr="00DF6101">
        <w:rPr>
          <w:rFonts w:ascii="Arial" w:hAnsi="Arial"/>
          <w:b/>
          <w:color w:val="000000"/>
          <w:lang w:val="x-none" w:eastAsia="x-none"/>
        </w:rPr>
        <w:t xml:space="preserve"> as at Budget </w:t>
      </w:r>
      <w:r>
        <w:rPr>
          <w:rFonts w:ascii="Arial" w:hAnsi="Arial"/>
          <w:b/>
          <w:color w:val="000000"/>
          <w:lang w:eastAsia="x-none"/>
        </w:rPr>
        <w:t>March 2022</w:t>
      </w:r>
    </w:p>
    <w:p w:rsidR="00D402E1" w:rsidRDefault="00D402E1" w:rsidP="00E91117">
      <w:pPr>
        <w:keepNext/>
        <w:spacing w:after="20" w:line="240" w:lineRule="auto"/>
        <w:jc w:val="left"/>
        <w:rPr>
          <w:rFonts w:ascii="Arial" w:hAnsi="Arial"/>
          <w:b/>
          <w:color w:val="000000"/>
          <w:lang w:val="x-none" w:eastAsia="x-none"/>
        </w:rPr>
      </w:pPr>
      <w:r w:rsidRPr="00D402E1">
        <w:rPr>
          <w:noProof/>
        </w:rPr>
        <w:drawing>
          <wp:inline distT="0" distB="0" distL="0" distR="0">
            <wp:extent cx="4895850" cy="1611538"/>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95850" cy="1611538"/>
                    </a:xfrm>
                    <a:prstGeom prst="rect">
                      <a:avLst/>
                    </a:prstGeom>
                    <a:noFill/>
                    <a:ln>
                      <a:noFill/>
                    </a:ln>
                  </pic:spPr>
                </pic:pic>
              </a:graphicData>
            </a:graphic>
          </wp:inline>
        </w:drawing>
      </w:r>
    </w:p>
    <w:p w:rsidR="00D402E1" w:rsidRPr="004C1F8D" w:rsidRDefault="00D402E1" w:rsidP="00DA1F4B">
      <w:pPr>
        <w:pStyle w:val="ChartandTableFootnoteAlpha"/>
        <w:numPr>
          <w:ilvl w:val="0"/>
          <w:numId w:val="57"/>
        </w:numPr>
      </w:pPr>
      <w:r w:rsidRPr="004C1F8D">
        <w:t>Average staffing levels reflect all staff involved in the investment and administration of the schemes.</w:t>
      </w:r>
    </w:p>
    <w:p w:rsidR="00D402E1" w:rsidRPr="004C1F8D" w:rsidRDefault="00D402E1" w:rsidP="004C1F8D">
      <w:pPr>
        <w:pStyle w:val="ChartandTableFootnoteAlpha"/>
        <w:ind w:left="360"/>
      </w:pPr>
      <w:r w:rsidRPr="004C1F8D">
        <w:t>All employee expenses are paid by CSC and CSC on-charges the scheme for the portion of expenses</w:t>
      </w:r>
      <w:r w:rsidR="004C1F8D">
        <w:t xml:space="preserve"> </w:t>
      </w:r>
      <w:r w:rsidRPr="004C1F8D">
        <w:t xml:space="preserve">that are </w:t>
      </w:r>
      <w:proofErr w:type="spellStart"/>
      <w:r w:rsidRPr="004C1F8D">
        <w:t>referable</w:t>
      </w:r>
      <w:proofErr w:type="spellEnd"/>
      <w:r w:rsidRPr="004C1F8D">
        <w:t xml:space="preserve"> to the investment of the scheme funds.</w:t>
      </w:r>
    </w:p>
    <w:p w:rsidR="00E91117" w:rsidRDefault="00E91117" w:rsidP="00E91117">
      <w:pPr>
        <w:pStyle w:val="TableHeading"/>
        <w:rPr>
          <w:lang w:val="en-AU"/>
        </w:rPr>
      </w:pPr>
      <w:r>
        <w:br w:type="page"/>
      </w:r>
      <w:r w:rsidRPr="00D44150">
        <w:lastRenderedPageBreak/>
        <w:t xml:space="preserve">Table 1.1: </w:t>
      </w:r>
      <w:r>
        <w:rPr>
          <w:lang w:val="en-AU"/>
        </w:rPr>
        <w:t>Commonwealth Superannuation Corporation</w:t>
      </w:r>
      <w:r w:rsidRPr="00D44150">
        <w:t xml:space="preserve"> 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 (continued)</w:t>
      </w:r>
    </w:p>
    <w:p w:rsidR="00E91117" w:rsidRPr="004B277E" w:rsidRDefault="00E91117" w:rsidP="00E91117">
      <w:pPr>
        <w:pStyle w:val="TableGraphic"/>
        <w:rPr>
          <w:rFonts w:cs="Arial"/>
        </w:rPr>
      </w:pPr>
      <w:r w:rsidRPr="00A72E6A">
        <w:rPr>
          <w:rFonts w:ascii="Arial" w:hAnsi="Arial" w:cs="Arial"/>
          <w:b/>
          <w:lang w:eastAsia="x-none"/>
        </w:rPr>
        <w:t>Third party payments from and on behalf of other entities</w:t>
      </w:r>
    </w:p>
    <w:p w:rsidR="00E91117" w:rsidRDefault="00DA485F" w:rsidP="00E91117">
      <w:pPr>
        <w:pStyle w:val="TableGraphic"/>
        <w:rPr>
          <w:rFonts w:ascii="Arial" w:hAnsi="Arial"/>
          <w:color w:val="000000"/>
          <w:lang w:val="x-none" w:eastAsia="x-none"/>
        </w:rPr>
      </w:pPr>
      <w:r w:rsidRPr="00DA485F">
        <w:rPr>
          <w:noProof/>
        </w:rPr>
        <w:drawing>
          <wp:inline distT="0" distB="0" distL="0" distR="0">
            <wp:extent cx="4895850" cy="388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95850" cy="3886200"/>
                    </a:xfrm>
                    <a:prstGeom prst="rect">
                      <a:avLst/>
                    </a:prstGeom>
                    <a:noFill/>
                    <a:ln>
                      <a:noFill/>
                    </a:ln>
                  </pic:spPr>
                </pic:pic>
              </a:graphicData>
            </a:graphic>
          </wp:inline>
        </w:drawing>
      </w:r>
    </w:p>
    <w:p w:rsidR="00E91117" w:rsidRPr="002805C6" w:rsidRDefault="00E91117" w:rsidP="00A84B76">
      <w:pPr>
        <w:pStyle w:val="ChartandTableFootnoteAlpha"/>
      </w:pPr>
      <w:r w:rsidRPr="002805C6">
        <w:t>Prepared on a resourcing (that is, appropriations available) basis.</w:t>
      </w:r>
    </w:p>
    <w:p w:rsidR="00E91117" w:rsidRPr="005E3208" w:rsidRDefault="00E91117" w:rsidP="00DA485F">
      <w:pPr>
        <w:pStyle w:val="ChartandTableFootnoteAlpha"/>
        <w:numPr>
          <w:ilvl w:val="0"/>
          <w:numId w:val="63"/>
        </w:numPr>
      </w:pPr>
      <w:r w:rsidRPr="005E3208">
        <w:t>Compensation and Legal Payments</w:t>
      </w:r>
    </w:p>
    <w:p w:rsidR="00A84B76" w:rsidRDefault="00E91117" w:rsidP="00DA485F">
      <w:pPr>
        <w:pStyle w:val="ChartandTableFootnoteAlpha"/>
        <w:numPr>
          <w:ilvl w:val="0"/>
          <w:numId w:val="63"/>
        </w:numPr>
      </w:pPr>
      <w:r w:rsidRPr="005E3208">
        <w:t>Act of Grace Payments</w:t>
      </w:r>
    </w:p>
    <w:p w:rsidR="00A84B76" w:rsidRPr="00A84B76" w:rsidRDefault="00A84B76" w:rsidP="00A84B76">
      <w:pPr>
        <w:spacing w:after="0" w:line="240" w:lineRule="auto"/>
      </w:pPr>
    </w:p>
    <w:p w:rsidR="00E91117" w:rsidRDefault="00E91117" w:rsidP="00A84B76">
      <w:pPr>
        <w:pStyle w:val="ChartandTableFootnoteAlpha"/>
      </w:pPr>
      <w:r w:rsidRPr="002805C6">
        <w:t>Note: All figures shown above are GST exclusive – these may not match figures in the cash flow statement.</w:t>
      </w:r>
    </w:p>
    <w:p w:rsidR="00E91117" w:rsidRPr="005A7C0B" w:rsidRDefault="00E91117" w:rsidP="00E91117">
      <w:pPr>
        <w:pStyle w:val="Heading3"/>
        <w:spacing w:before="0"/>
      </w:pPr>
      <w:r>
        <w:br w:type="page"/>
      </w:r>
      <w:bookmarkStart w:id="75" w:name="_Toc99120443"/>
      <w:r w:rsidRPr="005A7C0B">
        <w:lastRenderedPageBreak/>
        <w:t>1.3</w:t>
      </w:r>
      <w:r w:rsidRPr="005A7C0B">
        <w:tab/>
        <w:t>Budget measures</w:t>
      </w:r>
      <w:bookmarkEnd w:id="75"/>
    </w:p>
    <w:p w:rsidR="00D51CAC" w:rsidRDefault="00E91117" w:rsidP="00E91117">
      <w:pPr>
        <w:pStyle w:val="TableHeading"/>
        <w:rPr>
          <w:rFonts w:ascii="Book Antiqua" w:hAnsi="Book Antiqua"/>
          <w:b w:val="0"/>
          <w:color w:val="auto"/>
          <w:lang w:val="en-AU" w:eastAsia="en-AU"/>
        </w:rPr>
      </w:pPr>
      <w:r w:rsidRPr="00DF6101">
        <w:rPr>
          <w:rFonts w:ascii="Book Antiqua" w:hAnsi="Book Antiqua"/>
          <w:b w:val="0"/>
          <w:color w:val="auto"/>
          <w:lang w:val="en-AU" w:eastAsia="en-AU"/>
        </w:rPr>
        <w:t>No budget measure</w:t>
      </w:r>
      <w:r>
        <w:rPr>
          <w:rFonts w:ascii="Book Antiqua" w:hAnsi="Book Antiqua"/>
          <w:b w:val="0"/>
          <w:color w:val="auto"/>
          <w:lang w:val="en-AU" w:eastAsia="en-AU"/>
        </w:rPr>
        <w:t xml:space="preserve">s have been announced </w:t>
      </w:r>
      <w:r w:rsidRPr="00D15EBB">
        <w:rPr>
          <w:rFonts w:ascii="Book Antiqua" w:hAnsi="Book Antiqua"/>
          <w:b w:val="0"/>
          <w:color w:val="auto"/>
          <w:lang w:val="en-AU" w:eastAsia="en-AU"/>
        </w:rPr>
        <w:t>since</w:t>
      </w:r>
      <w:r w:rsidR="00B208FF">
        <w:rPr>
          <w:rFonts w:ascii="Book Antiqua" w:hAnsi="Book Antiqua"/>
          <w:b w:val="0"/>
          <w:color w:val="auto"/>
          <w:lang w:val="en-AU" w:eastAsia="en-AU"/>
        </w:rPr>
        <w:t xml:space="preserve"> the</w:t>
      </w:r>
      <w:r w:rsidRPr="00D15EBB">
        <w:rPr>
          <w:rFonts w:ascii="Book Antiqua" w:hAnsi="Book Antiqua"/>
          <w:b w:val="0"/>
          <w:color w:val="auto"/>
          <w:lang w:val="en-AU" w:eastAsia="en-AU"/>
        </w:rPr>
        <w:t xml:space="preserve"> 2021-22 Mid</w:t>
      </w:r>
      <w:r w:rsidRPr="00DF6101">
        <w:rPr>
          <w:rFonts w:ascii="Book Antiqua" w:hAnsi="Book Antiqua"/>
          <w:b w:val="0"/>
          <w:color w:val="auto"/>
          <w:lang w:val="en-AU" w:eastAsia="en-AU"/>
        </w:rPr>
        <w:t xml:space="preserve">-Year Economic and Fiscal Outlook (MYEFO) that impact CSC. </w:t>
      </w:r>
    </w:p>
    <w:p w:rsidR="00E91117" w:rsidRPr="00DF6101" w:rsidRDefault="00E91117" w:rsidP="00D51CAC">
      <w:pPr>
        <w:pStyle w:val="Heading2"/>
      </w:pPr>
      <w:r w:rsidRPr="005769FD">
        <w:br w:type="page"/>
      </w:r>
      <w:bookmarkStart w:id="76" w:name="_Toc99120444"/>
      <w:r w:rsidRPr="00A01DE8">
        <w:lastRenderedPageBreak/>
        <w:t>Section 2: Outcomes and planned performance</w:t>
      </w:r>
      <w:bookmarkEnd w:id="76"/>
    </w:p>
    <w:p w:rsidR="00E91117" w:rsidRPr="005E6F2B" w:rsidRDefault="00E91117" w:rsidP="00E9111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91117" w:rsidRPr="004C1F8D" w:rsidRDefault="00E91117" w:rsidP="00E91117">
      <w:pPr>
        <w:rPr>
          <w:i/>
        </w:rPr>
      </w:pPr>
      <w:r w:rsidRPr="005E6F2B">
        <w:t>Each 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E91117" w:rsidTr="005D36C8">
        <w:tc>
          <w:tcPr>
            <w:tcW w:w="7700" w:type="dxa"/>
          </w:tcPr>
          <w:p w:rsidR="00E91117" w:rsidRPr="006906E4" w:rsidRDefault="00E91117" w:rsidP="005D36C8">
            <w:pPr>
              <w:spacing w:before="120" w:after="120" w:line="240" w:lineRule="auto"/>
              <w:rPr>
                <w:b/>
              </w:rPr>
            </w:pPr>
            <w:r w:rsidRPr="006906E4">
              <w:rPr>
                <w:b/>
              </w:rPr>
              <w:t>Note:</w:t>
            </w:r>
          </w:p>
          <w:p w:rsidR="00E91117" w:rsidRDefault="00E91117" w:rsidP="005D36C8">
            <w:r>
              <w:t>Performance reporting requirements in the Portfolio Budget Statements are part of the Commonwealth performan</w:t>
            </w:r>
            <w:r w:rsidR="00A2252E">
              <w:t xml:space="preserve">ce framework established by the PGPA Act. </w:t>
            </w:r>
            <w:r>
              <w:t>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rsidR="00E91117" w:rsidRPr="005553DF" w:rsidRDefault="00E91117" w:rsidP="005D36C8">
            <w:pPr>
              <w:jc w:val="left"/>
            </w:pPr>
            <w:r>
              <w:t xml:space="preserve">The most recent corporate plan for CSC can be found at: </w:t>
            </w:r>
            <w:r w:rsidRPr="005553DF">
              <w:rPr>
                <w:u w:val="single"/>
              </w:rPr>
              <w:t>https://www.csc.gov.au/Members/About-CSC/Corporate-governance/</w:t>
            </w:r>
            <w:r w:rsidR="006241BA" w:rsidRPr="006241BA">
              <w:t>.</w:t>
            </w:r>
          </w:p>
          <w:p w:rsidR="00E91117" w:rsidRDefault="00E91117" w:rsidP="005D36C8">
            <w:pPr>
              <w:jc w:val="left"/>
            </w:pPr>
            <w:r w:rsidRPr="000A1BDD">
              <w:t>The most recent annual performance statement is included inside CSC’s 20</w:t>
            </w:r>
            <w:r>
              <w:t>20</w:t>
            </w:r>
            <w:r w:rsidRPr="000A1BDD">
              <w:t>-</w:t>
            </w:r>
            <w:r>
              <w:t>21</w:t>
            </w:r>
            <w:r w:rsidRPr="000A1BDD">
              <w:t xml:space="preserve"> Annual Report to Parliament, which can be found at: </w:t>
            </w:r>
            <w:r w:rsidRPr="005553DF">
              <w:rPr>
                <w:u w:val="single"/>
              </w:rPr>
              <w:t>https://www.csc.gov.au/Members/About-CSC/Corporate-governance/</w:t>
            </w:r>
            <w:r w:rsidR="006241BA" w:rsidRPr="006241BA">
              <w:t>.</w:t>
            </w:r>
          </w:p>
        </w:tc>
      </w:tr>
    </w:tbl>
    <w:p w:rsidR="00E91117" w:rsidRDefault="00E91117" w:rsidP="00E91117">
      <w:pPr>
        <w:rPr>
          <w:highlight w:val="yellow"/>
        </w:rPr>
      </w:pPr>
    </w:p>
    <w:p w:rsidR="00E91117" w:rsidRDefault="00E91117" w:rsidP="00E91117">
      <w:pPr>
        <w:spacing w:after="0" w:line="240" w:lineRule="auto"/>
        <w:jc w:val="left"/>
        <w:rPr>
          <w:rFonts w:ascii="Arial Bold" w:hAnsi="Arial Bold"/>
          <w:b/>
          <w:sz w:val="22"/>
        </w:rPr>
      </w:pPr>
      <w:r>
        <w:br w:type="page"/>
      </w:r>
    </w:p>
    <w:p w:rsidR="00E91117" w:rsidRPr="00831489" w:rsidRDefault="00E91117" w:rsidP="00E91117">
      <w:pPr>
        <w:pStyle w:val="Heading3"/>
      </w:pPr>
      <w:bookmarkStart w:id="77" w:name="_Toc99120445"/>
      <w:r>
        <w:lastRenderedPageBreak/>
        <w:t>2.1</w:t>
      </w:r>
      <w:r w:rsidRPr="00F743D8">
        <w:t xml:space="preserve"> </w:t>
      </w:r>
      <w:r w:rsidRPr="00F743D8">
        <w:tab/>
        <w:t xml:space="preserve">Budgeted expenses and performance for Outcome </w:t>
      </w:r>
      <w:r>
        <w:t>1</w:t>
      </w:r>
      <w:bookmarkEnd w:id="7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E91117" w:rsidRPr="005E6F2B" w:rsidTr="005D36C8">
        <w:tc>
          <w:tcPr>
            <w:tcW w:w="7713" w:type="dxa"/>
            <w:shd w:val="clear" w:color="auto" w:fill="E6E6E6"/>
          </w:tcPr>
          <w:p w:rsidR="00E91117" w:rsidRPr="005E6F2B" w:rsidRDefault="00E91117" w:rsidP="005D36C8">
            <w:pPr>
              <w:pStyle w:val="TableColumnHeadingLeft"/>
            </w:pPr>
            <w:r w:rsidRPr="00DF6101">
              <w:t xml:space="preserve">Outcome 1: </w:t>
            </w:r>
            <w:r w:rsidRPr="00DF6101">
              <w:rPr>
                <w:b w:val="0"/>
              </w:rP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bl>
    <w:p w:rsidR="00E91117" w:rsidRPr="005E6F2B" w:rsidRDefault="00E91117" w:rsidP="00E91117">
      <w:pPr>
        <w:pStyle w:val="NoSpacing"/>
      </w:pPr>
    </w:p>
    <w:p w:rsidR="00E91117" w:rsidRPr="00446612" w:rsidRDefault="00E91117" w:rsidP="00D3305F">
      <w:pPr>
        <w:pStyle w:val="Heading4"/>
      </w:pPr>
      <w:r w:rsidRPr="00446612">
        <w:t xml:space="preserve">Budgeted expenses for Outcome </w:t>
      </w:r>
      <w:r>
        <w:t>1</w:t>
      </w:r>
    </w:p>
    <w:p w:rsidR="00E91117" w:rsidRDefault="00E91117" w:rsidP="00E91117">
      <w:r w:rsidRPr="00950281">
        <w:t>This table shows how much the entity intends to spend (on an accrual basis) on achieving the outcome, broken down by program, as well as by Administered an</w:t>
      </w:r>
      <w:r>
        <w:t>d Departmental funding sources.</w:t>
      </w:r>
    </w:p>
    <w:p w:rsidR="00E91117" w:rsidRPr="006E4DF1" w:rsidRDefault="00E91117" w:rsidP="00E91117">
      <w:pPr>
        <w:spacing w:after="0"/>
        <w:rPr>
          <w:b/>
        </w:rPr>
      </w:pPr>
      <w:r>
        <w:rPr>
          <w:b/>
        </w:rPr>
        <w:t>Table 2.1</w:t>
      </w:r>
      <w:r w:rsidRPr="006E4DF1">
        <w:rPr>
          <w:b/>
        </w:rPr>
        <w:t>.1:</w:t>
      </w:r>
      <w:r>
        <w:rPr>
          <w:b/>
        </w:rPr>
        <w:t xml:space="preserve"> Budgeted expenses for Outcome 1</w:t>
      </w:r>
    </w:p>
    <w:p w:rsidR="00E91117" w:rsidRDefault="00E91117" w:rsidP="00E91117">
      <w:pPr>
        <w:pStyle w:val="TableHeading"/>
      </w:pPr>
      <w:r w:rsidRPr="00045A6C">
        <w:rPr>
          <w:noProof/>
          <w:lang w:val="en-AU" w:eastAsia="en-AU"/>
        </w:rPr>
        <w:drawing>
          <wp:inline distT="0" distB="0" distL="0" distR="0" wp14:anchorId="58F301CA" wp14:editId="7D9878B2">
            <wp:extent cx="4816475" cy="3753485"/>
            <wp:effectExtent l="0" t="0" r="317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16475" cy="3753485"/>
                    </a:xfrm>
                    <a:prstGeom prst="rect">
                      <a:avLst/>
                    </a:prstGeom>
                    <a:noFill/>
                    <a:ln>
                      <a:noFill/>
                    </a:ln>
                  </pic:spPr>
                </pic:pic>
              </a:graphicData>
            </a:graphic>
          </wp:inline>
        </w:drawing>
      </w:r>
    </w:p>
    <w:p w:rsidR="00E91117" w:rsidRPr="00254CB4" w:rsidRDefault="00E91117" w:rsidP="00DA1F4B">
      <w:pPr>
        <w:pStyle w:val="ChartandTableFootnoteAlpha"/>
        <w:numPr>
          <w:ilvl w:val="0"/>
          <w:numId w:val="56"/>
        </w:numPr>
      </w:pPr>
      <w:r w:rsidRPr="00254CB4">
        <w:t>Expenses reflect only the cost paid by CSC and do not reflect the total cost involved in the investment of funds and administration of the schemes.</w:t>
      </w:r>
    </w:p>
    <w:p w:rsidR="00E91117" w:rsidRDefault="00E91117" w:rsidP="00DA1F4B">
      <w:pPr>
        <w:pStyle w:val="ChartandTableFootnoteAlpha"/>
        <w:numPr>
          <w:ilvl w:val="0"/>
          <w:numId w:val="56"/>
        </w:numPr>
      </w:pPr>
      <w:r w:rsidRPr="00254CB4">
        <w:t xml:space="preserve">Average staffing levels reflect all staff involved in the investment and administration of the schemes. All employee expenses are paid by CSC and CSC on-charges the schemes for the portion of expenses that are </w:t>
      </w:r>
      <w:proofErr w:type="spellStart"/>
      <w:r w:rsidRPr="00254CB4">
        <w:t>referable</w:t>
      </w:r>
      <w:proofErr w:type="spellEnd"/>
      <w:r w:rsidRPr="00254CB4">
        <w:t xml:space="preserve"> to the investment of the scheme funds.   </w:t>
      </w:r>
    </w:p>
    <w:p w:rsidR="00E91117" w:rsidRDefault="00E91117" w:rsidP="00E91117"/>
    <w:p w:rsidR="00E91117" w:rsidRPr="00F71634" w:rsidRDefault="00E91117" w:rsidP="00E91117">
      <w:pPr>
        <w:pStyle w:val="TableHeading"/>
      </w:pPr>
      <w:r>
        <w:rPr>
          <w:highlight w:val="yellow"/>
          <w:lang w:val="en-US"/>
        </w:rPr>
        <w:br w:type="page"/>
      </w:r>
      <w:r>
        <w:lastRenderedPageBreak/>
        <w:t>Table 2.1.2</w:t>
      </w:r>
      <w:r w:rsidRPr="00F71634">
        <w:t xml:space="preserve">: Performance </w:t>
      </w:r>
      <w:r>
        <w:rPr>
          <w:lang w:val="en-AU"/>
        </w:rPr>
        <w:t>measure</w:t>
      </w:r>
      <w:r w:rsidRPr="00F71634">
        <w:t xml:space="preserve"> </w:t>
      </w:r>
      <w:r>
        <w:t>for Outcome 1</w:t>
      </w:r>
    </w:p>
    <w:p w:rsidR="00E91117" w:rsidRDefault="00E91117" w:rsidP="00E91117">
      <w:r>
        <w:t>Table 2.1.2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8F5EF2" w:rsidRPr="00185F2D" w:rsidTr="008F5EF2">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F5EF2" w:rsidRPr="00185F2D" w:rsidRDefault="008F5EF2" w:rsidP="00436AFE">
            <w:pPr>
              <w:pStyle w:val="TableColumnHeadingLeft"/>
            </w:pPr>
            <w:r w:rsidRPr="008F5EF2">
              <w:rPr>
                <w:rStyle w:val="TableHeadingChar"/>
                <w:b/>
                <w:color w:val="auto"/>
                <w:lang w:val="en-AU" w:eastAsia="en-AU"/>
              </w:rPr>
              <w:t xml:space="preserve">Outcome </w:t>
            </w:r>
            <w:r w:rsidRPr="00A63609">
              <w:t xml:space="preserve">1 </w:t>
            </w:r>
            <w:r w:rsidRPr="00745217">
              <w:rPr>
                <w:b w:val="0"/>
              </w:rPr>
              <w:t>– 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8F5EF2" w:rsidRPr="001B2F81" w:rsidTr="008F5EF2">
        <w:trPr>
          <w:trHeight w:val="569"/>
          <w:tblHead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cPr>
          <w:p w:rsidR="008F5EF2" w:rsidRPr="00091B3B" w:rsidRDefault="008F5EF2" w:rsidP="008F5EF2">
            <w:pPr>
              <w:pStyle w:val="TableColumnHeadingLeft"/>
              <w:rPr>
                <w:sz w:val="18"/>
                <w:szCs w:val="18"/>
              </w:rPr>
            </w:pPr>
            <w:r w:rsidRPr="00091B3B">
              <w:rPr>
                <w:sz w:val="18"/>
                <w:szCs w:val="18"/>
              </w:rPr>
              <w:t xml:space="preserve">Program 1.1 – Superannuation Scheme Governance </w:t>
            </w:r>
            <w:r w:rsidRPr="00091B3B">
              <w:rPr>
                <w:sz w:val="18"/>
                <w:szCs w:val="18"/>
              </w:rPr>
              <w:br/>
            </w:r>
            <w:r w:rsidRPr="00091B3B">
              <w:rPr>
                <w:b w:val="0"/>
                <w:sz w:val="18"/>
                <w:szCs w:val="18"/>
              </w:rPr>
              <w:t>Build, support and protect better retirement outcomes for all our customers (being current and former Australian Government employees and members of the Australian Defence Force) and their families.</w:t>
            </w:r>
          </w:p>
        </w:tc>
      </w:tr>
      <w:tr w:rsidR="008F5EF2" w:rsidRPr="00160C23" w:rsidTr="00436AFE">
        <w:trPr>
          <w:trHeight w:val="694"/>
          <w:tblHeader/>
        </w:trPr>
        <w:tc>
          <w:tcPr>
            <w:tcW w:w="1560" w:type="dxa"/>
            <w:tcBorders>
              <w:bottom w:val="double" w:sz="4" w:space="0" w:color="auto"/>
            </w:tcBorders>
          </w:tcPr>
          <w:p w:rsidR="008F5EF2" w:rsidRPr="00160C23" w:rsidRDefault="008F5EF2" w:rsidP="00436AFE">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236" w:type="dxa"/>
            <w:gridSpan w:val="2"/>
            <w:tcBorders>
              <w:bottom w:val="double" w:sz="4" w:space="0" w:color="auto"/>
            </w:tcBorders>
          </w:tcPr>
          <w:p w:rsidR="008F5EF2" w:rsidRPr="002865E8" w:rsidRDefault="008F5EF2" w:rsidP="00F76FE4">
            <w:pPr>
              <w:numPr>
                <w:ilvl w:val="0"/>
                <w:numId w:val="24"/>
              </w:numPr>
              <w:autoSpaceDE w:val="0"/>
              <w:autoSpaceDN w:val="0"/>
              <w:adjustRightInd w:val="0"/>
              <w:spacing w:after="0" w:line="240" w:lineRule="auto"/>
              <w:ind w:left="374" w:hanging="357"/>
              <w:contextualSpacing/>
              <w:jc w:val="left"/>
              <w:rPr>
                <w:rFonts w:ascii="Arial" w:eastAsia="Calibri" w:hAnsi="Arial" w:cs="Arial"/>
                <w:sz w:val="16"/>
                <w:szCs w:val="16"/>
                <w:lang w:val="en-US" w:eastAsia="en-US"/>
              </w:rPr>
            </w:pPr>
            <w:r w:rsidRPr="002865E8">
              <w:rPr>
                <w:rFonts w:ascii="Arial" w:eastAsia="Calibri" w:hAnsi="Arial" w:cs="Arial"/>
                <w:sz w:val="16"/>
                <w:szCs w:val="16"/>
                <w:lang w:val="en-US" w:eastAsia="en-US"/>
              </w:rPr>
              <w:t xml:space="preserve">Risk managed investment of member’s superannuation balances. </w:t>
            </w:r>
          </w:p>
          <w:p w:rsidR="008F5EF2" w:rsidRPr="002865E8" w:rsidRDefault="008F5EF2" w:rsidP="00F76FE4">
            <w:pPr>
              <w:numPr>
                <w:ilvl w:val="0"/>
                <w:numId w:val="24"/>
              </w:numPr>
              <w:autoSpaceDE w:val="0"/>
              <w:autoSpaceDN w:val="0"/>
              <w:adjustRightInd w:val="0"/>
              <w:spacing w:after="0" w:line="240" w:lineRule="auto"/>
              <w:ind w:left="374" w:hanging="357"/>
              <w:contextualSpacing/>
              <w:jc w:val="left"/>
              <w:rPr>
                <w:rFonts w:ascii="Arial" w:eastAsia="Calibri" w:hAnsi="Arial" w:cs="Arial"/>
                <w:sz w:val="16"/>
                <w:szCs w:val="16"/>
                <w:lang w:val="en-US" w:eastAsia="en-US"/>
              </w:rPr>
            </w:pPr>
            <w:r w:rsidRPr="002865E8">
              <w:rPr>
                <w:rFonts w:ascii="Arial" w:eastAsia="Calibri" w:hAnsi="Arial" w:cs="Arial"/>
                <w:sz w:val="16"/>
                <w:szCs w:val="16"/>
                <w:lang w:val="en-US" w:eastAsia="en-US"/>
              </w:rPr>
              <w:t xml:space="preserve">Meeting license obligations set out by APRA and ASIC. </w:t>
            </w:r>
          </w:p>
          <w:p w:rsidR="008F5EF2" w:rsidRPr="00185F2D" w:rsidRDefault="008F5EF2" w:rsidP="00F76FE4">
            <w:pPr>
              <w:numPr>
                <w:ilvl w:val="0"/>
                <w:numId w:val="24"/>
              </w:numPr>
              <w:autoSpaceDE w:val="0"/>
              <w:autoSpaceDN w:val="0"/>
              <w:adjustRightInd w:val="0"/>
              <w:spacing w:after="0" w:line="240" w:lineRule="auto"/>
              <w:ind w:left="374" w:hanging="357"/>
              <w:contextualSpacing/>
              <w:jc w:val="left"/>
              <w:rPr>
                <w:rFonts w:ascii="Arial" w:hAnsi="Arial" w:cs="Arial"/>
                <w:i/>
                <w:sz w:val="16"/>
                <w:szCs w:val="16"/>
              </w:rPr>
            </w:pPr>
            <w:r w:rsidRPr="002865E8">
              <w:rPr>
                <w:rFonts w:ascii="Arial" w:eastAsia="Calibri" w:hAnsi="Arial" w:cs="Arial"/>
                <w:sz w:val="16"/>
                <w:szCs w:val="16"/>
                <w:lang w:val="en-US" w:eastAsia="en-US"/>
              </w:rPr>
              <w:t>Development and implementation of industry st</w:t>
            </w:r>
            <w:r>
              <w:rPr>
                <w:rFonts w:ascii="Arial" w:eastAsia="Calibri" w:hAnsi="Arial" w:cs="Arial"/>
                <w:sz w:val="16"/>
                <w:szCs w:val="16"/>
                <w:lang w:val="en-US" w:eastAsia="en-US"/>
              </w:rPr>
              <w:t>andard administration services.</w:t>
            </w:r>
          </w:p>
          <w:p w:rsidR="008F5EF2" w:rsidRPr="00160C23" w:rsidRDefault="008F5EF2" w:rsidP="00F76FE4">
            <w:pPr>
              <w:numPr>
                <w:ilvl w:val="0"/>
                <w:numId w:val="24"/>
              </w:numPr>
              <w:autoSpaceDE w:val="0"/>
              <w:autoSpaceDN w:val="0"/>
              <w:adjustRightInd w:val="0"/>
              <w:spacing w:after="0" w:line="240" w:lineRule="auto"/>
              <w:ind w:left="374" w:hanging="357"/>
              <w:contextualSpacing/>
              <w:jc w:val="left"/>
              <w:rPr>
                <w:rFonts w:ascii="Arial" w:hAnsi="Arial" w:cs="Arial"/>
                <w:i/>
                <w:sz w:val="16"/>
                <w:szCs w:val="16"/>
              </w:rPr>
            </w:pPr>
            <w:r>
              <w:rPr>
                <w:rFonts w:ascii="Arial" w:eastAsia="Calibri" w:hAnsi="Arial" w:cs="Arial"/>
                <w:sz w:val="16"/>
                <w:szCs w:val="16"/>
                <w:lang w:val="en-US" w:eastAsia="en-US"/>
              </w:rPr>
              <w:t>P</w:t>
            </w:r>
            <w:r w:rsidRPr="00A63609">
              <w:rPr>
                <w:rFonts w:ascii="Arial" w:eastAsia="Calibri" w:hAnsi="Arial" w:cs="Arial"/>
                <w:sz w:val="16"/>
                <w:szCs w:val="16"/>
                <w:lang w:val="en-US" w:eastAsia="en-US"/>
              </w:rPr>
              <w:t>rovision of information for scheme members including responding to member enquiries and publications, websites and seminars.</w:t>
            </w:r>
          </w:p>
        </w:tc>
      </w:tr>
      <w:tr w:rsidR="008F5EF2" w:rsidRPr="004A7619" w:rsidTr="004A7619">
        <w:trPr>
          <w:trHeight w:val="312"/>
          <w:tblHeader/>
        </w:trPr>
        <w:tc>
          <w:tcPr>
            <w:tcW w:w="1560" w:type="dxa"/>
            <w:tcBorders>
              <w:top w:val="double" w:sz="4" w:space="0" w:color="auto"/>
              <w:bottom w:val="single" w:sz="4" w:space="0" w:color="auto"/>
              <w:right w:val="single" w:sz="4" w:space="0" w:color="auto"/>
            </w:tcBorders>
          </w:tcPr>
          <w:p w:rsidR="008F5EF2" w:rsidRPr="00160C23" w:rsidRDefault="004A7619" w:rsidP="00436AFE">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rsidR="008F5EF2" w:rsidRPr="004A7619" w:rsidRDefault="008F5EF2" w:rsidP="00436AFE">
            <w:pPr>
              <w:pStyle w:val="TableTextBase"/>
              <w:rPr>
                <w:b/>
                <w:sz w:val="16"/>
                <w:szCs w:val="16"/>
              </w:rPr>
            </w:pPr>
            <w:r w:rsidRPr="004A7619">
              <w:rPr>
                <w:b/>
                <w:sz w:val="16"/>
                <w:szCs w:val="16"/>
              </w:rPr>
              <w:t>Performance measures</w:t>
            </w:r>
          </w:p>
        </w:tc>
        <w:tc>
          <w:tcPr>
            <w:tcW w:w="3118" w:type="dxa"/>
            <w:tcBorders>
              <w:top w:val="double" w:sz="4" w:space="0" w:color="auto"/>
              <w:left w:val="single" w:sz="4" w:space="0" w:color="auto"/>
              <w:bottom w:val="single" w:sz="4" w:space="0" w:color="auto"/>
            </w:tcBorders>
          </w:tcPr>
          <w:p w:rsidR="008F5EF2" w:rsidRPr="004A7619" w:rsidRDefault="008F5EF2" w:rsidP="00436AFE">
            <w:pPr>
              <w:pStyle w:val="TableTextBase"/>
              <w:rPr>
                <w:b/>
                <w:sz w:val="16"/>
                <w:szCs w:val="16"/>
              </w:rPr>
            </w:pPr>
            <w:r w:rsidRPr="004A7619">
              <w:rPr>
                <w:b/>
                <w:sz w:val="16"/>
                <w:szCs w:val="16"/>
              </w:rPr>
              <w:t>Expected Performance Results</w:t>
            </w:r>
          </w:p>
        </w:tc>
      </w:tr>
      <w:tr w:rsidR="008F5EF2" w:rsidRPr="00E7226F" w:rsidTr="00436AFE">
        <w:trPr>
          <w:trHeight w:val="642"/>
          <w:tblHeader/>
        </w:trPr>
        <w:tc>
          <w:tcPr>
            <w:tcW w:w="1560" w:type="dxa"/>
            <w:tcBorders>
              <w:top w:val="single" w:sz="4" w:space="0" w:color="auto"/>
              <w:left w:val="single" w:sz="4" w:space="0" w:color="auto"/>
              <w:bottom w:val="single" w:sz="4" w:space="0" w:color="auto"/>
              <w:right w:val="single" w:sz="4" w:space="0" w:color="auto"/>
            </w:tcBorders>
          </w:tcPr>
          <w:p w:rsidR="008F5EF2" w:rsidRPr="00160C23" w:rsidRDefault="008F5EF2" w:rsidP="001E4B0F">
            <w:pPr>
              <w:pStyle w:val="TableTextBase"/>
              <w:rPr>
                <w:sz w:val="16"/>
                <w:szCs w:val="16"/>
              </w:rPr>
            </w:pPr>
            <w:r w:rsidRPr="00160C23">
              <w:rPr>
                <w:sz w:val="16"/>
                <w:szCs w:val="16"/>
              </w:rPr>
              <w:t xml:space="preserve">Current year </w:t>
            </w:r>
            <w:r w:rsidR="001E4B0F">
              <w:rPr>
                <w:sz w:val="16"/>
                <w:szCs w:val="16"/>
              </w:rPr>
              <w:br/>
            </w:r>
            <w:r w:rsidRPr="00160C23">
              <w:rPr>
                <w:sz w:val="16"/>
                <w:szCs w:val="16"/>
              </w:rPr>
              <w:t>2021-22</w:t>
            </w:r>
          </w:p>
        </w:tc>
        <w:tc>
          <w:tcPr>
            <w:tcW w:w="3118" w:type="dxa"/>
            <w:tcBorders>
              <w:top w:val="single" w:sz="4" w:space="0" w:color="auto"/>
              <w:left w:val="single" w:sz="4" w:space="0" w:color="auto"/>
              <w:bottom w:val="single" w:sz="4" w:space="0" w:color="auto"/>
              <w:right w:val="single" w:sz="4" w:space="0" w:color="auto"/>
            </w:tcBorders>
          </w:tcPr>
          <w:p w:rsidR="008F5EF2" w:rsidRPr="005348C1" w:rsidRDefault="005348C1" w:rsidP="00F76FE4">
            <w:pPr>
              <w:pStyle w:val="ListParagraph"/>
              <w:numPr>
                <w:ilvl w:val="0"/>
                <w:numId w:val="25"/>
              </w:numPr>
              <w:autoSpaceDE w:val="0"/>
              <w:autoSpaceDN w:val="0"/>
              <w:adjustRightInd w:val="0"/>
              <w:spacing w:after="0"/>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CSC’s investment performance for its default accumulation options o</w:t>
            </w:r>
            <w:r>
              <w:rPr>
                <w:rFonts w:ascii="Arial" w:eastAsia="Times New Roman" w:hAnsi="Arial" w:cs="Arial"/>
                <w:sz w:val="16"/>
                <w:szCs w:val="16"/>
                <w:lang w:val="en-AU" w:eastAsia="en-AU"/>
              </w:rPr>
              <w:t>ver a rolling three-year period</w:t>
            </w:r>
            <w:r w:rsidR="008F5EF2" w:rsidRPr="005348C1">
              <w:rPr>
                <w:rFonts w:ascii="Arial" w:eastAsia="Times New Roman" w:hAnsi="Arial" w:cs="Arial"/>
                <w:sz w:val="16"/>
                <w:szCs w:val="16"/>
                <w:lang w:val="en-AU" w:eastAsia="en-AU"/>
              </w:rPr>
              <w:t>.</w:t>
            </w:r>
          </w:p>
          <w:p w:rsidR="008F5EF2" w:rsidRDefault="008F5EF2" w:rsidP="00436AFE">
            <w:pPr>
              <w:spacing w:before="60" w:after="60" w:line="240" w:lineRule="auto"/>
              <w:ind w:left="374" w:hanging="357"/>
              <w:jc w:val="left"/>
              <w:rPr>
                <w:rFonts w:ascii="Arial" w:hAnsi="Arial" w:cs="Arial"/>
                <w:sz w:val="16"/>
                <w:szCs w:val="16"/>
              </w:rPr>
            </w:pPr>
          </w:p>
          <w:p w:rsidR="008F5EF2" w:rsidRDefault="008F5EF2" w:rsidP="00436AFE">
            <w:pPr>
              <w:spacing w:before="60" w:after="60" w:line="240" w:lineRule="auto"/>
              <w:ind w:left="374" w:hanging="357"/>
              <w:jc w:val="left"/>
              <w:rPr>
                <w:rFonts w:ascii="Arial" w:hAnsi="Arial" w:cs="Arial"/>
                <w:sz w:val="16"/>
                <w:szCs w:val="16"/>
              </w:rPr>
            </w:pPr>
          </w:p>
          <w:p w:rsidR="008F5EF2" w:rsidRDefault="008F5EF2" w:rsidP="00436AFE">
            <w:pPr>
              <w:spacing w:before="60" w:after="60" w:line="240" w:lineRule="auto"/>
              <w:ind w:left="374" w:hanging="357"/>
              <w:jc w:val="left"/>
              <w:rPr>
                <w:rFonts w:ascii="Arial" w:hAnsi="Arial" w:cs="Arial"/>
                <w:sz w:val="16"/>
                <w:szCs w:val="16"/>
              </w:rPr>
            </w:pPr>
          </w:p>
          <w:p w:rsidR="008F5EF2" w:rsidRDefault="008F5EF2" w:rsidP="00436AFE">
            <w:pPr>
              <w:spacing w:before="60" w:after="60" w:line="240" w:lineRule="auto"/>
              <w:jc w:val="left"/>
              <w:rPr>
                <w:rFonts w:ascii="Arial" w:hAnsi="Arial" w:cs="Arial"/>
                <w:sz w:val="16"/>
                <w:szCs w:val="16"/>
              </w:rPr>
            </w:pPr>
          </w:p>
          <w:p w:rsidR="005348C1" w:rsidRDefault="005348C1" w:rsidP="00436AFE">
            <w:pPr>
              <w:spacing w:before="60" w:after="60" w:line="240" w:lineRule="auto"/>
              <w:jc w:val="left"/>
              <w:rPr>
                <w:rFonts w:ascii="Arial" w:hAnsi="Arial" w:cs="Arial"/>
                <w:sz w:val="16"/>
                <w:szCs w:val="16"/>
              </w:rPr>
            </w:pPr>
          </w:p>
          <w:p w:rsidR="00AF4374" w:rsidRPr="00227549" w:rsidRDefault="00AF4374" w:rsidP="00436AFE">
            <w:pPr>
              <w:spacing w:before="60" w:after="60" w:line="240" w:lineRule="auto"/>
              <w:jc w:val="left"/>
              <w:rPr>
                <w:rFonts w:ascii="Arial" w:hAnsi="Arial" w:cs="Arial"/>
                <w:sz w:val="16"/>
                <w:szCs w:val="16"/>
              </w:rPr>
            </w:pPr>
          </w:p>
          <w:p w:rsidR="008F5EF2" w:rsidRDefault="005348C1" w:rsidP="00F76FE4">
            <w:pPr>
              <w:pStyle w:val="ListParagraph"/>
              <w:numPr>
                <w:ilvl w:val="0"/>
                <w:numId w:val="25"/>
              </w:numPr>
              <w:autoSpaceDE w:val="0"/>
              <w:autoSpaceDN w:val="0"/>
              <w:adjustRightInd w:val="0"/>
              <w:spacing w:after="0"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CSC’s investment portfolio is maintained within Board approved risk parameters, such that negative returns are expected in no more than four out of every 20 years for the default accumulation options.</w:t>
            </w:r>
          </w:p>
          <w:p w:rsidR="00AF4374" w:rsidRPr="00AF4374" w:rsidRDefault="00AF4374" w:rsidP="00AF4374">
            <w:pPr>
              <w:autoSpaceDE w:val="0"/>
              <w:autoSpaceDN w:val="0"/>
              <w:adjustRightInd w:val="0"/>
              <w:spacing w:after="0" w:line="240" w:lineRule="auto"/>
              <w:rPr>
                <w:rFonts w:ascii="Arial" w:hAnsi="Arial" w:cs="Arial"/>
                <w:sz w:val="16"/>
                <w:szCs w:val="16"/>
              </w:rPr>
            </w:pPr>
          </w:p>
          <w:p w:rsidR="008F5EF2" w:rsidRPr="00185F2D" w:rsidRDefault="005348C1" w:rsidP="00F76FE4">
            <w:pPr>
              <w:pStyle w:val="BodyText"/>
              <w:numPr>
                <w:ilvl w:val="0"/>
                <w:numId w:val="25"/>
              </w:numPr>
              <w:autoSpaceDE w:val="0"/>
              <w:autoSpaceDN w:val="0"/>
              <w:adjustRightInd w:val="0"/>
              <w:spacing w:before="60" w:after="60"/>
              <w:ind w:left="357" w:hanging="357"/>
              <w:contextualSpacing/>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Achievement of operational objectives for contributions processing and benefits/pension payments.</w:t>
            </w:r>
            <w:r w:rsidR="008F5EF2">
              <w:rPr>
                <w:rFonts w:ascii="Arial" w:eastAsia="Times New Roman" w:hAnsi="Arial" w:cs="Arial"/>
                <w:sz w:val="16"/>
                <w:szCs w:val="16"/>
                <w:lang w:val="en-AU" w:eastAsia="en-AU"/>
              </w:rPr>
              <w:br/>
            </w:r>
          </w:p>
          <w:p w:rsidR="008F5EF2" w:rsidRPr="005348C1" w:rsidRDefault="005348C1" w:rsidP="00F76FE4">
            <w:pPr>
              <w:pStyle w:val="ListParagraph"/>
              <w:numPr>
                <w:ilvl w:val="0"/>
                <w:numId w:val="25"/>
              </w:numPr>
              <w:autoSpaceDE w:val="0"/>
              <w:autoSpaceDN w:val="0"/>
              <w:adjustRightInd w:val="0"/>
              <w:spacing w:after="0"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Adequate satisfaction levels of customers and employers with the service provided.</w:t>
            </w:r>
          </w:p>
        </w:tc>
        <w:tc>
          <w:tcPr>
            <w:tcW w:w="3118" w:type="dxa"/>
            <w:tcBorders>
              <w:top w:val="single" w:sz="4" w:space="0" w:color="auto"/>
              <w:left w:val="single" w:sz="4" w:space="0" w:color="auto"/>
              <w:bottom w:val="single" w:sz="4" w:space="0" w:color="auto"/>
              <w:right w:val="single" w:sz="4" w:space="0" w:color="auto"/>
            </w:tcBorders>
          </w:tcPr>
          <w:p w:rsidR="008F5EF2" w:rsidRDefault="005348C1" w:rsidP="00F76FE4">
            <w:pPr>
              <w:pStyle w:val="BodyText"/>
              <w:numPr>
                <w:ilvl w:val="0"/>
                <w:numId w:val="25"/>
              </w:numPr>
              <w:autoSpaceDE w:val="0"/>
              <w:autoSpaceDN w:val="0"/>
              <w:adjustRightInd w:val="0"/>
              <w:spacing w:before="60" w:after="60"/>
              <w:ind w:left="357" w:hanging="357"/>
              <w:contextualSpacing/>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Should market conditions as at March 2022 continue to worsen until the end of the financial year, it is estimated that the annual real return target of 3.5% over a rolling three-year period may not be met. Should market conditions stabilise or improve then CSC’s default accumulation option is estimated to meet its return target</w:t>
            </w:r>
            <w:r w:rsidR="006241BA">
              <w:rPr>
                <w:rFonts w:ascii="Arial" w:eastAsia="Times New Roman" w:hAnsi="Arial" w:cs="Arial"/>
                <w:sz w:val="16"/>
                <w:szCs w:val="16"/>
                <w:lang w:val="en-AU" w:eastAsia="en-AU"/>
              </w:rPr>
              <w:t>.</w:t>
            </w:r>
          </w:p>
          <w:p w:rsidR="005348C1" w:rsidRPr="00FC2E64" w:rsidRDefault="005348C1" w:rsidP="005348C1">
            <w:pPr>
              <w:pStyle w:val="BodyText"/>
              <w:spacing w:before="60" w:after="60"/>
              <w:ind w:left="360"/>
              <w:contextualSpacing/>
              <w:rPr>
                <w:rFonts w:ascii="Arial" w:eastAsia="Times New Roman" w:hAnsi="Arial" w:cs="Arial"/>
                <w:sz w:val="16"/>
                <w:szCs w:val="16"/>
                <w:lang w:val="en-AU" w:eastAsia="en-AU"/>
              </w:rPr>
            </w:pPr>
          </w:p>
          <w:p w:rsidR="008F5EF2" w:rsidRDefault="005348C1" w:rsidP="00F76FE4">
            <w:pPr>
              <w:pStyle w:val="ListParagraph"/>
              <w:numPr>
                <w:ilvl w:val="0"/>
                <w:numId w:val="25"/>
              </w:numPr>
              <w:autoSpaceDE w:val="0"/>
              <w:autoSpaceDN w:val="0"/>
              <w:adjustRightInd w:val="0"/>
              <w:spacing w:after="0"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It is estimated that the target of achieving negative returns in no more than 4 out of every 20 years for the default accumulation options will be met.</w:t>
            </w:r>
          </w:p>
          <w:p w:rsidR="005348C1" w:rsidRPr="005348C1" w:rsidRDefault="005348C1" w:rsidP="00AF4374">
            <w:pPr>
              <w:pStyle w:val="ListParagraph"/>
              <w:adjustRightInd w:val="0"/>
              <w:spacing w:after="0" w:line="240" w:lineRule="auto"/>
              <w:rPr>
                <w:rFonts w:ascii="Arial" w:eastAsia="Times New Roman" w:hAnsi="Arial" w:cs="Arial"/>
                <w:sz w:val="16"/>
                <w:szCs w:val="16"/>
                <w:lang w:val="en-AU" w:eastAsia="en-AU"/>
              </w:rPr>
            </w:pPr>
          </w:p>
          <w:p w:rsidR="005348C1" w:rsidRPr="005348C1" w:rsidRDefault="005348C1" w:rsidP="00AF4374">
            <w:pPr>
              <w:pStyle w:val="ListParagraph"/>
              <w:adjustRightInd w:val="0"/>
              <w:spacing w:after="0" w:line="240" w:lineRule="auto"/>
              <w:ind w:left="360"/>
              <w:rPr>
                <w:rFonts w:ascii="Arial" w:eastAsia="Times New Roman" w:hAnsi="Arial" w:cs="Arial"/>
                <w:sz w:val="16"/>
                <w:szCs w:val="16"/>
                <w:lang w:val="en-AU" w:eastAsia="en-AU"/>
              </w:rPr>
            </w:pPr>
          </w:p>
          <w:p w:rsidR="008F5EF2" w:rsidRDefault="005348C1" w:rsidP="00F76FE4">
            <w:pPr>
              <w:pStyle w:val="ListParagraph"/>
              <w:numPr>
                <w:ilvl w:val="0"/>
                <w:numId w:val="25"/>
              </w:numPr>
              <w:autoSpaceDE w:val="0"/>
              <w:autoSpaceDN w:val="0"/>
              <w:adjustRightInd w:val="0"/>
              <w:spacing w:line="240" w:lineRule="auto"/>
              <w:ind w:left="357" w:hanging="357"/>
              <w:rPr>
                <w:rFonts w:ascii="Arial" w:eastAsia="Times New Roman" w:hAnsi="Arial" w:cs="Arial"/>
                <w:sz w:val="16"/>
                <w:szCs w:val="16"/>
                <w:lang w:val="en-AU" w:eastAsia="en-AU"/>
              </w:rPr>
            </w:pPr>
            <w:r w:rsidRPr="005348C1">
              <w:rPr>
                <w:rFonts w:ascii="Arial" w:eastAsia="Times New Roman" w:hAnsi="Arial" w:cs="Arial"/>
                <w:sz w:val="16"/>
                <w:szCs w:val="16"/>
                <w:lang w:val="en-AU" w:eastAsia="en-AU"/>
              </w:rPr>
              <w:t>It is estimated that the target of achieving 90% of each operational objective will be met.</w:t>
            </w:r>
          </w:p>
          <w:p w:rsidR="00AF4374" w:rsidRPr="005348C1" w:rsidRDefault="00AF4374" w:rsidP="004A7619">
            <w:pPr>
              <w:pStyle w:val="ListParagraph"/>
              <w:autoSpaceDE w:val="0"/>
              <w:autoSpaceDN w:val="0"/>
              <w:adjustRightInd w:val="0"/>
              <w:spacing w:line="240" w:lineRule="auto"/>
              <w:ind w:left="17" w:firstLine="357"/>
              <w:rPr>
                <w:rFonts w:ascii="Arial" w:eastAsia="Times New Roman" w:hAnsi="Arial" w:cs="Arial"/>
                <w:sz w:val="16"/>
                <w:szCs w:val="16"/>
                <w:lang w:val="en-AU" w:eastAsia="en-AU"/>
              </w:rPr>
            </w:pPr>
          </w:p>
          <w:p w:rsidR="008F5EF2" w:rsidRPr="00E7226F" w:rsidRDefault="00155582" w:rsidP="00F76FE4">
            <w:pPr>
              <w:numPr>
                <w:ilvl w:val="0"/>
                <w:numId w:val="25"/>
              </w:numPr>
              <w:autoSpaceDE w:val="0"/>
              <w:autoSpaceDN w:val="0"/>
              <w:adjustRightInd w:val="0"/>
              <w:spacing w:before="60" w:after="60" w:line="240" w:lineRule="auto"/>
              <w:ind w:left="357" w:hanging="357"/>
              <w:contextualSpacing/>
              <w:jc w:val="left"/>
              <w:rPr>
                <w:rFonts w:ascii="Arial" w:hAnsi="Arial" w:cs="Arial"/>
                <w:sz w:val="16"/>
                <w:szCs w:val="16"/>
              </w:rPr>
            </w:pPr>
            <w:r w:rsidRPr="00155582">
              <w:rPr>
                <w:rFonts w:ascii="Arial" w:hAnsi="Arial" w:cs="Arial"/>
                <w:sz w:val="16"/>
                <w:szCs w:val="16"/>
              </w:rPr>
              <w:t>It is estimated that the target of increasing the Net Promoter Score (industry standard satisfaction measure) survey result of +10 for employers will be met.</w:t>
            </w:r>
            <w:r w:rsidR="008F5EF2">
              <w:rPr>
                <w:rFonts w:ascii="Arial" w:hAnsi="Arial" w:cs="Arial"/>
                <w:sz w:val="16"/>
                <w:szCs w:val="16"/>
              </w:rPr>
              <w:br/>
            </w:r>
          </w:p>
        </w:tc>
      </w:tr>
    </w:tbl>
    <w:p w:rsidR="008F5EF2" w:rsidRDefault="008F5EF2" w:rsidP="008F5EF2">
      <w:pPr>
        <w:pStyle w:val="TableHeading"/>
        <w:rPr>
          <w:lang w:val="en-AU"/>
        </w:rPr>
      </w:pPr>
      <w:r w:rsidRPr="00393D23">
        <w:lastRenderedPageBreak/>
        <w:t>Table 2.1.2: Performance measure for Outcome 1</w:t>
      </w:r>
      <w:r>
        <w:rPr>
          <w:lang w:val="en-AU"/>
        </w:rPr>
        <w:t xml:space="preserve">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8F5EF2" w:rsidRPr="001B2F81" w:rsidTr="004A7619">
        <w:trPr>
          <w:trHeight w:val="312"/>
          <w:tblHeader/>
        </w:trPr>
        <w:tc>
          <w:tcPr>
            <w:tcW w:w="7796" w:type="dxa"/>
            <w:gridSpan w:val="3"/>
            <w:shd w:val="clear" w:color="auto" w:fill="F2F2F2"/>
          </w:tcPr>
          <w:p w:rsidR="008F5EF2" w:rsidRPr="001B2F81" w:rsidRDefault="004A7619" w:rsidP="00436AFE">
            <w:pPr>
              <w:pStyle w:val="TableTextLeft"/>
            </w:pPr>
            <w:r w:rsidRPr="00BA090C">
              <w:rPr>
                <w:b/>
                <w:szCs w:val="18"/>
              </w:rPr>
              <w:t xml:space="preserve">Performance information: </w:t>
            </w:r>
            <w:r w:rsidR="008F5EF2" w:rsidRPr="00185F2D">
              <w:rPr>
                <w:b/>
              </w:rPr>
              <w:t>Program 1.1 – S</w:t>
            </w:r>
            <w:r w:rsidR="008F5EF2">
              <w:rPr>
                <w:b/>
              </w:rPr>
              <w:t>uperannuation Scheme Governance</w:t>
            </w:r>
          </w:p>
        </w:tc>
      </w:tr>
      <w:tr w:rsidR="008F5EF2" w:rsidRPr="00160C23" w:rsidTr="00436AFE">
        <w:trPr>
          <w:trHeight w:val="642"/>
        </w:trPr>
        <w:tc>
          <w:tcPr>
            <w:tcW w:w="1560" w:type="dxa"/>
            <w:tcBorders>
              <w:top w:val="single" w:sz="4" w:space="0" w:color="auto"/>
              <w:left w:val="single" w:sz="4" w:space="0" w:color="auto"/>
              <w:bottom w:val="single" w:sz="4" w:space="0" w:color="auto"/>
              <w:right w:val="single" w:sz="4" w:space="0" w:color="auto"/>
            </w:tcBorders>
          </w:tcPr>
          <w:p w:rsidR="002F563E" w:rsidRPr="006804A1" w:rsidRDefault="002F563E" w:rsidP="002F563E">
            <w:pPr>
              <w:pStyle w:val="TableTextBase"/>
              <w:autoSpaceDE w:val="0"/>
              <w:autoSpaceDN w:val="0"/>
              <w:contextualSpacing/>
              <w:rPr>
                <w:rFonts w:cs="Arial"/>
                <w:sz w:val="16"/>
                <w:szCs w:val="16"/>
              </w:rPr>
            </w:pPr>
            <w:r w:rsidRPr="006804A1">
              <w:rPr>
                <w:rFonts w:cs="Arial"/>
                <w:sz w:val="16"/>
                <w:szCs w:val="16"/>
              </w:rPr>
              <w:t xml:space="preserve">Current year </w:t>
            </w:r>
          </w:p>
          <w:p w:rsidR="002F563E" w:rsidRPr="006804A1" w:rsidRDefault="002F563E" w:rsidP="002F563E">
            <w:pPr>
              <w:pStyle w:val="TableTextBase"/>
              <w:autoSpaceDE w:val="0"/>
              <w:autoSpaceDN w:val="0"/>
              <w:contextualSpacing/>
              <w:rPr>
                <w:rFonts w:cs="Arial"/>
                <w:sz w:val="16"/>
                <w:szCs w:val="16"/>
              </w:rPr>
            </w:pPr>
            <w:r w:rsidRPr="006804A1">
              <w:rPr>
                <w:rFonts w:cs="Arial"/>
                <w:sz w:val="16"/>
                <w:szCs w:val="16"/>
              </w:rPr>
              <w:t>2021-22</w:t>
            </w:r>
          </w:p>
          <w:p w:rsidR="002F563E" w:rsidRDefault="002F563E" w:rsidP="002F563E">
            <w:pPr>
              <w:pStyle w:val="TableTextBase"/>
              <w:rPr>
                <w:rFonts w:cs="Arial"/>
                <w:sz w:val="16"/>
                <w:szCs w:val="16"/>
              </w:rPr>
            </w:pPr>
            <w:r w:rsidRPr="006804A1">
              <w:rPr>
                <w:rFonts w:cs="Arial"/>
                <w:sz w:val="16"/>
                <w:szCs w:val="16"/>
              </w:rPr>
              <w:t>(continued)</w:t>
            </w:r>
          </w:p>
          <w:p w:rsidR="008F5EF2" w:rsidRPr="00160C23" w:rsidRDefault="008F5EF2" w:rsidP="00436AFE">
            <w:pPr>
              <w:pStyle w:val="TableTextBase"/>
              <w:rPr>
                <w:sz w:val="16"/>
                <w:szCs w:val="16"/>
              </w:rPr>
            </w:pPr>
          </w:p>
        </w:tc>
        <w:tc>
          <w:tcPr>
            <w:tcW w:w="3118" w:type="dxa"/>
            <w:tcBorders>
              <w:top w:val="single" w:sz="4" w:space="0" w:color="auto"/>
              <w:left w:val="single" w:sz="4" w:space="0" w:color="auto"/>
              <w:bottom w:val="single" w:sz="4" w:space="0" w:color="auto"/>
              <w:right w:val="single" w:sz="4" w:space="0" w:color="auto"/>
            </w:tcBorders>
          </w:tcPr>
          <w:p w:rsidR="008F5EF2" w:rsidRPr="00160C23" w:rsidRDefault="008F5EF2" w:rsidP="00436AFE">
            <w:pPr>
              <w:pStyle w:val="BodyText"/>
              <w:spacing w:before="60" w:after="60"/>
              <w:rPr>
                <w:i/>
                <w:color w:val="0070C0"/>
                <w:sz w:val="16"/>
                <w:szCs w:val="16"/>
              </w:rPr>
            </w:pPr>
          </w:p>
        </w:tc>
        <w:tc>
          <w:tcPr>
            <w:tcW w:w="3118" w:type="dxa"/>
            <w:tcBorders>
              <w:top w:val="single" w:sz="4" w:space="0" w:color="auto"/>
              <w:left w:val="single" w:sz="4" w:space="0" w:color="auto"/>
              <w:bottom w:val="single" w:sz="4" w:space="0" w:color="auto"/>
              <w:right w:val="single" w:sz="4" w:space="0" w:color="auto"/>
            </w:tcBorders>
          </w:tcPr>
          <w:p w:rsidR="008F5EF2" w:rsidRPr="00155582" w:rsidRDefault="00155582" w:rsidP="00F76FE4">
            <w:pPr>
              <w:pStyle w:val="ListParagraph"/>
              <w:numPr>
                <w:ilvl w:val="0"/>
                <w:numId w:val="25"/>
              </w:numPr>
              <w:autoSpaceDE w:val="0"/>
              <w:autoSpaceDN w:val="0"/>
              <w:adjustRightInd w:val="0"/>
              <w:ind w:left="374" w:hanging="357"/>
              <w:rPr>
                <w:rFonts w:ascii="Arial" w:eastAsia="Times New Roman" w:hAnsi="Arial" w:cs="Arial"/>
                <w:sz w:val="16"/>
                <w:szCs w:val="16"/>
                <w:lang w:val="en-AU" w:eastAsia="en-AU"/>
              </w:rPr>
            </w:pPr>
            <w:r w:rsidRPr="00155582">
              <w:rPr>
                <w:rFonts w:ascii="Arial" w:eastAsia="Times New Roman" w:hAnsi="Arial" w:cs="Arial"/>
                <w:sz w:val="16"/>
                <w:szCs w:val="16"/>
                <w:lang w:val="en-AU" w:eastAsia="en-AU"/>
              </w:rPr>
              <w:t>It is estimated that the target of increasing the Net Promoter Score survey result for Australian Defence Force customers by 2 points per annum is likely to be met.</w:t>
            </w:r>
          </w:p>
          <w:p w:rsidR="008F5EF2" w:rsidRPr="00160C23" w:rsidRDefault="00155582" w:rsidP="00F76FE4">
            <w:pPr>
              <w:numPr>
                <w:ilvl w:val="0"/>
                <w:numId w:val="25"/>
              </w:numPr>
              <w:autoSpaceDE w:val="0"/>
              <w:autoSpaceDN w:val="0"/>
              <w:adjustRightInd w:val="0"/>
              <w:spacing w:before="60" w:after="60" w:line="240" w:lineRule="auto"/>
              <w:ind w:left="374" w:hanging="357"/>
              <w:contextualSpacing/>
              <w:jc w:val="left"/>
              <w:rPr>
                <w:i/>
                <w:color w:val="0070C0"/>
                <w:sz w:val="16"/>
                <w:szCs w:val="16"/>
              </w:rPr>
            </w:pPr>
            <w:r w:rsidRPr="00155582">
              <w:rPr>
                <w:rFonts w:ascii="Arial" w:hAnsi="Arial" w:cs="Arial"/>
                <w:sz w:val="16"/>
                <w:szCs w:val="16"/>
              </w:rPr>
              <w:t>It is estimated that the target of increasing the Net Promoter Score survey result for other customers by 2 points per annum is unlikely to be met.</w:t>
            </w:r>
          </w:p>
        </w:tc>
      </w:tr>
      <w:tr w:rsidR="008F5EF2" w:rsidRPr="00557B35" w:rsidTr="004A7619">
        <w:trPr>
          <w:trHeight w:val="312"/>
        </w:trPr>
        <w:tc>
          <w:tcPr>
            <w:tcW w:w="1560" w:type="dxa"/>
            <w:tcBorders>
              <w:top w:val="single" w:sz="4" w:space="0" w:color="auto"/>
              <w:bottom w:val="single" w:sz="4" w:space="0" w:color="auto"/>
              <w:right w:val="single" w:sz="4" w:space="0" w:color="auto"/>
            </w:tcBorders>
          </w:tcPr>
          <w:p w:rsidR="008F5EF2" w:rsidRPr="00557B35" w:rsidRDefault="004A7619" w:rsidP="00436AFE">
            <w:pPr>
              <w:pStyle w:val="TableTextBase"/>
              <w:rPr>
                <w:b/>
                <w:sz w:val="16"/>
                <w:szCs w:val="16"/>
              </w:rPr>
            </w:pPr>
            <w:r>
              <w:rPr>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rsidR="008F5EF2" w:rsidRPr="00557B35" w:rsidRDefault="008F5EF2" w:rsidP="00436AFE">
            <w:pPr>
              <w:pStyle w:val="TableTextBase"/>
              <w:rPr>
                <w:b/>
                <w:sz w:val="16"/>
                <w:szCs w:val="16"/>
              </w:rPr>
            </w:pPr>
            <w:r w:rsidRPr="00557B35">
              <w:rPr>
                <w:b/>
                <w:sz w:val="16"/>
                <w:szCs w:val="16"/>
              </w:rPr>
              <w:t>Performance measures</w:t>
            </w:r>
          </w:p>
        </w:tc>
        <w:tc>
          <w:tcPr>
            <w:tcW w:w="3118" w:type="dxa"/>
            <w:tcBorders>
              <w:top w:val="single" w:sz="4" w:space="0" w:color="auto"/>
              <w:left w:val="single" w:sz="4" w:space="0" w:color="auto"/>
              <w:bottom w:val="single" w:sz="4" w:space="0" w:color="auto"/>
            </w:tcBorders>
          </w:tcPr>
          <w:p w:rsidR="008F5EF2" w:rsidRPr="00557B35" w:rsidRDefault="008F5EF2" w:rsidP="00436AFE">
            <w:pPr>
              <w:pStyle w:val="TableTextBase"/>
              <w:rPr>
                <w:b/>
                <w:sz w:val="16"/>
                <w:szCs w:val="16"/>
              </w:rPr>
            </w:pPr>
            <w:r w:rsidRPr="00557B35">
              <w:rPr>
                <w:b/>
                <w:sz w:val="16"/>
                <w:szCs w:val="16"/>
              </w:rPr>
              <w:t>Planned Performance Results</w:t>
            </w:r>
          </w:p>
        </w:tc>
      </w:tr>
      <w:tr w:rsidR="008F5EF2" w:rsidRPr="00557B35" w:rsidTr="00436AFE">
        <w:trPr>
          <w:trHeight w:val="100"/>
        </w:trPr>
        <w:tc>
          <w:tcPr>
            <w:tcW w:w="1560" w:type="dxa"/>
            <w:tcBorders>
              <w:top w:val="single" w:sz="4" w:space="0" w:color="auto"/>
              <w:bottom w:val="single" w:sz="4" w:space="0" w:color="auto"/>
              <w:right w:val="single" w:sz="4" w:space="0" w:color="auto"/>
            </w:tcBorders>
          </w:tcPr>
          <w:p w:rsidR="008F5EF2" w:rsidRPr="00557B35" w:rsidRDefault="008F5EF2" w:rsidP="00436AFE">
            <w:pPr>
              <w:pStyle w:val="TableTextBase"/>
              <w:rPr>
                <w:sz w:val="16"/>
                <w:szCs w:val="16"/>
              </w:rPr>
            </w:pPr>
            <w:r w:rsidRPr="00557B35">
              <w:rPr>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tcPr>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CSC’s investment performance for its default accumulation options over a rolling three-year period.</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CSC’s investment portfolio is maintained within Board approved risk parameters, such that negative returns are expected in no more than five out of every 20 years for the default accumulation options.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Achievement of operational objectives for contributions processing and benefits/pension payments.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Adequate satisfaction levels of customers and employers with the service provided.</w:t>
            </w:r>
          </w:p>
          <w:p w:rsidR="0011781D" w:rsidRPr="0011781D" w:rsidRDefault="0011781D" w:rsidP="0011781D">
            <w:pPr>
              <w:pStyle w:val="BodyText"/>
              <w:spacing w:before="60" w:after="60"/>
              <w:ind w:left="360"/>
              <w:rPr>
                <w:rFonts w:ascii="Arial" w:eastAsia="Times New Roman" w:hAnsi="Arial" w:cs="Arial"/>
                <w:sz w:val="16"/>
                <w:szCs w:val="16"/>
                <w:lang w:val="en-AU" w:eastAsia="en-AU"/>
              </w:rPr>
            </w:pPr>
          </w:p>
          <w:p w:rsidR="008F5EF2" w:rsidRPr="00557B35" w:rsidRDefault="008F5EF2" w:rsidP="0011781D">
            <w:pPr>
              <w:pStyle w:val="BodyText"/>
              <w:spacing w:before="60" w:after="60"/>
              <w:ind w:left="374"/>
              <w:rPr>
                <w:rFonts w:ascii="Arial" w:eastAsia="Times New Roman" w:hAnsi="Arial" w:cs="Arial"/>
                <w:sz w:val="16"/>
                <w:szCs w:val="16"/>
                <w:lang w:val="en-AU" w:eastAsia="en-AU"/>
              </w:rPr>
            </w:pPr>
          </w:p>
        </w:tc>
        <w:tc>
          <w:tcPr>
            <w:tcW w:w="3118" w:type="dxa"/>
            <w:tcBorders>
              <w:top w:val="single" w:sz="4" w:space="0" w:color="auto"/>
              <w:left w:val="single" w:sz="4" w:space="0" w:color="auto"/>
              <w:bottom w:val="single" w:sz="4" w:space="0" w:color="auto"/>
            </w:tcBorders>
          </w:tcPr>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Default accumulation options annual real return of 3.5% over a rolling three-year period.</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Negative returns in no more than five out of every 20 years for the default accumulation options.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3E115C" w:rsidRDefault="0011781D" w:rsidP="003E115C">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90% of each operational objective achieved.</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11781D"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Net Promoter Score (industry standard satisfaction measure) survey result of +10 for employers.</w:t>
            </w:r>
          </w:p>
          <w:p w:rsidR="0011781D" w:rsidRPr="0011781D" w:rsidRDefault="0011781D" w:rsidP="00ED733E">
            <w:pPr>
              <w:pStyle w:val="BodyText"/>
              <w:autoSpaceDE w:val="0"/>
              <w:autoSpaceDN w:val="0"/>
              <w:adjustRightInd w:val="0"/>
              <w:spacing w:before="60" w:after="60"/>
              <w:ind w:left="374" w:hanging="357"/>
              <w:contextualSpacing/>
              <w:rPr>
                <w:rFonts w:ascii="Arial" w:eastAsia="Times New Roman" w:hAnsi="Arial" w:cs="Arial"/>
                <w:sz w:val="16"/>
                <w:szCs w:val="16"/>
                <w:lang w:val="en-AU" w:eastAsia="en-AU"/>
              </w:rPr>
            </w:pPr>
          </w:p>
          <w:p w:rsidR="008F5EF2" w:rsidRPr="0011781D" w:rsidRDefault="0011781D" w:rsidP="00F76FE4">
            <w:pPr>
              <w:pStyle w:val="BodyText"/>
              <w:numPr>
                <w:ilvl w:val="0"/>
                <w:numId w:val="25"/>
              </w:numPr>
              <w:autoSpaceDE w:val="0"/>
              <w:autoSpaceDN w:val="0"/>
              <w:adjustRightInd w:val="0"/>
              <w:spacing w:before="60" w:after="60"/>
              <w:ind w:left="374" w:hanging="357"/>
              <w:contextualSpacing/>
              <w:rPr>
                <w:rFonts w:ascii="Arial" w:eastAsia="Times New Roman" w:hAnsi="Arial" w:cs="Arial"/>
                <w:sz w:val="16"/>
                <w:szCs w:val="16"/>
                <w:lang w:val="en-AU" w:eastAsia="en-AU"/>
              </w:rPr>
            </w:pPr>
            <w:r w:rsidRPr="0011781D">
              <w:rPr>
                <w:rFonts w:ascii="Arial" w:eastAsia="Times New Roman" w:hAnsi="Arial" w:cs="Arial"/>
                <w:sz w:val="16"/>
                <w:szCs w:val="16"/>
                <w:lang w:val="en-AU" w:eastAsia="en-AU"/>
              </w:rPr>
              <w:t>Annual increases in Net Promoter Score survey results for both ADF customers and other customers of two points each.</w:t>
            </w:r>
          </w:p>
        </w:tc>
      </w:tr>
      <w:tr w:rsidR="008F5EF2" w:rsidRPr="00557B35" w:rsidTr="00436AFE">
        <w:trPr>
          <w:trHeight w:val="491"/>
        </w:trPr>
        <w:tc>
          <w:tcPr>
            <w:tcW w:w="1560" w:type="dxa"/>
            <w:tcBorders>
              <w:top w:val="single" w:sz="4" w:space="0" w:color="auto"/>
              <w:bottom w:val="dotted" w:sz="4" w:space="0" w:color="auto"/>
              <w:right w:val="single" w:sz="4" w:space="0" w:color="auto"/>
            </w:tcBorders>
          </w:tcPr>
          <w:p w:rsidR="005E4644" w:rsidRPr="005E4644" w:rsidRDefault="008F5EF2" w:rsidP="005E4644">
            <w:pPr>
              <w:pStyle w:val="TableTextBase"/>
              <w:autoSpaceDE w:val="0"/>
              <w:autoSpaceDN w:val="0"/>
              <w:contextualSpacing/>
              <w:rPr>
                <w:rFonts w:cs="Arial"/>
                <w:sz w:val="16"/>
                <w:szCs w:val="16"/>
              </w:rPr>
            </w:pPr>
            <w:r w:rsidRPr="005E4644">
              <w:rPr>
                <w:rFonts w:cs="Arial"/>
                <w:sz w:val="16"/>
                <w:szCs w:val="16"/>
              </w:rPr>
              <w:t xml:space="preserve">Forward </w:t>
            </w:r>
          </w:p>
          <w:p w:rsidR="008F5EF2" w:rsidRPr="005E4644" w:rsidRDefault="008F5EF2" w:rsidP="005E4644">
            <w:pPr>
              <w:pStyle w:val="TableTextBase"/>
              <w:autoSpaceDE w:val="0"/>
              <w:autoSpaceDN w:val="0"/>
              <w:contextualSpacing/>
              <w:rPr>
                <w:rFonts w:cs="Arial"/>
                <w:sz w:val="16"/>
                <w:szCs w:val="16"/>
              </w:rPr>
            </w:pPr>
            <w:r w:rsidRPr="005E4644">
              <w:rPr>
                <w:rFonts w:cs="Arial"/>
                <w:sz w:val="16"/>
                <w:szCs w:val="16"/>
              </w:rPr>
              <w:t xml:space="preserve">Estimates </w:t>
            </w:r>
          </w:p>
          <w:p w:rsidR="008F5EF2" w:rsidRPr="00557B35" w:rsidRDefault="008F5EF2" w:rsidP="005E4644">
            <w:pPr>
              <w:pStyle w:val="TableTextBase"/>
              <w:autoSpaceDE w:val="0"/>
              <w:autoSpaceDN w:val="0"/>
              <w:contextualSpacing/>
              <w:rPr>
                <w:sz w:val="16"/>
                <w:szCs w:val="16"/>
              </w:rPr>
            </w:pPr>
            <w:r w:rsidRPr="005E4644">
              <w:rPr>
                <w:rFonts w:cs="Arial"/>
                <w:sz w:val="16"/>
                <w:szCs w:val="16"/>
              </w:rPr>
              <w:t>2023-26</w:t>
            </w:r>
          </w:p>
        </w:tc>
        <w:tc>
          <w:tcPr>
            <w:tcW w:w="3118" w:type="dxa"/>
            <w:tcBorders>
              <w:top w:val="single" w:sz="4" w:space="0" w:color="auto"/>
              <w:left w:val="single" w:sz="4" w:space="0" w:color="auto"/>
              <w:bottom w:val="dotted" w:sz="4" w:space="0" w:color="auto"/>
              <w:right w:val="single" w:sz="4" w:space="0" w:color="auto"/>
            </w:tcBorders>
          </w:tcPr>
          <w:p w:rsidR="008F5EF2" w:rsidRPr="00557B35" w:rsidRDefault="008F5EF2" w:rsidP="00436AFE">
            <w:pPr>
              <w:pStyle w:val="TableTextBase"/>
              <w:rPr>
                <w:sz w:val="16"/>
                <w:szCs w:val="16"/>
              </w:rPr>
            </w:pPr>
            <w:r w:rsidRPr="00557B35">
              <w:rPr>
                <w:sz w:val="16"/>
                <w:szCs w:val="16"/>
              </w:rPr>
              <w:t>As per 2022-23</w:t>
            </w:r>
            <w:r>
              <w:rPr>
                <w:sz w:val="16"/>
                <w:szCs w:val="16"/>
              </w:rPr>
              <w:t>.</w:t>
            </w:r>
          </w:p>
        </w:tc>
        <w:tc>
          <w:tcPr>
            <w:tcW w:w="3118" w:type="dxa"/>
            <w:tcBorders>
              <w:top w:val="single" w:sz="4" w:space="0" w:color="auto"/>
              <w:left w:val="single" w:sz="4" w:space="0" w:color="auto"/>
              <w:bottom w:val="dotted" w:sz="4" w:space="0" w:color="auto"/>
            </w:tcBorders>
          </w:tcPr>
          <w:p w:rsidR="008F5EF2" w:rsidRPr="00557B35" w:rsidRDefault="008F5EF2" w:rsidP="00436AFE">
            <w:pPr>
              <w:pStyle w:val="TableTextBase"/>
              <w:rPr>
                <w:sz w:val="16"/>
                <w:szCs w:val="16"/>
              </w:rPr>
            </w:pPr>
            <w:r w:rsidRPr="00557B35">
              <w:rPr>
                <w:sz w:val="16"/>
                <w:szCs w:val="16"/>
              </w:rPr>
              <w:t>As per 2022-23</w:t>
            </w:r>
            <w:r>
              <w:rPr>
                <w:sz w:val="16"/>
                <w:szCs w:val="16"/>
              </w:rPr>
              <w:t>.</w:t>
            </w:r>
          </w:p>
        </w:tc>
      </w:tr>
      <w:tr w:rsidR="008F5EF2" w:rsidRPr="00557B35" w:rsidTr="00436AFE">
        <w:trPr>
          <w:trHeight w:val="58"/>
        </w:trPr>
        <w:tc>
          <w:tcPr>
            <w:tcW w:w="7796" w:type="dxa"/>
            <w:gridSpan w:val="3"/>
          </w:tcPr>
          <w:p w:rsidR="008F5EF2" w:rsidRPr="00557B35" w:rsidRDefault="000555DE" w:rsidP="00436AFE">
            <w:pPr>
              <w:pStyle w:val="TableTextBase"/>
              <w:rPr>
                <w:rFonts w:eastAsia="Cambria"/>
                <w:bCs/>
                <w:iCs/>
                <w:color w:val="0070C0"/>
                <w:spacing w:val="-6"/>
                <w:sz w:val="16"/>
                <w:szCs w:val="16"/>
                <w:lang w:val="x-none"/>
              </w:rPr>
            </w:pPr>
            <w:r>
              <w:rPr>
                <w:sz w:val="16"/>
                <w:szCs w:val="16"/>
              </w:rPr>
              <w:t>Material changes to Program 1.1</w:t>
            </w:r>
            <w:r w:rsidR="008F5EF2" w:rsidRPr="006D76DB">
              <w:rPr>
                <w:sz w:val="16"/>
                <w:szCs w:val="16"/>
              </w:rPr>
              <w:t xml:space="preserve"> resulting from 2022-23 Budget Measures: Nil</w:t>
            </w:r>
          </w:p>
        </w:tc>
      </w:tr>
    </w:tbl>
    <w:p w:rsidR="008F5EF2" w:rsidRPr="008F5EF2" w:rsidRDefault="008F5EF2" w:rsidP="008F5EF2">
      <w:pPr>
        <w:rPr>
          <w:lang w:val="x-none"/>
        </w:rPr>
      </w:pPr>
    </w:p>
    <w:p w:rsidR="008F5EF2" w:rsidRDefault="008F5EF2" w:rsidP="008F5EF2"/>
    <w:p w:rsidR="008F5EF2" w:rsidRPr="008F5EF2" w:rsidRDefault="008F5EF2" w:rsidP="008F5EF2"/>
    <w:p w:rsidR="00E91117" w:rsidRPr="00AD42E2" w:rsidRDefault="00E91117" w:rsidP="00E91117">
      <w:pPr>
        <w:pStyle w:val="Heading2"/>
      </w:pPr>
      <w:bookmarkStart w:id="78" w:name="_Toc99120446"/>
      <w:r w:rsidRPr="00AD42E2">
        <w:lastRenderedPageBreak/>
        <w:t>Section 3: Budgeted financial statements</w:t>
      </w:r>
      <w:bookmarkEnd w:id="78"/>
    </w:p>
    <w:p w:rsidR="00E91117" w:rsidRPr="00E64AA9" w:rsidRDefault="00E91117" w:rsidP="00E64AA9">
      <w:pPr>
        <w:pStyle w:val="ExampleText0"/>
        <w:jc w:val="both"/>
        <w:rPr>
          <w:i w:val="0"/>
          <w:color w:val="auto"/>
        </w:rPr>
      </w:pPr>
      <w:r w:rsidRPr="00E64AA9">
        <w:rPr>
          <w:i w:val="0"/>
          <w:color w:val="auto"/>
        </w:rPr>
        <w:t>Section 3 presents budgeted financial statements which provide a comprehensive snapshot of entity finances for the 2022-23 budget year, including the impact of budget measures and resourcing on financial statements.</w:t>
      </w:r>
    </w:p>
    <w:p w:rsidR="00E91117" w:rsidRPr="005328A9" w:rsidRDefault="00E91117" w:rsidP="00E91117">
      <w:pPr>
        <w:pStyle w:val="Heading3"/>
      </w:pPr>
      <w:bookmarkStart w:id="79" w:name="_Toc99120447"/>
      <w:r w:rsidRPr="005328A9">
        <w:t>3.1</w:t>
      </w:r>
      <w:r w:rsidRPr="005328A9">
        <w:tab/>
        <w:t>Budgeted financial statements</w:t>
      </w:r>
      <w:bookmarkEnd w:id="79"/>
    </w:p>
    <w:p w:rsidR="00E91117" w:rsidRDefault="00E91117" w:rsidP="00E91117">
      <w:pPr>
        <w:pStyle w:val="Heading4"/>
      </w:pPr>
      <w:r>
        <w:t>3.1.1</w:t>
      </w:r>
      <w:r>
        <w:tab/>
        <w:t>Differences between entity resourcing and financial statements</w:t>
      </w:r>
    </w:p>
    <w:p w:rsidR="00E91117" w:rsidRPr="00E64AA9" w:rsidRDefault="00E91117" w:rsidP="00E64AA9">
      <w:pPr>
        <w:pStyle w:val="ExampleText0"/>
        <w:jc w:val="both"/>
        <w:rPr>
          <w:i w:val="0"/>
          <w:color w:val="auto"/>
        </w:rPr>
      </w:pPr>
      <w:r w:rsidRPr="00E64AA9">
        <w:rPr>
          <w:i w:val="0"/>
          <w:color w:val="auto"/>
        </w:rPr>
        <w:t xml:space="preserve">No material differences exist between entity resourcing and the financial statements. </w:t>
      </w:r>
    </w:p>
    <w:p w:rsidR="00E91117" w:rsidRDefault="00E91117" w:rsidP="00E91117">
      <w:pPr>
        <w:pStyle w:val="Heading4"/>
      </w:pPr>
      <w:r>
        <w:t>3.1.2</w:t>
      </w:r>
      <w:r>
        <w:tab/>
        <w:t>Explanatory notes and analysis of budgeted financial statements</w:t>
      </w:r>
    </w:p>
    <w:p w:rsidR="00E91117" w:rsidRPr="00E64AA9" w:rsidRDefault="00E91117" w:rsidP="00E64AA9">
      <w:pPr>
        <w:pStyle w:val="ExampleText0"/>
        <w:jc w:val="both"/>
        <w:rPr>
          <w:i w:val="0"/>
          <w:color w:val="auto"/>
        </w:rPr>
      </w:pPr>
      <w:r w:rsidRPr="00E64AA9">
        <w:rPr>
          <w:i w:val="0"/>
          <w:color w:val="auto"/>
        </w:rPr>
        <w:t xml:space="preserve">CSC is the trustee for the </w:t>
      </w:r>
      <w:proofErr w:type="spellStart"/>
      <w:r w:rsidRPr="00E64AA9">
        <w:rPr>
          <w:i w:val="0"/>
          <w:color w:val="auto"/>
        </w:rPr>
        <w:t>PSSap</w:t>
      </w:r>
      <w:proofErr w:type="spellEnd"/>
      <w:r w:rsidRPr="00E64AA9">
        <w:rPr>
          <w:i w:val="0"/>
          <w:color w:val="auto"/>
        </w:rPr>
        <w:t xml:space="preserve">, PSS, CSS, MSBS and ADF Super regulated superannuation schemes and six ‘unfunded’ superannuation schemes. The governance arrangements of these schemes are set out in the Governance of Australian Government Superannuation Schemes Act 2011 and various scheme specific Acts, Trust Deeds, legislation, rules and determinations. These requirements prescribe which costs are to be paid from scheme funds, and which costs are to be borne by the fees levied upon Commonwealth entities.  </w:t>
      </w:r>
    </w:p>
    <w:p w:rsidR="00E91117" w:rsidRPr="00E64AA9" w:rsidRDefault="00E91117" w:rsidP="00E64AA9">
      <w:pPr>
        <w:pStyle w:val="ExampleText0"/>
        <w:jc w:val="both"/>
        <w:rPr>
          <w:i w:val="0"/>
          <w:color w:val="auto"/>
        </w:rPr>
      </w:pPr>
      <w:r w:rsidRPr="00E64AA9">
        <w:rPr>
          <w:i w:val="0"/>
          <w:color w:val="auto"/>
        </w:rPr>
        <w:t xml:space="preserve">CSC receives revenue through fees paid by Commonwealth entities and some entities with residual membership in the schemes, such as the Northern Territory and Australian Capital Territory governments. All CSC fee revenue from Commonwealth entities is managed through a Special Account.  </w:t>
      </w:r>
    </w:p>
    <w:p w:rsidR="00E91117" w:rsidRPr="00E64AA9" w:rsidRDefault="00E91117" w:rsidP="00E64AA9">
      <w:pPr>
        <w:pStyle w:val="ExampleText0"/>
        <w:jc w:val="both"/>
        <w:rPr>
          <w:i w:val="0"/>
          <w:color w:val="auto"/>
        </w:rPr>
      </w:pPr>
      <w:r w:rsidRPr="00E64AA9">
        <w:rPr>
          <w:i w:val="0"/>
          <w:color w:val="auto"/>
        </w:rPr>
        <w:t xml:space="preserve">CSC’s budgeted departmental expenses shown in this document reflect only the costs paid, and income received, by CSC into its Special Account and does not reflect the total cost involved in the investment of funds and administration of the schemes.  </w:t>
      </w:r>
    </w:p>
    <w:p w:rsidR="00E91117" w:rsidRPr="00E64AA9" w:rsidRDefault="00E91117" w:rsidP="00E64AA9">
      <w:pPr>
        <w:pStyle w:val="ExampleText0"/>
        <w:jc w:val="both"/>
        <w:rPr>
          <w:i w:val="0"/>
          <w:color w:val="auto"/>
        </w:rPr>
      </w:pPr>
      <w:r w:rsidRPr="00E64AA9">
        <w:rPr>
          <w:i w:val="0"/>
          <w:color w:val="auto"/>
        </w:rPr>
        <w:t>The projected operating losses reflect the estimated accounting losses associated with the cost of replacing CSC’s scheme administration systems for its defined benefit schemes. CSC has sufficient cash reserves to fund the operating losses without impacting on the financial viability of CSC in the future.</w:t>
      </w:r>
    </w:p>
    <w:p w:rsidR="00E91117" w:rsidRDefault="00E91117" w:rsidP="00E64AA9">
      <w:r w:rsidRPr="00117D51">
        <w:rPr>
          <w:i/>
        </w:rPr>
        <w:br w:type="page"/>
      </w:r>
      <w:r w:rsidRPr="00D232B7">
        <w:rPr>
          <w:rStyle w:val="TableHeadingChar"/>
        </w:rPr>
        <w:lastRenderedPageBreak/>
        <w:t>3.2.</w:t>
      </w:r>
      <w:r w:rsidRPr="00D232B7">
        <w:rPr>
          <w:rStyle w:val="TableHeadingChar"/>
        </w:rPr>
        <w:tab/>
        <w:t>Budgeted financial statements tables</w:t>
      </w:r>
    </w:p>
    <w:p w:rsidR="00E91117" w:rsidRDefault="00E91117" w:rsidP="00E91117">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E91117" w:rsidRDefault="00E91117" w:rsidP="00E91117">
      <w:pPr>
        <w:pStyle w:val="TableGraphic"/>
      </w:pPr>
      <w:r w:rsidRPr="00D52088">
        <w:rPr>
          <w:noProof/>
        </w:rPr>
        <w:t xml:space="preserve"> </w:t>
      </w:r>
      <w:r w:rsidRPr="000E2A36">
        <w:rPr>
          <w:noProof/>
        </w:rPr>
        <w:drawing>
          <wp:inline distT="0" distB="0" distL="0" distR="0" wp14:anchorId="5D5B4E75" wp14:editId="12DDB9D8">
            <wp:extent cx="4816475" cy="3848735"/>
            <wp:effectExtent l="0" t="0" r="317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816475" cy="3848735"/>
                    </a:xfrm>
                    <a:prstGeom prst="rect">
                      <a:avLst/>
                    </a:prstGeom>
                    <a:noFill/>
                    <a:ln>
                      <a:noFill/>
                    </a:ln>
                  </pic:spPr>
                </pic:pic>
              </a:graphicData>
            </a:graphic>
          </wp:inline>
        </w:drawing>
      </w:r>
    </w:p>
    <w:p w:rsidR="00E91117" w:rsidRPr="00F34FBA" w:rsidRDefault="00E91117" w:rsidP="00E91117">
      <w:pPr>
        <w:pStyle w:val="Source"/>
        <w:rPr>
          <w:rFonts w:cs="Arial"/>
        </w:rPr>
      </w:pPr>
      <w:r w:rsidRPr="00F34FBA">
        <w:rPr>
          <w:rFonts w:cs="Arial"/>
        </w:rPr>
        <w:t>Prepared on Australian Accounting Standards basis.</w:t>
      </w:r>
    </w:p>
    <w:p w:rsidR="00404B4D" w:rsidRDefault="00E91117" w:rsidP="00B15178">
      <w:pPr>
        <w:pStyle w:val="Source"/>
        <w:ind w:left="357" w:hanging="357"/>
        <w:rPr>
          <w:rFonts w:cs="Arial"/>
        </w:rPr>
      </w:pPr>
      <w:r w:rsidRPr="00F34FBA">
        <w:rPr>
          <w:rFonts w:cs="Arial"/>
        </w:rPr>
        <w:t>(a)</w:t>
      </w:r>
      <w:r w:rsidRPr="00F34FBA">
        <w:rPr>
          <w:rFonts w:cs="Arial"/>
        </w:rPr>
        <w:tab/>
        <w:t xml:space="preserve">Expenses reflect only the cost paid by CSC and do not reflect the total cost involved in the investment of </w:t>
      </w:r>
    </w:p>
    <w:p w:rsidR="00E91117" w:rsidRPr="0001570B" w:rsidRDefault="00404B4D" w:rsidP="0001570B">
      <w:pPr>
        <w:pStyle w:val="Source"/>
        <w:ind w:left="357" w:hanging="357"/>
        <w:rPr>
          <w:snapToGrid w:val="0"/>
        </w:rPr>
      </w:pPr>
      <w:r>
        <w:rPr>
          <w:rFonts w:cs="Arial"/>
        </w:rPr>
        <w:t xml:space="preserve">      </w:t>
      </w:r>
      <w:proofErr w:type="gramStart"/>
      <w:r w:rsidR="00E91117" w:rsidRPr="00F34FBA">
        <w:rPr>
          <w:rFonts w:cs="Arial"/>
        </w:rPr>
        <w:t>funds</w:t>
      </w:r>
      <w:proofErr w:type="gramEnd"/>
      <w:r w:rsidR="00E91117" w:rsidRPr="00F34FBA">
        <w:rPr>
          <w:rFonts w:cs="Arial"/>
        </w:rPr>
        <w:t xml:space="preserve"> and administration of the schemes.</w:t>
      </w:r>
      <w:r w:rsidR="00E91117">
        <w:br w:type="page"/>
      </w:r>
    </w:p>
    <w:p w:rsidR="0001570B" w:rsidRDefault="0001570B" w:rsidP="00E91117">
      <w:pPr>
        <w:pStyle w:val="TableHeadingNoTable"/>
        <w:spacing w:after="0"/>
      </w:pPr>
      <w:r w:rsidRPr="004A1BF6">
        <w:lastRenderedPageBreak/>
        <w:t>Table 3.1: Comprehensive income statement (showing net cost of services) for the period ended 30 June (continued)</w:t>
      </w:r>
    </w:p>
    <w:p w:rsidR="0001570B" w:rsidRDefault="0001570B" w:rsidP="00E91117">
      <w:pPr>
        <w:pStyle w:val="TableHeadingNoTable"/>
        <w:spacing w:after="0"/>
      </w:pPr>
    </w:p>
    <w:p w:rsidR="00E91117" w:rsidRPr="003819E1" w:rsidRDefault="00E91117" w:rsidP="00E91117">
      <w:pPr>
        <w:pStyle w:val="TableHeadingNoTable"/>
        <w:spacing w:after="0"/>
      </w:pPr>
      <w:r w:rsidRPr="003819E1">
        <w:t>Note: Impact of net cash appropriation arrangements</w:t>
      </w:r>
    </w:p>
    <w:p w:rsidR="00E91117" w:rsidRPr="009D54F3" w:rsidRDefault="00E91117" w:rsidP="00E91117">
      <w:pPr>
        <w:pStyle w:val="TableGraphic"/>
        <w:rPr>
          <w:rFonts w:ascii="Arial" w:hAnsi="Arial" w:cs="Arial"/>
        </w:rPr>
      </w:pPr>
      <w:r w:rsidRPr="00D52088">
        <w:rPr>
          <w:noProof/>
        </w:rPr>
        <w:t xml:space="preserve"> </w:t>
      </w:r>
      <w:r w:rsidR="00E64AA9" w:rsidRPr="00E64AA9">
        <w:rPr>
          <w:noProof/>
        </w:rPr>
        <w:drawing>
          <wp:inline distT="0" distB="0" distL="0" distR="0">
            <wp:extent cx="4895850" cy="139317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95850" cy="1393178"/>
                    </a:xfrm>
                    <a:prstGeom prst="rect">
                      <a:avLst/>
                    </a:prstGeom>
                    <a:noFill/>
                    <a:ln>
                      <a:noFill/>
                    </a:ln>
                  </pic:spPr>
                </pic:pic>
              </a:graphicData>
            </a:graphic>
          </wp:inline>
        </w:drawing>
      </w:r>
    </w:p>
    <w:p w:rsidR="00E64AA9" w:rsidRDefault="00E64AA9" w:rsidP="00E64AA9">
      <w:pPr>
        <w:pStyle w:val="ChartandTableFootnoteAlpha"/>
      </w:pPr>
      <w:r w:rsidRPr="00E64AA9">
        <w:t>Prepared on Australian Accounting Standards basis.</w:t>
      </w:r>
    </w:p>
    <w:p w:rsidR="00E91117" w:rsidRPr="002A0F2E" w:rsidRDefault="00E91117" w:rsidP="00DA1F4B">
      <w:pPr>
        <w:pStyle w:val="ChartandTableFootnoteAlpha"/>
        <w:numPr>
          <w:ilvl w:val="0"/>
          <w:numId w:val="32"/>
        </w:numPr>
        <w:ind w:left="357" w:hanging="357"/>
      </w:pPr>
      <w:r w:rsidRPr="00D52088">
        <w:t>Applies</w:t>
      </w:r>
      <w:r>
        <w:t xml:space="preserve"> to</w:t>
      </w:r>
      <w:r w:rsidRPr="00D52088">
        <w:t xml:space="preserve"> leases under AASB 16 Leases.</w:t>
      </w:r>
    </w:p>
    <w:p w:rsidR="00E91117" w:rsidRDefault="00E91117" w:rsidP="00E91117">
      <w:pPr>
        <w:pStyle w:val="Source"/>
        <w:rPr>
          <w:rFonts w:cs="Arial"/>
        </w:rPr>
      </w:pPr>
    </w:p>
    <w:p w:rsidR="00E91117" w:rsidRDefault="00E91117" w:rsidP="00E91117">
      <w:pPr>
        <w:pStyle w:val="Source"/>
        <w:rPr>
          <w:rFonts w:cs="Arial"/>
        </w:rPr>
      </w:pPr>
    </w:p>
    <w:p w:rsidR="00E91117" w:rsidRDefault="00E91117" w:rsidP="00E91117">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rsidR="00E91117" w:rsidRDefault="00E91117" w:rsidP="00E91117">
      <w:pPr>
        <w:pStyle w:val="TableGraphic"/>
      </w:pPr>
      <w:r w:rsidRPr="000E2A36">
        <w:rPr>
          <w:noProof/>
        </w:rPr>
        <w:drawing>
          <wp:inline distT="0" distB="0" distL="0" distR="0" wp14:anchorId="3F04D960" wp14:editId="381409EC">
            <wp:extent cx="4816475" cy="5252720"/>
            <wp:effectExtent l="0" t="0" r="3175"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16475" cy="5252720"/>
                    </a:xfrm>
                    <a:prstGeom prst="rect">
                      <a:avLst/>
                    </a:prstGeom>
                    <a:noFill/>
                    <a:ln>
                      <a:noFill/>
                    </a:ln>
                  </pic:spPr>
                </pic:pic>
              </a:graphicData>
            </a:graphic>
          </wp:inline>
        </w:drawing>
      </w:r>
    </w:p>
    <w:p w:rsidR="00E91117" w:rsidRPr="00132F9E" w:rsidRDefault="00E91117" w:rsidP="000018EC">
      <w:pPr>
        <w:pStyle w:val="Source"/>
        <w:rPr>
          <w:rFonts w:cs="Arial"/>
        </w:rPr>
      </w:pPr>
      <w:r w:rsidRPr="00132F9E">
        <w:rPr>
          <w:rFonts w:cs="Arial"/>
        </w:rPr>
        <w:t>Prepared on Australian Accounting Standards basis.</w:t>
      </w:r>
    </w:p>
    <w:p w:rsidR="00E91117" w:rsidRPr="00132F9E" w:rsidRDefault="00E91117" w:rsidP="000018EC">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E91117" w:rsidRPr="00152B2B" w:rsidRDefault="00E91117" w:rsidP="00E91117"/>
    <w:p w:rsidR="00E91117" w:rsidRPr="00152B2B" w:rsidRDefault="00E91117" w:rsidP="00E91117"/>
    <w:p w:rsidR="00EB3427" w:rsidRDefault="00E91117" w:rsidP="00E91117">
      <w:pPr>
        <w:pStyle w:val="TableHeading"/>
      </w:pPr>
      <w:r>
        <w:br w:type="page"/>
      </w:r>
      <w:r w:rsidRPr="00AD42E2">
        <w:lastRenderedPageBreak/>
        <w:t>Table 3.3: Departmental statement of changes in equity — summary of</w:t>
      </w:r>
      <w:r>
        <w:t xml:space="preserve"> movement (Budget year </w:t>
      </w:r>
      <w:r>
        <w:rPr>
          <w:lang w:val="en-AU"/>
        </w:rPr>
        <w:t>2022-23</w:t>
      </w:r>
      <w:r w:rsidRPr="00D30CBA">
        <w:t>)</w:t>
      </w:r>
    </w:p>
    <w:p w:rsidR="00EB3427" w:rsidRDefault="00EB3427" w:rsidP="00E91117">
      <w:pPr>
        <w:pStyle w:val="TableHeading"/>
      </w:pPr>
      <w:r w:rsidRPr="00EB3427">
        <w:rPr>
          <w:noProof/>
          <w:lang w:val="en-AU" w:eastAsia="en-AU"/>
        </w:rPr>
        <w:drawing>
          <wp:inline distT="0" distB="0" distL="0" distR="0" wp14:anchorId="5813D050" wp14:editId="29E4C922">
            <wp:extent cx="4895850" cy="234724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95850" cy="2347243"/>
                    </a:xfrm>
                    <a:prstGeom prst="rect">
                      <a:avLst/>
                    </a:prstGeom>
                    <a:noFill/>
                    <a:ln>
                      <a:noFill/>
                    </a:ln>
                  </pic:spPr>
                </pic:pic>
              </a:graphicData>
            </a:graphic>
          </wp:inline>
        </w:drawing>
      </w:r>
    </w:p>
    <w:p w:rsidR="00EB3427" w:rsidRPr="00132F9E" w:rsidRDefault="00EB3427" w:rsidP="000018EC">
      <w:pPr>
        <w:pStyle w:val="TableGraphic"/>
        <w:rPr>
          <w:rFonts w:ascii="Arial" w:hAnsi="Arial" w:cs="Arial"/>
          <w:sz w:val="16"/>
          <w:szCs w:val="16"/>
        </w:rPr>
      </w:pPr>
      <w:r w:rsidRPr="00132F9E">
        <w:rPr>
          <w:rFonts w:ascii="Arial" w:hAnsi="Arial" w:cs="Arial"/>
          <w:sz w:val="16"/>
          <w:szCs w:val="16"/>
        </w:rPr>
        <w:t>Prepared on Australian Accounting Standards basis.</w:t>
      </w:r>
    </w:p>
    <w:p w:rsidR="00EB3427" w:rsidRPr="009C5D44" w:rsidRDefault="00EB3427" w:rsidP="00117D51">
      <w:pPr>
        <w:pStyle w:val="TableGraphic"/>
      </w:pPr>
    </w:p>
    <w:p w:rsidR="00E91117" w:rsidRDefault="00E91117" w:rsidP="00E91117">
      <w:pPr>
        <w:pStyle w:val="TableHeading"/>
        <w:rPr>
          <w:rFonts w:ascii="Times New Roman" w:hAnsi="Times New Roman"/>
        </w:rPr>
      </w:pP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rsidR="00E91117" w:rsidRPr="00152B2B" w:rsidRDefault="00E91117" w:rsidP="00E91117">
      <w:pPr>
        <w:pStyle w:val="TableGraphic"/>
      </w:pPr>
      <w:r>
        <w:fldChar w:fldCharType="end"/>
      </w:r>
      <w:r w:rsidRPr="002376AD">
        <w:t xml:space="preserve"> </w:t>
      </w:r>
    </w:p>
    <w:p w:rsidR="00E91117" w:rsidRPr="00A00283" w:rsidRDefault="00E91117" w:rsidP="00E91117">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E91117" w:rsidRDefault="000018EC" w:rsidP="00E91117">
      <w:pPr>
        <w:pStyle w:val="TableGraphic"/>
        <w:tabs>
          <w:tab w:val="left" w:pos="6237"/>
        </w:tabs>
      </w:pPr>
      <w:r w:rsidRPr="000018EC">
        <w:rPr>
          <w:noProof/>
        </w:rPr>
        <w:drawing>
          <wp:inline distT="0" distB="0" distL="0" distR="0">
            <wp:extent cx="4895850" cy="5292228"/>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895850" cy="5292228"/>
                    </a:xfrm>
                    <a:prstGeom prst="rect">
                      <a:avLst/>
                    </a:prstGeom>
                    <a:noFill/>
                    <a:ln>
                      <a:noFill/>
                    </a:ln>
                  </pic:spPr>
                </pic:pic>
              </a:graphicData>
            </a:graphic>
          </wp:inline>
        </w:drawing>
      </w:r>
    </w:p>
    <w:p w:rsidR="000018EC" w:rsidRPr="000018EC" w:rsidRDefault="000018EC" w:rsidP="000018EC">
      <w:pPr>
        <w:rPr>
          <w:rFonts w:ascii="Arial" w:hAnsi="Arial" w:cs="Arial"/>
          <w:sz w:val="16"/>
          <w:szCs w:val="16"/>
        </w:rPr>
      </w:pPr>
      <w:r w:rsidRPr="000018EC">
        <w:rPr>
          <w:rFonts w:ascii="Arial" w:hAnsi="Arial" w:cs="Arial"/>
          <w:sz w:val="16"/>
          <w:szCs w:val="16"/>
        </w:rPr>
        <w:t>Prepared on Australian Accounting Standards basis.</w:t>
      </w:r>
    </w:p>
    <w:p w:rsidR="00E91117" w:rsidRDefault="00E91117" w:rsidP="00E91117">
      <w:pPr>
        <w:pStyle w:val="TableHeading"/>
      </w:pPr>
      <w:r w:rsidRPr="00D30CBA">
        <w:lastRenderedPageBreak/>
        <w:t>Table</w:t>
      </w:r>
      <w:r>
        <w:t xml:space="preserve"> 3.5</w:t>
      </w:r>
      <w:r w:rsidRPr="00D30CBA">
        <w:t xml:space="preserve">: </w:t>
      </w:r>
      <w:r>
        <w:t>Departmental capital budget statement (for the period ended 30 June)</w:t>
      </w:r>
      <w:r w:rsidRPr="00E55F84">
        <w:rPr>
          <w:b w:val="0"/>
          <w:noProof/>
        </w:rPr>
        <w:t xml:space="preserve"> </w:t>
      </w:r>
    </w:p>
    <w:p w:rsidR="00E91117" w:rsidRPr="00132F9E" w:rsidRDefault="00E91117" w:rsidP="00E91117">
      <w:pPr>
        <w:pStyle w:val="TableGraphic"/>
        <w:rPr>
          <w:rFonts w:ascii="Arial" w:hAnsi="Arial" w:cs="Arial"/>
          <w:sz w:val="16"/>
          <w:szCs w:val="16"/>
        </w:rPr>
      </w:pPr>
      <w:r w:rsidRPr="008C6F50">
        <w:rPr>
          <w:noProof/>
        </w:rPr>
        <w:drawing>
          <wp:inline distT="0" distB="0" distL="0" distR="0" wp14:anchorId="0B0FFB0C" wp14:editId="7F1EB341">
            <wp:extent cx="4819650" cy="21907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819650" cy="2190750"/>
                    </a:xfrm>
                    <a:prstGeom prst="rect">
                      <a:avLst/>
                    </a:prstGeom>
                    <a:noFill/>
                    <a:ln>
                      <a:noFill/>
                    </a:ln>
                  </pic:spPr>
                </pic:pic>
              </a:graphicData>
            </a:graphic>
          </wp:inline>
        </w:drawing>
      </w:r>
      <w:r w:rsidRPr="00132F9E">
        <w:rPr>
          <w:rFonts w:ascii="Arial" w:hAnsi="Arial" w:cs="Arial"/>
          <w:sz w:val="16"/>
          <w:szCs w:val="16"/>
        </w:rPr>
        <w:t>Prepared on Australian Accounting Standards basis.</w:t>
      </w:r>
    </w:p>
    <w:p w:rsidR="00E91117" w:rsidRPr="00132F9E" w:rsidRDefault="00E91117" w:rsidP="00E91117">
      <w:pPr>
        <w:pStyle w:val="ChartandTableFootnoteAlpha"/>
        <w:ind w:left="284" w:hanging="284"/>
        <w:rPr>
          <w:rFonts w:cs="Arial"/>
          <w:szCs w:val="16"/>
        </w:rPr>
      </w:pPr>
    </w:p>
    <w:p w:rsidR="00E91117" w:rsidRPr="00143E1F" w:rsidRDefault="00E91117" w:rsidP="00E91117">
      <w:pPr>
        <w:pStyle w:val="NoSpacing"/>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Pr="00143E1F" w:rsidRDefault="00E91117" w:rsidP="00E91117">
      <w:pPr>
        <w:pStyle w:val="ExampleText0"/>
        <w:rPr>
          <w:color w:val="auto"/>
        </w:rPr>
      </w:pPr>
    </w:p>
    <w:p w:rsidR="00E91117" w:rsidRDefault="00E91117" w:rsidP="00E91117">
      <w:pPr>
        <w:pStyle w:val="TableHeading"/>
        <w:rPr>
          <w:lang w:val="en-AU"/>
        </w:rPr>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p>
    <w:p w:rsidR="00AE7126" w:rsidRPr="009C5D44" w:rsidRDefault="00AE7126" w:rsidP="00117D51">
      <w:pPr>
        <w:pStyle w:val="TableGraphic"/>
      </w:pPr>
      <w:r w:rsidRPr="00AE7126">
        <w:rPr>
          <w:noProof/>
        </w:rPr>
        <w:drawing>
          <wp:inline distT="0" distB="0" distL="0" distR="0" wp14:anchorId="425EFD91" wp14:editId="4F17AB5E">
            <wp:extent cx="4732655" cy="411099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32655" cy="4110990"/>
                    </a:xfrm>
                    <a:prstGeom prst="rect">
                      <a:avLst/>
                    </a:prstGeom>
                    <a:noFill/>
                    <a:ln>
                      <a:noFill/>
                    </a:ln>
                  </pic:spPr>
                </pic:pic>
              </a:graphicData>
            </a:graphic>
          </wp:inline>
        </w:drawing>
      </w:r>
    </w:p>
    <w:p w:rsidR="00D34309" w:rsidRPr="009C5D44" w:rsidRDefault="00D34309" w:rsidP="00117D51">
      <w:pPr>
        <w:pStyle w:val="TableGraphic"/>
        <w:rPr>
          <w:rFonts w:cs="Arial"/>
          <w:szCs w:val="16"/>
        </w:rPr>
      </w:pPr>
      <w:r w:rsidRPr="00117D51">
        <w:rPr>
          <w:rFonts w:ascii="Arial" w:hAnsi="Arial" w:cs="Arial"/>
          <w:sz w:val="16"/>
          <w:szCs w:val="16"/>
        </w:rPr>
        <w:t>Prepared on Australian Accounting Standards basis.</w:t>
      </w:r>
    </w:p>
    <w:p w:rsidR="00D34309" w:rsidRPr="009C5D44" w:rsidRDefault="00D34309" w:rsidP="00117D51"/>
    <w:p w:rsidR="00E91117" w:rsidRDefault="00E91117" w:rsidP="00E91117">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E91117" w:rsidRPr="00E55F84" w:rsidRDefault="00E91117" w:rsidP="00E91117">
      <w:pPr>
        <w:pStyle w:val="TableGraphic"/>
        <w:rPr>
          <w:lang w:val="x-none" w:eastAsia="x-none"/>
        </w:rPr>
      </w:pPr>
    </w:p>
    <w:p w:rsidR="00E91117" w:rsidRDefault="00E91117" w:rsidP="00E91117">
      <w:r w:rsidRPr="00EC5629">
        <w:t xml:space="preserve">CSC has no budgeted income and expenses administered on behalf of the Government. </w:t>
      </w:r>
    </w:p>
    <w:p w:rsidR="00E91117" w:rsidRDefault="00E91117" w:rsidP="00E91117">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E91117" w:rsidRPr="00E55F84" w:rsidRDefault="00E91117" w:rsidP="00E91117">
      <w:pPr>
        <w:pStyle w:val="TableGraphic"/>
        <w:rPr>
          <w:lang w:val="x-none" w:eastAsia="x-none"/>
        </w:rPr>
      </w:pPr>
    </w:p>
    <w:p w:rsidR="00E91117" w:rsidRPr="0029723D" w:rsidRDefault="00E91117" w:rsidP="00E91117">
      <w:r w:rsidRPr="00EC5629">
        <w:rPr>
          <w:lang w:val="x-none" w:eastAsia="x-none"/>
        </w:rPr>
        <w:t xml:space="preserve">CSC has no budgeted assets and liabilities administered on behalf of the </w:t>
      </w:r>
      <w:r w:rsidRPr="0029723D">
        <w:t xml:space="preserve">Government.  </w:t>
      </w:r>
    </w:p>
    <w:p w:rsidR="00E91117" w:rsidRDefault="00E91117" w:rsidP="00E91117">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rsidR="00E91117" w:rsidRPr="00E55F84" w:rsidRDefault="00E91117" w:rsidP="00E91117">
      <w:pPr>
        <w:pStyle w:val="TableGraphic"/>
        <w:rPr>
          <w:lang w:val="x-none" w:eastAsia="x-none"/>
        </w:rPr>
      </w:pPr>
    </w:p>
    <w:p w:rsidR="00E91117" w:rsidRPr="006E5BCF" w:rsidRDefault="00E91117" w:rsidP="00E91117">
      <w:r w:rsidRPr="006E5BCF">
        <w:t>CSC has no budgeted cash flows administered on behalf of the Government.</w:t>
      </w:r>
    </w:p>
    <w:p w:rsidR="00E91117" w:rsidRDefault="00E91117" w:rsidP="00E91117">
      <w:pPr>
        <w:pStyle w:val="TableHeading"/>
      </w:pPr>
      <w:r w:rsidRPr="00D30CBA">
        <w:lastRenderedPageBreak/>
        <w:t>Table</w:t>
      </w:r>
      <w:r>
        <w:t xml:space="preserve"> 3.10</w:t>
      </w:r>
      <w:r w:rsidRPr="00D30CBA">
        <w:t xml:space="preserve">: </w:t>
      </w:r>
      <w:r>
        <w:rPr>
          <w:lang w:val="en-AU"/>
        </w:rPr>
        <w:t xml:space="preserve">Schedule of </w:t>
      </w:r>
      <w:r>
        <w:t>administered capital budget statement (for the period ended 30 June)</w:t>
      </w:r>
    </w:p>
    <w:p w:rsidR="00E91117" w:rsidRPr="00A20C5D" w:rsidRDefault="00E91117" w:rsidP="00E91117">
      <w:pPr>
        <w:pStyle w:val="TableGraphic"/>
      </w:pPr>
    </w:p>
    <w:p w:rsidR="00E91117" w:rsidRPr="006E5BCF" w:rsidRDefault="00E91117" w:rsidP="00E91117">
      <w:r w:rsidRPr="006E5BCF">
        <w:t>CSC has no budgeted capital administered on behalf of the Government.</w:t>
      </w:r>
    </w:p>
    <w:p w:rsidR="00E91117" w:rsidRDefault="00E91117" w:rsidP="00E91117">
      <w:pPr>
        <w:pStyle w:val="TableHeading"/>
        <w:keepNext w:val="0"/>
        <w:spacing w:after="0" w:line="260" w:lineRule="exact"/>
        <w:jc w:val="both"/>
      </w:pPr>
      <w:r>
        <w:t xml:space="preserve">Table 3.11: Statement of administered asset movements (Budget year </w:t>
      </w:r>
      <w:r>
        <w:rPr>
          <w:lang w:val="en-AU"/>
        </w:rPr>
        <w:t>2022-23</w:t>
      </w:r>
      <w:r>
        <w:t>)</w:t>
      </w:r>
    </w:p>
    <w:p w:rsidR="00E91117" w:rsidRPr="00E55F84" w:rsidRDefault="00E91117" w:rsidP="00E91117">
      <w:pPr>
        <w:pStyle w:val="TableGraphic"/>
        <w:rPr>
          <w:lang w:val="x-none" w:eastAsia="x-none"/>
        </w:rPr>
      </w:pPr>
    </w:p>
    <w:p w:rsidR="00E91117" w:rsidRDefault="00E91117" w:rsidP="00E91117">
      <w:r w:rsidRPr="00EC5629">
        <w:rPr>
          <w:lang w:val="x-none" w:eastAsia="x-none"/>
        </w:rPr>
        <w:t>CSC has no budgeted non-financial assets administered on behalf of the Government.</w:t>
      </w:r>
      <w:r>
        <w:t xml:space="preserve"> </w:t>
      </w:r>
    </w:p>
    <w:bookmarkEnd w:id="72"/>
    <w:p w:rsidR="00E91117" w:rsidRPr="000C3B86" w:rsidRDefault="00E91117" w:rsidP="00E91117"/>
    <w:p w:rsidR="005D36C8" w:rsidRDefault="005D36C8" w:rsidP="000867C1">
      <w:pPr>
        <w:pStyle w:val="Source"/>
        <w:jc w:val="left"/>
        <w:rPr>
          <w:rFonts w:ascii="Book Antiqua" w:hAnsi="Book Antiqua"/>
          <w:sz w:val="20"/>
        </w:rPr>
        <w:sectPr w:rsidR="005D36C8" w:rsidSect="00503FD8">
          <w:headerReference w:type="even" r:id="rId112"/>
          <w:headerReference w:type="default" r:id="rId113"/>
          <w:footerReference w:type="first" r:id="rId114"/>
          <w:type w:val="oddPage"/>
          <w:pgSz w:w="11906" w:h="16838" w:code="9"/>
          <w:pgMar w:top="2835" w:right="2098" w:bottom="2466" w:left="2098" w:header="1814" w:footer="1814" w:gutter="0"/>
          <w:cols w:space="708"/>
          <w:titlePg/>
          <w:docGrid w:linePitch="360"/>
        </w:sectPr>
      </w:pPr>
    </w:p>
    <w:p w:rsidR="005D36C8" w:rsidRPr="005A7C0B" w:rsidRDefault="005D36C8" w:rsidP="005D36C8">
      <w:pPr>
        <w:pStyle w:val="PartHeading"/>
      </w:pPr>
      <w:r>
        <w:lastRenderedPageBreak/>
        <w:t>Future Fund Management Agency</w:t>
      </w:r>
    </w:p>
    <w:p w:rsidR="005D36C8" w:rsidRDefault="005D36C8" w:rsidP="005D36C8">
      <w:pPr>
        <w:pStyle w:val="PartHeading"/>
      </w:pPr>
    </w:p>
    <w:p w:rsidR="005D36C8" w:rsidRDefault="005D36C8" w:rsidP="005D36C8">
      <w:pPr>
        <w:pStyle w:val="PartHeading"/>
      </w:pPr>
    </w:p>
    <w:p w:rsidR="005D36C8" w:rsidRDefault="005D36C8" w:rsidP="005D36C8">
      <w:pPr>
        <w:pStyle w:val="PartHeading-TOC"/>
      </w:pPr>
      <w:bookmarkStart w:id="80" w:name="_Toc97893020"/>
      <w:r>
        <w:t>Entity resources and planned performance</w:t>
      </w:r>
      <w:bookmarkEnd w:id="80"/>
    </w:p>
    <w:p w:rsidR="005D36C8" w:rsidRDefault="005D36C8" w:rsidP="005D36C8">
      <w:pPr>
        <w:pStyle w:val="PartHeading"/>
        <w:sectPr w:rsidR="005D36C8" w:rsidSect="00782467">
          <w:headerReference w:type="even" r:id="rId115"/>
          <w:footerReference w:type="even" r:id="rId116"/>
          <w:footerReference w:type="default" r:id="rId117"/>
          <w:footerReference w:type="first" r:id="rId118"/>
          <w:type w:val="oddPage"/>
          <w:pgSz w:w="11906" w:h="16838" w:code="9"/>
          <w:pgMar w:top="2835" w:right="2098" w:bottom="2466" w:left="2098" w:header="1814" w:footer="1814" w:gutter="0"/>
          <w:cols w:space="708"/>
          <w:vAlign w:val="center"/>
          <w:titlePg/>
          <w:docGrid w:linePitch="360"/>
        </w:sectPr>
      </w:pPr>
    </w:p>
    <w:p w:rsidR="005D36C8" w:rsidRPr="002A32FD" w:rsidRDefault="005D36C8" w:rsidP="005D36C8">
      <w:pPr>
        <w:pStyle w:val="ContentsHeading"/>
      </w:pPr>
      <w:r>
        <w:lastRenderedPageBreak/>
        <w:t xml:space="preserve">Future Fund Management Agency </w:t>
      </w:r>
    </w:p>
    <w:p w:rsidR="00F909F5" w:rsidRDefault="005D36C8">
      <w:pPr>
        <w:pStyle w:val="TOC1"/>
        <w:rPr>
          <w:rFonts w:asciiTheme="minorHAnsi" w:eastAsiaTheme="minorEastAsia" w:hAnsiTheme="minorHAnsi" w:cstheme="minorBidi"/>
          <w:b w:val="0"/>
          <w:caps w:val="0"/>
          <w:noProof/>
          <w:sz w:val="22"/>
          <w:szCs w:val="22"/>
          <w:lang w:eastAsia="zh-CN"/>
        </w:rPr>
      </w:pPr>
      <w:r>
        <w:fldChar w:fldCharType="begin"/>
      </w:r>
      <w:r>
        <w:instrText xml:space="preserve"> TOC \h \z \t "Heading 2,1,Heading 3,2"</w:instrText>
      </w:r>
      <w:r w:rsidR="00ED61E7">
        <w:instrText xml:space="preserve"> \b FFMA</w:instrText>
      </w:r>
      <w:r>
        <w:instrText xml:space="preserve"> </w:instrText>
      </w:r>
      <w:r>
        <w:fldChar w:fldCharType="separate"/>
      </w:r>
      <w:hyperlink w:anchor="_Toc98181367" w:history="1">
        <w:r w:rsidR="00F909F5" w:rsidRPr="00360A60">
          <w:rPr>
            <w:rStyle w:val="Hyperlink"/>
            <w:noProof/>
          </w:rPr>
          <w:t>Section 1: Entity overview and resources</w:t>
        </w:r>
        <w:r w:rsidR="00F909F5">
          <w:rPr>
            <w:noProof/>
            <w:webHidden/>
          </w:rPr>
          <w:tab/>
        </w:r>
        <w:r w:rsidR="00F909F5">
          <w:rPr>
            <w:noProof/>
            <w:webHidden/>
          </w:rPr>
          <w:fldChar w:fldCharType="begin"/>
        </w:r>
        <w:r w:rsidR="00F909F5">
          <w:rPr>
            <w:noProof/>
            <w:webHidden/>
          </w:rPr>
          <w:instrText xml:space="preserve"> PAGEREF _Toc98181367 \h </w:instrText>
        </w:r>
        <w:r w:rsidR="00F909F5">
          <w:rPr>
            <w:noProof/>
            <w:webHidden/>
          </w:rPr>
        </w:r>
        <w:r w:rsidR="00F909F5">
          <w:rPr>
            <w:noProof/>
            <w:webHidden/>
          </w:rPr>
          <w:fldChar w:fldCharType="separate"/>
        </w:r>
        <w:r w:rsidR="003B3D60">
          <w:rPr>
            <w:noProof/>
            <w:webHidden/>
          </w:rPr>
          <w:t>117</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68" w:history="1">
        <w:r w:rsidR="00F909F5" w:rsidRPr="00360A60">
          <w:rPr>
            <w:rStyle w:val="Hyperlink"/>
            <w:noProof/>
          </w:rPr>
          <w:t>1.1</w:t>
        </w:r>
        <w:r w:rsidR="00F909F5">
          <w:rPr>
            <w:rFonts w:asciiTheme="minorHAnsi" w:eastAsiaTheme="minorEastAsia" w:hAnsiTheme="minorHAnsi" w:cstheme="minorBidi"/>
            <w:noProof/>
            <w:sz w:val="22"/>
            <w:szCs w:val="22"/>
            <w:lang w:eastAsia="zh-CN"/>
          </w:rPr>
          <w:tab/>
        </w:r>
        <w:r w:rsidR="00F909F5" w:rsidRPr="00360A60">
          <w:rPr>
            <w:rStyle w:val="Hyperlink"/>
            <w:noProof/>
          </w:rPr>
          <w:t>Strategic direction statement</w:t>
        </w:r>
        <w:r w:rsidR="00F909F5">
          <w:rPr>
            <w:noProof/>
            <w:webHidden/>
          </w:rPr>
          <w:tab/>
        </w:r>
        <w:r w:rsidR="00F909F5">
          <w:rPr>
            <w:noProof/>
            <w:webHidden/>
          </w:rPr>
          <w:fldChar w:fldCharType="begin"/>
        </w:r>
        <w:r w:rsidR="00F909F5">
          <w:rPr>
            <w:noProof/>
            <w:webHidden/>
          </w:rPr>
          <w:instrText xml:space="preserve"> PAGEREF _Toc98181368 \h </w:instrText>
        </w:r>
        <w:r w:rsidR="00F909F5">
          <w:rPr>
            <w:noProof/>
            <w:webHidden/>
          </w:rPr>
        </w:r>
        <w:r w:rsidR="00F909F5">
          <w:rPr>
            <w:noProof/>
            <w:webHidden/>
          </w:rPr>
          <w:fldChar w:fldCharType="separate"/>
        </w:r>
        <w:r w:rsidR="003B3D60">
          <w:rPr>
            <w:noProof/>
            <w:webHidden/>
          </w:rPr>
          <w:t>117</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69" w:history="1">
        <w:r w:rsidR="00F909F5" w:rsidRPr="00360A60">
          <w:rPr>
            <w:rStyle w:val="Hyperlink"/>
            <w:noProof/>
          </w:rPr>
          <w:t>1.2</w:t>
        </w:r>
        <w:r w:rsidR="00F909F5">
          <w:rPr>
            <w:rFonts w:asciiTheme="minorHAnsi" w:eastAsiaTheme="minorEastAsia" w:hAnsiTheme="minorHAnsi" w:cstheme="minorBidi"/>
            <w:noProof/>
            <w:sz w:val="22"/>
            <w:szCs w:val="22"/>
            <w:lang w:eastAsia="zh-CN"/>
          </w:rPr>
          <w:tab/>
        </w:r>
        <w:r w:rsidR="00F909F5" w:rsidRPr="00360A60">
          <w:rPr>
            <w:rStyle w:val="Hyperlink"/>
            <w:noProof/>
          </w:rPr>
          <w:t>Entity resource statement</w:t>
        </w:r>
        <w:r w:rsidR="00F909F5">
          <w:rPr>
            <w:noProof/>
            <w:webHidden/>
          </w:rPr>
          <w:tab/>
        </w:r>
        <w:r w:rsidR="00F909F5">
          <w:rPr>
            <w:noProof/>
            <w:webHidden/>
          </w:rPr>
          <w:fldChar w:fldCharType="begin"/>
        </w:r>
        <w:r w:rsidR="00F909F5">
          <w:rPr>
            <w:noProof/>
            <w:webHidden/>
          </w:rPr>
          <w:instrText xml:space="preserve"> PAGEREF _Toc98181369 \h </w:instrText>
        </w:r>
        <w:r w:rsidR="00F909F5">
          <w:rPr>
            <w:noProof/>
            <w:webHidden/>
          </w:rPr>
        </w:r>
        <w:r w:rsidR="00F909F5">
          <w:rPr>
            <w:noProof/>
            <w:webHidden/>
          </w:rPr>
          <w:fldChar w:fldCharType="separate"/>
        </w:r>
        <w:r w:rsidR="003B3D60">
          <w:rPr>
            <w:noProof/>
            <w:webHidden/>
          </w:rPr>
          <w:t>119</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70" w:history="1">
        <w:r w:rsidR="00F909F5" w:rsidRPr="00360A60">
          <w:rPr>
            <w:rStyle w:val="Hyperlink"/>
            <w:noProof/>
          </w:rPr>
          <w:t>1.3</w:t>
        </w:r>
        <w:r w:rsidR="00F909F5">
          <w:rPr>
            <w:rFonts w:asciiTheme="minorHAnsi" w:eastAsiaTheme="minorEastAsia" w:hAnsiTheme="minorHAnsi" w:cstheme="minorBidi"/>
            <w:noProof/>
            <w:sz w:val="22"/>
            <w:szCs w:val="22"/>
            <w:lang w:eastAsia="zh-CN"/>
          </w:rPr>
          <w:tab/>
        </w:r>
        <w:r w:rsidR="00F909F5" w:rsidRPr="00360A60">
          <w:rPr>
            <w:rStyle w:val="Hyperlink"/>
            <w:noProof/>
          </w:rPr>
          <w:t>Budget measures</w:t>
        </w:r>
        <w:r w:rsidR="00F909F5">
          <w:rPr>
            <w:noProof/>
            <w:webHidden/>
          </w:rPr>
          <w:tab/>
        </w:r>
        <w:r w:rsidR="00F909F5">
          <w:rPr>
            <w:noProof/>
            <w:webHidden/>
          </w:rPr>
          <w:fldChar w:fldCharType="begin"/>
        </w:r>
        <w:r w:rsidR="00F909F5">
          <w:rPr>
            <w:noProof/>
            <w:webHidden/>
          </w:rPr>
          <w:instrText xml:space="preserve"> PAGEREF _Toc98181370 \h </w:instrText>
        </w:r>
        <w:r w:rsidR="00F909F5">
          <w:rPr>
            <w:noProof/>
            <w:webHidden/>
          </w:rPr>
        </w:r>
        <w:r w:rsidR="00F909F5">
          <w:rPr>
            <w:noProof/>
            <w:webHidden/>
          </w:rPr>
          <w:fldChar w:fldCharType="separate"/>
        </w:r>
        <w:r w:rsidR="003B3D60">
          <w:rPr>
            <w:noProof/>
            <w:webHidden/>
          </w:rPr>
          <w:t>119</w:t>
        </w:r>
        <w:r w:rsidR="00F909F5">
          <w:rPr>
            <w:noProof/>
            <w:webHidden/>
          </w:rPr>
          <w:fldChar w:fldCharType="end"/>
        </w:r>
      </w:hyperlink>
    </w:p>
    <w:p w:rsidR="00F909F5" w:rsidRDefault="00CE4BBC">
      <w:pPr>
        <w:pStyle w:val="TOC1"/>
        <w:rPr>
          <w:rFonts w:asciiTheme="minorHAnsi" w:eastAsiaTheme="minorEastAsia" w:hAnsiTheme="minorHAnsi" w:cstheme="minorBidi"/>
          <w:b w:val="0"/>
          <w:caps w:val="0"/>
          <w:noProof/>
          <w:sz w:val="22"/>
          <w:szCs w:val="22"/>
          <w:lang w:eastAsia="zh-CN"/>
        </w:rPr>
      </w:pPr>
      <w:hyperlink w:anchor="_Toc98181371" w:history="1">
        <w:r w:rsidR="00F909F5" w:rsidRPr="00360A60">
          <w:rPr>
            <w:rStyle w:val="Hyperlink"/>
            <w:noProof/>
          </w:rPr>
          <w:t>Section 2: Outcomes and planned performance</w:t>
        </w:r>
        <w:r w:rsidR="00F909F5">
          <w:rPr>
            <w:noProof/>
            <w:webHidden/>
          </w:rPr>
          <w:tab/>
        </w:r>
        <w:r w:rsidR="00F909F5">
          <w:rPr>
            <w:noProof/>
            <w:webHidden/>
          </w:rPr>
          <w:fldChar w:fldCharType="begin"/>
        </w:r>
        <w:r w:rsidR="00F909F5">
          <w:rPr>
            <w:noProof/>
            <w:webHidden/>
          </w:rPr>
          <w:instrText xml:space="preserve"> PAGEREF _Toc98181371 \h </w:instrText>
        </w:r>
        <w:r w:rsidR="00F909F5">
          <w:rPr>
            <w:noProof/>
            <w:webHidden/>
          </w:rPr>
        </w:r>
        <w:r w:rsidR="00F909F5">
          <w:rPr>
            <w:noProof/>
            <w:webHidden/>
          </w:rPr>
          <w:fldChar w:fldCharType="separate"/>
        </w:r>
        <w:r w:rsidR="003B3D60">
          <w:rPr>
            <w:noProof/>
            <w:webHidden/>
          </w:rPr>
          <w:t>120</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72" w:history="1">
        <w:r w:rsidR="00F909F5" w:rsidRPr="00360A60">
          <w:rPr>
            <w:rStyle w:val="Hyperlink"/>
            <w:noProof/>
          </w:rPr>
          <w:t xml:space="preserve">2.1 </w:t>
        </w:r>
        <w:r w:rsidR="00F909F5">
          <w:rPr>
            <w:rFonts w:asciiTheme="minorHAnsi" w:eastAsiaTheme="minorEastAsia" w:hAnsiTheme="minorHAnsi" w:cstheme="minorBidi"/>
            <w:noProof/>
            <w:sz w:val="22"/>
            <w:szCs w:val="22"/>
            <w:lang w:eastAsia="zh-CN"/>
          </w:rPr>
          <w:tab/>
        </w:r>
        <w:r w:rsidR="00F909F5" w:rsidRPr="00360A60">
          <w:rPr>
            <w:rStyle w:val="Hyperlink"/>
            <w:noProof/>
          </w:rPr>
          <w:t>Budgeted expenses and performance for Outcome 1</w:t>
        </w:r>
        <w:r w:rsidR="00F909F5">
          <w:rPr>
            <w:noProof/>
            <w:webHidden/>
          </w:rPr>
          <w:tab/>
        </w:r>
        <w:r w:rsidR="00F909F5">
          <w:rPr>
            <w:noProof/>
            <w:webHidden/>
          </w:rPr>
          <w:fldChar w:fldCharType="begin"/>
        </w:r>
        <w:r w:rsidR="00F909F5">
          <w:rPr>
            <w:noProof/>
            <w:webHidden/>
          </w:rPr>
          <w:instrText xml:space="preserve"> PAGEREF _Toc98181372 \h </w:instrText>
        </w:r>
        <w:r w:rsidR="00F909F5">
          <w:rPr>
            <w:noProof/>
            <w:webHidden/>
          </w:rPr>
        </w:r>
        <w:r w:rsidR="00F909F5">
          <w:rPr>
            <w:noProof/>
            <w:webHidden/>
          </w:rPr>
          <w:fldChar w:fldCharType="separate"/>
        </w:r>
        <w:r w:rsidR="003B3D60">
          <w:rPr>
            <w:noProof/>
            <w:webHidden/>
          </w:rPr>
          <w:t>121</w:t>
        </w:r>
        <w:r w:rsidR="00F909F5">
          <w:rPr>
            <w:noProof/>
            <w:webHidden/>
          </w:rPr>
          <w:fldChar w:fldCharType="end"/>
        </w:r>
      </w:hyperlink>
    </w:p>
    <w:p w:rsidR="00F909F5" w:rsidRDefault="00CE4BBC">
      <w:pPr>
        <w:pStyle w:val="TOC1"/>
        <w:rPr>
          <w:rFonts w:asciiTheme="minorHAnsi" w:eastAsiaTheme="minorEastAsia" w:hAnsiTheme="minorHAnsi" w:cstheme="minorBidi"/>
          <w:b w:val="0"/>
          <w:caps w:val="0"/>
          <w:noProof/>
          <w:sz w:val="22"/>
          <w:szCs w:val="22"/>
          <w:lang w:eastAsia="zh-CN"/>
        </w:rPr>
      </w:pPr>
      <w:hyperlink w:anchor="_Toc98181373" w:history="1">
        <w:r w:rsidR="00F909F5" w:rsidRPr="00360A60">
          <w:rPr>
            <w:rStyle w:val="Hyperlink"/>
            <w:noProof/>
          </w:rPr>
          <w:t>Section 3: Budgeted financial statements</w:t>
        </w:r>
        <w:r w:rsidR="00F909F5">
          <w:rPr>
            <w:noProof/>
            <w:webHidden/>
          </w:rPr>
          <w:tab/>
        </w:r>
        <w:r w:rsidR="00F909F5">
          <w:rPr>
            <w:noProof/>
            <w:webHidden/>
          </w:rPr>
          <w:fldChar w:fldCharType="begin"/>
        </w:r>
        <w:r w:rsidR="00F909F5">
          <w:rPr>
            <w:noProof/>
            <w:webHidden/>
          </w:rPr>
          <w:instrText xml:space="preserve"> PAGEREF _Toc98181373 \h </w:instrText>
        </w:r>
        <w:r w:rsidR="00F909F5">
          <w:rPr>
            <w:noProof/>
            <w:webHidden/>
          </w:rPr>
        </w:r>
        <w:r w:rsidR="00F909F5">
          <w:rPr>
            <w:noProof/>
            <w:webHidden/>
          </w:rPr>
          <w:fldChar w:fldCharType="separate"/>
        </w:r>
        <w:r w:rsidR="003B3D60">
          <w:rPr>
            <w:noProof/>
            <w:webHidden/>
          </w:rPr>
          <w:t>127</w:t>
        </w:r>
        <w:r w:rsidR="00F909F5">
          <w:rPr>
            <w:noProof/>
            <w:webHidden/>
          </w:rPr>
          <w:fldChar w:fldCharType="end"/>
        </w:r>
      </w:hyperlink>
    </w:p>
    <w:p w:rsidR="00F909F5" w:rsidRDefault="00CE4BBC">
      <w:pPr>
        <w:pStyle w:val="TOC2"/>
        <w:tabs>
          <w:tab w:val="left" w:pos="800"/>
        </w:tabs>
        <w:rPr>
          <w:rFonts w:asciiTheme="minorHAnsi" w:eastAsiaTheme="minorEastAsia" w:hAnsiTheme="minorHAnsi" w:cstheme="minorBidi"/>
          <w:noProof/>
          <w:sz w:val="22"/>
          <w:szCs w:val="22"/>
          <w:lang w:eastAsia="zh-CN"/>
        </w:rPr>
      </w:pPr>
      <w:hyperlink w:anchor="_Toc98181374" w:history="1">
        <w:r w:rsidR="00F909F5" w:rsidRPr="00360A60">
          <w:rPr>
            <w:rStyle w:val="Hyperlink"/>
            <w:noProof/>
          </w:rPr>
          <w:t>3.1</w:t>
        </w:r>
        <w:r w:rsidR="00F909F5">
          <w:rPr>
            <w:rFonts w:asciiTheme="minorHAnsi" w:eastAsiaTheme="minorEastAsia" w:hAnsiTheme="minorHAnsi" w:cstheme="minorBidi"/>
            <w:noProof/>
            <w:sz w:val="22"/>
            <w:szCs w:val="22"/>
            <w:lang w:eastAsia="zh-CN"/>
          </w:rPr>
          <w:tab/>
        </w:r>
        <w:r w:rsidR="00F909F5" w:rsidRPr="00360A60">
          <w:rPr>
            <w:rStyle w:val="Hyperlink"/>
            <w:noProof/>
          </w:rPr>
          <w:t>Budgeted financial statements</w:t>
        </w:r>
        <w:r w:rsidR="00F909F5">
          <w:rPr>
            <w:noProof/>
            <w:webHidden/>
          </w:rPr>
          <w:tab/>
        </w:r>
        <w:r w:rsidR="00F909F5">
          <w:rPr>
            <w:noProof/>
            <w:webHidden/>
          </w:rPr>
          <w:fldChar w:fldCharType="begin"/>
        </w:r>
        <w:r w:rsidR="00F909F5">
          <w:rPr>
            <w:noProof/>
            <w:webHidden/>
          </w:rPr>
          <w:instrText xml:space="preserve"> PAGEREF _Toc98181374 \h </w:instrText>
        </w:r>
        <w:r w:rsidR="00F909F5">
          <w:rPr>
            <w:noProof/>
            <w:webHidden/>
          </w:rPr>
        </w:r>
        <w:r w:rsidR="00F909F5">
          <w:rPr>
            <w:noProof/>
            <w:webHidden/>
          </w:rPr>
          <w:fldChar w:fldCharType="separate"/>
        </w:r>
        <w:r w:rsidR="003B3D60">
          <w:rPr>
            <w:noProof/>
            <w:webHidden/>
          </w:rPr>
          <w:t>127</w:t>
        </w:r>
        <w:r w:rsidR="00F909F5">
          <w:rPr>
            <w:noProof/>
            <w:webHidden/>
          </w:rPr>
          <w:fldChar w:fldCharType="end"/>
        </w:r>
      </w:hyperlink>
    </w:p>
    <w:p w:rsidR="005D36C8" w:rsidRDefault="005D36C8" w:rsidP="005D36C8">
      <w:pPr>
        <w:pStyle w:val="TOC1"/>
      </w:pPr>
      <w:r>
        <w:fldChar w:fldCharType="end"/>
      </w:r>
    </w:p>
    <w:p w:rsidR="005D36C8" w:rsidRPr="008B5AFD" w:rsidRDefault="005D36C8" w:rsidP="005D36C8"/>
    <w:p w:rsidR="005D36C8" w:rsidRDefault="005D36C8" w:rsidP="005D36C8">
      <w:pPr>
        <w:sectPr w:rsidR="005D36C8" w:rsidSect="00782467">
          <w:footerReference w:type="even" r:id="rId119"/>
          <w:footerReference w:type="default" r:id="rId120"/>
          <w:headerReference w:type="first" r:id="rId121"/>
          <w:footerReference w:type="first" r:id="rId122"/>
          <w:type w:val="oddPage"/>
          <w:pgSz w:w="11906" w:h="16838" w:code="9"/>
          <w:pgMar w:top="2835" w:right="2098" w:bottom="2466" w:left="2098" w:header="1814" w:footer="1814" w:gutter="0"/>
          <w:cols w:space="708"/>
          <w:titlePg/>
          <w:docGrid w:linePitch="360"/>
        </w:sectPr>
      </w:pPr>
    </w:p>
    <w:p w:rsidR="005D36C8" w:rsidRDefault="005D36C8" w:rsidP="005D36C8">
      <w:pPr>
        <w:pStyle w:val="Heading1"/>
      </w:pPr>
      <w:bookmarkStart w:id="81" w:name="_Toc97893021"/>
      <w:r>
        <w:lastRenderedPageBreak/>
        <w:t>Future Fund Management Agency</w:t>
      </w:r>
      <w:bookmarkEnd w:id="81"/>
    </w:p>
    <w:p w:rsidR="005D36C8" w:rsidRPr="002C4D41" w:rsidRDefault="005D36C8" w:rsidP="005D36C8">
      <w:pPr>
        <w:pStyle w:val="Heading2"/>
      </w:pPr>
      <w:bookmarkStart w:id="82" w:name="_Toc98181367"/>
      <w:bookmarkStart w:id="83" w:name="FFMA"/>
      <w:r w:rsidRPr="002C4D41">
        <w:t xml:space="preserve">Section 1: Entity overview and </w:t>
      </w:r>
      <w:r>
        <w:t>reso</w:t>
      </w:r>
      <w:r w:rsidRPr="002C4D41">
        <w:t>urces</w:t>
      </w:r>
      <w:bookmarkEnd w:id="82"/>
    </w:p>
    <w:p w:rsidR="005D36C8" w:rsidRDefault="005D36C8" w:rsidP="005D36C8">
      <w:pPr>
        <w:pStyle w:val="Heading3"/>
      </w:pPr>
      <w:bookmarkStart w:id="84" w:name="_Toc98181368"/>
      <w:r>
        <w:t>1.1</w:t>
      </w:r>
      <w:r>
        <w:tab/>
        <w:t>Strategic direction statement</w:t>
      </w:r>
      <w:bookmarkEnd w:id="84"/>
    </w:p>
    <w:p w:rsidR="005D36C8" w:rsidRDefault="005D36C8" w:rsidP="005D36C8">
      <w:r>
        <w:t>The   Future   Fund   Management   Agency (FFMA) was   established   by    the Future Fund Act 2006 to support and advise the Future Fund Board of Guardians (the Board) in its task of investing the assets of the Future Fund.</w:t>
      </w:r>
    </w:p>
    <w:p w:rsidR="005D36C8" w:rsidRDefault="005D36C8" w:rsidP="005D36C8">
      <w:r>
        <w:t xml:space="preserve">The scope of the FFMA and the Board was extended by the </w:t>
      </w:r>
      <w:proofErr w:type="spellStart"/>
      <w:r>
        <w:t>DisabilityCare</w:t>
      </w:r>
      <w:proofErr w:type="spellEnd"/>
      <w:r>
        <w:t xml:space="preserve"> Australia Fund Act 2013, the Medical Research Future Fund Act 2015, the Aboriginal and Torres Strait Islander Land and Sea Future Fund Act 2018, the Future Drought Fund Act 2019 and the Emergency Response Fund Act 2019 to include the management of investments to grow other Australian Government Investment Funds as a means to provide financing sources for substantial future investments in the Australian economy. As a result the FFMA supports the Board in managing investments of the Future Fund, </w:t>
      </w:r>
      <w:proofErr w:type="spellStart"/>
      <w:r>
        <w:t>DisabilityCare</w:t>
      </w:r>
      <w:proofErr w:type="spellEnd"/>
      <w:r>
        <w:t xml:space="preserve"> Australia Fund (DCAF), Medical Research Future Fund (MRFF), Aboriginal and Torres Strait Islander Land and Sea Future Fund (ATSILSFF), Future Drought Fund (FDF) and the Emergency Response Fund (ERF).</w:t>
      </w:r>
    </w:p>
    <w:p w:rsidR="005D36C8" w:rsidRDefault="005D36C8" w:rsidP="005D36C8">
      <w:r>
        <w:t>The FFMA focuses on supporting and advising the Board of Guardians in developing and implementing appropriate investment strategies for the funds. Investing in global markets is a highly specialised and competitive commercial activity. Accordingly the Board and FFMA intend to continue to develop and invest in the Agency’s skills, capabilities, resources and systems in order to keep up with the fast-evolving industry and to maintain the Agency’s competitiveness within that industry in terms of finding good investments.</w:t>
      </w:r>
    </w:p>
    <w:p w:rsidR="005D36C8" w:rsidRDefault="005D36C8" w:rsidP="005D36C8">
      <w:r>
        <w:t>The Future Fund’s portfolio will continue to evolve as the Board manages the portfolio in line with its mandate and strategy. The government revised the Future Fund mandate return in May 2017 and announced its intention to delay the drawdowns from the Future Fund until at least 2027. The approach to managing the po</w:t>
      </w:r>
      <w:r w:rsidR="006241BA">
        <w:t>rtfolio is detailed in the 2020</w:t>
      </w:r>
      <w:r w:rsidR="006241BA">
        <w:noBreakHyphen/>
      </w:r>
      <w:r>
        <w:t>21 Future Fund Annual Report. Recognising the potential for continued volatility in investment markets, an important emphasis for the FFMA and the Board is maintaining a long-term investment perspective and strategy that balances risk with expected return as required.</w:t>
      </w:r>
    </w:p>
    <w:p w:rsidR="005D36C8" w:rsidRDefault="005D36C8">
      <w:pPr>
        <w:spacing w:after="0" w:line="240" w:lineRule="auto"/>
        <w:jc w:val="left"/>
      </w:pPr>
      <w:r>
        <w:br w:type="page"/>
      </w:r>
    </w:p>
    <w:p w:rsidR="005D36C8" w:rsidRDefault="005D36C8" w:rsidP="005D36C8">
      <w:r>
        <w:lastRenderedPageBreak/>
        <w:t xml:space="preserve">The FFMA provides support and advice to the Board in relation to the DCAF, MRFF, ATSILSFF, FDF and ERF and is focused on developing and implementing investment strategies consistent with the legislation and mandates. The investment strategies and approach for the </w:t>
      </w:r>
      <w:proofErr w:type="spellStart"/>
      <w:r>
        <w:t>DisabilityCare</w:t>
      </w:r>
      <w:proofErr w:type="spellEnd"/>
      <w:r>
        <w:t xml:space="preserve"> Australia Fund, the Medical Research Future Fund, the Aboriginal and Torres Strait Islander Land and Sea Future Fund, the Future Drought Fund and the Emergency Response Fund are detailed in the 2020-21 Future Fund Annual Report.</w:t>
      </w:r>
    </w:p>
    <w:p w:rsidR="005D36C8" w:rsidRPr="0079797F" w:rsidRDefault="005D36C8" w:rsidP="005D36C8">
      <w:r w:rsidRPr="00CC3B8B">
        <w:t>Investment policies for the funds managed by the Board are available at www.futurefund.gov.au/investment/how-we-invest/investment-policies.</w:t>
      </w:r>
    </w:p>
    <w:p w:rsidR="005D36C8" w:rsidRDefault="005D36C8" w:rsidP="005D36C8">
      <w:pPr>
        <w:pStyle w:val="Heading3"/>
      </w:pPr>
    </w:p>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Default="00F33BFE" w:rsidP="00117D51"/>
    <w:p w:rsidR="00F33BFE" w:rsidRPr="00F33BFE" w:rsidRDefault="00F33BFE" w:rsidP="00117D51"/>
    <w:p w:rsidR="005D36C8" w:rsidRDefault="005D36C8" w:rsidP="005D36C8">
      <w:pPr>
        <w:pStyle w:val="Heading3"/>
      </w:pPr>
      <w:bookmarkStart w:id="85" w:name="_Toc98181369"/>
      <w:r>
        <w:lastRenderedPageBreak/>
        <w:t>1.2</w:t>
      </w:r>
      <w:r>
        <w:tab/>
        <w:t>Entity resource statement</w:t>
      </w:r>
      <w:bookmarkEnd w:id="85"/>
    </w:p>
    <w:p w:rsidR="005D36C8" w:rsidRDefault="005D36C8" w:rsidP="005D36C8">
      <w:r>
        <w:t>Table 1.1 shows the total funding from all sources available to the entity for its operations and to deliver programs and services on behalf of the Government.</w:t>
      </w:r>
    </w:p>
    <w:p w:rsidR="005D36C8" w:rsidRDefault="005D36C8" w:rsidP="005D36C8">
      <w:r>
        <w:t>The table summarises how resources will be applied by outcome (government strategic policy objectives) and by administered (on behalf of the Government or the public) and departmental (for the entity’s operations) classification.</w:t>
      </w:r>
    </w:p>
    <w:p w:rsidR="005D36C8" w:rsidRDefault="005D36C8" w:rsidP="005D36C8">
      <w:r>
        <w:t xml:space="preserve">For more detailed information on special accounts and special appropriations, please refer to </w:t>
      </w:r>
      <w:r w:rsidRPr="00412C0B">
        <w:rPr>
          <w:i/>
        </w:rPr>
        <w:t>Budget Paper No. 4 – Agency Resourcing</w:t>
      </w:r>
      <w:r>
        <w:t>.</w:t>
      </w:r>
    </w:p>
    <w:p w:rsidR="005D36C8" w:rsidRDefault="005D36C8" w:rsidP="005D36C8">
      <w:r>
        <w:t>Information in this table is presented on a resourcing (that is, appropriations/cash available) basis, whilst the ‘Budgeted expenses by Outcome 1’ tables in Section 2 and the financial statements in Section 3 are presented on an accrual basis.</w:t>
      </w:r>
    </w:p>
    <w:p w:rsidR="00F33BFE" w:rsidRPr="00FE1091" w:rsidRDefault="00F33BFE" w:rsidP="00F33BFE">
      <w:pPr>
        <w:pStyle w:val="TableHeading"/>
        <w:rPr>
          <w:b w:val="0"/>
          <w:lang w:val="en-AU"/>
        </w:rPr>
      </w:pPr>
      <w:r w:rsidRPr="00D44150">
        <w:t xml:space="preserve">Table 1.1: </w:t>
      </w:r>
      <w:r>
        <w:rPr>
          <w:lang w:val="en-AU"/>
        </w:rPr>
        <w:t xml:space="preserve">Future Fund Management Agency </w:t>
      </w:r>
      <w:r w:rsidRPr="00D44150">
        <w:t>resource statement</w:t>
      </w:r>
      <w:r>
        <w:t xml:space="preserve"> — Budget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7689" w:type="dxa"/>
        <w:tblLook w:val="04A0" w:firstRow="1" w:lastRow="0" w:firstColumn="1" w:lastColumn="0" w:noHBand="0" w:noVBand="1"/>
      </w:tblPr>
      <w:tblGrid>
        <w:gridCol w:w="5333"/>
        <w:gridCol w:w="1178"/>
        <w:gridCol w:w="1178"/>
      </w:tblGrid>
      <w:tr w:rsidR="00F33BFE" w:rsidRPr="002C5E54" w:rsidTr="00265ED2">
        <w:trPr>
          <w:trHeight w:val="761"/>
        </w:trPr>
        <w:tc>
          <w:tcPr>
            <w:tcW w:w="5333" w:type="dxa"/>
            <w:tcBorders>
              <w:top w:val="single" w:sz="4" w:space="0" w:color="auto"/>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w:t>
            </w:r>
          </w:p>
        </w:tc>
        <w:tc>
          <w:tcPr>
            <w:tcW w:w="1178" w:type="dxa"/>
            <w:tcBorders>
              <w:top w:val="single" w:sz="4" w:space="0" w:color="auto"/>
              <w:left w:val="nil"/>
              <w:bottom w:val="single" w:sz="4" w:space="0" w:color="auto"/>
              <w:right w:val="nil"/>
            </w:tcBorders>
            <w:shd w:val="clear" w:color="000000" w:fill="FFFFFF"/>
            <w:hideMark/>
          </w:tcPr>
          <w:p w:rsidR="00F33BFE" w:rsidRPr="00022A1A" w:rsidRDefault="00F33BFE" w:rsidP="00F33BFE">
            <w:pPr>
              <w:pStyle w:val="TableTextBase"/>
              <w:jc w:val="right"/>
              <w:rPr>
                <w:i/>
                <w:sz w:val="16"/>
                <w:szCs w:val="16"/>
              </w:rPr>
            </w:pPr>
            <w:r w:rsidRPr="00022A1A">
              <w:rPr>
                <w:i/>
                <w:sz w:val="16"/>
                <w:szCs w:val="16"/>
              </w:rPr>
              <w:t>2021-22 Estimated actual</w:t>
            </w:r>
            <w:r w:rsidRPr="00022A1A">
              <w:rPr>
                <w:i/>
                <w:sz w:val="16"/>
                <w:szCs w:val="16"/>
              </w:rPr>
              <w:br/>
              <w:t>$'000</w:t>
            </w:r>
          </w:p>
        </w:tc>
        <w:tc>
          <w:tcPr>
            <w:tcW w:w="1178" w:type="dxa"/>
            <w:tcBorders>
              <w:top w:val="single" w:sz="4" w:space="0" w:color="auto"/>
              <w:left w:val="nil"/>
              <w:bottom w:val="single" w:sz="4" w:space="0" w:color="auto"/>
              <w:right w:val="nil"/>
            </w:tcBorders>
            <w:shd w:val="clear" w:color="000000" w:fill="E6E6E6"/>
            <w:hideMark/>
          </w:tcPr>
          <w:p w:rsidR="00F33BFE" w:rsidRPr="00022A1A" w:rsidRDefault="00F33BFE" w:rsidP="00F33BFE">
            <w:pPr>
              <w:pStyle w:val="TableTextBase"/>
              <w:jc w:val="right"/>
              <w:rPr>
                <w:sz w:val="16"/>
                <w:szCs w:val="16"/>
              </w:rPr>
            </w:pPr>
            <w:r w:rsidRPr="00022A1A">
              <w:rPr>
                <w:sz w:val="16"/>
                <w:szCs w:val="16"/>
              </w:rPr>
              <w:t>2022-23 Estimate</w:t>
            </w:r>
            <w:r w:rsidRPr="00022A1A">
              <w:rPr>
                <w:sz w:val="16"/>
                <w:szCs w:val="16"/>
              </w:rPr>
              <w:br/>
            </w:r>
            <w:r w:rsidRPr="00022A1A">
              <w:rPr>
                <w:sz w:val="16"/>
                <w:szCs w:val="16"/>
              </w:rPr>
              <w:br/>
              <w:t>$'000</w:t>
            </w:r>
          </w:p>
        </w:tc>
      </w:tr>
      <w:tr w:rsidR="00F33BFE" w:rsidRPr="002C5E54" w:rsidTr="00265ED2">
        <w:trPr>
          <w:trHeight w:val="230"/>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Administered</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Special accounts</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xml:space="preserve">    Opening balance</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xml:space="preserve">-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xml:space="preserve">    Non-appropriation receipts</w:t>
            </w:r>
          </w:p>
        </w:tc>
        <w:tc>
          <w:tcPr>
            <w:tcW w:w="1178" w:type="dxa"/>
            <w:tcBorders>
              <w:top w:val="nil"/>
              <w:left w:val="nil"/>
              <w:bottom w:val="nil"/>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xml:space="preserve">497,509 </w:t>
            </w:r>
          </w:p>
        </w:tc>
        <w:tc>
          <w:tcPr>
            <w:tcW w:w="1178" w:type="dxa"/>
            <w:tcBorders>
              <w:top w:val="nil"/>
              <w:left w:val="nil"/>
              <w:bottom w:val="nil"/>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626,347 </w:t>
            </w:r>
          </w:p>
        </w:tc>
      </w:tr>
      <w:tr w:rsidR="00F33BFE" w:rsidRPr="002C5E54" w:rsidTr="00265ED2">
        <w:trPr>
          <w:trHeight w:val="195"/>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Total special account receipts</w:t>
            </w:r>
          </w:p>
        </w:tc>
        <w:tc>
          <w:tcPr>
            <w:tcW w:w="1178" w:type="dxa"/>
            <w:tcBorders>
              <w:top w:val="single" w:sz="4" w:space="0" w:color="auto"/>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 xml:space="preserve">497,509 </w:t>
            </w:r>
          </w:p>
        </w:tc>
        <w:tc>
          <w:tcPr>
            <w:tcW w:w="1178" w:type="dxa"/>
            <w:tcBorders>
              <w:top w:val="single" w:sz="4" w:space="0" w:color="auto"/>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626,347 </w:t>
            </w:r>
          </w:p>
        </w:tc>
      </w:tr>
      <w:tr w:rsidR="00F33BFE" w:rsidRPr="002C5E54" w:rsidTr="00265ED2">
        <w:trPr>
          <w:trHeight w:val="230"/>
        </w:trPr>
        <w:tc>
          <w:tcPr>
            <w:tcW w:w="5333" w:type="dxa"/>
            <w:tcBorders>
              <w:top w:val="nil"/>
              <w:left w:val="nil"/>
              <w:bottom w:val="nil"/>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Total administered resourcing</w:t>
            </w:r>
          </w:p>
        </w:tc>
        <w:tc>
          <w:tcPr>
            <w:tcW w:w="1178"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b/>
                <w:i/>
                <w:sz w:val="16"/>
                <w:szCs w:val="16"/>
              </w:rPr>
            </w:pPr>
            <w:r w:rsidRPr="00022A1A">
              <w:rPr>
                <w:b/>
                <w:i/>
                <w:sz w:val="16"/>
                <w:szCs w:val="16"/>
              </w:rPr>
              <w:t xml:space="preserve">497,509 </w:t>
            </w:r>
          </w:p>
        </w:tc>
        <w:tc>
          <w:tcPr>
            <w:tcW w:w="1178" w:type="dxa"/>
            <w:tcBorders>
              <w:top w:val="nil"/>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b/>
                <w:sz w:val="16"/>
                <w:szCs w:val="16"/>
              </w:rPr>
            </w:pPr>
            <w:r w:rsidRPr="00022A1A">
              <w:rPr>
                <w:b/>
                <w:sz w:val="16"/>
                <w:szCs w:val="16"/>
              </w:rPr>
              <w:t xml:space="preserve">626,347 </w:t>
            </w:r>
          </w:p>
        </w:tc>
      </w:tr>
      <w:tr w:rsidR="00F33BFE" w:rsidRPr="002C5E54" w:rsidTr="00265ED2">
        <w:trPr>
          <w:trHeight w:val="195"/>
        </w:trPr>
        <w:tc>
          <w:tcPr>
            <w:tcW w:w="5333"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Total resourcing for entity Future Fund Management Agency</w:t>
            </w:r>
          </w:p>
        </w:tc>
        <w:tc>
          <w:tcPr>
            <w:tcW w:w="1178"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b/>
                <w:i/>
                <w:sz w:val="16"/>
                <w:szCs w:val="16"/>
              </w:rPr>
            </w:pPr>
            <w:r w:rsidRPr="00022A1A">
              <w:rPr>
                <w:b/>
                <w:i/>
                <w:sz w:val="16"/>
                <w:szCs w:val="16"/>
              </w:rPr>
              <w:t xml:space="preserve">497,509 </w:t>
            </w:r>
          </w:p>
        </w:tc>
        <w:tc>
          <w:tcPr>
            <w:tcW w:w="1178" w:type="dxa"/>
            <w:tcBorders>
              <w:top w:val="nil"/>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b/>
                <w:sz w:val="16"/>
                <w:szCs w:val="16"/>
              </w:rPr>
            </w:pPr>
            <w:r w:rsidRPr="00022A1A">
              <w:rPr>
                <w:b/>
                <w:sz w:val="16"/>
                <w:szCs w:val="16"/>
              </w:rPr>
              <w:t xml:space="preserve">626,347 </w:t>
            </w:r>
          </w:p>
        </w:tc>
      </w:tr>
      <w:tr w:rsidR="00F33BFE" w:rsidRPr="002C5E54" w:rsidTr="00265ED2">
        <w:trPr>
          <w:trHeight w:val="195"/>
        </w:trPr>
        <w:tc>
          <w:tcPr>
            <w:tcW w:w="5333" w:type="dxa"/>
            <w:tcBorders>
              <w:top w:val="single" w:sz="4" w:space="0" w:color="auto"/>
              <w:left w:val="nil"/>
              <w:bottom w:val="nil"/>
              <w:right w:val="nil"/>
            </w:tcBorders>
            <w:shd w:val="clear" w:color="000000" w:fill="FFFFFF"/>
            <w:vAlign w:val="bottom"/>
            <w:hideMark/>
          </w:tcPr>
          <w:p w:rsidR="00F33BFE" w:rsidRPr="00022A1A" w:rsidRDefault="00F33BFE" w:rsidP="00F33BFE">
            <w:pPr>
              <w:pStyle w:val="TableTextBase"/>
              <w:rPr>
                <w:sz w:val="16"/>
                <w:szCs w:val="16"/>
              </w:rPr>
            </w:pPr>
            <w:r w:rsidRPr="00022A1A">
              <w:rPr>
                <w:sz w:val="16"/>
                <w:szCs w:val="16"/>
              </w:rPr>
              <w:t> </w:t>
            </w:r>
          </w:p>
        </w:tc>
        <w:tc>
          <w:tcPr>
            <w:tcW w:w="1178" w:type="dxa"/>
            <w:tcBorders>
              <w:top w:val="single" w:sz="4" w:space="0" w:color="auto"/>
              <w:left w:val="nil"/>
              <w:bottom w:val="single" w:sz="4" w:space="0" w:color="auto"/>
              <w:right w:val="nil"/>
            </w:tcBorders>
            <w:shd w:val="clear" w:color="000000" w:fill="FFFFFF"/>
            <w:vAlign w:val="bottom"/>
            <w:hideMark/>
          </w:tcPr>
          <w:p w:rsidR="00F33BFE" w:rsidRPr="00022A1A" w:rsidRDefault="00F33BFE" w:rsidP="00F33BFE">
            <w:pPr>
              <w:pStyle w:val="TableTextBase"/>
              <w:jc w:val="right"/>
              <w:rPr>
                <w:i/>
                <w:sz w:val="16"/>
                <w:szCs w:val="16"/>
              </w:rPr>
            </w:pPr>
            <w:r w:rsidRPr="00022A1A">
              <w:rPr>
                <w:i/>
                <w:sz w:val="16"/>
                <w:szCs w:val="16"/>
              </w:rPr>
              <w:t>2021-22</w:t>
            </w:r>
          </w:p>
        </w:tc>
        <w:tc>
          <w:tcPr>
            <w:tcW w:w="1178" w:type="dxa"/>
            <w:tcBorders>
              <w:top w:val="single" w:sz="4" w:space="0" w:color="auto"/>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2022-23</w:t>
            </w:r>
          </w:p>
        </w:tc>
      </w:tr>
      <w:tr w:rsidR="00F33BFE" w:rsidRPr="002C5E54" w:rsidTr="00265ED2">
        <w:trPr>
          <w:trHeight w:val="195"/>
        </w:trPr>
        <w:tc>
          <w:tcPr>
            <w:tcW w:w="5333" w:type="dxa"/>
            <w:tcBorders>
              <w:top w:val="nil"/>
              <w:left w:val="nil"/>
              <w:bottom w:val="single" w:sz="4" w:space="0" w:color="auto"/>
              <w:right w:val="nil"/>
            </w:tcBorders>
            <w:shd w:val="clear" w:color="000000" w:fill="FFFFFF"/>
            <w:vAlign w:val="bottom"/>
            <w:hideMark/>
          </w:tcPr>
          <w:p w:rsidR="00F33BFE" w:rsidRPr="00022A1A" w:rsidRDefault="00F33BFE" w:rsidP="00F33BFE">
            <w:pPr>
              <w:pStyle w:val="TableTextBase"/>
              <w:rPr>
                <w:b/>
                <w:sz w:val="16"/>
                <w:szCs w:val="16"/>
              </w:rPr>
            </w:pPr>
            <w:r w:rsidRPr="00022A1A">
              <w:rPr>
                <w:b/>
                <w:sz w:val="16"/>
                <w:szCs w:val="16"/>
              </w:rPr>
              <w:t>Average staffing level (number)</w:t>
            </w:r>
          </w:p>
        </w:tc>
        <w:tc>
          <w:tcPr>
            <w:tcW w:w="1178" w:type="dxa"/>
            <w:tcBorders>
              <w:top w:val="nil"/>
              <w:left w:val="nil"/>
              <w:bottom w:val="single" w:sz="4" w:space="0" w:color="auto"/>
              <w:right w:val="nil"/>
            </w:tcBorders>
            <w:shd w:val="clear" w:color="auto" w:fill="auto"/>
            <w:vAlign w:val="bottom"/>
            <w:hideMark/>
          </w:tcPr>
          <w:p w:rsidR="00F33BFE" w:rsidRPr="00022A1A" w:rsidRDefault="00F33BFE" w:rsidP="00F33BFE">
            <w:pPr>
              <w:pStyle w:val="TableTextBase"/>
              <w:jc w:val="right"/>
              <w:rPr>
                <w:i/>
                <w:sz w:val="16"/>
                <w:szCs w:val="16"/>
              </w:rPr>
            </w:pPr>
            <w:r w:rsidRPr="00022A1A">
              <w:rPr>
                <w:i/>
                <w:sz w:val="16"/>
                <w:szCs w:val="16"/>
              </w:rPr>
              <w:t xml:space="preserve">214 </w:t>
            </w:r>
          </w:p>
        </w:tc>
        <w:tc>
          <w:tcPr>
            <w:tcW w:w="1178" w:type="dxa"/>
            <w:tcBorders>
              <w:top w:val="nil"/>
              <w:left w:val="nil"/>
              <w:bottom w:val="single" w:sz="4" w:space="0" w:color="auto"/>
              <w:right w:val="nil"/>
            </w:tcBorders>
            <w:shd w:val="clear" w:color="000000" w:fill="E6E6E6"/>
            <w:vAlign w:val="bottom"/>
            <w:hideMark/>
          </w:tcPr>
          <w:p w:rsidR="00F33BFE" w:rsidRPr="00022A1A" w:rsidRDefault="00F33BFE" w:rsidP="00F33BFE">
            <w:pPr>
              <w:pStyle w:val="TableTextBase"/>
              <w:jc w:val="right"/>
              <w:rPr>
                <w:sz w:val="16"/>
                <w:szCs w:val="16"/>
              </w:rPr>
            </w:pPr>
            <w:r w:rsidRPr="00022A1A">
              <w:rPr>
                <w:sz w:val="16"/>
                <w:szCs w:val="16"/>
              </w:rPr>
              <w:t xml:space="preserve">285 </w:t>
            </w:r>
          </w:p>
        </w:tc>
      </w:tr>
    </w:tbl>
    <w:p w:rsidR="00F33BFE" w:rsidRPr="00A25040" w:rsidRDefault="00F33BFE" w:rsidP="0097282B">
      <w:pPr>
        <w:pStyle w:val="TableHeading"/>
        <w:spacing w:after="0"/>
        <w:jc w:val="both"/>
        <w:rPr>
          <w:b w:val="0"/>
          <w:bCs/>
          <w:sz w:val="16"/>
          <w:szCs w:val="16"/>
        </w:rPr>
      </w:pPr>
      <w:r w:rsidRPr="00A25040">
        <w:rPr>
          <w:b w:val="0"/>
          <w:bCs/>
          <w:sz w:val="16"/>
          <w:szCs w:val="16"/>
        </w:rPr>
        <w:t>All figures shown above are GST exclusive - these may not match figures in the cash flow statement.</w:t>
      </w:r>
    </w:p>
    <w:p w:rsidR="00F33BFE" w:rsidRDefault="00F33BFE" w:rsidP="0097282B">
      <w:pPr>
        <w:pStyle w:val="TableHeading"/>
        <w:spacing w:after="0"/>
        <w:jc w:val="both"/>
        <w:rPr>
          <w:b w:val="0"/>
          <w:bCs/>
          <w:sz w:val="16"/>
          <w:szCs w:val="16"/>
          <w:lang w:val="en-AU"/>
        </w:rPr>
      </w:pPr>
      <w:r w:rsidRPr="00A25040">
        <w:rPr>
          <w:b w:val="0"/>
          <w:bCs/>
          <w:sz w:val="16"/>
          <w:szCs w:val="16"/>
        </w:rPr>
        <w:t>Future Fund Management Agency does not receive any annual appropriations. Its outputs are funded as payments from the Future</w:t>
      </w:r>
      <w:r w:rsidRPr="00A25040">
        <w:rPr>
          <w:b w:val="0"/>
          <w:bCs/>
          <w:sz w:val="16"/>
          <w:szCs w:val="16"/>
          <w:lang w:val="en-AU"/>
        </w:rPr>
        <w:t xml:space="preserve"> </w:t>
      </w:r>
      <w:r w:rsidRPr="00A25040">
        <w:rPr>
          <w:b w:val="0"/>
          <w:bCs/>
          <w:sz w:val="16"/>
          <w:szCs w:val="16"/>
        </w:rPr>
        <w:t>Fund Special Account</w:t>
      </w:r>
      <w:r>
        <w:rPr>
          <w:b w:val="0"/>
          <w:bCs/>
          <w:sz w:val="16"/>
          <w:szCs w:val="16"/>
          <w:lang w:val="en-AU"/>
        </w:rPr>
        <w:t>.</w:t>
      </w:r>
    </w:p>
    <w:p w:rsidR="00F33BFE" w:rsidRDefault="00F33BFE" w:rsidP="00F33BFE">
      <w:pPr>
        <w:pStyle w:val="TableHeading"/>
        <w:rPr>
          <w:b w:val="0"/>
          <w:bCs/>
          <w:sz w:val="16"/>
          <w:szCs w:val="16"/>
          <w:lang w:val="en-AU"/>
        </w:rPr>
      </w:pPr>
    </w:p>
    <w:p w:rsidR="005D36C8" w:rsidRDefault="005D36C8">
      <w:pPr>
        <w:pStyle w:val="TableHeading"/>
        <w:rPr>
          <w:b w:val="0"/>
          <w:bCs/>
          <w:sz w:val="16"/>
          <w:szCs w:val="16"/>
          <w:lang w:val="en-AU"/>
        </w:rPr>
      </w:pPr>
    </w:p>
    <w:p w:rsidR="005D36C8" w:rsidRDefault="005D36C8" w:rsidP="005D36C8">
      <w:pPr>
        <w:pStyle w:val="Heading3"/>
        <w:spacing w:before="0"/>
      </w:pPr>
    </w:p>
    <w:p w:rsidR="005D36C8" w:rsidRPr="005A7C0B" w:rsidRDefault="005D36C8" w:rsidP="005D36C8">
      <w:pPr>
        <w:pStyle w:val="Heading3"/>
        <w:spacing w:before="0"/>
      </w:pPr>
      <w:bookmarkStart w:id="86" w:name="_Toc98181370"/>
      <w:r w:rsidRPr="005A7C0B">
        <w:t>1.3</w:t>
      </w:r>
      <w:r w:rsidRPr="005A7C0B">
        <w:tab/>
        <w:t>Budget measures</w:t>
      </w:r>
      <w:bookmarkEnd w:id="86"/>
    </w:p>
    <w:p w:rsidR="005D36C8" w:rsidRPr="00A25040" w:rsidRDefault="005D36C8" w:rsidP="004E0294">
      <w:pPr>
        <w:rPr>
          <w:bCs/>
        </w:rPr>
      </w:pPr>
      <w:r w:rsidRPr="001E0F36">
        <w:t>No budget measures have been announced since</w:t>
      </w:r>
      <w:r w:rsidR="00B208FF">
        <w:t xml:space="preserve"> the</w:t>
      </w:r>
      <w:r w:rsidRPr="001E0F36">
        <w:t xml:space="preserve"> 20</w:t>
      </w:r>
      <w:r>
        <w:t>21</w:t>
      </w:r>
      <w:r w:rsidRPr="001E0F36">
        <w:t>-2</w:t>
      </w:r>
      <w:r>
        <w:t>2</w:t>
      </w:r>
      <w:r w:rsidRPr="001E0F36">
        <w:t xml:space="preserve"> Mid-Year Economic and Fiscal Outlook (MYEFO) that impact FFMA.</w:t>
      </w:r>
      <w:r>
        <w:br w:type="page"/>
      </w:r>
    </w:p>
    <w:p w:rsidR="005D36C8" w:rsidRPr="00810C6A" w:rsidRDefault="005D36C8" w:rsidP="005D36C8">
      <w:pPr>
        <w:pStyle w:val="Heading2"/>
      </w:pPr>
      <w:bookmarkStart w:id="87" w:name="_Toc98181371"/>
      <w:r w:rsidRPr="00810C6A">
        <w:lastRenderedPageBreak/>
        <w:t>Section 2: Outcomes and planned performance</w:t>
      </w:r>
      <w:bookmarkEnd w:id="87"/>
    </w:p>
    <w:p w:rsidR="005D36C8" w:rsidRPr="005E6F2B" w:rsidRDefault="005D36C8" w:rsidP="005D36C8">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5D36C8" w:rsidRPr="00BE7412" w:rsidRDefault="005D36C8" w:rsidP="005D36C8">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5D36C8" w:rsidTr="005D36C8">
        <w:tc>
          <w:tcPr>
            <w:tcW w:w="7700" w:type="dxa"/>
          </w:tcPr>
          <w:p w:rsidR="005D36C8" w:rsidRPr="006906E4" w:rsidRDefault="005D36C8" w:rsidP="005D36C8">
            <w:pPr>
              <w:spacing w:before="120" w:after="120" w:line="240" w:lineRule="auto"/>
              <w:rPr>
                <w:b/>
              </w:rPr>
            </w:pPr>
            <w:r w:rsidRPr="006906E4">
              <w:rPr>
                <w:b/>
              </w:rPr>
              <w:t>Note:</w:t>
            </w:r>
          </w:p>
          <w:p w:rsidR="005D36C8" w:rsidRDefault="005D36C8" w:rsidP="005D36C8">
            <w:r>
              <w:t xml:space="preserve">Performance reporting requirements in the Portfolio Budget Statements are part of the Commonwealth performance framework established by the </w:t>
            </w:r>
            <w:r w:rsidR="0082022F" w:rsidRPr="0082022F">
              <w:t>PGPA Act</w:t>
            </w:r>
            <w:r w:rsidR="0082022F">
              <w:rPr>
                <w:i/>
              </w:rPr>
              <w:t xml:space="preserve">. </w:t>
            </w:r>
            <w:r>
              <w:t>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5D36C8" w:rsidRDefault="005D36C8" w:rsidP="005D36C8">
            <w:r>
              <w:t xml:space="preserve">The most recent corporate plan for FFMA can be found at: </w:t>
            </w:r>
            <w:hyperlink r:id="rId123" w:history="1">
              <w:r w:rsidRPr="00100956">
                <w:rPr>
                  <w:rStyle w:val="Hyperlink"/>
                  <w:u w:val="single"/>
                </w:rPr>
                <w:t>https://www.futurefund.gov.au/about-us/access-to-information/parliamentary-and-statutory-reporting</w:t>
              </w:r>
            </w:hyperlink>
            <w:r>
              <w:t>.</w:t>
            </w:r>
          </w:p>
          <w:p w:rsidR="005D36C8" w:rsidRDefault="005D36C8" w:rsidP="005D36C8">
            <w:r>
              <w:t xml:space="preserve">The most recent annual performance statement can be found at: </w:t>
            </w:r>
            <w:hyperlink r:id="rId124" w:history="1">
              <w:r w:rsidRPr="00100956">
                <w:rPr>
                  <w:rStyle w:val="Hyperlink"/>
                  <w:u w:val="single"/>
                </w:rPr>
                <w:t>https://www.futurefund.gov.au/about-us/publications</w:t>
              </w:r>
            </w:hyperlink>
            <w:r>
              <w:t>.</w:t>
            </w:r>
          </w:p>
        </w:tc>
      </w:tr>
    </w:tbl>
    <w:p w:rsidR="005D36C8" w:rsidRDefault="005D36C8" w:rsidP="005D36C8">
      <w:pPr>
        <w:rPr>
          <w:highlight w:val="yellow"/>
        </w:rPr>
      </w:pPr>
    </w:p>
    <w:p w:rsidR="005D36C8" w:rsidRDefault="005D36C8" w:rsidP="005D36C8">
      <w:pPr>
        <w:pStyle w:val="Heading3"/>
        <w:sectPr w:rsidR="005D36C8" w:rsidSect="00503FD8">
          <w:headerReference w:type="default" r:id="rId125"/>
          <w:headerReference w:type="first" r:id="rId126"/>
          <w:footerReference w:type="first" r:id="rId127"/>
          <w:type w:val="oddPage"/>
          <w:pgSz w:w="11906" w:h="16838" w:code="9"/>
          <w:pgMar w:top="2835" w:right="2098" w:bottom="2466" w:left="2098" w:header="1814" w:footer="1814" w:gutter="0"/>
          <w:cols w:space="708"/>
          <w:titlePg/>
          <w:docGrid w:linePitch="360"/>
        </w:sectPr>
      </w:pPr>
    </w:p>
    <w:p w:rsidR="005D36C8" w:rsidRPr="00831489" w:rsidRDefault="005D36C8" w:rsidP="00022A1A">
      <w:pPr>
        <w:pStyle w:val="Heading3"/>
      </w:pPr>
      <w:bookmarkStart w:id="88" w:name="_Toc98181372"/>
      <w:r>
        <w:lastRenderedPageBreak/>
        <w:t>2.1</w:t>
      </w:r>
      <w:r w:rsidRPr="00F743D8">
        <w:t xml:space="preserve"> </w:t>
      </w:r>
      <w:r w:rsidRPr="00F743D8">
        <w:tab/>
        <w:t xml:space="preserve">Budgeted expenses and performance for Outcome </w:t>
      </w:r>
      <w:r>
        <w:t>1</w:t>
      </w:r>
      <w:bookmarkEnd w:id="8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5D36C8" w:rsidRPr="005E6F2B" w:rsidTr="005D36C8">
        <w:tc>
          <w:tcPr>
            <w:tcW w:w="7713" w:type="dxa"/>
            <w:shd w:val="clear" w:color="auto" w:fill="E6E6E6"/>
          </w:tcPr>
          <w:p w:rsidR="005D36C8" w:rsidRPr="005E6F2B" w:rsidRDefault="005D36C8" w:rsidP="005D36C8">
            <w:pPr>
              <w:pStyle w:val="TableColumnHeadingLeft"/>
            </w:pPr>
            <w:r w:rsidRPr="00F1109F">
              <w:t>Outcome 1: Strengthen the Commonwealth’s financial position for the benefit of the Australian people, by managing the investment activities of the Future Fund and certain other Australian Government investment funds in line with their Investment Mandates.</w:t>
            </w:r>
          </w:p>
        </w:tc>
      </w:tr>
    </w:tbl>
    <w:p w:rsidR="00BE7412" w:rsidRDefault="00BE7412" w:rsidP="005D36C8">
      <w:pPr>
        <w:pStyle w:val="Heading4"/>
      </w:pPr>
    </w:p>
    <w:p w:rsidR="005D36C8" w:rsidRPr="005E6F2B" w:rsidRDefault="005D36C8" w:rsidP="005D36C8">
      <w:pPr>
        <w:pStyle w:val="Heading4"/>
      </w:pPr>
      <w:r w:rsidRPr="005E6F2B">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5D36C8" w:rsidRPr="005E6F2B" w:rsidTr="005D36C8">
        <w:trPr>
          <w:trHeight w:val="113"/>
          <w:tblHeader/>
        </w:trPr>
        <w:tc>
          <w:tcPr>
            <w:tcW w:w="7700" w:type="dxa"/>
            <w:tcBorders>
              <w:bottom w:val="dotted" w:sz="4" w:space="0" w:color="auto"/>
            </w:tcBorders>
          </w:tcPr>
          <w:p w:rsidR="005D36C8" w:rsidRPr="00FF6812" w:rsidRDefault="005D36C8" w:rsidP="005D36C8">
            <w:pPr>
              <w:pStyle w:val="ExampleText0"/>
              <w:spacing w:before="60" w:after="60" w:line="240" w:lineRule="auto"/>
              <w:rPr>
                <w:color w:val="auto"/>
              </w:rPr>
            </w:pPr>
            <w:r w:rsidRPr="00FF6812">
              <w:rPr>
                <w:rStyle w:val="ExampletextCharChar"/>
                <w:b/>
                <w:color w:val="auto"/>
              </w:rPr>
              <w:t>Department of Finance</w:t>
            </w:r>
          </w:p>
        </w:tc>
      </w:tr>
      <w:tr w:rsidR="005D36C8" w:rsidRPr="005E6F2B" w:rsidTr="005D36C8">
        <w:trPr>
          <w:trHeight w:val="113"/>
        </w:trPr>
        <w:tc>
          <w:tcPr>
            <w:tcW w:w="7700" w:type="dxa"/>
            <w:tcBorders>
              <w:top w:val="dotted" w:sz="4" w:space="0" w:color="auto"/>
              <w:bottom w:val="single" w:sz="4" w:space="0" w:color="auto"/>
            </w:tcBorders>
          </w:tcPr>
          <w:p w:rsidR="005D36C8" w:rsidRPr="00FF6812" w:rsidRDefault="005D36C8" w:rsidP="005D36C8">
            <w:pPr>
              <w:spacing w:before="60" w:after="60"/>
              <w:rPr>
                <w:rStyle w:val="ExampletextCharChar"/>
                <w:b/>
                <w:i w:val="0"/>
                <w:color w:val="auto"/>
              </w:rPr>
            </w:pPr>
            <w:r w:rsidRPr="00FF6812">
              <w:rPr>
                <w:rStyle w:val="ExampletextCharChar"/>
                <w:b/>
                <w:i w:val="0"/>
                <w:color w:val="auto"/>
              </w:rPr>
              <w:t>Programs</w:t>
            </w:r>
          </w:p>
          <w:p w:rsidR="005D36C8" w:rsidRPr="00FF6812" w:rsidRDefault="005D36C8" w:rsidP="00F76FE4">
            <w:pPr>
              <w:numPr>
                <w:ilvl w:val="0"/>
                <w:numId w:val="7"/>
              </w:numPr>
              <w:spacing w:before="60" w:after="60" w:line="240" w:lineRule="auto"/>
              <w:ind w:left="714" w:hanging="357"/>
              <w:rPr>
                <w:rStyle w:val="ExampletextCharChar"/>
                <w:color w:val="auto"/>
              </w:rPr>
            </w:pPr>
            <w:r w:rsidRPr="00FF6812">
              <w:t>Program</w:t>
            </w:r>
            <w:r w:rsidRPr="00FF6812">
              <w:rPr>
                <w:spacing w:val="-4"/>
              </w:rPr>
              <w:t xml:space="preserve"> </w:t>
            </w:r>
            <w:r w:rsidRPr="00FF6812">
              <w:t>2.7</w:t>
            </w:r>
            <w:r w:rsidRPr="00FF6812">
              <w:rPr>
                <w:spacing w:val="-1"/>
              </w:rPr>
              <w:t xml:space="preserve"> </w:t>
            </w:r>
            <w:r w:rsidRPr="00FF6812">
              <w:t>–</w:t>
            </w:r>
            <w:r w:rsidRPr="00FF6812">
              <w:rPr>
                <w:spacing w:val="-4"/>
              </w:rPr>
              <w:t xml:space="preserve"> </w:t>
            </w:r>
            <w:r w:rsidRPr="00FF6812">
              <w:t>Public</w:t>
            </w:r>
            <w:r w:rsidRPr="00FF6812">
              <w:rPr>
                <w:spacing w:val="-2"/>
              </w:rPr>
              <w:t xml:space="preserve"> </w:t>
            </w:r>
            <w:r w:rsidRPr="00FF6812">
              <w:t>Sector</w:t>
            </w:r>
            <w:r w:rsidRPr="00FF6812">
              <w:rPr>
                <w:spacing w:val="1"/>
              </w:rPr>
              <w:t xml:space="preserve"> </w:t>
            </w:r>
            <w:r w:rsidRPr="00FF6812">
              <w:t>Superannuation</w:t>
            </w:r>
            <w:r w:rsidRPr="00FF6812">
              <w:rPr>
                <w:spacing w:val="-4"/>
              </w:rPr>
              <w:t xml:space="preserve"> </w:t>
            </w:r>
            <w:r w:rsidRPr="00FF6812">
              <w:t>Program</w:t>
            </w:r>
          </w:p>
        </w:tc>
      </w:tr>
      <w:tr w:rsidR="005D36C8" w:rsidRPr="005E6F2B" w:rsidTr="005D36C8">
        <w:trPr>
          <w:trHeight w:val="113"/>
        </w:trPr>
        <w:tc>
          <w:tcPr>
            <w:tcW w:w="7700" w:type="dxa"/>
            <w:tcBorders>
              <w:bottom w:val="single" w:sz="4" w:space="0" w:color="auto"/>
            </w:tcBorders>
          </w:tcPr>
          <w:p w:rsidR="005D36C8" w:rsidRPr="00FF6812" w:rsidRDefault="005D36C8" w:rsidP="00D74365">
            <w:pPr>
              <w:spacing w:before="60" w:after="60" w:line="240" w:lineRule="auto"/>
              <w:rPr>
                <w:rStyle w:val="ExampletextCharChar"/>
                <w:b/>
                <w:i w:val="0"/>
                <w:color w:val="auto"/>
              </w:rPr>
            </w:pPr>
            <w:r w:rsidRPr="00FF6812">
              <w:rPr>
                <w:rStyle w:val="ExampletextCharChar"/>
                <w:b/>
                <w:i w:val="0"/>
                <w:color w:val="auto"/>
              </w:rPr>
              <w:t>Contribution to Outcome 1 made by linked programs</w:t>
            </w:r>
          </w:p>
          <w:p w:rsidR="005D36C8" w:rsidRPr="00FF6812" w:rsidRDefault="005D36C8" w:rsidP="00D74365">
            <w:pPr>
              <w:spacing w:before="60" w:after="60" w:line="240" w:lineRule="auto"/>
              <w:rPr>
                <w:rStyle w:val="ExampletextCharChar"/>
                <w:color w:val="auto"/>
              </w:rPr>
            </w:pPr>
            <w:r w:rsidRPr="00FF6812">
              <w:rPr>
                <w:rStyle w:val="ExampletextCharChar"/>
                <w:i w:val="0"/>
                <w:color w:val="auto"/>
              </w:rPr>
              <w:t>The Future Fund Management Agency works with the Department of Finance to ensure that the management of the Australian Government Investment Funds is consistent with the relevant legislation and investment mandates.</w:t>
            </w:r>
          </w:p>
        </w:tc>
      </w:tr>
    </w:tbl>
    <w:p w:rsidR="005D36C8" w:rsidRPr="00627D33" w:rsidRDefault="005D36C8" w:rsidP="0097282B">
      <w:pPr>
        <w:pStyle w:val="Heading5"/>
        <w:rPr>
          <w:b/>
          <w:bCs w:val="0"/>
        </w:rPr>
      </w:pPr>
      <w:r>
        <w:br w:type="page"/>
      </w:r>
      <w:r w:rsidRPr="0097282B">
        <w:lastRenderedPageBreak/>
        <w:t>Budgeted expenses for Outcome 1</w:t>
      </w:r>
    </w:p>
    <w:p w:rsidR="005D36C8" w:rsidRDefault="005D36C8" w:rsidP="005D36C8">
      <w:r w:rsidRPr="00950281">
        <w:t xml:space="preserve">This table shows how much </w:t>
      </w:r>
      <w:r>
        <w:t>FFMA</w:t>
      </w:r>
      <w:r w:rsidRPr="00950281">
        <w:t xml:space="preserve"> intends to spend (on an accrual basis) on achieving the outcome, broken down by program, as well as by Administered an</w:t>
      </w:r>
      <w:r>
        <w:t>d Departmental funding sources.</w:t>
      </w:r>
    </w:p>
    <w:p w:rsidR="005D36C8" w:rsidRDefault="005D36C8" w:rsidP="005D36C8">
      <w:pPr>
        <w:pStyle w:val="TableHeading"/>
      </w:pPr>
      <w:r w:rsidRPr="006E4DF1">
        <w:t>Table 2.</w:t>
      </w:r>
      <w:r>
        <w:t>1</w:t>
      </w:r>
      <w:r w:rsidRPr="006E4DF1">
        <w:t xml:space="preserve">.1: Budgeted expenses for Outcome </w:t>
      </w:r>
      <w:r>
        <w:t>1</w:t>
      </w:r>
    </w:p>
    <w:p w:rsidR="003C2EBC" w:rsidRPr="009C5D44" w:rsidRDefault="00100956" w:rsidP="00022A1A">
      <w:pPr>
        <w:pStyle w:val="TableGraphic"/>
      </w:pPr>
      <w:r w:rsidRPr="00100956">
        <w:rPr>
          <w:noProof/>
        </w:rPr>
        <w:drawing>
          <wp:inline distT="0" distB="0" distL="0" distR="0">
            <wp:extent cx="4818380" cy="526351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818380" cy="5263515"/>
                    </a:xfrm>
                    <a:prstGeom prst="rect">
                      <a:avLst/>
                    </a:prstGeom>
                    <a:noFill/>
                    <a:ln>
                      <a:noFill/>
                    </a:ln>
                  </pic:spPr>
                </pic:pic>
              </a:graphicData>
            </a:graphic>
          </wp:inline>
        </w:drawing>
      </w:r>
    </w:p>
    <w:p w:rsidR="005D36C8" w:rsidRPr="0097282B" w:rsidRDefault="003C2EBC" w:rsidP="0097282B">
      <w:pPr>
        <w:spacing w:after="0" w:line="240" w:lineRule="auto"/>
        <w:rPr>
          <w:rFonts w:ascii="Arial" w:hAnsi="Arial" w:cs="Arial"/>
          <w:sz w:val="16"/>
          <w:szCs w:val="16"/>
        </w:rPr>
      </w:pPr>
      <w:r w:rsidRPr="0097282B">
        <w:rPr>
          <w:rFonts w:ascii="Arial" w:hAnsi="Arial" w:cs="Arial"/>
          <w:sz w:val="16"/>
          <w:szCs w:val="16"/>
        </w:rPr>
        <w:t xml:space="preserve">Note: Departmental appropriation splits and totals are indicative estimates </w:t>
      </w:r>
      <w:r w:rsidR="0097282B">
        <w:rPr>
          <w:rFonts w:ascii="Arial" w:hAnsi="Arial" w:cs="Arial"/>
          <w:sz w:val="16"/>
          <w:szCs w:val="16"/>
        </w:rPr>
        <w:t xml:space="preserve">and may change in the course of </w:t>
      </w:r>
      <w:r w:rsidRPr="0097282B">
        <w:rPr>
          <w:rFonts w:ascii="Arial" w:hAnsi="Arial" w:cs="Arial"/>
          <w:sz w:val="16"/>
          <w:szCs w:val="16"/>
        </w:rPr>
        <w:t>the budget year as government priorities change.</w:t>
      </w:r>
    </w:p>
    <w:p w:rsidR="005D36C8" w:rsidRPr="00A25040" w:rsidRDefault="005D36C8" w:rsidP="0097282B">
      <w:pPr>
        <w:pStyle w:val="TableHeading"/>
        <w:rPr>
          <w:lang w:val="en-AU"/>
        </w:rPr>
      </w:pPr>
    </w:p>
    <w:p w:rsidR="005D36C8" w:rsidRDefault="005D36C8" w:rsidP="00A247E9">
      <w:pPr>
        <w:pStyle w:val="TableHeading"/>
      </w:pPr>
      <w:r w:rsidRPr="00A25040">
        <w:rPr>
          <w:highlight w:val="yellow"/>
          <w:lang w:val="en-US"/>
        </w:rPr>
        <w:br w:type="page"/>
      </w:r>
      <w:r w:rsidRPr="00F71634">
        <w:lastRenderedPageBreak/>
        <w:t>Table 2.</w:t>
      </w:r>
      <w:r w:rsidRPr="00A247E9">
        <w:t>1</w:t>
      </w:r>
      <w:r w:rsidRPr="00F71634">
        <w:t xml:space="preserve">.3: </w:t>
      </w:r>
      <w:r w:rsidRPr="00D82A45">
        <w:t>Performance measure for Outcome 1</w:t>
      </w:r>
    </w:p>
    <w:p w:rsidR="005D36C8" w:rsidRPr="00F71634" w:rsidRDefault="00EF10AA" w:rsidP="005D36C8">
      <w:r w:rsidRPr="00A247E9">
        <w:t>Table</w:t>
      </w:r>
      <w:r w:rsidRPr="00732556">
        <w:t xml:space="preserv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5D36C8" w:rsidRPr="001B2F81" w:rsidTr="005D36C8">
        <w:trPr>
          <w:trHeight w:val="569"/>
          <w:tblHeader/>
        </w:trPr>
        <w:tc>
          <w:tcPr>
            <w:tcW w:w="7796" w:type="dxa"/>
            <w:gridSpan w:val="3"/>
            <w:shd w:val="clear" w:color="auto" w:fill="F2F2F2"/>
          </w:tcPr>
          <w:p w:rsidR="005D36C8" w:rsidRPr="00C41058" w:rsidRDefault="005D36C8" w:rsidP="00DA0838">
            <w:pPr>
              <w:pStyle w:val="TableColumnHeadingLeft"/>
            </w:pPr>
            <w:r w:rsidRPr="0063766D">
              <w:t xml:space="preserve">Outcome 1 – </w:t>
            </w:r>
            <w:r w:rsidRPr="0027653A">
              <w:rPr>
                <w:b w:val="0"/>
                <w:bCs/>
              </w:rPr>
              <w:t>Strengthen the Commonwealth’s financial position for the benefit of the Australian people, by managing the investment activities of the Future Fund and certain other Australian Government investment funds in line with their Investment Mandates.</w:t>
            </w:r>
          </w:p>
        </w:tc>
      </w:tr>
      <w:tr w:rsidR="005D36C8" w:rsidRPr="001B2F81" w:rsidTr="005D36C8">
        <w:trPr>
          <w:trHeight w:val="522"/>
          <w:tblHeader/>
        </w:trPr>
        <w:tc>
          <w:tcPr>
            <w:tcW w:w="7796" w:type="dxa"/>
            <w:gridSpan w:val="3"/>
            <w:shd w:val="clear" w:color="auto" w:fill="F2F2F2"/>
          </w:tcPr>
          <w:p w:rsidR="005D36C8" w:rsidRPr="000254E0" w:rsidRDefault="005D36C8" w:rsidP="000254E0">
            <w:pPr>
              <w:tabs>
                <w:tab w:val="left" w:pos="709"/>
              </w:tabs>
              <w:spacing w:before="60" w:after="60" w:line="240" w:lineRule="auto"/>
              <w:jc w:val="left"/>
              <w:rPr>
                <w:rFonts w:ascii="Arial" w:hAnsi="Arial" w:cs="Arial"/>
                <w:b/>
                <w:sz w:val="18"/>
                <w:szCs w:val="18"/>
              </w:rPr>
            </w:pPr>
            <w:r w:rsidRPr="000254E0">
              <w:rPr>
                <w:rFonts w:ascii="Arial" w:hAnsi="Arial" w:cs="Arial"/>
                <w:b/>
                <w:sz w:val="18"/>
                <w:szCs w:val="18"/>
              </w:rPr>
              <w:t>Program 1.1 – Management of the Investment of the Future Fund</w:t>
            </w:r>
          </w:p>
          <w:p w:rsidR="005D36C8" w:rsidRPr="001B2F81" w:rsidRDefault="005D36C8" w:rsidP="000254E0">
            <w:pPr>
              <w:pStyle w:val="TableTextLeft"/>
            </w:pPr>
            <w:r w:rsidRPr="00372EBB">
              <w:rPr>
                <w:rFonts w:cs="Arial"/>
                <w:bCs/>
                <w:szCs w:val="18"/>
              </w:rPr>
              <w:t>The FFMA supports the Board in investing to accumulate assets for the purpose of offsetting the unfunded superannuation liabilities of the Australian Government which will fall due on future generations.</w:t>
            </w:r>
          </w:p>
        </w:tc>
      </w:tr>
      <w:tr w:rsidR="005D36C8" w:rsidRPr="001B2F81" w:rsidTr="005D36C8">
        <w:trPr>
          <w:trHeight w:val="694"/>
        </w:trPr>
        <w:tc>
          <w:tcPr>
            <w:tcW w:w="1560" w:type="dxa"/>
            <w:tcBorders>
              <w:bottom w:val="double" w:sz="4" w:space="0" w:color="auto"/>
            </w:tcBorders>
          </w:tcPr>
          <w:p w:rsidR="005D36C8" w:rsidRPr="00160C23" w:rsidRDefault="005D36C8" w:rsidP="00DA0838">
            <w:pPr>
              <w:tabs>
                <w:tab w:val="left" w:pos="709"/>
              </w:tabs>
              <w:spacing w:before="60" w:after="60" w:line="240" w:lineRule="auto"/>
              <w:jc w:val="left"/>
              <w:rPr>
                <w:rFonts w:ascii="Arial" w:hAnsi="Arial" w:cs="Arial"/>
                <w:b/>
                <w:sz w:val="16"/>
                <w:szCs w:val="16"/>
              </w:rPr>
            </w:pPr>
            <w:r w:rsidRPr="00160C23">
              <w:rPr>
                <w:rFonts w:ascii="Arial" w:hAnsi="Arial" w:cs="Arial"/>
                <w:b/>
                <w:sz w:val="16"/>
                <w:szCs w:val="16"/>
              </w:rPr>
              <w:t>Key Activities</w:t>
            </w:r>
          </w:p>
        </w:tc>
        <w:tc>
          <w:tcPr>
            <w:tcW w:w="6236" w:type="dxa"/>
            <w:gridSpan w:val="2"/>
            <w:tcBorders>
              <w:bottom w:val="double" w:sz="4" w:space="0" w:color="auto"/>
            </w:tcBorders>
          </w:tcPr>
          <w:p w:rsidR="005D36C8" w:rsidRDefault="005D36C8" w:rsidP="00DA1F4B">
            <w:pPr>
              <w:pStyle w:val="TableParagraph"/>
              <w:numPr>
                <w:ilvl w:val="0"/>
                <w:numId w:val="26"/>
              </w:numPr>
              <w:tabs>
                <w:tab w:val="left" w:pos="464"/>
                <w:tab w:val="left" w:pos="465"/>
              </w:tabs>
              <w:spacing w:before="60" w:after="60"/>
              <w:ind w:left="374" w:hanging="357"/>
              <w:rPr>
                <w:sz w:val="16"/>
              </w:rPr>
            </w:pPr>
            <w:r>
              <w:rPr>
                <w:sz w:val="16"/>
              </w:rPr>
              <w:t>Ensure</w:t>
            </w:r>
            <w:r>
              <w:rPr>
                <w:spacing w:val="15"/>
                <w:sz w:val="16"/>
              </w:rPr>
              <w:t xml:space="preserve"> </w:t>
            </w:r>
            <w:r>
              <w:rPr>
                <w:sz w:val="16"/>
              </w:rPr>
              <w:t>all</w:t>
            </w:r>
            <w:r>
              <w:rPr>
                <w:spacing w:val="16"/>
                <w:sz w:val="16"/>
              </w:rPr>
              <w:t xml:space="preserve"> </w:t>
            </w:r>
            <w:r>
              <w:rPr>
                <w:sz w:val="16"/>
              </w:rPr>
              <w:t>decisions</w:t>
            </w:r>
            <w:r>
              <w:rPr>
                <w:spacing w:val="14"/>
                <w:sz w:val="16"/>
              </w:rPr>
              <w:t xml:space="preserve"> </w:t>
            </w:r>
            <w:r>
              <w:rPr>
                <w:sz w:val="16"/>
              </w:rPr>
              <w:t>of</w:t>
            </w:r>
            <w:r>
              <w:rPr>
                <w:spacing w:val="14"/>
                <w:sz w:val="16"/>
              </w:rPr>
              <w:t xml:space="preserve"> </w:t>
            </w:r>
            <w:r>
              <w:rPr>
                <w:sz w:val="16"/>
              </w:rPr>
              <w:t>the</w:t>
            </w:r>
            <w:r>
              <w:rPr>
                <w:spacing w:val="12"/>
                <w:sz w:val="16"/>
              </w:rPr>
              <w:t xml:space="preserve"> </w:t>
            </w:r>
            <w:r>
              <w:rPr>
                <w:sz w:val="16"/>
              </w:rPr>
              <w:t>Board</w:t>
            </w:r>
            <w:r>
              <w:rPr>
                <w:spacing w:val="15"/>
                <w:sz w:val="16"/>
              </w:rPr>
              <w:t xml:space="preserve"> </w:t>
            </w:r>
            <w:r>
              <w:rPr>
                <w:sz w:val="16"/>
              </w:rPr>
              <w:t>of</w:t>
            </w:r>
            <w:r>
              <w:rPr>
                <w:spacing w:val="16"/>
                <w:sz w:val="16"/>
              </w:rPr>
              <w:t xml:space="preserve"> </w:t>
            </w:r>
            <w:r>
              <w:rPr>
                <w:sz w:val="16"/>
              </w:rPr>
              <w:t>Guardians</w:t>
            </w:r>
            <w:r>
              <w:rPr>
                <w:spacing w:val="17"/>
                <w:sz w:val="16"/>
              </w:rPr>
              <w:t xml:space="preserve"> </w:t>
            </w:r>
            <w:r>
              <w:rPr>
                <w:sz w:val="16"/>
              </w:rPr>
              <w:t>are</w:t>
            </w:r>
            <w:r>
              <w:rPr>
                <w:spacing w:val="15"/>
                <w:sz w:val="16"/>
              </w:rPr>
              <w:t xml:space="preserve"> </w:t>
            </w:r>
            <w:r>
              <w:rPr>
                <w:sz w:val="16"/>
              </w:rPr>
              <w:t>given</w:t>
            </w:r>
            <w:r>
              <w:rPr>
                <w:spacing w:val="15"/>
                <w:sz w:val="16"/>
              </w:rPr>
              <w:t xml:space="preserve"> </w:t>
            </w:r>
            <w:r>
              <w:rPr>
                <w:sz w:val="16"/>
              </w:rPr>
              <w:t>effect</w:t>
            </w:r>
            <w:r>
              <w:rPr>
                <w:spacing w:val="14"/>
                <w:sz w:val="16"/>
              </w:rPr>
              <w:t xml:space="preserve"> </w:t>
            </w:r>
            <w:r>
              <w:rPr>
                <w:sz w:val="16"/>
              </w:rPr>
              <w:t>as</w:t>
            </w:r>
            <w:r>
              <w:rPr>
                <w:spacing w:val="14"/>
                <w:sz w:val="16"/>
              </w:rPr>
              <w:t xml:space="preserve"> </w:t>
            </w:r>
            <w:r>
              <w:rPr>
                <w:sz w:val="16"/>
              </w:rPr>
              <w:t xml:space="preserve">directed </w:t>
            </w:r>
            <w:r>
              <w:rPr>
                <w:spacing w:val="-41"/>
                <w:sz w:val="16"/>
              </w:rPr>
              <w:t>by</w:t>
            </w:r>
            <w:r w:rsidR="00DA0838">
              <w:rPr>
                <w:spacing w:val="-2"/>
                <w:sz w:val="16"/>
              </w:rPr>
              <w:t xml:space="preserve"> </w:t>
            </w:r>
            <w:r>
              <w:rPr>
                <w:spacing w:val="-2"/>
                <w:sz w:val="16"/>
              </w:rPr>
              <w:t xml:space="preserve">the </w:t>
            </w:r>
            <w:r>
              <w:rPr>
                <w:sz w:val="16"/>
              </w:rPr>
              <w:t>Board</w:t>
            </w:r>
            <w:r>
              <w:rPr>
                <w:spacing w:val="-1"/>
                <w:sz w:val="16"/>
              </w:rPr>
              <w:t xml:space="preserve"> </w:t>
            </w:r>
            <w:r>
              <w:rPr>
                <w:sz w:val="16"/>
              </w:rPr>
              <w:t>within</w:t>
            </w:r>
            <w:r>
              <w:rPr>
                <w:spacing w:val="-4"/>
                <w:sz w:val="16"/>
              </w:rPr>
              <w:t xml:space="preserve"> </w:t>
            </w:r>
            <w:r>
              <w:rPr>
                <w:sz w:val="16"/>
              </w:rPr>
              <w:t>timeframes and</w:t>
            </w:r>
            <w:r>
              <w:rPr>
                <w:spacing w:val="-1"/>
                <w:sz w:val="16"/>
              </w:rPr>
              <w:t xml:space="preserve"> </w:t>
            </w:r>
            <w:r>
              <w:rPr>
                <w:sz w:val="16"/>
              </w:rPr>
              <w:t>quality</w:t>
            </w:r>
            <w:r>
              <w:rPr>
                <w:spacing w:val="-2"/>
                <w:sz w:val="16"/>
              </w:rPr>
              <w:t xml:space="preserve"> </w:t>
            </w:r>
            <w:r>
              <w:rPr>
                <w:sz w:val="16"/>
              </w:rPr>
              <w:t>levels agreed</w:t>
            </w:r>
            <w:r>
              <w:rPr>
                <w:spacing w:val="-1"/>
                <w:sz w:val="16"/>
              </w:rPr>
              <w:t xml:space="preserve"> </w:t>
            </w:r>
            <w:r>
              <w:rPr>
                <w:sz w:val="16"/>
              </w:rPr>
              <w:t>with</w:t>
            </w:r>
            <w:r>
              <w:rPr>
                <w:spacing w:val="-2"/>
                <w:sz w:val="16"/>
              </w:rPr>
              <w:t xml:space="preserve"> </w:t>
            </w:r>
            <w:r>
              <w:rPr>
                <w:sz w:val="16"/>
              </w:rPr>
              <w:t>the</w:t>
            </w:r>
            <w:r>
              <w:rPr>
                <w:spacing w:val="-3"/>
                <w:sz w:val="16"/>
              </w:rPr>
              <w:t xml:space="preserve"> </w:t>
            </w:r>
            <w:r>
              <w:rPr>
                <w:sz w:val="16"/>
              </w:rPr>
              <w:t>Board.</w:t>
            </w:r>
          </w:p>
          <w:p w:rsidR="005D36C8" w:rsidRDefault="005D36C8" w:rsidP="00DA1F4B">
            <w:pPr>
              <w:pStyle w:val="TableParagraph"/>
              <w:numPr>
                <w:ilvl w:val="0"/>
                <w:numId w:val="26"/>
              </w:numPr>
              <w:tabs>
                <w:tab w:val="left" w:pos="464"/>
                <w:tab w:val="left" w:pos="465"/>
              </w:tabs>
              <w:spacing w:before="60" w:after="60"/>
              <w:ind w:left="374" w:hanging="357"/>
              <w:rPr>
                <w:sz w:val="16"/>
              </w:rPr>
            </w:pPr>
            <w:r>
              <w:rPr>
                <w:sz w:val="16"/>
              </w:rPr>
              <w:t>Ensure</w:t>
            </w:r>
            <w:r>
              <w:rPr>
                <w:spacing w:val="36"/>
                <w:sz w:val="16"/>
              </w:rPr>
              <w:t xml:space="preserve"> </w:t>
            </w:r>
            <w:r>
              <w:rPr>
                <w:sz w:val="16"/>
              </w:rPr>
              <w:t>all</w:t>
            </w:r>
            <w:r>
              <w:rPr>
                <w:spacing w:val="37"/>
                <w:sz w:val="16"/>
              </w:rPr>
              <w:t xml:space="preserve"> </w:t>
            </w:r>
            <w:r>
              <w:rPr>
                <w:sz w:val="16"/>
              </w:rPr>
              <w:t>investments</w:t>
            </w:r>
            <w:r>
              <w:rPr>
                <w:spacing w:val="38"/>
                <w:sz w:val="16"/>
              </w:rPr>
              <w:t xml:space="preserve"> </w:t>
            </w:r>
            <w:r>
              <w:rPr>
                <w:sz w:val="16"/>
              </w:rPr>
              <w:t>are</w:t>
            </w:r>
            <w:r>
              <w:rPr>
                <w:spacing w:val="35"/>
                <w:sz w:val="16"/>
              </w:rPr>
              <w:t xml:space="preserve"> </w:t>
            </w:r>
            <w:r>
              <w:rPr>
                <w:sz w:val="16"/>
              </w:rPr>
              <w:t>made</w:t>
            </w:r>
            <w:r>
              <w:rPr>
                <w:spacing w:val="36"/>
                <w:sz w:val="16"/>
              </w:rPr>
              <w:t xml:space="preserve"> </w:t>
            </w:r>
            <w:r>
              <w:rPr>
                <w:sz w:val="16"/>
              </w:rPr>
              <w:t>in</w:t>
            </w:r>
            <w:r>
              <w:rPr>
                <w:spacing w:val="36"/>
                <w:sz w:val="16"/>
              </w:rPr>
              <w:t xml:space="preserve"> </w:t>
            </w:r>
            <w:r>
              <w:rPr>
                <w:sz w:val="16"/>
              </w:rPr>
              <w:t>accordance</w:t>
            </w:r>
            <w:r>
              <w:rPr>
                <w:spacing w:val="36"/>
                <w:sz w:val="16"/>
              </w:rPr>
              <w:t xml:space="preserve"> </w:t>
            </w:r>
            <w:r>
              <w:rPr>
                <w:sz w:val="16"/>
              </w:rPr>
              <w:t>with</w:t>
            </w:r>
            <w:r>
              <w:rPr>
                <w:spacing w:val="37"/>
                <w:sz w:val="16"/>
              </w:rPr>
              <w:t xml:space="preserve"> </w:t>
            </w:r>
            <w:r>
              <w:rPr>
                <w:sz w:val="16"/>
              </w:rPr>
              <w:t>relevant</w:t>
            </w:r>
            <w:r>
              <w:rPr>
                <w:spacing w:val="37"/>
                <w:sz w:val="16"/>
              </w:rPr>
              <w:t xml:space="preserve"> </w:t>
            </w:r>
            <w:r>
              <w:rPr>
                <w:sz w:val="16"/>
              </w:rPr>
              <w:t>legislation,</w:t>
            </w:r>
            <w:r>
              <w:rPr>
                <w:spacing w:val="-42"/>
                <w:sz w:val="16"/>
              </w:rPr>
              <w:t xml:space="preserve"> </w:t>
            </w:r>
            <w:r>
              <w:rPr>
                <w:sz w:val="16"/>
              </w:rPr>
              <w:t>Investment</w:t>
            </w:r>
            <w:r>
              <w:rPr>
                <w:spacing w:val="1"/>
                <w:sz w:val="16"/>
              </w:rPr>
              <w:t xml:space="preserve"> </w:t>
            </w:r>
            <w:r>
              <w:rPr>
                <w:sz w:val="16"/>
              </w:rPr>
              <w:t>Mandate and</w:t>
            </w:r>
            <w:r>
              <w:rPr>
                <w:spacing w:val="-5"/>
                <w:sz w:val="16"/>
              </w:rPr>
              <w:t xml:space="preserve"> </w:t>
            </w:r>
            <w:r>
              <w:rPr>
                <w:sz w:val="16"/>
              </w:rPr>
              <w:t>ministerial directions.</w:t>
            </w:r>
          </w:p>
          <w:p w:rsidR="005D36C8" w:rsidRDefault="005D36C8" w:rsidP="00DA1F4B">
            <w:pPr>
              <w:pStyle w:val="TableParagraph"/>
              <w:numPr>
                <w:ilvl w:val="0"/>
                <w:numId w:val="26"/>
              </w:numPr>
              <w:tabs>
                <w:tab w:val="left" w:pos="464"/>
                <w:tab w:val="left" w:pos="465"/>
              </w:tabs>
              <w:spacing w:before="60" w:after="60"/>
              <w:ind w:left="374" w:hanging="357"/>
              <w:rPr>
                <w:sz w:val="16"/>
              </w:rPr>
            </w:pPr>
            <w:r>
              <w:rPr>
                <w:sz w:val="16"/>
              </w:rPr>
              <w:t>Provide</w:t>
            </w:r>
            <w:r>
              <w:rPr>
                <w:spacing w:val="-2"/>
                <w:sz w:val="16"/>
              </w:rPr>
              <w:t xml:space="preserve"> </w:t>
            </w:r>
            <w:r>
              <w:rPr>
                <w:sz w:val="16"/>
              </w:rPr>
              <w:t>administrative</w:t>
            </w:r>
            <w:r>
              <w:rPr>
                <w:spacing w:val="-2"/>
                <w:sz w:val="16"/>
              </w:rPr>
              <w:t xml:space="preserve"> </w:t>
            </w:r>
            <w:r>
              <w:rPr>
                <w:sz w:val="16"/>
              </w:rPr>
              <w:t>services</w:t>
            </w:r>
            <w:r>
              <w:rPr>
                <w:spacing w:val="-1"/>
                <w:sz w:val="16"/>
              </w:rPr>
              <w:t xml:space="preserve"> </w:t>
            </w:r>
            <w:r>
              <w:rPr>
                <w:sz w:val="16"/>
              </w:rPr>
              <w:t>to</w:t>
            </w:r>
            <w:r>
              <w:rPr>
                <w:spacing w:val="-4"/>
                <w:sz w:val="16"/>
              </w:rPr>
              <w:t xml:space="preserve"> </w:t>
            </w:r>
            <w:r>
              <w:rPr>
                <w:sz w:val="16"/>
              </w:rPr>
              <w:t>the</w:t>
            </w:r>
            <w:r>
              <w:rPr>
                <w:spacing w:val="-2"/>
                <w:sz w:val="16"/>
              </w:rPr>
              <w:t xml:space="preserve"> </w:t>
            </w:r>
            <w:r>
              <w:rPr>
                <w:sz w:val="16"/>
              </w:rPr>
              <w:t>Board.</w:t>
            </w:r>
          </w:p>
          <w:p w:rsidR="005D36C8" w:rsidRDefault="005D36C8" w:rsidP="00DA1F4B">
            <w:pPr>
              <w:pStyle w:val="TableParagraph"/>
              <w:numPr>
                <w:ilvl w:val="0"/>
                <w:numId w:val="26"/>
              </w:numPr>
              <w:tabs>
                <w:tab w:val="left" w:pos="465"/>
                <w:tab w:val="left" w:pos="466"/>
              </w:tabs>
              <w:spacing w:before="60" w:after="60"/>
              <w:ind w:left="374" w:hanging="357"/>
              <w:rPr>
                <w:sz w:val="16"/>
              </w:rPr>
            </w:pPr>
            <w:r>
              <w:rPr>
                <w:sz w:val="16"/>
              </w:rPr>
              <w:t>Provide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recommendations</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Board.</w:t>
            </w:r>
          </w:p>
          <w:p w:rsidR="005D36C8" w:rsidRDefault="005D36C8" w:rsidP="00DA1F4B">
            <w:pPr>
              <w:pStyle w:val="TableParagraph"/>
              <w:numPr>
                <w:ilvl w:val="0"/>
                <w:numId w:val="26"/>
              </w:numPr>
              <w:tabs>
                <w:tab w:val="left" w:pos="465"/>
                <w:tab w:val="left" w:pos="466"/>
              </w:tabs>
              <w:spacing w:before="60" w:after="60"/>
              <w:ind w:left="374" w:hanging="357"/>
              <w:rPr>
                <w:sz w:val="16"/>
              </w:rPr>
            </w:pPr>
            <w:r>
              <w:rPr>
                <w:sz w:val="16"/>
              </w:rPr>
              <w:t>Advise</w:t>
            </w:r>
            <w:r>
              <w:rPr>
                <w:spacing w:val="-4"/>
                <w:sz w:val="16"/>
              </w:rPr>
              <w:t xml:space="preserve"> </w:t>
            </w:r>
            <w:r>
              <w:rPr>
                <w:sz w:val="16"/>
              </w:rPr>
              <w:t>the</w:t>
            </w:r>
            <w:r>
              <w:rPr>
                <w:spacing w:val="-3"/>
                <w:sz w:val="16"/>
              </w:rPr>
              <w:t xml:space="preserve"> </w:t>
            </w:r>
            <w:r>
              <w:rPr>
                <w:sz w:val="16"/>
              </w:rPr>
              <w:t>Board</w:t>
            </w:r>
            <w:r>
              <w:rPr>
                <w:spacing w:val="-1"/>
                <w:sz w:val="16"/>
              </w:rPr>
              <w:t xml:space="preserve"> </w:t>
            </w:r>
            <w:r>
              <w:rPr>
                <w:sz w:val="16"/>
              </w:rPr>
              <w:t>about</w:t>
            </w:r>
            <w:r>
              <w:rPr>
                <w:spacing w:val="-3"/>
                <w:sz w:val="16"/>
              </w:rPr>
              <w:t xml:space="preserve"> </w:t>
            </w:r>
            <w:r>
              <w:rPr>
                <w:sz w:val="16"/>
              </w:rPr>
              <w:t>the</w:t>
            </w:r>
            <w:r>
              <w:rPr>
                <w:spacing w:val="-1"/>
                <w:sz w:val="16"/>
              </w:rPr>
              <w:t xml:space="preserve"> </w:t>
            </w:r>
            <w:r>
              <w:rPr>
                <w:sz w:val="16"/>
              </w:rPr>
              <w:t>performance</w:t>
            </w:r>
            <w:r>
              <w:rPr>
                <w:spacing w:val="-1"/>
                <w:sz w:val="16"/>
              </w:rPr>
              <w:t xml:space="preserve"> </w:t>
            </w:r>
            <w:r>
              <w:rPr>
                <w:sz w:val="16"/>
              </w:rPr>
              <w:t>of</w:t>
            </w:r>
            <w:r>
              <w:rPr>
                <w:spacing w:val="-3"/>
                <w:sz w:val="16"/>
              </w:rPr>
              <w:t xml:space="preserve"> </w:t>
            </w:r>
            <w:r>
              <w:rPr>
                <w:sz w:val="16"/>
              </w:rPr>
              <w:t>the</w:t>
            </w:r>
            <w:r>
              <w:rPr>
                <w:spacing w:val="-3"/>
                <w:sz w:val="16"/>
              </w:rPr>
              <w:t xml:space="preserve"> </w:t>
            </w:r>
            <w:r>
              <w:rPr>
                <w:sz w:val="16"/>
              </w:rPr>
              <w:t>Board’s</w:t>
            </w:r>
            <w:r>
              <w:rPr>
                <w:spacing w:val="-1"/>
                <w:sz w:val="16"/>
              </w:rPr>
              <w:t xml:space="preserve"> </w:t>
            </w:r>
            <w:r>
              <w:rPr>
                <w:sz w:val="16"/>
              </w:rPr>
              <w:t>functions.</w:t>
            </w:r>
          </w:p>
          <w:p w:rsidR="005D36C8" w:rsidRPr="00D01E5F" w:rsidRDefault="005D36C8" w:rsidP="00DA1F4B">
            <w:pPr>
              <w:pStyle w:val="TableParagraph"/>
              <w:numPr>
                <w:ilvl w:val="0"/>
                <w:numId w:val="26"/>
              </w:numPr>
              <w:tabs>
                <w:tab w:val="left" w:pos="465"/>
                <w:tab w:val="left" w:pos="466"/>
              </w:tabs>
              <w:spacing w:before="60" w:after="60"/>
              <w:ind w:left="374" w:hanging="357"/>
              <w:rPr>
                <w:sz w:val="16"/>
              </w:rPr>
            </w:pPr>
            <w:r>
              <w:rPr>
                <w:sz w:val="16"/>
              </w:rPr>
              <w:t>Make</w:t>
            </w:r>
            <w:r>
              <w:rPr>
                <w:spacing w:val="-2"/>
                <w:sz w:val="16"/>
              </w:rPr>
              <w:t xml:space="preserve"> </w:t>
            </w:r>
            <w:r>
              <w:rPr>
                <w:sz w:val="16"/>
              </w:rPr>
              <w:t>resources</w:t>
            </w:r>
            <w:r>
              <w:rPr>
                <w:spacing w:val="1"/>
                <w:sz w:val="16"/>
              </w:rPr>
              <w:t xml:space="preserve"> </w:t>
            </w:r>
            <w:r>
              <w:rPr>
                <w:sz w:val="16"/>
              </w:rPr>
              <w:t>and</w:t>
            </w:r>
            <w:r>
              <w:rPr>
                <w:spacing w:val="-4"/>
                <w:sz w:val="16"/>
              </w:rPr>
              <w:t xml:space="preserve"> </w:t>
            </w:r>
            <w:r>
              <w:rPr>
                <w:sz w:val="16"/>
              </w:rPr>
              <w:t>facilities</w:t>
            </w:r>
            <w:r>
              <w:rPr>
                <w:spacing w:val="-1"/>
                <w:sz w:val="16"/>
              </w:rPr>
              <w:t xml:space="preserve"> </w:t>
            </w:r>
            <w:r>
              <w:rPr>
                <w:sz w:val="16"/>
              </w:rPr>
              <w:t>available</w:t>
            </w:r>
            <w:r>
              <w:rPr>
                <w:spacing w:val="-2"/>
                <w:sz w:val="16"/>
              </w:rPr>
              <w:t xml:space="preserve"> </w:t>
            </w:r>
            <w:r>
              <w:rPr>
                <w:sz w:val="16"/>
              </w:rPr>
              <w:t>to</w:t>
            </w:r>
            <w:r>
              <w:rPr>
                <w:spacing w:val="-3"/>
                <w:sz w:val="16"/>
              </w:rPr>
              <w:t xml:space="preserve"> </w:t>
            </w:r>
            <w:r>
              <w:rPr>
                <w:sz w:val="16"/>
              </w:rPr>
              <w:t>the</w:t>
            </w:r>
            <w:r>
              <w:rPr>
                <w:spacing w:val="-3"/>
                <w:sz w:val="16"/>
              </w:rPr>
              <w:t xml:space="preserve"> </w:t>
            </w:r>
            <w:r>
              <w:rPr>
                <w:sz w:val="16"/>
              </w:rPr>
              <w:t>Board.</w:t>
            </w:r>
          </w:p>
        </w:tc>
      </w:tr>
      <w:tr w:rsidR="005D36C8" w:rsidRPr="001B2F81" w:rsidTr="00372EBB">
        <w:trPr>
          <w:trHeight w:val="258"/>
        </w:trPr>
        <w:tc>
          <w:tcPr>
            <w:tcW w:w="1304" w:type="dxa"/>
            <w:tcBorders>
              <w:top w:val="double" w:sz="4" w:space="0" w:color="auto"/>
              <w:bottom w:val="single" w:sz="4" w:space="0" w:color="auto"/>
              <w:right w:val="single" w:sz="4" w:space="0" w:color="auto"/>
            </w:tcBorders>
          </w:tcPr>
          <w:p w:rsidR="005D36C8" w:rsidRPr="00160C23" w:rsidRDefault="004A7619" w:rsidP="000254E0">
            <w:pPr>
              <w:pStyle w:val="TableTextBase"/>
              <w:rPr>
                <w:b/>
                <w:sz w:val="16"/>
                <w:szCs w:val="16"/>
              </w:rPr>
            </w:pPr>
            <w:r>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rsidR="005D36C8" w:rsidRPr="00160C23" w:rsidRDefault="005D36C8" w:rsidP="000254E0">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rsidR="005D36C8" w:rsidRPr="00160C23" w:rsidRDefault="005D36C8" w:rsidP="000254E0">
            <w:pPr>
              <w:pStyle w:val="TableTextBase"/>
              <w:rPr>
                <w:rFonts w:cs="Arial"/>
                <w:b/>
                <w:sz w:val="16"/>
                <w:szCs w:val="16"/>
              </w:rPr>
            </w:pPr>
            <w:r w:rsidRPr="00160C23">
              <w:rPr>
                <w:rFonts w:cs="Arial"/>
                <w:b/>
                <w:sz w:val="16"/>
                <w:szCs w:val="16"/>
              </w:rPr>
              <w:t>Expected Performance Results</w:t>
            </w:r>
          </w:p>
        </w:tc>
      </w:tr>
      <w:tr w:rsidR="005D36C8" w:rsidRPr="001B2F81" w:rsidTr="00372EBB">
        <w:trPr>
          <w:trHeight w:val="642"/>
        </w:trPr>
        <w:tc>
          <w:tcPr>
            <w:tcW w:w="1304" w:type="dxa"/>
            <w:tcBorders>
              <w:top w:val="single" w:sz="4" w:space="0" w:color="auto"/>
              <w:bottom w:val="dotted" w:sz="4" w:space="0" w:color="auto"/>
              <w:right w:val="single" w:sz="4" w:space="0" w:color="auto"/>
            </w:tcBorders>
          </w:tcPr>
          <w:p w:rsidR="005D36C8" w:rsidRPr="00160C23" w:rsidRDefault="005D36C8" w:rsidP="001E4B0F">
            <w:pPr>
              <w:pStyle w:val="TableTextBase"/>
              <w:rPr>
                <w:sz w:val="16"/>
                <w:szCs w:val="16"/>
              </w:rPr>
            </w:pPr>
            <w:r w:rsidRPr="00160C23">
              <w:rPr>
                <w:sz w:val="16"/>
                <w:szCs w:val="16"/>
              </w:rPr>
              <w:t xml:space="preserve">Current year </w:t>
            </w:r>
            <w:r w:rsidR="001E4B0F">
              <w:rPr>
                <w:sz w:val="16"/>
                <w:szCs w:val="16"/>
              </w:rPr>
              <w:br/>
            </w:r>
            <w:r w:rsidRPr="00160C23">
              <w:rPr>
                <w:sz w:val="16"/>
                <w:szCs w:val="16"/>
              </w:rPr>
              <w:t>2021-22</w:t>
            </w:r>
          </w:p>
        </w:tc>
        <w:tc>
          <w:tcPr>
            <w:tcW w:w="3118" w:type="dxa"/>
            <w:tcBorders>
              <w:top w:val="single" w:sz="4" w:space="0" w:color="auto"/>
              <w:left w:val="single" w:sz="4" w:space="0" w:color="auto"/>
              <w:bottom w:val="dotted" w:sz="4" w:space="0" w:color="auto"/>
              <w:right w:val="single" w:sz="4" w:space="0" w:color="auto"/>
            </w:tcBorders>
          </w:tcPr>
          <w:p w:rsidR="005D36C8" w:rsidRPr="00FF6812" w:rsidRDefault="005D36C8" w:rsidP="000254E0">
            <w:pPr>
              <w:pStyle w:val="TableTextBase"/>
              <w:rPr>
                <w:i/>
                <w:sz w:val="16"/>
                <w:szCs w:val="16"/>
              </w:rPr>
            </w:pPr>
            <w:r w:rsidRPr="00FF6812">
              <w:rPr>
                <w:rFonts w:eastAsia="Arial" w:cs="Arial"/>
                <w:sz w:val="16"/>
                <w:szCs w:val="22"/>
                <w:lang w:eastAsia="en-US"/>
              </w:rPr>
              <w:t>Provide assistance and advice to the Board in</w:t>
            </w:r>
            <w:r w:rsidRPr="00FF6812">
              <w:rPr>
                <w:rFonts w:eastAsia="Arial" w:cs="Arial"/>
                <w:spacing w:val="-42"/>
                <w:sz w:val="16"/>
                <w:szCs w:val="22"/>
                <w:lang w:eastAsia="en-US"/>
              </w:rPr>
              <w:t xml:space="preserve"> </w:t>
            </w:r>
            <w:r w:rsidRPr="00FF6812">
              <w:rPr>
                <w:rFonts w:eastAsia="Arial" w:cs="Arial"/>
                <w:sz w:val="16"/>
                <w:szCs w:val="22"/>
                <w:lang w:eastAsia="en-US"/>
              </w:rPr>
              <w:t>pursuit of achieving the Investment Mandate</w:t>
            </w:r>
            <w:r w:rsidRPr="00FF6812">
              <w:rPr>
                <w:rFonts w:eastAsia="Arial" w:cs="Arial"/>
                <w:spacing w:val="1"/>
                <w:sz w:val="16"/>
                <w:szCs w:val="22"/>
                <w:lang w:eastAsia="en-US"/>
              </w:rPr>
              <w:t xml:space="preserve"> </w:t>
            </w:r>
            <w:r w:rsidRPr="00FF6812">
              <w:rPr>
                <w:rFonts w:eastAsia="Arial" w:cs="Arial"/>
                <w:sz w:val="16"/>
                <w:szCs w:val="22"/>
                <w:lang w:eastAsia="en-US"/>
              </w:rPr>
              <w:t>target</w:t>
            </w:r>
            <w:r w:rsidRPr="00FF6812">
              <w:rPr>
                <w:rFonts w:eastAsia="Arial" w:cs="Arial"/>
                <w:spacing w:val="5"/>
                <w:sz w:val="16"/>
                <w:szCs w:val="22"/>
                <w:lang w:eastAsia="en-US"/>
              </w:rPr>
              <w:t xml:space="preserve"> </w:t>
            </w:r>
            <w:r w:rsidRPr="00FF6812">
              <w:rPr>
                <w:rFonts w:eastAsia="Arial" w:cs="Arial"/>
                <w:sz w:val="16"/>
                <w:szCs w:val="22"/>
                <w:lang w:eastAsia="en-US"/>
              </w:rPr>
              <w:t>return</w:t>
            </w:r>
            <w:r w:rsidRPr="00FF6812">
              <w:rPr>
                <w:rFonts w:eastAsia="Arial" w:cs="Arial"/>
                <w:spacing w:val="3"/>
                <w:sz w:val="16"/>
                <w:szCs w:val="22"/>
                <w:lang w:eastAsia="en-US"/>
              </w:rPr>
              <w:t xml:space="preserve"> </w:t>
            </w:r>
            <w:r w:rsidRPr="00FF6812">
              <w:rPr>
                <w:rFonts w:eastAsia="Arial" w:cs="Arial"/>
                <w:sz w:val="16"/>
                <w:szCs w:val="22"/>
                <w:lang w:eastAsia="en-US"/>
              </w:rPr>
              <w:t>over the</w:t>
            </w:r>
            <w:r w:rsidRPr="00FF6812">
              <w:rPr>
                <w:rFonts w:eastAsia="Arial" w:cs="Arial"/>
                <w:spacing w:val="4"/>
                <w:sz w:val="16"/>
                <w:szCs w:val="22"/>
                <w:lang w:eastAsia="en-US"/>
              </w:rPr>
              <w:t xml:space="preserve"> </w:t>
            </w:r>
            <w:r w:rsidRPr="00FF6812">
              <w:rPr>
                <w:rFonts w:eastAsia="Arial" w:cs="Arial"/>
                <w:sz w:val="16"/>
                <w:szCs w:val="22"/>
                <w:lang w:eastAsia="en-US"/>
              </w:rPr>
              <w:t>long</w:t>
            </w:r>
            <w:r w:rsidRPr="00FF6812">
              <w:rPr>
                <w:rFonts w:eastAsia="Arial" w:cs="Arial"/>
                <w:spacing w:val="1"/>
                <w:sz w:val="16"/>
                <w:szCs w:val="22"/>
                <w:lang w:eastAsia="en-US"/>
              </w:rPr>
              <w:t xml:space="preserve"> </w:t>
            </w:r>
            <w:r w:rsidRPr="00FF6812">
              <w:rPr>
                <w:rFonts w:eastAsia="Arial" w:cs="Arial"/>
                <w:sz w:val="16"/>
                <w:szCs w:val="22"/>
                <w:lang w:eastAsia="en-US"/>
              </w:rPr>
              <w:t>term</w:t>
            </w:r>
            <w:r w:rsidRPr="00FF6812">
              <w:rPr>
                <w:rFonts w:eastAsia="Arial" w:cs="Arial"/>
                <w:spacing w:val="7"/>
                <w:sz w:val="16"/>
                <w:szCs w:val="22"/>
                <w:lang w:eastAsia="en-US"/>
              </w:rPr>
              <w:t xml:space="preserve"> </w:t>
            </w:r>
            <w:r w:rsidRPr="00FF6812">
              <w:rPr>
                <w:rFonts w:eastAsia="Arial" w:cs="Arial"/>
                <w:sz w:val="16"/>
                <w:szCs w:val="22"/>
                <w:lang w:eastAsia="en-US"/>
              </w:rPr>
              <w:t>(interpreted</w:t>
            </w:r>
            <w:r w:rsidRPr="00FF6812">
              <w:rPr>
                <w:rFonts w:eastAsia="Arial" w:cs="Arial"/>
                <w:spacing w:val="1"/>
                <w:sz w:val="16"/>
                <w:szCs w:val="22"/>
                <w:lang w:eastAsia="en-US"/>
              </w:rPr>
              <w:t xml:space="preserve"> </w:t>
            </w:r>
            <w:r w:rsidRPr="00FF6812">
              <w:rPr>
                <w:rFonts w:eastAsia="Arial" w:cs="Arial"/>
                <w:sz w:val="16"/>
                <w:szCs w:val="22"/>
                <w:lang w:eastAsia="en-US"/>
              </w:rPr>
              <w:t>as rolling 10 year periods) with acceptable but</w:t>
            </w:r>
            <w:r w:rsidRPr="00FF6812">
              <w:rPr>
                <w:rFonts w:eastAsia="Arial" w:cs="Arial"/>
                <w:spacing w:val="-43"/>
                <w:sz w:val="16"/>
                <w:szCs w:val="22"/>
                <w:lang w:eastAsia="en-US"/>
              </w:rPr>
              <w:t xml:space="preserve"> </w:t>
            </w:r>
            <w:r w:rsidRPr="00FF6812">
              <w:rPr>
                <w:rFonts w:eastAsia="Arial" w:cs="Arial"/>
                <w:sz w:val="16"/>
                <w:szCs w:val="22"/>
                <w:lang w:eastAsia="en-US"/>
              </w:rPr>
              <w:t>not</w:t>
            </w:r>
            <w:r w:rsidRPr="00FF6812">
              <w:rPr>
                <w:rFonts w:eastAsia="Arial" w:cs="Arial"/>
                <w:spacing w:val="1"/>
                <w:sz w:val="16"/>
                <w:szCs w:val="22"/>
                <w:lang w:eastAsia="en-US"/>
              </w:rPr>
              <w:t xml:space="preserve"> </w:t>
            </w:r>
            <w:r w:rsidRPr="00FF6812">
              <w:rPr>
                <w:rFonts w:eastAsia="Arial" w:cs="Arial"/>
                <w:sz w:val="16"/>
                <w:szCs w:val="22"/>
                <w:lang w:eastAsia="en-US"/>
              </w:rPr>
              <w:t>excessive</w:t>
            </w:r>
            <w:r w:rsidRPr="00FF6812">
              <w:rPr>
                <w:rFonts w:eastAsia="Arial" w:cs="Arial"/>
                <w:spacing w:val="-2"/>
                <w:sz w:val="16"/>
                <w:szCs w:val="22"/>
                <w:lang w:eastAsia="en-US"/>
              </w:rPr>
              <w:t xml:space="preserve"> </w:t>
            </w:r>
            <w:r w:rsidRPr="00FF6812">
              <w:rPr>
                <w:rFonts w:eastAsia="Arial" w:cs="Arial"/>
                <w:sz w:val="16"/>
                <w:szCs w:val="22"/>
                <w:lang w:eastAsia="en-US"/>
              </w:rPr>
              <w:t>risk.</w:t>
            </w:r>
          </w:p>
        </w:tc>
        <w:tc>
          <w:tcPr>
            <w:tcW w:w="3118" w:type="dxa"/>
            <w:tcBorders>
              <w:top w:val="single" w:sz="4" w:space="0" w:color="auto"/>
              <w:left w:val="single" w:sz="4" w:space="0" w:color="auto"/>
              <w:bottom w:val="dotted" w:sz="4" w:space="0" w:color="auto"/>
            </w:tcBorders>
          </w:tcPr>
          <w:p w:rsidR="005D36C8" w:rsidRPr="00FF6812" w:rsidRDefault="005D36C8" w:rsidP="000254E0">
            <w:pPr>
              <w:pStyle w:val="TableTextBase"/>
              <w:rPr>
                <w:i/>
                <w:sz w:val="16"/>
                <w:szCs w:val="16"/>
              </w:rPr>
            </w:pPr>
            <w:r w:rsidRPr="00FF6812">
              <w:rPr>
                <w:rFonts w:eastAsia="Arial" w:cs="Arial"/>
                <w:sz w:val="16"/>
                <w:szCs w:val="22"/>
                <w:lang w:eastAsia="en-US"/>
              </w:rPr>
              <w:t>As at 31 December 2021 the actual</w:t>
            </w:r>
            <w:r w:rsidRPr="00FF6812">
              <w:rPr>
                <w:rFonts w:eastAsia="Arial" w:cs="Arial"/>
                <w:spacing w:val="1"/>
                <w:sz w:val="16"/>
                <w:szCs w:val="22"/>
                <w:lang w:eastAsia="en-US"/>
              </w:rPr>
              <w:t xml:space="preserve"> </w:t>
            </w:r>
            <w:r w:rsidRPr="00FF6812">
              <w:rPr>
                <w:rFonts w:eastAsia="Arial" w:cs="Arial"/>
                <w:sz w:val="16"/>
                <w:szCs w:val="22"/>
                <w:lang w:eastAsia="en-US"/>
              </w:rPr>
              <w:t>return was 10.8% pa over the last 10</w:t>
            </w:r>
            <w:r w:rsidRPr="00FF6812">
              <w:rPr>
                <w:rFonts w:eastAsia="Arial" w:cs="Arial"/>
                <w:spacing w:val="-42"/>
                <w:sz w:val="16"/>
                <w:szCs w:val="22"/>
                <w:lang w:eastAsia="en-US"/>
              </w:rPr>
              <w:t xml:space="preserve"> </w:t>
            </w:r>
            <w:r w:rsidRPr="00FF6812">
              <w:rPr>
                <w:rFonts w:eastAsia="Arial" w:cs="Arial"/>
                <w:sz w:val="16"/>
                <w:szCs w:val="22"/>
                <w:lang w:eastAsia="en-US"/>
              </w:rPr>
              <w:t>years against a target</w:t>
            </w:r>
            <w:r w:rsidRPr="00FF6812">
              <w:rPr>
                <w:rFonts w:eastAsia="Arial" w:cs="Arial"/>
                <w:spacing w:val="1"/>
                <w:sz w:val="16"/>
                <w:szCs w:val="22"/>
                <w:lang w:eastAsia="en-US"/>
              </w:rPr>
              <w:t xml:space="preserve"> </w:t>
            </w:r>
            <w:r w:rsidRPr="00FF6812">
              <w:rPr>
                <w:rFonts w:eastAsia="Arial" w:cs="Arial"/>
                <w:sz w:val="16"/>
                <w:szCs w:val="22"/>
                <w:lang w:eastAsia="en-US"/>
              </w:rPr>
              <w:t>benchmark</w:t>
            </w:r>
            <w:r w:rsidRPr="00FF6812">
              <w:rPr>
                <w:rFonts w:eastAsia="Arial" w:cs="Arial"/>
                <w:spacing w:val="-2"/>
                <w:sz w:val="16"/>
                <w:szCs w:val="22"/>
                <w:lang w:eastAsia="en-US"/>
              </w:rPr>
              <w:t xml:space="preserve"> </w:t>
            </w:r>
            <w:r w:rsidRPr="00FF6812">
              <w:rPr>
                <w:rFonts w:eastAsia="Arial" w:cs="Arial"/>
                <w:sz w:val="16"/>
                <w:szCs w:val="22"/>
                <w:lang w:eastAsia="en-US"/>
              </w:rPr>
              <w:t>return of</w:t>
            </w:r>
            <w:r w:rsidRPr="00FF6812">
              <w:rPr>
                <w:rFonts w:eastAsia="Arial" w:cs="Arial"/>
                <w:spacing w:val="-1"/>
                <w:sz w:val="16"/>
                <w:szCs w:val="22"/>
                <w:lang w:eastAsia="en-US"/>
              </w:rPr>
              <w:t xml:space="preserve"> </w:t>
            </w:r>
            <w:r w:rsidRPr="00FF6812">
              <w:rPr>
                <w:rFonts w:eastAsia="Arial" w:cs="Arial"/>
                <w:sz w:val="16"/>
                <w:szCs w:val="22"/>
                <w:lang w:eastAsia="en-US"/>
              </w:rPr>
              <w:t>6.2% pa, delivered within the mandate’s risk parameters.</w:t>
            </w:r>
          </w:p>
        </w:tc>
      </w:tr>
      <w:tr w:rsidR="005D36C8" w:rsidRPr="001B2F81" w:rsidTr="00D118CE">
        <w:trPr>
          <w:trHeight w:val="331"/>
        </w:trPr>
        <w:tc>
          <w:tcPr>
            <w:tcW w:w="1304" w:type="dxa"/>
            <w:tcBorders>
              <w:top w:val="single" w:sz="4" w:space="0" w:color="auto"/>
              <w:bottom w:val="single" w:sz="4" w:space="0" w:color="auto"/>
              <w:right w:val="single" w:sz="4" w:space="0" w:color="auto"/>
            </w:tcBorders>
          </w:tcPr>
          <w:p w:rsidR="005D36C8" w:rsidRPr="00D118CE" w:rsidRDefault="005D36C8" w:rsidP="000254E0">
            <w:pPr>
              <w:pStyle w:val="TableTextBase"/>
              <w:rPr>
                <w:rFonts w:cs="Arial"/>
                <w:b/>
                <w:sz w:val="16"/>
                <w:szCs w:val="16"/>
              </w:rPr>
            </w:pPr>
            <w:r w:rsidRPr="00D118CE">
              <w:rPr>
                <w:rFonts w:cs="Arial"/>
                <w:b/>
                <w:sz w:val="16"/>
                <w:szCs w:val="16"/>
              </w:rPr>
              <w:t>Year</w:t>
            </w:r>
          </w:p>
          <w:p w:rsidR="005D36C8" w:rsidRPr="00D118CE" w:rsidRDefault="005D36C8" w:rsidP="000254E0">
            <w:pPr>
              <w:pStyle w:val="TableTextBase"/>
              <w:rPr>
                <w:rFonts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b/>
                <w:sz w:val="16"/>
                <w:szCs w:val="16"/>
              </w:rPr>
            </w:pPr>
            <w:r w:rsidRPr="00FF6812">
              <w:rPr>
                <w:rFonts w:cs="Arial"/>
                <w:b/>
                <w:sz w:val="16"/>
                <w:szCs w:val="16"/>
              </w:rPr>
              <w:t>Performance measures</w:t>
            </w:r>
          </w:p>
        </w:tc>
        <w:tc>
          <w:tcPr>
            <w:tcW w:w="3118" w:type="dxa"/>
            <w:tcBorders>
              <w:top w:val="single" w:sz="4" w:space="0" w:color="auto"/>
              <w:left w:val="single" w:sz="4" w:space="0" w:color="auto"/>
              <w:bottom w:val="single" w:sz="4" w:space="0" w:color="auto"/>
            </w:tcBorders>
          </w:tcPr>
          <w:p w:rsidR="005D36C8" w:rsidRPr="00FF6812" w:rsidRDefault="005D36C8" w:rsidP="000254E0">
            <w:pPr>
              <w:pStyle w:val="TableTextBase"/>
              <w:rPr>
                <w:rFonts w:cs="Arial"/>
                <w:b/>
                <w:sz w:val="16"/>
                <w:szCs w:val="16"/>
              </w:rPr>
            </w:pPr>
            <w:r w:rsidRPr="00FF6812">
              <w:rPr>
                <w:rFonts w:cs="Arial"/>
                <w:b/>
                <w:sz w:val="16"/>
                <w:szCs w:val="16"/>
              </w:rPr>
              <w:t>Planned Performance Results</w:t>
            </w:r>
          </w:p>
        </w:tc>
      </w:tr>
      <w:tr w:rsidR="005D36C8" w:rsidRPr="001B2F81" w:rsidTr="00D118CE">
        <w:trPr>
          <w:trHeight w:val="100"/>
        </w:trPr>
        <w:tc>
          <w:tcPr>
            <w:tcW w:w="1304" w:type="dxa"/>
            <w:tcBorders>
              <w:top w:val="single" w:sz="4" w:space="0" w:color="auto"/>
              <w:bottom w:val="single" w:sz="4" w:space="0" w:color="auto"/>
              <w:right w:val="single" w:sz="4" w:space="0" w:color="auto"/>
            </w:tcBorders>
          </w:tcPr>
          <w:p w:rsidR="005D36C8" w:rsidRPr="00D118CE" w:rsidRDefault="005D36C8" w:rsidP="00536398">
            <w:pPr>
              <w:pStyle w:val="TableTextBase"/>
              <w:rPr>
                <w:rFonts w:cs="Arial"/>
                <w:sz w:val="16"/>
                <w:szCs w:val="16"/>
              </w:rPr>
            </w:pPr>
            <w:r w:rsidRPr="00536398">
              <w:rPr>
                <w:sz w:val="16"/>
                <w:szCs w:val="16"/>
              </w:rPr>
              <w:t>Budget Year     2022-23</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A247E9" w:rsidP="000254E0">
            <w:pPr>
              <w:pStyle w:val="TableTextBase"/>
              <w:rPr>
                <w:rFonts w:cs="Arial"/>
                <w:sz w:val="16"/>
                <w:szCs w:val="16"/>
              </w:rPr>
            </w:pPr>
            <w:r w:rsidRPr="00FF6812">
              <w:rPr>
                <w:rFonts w:eastAsia="Arial" w:cs="Arial"/>
                <w:sz w:val="16"/>
                <w:szCs w:val="16"/>
                <w:lang w:eastAsia="en-US"/>
              </w:rPr>
              <w:t>Provide assistance and advice to the Board in pursuit of achieving the Investment Mandate target return over the long term (interpreted as rolling 10 year periods) with acceptable but not excessive risk.</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i/>
                <w:sz w:val="16"/>
                <w:szCs w:val="16"/>
              </w:rPr>
            </w:pPr>
            <w:r w:rsidRPr="00FF6812">
              <w:rPr>
                <w:rFonts w:eastAsia="Arial" w:cs="Arial"/>
                <w:sz w:val="16"/>
                <w:szCs w:val="16"/>
                <w:lang w:eastAsia="en-US"/>
              </w:rPr>
              <w:t xml:space="preserve">To achieve a return in line </w:t>
            </w:r>
            <w:r w:rsidR="00DA0838" w:rsidRPr="00FF6812">
              <w:rPr>
                <w:rFonts w:eastAsia="Arial" w:cs="Arial"/>
                <w:sz w:val="16"/>
                <w:szCs w:val="16"/>
                <w:lang w:eastAsia="en-US"/>
              </w:rPr>
              <w:t xml:space="preserve">with </w:t>
            </w:r>
            <w:r w:rsidR="00DA0838" w:rsidRPr="00FF6812">
              <w:rPr>
                <w:rFonts w:eastAsia="Arial" w:cs="Arial"/>
                <w:spacing w:val="-42"/>
                <w:sz w:val="16"/>
                <w:szCs w:val="16"/>
                <w:lang w:eastAsia="en-US"/>
              </w:rPr>
              <w:t>the</w:t>
            </w:r>
            <w:r w:rsidRPr="00FF6812">
              <w:rPr>
                <w:rFonts w:eastAsia="Arial" w:cs="Arial"/>
                <w:sz w:val="16"/>
                <w:szCs w:val="16"/>
                <w:lang w:eastAsia="en-US"/>
              </w:rPr>
              <w:t xml:space="preserve"> long-term target return with</w:t>
            </w:r>
            <w:r w:rsidRPr="00FF6812">
              <w:rPr>
                <w:rFonts w:eastAsia="Arial" w:cs="Arial"/>
                <w:spacing w:val="-42"/>
                <w:sz w:val="16"/>
                <w:szCs w:val="16"/>
                <w:lang w:eastAsia="en-US"/>
              </w:rPr>
              <w:t xml:space="preserve">    </w:t>
            </w:r>
            <w:r w:rsidRPr="00FF6812">
              <w:rPr>
                <w:rFonts w:eastAsia="Arial" w:cs="Arial"/>
                <w:sz w:val="16"/>
                <w:szCs w:val="16"/>
                <w:lang w:eastAsia="en-US"/>
              </w:rPr>
              <w:t>acceptable but not excessive</w:t>
            </w:r>
            <w:r w:rsidRPr="00FF6812">
              <w:rPr>
                <w:rFonts w:eastAsia="Arial" w:cs="Arial"/>
                <w:spacing w:val="1"/>
                <w:sz w:val="16"/>
                <w:szCs w:val="16"/>
                <w:lang w:eastAsia="en-US"/>
              </w:rPr>
              <w:t xml:space="preserve"> </w:t>
            </w:r>
            <w:r w:rsidRPr="00FF6812">
              <w:rPr>
                <w:rFonts w:eastAsia="Arial" w:cs="Arial"/>
                <w:sz w:val="16"/>
                <w:szCs w:val="16"/>
                <w:lang w:eastAsia="en-US"/>
              </w:rPr>
              <w:t>risk.</w:t>
            </w:r>
          </w:p>
        </w:tc>
      </w:tr>
      <w:tr w:rsidR="005D36C8" w:rsidRPr="001B2F81" w:rsidTr="00D118CE">
        <w:trPr>
          <w:trHeight w:val="491"/>
        </w:trPr>
        <w:tc>
          <w:tcPr>
            <w:tcW w:w="1304" w:type="dxa"/>
            <w:tcBorders>
              <w:top w:val="single" w:sz="4" w:space="0" w:color="auto"/>
              <w:bottom w:val="single" w:sz="4" w:space="0" w:color="auto"/>
              <w:right w:val="single" w:sz="4" w:space="0" w:color="auto"/>
            </w:tcBorders>
          </w:tcPr>
          <w:p w:rsidR="005D36C8" w:rsidRPr="00D118CE" w:rsidRDefault="005D36C8" w:rsidP="001E4B0F">
            <w:pPr>
              <w:pStyle w:val="TableTextBase"/>
              <w:rPr>
                <w:rFonts w:cs="Arial"/>
                <w:b/>
                <w:sz w:val="16"/>
                <w:szCs w:val="16"/>
              </w:rPr>
            </w:pPr>
            <w:r w:rsidRPr="00536398">
              <w:rPr>
                <w:sz w:val="16"/>
                <w:szCs w:val="16"/>
              </w:rPr>
              <w:t>Forward</w:t>
            </w:r>
            <w:r w:rsidR="001E4B0F">
              <w:rPr>
                <w:sz w:val="16"/>
                <w:szCs w:val="16"/>
              </w:rPr>
              <w:br/>
            </w:r>
            <w:r w:rsidRPr="00536398">
              <w:rPr>
                <w:sz w:val="16"/>
                <w:szCs w:val="16"/>
              </w:rPr>
              <w:t xml:space="preserve">Estimates </w:t>
            </w:r>
            <w:r w:rsidR="001E4B0F">
              <w:rPr>
                <w:sz w:val="16"/>
                <w:szCs w:val="16"/>
              </w:rPr>
              <w:br/>
            </w:r>
            <w:r w:rsidRPr="00536398">
              <w:rPr>
                <w:sz w:val="16"/>
                <w:szCs w:val="16"/>
              </w:rPr>
              <w:t>2023-26</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b/>
                <w:sz w:val="16"/>
                <w:szCs w:val="16"/>
              </w:rPr>
            </w:pPr>
            <w:r w:rsidRPr="00FF6812">
              <w:rPr>
                <w:rFonts w:eastAsia="Arial" w:cs="Arial"/>
                <w:sz w:val="16"/>
                <w:szCs w:val="16"/>
                <w:lang w:eastAsia="en-US"/>
              </w:rPr>
              <w:t>As</w:t>
            </w:r>
            <w:r w:rsidRPr="00FF6812">
              <w:rPr>
                <w:rFonts w:eastAsia="Arial" w:cs="Arial"/>
                <w:spacing w:val="-1"/>
                <w:sz w:val="16"/>
                <w:szCs w:val="16"/>
                <w:lang w:eastAsia="en-US"/>
              </w:rPr>
              <w:t xml:space="preserve"> </w:t>
            </w:r>
            <w:r w:rsidRPr="00FF6812">
              <w:rPr>
                <w:rFonts w:eastAsia="Arial" w:cs="Arial"/>
                <w:sz w:val="16"/>
                <w:szCs w:val="16"/>
                <w:lang w:eastAsia="en-US"/>
              </w:rPr>
              <w:t>per</w:t>
            </w:r>
            <w:r w:rsidRPr="00FF6812">
              <w:rPr>
                <w:rFonts w:eastAsia="Arial" w:cs="Arial"/>
                <w:spacing w:val="-1"/>
                <w:sz w:val="16"/>
                <w:szCs w:val="16"/>
                <w:lang w:eastAsia="en-US"/>
              </w:rPr>
              <w:t xml:space="preserve"> </w:t>
            </w:r>
            <w:r w:rsidRPr="00FF6812">
              <w:rPr>
                <w:rFonts w:eastAsia="Arial" w:cs="Arial"/>
                <w:sz w:val="16"/>
                <w:szCs w:val="16"/>
                <w:lang w:eastAsia="en-US"/>
              </w:rPr>
              <w:t>20</w:t>
            </w:r>
            <w:r w:rsidR="00A247E9" w:rsidRPr="00FF6812">
              <w:rPr>
                <w:rFonts w:eastAsia="Arial" w:cs="Arial"/>
                <w:sz w:val="16"/>
                <w:szCs w:val="16"/>
                <w:lang w:eastAsia="en-US"/>
              </w:rPr>
              <w:t>22-23.</w:t>
            </w:r>
          </w:p>
        </w:tc>
        <w:tc>
          <w:tcPr>
            <w:tcW w:w="3118" w:type="dxa"/>
            <w:tcBorders>
              <w:top w:val="single" w:sz="4" w:space="0" w:color="auto"/>
              <w:left w:val="single" w:sz="4" w:space="0" w:color="auto"/>
              <w:bottom w:val="single" w:sz="4" w:space="0" w:color="auto"/>
              <w:right w:val="single" w:sz="4" w:space="0" w:color="auto"/>
            </w:tcBorders>
          </w:tcPr>
          <w:p w:rsidR="005D36C8" w:rsidRPr="00FF6812" w:rsidRDefault="005D36C8" w:rsidP="000254E0">
            <w:pPr>
              <w:pStyle w:val="TableTextBase"/>
              <w:rPr>
                <w:rFonts w:cs="Arial"/>
                <w:b/>
                <w:sz w:val="16"/>
                <w:szCs w:val="16"/>
              </w:rPr>
            </w:pPr>
            <w:r w:rsidRPr="00FF6812">
              <w:rPr>
                <w:rFonts w:eastAsia="Arial" w:cs="Arial"/>
                <w:sz w:val="16"/>
                <w:szCs w:val="16"/>
                <w:lang w:eastAsia="en-US"/>
              </w:rPr>
              <w:t>As</w:t>
            </w:r>
            <w:r w:rsidRPr="00FF6812">
              <w:rPr>
                <w:rFonts w:eastAsia="Arial" w:cs="Arial"/>
                <w:spacing w:val="-1"/>
                <w:sz w:val="16"/>
                <w:szCs w:val="16"/>
                <w:lang w:eastAsia="en-US"/>
              </w:rPr>
              <w:t xml:space="preserve"> </w:t>
            </w:r>
            <w:r w:rsidRPr="00FF6812">
              <w:rPr>
                <w:rFonts w:eastAsia="Arial" w:cs="Arial"/>
                <w:sz w:val="16"/>
                <w:szCs w:val="16"/>
                <w:lang w:eastAsia="en-US"/>
              </w:rPr>
              <w:t>per</w:t>
            </w:r>
            <w:r w:rsidRPr="00FF6812">
              <w:rPr>
                <w:rFonts w:eastAsia="Arial" w:cs="Arial"/>
                <w:spacing w:val="-1"/>
                <w:sz w:val="16"/>
                <w:szCs w:val="16"/>
                <w:lang w:eastAsia="en-US"/>
              </w:rPr>
              <w:t xml:space="preserve"> </w:t>
            </w:r>
            <w:r w:rsidRPr="00FF6812">
              <w:rPr>
                <w:rFonts w:eastAsia="Arial" w:cs="Arial"/>
                <w:sz w:val="16"/>
                <w:szCs w:val="16"/>
                <w:lang w:eastAsia="en-US"/>
              </w:rPr>
              <w:t>2022-23.</w:t>
            </w:r>
          </w:p>
        </w:tc>
      </w:tr>
      <w:tr w:rsidR="00487DA5" w:rsidRPr="00160C23" w:rsidTr="00372EBB">
        <w:trPr>
          <w:trHeight w:val="291"/>
        </w:trPr>
        <w:tc>
          <w:tcPr>
            <w:tcW w:w="7796" w:type="dxa"/>
            <w:gridSpan w:val="3"/>
          </w:tcPr>
          <w:p w:rsidR="00487DA5" w:rsidRPr="00FF6812" w:rsidRDefault="00487DA5" w:rsidP="00D118CE">
            <w:pPr>
              <w:pStyle w:val="TableTextBase"/>
              <w:rPr>
                <w:rFonts w:eastAsia="Cambria" w:cs="Arial"/>
                <w:bCs/>
                <w:iCs/>
                <w:spacing w:val="-6"/>
                <w:sz w:val="16"/>
                <w:szCs w:val="16"/>
                <w:lang w:val="x-none"/>
              </w:rPr>
            </w:pPr>
            <w:r w:rsidRPr="00FF6812">
              <w:rPr>
                <w:rFonts w:cs="Arial"/>
                <w:sz w:val="16"/>
                <w:szCs w:val="16"/>
              </w:rPr>
              <w:t xml:space="preserve">Material changes to Program </w:t>
            </w:r>
            <w:r w:rsidR="00D118CE" w:rsidRPr="00FF6812">
              <w:rPr>
                <w:rFonts w:cs="Arial"/>
                <w:sz w:val="16"/>
                <w:szCs w:val="16"/>
              </w:rPr>
              <w:t>1.1</w:t>
            </w:r>
            <w:r w:rsidRPr="00FF6812">
              <w:rPr>
                <w:rFonts w:cs="Arial"/>
                <w:sz w:val="16"/>
                <w:szCs w:val="16"/>
              </w:rPr>
              <w:t xml:space="preserve"> resulting from 2022-23 Budget Measures:</w:t>
            </w:r>
            <w:r w:rsidRPr="00FF6812">
              <w:rPr>
                <w:rStyle w:val="BodyTextChar"/>
                <w:rFonts w:ascii="Arial" w:hAnsi="Arial" w:cs="Arial"/>
                <w:bCs/>
                <w:iCs/>
                <w:spacing w:val="-6"/>
                <w:sz w:val="16"/>
                <w:szCs w:val="16"/>
              </w:rPr>
              <w:t xml:space="preserve"> </w:t>
            </w:r>
            <w:r w:rsidR="00D118CE" w:rsidRPr="00FF6812">
              <w:rPr>
                <w:rStyle w:val="BodyTextChar"/>
                <w:rFonts w:ascii="Arial" w:hAnsi="Arial" w:cs="Arial"/>
                <w:bCs/>
                <w:iCs/>
                <w:spacing w:val="-6"/>
                <w:sz w:val="16"/>
                <w:szCs w:val="16"/>
              </w:rPr>
              <w:t>Nil</w:t>
            </w:r>
          </w:p>
        </w:tc>
      </w:tr>
    </w:tbl>
    <w:p w:rsidR="004C13A2" w:rsidRDefault="004C13A2" w:rsidP="004C13A2">
      <w:pPr>
        <w:pStyle w:val="TableHeading"/>
      </w:pPr>
    </w:p>
    <w:p w:rsidR="004C13A2" w:rsidRDefault="004C13A2">
      <w:pPr>
        <w:spacing w:after="0" w:line="240" w:lineRule="auto"/>
        <w:jc w:val="left"/>
        <w:rPr>
          <w:rFonts w:ascii="Arial" w:hAnsi="Arial"/>
          <w:b/>
          <w:color w:val="000000"/>
          <w:lang w:val="x-none" w:eastAsia="x-none"/>
        </w:rPr>
      </w:pPr>
      <w:r>
        <w:br w:type="page"/>
      </w:r>
    </w:p>
    <w:p w:rsidR="005D36C8" w:rsidRDefault="005D36C8" w:rsidP="004C13A2">
      <w:pPr>
        <w:pStyle w:val="TableHeading"/>
      </w:pPr>
      <w:r w:rsidRPr="005B4EFE">
        <w:lastRenderedPageBreak/>
        <w:t>Table 2.1.3: Performance measure for Outcome 1 (continued)</w:t>
      </w: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94"/>
        <w:gridCol w:w="2987"/>
        <w:gridCol w:w="2974"/>
      </w:tblGrid>
      <w:tr w:rsidR="009D7760" w:rsidRPr="002C4D06" w:rsidTr="009D7760">
        <w:trPr>
          <w:trHeight w:val="977"/>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9D7760" w:rsidRPr="002C4D06" w:rsidRDefault="009D7760" w:rsidP="004E0294">
            <w:pPr>
              <w:pStyle w:val="TableColumnHeadingLeft"/>
            </w:pPr>
            <w:r w:rsidRPr="009D7760">
              <w:rPr>
                <w:rStyle w:val="TableHeadingChar"/>
                <w:b/>
                <w:color w:val="auto"/>
                <w:lang w:val="en-AU" w:eastAsia="en-AU"/>
              </w:rPr>
              <w:t xml:space="preserve">Outcome 1 – </w:t>
            </w:r>
            <w:r w:rsidRPr="009D7760">
              <w:rPr>
                <w:rStyle w:val="TableHeadingChar"/>
                <w:color w:val="auto"/>
                <w:lang w:val="en-AU" w:eastAsia="en-AU"/>
              </w:rPr>
              <w:t>Strengthen the Commonwealth’s financial position for the benefit of the Australian people, by managing the investment activities of the Future Fund and certain other Australian Government investment funds in line with their Investment Mandates.</w:t>
            </w:r>
          </w:p>
        </w:tc>
      </w:tr>
      <w:tr w:rsidR="009D7760" w:rsidRPr="002C4D06" w:rsidTr="009D7760">
        <w:trPr>
          <w:trHeight w:val="977"/>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9D7760" w:rsidRPr="00FD5E72" w:rsidRDefault="009D7760" w:rsidP="00363219">
            <w:pPr>
              <w:pStyle w:val="TableColumnHeadingLeft"/>
              <w:rPr>
                <w:sz w:val="18"/>
                <w:szCs w:val="18"/>
              </w:rPr>
            </w:pPr>
            <w:r w:rsidRPr="00FD5E72">
              <w:rPr>
                <w:sz w:val="18"/>
                <w:szCs w:val="18"/>
              </w:rPr>
              <w:t xml:space="preserve">Program 1.2 – Management of the Investment of the Australian Government Investment Funds </w:t>
            </w:r>
          </w:p>
          <w:p w:rsidR="009D7760" w:rsidRPr="009D7760" w:rsidRDefault="009D7760" w:rsidP="00363219">
            <w:pPr>
              <w:pStyle w:val="TableColumnHeadingLeft"/>
              <w:rPr>
                <w:b w:val="0"/>
              </w:rPr>
            </w:pPr>
            <w:r w:rsidRPr="00FD5E72">
              <w:rPr>
                <w:b w:val="0"/>
                <w:sz w:val="18"/>
                <w:szCs w:val="18"/>
              </w:rPr>
              <w:t xml:space="preserve">The </w:t>
            </w:r>
            <w:proofErr w:type="spellStart"/>
            <w:r w:rsidRPr="00FD5E72">
              <w:rPr>
                <w:b w:val="0"/>
                <w:sz w:val="18"/>
                <w:szCs w:val="18"/>
              </w:rPr>
              <w:t>DisabilityCare</w:t>
            </w:r>
            <w:proofErr w:type="spellEnd"/>
            <w:r w:rsidRPr="00FD5E72">
              <w:rPr>
                <w:b w:val="0"/>
                <w:sz w:val="18"/>
                <w:szCs w:val="18"/>
              </w:rPr>
              <w:t xml:space="preserve"> Australia Fund Act 2013 established the </w:t>
            </w:r>
            <w:proofErr w:type="spellStart"/>
            <w:r w:rsidRPr="00FD5E72">
              <w:rPr>
                <w:b w:val="0"/>
                <w:sz w:val="18"/>
                <w:szCs w:val="18"/>
              </w:rPr>
              <w:t>DisabilityCare</w:t>
            </w:r>
            <w:proofErr w:type="spellEnd"/>
            <w:r w:rsidRPr="00FD5E72">
              <w:rPr>
                <w:b w:val="0"/>
                <w:sz w:val="18"/>
                <w:szCs w:val="18"/>
              </w:rPr>
              <w:t xml:space="preserve"> Australia Fund (DCAF) on 1 July 2014. The Medical Research Future Fund Act 2015 established the Medical Research Future Fund (MRFF) on 27 August 2015. The Aboriginal and Torres Strait Islander Land and Sea Future Fund Act 2018 established the Aboriginal and Torres Strait Islander Land and Sea Future Fund (ATSILSFF) on 1 February 2019. The Future Drought Fund Act 2019 established the Future Drought Fund on 1 September 2019. The Emergency Response Fund Act 2019 established the Emergency Response Fund on 12 December 2019. The role of the FFMA was extended to include supporting the Board in the investment of the assets of these funds</w:t>
            </w:r>
            <w:r w:rsidRPr="009D7760">
              <w:rPr>
                <w:b w:val="0"/>
              </w:rPr>
              <w:t>.</w:t>
            </w:r>
          </w:p>
        </w:tc>
      </w:tr>
      <w:tr w:rsidR="009D7760" w:rsidRPr="00161BC9" w:rsidTr="009D7760">
        <w:tblPrEx>
          <w:tblLook w:val="04A0" w:firstRow="1" w:lastRow="0" w:firstColumn="1" w:lastColumn="0" w:noHBand="0" w:noVBand="1"/>
        </w:tblPrEx>
        <w:trPr>
          <w:trHeight w:val="694"/>
        </w:trPr>
        <w:tc>
          <w:tcPr>
            <w:tcW w:w="1756" w:type="dxa"/>
            <w:tcBorders>
              <w:bottom w:val="double" w:sz="4" w:space="0" w:color="auto"/>
            </w:tcBorders>
          </w:tcPr>
          <w:p w:rsidR="009D7760" w:rsidRPr="00161BC9" w:rsidRDefault="009D7760" w:rsidP="00DA0838">
            <w:pPr>
              <w:tabs>
                <w:tab w:val="left" w:pos="709"/>
              </w:tabs>
              <w:spacing w:before="60" w:after="60" w:line="240" w:lineRule="auto"/>
              <w:jc w:val="left"/>
              <w:rPr>
                <w:rFonts w:ascii="Arial" w:hAnsi="Arial" w:cs="Arial"/>
                <w:b/>
                <w:sz w:val="16"/>
                <w:szCs w:val="16"/>
              </w:rPr>
            </w:pPr>
            <w:r>
              <w:rPr>
                <w:rFonts w:ascii="Arial" w:hAnsi="Arial" w:cs="Arial"/>
                <w:b/>
                <w:sz w:val="16"/>
                <w:szCs w:val="16"/>
              </w:rPr>
              <w:t>Key Activities</w:t>
            </w:r>
          </w:p>
        </w:tc>
        <w:tc>
          <w:tcPr>
            <w:tcW w:w="5899" w:type="dxa"/>
            <w:gridSpan w:val="2"/>
            <w:tcBorders>
              <w:bottom w:val="double" w:sz="4" w:space="0" w:color="auto"/>
            </w:tcBorders>
          </w:tcPr>
          <w:p w:rsidR="009D7760" w:rsidRDefault="009D7760" w:rsidP="00DA1F4B">
            <w:pPr>
              <w:pStyle w:val="TableParagraph"/>
              <w:widowControl/>
              <w:numPr>
                <w:ilvl w:val="0"/>
                <w:numId w:val="26"/>
              </w:numPr>
              <w:tabs>
                <w:tab w:val="left" w:pos="464"/>
                <w:tab w:val="left" w:pos="465"/>
              </w:tabs>
              <w:adjustRightInd w:val="0"/>
              <w:spacing w:before="60" w:after="60"/>
              <w:ind w:left="374" w:hanging="357"/>
              <w:contextualSpacing/>
              <w:rPr>
                <w:sz w:val="16"/>
              </w:rPr>
            </w:pPr>
            <w:r>
              <w:rPr>
                <w:sz w:val="16"/>
              </w:rPr>
              <w:t>Ensure</w:t>
            </w:r>
            <w:r>
              <w:rPr>
                <w:spacing w:val="15"/>
                <w:sz w:val="16"/>
              </w:rPr>
              <w:t xml:space="preserve"> </w:t>
            </w:r>
            <w:r>
              <w:rPr>
                <w:sz w:val="16"/>
              </w:rPr>
              <w:t>all</w:t>
            </w:r>
            <w:r>
              <w:rPr>
                <w:spacing w:val="16"/>
                <w:sz w:val="16"/>
              </w:rPr>
              <w:t xml:space="preserve"> </w:t>
            </w:r>
            <w:r>
              <w:rPr>
                <w:sz w:val="16"/>
              </w:rPr>
              <w:t>decisions</w:t>
            </w:r>
            <w:r>
              <w:rPr>
                <w:spacing w:val="14"/>
                <w:sz w:val="16"/>
              </w:rPr>
              <w:t xml:space="preserve"> </w:t>
            </w:r>
            <w:r>
              <w:rPr>
                <w:sz w:val="16"/>
              </w:rPr>
              <w:t>of</w:t>
            </w:r>
            <w:r>
              <w:rPr>
                <w:spacing w:val="14"/>
                <w:sz w:val="16"/>
              </w:rPr>
              <w:t xml:space="preserve"> </w:t>
            </w:r>
            <w:r>
              <w:rPr>
                <w:sz w:val="16"/>
              </w:rPr>
              <w:t>the</w:t>
            </w:r>
            <w:r>
              <w:rPr>
                <w:spacing w:val="12"/>
                <w:sz w:val="16"/>
              </w:rPr>
              <w:t xml:space="preserve"> </w:t>
            </w:r>
            <w:r>
              <w:rPr>
                <w:sz w:val="16"/>
              </w:rPr>
              <w:t>Board</w:t>
            </w:r>
            <w:r>
              <w:rPr>
                <w:spacing w:val="15"/>
                <w:sz w:val="16"/>
              </w:rPr>
              <w:t xml:space="preserve"> </w:t>
            </w:r>
            <w:r>
              <w:rPr>
                <w:sz w:val="16"/>
              </w:rPr>
              <w:t>of</w:t>
            </w:r>
            <w:r>
              <w:rPr>
                <w:spacing w:val="16"/>
                <w:sz w:val="16"/>
              </w:rPr>
              <w:t xml:space="preserve"> </w:t>
            </w:r>
            <w:r>
              <w:rPr>
                <w:sz w:val="16"/>
              </w:rPr>
              <w:t>Guardians</w:t>
            </w:r>
            <w:r>
              <w:rPr>
                <w:spacing w:val="17"/>
                <w:sz w:val="16"/>
              </w:rPr>
              <w:t xml:space="preserve"> </w:t>
            </w:r>
            <w:r>
              <w:rPr>
                <w:sz w:val="16"/>
              </w:rPr>
              <w:t>are</w:t>
            </w:r>
            <w:r>
              <w:rPr>
                <w:spacing w:val="15"/>
                <w:sz w:val="16"/>
              </w:rPr>
              <w:t xml:space="preserve"> </w:t>
            </w:r>
            <w:r>
              <w:rPr>
                <w:sz w:val="16"/>
              </w:rPr>
              <w:t>given</w:t>
            </w:r>
            <w:r>
              <w:rPr>
                <w:spacing w:val="15"/>
                <w:sz w:val="16"/>
              </w:rPr>
              <w:t xml:space="preserve"> </w:t>
            </w:r>
            <w:r>
              <w:rPr>
                <w:sz w:val="16"/>
              </w:rPr>
              <w:t>effect</w:t>
            </w:r>
            <w:r>
              <w:rPr>
                <w:spacing w:val="14"/>
                <w:sz w:val="16"/>
              </w:rPr>
              <w:t xml:space="preserve"> </w:t>
            </w:r>
            <w:r>
              <w:rPr>
                <w:sz w:val="16"/>
              </w:rPr>
              <w:t>as</w:t>
            </w:r>
            <w:r>
              <w:rPr>
                <w:spacing w:val="14"/>
                <w:sz w:val="16"/>
              </w:rPr>
              <w:t xml:space="preserve"> </w:t>
            </w:r>
            <w:r>
              <w:rPr>
                <w:sz w:val="16"/>
              </w:rPr>
              <w:t xml:space="preserve">directed </w:t>
            </w:r>
            <w:r>
              <w:rPr>
                <w:spacing w:val="-41"/>
                <w:sz w:val="16"/>
              </w:rPr>
              <w:t>by</w:t>
            </w:r>
            <w:r>
              <w:rPr>
                <w:spacing w:val="-2"/>
                <w:sz w:val="16"/>
              </w:rPr>
              <w:t xml:space="preserve"> </w:t>
            </w:r>
            <w:r>
              <w:rPr>
                <w:sz w:val="16"/>
              </w:rPr>
              <w:t>the</w:t>
            </w:r>
            <w:r>
              <w:rPr>
                <w:spacing w:val="-2"/>
                <w:sz w:val="16"/>
              </w:rPr>
              <w:t xml:space="preserve"> </w:t>
            </w:r>
            <w:r>
              <w:rPr>
                <w:sz w:val="16"/>
              </w:rPr>
              <w:t>Board</w:t>
            </w:r>
            <w:r>
              <w:rPr>
                <w:spacing w:val="-1"/>
                <w:sz w:val="16"/>
              </w:rPr>
              <w:t xml:space="preserve"> </w:t>
            </w:r>
            <w:r>
              <w:rPr>
                <w:sz w:val="16"/>
              </w:rPr>
              <w:t>within</w:t>
            </w:r>
            <w:r>
              <w:rPr>
                <w:spacing w:val="-4"/>
                <w:sz w:val="16"/>
              </w:rPr>
              <w:t xml:space="preserve"> </w:t>
            </w:r>
            <w:r>
              <w:rPr>
                <w:sz w:val="16"/>
              </w:rPr>
              <w:t>timeframes and</w:t>
            </w:r>
            <w:r>
              <w:rPr>
                <w:spacing w:val="-1"/>
                <w:sz w:val="16"/>
              </w:rPr>
              <w:t xml:space="preserve"> </w:t>
            </w:r>
            <w:r>
              <w:rPr>
                <w:sz w:val="16"/>
              </w:rPr>
              <w:t>quality</w:t>
            </w:r>
            <w:r>
              <w:rPr>
                <w:spacing w:val="-2"/>
                <w:sz w:val="16"/>
              </w:rPr>
              <w:t xml:space="preserve"> </w:t>
            </w:r>
            <w:r>
              <w:rPr>
                <w:sz w:val="16"/>
              </w:rPr>
              <w:t>levels agreed</w:t>
            </w:r>
            <w:r>
              <w:rPr>
                <w:spacing w:val="-1"/>
                <w:sz w:val="16"/>
              </w:rPr>
              <w:t xml:space="preserve"> </w:t>
            </w:r>
            <w:r>
              <w:rPr>
                <w:sz w:val="16"/>
              </w:rPr>
              <w:t>with</w:t>
            </w:r>
            <w:r>
              <w:rPr>
                <w:spacing w:val="-2"/>
                <w:sz w:val="16"/>
              </w:rPr>
              <w:t xml:space="preserve"> </w:t>
            </w:r>
            <w:r>
              <w:rPr>
                <w:sz w:val="16"/>
              </w:rPr>
              <w:t>the</w:t>
            </w:r>
            <w:r>
              <w:rPr>
                <w:spacing w:val="-3"/>
                <w:sz w:val="16"/>
              </w:rPr>
              <w:t xml:space="preserve"> </w:t>
            </w:r>
            <w:r>
              <w:rPr>
                <w:sz w:val="16"/>
              </w:rPr>
              <w:t>Board.</w:t>
            </w:r>
          </w:p>
          <w:p w:rsidR="009D7760" w:rsidRDefault="009D7760" w:rsidP="00DA1F4B">
            <w:pPr>
              <w:pStyle w:val="TableParagraph"/>
              <w:widowControl/>
              <w:numPr>
                <w:ilvl w:val="0"/>
                <w:numId w:val="26"/>
              </w:numPr>
              <w:tabs>
                <w:tab w:val="left" w:pos="464"/>
                <w:tab w:val="left" w:pos="465"/>
              </w:tabs>
              <w:adjustRightInd w:val="0"/>
              <w:spacing w:before="60" w:after="60"/>
              <w:ind w:left="374" w:hanging="357"/>
              <w:contextualSpacing/>
              <w:rPr>
                <w:sz w:val="16"/>
              </w:rPr>
            </w:pPr>
            <w:r>
              <w:rPr>
                <w:sz w:val="16"/>
              </w:rPr>
              <w:t>Ensure</w:t>
            </w:r>
            <w:r>
              <w:rPr>
                <w:spacing w:val="36"/>
                <w:sz w:val="16"/>
              </w:rPr>
              <w:t xml:space="preserve"> </w:t>
            </w:r>
            <w:r>
              <w:rPr>
                <w:sz w:val="16"/>
              </w:rPr>
              <w:t>all</w:t>
            </w:r>
            <w:r>
              <w:rPr>
                <w:spacing w:val="37"/>
                <w:sz w:val="16"/>
              </w:rPr>
              <w:t xml:space="preserve"> </w:t>
            </w:r>
            <w:r>
              <w:rPr>
                <w:sz w:val="16"/>
              </w:rPr>
              <w:t>investments</w:t>
            </w:r>
            <w:r>
              <w:rPr>
                <w:spacing w:val="38"/>
                <w:sz w:val="16"/>
              </w:rPr>
              <w:t xml:space="preserve"> </w:t>
            </w:r>
            <w:r>
              <w:rPr>
                <w:sz w:val="16"/>
              </w:rPr>
              <w:t>are</w:t>
            </w:r>
            <w:r>
              <w:rPr>
                <w:spacing w:val="35"/>
                <w:sz w:val="16"/>
              </w:rPr>
              <w:t xml:space="preserve"> </w:t>
            </w:r>
            <w:r>
              <w:rPr>
                <w:sz w:val="16"/>
              </w:rPr>
              <w:t>made</w:t>
            </w:r>
            <w:r>
              <w:rPr>
                <w:spacing w:val="36"/>
                <w:sz w:val="16"/>
              </w:rPr>
              <w:t xml:space="preserve"> </w:t>
            </w:r>
            <w:r>
              <w:rPr>
                <w:sz w:val="16"/>
              </w:rPr>
              <w:t>in</w:t>
            </w:r>
            <w:r>
              <w:rPr>
                <w:spacing w:val="36"/>
                <w:sz w:val="16"/>
              </w:rPr>
              <w:t xml:space="preserve"> </w:t>
            </w:r>
            <w:r>
              <w:rPr>
                <w:sz w:val="16"/>
              </w:rPr>
              <w:t>accordance</w:t>
            </w:r>
            <w:r>
              <w:rPr>
                <w:spacing w:val="36"/>
                <w:sz w:val="16"/>
              </w:rPr>
              <w:t xml:space="preserve"> </w:t>
            </w:r>
            <w:r>
              <w:rPr>
                <w:sz w:val="16"/>
              </w:rPr>
              <w:t>with</w:t>
            </w:r>
            <w:r>
              <w:rPr>
                <w:spacing w:val="37"/>
                <w:sz w:val="16"/>
              </w:rPr>
              <w:t xml:space="preserve"> </w:t>
            </w:r>
            <w:r>
              <w:rPr>
                <w:sz w:val="16"/>
              </w:rPr>
              <w:t>relevant</w:t>
            </w:r>
            <w:r>
              <w:rPr>
                <w:spacing w:val="37"/>
                <w:sz w:val="16"/>
              </w:rPr>
              <w:t xml:space="preserve"> </w:t>
            </w:r>
            <w:r>
              <w:rPr>
                <w:sz w:val="16"/>
              </w:rPr>
              <w:t>legislation,</w:t>
            </w:r>
            <w:r>
              <w:rPr>
                <w:spacing w:val="-42"/>
                <w:sz w:val="16"/>
              </w:rPr>
              <w:t xml:space="preserve"> </w:t>
            </w:r>
            <w:r>
              <w:rPr>
                <w:sz w:val="16"/>
              </w:rPr>
              <w:t>Investment</w:t>
            </w:r>
            <w:r>
              <w:rPr>
                <w:spacing w:val="1"/>
                <w:sz w:val="16"/>
              </w:rPr>
              <w:t xml:space="preserve"> </w:t>
            </w:r>
            <w:r>
              <w:rPr>
                <w:sz w:val="16"/>
              </w:rPr>
              <w:t>Mandate and</w:t>
            </w:r>
            <w:r>
              <w:rPr>
                <w:spacing w:val="-5"/>
                <w:sz w:val="16"/>
              </w:rPr>
              <w:t xml:space="preserve"> </w:t>
            </w:r>
            <w:r>
              <w:rPr>
                <w:sz w:val="16"/>
              </w:rPr>
              <w:t>ministerial directions.</w:t>
            </w:r>
          </w:p>
          <w:p w:rsidR="009D7760" w:rsidRDefault="009D7760" w:rsidP="00DA1F4B">
            <w:pPr>
              <w:pStyle w:val="TableParagraph"/>
              <w:widowControl/>
              <w:numPr>
                <w:ilvl w:val="0"/>
                <w:numId w:val="26"/>
              </w:numPr>
              <w:tabs>
                <w:tab w:val="left" w:pos="464"/>
                <w:tab w:val="left" w:pos="465"/>
              </w:tabs>
              <w:adjustRightInd w:val="0"/>
              <w:spacing w:before="60" w:after="60"/>
              <w:ind w:left="374" w:hanging="357"/>
              <w:contextualSpacing/>
              <w:rPr>
                <w:sz w:val="16"/>
              </w:rPr>
            </w:pPr>
            <w:r>
              <w:rPr>
                <w:sz w:val="16"/>
              </w:rPr>
              <w:t>Provide</w:t>
            </w:r>
            <w:r>
              <w:rPr>
                <w:spacing w:val="-2"/>
                <w:sz w:val="16"/>
              </w:rPr>
              <w:t xml:space="preserve"> </w:t>
            </w:r>
            <w:r>
              <w:rPr>
                <w:sz w:val="16"/>
              </w:rPr>
              <w:t>administrative</w:t>
            </w:r>
            <w:r>
              <w:rPr>
                <w:spacing w:val="-2"/>
                <w:sz w:val="16"/>
              </w:rPr>
              <w:t xml:space="preserve"> </w:t>
            </w:r>
            <w:r>
              <w:rPr>
                <w:sz w:val="16"/>
              </w:rPr>
              <w:t>services</w:t>
            </w:r>
            <w:r>
              <w:rPr>
                <w:spacing w:val="-1"/>
                <w:sz w:val="16"/>
              </w:rPr>
              <w:t xml:space="preserve"> </w:t>
            </w:r>
            <w:r>
              <w:rPr>
                <w:sz w:val="16"/>
              </w:rPr>
              <w:t>to</w:t>
            </w:r>
            <w:r>
              <w:rPr>
                <w:spacing w:val="-4"/>
                <w:sz w:val="16"/>
              </w:rPr>
              <w:t xml:space="preserve"> </w:t>
            </w:r>
            <w:r>
              <w:rPr>
                <w:sz w:val="16"/>
              </w:rPr>
              <w:t>the</w:t>
            </w:r>
            <w:r>
              <w:rPr>
                <w:spacing w:val="-2"/>
                <w:sz w:val="16"/>
              </w:rPr>
              <w:t xml:space="preserve"> </w:t>
            </w:r>
            <w:r>
              <w:rPr>
                <w:sz w:val="16"/>
              </w:rPr>
              <w:t>Board.</w:t>
            </w:r>
          </w:p>
          <w:p w:rsidR="009D7760" w:rsidRDefault="009D7760" w:rsidP="00DA1F4B">
            <w:pPr>
              <w:pStyle w:val="TableParagraph"/>
              <w:widowControl/>
              <w:numPr>
                <w:ilvl w:val="0"/>
                <w:numId w:val="26"/>
              </w:numPr>
              <w:tabs>
                <w:tab w:val="left" w:pos="465"/>
                <w:tab w:val="left" w:pos="466"/>
              </w:tabs>
              <w:adjustRightInd w:val="0"/>
              <w:spacing w:before="60" w:after="60"/>
              <w:ind w:left="374" w:hanging="357"/>
              <w:contextualSpacing/>
              <w:rPr>
                <w:sz w:val="16"/>
              </w:rPr>
            </w:pPr>
            <w:r>
              <w:rPr>
                <w:sz w:val="16"/>
              </w:rPr>
              <w:t>Provide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recommendations</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Board.</w:t>
            </w:r>
          </w:p>
          <w:p w:rsidR="009D7760" w:rsidRDefault="009D7760" w:rsidP="00DA1F4B">
            <w:pPr>
              <w:pStyle w:val="TableParagraph"/>
              <w:widowControl/>
              <w:numPr>
                <w:ilvl w:val="0"/>
                <w:numId w:val="26"/>
              </w:numPr>
              <w:tabs>
                <w:tab w:val="left" w:pos="465"/>
                <w:tab w:val="left" w:pos="466"/>
              </w:tabs>
              <w:adjustRightInd w:val="0"/>
              <w:spacing w:before="60" w:after="60"/>
              <w:ind w:left="374" w:hanging="357"/>
              <w:contextualSpacing/>
              <w:rPr>
                <w:sz w:val="16"/>
              </w:rPr>
            </w:pPr>
            <w:r>
              <w:rPr>
                <w:sz w:val="16"/>
              </w:rPr>
              <w:t>Advise</w:t>
            </w:r>
            <w:r w:rsidRPr="00856AA5">
              <w:rPr>
                <w:sz w:val="16"/>
              </w:rPr>
              <w:t xml:space="preserve"> </w:t>
            </w:r>
            <w:r>
              <w:rPr>
                <w:sz w:val="16"/>
              </w:rPr>
              <w:t>the</w:t>
            </w:r>
            <w:r w:rsidRPr="00856AA5">
              <w:rPr>
                <w:sz w:val="16"/>
              </w:rPr>
              <w:t xml:space="preserve"> </w:t>
            </w:r>
            <w:r>
              <w:rPr>
                <w:sz w:val="16"/>
              </w:rPr>
              <w:t>Board</w:t>
            </w:r>
            <w:r w:rsidRPr="00856AA5">
              <w:rPr>
                <w:sz w:val="16"/>
              </w:rPr>
              <w:t xml:space="preserve"> </w:t>
            </w:r>
            <w:r>
              <w:rPr>
                <w:sz w:val="16"/>
              </w:rPr>
              <w:t>about</w:t>
            </w:r>
            <w:r w:rsidRPr="00856AA5">
              <w:rPr>
                <w:sz w:val="16"/>
              </w:rPr>
              <w:t xml:space="preserve"> </w:t>
            </w:r>
            <w:r>
              <w:rPr>
                <w:sz w:val="16"/>
              </w:rPr>
              <w:t>the</w:t>
            </w:r>
            <w:r w:rsidRPr="00856AA5">
              <w:rPr>
                <w:sz w:val="16"/>
              </w:rPr>
              <w:t xml:space="preserve"> </w:t>
            </w:r>
            <w:r>
              <w:rPr>
                <w:sz w:val="16"/>
              </w:rPr>
              <w:t>performance</w:t>
            </w:r>
            <w:r w:rsidRPr="00856AA5">
              <w:rPr>
                <w:sz w:val="16"/>
              </w:rPr>
              <w:t xml:space="preserve"> </w:t>
            </w:r>
            <w:r>
              <w:rPr>
                <w:sz w:val="16"/>
              </w:rPr>
              <w:t>of</w:t>
            </w:r>
            <w:r w:rsidRPr="00856AA5">
              <w:rPr>
                <w:sz w:val="16"/>
              </w:rPr>
              <w:t xml:space="preserve"> </w:t>
            </w:r>
            <w:r>
              <w:rPr>
                <w:sz w:val="16"/>
              </w:rPr>
              <w:t>the</w:t>
            </w:r>
            <w:r w:rsidRPr="00856AA5">
              <w:rPr>
                <w:sz w:val="16"/>
              </w:rPr>
              <w:t xml:space="preserve"> </w:t>
            </w:r>
            <w:r>
              <w:rPr>
                <w:sz w:val="16"/>
              </w:rPr>
              <w:t>Board’s</w:t>
            </w:r>
            <w:r w:rsidRPr="00856AA5">
              <w:rPr>
                <w:sz w:val="16"/>
              </w:rPr>
              <w:t xml:space="preserve"> </w:t>
            </w:r>
            <w:r>
              <w:rPr>
                <w:sz w:val="16"/>
              </w:rPr>
              <w:t>functions.</w:t>
            </w:r>
          </w:p>
          <w:p w:rsidR="009D7760" w:rsidRPr="00856AA5" w:rsidRDefault="009D7760" w:rsidP="00DA1F4B">
            <w:pPr>
              <w:pStyle w:val="TableParagraph"/>
              <w:widowControl/>
              <w:numPr>
                <w:ilvl w:val="0"/>
                <w:numId w:val="26"/>
              </w:numPr>
              <w:tabs>
                <w:tab w:val="left" w:pos="465"/>
                <w:tab w:val="left" w:pos="466"/>
              </w:tabs>
              <w:adjustRightInd w:val="0"/>
              <w:spacing w:before="60" w:after="60"/>
              <w:ind w:left="374" w:hanging="357"/>
              <w:contextualSpacing/>
              <w:rPr>
                <w:sz w:val="16"/>
              </w:rPr>
            </w:pPr>
            <w:r w:rsidRPr="00856AA5">
              <w:rPr>
                <w:sz w:val="16"/>
              </w:rPr>
              <w:t>Make resources and facilities available to the Board.</w:t>
            </w:r>
          </w:p>
        </w:tc>
      </w:tr>
      <w:tr w:rsidR="009D7760" w:rsidRPr="002C4D06" w:rsidTr="00FD5E72">
        <w:tblPrEx>
          <w:tblLook w:val="04A0" w:firstRow="1" w:lastRow="0" w:firstColumn="1" w:lastColumn="0" w:noHBand="0" w:noVBand="1"/>
        </w:tblPrEx>
        <w:trPr>
          <w:trHeight w:val="258"/>
        </w:trPr>
        <w:tc>
          <w:tcPr>
            <w:tcW w:w="1304" w:type="dxa"/>
            <w:tcBorders>
              <w:top w:val="double" w:sz="4" w:space="0" w:color="auto"/>
              <w:bottom w:val="single" w:sz="4" w:space="0" w:color="auto"/>
              <w:right w:val="single" w:sz="4" w:space="0" w:color="auto"/>
            </w:tcBorders>
          </w:tcPr>
          <w:p w:rsidR="009D7760" w:rsidRPr="002C4D06" w:rsidRDefault="009D7760" w:rsidP="004E0294">
            <w:pPr>
              <w:tabs>
                <w:tab w:val="left" w:pos="709"/>
              </w:tabs>
              <w:spacing w:before="60" w:after="60"/>
              <w:rPr>
                <w:rFonts w:ascii="Arial" w:hAnsi="Arial" w:cs="Arial"/>
                <w:b/>
                <w:sz w:val="16"/>
                <w:szCs w:val="16"/>
              </w:rPr>
            </w:pPr>
            <w:r w:rsidRPr="002C4D06">
              <w:rPr>
                <w:rFonts w:ascii="Arial" w:hAnsi="Arial" w:cs="Arial"/>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rsidR="009D7760" w:rsidRPr="002C4D06" w:rsidRDefault="009D7760" w:rsidP="004E0294">
            <w:pPr>
              <w:tabs>
                <w:tab w:val="left" w:pos="709"/>
                <w:tab w:val="center" w:pos="1818"/>
              </w:tabs>
              <w:spacing w:before="60" w:after="60"/>
              <w:rPr>
                <w:rFonts w:ascii="Arial" w:hAnsi="Arial" w:cs="Arial"/>
                <w:b/>
                <w:sz w:val="16"/>
                <w:szCs w:val="16"/>
              </w:rPr>
            </w:pPr>
            <w:r w:rsidRPr="002C4D06">
              <w:rPr>
                <w:rFonts w:ascii="Arial" w:hAnsi="Arial" w:cs="Arial"/>
                <w:b/>
                <w:sz w:val="16"/>
                <w:szCs w:val="16"/>
              </w:rPr>
              <w:t>Performance measures</w:t>
            </w:r>
          </w:p>
        </w:tc>
        <w:tc>
          <w:tcPr>
            <w:tcW w:w="3119" w:type="dxa"/>
            <w:tcBorders>
              <w:top w:val="double" w:sz="4" w:space="0" w:color="auto"/>
              <w:left w:val="single" w:sz="4" w:space="0" w:color="auto"/>
              <w:bottom w:val="single" w:sz="4" w:space="0" w:color="auto"/>
            </w:tcBorders>
          </w:tcPr>
          <w:p w:rsidR="009D7760" w:rsidRPr="002C4D06" w:rsidRDefault="009D7760" w:rsidP="004E0294">
            <w:pPr>
              <w:tabs>
                <w:tab w:val="left" w:pos="709"/>
              </w:tabs>
              <w:spacing w:before="60" w:after="60"/>
              <w:rPr>
                <w:rFonts w:ascii="Arial" w:hAnsi="Arial" w:cs="Arial"/>
                <w:b/>
                <w:sz w:val="16"/>
                <w:szCs w:val="16"/>
              </w:rPr>
            </w:pPr>
            <w:r w:rsidRPr="002C4D06">
              <w:rPr>
                <w:rFonts w:ascii="Arial" w:hAnsi="Arial" w:cs="Arial"/>
                <w:b/>
                <w:sz w:val="16"/>
                <w:szCs w:val="16"/>
              </w:rPr>
              <w:t>Expected Performance Results</w:t>
            </w:r>
          </w:p>
        </w:tc>
      </w:tr>
      <w:tr w:rsidR="009D7760" w:rsidRPr="002C4D06" w:rsidTr="00FD5E72">
        <w:tblPrEx>
          <w:tblLook w:val="04A0" w:firstRow="1" w:lastRow="0" w:firstColumn="1" w:lastColumn="0" w:noHBand="0" w:noVBand="1"/>
        </w:tblPrEx>
        <w:trPr>
          <w:trHeight w:val="2527"/>
        </w:trPr>
        <w:tc>
          <w:tcPr>
            <w:tcW w:w="1304" w:type="dxa"/>
            <w:tcBorders>
              <w:top w:val="single" w:sz="4" w:space="0" w:color="auto"/>
              <w:right w:val="single" w:sz="4" w:space="0" w:color="auto"/>
            </w:tcBorders>
          </w:tcPr>
          <w:p w:rsidR="009D7760" w:rsidRPr="002C4D06" w:rsidRDefault="009D7760" w:rsidP="001E4B0F">
            <w:pPr>
              <w:tabs>
                <w:tab w:val="left" w:pos="709"/>
              </w:tabs>
              <w:spacing w:before="60" w:after="60" w:line="240" w:lineRule="auto"/>
              <w:jc w:val="left"/>
              <w:rPr>
                <w:rFonts w:ascii="Arial" w:hAnsi="Arial" w:cs="Arial"/>
                <w:sz w:val="16"/>
                <w:szCs w:val="16"/>
              </w:rPr>
            </w:pPr>
            <w:r w:rsidRPr="002C4D06">
              <w:rPr>
                <w:rFonts w:ascii="Arial" w:hAnsi="Arial" w:cs="Arial"/>
                <w:sz w:val="16"/>
                <w:szCs w:val="16"/>
              </w:rPr>
              <w:t xml:space="preserve">Current year </w:t>
            </w:r>
            <w:r w:rsidR="001E4B0F">
              <w:rPr>
                <w:rFonts w:ascii="Arial" w:hAnsi="Arial" w:cs="Arial"/>
                <w:sz w:val="16"/>
                <w:szCs w:val="16"/>
              </w:rPr>
              <w:br/>
            </w:r>
            <w:r w:rsidRPr="002C4D06">
              <w:rPr>
                <w:rFonts w:ascii="Arial" w:hAnsi="Arial" w:cs="Arial"/>
                <w:sz w:val="16"/>
                <w:szCs w:val="16"/>
              </w:rPr>
              <w:t>2021-22</w:t>
            </w:r>
          </w:p>
        </w:tc>
        <w:tc>
          <w:tcPr>
            <w:tcW w:w="3119" w:type="dxa"/>
            <w:tcBorders>
              <w:top w:val="single" w:sz="4" w:space="0" w:color="auto"/>
              <w:left w:val="single" w:sz="4" w:space="0" w:color="auto"/>
              <w:right w:val="single" w:sz="4" w:space="0" w:color="auto"/>
            </w:tcBorders>
          </w:tcPr>
          <w:p w:rsidR="009D7760" w:rsidRPr="00933435" w:rsidRDefault="009D7760" w:rsidP="00DA0838">
            <w:pPr>
              <w:pStyle w:val="TableParagraph"/>
              <w:spacing w:before="60"/>
              <w:rPr>
                <w:sz w:val="16"/>
              </w:rPr>
            </w:pPr>
            <w:r w:rsidRPr="00933435">
              <w:rPr>
                <w:sz w:val="16"/>
              </w:rPr>
              <w:t>Provide assistance and advice to the Board in pursuit of achieving the Investment Mandate target returns as follows:</w:t>
            </w:r>
          </w:p>
          <w:p w:rsidR="009D7760" w:rsidRPr="00856AA5" w:rsidRDefault="009D7760" w:rsidP="00DA1F4B">
            <w:pPr>
              <w:pStyle w:val="TableParagraph"/>
              <w:widowControl/>
              <w:numPr>
                <w:ilvl w:val="0"/>
                <w:numId w:val="27"/>
              </w:numPr>
              <w:adjustRightInd w:val="0"/>
              <w:spacing w:before="60" w:after="60"/>
              <w:ind w:left="374" w:hanging="357"/>
              <w:contextualSpacing/>
              <w:rPr>
                <w:sz w:val="16"/>
              </w:rPr>
            </w:pPr>
            <w:r w:rsidRPr="00856AA5">
              <w:rPr>
                <w:sz w:val="16"/>
              </w:rPr>
              <w:t>For the DCAF the Australian three month bank bill swap rate plus 0.3% per annum, calculated on a rolling 12 month basis while minimising the probability of capital loss over a 12 month horizon; and</w:t>
            </w:r>
          </w:p>
          <w:p w:rsidR="009D7760" w:rsidRPr="00933435" w:rsidRDefault="009D7760" w:rsidP="00D118CE">
            <w:pPr>
              <w:pStyle w:val="TableParagraph"/>
              <w:spacing w:before="60" w:after="60"/>
              <w:ind w:left="374" w:hanging="357"/>
              <w:rPr>
                <w:sz w:val="16"/>
              </w:rPr>
            </w:pPr>
          </w:p>
          <w:p w:rsidR="00FD5E72" w:rsidRDefault="009D7760" w:rsidP="00DA1F4B">
            <w:pPr>
              <w:pStyle w:val="TableParagraph"/>
              <w:widowControl/>
              <w:numPr>
                <w:ilvl w:val="0"/>
                <w:numId w:val="27"/>
              </w:numPr>
              <w:adjustRightInd w:val="0"/>
              <w:spacing w:before="60" w:after="60"/>
              <w:ind w:left="374" w:hanging="357"/>
              <w:contextualSpacing/>
              <w:rPr>
                <w:sz w:val="16"/>
              </w:rPr>
            </w:pPr>
            <w:r w:rsidRPr="00856AA5">
              <w:rPr>
                <w:sz w:val="16"/>
              </w:rPr>
              <w:t>For the MRFF the Reserve Bank of Australia Cash Rate target +1.5% to 2.0% per annum, net of investment fees, over a rolling 10 year term with acceptable but not excessive risk; and</w:t>
            </w:r>
            <w:r w:rsidRPr="00933435">
              <w:rPr>
                <w:sz w:val="16"/>
              </w:rPr>
              <w:t xml:space="preserve"> </w:t>
            </w:r>
          </w:p>
          <w:p w:rsidR="00FD5E72" w:rsidRPr="00FD5E72" w:rsidRDefault="00FD5E72" w:rsidP="00FD5E72">
            <w:pPr>
              <w:pStyle w:val="TableParagraph"/>
              <w:spacing w:before="58"/>
              <w:ind w:right="95"/>
              <w:rPr>
                <w:sz w:val="16"/>
              </w:rPr>
            </w:pPr>
          </w:p>
        </w:tc>
        <w:tc>
          <w:tcPr>
            <w:tcW w:w="3119" w:type="dxa"/>
            <w:tcBorders>
              <w:top w:val="single" w:sz="4" w:space="0" w:color="auto"/>
              <w:left w:val="single" w:sz="4" w:space="0" w:color="auto"/>
            </w:tcBorders>
          </w:tcPr>
          <w:p w:rsidR="009D7760" w:rsidRDefault="009D7760" w:rsidP="004E0294">
            <w:pPr>
              <w:pStyle w:val="TableParagraph"/>
              <w:spacing w:before="58"/>
              <w:ind w:right="95"/>
              <w:rPr>
                <w:sz w:val="16"/>
              </w:rPr>
            </w:pPr>
          </w:p>
          <w:p w:rsidR="009D7760" w:rsidRDefault="009D7760" w:rsidP="004E0294">
            <w:pPr>
              <w:pStyle w:val="TableParagraph"/>
              <w:spacing w:before="58"/>
              <w:ind w:right="95"/>
              <w:rPr>
                <w:sz w:val="16"/>
              </w:rPr>
            </w:pPr>
          </w:p>
          <w:p w:rsidR="009D7760" w:rsidRDefault="009D7760" w:rsidP="004E0294">
            <w:pPr>
              <w:pStyle w:val="TableParagraph"/>
              <w:spacing w:before="58"/>
              <w:ind w:right="95"/>
              <w:rPr>
                <w:sz w:val="16"/>
              </w:rPr>
            </w:pPr>
          </w:p>
          <w:p w:rsidR="009D7760" w:rsidRDefault="009D7760" w:rsidP="00D118CE">
            <w:pPr>
              <w:pStyle w:val="TableParagraph"/>
              <w:spacing w:before="60"/>
              <w:rPr>
                <w:sz w:val="16"/>
              </w:rPr>
            </w:pPr>
            <w:r w:rsidRPr="0027653A">
              <w:rPr>
                <w:sz w:val="16"/>
              </w:rPr>
              <w:t xml:space="preserve">As at </w:t>
            </w:r>
            <w:r w:rsidRPr="0082275A">
              <w:rPr>
                <w:sz w:val="16"/>
              </w:rPr>
              <w:t>31 December 2021 the actual return was 0.1% compared to the target benchmark</w:t>
            </w:r>
            <w:r w:rsidRPr="0082275A">
              <w:rPr>
                <w:spacing w:val="-2"/>
                <w:sz w:val="16"/>
              </w:rPr>
              <w:t xml:space="preserve"> </w:t>
            </w:r>
            <w:r w:rsidRPr="0082275A">
              <w:rPr>
                <w:sz w:val="16"/>
              </w:rPr>
              <w:t>return of</w:t>
            </w:r>
            <w:r w:rsidRPr="0082275A">
              <w:rPr>
                <w:spacing w:val="-1"/>
                <w:sz w:val="16"/>
              </w:rPr>
              <w:t xml:space="preserve"> 0.3</w:t>
            </w:r>
            <w:r w:rsidRPr="0082275A">
              <w:rPr>
                <w:sz w:val="16"/>
              </w:rPr>
              <w:t>%</w:t>
            </w:r>
            <w:r>
              <w:rPr>
                <w:sz w:val="16"/>
              </w:rPr>
              <w:t>, delivered within the mandate’s risk parameters</w:t>
            </w:r>
            <w:r w:rsidRPr="0082275A">
              <w:rPr>
                <w:sz w:val="16"/>
              </w:rPr>
              <w:t>.</w:t>
            </w:r>
          </w:p>
          <w:p w:rsidR="009D7760" w:rsidRDefault="009D7760" w:rsidP="00D118CE">
            <w:pPr>
              <w:pStyle w:val="TableParagraph"/>
              <w:spacing w:before="60"/>
              <w:rPr>
                <w:sz w:val="16"/>
              </w:rPr>
            </w:pPr>
          </w:p>
          <w:p w:rsidR="00EA2FE1" w:rsidRDefault="00EA2FE1" w:rsidP="00D118CE">
            <w:pPr>
              <w:pStyle w:val="TableParagraph"/>
              <w:spacing w:before="60"/>
              <w:rPr>
                <w:sz w:val="16"/>
              </w:rPr>
            </w:pPr>
          </w:p>
          <w:p w:rsidR="00EA2FE1" w:rsidRDefault="00EA2FE1" w:rsidP="00D118CE">
            <w:pPr>
              <w:pStyle w:val="TableParagraph"/>
              <w:spacing w:before="60"/>
              <w:rPr>
                <w:sz w:val="16"/>
              </w:rPr>
            </w:pPr>
          </w:p>
          <w:p w:rsidR="009D7760" w:rsidRPr="00933435" w:rsidRDefault="009D7760" w:rsidP="00D118CE">
            <w:pPr>
              <w:pStyle w:val="TableParagraph"/>
              <w:spacing w:before="60"/>
              <w:rPr>
                <w:sz w:val="16"/>
              </w:rPr>
            </w:pPr>
            <w:r w:rsidRPr="0082275A">
              <w:rPr>
                <w:sz w:val="16"/>
              </w:rPr>
              <w:t>As at 31 December 2021 the actual return was 4.7%</w:t>
            </w:r>
            <w:r>
              <w:rPr>
                <w:sz w:val="16"/>
              </w:rPr>
              <w:t xml:space="preserve"> pa</w:t>
            </w:r>
            <w:r w:rsidRPr="0082275A">
              <w:rPr>
                <w:sz w:val="16"/>
              </w:rPr>
              <w:t xml:space="preserve"> compared to the target return of 2.5%</w:t>
            </w:r>
            <w:r>
              <w:rPr>
                <w:sz w:val="16"/>
              </w:rPr>
              <w:t xml:space="preserve"> pa</w:t>
            </w:r>
            <w:r w:rsidRPr="0082275A">
              <w:rPr>
                <w:sz w:val="16"/>
              </w:rPr>
              <w:t xml:space="preserve"> since</w:t>
            </w:r>
            <w:r>
              <w:rPr>
                <w:sz w:val="16"/>
              </w:rPr>
              <w:t xml:space="preserve"> 22 September 2015, delivered within the mandate’s risk parameters</w:t>
            </w:r>
            <w:r w:rsidRPr="0027653A">
              <w:rPr>
                <w:sz w:val="16"/>
              </w:rPr>
              <w:t>.</w:t>
            </w:r>
          </w:p>
        </w:tc>
      </w:tr>
    </w:tbl>
    <w:p w:rsidR="00C50D03" w:rsidRDefault="00C50D03" w:rsidP="00933435">
      <w:pPr>
        <w:pStyle w:val="TableHeading"/>
      </w:pPr>
    </w:p>
    <w:p w:rsidR="00C50D03" w:rsidRDefault="00C50D03" w:rsidP="00C50D03">
      <w:pPr>
        <w:pStyle w:val="TableGraphic"/>
        <w:rPr>
          <w:lang w:val="x-none" w:eastAsia="x-none"/>
        </w:rPr>
      </w:pPr>
    </w:p>
    <w:p w:rsidR="00363219" w:rsidRPr="00363219" w:rsidRDefault="00363219" w:rsidP="00363219">
      <w:pPr>
        <w:rPr>
          <w:lang w:val="x-none" w:eastAsia="x-none"/>
        </w:rPr>
      </w:pPr>
    </w:p>
    <w:p w:rsidR="00FD5E72" w:rsidRPr="00FD5E72" w:rsidRDefault="00FD5E72" w:rsidP="00FD5E72">
      <w:pPr>
        <w:rPr>
          <w:lang w:val="x-none" w:eastAsia="x-none"/>
        </w:rPr>
      </w:pPr>
    </w:p>
    <w:p w:rsidR="00933435" w:rsidRDefault="00933435" w:rsidP="00933435">
      <w:pPr>
        <w:pStyle w:val="TableHeading"/>
      </w:pPr>
      <w:r w:rsidRPr="005B4EFE">
        <w:lastRenderedPageBreak/>
        <w:t>Table 2.1.3: Performance measure for Outcome 1 (continued)</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232"/>
        <w:gridCol w:w="3119"/>
      </w:tblGrid>
      <w:tr w:rsidR="00933435" w:rsidRPr="00856AA5" w:rsidTr="00933435">
        <w:trPr>
          <w:trHeight w:val="522"/>
        </w:trPr>
        <w:tc>
          <w:tcPr>
            <w:tcW w:w="7655" w:type="dxa"/>
            <w:gridSpan w:val="3"/>
            <w:tcBorders>
              <w:top w:val="single" w:sz="4" w:space="0" w:color="auto"/>
              <w:left w:val="single" w:sz="4" w:space="0" w:color="auto"/>
              <w:bottom w:val="single" w:sz="4" w:space="0" w:color="auto"/>
              <w:right w:val="single" w:sz="4" w:space="0" w:color="auto"/>
            </w:tcBorders>
            <w:shd w:val="clear" w:color="auto" w:fill="F2F2F2"/>
          </w:tcPr>
          <w:p w:rsidR="00933435" w:rsidRPr="00FF6812" w:rsidRDefault="00933435" w:rsidP="00363219">
            <w:pPr>
              <w:tabs>
                <w:tab w:val="left" w:pos="709"/>
              </w:tabs>
              <w:spacing w:before="60" w:after="60" w:line="240" w:lineRule="auto"/>
              <w:jc w:val="left"/>
              <w:rPr>
                <w:rFonts w:ascii="Arial" w:hAnsi="Arial" w:cs="Arial"/>
                <w:b/>
                <w:sz w:val="18"/>
                <w:szCs w:val="18"/>
              </w:rPr>
            </w:pPr>
            <w:r w:rsidRPr="00856AA5">
              <w:rPr>
                <w:rFonts w:ascii="Arial" w:hAnsi="Arial" w:cs="Arial"/>
                <w:b/>
                <w:sz w:val="18"/>
                <w:szCs w:val="18"/>
              </w:rPr>
              <w:t xml:space="preserve">Program 1.2 – Management of the Investment of the Australian Government Investment Funds </w:t>
            </w:r>
          </w:p>
        </w:tc>
      </w:tr>
      <w:tr w:rsidR="00933435" w:rsidRPr="002C4D06" w:rsidTr="00FD5E72">
        <w:trPr>
          <w:trHeight w:val="258"/>
        </w:trPr>
        <w:tc>
          <w:tcPr>
            <w:tcW w:w="1304" w:type="dxa"/>
            <w:tcBorders>
              <w:top w:val="double" w:sz="4" w:space="0" w:color="auto"/>
              <w:bottom w:val="single" w:sz="4" w:space="0" w:color="auto"/>
              <w:right w:val="single" w:sz="4" w:space="0" w:color="auto"/>
            </w:tcBorders>
          </w:tcPr>
          <w:p w:rsidR="00933435" w:rsidRPr="002C4D06" w:rsidRDefault="00933435" w:rsidP="004E0294">
            <w:pPr>
              <w:tabs>
                <w:tab w:val="left" w:pos="709"/>
              </w:tabs>
              <w:spacing w:before="60" w:after="60"/>
              <w:rPr>
                <w:rFonts w:ascii="Arial" w:hAnsi="Arial" w:cs="Arial"/>
                <w:b/>
                <w:sz w:val="16"/>
                <w:szCs w:val="16"/>
              </w:rPr>
            </w:pPr>
            <w:r w:rsidRPr="002C4D06">
              <w:rPr>
                <w:rFonts w:ascii="Arial" w:hAnsi="Arial" w:cs="Arial"/>
                <w:b/>
                <w:sz w:val="16"/>
                <w:szCs w:val="16"/>
              </w:rPr>
              <w:t>Year</w:t>
            </w:r>
          </w:p>
        </w:tc>
        <w:tc>
          <w:tcPr>
            <w:tcW w:w="3232" w:type="dxa"/>
            <w:tcBorders>
              <w:top w:val="double" w:sz="4" w:space="0" w:color="auto"/>
              <w:left w:val="single" w:sz="4" w:space="0" w:color="auto"/>
              <w:bottom w:val="single" w:sz="4" w:space="0" w:color="auto"/>
              <w:right w:val="single" w:sz="4" w:space="0" w:color="auto"/>
            </w:tcBorders>
          </w:tcPr>
          <w:p w:rsidR="00933435" w:rsidRPr="002C4D06" w:rsidRDefault="00933435" w:rsidP="004E0294">
            <w:pPr>
              <w:tabs>
                <w:tab w:val="left" w:pos="709"/>
                <w:tab w:val="center" w:pos="1818"/>
              </w:tabs>
              <w:spacing w:before="60" w:after="60"/>
              <w:rPr>
                <w:rFonts w:ascii="Arial" w:hAnsi="Arial" w:cs="Arial"/>
                <w:b/>
                <w:sz w:val="16"/>
                <w:szCs w:val="16"/>
              </w:rPr>
            </w:pPr>
            <w:r w:rsidRPr="002C4D06">
              <w:rPr>
                <w:rFonts w:ascii="Arial" w:hAnsi="Arial" w:cs="Arial"/>
                <w:b/>
                <w:sz w:val="16"/>
                <w:szCs w:val="16"/>
              </w:rPr>
              <w:t>Performance measures</w:t>
            </w:r>
          </w:p>
        </w:tc>
        <w:tc>
          <w:tcPr>
            <w:tcW w:w="3119" w:type="dxa"/>
            <w:tcBorders>
              <w:top w:val="double" w:sz="4" w:space="0" w:color="auto"/>
              <w:left w:val="single" w:sz="4" w:space="0" w:color="auto"/>
              <w:bottom w:val="single" w:sz="4" w:space="0" w:color="auto"/>
            </w:tcBorders>
          </w:tcPr>
          <w:p w:rsidR="00933435" w:rsidRPr="002C4D06" w:rsidRDefault="00933435" w:rsidP="004E0294">
            <w:pPr>
              <w:tabs>
                <w:tab w:val="left" w:pos="709"/>
              </w:tabs>
              <w:spacing w:before="60" w:after="60"/>
              <w:rPr>
                <w:rFonts w:ascii="Arial" w:hAnsi="Arial" w:cs="Arial"/>
                <w:b/>
                <w:sz w:val="16"/>
                <w:szCs w:val="16"/>
              </w:rPr>
            </w:pPr>
            <w:r w:rsidRPr="002C4D06">
              <w:rPr>
                <w:rFonts w:ascii="Arial" w:hAnsi="Arial" w:cs="Arial"/>
                <w:b/>
                <w:sz w:val="16"/>
                <w:szCs w:val="16"/>
              </w:rPr>
              <w:t>Expected Performance Results</w:t>
            </w:r>
          </w:p>
        </w:tc>
      </w:tr>
      <w:tr w:rsidR="00933435" w:rsidRPr="002C4D06" w:rsidTr="00D118CE">
        <w:trPr>
          <w:trHeight w:val="4085"/>
        </w:trPr>
        <w:tc>
          <w:tcPr>
            <w:tcW w:w="1304" w:type="dxa"/>
            <w:tcBorders>
              <w:top w:val="single" w:sz="4" w:space="0" w:color="auto"/>
              <w:right w:val="single" w:sz="4" w:space="0" w:color="auto"/>
            </w:tcBorders>
          </w:tcPr>
          <w:p w:rsidR="00536398" w:rsidRPr="002C4D06" w:rsidRDefault="00536398" w:rsidP="001E4B0F">
            <w:pPr>
              <w:tabs>
                <w:tab w:val="left" w:pos="709"/>
              </w:tabs>
              <w:spacing w:before="60" w:after="60" w:line="240" w:lineRule="auto"/>
              <w:jc w:val="left"/>
              <w:rPr>
                <w:rFonts w:ascii="Arial" w:hAnsi="Arial" w:cs="Arial"/>
                <w:sz w:val="16"/>
                <w:szCs w:val="16"/>
              </w:rPr>
            </w:pPr>
            <w:r w:rsidRPr="002C4D06">
              <w:rPr>
                <w:rFonts w:ascii="Arial" w:hAnsi="Arial" w:cs="Arial"/>
                <w:sz w:val="16"/>
                <w:szCs w:val="16"/>
              </w:rPr>
              <w:t xml:space="preserve">Current year </w:t>
            </w:r>
            <w:r w:rsidR="001E4B0F">
              <w:rPr>
                <w:rFonts w:ascii="Arial" w:hAnsi="Arial" w:cs="Arial"/>
                <w:sz w:val="16"/>
                <w:szCs w:val="16"/>
              </w:rPr>
              <w:br/>
            </w:r>
            <w:r w:rsidRPr="002C4D06">
              <w:rPr>
                <w:rFonts w:ascii="Arial" w:hAnsi="Arial" w:cs="Arial"/>
                <w:sz w:val="16"/>
                <w:szCs w:val="16"/>
              </w:rPr>
              <w:t>2021-22</w:t>
            </w:r>
            <w:r w:rsidR="001E4B0F">
              <w:rPr>
                <w:rFonts w:ascii="Arial" w:hAnsi="Arial" w:cs="Arial"/>
                <w:sz w:val="16"/>
                <w:szCs w:val="16"/>
              </w:rPr>
              <w:br/>
            </w:r>
            <w:r>
              <w:rPr>
                <w:rFonts w:ascii="Arial" w:hAnsi="Arial" w:cs="Arial"/>
                <w:sz w:val="16"/>
                <w:szCs w:val="16"/>
              </w:rPr>
              <w:t>(continued)</w:t>
            </w:r>
          </w:p>
        </w:tc>
        <w:tc>
          <w:tcPr>
            <w:tcW w:w="3232" w:type="dxa"/>
            <w:tcBorders>
              <w:top w:val="single" w:sz="4" w:space="0" w:color="auto"/>
              <w:left w:val="single" w:sz="4" w:space="0" w:color="auto"/>
              <w:right w:val="single" w:sz="4" w:space="0" w:color="auto"/>
            </w:tcBorders>
          </w:tcPr>
          <w:p w:rsidR="00933435" w:rsidRDefault="00933435" w:rsidP="00DA1F4B">
            <w:pPr>
              <w:pStyle w:val="TableParagraph"/>
              <w:widowControl/>
              <w:numPr>
                <w:ilvl w:val="0"/>
                <w:numId w:val="27"/>
              </w:numPr>
              <w:adjustRightInd w:val="0"/>
              <w:spacing w:before="60" w:after="60"/>
              <w:ind w:left="374" w:hanging="357"/>
              <w:contextualSpacing/>
              <w:rPr>
                <w:sz w:val="16"/>
              </w:rPr>
            </w:pPr>
            <w:r w:rsidRPr="00856AA5">
              <w:rPr>
                <w:sz w:val="16"/>
              </w:rPr>
              <w:t>For the ATSILSFF an average return over the long term of at least the consumer price index +2.0% to 3.0% per annum, net of costs with an acceptable but not excessive level of risk including having regard to the plausible capital loss from investment returns over a three-year period</w:t>
            </w:r>
          </w:p>
          <w:p w:rsidR="00933435" w:rsidRDefault="00933435" w:rsidP="004E0294">
            <w:pPr>
              <w:pStyle w:val="TableParagraph"/>
              <w:spacing w:before="58"/>
              <w:ind w:left="360" w:right="95" w:hanging="360"/>
              <w:rPr>
                <w:sz w:val="16"/>
              </w:rPr>
            </w:pPr>
          </w:p>
          <w:p w:rsidR="00933435" w:rsidRDefault="00933435" w:rsidP="00DA1F4B">
            <w:pPr>
              <w:pStyle w:val="TableParagraph"/>
              <w:widowControl/>
              <w:numPr>
                <w:ilvl w:val="0"/>
                <w:numId w:val="27"/>
              </w:numPr>
              <w:adjustRightInd w:val="0"/>
              <w:spacing w:before="60" w:after="60"/>
              <w:ind w:left="374" w:hanging="357"/>
              <w:contextualSpacing/>
              <w:rPr>
                <w:sz w:val="16"/>
              </w:rPr>
            </w:pPr>
            <w:r>
              <w:rPr>
                <w:sz w:val="16"/>
              </w:rPr>
              <w:t>For the FDF and ERF an average return</w:t>
            </w:r>
            <w:r w:rsidRPr="004A7619">
              <w:rPr>
                <w:sz w:val="16"/>
              </w:rPr>
              <w:t xml:space="preserve"> </w:t>
            </w:r>
            <w:r>
              <w:rPr>
                <w:sz w:val="16"/>
              </w:rPr>
              <w:t>over the long term of at least the consumer</w:t>
            </w:r>
            <w:r w:rsidRPr="004A7619">
              <w:rPr>
                <w:sz w:val="16"/>
              </w:rPr>
              <w:t xml:space="preserve"> </w:t>
            </w:r>
            <w:r>
              <w:rPr>
                <w:sz w:val="16"/>
              </w:rPr>
              <w:t>price index +2.0% to 3.0% per annum, net</w:t>
            </w:r>
            <w:r w:rsidRPr="004A7619">
              <w:rPr>
                <w:sz w:val="16"/>
              </w:rPr>
              <w:t xml:space="preserve"> </w:t>
            </w:r>
            <w:r>
              <w:rPr>
                <w:sz w:val="16"/>
              </w:rPr>
              <w:t>of costs with an acceptable but not</w:t>
            </w:r>
            <w:r w:rsidRPr="004A7619">
              <w:rPr>
                <w:sz w:val="16"/>
              </w:rPr>
              <w:t xml:space="preserve"> </w:t>
            </w:r>
            <w:r>
              <w:rPr>
                <w:sz w:val="16"/>
              </w:rPr>
              <w:t>excessive level of risk including having</w:t>
            </w:r>
            <w:r w:rsidRPr="004A7619">
              <w:rPr>
                <w:sz w:val="16"/>
              </w:rPr>
              <w:t xml:space="preserve"> </w:t>
            </w:r>
            <w:r>
              <w:rPr>
                <w:sz w:val="16"/>
              </w:rPr>
              <w:t>regard to the plausible capital loss from</w:t>
            </w:r>
            <w:r w:rsidRPr="004A7619">
              <w:rPr>
                <w:sz w:val="16"/>
              </w:rPr>
              <w:t xml:space="preserve"> </w:t>
            </w:r>
            <w:r>
              <w:rPr>
                <w:sz w:val="16"/>
              </w:rPr>
              <w:t>investment</w:t>
            </w:r>
            <w:r w:rsidRPr="004A7619">
              <w:rPr>
                <w:sz w:val="16"/>
              </w:rPr>
              <w:t xml:space="preserve"> </w:t>
            </w:r>
            <w:r>
              <w:rPr>
                <w:sz w:val="16"/>
              </w:rPr>
              <w:t>returns</w:t>
            </w:r>
            <w:r w:rsidRPr="004A7619">
              <w:rPr>
                <w:sz w:val="16"/>
              </w:rPr>
              <w:t xml:space="preserve"> </w:t>
            </w:r>
            <w:r>
              <w:rPr>
                <w:sz w:val="16"/>
              </w:rPr>
              <w:t>over</w:t>
            </w:r>
            <w:r w:rsidRPr="004A7619">
              <w:rPr>
                <w:sz w:val="16"/>
              </w:rPr>
              <w:t xml:space="preserve"> </w:t>
            </w:r>
            <w:r>
              <w:rPr>
                <w:sz w:val="16"/>
              </w:rPr>
              <w:t>a</w:t>
            </w:r>
            <w:r w:rsidRPr="004A7619">
              <w:rPr>
                <w:sz w:val="16"/>
              </w:rPr>
              <w:t xml:space="preserve"> </w:t>
            </w:r>
            <w:r>
              <w:rPr>
                <w:sz w:val="16"/>
              </w:rPr>
              <w:t>three-year</w:t>
            </w:r>
            <w:r w:rsidRPr="004A7619">
              <w:rPr>
                <w:sz w:val="16"/>
              </w:rPr>
              <w:t xml:space="preserve"> </w:t>
            </w:r>
            <w:r>
              <w:rPr>
                <w:sz w:val="16"/>
              </w:rPr>
              <w:t>period.</w:t>
            </w:r>
          </w:p>
          <w:p w:rsidR="00933435" w:rsidRPr="002C4D06" w:rsidRDefault="00933435" w:rsidP="004E0294">
            <w:pPr>
              <w:pStyle w:val="TableParagraph"/>
              <w:spacing w:before="58"/>
              <w:ind w:left="360" w:right="95" w:hanging="360"/>
            </w:pPr>
          </w:p>
        </w:tc>
        <w:tc>
          <w:tcPr>
            <w:tcW w:w="3119" w:type="dxa"/>
            <w:tcBorders>
              <w:top w:val="single" w:sz="4" w:space="0" w:color="auto"/>
              <w:left w:val="single" w:sz="4" w:space="0" w:color="auto"/>
            </w:tcBorders>
          </w:tcPr>
          <w:p w:rsidR="00933435" w:rsidRDefault="00933435" w:rsidP="004E0294">
            <w:pPr>
              <w:pStyle w:val="TableParagraph"/>
              <w:spacing w:before="58"/>
              <w:ind w:right="95"/>
              <w:rPr>
                <w:sz w:val="16"/>
              </w:rPr>
            </w:pPr>
            <w:r w:rsidRPr="009668D8">
              <w:rPr>
                <w:sz w:val="16"/>
              </w:rPr>
              <w:t xml:space="preserve">As at </w:t>
            </w:r>
            <w:r w:rsidRPr="0082275A">
              <w:rPr>
                <w:sz w:val="16"/>
              </w:rPr>
              <w:t xml:space="preserve">31 December 2021 the actual return was 6.4% </w:t>
            </w:r>
            <w:r>
              <w:rPr>
                <w:sz w:val="16"/>
              </w:rPr>
              <w:t xml:space="preserve">pa </w:t>
            </w:r>
            <w:r w:rsidRPr="0082275A">
              <w:rPr>
                <w:sz w:val="16"/>
              </w:rPr>
              <w:t>compared to the target return of 4.2%</w:t>
            </w:r>
            <w:r>
              <w:rPr>
                <w:sz w:val="16"/>
              </w:rPr>
              <w:t xml:space="preserve"> pa</w:t>
            </w:r>
            <w:r w:rsidRPr="0082275A">
              <w:rPr>
                <w:sz w:val="16"/>
              </w:rPr>
              <w:t xml:space="preserve"> since</w:t>
            </w:r>
            <w:r>
              <w:rPr>
                <w:sz w:val="16"/>
              </w:rPr>
              <w:t xml:space="preserve"> 1 October 2019, delivered within the mandate’s risk parameters</w:t>
            </w:r>
            <w:r w:rsidRPr="0027653A">
              <w:rPr>
                <w:sz w:val="16"/>
              </w:rPr>
              <w:t>.</w:t>
            </w:r>
          </w:p>
          <w:p w:rsidR="00933435" w:rsidRDefault="00933435" w:rsidP="004E0294">
            <w:pPr>
              <w:tabs>
                <w:tab w:val="left" w:pos="360"/>
              </w:tabs>
              <w:autoSpaceDE w:val="0"/>
              <w:autoSpaceDN w:val="0"/>
              <w:adjustRightInd w:val="0"/>
              <w:spacing w:line="288" w:lineRule="auto"/>
              <w:jc w:val="left"/>
              <w:rPr>
                <w:rFonts w:ascii="Arial" w:eastAsia="Calibri" w:hAnsi="Arial" w:cs="Arial"/>
                <w:sz w:val="16"/>
                <w:szCs w:val="16"/>
              </w:rPr>
            </w:pPr>
          </w:p>
          <w:p w:rsidR="00AC4CF8" w:rsidRDefault="00AC4CF8" w:rsidP="004E0294">
            <w:pPr>
              <w:tabs>
                <w:tab w:val="left" w:pos="360"/>
              </w:tabs>
              <w:autoSpaceDE w:val="0"/>
              <w:autoSpaceDN w:val="0"/>
              <w:adjustRightInd w:val="0"/>
              <w:spacing w:line="288" w:lineRule="auto"/>
              <w:jc w:val="left"/>
              <w:rPr>
                <w:rFonts w:ascii="Arial" w:eastAsia="Calibri" w:hAnsi="Arial" w:cs="Arial"/>
                <w:sz w:val="16"/>
                <w:szCs w:val="16"/>
              </w:rPr>
            </w:pPr>
          </w:p>
          <w:p w:rsidR="00933435" w:rsidRDefault="00933435" w:rsidP="004E0294">
            <w:pPr>
              <w:pStyle w:val="TableParagraph"/>
              <w:spacing w:before="58"/>
              <w:ind w:right="95"/>
              <w:rPr>
                <w:sz w:val="16"/>
              </w:rPr>
            </w:pPr>
            <w:r w:rsidRPr="0027653A">
              <w:rPr>
                <w:sz w:val="16"/>
              </w:rPr>
              <w:t xml:space="preserve">As at </w:t>
            </w:r>
            <w:r w:rsidRPr="0082275A">
              <w:rPr>
                <w:sz w:val="16"/>
              </w:rPr>
              <w:t xml:space="preserve">31 December 2021 the actual return for FDF was 11.3% </w:t>
            </w:r>
            <w:r>
              <w:rPr>
                <w:sz w:val="16"/>
              </w:rPr>
              <w:t xml:space="preserve">pa </w:t>
            </w:r>
            <w:r w:rsidRPr="0082275A">
              <w:rPr>
                <w:sz w:val="16"/>
              </w:rPr>
              <w:t>compared</w:t>
            </w:r>
            <w:r>
              <w:rPr>
                <w:sz w:val="16"/>
              </w:rPr>
              <w:t xml:space="preserve"> to the target return of 4.3% pa </w:t>
            </w:r>
            <w:r w:rsidRPr="00F159C9">
              <w:rPr>
                <w:sz w:val="16"/>
              </w:rPr>
              <w:t>since 1 April 2020</w:t>
            </w:r>
            <w:r>
              <w:rPr>
                <w:sz w:val="16"/>
              </w:rPr>
              <w:t>, delivered within the mandate’s risk parameters</w:t>
            </w:r>
            <w:r w:rsidRPr="0027653A">
              <w:rPr>
                <w:sz w:val="16"/>
              </w:rPr>
              <w:t>.</w:t>
            </w:r>
          </w:p>
          <w:p w:rsidR="00933435" w:rsidRDefault="00933435" w:rsidP="004E0294">
            <w:pPr>
              <w:pStyle w:val="TableParagraph"/>
              <w:spacing w:before="58"/>
              <w:ind w:right="95"/>
              <w:rPr>
                <w:i/>
                <w:color w:val="FF0000"/>
                <w:sz w:val="16"/>
              </w:rPr>
            </w:pPr>
          </w:p>
          <w:p w:rsidR="00933435" w:rsidRDefault="00933435" w:rsidP="00FD5E72">
            <w:pPr>
              <w:pStyle w:val="TableParagraph"/>
              <w:spacing w:before="58"/>
              <w:ind w:right="95"/>
              <w:rPr>
                <w:sz w:val="16"/>
              </w:rPr>
            </w:pPr>
            <w:r w:rsidRPr="0027653A">
              <w:rPr>
                <w:sz w:val="16"/>
              </w:rPr>
              <w:t xml:space="preserve">As at </w:t>
            </w:r>
            <w:r w:rsidRPr="0082275A">
              <w:rPr>
                <w:sz w:val="16"/>
              </w:rPr>
              <w:t xml:space="preserve">31 December 2021 the actual return for ERF was 11.3% </w:t>
            </w:r>
            <w:r>
              <w:rPr>
                <w:sz w:val="16"/>
              </w:rPr>
              <w:t xml:space="preserve">pa </w:t>
            </w:r>
            <w:r w:rsidRPr="0082275A">
              <w:rPr>
                <w:sz w:val="16"/>
              </w:rPr>
              <w:t>compared</w:t>
            </w:r>
            <w:r>
              <w:rPr>
                <w:sz w:val="16"/>
              </w:rPr>
              <w:t xml:space="preserve"> to the target return of 4.3% </w:t>
            </w:r>
            <w:r w:rsidR="00FD5E72">
              <w:rPr>
                <w:sz w:val="16"/>
              </w:rPr>
              <w:t xml:space="preserve">pa </w:t>
            </w:r>
            <w:r w:rsidR="00FD5E72" w:rsidRPr="0027653A">
              <w:rPr>
                <w:sz w:val="16"/>
              </w:rPr>
              <w:t>since</w:t>
            </w:r>
            <w:r w:rsidRPr="00F159C9">
              <w:rPr>
                <w:sz w:val="16"/>
              </w:rPr>
              <w:t xml:space="preserve"> 1 April 2020</w:t>
            </w:r>
            <w:r>
              <w:rPr>
                <w:sz w:val="16"/>
              </w:rPr>
              <w:t>, delivered within the mandate’s risk parameters</w:t>
            </w:r>
            <w:r w:rsidRPr="0027653A">
              <w:rPr>
                <w:sz w:val="16"/>
              </w:rPr>
              <w:t>.</w:t>
            </w:r>
          </w:p>
          <w:p w:rsidR="00FD5E72" w:rsidRPr="00FD5E72" w:rsidRDefault="00FD5E72" w:rsidP="00FD5E72">
            <w:pPr>
              <w:pStyle w:val="TableParagraph"/>
              <w:spacing w:before="58"/>
              <w:ind w:right="95"/>
              <w:rPr>
                <w:sz w:val="16"/>
              </w:rPr>
            </w:pPr>
          </w:p>
        </w:tc>
      </w:tr>
    </w:tbl>
    <w:p w:rsidR="00B1175B" w:rsidRPr="00933435" w:rsidRDefault="00B1175B" w:rsidP="003E0953">
      <w:pPr>
        <w:pStyle w:val="TableHeading"/>
        <w:rPr>
          <w:lang w:val="en-AU"/>
        </w:rPr>
      </w:pPr>
    </w:p>
    <w:p w:rsidR="00B1175B" w:rsidRPr="00B1175B" w:rsidRDefault="00B1175B" w:rsidP="00B1175B">
      <w:pPr>
        <w:pStyle w:val="TableGraphic"/>
        <w:rPr>
          <w:lang w:val="x-none" w:eastAsia="x-none"/>
        </w:rPr>
      </w:pPr>
    </w:p>
    <w:p w:rsidR="00AC4CF8" w:rsidRDefault="00AC4CF8" w:rsidP="003E0953">
      <w:pPr>
        <w:pStyle w:val="TableHeading"/>
      </w:pPr>
    </w:p>
    <w:p w:rsidR="00AC4CF8" w:rsidRDefault="00AC4CF8" w:rsidP="00AC4CF8">
      <w:pPr>
        <w:pStyle w:val="TableGraphic"/>
        <w:rPr>
          <w:lang w:val="x-none" w:eastAsia="x-none"/>
        </w:rPr>
      </w:pPr>
    </w:p>
    <w:p w:rsidR="00C50D03" w:rsidRDefault="00C50D03" w:rsidP="00C50D03">
      <w:pPr>
        <w:rPr>
          <w:lang w:val="x-none" w:eastAsia="x-none"/>
        </w:rPr>
      </w:pPr>
    </w:p>
    <w:p w:rsidR="00C50D03" w:rsidRDefault="00C50D03" w:rsidP="00C50D03">
      <w:pPr>
        <w:rPr>
          <w:lang w:val="x-none" w:eastAsia="x-none"/>
        </w:rPr>
      </w:pPr>
    </w:p>
    <w:p w:rsidR="00FD5E72" w:rsidRDefault="00FD5E72" w:rsidP="00C50D03">
      <w:pPr>
        <w:rPr>
          <w:lang w:val="x-none" w:eastAsia="x-none"/>
        </w:rPr>
      </w:pPr>
    </w:p>
    <w:p w:rsidR="00FD5E72" w:rsidRPr="00C50D03" w:rsidRDefault="00FD5E72" w:rsidP="00C50D03">
      <w:pPr>
        <w:rPr>
          <w:lang w:val="x-none" w:eastAsia="x-none"/>
        </w:rPr>
      </w:pPr>
    </w:p>
    <w:p w:rsidR="00FF6812" w:rsidRDefault="00FF6812">
      <w:pPr>
        <w:spacing w:after="0" w:line="240" w:lineRule="auto"/>
        <w:jc w:val="left"/>
      </w:pPr>
      <w:r>
        <w:br w:type="page"/>
      </w:r>
    </w:p>
    <w:p w:rsidR="00AC4CF8" w:rsidRDefault="00AC4CF8" w:rsidP="00AC4CF8">
      <w:pPr>
        <w:pStyle w:val="TableHeading"/>
      </w:pPr>
      <w:r>
        <w:lastRenderedPageBreak/>
        <w:t>Table</w:t>
      </w:r>
      <w:r w:rsidRPr="00B1175B">
        <w:t xml:space="preserve"> </w:t>
      </w:r>
      <w:r>
        <w:t>2.1.3: Performance</w:t>
      </w:r>
      <w:r w:rsidRPr="00B1175B">
        <w:t xml:space="preserve"> </w:t>
      </w:r>
      <w:r>
        <w:t>measure</w:t>
      </w:r>
      <w:r w:rsidRPr="00B1175B">
        <w:t xml:space="preserve"> </w:t>
      </w:r>
      <w:r>
        <w:t>for</w:t>
      </w:r>
      <w:r w:rsidRPr="00B1175B">
        <w:t xml:space="preserve"> </w:t>
      </w:r>
      <w:r>
        <w:t>Outcome</w:t>
      </w:r>
      <w:r w:rsidRPr="00B1175B">
        <w:t xml:space="preserve"> </w:t>
      </w:r>
      <w:r>
        <w:t>1</w:t>
      </w:r>
      <w:r w:rsidRPr="00B1175B">
        <w:t xml:space="preserve"> </w:t>
      </w:r>
      <w:r>
        <w:t>(continued)</w:t>
      </w:r>
    </w:p>
    <w:tbl>
      <w:tblPr>
        <w:tblW w:w="75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2990"/>
        <w:gridCol w:w="3265"/>
      </w:tblGrid>
      <w:tr w:rsidR="00AC4CF8" w:rsidRPr="002C4D06" w:rsidTr="00C50D03">
        <w:trPr>
          <w:trHeight w:val="522"/>
        </w:trPr>
        <w:tc>
          <w:tcPr>
            <w:tcW w:w="7541" w:type="dxa"/>
            <w:gridSpan w:val="3"/>
            <w:shd w:val="clear" w:color="auto" w:fill="F2F2F2"/>
          </w:tcPr>
          <w:p w:rsidR="00AC4CF8" w:rsidRPr="00745217" w:rsidRDefault="00AC4CF8" w:rsidP="00DB582A">
            <w:pPr>
              <w:tabs>
                <w:tab w:val="left" w:pos="709"/>
              </w:tabs>
              <w:spacing w:before="60" w:after="60" w:line="240" w:lineRule="auto"/>
              <w:jc w:val="left"/>
              <w:rPr>
                <w:rFonts w:ascii="Arial" w:hAnsi="Arial" w:cs="Arial"/>
                <w:b/>
                <w:sz w:val="18"/>
                <w:szCs w:val="18"/>
              </w:rPr>
            </w:pPr>
            <w:r w:rsidRPr="00856AA5">
              <w:rPr>
                <w:rFonts w:ascii="Arial" w:hAnsi="Arial" w:cs="Arial"/>
                <w:b/>
                <w:sz w:val="18"/>
                <w:szCs w:val="18"/>
              </w:rPr>
              <w:t>Program 1.2 – Management of the Investment of the Australi</w:t>
            </w:r>
            <w:r w:rsidR="00745217">
              <w:rPr>
                <w:rFonts w:ascii="Arial" w:hAnsi="Arial" w:cs="Arial"/>
                <w:b/>
                <w:sz w:val="18"/>
                <w:szCs w:val="18"/>
              </w:rPr>
              <w:t xml:space="preserve">an Government Investment Funds </w:t>
            </w:r>
          </w:p>
        </w:tc>
      </w:tr>
      <w:tr w:rsidR="00AC4CF8" w:rsidRPr="002C4D06" w:rsidTr="00C50D03">
        <w:trPr>
          <w:trHeight w:val="258"/>
        </w:trPr>
        <w:tc>
          <w:tcPr>
            <w:tcW w:w="1286" w:type="dxa"/>
            <w:tcBorders>
              <w:top w:val="double" w:sz="4" w:space="0" w:color="auto"/>
              <w:bottom w:val="single" w:sz="4" w:space="0" w:color="auto"/>
              <w:right w:val="single" w:sz="4" w:space="0" w:color="auto"/>
            </w:tcBorders>
          </w:tcPr>
          <w:p w:rsidR="00AC4CF8" w:rsidRPr="00DB582A" w:rsidRDefault="00AC4CF8" w:rsidP="00D04C5C">
            <w:pPr>
              <w:tabs>
                <w:tab w:val="left" w:pos="709"/>
              </w:tabs>
              <w:spacing w:before="60" w:after="60" w:line="240" w:lineRule="auto"/>
              <w:rPr>
                <w:rFonts w:ascii="Arial" w:hAnsi="Arial" w:cs="Arial"/>
                <w:b/>
                <w:sz w:val="16"/>
                <w:szCs w:val="16"/>
              </w:rPr>
            </w:pPr>
            <w:r w:rsidRPr="00DB582A">
              <w:rPr>
                <w:rFonts w:ascii="Arial" w:hAnsi="Arial" w:cs="Arial"/>
                <w:b/>
                <w:sz w:val="16"/>
                <w:szCs w:val="16"/>
              </w:rPr>
              <w:t>Year</w:t>
            </w:r>
          </w:p>
        </w:tc>
        <w:tc>
          <w:tcPr>
            <w:tcW w:w="2990" w:type="dxa"/>
            <w:tcBorders>
              <w:top w:val="double" w:sz="4" w:space="0" w:color="auto"/>
              <w:left w:val="single" w:sz="4" w:space="0" w:color="auto"/>
              <w:bottom w:val="single" w:sz="4" w:space="0" w:color="auto"/>
              <w:right w:val="single" w:sz="4" w:space="0" w:color="auto"/>
            </w:tcBorders>
          </w:tcPr>
          <w:p w:rsidR="00AC4CF8" w:rsidRPr="00DB582A" w:rsidRDefault="00AC4CF8" w:rsidP="00D04C5C">
            <w:pPr>
              <w:tabs>
                <w:tab w:val="left" w:pos="709"/>
                <w:tab w:val="center" w:pos="1818"/>
              </w:tabs>
              <w:spacing w:before="60" w:after="60" w:line="240" w:lineRule="auto"/>
              <w:rPr>
                <w:rFonts w:ascii="Arial" w:hAnsi="Arial" w:cs="Arial"/>
                <w:b/>
                <w:sz w:val="16"/>
                <w:szCs w:val="16"/>
              </w:rPr>
            </w:pPr>
            <w:r w:rsidRPr="00DB582A">
              <w:rPr>
                <w:rFonts w:ascii="Arial" w:hAnsi="Arial" w:cs="Arial"/>
                <w:b/>
                <w:sz w:val="16"/>
                <w:szCs w:val="16"/>
              </w:rPr>
              <w:t>Performance measures</w:t>
            </w:r>
          </w:p>
        </w:tc>
        <w:tc>
          <w:tcPr>
            <w:tcW w:w="3265" w:type="dxa"/>
            <w:tcBorders>
              <w:top w:val="double" w:sz="4" w:space="0" w:color="auto"/>
              <w:left w:val="single" w:sz="4" w:space="0" w:color="auto"/>
              <w:bottom w:val="single" w:sz="4" w:space="0" w:color="auto"/>
            </w:tcBorders>
          </w:tcPr>
          <w:p w:rsidR="00AC4CF8" w:rsidRPr="00937B0A" w:rsidRDefault="00AC4CF8" w:rsidP="00D04C5C">
            <w:pPr>
              <w:tabs>
                <w:tab w:val="left" w:pos="709"/>
              </w:tabs>
              <w:spacing w:before="60" w:after="60" w:line="240" w:lineRule="auto"/>
              <w:rPr>
                <w:rFonts w:ascii="Arial" w:hAnsi="Arial" w:cs="Arial"/>
                <w:b/>
                <w:sz w:val="16"/>
                <w:szCs w:val="16"/>
              </w:rPr>
            </w:pPr>
            <w:r w:rsidRPr="00937B0A">
              <w:rPr>
                <w:rFonts w:ascii="Arial" w:hAnsi="Arial" w:cs="Arial"/>
                <w:b/>
                <w:sz w:val="16"/>
                <w:szCs w:val="16"/>
              </w:rPr>
              <w:t>Planned Performance Results</w:t>
            </w:r>
          </w:p>
        </w:tc>
      </w:tr>
      <w:tr w:rsidR="00AC4CF8" w:rsidRPr="002C4D06" w:rsidTr="00C50D03">
        <w:trPr>
          <w:trHeight w:val="2527"/>
        </w:trPr>
        <w:tc>
          <w:tcPr>
            <w:tcW w:w="1286" w:type="dxa"/>
            <w:tcBorders>
              <w:top w:val="single" w:sz="4" w:space="0" w:color="auto"/>
              <w:bottom w:val="single" w:sz="4" w:space="0" w:color="auto"/>
              <w:right w:val="single" w:sz="4" w:space="0" w:color="auto"/>
            </w:tcBorders>
          </w:tcPr>
          <w:p w:rsidR="00AC4CF8" w:rsidRPr="00FF6812" w:rsidRDefault="00AC4CF8" w:rsidP="001E4B0F">
            <w:pPr>
              <w:tabs>
                <w:tab w:val="left" w:pos="709"/>
              </w:tabs>
              <w:spacing w:before="60" w:after="60" w:line="240" w:lineRule="auto"/>
              <w:jc w:val="left"/>
              <w:rPr>
                <w:rFonts w:ascii="Arial" w:hAnsi="Arial" w:cs="Arial"/>
                <w:sz w:val="16"/>
                <w:szCs w:val="16"/>
              </w:rPr>
            </w:pPr>
            <w:r w:rsidRPr="00FF6812">
              <w:rPr>
                <w:rFonts w:ascii="Arial" w:hAnsi="Arial" w:cs="Arial"/>
                <w:sz w:val="16"/>
                <w:szCs w:val="16"/>
              </w:rPr>
              <w:t>Budget Year</w:t>
            </w:r>
            <w:r w:rsidR="001E4B0F">
              <w:rPr>
                <w:rFonts w:ascii="Arial" w:hAnsi="Arial" w:cs="Arial"/>
                <w:sz w:val="16"/>
                <w:szCs w:val="16"/>
              </w:rPr>
              <w:br/>
            </w:r>
            <w:r w:rsidRPr="00FF6812">
              <w:rPr>
                <w:rFonts w:ascii="Arial" w:hAnsi="Arial" w:cs="Arial"/>
                <w:sz w:val="16"/>
                <w:szCs w:val="16"/>
              </w:rPr>
              <w:t>2022-23</w:t>
            </w:r>
          </w:p>
        </w:tc>
        <w:tc>
          <w:tcPr>
            <w:tcW w:w="2990" w:type="dxa"/>
            <w:tcBorders>
              <w:top w:val="single" w:sz="4" w:space="0" w:color="auto"/>
              <w:left w:val="single" w:sz="4" w:space="0" w:color="auto"/>
              <w:bottom w:val="single" w:sz="4" w:space="0" w:color="auto"/>
              <w:right w:val="single" w:sz="4" w:space="0" w:color="auto"/>
            </w:tcBorders>
          </w:tcPr>
          <w:p w:rsidR="00D04C5C" w:rsidRPr="00FF6812" w:rsidRDefault="00D04C5C" w:rsidP="00D04C5C">
            <w:pPr>
              <w:pStyle w:val="TableParagraph"/>
              <w:spacing w:before="60" w:after="60"/>
              <w:rPr>
                <w:sz w:val="16"/>
                <w:szCs w:val="16"/>
              </w:rPr>
            </w:pPr>
            <w:r w:rsidRPr="00FF6812">
              <w:rPr>
                <w:i/>
                <w:sz w:val="16"/>
                <w:szCs w:val="16"/>
              </w:rPr>
              <w:t>As</w:t>
            </w:r>
            <w:r w:rsidRPr="00FF6812">
              <w:rPr>
                <w:i/>
                <w:spacing w:val="-1"/>
                <w:sz w:val="16"/>
                <w:szCs w:val="16"/>
              </w:rPr>
              <w:t xml:space="preserve"> </w:t>
            </w:r>
            <w:r w:rsidRPr="00FF6812">
              <w:rPr>
                <w:i/>
                <w:sz w:val="16"/>
                <w:szCs w:val="16"/>
              </w:rPr>
              <w:t>per</w:t>
            </w:r>
            <w:r w:rsidRPr="00FF6812">
              <w:rPr>
                <w:i/>
                <w:spacing w:val="-1"/>
                <w:sz w:val="16"/>
                <w:szCs w:val="16"/>
              </w:rPr>
              <w:t xml:space="preserve"> </w:t>
            </w:r>
            <w:r w:rsidRPr="00FF6812">
              <w:rPr>
                <w:i/>
                <w:sz w:val="16"/>
                <w:szCs w:val="16"/>
              </w:rPr>
              <w:t>2021-22</w:t>
            </w:r>
            <w:r w:rsidRPr="00FF6812">
              <w:rPr>
                <w:sz w:val="16"/>
                <w:szCs w:val="16"/>
              </w:rPr>
              <w:t xml:space="preserve"> Provide assistance and advice to the Board in</w:t>
            </w:r>
            <w:r w:rsidRPr="00FF6812">
              <w:rPr>
                <w:spacing w:val="-42"/>
                <w:sz w:val="16"/>
                <w:szCs w:val="16"/>
              </w:rPr>
              <w:t xml:space="preserve"> </w:t>
            </w:r>
            <w:r w:rsidRPr="00FF6812">
              <w:rPr>
                <w:sz w:val="16"/>
                <w:szCs w:val="16"/>
              </w:rPr>
              <w:t>pursuit of achieving the Investment Mandate</w:t>
            </w:r>
            <w:r w:rsidRPr="00FF6812">
              <w:rPr>
                <w:spacing w:val="1"/>
                <w:sz w:val="16"/>
                <w:szCs w:val="16"/>
              </w:rPr>
              <w:t xml:space="preserve"> </w:t>
            </w:r>
            <w:r w:rsidRPr="00FF6812">
              <w:rPr>
                <w:sz w:val="16"/>
                <w:szCs w:val="16"/>
              </w:rPr>
              <w:t>target</w:t>
            </w:r>
            <w:r w:rsidRPr="00FF6812">
              <w:rPr>
                <w:spacing w:val="1"/>
                <w:sz w:val="16"/>
                <w:szCs w:val="16"/>
              </w:rPr>
              <w:t xml:space="preserve"> </w:t>
            </w:r>
            <w:r w:rsidRPr="00FF6812">
              <w:rPr>
                <w:sz w:val="16"/>
                <w:szCs w:val="16"/>
              </w:rPr>
              <w:t>returns</w:t>
            </w:r>
            <w:r w:rsidRPr="00FF6812">
              <w:rPr>
                <w:spacing w:val="-1"/>
                <w:sz w:val="16"/>
                <w:szCs w:val="16"/>
              </w:rPr>
              <w:t xml:space="preserve"> </w:t>
            </w:r>
            <w:r w:rsidRPr="00FF6812">
              <w:rPr>
                <w:sz w:val="16"/>
                <w:szCs w:val="16"/>
              </w:rPr>
              <w:t>as</w:t>
            </w:r>
            <w:r w:rsidRPr="00FF6812">
              <w:rPr>
                <w:spacing w:val="1"/>
                <w:sz w:val="16"/>
                <w:szCs w:val="16"/>
              </w:rPr>
              <w:t xml:space="preserve"> </w:t>
            </w:r>
            <w:r w:rsidRPr="00FF6812">
              <w:rPr>
                <w:sz w:val="16"/>
                <w:szCs w:val="16"/>
              </w:rPr>
              <w:t>follows:</w:t>
            </w:r>
          </w:p>
          <w:p w:rsidR="00D04C5C" w:rsidRPr="00FF6812" w:rsidRDefault="00D04C5C" w:rsidP="00DA1F4B">
            <w:pPr>
              <w:pStyle w:val="TableParagraph"/>
              <w:widowControl/>
              <w:numPr>
                <w:ilvl w:val="0"/>
                <w:numId w:val="27"/>
              </w:numPr>
              <w:autoSpaceDN/>
              <w:adjustRightInd w:val="0"/>
              <w:spacing w:before="60" w:after="60"/>
              <w:ind w:left="374" w:hanging="357"/>
              <w:contextualSpacing/>
              <w:rPr>
                <w:sz w:val="16"/>
                <w:szCs w:val="16"/>
              </w:rPr>
            </w:pPr>
            <w:r w:rsidRPr="00FF6812">
              <w:rPr>
                <w:sz w:val="16"/>
                <w:szCs w:val="16"/>
              </w:rPr>
              <w:t>For the DCAF the Australian three month bank bill swap rate plus 0.3% per annum, calculated on a rolling 12 month basis while minimising the probability of capital loss over a 12 month horizon; and</w:t>
            </w:r>
          </w:p>
          <w:p w:rsidR="00AA63FF" w:rsidRPr="00FF6812" w:rsidRDefault="00AA63FF" w:rsidP="00AA63FF">
            <w:pPr>
              <w:pStyle w:val="TableParagraph"/>
              <w:widowControl/>
              <w:autoSpaceDN/>
              <w:adjustRightInd w:val="0"/>
              <w:spacing w:before="60" w:after="60"/>
              <w:ind w:left="374"/>
              <w:contextualSpacing/>
              <w:rPr>
                <w:sz w:val="16"/>
                <w:szCs w:val="16"/>
              </w:rPr>
            </w:pPr>
          </w:p>
          <w:p w:rsidR="00D04C5C" w:rsidRPr="00FF6812" w:rsidRDefault="00D04C5C" w:rsidP="00DA1F4B">
            <w:pPr>
              <w:pStyle w:val="TableParagraph"/>
              <w:widowControl/>
              <w:numPr>
                <w:ilvl w:val="0"/>
                <w:numId w:val="27"/>
              </w:numPr>
              <w:autoSpaceDN/>
              <w:adjustRightInd w:val="0"/>
              <w:spacing w:before="60" w:after="60"/>
              <w:ind w:left="374" w:hanging="357"/>
              <w:contextualSpacing/>
              <w:rPr>
                <w:sz w:val="16"/>
                <w:szCs w:val="16"/>
              </w:rPr>
            </w:pPr>
            <w:r w:rsidRPr="00FF6812">
              <w:rPr>
                <w:sz w:val="16"/>
                <w:szCs w:val="16"/>
              </w:rPr>
              <w:t>For the MRFF the Reserve Bank of Australia Cash Rate target +1.5% to 2.0% per annum, net of investment fees, over a rolling 10 year term with acceptable but not excessive risk; and</w:t>
            </w:r>
          </w:p>
          <w:p w:rsidR="00AA63FF" w:rsidRPr="00FF6812" w:rsidRDefault="00AA63FF" w:rsidP="00AA63FF">
            <w:pPr>
              <w:pStyle w:val="TableParagraph"/>
              <w:widowControl/>
              <w:autoSpaceDN/>
              <w:adjustRightInd w:val="0"/>
              <w:spacing w:before="60" w:after="60"/>
              <w:contextualSpacing/>
              <w:rPr>
                <w:sz w:val="16"/>
                <w:szCs w:val="16"/>
              </w:rPr>
            </w:pPr>
          </w:p>
          <w:p w:rsidR="00AC4CF8" w:rsidRPr="00FF6812" w:rsidRDefault="00AC4CF8" w:rsidP="00DA1F4B">
            <w:pPr>
              <w:pStyle w:val="TableParagraph"/>
              <w:widowControl/>
              <w:numPr>
                <w:ilvl w:val="0"/>
                <w:numId w:val="27"/>
              </w:numPr>
              <w:autoSpaceDN/>
              <w:adjustRightInd w:val="0"/>
              <w:ind w:left="374" w:hanging="357"/>
              <w:contextualSpacing/>
              <w:rPr>
                <w:sz w:val="16"/>
                <w:szCs w:val="16"/>
              </w:rPr>
            </w:pPr>
            <w:r w:rsidRPr="00FF6812">
              <w:rPr>
                <w:sz w:val="16"/>
                <w:szCs w:val="16"/>
              </w:rPr>
              <w:t>For the ATSILSFF an average return over the long term of at least the consumer price index +2.0% to 3.0% per annum, net of costs with an acceptable but not excessive level of risk including having regard to the plausible capital loss from investment returns over a three-year period</w:t>
            </w:r>
          </w:p>
          <w:p w:rsidR="00AA63FF" w:rsidRPr="00FF6812" w:rsidRDefault="00AA63FF" w:rsidP="00AA63FF">
            <w:pPr>
              <w:pStyle w:val="TableParagraph"/>
              <w:widowControl/>
              <w:autoSpaceDN/>
              <w:adjustRightInd w:val="0"/>
              <w:contextualSpacing/>
              <w:rPr>
                <w:sz w:val="16"/>
                <w:szCs w:val="16"/>
              </w:rPr>
            </w:pPr>
          </w:p>
          <w:p w:rsidR="00AC4CF8" w:rsidRPr="00FF6812" w:rsidRDefault="00AC4CF8" w:rsidP="00DA1F4B">
            <w:pPr>
              <w:pStyle w:val="TableParagraph"/>
              <w:widowControl/>
              <w:numPr>
                <w:ilvl w:val="0"/>
                <w:numId w:val="27"/>
              </w:numPr>
              <w:adjustRightInd w:val="0"/>
              <w:ind w:left="374" w:hanging="357"/>
              <w:contextualSpacing/>
              <w:rPr>
                <w:sz w:val="16"/>
                <w:szCs w:val="16"/>
              </w:rPr>
            </w:pPr>
            <w:r w:rsidRPr="00FF6812">
              <w:rPr>
                <w:sz w:val="16"/>
                <w:szCs w:val="16"/>
              </w:rPr>
              <w:t>For the FDF and ERF an average return</w:t>
            </w:r>
            <w:r w:rsidRPr="00FF6812">
              <w:rPr>
                <w:spacing w:val="1"/>
                <w:sz w:val="16"/>
                <w:szCs w:val="16"/>
              </w:rPr>
              <w:t xml:space="preserve"> </w:t>
            </w:r>
            <w:r w:rsidRPr="00FF6812">
              <w:rPr>
                <w:sz w:val="16"/>
                <w:szCs w:val="16"/>
              </w:rPr>
              <w:t>over the long term of at least the consumer</w:t>
            </w:r>
            <w:r w:rsidRPr="00FF6812">
              <w:rPr>
                <w:spacing w:val="1"/>
                <w:sz w:val="16"/>
                <w:szCs w:val="16"/>
              </w:rPr>
              <w:t xml:space="preserve"> </w:t>
            </w:r>
            <w:r w:rsidRPr="00FF6812">
              <w:rPr>
                <w:sz w:val="16"/>
                <w:szCs w:val="16"/>
              </w:rPr>
              <w:t>price index +2.0% to 3.0% per annum, net</w:t>
            </w:r>
            <w:r w:rsidRPr="00FF6812">
              <w:rPr>
                <w:spacing w:val="1"/>
                <w:sz w:val="16"/>
                <w:szCs w:val="16"/>
              </w:rPr>
              <w:t xml:space="preserve"> </w:t>
            </w:r>
            <w:r w:rsidRPr="00FF6812">
              <w:rPr>
                <w:sz w:val="16"/>
                <w:szCs w:val="16"/>
              </w:rPr>
              <w:t>of costs with an acceptable but not</w:t>
            </w:r>
            <w:r w:rsidRPr="00FF6812">
              <w:rPr>
                <w:spacing w:val="1"/>
                <w:sz w:val="16"/>
                <w:szCs w:val="16"/>
              </w:rPr>
              <w:t xml:space="preserve"> </w:t>
            </w:r>
            <w:r w:rsidRPr="00FF6812">
              <w:rPr>
                <w:sz w:val="16"/>
                <w:szCs w:val="16"/>
              </w:rPr>
              <w:t>excessive level of risk including having</w:t>
            </w:r>
            <w:r w:rsidRPr="00FF6812">
              <w:rPr>
                <w:spacing w:val="1"/>
                <w:sz w:val="16"/>
                <w:szCs w:val="16"/>
              </w:rPr>
              <w:t xml:space="preserve"> </w:t>
            </w:r>
            <w:r w:rsidRPr="00FF6812">
              <w:rPr>
                <w:sz w:val="16"/>
                <w:szCs w:val="16"/>
              </w:rPr>
              <w:t>regard to the plausible capital loss from</w:t>
            </w:r>
            <w:r w:rsidRPr="00FF6812">
              <w:rPr>
                <w:spacing w:val="1"/>
                <w:sz w:val="16"/>
                <w:szCs w:val="16"/>
              </w:rPr>
              <w:t xml:space="preserve"> </w:t>
            </w:r>
            <w:r w:rsidRPr="00FF6812">
              <w:rPr>
                <w:sz w:val="16"/>
                <w:szCs w:val="16"/>
              </w:rPr>
              <w:t>investment</w:t>
            </w:r>
            <w:r w:rsidRPr="00FF6812">
              <w:rPr>
                <w:spacing w:val="-2"/>
                <w:sz w:val="16"/>
                <w:szCs w:val="16"/>
              </w:rPr>
              <w:t xml:space="preserve"> </w:t>
            </w:r>
            <w:r w:rsidRPr="00FF6812">
              <w:rPr>
                <w:sz w:val="16"/>
                <w:szCs w:val="16"/>
              </w:rPr>
              <w:t>returns</w:t>
            </w:r>
            <w:r w:rsidRPr="00FF6812">
              <w:rPr>
                <w:spacing w:val="-2"/>
                <w:sz w:val="16"/>
                <w:szCs w:val="16"/>
              </w:rPr>
              <w:t xml:space="preserve"> </w:t>
            </w:r>
            <w:r w:rsidRPr="00FF6812">
              <w:rPr>
                <w:sz w:val="16"/>
                <w:szCs w:val="16"/>
              </w:rPr>
              <w:t>over</w:t>
            </w:r>
            <w:r w:rsidRPr="00FF6812">
              <w:rPr>
                <w:spacing w:val="-4"/>
                <w:sz w:val="16"/>
                <w:szCs w:val="16"/>
              </w:rPr>
              <w:t xml:space="preserve"> </w:t>
            </w:r>
            <w:r w:rsidRPr="00FF6812">
              <w:rPr>
                <w:sz w:val="16"/>
                <w:szCs w:val="16"/>
              </w:rPr>
              <w:t>a</w:t>
            </w:r>
            <w:r w:rsidRPr="00FF6812">
              <w:rPr>
                <w:spacing w:val="-6"/>
                <w:sz w:val="16"/>
                <w:szCs w:val="16"/>
              </w:rPr>
              <w:t xml:space="preserve"> </w:t>
            </w:r>
            <w:r w:rsidRPr="00FF6812">
              <w:rPr>
                <w:sz w:val="16"/>
                <w:szCs w:val="16"/>
              </w:rPr>
              <w:t>three-year</w:t>
            </w:r>
            <w:r w:rsidRPr="00FF6812">
              <w:rPr>
                <w:spacing w:val="-3"/>
                <w:sz w:val="16"/>
                <w:szCs w:val="16"/>
              </w:rPr>
              <w:t xml:space="preserve"> </w:t>
            </w:r>
            <w:r w:rsidRPr="00FF6812">
              <w:rPr>
                <w:sz w:val="16"/>
                <w:szCs w:val="16"/>
              </w:rPr>
              <w:t>period.</w:t>
            </w:r>
          </w:p>
          <w:p w:rsidR="00AC4CF8" w:rsidRPr="00FF6812" w:rsidRDefault="00AC4CF8" w:rsidP="00D04C5C">
            <w:pPr>
              <w:pStyle w:val="TableParagraph"/>
              <w:spacing w:before="58"/>
              <w:ind w:right="95"/>
              <w:rPr>
                <w:sz w:val="16"/>
                <w:szCs w:val="16"/>
              </w:rPr>
            </w:pPr>
          </w:p>
        </w:tc>
        <w:tc>
          <w:tcPr>
            <w:tcW w:w="3265" w:type="dxa"/>
            <w:tcBorders>
              <w:top w:val="single" w:sz="4" w:space="0" w:color="auto"/>
              <w:left w:val="single" w:sz="4" w:space="0" w:color="auto"/>
              <w:bottom w:val="single" w:sz="4" w:space="0" w:color="auto"/>
            </w:tcBorders>
          </w:tcPr>
          <w:p w:rsidR="00AC4CF8" w:rsidRPr="00FF6812" w:rsidRDefault="00D04C5C" w:rsidP="00DC1B09">
            <w:pPr>
              <w:pStyle w:val="TableParagraph"/>
              <w:widowControl/>
              <w:adjustRightInd w:val="0"/>
              <w:spacing w:before="60" w:after="60"/>
              <w:rPr>
                <w:rFonts w:eastAsia="Calibri"/>
                <w:sz w:val="16"/>
                <w:szCs w:val="16"/>
              </w:rPr>
            </w:pPr>
            <w:r w:rsidRPr="00FF6812">
              <w:rPr>
                <w:sz w:val="16"/>
                <w:szCs w:val="16"/>
              </w:rPr>
              <w:t>To achieve a return in line with</w:t>
            </w:r>
            <w:r w:rsidRPr="00FF6812">
              <w:rPr>
                <w:spacing w:val="1"/>
                <w:sz w:val="16"/>
                <w:szCs w:val="16"/>
              </w:rPr>
              <w:t xml:space="preserve"> </w:t>
            </w:r>
            <w:r w:rsidRPr="00FF6812">
              <w:rPr>
                <w:sz w:val="16"/>
                <w:szCs w:val="16"/>
              </w:rPr>
              <w:t>the target return and with regard</w:t>
            </w:r>
            <w:r w:rsidRPr="00FF6812">
              <w:rPr>
                <w:spacing w:val="-42"/>
                <w:sz w:val="16"/>
                <w:szCs w:val="16"/>
              </w:rPr>
              <w:t xml:space="preserve"> </w:t>
            </w:r>
            <w:r w:rsidRPr="00FF6812">
              <w:rPr>
                <w:sz w:val="16"/>
                <w:szCs w:val="16"/>
              </w:rPr>
              <w:t>to the risk parameters of the</w:t>
            </w:r>
            <w:r w:rsidRPr="00FF6812">
              <w:rPr>
                <w:spacing w:val="1"/>
                <w:sz w:val="16"/>
                <w:szCs w:val="16"/>
              </w:rPr>
              <w:t xml:space="preserve"> </w:t>
            </w:r>
            <w:r w:rsidRPr="00FF6812">
              <w:rPr>
                <w:sz w:val="16"/>
                <w:szCs w:val="16"/>
              </w:rPr>
              <w:t>mandate for the DCAF, MRFF,</w:t>
            </w:r>
            <w:r w:rsidRPr="00FF6812">
              <w:rPr>
                <w:spacing w:val="1"/>
                <w:sz w:val="16"/>
                <w:szCs w:val="16"/>
              </w:rPr>
              <w:t xml:space="preserve"> </w:t>
            </w:r>
            <w:r w:rsidRPr="00FF6812">
              <w:rPr>
                <w:sz w:val="16"/>
                <w:szCs w:val="16"/>
              </w:rPr>
              <w:t>ATSILSFF, FDF &amp; ERF.</w:t>
            </w:r>
          </w:p>
        </w:tc>
      </w:tr>
      <w:tr w:rsidR="00AC4CF8" w:rsidRPr="002C4D06" w:rsidTr="00C50D03">
        <w:trPr>
          <w:trHeight w:val="480"/>
        </w:trPr>
        <w:tc>
          <w:tcPr>
            <w:tcW w:w="1286" w:type="dxa"/>
            <w:tcBorders>
              <w:top w:val="single" w:sz="4" w:space="0" w:color="auto"/>
              <w:right w:val="single" w:sz="4" w:space="0" w:color="auto"/>
            </w:tcBorders>
          </w:tcPr>
          <w:p w:rsidR="00AC4CF8" w:rsidRPr="00FF6812" w:rsidRDefault="00AC4CF8" w:rsidP="001E4B0F">
            <w:pPr>
              <w:pStyle w:val="TableTextBase"/>
              <w:rPr>
                <w:rFonts w:cs="Arial"/>
                <w:b/>
                <w:sz w:val="16"/>
                <w:szCs w:val="16"/>
              </w:rPr>
            </w:pPr>
            <w:r w:rsidRPr="00FF6812">
              <w:rPr>
                <w:rFonts w:cs="Arial"/>
                <w:sz w:val="16"/>
                <w:szCs w:val="16"/>
              </w:rPr>
              <w:t xml:space="preserve">Forward Estimates </w:t>
            </w:r>
            <w:r w:rsidR="001E4B0F">
              <w:rPr>
                <w:rFonts w:cs="Arial"/>
                <w:sz w:val="16"/>
                <w:szCs w:val="16"/>
              </w:rPr>
              <w:br/>
            </w:r>
            <w:r w:rsidRPr="00FF6812">
              <w:rPr>
                <w:rFonts w:cs="Arial"/>
                <w:sz w:val="16"/>
                <w:szCs w:val="16"/>
              </w:rPr>
              <w:t>2023-26</w:t>
            </w:r>
          </w:p>
        </w:tc>
        <w:tc>
          <w:tcPr>
            <w:tcW w:w="2990" w:type="dxa"/>
            <w:tcBorders>
              <w:top w:val="single" w:sz="4" w:space="0" w:color="auto"/>
              <w:left w:val="single" w:sz="4" w:space="0" w:color="auto"/>
              <w:right w:val="single" w:sz="4" w:space="0" w:color="auto"/>
            </w:tcBorders>
          </w:tcPr>
          <w:p w:rsidR="00AC4CF8" w:rsidRPr="00FF6812" w:rsidRDefault="00AC4CF8" w:rsidP="00D04C5C">
            <w:pPr>
              <w:pStyle w:val="TableTextBase"/>
              <w:rPr>
                <w:rFonts w:cs="Arial"/>
                <w:b/>
                <w:sz w:val="16"/>
                <w:szCs w:val="16"/>
              </w:rPr>
            </w:pPr>
            <w:r w:rsidRPr="00FF6812">
              <w:rPr>
                <w:rFonts w:cs="Arial"/>
                <w:sz w:val="16"/>
                <w:szCs w:val="16"/>
              </w:rPr>
              <w:t>As per 2022-23.</w:t>
            </w:r>
          </w:p>
        </w:tc>
        <w:tc>
          <w:tcPr>
            <w:tcW w:w="3265" w:type="dxa"/>
            <w:tcBorders>
              <w:top w:val="single" w:sz="4" w:space="0" w:color="auto"/>
              <w:left w:val="single" w:sz="4" w:space="0" w:color="auto"/>
            </w:tcBorders>
          </w:tcPr>
          <w:p w:rsidR="00AC4CF8" w:rsidRPr="00FF6812" w:rsidRDefault="00AC4CF8" w:rsidP="00D04C5C">
            <w:pPr>
              <w:pStyle w:val="TableTextBase"/>
              <w:rPr>
                <w:b/>
                <w:sz w:val="16"/>
                <w:szCs w:val="16"/>
              </w:rPr>
            </w:pPr>
            <w:r w:rsidRPr="00FF6812">
              <w:rPr>
                <w:sz w:val="16"/>
                <w:szCs w:val="16"/>
              </w:rPr>
              <w:t>As per 2022-23.</w:t>
            </w:r>
          </w:p>
        </w:tc>
      </w:tr>
      <w:tr w:rsidR="00AC4CF8" w:rsidRPr="00160C23" w:rsidTr="00C50D03">
        <w:trPr>
          <w:trHeight w:val="291"/>
        </w:trPr>
        <w:tc>
          <w:tcPr>
            <w:tcW w:w="7541" w:type="dxa"/>
            <w:gridSpan w:val="3"/>
          </w:tcPr>
          <w:p w:rsidR="00AC4CF8" w:rsidRPr="00FF6812" w:rsidRDefault="00AC4CF8" w:rsidP="004E0294">
            <w:pPr>
              <w:pStyle w:val="TableTextBase"/>
              <w:rPr>
                <w:rFonts w:eastAsia="Cambria" w:cs="Arial"/>
                <w:bCs/>
                <w:iCs/>
                <w:spacing w:val="-6"/>
                <w:sz w:val="16"/>
                <w:szCs w:val="16"/>
                <w:lang w:val="x-none"/>
              </w:rPr>
            </w:pPr>
            <w:r w:rsidRPr="00FF6812">
              <w:rPr>
                <w:rFonts w:cs="Arial"/>
                <w:sz w:val="16"/>
                <w:szCs w:val="16"/>
              </w:rPr>
              <w:t>Mat</w:t>
            </w:r>
            <w:r w:rsidR="00DB582A" w:rsidRPr="00FF6812">
              <w:rPr>
                <w:rFonts w:cs="Arial"/>
                <w:sz w:val="16"/>
                <w:szCs w:val="16"/>
              </w:rPr>
              <w:t>erial changes to Program 1.2</w:t>
            </w:r>
            <w:r w:rsidRPr="00FF6812">
              <w:rPr>
                <w:rFonts w:cs="Arial"/>
                <w:sz w:val="16"/>
                <w:szCs w:val="16"/>
              </w:rPr>
              <w:t xml:space="preserve"> resulting from 2022-23 Budget Measures:</w:t>
            </w:r>
            <w:r w:rsidRPr="00FF6812">
              <w:rPr>
                <w:rStyle w:val="BodyTextChar"/>
                <w:rFonts w:ascii="Arial" w:hAnsi="Arial" w:cs="Arial"/>
                <w:bCs/>
                <w:iCs/>
                <w:spacing w:val="-6"/>
                <w:sz w:val="16"/>
                <w:szCs w:val="16"/>
              </w:rPr>
              <w:t xml:space="preserve"> </w:t>
            </w:r>
            <w:r w:rsidR="00DB582A" w:rsidRPr="00FF6812">
              <w:rPr>
                <w:rStyle w:val="BodyTextChar"/>
                <w:rFonts w:ascii="Arial" w:hAnsi="Arial" w:cs="Arial"/>
                <w:bCs/>
                <w:iCs/>
                <w:spacing w:val="-6"/>
                <w:sz w:val="16"/>
                <w:szCs w:val="16"/>
              </w:rPr>
              <w:t>Nil</w:t>
            </w:r>
          </w:p>
        </w:tc>
      </w:tr>
    </w:tbl>
    <w:p w:rsidR="00AC4CF8" w:rsidRDefault="00AC4CF8" w:rsidP="00AC4CF8">
      <w:pPr>
        <w:pStyle w:val="TableGraphic"/>
        <w:rPr>
          <w:lang w:val="x-none" w:eastAsia="x-none"/>
        </w:rPr>
      </w:pPr>
    </w:p>
    <w:p w:rsidR="00745217" w:rsidRDefault="00745217" w:rsidP="00745217">
      <w:pPr>
        <w:rPr>
          <w:lang w:val="x-none" w:eastAsia="x-none"/>
        </w:rPr>
      </w:pPr>
    </w:p>
    <w:p w:rsidR="00745217" w:rsidRPr="00745217" w:rsidRDefault="00745217" w:rsidP="00745217">
      <w:pPr>
        <w:rPr>
          <w:lang w:val="x-none" w:eastAsia="x-none"/>
        </w:rPr>
      </w:pPr>
    </w:p>
    <w:p w:rsidR="005D36C8" w:rsidRPr="00AD42E2" w:rsidRDefault="005D36C8" w:rsidP="005D36C8">
      <w:pPr>
        <w:pStyle w:val="Heading2"/>
      </w:pPr>
      <w:bookmarkStart w:id="89" w:name="_Toc98181373"/>
      <w:r w:rsidRPr="00AD42E2">
        <w:lastRenderedPageBreak/>
        <w:t>Section 3: Budgeted financial statements</w:t>
      </w:r>
      <w:bookmarkEnd w:id="89"/>
    </w:p>
    <w:p w:rsidR="005D36C8" w:rsidRDefault="005D36C8" w:rsidP="005D36C8">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rsidR="005D36C8" w:rsidRPr="005328A9" w:rsidRDefault="005D36C8" w:rsidP="005D36C8">
      <w:pPr>
        <w:pStyle w:val="Heading3"/>
      </w:pPr>
      <w:bookmarkStart w:id="90" w:name="_Toc98181374"/>
      <w:r w:rsidRPr="005328A9">
        <w:t>3.1</w:t>
      </w:r>
      <w:r w:rsidRPr="005328A9">
        <w:tab/>
        <w:t>Budgeted financial statements</w:t>
      </w:r>
      <w:bookmarkEnd w:id="90"/>
    </w:p>
    <w:p w:rsidR="005D36C8" w:rsidRDefault="005D36C8" w:rsidP="005D36C8">
      <w:pPr>
        <w:pStyle w:val="Heading4"/>
      </w:pPr>
      <w:r>
        <w:t>3.1.1</w:t>
      </w:r>
      <w:r>
        <w:tab/>
        <w:t>Differences between entity resourcing and financial statements</w:t>
      </w:r>
    </w:p>
    <w:p w:rsidR="005D36C8" w:rsidRPr="00022A1A" w:rsidRDefault="005D36C8" w:rsidP="005D36C8">
      <w:r w:rsidRPr="00022A1A">
        <w:t>No material differences exist between entity resourcing and the financial statements.</w:t>
      </w:r>
    </w:p>
    <w:p w:rsidR="005D36C8" w:rsidRDefault="005D36C8" w:rsidP="005D36C8">
      <w:pPr>
        <w:pStyle w:val="Heading4"/>
      </w:pPr>
      <w:r>
        <w:t>3.1.2</w:t>
      </w:r>
      <w:r>
        <w:tab/>
        <w:t>Explanatory notes and analysis of budgeted financial statements</w:t>
      </w:r>
    </w:p>
    <w:p w:rsidR="005D36C8" w:rsidRPr="00022A1A" w:rsidRDefault="005D36C8" w:rsidP="005D36C8">
      <w:r w:rsidRPr="00022A1A">
        <w:t>Departmental expenditure will increase over the 2022-23 estimate year in line with maintaining and developing the Agency’s ability to support the Board in managing the Future Fund and other Australian Government Investment Funds.</w:t>
      </w:r>
    </w:p>
    <w:p w:rsidR="005D36C8" w:rsidRPr="00022A1A" w:rsidRDefault="005D36C8" w:rsidP="005D36C8">
      <w:r w:rsidRPr="00022A1A">
        <w:t>Administered expenditure will increase over the 2022-23 estimate year as a result of the expected growth of the portfolio and the evolution of the asset allocation in line with the Board’s investment strategy.</w:t>
      </w:r>
    </w:p>
    <w:p w:rsidR="005D36C8" w:rsidRDefault="005D36C8" w:rsidP="005D36C8">
      <w:r>
        <w:br w:type="page"/>
      </w:r>
      <w:r w:rsidRPr="00D232B7">
        <w:rPr>
          <w:rStyle w:val="TableHeadingChar"/>
        </w:rPr>
        <w:lastRenderedPageBreak/>
        <w:t>3.2.</w:t>
      </w:r>
      <w:r w:rsidRPr="00D232B7">
        <w:rPr>
          <w:rStyle w:val="TableHeadingChar"/>
        </w:rPr>
        <w:tab/>
        <w:t>Budgeted financial statements tables</w:t>
      </w:r>
    </w:p>
    <w:p w:rsidR="005D36C8" w:rsidRDefault="005D36C8" w:rsidP="005D36C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1F1306" w:rsidRDefault="001F1306" w:rsidP="00022A1A">
      <w:pPr>
        <w:pStyle w:val="TableGraphic"/>
      </w:pPr>
      <w:r w:rsidRPr="001F1306">
        <w:rPr>
          <w:noProof/>
        </w:rPr>
        <w:drawing>
          <wp:inline distT="0" distB="0" distL="0" distR="0" wp14:anchorId="6E05E1ED" wp14:editId="72A343FE">
            <wp:extent cx="4838700" cy="3307899"/>
            <wp:effectExtent l="0" t="0" r="0" b="698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841090" cy="3309533"/>
                    </a:xfrm>
                    <a:prstGeom prst="rect">
                      <a:avLst/>
                    </a:prstGeom>
                    <a:noFill/>
                    <a:ln>
                      <a:noFill/>
                    </a:ln>
                  </pic:spPr>
                </pic:pic>
              </a:graphicData>
            </a:graphic>
          </wp:inline>
        </w:drawing>
      </w:r>
    </w:p>
    <w:p w:rsidR="001F1306" w:rsidRPr="00022A1A" w:rsidRDefault="001F1306"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732556" w:rsidRPr="00022A1A" w:rsidRDefault="00732556" w:rsidP="00022A1A">
      <w:pPr>
        <w:pStyle w:val="TableGraphic"/>
      </w:pPr>
    </w:p>
    <w:p w:rsidR="005D36C8" w:rsidRDefault="005D36C8" w:rsidP="005D36C8">
      <w:pPr>
        <w:pStyle w:val="TableGraphic"/>
      </w:pPr>
    </w:p>
    <w:p w:rsidR="005D36C8" w:rsidRDefault="005D36C8" w:rsidP="005D36C8">
      <w:pPr>
        <w:pStyle w:val="TableHeading"/>
      </w:pPr>
      <w:r w:rsidRPr="00E4582E">
        <w:lastRenderedPageBreak/>
        <w:t>Table</w:t>
      </w:r>
      <w:r>
        <w:t xml:space="preserve"> 3.</w:t>
      </w:r>
      <w:r w:rsidRPr="00E4582E">
        <w:t>2: Budg</w:t>
      </w:r>
      <w:r>
        <w:t xml:space="preserve">eted departmental balance sheet </w:t>
      </w:r>
      <w:r w:rsidRPr="00E4582E">
        <w:t>(as at 30 June)</w:t>
      </w:r>
    </w:p>
    <w:p w:rsidR="009203C1" w:rsidRPr="009C5D44" w:rsidRDefault="009203C1" w:rsidP="00022A1A">
      <w:pPr>
        <w:pStyle w:val="TableGraphic"/>
      </w:pPr>
      <w:r w:rsidRPr="009203C1">
        <w:rPr>
          <w:noProof/>
        </w:rPr>
        <w:drawing>
          <wp:inline distT="0" distB="0" distL="0" distR="0" wp14:anchorId="58E52621" wp14:editId="7C92DCBF">
            <wp:extent cx="4895850" cy="3766418"/>
            <wp:effectExtent l="0" t="0" r="0" b="571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895850" cy="3766418"/>
                    </a:xfrm>
                    <a:prstGeom prst="rect">
                      <a:avLst/>
                    </a:prstGeom>
                    <a:noFill/>
                    <a:ln>
                      <a:noFill/>
                    </a:ln>
                  </pic:spPr>
                </pic:pic>
              </a:graphicData>
            </a:graphic>
          </wp:inline>
        </w:drawing>
      </w:r>
    </w:p>
    <w:p w:rsidR="009203C1" w:rsidRPr="00022A1A" w:rsidRDefault="009203C1" w:rsidP="00090B84">
      <w:pPr>
        <w:pStyle w:val="TableGraphic"/>
        <w:ind w:right="0"/>
        <w:rPr>
          <w:rFonts w:cs="Arial"/>
          <w:sz w:val="16"/>
          <w:szCs w:val="16"/>
        </w:rPr>
      </w:pPr>
      <w:r w:rsidRPr="00022A1A">
        <w:rPr>
          <w:rFonts w:ascii="Arial" w:hAnsi="Arial" w:cs="Arial"/>
          <w:sz w:val="16"/>
          <w:szCs w:val="16"/>
          <w:lang w:val="x-none" w:eastAsia="x-none"/>
        </w:rPr>
        <w:t>Prepared on Australian Accounting Standards basis.</w:t>
      </w:r>
    </w:p>
    <w:p w:rsidR="00BD498E" w:rsidRDefault="00BD498E" w:rsidP="005D36C8">
      <w:pPr>
        <w:pStyle w:val="TableHeading"/>
      </w:pPr>
    </w:p>
    <w:p w:rsidR="00BD498E" w:rsidRDefault="00BD498E" w:rsidP="005D36C8">
      <w:pPr>
        <w:pStyle w:val="TableHeading"/>
      </w:pPr>
    </w:p>
    <w:p w:rsidR="005D36C8" w:rsidRDefault="005D36C8" w:rsidP="005D36C8">
      <w:pPr>
        <w:pStyle w:val="TableHeading"/>
        <w:rPr>
          <w:rFonts w:ascii="Times New Roman" w:hAnsi="Times New Roman"/>
        </w:rPr>
      </w:pPr>
      <w:r w:rsidRPr="00AD42E2">
        <w:t>Table 3.3: Departmental statement of changes in equity — summary of</w:t>
      </w:r>
      <w:r w:rsidR="00DA485F">
        <w:rPr>
          <w:lang w:val="en-AU"/>
        </w:rPr>
        <w:t xml:space="preserve"> </w:t>
      </w:r>
      <w:r>
        <w:t xml:space="preserve">movement (Budget year </w:t>
      </w:r>
      <w:r>
        <w:rPr>
          <w:lang w:val="en-AU"/>
        </w:rPr>
        <w:t>2022-23</w:t>
      </w:r>
      <w:r w:rsidRPr="00D30CBA">
        <w:t>)</w:t>
      </w:r>
      <w:r>
        <w:fldChar w:fldCharType="begin" w:fldLock="1"/>
      </w:r>
      <w:r>
        <w:instrText xml:space="preserve"> LINK Excel.Sheet.12 "\\\\romulus\\csg_h$\\MCD\\Publishing\\Graphic Design Services Team\\Projects\\2021\\Budget 2021\\03 PBS\\PBS templates\\Attachment B - 2021-22 PBS Excel Tables.xlsx" "Table 3.3!R3C1:R34C6" \a \f 4 \h </w:instrText>
      </w:r>
      <w:r>
        <w:fldChar w:fldCharType="separate"/>
      </w:r>
    </w:p>
    <w:p w:rsidR="005D36C8" w:rsidRDefault="005D36C8" w:rsidP="005D36C8">
      <w:pPr>
        <w:pStyle w:val="TableGraphic"/>
      </w:pPr>
      <w:r>
        <w:fldChar w:fldCharType="end"/>
      </w:r>
      <w:r w:rsidRPr="002376AD">
        <w:t xml:space="preserve"> </w:t>
      </w:r>
    </w:p>
    <w:p w:rsidR="005D36C8" w:rsidRPr="005E6932" w:rsidRDefault="005D36C8" w:rsidP="005D36C8">
      <w:r w:rsidRPr="005E6932">
        <w:t>The FFMA does not have any changes in equity.</w:t>
      </w:r>
    </w:p>
    <w:p w:rsidR="005D36C8" w:rsidRPr="00152B2B" w:rsidRDefault="005D36C8" w:rsidP="005D36C8"/>
    <w:p w:rsidR="005D36C8" w:rsidRPr="005E6932" w:rsidRDefault="005D36C8" w:rsidP="005D36C8">
      <w:pPr>
        <w:pStyle w:val="TableHeading"/>
      </w:pPr>
    </w:p>
    <w:p w:rsidR="005D36C8" w:rsidRPr="00152B2B" w:rsidRDefault="005D36C8" w:rsidP="005D36C8"/>
    <w:p w:rsidR="005D36C8" w:rsidRDefault="005D36C8" w:rsidP="005D36C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497B06" w:rsidRDefault="00497B06" w:rsidP="00022A1A">
      <w:pPr>
        <w:pStyle w:val="TableGraphic"/>
      </w:pPr>
      <w:r w:rsidRPr="00497B06">
        <w:rPr>
          <w:noProof/>
        </w:rPr>
        <w:drawing>
          <wp:inline distT="0" distB="0" distL="0" distR="0" wp14:anchorId="62E295C4" wp14:editId="59E1F4D4">
            <wp:extent cx="4895850" cy="4306152"/>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895850" cy="4306152"/>
                    </a:xfrm>
                    <a:prstGeom prst="rect">
                      <a:avLst/>
                    </a:prstGeom>
                    <a:noFill/>
                    <a:ln>
                      <a:noFill/>
                    </a:ln>
                  </pic:spPr>
                </pic:pic>
              </a:graphicData>
            </a:graphic>
          </wp:inline>
        </w:drawing>
      </w:r>
    </w:p>
    <w:p w:rsidR="00497B06" w:rsidRPr="00022A1A" w:rsidRDefault="00497B06"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497B06" w:rsidRPr="009C5D44" w:rsidRDefault="00497B06" w:rsidP="00022A1A">
      <w:pPr>
        <w:pStyle w:val="TableGraphic"/>
      </w:pPr>
    </w:p>
    <w:p w:rsidR="005D36C8" w:rsidRPr="00F626C2" w:rsidRDefault="005D36C8" w:rsidP="005D36C8">
      <w:pPr>
        <w:pStyle w:val="TableGraphic"/>
      </w:pPr>
    </w:p>
    <w:p w:rsidR="005D36C8" w:rsidRPr="00F10305" w:rsidRDefault="005D36C8" w:rsidP="005D36C8">
      <w:pPr>
        <w:pStyle w:val="TableGraphic"/>
        <w:tabs>
          <w:tab w:val="left" w:pos="6237"/>
        </w:tabs>
      </w:pPr>
    </w:p>
    <w:p w:rsidR="005D36C8" w:rsidRPr="00132F9E" w:rsidRDefault="005D36C8" w:rsidP="005D36C8">
      <w:pPr>
        <w:pStyle w:val="TableHeadingcontinued"/>
        <w:rPr>
          <w:rFonts w:ascii="Arial" w:hAnsi="Arial" w:cs="Arial"/>
          <w:sz w:val="16"/>
          <w:szCs w:val="16"/>
        </w:rPr>
      </w:pPr>
    </w:p>
    <w:p w:rsidR="005D36C8" w:rsidRPr="00132F9E" w:rsidRDefault="005D36C8" w:rsidP="005D36C8">
      <w:pPr>
        <w:pStyle w:val="NoSpacing"/>
        <w:rPr>
          <w:rFonts w:ascii="Arial" w:hAnsi="Arial" w:cs="Arial"/>
          <w:sz w:val="16"/>
          <w:szCs w:val="16"/>
        </w:rPr>
      </w:pPr>
    </w:p>
    <w:p w:rsidR="005D36C8" w:rsidRDefault="005D36C8" w:rsidP="005D36C8">
      <w:pPr>
        <w:pStyle w:val="TableHeading"/>
      </w:pPr>
      <w:r>
        <w:br w:type="page"/>
      </w:r>
      <w:r w:rsidRPr="00D30CBA">
        <w:lastRenderedPageBreak/>
        <w:t>Table</w:t>
      </w:r>
      <w:r>
        <w:t xml:space="preserve"> 3.5</w:t>
      </w:r>
      <w:r w:rsidRPr="00D30CBA">
        <w:t xml:space="preserve">: </w:t>
      </w:r>
      <w:r>
        <w:t>Departmental capital budget statement (for the period ended 30 June)</w:t>
      </w:r>
    </w:p>
    <w:p w:rsidR="002C761B" w:rsidRDefault="002C761B" w:rsidP="00022A1A">
      <w:pPr>
        <w:pStyle w:val="TableGraphic"/>
      </w:pPr>
      <w:r w:rsidRPr="002C761B">
        <w:rPr>
          <w:noProof/>
        </w:rPr>
        <w:drawing>
          <wp:inline distT="0" distB="0" distL="0" distR="0" wp14:anchorId="21AF586D" wp14:editId="00EB6B5E">
            <wp:extent cx="4853940" cy="1824890"/>
            <wp:effectExtent l="0" t="0" r="3810" b="444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863718" cy="1828566"/>
                    </a:xfrm>
                    <a:prstGeom prst="rect">
                      <a:avLst/>
                    </a:prstGeom>
                    <a:noFill/>
                    <a:ln>
                      <a:noFill/>
                    </a:ln>
                  </pic:spPr>
                </pic:pic>
              </a:graphicData>
            </a:graphic>
          </wp:inline>
        </w:drawing>
      </w:r>
    </w:p>
    <w:p w:rsidR="002C761B" w:rsidRPr="00022A1A" w:rsidRDefault="002C761B"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2C761B" w:rsidRPr="009C5D44" w:rsidRDefault="002C761B" w:rsidP="00022A1A">
      <w:pPr>
        <w:pStyle w:val="TableGraphic"/>
      </w:pPr>
    </w:p>
    <w:p w:rsidR="005D36C8" w:rsidRDefault="005D36C8" w:rsidP="005D36C8">
      <w:pPr>
        <w:rPr>
          <w:rFonts w:ascii="Arial" w:hAnsi="Arial" w:cs="Arial"/>
          <w:sz w:val="16"/>
          <w:szCs w:val="16"/>
        </w:rPr>
      </w:pPr>
      <w:r>
        <w:rPr>
          <w:rFonts w:ascii="Arial" w:hAnsi="Arial" w:cs="Arial"/>
          <w:sz w:val="16"/>
          <w:szCs w:val="16"/>
        </w:rPr>
        <w:br w:type="page"/>
      </w:r>
    </w:p>
    <w:p w:rsidR="005D36C8" w:rsidRDefault="005D36C8" w:rsidP="005D36C8">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p w:rsidR="0006135F" w:rsidRDefault="008A6A98" w:rsidP="00022A1A">
      <w:pPr>
        <w:pStyle w:val="TableGraphic"/>
      </w:pPr>
      <w:r w:rsidRPr="008A6A98">
        <w:rPr>
          <w:noProof/>
        </w:rPr>
        <w:drawing>
          <wp:inline distT="0" distB="0" distL="0" distR="0">
            <wp:extent cx="4511675" cy="444246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511675" cy="4442460"/>
                    </a:xfrm>
                    <a:prstGeom prst="rect">
                      <a:avLst/>
                    </a:prstGeom>
                    <a:noFill/>
                    <a:ln>
                      <a:noFill/>
                    </a:ln>
                  </pic:spPr>
                </pic:pic>
              </a:graphicData>
            </a:graphic>
          </wp:inline>
        </w:drawing>
      </w:r>
    </w:p>
    <w:p w:rsidR="0006135F" w:rsidRPr="00022A1A" w:rsidRDefault="0006135F"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06135F" w:rsidRPr="009C5D44" w:rsidRDefault="0006135F" w:rsidP="00022A1A"/>
    <w:p w:rsidR="0006135F" w:rsidRPr="009C5D44" w:rsidRDefault="0006135F" w:rsidP="00022A1A">
      <w:pPr>
        <w:pStyle w:val="TableGraphic"/>
      </w:pPr>
    </w:p>
    <w:p w:rsidR="005D36C8" w:rsidRDefault="005D36C8" w:rsidP="005D36C8">
      <w:pPr>
        <w:rPr>
          <w:rFonts w:ascii="Arial" w:hAnsi="Arial"/>
          <w:b/>
          <w:color w:val="000000"/>
          <w:lang w:val="x-none" w:eastAsia="x-none"/>
        </w:rPr>
      </w:pPr>
      <w:r>
        <w:br w:type="page"/>
      </w:r>
    </w:p>
    <w:p w:rsidR="005D36C8" w:rsidRDefault="005D36C8" w:rsidP="005D36C8">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762C3A" w:rsidRDefault="00762C3A" w:rsidP="00022A1A">
      <w:pPr>
        <w:pStyle w:val="TableGraphic"/>
      </w:pPr>
      <w:r w:rsidRPr="00762C3A">
        <w:rPr>
          <w:noProof/>
        </w:rPr>
        <w:drawing>
          <wp:inline distT="0" distB="0" distL="0" distR="0" wp14:anchorId="6CF93162" wp14:editId="517454ED">
            <wp:extent cx="4895850" cy="3310686"/>
            <wp:effectExtent l="0" t="0" r="0" b="444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895850" cy="3310686"/>
                    </a:xfrm>
                    <a:prstGeom prst="rect">
                      <a:avLst/>
                    </a:prstGeom>
                    <a:noFill/>
                    <a:ln>
                      <a:noFill/>
                    </a:ln>
                  </pic:spPr>
                </pic:pic>
              </a:graphicData>
            </a:graphic>
          </wp:inline>
        </w:drawing>
      </w:r>
    </w:p>
    <w:p w:rsidR="00762C3A" w:rsidRPr="00022A1A" w:rsidRDefault="00762C3A" w:rsidP="00090B84">
      <w:pPr>
        <w:spacing w:after="0" w:line="240" w:lineRule="auto"/>
        <w:rPr>
          <w:rFonts w:cs="Arial"/>
          <w:sz w:val="16"/>
          <w:szCs w:val="16"/>
        </w:rPr>
      </w:pPr>
      <w:r w:rsidRPr="00022A1A">
        <w:rPr>
          <w:rFonts w:ascii="Arial" w:hAnsi="Arial" w:cs="Arial"/>
          <w:sz w:val="16"/>
          <w:szCs w:val="16"/>
          <w:lang w:val="x-none" w:eastAsia="x-none"/>
        </w:rPr>
        <w:t>Prepared on Australian Accounting Standards basis.</w:t>
      </w:r>
    </w:p>
    <w:p w:rsidR="00762C3A" w:rsidRDefault="00762C3A" w:rsidP="00022A1A">
      <w:pPr>
        <w:pStyle w:val="TableGraphic"/>
      </w:pPr>
    </w:p>
    <w:p w:rsidR="00762C3A" w:rsidRPr="009C5D44" w:rsidRDefault="00762C3A" w:rsidP="00022A1A"/>
    <w:p w:rsidR="005D36C8" w:rsidRDefault="005D36C8" w:rsidP="005D36C8">
      <w:pPr>
        <w:pStyle w:val="TableHeading"/>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6C309B" w:rsidRDefault="006C309B" w:rsidP="00022A1A">
      <w:pPr>
        <w:pStyle w:val="TableGraphic"/>
      </w:pPr>
      <w:r w:rsidRPr="006C309B">
        <w:rPr>
          <w:noProof/>
        </w:rPr>
        <w:drawing>
          <wp:inline distT="0" distB="0" distL="0" distR="0" wp14:anchorId="0FADB327" wp14:editId="63436503">
            <wp:extent cx="4895850" cy="2374896"/>
            <wp:effectExtent l="0" t="0" r="0" b="698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895850" cy="2374896"/>
                    </a:xfrm>
                    <a:prstGeom prst="rect">
                      <a:avLst/>
                    </a:prstGeom>
                    <a:noFill/>
                    <a:ln>
                      <a:noFill/>
                    </a:ln>
                  </pic:spPr>
                </pic:pic>
              </a:graphicData>
            </a:graphic>
          </wp:inline>
        </w:drawing>
      </w:r>
    </w:p>
    <w:p w:rsidR="006C309B" w:rsidRPr="00B7521F" w:rsidRDefault="006C309B" w:rsidP="00090B84">
      <w:pPr>
        <w:pStyle w:val="ChartandTableFootnote"/>
      </w:pPr>
      <w:r w:rsidRPr="00B7521F">
        <w:t>Prepared on Australian Accounting Standards basis.</w:t>
      </w:r>
    </w:p>
    <w:p w:rsidR="006C309B" w:rsidRPr="009C5D44" w:rsidRDefault="006C309B" w:rsidP="00022A1A"/>
    <w:p w:rsidR="006C309B" w:rsidRPr="009C5D44" w:rsidRDefault="006C309B" w:rsidP="00022A1A">
      <w:pPr>
        <w:pStyle w:val="TableGraphic"/>
      </w:pPr>
    </w:p>
    <w:p w:rsidR="005D36C8" w:rsidRPr="00B7521F" w:rsidRDefault="005D36C8" w:rsidP="005D36C8">
      <w:pPr>
        <w:pStyle w:val="SingleParagraph"/>
        <w:spacing w:line="240" w:lineRule="auto"/>
        <w:rPr>
          <w:rFonts w:ascii="Arial" w:hAnsi="Arial" w:cs="Arial"/>
          <w:sz w:val="16"/>
          <w:szCs w:val="16"/>
        </w:rPr>
      </w:pPr>
    </w:p>
    <w:p w:rsidR="005D36C8" w:rsidRDefault="005D36C8" w:rsidP="005D36C8">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p w:rsidR="00762859" w:rsidRDefault="00FC6D32" w:rsidP="00022A1A">
      <w:pPr>
        <w:pStyle w:val="TableGraphic"/>
      </w:pPr>
      <w:r w:rsidRPr="00FC6D32">
        <w:rPr>
          <w:noProof/>
        </w:rPr>
        <w:drawing>
          <wp:inline distT="0" distB="0" distL="0" distR="0">
            <wp:extent cx="4895850" cy="345030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895850" cy="3450308"/>
                    </a:xfrm>
                    <a:prstGeom prst="rect">
                      <a:avLst/>
                    </a:prstGeom>
                    <a:noFill/>
                    <a:ln>
                      <a:noFill/>
                    </a:ln>
                  </pic:spPr>
                </pic:pic>
              </a:graphicData>
            </a:graphic>
          </wp:inline>
        </w:drawing>
      </w:r>
    </w:p>
    <w:p w:rsidR="00762859" w:rsidRPr="00711FC7" w:rsidRDefault="00762859" w:rsidP="00090B84">
      <w:pPr>
        <w:pStyle w:val="ChartandTableFootnote"/>
      </w:pPr>
      <w:r>
        <w:t>Prepared on Australian Accounting Standards basis.</w:t>
      </w:r>
    </w:p>
    <w:p w:rsidR="00762859" w:rsidRPr="009C5D44" w:rsidRDefault="00762859" w:rsidP="00022A1A"/>
    <w:p w:rsidR="00762859" w:rsidRPr="009C5D44" w:rsidRDefault="00762859" w:rsidP="00022A1A">
      <w:pPr>
        <w:pStyle w:val="TableGraphic"/>
      </w:pPr>
    </w:p>
    <w:p w:rsidR="005D36C8" w:rsidRDefault="005D36C8" w:rsidP="005D36C8">
      <w:pPr>
        <w:rPr>
          <w:rFonts w:ascii="Arial" w:hAnsi="Arial"/>
          <w:b/>
          <w:color w:val="000000"/>
          <w:lang w:val="x-none" w:eastAsia="x-none"/>
        </w:rPr>
      </w:pPr>
      <w:r>
        <w:br w:type="page"/>
      </w:r>
    </w:p>
    <w:p w:rsidR="005D36C8" w:rsidRDefault="005D36C8" w:rsidP="005D36C8">
      <w:pPr>
        <w:pStyle w:val="TableHeading"/>
      </w:pPr>
      <w:r w:rsidRPr="00D30CBA">
        <w:lastRenderedPageBreak/>
        <w:t>Table</w:t>
      </w:r>
      <w:r>
        <w:t xml:space="preserve"> 3.10</w:t>
      </w:r>
      <w:r w:rsidRPr="00D30CBA">
        <w:t xml:space="preserve">: </w:t>
      </w:r>
      <w:r>
        <w:rPr>
          <w:lang w:val="en-AU"/>
        </w:rPr>
        <w:t xml:space="preserve">Schedule of </w:t>
      </w:r>
      <w:r>
        <w:t>administered capital budget statement (for the period ended 30 June)</w:t>
      </w:r>
    </w:p>
    <w:p w:rsidR="005D36C8" w:rsidRPr="00CF0AE4" w:rsidRDefault="005D36C8" w:rsidP="005D36C8">
      <w:pPr>
        <w:pStyle w:val="TableGraphic"/>
        <w:rPr>
          <w:lang w:val="x-none" w:eastAsia="x-none"/>
        </w:rPr>
      </w:pPr>
    </w:p>
    <w:p w:rsidR="005D36C8" w:rsidRPr="00CF0AE4" w:rsidRDefault="005D36C8" w:rsidP="005D36C8">
      <w:r w:rsidRPr="00CF0AE4">
        <w:t>The FFMA has no budgeted capital administered on behalf of the Government.</w:t>
      </w:r>
    </w:p>
    <w:p w:rsidR="005D36C8" w:rsidRDefault="005D36C8" w:rsidP="005D36C8">
      <w:pPr>
        <w:pStyle w:val="TableGraphic"/>
        <w:rPr>
          <w:lang w:val="x-none" w:eastAsia="x-none"/>
        </w:rPr>
      </w:pPr>
    </w:p>
    <w:p w:rsidR="005D36C8" w:rsidRPr="00C17B32" w:rsidRDefault="005D36C8" w:rsidP="005D36C8">
      <w:pPr>
        <w:pStyle w:val="TableHeading"/>
        <w:keepNext w:val="0"/>
        <w:spacing w:after="0" w:line="260" w:lineRule="exact"/>
        <w:jc w:val="both"/>
        <w:rPr>
          <w:lang w:val="en-AU"/>
        </w:rPr>
      </w:pPr>
      <w:r>
        <w:t xml:space="preserve">Table 3.11: Statement of administered asset movements (Budget year </w:t>
      </w:r>
      <w:r>
        <w:rPr>
          <w:lang w:val="en-AU"/>
        </w:rPr>
        <w:t>2022-23</w:t>
      </w:r>
      <w:r>
        <w:t>)</w:t>
      </w:r>
    </w:p>
    <w:p w:rsidR="005D36C8" w:rsidRDefault="005D36C8" w:rsidP="005D36C8">
      <w:pPr>
        <w:rPr>
          <w:lang w:val="x-none" w:eastAsia="x-none"/>
        </w:rPr>
      </w:pPr>
    </w:p>
    <w:p w:rsidR="005D36C8" w:rsidRPr="0017549F" w:rsidRDefault="005D36C8" w:rsidP="005D36C8">
      <w:pPr>
        <w:rPr>
          <w:lang w:eastAsia="x-none"/>
        </w:rPr>
      </w:pPr>
      <w:r w:rsidRPr="00CF0AE4">
        <w:t>The FFMA has no budgeted non-financial assets administered on behalf of the Governme</w:t>
      </w:r>
      <w:r>
        <w:t>nt</w:t>
      </w:r>
    </w:p>
    <w:p w:rsidR="00771EDB" w:rsidRDefault="00771EDB" w:rsidP="000867C1">
      <w:pPr>
        <w:pStyle w:val="Source"/>
        <w:jc w:val="left"/>
        <w:rPr>
          <w:rFonts w:ascii="Book Antiqua" w:hAnsi="Book Antiqua"/>
          <w:sz w:val="20"/>
        </w:rPr>
        <w:sectPr w:rsidR="00771EDB" w:rsidSect="00BA127F">
          <w:headerReference w:type="first" r:id="rId137"/>
          <w:footerReference w:type="first" r:id="rId138"/>
          <w:pgSz w:w="11906" w:h="16838" w:code="9"/>
          <w:pgMar w:top="2835" w:right="2098" w:bottom="2466" w:left="2098" w:header="1814" w:footer="1814" w:gutter="0"/>
          <w:cols w:space="708"/>
          <w:titlePg/>
          <w:docGrid w:linePitch="360"/>
        </w:sectPr>
      </w:pPr>
      <w:bookmarkStart w:id="91" w:name="_GoBack"/>
      <w:bookmarkEnd w:id="83"/>
      <w:bookmarkEnd w:id="91"/>
    </w:p>
    <w:p w:rsidR="00771EDB" w:rsidRPr="004111A7" w:rsidRDefault="00771EDB" w:rsidP="00771EDB">
      <w:pPr>
        <w:pStyle w:val="PartHeading"/>
      </w:pPr>
      <w:r w:rsidRPr="004111A7">
        <w:lastRenderedPageBreak/>
        <w:t>Independent Parliamentary Expenses Authority</w:t>
      </w:r>
    </w:p>
    <w:p w:rsidR="00771EDB" w:rsidRPr="004111A7" w:rsidRDefault="00771EDB" w:rsidP="00771EDB">
      <w:pPr>
        <w:pStyle w:val="PartHeading"/>
      </w:pPr>
    </w:p>
    <w:p w:rsidR="00771EDB" w:rsidRPr="004111A7" w:rsidRDefault="00771EDB" w:rsidP="00771EDB">
      <w:pPr>
        <w:pStyle w:val="PartHeading"/>
      </w:pPr>
    </w:p>
    <w:p w:rsidR="00771EDB" w:rsidRPr="004111A7" w:rsidRDefault="00771EDB" w:rsidP="00771EDB">
      <w:pPr>
        <w:pStyle w:val="PartHeading-TOC"/>
      </w:pPr>
      <w:bookmarkStart w:id="92" w:name="_Toc69212632"/>
      <w:bookmarkStart w:id="93" w:name="_Toc69905684"/>
      <w:bookmarkStart w:id="94" w:name="_Toc97893022"/>
      <w:r w:rsidRPr="004111A7">
        <w:t>Entity resources and planned performance</w:t>
      </w:r>
      <w:bookmarkEnd w:id="92"/>
      <w:bookmarkEnd w:id="93"/>
      <w:bookmarkEnd w:id="94"/>
    </w:p>
    <w:p w:rsidR="00771EDB" w:rsidRPr="004111A7" w:rsidRDefault="00771EDB" w:rsidP="00771EDB">
      <w:pPr>
        <w:pStyle w:val="PartHeading"/>
        <w:sectPr w:rsidR="00771EDB" w:rsidRPr="004111A7" w:rsidSect="00BA127F">
          <w:footerReference w:type="even" r:id="rId139"/>
          <w:footerReference w:type="default" r:id="rId140"/>
          <w:headerReference w:type="first" r:id="rId141"/>
          <w:footerReference w:type="first" r:id="rId142"/>
          <w:type w:val="oddPage"/>
          <w:pgSz w:w="11906" w:h="16838" w:code="9"/>
          <w:pgMar w:top="2466" w:right="2098" w:bottom="2466" w:left="2098" w:header="1814" w:footer="1814" w:gutter="0"/>
          <w:cols w:space="708"/>
          <w:vAlign w:val="center"/>
          <w:titlePg/>
          <w:docGrid w:linePitch="360"/>
        </w:sectPr>
      </w:pPr>
    </w:p>
    <w:p w:rsidR="00771EDB" w:rsidRPr="00B87B28" w:rsidRDefault="00771EDB" w:rsidP="00771EDB">
      <w:pPr>
        <w:pStyle w:val="Heading1-NoTOC"/>
        <w:rPr>
          <w:rFonts w:ascii="Arial Bold" w:hAnsi="Arial Bold"/>
          <w:smallCaps w:val="0"/>
          <w:kern w:val="0"/>
          <w:sz w:val="36"/>
          <w:szCs w:val="36"/>
          <w:lang w:val="en-AU"/>
        </w:rPr>
      </w:pPr>
      <w:r w:rsidRPr="00B87B28">
        <w:rPr>
          <w:rFonts w:ascii="Arial Bold" w:hAnsi="Arial Bold"/>
          <w:smallCaps w:val="0"/>
          <w:kern w:val="0"/>
          <w:sz w:val="36"/>
          <w:lang w:val="en-AU"/>
        </w:rPr>
        <w:lastRenderedPageBreak/>
        <w:t xml:space="preserve">Independent Parliamentary Expenses </w:t>
      </w:r>
      <w:r w:rsidRPr="00B87B28">
        <w:rPr>
          <w:rFonts w:ascii="Arial Bold" w:hAnsi="Arial Bold"/>
          <w:smallCaps w:val="0"/>
          <w:kern w:val="0"/>
          <w:sz w:val="36"/>
          <w:szCs w:val="36"/>
          <w:lang w:val="en-AU"/>
        </w:rPr>
        <w:t>Authority</w:t>
      </w:r>
    </w:p>
    <w:p w:rsidR="00891154" w:rsidRDefault="00771EDB">
      <w:pPr>
        <w:pStyle w:val="TOC1"/>
        <w:rPr>
          <w:rFonts w:asciiTheme="minorHAnsi" w:eastAsiaTheme="minorEastAsia" w:hAnsiTheme="minorHAnsi" w:cstheme="minorBidi"/>
          <w:b w:val="0"/>
          <w:caps w:val="0"/>
          <w:noProof/>
          <w:sz w:val="22"/>
          <w:szCs w:val="22"/>
          <w:lang w:eastAsia="zh-CN"/>
        </w:rPr>
      </w:pPr>
      <w:r w:rsidRPr="004111A7">
        <w:fldChar w:fldCharType="begin"/>
      </w:r>
      <w:r w:rsidRPr="004111A7">
        <w:instrText xml:space="preserve"> TOC \h \z \t "Heading 2,1,Heading 3,2"</w:instrText>
      </w:r>
      <w:r w:rsidR="00ED61E7">
        <w:instrText xml:space="preserve"> \b ipea</w:instrText>
      </w:r>
      <w:r w:rsidRPr="004111A7">
        <w:instrText xml:space="preserve"> </w:instrText>
      </w:r>
      <w:r w:rsidRPr="004111A7">
        <w:fldChar w:fldCharType="separate"/>
      </w:r>
      <w:hyperlink w:anchor="_Toc98182103" w:history="1">
        <w:r w:rsidR="00891154" w:rsidRPr="0099347E">
          <w:rPr>
            <w:rStyle w:val="Hyperlink"/>
            <w:noProof/>
          </w:rPr>
          <w:t>Section 1: Entity overview and resources</w:t>
        </w:r>
        <w:r w:rsidR="00891154">
          <w:rPr>
            <w:noProof/>
            <w:webHidden/>
          </w:rPr>
          <w:tab/>
        </w:r>
        <w:r w:rsidR="00891154">
          <w:rPr>
            <w:noProof/>
            <w:webHidden/>
          </w:rPr>
          <w:fldChar w:fldCharType="begin"/>
        </w:r>
        <w:r w:rsidR="00891154">
          <w:rPr>
            <w:noProof/>
            <w:webHidden/>
          </w:rPr>
          <w:instrText xml:space="preserve"> PAGEREF _Toc98182103 \h </w:instrText>
        </w:r>
        <w:r w:rsidR="00891154">
          <w:rPr>
            <w:noProof/>
            <w:webHidden/>
          </w:rPr>
        </w:r>
        <w:r w:rsidR="00891154">
          <w:rPr>
            <w:noProof/>
            <w:webHidden/>
          </w:rPr>
          <w:fldChar w:fldCharType="separate"/>
        </w:r>
        <w:r w:rsidR="003B3D60">
          <w:rPr>
            <w:noProof/>
            <w:webHidden/>
          </w:rPr>
          <w:t>141</w:t>
        </w:r>
        <w:r w:rsidR="00891154">
          <w:rPr>
            <w:noProof/>
            <w:webHidden/>
          </w:rPr>
          <w:fldChar w:fldCharType="end"/>
        </w:r>
      </w:hyperlink>
    </w:p>
    <w:p w:rsidR="00891154" w:rsidRDefault="00CE4BBC">
      <w:pPr>
        <w:pStyle w:val="TOC2"/>
        <w:tabs>
          <w:tab w:val="left" w:pos="800"/>
        </w:tabs>
        <w:rPr>
          <w:rFonts w:asciiTheme="minorHAnsi" w:eastAsiaTheme="minorEastAsia" w:hAnsiTheme="minorHAnsi" w:cstheme="minorBidi"/>
          <w:noProof/>
          <w:sz w:val="22"/>
          <w:szCs w:val="22"/>
          <w:lang w:eastAsia="zh-CN"/>
        </w:rPr>
      </w:pPr>
      <w:hyperlink w:anchor="_Toc98182104" w:history="1">
        <w:r w:rsidR="00891154" w:rsidRPr="0099347E">
          <w:rPr>
            <w:rStyle w:val="Hyperlink"/>
            <w:noProof/>
          </w:rPr>
          <w:t>1.1</w:t>
        </w:r>
        <w:r w:rsidR="00891154">
          <w:rPr>
            <w:rFonts w:asciiTheme="minorHAnsi" w:eastAsiaTheme="minorEastAsia" w:hAnsiTheme="minorHAnsi" w:cstheme="minorBidi"/>
            <w:noProof/>
            <w:sz w:val="22"/>
            <w:szCs w:val="22"/>
            <w:lang w:eastAsia="zh-CN"/>
          </w:rPr>
          <w:tab/>
        </w:r>
        <w:r w:rsidR="00891154" w:rsidRPr="0099347E">
          <w:rPr>
            <w:rStyle w:val="Hyperlink"/>
            <w:noProof/>
          </w:rPr>
          <w:t>Strategic direction statement</w:t>
        </w:r>
        <w:r w:rsidR="00891154">
          <w:rPr>
            <w:noProof/>
            <w:webHidden/>
          </w:rPr>
          <w:tab/>
        </w:r>
        <w:r w:rsidR="00891154">
          <w:rPr>
            <w:noProof/>
            <w:webHidden/>
          </w:rPr>
          <w:fldChar w:fldCharType="begin"/>
        </w:r>
        <w:r w:rsidR="00891154">
          <w:rPr>
            <w:noProof/>
            <w:webHidden/>
          </w:rPr>
          <w:instrText xml:space="preserve"> PAGEREF _Toc98182104 \h </w:instrText>
        </w:r>
        <w:r w:rsidR="00891154">
          <w:rPr>
            <w:noProof/>
            <w:webHidden/>
          </w:rPr>
        </w:r>
        <w:r w:rsidR="00891154">
          <w:rPr>
            <w:noProof/>
            <w:webHidden/>
          </w:rPr>
          <w:fldChar w:fldCharType="separate"/>
        </w:r>
        <w:r w:rsidR="003B3D60">
          <w:rPr>
            <w:noProof/>
            <w:webHidden/>
          </w:rPr>
          <w:t>141</w:t>
        </w:r>
        <w:r w:rsidR="00891154">
          <w:rPr>
            <w:noProof/>
            <w:webHidden/>
          </w:rPr>
          <w:fldChar w:fldCharType="end"/>
        </w:r>
      </w:hyperlink>
    </w:p>
    <w:p w:rsidR="00891154" w:rsidRDefault="00CE4BBC">
      <w:pPr>
        <w:pStyle w:val="TOC2"/>
        <w:tabs>
          <w:tab w:val="left" w:pos="800"/>
        </w:tabs>
        <w:rPr>
          <w:rFonts w:asciiTheme="minorHAnsi" w:eastAsiaTheme="minorEastAsia" w:hAnsiTheme="minorHAnsi" w:cstheme="minorBidi"/>
          <w:noProof/>
          <w:sz w:val="22"/>
          <w:szCs w:val="22"/>
          <w:lang w:eastAsia="zh-CN"/>
        </w:rPr>
      </w:pPr>
      <w:hyperlink w:anchor="_Toc98182105" w:history="1">
        <w:r w:rsidR="00891154" w:rsidRPr="0099347E">
          <w:rPr>
            <w:rStyle w:val="Hyperlink"/>
            <w:noProof/>
          </w:rPr>
          <w:t>1.2</w:t>
        </w:r>
        <w:r w:rsidR="00891154">
          <w:rPr>
            <w:rFonts w:asciiTheme="minorHAnsi" w:eastAsiaTheme="minorEastAsia" w:hAnsiTheme="minorHAnsi" w:cstheme="minorBidi"/>
            <w:noProof/>
            <w:sz w:val="22"/>
            <w:szCs w:val="22"/>
            <w:lang w:eastAsia="zh-CN"/>
          </w:rPr>
          <w:tab/>
        </w:r>
        <w:r w:rsidR="00891154" w:rsidRPr="0099347E">
          <w:rPr>
            <w:rStyle w:val="Hyperlink"/>
            <w:noProof/>
          </w:rPr>
          <w:t>Entity resource statement</w:t>
        </w:r>
        <w:r w:rsidR="00891154">
          <w:rPr>
            <w:noProof/>
            <w:webHidden/>
          </w:rPr>
          <w:tab/>
        </w:r>
        <w:r w:rsidR="00891154">
          <w:rPr>
            <w:noProof/>
            <w:webHidden/>
          </w:rPr>
          <w:fldChar w:fldCharType="begin"/>
        </w:r>
        <w:r w:rsidR="00891154">
          <w:rPr>
            <w:noProof/>
            <w:webHidden/>
          </w:rPr>
          <w:instrText xml:space="preserve"> PAGEREF _Toc98182105 \h </w:instrText>
        </w:r>
        <w:r w:rsidR="00891154">
          <w:rPr>
            <w:noProof/>
            <w:webHidden/>
          </w:rPr>
        </w:r>
        <w:r w:rsidR="00891154">
          <w:rPr>
            <w:noProof/>
            <w:webHidden/>
          </w:rPr>
          <w:fldChar w:fldCharType="separate"/>
        </w:r>
        <w:r w:rsidR="003B3D60">
          <w:rPr>
            <w:noProof/>
            <w:webHidden/>
          </w:rPr>
          <w:t>142</w:t>
        </w:r>
        <w:r w:rsidR="00891154">
          <w:rPr>
            <w:noProof/>
            <w:webHidden/>
          </w:rPr>
          <w:fldChar w:fldCharType="end"/>
        </w:r>
      </w:hyperlink>
    </w:p>
    <w:p w:rsidR="00891154" w:rsidRDefault="00CE4BBC">
      <w:pPr>
        <w:pStyle w:val="TOC2"/>
        <w:tabs>
          <w:tab w:val="left" w:pos="800"/>
        </w:tabs>
        <w:rPr>
          <w:rFonts w:asciiTheme="minorHAnsi" w:eastAsiaTheme="minorEastAsia" w:hAnsiTheme="minorHAnsi" w:cstheme="minorBidi"/>
          <w:noProof/>
          <w:sz w:val="22"/>
          <w:szCs w:val="22"/>
          <w:lang w:eastAsia="zh-CN"/>
        </w:rPr>
      </w:pPr>
      <w:hyperlink w:anchor="_Toc98182106" w:history="1">
        <w:r w:rsidR="00891154" w:rsidRPr="0099347E">
          <w:rPr>
            <w:rStyle w:val="Hyperlink"/>
            <w:noProof/>
          </w:rPr>
          <w:t>1.3</w:t>
        </w:r>
        <w:r w:rsidR="00891154">
          <w:rPr>
            <w:rFonts w:asciiTheme="minorHAnsi" w:eastAsiaTheme="minorEastAsia" w:hAnsiTheme="minorHAnsi" w:cstheme="minorBidi"/>
            <w:noProof/>
            <w:sz w:val="22"/>
            <w:szCs w:val="22"/>
            <w:lang w:eastAsia="zh-CN"/>
          </w:rPr>
          <w:tab/>
        </w:r>
        <w:r w:rsidR="00891154" w:rsidRPr="0099347E">
          <w:rPr>
            <w:rStyle w:val="Hyperlink"/>
            <w:noProof/>
          </w:rPr>
          <w:t>Budget measures</w:t>
        </w:r>
        <w:r w:rsidR="00891154">
          <w:rPr>
            <w:noProof/>
            <w:webHidden/>
          </w:rPr>
          <w:tab/>
        </w:r>
        <w:r w:rsidR="00891154">
          <w:rPr>
            <w:noProof/>
            <w:webHidden/>
          </w:rPr>
          <w:fldChar w:fldCharType="begin"/>
        </w:r>
        <w:r w:rsidR="00891154">
          <w:rPr>
            <w:noProof/>
            <w:webHidden/>
          </w:rPr>
          <w:instrText xml:space="preserve"> PAGEREF _Toc98182106 \h </w:instrText>
        </w:r>
        <w:r w:rsidR="00891154">
          <w:rPr>
            <w:noProof/>
            <w:webHidden/>
          </w:rPr>
        </w:r>
        <w:r w:rsidR="00891154">
          <w:rPr>
            <w:noProof/>
            <w:webHidden/>
          </w:rPr>
          <w:fldChar w:fldCharType="separate"/>
        </w:r>
        <w:r w:rsidR="003B3D60">
          <w:rPr>
            <w:noProof/>
            <w:webHidden/>
          </w:rPr>
          <w:t>143</w:t>
        </w:r>
        <w:r w:rsidR="00891154">
          <w:rPr>
            <w:noProof/>
            <w:webHidden/>
          </w:rPr>
          <w:fldChar w:fldCharType="end"/>
        </w:r>
      </w:hyperlink>
    </w:p>
    <w:p w:rsidR="00891154" w:rsidRDefault="00CE4BBC">
      <w:pPr>
        <w:pStyle w:val="TOC1"/>
        <w:rPr>
          <w:rFonts w:asciiTheme="minorHAnsi" w:eastAsiaTheme="minorEastAsia" w:hAnsiTheme="minorHAnsi" w:cstheme="minorBidi"/>
          <w:b w:val="0"/>
          <w:caps w:val="0"/>
          <w:noProof/>
          <w:sz w:val="22"/>
          <w:szCs w:val="22"/>
          <w:lang w:eastAsia="zh-CN"/>
        </w:rPr>
      </w:pPr>
      <w:hyperlink w:anchor="_Toc98182107" w:history="1">
        <w:r w:rsidR="00891154" w:rsidRPr="0099347E">
          <w:rPr>
            <w:rStyle w:val="Hyperlink"/>
            <w:noProof/>
          </w:rPr>
          <w:t>Section 2: Outcomes and planned performance</w:t>
        </w:r>
        <w:r w:rsidR="00891154">
          <w:rPr>
            <w:noProof/>
            <w:webHidden/>
          </w:rPr>
          <w:tab/>
        </w:r>
        <w:r w:rsidR="00891154">
          <w:rPr>
            <w:noProof/>
            <w:webHidden/>
          </w:rPr>
          <w:fldChar w:fldCharType="begin"/>
        </w:r>
        <w:r w:rsidR="00891154">
          <w:rPr>
            <w:noProof/>
            <w:webHidden/>
          </w:rPr>
          <w:instrText xml:space="preserve"> PAGEREF _Toc98182107 \h </w:instrText>
        </w:r>
        <w:r w:rsidR="00891154">
          <w:rPr>
            <w:noProof/>
            <w:webHidden/>
          </w:rPr>
        </w:r>
        <w:r w:rsidR="00891154">
          <w:rPr>
            <w:noProof/>
            <w:webHidden/>
          </w:rPr>
          <w:fldChar w:fldCharType="separate"/>
        </w:r>
        <w:r w:rsidR="003B3D60">
          <w:rPr>
            <w:noProof/>
            <w:webHidden/>
          </w:rPr>
          <w:t>143</w:t>
        </w:r>
        <w:r w:rsidR="00891154">
          <w:rPr>
            <w:noProof/>
            <w:webHidden/>
          </w:rPr>
          <w:fldChar w:fldCharType="end"/>
        </w:r>
      </w:hyperlink>
    </w:p>
    <w:p w:rsidR="00891154" w:rsidRDefault="00CE4BBC">
      <w:pPr>
        <w:pStyle w:val="TOC2"/>
        <w:tabs>
          <w:tab w:val="left" w:pos="800"/>
        </w:tabs>
        <w:rPr>
          <w:rFonts w:asciiTheme="minorHAnsi" w:eastAsiaTheme="minorEastAsia" w:hAnsiTheme="minorHAnsi" w:cstheme="minorBidi"/>
          <w:noProof/>
          <w:sz w:val="22"/>
          <w:szCs w:val="22"/>
          <w:lang w:eastAsia="zh-CN"/>
        </w:rPr>
      </w:pPr>
      <w:hyperlink w:anchor="_Toc98182108" w:history="1">
        <w:r w:rsidR="00891154" w:rsidRPr="0099347E">
          <w:rPr>
            <w:rStyle w:val="Hyperlink"/>
            <w:noProof/>
          </w:rPr>
          <w:t xml:space="preserve">2.1 </w:t>
        </w:r>
        <w:r w:rsidR="00891154">
          <w:rPr>
            <w:rFonts w:asciiTheme="minorHAnsi" w:eastAsiaTheme="minorEastAsia" w:hAnsiTheme="minorHAnsi" w:cstheme="minorBidi"/>
            <w:noProof/>
            <w:sz w:val="22"/>
            <w:szCs w:val="22"/>
            <w:lang w:eastAsia="zh-CN"/>
          </w:rPr>
          <w:tab/>
        </w:r>
        <w:r w:rsidR="00891154" w:rsidRPr="0099347E">
          <w:rPr>
            <w:rStyle w:val="Hyperlink"/>
            <w:noProof/>
          </w:rPr>
          <w:t>Budgeted expenses and performance for Outcome 1</w:t>
        </w:r>
        <w:r w:rsidR="00891154">
          <w:rPr>
            <w:noProof/>
            <w:webHidden/>
          </w:rPr>
          <w:tab/>
        </w:r>
        <w:r w:rsidR="00891154">
          <w:rPr>
            <w:noProof/>
            <w:webHidden/>
          </w:rPr>
          <w:fldChar w:fldCharType="begin"/>
        </w:r>
        <w:r w:rsidR="00891154">
          <w:rPr>
            <w:noProof/>
            <w:webHidden/>
          </w:rPr>
          <w:instrText xml:space="preserve"> PAGEREF _Toc98182108 \h </w:instrText>
        </w:r>
        <w:r w:rsidR="00891154">
          <w:rPr>
            <w:noProof/>
            <w:webHidden/>
          </w:rPr>
        </w:r>
        <w:r w:rsidR="00891154">
          <w:rPr>
            <w:noProof/>
            <w:webHidden/>
          </w:rPr>
          <w:fldChar w:fldCharType="separate"/>
        </w:r>
        <w:r w:rsidR="003B3D60">
          <w:rPr>
            <w:noProof/>
            <w:webHidden/>
          </w:rPr>
          <w:t>144</w:t>
        </w:r>
        <w:r w:rsidR="00891154">
          <w:rPr>
            <w:noProof/>
            <w:webHidden/>
          </w:rPr>
          <w:fldChar w:fldCharType="end"/>
        </w:r>
      </w:hyperlink>
    </w:p>
    <w:p w:rsidR="00891154" w:rsidRDefault="00CE4BBC">
      <w:pPr>
        <w:pStyle w:val="TOC1"/>
        <w:rPr>
          <w:rFonts w:asciiTheme="minorHAnsi" w:eastAsiaTheme="minorEastAsia" w:hAnsiTheme="minorHAnsi" w:cstheme="minorBidi"/>
          <w:b w:val="0"/>
          <w:caps w:val="0"/>
          <w:noProof/>
          <w:sz w:val="22"/>
          <w:szCs w:val="22"/>
          <w:lang w:eastAsia="zh-CN"/>
        </w:rPr>
      </w:pPr>
      <w:hyperlink w:anchor="_Toc98182109" w:history="1">
        <w:r w:rsidR="00891154" w:rsidRPr="0099347E">
          <w:rPr>
            <w:rStyle w:val="Hyperlink"/>
            <w:noProof/>
          </w:rPr>
          <w:t>Section 3: Budgeted financial statements</w:t>
        </w:r>
        <w:r w:rsidR="00891154">
          <w:rPr>
            <w:noProof/>
            <w:webHidden/>
          </w:rPr>
          <w:tab/>
        </w:r>
        <w:r w:rsidR="00891154">
          <w:rPr>
            <w:noProof/>
            <w:webHidden/>
          </w:rPr>
          <w:fldChar w:fldCharType="begin"/>
        </w:r>
        <w:r w:rsidR="00891154">
          <w:rPr>
            <w:noProof/>
            <w:webHidden/>
          </w:rPr>
          <w:instrText xml:space="preserve"> PAGEREF _Toc98182109 \h </w:instrText>
        </w:r>
        <w:r w:rsidR="00891154">
          <w:rPr>
            <w:noProof/>
            <w:webHidden/>
          </w:rPr>
        </w:r>
        <w:r w:rsidR="00891154">
          <w:rPr>
            <w:noProof/>
            <w:webHidden/>
          </w:rPr>
          <w:fldChar w:fldCharType="separate"/>
        </w:r>
        <w:r w:rsidR="003B3D60">
          <w:rPr>
            <w:noProof/>
            <w:webHidden/>
          </w:rPr>
          <w:t>149</w:t>
        </w:r>
        <w:r w:rsidR="00891154">
          <w:rPr>
            <w:noProof/>
            <w:webHidden/>
          </w:rPr>
          <w:fldChar w:fldCharType="end"/>
        </w:r>
      </w:hyperlink>
    </w:p>
    <w:p w:rsidR="00891154" w:rsidRDefault="00CE4BBC">
      <w:pPr>
        <w:pStyle w:val="TOC2"/>
        <w:tabs>
          <w:tab w:val="left" w:pos="800"/>
        </w:tabs>
        <w:rPr>
          <w:rFonts w:asciiTheme="minorHAnsi" w:eastAsiaTheme="minorEastAsia" w:hAnsiTheme="minorHAnsi" w:cstheme="minorBidi"/>
          <w:noProof/>
          <w:sz w:val="22"/>
          <w:szCs w:val="22"/>
          <w:lang w:eastAsia="zh-CN"/>
        </w:rPr>
      </w:pPr>
      <w:hyperlink w:anchor="_Toc98182110" w:history="1">
        <w:r w:rsidR="00891154" w:rsidRPr="0099347E">
          <w:rPr>
            <w:rStyle w:val="Hyperlink"/>
            <w:noProof/>
          </w:rPr>
          <w:t>3.1</w:t>
        </w:r>
        <w:r w:rsidR="00891154">
          <w:rPr>
            <w:rFonts w:asciiTheme="minorHAnsi" w:eastAsiaTheme="minorEastAsia" w:hAnsiTheme="minorHAnsi" w:cstheme="minorBidi"/>
            <w:noProof/>
            <w:sz w:val="22"/>
            <w:szCs w:val="22"/>
            <w:lang w:eastAsia="zh-CN"/>
          </w:rPr>
          <w:tab/>
        </w:r>
        <w:r w:rsidR="00891154" w:rsidRPr="0099347E">
          <w:rPr>
            <w:rStyle w:val="Hyperlink"/>
            <w:noProof/>
          </w:rPr>
          <w:t>Budgeted financial statements</w:t>
        </w:r>
        <w:r w:rsidR="00891154">
          <w:rPr>
            <w:noProof/>
            <w:webHidden/>
          </w:rPr>
          <w:tab/>
        </w:r>
        <w:r w:rsidR="00891154">
          <w:rPr>
            <w:noProof/>
            <w:webHidden/>
          </w:rPr>
          <w:fldChar w:fldCharType="begin"/>
        </w:r>
        <w:r w:rsidR="00891154">
          <w:rPr>
            <w:noProof/>
            <w:webHidden/>
          </w:rPr>
          <w:instrText xml:space="preserve"> PAGEREF _Toc98182110 \h </w:instrText>
        </w:r>
        <w:r w:rsidR="00891154">
          <w:rPr>
            <w:noProof/>
            <w:webHidden/>
          </w:rPr>
        </w:r>
        <w:r w:rsidR="00891154">
          <w:rPr>
            <w:noProof/>
            <w:webHidden/>
          </w:rPr>
          <w:fldChar w:fldCharType="separate"/>
        </w:r>
        <w:r w:rsidR="003B3D60">
          <w:rPr>
            <w:noProof/>
            <w:webHidden/>
          </w:rPr>
          <w:t>149</w:t>
        </w:r>
        <w:r w:rsidR="00891154">
          <w:rPr>
            <w:noProof/>
            <w:webHidden/>
          </w:rPr>
          <w:fldChar w:fldCharType="end"/>
        </w:r>
      </w:hyperlink>
    </w:p>
    <w:p w:rsidR="00771EDB" w:rsidRPr="004111A7" w:rsidRDefault="00771EDB" w:rsidP="00771EDB">
      <w:pPr>
        <w:pStyle w:val="TOC1"/>
      </w:pPr>
      <w:r w:rsidRPr="004111A7">
        <w:fldChar w:fldCharType="end"/>
      </w:r>
    </w:p>
    <w:p w:rsidR="00771EDB" w:rsidRPr="004111A7" w:rsidRDefault="00771EDB" w:rsidP="00771EDB"/>
    <w:p w:rsidR="00E576C6" w:rsidRDefault="00E576C6" w:rsidP="00771EDB"/>
    <w:p w:rsidR="00E576C6" w:rsidRPr="00E576C6" w:rsidRDefault="00E576C6" w:rsidP="00E576C6"/>
    <w:p w:rsidR="00E576C6" w:rsidRPr="00E576C6" w:rsidRDefault="00E576C6" w:rsidP="00E576C6"/>
    <w:p w:rsidR="00E576C6" w:rsidRDefault="00E576C6" w:rsidP="00E576C6">
      <w:pPr>
        <w:tabs>
          <w:tab w:val="left" w:pos="6440"/>
        </w:tabs>
      </w:pPr>
      <w:r>
        <w:tab/>
      </w:r>
    </w:p>
    <w:p w:rsidR="00771EDB" w:rsidRPr="00E576C6" w:rsidRDefault="00E576C6" w:rsidP="00E576C6">
      <w:pPr>
        <w:tabs>
          <w:tab w:val="left" w:pos="6440"/>
        </w:tabs>
        <w:sectPr w:rsidR="00771EDB" w:rsidRPr="00E576C6" w:rsidSect="00BA127F">
          <w:headerReference w:type="default" r:id="rId143"/>
          <w:footerReference w:type="even" r:id="rId144"/>
          <w:footerReference w:type="default" r:id="rId145"/>
          <w:headerReference w:type="first" r:id="rId146"/>
          <w:footerReference w:type="first" r:id="rId147"/>
          <w:type w:val="oddPage"/>
          <w:pgSz w:w="11906" w:h="16838" w:code="9"/>
          <w:pgMar w:top="2466" w:right="2098" w:bottom="2466" w:left="2098" w:header="1814" w:footer="1814" w:gutter="0"/>
          <w:cols w:space="708"/>
          <w:titlePg/>
          <w:docGrid w:linePitch="360"/>
        </w:sectPr>
      </w:pPr>
      <w:r>
        <w:tab/>
      </w:r>
    </w:p>
    <w:p w:rsidR="00771EDB" w:rsidRPr="004111A7" w:rsidRDefault="00771EDB" w:rsidP="00771EDB">
      <w:pPr>
        <w:pStyle w:val="Heading1"/>
      </w:pPr>
      <w:bookmarkStart w:id="95" w:name="_Toc69905685"/>
      <w:bookmarkStart w:id="96" w:name="_Toc97893023"/>
      <w:r w:rsidRPr="004111A7">
        <w:lastRenderedPageBreak/>
        <w:t>Independent Parliamentary Expenses Authority</w:t>
      </w:r>
      <w:bookmarkEnd w:id="95"/>
      <w:bookmarkEnd w:id="96"/>
    </w:p>
    <w:p w:rsidR="00771EDB" w:rsidRPr="004111A7" w:rsidRDefault="00771EDB" w:rsidP="00771EDB">
      <w:pPr>
        <w:pStyle w:val="Heading2"/>
      </w:pPr>
      <w:bookmarkStart w:id="97" w:name="_Toc69385125"/>
      <w:bookmarkStart w:id="98" w:name="_Toc69457228"/>
      <w:bookmarkStart w:id="99" w:name="_Toc69735863"/>
      <w:bookmarkStart w:id="100" w:name="_Toc70603500"/>
      <w:bookmarkStart w:id="101" w:name="_Toc98182103"/>
      <w:bookmarkStart w:id="102" w:name="IPEA"/>
      <w:r w:rsidRPr="004111A7">
        <w:t>Section 1: Entity overview and resources</w:t>
      </w:r>
      <w:bookmarkEnd w:id="97"/>
      <w:bookmarkEnd w:id="98"/>
      <w:bookmarkEnd w:id="99"/>
      <w:bookmarkEnd w:id="100"/>
      <w:bookmarkEnd w:id="101"/>
    </w:p>
    <w:p w:rsidR="00771EDB" w:rsidRPr="004111A7" w:rsidRDefault="00771EDB" w:rsidP="00771EDB">
      <w:pPr>
        <w:pStyle w:val="Heading3"/>
      </w:pPr>
      <w:bookmarkStart w:id="103" w:name="_Toc69385052"/>
      <w:bookmarkStart w:id="104" w:name="_Toc69385126"/>
      <w:bookmarkStart w:id="105" w:name="_Toc69457229"/>
      <w:bookmarkStart w:id="106" w:name="_Toc69735864"/>
      <w:bookmarkStart w:id="107" w:name="_Toc70603501"/>
      <w:bookmarkStart w:id="108" w:name="_Toc98182104"/>
      <w:r w:rsidRPr="004111A7">
        <w:t>1.1</w:t>
      </w:r>
      <w:r w:rsidRPr="004111A7">
        <w:tab/>
        <w:t>Strategic direction statement</w:t>
      </w:r>
      <w:bookmarkEnd w:id="103"/>
      <w:bookmarkEnd w:id="104"/>
      <w:bookmarkEnd w:id="105"/>
      <w:bookmarkEnd w:id="106"/>
      <w:bookmarkEnd w:id="107"/>
      <w:bookmarkEnd w:id="108"/>
    </w:p>
    <w:p w:rsidR="00771EDB" w:rsidRPr="004111A7" w:rsidRDefault="00771EDB" w:rsidP="006667D5">
      <w:pPr>
        <w:pStyle w:val="Exampletext"/>
        <w:spacing w:line="240" w:lineRule="exact"/>
        <w:rPr>
          <w:i w:val="0"/>
          <w:color w:val="auto"/>
        </w:rPr>
      </w:pPr>
      <w:r w:rsidRPr="004111A7">
        <w:rPr>
          <w:i w:val="0"/>
          <w:color w:val="auto"/>
        </w:rPr>
        <w:t xml:space="preserve">The Independent Parliamentary Expenses Authority (IPEA) was established by the </w:t>
      </w:r>
      <w:r w:rsidRPr="004111A7">
        <w:rPr>
          <w:color w:val="auto"/>
        </w:rPr>
        <w:t xml:space="preserve">Independent Parliamentary Expenses Authority Act 2017 </w:t>
      </w:r>
      <w:r w:rsidRPr="004111A7">
        <w:rPr>
          <w:i w:val="0"/>
          <w:color w:val="auto"/>
        </w:rPr>
        <w:t xml:space="preserve">(IPEA Act). </w:t>
      </w:r>
    </w:p>
    <w:p w:rsidR="00771EDB" w:rsidRPr="004111A7" w:rsidRDefault="00771EDB" w:rsidP="006667D5">
      <w:pPr>
        <w:autoSpaceDE w:val="0"/>
        <w:autoSpaceDN w:val="0"/>
        <w:adjustRightInd w:val="0"/>
        <w:spacing w:line="240" w:lineRule="exact"/>
        <w:rPr>
          <w:lang w:val="x-none" w:eastAsia="x-none"/>
        </w:rPr>
      </w:pPr>
      <w:r w:rsidRPr="004111A7">
        <w:rPr>
          <w:lang w:val="x-none" w:eastAsia="x-none"/>
        </w:rPr>
        <w:t xml:space="preserve">As an organisation, IPEA strives to deliver its primary functions as established by the IPEA Act, which relate to advice, reporting and audit. These functions include: </w:t>
      </w:r>
    </w:p>
    <w:p w:rsidR="006667D5"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providing personal advice to</w:t>
      </w:r>
      <w:r w:rsidRPr="006667D5">
        <w:rPr>
          <w:lang w:eastAsia="x-none"/>
        </w:rPr>
        <w:t xml:space="preserve"> </w:t>
      </w:r>
      <w:r w:rsidRPr="006667D5">
        <w:rPr>
          <w:lang w:val="x-none" w:eastAsia="x-none"/>
        </w:rPr>
        <w:t xml:space="preserve">members of parliament </w:t>
      </w:r>
      <w:r w:rsidRPr="006667D5">
        <w:rPr>
          <w:lang w:eastAsia="x-none"/>
        </w:rPr>
        <w:t>(</w:t>
      </w:r>
      <w:r w:rsidRPr="006667D5">
        <w:rPr>
          <w:lang w:val="x-none" w:eastAsia="x-none"/>
        </w:rPr>
        <w:t>parliamentarians</w:t>
      </w:r>
      <w:r w:rsidRPr="006667D5">
        <w:rPr>
          <w:lang w:eastAsia="x-none"/>
        </w:rPr>
        <w:t>)</w:t>
      </w:r>
      <w:r w:rsidRPr="006667D5">
        <w:rPr>
          <w:lang w:val="x-none" w:eastAsia="x-none"/>
        </w:rPr>
        <w:t xml:space="preserve"> and persons employed under the </w:t>
      </w:r>
      <w:r w:rsidRPr="006667D5">
        <w:rPr>
          <w:i/>
          <w:lang w:val="x-none" w:eastAsia="x-none"/>
        </w:rPr>
        <w:t>Members of Parliament (Staff) Act 1984</w:t>
      </w:r>
      <w:r w:rsidRPr="006667D5">
        <w:rPr>
          <w:lang w:val="x-none" w:eastAsia="x-none"/>
        </w:rPr>
        <w:t xml:space="preserve"> </w:t>
      </w:r>
      <w:r w:rsidRPr="006667D5">
        <w:rPr>
          <w:lang w:eastAsia="x-none"/>
        </w:rPr>
        <w:t>(</w:t>
      </w:r>
      <w:r w:rsidRPr="006667D5">
        <w:rPr>
          <w:lang w:val="x-none" w:eastAsia="x-none"/>
        </w:rPr>
        <w:t>MOP(S) staff</w:t>
      </w:r>
      <w:r w:rsidRPr="006667D5">
        <w:rPr>
          <w:lang w:eastAsia="x-none"/>
        </w:rPr>
        <w:t>)</w:t>
      </w:r>
      <w:r w:rsidRPr="006667D5">
        <w:rPr>
          <w:lang w:val="x-none" w:eastAsia="x-none"/>
        </w:rPr>
        <w:t xml:space="preserve"> on travel expenses, allowances, and related expenses</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monitoring parliamentarians and MOP(S) staff regarding travel expenses, allowances, and related expenses</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administering travel expenses, allowances, and related expenses, including processing of these claims</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 xml:space="preserve">publicly reporting on work expenses under the applicable framework </w:t>
      </w:r>
    </w:p>
    <w:p w:rsidR="00771EDB" w:rsidRPr="006667D5" w:rsidRDefault="00771EDB" w:rsidP="00DA1F4B">
      <w:pPr>
        <w:numPr>
          <w:ilvl w:val="0"/>
          <w:numId w:val="28"/>
        </w:numPr>
        <w:autoSpaceDE w:val="0"/>
        <w:autoSpaceDN w:val="0"/>
        <w:spacing w:after="200" w:line="240" w:lineRule="auto"/>
        <w:ind w:left="567"/>
        <w:contextualSpacing/>
        <w:rPr>
          <w:lang w:val="x-none" w:eastAsia="x-none"/>
        </w:rPr>
      </w:pPr>
      <w:r w:rsidRPr="006667D5">
        <w:rPr>
          <w:lang w:val="x-none" w:eastAsia="x-none"/>
        </w:rPr>
        <w:t>auditing work expense claims.</w:t>
      </w:r>
    </w:p>
    <w:p w:rsidR="00771EDB" w:rsidRPr="004111A7" w:rsidRDefault="00771EDB" w:rsidP="004E0294">
      <w:pPr>
        <w:autoSpaceDE w:val="0"/>
        <w:autoSpaceDN w:val="0"/>
        <w:adjustRightInd w:val="0"/>
        <w:spacing w:after="100" w:line="181" w:lineRule="atLeast"/>
        <w:rPr>
          <w:lang w:val="x-none" w:eastAsia="x-none"/>
        </w:rPr>
      </w:pPr>
    </w:p>
    <w:p w:rsidR="00771EDB" w:rsidRPr="004111A7" w:rsidRDefault="00771EDB" w:rsidP="004E0294">
      <w:pPr>
        <w:autoSpaceDE w:val="0"/>
        <w:autoSpaceDN w:val="0"/>
        <w:adjustRightInd w:val="0"/>
        <w:spacing w:after="100" w:line="181" w:lineRule="atLeast"/>
        <w:rPr>
          <w:lang w:val="x-none" w:eastAsia="x-none"/>
        </w:rPr>
      </w:pPr>
      <w:r w:rsidRPr="004111A7">
        <w:rPr>
          <w:lang w:val="x-none" w:eastAsia="x-none"/>
        </w:rPr>
        <w:t xml:space="preserve">Consistent with its primary functions, IPEA’s activities seek to provide: </w:t>
      </w:r>
    </w:p>
    <w:p w:rsidR="00771EDB" w:rsidRPr="004111A7" w:rsidRDefault="00771EDB" w:rsidP="00DA1F4B">
      <w:pPr>
        <w:numPr>
          <w:ilvl w:val="0"/>
          <w:numId w:val="28"/>
        </w:numPr>
        <w:autoSpaceDE w:val="0"/>
        <w:autoSpaceDN w:val="0"/>
        <w:spacing w:after="200" w:line="240" w:lineRule="auto"/>
        <w:ind w:left="567"/>
        <w:contextualSpacing/>
        <w:rPr>
          <w:lang w:val="x-none" w:eastAsia="x-none"/>
        </w:rPr>
      </w:pPr>
      <w:r w:rsidRPr="004111A7">
        <w:rPr>
          <w:lang w:val="x-none" w:eastAsia="x-none"/>
        </w:rPr>
        <w:t xml:space="preserve">clear advice to parliamentarians and MOP(S) staff on travel and work related expenses to help support them in their respective roles </w:t>
      </w:r>
    </w:p>
    <w:p w:rsidR="00771EDB" w:rsidRPr="004111A7" w:rsidRDefault="00771EDB" w:rsidP="00DA1F4B">
      <w:pPr>
        <w:numPr>
          <w:ilvl w:val="0"/>
          <w:numId w:val="29"/>
        </w:numPr>
        <w:autoSpaceDE w:val="0"/>
        <w:autoSpaceDN w:val="0"/>
        <w:adjustRightInd w:val="0"/>
        <w:spacing w:after="200" w:line="240" w:lineRule="auto"/>
        <w:ind w:left="567" w:hanging="357"/>
        <w:rPr>
          <w:lang w:val="x-none" w:eastAsia="x-none"/>
        </w:rPr>
      </w:pPr>
      <w:r w:rsidRPr="004111A7">
        <w:rPr>
          <w:lang w:val="x-none" w:eastAsia="x-none"/>
        </w:rPr>
        <w:t>independent oversight of the work expenses accessed by current and former parliamentarians and MOP(S) staff through IPEA’s reporting</w:t>
      </w:r>
      <w:r w:rsidRPr="004111A7">
        <w:rPr>
          <w:lang w:eastAsia="x-none"/>
        </w:rPr>
        <w:t xml:space="preserve"> and auditing</w:t>
      </w:r>
      <w:r w:rsidRPr="004111A7">
        <w:rPr>
          <w:lang w:val="x-none" w:eastAsia="x-none"/>
        </w:rPr>
        <w:t xml:space="preserve"> activities. </w:t>
      </w:r>
    </w:p>
    <w:p w:rsidR="00771EDB" w:rsidRPr="004111A7" w:rsidRDefault="00771EDB" w:rsidP="006667D5">
      <w:pPr>
        <w:spacing w:after="200" w:line="240" w:lineRule="auto"/>
        <w:ind w:left="567" w:hanging="357"/>
        <w:rPr>
          <w:rFonts w:ascii="Arial Bold" w:hAnsi="Arial Bold"/>
          <w:b/>
          <w:sz w:val="22"/>
        </w:rPr>
      </w:pPr>
      <w:r w:rsidRPr="004111A7">
        <w:br w:type="page"/>
      </w:r>
    </w:p>
    <w:p w:rsidR="00771EDB" w:rsidRPr="004111A7" w:rsidRDefault="00771EDB" w:rsidP="00771EDB">
      <w:pPr>
        <w:pStyle w:val="Heading3"/>
      </w:pPr>
      <w:bookmarkStart w:id="109" w:name="_Toc69385053"/>
      <w:bookmarkStart w:id="110" w:name="_Toc69385127"/>
      <w:bookmarkStart w:id="111" w:name="_Toc69457230"/>
      <w:bookmarkStart w:id="112" w:name="_Toc69735865"/>
      <w:bookmarkStart w:id="113" w:name="_Toc70603502"/>
      <w:bookmarkStart w:id="114" w:name="_Toc98182105"/>
      <w:r w:rsidRPr="004111A7">
        <w:lastRenderedPageBreak/>
        <w:t>1.2</w:t>
      </w:r>
      <w:r w:rsidRPr="004111A7">
        <w:tab/>
        <w:t>Entity resource statement</w:t>
      </w:r>
      <w:bookmarkEnd w:id="109"/>
      <w:bookmarkEnd w:id="110"/>
      <w:bookmarkEnd w:id="111"/>
      <w:bookmarkEnd w:id="112"/>
      <w:bookmarkEnd w:id="113"/>
      <w:bookmarkEnd w:id="114"/>
    </w:p>
    <w:p w:rsidR="00771EDB" w:rsidRPr="004111A7" w:rsidRDefault="00771EDB" w:rsidP="00771EDB">
      <w:r w:rsidRPr="004111A7">
        <w:t>Table 1.1 shows the total funding from all sources available to the entity for its operations and to deliver programs and services on behalf of the Government.</w:t>
      </w:r>
    </w:p>
    <w:p w:rsidR="00771EDB" w:rsidRPr="004111A7" w:rsidRDefault="00771EDB" w:rsidP="00771EDB">
      <w:r w:rsidRPr="004111A7">
        <w:t>The table summarises how resources will be applied by outcome (government strategic policy objectives) and by administered (on behalf of the Government or the public) and departmental (for the entity’s operations) classification.</w:t>
      </w:r>
    </w:p>
    <w:p w:rsidR="00771EDB" w:rsidRPr="004111A7" w:rsidRDefault="00771EDB" w:rsidP="00771EDB">
      <w:r w:rsidRPr="004111A7">
        <w:t xml:space="preserve">For more detailed information on special accounts and special appropriations, please refer to </w:t>
      </w:r>
      <w:r w:rsidRPr="004111A7">
        <w:rPr>
          <w:i/>
        </w:rPr>
        <w:t>Budget Paper No. 4 – Agency Resourcing</w:t>
      </w:r>
      <w:r w:rsidRPr="004111A7">
        <w:t>.</w:t>
      </w:r>
    </w:p>
    <w:p w:rsidR="00771EDB" w:rsidRDefault="00771EDB" w:rsidP="00771EDB">
      <w:r w:rsidRPr="004111A7">
        <w:t>Information in this table is presented on a resourcing (that is, appropriations/cash available) basis, whilst the ‘Budgeted expenses by Outcome’ tables in Section 2 and the financial statements in Section 3 are presented on an accrual basis.</w:t>
      </w:r>
    </w:p>
    <w:p w:rsidR="00771EDB" w:rsidRPr="004111A7" w:rsidRDefault="00771EDB" w:rsidP="00771EDB">
      <w:pPr>
        <w:pStyle w:val="TableHeading"/>
        <w:rPr>
          <w:b w:val="0"/>
          <w:lang w:val="en-AU"/>
        </w:rPr>
      </w:pPr>
      <w:r w:rsidRPr="004111A7">
        <w:t xml:space="preserve">Table 1.1: </w:t>
      </w:r>
      <w:r w:rsidRPr="004111A7">
        <w:rPr>
          <w:lang w:val="en-AU"/>
        </w:rPr>
        <w:t>Independent Parliamentary Expenses Authority</w:t>
      </w:r>
      <w:r w:rsidRPr="004111A7">
        <w:t xml:space="preserve"> resource statement — Budget estimates for </w:t>
      </w:r>
      <w:r w:rsidRPr="004111A7">
        <w:rPr>
          <w:lang w:val="en-AU"/>
        </w:rPr>
        <w:t>202</w:t>
      </w:r>
      <w:r>
        <w:rPr>
          <w:lang w:val="en-AU"/>
        </w:rPr>
        <w:t>2</w:t>
      </w:r>
      <w:r w:rsidRPr="004111A7">
        <w:rPr>
          <w:lang w:val="en-AU"/>
        </w:rPr>
        <w:t>-2</w:t>
      </w:r>
      <w:r>
        <w:rPr>
          <w:lang w:val="en-AU"/>
        </w:rPr>
        <w:t>3</w:t>
      </w:r>
      <w:r w:rsidRPr="004111A7">
        <w:t xml:space="preserve"> as at Budget </w:t>
      </w:r>
      <w:r>
        <w:rPr>
          <w:lang w:val="en-AU"/>
        </w:rPr>
        <w:t>March</w:t>
      </w:r>
      <w:r w:rsidRPr="004111A7">
        <w:t xml:space="preserve"> </w:t>
      </w:r>
      <w:r w:rsidRPr="004111A7">
        <w:rPr>
          <w:lang w:val="en-AU"/>
        </w:rPr>
        <w:t>202</w:t>
      </w:r>
      <w:r>
        <w:rPr>
          <w:lang w:val="en-AU"/>
        </w:rPr>
        <w:t>2</w:t>
      </w:r>
    </w:p>
    <w:p w:rsidR="00771EDB" w:rsidRDefault="00771EDB" w:rsidP="00771EDB">
      <w:pPr>
        <w:pStyle w:val="ChartandTableFootnote"/>
        <w:rPr>
          <w:noProof/>
          <w:lang w:val="en-AU" w:eastAsia="en-AU"/>
        </w:rPr>
      </w:pPr>
      <w:r w:rsidRPr="00831725">
        <w:rPr>
          <w:noProof/>
          <w:lang w:val="en-AU" w:eastAsia="en-AU"/>
        </w:rPr>
        <w:drawing>
          <wp:inline distT="0" distB="0" distL="0" distR="0" wp14:anchorId="760BA37B" wp14:editId="378B8FB5">
            <wp:extent cx="4895850" cy="31527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895850" cy="3152775"/>
                    </a:xfrm>
                    <a:prstGeom prst="rect">
                      <a:avLst/>
                    </a:prstGeom>
                    <a:noFill/>
                    <a:ln>
                      <a:noFill/>
                    </a:ln>
                  </pic:spPr>
                </pic:pic>
              </a:graphicData>
            </a:graphic>
          </wp:inline>
        </w:drawing>
      </w:r>
    </w:p>
    <w:p w:rsidR="00B01553" w:rsidRPr="004111A7" w:rsidRDefault="00B01553" w:rsidP="00B81BF7">
      <w:pPr>
        <w:pStyle w:val="ChartandTableFootnote"/>
      </w:pPr>
      <w:r w:rsidRPr="004111A7">
        <w:t>All figures shown above are GST exclusive - these may not match figures in the cash flow statement.</w:t>
      </w:r>
    </w:p>
    <w:p w:rsidR="00B01553" w:rsidRPr="004111A7" w:rsidRDefault="00B01553" w:rsidP="00B81BF7">
      <w:pPr>
        <w:pStyle w:val="ChartandTableFootnote"/>
      </w:pPr>
      <w:r w:rsidRPr="004111A7">
        <w:t>Prepared on a resourcing (</w:t>
      </w:r>
      <w:r w:rsidRPr="004111A7">
        <w:rPr>
          <w:lang w:val="en-AU"/>
        </w:rPr>
        <w:t>that is,</w:t>
      </w:r>
      <w:r w:rsidRPr="004111A7">
        <w:t xml:space="preserve"> appropriations available) basis.</w:t>
      </w:r>
    </w:p>
    <w:p w:rsidR="00B01553" w:rsidRPr="004111A7" w:rsidRDefault="00B01553" w:rsidP="00DA1F4B">
      <w:pPr>
        <w:pStyle w:val="ChartandTableFootnoteAlpha"/>
        <w:numPr>
          <w:ilvl w:val="0"/>
          <w:numId w:val="55"/>
        </w:numPr>
      </w:pPr>
      <w:r w:rsidRPr="004111A7">
        <w:t>Appropriation Bill (No. 1) 202</w:t>
      </w:r>
      <w:r>
        <w:t>2</w:t>
      </w:r>
      <w:r w:rsidRPr="004111A7">
        <w:t>-2</w:t>
      </w:r>
      <w:r>
        <w:t>3</w:t>
      </w:r>
      <w:r w:rsidRPr="004111A7">
        <w:t>.</w:t>
      </w:r>
    </w:p>
    <w:p w:rsidR="00B01553" w:rsidRPr="006C7582" w:rsidRDefault="00B01553" w:rsidP="00DA1F4B">
      <w:pPr>
        <w:pStyle w:val="ChartandTableFootnoteAlpha"/>
        <w:numPr>
          <w:ilvl w:val="0"/>
          <w:numId w:val="55"/>
        </w:numPr>
        <w:rPr>
          <w:color w:val="000000"/>
        </w:rPr>
      </w:pPr>
      <w:r w:rsidRPr="006C7582">
        <w:rPr>
          <w:color w:val="000000"/>
        </w:rPr>
        <w:t xml:space="preserve">Excludes $1.3m in 2021-22 subject to administrative quarantine by Finance or withheld under section 51 of the </w:t>
      </w:r>
      <w:r w:rsidRPr="006C7582">
        <w:rPr>
          <w:i/>
          <w:color w:val="000000"/>
        </w:rPr>
        <w:t>Public Governance, Performance and Accountability Act 2013 (PGPA Act)</w:t>
      </w:r>
      <w:r w:rsidRPr="006C7582">
        <w:rPr>
          <w:color w:val="000000"/>
        </w:rPr>
        <w:t>.</w:t>
      </w:r>
    </w:p>
    <w:p w:rsidR="00B01553" w:rsidRDefault="00B01553" w:rsidP="00DA1F4B">
      <w:pPr>
        <w:pStyle w:val="ChartandTableFootnoteAlpha"/>
        <w:numPr>
          <w:ilvl w:val="0"/>
          <w:numId w:val="55"/>
        </w:numPr>
      </w:pPr>
      <w:r w:rsidRPr="006C7582">
        <w:t>Excludes departmental capital budget (DCB).</w:t>
      </w:r>
    </w:p>
    <w:p w:rsidR="00252A74" w:rsidRPr="00252A74" w:rsidRDefault="00252A74"/>
    <w:p w:rsidR="00771EDB" w:rsidRPr="004111A7" w:rsidRDefault="00771EDB" w:rsidP="00771EDB">
      <w:pPr>
        <w:pStyle w:val="Heading3"/>
        <w:spacing w:before="0"/>
      </w:pPr>
      <w:bookmarkStart w:id="115" w:name="_Toc69385054"/>
      <w:bookmarkStart w:id="116" w:name="_Toc69385128"/>
      <w:bookmarkStart w:id="117" w:name="_Toc69457231"/>
      <w:bookmarkStart w:id="118" w:name="_Toc69735866"/>
      <w:bookmarkStart w:id="119" w:name="_Toc70603503"/>
      <w:bookmarkStart w:id="120" w:name="_Toc98182106"/>
      <w:r w:rsidRPr="004111A7">
        <w:lastRenderedPageBreak/>
        <w:t>1.3</w:t>
      </w:r>
      <w:r w:rsidRPr="004111A7">
        <w:tab/>
        <w:t>Budget measures</w:t>
      </w:r>
      <w:bookmarkEnd w:id="115"/>
      <w:bookmarkEnd w:id="116"/>
      <w:bookmarkEnd w:id="117"/>
      <w:bookmarkEnd w:id="118"/>
      <w:bookmarkEnd w:id="119"/>
      <w:bookmarkEnd w:id="120"/>
    </w:p>
    <w:p w:rsidR="00771EDB" w:rsidRPr="004111A7" w:rsidRDefault="00771EDB" w:rsidP="00771EDB">
      <w:r w:rsidRPr="004111A7">
        <w:t>No Budget measures have been announced since the 202</w:t>
      </w:r>
      <w:r>
        <w:t>1-22</w:t>
      </w:r>
      <w:r w:rsidRPr="004111A7">
        <w:t xml:space="preserve"> Mid-Year Economic and Fiscal Outlook (MYEFO) that impact IPEA.</w:t>
      </w:r>
    </w:p>
    <w:p w:rsidR="00771EDB" w:rsidRPr="004111A7" w:rsidRDefault="00771EDB" w:rsidP="00771EDB"/>
    <w:p w:rsidR="00771EDB" w:rsidRPr="004111A7" w:rsidRDefault="00771EDB" w:rsidP="00771EDB">
      <w:pPr>
        <w:pStyle w:val="Heading2"/>
      </w:pPr>
      <w:bookmarkStart w:id="121" w:name="_Toc69385055"/>
      <w:bookmarkStart w:id="122" w:name="_Toc69385129"/>
      <w:bookmarkStart w:id="123" w:name="_Toc69457232"/>
      <w:bookmarkStart w:id="124" w:name="_Toc69735867"/>
      <w:bookmarkStart w:id="125" w:name="_Toc70603504"/>
      <w:bookmarkStart w:id="126" w:name="_Toc98182107"/>
      <w:r w:rsidRPr="004111A7">
        <w:t>Section 2: Outcomes and planned performance</w:t>
      </w:r>
      <w:bookmarkEnd w:id="121"/>
      <w:bookmarkEnd w:id="122"/>
      <w:bookmarkEnd w:id="123"/>
      <w:bookmarkEnd w:id="124"/>
      <w:bookmarkEnd w:id="125"/>
      <w:bookmarkEnd w:id="126"/>
    </w:p>
    <w:p w:rsidR="00771EDB" w:rsidRPr="004111A7" w:rsidRDefault="00771EDB" w:rsidP="00771EDB">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771EDB" w:rsidRPr="00B9672A" w:rsidRDefault="00771EDB" w:rsidP="00771EDB">
      <w:pPr>
        <w:rPr>
          <w:i/>
        </w:rPr>
      </w:pPr>
      <w:r w:rsidRPr="004111A7">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71EDB" w:rsidRPr="004111A7" w:rsidTr="00771EDB">
        <w:tc>
          <w:tcPr>
            <w:tcW w:w="7700" w:type="dxa"/>
          </w:tcPr>
          <w:p w:rsidR="00771EDB" w:rsidRPr="004111A7" w:rsidRDefault="00771EDB" w:rsidP="00771EDB">
            <w:pPr>
              <w:spacing w:before="120" w:after="120" w:line="240" w:lineRule="auto"/>
              <w:rPr>
                <w:b/>
              </w:rPr>
            </w:pPr>
            <w:r w:rsidRPr="004111A7">
              <w:rPr>
                <w:b/>
              </w:rPr>
              <w:t>Note:</w:t>
            </w:r>
          </w:p>
          <w:p w:rsidR="00771EDB" w:rsidRPr="004111A7" w:rsidRDefault="00771EDB" w:rsidP="00771EDB">
            <w:r w:rsidRPr="004111A7">
              <w:t>Performance reporting requirements in the Portfolio Budget Statements are part of the Commonwealth performance fra</w:t>
            </w:r>
            <w:r w:rsidR="00745217">
              <w:t xml:space="preserve">mework established by the PGPA Act. </w:t>
            </w:r>
            <w:r w:rsidRPr="004111A7">
              <w:t>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rsidR="00771EDB" w:rsidRPr="004111A7" w:rsidRDefault="00771EDB" w:rsidP="00771EDB">
            <w:r w:rsidRPr="004111A7">
              <w:t xml:space="preserve">The most recent corporate plan for Independent Parliamentary Expenses Authority can be found at: </w:t>
            </w:r>
            <w:hyperlink r:id="rId149" w:history="1">
              <w:r w:rsidRPr="004111A7">
                <w:rPr>
                  <w:rStyle w:val="Hyperlink"/>
                  <w:u w:val="single"/>
                </w:rPr>
                <w:t>https://www.ipea.gov.au/home/publications-fact-sheets</w:t>
              </w:r>
            </w:hyperlink>
            <w:r w:rsidRPr="004111A7">
              <w:t>.</w:t>
            </w:r>
          </w:p>
          <w:p w:rsidR="00771EDB" w:rsidRPr="004111A7" w:rsidRDefault="00771EDB" w:rsidP="00771EDB">
            <w:r w:rsidRPr="004111A7">
              <w:t xml:space="preserve">The most recent annual performance statement can be found at: </w:t>
            </w:r>
            <w:hyperlink r:id="rId150" w:history="1">
              <w:r w:rsidRPr="004111A7">
                <w:rPr>
                  <w:rStyle w:val="Hyperlink"/>
                  <w:u w:val="single"/>
                </w:rPr>
                <w:t>https://www.ipea.gov.au/home/publications-fact-sheets</w:t>
              </w:r>
            </w:hyperlink>
            <w:r w:rsidRPr="004111A7">
              <w:t>.</w:t>
            </w:r>
          </w:p>
        </w:tc>
      </w:tr>
    </w:tbl>
    <w:p w:rsidR="00771EDB" w:rsidRPr="004111A7" w:rsidRDefault="00771EDB" w:rsidP="00771EDB">
      <w:r w:rsidRPr="004111A7">
        <w:br w:type="page"/>
      </w:r>
    </w:p>
    <w:p w:rsidR="00771EDB" w:rsidRPr="004111A7" w:rsidRDefault="00771EDB" w:rsidP="00771EDB">
      <w:pPr>
        <w:pStyle w:val="Heading3"/>
      </w:pPr>
      <w:bookmarkStart w:id="127" w:name="_Toc69385056"/>
      <w:bookmarkStart w:id="128" w:name="_Toc69385130"/>
      <w:bookmarkStart w:id="129" w:name="_Toc69457233"/>
      <w:bookmarkStart w:id="130" w:name="_Toc69735868"/>
      <w:bookmarkStart w:id="131" w:name="_Toc70603505"/>
      <w:bookmarkStart w:id="132" w:name="_Toc98182108"/>
      <w:r w:rsidRPr="004111A7">
        <w:lastRenderedPageBreak/>
        <w:t xml:space="preserve">2.1 </w:t>
      </w:r>
      <w:r w:rsidRPr="004111A7">
        <w:tab/>
        <w:t>Budgeted expenses and performance for Outcome 1</w:t>
      </w:r>
      <w:bookmarkEnd w:id="127"/>
      <w:bookmarkEnd w:id="128"/>
      <w:bookmarkEnd w:id="129"/>
      <w:bookmarkEnd w:id="130"/>
      <w:bookmarkEnd w:id="131"/>
      <w:bookmarkEnd w:id="13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71EDB" w:rsidRPr="004111A7" w:rsidTr="00771EDB">
        <w:tc>
          <w:tcPr>
            <w:tcW w:w="7704" w:type="dxa"/>
            <w:shd w:val="clear" w:color="auto" w:fill="E6E6E6"/>
          </w:tcPr>
          <w:p w:rsidR="00771EDB" w:rsidRPr="00745217" w:rsidRDefault="00771EDB" w:rsidP="00771EDB">
            <w:pPr>
              <w:pStyle w:val="TableColumnHeadingLeft"/>
            </w:pPr>
            <w:r w:rsidRPr="00745217">
              <w:t xml:space="preserve">Outcome 1: </w:t>
            </w:r>
            <w:r w:rsidRPr="00745217">
              <w:rPr>
                <w:rFonts w:cs="Arial"/>
              </w:rPr>
              <w:t>Support for current and former parliamentarians and others as required by the Australian Government through the delivery of, independent oversight and advice on, work resources and travel resources.</w:t>
            </w:r>
          </w:p>
        </w:tc>
      </w:tr>
    </w:tbl>
    <w:p w:rsidR="00771EDB" w:rsidRPr="004111A7" w:rsidRDefault="00771EDB" w:rsidP="00771EDB">
      <w:pPr>
        <w:pStyle w:val="NoSpacing"/>
      </w:pPr>
    </w:p>
    <w:p w:rsidR="00771EDB" w:rsidRPr="004111A7" w:rsidRDefault="00771EDB" w:rsidP="00771EDB">
      <w:pPr>
        <w:pStyle w:val="Heading4"/>
      </w:pPr>
      <w:r w:rsidRPr="004111A7">
        <w:t xml:space="preserve">Linked programs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771EDB" w:rsidRPr="004111A7" w:rsidTr="00771EDB">
        <w:trPr>
          <w:trHeight w:val="113"/>
          <w:tblHeader/>
        </w:trPr>
        <w:tc>
          <w:tcPr>
            <w:tcW w:w="7700" w:type="dxa"/>
            <w:tcBorders>
              <w:bottom w:val="dotted" w:sz="4" w:space="0" w:color="auto"/>
            </w:tcBorders>
          </w:tcPr>
          <w:p w:rsidR="00771EDB" w:rsidRPr="00B87B28" w:rsidRDefault="00771EDB" w:rsidP="00771EDB">
            <w:pPr>
              <w:pStyle w:val="ExampleText0"/>
              <w:spacing w:before="60" w:after="60" w:line="240" w:lineRule="auto"/>
              <w:rPr>
                <w:color w:val="auto"/>
              </w:rPr>
            </w:pPr>
            <w:r w:rsidRPr="00B87B28">
              <w:rPr>
                <w:rStyle w:val="ExampletextCharChar"/>
                <w:b/>
                <w:color w:val="auto"/>
              </w:rPr>
              <w:t>Department of Finance</w:t>
            </w:r>
          </w:p>
        </w:tc>
      </w:tr>
      <w:tr w:rsidR="00771EDB" w:rsidRPr="004111A7" w:rsidTr="00771EDB">
        <w:trPr>
          <w:trHeight w:val="113"/>
        </w:trPr>
        <w:tc>
          <w:tcPr>
            <w:tcW w:w="7700" w:type="dxa"/>
            <w:tcBorders>
              <w:top w:val="dotted" w:sz="4" w:space="0" w:color="auto"/>
              <w:bottom w:val="single" w:sz="4" w:space="0" w:color="auto"/>
            </w:tcBorders>
          </w:tcPr>
          <w:p w:rsidR="00771EDB" w:rsidRPr="00B87B28" w:rsidRDefault="00771EDB" w:rsidP="00771EDB">
            <w:pPr>
              <w:spacing w:before="60" w:after="60" w:line="240" w:lineRule="auto"/>
              <w:rPr>
                <w:rStyle w:val="ExampletextCharChar"/>
                <w:b/>
                <w:i w:val="0"/>
                <w:color w:val="auto"/>
              </w:rPr>
            </w:pPr>
            <w:r w:rsidRPr="00B87B28">
              <w:rPr>
                <w:rStyle w:val="ExampletextCharChar"/>
                <w:b/>
                <w:i w:val="0"/>
                <w:color w:val="auto"/>
              </w:rPr>
              <w:t>Programs</w:t>
            </w:r>
          </w:p>
          <w:p w:rsidR="00771EDB" w:rsidRPr="00B87B28" w:rsidRDefault="00771EDB" w:rsidP="00F76FE4">
            <w:pPr>
              <w:numPr>
                <w:ilvl w:val="0"/>
                <w:numId w:val="7"/>
              </w:numPr>
              <w:spacing w:before="60" w:after="60" w:line="240" w:lineRule="auto"/>
              <w:ind w:left="714" w:hanging="357"/>
              <w:rPr>
                <w:rStyle w:val="ExampletextCharChar"/>
                <w:color w:val="auto"/>
              </w:rPr>
            </w:pPr>
            <w:r w:rsidRPr="00B87B28">
              <w:rPr>
                <w:rStyle w:val="ExampletextCharChar"/>
                <w:i w:val="0"/>
                <w:color w:val="auto"/>
              </w:rPr>
              <w:t>Program 3.1 – Ministerial and Parliamentary Services</w:t>
            </w:r>
          </w:p>
        </w:tc>
      </w:tr>
      <w:tr w:rsidR="00771EDB" w:rsidRPr="004111A7" w:rsidTr="00771EDB">
        <w:trPr>
          <w:trHeight w:val="113"/>
        </w:trPr>
        <w:tc>
          <w:tcPr>
            <w:tcW w:w="7700" w:type="dxa"/>
            <w:tcBorders>
              <w:bottom w:val="single" w:sz="4" w:space="0" w:color="auto"/>
            </w:tcBorders>
          </w:tcPr>
          <w:p w:rsidR="00771EDB" w:rsidRPr="00B87B28" w:rsidRDefault="00771EDB" w:rsidP="00771EDB">
            <w:pPr>
              <w:spacing w:before="60" w:after="60" w:line="240" w:lineRule="auto"/>
              <w:rPr>
                <w:rStyle w:val="ExampletextCharChar"/>
                <w:b/>
                <w:i w:val="0"/>
                <w:color w:val="auto"/>
              </w:rPr>
            </w:pPr>
            <w:r w:rsidRPr="00B87B28">
              <w:rPr>
                <w:rStyle w:val="ExampletextCharChar"/>
                <w:b/>
                <w:i w:val="0"/>
                <w:color w:val="auto"/>
              </w:rPr>
              <w:t>Contribution to Outcome 1 made by linked programs</w:t>
            </w:r>
          </w:p>
          <w:p w:rsidR="00771EDB" w:rsidRPr="00B87B28" w:rsidRDefault="00771EDB" w:rsidP="00771EDB">
            <w:pPr>
              <w:spacing w:before="60" w:after="60" w:line="240" w:lineRule="auto"/>
              <w:rPr>
                <w:rStyle w:val="ExampletextCharChar"/>
                <w:color w:val="auto"/>
              </w:rPr>
            </w:pPr>
            <w:r w:rsidRPr="00B87B28">
              <w:rPr>
                <w:rStyle w:val="ExampletextCharChar"/>
                <w:i w:val="0"/>
                <w:color w:val="auto"/>
              </w:rPr>
              <w:t>IPEA administers and advises on travel related work expenses, and provides independent oversight of the work expenses administered by the Department of Finance for current and former parliamentarians and their staff.</w:t>
            </w:r>
          </w:p>
        </w:tc>
      </w:tr>
    </w:tbl>
    <w:p w:rsidR="00B01553" w:rsidRDefault="00B01553" w:rsidP="00771EDB">
      <w:pPr>
        <w:pStyle w:val="Heading5"/>
      </w:pPr>
    </w:p>
    <w:p w:rsidR="00B01553" w:rsidRDefault="00B01553">
      <w:pPr>
        <w:spacing w:after="0" w:line="240" w:lineRule="auto"/>
        <w:jc w:val="left"/>
        <w:rPr>
          <w:rFonts w:ascii="Arial" w:hAnsi="Arial"/>
          <w:bCs/>
          <w:iCs/>
          <w:szCs w:val="26"/>
        </w:rPr>
      </w:pPr>
      <w:r>
        <w:br w:type="page"/>
      </w:r>
    </w:p>
    <w:p w:rsidR="00771EDB" w:rsidRPr="004111A7" w:rsidRDefault="00771EDB" w:rsidP="00771EDB">
      <w:pPr>
        <w:pStyle w:val="Heading5"/>
      </w:pPr>
      <w:r w:rsidRPr="004111A7">
        <w:lastRenderedPageBreak/>
        <w:t>Budgeted expenses for Outcome 1</w:t>
      </w:r>
    </w:p>
    <w:p w:rsidR="00771EDB" w:rsidRPr="004111A7" w:rsidRDefault="00771EDB" w:rsidP="00771EDB">
      <w:r w:rsidRPr="004111A7">
        <w:t>This table shows how much IPEA intends to spend (on an accrual basis) on achieving the outcome, broken down by program, as well as by Administered and Departmental funding sources.</w:t>
      </w:r>
    </w:p>
    <w:p w:rsidR="00771EDB" w:rsidRPr="00314B8B" w:rsidRDefault="00771EDB" w:rsidP="00314B8B">
      <w:pPr>
        <w:spacing w:after="0"/>
        <w:rPr>
          <w:rFonts w:ascii="Arial" w:hAnsi="Arial"/>
          <w:b/>
          <w:color w:val="000000"/>
          <w:lang w:val="x-none" w:eastAsia="x-none"/>
        </w:rPr>
      </w:pPr>
      <w:r w:rsidRPr="00314B8B">
        <w:rPr>
          <w:rFonts w:ascii="Arial" w:hAnsi="Arial"/>
          <w:b/>
          <w:color w:val="000000"/>
          <w:lang w:val="x-none" w:eastAsia="x-none"/>
        </w:rPr>
        <w:t xml:space="preserve">Table 2.1.1: Budgeted expenses for Outcome 1 </w:t>
      </w:r>
    </w:p>
    <w:p w:rsidR="00771EDB" w:rsidRDefault="008A7609" w:rsidP="00771EDB">
      <w:pPr>
        <w:pStyle w:val="ChartandTableFootnote"/>
        <w:jc w:val="left"/>
        <w:rPr>
          <w:noProof/>
          <w:lang w:val="en-AU" w:eastAsia="en-AU"/>
        </w:rPr>
      </w:pPr>
      <w:r w:rsidRPr="008A7609">
        <w:rPr>
          <w:noProof/>
          <w:lang w:val="en-AU" w:eastAsia="en-AU"/>
        </w:rPr>
        <w:drawing>
          <wp:inline distT="0" distB="0" distL="0" distR="0">
            <wp:extent cx="4895850" cy="5296644"/>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895850" cy="5296644"/>
                    </a:xfrm>
                    <a:prstGeom prst="rect">
                      <a:avLst/>
                    </a:prstGeom>
                    <a:noFill/>
                    <a:ln>
                      <a:noFill/>
                    </a:ln>
                  </pic:spPr>
                </pic:pic>
              </a:graphicData>
            </a:graphic>
          </wp:inline>
        </w:drawing>
      </w:r>
    </w:p>
    <w:p w:rsidR="00B01553" w:rsidRDefault="00771EDB" w:rsidP="00FF6812">
      <w:pPr>
        <w:pStyle w:val="ChartandTableFootnote"/>
        <w:tabs>
          <w:tab w:val="clear" w:pos="284"/>
        </w:tabs>
        <w:ind w:left="357" w:hanging="357"/>
      </w:pPr>
      <w:r w:rsidRPr="004111A7">
        <w:t>(a)</w:t>
      </w:r>
      <w:r w:rsidRPr="004111A7">
        <w:tab/>
        <w:t xml:space="preserve">Expenses not requiring appropriation in the </w:t>
      </w:r>
      <w:r w:rsidR="002E3C88" w:rsidRPr="004111A7">
        <w:t>Budget</w:t>
      </w:r>
      <w:r w:rsidRPr="004111A7">
        <w:t xml:space="preserve"> year are made up of audit fees.</w:t>
      </w:r>
    </w:p>
    <w:p w:rsidR="00314B8B" w:rsidRDefault="00314B8B" w:rsidP="00B01553">
      <w:pPr>
        <w:pStyle w:val="ChartandTableFootnote"/>
        <w:jc w:val="left"/>
      </w:pPr>
    </w:p>
    <w:p w:rsidR="00771EDB" w:rsidRPr="004111A7" w:rsidRDefault="00771EDB" w:rsidP="00314B8B">
      <w:pPr>
        <w:pStyle w:val="ChartandTableFootnote"/>
      </w:pPr>
      <w:r w:rsidRPr="004111A7">
        <w:t xml:space="preserve">Note: Departmental appropriation splits and totals are indicative estimates and may change in the course of the </w:t>
      </w:r>
      <w:r w:rsidR="00314B8B" w:rsidRPr="004111A7">
        <w:t>Budget</w:t>
      </w:r>
      <w:r w:rsidRPr="004111A7">
        <w:t xml:space="preserve"> year as government priorities change.</w:t>
      </w:r>
      <w:r w:rsidRPr="004111A7">
        <w:br w:type="page"/>
      </w:r>
    </w:p>
    <w:p w:rsidR="00771EDB" w:rsidRPr="004111A7" w:rsidRDefault="00771EDB" w:rsidP="00771EDB">
      <w:pPr>
        <w:pStyle w:val="TableHeading"/>
      </w:pPr>
      <w:r w:rsidRPr="004111A7">
        <w:lastRenderedPageBreak/>
        <w:t>Table 2.</w:t>
      </w:r>
      <w:r w:rsidRPr="004111A7">
        <w:rPr>
          <w:lang w:val="en-AU"/>
        </w:rPr>
        <w:t>1</w:t>
      </w:r>
      <w:r w:rsidRPr="004111A7">
        <w:t>.</w:t>
      </w:r>
      <w:r w:rsidRPr="004111A7">
        <w:rPr>
          <w:lang w:val="en-AU"/>
        </w:rPr>
        <w:t>2</w:t>
      </w:r>
      <w:r w:rsidRPr="004111A7">
        <w:t xml:space="preserve">: Performance measures for Outcome </w:t>
      </w:r>
      <w:r w:rsidRPr="004111A7">
        <w:rPr>
          <w:lang w:val="en-AU"/>
        </w:rPr>
        <w:t>1</w:t>
      </w:r>
    </w:p>
    <w:p w:rsidR="00771EDB" w:rsidRPr="00D36F09" w:rsidRDefault="00771EDB" w:rsidP="00771EDB">
      <w:r w:rsidRPr="00D36F09">
        <w:t xml:space="preserve">Table 2.1.2 below details the performance measures for each program associated with Outcome 1. </w:t>
      </w:r>
      <w:r w:rsidRPr="00004A0D">
        <w:t>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2022-23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9"/>
        <w:gridCol w:w="3163"/>
      </w:tblGrid>
      <w:tr w:rsidR="00771EDB" w:rsidRPr="00D36F09" w:rsidTr="00771EDB">
        <w:trPr>
          <w:tblHeader/>
        </w:trPr>
        <w:tc>
          <w:tcPr>
            <w:tcW w:w="7700" w:type="dxa"/>
            <w:gridSpan w:val="3"/>
            <w:shd w:val="clear" w:color="auto" w:fill="F2F2F2"/>
          </w:tcPr>
          <w:p w:rsidR="00771EDB" w:rsidRPr="00D36F09" w:rsidRDefault="00771EDB" w:rsidP="00771EDB">
            <w:pPr>
              <w:spacing w:before="60" w:after="60" w:line="240" w:lineRule="auto"/>
              <w:jc w:val="left"/>
              <w:rPr>
                <w:rFonts w:ascii="Arial" w:hAnsi="Arial" w:cs="Arial"/>
                <w:b/>
              </w:rPr>
            </w:pPr>
            <w:r w:rsidRPr="00D36F09">
              <w:rPr>
                <w:rFonts w:ascii="Arial" w:hAnsi="Arial" w:cs="Arial"/>
                <w:b/>
              </w:rPr>
              <w:t xml:space="preserve">Outcome 1 – </w:t>
            </w:r>
            <w:r w:rsidRPr="005B7C90">
              <w:rPr>
                <w:rFonts w:ascii="Arial" w:eastAsia="Cambria" w:hAnsi="Arial" w:cs="Arial"/>
                <w:lang w:val="x-none" w:eastAsia="en-US"/>
              </w:rPr>
              <w:t>Support for current and former p</w:t>
            </w:r>
            <w:r w:rsidRPr="00D36F09">
              <w:rPr>
                <w:rFonts w:ascii="Arial" w:eastAsia="Cambria" w:hAnsi="Arial" w:cs="Arial"/>
                <w:lang w:val="x-none" w:eastAsia="en-US"/>
              </w:rPr>
              <w:t>arliamentarians and others as required by the Australian Government through the delivery of, independent oversight and advice on, work resources and travel resources.</w:t>
            </w:r>
          </w:p>
        </w:tc>
      </w:tr>
      <w:tr w:rsidR="00771EDB" w:rsidRPr="00D36F09" w:rsidTr="00771EDB">
        <w:trPr>
          <w:tblHeader/>
        </w:trPr>
        <w:tc>
          <w:tcPr>
            <w:tcW w:w="7700" w:type="dxa"/>
            <w:gridSpan w:val="3"/>
            <w:shd w:val="clear" w:color="auto" w:fill="F2F2F2"/>
          </w:tcPr>
          <w:p w:rsidR="00745217" w:rsidRPr="00636AAB" w:rsidRDefault="00771EDB" w:rsidP="00022A1A">
            <w:pPr>
              <w:spacing w:before="60" w:after="60" w:line="240" w:lineRule="auto"/>
              <w:jc w:val="left"/>
              <w:rPr>
                <w:rFonts w:ascii="Arial" w:hAnsi="Arial"/>
                <w:b/>
                <w:sz w:val="18"/>
                <w:szCs w:val="18"/>
              </w:rPr>
            </w:pPr>
            <w:r w:rsidRPr="00636AAB">
              <w:rPr>
                <w:rFonts w:ascii="Arial" w:hAnsi="Arial"/>
                <w:b/>
                <w:sz w:val="18"/>
                <w:szCs w:val="18"/>
              </w:rPr>
              <w:t>Program 1.1 – Independent Parliamentary Expenses Authority – Travel Oversight and Reporting</w:t>
            </w:r>
            <w:r w:rsidR="00BB5283" w:rsidRPr="00636AAB">
              <w:rPr>
                <w:rFonts w:ascii="Arial" w:hAnsi="Arial"/>
                <w:b/>
                <w:sz w:val="18"/>
                <w:szCs w:val="18"/>
              </w:rPr>
              <w:t xml:space="preserve"> </w:t>
            </w:r>
          </w:p>
          <w:p w:rsidR="00771EDB" w:rsidRPr="00D36F09" w:rsidRDefault="00BB5283" w:rsidP="00022A1A">
            <w:pPr>
              <w:spacing w:before="60" w:after="60" w:line="240" w:lineRule="auto"/>
              <w:jc w:val="left"/>
              <w:rPr>
                <w:rFonts w:ascii="Arial" w:hAnsi="Arial"/>
                <w:b/>
                <w:sz w:val="14"/>
              </w:rPr>
            </w:pPr>
            <w:r w:rsidRPr="00745217">
              <w:rPr>
                <w:rFonts w:ascii="Arial" w:hAnsi="Arial"/>
                <w:sz w:val="18"/>
                <w:szCs w:val="18"/>
              </w:rPr>
              <w:t>IPEA provides services to parliamentarians and their staff and publicly reports on their expenditure.</w:t>
            </w:r>
          </w:p>
        </w:tc>
      </w:tr>
      <w:tr w:rsidR="00771EDB" w:rsidRPr="00D36F09" w:rsidTr="00DA0838">
        <w:tc>
          <w:tcPr>
            <w:tcW w:w="1418" w:type="dxa"/>
            <w:tcBorders>
              <w:bottom w:val="double" w:sz="4" w:space="0" w:color="auto"/>
            </w:tcBorders>
          </w:tcPr>
          <w:p w:rsidR="00771EDB" w:rsidRPr="00D36F09" w:rsidRDefault="00771EDB" w:rsidP="00DC1B09">
            <w:pPr>
              <w:tabs>
                <w:tab w:val="left" w:pos="709"/>
              </w:tabs>
              <w:autoSpaceDE w:val="0"/>
              <w:autoSpaceDN w:val="0"/>
              <w:adjustRightInd w:val="0"/>
              <w:spacing w:before="60" w:after="60" w:line="240" w:lineRule="auto"/>
              <w:contextualSpacing/>
              <w:jc w:val="left"/>
              <w:rPr>
                <w:rFonts w:ascii="Arial" w:hAnsi="Arial" w:cs="Arial"/>
                <w:b/>
                <w:sz w:val="16"/>
                <w:szCs w:val="16"/>
              </w:rPr>
            </w:pPr>
            <w:r>
              <w:rPr>
                <w:rFonts w:ascii="Arial" w:hAnsi="Arial" w:cs="Arial"/>
                <w:b/>
                <w:sz w:val="16"/>
                <w:szCs w:val="16"/>
              </w:rPr>
              <w:t>Key activities</w:t>
            </w:r>
          </w:p>
        </w:tc>
        <w:tc>
          <w:tcPr>
            <w:tcW w:w="6007" w:type="dxa"/>
            <w:gridSpan w:val="2"/>
            <w:tcBorders>
              <w:bottom w:val="double" w:sz="4" w:space="0" w:color="auto"/>
            </w:tcBorders>
          </w:tcPr>
          <w:p w:rsidR="00771EDB" w:rsidRPr="005B7C90" w:rsidRDefault="00771EDB" w:rsidP="00DC1B09">
            <w:pPr>
              <w:tabs>
                <w:tab w:val="left" w:pos="709"/>
              </w:tabs>
              <w:autoSpaceDE w:val="0"/>
              <w:autoSpaceDN w:val="0"/>
              <w:adjustRightInd w:val="0"/>
              <w:spacing w:before="60" w:after="60" w:line="240" w:lineRule="auto"/>
              <w:contextualSpacing/>
              <w:jc w:val="left"/>
              <w:rPr>
                <w:rFonts w:ascii="Arial" w:hAnsi="Arial" w:cs="Arial"/>
                <w:sz w:val="16"/>
                <w:szCs w:val="16"/>
              </w:rPr>
            </w:pPr>
            <w:r w:rsidRPr="005B7C90">
              <w:rPr>
                <w:rFonts w:ascii="Arial" w:hAnsi="Arial" w:cs="Arial"/>
                <w:sz w:val="16"/>
                <w:szCs w:val="16"/>
              </w:rPr>
              <w:t>Provide independent monitoring, auditing and reporting of the work resources accessed by current and former parliamentarians and MOP(S) staff.</w:t>
            </w:r>
          </w:p>
          <w:p w:rsidR="00771EDB" w:rsidRPr="00D36F09" w:rsidRDefault="00771EDB" w:rsidP="00DC1B09">
            <w:pPr>
              <w:tabs>
                <w:tab w:val="left" w:pos="709"/>
              </w:tabs>
              <w:autoSpaceDE w:val="0"/>
              <w:autoSpaceDN w:val="0"/>
              <w:adjustRightInd w:val="0"/>
              <w:spacing w:before="60" w:after="60" w:line="240" w:lineRule="auto"/>
              <w:contextualSpacing/>
              <w:jc w:val="left"/>
              <w:rPr>
                <w:rFonts w:ascii="Arial" w:hAnsi="Arial" w:cs="Arial"/>
                <w:i/>
                <w:sz w:val="16"/>
                <w:szCs w:val="16"/>
              </w:rPr>
            </w:pPr>
            <w:r w:rsidRPr="005B7C90">
              <w:rPr>
                <w:rFonts w:ascii="Arial" w:hAnsi="Arial" w:cs="Arial"/>
                <w:sz w:val="16"/>
                <w:szCs w:val="16"/>
              </w:rPr>
              <w:t>Deliver services relating to the administration of travel expenses, allowances, and related expenses including advice on, and processing of, these claims.</w:t>
            </w:r>
          </w:p>
        </w:tc>
      </w:tr>
      <w:tr w:rsidR="00771EDB" w:rsidRPr="00D36F09" w:rsidTr="00DA0838">
        <w:tc>
          <w:tcPr>
            <w:tcW w:w="1418" w:type="dxa"/>
            <w:tcBorders>
              <w:top w:val="double" w:sz="4" w:space="0" w:color="auto"/>
              <w:bottom w:val="single" w:sz="4" w:space="0" w:color="auto"/>
              <w:right w:val="single" w:sz="4" w:space="0" w:color="auto"/>
            </w:tcBorders>
          </w:tcPr>
          <w:p w:rsidR="00771EDB" w:rsidRPr="00D36F09" w:rsidRDefault="00771EDB" w:rsidP="00771EDB">
            <w:pPr>
              <w:tabs>
                <w:tab w:val="left" w:pos="709"/>
              </w:tabs>
              <w:spacing w:before="60" w:after="60" w:line="240" w:lineRule="auto"/>
              <w:jc w:val="left"/>
              <w:rPr>
                <w:rFonts w:ascii="Arial" w:hAnsi="Arial" w:cs="Arial"/>
                <w:b/>
                <w:sz w:val="16"/>
                <w:szCs w:val="16"/>
              </w:rPr>
            </w:pPr>
            <w:r w:rsidRPr="00D36F09">
              <w:rPr>
                <w:rFonts w:ascii="Arial" w:hAnsi="Arial" w:cs="Arial"/>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rsidR="00771EDB" w:rsidRPr="00D36F09" w:rsidRDefault="00771EDB" w:rsidP="00771EDB">
            <w:pPr>
              <w:tabs>
                <w:tab w:val="left" w:pos="709"/>
              </w:tabs>
              <w:spacing w:before="60" w:after="60" w:line="240" w:lineRule="auto"/>
              <w:jc w:val="left"/>
              <w:rPr>
                <w:rFonts w:ascii="Arial" w:hAnsi="Arial" w:cs="Arial"/>
                <w:b/>
                <w:sz w:val="16"/>
                <w:szCs w:val="16"/>
              </w:rPr>
            </w:pPr>
            <w:r w:rsidRPr="00D36F09">
              <w:rPr>
                <w:rFonts w:ascii="Arial" w:hAnsi="Arial" w:cs="Arial"/>
                <w:b/>
                <w:sz w:val="16"/>
                <w:szCs w:val="16"/>
              </w:rPr>
              <w:t>Performance measure</w:t>
            </w:r>
          </w:p>
        </w:tc>
        <w:tc>
          <w:tcPr>
            <w:tcW w:w="3119" w:type="dxa"/>
            <w:tcBorders>
              <w:top w:val="double" w:sz="4" w:space="0" w:color="auto"/>
              <w:left w:val="single" w:sz="4" w:space="0" w:color="auto"/>
              <w:bottom w:val="single" w:sz="4" w:space="0" w:color="auto"/>
            </w:tcBorders>
          </w:tcPr>
          <w:p w:rsidR="00771EDB" w:rsidRPr="00D36F09" w:rsidRDefault="00771EDB" w:rsidP="00771EDB">
            <w:pPr>
              <w:tabs>
                <w:tab w:val="left" w:pos="709"/>
              </w:tabs>
              <w:spacing w:before="60" w:after="60" w:line="240" w:lineRule="auto"/>
              <w:jc w:val="left"/>
              <w:rPr>
                <w:rFonts w:ascii="Arial" w:hAnsi="Arial" w:cs="Arial"/>
                <w:b/>
                <w:sz w:val="16"/>
                <w:szCs w:val="16"/>
              </w:rPr>
            </w:pPr>
            <w:r w:rsidRPr="005B7C90">
              <w:rPr>
                <w:rFonts w:ascii="Arial" w:hAnsi="Arial" w:cs="Arial"/>
                <w:b/>
                <w:sz w:val="16"/>
                <w:szCs w:val="16"/>
              </w:rPr>
              <w:t>Expected Performance Results</w:t>
            </w:r>
          </w:p>
        </w:tc>
      </w:tr>
      <w:tr w:rsidR="00771EDB" w:rsidRPr="00D36F09" w:rsidTr="00D2024C">
        <w:trPr>
          <w:trHeight w:val="4489"/>
        </w:trPr>
        <w:tc>
          <w:tcPr>
            <w:tcW w:w="1418" w:type="dxa"/>
            <w:tcBorders>
              <w:top w:val="single" w:sz="4" w:space="0" w:color="auto"/>
              <w:bottom w:val="single" w:sz="4" w:space="0" w:color="auto"/>
              <w:right w:val="single" w:sz="4" w:space="0" w:color="auto"/>
            </w:tcBorders>
          </w:tcPr>
          <w:p w:rsidR="00771EDB" w:rsidRPr="00D36F09" w:rsidRDefault="00771EDB" w:rsidP="001E4B0F">
            <w:pPr>
              <w:tabs>
                <w:tab w:val="left" w:pos="709"/>
              </w:tabs>
              <w:spacing w:before="60" w:after="60" w:line="240" w:lineRule="auto"/>
              <w:jc w:val="left"/>
              <w:rPr>
                <w:rFonts w:ascii="Arial" w:hAnsi="Arial" w:cs="Arial"/>
                <w:sz w:val="16"/>
                <w:szCs w:val="16"/>
              </w:rPr>
            </w:pPr>
            <w:r>
              <w:rPr>
                <w:rFonts w:ascii="Arial" w:hAnsi="Arial" w:cs="Arial"/>
                <w:sz w:val="16"/>
                <w:szCs w:val="16"/>
              </w:rPr>
              <w:t>Current year</w:t>
            </w:r>
            <w:r w:rsidR="001E4B0F">
              <w:rPr>
                <w:rFonts w:ascii="Arial" w:hAnsi="Arial" w:cs="Arial"/>
                <w:sz w:val="16"/>
                <w:szCs w:val="16"/>
              </w:rPr>
              <w:br/>
            </w:r>
            <w:r w:rsidRPr="00D36F09">
              <w:rPr>
                <w:rFonts w:ascii="Arial" w:hAnsi="Arial" w:cs="Arial"/>
                <w:sz w:val="16"/>
                <w:szCs w:val="16"/>
              </w:rPr>
              <w:t>2021-22</w:t>
            </w:r>
          </w:p>
        </w:tc>
        <w:tc>
          <w:tcPr>
            <w:tcW w:w="3119" w:type="dxa"/>
            <w:tcBorders>
              <w:top w:val="single" w:sz="4" w:space="0" w:color="auto"/>
              <w:left w:val="single" w:sz="4" w:space="0" w:color="auto"/>
              <w:bottom w:val="single" w:sz="4" w:space="0" w:color="auto"/>
              <w:right w:val="single" w:sz="4" w:space="0" w:color="auto"/>
            </w:tcBorders>
          </w:tcPr>
          <w:p w:rsidR="00771EDB" w:rsidRPr="00D36F09" w:rsidRDefault="00771EDB" w:rsidP="00DA0838">
            <w:pPr>
              <w:tabs>
                <w:tab w:val="left" w:pos="709"/>
              </w:tabs>
              <w:spacing w:before="60" w:after="60" w:line="240" w:lineRule="auto"/>
              <w:jc w:val="left"/>
              <w:rPr>
                <w:rFonts w:ascii="Arial" w:eastAsia="Calibri" w:hAnsi="Arial" w:cs="Arial"/>
                <w:sz w:val="16"/>
                <w:szCs w:val="16"/>
                <w:lang w:val="en-US" w:eastAsia="x-none"/>
              </w:rPr>
            </w:pPr>
            <w:r w:rsidRPr="00D36F09">
              <w:rPr>
                <w:rFonts w:ascii="Arial" w:eastAsia="Calibri" w:hAnsi="Arial" w:cs="Arial"/>
                <w:b/>
                <w:sz w:val="16"/>
                <w:szCs w:val="16"/>
                <w:lang w:val="en-US" w:eastAsia="x-none"/>
              </w:rPr>
              <w:t>Travel — Advice</w:t>
            </w:r>
            <w:r w:rsidRPr="00D36F09">
              <w:rPr>
                <w:rFonts w:ascii="Arial" w:eastAsia="Calibri" w:hAnsi="Arial" w:cs="Arial"/>
                <w:sz w:val="16"/>
                <w:szCs w:val="16"/>
                <w:lang w:val="en-US" w:eastAsia="x-none"/>
              </w:rPr>
              <w:t xml:space="preserve"> </w:t>
            </w:r>
          </w:p>
          <w:p w:rsidR="00771EDB" w:rsidRPr="00141928" w:rsidRDefault="00771EDB" w:rsidP="00DA1F4B">
            <w:pPr>
              <w:numPr>
                <w:ilvl w:val="0"/>
                <w:numId w:val="30"/>
              </w:numPr>
              <w:autoSpaceDE w:val="0"/>
              <w:autoSpaceDN w:val="0"/>
              <w:spacing w:before="60" w:after="60" w:line="240" w:lineRule="auto"/>
              <w:ind w:left="352" w:hanging="352"/>
              <w:jc w:val="left"/>
              <w:rPr>
                <w:rFonts w:ascii="Arial" w:eastAsia="Calibri" w:hAnsi="Arial" w:cs="Arial"/>
                <w:sz w:val="16"/>
                <w:szCs w:val="16"/>
                <w:lang w:val="en-US" w:eastAsia="en-US"/>
              </w:rPr>
            </w:pPr>
            <w:r w:rsidRPr="00D36F09">
              <w:rPr>
                <w:rFonts w:ascii="Arial" w:eastAsia="Calibri" w:hAnsi="Arial" w:cs="Arial"/>
                <w:sz w:val="16"/>
                <w:szCs w:val="16"/>
                <w:lang w:val="en-US" w:eastAsia="en-US"/>
              </w:rPr>
              <w:t>Provide clear and timely advice to parliamentarians and MOP(S) staff on travel and related expenses.</w:t>
            </w:r>
          </w:p>
          <w:p w:rsidR="00141928" w:rsidRDefault="00141928" w:rsidP="00644847">
            <w:pPr>
              <w:autoSpaceDE w:val="0"/>
              <w:autoSpaceDN w:val="0"/>
              <w:spacing w:before="60" w:after="60" w:line="240" w:lineRule="auto"/>
              <w:jc w:val="left"/>
              <w:rPr>
                <w:rFonts w:ascii="Arial" w:eastAsia="Calibri" w:hAnsi="Arial" w:cs="Arial"/>
                <w:sz w:val="16"/>
                <w:szCs w:val="16"/>
                <w:lang w:val="en-US" w:eastAsia="en-US"/>
              </w:rPr>
            </w:pPr>
          </w:p>
          <w:p w:rsidR="00644847" w:rsidRPr="00644847" w:rsidRDefault="00644847" w:rsidP="00644847">
            <w:pPr>
              <w:autoSpaceDE w:val="0"/>
              <w:autoSpaceDN w:val="0"/>
              <w:spacing w:before="60" w:after="60" w:line="240" w:lineRule="auto"/>
              <w:jc w:val="left"/>
              <w:rPr>
                <w:rFonts w:ascii="Arial" w:eastAsia="Calibri" w:hAnsi="Arial" w:cs="Arial"/>
                <w:sz w:val="16"/>
                <w:szCs w:val="16"/>
                <w:lang w:val="en-US" w:eastAsia="en-US"/>
              </w:rPr>
            </w:pPr>
          </w:p>
          <w:p w:rsidR="00141928" w:rsidRPr="00D36F09" w:rsidRDefault="00141928" w:rsidP="00DA0838">
            <w:pPr>
              <w:tabs>
                <w:tab w:val="left" w:pos="709"/>
              </w:tabs>
              <w:spacing w:before="60" w:after="60" w:line="240" w:lineRule="auto"/>
              <w:jc w:val="left"/>
              <w:rPr>
                <w:rFonts w:ascii="Arial" w:eastAsia="Calibri" w:hAnsi="Arial" w:cs="Arial"/>
                <w:sz w:val="16"/>
                <w:szCs w:val="16"/>
                <w:lang w:val="en-US" w:eastAsia="en-US"/>
              </w:rPr>
            </w:pPr>
          </w:p>
          <w:p w:rsidR="00771EDB" w:rsidRPr="00D36F09" w:rsidRDefault="00771EDB" w:rsidP="00DA0838">
            <w:pPr>
              <w:tabs>
                <w:tab w:val="left" w:pos="709"/>
              </w:tabs>
              <w:spacing w:before="60" w:after="60" w:line="240" w:lineRule="auto"/>
              <w:jc w:val="left"/>
              <w:rPr>
                <w:rFonts w:ascii="Arial" w:eastAsia="Calibri" w:hAnsi="Arial" w:cs="Arial"/>
                <w:b/>
                <w:sz w:val="16"/>
                <w:szCs w:val="16"/>
                <w:lang w:val="en-US" w:eastAsia="x-none"/>
              </w:rPr>
            </w:pPr>
            <w:r w:rsidRPr="00D36F09">
              <w:rPr>
                <w:rFonts w:ascii="Arial" w:eastAsia="Calibri" w:hAnsi="Arial" w:cs="Arial"/>
                <w:b/>
                <w:sz w:val="16"/>
                <w:szCs w:val="16"/>
                <w:lang w:val="en-US" w:eastAsia="x-none"/>
              </w:rPr>
              <w:t xml:space="preserve">Travel — Claims </w:t>
            </w:r>
          </w:p>
          <w:p w:rsidR="00771EDB" w:rsidRPr="00D36F09" w:rsidRDefault="00771EDB" w:rsidP="00DA1F4B">
            <w:pPr>
              <w:numPr>
                <w:ilvl w:val="0"/>
                <w:numId w:val="30"/>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D36F09">
              <w:rPr>
                <w:rFonts w:ascii="Arial" w:eastAsia="Calibri" w:hAnsi="Arial" w:cs="Arial"/>
                <w:sz w:val="16"/>
                <w:szCs w:val="16"/>
                <w:lang w:val="en-US" w:eastAsia="en-US"/>
              </w:rPr>
              <w:t xml:space="preserve">Accurate and timely processing of claims for travel expenses and allowances relating </w:t>
            </w:r>
            <w:r>
              <w:rPr>
                <w:rFonts w:ascii="Arial" w:eastAsia="Calibri" w:hAnsi="Arial" w:cs="Arial"/>
                <w:sz w:val="16"/>
                <w:szCs w:val="16"/>
                <w:lang w:val="en-US" w:eastAsia="en-US"/>
              </w:rPr>
              <w:t xml:space="preserve">to </w:t>
            </w:r>
            <w:r w:rsidRPr="00D36F09">
              <w:rPr>
                <w:rFonts w:ascii="Arial" w:eastAsia="Calibri" w:hAnsi="Arial" w:cs="Arial"/>
                <w:sz w:val="16"/>
                <w:szCs w:val="16"/>
                <w:lang w:val="en-US" w:eastAsia="en-US"/>
              </w:rPr>
              <w:t>parliamentarians and MOP(S) staff.</w:t>
            </w:r>
          </w:p>
          <w:p w:rsidR="00771EDB" w:rsidRPr="00D36F09" w:rsidRDefault="00771EDB" w:rsidP="00141928">
            <w:pPr>
              <w:autoSpaceDE w:val="0"/>
              <w:autoSpaceDN w:val="0"/>
              <w:spacing w:before="60" w:after="60" w:line="240" w:lineRule="auto"/>
              <w:jc w:val="left"/>
              <w:rPr>
                <w:rFonts w:ascii="Arial" w:eastAsia="Calibri" w:hAnsi="Arial" w:cs="Arial"/>
                <w:sz w:val="16"/>
                <w:szCs w:val="16"/>
                <w:lang w:val="en-US" w:eastAsia="en-US"/>
              </w:rPr>
            </w:pPr>
          </w:p>
          <w:p w:rsidR="00771EDB" w:rsidRDefault="00771EDB" w:rsidP="00DA0838">
            <w:pPr>
              <w:tabs>
                <w:tab w:val="left" w:pos="709"/>
              </w:tabs>
              <w:spacing w:before="60" w:after="60" w:line="240" w:lineRule="auto"/>
              <w:jc w:val="left"/>
              <w:rPr>
                <w:rFonts w:ascii="Arial" w:eastAsia="Calibri" w:hAnsi="Arial" w:cs="Arial"/>
                <w:b/>
                <w:sz w:val="16"/>
                <w:szCs w:val="16"/>
                <w:lang w:val="en-US" w:eastAsia="x-none"/>
              </w:rPr>
            </w:pPr>
          </w:p>
          <w:p w:rsidR="00141928" w:rsidRPr="00D36F09" w:rsidRDefault="00141928" w:rsidP="00DA0838">
            <w:pPr>
              <w:tabs>
                <w:tab w:val="left" w:pos="709"/>
              </w:tabs>
              <w:spacing w:before="60" w:after="60" w:line="240" w:lineRule="auto"/>
              <w:jc w:val="left"/>
              <w:rPr>
                <w:rFonts w:ascii="Arial" w:eastAsia="Calibri" w:hAnsi="Arial" w:cs="Arial"/>
                <w:b/>
                <w:sz w:val="16"/>
                <w:szCs w:val="16"/>
                <w:lang w:val="en-US" w:eastAsia="x-none"/>
              </w:rPr>
            </w:pPr>
          </w:p>
          <w:p w:rsidR="00771EDB" w:rsidRPr="00D36F09" w:rsidRDefault="00771EDB" w:rsidP="00DA0838">
            <w:pPr>
              <w:tabs>
                <w:tab w:val="left" w:pos="709"/>
              </w:tabs>
              <w:spacing w:before="60" w:after="60" w:line="240" w:lineRule="auto"/>
              <w:jc w:val="left"/>
              <w:rPr>
                <w:rFonts w:ascii="Arial" w:eastAsia="Calibri" w:hAnsi="Arial" w:cs="Arial"/>
                <w:b/>
                <w:sz w:val="16"/>
                <w:szCs w:val="16"/>
                <w:lang w:val="en-US" w:eastAsia="x-none"/>
              </w:rPr>
            </w:pPr>
            <w:r w:rsidRPr="00D36F09">
              <w:rPr>
                <w:rFonts w:ascii="Arial" w:eastAsia="Calibri" w:hAnsi="Arial" w:cs="Arial"/>
                <w:b/>
                <w:sz w:val="16"/>
                <w:szCs w:val="16"/>
                <w:lang w:val="en-US" w:eastAsia="x-none"/>
              </w:rPr>
              <w:t xml:space="preserve">Data and Reporting </w:t>
            </w:r>
          </w:p>
          <w:p w:rsidR="00771EDB" w:rsidRPr="00D36F09" w:rsidRDefault="00771EDB" w:rsidP="00DA1F4B">
            <w:pPr>
              <w:numPr>
                <w:ilvl w:val="0"/>
                <w:numId w:val="30"/>
              </w:numPr>
              <w:autoSpaceDE w:val="0"/>
              <w:autoSpaceDN w:val="0"/>
              <w:adjustRightInd w:val="0"/>
              <w:spacing w:before="60" w:after="60" w:line="240" w:lineRule="auto"/>
              <w:ind w:left="374" w:hanging="357"/>
              <w:contextualSpacing/>
              <w:jc w:val="left"/>
              <w:rPr>
                <w:rFonts w:ascii="Arial" w:eastAsia="Calibri" w:hAnsi="Arial" w:cs="Arial"/>
                <w:sz w:val="16"/>
                <w:szCs w:val="16"/>
                <w:lang w:val="en-US" w:eastAsia="en-US"/>
              </w:rPr>
            </w:pPr>
            <w:r w:rsidRPr="00D36F09">
              <w:rPr>
                <w:rFonts w:ascii="Arial" w:eastAsia="Calibri" w:hAnsi="Arial" w:cs="Arial"/>
                <w:sz w:val="16"/>
                <w:szCs w:val="16"/>
                <w:lang w:val="en-US" w:eastAsia="en-US"/>
              </w:rPr>
              <w:t>Increasing transparency through the compilation of reports detailing the work resources of current and former parliamentarians and the travel resources of MOP(S) staff.</w:t>
            </w:r>
          </w:p>
          <w:p w:rsidR="00771EDB" w:rsidRPr="00D36F09" w:rsidRDefault="00771EDB" w:rsidP="00771EDB">
            <w:pPr>
              <w:tabs>
                <w:tab w:val="left" w:pos="709"/>
              </w:tabs>
              <w:spacing w:before="60" w:after="60" w:line="240" w:lineRule="auto"/>
              <w:jc w:val="left"/>
              <w:rPr>
                <w:rFonts w:ascii="Arial" w:hAnsi="Arial" w:cs="Arial"/>
                <w:i/>
                <w:sz w:val="16"/>
                <w:szCs w:val="16"/>
              </w:rPr>
            </w:pPr>
          </w:p>
        </w:tc>
        <w:tc>
          <w:tcPr>
            <w:tcW w:w="3119" w:type="dxa"/>
            <w:tcBorders>
              <w:top w:val="single" w:sz="4" w:space="0" w:color="auto"/>
              <w:left w:val="single" w:sz="4" w:space="0" w:color="auto"/>
              <w:bottom w:val="single" w:sz="4" w:space="0" w:color="auto"/>
            </w:tcBorders>
          </w:tcPr>
          <w:p w:rsidR="00141928" w:rsidRDefault="00141928" w:rsidP="00141928">
            <w:pPr>
              <w:tabs>
                <w:tab w:val="left" w:pos="198"/>
              </w:tabs>
              <w:autoSpaceDE w:val="0"/>
              <w:autoSpaceDN w:val="0"/>
              <w:spacing w:before="60" w:after="60" w:line="240" w:lineRule="auto"/>
              <w:ind w:left="198"/>
              <w:jc w:val="left"/>
              <w:rPr>
                <w:rFonts w:ascii="Arial" w:hAnsi="Arial" w:cs="Arial"/>
                <w:sz w:val="16"/>
                <w:szCs w:val="16"/>
              </w:rPr>
            </w:pPr>
          </w:p>
          <w:p w:rsidR="00771EDB" w:rsidRPr="00644847" w:rsidRDefault="00771EDB" w:rsidP="00DA1F4B">
            <w:pPr>
              <w:numPr>
                <w:ilvl w:val="0"/>
                <w:numId w:val="30"/>
              </w:numPr>
              <w:autoSpaceDE w:val="0"/>
              <w:autoSpaceDN w:val="0"/>
              <w:spacing w:before="60" w:after="60" w:line="240" w:lineRule="auto"/>
              <w:ind w:left="352" w:hanging="352"/>
              <w:jc w:val="left"/>
              <w:rPr>
                <w:rFonts w:ascii="Arial" w:eastAsia="Calibri" w:hAnsi="Arial" w:cs="Arial"/>
                <w:sz w:val="16"/>
                <w:szCs w:val="16"/>
                <w:lang w:val="en-US" w:eastAsia="en-US"/>
              </w:rPr>
            </w:pPr>
            <w:r w:rsidRPr="00644847">
              <w:rPr>
                <w:rFonts w:ascii="Arial" w:hAnsi="Arial" w:cs="Arial"/>
                <w:sz w:val="16"/>
                <w:szCs w:val="16"/>
              </w:rPr>
              <w:t>Advice</w:t>
            </w:r>
            <w:r w:rsidR="004E4BC8" w:rsidRPr="00644847">
              <w:rPr>
                <w:rFonts w:ascii="Arial" w:hAnsi="Arial" w:cs="Arial"/>
                <w:sz w:val="16"/>
                <w:szCs w:val="16"/>
              </w:rPr>
              <w:t xml:space="preserve"> is provided in accordance with</w:t>
            </w:r>
            <w:r w:rsidR="00644847">
              <w:rPr>
                <w:rFonts w:ascii="Arial" w:hAnsi="Arial" w:cs="Arial"/>
                <w:sz w:val="16"/>
                <w:szCs w:val="16"/>
              </w:rPr>
              <w:t xml:space="preserve"> </w:t>
            </w:r>
            <w:r w:rsidRPr="00644847">
              <w:rPr>
                <w:rFonts w:ascii="Arial" w:hAnsi="Arial" w:cs="Arial"/>
                <w:sz w:val="16"/>
                <w:szCs w:val="16"/>
              </w:rPr>
              <w:t>IPEA’s published service level standards, which include measurements for quality and timeliness.</w:t>
            </w:r>
          </w:p>
          <w:p w:rsidR="00771EDB" w:rsidRPr="00644847" w:rsidRDefault="00771EDB" w:rsidP="00644847">
            <w:pPr>
              <w:tabs>
                <w:tab w:val="left" w:pos="709"/>
              </w:tabs>
              <w:spacing w:before="60" w:after="60" w:line="240" w:lineRule="auto"/>
              <w:jc w:val="left"/>
              <w:rPr>
                <w:rFonts w:ascii="Arial" w:eastAsia="Calibri" w:hAnsi="Arial" w:cs="Arial"/>
                <w:sz w:val="16"/>
                <w:szCs w:val="16"/>
                <w:lang w:val="en-US" w:eastAsia="en-US"/>
              </w:rPr>
            </w:pPr>
            <w:r w:rsidRPr="00D36F09">
              <w:rPr>
                <w:rFonts w:ascii="Arial" w:hAnsi="Arial" w:cs="Arial"/>
                <w:b/>
                <w:sz w:val="16"/>
                <w:szCs w:val="16"/>
              </w:rPr>
              <w:t>On track</w:t>
            </w:r>
          </w:p>
          <w:p w:rsidR="00141928" w:rsidRPr="00644847" w:rsidRDefault="00141928" w:rsidP="00644847">
            <w:pPr>
              <w:tabs>
                <w:tab w:val="left" w:pos="709"/>
              </w:tabs>
              <w:spacing w:before="60" w:after="60" w:line="240" w:lineRule="auto"/>
              <w:jc w:val="left"/>
              <w:rPr>
                <w:rFonts w:ascii="Arial" w:eastAsia="Calibri" w:hAnsi="Arial" w:cs="Arial"/>
                <w:sz w:val="16"/>
                <w:szCs w:val="16"/>
                <w:lang w:val="en-US" w:eastAsia="en-US"/>
              </w:rPr>
            </w:pPr>
          </w:p>
          <w:p w:rsidR="00771EDB" w:rsidRPr="00644847" w:rsidRDefault="00771EDB" w:rsidP="00DA1F4B">
            <w:pPr>
              <w:numPr>
                <w:ilvl w:val="0"/>
                <w:numId w:val="30"/>
              </w:numPr>
              <w:autoSpaceDE w:val="0"/>
              <w:autoSpaceDN w:val="0"/>
              <w:spacing w:before="60" w:after="60" w:line="240" w:lineRule="auto"/>
              <w:ind w:left="352" w:hanging="352"/>
              <w:jc w:val="left"/>
              <w:rPr>
                <w:rFonts w:ascii="Arial" w:eastAsia="Calibri" w:hAnsi="Arial" w:cs="Arial"/>
                <w:sz w:val="16"/>
                <w:szCs w:val="16"/>
                <w:lang w:val="en-US" w:eastAsia="en-US"/>
              </w:rPr>
            </w:pPr>
            <w:r w:rsidRPr="00D36F09">
              <w:rPr>
                <w:rFonts w:ascii="Arial" w:hAnsi="Arial" w:cs="Arial"/>
                <w:sz w:val="16"/>
                <w:szCs w:val="16"/>
              </w:rPr>
              <w:t xml:space="preserve">Claims for travel expenses and allowances are processed in accordance with IPEA’s published service level standards, which include measurements for accuracy and timeliness. </w:t>
            </w:r>
          </w:p>
          <w:p w:rsidR="00771EDB" w:rsidRPr="00644847" w:rsidRDefault="00771EDB" w:rsidP="00644847">
            <w:pPr>
              <w:autoSpaceDE w:val="0"/>
              <w:autoSpaceDN w:val="0"/>
              <w:spacing w:before="60" w:after="60" w:line="240" w:lineRule="auto"/>
              <w:jc w:val="left"/>
              <w:rPr>
                <w:rFonts w:ascii="Arial" w:eastAsia="Calibri" w:hAnsi="Arial" w:cs="Arial"/>
                <w:b/>
                <w:sz w:val="16"/>
                <w:szCs w:val="16"/>
                <w:lang w:val="en-US" w:eastAsia="en-US"/>
              </w:rPr>
            </w:pPr>
            <w:r w:rsidRPr="00644847">
              <w:rPr>
                <w:rFonts w:ascii="Arial" w:eastAsia="Calibri" w:hAnsi="Arial" w:cs="Arial"/>
                <w:b/>
                <w:sz w:val="16"/>
                <w:szCs w:val="16"/>
                <w:lang w:val="en-US" w:eastAsia="en-US"/>
              </w:rPr>
              <w:t>On track</w:t>
            </w:r>
          </w:p>
          <w:p w:rsidR="00141928" w:rsidRDefault="00141928" w:rsidP="00DA0838">
            <w:pPr>
              <w:tabs>
                <w:tab w:val="left" w:pos="198"/>
              </w:tabs>
              <w:autoSpaceDE w:val="0"/>
              <w:autoSpaceDN w:val="0"/>
              <w:spacing w:before="60" w:after="0" w:line="240" w:lineRule="auto"/>
              <w:jc w:val="left"/>
              <w:rPr>
                <w:rFonts w:ascii="Arial" w:hAnsi="Arial" w:cs="Arial"/>
                <w:sz w:val="16"/>
                <w:szCs w:val="16"/>
              </w:rPr>
            </w:pPr>
          </w:p>
          <w:p w:rsidR="00FD7DE9" w:rsidRPr="00D36F09" w:rsidRDefault="00FD7DE9" w:rsidP="00DA0838">
            <w:pPr>
              <w:tabs>
                <w:tab w:val="left" w:pos="198"/>
              </w:tabs>
              <w:autoSpaceDE w:val="0"/>
              <w:autoSpaceDN w:val="0"/>
              <w:spacing w:before="60" w:after="0" w:line="240" w:lineRule="auto"/>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i/>
                <w:sz w:val="16"/>
                <w:szCs w:val="16"/>
              </w:rPr>
            </w:pPr>
            <w:r w:rsidRPr="00D36F09">
              <w:rPr>
                <w:rFonts w:ascii="Arial" w:hAnsi="Arial" w:cs="Arial"/>
                <w:sz w:val="16"/>
                <w:szCs w:val="16"/>
              </w:rPr>
              <w:t>Reports relating to work expenses for parliamentarians and their staff are prepared and provided as per IPEA’s published service level standards.</w:t>
            </w:r>
          </w:p>
          <w:p w:rsidR="00DA0838" w:rsidRPr="00DA0838" w:rsidRDefault="00DA0838" w:rsidP="00DA0838">
            <w:pPr>
              <w:tabs>
                <w:tab w:val="left" w:pos="198"/>
              </w:tabs>
              <w:autoSpaceDE w:val="0"/>
              <w:autoSpaceDN w:val="0"/>
              <w:spacing w:before="60" w:after="60" w:line="240" w:lineRule="auto"/>
              <w:jc w:val="left"/>
              <w:rPr>
                <w:rFonts w:ascii="Arial" w:hAnsi="Arial" w:cs="Arial"/>
                <w:b/>
                <w:sz w:val="16"/>
                <w:szCs w:val="16"/>
              </w:rPr>
            </w:pPr>
            <w:r>
              <w:rPr>
                <w:rFonts w:ascii="Arial" w:hAnsi="Arial" w:cs="Arial"/>
                <w:b/>
                <w:sz w:val="16"/>
                <w:szCs w:val="16"/>
              </w:rPr>
              <w:t>On track</w:t>
            </w:r>
          </w:p>
        </w:tc>
      </w:tr>
    </w:tbl>
    <w:p w:rsidR="00771EDB" w:rsidRPr="004111A7" w:rsidRDefault="00771EDB" w:rsidP="00771EDB">
      <w:pPr>
        <w:autoSpaceDE w:val="0"/>
        <w:autoSpaceDN w:val="0"/>
        <w:spacing w:after="0" w:line="240" w:lineRule="auto"/>
      </w:pPr>
      <w:r w:rsidRPr="00D36F09">
        <w:rPr>
          <w:rFonts w:ascii="Arial" w:hAnsi="Arial" w:cs="Arial"/>
          <w:sz w:val="16"/>
          <w:szCs w:val="16"/>
        </w:rPr>
        <w:t>Table continues on next page</w:t>
      </w:r>
      <w:r w:rsidRPr="004111A7">
        <w:br w:type="page"/>
      </w:r>
    </w:p>
    <w:p w:rsidR="00771EDB" w:rsidRDefault="00771EDB" w:rsidP="00771EDB">
      <w:pPr>
        <w:pStyle w:val="TableHeading"/>
        <w:rPr>
          <w:lang w:val="en-AU"/>
        </w:rPr>
      </w:pPr>
      <w:r w:rsidRPr="004111A7">
        <w:lastRenderedPageBreak/>
        <w:t>Table 2.</w:t>
      </w:r>
      <w:r w:rsidRPr="004111A7">
        <w:rPr>
          <w:lang w:val="en-AU"/>
        </w:rPr>
        <w:t>1</w:t>
      </w:r>
      <w:r w:rsidRPr="004111A7">
        <w:t>.</w:t>
      </w:r>
      <w:r w:rsidRPr="004111A7">
        <w:rPr>
          <w:lang w:val="en-AU"/>
        </w:rPr>
        <w:t>2</w:t>
      </w:r>
      <w:r w:rsidRPr="004111A7">
        <w:t xml:space="preserve">: Performance measures for Outcome </w:t>
      </w:r>
      <w:r w:rsidRPr="004111A7">
        <w:rPr>
          <w:lang w:val="en-AU"/>
        </w:rPr>
        <w:t>1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9"/>
        <w:gridCol w:w="3163"/>
      </w:tblGrid>
      <w:tr w:rsidR="00DA0838" w:rsidRPr="00D36F09" w:rsidTr="00DA0838">
        <w:tc>
          <w:tcPr>
            <w:tcW w:w="7700" w:type="dxa"/>
            <w:gridSpan w:val="3"/>
            <w:tcBorders>
              <w:top w:val="single" w:sz="4" w:space="0" w:color="auto"/>
              <w:left w:val="single" w:sz="4" w:space="0" w:color="auto"/>
              <w:bottom w:val="single" w:sz="4" w:space="0" w:color="auto"/>
              <w:right w:val="single" w:sz="4" w:space="0" w:color="auto"/>
            </w:tcBorders>
            <w:shd w:val="clear" w:color="auto" w:fill="F2F2F2"/>
          </w:tcPr>
          <w:p w:rsidR="00DA0838" w:rsidRPr="00C618E7" w:rsidRDefault="00DA0838" w:rsidP="00745217">
            <w:pPr>
              <w:spacing w:before="60" w:after="60" w:line="240" w:lineRule="auto"/>
              <w:jc w:val="left"/>
              <w:rPr>
                <w:rFonts w:ascii="Arial" w:hAnsi="Arial"/>
                <w:b/>
                <w:sz w:val="18"/>
                <w:szCs w:val="18"/>
              </w:rPr>
            </w:pPr>
            <w:r w:rsidRPr="00C618E7">
              <w:rPr>
                <w:rFonts w:ascii="Arial" w:hAnsi="Arial"/>
                <w:b/>
                <w:sz w:val="18"/>
                <w:szCs w:val="18"/>
              </w:rPr>
              <w:t xml:space="preserve">Program 1.1 – Independent Parliamentary Expenses Authority – </w:t>
            </w:r>
            <w:r w:rsidR="00B50177">
              <w:rPr>
                <w:rFonts w:ascii="Arial" w:hAnsi="Arial"/>
                <w:b/>
                <w:sz w:val="18"/>
                <w:szCs w:val="18"/>
              </w:rPr>
              <w:t>Travel Oversight and Reporting</w:t>
            </w:r>
          </w:p>
        </w:tc>
      </w:tr>
      <w:tr w:rsidR="00F978A6" w:rsidRPr="004111A7" w:rsidTr="00DA0838">
        <w:tc>
          <w:tcPr>
            <w:tcW w:w="1418" w:type="dxa"/>
            <w:tcBorders>
              <w:top w:val="single" w:sz="4" w:space="0" w:color="auto"/>
              <w:bottom w:val="single" w:sz="4" w:space="0" w:color="auto"/>
              <w:right w:val="single" w:sz="4" w:space="0" w:color="auto"/>
            </w:tcBorders>
          </w:tcPr>
          <w:p w:rsidR="00F978A6" w:rsidRPr="004111A7" w:rsidRDefault="00F978A6" w:rsidP="00372EBB">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3119" w:type="dxa"/>
            <w:tcBorders>
              <w:top w:val="single" w:sz="4" w:space="0" w:color="auto"/>
              <w:left w:val="single" w:sz="4" w:space="0" w:color="auto"/>
              <w:bottom w:val="single" w:sz="4" w:space="0" w:color="auto"/>
              <w:right w:val="single" w:sz="4" w:space="0" w:color="auto"/>
            </w:tcBorders>
          </w:tcPr>
          <w:p w:rsidR="00F978A6" w:rsidRPr="004111A7" w:rsidRDefault="00F978A6" w:rsidP="00372EBB">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Performance measure</w:t>
            </w:r>
            <w:r>
              <w:rPr>
                <w:rFonts w:ascii="Arial" w:hAnsi="Arial" w:cs="Arial"/>
                <w:sz w:val="16"/>
                <w:szCs w:val="16"/>
              </w:rPr>
              <w:t xml:space="preserve"> </w:t>
            </w:r>
          </w:p>
        </w:tc>
        <w:tc>
          <w:tcPr>
            <w:tcW w:w="3119" w:type="dxa"/>
            <w:tcBorders>
              <w:top w:val="single" w:sz="4" w:space="0" w:color="auto"/>
              <w:left w:val="single" w:sz="4" w:space="0" w:color="auto"/>
              <w:bottom w:val="single" w:sz="4" w:space="0" w:color="auto"/>
            </w:tcBorders>
          </w:tcPr>
          <w:p w:rsidR="00F978A6" w:rsidRPr="004111A7" w:rsidRDefault="00F978A6" w:rsidP="00372EBB">
            <w:pPr>
              <w:tabs>
                <w:tab w:val="left" w:pos="709"/>
              </w:tabs>
              <w:spacing w:before="60" w:after="60" w:line="240" w:lineRule="auto"/>
              <w:jc w:val="left"/>
              <w:rPr>
                <w:rFonts w:ascii="Arial" w:hAnsi="Arial" w:cs="Arial"/>
                <w:b/>
                <w:sz w:val="16"/>
                <w:szCs w:val="16"/>
              </w:rPr>
            </w:pPr>
            <w:r>
              <w:rPr>
                <w:rFonts w:ascii="Arial" w:hAnsi="Arial" w:cs="Arial"/>
                <w:b/>
                <w:sz w:val="16"/>
                <w:szCs w:val="16"/>
              </w:rPr>
              <w:t>Expected</w:t>
            </w:r>
            <w:r w:rsidRPr="00B87B28">
              <w:rPr>
                <w:rFonts w:ascii="Arial" w:hAnsi="Arial" w:cs="Arial"/>
                <w:b/>
                <w:sz w:val="16"/>
                <w:szCs w:val="16"/>
              </w:rPr>
              <w:t xml:space="preserve"> Performance Results</w:t>
            </w:r>
          </w:p>
        </w:tc>
      </w:tr>
      <w:tr w:rsidR="00F978A6" w:rsidRPr="004111A7" w:rsidTr="00DA0838">
        <w:tc>
          <w:tcPr>
            <w:tcW w:w="1418" w:type="dxa"/>
            <w:tcBorders>
              <w:top w:val="double" w:sz="4" w:space="0" w:color="auto"/>
              <w:bottom w:val="single" w:sz="4" w:space="0" w:color="auto"/>
              <w:right w:val="single" w:sz="4" w:space="0" w:color="auto"/>
            </w:tcBorders>
          </w:tcPr>
          <w:p w:rsidR="00536398" w:rsidRPr="004111A7" w:rsidRDefault="00F978A6" w:rsidP="00F95957">
            <w:pPr>
              <w:tabs>
                <w:tab w:val="left" w:pos="709"/>
              </w:tabs>
              <w:spacing w:before="60" w:after="60" w:line="240" w:lineRule="auto"/>
              <w:jc w:val="left"/>
              <w:rPr>
                <w:rFonts w:ascii="Arial" w:hAnsi="Arial" w:cs="Arial"/>
                <w:b/>
                <w:sz w:val="16"/>
                <w:szCs w:val="16"/>
              </w:rPr>
            </w:pPr>
            <w:r>
              <w:rPr>
                <w:rFonts w:ascii="Arial" w:hAnsi="Arial" w:cs="Arial"/>
                <w:sz w:val="16"/>
                <w:szCs w:val="16"/>
              </w:rPr>
              <w:t>Current year</w:t>
            </w:r>
            <w:r w:rsidR="00F95957">
              <w:rPr>
                <w:rFonts w:ascii="Arial" w:hAnsi="Arial" w:cs="Arial"/>
                <w:sz w:val="16"/>
                <w:szCs w:val="16"/>
              </w:rPr>
              <w:t xml:space="preserve"> </w:t>
            </w:r>
            <w:r w:rsidRPr="00D36F09">
              <w:rPr>
                <w:rFonts w:ascii="Arial" w:hAnsi="Arial" w:cs="Arial"/>
                <w:sz w:val="16"/>
                <w:szCs w:val="16"/>
              </w:rPr>
              <w:t>2021-22</w:t>
            </w:r>
            <w:r w:rsidR="00F95957">
              <w:rPr>
                <w:rFonts w:ascii="Arial" w:hAnsi="Arial" w:cs="Arial"/>
                <w:sz w:val="16"/>
                <w:szCs w:val="16"/>
              </w:rPr>
              <w:t xml:space="preserve"> </w:t>
            </w:r>
            <w:r w:rsidR="00536398">
              <w:rPr>
                <w:rFonts w:ascii="Arial" w:hAnsi="Arial" w:cs="Arial"/>
                <w:sz w:val="16"/>
                <w:szCs w:val="16"/>
              </w:rPr>
              <w:t>(continued)</w:t>
            </w:r>
          </w:p>
        </w:tc>
        <w:tc>
          <w:tcPr>
            <w:tcW w:w="3119" w:type="dxa"/>
            <w:tcBorders>
              <w:top w:val="double" w:sz="4" w:space="0" w:color="auto"/>
              <w:left w:val="single" w:sz="4" w:space="0" w:color="auto"/>
              <w:bottom w:val="single" w:sz="4" w:space="0" w:color="auto"/>
              <w:right w:val="single" w:sz="4" w:space="0" w:color="auto"/>
            </w:tcBorders>
          </w:tcPr>
          <w:p w:rsidR="00F978A6" w:rsidRPr="00D36F09" w:rsidRDefault="00F978A6" w:rsidP="006F53D0">
            <w:pPr>
              <w:tabs>
                <w:tab w:val="left" w:pos="709"/>
              </w:tabs>
              <w:autoSpaceDE w:val="0"/>
              <w:adjustRightInd w:val="0"/>
              <w:spacing w:before="60" w:after="60" w:line="240" w:lineRule="auto"/>
              <w:ind w:left="374" w:hanging="357"/>
              <w:contextualSpacing/>
              <w:jc w:val="left"/>
              <w:rPr>
                <w:rFonts w:ascii="Arial" w:eastAsia="Calibri" w:hAnsi="Arial" w:cs="Arial"/>
                <w:b/>
                <w:sz w:val="16"/>
                <w:szCs w:val="16"/>
                <w:lang w:val="en-US" w:eastAsia="x-none"/>
              </w:rPr>
            </w:pPr>
            <w:r w:rsidRPr="00D36F09">
              <w:rPr>
                <w:rFonts w:ascii="Arial" w:eastAsia="Calibri" w:hAnsi="Arial" w:cs="Arial"/>
                <w:b/>
                <w:sz w:val="16"/>
                <w:szCs w:val="16"/>
                <w:lang w:val="en-US" w:eastAsia="x-none"/>
              </w:rPr>
              <w:t xml:space="preserve">Audit and Assurance </w:t>
            </w:r>
          </w:p>
          <w:p w:rsidR="00F978A6" w:rsidRPr="00D36F09" w:rsidRDefault="00F978A6" w:rsidP="00DA1F4B">
            <w:pPr>
              <w:numPr>
                <w:ilvl w:val="0"/>
                <w:numId w:val="30"/>
              </w:numPr>
              <w:autoSpaceDE w:val="0"/>
              <w:adjustRightInd w:val="0"/>
              <w:spacing w:before="60" w:after="60" w:line="240" w:lineRule="auto"/>
              <w:ind w:left="374" w:hanging="357"/>
              <w:contextualSpacing/>
              <w:jc w:val="left"/>
              <w:rPr>
                <w:rFonts w:ascii="Arial" w:eastAsia="Calibri" w:hAnsi="Arial" w:cs="Arial"/>
                <w:i/>
                <w:sz w:val="16"/>
                <w:szCs w:val="16"/>
                <w:lang w:val="en-US" w:eastAsia="en-US"/>
              </w:rPr>
            </w:pPr>
            <w:r w:rsidRPr="00FB281C">
              <w:rPr>
                <w:rFonts w:ascii="Arial" w:eastAsia="Calibri" w:hAnsi="Arial" w:cs="Arial"/>
                <w:sz w:val="16"/>
                <w:szCs w:val="16"/>
                <w:lang w:val="en-US" w:eastAsia="en-US"/>
              </w:rPr>
              <w:t>Conducting assurance activities on</w:t>
            </w:r>
            <w:r w:rsidRPr="00D36F09">
              <w:rPr>
                <w:rFonts w:ascii="Arial" w:eastAsia="Calibri" w:hAnsi="Arial" w:cs="Arial"/>
                <w:sz w:val="16"/>
                <w:szCs w:val="16"/>
                <w:lang w:val="en-US" w:eastAsia="en-US"/>
              </w:rPr>
              <w:t xml:space="preserve"> the work resources of parliamentarians and the travel resources of MOP(S) staff.</w:t>
            </w:r>
          </w:p>
          <w:p w:rsidR="00F978A6" w:rsidRPr="004111A7" w:rsidRDefault="00F978A6" w:rsidP="00372EBB">
            <w:pPr>
              <w:tabs>
                <w:tab w:val="left" w:pos="709"/>
              </w:tabs>
              <w:spacing w:before="60" w:after="60" w:line="240" w:lineRule="auto"/>
              <w:jc w:val="left"/>
              <w:rPr>
                <w:rFonts w:ascii="Arial" w:hAnsi="Arial" w:cs="Arial"/>
                <w:b/>
                <w:sz w:val="16"/>
                <w:szCs w:val="16"/>
              </w:rPr>
            </w:pPr>
          </w:p>
        </w:tc>
        <w:tc>
          <w:tcPr>
            <w:tcW w:w="3119" w:type="dxa"/>
            <w:tcBorders>
              <w:top w:val="double" w:sz="4" w:space="0" w:color="auto"/>
              <w:left w:val="single" w:sz="4" w:space="0" w:color="auto"/>
              <w:bottom w:val="single" w:sz="4" w:space="0" w:color="auto"/>
            </w:tcBorders>
          </w:tcPr>
          <w:p w:rsidR="00F978A6" w:rsidRPr="00D2609F"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i/>
                <w:sz w:val="16"/>
                <w:szCs w:val="16"/>
              </w:rPr>
            </w:pPr>
            <w:r w:rsidRPr="00D2609F">
              <w:rPr>
                <w:rFonts w:ascii="Arial" w:hAnsi="Arial" w:cs="Arial"/>
                <w:sz w:val="16"/>
                <w:szCs w:val="16"/>
              </w:rPr>
              <w:t>All parliamentarians’ offices are subject to one or more forms of assurance activities during the financial year in accordance with IPEA’s published service level standards and procedures</w:t>
            </w:r>
            <w:r>
              <w:rPr>
                <w:rFonts w:ascii="Arial" w:hAnsi="Arial" w:cs="Arial"/>
                <w:sz w:val="16"/>
                <w:szCs w:val="16"/>
              </w:rPr>
              <w:t xml:space="preserve"> </w:t>
            </w:r>
            <w:r w:rsidRPr="00D2609F">
              <w:rPr>
                <w:rFonts w:ascii="Arial" w:hAnsi="Arial" w:cs="Arial"/>
                <w:sz w:val="16"/>
                <w:szCs w:val="16"/>
              </w:rPr>
              <w:t>(protocols and factsheets).</w:t>
            </w:r>
          </w:p>
          <w:p w:rsidR="00F978A6" w:rsidRPr="00D2024C" w:rsidRDefault="00D2024C" w:rsidP="00D2024C">
            <w:pPr>
              <w:tabs>
                <w:tab w:val="left" w:pos="198"/>
              </w:tabs>
              <w:autoSpaceDE w:val="0"/>
              <w:autoSpaceDN w:val="0"/>
              <w:spacing w:before="120" w:after="60" w:line="240" w:lineRule="auto"/>
              <w:jc w:val="left"/>
              <w:rPr>
                <w:rFonts w:ascii="Arial" w:hAnsi="Arial" w:cs="Arial"/>
                <w:i/>
                <w:sz w:val="16"/>
                <w:szCs w:val="16"/>
              </w:rPr>
            </w:pPr>
            <w:r w:rsidRPr="00DA0838">
              <w:rPr>
                <w:rFonts w:ascii="Arial" w:hAnsi="Arial" w:cs="Arial"/>
                <w:b/>
                <w:sz w:val="16"/>
                <w:szCs w:val="16"/>
              </w:rPr>
              <w:t>On track</w:t>
            </w:r>
          </w:p>
        </w:tc>
      </w:tr>
      <w:tr w:rsidR="00F978A6" w:rsidRPr="00A94053" w:rsidTr="00DA0838">
        <w:tc>
          <w:tcPr>
            <w:tcW w:w="1418" w:type="dxa"/>
            <w:tcBorders>
              <w:top w:val="double" w:sz="4" w:space="0" w:color="auto"/>
              <w:left w:val="single" w:sz="4" w:space="0" w:color="auto"/>
              <w:bottom w:val="single" w:sz="4" w:space="0" w:color="auto"/>
              <w:right w:val="single" w:sz="4" w:space="0" w:color="auto"/>
            </w:tcBorders>
          </w:tcPr>
          <w:p w:rsidR="00F978A6" w:rsidRPr="00A94053" w:rsidRDefault="00F978A6" w:rsidP="00372EBB">
            <w:pPr>
              <w:tabs>
                <w:tab w:val="left" w:pos="709"/>
              </w:tabs>
              <w:spacing w:before="60" w:after="60" w:line="240" w:lineRule="auto"/>
              <w:jc w:val="left"/>
              <w:rPr>
                <w:rFonts w:ascii="Arial" w:hAnsi="Arial" w:cs="Arial"/>
                <w:b/>
                <w:sz w:val="16"/>
                <w:szCs w:val="16"/>
              </w:rPr>
            </w:pPr>
            <w:r w:rsidRPr="00A94053">
              <w:rPr>
                <w:rFonts w:ascii="Arial" w:hAnsi="Arial" w:cs="Arial"/>
                <w:b/>
                <w:sz w:val="16"/>
                <w:szCs w:val="16"/>
              </w:rPr>
              <w:t>Year</w:t>
            </w:r>
          </w:p>
        </w:tc>
        <w:tc>
          <w:tcPr>
            <w:tcW w:w="3119" w:type="dxa"/>
            <w:tcBorders>
              <w:top w:val="double" w:sz="4" w:space="0" w:color="auto"/>
              <w:left w:val="single" w:sz="4" w:space="0" w:color="auto"/>
              <w:bottom w:val="single" w:sz="4" w:space="0" w:color="auto"/>
              <w:right w:val="single" w:sz="4" w:space="0" w:color="auto"/>
            </w:tcBorders>
          </w:tcPr>
          <w:p w:rsidR="00F978A6" w:rsidRPr="00A94053" w:rsidRDefault="00F978A6" w:rsidP="00372EBB">
            <w:pPr>
              <w:tabs>
                <w:tab w:val="left" w:pos="709"/>
              </w:tabs>
              <w:spacing w:before="60" w:after="60" w:line="240" w:lineRule="auto"/>
              <w:jc w:val="left"/>
              <w:rPr>
                <w:rFonts w:ascii="Arial" w:hAnsi="Arial" w:cs="Arial"/>
                <w:b/>
                <w:sz w:val="16"/>
                <w:szCs w:val="16"/>
              </w:rPr>
            </w:pPr>
            <w:r w:rsidRPr="00A94053">
              <w:rPr>
                <w:rFonts w:ascii="Arial" w:hAnsi="Arial" w:cs="Arial"/>
                <w:b/>
                <w:sz w:val="16"/>
                <w:szCs w:val="16"/>
              </w:rPr>
              <w:t xml:space="preserve">Performance measure </w:t>
            </w:r>
          </w:p>
        </w:tc>
        <w:tc>
          <w:tcPr>
            <w:tcW w:w="3119" w:type="dxa"/>
            <w:tcBorders>
              <w:top w:val="double" w:sz="4" w:space="0" w:color="auto"/>
              <w:left w:val="single" w:sz="4" w:space="0" w:color="auto"/>
              <w:bottom w:val="single" w:sz="4" w:space="0" w:color="auto"/>
              <w:right w:val="single" w:sz="4" w:space="0" w:color="auto"/>
            </w:tcBorders>
          </w:tcPr>
          <w:p w:rsidR="00F978A6" w:rsidRPr="00A94053" w:rsidRDefault="00F978A6" w:rsidP="00372EBB">
            <w:pPr>
              <w:tabs>
                <w:tab w:val="left" w:pos="709"/>
              </w:tabs>
              <w:spacing w:before="60" w:after="60" w:line="240" w:lineRule="auto"/>
              <w:jc w:val="left"/>
              <w:rPr>
                <w:rFonts w:ascii="Arial" w:hAnsi="Arial" w:cs="Arial"/>
                <w:b/>
                <w:sz w:val="16"/>
                <w:szCs w:val="16"/>
              </w:rPr>
            </w:pPr>
            <w:r w:rsidRPr="00A94053">
              <w:rPr>
                <w:rFonts w:ascii="Arial" w:hAnsi="Arial" w:cs="Arial"/>
                <w:b/>
                <w:sz w:val="16"/>
                <w:szCs w:val="16"/>
              </w:rPr>
              <w:t>Planned Performance Results</w:t>
            </w:r>
          </w:p>
        </w:tc>
      </w:tr>
      <w:tr w:rsidR="00F978A6" w:rsidRPr="004111A7" w:rsidTr="00DA0838">
        <w:tc>
          <w:tcPr>
            <w:tcW w:w="1418" w:type="dxa"/>
            <w:tcBorders>
              <w:top w:val="dotted" w:sz="4" w:space="0" w:color="auto"/>
              <w:bottom w:val="single" w:sz="4" w:space="0" w:color="auto"/>
              <w:right w:val="single" w:sz="4" w:space="0" w:color="auto"/>
            </w:tcBorders>
          </w:tcPr>
          <w:p w:rsidR="00F978A6" w:rsidRPr="00DA0838" w:rsidRDefault="00F978A6" w:rsidP="00F95957">
            <w:pPr>
              <w:pStyle w:val="TableTextBase"/>
              <w:rPr>
                <w:rFonts w:cs="Arial"/>
                <w:sz w:val="16"/>
                <w:szCs w:val="16"/>
              </w:rPr>
            </w:pPr>
            <w:r w:rsidRPr="00DA0838">
              <w:rPr>
                <w:sz w:val="16"/>
                <w:szCs w:val="16"/>
              </w:rPr>
              <w:t xml:space="preserve">Budget Year </w:t>
            </w:r>
            <w:r w:rsidR="001E4B0F">
              <w:rPr>
                <w:sz w:val="16"/>
                <w:szCs w:val="16"/>
              </w:rPr>
              <w:br/>
            </w:r>
            <w:r w:rsidRPr="00DA0838">
              <w:rPr>
                <w:sz w:val="16"/>
                <w:szCs w:val="16"/>
              </w:rPr>
              <w:t>2022-23</w:t>
            </w:r>
          </w:p>
        </w:tc>
        <w:tc>
          <w:tcPr>
            <w:tcW w:w="3119" w:type="dxa"/>
            <w:tcBorders>
              <w:top w:val="dotted" w:sz="4" w:space="0" w:color="auto"/>
              <w:left w:val="single" w:sz="4" w:space="0" w:color="auto"/>
              <w:bottom w:val="single" w:sz="4" w:space="0" w:color="auto"/>
              <w:right w:val="single" w:sz="4" w:space="0" w:color="auto"/>
            </w:tcBorders>
          </w:tcPr>
          <w:p w:rsidR="00F978A6" w:rsidRPr="00DA0838" w:rsidRDefault="00F978A6" w:rsidP="00372EBB">
            <w:pPr>
              <w:tabs>
                <w:tab w:val="left" w:pos="709"/>
              </w:tabs>
              <w:spacing w:before="60" w:after="60" w:line="240" w:lineRule="auto"/>
              <w:jc w:val="left"/>
              <w:rPr>
                <w:rFonts w:ascii="Arial" w:eastAsia="Calibri" w:hAnsi="Arial" w:cs="Arial"/>
                <w:sz w:val="16"/>
                <w:szCs w:val="16"/>
                <w:lang w:val="en-US" w:eastAsia="x-none"/>
              </w:rPr>
            </w:pPr>
            <w:r w:rsidRPr="00DA0838">
              <w:rPr>
                <w:rFonts w:ascii="Arial" w:eastAsia="Calibri" w:hAnsi="Arial" w:cs="Arial"/>
                <w:b/>
                <w:sz w:val="16"/>
                <w:szCs w:val="16"/>
                <w:lang w:val="en-US" w:eastAsia="x-none"/>
              </w:rPr>
              <w:t>Travel — Advice</w:t>
            </w:r>
            <w:r w:rsidRPr="00DA0838">
              <w:rPr>
                <w:rFonts w:ascii="Arial" w:eastAsia="Calibri" w:hAnsi="Arial" w:cs="Arial"/>
                <w:sz w:val="16"/>
                <w:szCs w:val="16"/>
                <w:lang w:val="en-US" w:eastAsia="x-none"/>
              </w:rPr>
              <w:t xml:space="preserve"> </w:t>
            </w:r>
          </w:p>
          <w:p w:rsidR="00F978A6" w:rsidRPr="005166EF"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Provide accurate and timely advice to parliamentarians and MOP(S) staff on travel and related expenses.</w:t>
            </w:r>
          </w:p>
          <w:p w:rsidR="00F978A6" w:rsidRPr="00DA0838" w:rsidRDefault="00F978A6" w:rsidP="00372EBB">
            <w:pPr>
              <w:tabs>
                <w:tab w:val="left" w:pos="709"/>
              </w:tabs>
              <w:spacing w:before="60" w:after="60" w:line="240" w:lineRule="auto"/>
              <w:jc w:val="left"/>
              <w:rPr>
                <w:rFonts w:ascii="Arial" w:eastAsia="Calibri" w:hAnsi="Arial" w:cs="Arial"/>
                <w:sz w:val="16"/>
                <w:szCs w:val="16"/>
                <w:lang w:val="en-US" w:eastAsia="en-US"/>
              </w:rPr>
            </w:pPr>
          </w:p>
          <w:p w:rsidR="00F978A6" w:rsidRPr="00DA0838" w:rsidRDefault="00F978A6" w:rsidP="00372EB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Travel — Claims </w:t>
            </w:r>
          </w:p>
          <w:p w:rsidR="00F978A6" w:rsidRPr="00DA0838"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Accurate and timely processing of claims for travel expenses and allowances relating to parliamentarians and MOP(S) staff.</w:t>
            </w:r>
          </w:p>
          <w:p w:rsidR="00F978A6" w:rsidRPr="00DA0838" w:rsidRDefault="00F978A6" w:rsidP="00372EBB">
            <w:pPr>
              <w:pStyle w:val="ListParagraph"/>
              <w:autoSpaceDE w:val="0"/>
              <w:autoSpaceDN w:val="0"/>
              <w:spacing w:after="0" w:line="240" w:lineRule="auto"/>
              <w:ind w:left="349"/>
              <w:rPr>
                <w:rFonts w:ascii="Arial" w:hAnsi="Arial" w:cs="Arial"/>
                <w:sz w:val="16"/>
                <w:szCs w:val="16"/>
              </w:rPr>
            </w:pPr>
          </w:p>
          <w:p w:rsidR="00F978A6" w:rsidRPr="00DA0838" w:rsidRDefault="00F978A6" w:rsidP="00372EB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Data and Reporting </w:t>
            </w:r>
          </w:p>
          <w:p w:rsidR="00F978A6" w:rsidRPr="00DA0838"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Increasing transparency through the compilation of reports detailing the work resources of current and former parliamentarians and the travel resources of MOP(S) staff.</w:t>
            </w:r>
          </w:p>
          <w:p w:rsidR="00F978A6" w:rsidRPr="005166EF" w:rsidRDefault="00F978A6" w:rsidP="005166EF">
            <w:pPr>
              <w:autoSpaceDE w:val="0"/>
              <w:autoSpaceDN w:val="0"/>
              <w:spacing w:after="0" w:line="240" w:lineRule="auto"/>
              <w:rPr>
                <w:rFonts w:ascii="Arial" w:hAnsi="Arial" w:cs="Arial"/>
                <w:sz w:val="16"/>
                <w:szCs w:val="16"/>
              </w:rPr>
            </w:pPr>
          </w:p>
          <w:p w:rsidR="00F978A6" w:rsidRPr="00DA0838" w:rsidRDefault="00F978A6" w:rsidP="00372EB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Audit and Assurance </w:t>
            </w:r>
          </w:p>
          <w:p w:rsidR="00F978A6" w:rsidRPr="00DA0838"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i/>
                <w:sz w:val="16"/>
                <w:szCs w:val="16"/>
              </w:rPr>
            </w:pPr>
            <w:r w:rsidRPr="00DA0838">
              <w:rPr>
                <w:rFonts w:ascii="Arial" w:hAnsi="Arial" w:cs="Arial"/>
                <w:sz w:val="16"/>
                <w:szCs w:val="16"/>
              </w:rPr>
              <w:t>Conducting assurance activities on the work resources of parliamentarians and the travel resources of MOP(S) staff.</w:t>
            </w:r>
          </w:p>
          <w:p w:rsidR="00F978A6" w:rsidRPr="00DA0838" w:rsidRDefault="00F978A6" w:rsidP="00372EBB">
            <w:pPr>
              <w:tabs>
                <w:tab w:val="left" w:pos="709"/>
              </w:tabs>
              <w:spacing w:before="60" w:after="60" w:line="240" w:lineRule="auto"/>
              <w:jc w:val="left"/>
              <w:rPr>
                <w:rFonts w:ascii="Arial" w:hAnsi="Arial" w:cs="Arial"/>
                <w:i/>
                <w:sz w:val="16"/>
                <w:szCs w:val="16"/>
              </w:rPr>
            </w:pPr>
          </w:p>
          <w:p w:rsidR="00F978A6" w:rsidRPr="00DA0838" w:rsidRDefault="00F978A6" w:rsidP="00372EBB">
            <w:pPr>
              <w:tabs>
                <w:tab w:val="left" w:pos="709"/>
              </w:tabs>
              <w:spacing w:before="60" w:after="60" w:line="240" w:lineRule="auto"/>
              <w:jc w:val="left"/>
              <w:rPr>
                <w:rFonts w:ascii="Arial" w:hAnsi="Arial" w:cs="Arial"/>
                <w:i/>
                <w:sz w:val="16"/>
                <w:szCs w:val="16"/>
              </w:rPr>
            </w:pPr>
          </w:p>
        </w:tc>
        <w:tc>
          <w:tcPr>
            <w:tcW w:w="3119" w:type="dxa"/>
            <w:tcBorders>
              <w:top w:val="dotted" w:sz="4" w:space="0" w:color="auto"/>
              <w:left w:val="single" w:sz="4" w:space="0" w:color="auto"/>
              <w:bottom w:val="single" w:sz="4" w:space="0" w:color="auto"/>
            </w:tcBorders>
          </w:tcPr>
          <w:p w:rsidR="00DA0838" w:rsidRPr="00DA0838" w:rsidRDefault="00DA0838" w:rsidP="00DA0838">
            <w:pPr>
              <w:tabs>
                <w:tab w:val="left" w:pos="198"/>
              </w:tabs>
              <w:autoSpaceDE w:val="0"/>
              <w:autoSpaceDN w:val="0"/>
              <w:spacing w:after="0" w:line="240" w:lineRule="auto"/>
              <w:jc w:val="left"/>
              <w:rPr>
                <w:rFonts w:ascii="Arial" w:hAnsi="Arial" w:cs="Arial"/>
                <w:sz w:val="16"/>
                <w:szCs w:val="16"/>
              </w:rPr>
            </w:pPr>
          </w:p>
          <w:p w:rsidR="00F978A6" w:rsidRPr="00DA0838"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Advice is provided in accordance with IPEA’s published service level standards, which include measurements for quality and timeliness.</w:t>
            </w:r>
          </w:p>
          <w:p w:rsidR="00F978A6" w:rsidRPr="00644847" w:rsidRDefault="00F978A6" w:rsidP="00644847">
            <w:pPr>
              <w:tabs>
                <w:tab w:val="left" w:pos="709"/>
              </w:tabs>
              <w:spacing w:before="60" w:after="60" w:line="240" w:lineRule="auto"/>
              <w:jc w:val="left"/>
              <w:rPr>
                <w:rFonts w:ascii="Arial" w:eastAsia="Calibri" w:hAnsi="Arial" w:cs="Arial"/>
                <w:sz w:val="16"/>
                <w:szCs w:val="16"/>
                <w:lang w:val="en-US" w:eastAsia="en-US"/>
              </w:rPr>
            </w:pPr>
          </w:p>
          <w:p w:rsidR="005166EF" w:rsidRPr="00DA0838" w:rsidRDefault="005166EF" w:rsidP="00644847">
            <w:pPr>
              <w:autoSpaceDE w:val="0"/>
              <w:autoSpaceDN w:val="0"/>
              <w:adjustRightInd w:val="0"/>
              <w:spacing w:before="60" w:after="60" w:line="240" w:lineRule="auto"/>
              <w:ind w:left="374"/>
              <w:contextualSpacing/>
              <w:jc w:val="left"/>
              <w:rPr>
                <w:rFonts w:ascii="Arial" w:hAnsi="Arial" w:cs="Arial"/>
                <w:sz w:val="16"/>
                <w:szCs w:val="16"/>
              </w:rPr>
            </w:pPr>
          </w:p>
          <w:p w:rsidR="00F978A6" w:rsidRPr="005166EF"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 xml:space="preserve">Claims for travel expenses and allowances are processed in accordance with IPEA’s published service level standards, which include measurements for accuracy and timeliness. </w:t>
            </w:r>
          </w:p>
          <w:p w:rsidR="005166EF" w:rsidRPr="00DA0838" w:rsidRDefault="005166EF" w:rsidP="00644847">
            <w:pPr>
              <w:autoSpaceDE w:val="0"/>
              <w:autoSpaceDN w:val="0"/>
              <w:adjustRightInd w:val="0"/>
              <w:spacing w:before="60" w:after="60" w:line="240" w:lineRule="auto"/>
              <w:ind w:left="374"/>
              <w:contextualSpacing/>
              <w:jc w:val="left"/>
              <w:rPr>
                <w:rFonts w:ascii="Arial" w:hAnsi="Arial" w:cs="Arial"/>
                <w:sz w:val="16"/>
                <w:szCs w:val="16"/>
              </w:rPr>
            </w:pPr>
          </w:p>
          <w:p w:rsidR="00F978A6" w:rsidRPr="00644847" w:rsidRDefault="00F978A6"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Reports relating to work expenses for parliamentarians and their staff are prepared and provided as per IPEA’s published service level standards.</w:t>
            </w:r>
          </w:p>
          <w:p w:rsidR="00F978A6" w:rsidRPr="00644847" w:rsidRDefault="00F978A6" w:rsidP="00644847">
            <w:pPr>
              <w:pStyle w:val="ListParagraph"/>
              <w:autoSpaceDE w:val="0"/>
              <w:autoSpaceDN w:val="0"/>
              <w:adjustRightInd w:val="0"/>
              <w:spacing w:before="60" w:after="60" w:line="240" w:lineRule="auto"/>
              <w:ind w:left="374"/>
              <w:rPr>
                <w:rFonts w:ascii="Arial" w:hAnsi="Arial" w:cs="Arial"/>
                <w:sz w:val="16"/>
                <w:szCs w:val="16"/>
              </w:rPr>
            </w:pPr>
          </w:p>
          <w:p w:rsidR="005166EF" w:rsidRPr="00644847" w:rsidRDefault="005166EF" w:rsidP="00644847">
            <w:pPr>
              <w:pStyle w:val="ListParagraph"/>
              <w:autoSpaceDE w:val="0"/>
              <w:autoSpaceDN w:val="0"/>
              <w:adjustRightInd w:val="0"/>
              <w:spacing w:before="60" w:after="60" w:line="240" w:lineRule="auto"/>
              <w:ind w:left="374"/>
              <w:rPr>
                <w:rFonts w:ascii="Arial" w:hAnsi="Arial" w:cs="Arial"/>
                <w:sz w:val="16"/>
                <w:szCs w:val="16"/>
              </w:rPr>
            </w:pPr>
          </w:p>
          <w:p w:rsidR="00F978A6" w:rsidRPr="00DA0838" w:rsidRDefault="00F978A6" w:rsidP="00644847">
            <w:pPr>
              <w:numPr>
                <w:ilvl w:val="0"/>
                <w:numId w:val="21"/>
              </w:numPr>
              <w:autoSpaceDE w:val="0"/>
              <w:autoSpaceDN w:val="0"/>
              <w:adjustRightInd w:val="0"/>
              <w:spacing w:before="60" w:after="60" w:line="240" w:lineRule="auto"/>
              <w:ind w:left="374" w:hanging="357"/>
              <w:contextualSpacing/>
              <w:jc w:val="left"/>
              <w:rPr>
                <w:rFonts w:ascii="Arial" w:hAnsi="Arial" w:cs="Arial"/>
                <w:i/>
                <w:sz w:val="16"/>
                <w:szCs w:val="16"/>
              </w:rPr>
            </w:pPr>
            <w:r w:rsidRPr="00DA0838">
              <w:rPr>
                <w:rFonts w:ascii="Arial" w:hAnsi="Arial" w:cs="Arial"/>
                <w:sz w:val="16"/>
                <w:szCs w:val="16"/>
              </w:rPr>
              <w:t>All parliamentarians’ offices are subject to one or more forms of assurance activities during the financial year in accordance with IPEA’s published service level standards and procedures (protocols and factsheets).</w:t>
            </w:r>
          </w:p>
          <w:p w:rsidR="00F978A6" w:rsidRPr="00DA0838" w:rsidRDefault="00F978A6" w:rsidP="00372EBB">
            <w:pPr>
              <w:tabs>
                <w:tab w:val="left" w:pos="198"/>
              </w:tabs>
              <w:autoSpaceDE w:val="0"/>
              <w:autoSpaceDN w:val="0"/>
              <w:spacing w:after="0" w:line="240" w:lineRule="auto"/>
              <w:ind w:left="198"/>
              <w:jc w:val="left"/>
              <w:rPr>
                <w:rFonts w:ascii="Arial" w:hAnsi="Arial" w:cs="Arial"/>
                <w:i/>
                <w:sz w:val="16"/>
                <w:szCs w:val="16"/>
              </w:rPr>
            </w:pPr>
          </w:p>
        </w:tc>
      </w:tr>
    </w:tbl>
    <w:p w:rsidR="00F978A6" w:rsidRPr="00DA0838" w:rsidRDefault="00F978A6" w:rsidP="004E0294">
      <w:pPr>
        <w:pStyle w:val="TableGraphic"/>
        <w:rPr>
          <w:rFonts w:ascii="Arial" w:hAnsi="Arial" w:cs="Arial"/>
          <w:sz w:val="16"/>
          <w:szCs w:val="16"/>
        </w:rPr>
      </w:pPr>
      <w:r w:rsidRPr="00DA0838">
        <w:rPr>
          <w:rFonts w:ascii="Arial" w:hAnsi="Arial" w:cs="Arial"/>
          <w:sz w:val="16"/>
          <w:szCs w:val="16"/>
          <w:lang w:eastAsia="x-none"/>
        </w:rPr>
        <w:t>Table continues on next page</w:t>
      </w:r>
    </w:p>
    <w:p w:rsidR="00F978A6" w:rsidRDefault="00F978A6" w:rsidP="004E0294"/>
    <w:p w:rsidR="005166EF" w:rsidRDefault="005166EF" w:rsidP="004E0294"/>
    <w:p w:rsidR="00745217" w:rsidRDefault="00745217" w:rsidP="004E0294"/>
    <w:p w:rsidR="00DA0838" w:rsidRPr="00F61956" w:rsidRDefault="00DA0838" w:rsidP="004E0294"/>
    <w:p w:rsidR="00771EDB" w:rsidRDefault="00771EDB" w:rsidP="00771EDB">
      <w:pPr>
        <w:pStyle w:val="TableHeading"/>
        <w:rPr>
          <w:lang w:val="en-AU"/>
        </w:rPr>
      </w:pPr>
      <w:r w:rsidRPr="004111A7">
        <w:lastRenderedPageBreak/>
        <w:t>Table 2.</w:t>
      </w:r>
      <w:r w:rsidRPr="004111A7">
        <w:rPr>
          <w:lang w:val="en-AU"/>
        </w:rPr>
        <w:t>1</w:t>
      </w:r>
      <w:r w:rsidRPr="004111A7">
        <w:t>.</w:t>
      </w:r>
      <w:r w:rsidRPr="004111A7">
        <w:rPr>
          <w:lang w:val="en-AU"/>
        </w:rPr>
        <w:t>2</w:t>
      </w:r>
      <w:r w:rsidRPr="004111A7">
        <w:t xml:space="preserve">: Performance measures for Outcome </w:t>
      </w:r>
      <w:r w:rsidRPr="004111A7">
        <w:rPr>
          <w:lang w:val="en-AU"/>
        </w:rPr>
        <w:t>1 (continued)</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137"/>
        <w:gridCol w:w="3137"/>
        <w:gridCol w:w="7"/>
      </w:tblGrid>
      <w:tr w:rsidR="00DA0838" w:rsidRPr="00DA0838" w:rsidTr="001E4B0F">
        <w:tc>
          <w:tcPr>
            <w:tcW w:w="7700" w:type="dxa"/>
            <w:gridSpan w:val="4"/>
            <w:tcBorders>
              <w:top w:val="single" w:sz="4" w:space="0" w:color="auto"/>
              <w:left w:val="single" w:sz="4" w:space="0" w:color="auto"/>
              <w:bottom w:val="single" w:sz="4" w:space="0" w:color="auto"/>
              <w:right w:val="single" w:sz="4" w:space="0" w:color="auto"/>
            </w:tcBorders>
            <w:shd w:val="clear" w:color="auto" w:fill="F2F2F2"/>
          </w:tcPr>
          <w:p w:rsidR="00DA0838" w:rsidRPr="00744D7C" w:rsidRDefault="00DA0838" w:rsidP="00745217">
            <w:pPr>
              <w:spacing w:before="60" w:after="60" w:line="240" w:lineRule="auto"/>
              <w:jc w:val="left"/>
              <w:rPr>
                <w:rFonts w:ascii="Arial" w:hAnsi="Arial"/>
                <w:b/>
                <w:sz w:val="18"/>
                <w:szCs w:val="18"/>
              </w:rPr>
            </w:pPr>
            <w:r w:rsidRPr="00744D7C">
              <w:rPr>
                <w:rFonts w:ascii="Arial" w:hAnsi="Arial"/>
                <w:b/>
                <w:sz w:val="18"/>
                <w:szCs w:val="18"/>
              </w:rPr>
              <w:t>Program 1.1 – Independent Parliamentary Expenses Authority – Travel Oversight and Reporting.</w:t>
            </w:r>
          </w:p>
        </w:tc>
      </w:tr>
      <w:tr w:rsidR="00771EDB" w:rsidRPr="004111A7" w:rsidTr="001E4B0F">
        <w:trPr>
          <w:gridAfter w:val="1"/>
          <w:wAfter w:w="7" w:type="dxa"/>
        </w:trPr>
        <w:tc>
          <w:tcPr>
            <w:tcW w:w="1424" w:type="dxa"/>
            <w:tcBorders>
              <w:top w:val="single" w:sz="4" w:space="0" w:color="auto"/>
              <w:bottom w:val="single" w:sz="4" w:space="0" w:color="auto"/>
              <w:right w:val="single" w:sz="4" w:space="0" w:color="auto"/>
            </w:tcBorders>
          </w:tcPr>
          <w:p w:rsidR="00771EDB" w:rsidRPr="00DA0838" w:rsidRDefault="00771EDB" w:rsidP="00771EDB">
            <w:pPr>
              <w:tabs>
                <w:tab w:val="left" w:pos="709"/>
              </w:tabs>
              <w:spacing w:before="60" w:after="60" w:line="240" w:lineRule="auto"/>
              <w:jc w:val="left"/>
              <w:rPr>
                <w:rFonts w:ascii="Arial" w:hAnsi="Arial" w:cs="Arial"/>
                <w:b/>
                <w:sz w:val="16"/>
                <w:szCs w:val="16"/>
              </w:rPr>
            </w:pPr>
            <w:r w:rsidRPr="00DA0838">
              <w:rPr>
                <w:rFonts w:ascii="Arial" w:hAnsi="Arial" w:cs="Arial"/>
                <w:b/>
                <w:sz w:val="16"/>
                <w:szCs w:val="16"/>
              </w:rPr>
              <w:t>Year</w:t>
            </w:r>
          </w:p>
        </w:tc>
        <w:tc>
          <w:tcPr>
            <w:tcW w:w="3137" w:type="dxa"/>
            <w:tcBorders>
              <w:top w:val="single" w:sz="4" w:space="0" w:color="auto"/>
              <w:left w:val="single" w:sz="4" w:space="0" w:color="auto"/>
              <w:bottom w:val="single" w:sz="4" w:space="0" w:color="auto"/>
              <w:right w:val="single" w:sz="4" w:space="0" w:color="auto"/>
            </w:tcBorders>
          </w:tcPr>
          <w:p w:rsidR="00771EDB" w:rsidRPr="00DA0838" w:rsidRDefault="00771EDB" w:rsidP="00771EDB">
            <w:pPr>
              <w:tabs>
                <w:tab w:val="left" w:pos="709"/>
              </w:tabs>
              <w:spacing w:before="60" w:after="60" w:line="240" w:lineRule="auto"/>
              <w:jc w:val="left"/>
              <w:rPr>
                <w:rFonts w:ascii="Arial" w:hAnsi="Arial" w:cs="Arial"/>
                <w:b/>
                <w:sz w:val="16"/>
                <w:szCs w:val="16"/>
              </w:rPr>
            </w:pPr>
            <w:r w:rsidRPr="00DA0838">
              <w:rPr>
                <w:rFonts w:ascii="Arial" w:hAnsi="Arial" w:cs="Arial"/>
                <w:b/>
                <w:sz w:val="16"/>
                <w:szCs w:val="16"/>
              </w:rPr>
              <w:t>Performance measure</w:t>
            </w:r>
            <w:r w:rsidRPr="00DA0838">
              <w:rPr>
                <w:rFonts w:ascii="Arial" w:hAnsi="Arial" w:cs="Arial"/>
                <w:sz w:val="16"/>
                <w:szCs w:val="16"/>
              </w:rPr>
              <w:t xml:space="preserve"> </w:t>
            </w:r>
          </w:p>
        </w:tc>
        <w:tc>
          <w:tcPr>
            <w:tcW w:w="3137" w:type="dxa"/>
            <w:tcBorders>
              <w:top w:val="single" w:sz="4" w:space="0" w:color="auto"/>
              <w:left w:val="single" w:sz="4" w:space="0" w:color="auto"/>
              <w:bottom w:val="single" w:sz="4" w:space="0" w:color="auto"/>
            </w:tcBorders>
          </w:tcPr>
          <w:p w:rsidR="00771EDB" w:rsidRPr="00DA0838" w:rsidRDefault="00771EDB" w:rsidP="00771EDB">
            <w:pPr>
              <w:tabs>
                <w:tab w:val="left" w:pos="709"/>
              </w:tabs>
              <w:spacing w:before="60" w:after="60" w:line="240" w:lineRule="auto"/>
              <w:jc w:val="left"/>
              <w:rPr>
                <w:rFonts w:ascii="Arial" w:hAnsi="Arial" w:cs="Arial"/>
                <w:b/>
                <w:sz w:val="16"/>
                <w:szCs w:val="16"/>
              </w:rPr>
            </w:pPr>
            <w:r w:rsidRPr="00DA0838">
              <w:rPr>
                <w:rFonts w:ascii="Arial" w:hAnsi="Arial" w:cs="Arial"/>
                <w:b/>
                <w:sz w:val="16"/>
                <w:szCs w:val="16"/>
              </w:rPr>
              <w:t>Planned Performance Results</w:t>
            </w:r>
          </w:p>
        </w:tc>
      </w:tr>
      <w:tr w:rsidR="00771EDB" w:rsidRPr="004111A7" w:rsidTr="001E4B0F">
        <w:trPr>
          <w:gridAfter w:val="1"/>
          <w:wAfter w:w="7" w:type="dxa"/>
        </w:trPr>
        <w:tc>
          <w:tcPr>
            <w:tcW w:w="1424" w:type="dxa"/>
            <w:tcBorders>
              <w:top w:val="dotted" w:sz="4" w:space="0" w:color="auto"/>
              <w:right w:val="single" w:sz="4" w:space="0" w:color="auto"/>
            </w:tcBorders>
          </w:tcPr>
          <w:p w:rsidR="00771EDB" w:rsidRPr="00DA0838" w:rsidRDefault="00771EDB" w:rsidP="001E4B0F">
            <w:pPr>
              <w:tabs>
                <w:tab w:val="left" w:pos="709"/>
              </w:tabs>
              <w:spacing w:before="60" w:after="60" w:line="240" w:lineRule="auto"/>
              <w:jc w:val="left"/>
              <w:rPr>
                <w:rFonts w:ascii="Arial" w:hAnsi="Arial" w:cs="Arial"/>
                <w:sz w:val="16"/>
                <w:szCs w:val="16"/>
              </w:rPr>
            </w:pPr>
            <w:r w:rsidRPr="00DA0838">
              <w:rPr>
                <w:rFonts w:ascii="Arial" w:hAnsi="Arial" w:cs="Arial"/>
                <w:sz w:val="16"/>
                <w:szCs w:val="16"/>
              </w:rPr>
              <w:t>Forward Estimates</w:t>
            </w:r>
            <w:r w:rsidR="001E4B0F">
              <w:rPr>
                <w:rFonts w:ascii="Arial" w:hAnsi="Arial" w:cs="Arial"/>
                <w:sz w:val="16"/>
                <w:szCs w:val="16"/>
              </w:rPr>
              <w:br/>
            </w:r>
            <w:r w:rsidRPr="00DA0838">
              <w:rPr>
                <w:rFonts w:ascii="Arial" w:hAnsi="Arial" w:cs="Arial"/>
                <w:sz w:val="16"/>
                <w:szCs w:val="16"/>
              </w:rPr>
              <w:t xml:space="preserve">2023-26 </w:t>
            </w:r>
          </w:p>
        </w:tc>
        <w:tc>
          <w:tcPr>
            <w:tcW w:w="3137" w:type="dxa"/>
            <w:tcBorders>
              <w:top w:val="dotted" w:sz="4" w:space="0" w:color="auto"/>
              <w:left w:val="single" w:sz="4" w:space="0" w:color="auto"/>
              <w:right w:val="single" w:sz="4" w:space="0" w:color="auto"/>
            </w:tcBorders>
          </w:tcPr>
          <w:p w:rsidR="00771EDB" w:rsidRPr="00DA0838" w:rsidRDefault="00771EDB" w:rsidP="00771EDB">
            <w:pPr>
              <w:tabs>
                <w:tab w:val="left" w:pos="709"/>
              </w:tabs>
              <w:spacing w:before="60" w:after="60" w:line="240" w:lineRule="auto"/>
              <w:jc w:val="left"/>
              <w:rPr>
                <w:rFonts w:ascii="Arial" w:eastAsia="Calibri" w:hAnsi="Arial" w:cs="Arial"/>
                <w:sz w:val="16"/>
                <w:szCs w:val="16"/>
                <w:lang w:val="en-US" w:eastAsia="x-none"/>
              </w:rPr>
            </w:pPr>
            <w:r w:rsidRPr="00DA0838">
              <w:rPr>
                <w:rFonts w:ascii="Arial" w:eastAsia="Calibri" w:hAnsi="Arial" w:cs="Arial"/>
                <w:b/>
                <w:sz w:val="16"/>
                <w:szCs w:val="16"/>
                <w:lang w:val="en-US" w:eastAsia="x-none"/>
              </w:rPr>
              <w:t>Travel — Advice</w:t>
            </w:r>
            <w:r w:rsidRPr="00DA0838">
              <w:rPr>
                <w:rFonts w:ascii="Arial" w:eastAsia="Calibri" w:hAnsi="Arial" w:cs="Arial"/>
                <w:sz w:val="16"/>
                <w:szCs w:val="16"/>
                <w:lang w:val="en-US" w:eastAsia="x-none"/>
              </w:rPr>
              <w:t xml:space="preserve"> </w:t>
            </w:r>
          </w:p>
          <w:p w:rsidR="00771EDB" w:rsidRPr="00DA0838"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Provide accurate and timely advice to parliamentarians and MOP(S) staff on travel and related expenses.</w:t>
            </w:r>
          </w:p>
          <w:p w:rsidR="00771EDB" w:rsidRPr="00DA0838" w:rsidRDefault="00771EDB" w:rsidP="00771EDB">
            <w:pPr>
              <w:tabs>
                <w:tab w:val="left" w:pos="709"/>
              </w:tabs>
              <w:spacing w:before="60" w:after="60" w:line="240" w:lineRule="auto"/>
              <w:jc w:val="left"/>
              <w:rPr>
                <w:rFonts w:ascii="Arial" w:eastAsia="Calibri" w:hAnsi="Arial" w:cs="Arial"/>
                <w:sz w:val="16"/>
                <w:szCs w:val="16"/>
                <w:lang w:val="en-US" w:eastAsia="en-US"/>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Travel — Claims </w:t>
            </w:r>
          </w:p>
          <w:p w:rsidR="00771EDB" w:rsidRPr="00DA0838"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Accurate and timely processing of claims for travel expenses and allowances relating to parliamentarians and MOP(S) staff.</w:t>
            </w:r>
          </w:p>
          <w:p w:rsidR="00771EDB" w:rsidRPr="00DA0838" w:rsidRDefault="00771EDB" w:rsidP="00771EDB">
            <w:pPr>
              <w:pStyle w:val="ListParagraph"/>
              <w:autoSpaceDE w:val="0"/>
              <w:autoSpaceDN w:val="0"/>
              <w:spacing w:after="0" w:line="240" w:lineRule="auto"/>
              <w:ind w:left="349"/>
              <w:rPr>
                <w:rFonts w:ascii="Arial" w:hAnsi="Arial" w:cs="Arial"/>
                <w:sz w:val="16"/>
                <w:szCs w:val="16"/>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Data and Reporting </w:t>
            </w:r>
          </w:p>
          <w:p w:rsidR="00771EDB" w:rsidRPr="00DA0838"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Increasing transparency through the compilation of reports detailing the work resources of current and former parliamentarians and the travel resources of MOP(S) staff.</w:t>
            </w:r>
          </w:p>
          <w:p w:rsidR="00771EDB" w:rsidRPr="00DA0838" w:rsidRDefault="00771EDB" w:rsidP="00771EDB">
            <w:pPr>
              <w:pStyle w:val="ListParagraph"/>
              <w:autoSpaceDE w:val="0"/>
              <w:autoSpaceDN w:val="0"/>
              <w:spacing w:after="0" w:line="240" w:lineRule="auto"/>
              <w:ind w:left="349"/>
              <w:rPr>
                <w:rFonts w:ascii="Arial" w:hAnsi="Arial" w:cs="Arial"/>
                <w:sz w:val="16"/>
                <w:szCs w:val="16"/>
              </w:rPr>
            </w:pPr>
          </w:p>
          <w:p w:rsidR="00771EDB" w:rsidRPr="00DA0838" w:rsidRDefault="00771EDB" w:rsidP="00771EDB">
            <w:pPr>
              <w:pStyle w:val="ListParagraph"/>
              <w:autoSpaceDE w:val="0"/>
              <w:autoSpaceDN w:val="0"/>
              <w:spacing w:after="0" w:line="240" w:lineRule="auto"/>
              <w:ind w:left="349"/>
              <w:rPr>
                <w:rFonts w:ascii="Arial" w:hAnsi="Arial" w:cs="Arial"/>
                <w:sz w:val="16"/>
                <w:szCs w:val="16"/>
              </w:rPr>
            </w:pPr>
          </w:p>
          <w:p w:rsidR="00771EDB" w:rsidRPr="00DA0838" w:rsidRDefault="00771EDB" w:rsidP="00771EDB">
            <w:pPr>
              <w:tabs>
                <w:tab w:val="left" w:pos="709"/>
              </w:tabs>
              <w:spacing w:before="60" w:after="60" w:line="240" w:lineRule="auto"/>
              <w:jc w:val="left"/>
              <w:rPr>
                <w:rFonts w:ascii="Arial" w:eastAsia="Calibri" w:hAnsi="Arial" w:cs="Arial"/>
                <w:b/>
                <w:sz w:val="16"/>
                <w:szCs w:val="16"/>
                <w:lang w:val="en-US" w:eastAsia="x-none"/>
              </w:rPr>
            </w:pPr>
            <w:r w:rsidRPr="00DA0838">
              <w:rPr>
                <w:rFonts w:ascii="Arial" w:eastAsia="Calibri" w:hAnsi="Arial" w:cs="Arial"/>
                <w:b/>
                <w:sz w:val="16"/>
                <w:szCs w:val="16"/>
                <w:lang w:val="en-US" w:eastAsia="x-none"/>
              </w:rPr>
              <w:t xml:space="preserve">Audit and Assurance </w:t>
            </w:r>
          </w:p>
          <w:p w:rsidR="00771EDB" w:rsidRPr="00AF79D1" w:rsidRDefault="00771EDB" w:rsidP="00DA1F4B">
            <w:pPr>
              <w:pStyle w:val="ListParagraph"/>
              <w:numPr>
                <w:ilvl w:val="0"/>
                <w:numId w:val="30"/>
              </w:numPr>
              <w:autoSpaceDE w:val="0"/>
              <w:autoSpaceDN w:val="0"/>
              <w:adjustRightInd w:val="0"/>
              <w:spacing w:before="60" w:after="60" w:line="240" w:lineRule="auto"/>
              <w:ind w:left="374" w:hanging="357"/>
              <w:rPr>
                <w:rFonts w:ascii="Arial" w:hAnsi="Arial" w:cs="Arial"/>
                <w:sz w:val="16"/>
                <w:szCs w:val="16"/>
              </w:rPr>
            </w:pPr>
            <w:r w:rsidRPr="00DA0838">
              <w:rPr>
                <w:rFonts w:ascii="Arial" w:hAnsi="Arial" w:cs="Arial"/>
                <w:sz w:val="16"/>
                <w:szCs w:val="16"/>
              </w:rPr>
              <w:t>Conducting assurance activities on the work resources of parliamentarians and the travel resources of MOP(S) staff.</w:t>
            </w:r>
          </w:p>
          <w:p w:rsidR="00771EDB" w:rsidRPr="00DA0838" w:rsidRDefault="00771EDB" w:rsidP="00771EDB">
            <w:pPr>
              <w:tabs>
                <w:tab w:val="left" w:pos="709"/>
              </w:tabs>
              <w:spacing w:before="60" w:after="60" w:line="240" w:lineRule="auto"/>
              <w:jc w:val="left"/>
              <w:rPr>
                <w:rFonts w:ascii="Arial" w:hAnsi="Arial" w:cs="Arial"/>
                <w:i/>
                <w:sz w:val="16"/>
                <w:szCs w:val="16"/>
              </w:rPr>
            </w:pPr>
          </w:p>
        </w:tc>
        <w:tc>
          <w:tcPr>
            <w:tcW w:w="3137" w:type="dxa"/>
            <w:tcBorders>
              <w:top w:val="dotted" w:sz="4" w:space="0" w:color="auto"/>
              <w:left w:val="single" w:sz="4" w:space="0" w:color="auto"/>
            </w:tcBorders>
          </w:tcPr>
          <w:p w:rsidR="004E25C9" w:rsidRPr="00DA0838" w:rsidRDefault="004E25C9" w:rsidP="00644847">
            <w:pPr>
              <w:tabs>
                <w:tab w:val="left" w:pos="709"/>
              </w:tabs>
              <w:spacing w:before="60" w:after="60" w:line="240" w:lineRule="auto"/>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Advice is provided in accordance with IPEA’s published service level standards, which include measurements for quality and timeliness.</w:t>
            </w:r>
          </w:p>
          <w:p w:rsidR="00771EDB" w:rsidRDefault="00771EDB"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4E25C9" w:rsidRPr="00DA0838" w:rsidRDefault="004E25C9"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sz w:val="16"/>
                <w:szCs w:val="16"/>
              </w:rPr>
            </w:pPr>
            <w:r w:rsidRPr="00DA0838">
              <w:rPr>
                <w:rFonts w:ascii="Arial" w:hAnsi="Arial" w:cs="Arial"/>
                <w:sz w:val="16"/>
                <w:szCs w:val="16"/>
              </w:rPr>
              <w:t xml:space="preserve">Claims for travel expenses and allowances are processed in accordance with IPEA’s published service level standards, which include measurements for accuracy and timeliness. </w:t>
            </w:r>
          </w:p>
          <w:p w:rsidR="00E8733A" w:rsidRDefault="00E8733A"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4E25C9" w:rsidRPr="00DA0838" w:rsidRDefault="004E25C9" w:rsidP="00AF79D1">
            <w:pPr>
              <w:tabs>
                <w:tab w:val="left" w:pos="198"/>
              </w:tabs>
              <w:autoSpaceDE w:val="0"/>
              <w:autoSpaceDN w:val="0"/>
              <w:adjustRightInd w:val="0"/>
              <w:spacing w:before="60" w:after="60" w:line="240" w:lineRule="auto"/>
              <w:ind w:left="374" w:hanging="357"/>
              <w:contextualSpacing/>
              <w:jc w:val="left"/>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i/>
                <w:sz w:val="16"/>
                <w:szCs w:val="16"/>
              </w:rPr>
            </w:pPr>
            <w:r w:rsidRPr="00DA0838">
              <w:rPr>
                <w:rFonts w:ascii="Arial" w:hAnsi="Arial" w:cs="Arial"/>
                <w:sz w:val="16"/>
                <w:szCs w:val="16"/>
              </w:rPr>
              <w:t>Reports relating to work expenses for parliamentarians and their staff are prepared and provided as per IPEA’s published service level standards.</w:t>
            </w:r>
          </w:p>
          <w:p w:rsidR="00771EDB" w:rsidRPr="00644847" w:rsidRDefault="00771EDB" w:rsidP="00644847">
            <w:pPr>
              <w:pStyle w:val="ListParagraph"/>
              <w:autoSpaceDE w:val="0"/>
              <w:autoSpaceDN w:val="0"/>
              <w:spacing w:after="0" w:line="240" w:lineRule="auto"/>
              <w:ind w:left="349"/>
              <w:rPr>
                <w:rFonts w:ascii="Arial" w:hAnsi="Arial" w:cs="Arial"/>
                <w:sz w:val="16"/>
                <w:szCs w:val="16"/>
              </w:rPr>
            </w:pPr>
          </w:p>
          <w:p w:rsidR="00E8733A" w:rsidRPr="00644847" w:rsidRDefault="00E8733A" w:rsidP="00644847">
            <w:pPr>
              <w:pStyle w:val="ListParagraph"/>
              <w:autoSpaceDE w:val="0"/>
              <w:autoSpaceDN w:val="0"/>
              <w:spacing w:after="0" w:line="240" w:lineRule="auto"/>
              <w:ind w:left="349"/>
              <w:rPr>
                <w:rFonts w:ascii="Arial" w:hAnsi="Arial" w:cs="Arial"/>
                <w:sz w:val="16"/>
                <w:szCs w:val="16"/>
              </w:rPr>
            </w:pPr>
          </w:p>
          <w:p w:rsidR="00E8733A" w:rsidRPr="00644847" w:rsidRDefault="00E8733A" w:rsidP="00644847">
            <w:pPr>
              <w:pStyle w:val="ListParagraph"/>
              <w:autoSpaceDE w:val="0"/>
              <w:autoSpaceDN w:val="0"/>
              <w:spacing w:after="0" w:line="240" w:lineRule="auto"/>
              <w:ind w:left="349"/>
              <w:rPr>
                <w:rFonts w:ascii="Arial" w:hAnsi="Arial" w:cs="Arial"/>
                <w:sz w:val="16"/>
                <w:szCs w:val="16"/>
              </w:rPr>
            </w:pPr>
          </w:p>
          <w:p w:rsidR="00771EDB" w:rsidRPr="00DA0838" w:rsidRDefault="00771EDB" w:rsidP="00644847">
            <w:pPr>
              <w:numPr>
                <w:ilvl w:val="0"/>
                <w:numId w:val="21"/>
              </w:numPr>
              <w:tabs>
                <w:tab w:val="left" w:pos="27"/>
              </w:tabs>
              <w:autoSpaceDE w:val="0"/>
              <w:autoSpaceDN w:val="0"/>
              <w:adjustRightInd w:val="0"/>
              <w:spacing w:before="60" w:after="60" w:line="240" w:lineRule="auto"/>
              <w:ind w:left="374" w:hanging="357"/>
              <w:contextualSpacing/>
              <w:jc w:val="left"/>
              <w:rPr>
                <w:rFonts w:ascii="Arial" w:hAnsi="Arial" w:cs="Arial"/>
                <w:i/>
                <w:sz w:val="16"/>
                <w:szCs w:val="16"/>
              </w:rPr>
            </w:pPr>
            <w:r w:rsidRPr="00DA0838">
              <w:rPr>
                <w:rFonts w:ascii="Arial" w:hAnsi="Arial" w:cs="Arial"/>
                <w:sz w:val="16"/>
                <w:szCs w:val="16"/>
              </w:rPr>
              <w:t>All parliamentarians’ offices are subject to one or more forms of assurance activities during the financial year in accordance with IPEA’s published service level standards and procedures (protocols and factsheets).</w:t>
            </w:r>
          </w:p>
          <w:p w:rsidR="00771EDB" w:rsidRPr="00DA0838" w:rsidRDefault="00771EDB" w:rsidP="00771EDB">
            <w:pPr>
              <w:tabs>
                <w:tab w:val="left" w:pos="198"/>
              </w:tabs>
              <w:autoSpaceDE w:val="0"/>
              <w:autoSpaceDN w:val="0"/>
              <w:spacing w:after="0" w:line="240" w:lineRule="auto"/>
              <w:ind w:left="198"/>
              <w:jc w:val="left"/>
              <w:rPr>
                <w:rFonts w:ascii="Arial" w:hAnsi="Arial" w:cs="Arial"/>
                <w:i/>
                <w:sz w:val="16"/>
                <w:szCs w:val="16"/>
              </w:rPr>
            </w:pPr>
          </w:p>
        </w:tc>
      </w:tr>
      <w:tr w:rsidR="005412DC" w:rsidRPr="00160C23" w:rsidTr="001E4B0F">
        <w:trPr>
          <w:gridAfter w:val="1"/>
          <w:wAfter w:w="7" w:type="dxa"/>
          <w:trHeight w:val="291"/>
        </w:trPr>
        <w:tc>
          <w:tcPr>
            <w:tcW w:w="7698" w:type="dxa"/>
            <w:gridSpan w:val="3"/>
          </w:tcPr>
          <w:p w:rsidR="005412DC" w:rsidRPr="00160C23" w:rsidRDefault="005412DC" w:rsidP="00AD3119">
            <w:pPr>
              <w:pStyle w:val="TableTextBase"/>
              <w:rPr>
                <w:rFonts w:eastAsia="Cambria"/>
                <w:bCs/>
                <w:iCs/>
                <w:color w:val="0070C0"/>
                <w:spacing w:val="-6"/>
                <w:sz w:val="16"/>
                <w:szCs w:val="16"/>
                <w:lang w:val="x-none"/>
              </w:rPr>
            </w:pPr>
            <w:r w:rsidRPr="005412DC">
              <w:rPr>
                <w:sz w:val="16"/>
                <w:szCs w:val="16"/>
              </w:rPr>
              <w:t xml:space="preserve">Material changes to Program 1.1 resulting from 2022-23 Budget </w:t>
            </w:r>
            <w:r w:rsidRPr="00B70124">
              <w:rPr>
                <w:rFonts w:cs="Arial"/>
                <w:sz w:val="16"/>
                <w:szCs w:val="16"/>
              </w:rPr>
              <w:t>Measures:</w:t>
            </w:r>
            <w:r w:rsidRPr="00B70124">
              <w:rPr>
                <w:rStyle w:val="BodyTextChar"/>
                <w:bCs/>
                <w:iCs/>
                <w:spacing w:val="-6"/>
                <w:sz w:val="16"/>
                <w:szCs w:val="16"/>
              </w:rPr>
              <w:t xml:space="preserve"> N</w:t>
            </w:r>
            <w:r w:rsidRPr="00D65575">
              <w:rPr>
                <w:rStyle w:val="BodyTextChar"/>
                <w:bCs/>
                <w:iCs/>
                <w:spacing w:val="-6"/>
                <w:sz w:val="16"/>
                <w:szCs w:val="16"/>
              </w:rPr>
              <w:t>il</w:t>
            </w:r>
          </w:p>
        </w:tc>
      </w:tr>
    </w:tbl>
    <w:p w:rsidR="00771EDB" w:rsidRPr="005412DC" w:rsidRDefault="00771EDB" w:rsidP="00771EDB">
      <w:pPr>
        <w:pStyle w:val="ChartandTableFootnoteAlpha"/>
        <w:ind w:left="284"/>
        <w:rPr>
          <w:lang w:val="x-none"/>
        </w:rPr>
      </w:pPr>
    </w:p>
    <w:p w:rsidR="00771EDB" w:rsidRPr="004111A7" w:rsidRDefault="00771EDB" w:rsidP="00771EDB">
      <w:pPr>
        <w:rPr>
          <w:u w:val="single"/>
        </w:rPr>
      </w:pPr>
    </w:p>
    <w:p w:rsidR="00771EDB" w:rsidRPr="004111A7" w:rsidRDefault="00771EDB" w:rsidP="00771EDB">
      <w:pPr>
        <w:pStyle w:val="Heading2"/>
      </w:pPr>
      <w:r w:rsidRPr="004111A7">
        <w:rPr>
          <w:rFonts w:ascii="Book Antiqua" w:hAnsi="Book Antiqua"/>
          <w:i/>
          <w:color w:val="FF0000"/>
          <w:sz w:val="20"/>
        </w:rPr>
        <w:br w:type="page"/>
      </w:r>
      <w:bookmarkStart w:id="133" w:name="_Toc69385057"/>
      <w:bookmarkStart w:id="134" w:name="_Toc69385131"/>
      <w:bookmarkStart w:id="135" w:name="_Toc69457234"/>
      <w:bookmarkStart w:id="136" w:name="_Toc69735869"/>
      <w:bookmarkStart w:id="137" w:name="_Toc70603506"/>
      <w:bookmarkStart w:id="138" w:name="_Toc98182109"/>
      <w:r w:rsidRPr="004111A7">
        <w:lastRenderedPageBreak/>
        <w:t>Section 3: Budgeted financial statements</w:t>
      </w:r>
      <w:bookmarkEnd w:id="133"/>
      <w:bookmarkEnd w:id="134"/>
      <w:bookmarkEnd w:id="135"/>
      <w:bookmarkEnd w:id="136"/>
      <w:bookmarkEnd w:id="137"/>
      <w:bookmarkEnd w:id="138"/>
    </w:p>
    <w:p w:rsidR="00771EDB" w:rsidRPr="004111A7" w:rsidRDefault="00771EDB" w:rsidP="00771EDB">
      <w:r w:rsidRPr="004111A7">
        <w:t xml:space="preserve">Section 3 presents budgeted financial statements which provide a comprehensive snapshot of entity finances for the </w:t>
      </w:r>
      <w:r>
        <w:t>2022-23</w:t>
      </w:r>
      <w:r w:rsidRPr="00CD22EC">
        <w:t xml:space="preserve"> </w:t>
      </w:r>
      <w:r>
        <w:t>B</w:t>
      </w:r>
      <w:r w:rsidRPr="004111A7">
        <w:t xml:space="preserve">udget year, including the impact of </w:t>
      </w:r>
      <w:r>
        <w:t>B</w:t>
      </w:r>
      <w:r w:rsidRPr="004111A7">
        <w:t>udget measures and resourcing on financial statements.</w:t>
      </w:r>
    </w:p>
    <w:p w:rsidR="00771EDB" w:rsidRPr="004111A7" w:rsidRDefault="00771EDB" w:rsidP="00771EDB">
      <w:pPr>
        <w:pStyle w:val="Heading3"/>
      </w:pPr>
      <w:bookmarkStart w:id="139" w:name="_Toc69385058"/>
      <w:bookmarkStart w:id="140" w:name="_Toc69385132"/>
      <w:bookmarkStart w:id="141" w:name="_Toc69457235"/>
      <w:bookmarkStart w:id="142" w:name="_Toc69735870"/>
      <w:bookmarkStart w:id="143" w:name="_Toc70603507"/>
      <w:bookmarkStart w:id="144" w:name="_Toc98182110"/>
      <w:r w:rsidRPr="004111A7">
        <w:t>3.1</w:t>
      </w:r>
      <w:r w:rsidRPr="004111A7">
        <w:tab/>
        <w:t>Budgeted financial statements</w:t>
      </w:r>
      <w:bookmarkEnd w:id="139"/>
      <w:bookmarkEnd w:id="140"/>
      <w:bookmarkEnd w:id="141"/>
      <w:bookmarkEnd w:id="142"/>
      <w:bookmarkEnd w:id="143"/>
      <w:bookmarkEnd w:id="144"/>
    </w:p>
    <w:p w:rsidR="00771EDB" w:rsidRPr="004111A7" w:rsidRDefault="00771EDB" w:rsidP="00771EDB">
      <w:pPr>
        <w:pStyle w:val="Heading4"/>
      </w:pPr>
      <w:r w:rsidRPr="004111A7">
        <w:t>3.1.1</w:t>
      </w:r>
      <w:r w:rsidRPr="004111A7">
        <w:tab/>
        <w:t>Differences between entity resourcing and financial statements</w:t>
      </w:r>
    </w:p>
    <w:p w:rsidR="00771EDB" w:rsidRPr="00F4632C" w:rsidRDefault="00771EDB" w:rsidP="00771EDB">
      <w:pPr>
        <w:pStyle w:val="ExampleText0"/>
        <w:spacing w:after="160"/>
        <w:rPr>
          <w:i w:val="0"/>
          <w:color w:val="auto"/>
        </w:rPr>
      </w:pPr>
      <w:r w:rsidRPr="00F4632C">
        <w:rPr>
          <w:i w:val="0"/>
          <w:color w:val="auto"/>
        </w:rPr>
        <w:t>No material differences exist between entity resourcing and the financial statements.</w:t>
      </w:r>
    </w:p>
    <w:p w:rsidR="00771EDB" w:rsidRPr="004111A7" w:rsidRDefault="00771EDB" w:rsidP="00771EDB">
      <w:pPr>
        <w:pStyle w:val="Heading4"/>
      </w:pPr>
    </w:p>
    <w:p w:rsidR="00771EDB" w:rsidRPr="004111A7" w:rsidRDefault="00771EDB" w:rsidP="00771EDB">
      <w:pPr>
        <w:pStyle w:val="Heading4"/>
      </w:pPr>
      <w:r w:rsidRPr="004111A7">
        <w:t>3.1.2</w:t>
      </w:r>
      <w:r w:rsidRPr="004111A7">
        <w:tab/>
        <w:t>Explanatory notes and analysis of budgeted financial statements</w:t>
      </w:r>
    </w:p>
    <w:p w:rsidR="00771EDB" w:rsidRPr="004111A7" w:rsidRDefault="00771EDB" w:rsidP="00771EDB">
      <w:pPr>
        <w:pStyle w:val="ExampleText0"/>
        <w:rPr>
          <w:b/>
          <w:i w:val="0"/>
          <w:color w:val="auto"/>
        </w:rPr>
      </w:pPr>
      <w:r w:rsidRPr="004111A7">
        <w:rPr>
          <w:b/>
          <w:i w:val="0"/>
          <w:color w:val="auto"/>
        </w:rPr>
        <w:t>Departmental</w:t>
      </w:r>
    </w:p>
    <w:p w:rsidR="00771EDB" w:rsidRPr="004111A7" w:rsidRDefault="00771EDB" w:rsidP="00CD22EC">
      <w:pPr>
        <w:pStyle w:val="ExampleText0"/>
        <w:jc w:val="both"/>
        <w:rPr>
          <w:i w:val="0"/>
          <w:color w:val="auto"/>
        </w:rPr>
      </w:pPr>
      <w:r w:rsidRPr="00F4632C">
        <w:rPr>
          <w:i w:val="0"/>
          <w:color w:val="auto"/>
        </w:rPr>
        <w:t>IPEA is budgeting for a break-even result for 2022-23 and across the forward estimates.  Expenses and revenue from government increase in 2021-22 and 2022-23 due to additional funding being provided due to the delay of the implementation of the Parliamentary Expenses Management System</w:t>
      </w:r>
      <w:r w:rsidRPr="004111A7">
        <w:rPr>
          <w:i w:val="0"/>
          <w:color w:val="auto"/>
        </w:rPr>
        <w:t xml:space="preserve">. </w:t>
      </w:r>
    </w:p>
    <w:p w:rsidR="00771EDB" w:rsidRPr="004111A7" w:rsidRDefault="00771EDB" w:rsidP="00771EDB">
      <w:pPr>
        <w:pStyle w:val="ExampleText0"/>
        <w:rPr>
          <w:b/>
          <w:i w:val="0"/>
          <w:color w:val="auto"/>
        </w:rPr>
      </w:pPr>
      <w:r w:rsidRPr="004111A7">
        <w:rPr>
          <w:b/>
          <w:i w:val="0"/>
          <w:color w:val="auto"/>
        </w:rPr>
        <w:t>Administered</w:t>
      </w:r>
    </w:p>
    <w:p w:rsidR="00771EDB" w:rsidRPr="00F4632C" w:rsidRDefault="00771EDB" w:rsidP="00CD22EC">
      <w:pPr>
        <w:pStyle w:val="ExampleText0"/>
        <w:jc w:val="both"/>
        <w:rPr>
          <w:i w:val="0"/>
          <w:color w:val="auto"/>
        </w:rPr>
      </w:pPr>
      <w:r w:rsidRPr="00F4632C">
        <w:rPr>
          <w:i w:val="0"/>
          <w:color w:val="auto"/>
        </w:rPr>
        <w:t xml:space="preserve">In the schedule of budgeted income and expenses, the administered supplier expenses reflect estimated work and travel expenses for current and former parliamentarians and MOP(S) staff.  </w:t>
      </w:r>
    </w:p>
    <w:p w:rsidR="00771EDB" w:rsidRPr="00F4632C" w:rsidRDefault="00771EDB" w:rsidP="00771EDB">
      <w:pPr>
        <w:pStyle w:val="ExampleText0"/>
        <w:spacing w:after="160"/>
        <w:rPr>
          <w:i w:val="0"/>
          <w:color w:val="auto"/>
        </w:rPr>
      </w:pPr>
    </w:p>
    <w:p w:rsidR="00771EDB" w:rsidRPr="004111A7" w:rsidRDefault="00771EDB" w:rsidP="00771EDB">
      <w:pPr>
        <w:jc w:val="left"/>
      </w:pPr>
      <w:r w:rsidRPr="004111A7">
        <w:br w:type="page"/>
      </w:r>
      <w:r w:rsidRPr="004111A7">
        <w:rPr>
          <w:rStyle w:val="TableHeadingChar"/>
        </w:rPr>
        <w:lastRenderedPageBreak/>
        <w:t>3.2.</w:t>
      </w:r>
      <w:r w:rsidRPr="004111A7">
        <w:rPr>
          <w:rStyle w:val="TableHeadingChar"/>
        </w:rPr>
        <w:tab/>
        <w:t>Budgeted financial statements tables</w:t>
      </w:r>
    </w:p>
    <w:p w:rsidR="00771EDB" w:rsidRPr="004111A7" w:rsidRDefault="00771EDB" w:rsidP="00771EDB">
      <w:pPr>
        <w:pStyle w:val="TableHeading"/>
        <w:rPr>
          <w:snapToGrid w:val="0"/>
        </w:rPr>
      </w:pPr>
      <w:r w:rsidRPr="004111A7">
        <w:t xml:space="preserve">Table 3.1: Comprehensive income statement (showing net cost of services) </w:t>
      </w:r>
      <w:r w:rsidRPr="004111A7">
        <w:rPr>
          <w:snapToGrid w:val="0"/>
        </w:rPr>
        <w:t>for the period ended 30 June</w:t>
      </w:r>
    </w:p>
    <w:p w:rsidR="00771EDB" w:rsidRDefault="00771EDB" w:rsidP="00771EDB">
      <w:pPr>
        <w:pStyle w:val="TableGraphic"/>
        <w:rPr>
          <w:noProof/>
        </w:rPr>
      </w:pPr>
      <w:r w:rsidRPr="004111A7">
        <w:rPr>
          <w:noProof/>
        </w:rPr>
        <w:t xml:space="preserve"> </w:t>
      </w:r>
      <w:r w:rsidR="00B50177" w:rsidRPr="00B50177">
        <w:rPr>
          <w:noProof/>
        </w:rPr>
        <w:drawing>
          <wp:inline distT="0" distB="0" distL="0" distR="0">
            <wp:extent cx="4818380" cy="3291840"/>
            <wp:effectExtent l="0" t="0" r="127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818380" cy="3291840"/>
                    </a:xfrm>
                    <a:prstGeom prst="rect">
                      <a:avLst/>
                    </a:prstGeom>
                    <a:noFill/>
                    <a:ln>
                      <a:noFill/>
                    </a:ln>
                  </pic:spPr>
                </pic:pic>
              </a:graphicData>
            </a:graphic>
          </wp:inline>
        </w:drawing>
      </w:r>
    </w:p>
    <w:p w:rsidR="00771EDB" w:rsidRPr="004111A7" w:rsidRDefault="00771EDB" w:rsidP="0052645C">
      <w:pPr>
        <w:pStyle w:val="Source"/>
        <w:rPr>
          <w:rFonts w:cs="Arial"/>
        </w:rPr>
      </w:pPr>
      <w:r w:rsidRPr="004111A7">
        <w:rPr>
          <w:rFonts w:cs="Arial"/>
        </w:rPr>
        <w:t>Prepared on Australian Accounting Standards basis.</w:t>
      </w:r>
    </w:p>
    <w:p w:rsidR="00771EDB" w:rsidRPr="004111A7" w:rsidRDefault="00771EDB" w:rsidP="00771EDB">
      <w:pPr>
        <w:pStyle w:val="Source"/>
        <w:rPr>
          <w:rFonts w:cs="Arial"/>
        </w:rPr>
      </w:pPr>
    </w:p>
    <w:p w:rsidR="00771EDB" w:rsidRPr="004111A7" w:rsidRDefault="00771EDB" w:rsidP="00771EDB">
      <w:pPr>
        <w:pStyle w:val="Source"/>
        <w:rPr>
          <w:rFonts w:cs="Arial"/>
        </w:rPr>
      </w:pPr>
    </w:p>
    <w:p w:rsidR="00771EDB" w:rsidRPr="004111A7" w:rsidRDefault="00771EDB" w:rsidP="00771EDB">
      <w:pPr>
        <w:pStyle w:val="TableHeading"/>
      </w:pPr>
      <w:r w:rsidRPr="004111A7">
        <w:br w:type="page"/>
      </w:r>
      <w:r w:rsidRPr="004111A7">
        <w:lastRenderedPageBreak/>
        <w:t>Table 3.2: Budgeted departmental balance sheet (as at 30 June)</w:t>
      </w:r>
    </w:p>
    <w:p w:rsidR="00771EDB" w:rsidRDefault="00771EDB" w:rsidP="00771EDB">
      <w:pPr>
        <w:pStyle w:val="TableGraphic"/>
        <w:rPr>
          <w:noProof/>
        </w:rPr>
      </w:pPr>
      <w:r w:rsidRPr="00550E66">
        <w:rPr>
          <w:noProof/>
        </w:rPr>
        <w:drawing>
          <wp:inline distT="0" distB="0" distL="0" distR="0" wp14:anchorId="0D2FDFB0" wp14:editId="00A51452">
            <wp:extent cx="4819650" cy="425767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819650" cy="4257675"/>
                    </a:xfrm>
                    <a:prstGeom prst="rect">
                      <a:avLst/>
                    </a:prstGeom>
                    <a:noFill/>
                    <a:ln>
                      <a:noFill/>
                    </a:ln>
                  </pic:spPr>
                </pic:pic>
              </a:graphicData>
            </a:graphic>
          </wp:inline>
        </w:drawing>
      </w:r>
    </w:p>
    <w:p w:rsidR="00771EDB" w:rsidRPr="004111A7" w:rsidRDefault="00771EDB" w:rsidP="0052645C">
      <w:pPr>
        <w:pStyle w:val="TableHeadingcontinued"/>
        <w:spacing w:after="0"/>
        <w:jc w:val="both"/>
        <w:rPr>
          <w:rFonts w:ascii="Arial" w:hAnsi="Arial" w:cs="Arial"/>
          <w:b w:val="0"/>
          <w:sz w:val="16"/>
        </w:rPr>
      </w:pPr>
      <w:r w:rsidRPr="004111A7">
        <w:rPr>
          <w:rFonts w:ascii="Arial" w:hAnsi="Arial" w:cs="Arial"/>
          <w:b w:val="0"/>
          <w:sz w:val="16"/>
        </w:rPr>
        <w:t>Prepared on Australian Accounting Standards basis.</w:t>
      </w:r>
    </w:p>
    <w:p w:rsidR="00771EDB" w:rsidRPr="004111A7" w:rsidRDefault="00771EDB" w:rsidP="0052645C">
      <w:pPr>
        <w:pStyle w:val="ChartandTableFootnote"/>
        <w:rPr>
          <w:rFonts w:cs="Arial"/>
        </w:rPr>
      </w:pPr>
      <w:r w:rsidRPr="004111A7">
        <w:rPr>
          <w:rFonts w:cs="Arial"/>
        </w:rPr>
        <w:t>*</w:t>
      </w:r>
      <w:r w:rsidRPr="004111A7">
        <w:rPr>
          <w:rFonts w:cs="Arial"/>
          <w:lang w:val="en-AU"/>
        </w:rPr>
        <w:t>‘</w:t>
      </w:r>
      <w:r w:rsidRPr="004111A7">
        <w:rPr>
          <w:rFonts w:cs="Arial"/>
        </w:rPr>
        <w:t>Equity’ is the residual interest in assets after deduction of liabilities.</w:t>
      </w:r>
    </w:p>
    <w:p w:rsidR="00771EDB" w:rsidRPr="004111A7" w:rsidRDefault="00771EDB" w:rsidP="00771EDB"/>
    <w:p w:rsidR="00771EDB" w:rsidRPr="004111A7" w:rsidRDefault="00771EDB" w:rsidP="00771EDB"/>
    <w:p w:rsidR="00771EDB" w:rsidRDefault="00771EDB" w:rsidP="00771EDB">
      <w:pPr>
        <w:pStyle w:val="TableHeading"/>
        <w:rPr>
          <w:noProof/>
          <w:lang w:val="en-AU" w:eastAsia="en-AU"/>
        </w:rPr>
      </w:pPr>
      <w:r w:rsidRPr="004111A7">
        <w:br w:type="page"/>
      </w:r>
      <w:r w:rsidRPr="004111A7">
        <w:lastRenderedPageBreak/>
        <w:t xml:space="preserve">Table 3.3: Departmental statement of changes in equity — summary of movement (Budget year </w:t>
      </w:r>
      <w:r w:rsidRPr="004111A7">
        <w:rPr>
          <w:lang w:val="en-AU"/>
        </w:rPr>
        <w:t>202</w:t>
      </w:r>
      <w:r>
        <w:rPr>
          <w:lang w:val="en-AU"/>
        </w:rPr>
        <w:t>2</w:t>
      </w:r>
      <w:r w:rsidRPr="004111A7">
        <w:rPr>
          <w:lang w:val="en-AU"/>
        </w:rPr>
        <w:t>-2</w:t>
      </w:r>
      <w:r>
        <w:rPr>
          <w:lang w:val="en-AU"/>
        </w:rPr>
        <w:t>3</w:t>
      </w:r>
      <w:r w:rsidRPr="004111A7">
        <w:t xml:space="preserve">) </w:t>
      </w:r>
    </w:p>
    <w:p w:rsidR="00771EDB" w:rsidRDefault="008C5669" w:rsidP="00771EDB">
      <w:pPr>
        <w:pStyle w:val="TableHeading"/>
        <w:rPr>
          <w:noProof/>
          <w:lang w:val="en-AU" w:eastAsia="en-AU"/>
        </w:rPr>
      </w:pPr>
      <w:r w:rsidRPr="008C5669">
        <w:rPr>
          <w:noProof/>
          <w:lang w:val="en-AU" w:eastAsia="en-AU"/>
        </w:rPr>
        <w:drawing>
          <wp:inline distT="0" distB="0" distL="0" distR="0">
            <wp:extent cx="4857750" cy="21526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857750" cy="2152650"/>
                    </a:xfrm>
                    <a:prstGeom prst="rect">
                      <a:avLst/>
                    </a:prstGeom>
                    <a:noFill/>
                    <a:ln>
                      <a:noFill/>
                    </a:ln>
                  </pic:spPr>
                </pic:pic>
              </a:graphicData>
            </a:graphic>
          </wp:inline>
        </w:drawing>
      </w:r>
    </w:p>
    <w:p w:rsidR="00771EDB" w:rsidRPr="009E5DDB" w:rsidRDefault="00771EDB" w:rsidP="0052645C">
      <w:pPr>
        <w:pStyle w:val="TableHeading"/>
        <w:spacing w:after="0"/>
        <w:jc w:val="both"/>
        <w:rPr>
          <w:rFonts w:cs="Arial"/>
          <w:sz w:val="16"/>
          <w:szCs w:val="16"/>
          <w:lang w:val="en-AU"/>
        </w:rPr>
      </w:pPr>
      <w:r w:rsidRPr="004111A7">
        <w:rPr>
          <w:rFonts w:cs="Arial"/>
          <w:b w:val="0"/>
          <w:sz w:val="16"/>
        </w:rPr>
        <w:t>Prepared on Australian Accounting Standards basis</w:t>
      </w:r>
      <w:r>
        <w:rPr>
          <w:rFonts w:cs="Arial"/>
          <w:b w:val="0"/>
          <w:sz w:val="16"/>
          <w:lang w:val="en-AU"/>
        </w:rPr>
        <w:t>.</w:t>
      </w:r>
    </w:p>
    <w:p w:rsidR="00771EDB" w:rsidRPr="004111A7" w:rsidRDefault="00771EDB" w:rsidP="00771EDB"/>
    <w:p w:rsidR="00771EDB" w:rsidRPr="004111A7" w:rsidRDefault="00771EDB" w:rsidP="00771EDB">
      <w:pPr>
        <w:pStyle w:val="TableHeading"/>
      </w:pPr>
      <w:r w:rsidRPr="004111A7">
        <w:br w:type="page"/>
      </w:r>
      <w:r w:rsidRPr="004111A7">
        <w:lastRenderedPageBreak/>
        <w:t>Table 3.4: Budgeted departmental statement of cash flows (for the period ended 30 June)</w:t>
      </w:r>
    </w:p>
    <w:p w:rsidR="00771EDB" w:rsidRDefault="00771EDB" w:rsidP="00771EDB">
      <w:pPr>
        <w:pStyle w:val="TableGraphic"/>
        <w:tabs>
          <w:tab w:val="left" w:pos="6237"/>
        </w:tabs>
        <w:rPr>
          <w:noProof/>
        </w:rPr>
      </w:pPr>
      <w:r w:rsidRPr="00550E66">
        <w:rPr>
          <w:noProof/>
        </w:rPr>
        <w:drawing>
          <wp:inline distT="0" distB="0" distL="0" distR="0" wp14:anchorId="67EEC174" wp14:editId="4D807F31">
            <wp:extent cx="4819650" cy="28479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819650" cy="2847975"/>
                    </a:xfrm>
                    <a:prstGeom prst="rect">
                      <a:avLst/>
                    </a:prstGeom>
                    <a:noFill/>
                    <a:ln>
                      <a:noFill/>
                    </a:ln>
                  </pic:spPr>
                </pic:pic>
              </a:graphicData>
            </a:graphic>
          </wp:inline>
        </w:drawing>
      </w:r>
    </w:p>
    <w:p w:rsidR="00771EDB" w:rsidRPr="009E5DDB" w:rsidRDefault="00771EDB" w:rsidP="0052645C">
      <w:pPr>
        <w:pStyle w:val="TableHeadingcontinued"/>
        <w:spacing w:after="0"/>
        <w:jc w:val="both"/>
        <w:rPr>
          <w:b w:val="0"/>
        </w:rPr>
      </w:pPr>
      <w:r w:rsidRPr="004111A7">
        <w:rPr>
          <w:rFonts w:ascii="Arial" w:hAnsi="Arial" w:cs="Arial"/>
          <w:b w:val="0"/>
          <w:sz w:val="16"/>
        </w:rPr>
        <w:t>Prepared on Australian Accounting Standards basis</w:t>
      </w:r>
      <w:r w:rsidRPr="009E5DDB">
        <w:rPr>
          <w:rFonts w:ascii="Arial" w:hAnsi="Arial" w:cs="Arial"/>
          <w:b w:val="0"/>
        </w:rPr>
        <w:t>.</w:t>
      </w:r>
    </w:p>
    <w:p w:rsidR="00771EDB" w:rsidRPr="004111A7" w:rsidRDefault="00771EDB" w:rsidP="00771EDB">
      <w:pPr>
        <w:pStyle w:val="TableHeadingcontinued"/>
      </w:pPr>
    </w:p>
    <w:p w:rsidR="00771EDB" w:rsidRPr="004111A7" w:rsidRDefault="00771EDB" w:rsidP="00771EDB">
      <w:pPr>
        <w:pStyle w:val="TableGraphic"/>
      </w:pPr>
    </w:p>
    <w:p w:rsidR="00771EDB" w:rsidRPr="004111A7" w:rsidRDefault="00771EDB" w:rsidP="0052645C">
      <w:pPr>
        <w:pStyle w:val="TableHeadingcontinued"/>
      </w:pPr>
      <w:r w:rsidRPr="004111A7">
        <w:t>Table 3.5: Departmental capital budget statement (for the period ended 30 June)</w:t>
      </w:r>
    </w:p>
    <w:p w:rsidR="00771EDB" w:rsidRPr="004111A7" w:rsidRDefault="00771EDB" w:rsidP="00771EDB">
      <w:pPr>
        <w:pStyle w:val="TableGraphic"/>
      </w:pPr>
    </w:p>
    <w:p w:rsidR="00771EDB" w:rsidRPr="004111A7" w:rsidRDefault="00771EDB" w:rsidP="0052645C">
      <w:r w:rsidRPr="004111A7">
        <w:t>IPEA does not have an</w:t>
      </w:r>
      <w:r w:rsidR="0052645C">
        <w:t>y budgeted capital expenditure.</w:t>
      </w:r>
    </w:p>
    <w:p w:rsidR="00771EDB" w:rsidRPr="004111A7" w:rsidRDefault="00771EDB" w:rsidP="0052645C">
      <w:pPr>
        <w:pStyle w:val="TableHeadingcontinued"/>
      </w:pPr>
      <w:r w:rsidRPr="004111A7">
        <w:t>Table 3.6: Statement of departmental asset movements (Budget year 202</w:t>
      </w:r>
      <w:r>
        <w:t>2</w:t>
      </w:r>
      <w:r w:rsidRPr="004111A7">
        <w:t>-2</w:t>
      </w:r>
      <w:r>
        <w:t>3</w:t>
      </w:r>
      <w:r w:rsidRPr="004111A7">
        <w:t>)</w:t>
      </w:r>
    </w:p>
    <w:p w:rsidR="00771EDB" w:rsidRPr="004111A7" w:rsidRDefault="00771EDB" w:rsidP="00771EDB">
      <w:pPr>
        <w:pStyle w:val="TableHeading"/>
        <w:rPr>
          <w:lang w:val="en-AU"/>
        </w:rPr>
      </w:pPr>
    </w:p>
    <w:p w:rsidR="00771EDB" w:rsidRPr="004111A7" w:rsidRDefault="00771EDB" w:rsidP="0052645C">
      <w:r w:rsidRPr="004111A7">
        <w:t>IPEA does not have any budgeted non-financial assets.</w:t>
      </w:r>
    </w:p>
    <w:p w:rsidR="00771EDB" w:rsidRPr="004111A7" w:rsidRDefault="00771EDB" w:rsidP="00771EDB"/>
    <w:p w:rsidR="00771EDB" w:rsidRPr="004111A7" w:rsidRDefault="00771EDB" w:rsidP="002B54C2">
      <w:pPr>
        <w:spacing w:after="0" w:line="240" w:lineRule="auto"/>
      </w:pPr>
      <w:r w:rsidRPr="004111A7">
        <w:br w:type="page"/>
      </w:r>
    </w:p>
    <w:p w:rsidR="00771EDB" w:rsidRPr="004111A7" w:rsidRDefault="00771EDB" w:rsidP="00771EDB">
      <w:pPr>
        <w:pStyle w:val="TableHeading"/>
      </w:pPr>
      <w:r w:rsidRPr="004111A7">
        <w:lastRenderedPageBreak/>
        <w:t>Table 3.7: Schedule of budgeted income and expenses administered on behalf of Government (for the period ended 30 June)</w:t>
      </w:r>
    </w:p>
    <w:p w:rsidR="00771EDB" w:rsidRDefault="00771EDB" w:rsidP="00771EDB">
      <w:pPr>
        <w:pStyle w:val="NoSpacing"/>
        <w:rPr>
          <w:noProof/>
        </w:rPr>
      </w:pPr>
      <w:r w:rsidRPr="00550E66">
        <w:rPr>
          <w:noProof/>
        </w:rPr>
        <w:drawing>
          <wp:inline distT="0" distB="0" distL="0" distR="0" wp14:anchorId="559C64E6" wp14:editId="6BD7AD2F">
            <wp:extent cx="4819650" cy="243840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819650" cy="2438400"/>
                    </a:xfrm>
                    <a:prstGeom prst="rect">
                      <a:avLst/>
                    </a:prstGeom>
                    <a:noFill/>
                    <a:ln>
                      <a:noFill/>
                    </a:ln>
                  </pic:spPr>
                </pic:pic>
              </a:graphicData>
            </a:graphic>
          </wp:inline>
        </w:drawing>
      </w:r>
    </w:p>
    <w:p w:rsidR="00771EDB" w:rsidRPr="004111A7" w:rsidRDefault="00771EDB" w:rsidP="002B54C2">
      <w:pPr>
        <w:pStyle w:val="TableHeadingcontinued"/>
        <w:spacing w:after="0"/>
        <w:jc w:val="both"/>
      </w:pPr>
      <w:r w:rsidRPr="004111A7">
        <w:rPr>
          <w:rFonts w:ascii="Arial" w:hAnsi="Arial" w:cs="Arial"/>
          <w:b w:val="0"/>
          <w:sz w:val="16"/>
        </w:rPr>
        <w:t>Prepared on Australian Accounting Standards basis</w:t>
      </w:r>
      <w:r>
        <w:rPr>
          <w:rFonts w:ascii="Arial" w:hAnsi="Arial" w:cs="Arial"/>
          <w:b w:val="0"/>
          <w:sz w:val="16"/>
        </w:rPr>
        <w:t>.</w:t>
      </w:r>
      <w:r w:rsidRPr="004111A7">
        <w:t xml:space="preserve"> </w:t>
      </w:r>
    </w:p>
    <w:p w:rsidR="00771EDB" w:rsidRDefault="00771EDB" w:rsidP="00771EDB">
      <w:pPr>
        <w:rPr>
          <w:b/>
        </w:rPr>
      </w:pPr>
    </w:p>
    <w:p w:rsidR="00B01553" w:rsidRDefault="00B01553">
      <w:pPr>
        <w:spacing w:after="0" w:line="240" w:lineRule="auto"/>
        <w:jc w:val="left"/>
        <w:rPr>
          <w:rFonts w:ascii="Arial" w:hAnsi="Arial"/>
          <w:b/>
          <w:color w:val="000000"/>
          <w:lang w:val="x-none" w:eastAsia="x-none"/>
        </w:rPr>
      </w:pPr>
      <w:r>
        <w:br w:type="page"/>
      </w:r>
    </w:p>
    <w:p w:rsidR="00771EDB" w:rsidRDefault="00771EDB" w:rsidP="00771EDB">
      <w:pPr>
        <w:pStyle w:val="TableHeading"/>
      </w:pPr>
      <w:r w:rsidRPr="004111A7">
        <w:lastRenderedPageBreak/>
        <w:t>Table 3.8: Schedule of budgeted assets and liabilities administered on behalf of Government (as at 30 June)</w:t>
      </w:r>
    </w:p>
    <w:p w:rsidR="00223208" w:rsidRPr="00F4632C" w:rsidRDefault="00884776" w:rsidP="002B54C2">
      <w:pPr>
        <w:pStyle w:val="TableGraphic"/>
        <w:ind w:right="0"/>
        <w:rPr>
          <w:rFonts w:cs="Arial"/>
          <w:sz w:val="16"/>
          <w:szCs w:val="16"/>
        </w:rPr>
      </w:pPr>
      <w:r w:rsidRPr="00884776">
        <w:rPr>
          <w:noProof/>
        </w:rPr>
        <w:drawing>
          <wp:inline distT="0" distB="0" distL="0" distR="0">
            <wp:extent cx="4895850" cy="3157022"/>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95850" cy="3157022"/>
                    </a:xfrm>
                    <a:prstGeom prst="rect">
                      <a:avLst/>
                    </a:prstGeom>
                    <a:noFill/>
                    <a:ln>
                      <a:noFill/>
                    </a:ln>
                  </pic:spPr>
                </pic:pic>
              </a:graphicData>
            </a:graphic>
          </wp:inline>
        </w:drawing>
      </w:r>
      <w:r w:rsidR="00223208" w:rsidRPr="00F4632C">
        <w:rPr>
          <w:rFonts w:ascii="Arial" w:hAnsi="Arial" w:cs="Arial"/>
          <w:sz w:val="16"/>
          <w:szCs w:val="16"/>
          <w:lang w:val="x-none" w:eastAsia="x-none"/>
        </w:rPr>
        <w:t>Prepared on Australian Accounting Standards basis.</w:t>
      </w:r>
    </w:p>
    <w:p w:rsidR="00771EDB" w:rsidRDefault="00771EDB" w:rsidP="00771EDB">
      <w:pPr>
        <w:pStyle w:val="ChartandTableFootnote"/>
        <w:rPr>
          <w:noProof/>
          <w:lang w:val="en-AU" w:eastAsia="en-AU"/>
        </w:rPr>
      </w:pPr>
    </w:p>
    <w:p w:rsidR="00771EDB" w:rsidRPr="004111A7" w:rsidRDefault="00771EDB" w:rsidP="00771EDB">
      <w:pPr>
        <w:pStyle w:val="SingleParagraph"/>
        <w:spacing w:line="240" w:lineRule="auto"/>
        <w:rPr>
          <w:rFonts w:ascii="Arial" w:hAnsi="Arial" w:cs="Arial"/>
          <w:sz w:val="16"/>
          <w:szCs w:val="16"/>
        </w:rPr>
      </w:pPr>
    </w:p>
    <w:p w:rsidR="00771EDB" w:rsidRDefault="00771EDB" w:rsidP="00771EDB">
      <w:pPr>
        <w:pStyle w:val="TableHeading"/>
        <w:rPr>
          <w:noProof/>
          <w:lang w:val="en-AU" w:eastAsia="en-AU"/>
        </w:rPr>
      </w:pPr>
      <w:r w:rsidRPr="004111A7">
        <w:br w:type="page"/>
      </w:r>
      <w:r w:rsidRPr="004111A7">
        <w:lastRenderedPageBreak/>
        <w:t>Table 3.9: Schedule of budgeted administered cash flows (for the period ended 30 June)</w:t>
      </w:r>
      <w:r w:rsidRPr="004111A7" w:rsidDel="002C7428">
        <w:t xml:space="preserve"> </w:t>
      </w:r>
      <w:r w:rsidRPr="004111A7">
        <w:rPr>
          <w:sz w:val="16"/>
        </w:rPr>
        <w:t xml:space="preserve"> </w:t>
      </w:r>
    </w:p>
    <w:p w:rsidR="00771EDB" w:rsidRDefault="00FC17E6" w:rsidP="00771EDB">
      <w:pPr>
        <w:pStyle w:val="TableHeading"/>
        <w:rPr>
          <w:noProof/>
          <w:lang w:val="en-AU" w:eastAsia="en-AU"/>
        </w:rPr>
      </w:pPr>
      <w:r w:rsidRPr="00FC17E6">
        <w:rPr>
          <w:noProof/>
          <w:lang w:val="en-AU" w:eastAsia="en-AU"/>
        </w:rPr>
        <w:drawing>
          <wp:inline distT="0" distB="0" distL="0" distR="0">
            <wp:extent cx="4895850" cy="276239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895850" cy="2762394"/>
                    </a:xfrm>
                    <a:prstGeom prst="rect">
                      <a:avLst/>
                    </a:prstGeom>
                    <a:noFill/>
                    <a:ln>
                      <a:noFill/>
                    </a:ln>
                  </pic:spPr>
                </pic:pic>
              </a:graphicData>
            </a:graphic>
          </wp:inline>
        </w:drawing>
      </w:r>
    </w:p>
    <w:p w:rsidR="00771EDB" w:rsidRPr="004111A7" w:rsidRDefault="00771EDB" w:rsidP="002B54C2">
      <w:pPr>
        <w:pStyle w:val="TableHeading"/>
        <w:spacing w:after="0"/>
        <w:jc w:val="both"/>
      </w:pPr>
      <w:r w:rsidRPr="004111A7">
        <w:rPr>
          <w:b w:val="0"/>
          <w:sz w:val="16"/>
        </w:rPr>
        <w:t>Prepared on Australian Accounting Standards basis.</w:t>
      </w:r>
    </w:p>
    <w:p w:rsidR="00771EDB" w:rsidRPr="004111A7" w:rsidRDefault="00771EDB" w:rsidP="00771EDB">
      <w:pPr>
        <w:pStyle w:val="TableHeadingcontinued"/>
        <w:rPr>
          <w:lang w:val="x-none" w:eastAsia="x-none"/>
        </w:rPr>
      </w:pPr>
    </w:p>
    <w:p w:rsidR="00771EDB" w:rsidRPr="004111A7" w:rsidRDefault="00771EDB" w:rsidP="00771EDB">
      <w:pPr>
        <w:pStyle w:val="TableGraphic"/>
        <w:rPr>
          <w:lang w:val="x-none" w:eastAsia="x-none"/>
        </w:rPr>
      </w:pPr>
    </w:p>
    <w:p w:rsidR="00771EDB" w:rsidRPr="004111A7" w:rsidRDefault="00771EDB" w:rsidP="00771EDB">
      <w:pPr>
        <w:pStyle w:val="TableHeading"/>
      </w:pPr>
      <w:r w:rsidRPr="004111A7">
        <w:t>Table 3.10: Schedule of administered capital budget statement (for the period ended 30 June)</w:t>
      </w:r>
    </w:p>
    <w:p w:rsidR="00771EDB" w:rsidRPr="004111A7" w:rsidRDefault="00771EDB" w:rsidP="00771EDB">
      <w:pPr>
        <w:spacing w:after="0"/>
      </w:pPr>
    </w:p>
    <w:p w:rsidR="00771EDB" w:rsidRPr="004111A7" w:rsidRDefault="00771EDB" w:rsidP="002B54C2">
      <w:r w:rsidRPr="004111A7">
        <w:t>IPEA has no budgeted capital expen</w:t>
      </w:r>
      <w:r w:rsidR="002B54C2">
        <w:t>diture on behalf of Government.</w:t>
      </w:r>
    </w:p>
    <w:p w:rsidR="00771EDB" w:rsidRPr="004111A7" w:rsidRDefault="00771EDB" w:rsidP="00771EDB">
      <w:pPr>
        <w:pStyle w:val="TableHeading"/>
      </w:pPr>
      <w:r w:rsidRPr="004111A7">
        <w:t>Table 3.11: Statement of administered asset movements (Budget year 202</w:t>
      </w:r>
      <w:r w:rsidRPr="0052645C">
        <w:t>2</w:t>
      </w:r>
      <w:r w:rsidRPr="004111A7">
        <w:t>-2</w:t>
      </w:r>
      <w:r w:rsidRPr="0052645C">
        <w:t>3</w:t>
      </w:r>
      <w:r w:rsidRPr="004111A7">
        <w:t>)</w:t>
      </w:r>
    </w:p>
    <w:p w:rsidR="00771EDB" w:rsidRPr="004111A7" w:rsidRDefault="00771EDB" w:rsidP="00771EDB">
      <w:pPr>
        <w:pStyle w:val="TableHeading"/>
      </w:pPr>
    </w:p>
    <w:p w:rsidR="00771EDB" w:rsidRPr="004111A7" w:rsidRDefault="00771EDB" w:rsidP="002B54C2">
      <w:r w:rsidRPr="004111A7">
        <w:t>IPEA has no budgeted non-financial assets administered on beha</w:t>
      </w:r>
      <w:r>
        <w:t>lf of</w:t>
      </w:r>
      <w:r w:rsidRPr="004111A7">
        <w:t xml:space="preserve"> Government.</w:t>
      </w:r>
    </w:p>
    <w:bookmarkEnd w:id="102"/>
    <w:p w:rsidR="00223291" w:rsidRDefault="00223291" w:rsidP="000867C1">
      <w:pPr>
        <w:pStyle w:val="Source"/>
        <w:jc w:val="left"/>
        <w:rPr>
          <w:rFonts w:ascii="Book Antiqua" w:hAnsi="Book Antiqua"/>
          <w:sz w:val="20"/>
        </w:rPr>
        <w:sectPr w:rsidR="00223291" w:rsidSect="00BA127F">
          <w:headerReference w:type="default" r:id="rId159"/>
          <w:headerReference w:type="first" r:id="rId160"/>
          <w:footerReference w:type="first" r:id="rId161"/>
          <w:type w:val="oddPage"/>
          <w:pgSz w:w="11906" w:h="16838" w:code="9"/>
          <w:pgMar w:top="2835" w:right="2098" w:bottom="2466" w:left="2098" w:header="1814" w:footer="1814" w:gutter="0"/>
          <w:cols w:space="708"/>
          <w:titlePg/>
          <w:docGrid w:linePitch="360"/>
        </w:sectPr>
      </w:pPr>
    </w:p>
    <w:p w:rsidR="00223291" w:rsidRPr="00834F9A" w:rsidRDefault="00223291" w:rsidP="00223291">
      <w:pPr>
        <w:pStyle w:val="Heading1"/>
      </w:pPr>
      <w:bookmarkStart w:id="145" w:name="_Toc190766151"/>
      <w:bookmarkStart w:id="146" w:name="_Toc444523519"/>
      <w:bookmarkStart w:id="147" w:name="_Toc65243503"/>
      <w:bookmarkStart w:id="148" w:name="_Toc97893024"/>
      <w:r w:rsidRPr="00834F9A">
        <w:lastRenderedPageBreak/>
        <w:t>Portfolio glossary</w:t>
      </w:r>
      <w:bookmarkEnd w:id="145"/>
      <w:bookmarkEnd w:id="146"/>
      <w:bookmarkEnd w:id="147"/>
      <w:bookmarkEnd w:id="148"/>
    </w:p>
    <w:p w:rsidR="00223291" w:rsidRDefault="00223291" w:rsidP="00223291"/>
    <w:tbl>
      <w:tblPr>
        <w:tblW w:w="0" w:type="auto"/>
        <w:tblInd w:w="-34" w:type="dxa"/>
        <w:tblLook w:val="01E0" w:firstRow="1" w:lastRow="1" w:firstColumn="1" w:lastColumn="1" w:noHBand="0" w:noVBand="0"/>
      </w:tblPr>
      <w:tblGrid>
        <w:gridCol w:w="2253"/>
        <w:gridCol w:w="5491"/>
      </w:tblGrid>
      <w:tr w:rsidR="009D7BFF" w:rsidRPr="004111A7" w:rsidTr="00F4632C">
        <w:trPr>
          <w:tblHeader/>
        </w:trPr>
        <w:tc>
          <w:tcPr>
            <w:tcW w:w="2253" w:type="dxa"/>
          </w:tcPr>
          <w:p w:rsidR="009D7BFF" w:rsidRPr="00F4632C" w:rsidRDefault="009D7BFF" w:rsidP="00F4632C">
            <w:pPr>
              <w:pStyle w:val="TableColumnHeadingLeft"/>
              <w:spacing w:before="120" w:after="120"/>
              <w:rPr>
                <w:rFonts w:cs="Arial"/>
              </w:rPr>
            </w:pPr>
            <w:r w:rsidRPr="00F4632C">
              <w:rPr>
                <w:rFonts w:cs="Arial"/>
              </w:rPr>
              <w:t>Term</w:t>
            </w:r>
          </w:p>
        </w:tc>
        <w:tc>
          <w:tcPr>
            <w:tcW w:w="5491" w:type="dxa"/>
          </w:tcPr>
          <w:p w:rsidR="009D7BFF" w:rsidRPr="00F4632C" w:rsidRDefault="009D7BFF" w:rsidP="00F4632C">
            <w:pPr>
              <w:pStyle w:val="TableColumnHeadingLeft"/>
              <w:spacing w:before="120" w:after="120"/>
              <w:rPr>
                <w:rFonts w:cs="Arial"/>
              </w:rPr>
            </w:pPr>
            <w:r w:rsidRPr="00F4632C">
              <w:rPr>
                <w:rFonts w:cs="Arial"/>
              </w:rPr>
              <w:t>Meaning</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Accumulated Depreciation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The aggregate depreciation recorded for a particular depreciating asset.</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Administered Items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Additional Estimates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Where amounts appropriated at Budget time are insufficient, Parliament may appropriate more funds to portfolios through the Additional Estimates Acts. </w:t>
            </w:r>
          </w:p>
        </w:tc>
      </w:tr>
      <w:tr w:rsidR="009D7BFF" w:rsidRPr="004111A7" w:rsidTr="00F4632C">
        <w:tc>
          <w:tcPr>
            <w:tcW w:w="2253" w:type="dxa"/>
          </w:tcPr>
          <w:p w:rsidR="009D7BFF" w:rsidRPr="00F4632C" w:rsidRDefault="009D7BFF" w:rsidP="00F4632C">
            <w:pPr>
              <w:spacing w:beforeLines="40" w:before="96" w:after="120"/>
              <w:jc w:val="left"/>
              <w:rPr>
                <w:rFonts w:ascii="Arial" w:hAnsi="Arial" w:cs="Arial"/>
                <w:sz w:val="18"/>
                <w:szCs w:val="18"/>
              </w:rPr>
            </w:pPr>
            <w:r w:rsidRPr="00F4632C">
              <w:rPr>
                <w:rFonts w:ascii="Arial" w:hAnsi="Arial" w:cs="Arial"/>
                <w:sz w:val="18"/>
                <w:szCs w:val="18"/>
              </w:rPr>
              <w:t>Additional Estimates Bills or Acts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These are Appropriation Bills (No. 3) and (No .4) and a separate Bill for the Parliamentary Departments ((Parliamentary Departments) Bill (No.2)). These Bills are introduced into Parliament after the Budget Bills.</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Appropriation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 law of the Australian Parliament that provides authority for Commonwealth entities to spend money from the Consolidated Revenue Fund for a particular purpose. Entities may not spend money without an appropriation authorising that expenditure and, where necessary, other legislation authorising the specified purpose. </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Annual Appropriation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Two appropriation Bills are introduced into Parliament in May and comprise the Budget. Further Bills are introduced later in the financial year as part of the Additional Estimates. Parliamentary departments have their own appropriations.</w:t>
            </w:r>
          </w:p>
        </w:tc>
      </w:tr>
      <w:tr w:rsidR="009D7BFF" w:rsidRPr="004111A7" w:rsidTr="00F4632C">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Capital Expenditure</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Expenditure by an entity on capital projects, for example purchasing a building.</w:t>
            </w:r>
          </w:p>
        </w:tc>
      </w:tr>
      <w:tr w:rsidR="009D7BFF" w:rsidRPr="004111A7" w:rsidTr="00F4632C">
        <w:tblPrEx>
          <w:tblLook w:val="0000" w:firstRow="0" w:lastRow="0" w:firstColumn="0" w:lastColumn="0" w:noHBand="0" w:noVBand="0"/>
        </w:tblPrEx>
        <w:trPr>
          <w:cantSplit/>
          <w:trHeight w:val="567"/>
        </w:trPr>
        <w:tc>
          <w:tcPr>
            <w:tcW w:w="2253" w:type="dxa"/>
          </w:tcPr>
          <w:p w:rsidR="009D7BFF" w:rsidRPr="00F4632C" w:rsidRDefault="009D7BFF" w:rsidP="00F4632C">
            <w:pPr>
              <w:spacing w:beforeLines="40" w:before="96" w:after="120"/>
              <w:jc w:val="left"/>
              <w:rPr>
                <w:rFonts w:ascii="Arial" w:hAnsi="Arial" w:cs="Arial"/>
                <w:sz w:val="18"/>
                <w:szCs w:val="18"/>
              </w:rPr>
            </w:pPr>
            <w:r w:rsidRPr="00F4632C">
              <w:rPr>
                <w:rFonts w:ascii="Arial" w:hAnsi="Arial" w:cs="Arial"/>
                <w:sz w:val="18"/>
                <w:szCs w:val="18"/>
              </w:rPr>
              <w:t>Charter of Budget Honesty Act</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The </w:t>
            </w:r>
            <w:r w:rsidRPr="00F4632C">
              <w:rPr>
                <w:rFonts w:ascii="Arial" w:hAnsi="Arial" w:cs="Arial"/>
                <w:i/>
                <w:sz w:val="18"/>
                <w:szCs w:val="18"/>
              </w:rPr>
              <w:t>Charter of Budget Honesty Act 1998</w:t>
            </w:r>
            <w:r w:rsidRPr="00F4632C">
              <w:rPr>
                <w:rFonts w:ascii="Arial" w:hAnsi="Arial" w:cs="Arial"/>
                <w:sz w:val="18"/>
                <w:szCs w:val="18"/>
              </w:rPr>
              <w:t xml:space="preserve"> provides a legislative framework for the conduct and reporting of fiscal policy. </w:t>
            </w:r>
          </w:p>
        </w:tc>
      </w:tr>
      <w:tr w:rsidR="009D7BFF" w:rsidRPr="004111A7" w:rsidTr="00F4632C">
        <w:tblPrEx>
          <w:tblLook w:val="0000" w:firstRow="0" w:lastRow="0" w:firstColumn="0" w:lastColumn="0" w:noHBand="0" w:noVBand="0"/>
        </w:tblPrEx>
        <w:trPr>
          <w:cantSplit/>
          <w:trHeight w:val="567"/>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lastRenderedPageBreak/>
              <w:t>Departmental Items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Assets, liabilities, revenues and expenses that are controlled by the entity in providing its outputs. Departmental items would generally include computers, plant and equipment assets used by agencies in providing goods and services and most employee expenses, supplier costs and other administrative expenses incurred. </w:t>
            </w:r>
          </w:p>
        </w:tc>
      </w:tr>
      <w:tr w:rsidR="009D7BFF" w:rsidRPr="004111A7" w:rsidTr="00F4632C">
        <w:tblPrEx>
          <w:tblLook w:val="0000" w:firstRow="0" w:lastRow="0" w:firstColumn="0" w:lastColumn="0" w:noHBand="0" w:noVBand="0"/>
        </w:tblPrEx>
        <w:trPr>
          <w:cantSplit/>
          <w:trHeight w:val="845"/>
        </w:trPr>
        <w:tc>
          <w:tcPr>
            <w:tcW w:w="2253" w:type="dxa"/>
          </w:tcPr>
          <w:p w:rsidR="009D7BFF" w:rsidRPr="00F4632C" w:rsidRDefault="009D7BFF" w:rsidP="00F4632C">
            <w:pPr>
              <w:spacing w:beforeLines="40" w:before="96" w:after="120"/>
              <w:jc w:val="left"/>
              <w:rPr>
                <w:rFonts w:ascii="Arial" w:hAnsi="Arial" w:cs="Arial"/>
                <w:sz w:val="18"/>
                <w:szCs w:val="18"/>
              </w:rPr>
            </w:pPr>
            <w:r w:rsidRPr="00F4632C">
              <w:rPr>
                <w:rFonts w:ascii="Arial" w:hAnsi="Arial" w:cs="Arial"/>
                <w:sz w:val="18"/>
                <w:szCs w:val="18"/>
              </w:rPr>
              <w:t>Depreciation and Amortisation</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Apportionment of an asset’s capital value as an expense over its estimated useful life to take account of normal usage, obsolescence, or the passage of time.</w:t>
            </w:r>
          </w:p>
        </w:tc>
      </w:tr>
      <w:tr w:rsidR="009D7BFF" w:rsidRPr="004111A7" w:rsidTr="00F4632C">
        <w:tblPrEx>
          <w:tblLook w:val="0000" w:firstRow="0" w:lastRow="0" w:firstColumn="0" w:lastColumn="0" w:noHBand="0" w:noVBand="0"/>
        </w:tblPrEx>
        <w:trPr>
          <w:cantSplit/>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Equity or Net Assets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Residual interest in the assets of an entity after deduction of its liabilities.</w:t>
            </w:r>
          </w:p>
        </w:tc>
      </w:tr>
      <w:tr w:rsidR="009D7BFF" w:rsidRPr="004111A7" w:rsidTr="00F4632C">
        <w:tblPrEx>
          <w:tblLook w:val="0000" w:firstRow="0" w:lastRow="0" w:firstColumn="0" w:lastColumn="0" w:noHBand="0" w:noVBand="0"/>
        </w:tblPrEx>
        <w:trPr>
          <w:cantSplit/>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Expense </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Total value of all of the resources consumed in producing goods and services or the loss of future economic benefits in the form of reductions in assets or increases in liabilities of an entity. </w:t>
            </w:r>
          </w:p>
        </w:tc>
      </w:tr>
      <w:tr w:rsidR="009D7BFF" w:rsidRPr="004111A7" w:rsidTr="00F4632C">
        <w:tblPrEx>
          <w:tblLook w:val="0000" w:firstRow="0" w:lastRow="0" w:firstColumn="0" w:lastColumn="0" w:noHBand="0" w:noVBand="0"/>
        </w:tblPrEx>
        <w:trPr>
          <w:cantSplit/>
        </w:trPr>
        <w:tc>
          <w:tcPr>
            <w:tcW w:w="2253" w:type="dxa"/>
          </w:tcPr>
          <w:p w:rsidR="009D7BFF" w:rsidRPr="00D3305F" w:rsidRDefault="009D7BFF" w:rsidP="00F4632C">
            <w:pPr>
              <w:spacing w:beforeLines="40" w:before="96" w:after="120"/>
              <w:rPr>
                <w:rFonts w:ascii="Arial" w:hAnsi="Arial" w:cs="Arial"/>
                <w:sz w:val="18"/>
                <w:szCs w:val="18"/>
              </w:rPr>
            </w:pPr>
            <w:r w:rsidRPr="00D3305F">
              <w:rPr>
                <w:rFonts w:ascii="Arial" w:hAnsi="Arial" w:cs="Arial"/>
                <w:sz w:val="18"/>
                <w:szCs w:val="18"/>
              </w:rPr>
              <w:br w:type="page"/>
              <w:t>Fair Value</w:t>
            </w:r>
          </w:p>
        </w:tc>
        <w:tc>
          <w:tcPr>
            <w:tcW w:w="5491" w:type="dxa"/>
          </w:tcPr>
          <w:p w:rsidR="009D7BFF" w:rsidRPr="00D3305F" w:rsidRDefault="009D7BFF" w:rsidP="00F4632C">
            <w:pPr>
              <w:spacing w:beforeLines="40" w:before="96" w:after="120"/>
              <w:rPr>
                <w:rFonts w:ascii="Arial" w:hAnsi="Arial" w:cs="Arial"/>
                <w:sz w:val="18"/>
                <w:szCs w:val="18"/>
              </w:rPr>
            </w:pPr>
            <w:r w:rsidRPr="00D3305F">
              <w:rPr>
                <w:rFonts w:ascii="Arial" w:hAnsi="Arial" w:cs="Arial"/>
                <w:sz w:val="18"/>
                <w:szCs w:val="18"/>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9D7BFF" w:rsidRPr="004111A7" w:rsidTr="00F4632C">
        <w:tblPrEx>
          <w:tblLook w:val="0000" w:firstRow="0" w:lastRow="0" w:firstColumn="0" w:lastColumn="0" w:noHBand="0" w:noVBand="0"/>
        </w:tblPrEx>
        <w:trPr>
          <w:cantSplit/>
          <w:trHeight w:val="635"/>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Measure</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 new policy or savings decision of the government with financial impacts. </w:t>
            </w:r>
          </w:p>
        </w:tc>
      </w:tr>
      <w:tr w:rsidR="009D7BFF" w:rsidRPr="004111A7" w:rsidTr="00F4632C">
        <w:tblPrEx>
          <w:tblLook w:val="0000" w:firstRow="0" w:lastRow="0" w:firstColumn="0" w:lastColumn="0" w:noHBand="0" w:noVBand="0"/>
        </w:tblPrEx>
        <w:trPr>
          <w:cantSplit/>
          <w:trHeight w:val="417"/>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Operating Result</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Equals income less expense.</w:t>
            </w:r>
          </w:p>
        </w:tc>
      </w:tr>
      <w:tr w:rsidR="009D7BFF" w:rsidRPr="004111A7" w:rsidTr="00F4632C">
        <w:tblPrEx>
          <w:tblLook w:val="0000" w:firstRow="0" w:lastRow="0" w:firstColumn="0" w:lastColumn="0" w:noHBand="0" w:noVBand="0"/>
        </w:tblPrEx>
        <w:trPr>
          <w:cantSplit/>
          <w:trHeight w:val="283"/>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Outcomes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The government's objectives in each portfolio area. Outcomes are desired results, impacts or consequences for the Australian community influenced by the actions of the Australian Government. Actual outcomes are the results or impacts actually achieved.</w:t>
            </w:r>
          </w:p>
        </w:tc>
      </w:tr>
      <w:tr w:rsidR="009D7BFF" w:rsidRPr="004111A7" w:rsidTr="00F4632C">
        <w:tblPrEx>
          <w:tblLook w:val="0000" w:firstRow="0" w:lastRow="0" w:firstColumn="0" w:lastColumn="0" w:noHBand="0" w:noVBand="0"/>
        </w:tblPrEx>
        <w:trPr>
          <w:cantSplit/>
          <w:trHeight w:val="627"/>
        </w:trPr>
        <w:tc>
          <w:tcPr>
            <w:tcW w:w="2253" w:type="dxa"/>
          </w:tcPr>
          <w:p w:rsidR="009D7BFF" w:rsidRPr="00F4632C" w:rsidRDefault="009D7BFF" w:rsidP="00F4632C">
            <w:pPr>
              <w:spacing w:beforeLines="40" w:before="96" w:after="120"/>
              <w:ind w:left="65" w:hanging="65"/>
              <w:rPr>
                <w:rFonts w:ascii="Arial" w:hAnsi="Arial" w:cs="Arial"/>
                <w:sz w:val="18"/>
                <w:szCs w:val="18"/>
              </w:rPr>
            </w:pPr>
            <w:r w:rsidRPr="00F4632C">
              <w:rPr>
                <w:rFonts w:ascii="Arial" w:hAnsi="Arial" w:cs="Arial"/>
                <w:sz w:val="18"/>
                <w:szCs w:val="18"/>
              </w:rPr>
              <w:t>Portfolio</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A Minister’s area of responsibility as a member of Cabinet. A portfolio consists of one or more Departments of State and a number of entities with similar general objectives and outcomes.</w:t>
            </w:r>
          </w:p>
        </w:tc>
      </w:tr>
      <w:tr w:rsidR="009D7BFF" w:rsidRPr="004111A7" w:rsidTr="00F4632C">
        <w:tblPrEx>
          <w:tblLook w:val="0000" w:firstRow="0" w:lastRow="0" w:firstColumn="0" w:lastColumn="0" w:noHBand="0" w:noVBand="0"/>
        </w:tblPrEx>
        <w:trPr>
          <w:cantSplit/>
          <w:trHeight w:val="291"/>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PGPA Act </w:t>
            </w:r>
          </w:p>
          <w:p w:rsidR="009D7BFF" w:rsidRPr="00F4632C" w:rsidRDefault="009D7BFF" w:rsidP="00F4632C">
            <w:pPr>
              <w:spacing w:beforeLines="40" w:before="96" w:after="120"/>
              <w:rPr>
                <w:rFonts w:ascii="Arial" w:hAnsi="Arial" w:cs="Arial"/>
                <w:sz w:val="18"/>
                <w:szCs w:val="18"/>
              </w:rPr>
            </w:pP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i/>
                <w:sz w:val="18"/>
                <w:szCs w:val="18"/>
              </w:rPr>
              <w:t xml:space="preserve">Public Governance, Performance and Accountability Act 2013 </w:t>
            </w:r>
            <w:r w:rsidRPr="00F4632C">
              <w:rPr>
                <w:rFonts w:ascii="Arial" w:hAnsi="Arial" w:cs="Arial"/>
                <w:sz w:val="18"/>
                <w:szCs w:val="18"/>
              </w:rPr>
              <w:t>(PGPA Act).</w:t>
            </w:r>
          </w:p>
        </w:tc>
      </w:tr>
      <w:tr w:rsidR="009D7BFF" w:rsidRPr="004111A7" w:rsidTr="00F4632C">
        <w:tblPrEx>
          <w:tblLook w:val="0000" w:firstRow="0" w:lastRow="0" w:firstColumn="0" w:lastColumn="0" w:noHBand="0" w:noVBand="0"/>
        </w:tblPrEx>
        <w:trPr>
          <w:cantSplit/>
          <w:trHeight w:val="663"/>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lastRenderedPageBreak/>
              <w:t>Revenue</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Total value of resources earned or received to cover the production of goods and services or increases in future economic benefits in the form of increases in assets or reductions in liabilities of an entity.</w:t>
            </w:r>
          </w:p>
        </w:tc>
      </w:tr>
      <w:tr w:rsidR="009D7BFF" w:rsidRPr="004111A7" w:rsidTr="00F4632C">
        <w:tblPrEx>
          <w:tblLook w:val="0000" w:firstRow="0" w:lastRow="0" w:firstColumn="0" w:lastColumn="0" w:noHBand="0" w:noVBand="0"/>
        </w:tblPrEx>
        <w:trPr>
          <w:cantSplit/>
          <w:trHeight w:val="663"/>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Special Accounts</w:t>
            </w:r>
          </w:p>
        </w:tc>
        <w:tc>
          <w:tcPr>
            <w:tcW w:w="5491"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A type of </w:t>
            </w:r>
            <w:hyperlink r:id="rId162" w:anchor="special_appropriation" w:history="1">
              <w:r w:rsidRPr="00F4632C">
                <w:rPr>
                  <w:rFonts w:ascii="Arial" w:hAnsi="Arial" w:cs="Arial"/>
                  <w:sz w:val="18"/>
                  <w:szCs w:val="18"/>
                </w:rPr>
                <w:t>special appropriation</w:t>
              </w:r>
            </w:hyperlink>
            <w:r w:rsidRPr="00F4632C">
              <w:rPr>
                <w:rFonts w:ascii="Arial" w:hAnsi="Arial" w:cs="Arial"/>
                <w:sz w:val="18"/>
                <w:szCs w:val="18"/>
              </w:rPr>
              <w:t>, limited by amount, criteria or time, which may be established under sections 78 and 80 of the PGPA Act.</w:t>
            </w:r>
          </w:p>
        </w:tc>
      </w:tr>
      <w:tr w:rsidR="009D7BFF" w:rsidRPr="004111A7" w:rsidTr="00F4632C">
        <w:tblPrEx>
          <w:tblLook w:val="0000" w:firstRow="0" w:lastRow="0" w:firstColumn="0" w:lastColumn="0" w:noHBand="0" w:noVBand="0"/>
        </w:tblPrEx>
        <w:trPr>
          <w:cantSplit/>
          <w:trHeight w:val="350"/>
        </w:trPr>
        <w:tc>
          <w:tcPr>
            <w:tcW w:w="2253" w:type="dxa"/>
          </w:tcPr>
          <w:p w:rsidR="009D7BFF" w:rsidRPr="00F4632C" w:rsidRDefault="009D7BFF" w:rsidP="00F4632C">
            <w:pPr>
              <w:spacing w:beforeLines="40" w:before="96" w:after="120"/>
              <w:rPr>
                <w:rFonts w:ascii="Arial" w:hAnsi="Arial" w:cs="Arial"/>
                <w:sz w:val="18"/>
                <w:szCs w:val="18"/>
              </w:rPr>
            </w:pPr>
            <w:r w:rsidRPr="00F4632C">
              <w:rPr>
                <w:rFonts w:ascii="Arial" w:hAnsi="Arial" w:cs="Arial"/>
                <w:sz w:val="18"/>
                <w:szCs w:val="18"/>
              </w:rPr>
              <w:t xml:space="preserve">Special Appropriations </w:t>
            </w:r>
          </w:p>
        </w:tc>
        <w:tc>
          <w:tcPr>
            <w:tcW w:w="5491" w:type="dxa"/>
          </w:tcPr>
          <w:p w:rsidR="009D7BFF" w:rsidRPr="00F4632C" w:rsidRDefault="009D7BFF">
            <w:pPr>
              <w:spacing w:beforeLines="40" w:before="96" w:after="120"/>
              <w:rPr>
                <w:rFonts w:ascii="Arial" w:hAnsi="Arial" w:cs="Arial"/>
                <w:sz w:val="18"/>
                <w:szCs w:val="18"/>
              </w:rPr>
            </w:pPr>
            <w:r w:rsidRPr="00F4632C">
              <w:rPr>
                <w:rFonts w:ascii="Arial" w:hAnsi="Arial" w:cs="Arial"/>
                <w:sz w:val="18"/>
                <w:szCs w:val="18"/>
              </w:rPr>
              <w:t xml:space="preserve">Authority within an Act (other than an </w:t>
            </w:r>
            <w:hyperlink r:id="rId163" w:anchor="annual_appropriations" w:history="1">
              <w:r w:rsidRPr="00F4632C">
                <w:rPr>
                  <w:rFonts w:ascii="Arial" w:hAnsi="Arial" w:cs="Arial"/>
                  <w:sz w:val="18"/>
                  <w:szCs w:val="18"/>
                </w:rPr>
                <w:t>annual Appropriation</w:t>
              </w:r>
            </w:hyperlink>
            <w:r w:rsidRPr="00F4632C">
              <w:rPr>
                <w:rFonts w:ascii="Arial" w:hAnsi="Arial" w:cs="Arial"/>
                <w:sz w:val="18"/>
                <w:szCs w:val="18"/>
              </w:rPr>
              <w:t xml:space="preserve"> Act) to spend money from the </w:t>
            </w:r>
            <w:hyperlink r:id="rId164" w:anchor="crf" w:history="1">
              <w:r w:rsidRPr="00F4632C">
                <w:rPr>
                  <w:rFonts w:ascii="Arial" w:hAnsi="Arial" w:cs="Arial"/>
                  <w:sz w:val="18"/>
                  <w:szCs w:val="18"/>
                </w:rPr>
                <w:t>Consolidated Revenue Fund</w:t>
              </w:r>
            </w:hyperlink>
            <w:r w:rsidRPr="00F4632C">
              <w:rPr>
                <w:rFonts w:ascii="Arial" w:hAnsi="Arial" w:cs="Arial"/>
                <w:sz w:val="18"/>
                <w:szCs w:val="18"/>
              </w:rPr>
              <w:t xml:space="preserve"> for particular purposes. </w:t>
            </w:r>
            <w:r w:rsidRPr="00F4632C">
              <w:rPr>
                <w:rFonts w:ascii="Arial" w:hAnsi="Arial" w:cs="Arial"/>
                <w:i/>
                <w:sz w:val="18"/>
                <w:szCs w:val="18"/>
              </w:rPr>
              <w:t>The Social Security (Administration) Act 1999</w:t>
            </w:r>
            <w:r w:rsidRPr="00F4632C">
              <w:rPr>
                <w:rFonts w:ascii="Arial" w:hAnsi="Arial" w:cs="Arial"/>
                <w:sz w:val="18"/>
                <w:szCs w:val="18"/>
              </w:rPr>
              <w:t>, for example, contains several special appropriations to make social security payments. Special appropriations support around 80% of all government expenditure each year.</w:t>
            </w:r>
          </w:p>
        </w:tc>
      </w:tr>
    </w:tbl>
    <w:p w:rsidR="006127BD" w:rsidRPr="000867C1" w:rsidRDefault="006127BD" w:rsidP="000867C1">
      <w:pPr>
        <w:pStyle w:val="Source"/>
        <w:jc w:val="left"/>
        <w:rPr>
          <w:rFonts w:ascii="Book Antiqua" w:hAnsi="Book Antiqua"/>
          <w:sz w:val="20"/>
        </w:rPr>
      </w:pPr>
    </w:p>
    <w:sectPr w:rsidR="006127BD" w:rsidRPr="000867C1" w:rsidSect="00503FD8">
      <w:headerReference w:type="even" r:id="rId165"/>
      <w:headerReference w:type="default" r:id="rId166"/>
      <w:headerReference w:type="first" r:id="rId167"/>
      <w:footerReference w:type="first" r:id="rId168"/>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BBC" w:rsidRDefault="00CE4BBC" w:rsidP="00C07DEC">
      <w:r>
        <w:separator/>
      </w:r>
    </w:p>
  </w:endnote>
  <w:endnote w:type="continuationSeparator" w:id="0">
    <w:p w:rsidR="00CE4BBC" w:rsidRDefault="00CE4BBC"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AD3119" w:rsidRDefault="00CE4BBC" w:rsidP="00AD3119">
    <w:pPr>
      <w:pStyle w:val="FooterOdd"/>
      <w:rPr>
        <w:rStyle w:val="PageNumber"/>
        <w:rFonts w:cs="Times New Roman"/>
        <w:noProof/>
        <w:sz w:val="18"/>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50A">
      <w:rPr>
        <w:rStyle w:val="PageNumber"/>
        <w:rFonts w:cs="Times New Roman"/>
        <w:noProof/>
        <w:sz w:val="18"/>
        <w:lang w:val="en-AU"/>
      </w:rPr>
      <w:t>Department of Finance</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13</w:t>
    </w:r>
    <w:r w:rsidRPr="00B628E8">
      <w:rPr>
        <w:b/>
        <w:bCs/>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A74101">
    <w:pPr>
      <w:pStyle w:val="FooterOdd"/>
      <w:pBdr>
        <w:top w:val="none" w:sz="0" w:space="0" w:color="auto"/>
      </w:pBdr>
      <w:rPr>
        <w:noProof/>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sidR="00D9250A">
      <w:rPr>
        <w:rStyle w:val="PageNumber"/>
        <w:rFonts w:cs="Times New Roman"/>
        <w:sz w:val="18"/>
        <w:lang w:val="en-AU"/>
      </w:rPr>
      <w:fldChar w:fldCharType="separate"/>
    </w:r>
    <w:r w:rsidR="00D9250A">
      <w:rPr>
        <w:rStyle w:val="PageNumber"/>
        <w:rFonts w:cs="Times New Roman"/>
        <w:noProof/>
        <w:sz w:val="18"/>
        <w:lang w:val="en-AU"/>
      </w:rPr>
      <w:t>Department of Finance</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11</w:t>
    </w:r>
    <w:r w:rsidRPr="00B628E8">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B628E8" w:rsidRDefault="00CE4BBC" w:rsidP="00266E0D">
    <w:pPr>
      <w:pStyle w:val="FooterOdd"/>
      <w:pBdr>
        <w:top w:val="none" w:sz="0" w:space="0" w:color="auto"/>
      </w:pBdr>
      <w:rPr>
        <w:b/>
        <w:bCs/>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782467">
    <w:pPr>
      <w:pStyle w:val="FooterOdd"/>
      <w:rPr>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50A">
      <w:rPr>
        <w:rStyle w:val="PageNumber"/>
        <w:rFonts w:cs="Times New Roman"/>
        <w:noProof/>
        <w:sz w:val="18"/>
        <w:lang w:val="en-AU"/>
      </w:rPr>
      <w:t>Australian Electoral Commission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75</w:t>
    </w:r>
    <w:r w:rsidRPr="00B628E8">
      <w:rPr>
        <w:b/>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82467" w:rsidRDefault="00CE4BBC" w:rsidP="00B5271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sidR="00D9250A">
      <w:rPr>
        <w:rStyle w:val="PageNumber"/>
        <w:rFonts w:cs="Times New Roman"/>
        <w:sz w:val="18"/>
      </w:rPr>
      <w:fldChar w:fldCharType="separate"/>
    </w:r>
    <w:r w:rsidR="00D9250A">
      <w:rPr>
        <w:rStyle w:val="PageNumber"/>
        <w:rFonts w:cs="Times New Roman"/>
        <w:noProof/>
        <w:sz w:val="18"/>
      </w:rPr>
      <w:t>Commonwealth Superannuation Corporation</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sidR="00D9250A">
      <w:rPr>
        <w:rStyle w:val="PageNumber"/>
        <w:rFonts w:cs="Times New Roman"/>
        <w:b/>
        <w:bCs/>
        <w:noProof/>
        <w:sz w:val="18"/>
      </w:rPr>
      <w:t>95</w:t>
    </w:r>
    <w:r w:rsidRPr="00B628E8">
      <w:rPr>
        <w:rStyle w:val="PageNumber"/>
        <w:rFonts w:cs="Times New Roman"/>
        <w:b/>
        <w:bCs/>
        <w:sz w:val="18"/>
      </w:rPr>
      <w:fldChar w:fldCharType="end"/>
    </w:r>
  </w:p>
  <w:p w:rsidR="00CE4BBC" w:rsidRDefault="00CE4BB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5D36C8">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130</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proofErr w:type="gramStart"/>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proofErr w:type="gramEnd"/>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Commonwealth Superannuation Corporation</w:t>
    </w:r>
    <w:r>
      <w:rPr>
        <w:rStyle w:val="PageNumber"/>
        <w:rFonts w:cs="Times New Roman"/>
        <w:sz w:val="18"/>
      </w:rPr>
      <w:fldChar w:fldCharType="end"/>
    </w:r>
  </w:p>
  <w:p w:rsidR="00CE4BBC" w:rsidRDefault="00CE4BBC" w:rsidP="005D36C8">
    <w:pPr>
      <w:pStyle w:val="FooterEven"/>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E71AAA">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Pr>
        <w:rStyle w:val="PageNumber"/>
        <w:rFonts w:cs="Times New Roman"/>
        <w:noProof/>
        <w:sz w:val="18"/>
        <w:lang w:val="en-AU"/>
      </w:rPr>
      <w:t>Commonwealth Superannuation Corporation</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Pr>
        <w:b/>
        <w:bCs/>
        <w:noProof/>
      </w:rPr>
      <w:t>129</w:t>
    </w:r>
    <w:r w:rsidRPr="00B628E8">
      <w:rPr>
        <w:b/>
        <w:bCs/>
        <w:noProof/>
      </w:rPr>
      <w:fldChar w:fldCharType="end"/>
    </w:r>
  </w:p>
  <w:p w:rsidR="00CE4BBC" w:rsidRPr="00E71AAA" w:rsidRDefault="00CE4BBC" w:rsidP="00E71AAA">
    <w:pPr>
      <w:pStyle w:val="Footer"/>
      <w:jc w:val="righ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13592" w:rsidRDefault="00CE4BBC" w:rsidP="00213592"/>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5D36C8">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D9250A">
      <w:rPr>
        <w:rStyle w:val="PageNumber"/>
        <w:rFonts w:cs="Times New Roman"/>
        <w:b/>
        <w:bCs w:val="0"/>
        <w:noProof/>
        <w:sz w:val="18"/>
      </w:rPr>
      <w:t>124</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proofErr w:type="gramStart"/>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proofErr w:type="gramEnd"/>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9250A">
      <w:rPr>
        <w:rStyle w:val="PageNumber"/>
        <w:rFonts w:cs="Times New Roman"/>
        <w:noProof/>
        <w:sz w:val="18"/>
      </w:rPr>
      <w:t>Future Fund Management Agency</w:t>
    </w:r>
    <w:r>
      <w:rPr>
        <w:rStyle w:val="PageNumber"/>
        <w:rFonts w:cs="Times New Roman"/>
        <w:sz w:val="18"/>
      </w:rPr>
      <w:fldChar w:fldCharType="end"/>
    </w:r>
  </w:p>
  <w:p w:rsidR="00CE4BBC" w:rsidRDefault="00CE4BBC" w:rsidP="005D36C8">
    <w:pPr>
      <w:pStyle w:val="FooterEven"/>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E71AAA">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50A">
      <w:rPr>
        <w:rStyle w:val="PageNumber"/>
        <w:rFonts w:cs="Times New Roman"/>
        <w:noProof/>
        <w:sz w:val="18"/>
        <w:lang w:val="en-AU"/>
      </w:rPr>
      <w:t>Future Fund Management Agency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125</w:t>
    </w:r>
    <w:r w:rsidRPr="00B628E8">
      <w:rPr>
        <w:b/>
        <w:bCs/>
        <w:noProof/>
      </w:rPr>
      <w:fldChar w:fldCharType="end"/>
    </w:r>
  </w:p>
  <w:p w:rsidR="00CE4BBC" w:rsidRPr="00E71AAA" w:rsidRDefault="00CE4BBC" w:rsidP="00E71AAA">
    <w:pPr>
      <w:pStyle w:val="Footer"/>
      <w:jc w:val="righ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1808A4" w:rsidRDefault="00CE4BBC" w:rsidP="0049200C">
    <w:pPr>
      <w:pStyle w:val="FooterBase"/>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DA4FEF" w:rsidRDefault="00CE4BBC" w:rsidP="00DA4FEF">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9250A">
      <w:rPr>
        <w:rStyle w:val="PageNumber"/>
        <w:rFonts w:cs="Times New Roman"/>
        <w:noProof/>
        <w:sz w:val="18"/>
      </w:rPr>
      <w:t>Future Fund Management Agency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sidR="00D9250A">
      <w:rPr>
        <w:rStyle w:val="PageNumber"/>
        <w:rFonts w:cs="Times New Roman"/>
        <w:b/>
        <w:bCs/>
        <w:noProof/>
        <w:sz w:val="18"/>
      </w:rPr>
      <w:t>117</w:t>
    </w:r>
    <w:r w:rsidRPr="00B628E8">
      <w:rPr>
        <w:rStyle w:val="PageNumber"/>
        <w:rFonts w:cs="Times New Roman"/>
        <w:b/>
        <w:bCs/>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E71AAA">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50A">
      <w:rPr>
        <w:rStyle w:val="PageNumber"/>
        <w:rFonts w:cs="Times New Roman"/>
        <w:noProof/>
        <w:sz w:val="18"/>
        <w:lang w:val="en-AU"/>
      </w:rPr>
      <w:t>Future Fund Management Agency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121</w:t>
    </w:r>
    <w:r w:rsidRPr="00B628E8">
      <w:rPr>
        <w:b/>
        <w:bCs/>
        <w:noProof/>
      </w:rPr>
      <w:fldChar w:fldCharType="end"/>
    </w:r>
  </w:p>
  <w:p w:rsidR="00CE4BBC" w:rsidRPr="00E579C1" w:rsidRDefault="00CE4BBC" w:rsidP="00E71AAA">
    <w:pPr>
      <w:pStyle w:val="FooterOdd"/>
      <w:rPr>
        <w:noProof/>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168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proofErr w:type="gramStart"/>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proofErr w:type="gramEnd"/>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Future Fund Management Agency</w:t>
    </w:r>
    <w:r>
      <w:rPr>
        <w:rStyle w:val="PageNumber"/>
        <w:rFonts w:cs="Times New Roman"/>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Pr>
        <w:rStyle w:val="PageNumber"/>
        <w:rFonts w:cs="Times New Roman"/>
        <w:noProof/>
        <w:sz w:val="18"/>
        <w:lang w:val="en-AU"/>
      </w:rPr>
      <w:t>Future Fund Management Agency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Pr>
        <w:b/>
        <w:bCs/>
        <w:noProof/>
      </w:rPr>
      <w:t>167</w:t>
    </w:r>
    <w:r w:rsidRPr="00B628E8">
      <w:rPr>
        <w:b/>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E579C1" w:rsidRDefault="00CE4BBC" w:rsidP="00771EDB">
    <w:pPr>
      <w:pStyle w:val="FooterOdd"/>
      <w:pBdr>
        <w:top w:val="none" w:sz="0" w:space="0" w:color="auto"/>
      </w:pBdr>
      <w:jc w:val="both"/>
      <w:rPr>
        <w:noProof/>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D9250A">
      <w:rPr>
        <w:rStyle w:val="PageNumber"/>
        <w:rFonts w:cs="Times New Roman"/>
        <w:b/>
        <w:bCs w:val="0"/>
        <w:noProof/>
        <w:sz w:val="18"/>
      </w:rPr>
      <w:t>148</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proofErr w:type="gramStart"/>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proofErr w:type="gramEnd"/>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9250A">
      <w:rPr>
        <w:rStyle w:val="PageNumber"/>
        <w:rFonts w:cs="Times New Roman"/>
        <w:noProof/>
        <w:sz w:val="18"/>
      </w:rPr>
      <w:t>Independent Parliamentary Expenses Authority</w:t>
    </w:r>
    <w:r>
      <w:rPr>
        <w:rStyle w:val="PageNumber"/>
        <w:rFonts w:cs="Times New Roman"/>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50A">
      <w:rPr>
        <w:rStyle w:val="PageNumber"/>
        <w:rFonts w:cs="Times New Roman"/>
        <w:noProof/>
        <w:sz w:val="18"/>
        <w:lang w:val="en-AU"/>
      </w:rPr>
      <w:t>Independent Parliamentary Expenses Authority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149</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2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111"/>
    </w:tblGrid>
    <w:tr w:rsidR="00CE4BBC" w:rsidRPr="0045591E" w:rsidTr="0028585E">
      <w:trPr>
        <w:trHeight w:val="136"/>
      </w:trPr>
      <w:tc>
        <w:tcPr>
          <w:tcW w:w="5104" w:type="dxa"/>
          <w:tcBorders>
            <w:top w:val="single" w:sz="4" w:space="0" w:color="auto"/>
          </w:tcBorders>
          <w:vAlign w:val="center"/>
        </w:tcPr>
        <w:p w:rsidR="00CE4BBC" w:rsidRPr="0045591E" w:rsidRDefault="00CE4BBC" w:rsidP="0045591E">
          <w:pPr>
            <w:tabs>
              <w:tab w:val="center" w:pos="4153"/>
              <w:tab w:val="right" w:pos="8306"/>
            </w:tabs>
            <w:spacing w:after="0" w:line="240" w:lineRule="auto"/>
            <w:jc w:val="left"/>
            <w:rPr>
              <w:rFonts w:ascii="Times New Roman" w:hAnsi="Times New Roman"/>
              <w:sz w:val="16"/>
              <w:szCs w:val="24"/>
            </w:rPr>
          </w:pPr>
          <w:r w:rsidRPr="0045591E">
            <w:rPr>
              <w:rFonts w:ascii="Times New Roman" w:hAnsi="Times New Roman"/>
              <w:b/>
              <w:sz w:val="18"/>
              <w:szCs w:val="18"/>
            </w:rPr>
            <w:t>Adelaide</w:t>
          </w:r>
        </w:p>
      </w:tc>
      <w:tc>
        <w:tcPr>
          <w:tcW w:w="4111" w:type="dxa"/>
          <w:tcBorders>
            <w:top w:val="single" w:sz="4" w:space="0" w:color="auto"/>
          </w:tcBorders>
          <w:vAlign w:val="center"/>
        </w:tcPr>
        <w:p w:rsidR="00CE4BBC" w:rsidRPr="0045591E" w:rsidRDefault="00CE4BBC" w:rsidP="0045591E">
          <w:pPr>
            <w:tabs>
              <w:tab w:val="center" w:pos="4153"/>
              <w:tab w:val="right" w:pos="8306"/>
            </w:tabs>
            <w:spacing w:after="0" w:line="240" w:lineRule="auto"/>
            <w:jc w:val="left"/>
            <w:rPr>
              <w:rFonts w:ascii="Times New Roman" w:hAnsi="Times New Roman"/>
              <w:sz w:val="16"/>
              <w:szCs w:val="24"/>
            </w:rPr>
          </w:pPr>
          <w:r w:rsidRPr="0045591E">
            <w:rPr>
              <w:rFonts w:ascii="Times New Roman" w:hAnsi="Times New Roman"/>
              <w:b/>
              <w:sz w:val="18"/>
              <w:szCs w:val="18"/>
            </w:rPr>
            <w:t>Canberra</w:t>
          </w:r>
        </w:p>
      </w:tc>
    </w:tr>
    <w:tr w:rsidR="00CE4BBC" w:rsidRPr="0045591E" w:rsidTr="0028585E">
      <w:trPr>
        <w:trHeight w:val="139"/>
      </w:trPr>
      <w:tc>
        <w:tcPr>
          <w:tcW w:w="5104" w:type="dxa"/>
          <w:vAlign w:val="center"/>
        </w:tcPr>
        <w:p w:rsidR="00CE4BBC" w:rsidRPr="0045591E" w:rsidRDefault="00CE4BBC" w:rsidP="0045591E">
          <w:pPr>
            <w:tabs>
              <w:tab w:val="center" w:pos="4153"/>
              <w:tab w:val="right" w:pos="8306"/>
            </w:tabs>
            <w:spacing w:after="0" w:line="240" w:lineRule="auto"/>
            <w:jc w:val="left"/>
            <w:rPr>
              <w:rFonts w:ascii="Times New Roman" w:hAnsi="Times New Roman"/>
              <w:sz w:val="16"/>
              <w:szCs w:val="24"/>
            </w:rPr>
          </w:pPr>
          <w:r w:rsidRPr="0045591E">
            <w:rPr>
              <w:rFonts w:ascii="Times New Roman" w:hAnsi="Times New Roman"/>
              <w:sz w:val="18"/>
              <w:szCs w:val="18"/>
            </w:rPr>
            <w:t>107 Sir Donald Bradman Drive, Hilton SA 5033</w:t>
          </w:r>
        </w:p>
      </w:tc>
      <w:tc>
        <w:tcPr>
          <w:tcW w:w="4111" w:type="dxa"/>
          <w:vAlign w:val="center"/>
        </w:tcPr>
        <w:p w:rsidR="00CE4BBC" w:rsidRPr="0045591E" w:rsidRDefault="00CE4BBC" w:rsidP="0045591E">
          <w:pPr>
            <w:tabs>
              <w:tab w:val="center" w:pos="4153"/>
              <w:tab w:val="right" w:pos="8306"/>
            </w:tabs>
            <w:spacing w:after="0" w:line="240" w:lineRule="auto"/>
            <w:jc w:val="left"/>
            <w:rPr>
              <w:rFonts w:ascii="Times New Roman" w:hAnsi="Times New Roman"/>
              <w:sz w:val="16"/>
              <w:szCs w:val="24"/>
            </w:rPr>
          </w:pPr>
          <w:r w:rsidRPr="0045591E">
            <w:rPr>
              <w:rFonts w:ascii="Times New Roman" w:hAnsi="Times New Roman"/>
              <w:sz w:val="18"/>
              <w:szCs w:val="18"/>
            </w:rPr>
            <w:t>Parliament House Canberra ACT 2600</w:t>
          </w:r>
          <w:r w:rsidRPr="0045591E">
            <w:rPr>
              <w:rFonts w:ascii="Times New Roman" w:hAnsi="Times New Roman"/>
              <w:sz w:val="18"/>
              <w:szCs w:val="18"/>
            </w:rPr>
            <w:tab/>
          </w:r>
        </w:p>
      </w:tc>
    </w:tr>
    <w:tr w:rsidR="00CE4BBC" w:rsidRPr="0045591E" w:rsidTr="0028585E">
      <w:trPr>
        <w:trHeight w:val="143"/>
      </w:trPr>
      <w:tc>
        <w:tcPr>
          <w:tcW w:w="5104" w:type="dxa"/>
          <w:vAlign w:val="center"/>
        </w:tcPr>
        <w:p w:rsidR="00CE4BBC" w:rsidRPr="0045591E" w:rsidRDefault="00CE4BBC" w:rsidP="0045591E">
          <w:pPr>
            <w:tabs>
              <w:tab w:val="center" w:pos="4153"/>
              <w:tab w:val="right" w:pos="8306"/>
            </w:tabs>
            <w:spacing w:after="120" w:line="240" w:lineRule="auto"/>
            <w:jc w:val="left"/>
            <w:rPr>
              <w:rFonts w:ascii="Times New Roman" w:hAnsi="Times New Roman"/>
              <w:sz w:val="16"/>
              <w:szCs w:val="24"/>
            </w:rPr>
          </w:pPr>
          <w:proofErr w:type="spellStart"/>
          <w:r w:rsidRPr="0045591E">
            <w:rPr>
              <w:rFonts w:ascii="Times New Roman" w:hAnsi="Times New Roman"/>
              <w:b/>
              <w:sz w:val="18"/>
              <w:szCs w:val="18"/>
            </w:rPr>
            <w:t>Ph</w:t>
          </w:r>
          <w:proofErr w:type="spellEnd"/>
          <w:r w:rsidRPr="0045591E">
            <w:rPr>
              <w:rFonts w:ascii="Times New Roman" w:hAnsi="Times New Roman"/>
              <w:sz w:val="18"/>
              <w:szCs w:val="18"/>
            </w:rPr>
            <w:t xml:space="preserve"> 08 8354 1644    </w:t>
          </w:r>
        </w:p>
      </w:tc>
      <w:tc>
        <w:tcPr>
          <w:tcW w:w="4111" w:type="dxa"/>
          <w:vAlign w:val="center"/>
        </w:tcPr>
        <w:p w:rsidR="00CE4BBC" w:rsidRPr="0045591E" w:rsidRDefault="00CE4BBC" w:rsidP="0045591E">
          <w:pPr>
            <w:tabs>
              <w:tab w:val="center" w:pos="4153"/>
              <w:tab w:val="right" w:pos="8306"/>
            </w:tabs>
            <w:spacing w:after="120" w:line="240" w:lineRule="auto"/>
            <w:jc w:val="left"/>
            <w:rPr>
              <w:rFonts w:ascii="Times New Roman" w:hAnsi="Times New Roman"/>
              <w:sz w:val="16"/>
              <w:szCs w:val="24"/>
            </w:rPr>
          </w:pPr>
          <w:proofErr w:type="spellStart"/>
          <w:r w:rsidRPr="0045591E">
            <w:rPr>
              <w:rFonts w:ascii="Times New Roman" w:hAnsi="Times New Roman"/>
              <w:b/>
              <w:sz w:val="18"/>
              <w:szCs w:val="18"/>
            </w:rPr>
            <w:t>Ph</w:t>
          </w:r>
          <w:proofErr w:type="spellEnd"/>
          <w:r w:rsidRPr="0045591E">
            <w:rPr>
              <w:rFonts w:ascii="Times New Roman" w:hAnsi="Times New Roman"/>
              <w:sz w:val="18"/>
              <w:szCs w:val="18"/>
            </w:rPr>
            <w:t xml:space="preserve"> 02 6277 7400  </w:t>
          </w:r>
        </w:p>
      </w:tc>
    </w:tr>
  </w:tbl>
  <w:p w:rsidR="00CE4BBC" w:rsidRDefault="00CE4BBC" w:rsidP="0066280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E579C1" w:rsidRDefault="00CE4BBC" w:rsidP="00771EDB">
    <w:pPr>
      <w:pStyle w:val="FooterOdd"/>
      <w:pBdr>
        <w:top w:val="none" w:sz="0" w:space="0" w:color="auto"/>
      </w:pBdr>
      <w:jc w:val="both"/>
      <w:rPr>
        <w:noProof/>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194786">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50A">
      <w:rPr>
        <w:rStyle w:val="PageNumber"/>
        <w:rFonts w:cs="Times New Roman"/>
        <w:noProof/>
        <w:sz w:val="18"/>
        <w:lang w:val="en-AU"/>
      </w:rPr>
      <w:t>Independent Parliamentary Expenses Authority</w:t>
    </w:r>
    <w:r>
      <w:rPr>
        <w:rStyle w:val="PageNumber"/>
        <w:rFonts w:cs="Times New Roman"/>
        <w:sz w:val="18"/>
        <w:lang w:val="en-AU"/>
      </w:rPr>
      <w:fldChar w:fldCharType="end"/>
    </w:r>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141</w:t>
    </w:r>
    <w:r w:rsidRPr="00B628E8">
      <w:rPr>
        <w:b/>
        <w:bCs/>
        <w:noProof/>
      </w:rPr>
      <w:fldChar w:fldCharType="end"/>
    </w:r>
  </w:p>
  <w:p w:rsidR="00CE4BBC" w:rsidRPr="00E579C1" w:rsidRDefault="00CE4BBC" w:rsidP="00771EDB">
    <w:pPr>
      <w:pStyle w:val="FooterOdd"/>
      <w:pBdr>
        <w:top w:val="none" w:sz="0" w:space="0" w:color="auto"/>
      </w:pBdr>
      <w:jc w:val="both"/>
      <w:rPr>
        <w:noProof/>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223291" w:rsidRDefault="00CE4BBC" w:rsidP="00223291">
    <w:pPr>
      <w:pStyle w:val="FooterOdd"/>
      <w:rPr>
        <w:b/>
        <w:bCs/>
        <w:noProof/>
      </w:rPr>
    </w:pPr>
    <w:r>
      <w:rPr>
        <w:rStyle w:val="PageNumber"/>
        <w:rFonts w:cs="Times New Roman"/>
        <w:sz w:val="18"/>
        <w:lang w:val="en-AU"/>
      </w:rPr>
      <w:fldChar w:fldCharType="begin"/>
    </w:r>
    <w:r>
      <w:rPr>
        <w:rStyle w:val="PageNumber"/>
        <w:rFonts w:cs="Times New Roman"/>
        <w:sz w:val="18"/>
        <w:lang w:val="en-AU"/>
      </w:rPr>
      <w:instrText xml:space="preserve"> STYLEREF  "Heading 1"  \* MERGEFORMAT </w:instrText>
    </w:r>
    <w:r>
      <w:rPr>
        <w:rStyle w:val="PageNumber"/>
        <w:rFonts w:cs="Times New Roman"/>
        <w:sz w:val="18"/>
        <w:lang w:val="en-AU"/>
      </w:rPr>
      <w:fldChar w:fldCharType="separate"/>
    </w:r>
    <w:r w:rsidR="00D9250A" w:rsidRPr="00D9250A">
      <w:rPr>
        <w:rStyle w:val="PageNumber"/>
        <w:rFonts w:cs="Times New Roman"/>
        <w:bCs/>
        <w:noProof/>
        <w:sz w:val="18"/>
        <w:lang w:val="en-US"/>
      </w:rPr>
      <w:t>Portfolio</w:t>
    </w:r>
    <w:r w:rsidR="00D9250A">
      <w:rPr>
        <w:rStyle w:val="PageNumber"/>
        <w:rFonts w:cs="Times New Roman"/>
        <w:noProof/>
        <w:sz w:val="18"/>
        <w:lang w:val="en-AU"/>
      </w:rPr>
      <w:t xml:space="preserve"> glossary</w:t>
    </w:r>
    <w:r>
      <w:rPr>
        <w:rStyle w:val="PageNumber"/>
        <w:rFonts w:cs="Times New Roman"/>
        <w:sz w:val="18"/>
        <w:lang w:val="en-AU"/>
      </w:rPr>
      <w:fldChar w:fldCharType="end"/>
    </w:r>
    <w:bookmarkStart w:id="149" w:name="_Toc444523502"/>
    <w:r w:rsidRPr="00B628E8">
      <w:rPr>
        <w:rStyle w:val="PageNumber"/>
        <w:rFonts w:cs="Times New Roman"/>
        <w:sz w:val="18"/>
      </w:rPr>
      <w:t xml:space="preserve"> </w:t>
    </w:r>
    <w:r>
      <w:rPr>
        <w:rStyle w:val="PageNumber"/>
        <w:rFonts w:cs="Times New Roman"/>
        <w:sz w:val="18"/>
        <w:lang w:val="en-AU"/>
      </w:rPr>
      <w:t xml:space="preserve"> </w:t>
    </w:r>
    <w:proofErr w:type="gramStart"/>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Page</w:t>
    </w:r>
    <w:proofErr w:type="gramEnd"/>
    <w:r w:rsidRPr="00B628E8">
      <w:rPr>
        <w:rStyle w:val="PageNumber"/>
        <w:rFonts w:cs="Times New Roman"/>
        <w:b/>
        <w:bCs/>
        <w:sz w:val="18"/>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D9250A">
      <w:rPr>
        <w:b/>
        <w:bCs/>
        <w:noProof/>
      </w:rPr>
      <w:t>157</w:t>
    </w:r>
    <w:r w:rsidRPr="00B628E8">
      <w:rPr>
        <w:b/>
        <w:bCs/>
        <w:noProof/>
      </w:rPr>
      <w:fldChar w:fldCharType="end"/>
    </w:r>
    <w:bookmarkEnd w:id="149"/>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3F0C8B" w:rsidRDefault="00CE4BBC"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D9250A">
      <w:rPr>
        <w:rStyle w:val="PageNumber"/>
        <w:rFonts w:cs="Times New Roman"/>
        <w:b/>
        <w:bCs w:val="0"/>
        <w:noProof/>
        <w:sz w:val="18"/>
      </w:rPr>
      <w:t>iv</w:t>
    </w:r>
    <w:r w:rsidRPr="003F0C8B">
      <w:rPr>
        <w:rStyle w:val="PageNumber"/>
        <w:rFonts w:cs="Times New Roman"/>
        <w:b/>
        <w:bCs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4F1212" w:rsidRDefault="00CE4BBC" w:rsidP="004342F8">
    <w:pPr>
      <w:pStyle w:val="Footer"/>
      <w:rPr>
        <w:rStyle w:val="PageNumber"/>
        <w:lang w:val="en-AU"/>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B628E8" w:rsidRDefault="00CE4BBC" w:rsidP="00782467">
    <w:pPr>
      <w:pStyle w:val="FooterOdd"/>
      <w:rPr>
        <w:rStyle w:val="PageNumber"/>
        <w:b/>
        <w:bCs/>
      </w:rPr>
    </w:pPr>
    <w:r w:rsidRPr="00B628E8">
      <w:rPr>
        <w:rStyle w:val="PageNumber"/>
        <w:rFonts w:cs="Times New Roman"/>
        <w:b/>
        <w:bCs/>
        <w:sz w:val="18"/>
      </w:rPr>
      <w:t xml:space="preserve">Page </w:t>
    </w:r>
    <w:r w:rsidRPr="00B628E8">
      <w:rPr>
        <w:rStyle w:val="PageNumber"/>
        <w:b/>
        <w:bCs/>
      </w:rPr>
      <w:fldChar w:fldCharType="begin"/>
    </w:r>
    <w:r w:rsidRPr="00B628E8">
      <w:rPr>
        <w:rStyle w:val="PageNumber"/>
        <w:b/>
        <w:bCs/>
      </w:rPr>
      <w:instrText xml:space="preserve"> PAGE   \* MERGEFORMAT </w:instrText>
    </w:r>
    <w:r w:rsidRPr="00B628E8">
      <w:rPr>
        <w:rStyle w:val="PageNumber"/>
        <w:b/>
        <w:bCs/>
      </w:rPr>
      <w:fldChar w:fldCharType="separate"/>
    </w:r>
    <w:r w:rsidR="00D9250A">
      <w:rPr>
        <w:rStyle w:val="PageNumber"/>
        <w:b/>
        <w:bCs/>
        <w:noProof/>
      </w:rPr>
      <w:t>ix</w:t>
    </w:r>
    <w:r w:rsidRPr="00B628E8">
      <w:rPr>
        <w:rStyle w:val="PageNumbe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49200C" w:rsidRDefault="00CE4BBC" w:rsidP="0049200C">
    <w:pPr>
      <w:pStyle w:val="FooterBase"/>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3F0C8B" w:rsidRDefault="00CE4BBC"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D9250A">
      <w:rPr>
        <w:rStyle w:val="PageNumber"/>
        <w:rFonts w:cs="Times New Roman"/>
        <w:b/>
        <w:bCs w:val="0"/>
        <w:noProof/>
        <w:sz w:val="18"/>
      </w:rPr>
      <w:t>14</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proofErr w:type="gramStart"/>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proofErr w:type="gramEnd"/>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9250A">
      <w:rPr>
        <w:rStyle w:val="PageNumber"/>
        <w:rFonts w:cs="Times New Roman"/>
        <w:noProof/>
        <w:sz w:val="18"/>
      </w:rPr>
      <w:t>Department of Finance</w:t>
    </w:r>
    <w:r>
      <w:rPr>
        <w:rStyle w:val="PageNumber"/>
        <w:rFonts w:cs="Times New Roman"/>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B628E8" w:rsidRDefault="00CE4BBC" w:rsidP="00B628E8">
    <w:pPr>
      <w:pStyle w:val="FooterOdd"/>
      <w:rPr>
        <w:b/>
        <w:bCs/>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D9250A">
      <w:rPr>
        <w:rStyle w:val="PageNumber"/>
        <w:rFonts w:cs="Times New Roman"/>
        <w:noProof/>
        <w:sz w:val="18"/>
      </w:rPr>
      <w:t>Finance Portfolio overview</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w:instrText>
    </w:r>
    <w:r w:rsidRPr="00B628E8">
      <w:rPr>
        <w:rStyle w:val="PageNumber"/>
        <w:rFonts w:cs="Times New Roman"/>
        <w:b/>
        <w:bCs/>
        <w:sz w:val="18"/>
      </w:rPr>
      <w:fldChar w:fldCharType="separate"/>
    </w:r>
    <w:r w:rsidR="00D9250A">
      <w:rPr>
        <w:rStyle w:val="PageNumber"/>
        <w:rFonts w:cs="Times New Roman"/>
        <w:b/>
        <w:bCs/>
        <w:noProof/>
        <w:sz w:val="18"/>
      </w:rPr>
      <w:t>3</w:t>
    </w:r>
    <w:r w:rsidRPr="00B628E8">
      <w:rPr>
        <w:rStyle w:val="PageNumber"/>
        <w:rFonts w:cs="Times New Roman"/>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BBC" w:rsidRDefault="00CE4BBC" w:rsidP="00C07DEC">
      <w:r>
        <w:separator/>
      </w:r>
    </w:p>
  </w:footnote>
  <w:footnote w:type="continuationSeparator" w:id="0">
    <w:p w:rsidR="00CE4BBC" w:rsidRDefault="00CE4BBC"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pPr>
      <w:pStyle w:val="Header"/>
      <w:jc w:val="center"/>
    </w:pPr>
    <w:r>
      <w:rPr>
        <w:noProof/>
        <w:lang w:val="en-AU"/>
      </w:rPr>
      <w:drawing>
        <wp:inline distT="0" distB="0" distL="0" distR="0" wp14:anchorId="581DB8D8" wp14:editId="0749091E">
          <wp:extent cx="880110" cy="690245"/>
          <wp:effectExtent l="0" t="0" r="0" b="0"/>
          <wp:docPr id="94" name="Picture 94"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49200C" w:rsidRDefault="00CE4BBC" w:rsidP="00FD522D">
    <w:pPr>
      <w:pStyle w:val="HeaderOd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F0538">
      <w:trPr>
        <w:trHeight w:hRule="exact" w:val="340"/>
      </w:trPr>
      <w:tc>
        <w:tcPr>
          <w:tcW w:w="7797" w:type="dxa"/>
        </w:tcPr>
        <w:p w:rsidR="00CE4BBC" w:rsidRDefault="00CE4BBC" w:rsidP="00050A97">
          <w:pPr>
            <w:pStyle w:val="HeaderEven"/>
            <w:ind w:left="-113"/>
          </w:pPr>
          <w:r w:rsidRPr="000635BE">
            <w:rPr>
              <w:rFonts w:ascii="Arial Bold" w:hAnsi="Arial Bold"/>
              <w:b/>
              <w:bCs/>
              <w:noProof/>
              <w:position w:val="-10"/>
            </w:rPr>
            <w:drawing>
              <wp:inline distT="0" distB="0" distL="0" distR="0" wp14:anchorId="3976CE0B" wp14:editId="1DCB55B0">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Default="00CE4BBC" w:rsidP="00782467">
    <w:pPr>
      <w:pStyle w:val="HeaderEven"/>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rsidR="00CE4BBC" w:rsidRDefault="00CE4BBC"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rsidR="00CE4BBC" w:rsidRDefault="00CE4BBC" w:rsidP="00361259">
    <w:pPr>
      <w:pStyle w:val="HeaderOdd"/>
    </w:pPr>
    <w:r>
      <w:t>Portfolio overview</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49200C" w:rsidRDefault="00CE4BBC" w:rsidP="00782467">
    <w:pPr>
      <w:pStyle w:val="HeaderEven"/>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F0538">
      <w:trPr>
        <w:trHeight w:hRule="exact" w:val="340"/>
      </w:trPr>
      <w:tc>
        <w:tcPr>
          <w:tcW w:w="7797" w:type="dxa"/>
        </w:tcPr>
        <w:p w:rsidR="00CE4BBC" w:rsidRDefault="00CE4BBC" w:rsidP="003F458D">
          <w:pPr>
            <w:pStyle w:val="HeaderEven"/>
            <w:ind w:left="-113"/>
          </w:pPr>
          <w:bookmarkStart w:id="16" w:name="_Hlk94690506"/>
          <w:r w:rsidRPr="000635BE">
            <w:rPr>
              <w:rFonts w:ascii="Arial Bold" w:hAnsi="Arial Bold"/>
              <w:b/>
              <w:bCs/>
              <w:noProof/>
              <w:position w:val="-10"/>
            </w:rPr>
            <w:drawing>
              <wp:inline distT="0" distB="0" distL="0" distR="0" wp14:anchorId="371843A2" wp14:editId="6C62BE76">
                <wp:extent cx="989308" cy="170121"/>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bookmarkEnd w:id="16"/>
  </w:tbl>
  <w:p w:rsidR="00CE4BBC" w:rsidRPr="00F00984" w:rsidRDefault="00CE4BBC" w:rsidP="00A02E16">
    <w:pPr>
      <w:pStyle w:val="HeaderEven"/>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F0538">
      <w:trPr>
        <w:trHeight w:hRule="exact" w:val="340"/>
      </w:trPr>
      <w:tc>
        <w:tcPr>
          <w:tcW w:w="7797" w:type="dxa"/>
        </w:tcPr>
        <w:p w:rsidR="00CE4BBC" w:rsidRDefault="00CE4BBC"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A02E16">
    <w:pPr>
      <w:pStyle w:val="HeaderOdd"/>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B4084B" w:rsidRDefault="00CE4BBC" w:rsidP="0049200C">
    <w:pPr>
      <w:pStyle w:val="HeaderOdd"/>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F00984" w:rsidRDefault="00CE4BBC" w:rsidP="00C404BB">
    <w:pPr>
      <w:pStyle w:val="HeaderEven"/>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970E65" w:rsidRDefault="00CE4BBC" w:rsidP="004461A4">
    <w:pPr>
      <w:pStyle w:val="HeaderOdd"/>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3F458D">
          <w:pPr>
            <w:pStyle w:val="HeaderEven"/>
            <w:ind w:left="-113"/>
          </w:pPr>
          <w:r w:rsidRPr="000635BE">
            <w:rPr>
              <w:rFonts w:ascii="Arial Bold" w:hAnsi="Arial Bold"/>
              <w:b/>
              <w:bCs/>
              <w:noProof/>
              <w:position w:val="-10"/>
            </w:rPr>
            <w:drawing>
              <wp:inline distT="0" distB="0" distL="0" distR="0" wp14:anchorId="1435A102" wp14:editId="686E8D03">
                <wp:extent cx="989308" cy="170121"/>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F00984" w:rsidRDefault="00CE4BBC"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0C4F54" w:rsidRDefault="00CE4BBC" w:rsidP="000C4F54">
    <w:pPr>
      <w:pStyle w:val="HeaderOdd"/>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74248A46" wp14:editId="38D985A2">
                <wp:extent cx="989308" cy="170121"/>
                <wp:effectExtent l="0" t="0" r="1905"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A02E16">
    <w:pPr>
      <w:pStyle w:val="HeaderOdd"/>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E4BBC">
      <w:trPr>
        <w:trHeight w:hRule="exact" w:val="340"/>
      </w:trPr>
      <w:tc>
        <w:tcPr>
          <w:tcW w:w="7797" w:type="dxa"/>
        </w:tcPr>
        <w:p w:rsidR="00CE4BBC" w:rsidRDefault="00CE4BBC" w:rsidP="00CE4BBC">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02E7D26C" wp14:editId="12803135">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970E65" w:rsidRDefault="00CE4BBC" w:rsidP="004461A4">
    <w:pPr>
      <w:pStyle w:val="HeaderOdd"/>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F00984" w:rsidRDefault="00CE4BBC" w:rsidP="00C404BB">
    <w:pPr>
      <w:pStyle w:val="HeaderEven"/>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0C10E1">
          <w:pPr>
            <w:pStyle w:val="HeaderEven"/>
            <w:ind w:left="-113"/>
          </w:pPr>
          <w:r w:rsidRPr="000635BE">
            <w:rPr>
              <w:rFonts w:ascii="Arial Bold" w:hAnsi="Arial Bold"/>
              <w:b/>
              <w:bCs/>
              <w:noProof/>
              <w:position w:val="-10"/>
            </w:rPr>
            <w:drawing>
              <wp:inline distT="0" distB="0" distL="0" distR="0" wp14:anchorId="027401F8" wp14:editId="377C4A28">
                <wp:extent cx="989308" cy="170121"/>
                <wp:effectExtent l="0" t="0" r="1905"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Pr="000C10E1" w:rsidRDefault="00CE4BBC" w:rsidP="000C10E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0C10E1">
    <w:pPr>
      <w:pStyle w:val="HeaderOdd"/>
    </w:pPr>
    <w:r w:rsidRPr="00213592">
      <w:rPr>
        <w:position w:val="-2"/>
      </w:rPr>
      <w:t xml:space="preserve">Portfolio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FA3A51B" wp14:editId="0401CDCF">
          <wp:extent cx="989308" cy="170121"/>
          <wp:effectExtent l="0" t="0" r="1905"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rsidR="00CE4BBC" w:rsidRPr="000C10E1" w:rsidRDefault="00CE4BBC" w:rsidP="000C10E1">
    <w:pPr>
      <w:pStyle w:val="Heade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5D36C8">
          <w:pPr>
            <w:pStyle w:val="HeaderEven"/>
            <w:ind w:left="-113"/>
          </w:pPr>
          <w:r w:rsidRPr="000635BE">
            <w:rPr>
              <w:rFonts w:ascii="Arial Bold" w:hAnsi="Arial Bold"/>
              <w:b/>
              <w:bCs/>
              <w:noProof/>
              <w:position w:val="-10"/>
            </w:rPr>
            <w:drawing>
              <wp:inline distT="0" distB="0" distL="0" distR="0" wp14:anchorId="4F7C7C77" wp14:editId="75BFBDC4">
                <wp:extent cx="989308" cy="170121"/>
                <wp:effectExtent l="0" t="0" r="1905"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rsidR="00CE4BBC" w:rsidRDefault="00CE4BB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050A97">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57DFEE8E" wp14:editId="44CF9C38">
                <wp:extent cx="989308" cy="170121"/>
                <wp:effectExtent l="0" t="0" r="1905"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A02E16">
    <w:pPr>
      <w:pStyle w:val="HeaderOdd"/>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5D36C8">
    <w:pPr>
      <w:pStyle w:val="HeaderOdd"/>
    </w:pPr>
  </w:p>
  <w:p w:rsidR="00CE4BBC" w:rsidRPr="00B4084B" w:rsidRDefault="00CE4BBC" w:rsidP="005D36C8">
    <w:pPr>
      <w:pStyle w:val="HeaderOdd"/>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5D36C8">
      <w:trPr>
        <w:trHeight w:hRule="exact" w:val="340"/>
      </w:trPr>
      <w:tc>
        <w:tcPr>
          <w:tcW w:w="7797" w:type="dxa"/>
        </w:tcPr>
        <w:p w:rsidR="00CE4BBC" w:rsidRDefault="00CE4BBC" w:rsidP="005D36C8">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53DADB7A" wp14:editId="0E22CADD">
                <wp:extent cx="989308" cy="170121"/>
                <wp:effectExtent l="0" t="0" r="1905"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5D36C8">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rsidR="00CE4BBC" w:rsidRDefault="00CE4BBC"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ED61E7">
      <w:trPr>
        <w:trHeight w:hRule="exact" w:val="340"/>
      </w:trPr>
      <w:tc>
        <w:tcPr>
          <w:tcW w:w="7797" w:type="dxa"/>
        </w:tcPr>
        <w:p w:rsidR="00CE4BBC" w:rsidRDefault="00CE4BBC" w:rsidP="00B01553">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3460916A" wp14:editId="77B766F2">
                <wp:extent cx="989308" cy="170121"/>
                <wp:effectExtent l="0" t="0" r="1905"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Default="00CE4BBC" w:rsidP="00B01553">
    <w:pPr>
      <w:pStyle w:val="HeaderOdd"/>
    </w:pPr>
  </w:p>
  <w:p w:rsidR="00CE4BBC" w:rsidRPr="00B01553" w:rsidRDefault="00CE4BBC" w:rsidP="00B01553">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771EDB" w:rsidRDefault="00CE4BBC" w:rsidP="00771ED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ED61E7">
      <w:trPr>
        <w:trHeight w:hRule="exact" w:val="340"/>
      </w:trPr>
      <w:tc>
        <w:tcPr>
          <w:tcW w:w="7797" w:type="dxa"/>
        </w:tcPr>
        <w:p w:rsidR="00CE4BBC" w:rsidRDefault="00CE4BBC" w:rsidP="00B01553">
          <w:pPr>
            <w:pStyle w:val="HeaderOdd"/>
          </w:pPr>
          <w:r w:rsidRPr="00213592">
            <w:rPr>
              <w:position w:val="-2"/>
            </w:rPr>
            <w:t>Portfolio Budget Statements  |</w:t>
          </w:r>
          <w:r>
            <w:t xml:space="preserve">  </w:t>
          </w:r>
          <w:r w:rsidRPr="000635BE">
            <w:rPr>
              <w:rFonts w:ascii="Arial Bold" w:hAnsi="Arial Bold"/>
              <w:b/>
              <w:bCs/>
              <w:noProof/>
              <w:position w:val="-10"/>
            </w:rPr>
            <w:drawing>
              <wp:inline distT="0" distB="0" distL="0" distR="0" wp14:anchorId="63AC21B0" wp14:editId="5D955499">
                <wp:extent cx="989308" cy="170121"/>
                <wp:effectExtent l="0" t="0" r="1905" b="190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rsidR="00CE4BBC" w:rsidRPr="00B01553" w:rsidRDefault="00CE4BBC" w:rsidP="00B01553">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B01553" w:rsidRDefault="00CE4BBC" w:rsidP="00B0155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p>
  <w:p w:rsidR="00CE4BBC" w:rsidRDefault="00CE4BBC" w:rsidP="00361259">
    <w:pPr>
      <w:pStyle w:val="HeaderEven"/>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361259">
    <w:pPr>
      <w:pStyle w:val="HeaderOdd"/>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970E65" w:rsidRDefault="00CE4BBC" w:rsidP="004461A4">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rsidR="00CE4BBC" w:rsidRDefault="00CE4BBC"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E4BBC" w:rsidTr="00CF0538">
      <w:trPr>
        <w:trHeight w:hRule="exact" w:val="340"/>
      </w:trPr>
      <w:tc>
        <w:tcPr>
          <w:tcW w:w="7797" w:type="dxa"/>
        </w:tcPr>
        <w:p w:rsidR="00CE4BBC" w:rsidRDefault="00CE4BBC" w:rsidP="00081CBC">
          <w:pPr>
            <w:pStyle w:val="HeaderEven"/>
            <w:ind w:left="-113"/>
          </w:pPr>
          <w:r w:rsidRPr="000635BE">
            <w:rPr>
              <w:rFonts w:ascii="Arial Bold" w:hAnsi="Arial Bold"/>
              <w:b/>
              <w:bCs/>
              <w:noProof/>
              <w:position w:val="-10"/>
            </w:rPr>
            <w:drawing>
              <wp:inline distT="0" distB="0" distL="0" distR="0" wp14:anchorId="20C5F1FE" wp14:editId="64E159BD">
                <wp:extent cx="989308" cy="170121"/>
                <wp:effectExtent l="0" t="0" r="1905" b="190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tc>
    </w:tr>
  </w:tbl>
  <w:p w:rsidR="00CE4BBC" w:rsidRPr="0049200C" w:rsidRDefault="00CE4BBC" w:rsidP="00081CBC">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Pr="0049200C" w:rsidRDefault="00CE4BBC" w:rsidP="000C4F54">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DLMSecurity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rsidR="00CE4BBC" w:rsidRDefault="00CE4BBC"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BBC" w:rsidRDefault="00CE4BBC"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rsidR="00CE4BBC" w:rsidRDefault="00CE4BBC"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01"/>
    <w:multiLevelType w:val="hybridMultilevel"/>
    <w:tmpl w:val="C2305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D0F2B"/>
    <w:multiLevelType w:val="hybridMultilevel"/>
    <w:tmpl w:val="D160CC20"/>
    <w:lvl w:ilvl="0" w:tplc="6854B8E0">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7933471"/>
    <w:multiLevelType w:val="multilevel"/>
    <w:tmpl w:val="3D36C28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4E9F"/>
    <w:multiLevelType w:val="hybridMultilevel"/>
    <w:tmpl w:val="45D67EC6"/>
    <w:lvl w:ilvl="0" w:tplc="F0E40EDC">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7F6329"/>
    <w:multiLevelType w:val="hybridMultilevel"/>
    <w:tmpl w:val="72D6DC22"/>
    <w:lvl w:ilvl="0" w:tplc="9A5C3602">
      <w:start w:val="1"/>
      <w:numFmt w:val="lowerLetter"/>
      <w:lvlText w:val="(%1)"/>
      <w:lvlJc w:val="left"/>
      <w:pPr>
        <w:ind w:left="360" w:hanging="360"/>
      </w:pPr>
      <w:rPr>
        <w:rFonts w:ascii="Arial" w:eastAsia="Times New Roman" w:hAnsi="Arial" w:cs="Arial"/>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7F48D4"/>
    <w:multiLevelType w:val="hybridMultilevel"/>
    <w:tmpl w:val="D124F6D2"/>
    <w:lvl w:ilvl="0" w:tplc="6252375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3056BC9"/>
    <w:multiLevelType w:val="hybridMultilevel"/>
    <w:tmpl w:val="26DC12C2"/>
    <w:lvl w:ilvl="0" w:tplc="EE2E0B36">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956330"/>
    <w:multiLevelType w:val="hybridMultilevel"/>
    <w:tmpl w:val="B78C0B6E"/>
    <w:lvl w:ilvl="0" w:tplc="D526BCF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7542CF"/>
    <w:multiLevelType w:val="hybridMultilevel"/>
    <w:tmpl w:val="4D926388"/>
    <w:lvl w:ilvl="0" w:tplc="F12A6DD4">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F0193F"/>
    <w:multiLevelType w:val="hybridMultilevel"/>
    <w:tmpl w:val="8A36DD7A"/>
    <w:lvl w:ilvl="0" w:tplc="1DD829E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AD4D60"/>
    <w:multiLevelType w:val="hybridMultilevel"/>
    <w:tmpl w:val="630A0BCC"/>
    <w:lvl w:ilvl="0" w:tplc="136A4B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4278CF"/>
    <w:multiLevelType w:val="hybridMultilevel"/>
    <w:tmpl w:val="3EBC4560"/>
    <w:lvl w:ilvl="0" w:tplc="D6C4BF7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330869"/>
    <w:multiLevelType w:val="hybridMultilevel"/>
    <w:tmpl w:val="A4FC0082"/>
    <w:lvl w:ilvl="0" w:tplc="E9B2D55E">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DD13CF"/>
    <w:multiLevelType w:val="hybridMultilevel"/>
    <w:tmpl w:val="A3DCC688"/>
    <w:lvl w:ilvl="0" w:tplc="FD869E72">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C7774E"/>
    <w:multiLevelType w:val="hybridMultilevel"/>
    <w:tmpl w:val="5824E4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2B3E33FD"/>
    <w:multiLevelType w:val="hybridMultilevel"/>
    <w:tmpl w:val="DC5C44E8"/>
    <w:lvl w:ilvl="0" w:tplc="04A44BE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15:restartNumberingAfterBreak="0">
    <w:nsid w:val="2EC0261C"/>
    <w:multiLevelType w:val="hybridMultilevel"/>
    <w:tmpl w:val="CA2C9E08"/>
    <w:lvl w:ilvl="0" w:tplc="3140DB3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78030E"/>
    <w:multiLevelType w:val="hybridMultilevel"/>
    <w:tmpl w:val="D24C364C"/>
    <w:lvl w:ilvl="0" w:tplc="61BAB61A">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2" w15:restartNumberingAfterBreak="0">
    <w:nsid w:val="39676E51"/>
    <w:multiLevelType w:val="hybridMultilevel"/>
    <w:tmpl w:val="77D0FD54"/>
    <w:lvl w:ilvl="0" w:tplc="24BEF2E8">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97B6E65"/>
    <w:multiLevelType w:val="hybridMultilevel"/>
    <w:tmpl w:val="73C0EF78"/>
    <w:lvl w:ilvl="0" w:tplc="84C88830">
      <w:start w:val="1"/>
      <w:numFmt w:val="lowerLetter"/>
      <w:lvlText w:val="(%1)"/>
      <w:lvlJc w:val="left"/>
      <w:pPr>
        <w:ind w:left="360" w:hanging="360"/>
      </w:pPr>
      <w:rPr>
        <w:rFonts w:ascii="Arial" w:eastAsia="Times New Roman" w:hAnsi="Arial" w:cs="Times New Roman"/>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321E0A"/>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F0C020E"/>
    <w:multiLevelType w:val="hybridMultilevel"/>
    <w:tmpl w:val="AEC0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7" w15:restartNumberingAfterBreak="0">
    <w:nsid w:val="417A2C26"/>
    <w:multiLevelType w:val="hybridMultilevel"/>
    <w:tmpl w:val="61F8D2E0"/>
    <w:lvl w:ilvl="0" w:tplc="8D047D26">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62542BE"/>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2" w15:restartNumberingAfterBreak="0">
    <w:nsid w:val="52E30E41"/>
    <w:multiLevelType w:val="hybridMultilevel"/>
    <w:tmpl w:val="25069A82"/>
    <w:lvl w:ilvl="0" w:tplc="D6B46802">
      <w:start w:val="1"/>
      <w:numFmt w:val="lowerLetter"/>
      <w:lvlText w:val="(%1)"/>
      <w:lvlJc w:val="left"/>
      <w:pPr>
        <w:tabs>
          <w:tab w:val="num" w:pos="397"/>
        </w:tabs>
        <w:ind w:left="397" w:hanging="397"/>
      </w:pPr>
      <w:rPr>
        <w:rFonts w:ascii="Arial" w:eastAsia="Times New Roman" w:hAnsi="Arial" w:cs="Arial"/>
        <w:b w:val="0"/>
        <w:i w:val="0"/>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72A22A3"/>
    <w:multiLevelType w:val="hybridMultilevel"/>
    <w:tmpl w:val="553435DA"/>
    <w:lvl w:ilvl="0" w:tplc="7C8803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15:restartNumberingAfterBreak="0">
    <w:nsid w:val="5C446FB6"/>
    <w:multiLevelType w:val="hybridMultilevel"/>
    <w:tmpl w:val="186C5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CCB101D"/>
    <w:multiLevelType w:val="hybridMultilevel"/>
    <w:tmpl w:val="97226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DCD5807"/>
    <w:multiLevelType w:val="hybridMultilevel"/>
    <w:tmpl w:val="9BEA049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F3F3638"/>
    <w:multiLevelType w:val="hybridMultilevel"/>
    <w:tmpl w:val="A092ADC0"/>
    <w:lvl w:ilvl="0" w:tplc="0EA89F9C">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1F1207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3DF1DA9"/>
    <w:multiLevelType w:val="hybridMultilevel"/>
    <w:tmpl w:val="54269128"/>
    <w:lvl w:ilvl="0" w:tplc="329C1098">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777B55"/>
    <w:multiLevelType w:val="hybridMultilevel"/>
    <w:tmpl w:val="DB12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7" w15:restartNumberingAfterBreak="0">
    <w:nsid w:val="6DB210D5"/>
    <w:multiLevelType w:val="hybridMultilevel"/>
    <w:tmpl w:val="C3C00F4C"/>
    <w:lvl w:ilvl="0" w:tplc="7062CFFE">
      <w:start w:val="1"/>
      <w:numFmt w:val="lowerLetter"/>
      <w:lvlText w:val="(%1)"/>
      <w:lvlJc w:val="left"/>
      <w:pPr>
        <w:ind w:left="360" w:hanging="360"/>
      </w:pPr>
      <w:rPr>
        <w:rFonts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03F726E"/>
    <w:multiLevelType w:val="hybridMultilevel"/>
    <w:tmpl w:val="10A4AE4C"/>
    <w:lvl w:ilvl="0" w:tplc="1F4E3688">
      <w:start w:val="1"/>
      <w:numFmt w:val="lowerLetter"/>
      <w:lvlText w:val="(%1)"/>
      <w:lvlJc w:val="left"/>
      <w:pPr>
        <w:ind w:left="360" w:hanging="360"/>
      </w:pPr>
      <w:rPr>
        <w:rFonts w:ascii="Arial" w:eastAsia="Times New Roman" w:hAnsi="Arial" w:cs="Arial"/>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BA1812"/>
    <w:multiLevelType w:val="hybridMultilevel"/>
    <w:tmpl w:val="31783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A2A5D82"/>
    <w:multiLevelType w:val="multilevel"/>
    <w:tmpl w:val="1876A8A6"/>
    <w:lvl w:ilvl="0">
      <w:start w:val="1"/>
      <w:numFmt w:val="lowerLetter"/>
      <w:lvlText w:val="(%1)"/>
      <w:lvlJc w:val="left"/>
      <w:pPr>
        <w:tabs>
          <w:tab w:val="num" w:pos="360"/>
        </w:tabs>
        <w:ind w:left="360" w:hanging="360"/>
      </w:pPr>
      <w:rPr>
        <w:rFonts w:hint="default"/>
        <w:b w:val="0"/>
        <w:i w:val="0"/>
        <w:sz w:val="16"/>
        <w:szCs w:val="16"/>
      </w:rPr>
    </w:lvl>
    <w:lvl w:ilvl="1">
      <w:start w:val="1"/>
      <w:numFmt w:val="lowerLetter"/>
      <w:lvlText w:val="(%2)"/>
      <w:lvlJc w:val="left"/>
      <w:pPr>
        <w:ind w:left="1440" w:hanging="720"/>
      </w:pPr>
      <w:rPr>
        <w:rFonts w:hint="default"/>
      </w:rPr>
    </w:lvl>
    <w:lvl w:ilvl="2">
      <w:start w:val="1"/>
      <w:numFmt w:val="upperLetter"/>
      <w:lvlText w:val="(%3)"/>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E8C1392"/>
    <w:multiLevelType w:val="hybridMultilevel"/>
    <w:tmpl w:val="11DCA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55"/>
  </w:num>
  <w:num w:numId="4">
    <w:abstractNumId w:val="59"/>
  </w:num>
  <w:num w:numId="5">
    <w:abstractNumId w:val="26"/>
  </w:num>
  <w:num w:numId="6">
    <w:abstractNumId w:val="46"/>
  </w:num>
  <w:num w:numId="7">
    <w:abstractNumId w:val="5"/>
  </w:num>
  <w:num w:numId="8">
    <w:abstractNumId w:val="24"/>
  </w:num>
  <w:num w:numId="9">
    <w:abstractNumId w:val="16"/>
  </w:num>
  <w:num w:numId="10">
    <w:abstractNumId w:val="2"/>
  </w:num>
  <w:num w:numId="11">
    <w:abstractNumId w:val="36"/>
  </w:num>
  <w:num w:numId="12">
    <w:abstractNumId w:val="7"/>
  </w:num>
  <w:num w:numId="13">
    <w:abstractNumId w:val="61"/>
  </w:num>
  <w:num w:numId="14">
    <w:abstractNumId w:val="48"/>
  </w:num>
  <w:num w:numId="15">
    <w:abstractNumId w:val="47"/>
  </w:num>
  <w:num w:numId="16">
    <w:abstractNumId w:val="44"/>
  </w:num>
  <w:num w:numId="17">
    <w:abstractNumId w:val="43"/>
  </w:num>
  <w:num w:numId="18">
    <w:abstractNumId w:val="14"/>
  </w:num>
  <w:num w:numId="19">
    <w:abstractNumId w:val="60"/>
  </w:num>
  <w:num w:numId="20">
    <w:abstractNumId w:val="41"/>
  </w:num>
  <w:num w:numId="21">
    <w:abstractNumId w:val="56"/>
  </w:num>
  <w:num w:numId="22">
    <w:abstractNumId w:val="22"/>
  </w:num>
  <w:num w:numId="23">
    <w:abstractNumId w:val="64"/>
  </w:num>
  <w:num w:numId="24">
    <w:abstractNumId w:val="23"/>
  </w:num>
  <w:num w:numId="25">
    <w:abstractNumId w:val="52"/>
  </w:num>
  <w:num w:numId="26">
    <w:abstractNumId w:val="31"/>
  </w:num>
  <w:num w:numId="27">
    <w:abstractNumId w:val="45"/>
  </w:num>
  <w:num w:numId="28">
    <w:abstractNumId w:val="18"/>
  </w:num>
  <w:num w:numId="29">
    <w:abstractNumId w:val="40"/>
  </w:num>
  <w:num w:numId="30">
    <w:abstractNumId w:val="28"/>
  </w:num>
  <w:num w:numId="31">
    <w:abstractNumId w:val="39"/>
  </w:num>
  <w:num w:numId="32">
    <w:abstractNumId w:val="51"/>
  </w:num>
  <w:num w:numId="33">
    <w:abstractNumId w:val="19"/>
  </w:num>
  <w:num w:numId="34">
    <w:abstractNumId w:val="54"/>
  </w:num>
  <w:num w:numId="35">
    <w:abstractNumId w:val="49"/>
  </w:num>
  <w:num w:numId="36">
    <w:abstractNumId w:val="35"/>
  </w:num>
  <w:num w:numId="37">
    <w:abstractNumId w:val="0"/>
  </w:num>
  <w:num w:numId="38">
    <w:abstractNumId w:val="62"/>
  </w:num>
  <w:num w:numId="39">
    <w:abstractNumId w:val="27"/>
  </w:num>
  <w:num w:numId="40">
    <w:abstractNumId w:val="20"/>
  </w:num>
  <w:num w:numId="41">
    <w:abstractNumId w:val="33"/>
  </w:num>
  <w:num w:numId="42">
    <w:abstractNumId w:val="32"/>
  </w:num>
  <w:num w:numId="43">
    <w:abstractNumId w:val="21"/>
  </w:num>
  <w:num w:numId="44">
    <w:abstractNumId w:val="34"/>
  </w:num>
  <w:num w:numId="45">
    <w:abstractNumId w:val="58"/>
  </w:num>
  <w:num w:numId="46">
    <w:abstractNumId w:val="6"/>
  </w:num>
  <w:num w:numId="47">
    <w:abstractNumId w:val="4"/>
  </w:num>
  <w:num w:numId="48">
    <w:abstractNumId w:val="53"/>
  </w:num>
  <w:num w:numId="49">
    <w:abstractNumId w:val="29"/>
  </w:num>
  <w:num w:numId="50">
    <w:abstractNumId w:val="13"/>
  </w:num>
  <w:num w:numId="51">
    <w:abstractNumId w:val="3"/>
  </w:num>
  <w:num w:numId="52">
    <w:abstractNumId w:val="15"/>
  </w:num>
  <w:num w:numId="53">
    <w:abstractNumId w:val="25"/>
  </w:num>
  <w:num w:numId="54">
    <w:abstractNumId w:val="10"/>
  </w:num>
  <w:num w:numId="55">
    <w:abstractNumId w:val="1"/>
  </w:num>
  <w:num w:numId="56">
    <w:abstractNumId w:val="12"/>
  </w:num>
  <w:num w:numId="57">
    <w:abstractNumId w:val="11"/>
  </w:num>
  <w:num w:numId="58">
    <w:abstractNumId w:val="37"/>
  </w:num>
  <w:num w:numId="59">
    <w:abstractNumId w:val="17"/>
  </w:num>
  <w:num w:numId="60">
    <w:abstractNumId w:val="50"/>
  </w:num>
  <w:num w:numId="61">
    <w:abstractNumId w:val="42"/>
  </w:num>
  <w:num w:numId="62">
    <w:abstractNumId w:val="63"/>
  </w:num>
  <w:num w:numId="63">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8EC"/>
    <w:rsid w:val="0000358C"/>
    <w:rsid w:val="00003AC4"/>
    <w:rsid w:val="00003CA0"/>
    <w:rsid w:val="00003FFA"/>
    <w:rsid w:val="0000528D"/>
    <w:rsid w:val="00005CA1"/>
    <w:rsid w:val="0000614C"/>
    <w:rsid w:val="00006AE4"/>
    <w:rsid w:val="00006B50"/>
    <w:rsid w:val="0000711B"/>
    <w:rsid w:val="00007D7B"/>
    <w:rsid w:val="00011C70"/>
    <w:rsid w:val="0001294C"/>
    <w:rsid w:val="00012BB0"/>
    <w:rsid w:val="00012D09"/>
    <w:rsid w:val="00013D25"/>
    <w:rsid w:val="0001438C"/>
    <w:rsid w:val="0001570B"/>
    <w:rsid w:val="00016075"/>
    <w:rsid w:val="0001615A"/>
    <w:rsid w:val="00016D95"/>
    <w:rsid w:val="00017619"/>
    <w:rsid w:val="00017840"/>
    <w:rsid w:val="00020573"/>
    <w:rsid w:val="00020766"/>
    <w:rsid w:val="000216BF"/>
    <w:rsid w:val="00021DA6"/>
    <w:rsid w:val="00021F8F"/>
    <w:rsid w:val="000220B0"/>
    <w:rsid w:val="0002265B"/>
    <w:rsid w:val="00022A1A"/>
    <w:rsid w:val="00023B08"/>
    <w:rsid w:val="00023CED"/>
    <w:rsid w:val="00025381"/>
    <w:rsid w:val="000254E0"/>
    <w:rsid w:val="00025737"/>
    <w:rsid w:val="00025CB2"/>
    <w:rsid w:val="00026D37"/>
    <w:rsid w:val="000277D1"/>
    <w:rsid w:val="00027C3A"/>
    <w:rsid w:val="000300D7"/>
    <w:rsid w:val="000304FC"/>
    <w:rsid w:val="000309D2"/>
    <w:rsid w:val="00030D39"/>
    <w:rsid w:val="00030FDA"/>
    <w:rsid w:val="00032558"/>
    <w:rsid w:val="00032AA7"/>
    <w:rsid w:val="00032B09"/>
    <w:rsid w:val="0003384E"/>
    <w:rsid w:val="00033DF5"/>
    <w:rsid w:val="00033F08"/>
    <w:rsid w:val="00033F86"/>
    <w:rsid w:val="000343BE"/>
    <w:rsid w:val="00034C41"/>
    <w:rsid w:val="0003503B"/>
    <w:rsid w:val="00036095"/>
    <w:rsid w:val="000364F3"/>
    <w:rsid w:val="000366AE"/>
    <w:rsid w:val="000369AC"/>
    <w:rsid w:val="0003724F"/>
    <w:rsid w:val="00037BA1"/>
    <w:rsid w:val="00037E08"/>
    <w:rsid w:val="00040B2E"/>
    <w:rsid w:val="000411D5"/>
    <w:rsid w:val="000413D4"/>
    <w:rsid w:val="000425E2"/>
    <w:rsid w:val="00042FDD"/>
    <w:rsid w:val="00044CF1"/>
    <w:rsid w:val="0004509D"/>
    <w:rsid w:val="00045667"/>
    <w:rsid w:val="00045B04"/>
    <w:rsid w:val="00045B1E"/>
    <w:rsid w:val="00045DB0"/>
    <w:rsid w:val="000476D8"/>
    <w:rsid w:val="0005030D"/>
    <w:rsid w:val="00050A97"/>
    <w:rsid w:val="00052A73"/>
    <w:rsid w:val="00054A04"/>
    <w:rsid w:val="00054BE6"/>
    <w:rsid w:val="00054CC3"/>
    <w:rsid w:val="000555DE"/>
    <w:rsid w:val="0005600E"/>
    <w:rsid w:val="00056260"/>
    <w:rsid w:val="0005722F"/>
    <w:rsid w:val="000606CB"/>
    <w:rsid w:val="00060890"/>
    <w:rsid w:val="0006135F"/>
    <w:rsid w:val="000613EA"/>
    <w:rsid w:val="00061415"/>
    <w:rsid w:val="0006171A"/>
    <w:rsid w:val="0006199A"/>
    <w:rsid w:val="00061A2A"/>
    <w:rsid w:val="00061FD8"/>
    <w:rsid w:val="000627C7"/>
    <w:rsid w:val="00063C44"/>
    <w:rsid w:val="00063CE1"/>
    <w:rsid w:val="000641DA"/>
    <w:rsid w:val="0006427C"/>
    <w:rsid w:val="00065053"/>
    <w:rsid w:val="000655E4"/>
    <w:rsid w:val="000656AD"/>
    <w:rsid w:val="00065B93"/>
    <w:rsid w:val="00065C71"/>
    <w:rsid w:val="00066BBA"/>
    <w:rsid w:val="000671B7"/>
    <w:rsid w:val="00067B6F"/>
    <w:rsid w:val="00067E1D"/>
    <w:rsid w:val="0007064C"/>
    <w:rsid w:val="000712EE"/>
    <w:rsid w:val="000716C3"/>
    <w:rsid w:val="000717B9"/>
    <w:rsid w:val="000725C0"/>
    <w:rsid w:val="00072F14"/>
    <w:rsid w:val="00073878"/>
    <w:rsid w:val="000738AB"/>
    <w:rsid w:val="00074361"/>
    <w:rsid w:val="00074CE6"/>
    <w:rsid w:val="00075452"/>
    <w:rsid w:val="000768A5"/>
    <w:rsid w:val="00076B48"/>
    <w:rsid w:val="00077277"/>
    <w:rsid w:val="0007743A"/>
    <w:rsid w:val="00080069"/>
    <w:rsid w:val="00080125"/>
    <w:rsid w:val="00080F4F"/>
    <w:rsid w:val="000817F1"/>
    <w:rsid w:val="00081CBC"/>
    <w:rsid w:val="00082159"/>
    <w:rsid w:val="0008233C"/>
    <w:rsid w:val="00083AD8"/>
    <w:rsid w:val="0008449F"/>
    <w:rsid w:val="000846ED"/>
    <w:rsid w:val="000850E6"/>
    <w:rsid w:val="00085982"/>
    <w:rsid w:val="000867C1"/>
    <w:rsid w:val="0008687E"/>
    <w:rsid w:val="00090681"/>
    <w:rsid w:val="00090974"/>
    <w:rsid w:val="00090B84"/>
    <w:rsid w:val="000919F4"/>
    <w:rsid w:val="00091B3B"/>
    <w:rsid w:val="000921EE"/>
    <w:rsid w:val="000924A7"/>
    <w:rsid w:val="00093D79"/>
    <w:rsid w:val="00094B28"/>
    <w:rsid w:val="00094B9A"/>
    <w:rsid w:val="00096568"/>
    <w:rsid w:val="00096DEE"/>
    <w:rsid w:val="00096EB1"/>
    <w:rsid w:val="00097063"/>
    <w:rsid w:val="00097336"/>
    <w:rsid w:val="000975DA"/>
    <w:rsid w:val="000A1920"/>
    <w:rsid w:val="000A1A89"/>
    <w:rsid w:val="000A1C91"/>
    <w:rsid w:val="000A24C4"/>
    <w:rsid w:val="000A2FD9"/>
    <w:rsid w:val="000A3454"/>
    <w:rsid w:val="000A345B"/>
    <w:rsid w:val="000A372A"/>
    <w:rsid w:val="000A395D"/>
    <w:rsid w:val="000A532C"/>
    <w:rsid w:val="000A56A5"/>
    <w:rsid w:val="000A5B19"/>
    <w:rsid w:val="000A5C86"/>
    <w:rsid w:val="000A6897"/>
    <w:rsid w:val="000A6CD5"/>
    <w:rsid w:val="000A6DBE"/>
    <w:rsid w:val="000A7CB1"/>
    <w:rsid w:val="000A7E1F"/>
    <w:rsid w:val="000B0B97"/>
    <w:rsid w:val="000B165D"/>
    <w:rsid w:val="000B1FC4"/>
    <w:rsid w:val="000B21D6"/>
    <w:rsid w:val="000B2404"/>
    <w:rsid w:val="000B36D8"/>
    <w:rsid w:val="000B3B7D"/>
    <w:rsid w:val="000B6E38"/>
    <w:rsid w:val="000C056F"/>
    <w:rsid w:val="000C08A5"/>
    <w:rsid w:val="000C09FE"/>
    <w:rsid w:val="000C10E1"/>
    <w:rsid w:val="000C1442"/>
    <w:rsid w:val="000C1928"/>
    <w:rsid w:val="000C19B3"/>
    <w:rsid w:val="000C19EF"/>
    <w:rsid w:val="000C2D7D"/>
    <w:rsid w:val="000C3134"/>
    <w:rsid w:val="000C3B86"/>
    <w:rsid w:val="000C3C4E"/>
    <w:rsid w:val="000C4A46"/>
    <w:rsid w:val="000C4F54"/>
    <w:rsid w:val="000C55A6"/>
    <w:rsid w:val="000C5928"/>
    <w:rsid w:val="000C6691"/>
    <w:rsid w:val="000C6A39"/>
    <w:rsid w:val="000C6FB8"/>
    <w:rsid w:val="000D0547"/>
    <w:rsid w:val="000D13E5"/>
    <w:rsid w:val="000D203B"/>
    <w:rsid w:val="000D28EB"/>
    <w:rsid w:val="000D308C"/>
    <w:rsid w:val="000D3CA0"/>
    <w:rsid w:val="000D4262"/>
    <w:rsid w:val="000D43DE"/>
    <w:rsid w:val="000D519D"/>
    <w:rsid w:val="000D55B5"/>
    <w:rsid w:val="000D58A1"/>
    <w:rsid w:val="000D68E5"/>
    <w:rsid w:val="000D7E54"/>
    <w:rsid w:val="000E04C6"/>
    <w:rsid w:val="000E0A5A"/>
    <w:rsid w:val="000E0A85"/>
    <w:rsid w:val="000E1306"/>
    <w:rsid w:val="000E2F5F"/>
    <w:rsid w:val="000E4F0F"/>
    <w:rsid w:val="000E55A5"/>
    <w:rsid w:val="000E67DB"/>
    <w:rsid w:val="000E68E3"/>
    <w:rsid w:val="000E6DDB"/>
    <w:rsid w:val="000E72AB"/>
    <w:rsid w:val="000E74A6"/>
    <w:rsid w:val="000E7545"/>
    <w:rsid w:val="000F03B1"/>
    <w:rsid w:val="000F08AE"/>
    <w:rsid w:val="000F0DA6"/>
    <w:rsid w:val="000F1AAB"/>
    <w:rsid w:val="000F2D33"/>
    <w:rsid w:val="000F43F4"/>
    <w:rsid w:val="000F440E"/>
    <w:rsid w:val="000F54E8"/>
    <w:rsid w:val="000F6143"/>
    <w:rsid w:val="000F6647"/>
    <w:rsid w:val="000F73B7"/>
    <w:rsid w:val="000F7464"/>
    <w:rsid w:val="000F794F"/>
    <w:rsid w:val="000F7E7B"/>
    <w:rsid w:val="001002F8"/>
    <w:rsid w:val="00100956"/>
    <w:rsid w:val="00102654"/>
    <w:rsid w:val="001028CC"/>
    <w:rsid w:val="00102932"/>
    <w:rsid w:val="001045F9"/>
    <w:rsid w:val="00104624"/>
    <w:rsid w:val="0010472B"/>
    <w:rsid w:val="00104F95"/>
    <w:rsid w:val="001064BD"/>
    <w:rsid w:val="0010654B"/>
    <w:rsid w:val="0010657F"/>
    <w:rsid w:val="00106FE5"/>
    <w:rsid w:val="001078E6"/>
    <w:rsid w:val="001079D3"/>
    <w:rsid w:val="00111159"/>
    <w:rsid w:val="0011116D"/>
    <w:rsid w:val="00111439"/>
    <w:rsid w:val="0011221E"/>
    <w:rsid w:val="00112D0F"/>
    <w:rsid w:val="001133E0"/>
    <w:rsid w:val="0011401D"/>
    <w:rsid w:val="00114218"/>
    <w:rsid w:val="00114FDA"/>
    <w:rsid w:val="0011559E"/>
    <w:rsid w:val="00115AEC"/>
    <w:rsid w:val="00115DE5"/>
    <w:rsid w:val="001163D6"/>
    <w:rsid w:val="0011726A"/>
    <w:rsid w:val="0011781D"/>
    <w:rsid w:val="00117D51"/>
    <w:rsid w:val="0012022D"/>
    <w:rsid w:val="00120B5E"/>
    <w:rsid w:val="0012108F"/>
    <w:rsid w:val="00121410"/>
    <w:rsid w:val="00121EB0"/>
    <w:rsid w:val="0012228D"/>
    <w:rsid w:val="00123218"/>
    <w:rsid w:val="001237BA"/>
    <w:rsid w:val="00123925"/>
    <w:rsid w:val="0012530F"/>
    <w:rsid w:val="00126641"/>
    <w:rsid w:val="00126954"/>
    <w:rsid w:val="00127081"/>
    <w:rsid w:val="001303BE"/>
    <w:rsid w:val="001320CB"/>
    <w:rsid w:val="00132F9E"/>
    <w:rsid w:val="00133D3A"/>
    <w:rsid w:val="001352EE"/>
    <w:rsid w:val="00135505"/>
    <w:rsid w:val="001364A7"/>
    <w:rsid w:val="0013653C"/>
    <w:rsid w:val="00136827"/>
    <w:rsid w:val="001375D4"/>
    <w:rsid w:val="0013768B"/>
    <w:rsid w:val="00140574"/>
    <w:rsid w:val="00140AED"/>
    <w:rsid w:val="001414B9"/>
    <w:rsid w:val="0014158A"/>
    <w:rsid w:val="00141928"/>
    <w:rsid w:val="001432E5"/>
    <w:rsid w:val="0014334B"/>
    <w:rsid w:val="00143385"/>
    <w:rsid w:val="00143750"/>
    <w:rsid w:val="00143E1F"/>
    <w:rsid w:val="00143E88"/>
    <w:rsid w:val="001455D8"/>
    <w:rsid w:val="001465DA"/>
    <w:rsid w:val="00146836"/>
    <w:rsid w:val="00146B5E"/>
    <w:rsid w:val="0014778B"/>
    <w:rsid w:val="0014790A"/>
    <w:rsid w:val="001479E6"/>
    <w:rsid w:val="00147A2F"/>
    <w:rsid w:val="00150452"/>
    <w:rsid w:val="0015046D"/>
    <w:rsid w:val="00150E70"/>
    <w:rsid w:val="00150E8B"/>
    <w:rsid w:val="00151609"/>
    <w:rsid w:val="00151975"/>
    <w:rsid w:val="00151ABB"/>
    <w:rsid w:val="00152B2B"/>
    <w:rsid w:val="00153D74"/>
    <w:rsid w:val="00153FB3"/>
    <w:rsid w:val="00154447"/>
    <w:rsid w:val="001549BE"/>
    <w:rsid w:val="00154CDE"/>
    <w:rsid w:val="00154DF3"/>
    <w:rsid w:val="00154F5B"/>
    <w:rsid w:val="00155582"/>
    <w:rsid w:val="0015701B"/>
    <w:rsid w:val="001570A4"/>
    <w:rsid w:val="00160C23"/>
    <w:rsid w:val="001610AC"/>
    <w:rsid w:val="00161DAC"/>
    <w:rsid w:val="00162141"/>
    <w:rsid w:val="00162B55"/>
    <w:rsid w:val="00162D8B"/>
    <w:rsid w:val="00163101"/>
    <w:rsid w:val="001638E9"/>
    <w:rsid w:val="00165824"/>
    <w:rsid w:val="00165C4D"/>
    <w:rsid w:val="001666EA"/>
    <w:rsid w:val="001668EA"/>
    <w:rsid w:val="001669F4"/>
    <w:rsid w:val="00167406"/>
    <w:rsid w:val="001674BB"/>
    <w:rsid w:val="00167A04"/>
    <w:rsid w:val="0017111A"/>
    <w:rsid w:val="00171A85"/>
    <w:rsid w:val="00173D57"/>
    <w:rsid w:val="00173F5C"/>
    <w:rsid w:val="00174186"/>
    <w:rsid w:val="00174565"/>
    <w:rsid w:val="00174584"/>
    <w:rsid w:val="00174EC9"/>
    <w:rsid w:val="00175BB3"/>
    <w:rsid w:val="0017606E"/>
    <w:rsid w:val="00176E68"/>
    <w:rsid w:val="001777A1"/>
    <w:rsid w:val="00177A9A"/>
    <w:rsid w:val="00177DE4"/>
    <w:rsid w:val="001808A4"/>
    <w:rsid w:val="00180FF3"/>
    <w:rsid w:val="001815A5"/>
    <w:rsid w:val="001816CB"/>
    <w:rsid w:val="00181F30"/>
    <w:rsid w:val="00182740"/>
    <w:rsid w:val="00184071"/>
    <w:rsid w:val="00184354"/>
    <w:rsid w:val="001852C5"/>
    <w:rsid w:val="00185A3B"/>
    <w:rsid w:val="00186850"/>
    <w:rsid w:val="001904A5"/>
    <w:rsid w:val="0019133F"/>
    <w:rsid w:val="001923C8"/>
    <w:rsid w:val="001939FF"/>
    <w:rsid w:val="00194786"/>
    <w:rsid w:val="00194DE8"/>
    <w:rsid w:val="00194FD7"/>
    <w:rsid w:val="00197990"/>
    <w:rsid w:val="001A0106"/>
    <w:rsid w:val="001A0280"/>
    <w:rsid w:val="001A02CB"/>
    <w:rsid w:val="001A02FD"/>
    <w:rsid w:val="001A11DB"/>
    <w:rsid w:val="001A16A7"/>
    <w:rsid w:val="001A19ED"/>
    <w:rsid w:val="001A33F4"/>
    <w:rsid w:val="001A50DE"/>
    <w:rsid w:val="001A510C"/>
    <w:rsid w:val="001A5164"/>
    <w:rsid w:val="001A53AE"/>
    <w:rsid w:val="001A6256"/>
    <w:rsid w:val="001A62AD"/>
    <w:rsid w:val="001A6DE3"/>
    <w:rsid w:val="001A6F29"/>
    <w:rsid w:val="001A789B"/>
    <w:rsid w:val="001B03CC"/>
    <w:rsid w:val="001B0C75"/>
    <w:rsid w:val="001B2010"/>
    <w:rsid w:val="001B2944"/>
    <w:rsid w:val="001B2A29"/>
    <w:rsid w:val="001B2DEE"/>
    <w:rsid w:val="001B368E"/>
    <w:rsid w:val="001B3FE6"/>
    <w:rsid w:val="001B44C2"/>
    <w:rsid w:val="001B4BDA"/>
    <w:rsid w:val="001B4EC1"/>
    <w:rsid w:val="001B5203"/>
    <w:rsid w:val="001B659F"/>
    <w:rsid w:val="001B693C"/>
    <w:rsid w:val="001B7399"/>
    <w:rsid w:val="001B7655"/>
    <w:rsid w:val="001B7BAD"/>
    <w:rsid w:val="001B7F09"/>
    <w:rsid w:val="001C1166"/>
    <w:rsid w:val="001C261E"/>
    <w:rsid w:val="001C323A"/>
    <w:rsid w:val="001C3AC7"/>
    <w:rsid w:val="001C42D0"/>
    <w:rsid w:val="001C7B78"/>
    <w:rsid w:val="001C7FB4"/>
    <w:rsid w:val="001D06D5"/>
    <w:rsid w:val="001D0A25"/>
    <w:rsid w:val="001D0BA6"/>
    <w:rsid w:val="001D1354"/>
    <w:rsid w:val="001D1903"/>
    <w:rsid w:val="001D1942"/>
    <w:rsid w:val="001D1D2A"/>
    <w:rsid w:val="001D1DDB"/>
    <w:rsid w:val="001D53EA"/>
    <w:rsid w:val="001D6F7C"/>
    <w:rsid w:val="001D7BEB"/>
    <w:rsid w:val="001E0086"/>
    <w:rsid w:val="001E0156"/>
    <w:rsid w:val="001E0A60"/>
    <w:rsid w:val="001E12A5"/>
    <w:rsid w:val="001E1BF9"/>
    <w:rsid w:val="001E1EDB"/>
    <w:rsid w:val="001E3A18"/>
    <w:rsid w:val="001E41DC"/>
    <w:rsid w:val="001E41E7"/>
    <w:rsid w:val="001E4485"/>
    <w:rsid w:val="001E48ED"/>
    <w:rsid w:val="001E4B0F"/>
    <w:rsid w:val="001E58FB"/>
    <w:rsid w:val="001E68A6"/>
    <w:rsid w:val="001E6DA0"/>
    <w:rsid w:val="001E7093"/>
    <w:rsid w:val="001E717D"/>
    <w:rsid w:val="001E71F5"/>
    <w:rsid w:val="001E7D86"/>
    <w:rsid w:val="001F1306"/>
    <w:rsid w:val="001F135D"/>
    <w:rsid w:val="001F193E"/>
    <w:rsid w:val="001F377B"/>
    <w:rsid w:val="001F3CF9"/>
    <w:rsid w:val="001F5561"/>
    <w:rsid w:val="001F55E5"/>
    <w:rsid w:val="001F5CB9"/>
    <w:rsid w:val="001F6DC7"/>
    <w:rsid w:val="001F7FA9"/>
    <w:rsid w:val="002003A1"/>
    <w:rsid w:val="00200577"/>
    <w:rsid w:val="00200DC3"/>
    <w:rsid w:val="002011E2"/>
    <w:rsid w:val="00201BB9"/>
    <w:rsid w:val="00202925"/>
    <w:rsid w:val="00202C70"/>
    <w:rsid w:val="00202F3D"/>
    <w:rsid w:val="002050B0"/>
    <w:rsid w:val="00205D80"/>
    <w:rsid w:val="00206401"/>
    <w:rsid w:val="00210874"/>
    <w:rsid w:val="0021093F"/>
    <w:rsid w:val="00212F20"/>
    <w:rsid w:val="002133CA"/>
    <w:rsid w:val="00213592"/>
    <w:rsid w:val="00213599"/>
    <w:rsid w:val="002146B5"/>
    <w:rsid w:val="00214FA2"/>
    <w:rsid w:val="00215783"/>
    <w:rsid w:val="0021644B"/>
    <w:rsid w:val="00216489"/>
    <w:rsid w:val="00216DC9"/>
    <w:rsid w:val="00217CA0"/>
    <w:rsid w:val="002202EB"/>
    <w:rsid w:val="00220FCF"/>
    <w:rsid w:val="00221705"/>
    <w:rsid w:val="002218FB"/>
    <w:rsid w:val="00221972"/>
    <w:rsid w:val="002231C8"/>
    <w:rsid w:val="00223208"/>
    <w:rsid w:val="00223291"/>
    <w:rsid w:val="002237E8"/>
    <w:rsid w:val="00224154"/>
    <w:rsid w:val="00224375"/>
    <w:rsid w:val="002254E4"/>
    <w:rsid w:val="00227086"/>
    <w:rsid w:val="0022725F"/>
    <w:rsid w:val="00230194"/>
    <w:rsid w:val="00231923"/>
    <w:rsid w:val="002329C3"/>
    <w:rsid w:val="00232EEF"/>
    <w:rsid w:val="002332AE"/>
    <w:rsid w:val="002333C2"/>
    <w:rsid w:val="002339F7"/>
    <w:rsid w:val="00233CA5"/>
    <w:rsid w:val="00233F2D"/>
    <w:rsid w:val="00234040"/>
    <w:rsid w:val="0023583A"/>
    <w:rsid w:val="00235D67"/>
    <w:rsid w:val="0023626B"/>
    <w:rsid w:val="00236356"/>
    <w:rsid w:val="00236FE7"/>
    <w:rsid w:val="002376AD"/>
    <w:rsid w:val="00242F07"/>
    <w:rsid w:val="00243020"/>
    <w:rsid w:val="002435F6"/>
    <w:rsid w:val="00243D6C"/>
    <w:rsid w:val="00244D22"/>
    <w:rsid w:val="0024648E"/>
    <w:rsid w:val="00246C09"/>
    <w:rsid w:val="002470E4"/>
    <w:rsid w:val="00247262"/>
    <w:rsid w:val="0025009B"/>
    <w:rsid w:val="0025144C"/>
    <w:rsid w:val="00252A74"/>
    <w:rsid w:val="00253FF3"/>
    <w:rsid w:val="0025607B"/>
    <w:rsid w:val="0025616B"/>
    <w:rsid w:val="00256A8D"/>
    <w:rsid w:val="00257285"/>
    <w:rsid w:val="00257FF4"/>
    <w:rsid w:val="002608CE"/>
    <w:rsid w:val="0026165D"/>
    <w:rsid w:val="00261660"/>
    <w:rsid w:val="002617F8"/>
    <w:rsid w:val="00262682"/>
    <w:rsid w:val="0026279C"/>
    <w:rsid w:val="00262CD3"/>
    <w:rsid w:val="002638DA"/>
    <w:rsid w:val="00264181"/>
    <w:rsid w:val="00264BB2"/>
    <w:rsid w:val="00265289"/>
    <w:rsid w:val="00265ED2"/>
    <w:rsid w:val="00266613"/>
    <w:rsid w:val="00266CF9"/>
    <w:rsid w:val="00266E0D"/>
    <w:rsid w:val="00266FE9"/>
    <w:rsid w:val="00267226"/>
    <w:rsid w:val="0027100C"/>
    <w:rsid w:val="00271180"/>
    <w:rsid w:val="00271502"/>
    <w:rsid w:val="00272396"/>
    <w:rsid w:val="00273D98"/>
    <w:rsid w:val="00274936"/>
    <w:rsid w:val="00275838"/>
    <w:rsid w:val="00275A4E"/>
    <w:rsid w:val="0027614D"/>
    <w:rsid w:val="0027651A"/>
    <w:rsid w:val="00276BF9"/>
    <w:rsid w:val="002770A1"/>
    <w:rsid w:val="002771DF"/>
    <w:rsid w:val="0028001E"/>
    <w:rsid w:val="00280D53"/>
    <w:rsid w:val="002819E3"/>
    <w:rsid w:val="00281CF6"/>
    <w:rsid w:val="0028359B"/>
    <w:rsid w:val="0028428E"/>
    <w:rsid w:val="00284441"/>
    <w:rsid w:val="002857FE"/>
    <w:rsid w:val="0028585E"/>
    <w:rsid w:val="002863D9"/>
    <w:rsid w:val="00290933"/>
    <w:rsid w:val="00291A80"/>
    <w:rsid w:val="00291E57"/>
    <w:rsid w:val="00292D6A"/>
    <w:rsid w:val="0029312A"/>
    <w:rsid w:val="0029325C"/>
    <w:rsid w:val="00293B2D"/>
    <w:rsid w:val="00293B46"/>
    <w:rsid w:val="00294E5F"/>
    <w:rsid w:val="00295D14"/>
    <w:rsid w:val="002960B7"/>
    <w:rsid w:val="0029711F"/>
    <w:rsid w:val="00297643"/>
    <w:rsid w:val="00297824"/>
    <w:rsid w:val="00297942"/>
    <w:rsid w:val="00297E20"/>
    <w:rsid w:val="002A0F2E"/>
    <w:rsid w:val="002A1206"/>
    <w:rsid w:val="002A153F"/>
    <w:rsid w:val="002A1CC2"/>
    <w:rsid w:val="002A23D5"/>
    <w:rsid w:val="002A32FD"/>
    <w:rsid w:val="002A3D61"/>
    <w:rsid w:val="002A40DC"/>
    <w:rsid w:val="002A4534"/>
    <w:rsid w:val="002A4A53"/>
    <w:rsid w:val="002A5329"/>
    <w:rsid w:val="002A5C2D"/>
    <w:rsid w:val="002A5CB3"/>
    <w:rsid w:val="002A61E5"/>
    <w:rsid w:val="002A664B"/>
    <w:rsid w:val="002A74DD"/>
    <w:rsid w:val="002A7FC8"/>
    <w:rsid w:val="002B0A81"/>
    <w:rsid w:val="002B1CE7"/>
    <w:rsid w:val="002B2F0F"/>
    <w:rsid w:val="002B3A98"/>
    <w:rsid w:val="002B50A9"/>
    <w:rsid w:val="002B54C2"/>
    <w:rsid w:val="002B595D"/>
    <w:rsid w:val="002B5F6A"/>
    <w:rsid w:val="002B72F0"/>
    <w:rsid w:val="002B779E"/>
    <w:rsid w:val="002B7D6F"/>
    <w:rsid w:val="002B7D78"/>
    <w:rsid w:val="002C0552"/>
    <w:rsid w:val="002C0961"/>
    <w:rsid w:val="002C1CF7"/>
    <w:rsid w:val="002C1D11"/>
    <w:rsid w:val="002C25D0"/>
    <w:rsid w:val="002C280B"/>
    <w:rsid w:val="002C2CB2"/>
    <w:rsid w:val="002C2DB0"/>
    <w:rsid w:val="002C4D41"/>
    <w:rsid w:val="002C5E54"/>
    <w:rsid w:val="002C75B0"/>
    <w:rsid w:val="002C761B"/>
    <w:rsid w:val="002C7703"/>
    <w:rsid w:val="002C7A63"/>
    <w:rsid w:val="002D0153"/>
    <w:rsid w:val="002D0985"/>
    <w:rsid w:val="002D1B46"/>
    <w:rsid w:val="002D1FB7"/>
    <w:rsid w:val="002D21E3"/>
    <w:rsid w:val="002D3540"/>
    <w:rsid w:val="002D403A"/>
    <w:rsid w:val="002D4262"/>
    <w:rsid w:val="002D46B7"/>
    <w:rsid w:val="002D6163"/>
    <w:rsid w:val="002D7A39"/>
    <w:rsid w:val="002E1064"/>
    <w:rsid w:val="002E2551"/>
    <w:rsid w:val="002E31DB"/>
    <w:rsid w:val="002E323F"/>
    <w:rsid w:val="002E3678"/>
    <w:rsid w:val="002E3C88"/>
    <w:rsid w:val="002E53DD"/>
    <w:rsid w:val="002E5554"/>
    <w:rsid w:val="002E59C4"/>
    <w:rsid w:val="002E5D24"/>
    <w:rsid w:val="002E671E"/>
    <w:rsid w:val="002F08EB"/>
    <w:rsid w:val="002F196B"/>
    <w:rsid w:val="002F1B12"/>
    <w:rsid w:val="002F2256"/>
    <w:rsid w:val="002F301D"/>
    <w:rsid w:val="002F47EC"/>
    <w:rsid w:val="002F530C"/>
    <w:rsid w:val="002F563E"/>
    <w:rsid w:val="002F591B"/>
    <w:rsid w:val="002F5C70"/>
    <w:rsid w:val="002F7B47"/>
    <w:rsid w:val="002F7FE2"/>
    <w:rsid w:val="00300013"/>
    <w:rsid w:val="0030032D"/>
    <w:rsid w:val="003006F8"/>
    <w:rsid w:val="00300BF2"/>
    <w:rsid w:val="00300C20"/>
    <w:rsid w:val="00300E2E"/>
    <w:rsid w:val="003013E3"/>
    <w:rsid w:val="003027C1"/>
    <w:rsid w:val="00302A25"/>
    <w:rsid w:val="00303CE6"/>
    <w:rsid w:val="00304900"/>
    <w:rsid w:val="00304C13"/>
    <w:rsid w:val="00304E05"/>
    <w:rsid w:val="00305718"/>
    <w:rsid w:val="00305EC5"/>
    <w:rsid w:val="00306107"/>
    <w:rsid w:val="00306C90"/>
    <w:rsid w:val="003074A8"/>
    <w:rsid w:val="003077B8"/>
    <w:rsid w:val="003101A3"/>
    <w:rsid w:val="00310272"/>
    <w:rsid w:val="00310332"/>
    <w:rsid w:val="003111F8"/>
    <w:rsid w:val="0031204A"/>
    <w:rsid w:val="00312493"/>
    <w:rsid w:val="0031272B"/>
    <w:rsid w:val="00313067"/>
    <w:rsid w:val="00314B8B"/>
    <w:rsid w:val="00315435"/>
    <w:rsid w:val="003164BB"/>
    <w:rsid w:val="00317BF9"/>
    <w:rsid w:val="0032038C"/>
    <w:rsid w:val="00320550"/>
    <w:rsid w:val="0032119E"/>
    <w:rsid w:val="00321889"/>
    <w:rsid w:val="00325C5E"/>
    <w:rsid w:val="00327269"/>
    <w:rsid w:val="0032738E"/>
    <w:rsid w:val="00327C00"/>
    <w:rsid w:val="00331B40"/>
    <w:rsid w:val="00331C5F"/>
    <w:rsid w:val="003325B9"/>
    <w:rsid w:val="00332E95"/>
    <w:rsid w:val="00333074"/>
    <w:rsid w:val="0033318A"/>
    <w:rsid w:val="00333223"/>
    <w:rsid w:val="0033397A"/>
    <w:rsid w:val="00333A43"/>
    <w:rsid w:val="00333B9F"/>
    <w:rsid w:val="00333F62"/>
    <w:rsid w:val="00334137"/>
    <w:rsid w:val="00334F7E"/>
    <w:rsid w:val="003364C1"/>
    <w:rsid w:val="00336B3E"/>
    <w:rsid w:val="00337F82"/>
    <w:rsid w:val="00340640"/>
    <w:rsid w:val="00340810"/>
    <w:rsid w:val="003435D6"/>
    <w:rsid w:val="003455BB"/>
    <w:rsid w:val="003458E0"/>
    <w:rsid w:val="00345CCD"/>
    <w:rsid w:val="00347E11"/>
    <w:rsid w:val="003511CE"/>
    <w:rsid w:val="00351909"/>
    <w:rsid w:val="00352BE0"/>
    <w:rsid w:val="0035333E"/>
    <w:rsid w:val="003538F0"/>
    <w:rsid w:val="00353C44"/>
    <w:rsid w:val="00354588"/>
    <w:rsid w:val="00355B4B"/>
    <w:rsid w:val="00357DAE"/>
    <w:rsid w:val="003602A5"/>
    <w:rsid w:val="003603E9"/>
    <w:rsid w:val="00361259"/>
    <w:rsid w:val="00361429"/>
    <w:rsid w:val="00362AA7"/>
    <w:rsid w:val="00362CFE"/>
    <w:rsid w:val="00363219"/>
    <w:rsid w:val="00363B11"/>
    <w:rsid w:val="003672D6"/>
    <w:rsid w:val="003705BF"/>
    <w:rsid w:val="00370935"/>
    <w:rsid w:val="00370F86"/>
    <w:rsid w:val="00371C1A"/>
    <w:rsid w:val="00372EBB"/>
    <w:rsid w:val="00374A2F"/>
    <w:rsid w:val="00375E52"/>
    <w:rsid w:val="00380888"/>
    <w:rsid w:val="00380D9F"/>
    <w:rsid w:val="003819E1"/>
    <w:rsid w:val="00382234"/>
    <w:rsid w:val="0038297F"/>
    <w:rsid w:val="0038323B"/>
    <w:rsid w:val="003852C0"/>
    <w:rsid w:val="00385A6A"/>
    <w:rsid w:val="003864EF"/>
    <w:rsid w:val="0038672F"/>
    <w:rsid w:val="003869D0"/>
    <w:rsid w:val="00386BC9"/>
    <w:rsid w:val="00386F24"/>
    <w:rsid w:val="003876AB"/>
    <w:rsid w:val="00387957"/>
    <w:rsid w:val="0039053D"/>
    <w:rsid w:val="00390C8F"/>
    <w:rsid w:val="00390D39"/>
    <w:rsid w:val="00390FD9"/>
    <w:rsid w:val="00391C9E"/>
    <w:rsid w:val="003926EA"/>
    <w:rsid w:val="00392B8A"/>
    <w:rsid w:val="00392B92"/>
    <w:rsid w:val="00392C13"/>
    <w:rsid w:val="00392DD1"/>
    <w:rsid w:val="0039387D"/>
    <w:rsid w:val="00393D23"/>
    <w:rsid w:val="00394434"/>
    <w:rsid w:val="0039449C"/>
    <w:rsid w:val="00395E02"/>
    <w:rsid w:val="0039684C"/>
    <w:rsid w:val="003A0290"/>
    <w:rsid w:val="003A25BB"/>
    <w:rsid w:val="003A300D"/>
    <w:rsid w:val="003A3E7B"/>
    <w:rsid w:val="003A4566"/>
    <w:rsid w:val="003A60B4"/>
    <w:rsid w:val="003A7067"/>
    <w:rsid w:val="003B09F6"/>
    <w:rsid w:val="003B0D03"/>
    <w:rsid w:val="003B1F0A"/>
    <w:rsid w:val="003B2445"/>
    <w:rsid w:val="003B2C1F"/>
    <w:rsid w:val="003B329D"/>
    <w:rsid w:val="003B3684"/>
    <w:rsid w:val="003B3D60"/>
    <w:rsid w:val="003B532E"/>
    <w:rsid w:val="003B5533"/>
    <w:rsid w:val="003B5A85"/>
    <w:rsid w:val="003B6269"/>
    <w:rsid w:val="003B71EE"/>
    <w:rsid w:val="003B7621"/>
    <w:rsid w:val="003B7C64"/>
    <w:rsid w:val="003C057F"/>
    <w:rsid w:val="003C0593"/>
    <w:rsid w:val="003C13A6"/>
    <w:rsid w:val="003C1615"/>
    <w:rsid w:val="003C1EB4"/>
    <w:rsid w:val="003C2A44"/>
    <w:rsid w:val="003C2EBC"/>
    <w:rsid w:val="003C4E3A"/>
    <w:rsid w:val="003C6E27"/>
    <w:rsid w:val="003C6E92"/>
    <w:rsid w:val="003C7EF0"/>
    <w:rsid w:val="003D0E1C"/>
    <w:rsid w:val="003D1104"/>
    <w:rsid w:val="003D1E47"/>
    <w:rsid w:val="003D3662"/>
    <w:rsid w:val="003D366F"/>
    <w:rsid w:val="003D39FF"/>
    <w:rsid w:val="003D3C14"/>
    <w:rsid w:val="003D4188"/>
    <w:rsid w:val="003D4557"/>
    <w:rsid w:val="003D543D"/>
    <w:rsid w:val="003D59FD"/>
    <w:rsid w:val="003E0953"/>
    <w:rsid w:val="003E10B8"/>
    <w:rsid w:val="003E115C"/>
    <w:rsid w:val="003E11FE"/>
    <w:rsid w:val="003E122D"/>
    <w:rsid w:val="003E13F5"/>
    <w:rsid w:val="003E1978"/>
    <w:rsid w:val="003E2031"/>
    <w:rsid w:val="003E2AE6"/>
    <w:rsid w:val="003E2B5E"/>
    <w:rsid w:val="003E3FF4"/>
    <w:rsid w:val="003E4881"/>
    <w:rsid w:val="003E4E15"/>
    <w:rsid w:val="003E53E8"/>
    <w:rsid w:val="003E5912"/>
    <w:rsid w:val="003E5AE8"/>
    <w:rsid w:val="003E68C4"/>
    <w:rsid w:val="003F07EE"/>
    <w:rsid w:val="003F0C8B"/>
    <w:rsid w:val="003F1607"/>
    <w:rsid w:val="003F29F2"/>
    <w:rsid w:val="003F3C77"/>
    <w:rsid w:val="003F458D"/>
    <w:rsid w:val="003F47DF"/>
    <w:rsid w:val="003F509C"/>
    <w:rsid w:val="003F6209"/>
    <w:rsid w:val="003F64C5"/>
    <w:rsid w:val="00400A8B"/>
    <w:rsid w:val="00401831"/>
    <w:rsid w:val="0040314A"/>
    <w:rsid w:val="004035D9"/>
    <w:rsid w:val="00404B4D"/>
    <w:rsid w:val="004054F6"/>
    <w:rsid w:val="0040574F"/>
    <w:rsid w:val="00405DAB"/>
    <w:rsid w:val="00405E90"/>
    <w:rsid w:val="004061FD"/>
    <w:rsid w:val="0040629D"/>
    <w:rsid w:val="004065CE"/>
    <w:rsid w:val="00406802"/>
    <w:rsid w:val="0040713C"/>
    <w:rsid w:val="00407A61"/>
    <w:rsid w:val="0041023D"/>
    <w:rsid w:val="004105DD"/>
    <w:rsid w:val="00410DCE"/>
    <w:rsid w:val="004128EA"/>
    <w:rsid w:val="00412C0B"/>
    <w:rsid w:val="00413DBF"/>
    <w:rsid w:val="0041404E"/>
    <w:rsid w:val="004141C4"/>
    <w:rsid w:val="0041429D"/>
    <w:rsid w:val="004147D0"/>
    <w:rsid w:val="00414E1F"/>
    <w:rsid w:val="0041581E"/>
    <w:rsid w:val="00415922"/>
    <w:rsid w:val="004161E5"/>
    <w:rsid w:val="0041765C"/>
    <w:rsid w:val="00420022"/>
    <w:rsid w:val="00420506"/>
    <w:rsid w:val="00420837"/>
    <w:rsid w:val="00421EEC"/>
    <w:rsid w:val="00422057"/>
    <w:rsid w:val="00422933"/>
    <w:rsid w:val="00422D13"/>
    <w:rsid w:val="00422F4B"/>
    <w:rsid w:val="00423003"/>
    <w:rsid w:val="0042482B"/>
    <w:rsid w:val="004248B4"/>
    <w:rsid w:val="00424C66"/>
    <w:rsid w:val="0042526D"/>
    <w:rsid w:val="004254A2"/>
    <w:rsid w:val="004254F4"/>
    <w:rsid w:val="00426D71"/>
    <w:rsid w:val="00430256"/>
    <w:rsid w:val="00430E3D"/>
    <w:rsid w:val="0043145F"/>
    <w:rsid w:val="0043194D"/>
    <w:rsid w:val="00431BE6"/>
    <w:rsid w:val="00431BF1"/>
    <w:rsid w:val="0043270D"/>
    <w:rsid w:val="00433D22"/>
    <w:rsid w:val="004342F8"/>
    <w:rsid w:val="00434A2F"/>
    <w:rsid w:val="00434B63"/>
    <w:rsid w:val="004356EB"/>
    <w:rsid w:val="00435E45"/>
    <w:rsid w:val="004368FE"/>
    <w:rsid w:val="00436AFE"/>
    <w:rsid w:val="00440016"/>
    <w:rsid w:val="0044083A"/>
    <w:rsid w:val="004408FA"/>
    <w:rsid w:val="004415E3"/>
    <w:rsid w:val="0044552A"/>
    <w:rsid w:val="00445663"/>
    <w:rsid w:val="004461A4"/>
    <w:rsid w:val="00446612"/>
    <w:rsid w:val="0044701E"/>
    <w:rsid w:val="004503EC"/>
    <w:rsid w:val="00450E44"/>
    <w:rsid w:val="00451501"/>
    <w:rsid w:val="00451558"/>
    <w:rsid w:val="004528D0"/>
    <w:rsid w:val="00453C86"/>
    <w:rsid w:val="00454564"/>
    <w:rsid w:val="0045495B"/>
    <w:rsid w:val="00454A2D"/>
    <w:rsid w:val="0045591E"/>
    <w:rsid w:val="004561C1"/>
    <w:rsid w:val="004562E5"/>
    <w:rsid w:val="0045637B"/>
    <w:rsid w:val="00457A3D"/>
    <w:rsid w:val="00457BC3"/>
    <w:rsid w:val="0046034D"/>
    <w:rsid w:val="00461801"/>
    <w:rsid w:val="00462272"/>
    <w:rsid w:val="0046390C"/>
    <w:rsid w:val="00464189"/>
    <w:rsid w:val="00464569"/>
    <w:rsid w:val="00465D4E"/>
    <w:rsid w:val="00465F27"/>
    <w:rsid w:val="00466381"/>
    <w:rsid w:val="00467393"/>
    <w:rsid w:val="00467A52"/>
    <w:rsid w:val="00467BDD"/>
    <w:rsid w:val="004717F6"/>
    <w:rsid w:val="00471FDA"/>
    <w:rsid w:val="00472458"/>
    <w:rsid w:val="00473441"/>
    <w:rsid w:val="0047364D"/>
    <w:rsid w:val="0047481E"/>
    <w:rsid w:val="00474918"/>
    <w:rsid w:val="00474B5A"/>
    <w:rsid w:val="00475EAF"/>
    <w:rsid w:val="004760E4"/>
    <w:rsid w:val="0047681C"/>
    <w:rsid w:val="0047758F"/>
    <w:rsid w:val="00480D4B"/>
    <w:rsid w:val="004815F8"/>
    <w:rsid w:val="00481E32"/>
    <w:rsid w:val="004831ED"/>
    <w:rsid w:val="004831FC"/>
    <w:rsid w:val="004833A1"/>
    <w:rsid w:val="004836A7"/>
    <w:rsid w:val="004847B4"/>
    <w:rsid w:val="00484921"/>
    <w:rsid w:val="00485B3F"/>
    <w:rsid w:val="00485B4E"/>
    <w:rsid w:val="00486217"/>
    <w:rsid w:val="00486614"/>
    <w:rsid w:val="00487DA5"/>
    <w:rsid w:val="00487E11"/>
    <w:rsid w:val="00487FB8"/>
    <w:rsid w:val="004900FE"/>
    <w:rsid w:val="004919D4"/>
    <w:rsid w:val="00491CD2"/>
    <w:rsid w:val="00491FB2"/>
    <w:rsid w:val="0049200C"/>
    <w:rsid w:val="0049212C"/>
    <w:rsid w:val="00493232"/>
    <w:rsid w:val="00494DBE"/>
    <w:rsid w:val="00495C39"/>
    <w:rsid w:val="004975DB"/>
    <w:rsid w:val="00497991"/>
    <w:rsid w:val="00497B06"/>
    <w:rsid w:val="00497E35"/>
    <w:rsid w:val="004A0194"/>
    <w:rsid w:val="004A1224"/>
    <w:rsid w:val="004A166E"/>
    <w:rsid w:val="004A16BD"/>
    <w:rsid w:val="004A247B"/>
    <w:rsid w:val="004A28C5"/>
    <w:rsid w:val="004A29ED"/>
    <w:rsid w:val="004A2F59"/>
    <w:rsid w:val="004A3865"/>
    <w:rsid w:val="004A490A"/>
    <w:rsid w:val="004A5838"/>
    <w:rsid w:val="004A5E53"/>
    <w:rsid w:val="004A64B4"/>
    <w:rsid w:val="004A660C"/>
    <w:rsid w:val="004A6B44"/>
    <w:rsid w:val="004A6C5F"/>
    <w:rsid w:val="004A6E0E"/>
    <w:rsid w:val="004A7619"/>
    <w:rsid w:val="004B04CB"/>
    <w:rsid w:val="004B0B19"/>
    <w:rsid w:val="004B0D66"/>
    <w:rsid w:val="004B1E81"/>
    <w:rsid w:val="004B23D0"/>
    <w:rsid w:val="004B35F0"/>
    <w:rsid w:val="004B37A7"/>
    <w:rsid w:val="004B4426"/>
    <w:rsid w:val="004B44E1"/>
    <w:rsid w:val="004B4862"/>
    <w:rsid w:val="004B5F2A"/>
    <w:rsid w:val="004B6034"/>
    <w:rsid w:val="004B6D61"/>
    <w:rsid w:val="004B74B2"/>
    <w:rsid w:val="004C103D"/>
    <w:rsid w:val="004C1303"/>
    <w:rsid w:val="004C1399"/>
    <w:rsid w:val="004C13A2"/>
    <w:rsid w:val="004C1463"/>
    <w:rsid w:val="004C1C09"/>
    <w:rsid w:val="004C1F8D"/>
    <w:rsid w:val="004C2A17"/>
    <w:rsid w:val="004C2B0E"/>
    <w:rsid w:val="004C2CC5"/>
    <w:rsid w:val="004C5507"/>
    <w:rsid w:val="004C7915"/>
    <w:rsid w:val="004D0D6B"/>
    <w:rsid w:val="004D1269"/>
    <w:rsid w:val="004D177A"/>
    <w:rsid w:val="004D1DAA"/>
    <w:rsid w:val="004D1E1A"/>
    <w:rsid w:val="004D1EFF"/>
    <w:rsid w:val="004D23A9"/>
    <w:rsid w:val="004D2683"/>
    <w:rsid w:val="004D29F5"/>
    <w:rsid w:val="004D2F90"/>
    <w:rsid w:val="004D572C"/>
    <w:rsid w:val="004D61C2"/>
    <w:rsid w:val="004D660D"/>
    <w:rsid w:val="004D7804"/>
    <w:rsid w:val="004E0294"/>
    <w:rsid w:val="004E0308"/>
    <w:rsid w:val="004E0AE1"/>
    <w:rsid w:val="004E0C95"/>
    <w:rsid w:val="004E15D3"/>
    <w:rsid w:val="004E25C9"/>
    <w:rsid w:val="004E2825"/>
    <w:rsid w:val="004E3079"/>
    <w:rsid w:val="004E3276"/>
    <w:rsid w:val="004E3836"/>
    <w:rsid w:val="004E3B3F"/>
    <w:rsid w:val="004E3FFE"/>
    <w:rsid w:val="004E4BC8"/>
    <w:rsid w:val="004E62E4"/>
    <w:rsid w:val="004E687B"/>
    <w:rsid w:val="004E7C41"/>
    <w:rsid w:val="004F0621"/>
    <w:rsid w:val="004F0E90"/>
    <w:rsid w:val="004F0F5B"/>
    <w:rsid w:val="004F1212"/>
    <w:rsid w:val="004F22B8"/>
    <w:rsid w:val="004F2437"/>
    <w:rsid w:val="004F3044"/>
    <w:rsid w:val="004F38E1"/>
    <w:rsid w:val="004F3A7E"/>
    <w:rsid w:val="004F4624"/>
    <w:rsid w:val="004F5573"/>
    <w:rsid w:val="004F5D8B"/>
    <w:rsid w:val="004F634F"/>
    <w:rsid w:val="004F64C4"/>
    <w:rsid w:val="004F7556"/>
    <w:rsid w:val="004F78BF"/>
    <w:rsid w:val="00500700"/>
    <w:rsid w:val="0050141B"/>
    <w:rsid w:val="00502638"/>
    <w:rsid w:val="005029BC"/>
    <w:rsid w:val="00502B87"/>
    <w:rsid w:val="0050346A"/>
    <w:rsid w:val="00503FD8"/>
    <w:rsid w:val="00504472"/>
    <w:rsid w:val="005048E3"/>
    <w:rsid w:val="00504A35"/>
    <w:rsid w:val="00505A77"/>
    <w:rsid w:val="00505CB3"/>
    <w:rsid w:val="005061B3"/>
    <w:rsid w:val="005067C7"/>
    <w:rsid w:val="00506EB0"/>
    <w:rsid w:val="00506EBE"/>
    <w:rsid w:val="00506FFB"/>
    <w:rsid w:val="0050795F"/>
    <w:rsid w:val="0050798C"/>
    <w:rsid w:val="005112E2"/>
    <w:rsid w:val="00511EE7"/>
    <w:rsid w:val="0051207B"/>
    <w:rsid w:val="005123E8"/>
    <w:rsid w:val="005136CD"/>
    <w:rsid w:val="00514B1A"/>
    <w:rsid w:val="00514E2B"/>
    <w:rsid w:val="005150C5"/>
    <w:rsid w:val="005166EF"/>
    <w:rsid w:val="00517351"/>
    <w:rsid w:val="00517763"/>
    <w:rsid w:val="00521860"/>
    <w:rsid w:val="00521D74"/>
    <w:rsid w:val="00521F26"/>
    <w:rsid w:val="005222CC"/>
    <w:rsid w:val="0052248D"/>
    <w:rsid w:val="00522622"/>
    <w:rsid w:val="00523B5E"/>
    <w:rsid w:val="005250EE"/>
    <w:rsid w:val="00525AB1"/>
    <w:rsid w:val="0052645C"/>
    <w:rsid w:val="0052679C"/>
    <w:rsid w:val="00526B01"/>
    <w:rsid w:val="00526C61"/>
    <w:rsid w:val="00527492"/>
    <w:rsid w:val="005277F5"/>
    <w:rsid w:val="005310C1"/>
    <w:rsid w:val="00531934"/>
    <w:rsid w:val="005328A9"/>
    <w:rsid w:val="00532994"/>
    <w:rsid w:val="005329BE"/>
    <w:rsid w:val="00533515"/>
    <w:rsid w:val="00533EDE"/>
    <w:rsid w:val="005342DE"/>
    <w:rsid w:val="005348C1"/>
    <w:rsid w:val="00534AC0"/>
    <w:rsid w:val="00535557"/>
    <w:rsid w:val="00535AD3"/>
    <w:rsid w:val="00535E36"/>
    <w:rsid w:val="0053606A"/>
    <w:rsid w:val="00536398"/>
    <w:rsid w:val="005369C0"/>
    <w:rsid w:val="00536B92"/>
    <w:rsid w:val="00540004"/>
    <w:rsid w:val="00540811"/>
    <w:rsid w:val="00540B25"/>
    <w:rsid w:val="00540D82"/>
    <w:rsid w:val="00541254"/>
    <w:rsid w:val="005412DC"/>
    <w:rsid w:val="005412E3"/>
    <w:rsid w:val="005421CC"/>
    <w:rsid w:val="00542884"/>
    <w:rsid w:val="00542BA5"/>
    <w:rsid w:val="00543374"/>
    <w:rsid w:val="00544841"/>
    <w:rsid w:val="00545C10"/>
    <w:rsid w:val="00545F45"/>
    <w:rsid w:val="00547058"/>
    <w:rsid w:val="0054724F"/>
    <w:rsid w:val="00547CD4"/>
    <w:rsid w:val="00547E34"/>
    <w:rsid w:val="00547EB8"/>
    <w:rsid w:val="005509E8"/>
    <w:rsid w:val="00551532"/>
    <w:rsid w:val="00552206"/>
    <w:rsid w:val="00552A37"/>
    <w:rsid w:val="00552ADC"/>
    <w:rsid w:val="00552FC2"/>
    <w:rsid w:val="0055343F"/>
    <w:rsid w:val="00553688"/>
    <w:rsid w:val="00553DA2"/>
    <w:rsid w:val="005543FB"/>
    <w:rsid w:val="00555623"/>
    <w:rsid w:val="005562DC"/>
    <w:rsid w:val="00556329"/>
    <w:rsid w:val="00556725"/>
    <w:rsid w:val="00557563"/>
    <w:rsid w:val="00557A85"/>
    <w:rsid w:val="00557B35"/>
    <w:rsid w:val="005606AE"/>
    <w:rsid w:val="005606B5"/>
    <w:rsid w:val="00560E2D"/>
    <w:rsid w:val="00562BAD"/>
    <w:rsid w:val="0056365E"/>
    <w:rsid w:val="00565712"/>
    <w:rsid w:val="00565C77"/>
    <w:rsid w:val="00566181"/>
    <w:rsid w:val="00566D48"/>
    <w:rsid w:val="00570160"/>
    <w:rsid w:val="005708BD"/>
    <w:rsid w:val="00571FE7"/>
    <w:rsid w:val="0057317E"/>
    <w:rsid w:val="005731D3"/>
    <w:rsid w:val="00573C7D"/>
    <w:rsid w:val="00574906"/>
    <w:rsid w:val="00574E9E"/>
    <w:rsid w:val="00575124"/>
    <w:rsid w:val="005752BC"/>
    <w:rsid w:val="0057622F"/>
    <w:rsid w:val="00577772"/>
    <w:rsid w:val="00577977"/>
    <w:rsid w:val="00577A3D"/>
    <w:rsid w:val="00581719"/>
    <w:rsid w:val="00581D30"/>
    <w:rsid w:val="0058259C"/>
    <w:rsid w:val="00583362"/>
    <w:rsid w:val="0058376C"/>
    <w:rsid w:val="00584245"/>
    <w:rsid w:val="00584C2D"/>
    <w:rsid w:val="00584D80"/>
    <w:rsid w:val="00584E57"/>
    <w:rsid w:val="00586535"/>
    <w:rsid w:val="00586BB5"/>
    <w:rsid w:val="00586D78"/>
    <w:rsid w:val="00586DFB"/>
    <w:rsid w:val="00587C83"/>
    <w:rsid w:val="005905BC"/>
    <w:rsid w:val="005909CB"/>
    <w:rsid w:val="00590B75"/>
    <w:rsid w:val="00590DAA"/>
    <w:rsid w:val="00591826"/>
    <w:rsid w:val="0059205C"/>
    <w:rsid w:val="00592349"/>
    <w:rsid w:val="00592D49"/>
    <w:rsid w:val="0059409C"/>
    <w:rsid w:val="005943D4"/>
    <w:rsid w:val="0059481F"/>
    <w:rsid w:val="005955BA"/>
    <w:rsid w:val="00596F3F"/>
    <w:rsid w:val="00596F9B"/>
    <w:rsid w:val="00597409"/>
    <w:rsid w:val="00597EEF"/>
    <w:rsid w:val="005A1C4E"/>
    <w:rsid w:val="005A2E0C"/>
    <w:rsid w:val="005A3678"/>
    <w:rsid w:val="005A3836"/>
    <w:rsid w:val="005A3DAF"/>
    <w:rsid w:val="005A4251"/>
    <w:rsid w:val="005A4A1A"/>
    <w:rsid w:val="005A5DF2"/>
    <w:rsid w:val="005A61D3"/>
    <w:rsid w:val="005A7C0B"/>
    <w:rsid w:val="005A7E70"/>
    <w:rsid w:val="005B18D0"/>
    <w:rsid w:val="005B1903"/>
    <w:rsid w:val="005B1A53"/>
    <w:rsid w:val="005B1AC5"/>
    <w:rsid w:val="005B2AF7"/>
    <w:rsid w:val="005B40E8"/>
    <w:rsid w:val="005B4779"/>
    <w:rsid w:val="005B6A94"/>
    <w:rsid w:val="005B6DAA"/>
    <w:rsid w:val="005B7314"/>
    <w:rsid w:val="005B7C27"/>
    <w:rsid w:val="005B7D8B"/>
    <w:rsid w:val="005C03F6"/>
    <w:rsid w:val="005C0475"/>
    <w:rsid w:val="005C1569"/>
    <w:rsid w:val="005C224F"/>
    <w:rsid w:val="005C2F76"/>
    <w:rsid w:val="005C348A"/>
    <w:rsid w:val="005C3C1A"/>
    <w:rsid w:val="005C4604"/>
    <w:rsid w:val="005C46D8"/>
    <w:rsid w:val="005C4BEE"/>
    <w:rsid w:val="005C5EA6"/>
    <w:rsid w:val="005C6E74"/>
    <w:rsid w:val="005C732E"/>
    <w:rsid w:val="005C781C"/>
    <w:rsid w:val="005D13ED"/>
    <w:rsid w:val="005D181E"/>
    <w:rsid w:val="005D1E16"/>
    <w:rsid w:val="005D2B5B"/>
    <w:rsid w:val="005D330E"/>
    <w:rsid w:val="005D36C8"/>
    <w:rsid w:val="005D5A8F"/>
    <w:rsid w:val="005D7A35"/>
    <w:rsid w:val="005E034F"/>
    <w:rsid w:val="005E09A7"/>
    <w:rsid w:val="005E198B"/>
    <w:rsid w:val="005E19D9"/>
    <w:rsid w:val="005E1D35"/>
    <w:rsid w:val="005E2A31"/>
    <w:rsid w:val="005E3D2F"/>
    <w:rsid w:val="005E442F"/>
    <w:rsid w:val="005E4644"/>
    <w:rsid w:val="005E54A3"/>
    <w:rsid w:val="005E5625"/>
    <w:rsid w:val="005E5653"/>
    <w:rsid w:val="005E57B7"/>
    <w:rsid w:val="005E589A"/>
    <w:rsid w:val="005E61D8"/>
    <w:rsid w:val="005E6F2B"/>
    <w:rsid w:val="005E7E2C"/>
    <w:rsid w:val="005F11F2"/>
    <w:rsid w:val="005F1ADE"/>
    <w:rsid w:val="005F29CD"/>
    <w:rsid w:val="005F3175"/>
    <w:rsid w:val="005F3436"/>
    <w:rsid w:val="005F3506"/>
    <w:rsid w:val="005F40EE"/>
    <w:rsid w:val="005F41D8"/>
    <w:rsid w:val="005F4446"/>
    <w:rsid w:val="005F4739"/>
    <w:rsid w:val="005F4AE8"/>
    <w:rsid w:val="005F6228"/>
    <w:rsid w:val="005F642B"/>
    <w:rsid w:val="005F67FC"/>
    <w:rsid w:val="005F76DF"/>
    <w:rsid w:val="006005BE"/>
    <w:rsid w:val="006015C9"/>
    <w:rsid w:val="00601630"/>
    <w:rsid w:val="00601995"/>
    <w:rsid w:val="00601A28"/>
    <w:rsid w:val="006026E1"/>
    <w:rsid w:val="00603A90"/>
    <w:rsid w:val="00605163"/>
    <w:rsid w:val="00605217"/>
    <w:rsid w:val="006065BF"/>
    <w:rsid w:val="00606621"/>
    <w:rsid w:val="00606F5E"/>
    <w:rsid w:val="006070EA"/>
    <w:rsid w:val="00607ABE"/>
    <w:rsid w:val="00607BD3"/>
    <w:rsid w:val="00607F53"/>
    <w:rsid w:val="006103D0"/>
    <w:rsid w:val="0061103A"/>
    <w:rsid w:val="00611EAE"/>
    <w:rsid w:val="006127BD"/>
    <w:rsid w:val="00613200"/>
    <w:rsid w:val="0061364A"/>
    <w:rsid w:val="00613BEA"/>
    <w:rsid w:val="0061402C"/>
    <w:rsid w:val="006156CA"/>
    <w:rsid w:val="0061595F"/>
    <w:rsid w:val="00615A79"/>
    <w:rsid w:val="00616179"/>
    <w:rsid w:val="006164D2"/>
    <w:rsid w:val="0061675B"/>
    <w:rsid w:val="0062052B"/>
    <w:rsid w:val="00620797"/>
    <w:rsid w:val="00620CED"/>
    <w:rsid w:val="00620F8F"/>
    <w:rsid w:val="00621A86"/>
    <w:rsid w:val="00623401"/>
    <w:rsid w:val="006241BA"/>
    <w:rsid w:val="006258B8"/>
    <w:rsid w:val="00625C40"/>
    <w:rsid w:val="00625EFA"/>
    <w:rsid w:val="0062706E"/>
    <w:rsid w:val="00627524"/>
    <w:rsid w:val="00627DFE"/>
    <w:rsid w:val="00627E7C"/>
    <w:rsid w:val="00630CFF"/>
    <w:rsid w:val="00631369"/>
    <w:rsid w:val="00632481"/>
    <w:rsid w:val="0063262D"/>
    <w:rsid w:val="0063268B"/>
    <w:rsid w:val="0063390E"/>
    <w:rsid w:val="00634673"/>
    <w:rsid w:val="00634FFC"/>
    <w:rsid w:val="00636AAB"/>
    <w:rsid w:val="00637BBD"/>
    <w:rsid w:val="00640D17"/>
    <w:rsid w:val="00641A99"/>
    <w:rsid w:val="00641CCA"/>
    <w:rsid w:val="00642156"/>
    <w:rsid w:val="00642768"/>
    <w:rsid w:val="00642A84"/>
    <w:rsid w:val="0064411F"/>
    <w:rsid w:val="00644847"/>
    <w:rsid w:val="00645E69"/>
    <w:rsid w:val="00646130"/>
    <w:rsid w:val="00646ACE"/>
    <w:rsid w:val="006474C0"/>
    <w:rsid w:val="00647927"/>
    <w:rsid w:val="00650B2D"/>
    <w:rsid w:val="006513DB"/>
    <w:rsid w:val="00652B9B"/>
    <w:rsid w:val="00652F78"/>
    <w:rsid w:val="00653743"/>
    <w:rsid w:val="00653DD9"/>
    <w:rsid w:val="00654119"/>
    <w:rsid w:val="00654E6A"/>
    <w:rsid w:val="00654EC2"/>
    <w:rsid w:val="006551FC"/>
    <w:rsid w:val="00656768"/>
    <w:rsid w:val="00657135"/>
    <w:rsid w:val="006575F3"/>
    <w:rsid w:val="00657E08"/>
    <w:rsid w:val="00660871"/>
    <w:rsid w:val="006614ED"/>
    <w:rsid w:val="0066176D"/>
    <w:rsid w:val="00662809"/>
    <w:rsid w:val="00663823"/>
    <w:rsid w:val="00663FB9"/>
    <w:rsid w:val="00664E08"/>
    <w:rsid w:val="006650D0"/>
    <w:rsid w:val="006655A0"/>
    <w:rsid w:val="006667D5"/>
    <w:rsid w:val="0066774D"/>
    <w:rsid w:val="00667F42"/>
    <w:rsid w:val="00671284"/>
    <w:rsid w:val="00671516"/>
    <w:rsid w:val="00671517"/>
    <w:rsid w:val="00671784"/>
    <w:rsid w:val="006727FC"/>
    <w:rsid w:val="00673906"/>
    <w:rsid w:val="006746EB"/>
    <w:rsid w:val="006756CD"/>
    <w:rsid w:val="00675BD7"/>
    <w:rsid w:val="00676E5B"/>
    <w:rsid w:val="00677731"/>
    <w:rsid w:val="00677D6B"/>
    <w:rsid w:val="006804A1"/>
    <w:rsid w:val="00680795"/>
    <w:rsid w:val="006819B5"/>
    <w:rsid w:val="00682713"/>
    <w:rsid w:val="006832E2"/>
    <w:rsid w:val="00683451"/>
    <w:rsid w:val="00683579"/>
    <w:rsid w:val="006843F4"/>
    <w:rsid w:val="00684598"/>
    <w:rsid w:val="006854CE"/>
    <w:rsid w:val="00686B47"/>
    <w:rsid w:val="0068790B"/>
    <w:rsid w:val="006906E4"/>
    <w:rsid w:val="00690A9B"/>
    <w:rsid w:val="00690EDF"/>
    <w:rsid w:val="00691A75"/>
    <w:rsid w:val="00691C54"/>
    <w:rsid w:val="00691E49"/>
    <w:rsid w:val="006922DC"/>
    <w:rsid w:val="006928E4"/>
    <w:rsid w:val="00694195"/>
    <w:rsid w:val="006941DD"/>
    <w:rsid w:val="006943D1"/>
    <w:rsid w:val="0069466B"/>
    <w:rsid w:val="00694795"/>
    <w:rsid w:val="00695014"/>
    <w:rsid w:val="00695097"/>
    <w:rsid w:val="006953B2"/>
    <w:rsid w:val="00695626"/>
    <w:rsid w:val="00695D7D"/>
    <w:rsid w:val="0069681B"/>
    <w:rsid w:val="00696AA8"/>
    <w:rsid w:val="00696B38"/>
    <w:rsid w:val="00696F64"/>
    <w:rsid w:val="006976C4"/>
    <w:rsid w:val="006A257C"/>
    <w:rsid w:val="006A2615"/>
    <w:rsid w:val="006A4158"/>
    <w:rsid w:val="006A4649"/>
    <w:rsid w:val="006A4AA7"/>
    <w:rsid w:val="006A4E15"/>
    <w:rsid w:val="006A5866"/>
    <w:rsid w:val="006A5E4F"/>
    <w:rsid w:val="006A643C"/>
    <w:rsid w:val="006A76A9"/>
    <w:rsid w:val="006B02F2"/>
    <w:rsid w:val="006B0F54"/>
    <w:rsid w:val="006B12C6"/>
    <w:rsid w:val="006B36B2"/>
    <w:rsid w:val="006B37F2"/>
    <w:rsid w:val="006B415B"/>
    <w:rsid w:val="006B43CE"/>
    <w:rsid w:val="006B4C95"/>
    <w:rsid w:val="006B4CBA"/>
    <w:rsid w:val="006B5595"/>
    <w:rsid w:val="006B55CB"/>
    <w:rsid w:val="006B59AD"/>
    <w:rsid w:val="006B6FEB"/>
    <w:rsid w:val="006B7542"/>
    <w:rsid w:val="006B7A16"/>
    <w:rsid w:val="006C0A59"/>
    <w:rsid w:val="006C19EE"/>
    <w:rsid w:val="006C2E46"/>
    <w:rsid w:val="006C2E93"/>
    <w:rsid w:val="006C309B"/>
    <w:rsid w:val="006C35DA"/>
    <w:rsid w:val="006C3B05"/>
    <w:rsid w:val="006C4E45"/>
    <w:rsid w:val="006C5EE1"/>
    <w:rsid w:val="006C61B1"/>
    <w:rsid w:val="006C6DB8"/>
    <w:rsid w:val="006C747E"/>
    <w:rsid w:val="006C774B"/>
    <w:rsid w:val="006D0195"/>
    <w:rsid w:val="006D0669"/>
    <w:rsid w:val="006D1663"/>
    <w:rsid w:val="006D1D4E"/>
    <w:rsid w:val="006D3771"/>
    <w:rsid w:val="006D440A"/>
    <w:rsid w:val="006D5599"/>
    <w:rsid w:val="006D592F"/>
    <w:rsid w:val="006D5EA8"/>
    <w:rsid w:val="006D62BE"/>
    <w:rsid w:val="006D76DB"/>
    <w:rsid w:val="006D799C"/>
    <w:rsid w:val="006D7B71"/>
    <w:rsid w:val="006E0006"/>
    <w:rsid w:val="006E01BB"/>
    <w:rsid w:val="006E0C5F"/>
    <w:rsid w:val="006E0DF6"/>
    <w:rsid w:val="006E10E1"/>
    <w:rsid w:val="006E1BDE"/>
    <w:rsid w:val="006E2039"/>
    <w:rsid w:val="006E233B"/>
    <w:rsid w:val="006E2CEA"/>
    <w:rsid w:val="006E3073"/>
    <w:rsid w:val="006E336C"/>
    <w:rsid w:val="006E35A9"/>
    <w:rsid w:val="006E3B9E"/>
    <w:rsid w:val="006E4119"/>
    <w:rsid w:val="006E4A27"/>
    <w:rsid w:val="006E4DF1"/>
    <w:rsid w:val="006E5828"/>
    <w:rsid w:val="006E5926"/>
    <w:rsid w:val="006E5BCF"/>
    <w:rsid w:val="006E62C6"/>
    <w:rsid w:val="006E6BB9"/>
    <w:rsid w:val="006E7320"/>
    <w:rsid w:val="006E784F"/>
    <w:rsid w:val="006E7954"/>
    <w:rsid w:val="006E7C38"/>
    <w:rsid w:val="006F089E"/>
    <w:rsid w:val="006F0B4F"/>
    <w:rsid w:val="006F0BC0"/>
    <w:rsid w:val="006F0E97"/>
    <w:rsid w:val="006F1592"/>
    <w:rsid w:val="006F2DF3"/>
    <w:rsid w:val="006F2DF9"/>
    <w:rsid w:val="006F3C6F"/>
    <w:rsid w:val="006F41C6"/>
    <w:rsid w:val="006F53D0"/>
    <w:rsid w:val="006F5DD9"/>
    <w:rsid w:val="006F6FA2"/>
    <w:rsid w:val="006F751E"/>
    <w:rsid w:val="006F7A68"/>
    <w:rsid w:val="007001D0"/>
    <w:rsid w:val="00700CE3"/>
    <w:rsid w:val="00701498"/>
    <w:rsid w:val="00701955"/>
    <w:rsid w:val="00701D55"/>
    <w:rsid w:val="00701E70"/>
    <w:rsid w:val="00703415"/>
    <w:rsid w:val="00704BB6"/>
    <w:rsid w:val="00704F47"/>
    <w:rsid w:val="00705001"/>
    <w:rsid w:val="00705172"/>
    <w:rsid w:val="00705BC0"/>
    <w:rsid w:val="007072C2"/>
    <w:rsid w:val="0070746B"/>
    <w:rsid w:val="007075CA"/>
    <w:rsid w:val="00710C02"/>
    <w:rsid w:val="0071151E"/>
    <w:rsid w:val="007118AC"/>
    <w:rsid w:val="00711FC7"/>
    <w:rsid w:val="007123A5"/>
    <w:rsid w:val="0071482B"/>
    <w:rsid w:val="00714C8F"/>
    <w:rsid w:val="0071549E"/>
    <w:rsid w:val="00715A32"/>
    <w:rsid w:val="00715D27"/>
    <w:rsid w:val="00716F57"/>
    <w:rsid w:val="00717A74"/>
    <w:rsid w:val="00720BFF"/>
    <w:rsid w:val="00720EA2"/>
    <w:rsid w:val="00721409"/>
    <w:rsid w:val="00721CE0"/>
    <w:rsid w:val="007221A2"/>
    <w:rsid w:val="00722935"/>
    <w:rsid w:val="00722B0A"/>
    <w:rsid w:val="00723881"/>
    <w:rsid w:val="00723BA8"/>
    <w:rsid w:val="00724257"/>
    <w:rsid w:val="0072568C"/>
    <w:rsid w:val="00726698"/>
    <w:rsid w:val="00726FDE"/>
    <w:rsid w:val="00727815"/>
    <w:rsid w:val="007301A7"/>
    <w:rsid w:val="00730E31"/>
    <w:rsid w:val="00731DEF"/>
    <w:rsid w:val="00732436"/>
    <w:rsid w:val="00732556"/>
    <w:rsid w:val="007346F8"/>
    <w:rsid w:val="00734D66"/>
    <w:rsid w:val="00734E06"/>
    <w:rsid w:val="00736E9D"/>
    <w:rsid w:val="00736ED7"/>
    <w:rsid w:val="007373FA"/>
    <w:rsid w:val="00737E7D"/>
    <w:rsid w:val="007400CA"/>
    <w:rsid w:val="00740399"/>
    <w:rsid w:val="0074063F"/>
    <w:rsid w:val="00740EF1"/>
    <w:rsid w:val="00741BF8"/>
    <w:rsid w:val="00741D43"/>
    <w:rsid w:val="0074250E"/>
    <w:rsid w:val="007437BA"/>
    <w:rsid w:val="00743AB0"/>
    <w:rsid w:val="007444E7"/>
    <w:rsid w:val="00744525"/>
    <w:rsid w:val="00744D7C"/>
    <w:rsid w:val="00744DBD"/>
    <w:rsid w:val="00745217"/>
    <w:rsid w:val="00745398"/>
    <w:rsid w:val="00746FC3"/>
    <w:rsid w:val="00747286"/>
    <w:rsid w:val="00747B90"/>
    <w:rsid w:val="00747BE4"/>
    <w:rsid w:val="00750119"/>
    <w:rsid w:val="00754870"/>
    <w:rsid w:val="007561F0"/>
    <w:rsid w:val="00756632"/>
    <w:rsid w:val="00756AD6"/>
    <w:rsid w:val="0075754A"/>
    <w:rsid w:val="00757FDC"/>
    <w:rsid w:val="007601F3"/>
    <w:rsid w:val="007603EB"/>
    <w:rsid w:val="00760554"/>
    <w:rsid w:val="0076083D"/>
    <w:rsid w:val="00761DC2"/>
    <w:rsid w:val="00762859"/>
    <w:rsid w:val="00762B1E"/>
    <w:rsid w:val="00762C3A"/>
    <w:rsid w:val="00762EEE"/>
    <w:rsid w:val="00764387"/>
    <w:rsid w:val="00764B94"/>
    <w:rsid w:val="007652E2"/>
    <w:rsid w:val="0076583C"/>
    <w:rsid w:val="00765A82"/>
    <w:rsid w:val="00766434"/>
    <w:rsid w:val="00767BE0"/>
    <w:rsid w:val="00770E10"/>
    <w:rsid w:val="00771BA0"/>
    <w:rsid w:val="00771E5C"/>
    <w:rsid w:val="00771EDB"/>
    <w:rsid w:val="00772107"/>
    <w:rsid w:val="00772BA7"/>
    <w:rsid w:val="00773E30"/>
    <w:rsid w:val="007742FF"/>
    <w:rsid w:val="00774A83"/>
    <w:rsid w:val="00775146"/>
    <w:rsid w:val="0077566D"/>
    <w:rsid w:val="00775D53"/>
    <w:rsid w:val="00776097"/>
    <w:rsid w:val="007765AC"/>
    <w:rsid w:val="0077661D"/>
    <w:rsid w:val="007766A5"/>
    <w:rsid w:val="0077699B"/>
    <w:rsid w:val="00776ABD"/>
    <w:rsid w:val="00776E39"/>
    <w:rsid w:val="00777FAE"/>
    <w:rsid w:val="0078016D"/>
    <w:rsid w:val="007808BE"/>
    <w:rsid w:val="00781778"/>
    <w:rsid w:val="00782098"/>
    <w:rsid w:val="00782467"/>
    <w:rsid w:val="00783D75"/>
    <w:rsid w:val="00783FCC"/>
    <w:rsid w:val="007857E3"/>
    <w:rsid w:val="00785EA1"/>
    <w:rsid w:val="00786231"/>
    <w:rsid w:val="0079000B"/>
    <w:rsid w:val="007900CB"/>
    <w:rsid w:val="007905B2"/>
    <w:rsid w:val="00790E9B"/>
    <w:rsid w:val="007917E7"/>
    <w:rsid w:val="007927C6"/>
    <w:rsid w:val="007933C1"/>
    <w:rsid w:val="0079348E"/>
    <w:rsid w:val="00793A0A"/>
    <w:rsid w:val="00793EEB"/>
    <w:rsid w:val="0079405B"/>
    <w:rsid w:val="007948F2"/>
    <w:rsid w:val="00794EFF"/>
    <w:rsid w:val="00795679"/>
    <w:rsid w:val="0079797F"/>
    <w:rsid w:val="007A00E7"/>
    <w:rsid w:val="007A05F4"/>
    <w:rsid w:val="007A0BB9"/>
    <w:rsid w:val="007A14E8"/>
    <w:rsid w:val="007A1D73"/>
    <w:rsid w:val="007A3FD7"/>
    <w:rsid w:val="007A4023"/>
    <w:rsid w:val="007A5445"/>
    <w:rsid w:val="007A5A94"/>
    <w:rsid w:val="007A5E11"/>
    <w:rsid w:val="007A6C47"/>
    <w:rsid w:val="007A7910"/>
    <w:rsid w:val="007A7921"/>
    <w:rsid w:val="007B09DF"/>
    <w:rsid w:val="007B1018"/>
    <w:rsid w:val="007B31F7"/>
    <w:rsid w:val="007B347F"/>
    <w:rsid w:val="007B3889"/>
    <w:rsid w:val="007B39F6"/>
    <w:rsid w:val="007B4481"/>
    <w:rsid w:val="007B45F9"/>
    <w:rsid w:val="007B5A98"/>
    <w:rsid w:val="007B5E30"/>
    <w:rsid w:val="007B5E45"/>
    <w:rsid w:val="007B6746"/>
    <w:rsid w:val="007C0E55"/>
    <w:rsid w:val="007C0EF5"/>
    <w:rsid w:val="007C1DB0"/>
    <w:rsid w:val="007C2270"/>
    <w:rsid w:val="007C27D4"/>
    <w:rsid w:val="007C31A6"/>
    <w:rsid w:val="007C4720"/>
    <w:rsid w:val="007C4CCE"/>
    <w:rsid w:val="007C570A"/>
    <w:rsid w:val="007C638E"/>
    <w:rsid w:val="007C6F9F"/>
    <w:rsid w:val="007C7D49"/>
    <w:rsid w:val="007C7DE5"/>
    <w:rsid w:val="007D0EEB"/>
    <w:rsid w:val="007D1D99"/>
    <w:rsid w:val="007D3CBB"/>
    <w:rsid w:val="007D4044"/>
    <w:rsid w:val="007D4D2A"/>
    <w:rsid w:val="007D5E52"/>
    <w:rsid w:val="007D6805"/>
    <w:rsid w:val="007D759E"/>
    <w:rsid w:val="007D763D"/>
    <w:rsid w:val="007D77A3"/>
    <w:rsid w:val="007D7F29"/>
    <w:rsid w:val="007E00B1"/>
    <w:rsid w:val="007E0749"/>
    <w:rsid w:val="007E2F87"/>
    <w:rsid w:val="007E334F"/>
    <w:rsid w:val="007E3AC7"/>
    <w:rsid w:val="007E3F9D"/>
    <w:rsid w:val="007E3FC0"/>
    <w:rsid w:val="007E4155"/>
    <w:rsid w:val="007E53AD"/>
    <w:rsid w:val="007E57B5"/>
    <w:rsid w:val="007E5D39"/>
    <w:rsid w:val="007E66C8"/>
    <w:rsid w:val="007E67BD"/>
    <w:rsid w:val="007E6BBD"/>
    <w:rsid w:val="007F0171"/>
    <w:rsid w:val="007F06E1"/>
    <w:rsid w:val="007F0C09"/>
    <w:rsid w:val="007F2D26"/>
    <w:rsid w:val="007F3E75"/>
    <w:rsid w:val="007F517F"/>
    <w:rsid w:val="007F58C2"/>
    <w:rsid w:val="007F6391"/>
    <w:rsid w:val="007F6CAD"/>
    <w:rsid w:val="007F6FB8"/>
    <w:rsid w:val="007F7481"/>
    <w:rsid w:val="007F76FF"/>
    <w:rsid w:val="007F7E51"/>
    <w:rsid w:val="007F7E83"/>
    <w:rsid w:val="00801491"/>
    <w:rsid w:val="008015A7"/>
    <w:rsid w:val="00801B8F"/>
    <w:rsid w:val="00801EF6"/>
    <w:rsid w:val="00802A36"/>
    <w:rsid w:val="00802AEC"/>
    <w:rsid w:val="00803099"/>
    <w:rsid w:val="0080406C"/>
    <w:rsid w:val="008040CC"/>
    <w:rsid w:val="0080562C"/>
    <w:rsid w:val="008071D0"/>
    <w:rsid w:val="00807626"/>
    <w:rsid w:val="0081037F"/>
    <w:rsid w:val="0081066B"/>
    <w:rsid w:val="00810809"/>
    <w:rsid w:val="00810C6A"/>
    <w:rsid w:val="00810C86"/>
    <w:rsid w:val="0081161F"/>
    <w:rsid w:val="008121B8"/>
    <w:rsid w:val="00812350"/>
    <w:rsid w:val="00812369"/>
    <w:rsid w:val="00812741"/>
    <w:rsid w:val="008128E3"/>
    <w:rsid w:val="00812B12"/>
    <w:rsid w:val="00815871"/>
    <w:rsid w:val="0081622B"/>
    <w:rsid w:val="008163DB"/>
    <w:rsid w:val="00817208"/>
    <w:rsid w:val="0082022F"/>
    <w:rsid w:val="00821789"/>
    <w:rsid w:val="0082180B"/>
    <w:rsid w:val="00821BC9"/>
    <w:rsid w:val="00821C36"/>
    <w:rsid w:val="00822868"/>
    <w:rsid w:val="00824C83"/>
    <w:rsid w:val="00825147"/>
    <w:rsid w:val="00825D4F"/>
    <w:rsid w:val="00830017"/>
    <w:rsid w:val="00830787"/>
    <w:rsid w:val="00830DC9"/>
    <w:rsid w:val="00831489"/>
    <w:rsid w:val="00832587"/>
    <w:rsid w:val="008325BC"/>
    <w:rsid w:val="00833A6A"/>
    <w:rsid w:val="00833E2F"/>
    <w:rsid w:val="00834240"/>
    <w:rsid w:val="00834F9A"/>
    <w:rsid w:val="00836544"/>
    <w:rsid w:val="008368F3"/>
    <w:rsid w:val="008400A8"/>
    <w:rsid w:val="008410E7"/>
    <w:rsid w:val="0084156A"/>
    <w:rsid w:val="0084169A"/>
    <w:rsid w:val="0084191D"/>
    <w:rsid w:val="008427B1"/>
    <w:rsid w:val="008449FF"/>
    <w:rsid w:val="00845E77"/>
    <w:rsid w:val="0084601D"/>
    <w:rsid w:val="008462FB"/>
    <w:rsid w:val="00846C73"/>
    <w:rsid w:val="00847D16"/>
    <w:rsid w:val="008500CD"/>
    <w:rsid w:val="00850462"/>
    <w:rsid w:val="0085161D"/>
    <w:rsid w:val="008518CA"/>
    <w:rsid w:val="008525EF"/>
    <w:rsid w:val="008526EB"/>
    <w:rsid w:val="00852EEF"/>
    <w:rsid w:val="008536F6"/>
    <w:rsid w:val="00854312"/>
    <w:rsid w:val="00855597"/>
    <w:rsid w:val="00855749"/>
    <w:rsid w:val="00855780"/>
    <w:rsid w:val="008557AA"/>
    <w:rsid w:val="00855DF4"/>
    <w:rsid w:val="00856178"/>
    <w:rsid w:val="008567C0"/>
    <w:rsid w:val="00856C69"/>
    <w:rsid w:val="008570AB"/>
    <w:rsid w:val="00857E5D"/>
    <w:rsid w:val="0086012C"/>
    <w:rsid w:val="00861399"/>
    <w:rsid w:val="00862545"/>
    <w:rsid w:val="00862D62"/>
    <w:rsid w:val="00863356"/>
    <w:rsid w:val="008636BF"/>
    <w:rsid w:val="00864333"/>
    <w:rsid w:val="008644A5"/>
    <w:rsid w:val="00864544"/>
    <w:rsid w:val="00864F86"/>
    <w:rsid w:val="008653B5"/>
    <w:rsid w:val="00865A76"/>
    <w:rsid w:val="008663D7"/>
    <w:rsid w:val="0086730B"/>
    <w:rsid w:val="008674DC"/>
    <w:rsid w:val="00867985"/>
    <w:rsid w:val="008679E6"/>
    <w:rsid w:val="00867A0F"/>
    <w:rsid w:val="00871811"/>
    <w:rsid w:val="00871F84"/>
    <w:rsid w:val="00872E1F"/>
    <w:rsid w:val="00873942"/>
    <w:rsid w:val="0087400E"/>
    <w:rsid w:val="0087743B"/>
    <w:rsid w:val="00877BC9"/>
    <w:rsid w:val="00877C6A"/>
    <w:rsid w:val="00880558"/>
    <w:rsid w:val="00881DD6"/>
    <w:rsid w:val="00882ED0"/>
    <w:rsid w:val="00883894"/>
    <w:rsid w:val="00884490"/>
    <w:rsid w:val="00884776"/>
    <w:rsid w:val="00885DA2"/>
    <w:rsid w:val="00885E17"/>
    <w:rsid w:val="00885E6A"/>
    <w:rsid w:val="00886342"/>
    <w:rsid w:val="00886381"/>
    <w:rsid w:val="008866EF"/>
    <w:rsid w:val="00886980"/>
    <w:rsid w:val="008875DE"/>
    <w:rsid w:val="008877BE"/>
    <w:rsid w:val="0089074D"/>
    <w:rsid w:val="0089092F"/>
    <w:rsid w:val="00891154"/>
    <w:rsid w:val="00891880"/>
    <w:rsid w:val="0089325C"/>
    <w:rsid w:val="00893594"/>
    <w:rsid w:val="008947EA"/>
    <w:rsid w:val="00894ABF"/>
    <w:rsid w:val="00895FFF"/>
    <w:rsid w:val="0089681B"/>
    <w:rsid w:val="00896FF4"/>
    <w:rsid w:val="00897D71"/>
    <w:rsid w:val="008A0E85"/>
    <w:rsid w:val="008A15CB"/>
    <w:rsid w:val="008A1DDE"/>
    <w:rsid w:val="008A2544"/>
    <w:rsid w:val="008A34CE"/>
    <w:rsid w:val="008A371D"/>
    <w:rsid w:val="008A375C"/>
    <w:rsid w:val="008A3B54"/>
    <w:rsid w:val="008A5009"/>
    <w:rsid w:val="008A5443"/>
    <w:rsid w:val="008A55A8"/>
    <w:rsid w:val="008A5F01"/>
    <w:rsid w:val="008A6A98"/>
    <w:rsid w:val="008A6B66"/>
    <w:rsid w:val="008A7078"/>
    <w:rsid w:val="008A7609"/>
    <w:rsid w:val="008B0969"/>
    <w:rsid w:val="008B11D0"/>
    <w:rsid w:val="008B1648"/>
    <w:rsid w:val="008B32B6"/>
    <w:rsid w:val="008B4464"/>
    <w:rsid w:val="008B4BF2"/>
    <w:rsid w:val="008B56E5"/>
    <w:rsid w:val="008B5AFD"/>
    <w:rsid w:val="008B5BAA"/>
    <w:rsid w:val="008B6650"/>
    <w:rsid w:val="008B729C"/>
    <w:rsid w:val="008B7A4E"/>
    <w:rsid w:val="008C1506"/>
    <w:rsid w:val="008C156B"/>
    <w:rsid w:val="008C2D30"/>
    <w:rsid w:val="008C33F2"/>
    <w:rsid w:val="008C444D"/>
    <w:rsid w:val="008C5669"/>
    <w:rsid w:val="008C6C92"/>
    <w:rsid w:val="008C77F7"/>
    <w:rsid w:val="008C78C9"/>
    <w:rsid w:val="008D0262"/>
    <w:rsid w:val="008D04B2"/>
    <w:rsid w:val="008D0AE4"/>
    <w:rsid w:val="008D1B0D"/>
    <w:rsid w:val="008D20E6"/>
    <w:rsid w:val="008D2F52"/>
    <w:rsid w:val="008D3E19"/>
    <w:rsid w:val="008D540B"/>
    <w:rsid w:val="008D57A4"/>
    <w:rsid w:val="008D5F06"/>
    <w:rsid w:val="008D6661"/>
    <w:rsid w:val="008D6B57"/>
    <w:rsid w:val="008D74C3"/>
    <w:rsid w:val="008D7DFC"/>
    <w:rsid w:val="008E00FD"/>
    <w:rsid w:val="008E07C6"/>
    <w:rsid w:val="008E0F6F"/>
    <w:rsid w:val="008E152D"/>
    <w:rsid w:val="008E22C6"/>
    <w:rsid w:val="008E3214"/>
    <w:rsid w:val="008E3333"/>
    <w:rsid w:val="008E33EA"/>
    <w:rsid w:val="008E4180"/>
    <w:rsid w:val="008E439B"/>
    <w:rsid w:val="008E4ECE"/>
    <w:rsid w:val="008E568F"/>
    <w:rsid w:val="008E5BB7"/>
    <w:rsid w:val="008E5F84"/>
    <w:rsid w:val="008E6A1B"/>
    <w:rsid w:val="008E6C77"/>
    <w:rsid w:val="008E6FAD"/>
    <w:rsid w:val="008E6FF6"/>
    <w:rsid w:val="008E72E5"/>
    <w:rsid w:val="008E79F9"/>
    <w:rsid w:val="008E7DCC"/>
    <w:rsid w:val="008F0EA9"/>
    <w:rsid w:val="008F1B1E"/>
    <w:rsid w:val="008F2B7E"/>
    <w:rsid w:val="008F31DF"/>
    <w:rsid w:val="008F38F6"/>
    <w:rsid w:val="008F411D"/>
    <w:rsid w:val="008F4D31"/>
    <w:rsid w:val="008F53F5"/>
    <w:rsid w:val="008F56A2"/>
    <w:rsid w:val="008F5EF2"/>
    <w:rsid w:val="008F5FF0"/>
    <w:rsid w:val="008F61F2"/>
    <w:rsid w:val="008F63BC"/>
    <w:rsid w:val="008F6485"/>
    <w:rsid w:val="008F710C"/>
    <w:rsid w:val="008F743D"/>
    <w:rsid w:val="008F7785"/>
    <w:rsid w:val="008F7B17"/>
    <w:rsid w:val="008F7F3E"/>
    <w:rsid w:val="008F7F78"/>
    <w:rsid w:val="00900316"/>
    <w:rsid w:val="009010D0"/>
    <w:rsid w:val="0090122A"/>
    <w:rsid w:val="00901F73"/>
    <w:rsid w:val="00903301"/>
    <w:rsid w:val="0090394F"/>
    <w:rsid w:val="00904670"/>
    <w:rsid w:val="009054D3"/>
    <w:rsid w:val="00905587"/>
    <w:rsid w:val="009057D3"/>
    <w:rsid w:val="00905ADB"/>
    <w:rsid w:val="00905EA5"/>
    <w:rsid w:val="00906EA8"/>
    <w:rsid w:val="00907015"/>
    <w:rsid w:val="00907B9D"/>
    <w:rsid w:val="009102EF"/>
    <w:rsid w:val="00910CFA"/>
    <w:rsid w:val="009125D2"/>
    <w:rsid w:val="009136B2"/>
    <w:rsid w:val="00914007"/>
    <w:rsid w:val="009149FD"/>
    <w:rsid w:val="00915209"/>
    <w:rsid w:val="00915C44"/>
    <w:rsid w:val="00915E3F"/>
    <w:rsid w:val="00915F49"/>
    <w:rsid w:val="00915F97"/>
    <w:rsid w:val="0091787C"/>
    <w:rsid w:val="009179EB"/>
    <w:rsid w:val="00920239"/>
    <w:rsid w:val="009203C1"/>
    <w:rsid w:val="009212C4"/>
    <w:rsid w:val="0092273F"/>
    <w:rsid w:val="009238F1"/>
    <w:rsid w:val="009249B4"/>
    <w:rsid w:val="009253E4"/>
    <w:rsid w:val="00926597"/>
    <w:rsid w:val="00926716"/>
    <w:rsid w:val="009270DB"/>
    <w:rsid w:val="009301D5"/>
    <w:rsid w:val="00930570"/>
    <w:rsid w:val="00930BEB"/>
    <w:rsid w:val="00930C2E"/>
    <w:rsid w:val="009323DF"/>
    <w:rsid w:val="00932AFC"/>
    <w:rsid w:val="00933435"/>
    <w:rsid w:val="009334AE"/>
    <w:rsid w:val="0093389C"/>
    <w:rsid w:val="00933A7D"/>
    <w:rsid w:val="00933DA9"/>
    <w:rsid w:val="00933F6F"/>
    <w:rsid w:val="0093452F"/>
    <w:rsid w:val="0093491F"/>
    <w:rsid w:val="00935E14"/>
    <w:rsid w:val="00941E4F"/>
    <w:rsid w:val="00942454"/>
    <w:rsid w:val="0094480E"/>
    <w:rsid w:val="00947B5B"/>
    <w:rsid w:val="00950281"/>
    <w:rsid w:val="00951BD3"/>
    <w:rsid w:val="009529FD"/>
    <w:rsid w:val="00952B8F"/>
    <w:rsid w:val="00952DA0"/>
    <w:rsid w:val="0095313C"/>
    <w:rsid w:val="00953288"/>
    <w:rsid w:val="0095496C"/>
    <w:rsid w:val="0095569B"/>
    <w:rsid w:val="009559F2"/>
    <w:rsid w:val="009562CC"/>
    <w:rsid w:val="0095695E"/>
    <w:rsid w:val="009571D2"/>
    <w:rsid w:val="00957310"/>
    <w:rsid w:val="0095750D"/>
    <w:rsid w:val="00960B83"/>
    <w:rsid w:val="009611F2"/>
    <w:rsid w:val="00962B8F"/>
    <w:rsid w:val="009637E4"/>
    <w:rsid w:val="00964464"/>
    <w:rsid w:val="00964933"/>
    <w:rsid w:val="009651E4"/>
    <w:rsid w:val="00965665"/>
    <w:rsid w:val="0096632E"/>
    <w:rsid w:val="00966D4F"/>
    <w:rsid w:val="00970E65"/>
    <w:rsid w:val="0097102C"/>
    <w:rsid w:val="00971CBF"/>
    <w:rsid w:val="00971F52"/>
    <w:rsid w:val="0097202E"/>
    <w:rsid w:val="0097282B"/>
    <w:rsid w:val="00972E0B"/>
    <w:rsid w:val="0097462D"/>
    <w:rsid w:val="009748F0"/>
    <w:rsid w:val="00974A7C"/>
    <w:rsid w:val="0097587B"/>
    <w:rsid w:val="009758AD"/>
    <w:rsid w:val="009763C1"/>
    <w:rsid w:val="009766FE"/>
    <w:rsid w:val="00977284"/>
    <w:rsid w:val="00977715"/>
    <w:rsid w:val="00980439"/>
    <w:rsid w:val="00982444"/>
    <w:rsid w:val="00982BA7"/>
    <w:rsid w:val="00982D92"/>
    <w:rsid w:val="00982F10"/>
    <w:rsid w:val="00983027"/>
    <w:rsid w:val="009834A0"/>
    <w:rsid w:val="009839CE"/>
    <w:rsid w:val="009843A8"/>
    <w:rsid w:val="00984993"/>
    <w:rsid w:val="00984CA2"/>
    <w:rsid w:val="009854F1"/>
    <w:rsid w:val="0098714A"/>
    <w:rsid w:val="009901C2"/>
    <w:rsid w:val="00990428"/>
    <w:rsid w:val="00992727"/>
    <w:rsid w:val="00993EA1"/>
    <w:rsid w:val="00994138"/>
    <w:rsid w:val="0099496C"/>
    <w:rsid w:val="00995039"/>
    <w:rsid w:val="009950FA"/>
    <w:rsid w:val="00995582"/>
    <w:rsid w:val="00996569"/>
    <w:rsid w:val="00997D76"/>
    <w:rsid w:val="009A02D4"/>
    <w:rsid w:val="009A057B"/>
    <w:rsid w:val="009A06F0"/>
    <w:rsid w:val="009A11D4"/>
    <w:rsid w:val="009A14DE"/>
    <w:rsid w:val="009A2294"/>
    <w:rsid w:val="009A40DD"/>
    <w:rsid w:val="009A4A7E"/>
    <w:rsid w:val="009A562A"/>
    <w:rsid w:val="009A5F36"/>
    <w:rsid w:val="009A6DED"/>
    <w:rsid w:val="009A72B5"/>
    <w:rsid w:val="009A7BC2"/>
    <w:rsid w:val="009B011E"/>
    <w:rsid w:val="009B180F"/>
    <w:rsid w:val="009B1897"/>
    <w:rsid w:val="009B1BB7"/>
    <w:rsid w:val="009B1C51"/>
    <w:rsid w:val="009B2B31"/>
    <w:rsid w:val="009B2CDB"/>
    <w:rsid w:val="009B48D4"/>
    <w:rsid w:val="009B4DE3"/>
    <w:rsid w:val="009B546D"/>
    <w:rsid w:val="009B581F"/>
    <w:rsid w:val="009B692B"/>
    <w:rsid w:val="009B6BAE"/>
    <w:rsid w:val="009B7444"/>
    <w:rsid w:val="009B751B"/>
    <w:rsid w:val="009C0439"/>
    <w:rsid w:val="009C0992"/>
    <w:rsid w:val="009C0C48"/>
    <w:rsid w:val="009C1830"/>
    <w:rsid w:val="009C23DA"/>
    <w:rsid w:val="009C24B3"/>
    <w:rsid w:val="009C2C09"/>
    <w:rsid w:val="009C2E1B"/>
    <w:rsid w:val="009C2E5A"/>
    <w:rsid w:val="009C4583"/>
    <w:rsid w:val="009C5D44"/>
    <w:rsid w:val="009C6214"/>
    <w:rsid w:val="009C672A"/>
    <w:rsid w:val="009C703A"/>
    <w:rsid w:val="009C7B18"/>
    <w:rsid w:val="009C7D55"/>
    <w:rsid w:val="009C7F52"/>
    <w:rsid w:val="009D07F2"/>
    <w:rsid w:val="009D1884"/>
    <w:rsid w:val="009D24A3"/>
    <w:rsid w:val="009D2FD6"/>
    <w:rsid w:val="009D3295"/>
    <w:rsid w:val="009D3626"/>
    <w:rsid w:val="009D3665"/>
    <w:rsid w:val="009D3C84"/>
    <w:rsid w:val="009D40C6"/>
    <w:rsid w:val="009D54F3"/>
    <w:rsid w:val="009D5CAF"/>
    <w:rsid w:val="009D5DA3"/>
    <w:rsid w:val="009D6969"/>
    <w:rsid w:val="009D7470"/>
    <w:rsid w:val="009D7760"/>
    <w:rsid w:val="009D7A58"/>
    <w:rsid w:val="009D7BFF"/>
    <w:rsid w:val="009E0638"/>
    <w:rsid w:val="009E0828"/>
    <w:rsid w:val="009E0CED"/>
    <w:rsid w:val="009E114C"/>
    <w:rsid w:val="009E17A2"/>
    <w:rsid w:val="009E2363"/>
    <w:rsid w:val="009E2D23"/>
    <w:rsid w:val="009E4043"/>
    <w:rsid w:val="009E43C1"/>
    <w:rsid w:val="009E54AE"/>
    <w:rsid w:val="009E5FC3"/>
    <w:rsid w:val="009E6DF1"/>
    <w:rsid w:val="009E6F01"/>
    <w:rsid w:val="009F19F1"/>
    <w:rsid w:val="009F3B27"/>
    <w:rsid w:val="009F3BA0"/>
    <w:rsid w:val="009F3F5D"/>
    <w:rsid w:val="009F43CB"/>
    <w:rsid w:val="009F4CB9"/>
    <w:rsid w:val="009F61B9"/>
    <w:rsid w:val="00A00283"/>
    <w:rsid w:val="00A0116B"/>
    <w:rsid w:val="00A01C02"/>
    <w:rsid w:val="00A01DE8"/>
    <w:rsid w:val="00A02167"/>
    <w:rsid w:val="00A02D24"/>
    <w:rsid w:val="00A02E16"/>
    <w:rsid w:val="00A040F8"/>
    <w:rsid w:val="00A05113"/>
    <w:rsid w:val="00A054DC"/>
    <w:rsid w:val="00A05824"/>
    <w:rsid w:val="00A069AE"/>
    <w:rsid w:val="00A071B0"/>
    <w:rsid w:val="00A07332"/>
    <w:rsid w:val="00A10389"/>
    <w:rsid w:val="00A1133E"/>
    <w:rsid w:val="00A11888"/>
    <w:rsid w:val="00A11AAD"/>
    <w:rsid w:val="00A11E62"/>
    <w:rsid w:val="00A11E8F"/>
    <w:rsid w:val="00A12369"/>
    <w:rsid w:val="00A12B9B"/>
    <w:rsid w:val="00A12F37"/>
    <w:rsid w:val="00A132B7"/>
    <w:rsid w:val="00A13522"/>
    <w:rsid w:val="00A13874"/>
    <w:rsid w:val="00A14357"/>
    <w:rsid w:val="00A1497B"/>
    <w:rsid w:val="00A151AA"/>
    <w:rsid w:val="00A1524F"/>
    <w:rsid w:val="00A15E63"/>
    <w:rsid w:val="00A167D9"/>
    <w:rsid w:val="00A16CBA"/>
    <w:rsid w:val="00A16DB9"/>
    <w:rsid w:val="00A171F1"/>
    <w:rsid w:val="00A17672"/>
    <w:rsid w:val="00A17EF0"/>
    <w:rsid w:val="00A206A3"/>
    <w:rsid w:val="00A20A6B"/>
    <w:rsid w:val="00A20C5D"/>
    <w:rsid w:val="00A21EC8"/>
    <w:rsid w:val="00A222CA"/>
    <w:rsid w:val="00A2252E"/>
    <w:rsid w:val="00A225E3"/>
    <w:rsid w:val="00A239CC"/>
    <w:rsid w:val="00A23BC2"/>
    <w:rsid w:val="00A247E9"/>
    <w:rsid w:val="00A248C9"/>
    <w:rsid w:val="00A265E8"/>
    <w:rsid w:val="00A26F01"/>
    <w:rsid w:val="00A279AC"/>
    <w:rsid w:val="00A27A30"/>
    <w:rsid w:val="00A30C5D"/>
    <w:rsid w:val="00A310F1"/>
    <w:rsid w:val="00A31C68"/>
    <w:rsid w:val="00A31FFF"/>
    <w:rsid w:val="00A325AE"/>
    <w:rsid w:val="00A326A6"/>
    <w:rsid w:val="00A342D9"/>
    <w:rsid w:val="00A352C5"/>
    <w:rsid w:val="00A35E30"/>
    <w:rsid w:val="00A35FAA"/>
    <w:rsid w:val="00A40163"/>
    <w:rsid w:val="00A409BC"/>
    <w:rsid w:val="00A40FC3"/>
    <w:rsid w:val="00A41D7C"/>
    <w:rsid w:val="00A42F6D"/>
    <w:rsid w:val="00A43C9A"/>
    <w:rsid w:val="00A43E54"/>
    <w:rsid w:val="00A44612"/>
    <w:rsid w:val="00A44720"/>
    <w:rsid w:val="00A46164"/>
    <w:rsid w:val="00A46A8E"/>
    <w:rsid w:val="00A51337"/>
    <w:rsid w:val="00A537E5"/>
    <w:rsid w:val="00A540A5"/>
    <w:rsid w:val="00A54248"/>
    <w:rsid w:val="00A55B6F"/>
    <w:rsid w:val="00A5670F"/>
    <w:rsid w:val="00A569DF"/>
    <w:rsid w:val="00A5781C"/>
    <w:rsid w:val="00A61BD0"/>
    <w:rsid w:val="00A6388E"/>
    <w:rsid w:val="00A64997"/>
    <w:rsid w:val="00A64BC6"/>
    <w:rsid w:val="00A64FD7"/>
    <w:rsid w:val="00A659CB"/>
    <w:rsid w:val="00A67D19"/>
    <w:rsid w:val="00A70398"/>
    <w:rsid w:val="00A709AD"/>
    <w:rsid w:val="00A70D03"/>
    <w:rsid w:val="00A71441"/>
    <w:rsid w:val="00A721F1"/>
    <w:rsid w:val="00A72DA9"/>
    <w:rsid w:val="00A733CB"/>
    <w:rsid w:val="00A739DF"/>
    <w:rsid w:val="00A73E03"/>
    <w:rsid w:val="00A740A0"/>
    <w:rsid w:val="00A74101"/>
    <w:rsid w:val="00A745EF"/>
    <w:rsid w:val="00A751AD"/>
    <w:rsid w:val="00A76045"/>
    <w:rsid w:val="00A773CD"/>
    <w:rsid w:val="00A775CF"/>
    <w:rsid w:val="00A77853"/>
    <w:rsid w:val="00A77C21"/>
    <w:rsid w:val="00A77FAF"/>
    <w:rsid w:val="00A805EB"/>
    <w:rsid w:val="00A8063F"/>
    <w:rsid w:val="00A80C87"/>
    <w:rsid w:val="00A81EED"/>
    <w:rsid w:val="00A83576"/>
    <w:rsid w:val="00A84193"/>
    <w:rsid w:val="00A84503"/>
    <w:rsid w:val="00A84B76"/>
    <w:rsid w:val="00A85D02"/>
    <w:rsid w:val="00A864DD"/>
    <w:rsid w:val="00A867DA"/>
    <w:rsid w:val="00A87473"/>
    <w:rsid w:val="00A8782F"/>
    <w:rsid w:val="00A9167D"/>
    <w:rsid w:val="00A91895"/>
    <w:rsid w:val="00A92D25"/>
    <w:rsid w:val="00A9401F"/>
    <w:rsid w:val="00A94689"/>
    <w:rsid w:val="00A94DDB"/>
    <w:rsid w:val="00A94F82"/>
    <w:rsid w:val="00A94FB4"/>
    <w:rsid w:val="00A950A1"/>
    <w:rsid w:val="00A965CD"/>
    <w:rsid w:val="00A96970"/>
    <w:rsid w:val="00AA1AD8"/>
    <w:rsid w:val="00AA1BEC"/>
    <w:rsid w:val="00AA27AA"/>
    <w:rsid w:val="00AA2DF3"/>
    <w:rsid w:val="00AA4761"/>
    <w:rsid w:val="00AA4FDE"/>
    <w:rsid w:val="00AA50BC"/>
    <w:rsid w:val="00AA5A42"/>
    <w:rsid w:val="00AA63FF"/>
    <w:rsid w:val="00AA6AE4"/>
    <w:rsid w:val="00AA7C6E"/>
    <w:rsid w:val="00AB24E7"/>
    <w:rsid w:val="00AB3237"/>
    <w:rsid w:val="00AB3917"/>
    <w:rsid w:val="00AB3A2D"/>
    <w:rsid w:val="00AB4AC8"/>
    <w:rsid w:val="00AB5E21"/>
    <w:rsid w:val="00AB6AD4"/>
    <w:rsid w:val="00AB75AE"/>
    <w:rsid w:val="00AB76EC"/>
    <w:rsid w:val="00AB7933"/>
    <w:rsid w:val="00AB7947"/>
    <w:rsid w:val="00AC03C5"/>
    <w:rsid w:val="00AC0659"/>
    <w:rsid w:val="00AC1200"/>
    <w:rsid w:val="00AC1352"/>
    <w:rsid w:val="00AC13C9"/>
    <w:rsid w:val="00AC29A4"/>
    <w:rsid w:val="00AC2D3B"/>
    <w:rsid w:val="00AC3071"/>
    <w:rsid w:val="00AC3127"/>
    <w:rsid w:val="00AC3A08"/>
    <w:rsid w:val="00AC3D18"/>
    <w:rsid w:val="00AC41D0"/>
    <w:rsid w:val="00AC4CF8"/>
    <w:rsid w:val="00AC50DF"/>
    <w:rsid w:val="00AC6332"/>
    <w:rsid w:val="00AC72C2"/>
    <w:rsid w:val="00AD10CF"/>
    <w:rsid w:val="00AD2FC0"/>
    <w:rsid w:val="00AD3119"/>
    <w:rsid w:val="00AD3581"/>
    <w:rsid w:val="00AD35EA"/>
    <w:rsid w:val="00AD3BC7"/>
    <w:rsid w:val="00AD42E2"/>
    <w:rsid w:val="00AD45C8"/>
    <w:rsid w:val="00AD4967"/>
    <w:rsid w:val="00AD4C11"/>
    <w:rsid w:val="00AD562E"/>
    <w:rsid w:val="00AD5B1B"/>
    <w:rsid w:val="00AD66BE"/>
    <w:rsid w:val="00AD6DB9"/>
    <w:rsid w:val="00AE12A9"/>
    <w:rsid w:val="00AE21E0"/>
    <w:rsid w:val="00AE2459"/>
    <w:rsid w:val="00AE278F"/>
    <w:rsid w:val="00AE29C2"/>
    <w:rsid w:val="00AE37DD"/>
    <w:rsid w:val="00AE3D23"/>
    <w:rsid w:val="00AE4CEC"/>
    <w:rsid w:val="00AE4D18"/>
    <w:rsid w:val="00AE4EC8"/>
    <w:rsid w:val="00AE517C"/>
    <w:rsid w:val="00AE5868"/>
    <w:rsid w:val="00AE58BF"/>
    <w:rsid w:val="00AE599E"/>
    <w:rsid w:val="00AE5D9F"/>
    <w:rsid w:val="00AE5F15"/>
    <w:rsid w:val="00AE61C0"/>
    <w:rsid w:val="00AE7126"/>
    <w:rsid w:val="00AE72C2"/>
    <w:rsid w:val="00AE76C9"/>
    <w:rsid w:val="00AE77A3"/>
    <w:rsid w:val="00AF06B4"/>
    <w:rsid w:val="00AF0BDC"/>
    <w:rsid w:val="00AF0C7E"/>
    <w:rsid w:val="00AF0EB2"/>
    <w:rsid w:val="00AF2791"/>
    <w:rsid w:val="00AF2EF5"/>
    <w:rsid w:val="00AF3117"/>
    <w:rsid w:val="00AF326B"/>
    <w:rsid w:val="00AF32F0"/>
    <w:rsid w:val="00AF3811"/>
    <w:rsid w:val="00AF418D"/>
    <w:rsid w:val="00AF4374"/>
    <w:rsid w:val="00AF55E0"/>
    <w:rsid w:val="00AF560E"/>
    <w:rsid w:val="00AF5C2F"/>
    <w:rsid w:val="00AF6220"/>
    <w:rsid w:val="00AF70EE"/>
    <w:rsid w:val="00AF7618"/>
    <w:rsid w:val="00AF79D1"/>
    <w:rsid w:val="00B00B01"/>
    <w:rsid w:val="00B00B34"/>
    <w:rsid w:val="00B01538"/>
    <w:rsid w:val="00B01553"/>
    <w:rsid w:val="00B04550"/>
    <w:rsid w:val="00B04964"/>
    <w:rsid w:val="00B04CBD"/>
    <w:rsid w:val="00B076EB"/>
    <w:rsid w:val="00B10605"/>
    <w:rsid w:val="00B10F95"/>
    <w:rsid w:val="00B116C5"/>
    <w:rsid w:val="00B1175B"/>
    <w:rsid w:val="00B11B0A"/>
    <w:rsid w:val="00B12331"/>
    <w:rsid w:val="00B124AD"/>
    <w:rsid w:val="00B14C81"/>
    <w:rsid w:val="00B15178"/>
    <w:rsid w:val="00B154B3"/>
    <w:rsid w:val="00B15B71"/>
    <w:rsid w:val="00B16085"/>
    <w:rsid w:val="00B1643C"/>
    <w:rsid w:val="00B166C6"/>
    <w:rsid w:val="00B20077"/>
    <w:rsid w:val="00B208FF"/>
    <w:rsid w:val="00B20D70"/>
    <w:rsid w:val="00B21941"/>
    <w:rsid w:val="00B21EB4"/>
    <w:rsid w:val="00B22A5B"/>
    <w:rsid w:val="00B2620A"/>
    <w:rsid w:val="00B2691D"/>
    <w:rsid w:val="00B26C44"/>
    <w:rsid w:val="00B27820"/>
    <w:rsid w:val="00B306EA"/>
    <w:rsid w:val="00B30944"/>
    <w:rsid w:val="00B3104B"/>
    <w:rsid w:val="00B312CE"/>
    <w:rsid w:val="00B32AAC"/>
    <w:rsid w:val="00B33F4D"/>
    <w:rsid w:val="00B36CFC"/>
    <w:rsid w:val="00B37148"/>
    <w:rsid w:val="00B37AFC"/>
    <w:rsid w:val="00B4084B"/>
    <w:rsid w:val="00B40B9F"/>
    <w:rsid w:val="00B41232"/>
    <w:rsid w:val="00B4258C"/>
    <w:rsid w:val="00B42B56"/>
    <w:rsid w:val="00B45864"/>
    <w:rsid w:val="00B460B5"/>
    <w:rsid w:val="00B46519"/>
    <w:rsid w:val="00B476D2"/>
    <w:rsid w:val="00B47849"/>
    <w:rsid w:val="00B47A45"/>
    <w:rsid w:val="00B47F4C"/>
    <w:rsid w:val="00B50032"/>
    <w:rsid w:val="00B50177"/>
    <w:rsid w:val="00B50958"/>
    <w:rsid w:val="00B50C4E"/>
    <w:rsid w:val="00B51526"/>
    <w:rsid w:val="00B52711"/>
    <w:rsid w:val="00B567D8"/>
    <w:rsid w:val="00B56872"/>
    <w:rsid w:val="00B5792D"/>
    <w:rsid w:val="00B60F6F"/>
    <w:rsid w:val="00B61A52"/>
    <w:rsid w:val="00B6230B"/>
    <w:rsid w:val="00B628E8"/>
    <w:rsid w:val="00B62AF2"/>
    <w:rsid w:val="00B63C3C"/>
    <w:rsid w:val="00B644BC"/>
    <w:rsid w:val="00B648BB"/>
    <w:rsid w:val="00B64DE4"/>
    <w:rsid w:val="00B64EAE"/>
    <w:rsid w:val="00B65561"/>
    <w:rsid w:val="00B676B8"/>
    <w:rsid w:val="00B70005"/>
    <w:rsid w:val="00B70124"/>
    <w:rsid w:val="00B70250"/>
    <w:rsid w:val="00B70326"/>
    <w:rsid w:val="00B70C9E"/>
    <w:rsid w:val="00B70F85"/>
    <w:rsid w:val="00B71222"/>
    <w:rsid w:val="00B7174A"/>
    <w:rsid w:val="00B73422"/>
    <w:rsid w:val="00B7358B"/>
    <w:rsid w:val="00B7388C"/>
    <w:rsid w:val="00B73E0D"/>
    <w:rsid w:val="00B74856"/>
    <w:rsid w:val="00B7521F"/>
    <w:rsid w:val="00B816F9"/>
    <w:rsid w:val="00B81B37"/>
    <w:rsid w:val="00B81BF7"/>
    <w:rsid w:val="00B830A1"/>
    <w:rsid w:val="00B83160"/>
    <w:rsid w:val="00B8365B"/>
    <w:rsid w:val="00B83705"/>
    <w:rsid w:val="00B83CA0"/>
    <w:rsid w:val="00B84243"/>
    <w:rsid w:val="00B8505F"/>
    <w:rsid w:val="00B85C34"/>
    <w:rsid w:val="00B86CCD"/>
    <w:rsid w:val="00B876C0"/>
    <w:rsid w:val="00B877B2"/>
    <w:rsid w:val="00B87806"/>
    <w:rsid w:val="00B90763"/>
    <w:rsid w:val="00B92B09"/>
    <w:rsid w:val="00B93884"/>
    <w:rsid w:val="00B93D53"/>
    <w:rsid w:val="00B94405"/>
    <w:rsid w:val="00B94A65"/>
    <w:rsid w:val="00B94ADF"/>
    <w:rsid w:val="00B94FB4"/>
    <w:rsid w:val="00B95C42"/>
    <w:rsid w:val="00B95D2D"/>
    <w:rsid w:val="00B9607C"/>
    <w:rsid w:val="00B9631B"/>
    <w:rsid w:val="00B96564"/>
    <w:rsid w:val="00B9676C"/>
    <w:rsid w:val="00B96A82"/>
    <w:rsid w:val="00BA090C"/>
    <w:rsid w:val="00BA0966"/>
    <w:rsid w:val="00BA0F2F"/>
    <w:rsid w:val="00BA127F"/>
    <w:rsid w:val="00BA28F3"/>
    <w:rsid w:val="00BA379F"/>
    <w:rsid w:val="00BA3F23"/>
    <w:rsid w:val="00BA6777"/>
    <w:rsid w:val="00BA6812"/>
    <w:rsid w:val="00BB0214"/>
    <w:rsid w:val="00BB0A58"/>
    <w:rsid w:val="00BB0E3B"/>
    <w:rsid w:val="00BB2950"/>
    <w:rsid w:val="00BB2A98"/>
    <w:rsid w:val="00BB3AB5"/>
    <w:rsid w:val="00BB3DA8"/>
    <w:rsid w:val="00BB407D"/>
    <w:rsid w:val="00BB498B"/>
    <w:rsid w:val="00BB5176"/>
    <w:rsid w:val="00BB5283"/>
    <w:rsid w:val="00BB5846"/>
    <w:rsid w:val="00BB5A84"/>
    <w:rsid w:val="00BB6D23"/>
    <w:rsid w:val="00BB721D"/>
    <w:rsid w:val="00BB7455"/>
    <w:rsid w:val="00BC20C8"/>
    <w:rsid w:val="00BC2C65"/>
    <w:rsid w:val="00BC3472"/>
    <w:rsid w:val="00BC3CAB"/>
    <w:rsid w:val="00BC3F11"/>
    <w:rsid w:val="00BC42CE"/>
    <w:rsid w:val="00BC6702"/>
    <w:rsid w:val="00BC76B4"/>
    <w:rsid w:val="00BC76E6"/>
    <w:rsid w:val="00BD172B"/>
    <w:rsid w:val="00BD210E"/>
    <w:rsid w:val="00BD29B8"/>
    <w:rsid w:val="00BD2CB2"/>
    <w:rsid w:val="00BD34C3"/>
    <w:rsid w:val="00BD40CB"/>
    <w:rsid w:val="00BD4954"/>
    <w:rsid w:val="00BD498E"/>
    <w:rsid w:val="00BD78D5"/>
    <w:rsid w:val="00BD7A64"/>
    <w:rsid w:val="00BE0007"/>
    <w:rsid w:val="00BE0659"/>
    <w:rsid w:val="00BE0A68"/>
    <w:rsid w:val="00BE2D7E"/>
    <w:rsid w:val="00BE537C"/>
    <w:rsid w:val="00BE64AD"/>
    <w:rsid w:val="00BE674A"/>
    <w:rsid w:val="00BE6D85"/>
    <w:rsid w:val="00BE70B3"/>
    <w:rsid w:val="00BE7412"/>
    <w:rsid w:val="00BE7D58"/>
    <w:rsid w:val="00BF0270"/>
    <w:rsid w:val="00BF0E14"/>
    <w:rsid w:val="00BF164E"/>
    <w:rsid w:val="00BF1A33"/>
    <w:rsid w:val="00BF1EB6"/>
    <w:rsid w:val="00BF23C3"/>
    <w:rsid w:val="00BF3266"/>
    <w:rsid w:val="00BF35D9"/>
    <w:rsid w:val="00BF3D35"/>
    <w:rsid w:val="00BF598C"/>
    <w:rsid w:val="00BF5F61"/>
    <w:rsid w:val="00BF6D42"/>
    <w:rsid w:val="00BF6F79"/>
    <w:rsid w:val="00BF73FE"/>
    <w:rsid w:val="00BF7ED9"/>
    <w:rsid w:val="00C00AA5"/>
    <w:rsid w:val="00C00B3B"/>
    <w:rsid w:val="00C02450"/>
    <w:rsid w:val="00C038D0"/>
    <w:rsid w:val="00C03C4C"/>
    <w:rsid w:val="00C04CE2"/>
    <w:rsid w:val="00C066AF"/>
    <w:rsid w:val="00C06CE4"/>
    <w:rsid w:val="00C072CE"/>
    <w:rsid w:val="00C07DEC"/>
    <w:rsid w:val="00C07F1C"/>
    <w:rsid w:val="00C1005F"/>
    <w:rsid w:val="00C107D2"/>
    <w:rsid w:val="00C11EAA"/>
    <w:rsid w:val="00C11F05"/>
    <w:rsid w:val="00C11F2F"/>
    <w:rsid w:val="00C12D0A"/>
    <w:rsid w:val="00C13681"/>
    <w:rsid w:val="00C13DA0"/>
    <w:rsid w:val="00C14E79"/>
    <w:rsid w:val="00C15DEF"/>
    <w:rsid w:val="00C17B32"/>
    <w:rsid w:val="00C200C8"/>
    <w:rsid w:val="00C201D2"/>
    <w:rsid w:val="00C20E76"/>
    <w:rsid w:val="00C23647"/>
    <w:rsid w:val="00C23E3B"/>
    <w:rsid w:val="00C2476F"/>
    <w:rsid w:val="00C24BB1"/>
    <w:rsid w:val="00C258EF"/>
    <w:rsid w:val="00C25C72"/>
    <w:rsid w:val="00C2641F"/>
    <w:rsid w:val="00C26E37"/>
    <w:rsid w:val="00C276B1"/>
    <w:rsid w:val="00C27F9A"/>
    <w:rsid w:val="00C3009E"/>
    <w:rsid w:val="00C3155F"/>
    <w:rsid w:val="00C31E81"/>
    <w:rsid w:val="00C3239B"/>
    <w:rsid w:val="00C3249E"/>
    <w:rsid w:val="00C3303C"/>
    <w:rsid w:val="00C3324A"/>
    <w:rsid w:val="00C33F82"/>
    <w:rsid w:val="00C342CD"/>
    <w:rsid w:val="00C34390"/>
    <w:rsid w:val="00C34C59"/>
    <w:rsid w:val="00C359BA"/>
    <w:rsid w:val="00C36775"/>
    <w:rsid w:val="00C37004"/>
    <w:rsid w:val="00C37BFF"/>
    <w:rsid w:val="00C404BB"/>
    <w:rsid w:val="00C40689"/>
    <w:rsid w:val="00C40D38"/>
    <w:rsid w:val="00C40EFA"/>
    <w:rsid w:val="00C41058"/>
    <w:rsid w:val="00C41D55"/>
    <w:rsid w:val="00C42089"/>
    <w:rsid w:val="00C428E6"/>
    <w:rsid w:val="00C42D37"/>
    <w:rsid w:val="00C431A3"/>
    <w:rsid w:val="00C43DF8"/>
    <w:rsid w:val="00C44BE3"/>
    <w:rsid w:val="00C44C1D"/>
    <w:rsid w:val="00C450A9"/>
    <w:rsid w:val="00C45903"/>
    <w:rsid w:val="00C46399"/>
    <w:rsid w:val="00C46D0E"/>
    <w:rsid w:val="00C4749C"/>
    <w:rsid w:val="00C47E7C"/>
    <w:rsid w:val="00C50527"/>
    <w:rsid w:val="00C50D03"/>
    <w:rsid w:val="00C5146A"/>
    <w:rsid w:val="00C531D5"/>
    <w:rsid w:val="00C53EF2"/>
    <w:rsid w:val="00C552B1"/>
    <w:rsid w:val="00C55846"/>
    <w:rsid w:val="00C618E7"/>
    <w:rsid w:val="00C61EA2"/>
    <w:rsid w:val="00C6305B"/>
    <w:rsid w:val="00C63109"/>
    <w:rsid w:val="00C63C1F"/>
    <w:rsid w:val="00C63C6E"/>
    <w:rsid w:val="00C63ED7"/>
    <w:rsid w:val="00C65397"/>
    <w:rsid w:val="00C65A5F"/>
    <w:rsid w:val="00C66319"/>
    <w:rsid w:val="00C66C6C"/>
    <w:rsid w:val="00C705DA"/>
    <w:rsid w:val="00C715F0"/>
    <w:rsid w:val="00C7170E"/>
    <w:rsid w:val="00C7356F"/>
    <w:rsid w:val="00C739D5"/>
    <w:rsid w:val="00C74126"/>
    <w:rsid w:val="00C74C39"/>
    <w:rsid w:val="00C74DA9"/>
    <w:rsid w:val="00C74E8D"/>
    <w:rsid w:val="00C753BA"/>
    <w:rsid w:val="00C7638D"/>
    <w:rsid w:val="00C763EA"/>
    <w:rsid w:val="00C763ED"/>
    <w:rsid w:val="00C77417"/>
    <w:rsid w:val="00C7749B"/>
    <w:rsid w:val="00C8049D"/>
    <w:rsid w:val="00C80772"/>
    <w:rsid w:val="00C80C3E"/>
    <w:rsid w:val="00C81B4E"/>
    <w:rsid w:val="00C8277A"/>
    <w:rsid w:val="00C82F5D"/>
    <w:rsid w:val="00C83A84"/>
    <w:rsid w:val="00C84974"/>
    <w:rsid w:val="00C84E09"/>
    <w:rsid w:val="00C854F5"/>
    <w:rsid w:val="00C85C30"/>
    <w:rsid w:val="00C85E77"/>
    <w:rsid w:val="00C86D90"/>
    <w:rsid w:val="00C872C5"/>
    <w:rsid w:val="00C8748F"/>
    <w:rsid w:val="00C87FB8"/>
    <w:rsid w:val="00C91347"/>
    <w:rsid w:val="00C91CF4"/>
    <w:rsid w:val="00C91E97"/>
    <w:rsid w:val="00C92123"/>
    <w:rsid w:val="00C93FD5"/>
    <w:rsid w:val="00C946DC"/>
    <w:rsid w:val="00C951B5"/>
    <w:rsid w:val="00C95596"/>
    <w:rsid w:val="00C95850"/>
    <w:rsid w:val="00C95B85"/>
    <w:rsid w:val="00C9622F"/>
    <w:rsid w:val="00C96C9E"/>
    <w:rsid w:val="00C97362"/>
    <w:rsid w:val="00C978F2"/>
    <w:rsid w:val="00C97F24"/>
    <w:rsid w:val="00C97F3F"/>
    <w:rsid w:val="00CA0B5E"/>
    <w:rsid w:val="00CA0F4F"/>
    <w:rsid w:val="00CA15D7"/>
    <w:rsid w:val="00CA2F21"/>
    <w:rsid w:val="00CA3214"/>
    <w:rsid w:val="00CA4336"/>
    <w:rsid w:val="00CA450E"/>
    <w:rsid w:val="00CA475B"/>
    <w:rsid w:val="00CA4819"/>
    <w:rsid w:val="00CA49A3"/>
    <w:rsid w:val="00CA600B"/>
    <w:rsid w:val="00CA709C"/>
    <w:rsid w:val="00CB1040"/>
    <w:rsid w:val="00CB14B7"/>
    <w:rsid w:val="00CB1F59"/>
    <w:rsid w:val="00CB2844"/>
    <w:rsid w:val="00CB4589"/>
    <w:rsid w:val="00CB54F0"/>
    <w:rsid w:val="00CB60C9"/>
    <w:rsid w:val="00CB62C0"/>
    <w:rsid w:val="00CB6D24"/>
    <w:rsid w:val="00CB795F"/>
    <w:rsid w:val="00CB7D9F"/>
    <w:rsid w:val="00CC0486"/>
    <w:rsid w:val="00CC0B67"/>
    <w:rsid w:val="00CC12AE"/>
    <w:rsid w:val="00CC27A2"/>
    <w:rsid w:val="00CC28DA"/>
    <w:rsid w:val="00CC2A06"/>
    <w:rsid w:val="00CC36A5"/>
    <w:rsid w:val="00CC4867"/>
    <w:rsid w:val="00CC5AB0"/>
    <w:rsid w:val="00CC6371"/>
    <w:rsid w:val="00CC6AFF"/>
    <w:rsid w:val="00CC7ED8"/>
    <w:rsid w:val="00CC7F08"/>
    <w:rsid w:val="00CD12CE"/>
    <w:rsid w:val="00CD1BF3"/>
    <w:rsid w:val="00CD22EC"/>
    <w:rsid w:val="00CD3382"/>
    <w:rsid w:val="00CD4C02"/>
    <w:rsid w:val="00CD54B0"/>
    <w:rsid w:val="00CD6D33"/>
    <w:rsid w:val="00CD73EB"/>
    <w:rsid w:val="00CE0085"/>
    <w:rsid w:val="00CE0472"/>
    <w:rsid w:val="00CE179F"/>
    <w:rsid w:val="00CE2B6C"/>
    <w:rsid w:val="00CE2C1A"/>
    <w:rsid w:val="00CE3F53"/>
    <w:rsid w:val="00CE4134"/>
    <w:rsid w:val="00CE4BBC"/>
    <w:rsid w:val="00CE4D05"/>
    <w:rsid w:val="00CE542C"/>
    <w:rsid w:val="00CE558E"/>
    <w:rsid w:val="00CE5774"/>
    <w:rsid w:val="00CE71CF"/>
    <w:rsid w:val="00CE7933"/>
    <w:rsid w:val="00CF0538"/>
    <w:rsid w:val="00CF164C"/>
    <w:rsid w:val="00CF2C6F"/>
    <w:rsid w:val="00CF4131"/>
    <w:rsid w:val="00CF5085"/>
    <w:rsid w:val="00CF5889"/>
    <w:rsid w:val="00CF5FDC"/>
    <w:rsid w:val="00CF5FED"/>
    <w:rsid w:val="00CF6108"/>
    <w:rsid w:val="00CF6DDB"/>
    <w:rsid w:val="00D00382"/>
    <w:rsid w:val="00D006C6"/>
    <w:rsid w:val="00D0086A"/>
    <w:rsid w:val="00D02C8E"/>
    <w:rsid w:val="00D02EF1"/>
    <w:rsid w:val="00D04C5C"/>
    <w:rsid w:val="00D05719"/>
    <w:rsid w:val="00D0620C"/>
    <w:rsid w:val="00D079A9"/>
    <w:rsid w:val="00D07A8D"/>
    <w:rsid w:val="00D1024D"/>
    <w:rsid w:val="00D118CE"/>
    <w:rsid w:val="00D11F5B"/>
    <w:rsid w:val="00D120BF"/>
    <w:rsid w:val="00D143EC"/>
    <w:rsid w:val="00D1469B"/>
    <w:rsid w:val="00D15703"/>
    <w:rsid w:val="00D15792"/>
    <w:rsid w:val="00D15E52"/>
    <w:rsid w:val="00D1702D"/>
    <w:rsid w:val="00D1741D"/>
    <w:rsid w:val="00D174C3"/>
    <w:rsid w:val="00D17D15"/>
    <w:rsid w:val="00D17E55"/>
    <w:rsid w:val="00D17F96"/>
    <w:rsid w:val="00D2024C"/>
    <w:rsid w:val="00D2179B"/>
    <w:rsid w:val="00D21F46"/>
    <w:rsid w:val="00D22699"/>
    <w:rsid w:val="00D2316C"/>
    <w:rsid w:val="00D232B7"/>
    <w:rsid w:val="00D23531"/>
    <w:rsid w:val="00D24D0C"/>
    <w:rsid w:val="00D24FF4"/>
    <w:rsid w:val="00D27F65"/>
    <w:rsid w:val="00D30A84"/>
    <w:rsid w:val="00D30CBA"/>
    <w:rsid w:val="00D323B5"/>
    <w:rsid w:val="00D327B7"/>
    <w:rsid w:val="00D3305F"/>
    <w:rsid w:val="00D331EE"/>
    <w:rsid w:val="00D33486"/>
    <w:rsid w:val="00D34309"/>
    <w:rsid w:val="00D3564F"/>
    <w:rsid w:val="00D3593F"/>
    <w:rsid w:val="00D36333"/>
    <w:rsid w:val="00D37A7B"/>
    <w:rsid w:val="00D37C36"/>
    <w:rsid w:val="00D402E1"/>
    <w:rsid w:val="00D41691"/>
    <w:rsid w:val="00D4187B"/>
    <w:rsid w:val="00D426C6"/>
    <w:rsid w:val="00D42777"/>
    <w:rsid w:val="00D428B3"/>
    <w:rsid w:val="00D42955"/>
    <w:rsid w:val="00D43E58"/>
    <w:rsid w:val="00D44150"/>
    <w:rsid w:val="00D44D21"/>
    <w:rsid w:val="00D456C4"/>
    <w:rsid w:val="00D459CF"/>
    <w:rsid w:val="00D46A7B"/>
    <w:rsid w:val="00D46D74"/>
    <w:rsid w:val="00D5073A"/>
    <w:rsid w:val="00D50C9B"/>
    <w:rsid w:val="00D51CAC"/>
    <w:rsid w:val="00D52088"/>
    <w:rsid w:val="00D549BF"/>
    <w:rsid w:val="00D54FA0"/>
    <w:rsid w:val="00D551E1"/>
    <w:rsid w:val="00D55763"/>
    <w:rsid w:val="00D5708A"/>
    <w:rsid w:val="00D576B5"/>
    <w:rsid w:val="00D57849"/>
    <w:rsid w:val="00D579C5"/>
    <w:rsid w:val="00D60439"/>
    <w:rsid w:val="00D606C2"/>
    <w:rsid w:val="00D6199A"/>
    <w:rsid w:val="00D61BE4"/>
    <w:rsid w:val="00D62AB4"/>
    <w:rsid w:val="00D634BA"/>
    <w:rsid w:val="00D6392B"/>
    <w:rsid w:val="00D64F82"/>
    <w:rsid w:val="00D65575"/>
    <w:rsid w:val="00D6661E"/>
    <w:rsid w:val="00D6714F"/>
    <w:rsid w:val="00D70BF5"/>
    <w:rsid w:val="00D70EB2"/>
    <w:rsid w:val="00D71530"/>
    <w:rsid w:val="00D715EF"/>
    <w:rsid w:val="00D720BB"/>
    <w:rsid w:val="00D7285C"/>
    <w:rsid w:val="00D729FE"/>
    <w:rsid w:val="00D73A5B"/>
    <w:rsid w:val="00D74365"/>
    <w:rsid w:val="00D75924"/>
    <w:rsid w:val="00D75DD0"/>
    <w:rsid w:val="00D75F1A"/>
    <w:rsid w:val="00D7602E"/>
    <w:rsid w:val="00D76996"/>
    <w:rsid w:val="00D779B6"/>
    <w:rsid w:val="00D77C45"/>
    <w:rsid w:val="00D81071"/>
    <w:rsid w:val="00D821E0"/>
    <w:rsid w:val="00D82879"/>
    <w:rsid w:val="00D82A45"/>
    <w:rsid w:val="00D82E0C"/>
    <w:rsid w:val="00D8337D"/>
    <w:rsid w:val="00D835A8"/>
    <w:rsid w:val="00D83B82"/>
    <w:rsid w:val="00D85D3F"/>
    <w:rsid w:val="00D86FFD"/>
    <w:rsid w:val="00D87479"/>
    <w:rsid w:val="00D9150D"/>
    <w:rsid w:val="00D9184A"/>
    <w:rsid w:val="00D9250A"/>
    <w:rsid w:val="00D92B42"/>
    <w:rsid w:val="00D92E34"/>
    <w:rsid w:val="00D93254"/>
    <w:rsid w:val="00D952A8"/>
    <w:rsid w:val="00D9575D"/>
    <w:rsid w:val="00D961F2"/>
    <w:rsid w:val="00D97687"/>
    <w:rsid w:val="00D9775E"/>
    <w:rsid w:val="00DA0838"/>
    <w:rsid w:val="00DA1610"/>
    <w:rsid w:val="00DA1A11"/>
    <w:rsid w:val="00DA1BEF"/>
    <w:rsid w:val="00DA1F4B"/>
    <w:rsid w:val="00DA28A8"/>
    <w:rsid w:val="00DA3143"/>
    <w:rsid w:val="00DA33B9"/>
    <w:rsid w:val="00DA4109"/>
    <w:rsid w:val="00DA485F"/>
    <w:rsid w:val="00DA4EAE"/>
    <w:rsid w:val="00DA4FEF"/>
    <w:rsid w:val="00DA55D4"/>
    <w:rsid w:val="00DA6854"/>
    <w:rsid w:val="00DA697E"/>
    <w:rsid w:val="00DA6D4F"/>
    <w:rsid w:val="00DA6FB4"/>
    <w:rsid w:val="00DA7AC3"/>
    <w:rsid w:val="00DA7B65"/>
    <w:rsid w:val="00DB08CE"/>
    <w:rsid w:val="00DB10A8"/>
    <w:rsid w:val="00DB22B0"/>
    <w:rsid w:val="00DB4644"/>
    <w:rsid w:val="00DB4C98"/>
    <w:rsid w:val="00DB56F1"/>
    <w:rsid w:val="00DB582A"/>
    <w:rsid w:val="00DB584E"/>
    <w:rsid w:val="00DB69D9"/>
    <w:rsid w:val="00DB6FDB"/>
    <w:rsid w:val="00DB7D23"/>
    <w:rsid w:val="00DC0F9A"/>
    <w:rsid w:val="00DC13D0"/>
    <w:rsid w:val="00DC16AF"/>
    <w:rsid w:val="00DC1B09"/>
    <w:rsid w:val="00DC3139"/>
    <w:rsid w:val="00DC32EC"/>
    <w:rsid w:val="00DC4099"/>
    <w:rsid w:val="00DC4614"/>
    <w:rsid w:val="00DC4790"/>
    <w:rsid w:val="00DC5068"/>
    <w:rsid w:val="00DC6737"/>
    <w:rsid w:val="00DD002F"/>
    <w:rsid w:val="00DD051E"/>
    <w:rsid w:val="00DD05B3"/>
    <w:rsid w:val="00DD0BA0"/>
    <w:rsid w:val="00DD1046"/>
    <w:rsid w:val="00DD2A8D"/>
    <w:rsid w:val="00DD45C8"/>
    <w:rsid w:val="00DD53A9"/>
    <w:rsid w:val="00DD5856"/>
    <w:rsid w:val="00DD65F3"/>
    <w:rsid w:val="00DD692B"/>
    <w:rsid w:val="00DD7B40"/>
    <w:rsid w:val="00DE117E"/>
    <w:rsid w:val="00DE1987"/>
    <w:rsid w:val="00DE1EF9"/>
    <w:rsid w:val="00DE2A71"/>
    <w:rsid w:val="00DE2AC1"/>
    <w:rsid w:val="00DE2BA2"/>
    <w:rsid w:val="00DE36CF"/>
    <w:rsid w:val="00DE42BA"/>
    <w:rsid w:val="00DE50C2"/>
    <w:rsid w:val="00DE566F"/>
    <w:rsid w:val="00DE5DF9"/>
    <w:rsid w:val="00DE5E0C"/>
    <w:rsid w:val="00DE75DE"/>
    <w:rsid w:val="00DF0728"/>
    <w:rsid w:val="00DF135E"/>
    <w:rsid w:val="00DF1ADC"/>
    <w:rsid w:val="00DF2249"/>
    <w:rsid w:val="00DF2347"/>
    <w:rsid w:val="00DF2C5D"/>
    <w:rsid w:val="00DF30D5"/>
    <w:rsid w:val="00DF363A"/>
    <w:rsid w:val="00DF4173"/>
    <w:rsid w:val="00DF4488"/>
    <w:rsid w:val="00DF53BC"/>
    <w:rsid w:val="00DF53E8"/>
    <w:rsid w:val="00DF61C8"/>
    <w:rsid w:val="00DF6323"/>
    <w:rsid w:val="00DF6B26"/>
    <w:rsid w:val="00DF744E"/>
    <w:rsid w:val="00E00258"/>
    <w:rsid w:val="00E0068F"/>
    <w:rsid w:val="00E01B7C"/>
    <w:rsid w:val="00E0207C"/>
    <w:rsid w:val="00E0225E"/>
    <w:rsid w:val="00E0355E"/>
    <w:rsid w:val="00E04725"/>
    <w:rsid w:val="00E054BA"/>
    <w:rsid w:val="00E05967"/>
    <w:rsid w:val="00E06F9F"/>
    <w:rsid w:val="00E1099E"/>
    <w:rsid w:val="00E10D3F"/>
    <w:rsid w:val="00E10E65"/>
    <w:rsid w:val="00E110E4"/>
    <w:rsid w:val="00E1129E"/>
    <w:rsid w:val="00E120DB"/>
    <w:rsid w:val="00E121DD"/>
    <w:rsid w:val="00E12264"/>
    <w:rsid w:val="00E12A97"/>
    <w:rsid w:val="00E15A7E"/>
    <w:rsid w:val="00E160CA"/>
    <w:rsid w:val="00E1675C"/>
    <w:rsid w:val="00E16977"/>
    <w:rsid w:val="00E16BE1"/>
    <w:rsid w:val="00E17DAB"/>
    <w:rsid w:val="00E17DD5"/>
    <w:rsid w:val="00E20209"/>
    <w:rsid w:val="00E20628"/>
    <w:rsid w:val="00E2103B"/>
    <w:rsid w:val="00E2116A"/>
    <w:rsid w:val="00E223BE"/>
    <w:rsid w:val="00E22A07"/>
    <w:rsid w:val="00E22B36"/>
    <w:rsid w:val="00E22D9E"/>
    <w:rsid w:val="00E235C3"/>
    <w:rsid w:val="00E247D5"/>
    <w:rsid w:val="00E2528C"/>
    <w:rsid w:val="00E253F7"/>
    <w:rsid w:val="00E26003"/>
    <w:rsid w:val="00E26660"/>
    <w:rsid w:val="00E273FF"/>
    <w:rsid w:val="00E27B91"/>
    <w:rsid w:val="00E306E7"/>
    <w:rsid w:val="00E3087C"/>
    <w:rsid w:val="00E30E1D"/>
    <w:rsid w:val="00E30FE2"/>
    <w:rsid w:val="00E335C8"/>
    <w:rsid w:val="00E3392B"/>
    <w:rsid w:val="00E358F6"/>
    <w:rsid w:val="00E3664F"/>
    <w:rsid w:val="00E37BA9"/>
    <w:rsid w:val="00E37F9B"/>
    <w:rsid w:val="00E42411"/>
    <w:rsid w:val="00E42C8A"/>
    <w:rsid w:val="00E436F2"/>
    <w:rsid w:val="00E43965"/>
    <w:rsid w:val="00E43E3B"/>
    <w:rsid w:val="00E4452C"/>
    <w:rsid w:val="00E4470E"/>
    <w:rsid w:val="00E4582E"/>
    <w:rsid w:val="00E46611"/>
    <w:rsid w:val="00E46AB8"/>
    <w:rsid w:val="00E473B3"/>
    <w:rsid w:val="00E479CE"/>
    <w:rsid w:val="00E47C23"/>
    <w:rsid w:val="00E505CE"/>
    <w:rsid w:val="00E50E8D"/>
    <w:rsid w:val="00E51F1C"/>
    <w:rsid w:val="00E52243"/>
    <w:rsid w:val="00E53F0D"/>
    <w:rsid w:val="00E53F1A"/>
    <w:rsid w:val="00E54185"/>
    <w:rsid w:val="00E5444F"/>
    <w:rsid w:val="00E55150"/>
    <w:rsid w:val="00E55568"/>
    <w:rsid w:val="00E55ABA"/>
    <w:rsid w:val="00E562C9"/>
    <w:rsid w:val="00E56A6D"/>
    <w:rsid w:val="00E5718C"/>
    <w:rsid w:val="00E576C6"/>
    <w:rsid w:val="00E57CA7"/>
    <w:rsid w:val="00E61C5E"/>
    <w:rsid w:val="00E61EC0"/>
    <w:rsid w:val="00E6210D"/>
    <w:rsid w:val="00E62415"/>
    <w:rsid w:val="00E6265C"/>
    <w:rsid w:val="00E62B36"/>
    <w:rsid w:val="00E62DF5"/>
    <w:rsid w:val="00E634F7"/>
    <w:rsid w:val="00E63BDC"/>
    <w:rsid w:val="00E647C8"/>
    <w:rsid w:val="00E64AA9"/>
    <w:rsid w:val="00E64EFB"/>
    <w:rsid w:val="00E671D6"/>
    <w:rsid w:val="00E67BAA"/>
    <w:rsid w:val="00E67C82"/>
    <w:rsid w:val="00E67E53"/>
    <w:rsid w:val="00E702CE"/>
    <w:rsid w:val="00E70F0A"/>
    <w:rsid w:val="00E71844"/>
    <w:rsid w:val="00E71AAA"/>
    <w:rsid w:val="00E7204B"/>
    <w:rsid w:val="00E721C2"/>
    <w:rsid w:val="00E727E1"/>
    <w:rsid w:val="00E72B3A"/>
    <w:rsid w:val="00E731D7"/>
    <w:rsid w:val="00E7371B"/>
    <w:rsid w:val="00E73765"/>
    <w:rsid w:val="00E74408"/>
    <w:rsid w:val="00E74ACE"/>
    <w:rsid w:val="00E7543A"/>
    <w:rsid w:val="00E75A0F"/>
    <w:rsid w:val="00E77C06"/>
    <w:rsid w:val="00E77FF3"/>
    <w:rsid w:val="00E831F7"/>
    <w:rsid w:val="00E83210"/>
    <w:rsid w:val="00E835D7"/>
    <w:rsid w:val="00E8449E"/>
    <w:rsid w:val="00E8504A"/>
    <w:rsid w:val="00E855E0"/>
    <w:rsid w:val="00E860B7"/>
    <w:rsid w:val="00E8733A"/>
    <w:rsid w:val="00E8768D"/>
    <w:rsid w:val="00E8780D"/>
    <w:rsid w:val="00E8784B"/>
    <w:rsid w:val="00E90803"/>
    <w:rsid w:val="00E90D95"/>
    <w:rsid w:val="00E91117"/>
    <w:rsid w:val="00E9221F"/>
    <w:rsid w:val="00E92644"/>
    <w:rsid w:val="00E93B81"/>
    <w:rsid w:val="00E93C24"/>
    <w:rsid w:val="00E94499"/>
    <w:rsid w:val="00E95DB8"/>
    <w:rsid w:val="00E95E3B"/>
    <w:rsid w:val="00E95E6A"/>
    <w:rsid w:val="00E96314"/>
    <w:rsid w:val="00E97527"/>
    <w:rsid w:val="00EA05E6"/>
    <w:rsid w:val="00EA086C"/>
    <w:rsid w:val="00EA0FF4"/>
    <w:rsid w:val="00EA186C"/>
    <w:rsid w:val="00EA2FE1"/>
    <w:rsid w:val="00EA46A8"/>
    <w:rsid w:val="00EA5A9E"/>
    <w:rsid w:val="00EA6556"/>
    <w:rsid w:val="00EA6842"/>
    <w:rsid w:val="00EA6D25"/>
    <w:rsid w:val="00EB04F6"/>
    <w:rsid w:val="00EB12D3"/>
    <w:rsid w:val="00EB154A"/>
    <w:rsid w:val="00EB1B80"/>
    <w:rsid w:val="00EB3427"/>
    <w:rsid w:val="00EB3E39"/>
    <w:rsid w:val="00EB4C26"/>
    <w:rsid w:val="00EB5127"/>
    <w:rsid w:val="00EB537A"/>
    <w:rsid w:val="00EB53F2"/>
    <w:rsid w:val="00EB548C"/>
    <w:rsid w:val="00EB7803"/>
    <w:rsid w:val="00EC0295"/>
    <w:rsid w:val="00EC0454"/>
    <w:rsid w:val="00EC19FA"/>
    <w:rsid w:val="00EC1F39"/>
    <w:rsid w:val="00EC22C3"/>
    <w:rsid w:val="00EC2948"/>
    <w:rsid w:val="00EC4613"/>
    <w:rsid w:val="00EC5F86"/>
    <w:rsid w:val="00EC6953"/>
    <w:rsid w:val="00EC70E5"/>
    <w:rsid w:val="00ED0940"/>
    <w:rsid w:val="00ED1967"/>
    <w:rsid w:val="00ED25CE"/>
    <w:rsid w:val="00ED3A55"/>
    <w:rsid w:val="00ED3B06"/>
    <w:rsid w:val="00ED402C"/>
    <w:rsid w:val="00ED4BF2"/>
    <w:rsid w:val="00ED511B"/>
    <w:rsid w:val="00ED61E7"/>
    <w:rsid w:val="00ED733E"/>
    <w:rsid w:val="00ED7DD7"/>
    <w:rsid w:val="00EE01FA"/>
    <w:rsid w:val="00EE0ACF"/>
    <w:rsid w:val="00EE1890"/>
    <w:rsid w:val="00EE22E3"/>
    <w:rsid w:val="00EE2B10"/>
    <w:rsid w:val="00EE2B7C"/>
    <w:rsid w:val="00EE2ED0"/>
    <w:rsid w:val="00EE37DE"/>
    <w:rsid w:val="00EE4659"/>
    <w:rsid w:val="00EE61AF"/>
    <w:rsid w:val="00EE67C5"/>
    <w:rsid w:val="00EF10AA"/>
    <w:rsid w:val="00EF18B0"/>
    <w:rsid w:val="00EF18EF"/>
    <w:rsid w:val="00EF3DD1"/>
    <w:rsid w:val="00EF3E32"/>
    <w:rsid w:val="00EF4031"/>
    <w:rsid w:val="00EF45CE"/>
    <w:rsid w:val="00EF4C71"/>
    <w:rsid w:val="00EF59B6"/>
    <w:rsid w:val="00EF5C5E"/>
    <w:rsid w:val="00EF5E90"/>
    <w:rsid w:val="00EF695C"/>
    <w:rsid w:val="00EF743A"/>
    <w:rsid w:val="00EF774D"/>
    <w:rsid w:val="00F00984"/>
    <w:rsid w:val="00F01FF7"/>
    <w:rsid w:val="00F047C7"/>
    <w:rsid w:val="00F05012"/>
    <w:rsid w:val="00F053DE"/>
    <w:rsid w:val="00F05908"/>
    <w:rsid w:val="00F059F0"/>
    <w:rsid w:val="00F06C4E"/>
    <w:rsid w:val="00F07A01"/>
    <w:rsid w:val="00F10305"/>
    <w:rsid w:val="00F1076B"/>
    <w:rsid w:val="00F10D71"/>
    <w:rsid w:val="00F10F88"/>
    <w:rsid w:val="00F11B9B"/>
    <w:rsid w:val="00F11D20"/>
    <w:rsid w:val="00F120D0"/>
    <w:rsid w:val="00F13016"/>
    <w:rsid w:val="00F1363A"/>
    <w:rsid w:val="00F13E0D"/>
    <w:rsid w:val="00F1472B"/>
    <w:rsid w:val="00F15DFF"/>
    <w:rsid w:val="00F175CA"/>
    <w:rsid w:val="00F20B6E"/>
    <w:rsid w:val="00F20FF5"/>
    <w:rsid w:val="00F248EC"/>
    <w:rsid w:val="00F24BCF"/>
    <w:rsid w:val="00F24C64"/>
    <w:rsid w:val="00F25792"/>
    <w:rsid w:val="00F2639B"/>
    <w:rsid w:val="00F26CA5"/>
    <w:rsid w:val="00F271F4"/>
    <w:rsid w:val="00F276EE"/>
    <w:rsid w:val="00F312B4"/>
    <w:rsid w:val="00F31E81"/>
    <w:rsid w:val="00F3255F"/>
    <w:rsid w:val="00F32849"/>
    <w:rsid w:val="00F33271"/>
    <w:rsid w:val="00F33BFE"/>
    <w:rsid w:val="00F33D22"/>
    <w:rsid w:val="00F346CA"/>
    <w:rsid w:val="00F3510E"/>
    <w:rsid w:val="00F35B8D"/>
    <w:rsid w:val="00F35EC9"/>
    <w:rsid w:val="00F373DC"/>
    <w:rsid w:val="00F37813"/>
    <w:rsid w:val="00F37EF3"/>
    <w:rsid w:val="00F403D6"/>
    <w:rsid w:val="00F40782"/>
    <w:rsid w:val="00F40A46"/>
    <w:rsid w:val="00F422EF"/>
    <w:rsid w:val="00F42894"/>
    <w:rsid w:val="00F43E26"/>
    <w:rsid w:val="00F445EC"/>
    <w:rsid w:val="00F4532B"/>
    <w:rsid w:val="00F45CF2"/>
    <w:rsid w:val="00F4632C"/>
    <w:rsid w:val="00F46A69"/>
    <w:rsid w:val="00F470EA"/>
    <w:rsid w:val="00F478DC"/>
    <w:rsid w:val="00F47B25"/>
    <w:rsid w:val="00F47C29"/>
    <w:rsid w:val="00F5038E"/>
    <w:rsid w:val="00F506AE"/>
    <w:rsid w:val="00F51346"/>
    <w:rsid w:val="00F5235B"/>
    <w:rsid w:val="00F54027"/>
    <w:rsid w:val="00F54947"/>
    <w:rsid w:val="00F54F7B"/>
    <w:rsid w:val="00F55863"/>
    <w:rsid w:val="00F55CD7"/>
    <w:rsid w:val="00F560DC"/>
    <w:rsid w:val="00F56916"/>
    <w:rsid w:val="00F56AD0"/>
    <w:rsid w:val="00F56CB1"/>
    <w:rsid w:val="00F61956"/>
    <w:rsid w:val="00F61B48"/>
    <w:rsid w:val="00F626C2"/>
    <w:rsid w:val="00F630EF"/>
    <w:rsid w:val="00F631F4"/>
    <w:rsid w:val="00F63F85"/>
    <w:rsid w:val="00F6405C"/>
    <w:rsid w:val="00F65819"/>
    <w:rsid w:val="00F66865"/>
    <w:rsid w:val="00F67166"/>
    <w:rsid w:val="00F67A6B"/>
    <w:rsid w:val="00F70B5B"/>
    <w:rsid w:val="00F71634"/>
    <w:rsid w:val="00F71EF1"/>
    <w:rsid w:val="00F7244F"/>
    <w:rsid w:val="00F72962"/>
    <w:rsid w:val="00F72D23"/>
    <w:rsid w:val="00F7434B"/>
    <w:rsid w:val="00F743D8"/>
    <w:rsid w:val="00F748B1"/>
    <w:rsid w:val="00F74CB0"/>
    <w:rsid w:val="00F75495"/>
    <w:rsid w:val="00F7639C"/>
    <w:rsid w:val="00F765EB"/>
    <w:rsid w:val="00F76FE4"/>
    <w:rsid w:val="00F773A0"/>
    <w:rsid w:val="00F777EE"/>
    <w:rsid w:val="00F77A62"/>
    <w:rsid w:val="00F810B7"/>
    <w:rsid w:val="00F8141A"/>
    <w:rsid w:val="00F81CE4"/>
    <w:rsid w:val="00F821E7"/>
    <w:rsid w:val="00F822BA"/>
    <w:rsid w:val="00F836EA"/>
    <w:rsid w:val="00F83BFE"/>
    <w:rsid w:val="00F8673B"/>
    <w:rsid w:val="00F87522"/>
    <w:rsid w:val="00F87F2B"/>
    <w:rsid w:val="00F908F8"/>
    <w:rsid w:val="00F909F5"/>
    <w:rsid w:val="00F92260"/>
    <w:rsid w:val="00F92442"/>
    <w:rsid w:val="00F926C8"/>
    <w:rsid w:val="00F934D4"/>
    <w:rsid w:val="00F939DB"/>
    <w:rsid w:val="00F93B93"/>
    <w:rsid w:val="00F94E8C"/>
    <w:rsid w:val="00F95957"/>
    <w:rsid w:val="00F96452"/>
    <w:rsid w:val="00F964B0"/>
    <w:rsid w:val="00F973F0"/>
    <w:rsid w:val="00F978A6"/>
    <w:rsid w:val="00F97B52"/>
    <w:rsid w:val="00F97D2D"/>
    <w:rsid w:val="00FA05A4"/>
    <w:rsid w:val="00FA2F87"/>
    <w:rsid w:val="00FA30C2"/>
    <w:rsid w:val="00FA31D8"/>
    <w:rsid w:val="00FA63B6"/>
    <w:rsid w:val="00FA6958"/>
    <w:rsid w:val="00FA7135"/>
    <w:rsid w:val="00FA784C"/>
    <w:rsid w:val="00FB06E1"/>
    <w:rsid w:val="00FB0CA2"/>
    <w:rsid w:val="00FB1A25"/>
    <w:rsid w:val="00FB3D0D"/>
    <w:rsid w:val="00FB4A9E"/>
    <w:rsid w:val="00FB59C7"/>
    <w:rsid w:val="00FB66AB"/>
    <w:rsid w:val="00FB6912"/>
    <w:rsid w:val="00FC00DD"/>
    <w:rsid w:val="00FC0A72"/>
    <w:rsid w:val="00FC1247"/>
    <w:rsid w:val="00FC13E2"/>
    <w:rsid w:val="00FC14D9"/>
    <w:rsid w:val="00FC17E6"/>
    <w:rsid w:val="00FC1C66"/>
    <w:rsid w:val="00FC1DFE"/>
    <w:rsid w:val="00FC27D4"/>
    <w:rsid w:val="00FC35F5"/>
    <w:rsid w:val="00FC3CD4"/>
    <w:rsid w:val="00FC48E3"/>
    <w:rsid w:val="00FC4E2A"/>
    <w:rsid w:val="00FC619D"/>
    <w:rsid w:val="00FC6CF3"/>
    <w:rsid w:val="00FC6D32"/>
    <w:rsid w:val="00FC6F4F"/>
    <w:rsid w:val="00FD12C6"/>
    <w:rsid w:val="00FD1601"/>
    <w:rsid w:val="00FD1B30"/>
    <w:rsid w:val="00FD3D3E"/>
    <w:rsid w:val="00FD4688"/>
    <w:rsid w:val="00FD4975"/>
    <w:rsid w:val="00FD5051"/>
    <w:rsid w:val="00FD522D"/>
    <w:rsid w:val="00FD5958"/>
    <w:rsid w:val="00FD5A0F"/>
    <w:rsid w:val="00FD5E72"/>
    <w:rsid w:val="00FD6CAB"/>
    <w:rsid w:val="00FD756D"/>
    <w:rsid w:val="00FD7972"/>
    <w:rsid w:val="00FD79EA"/>
    <w:rsid w:val="00FD7DE9"/>
    <w:rsid w:val="00FE059A"/>
    <w:rsid w:val="00FE0767"/>
    <w:rsid w:val="00FE0781"/>
    <w:rsid w:val="00FE0841"/>
    <w:rsid w:val="00FE1091"/>
    <w:rsid w:val="00FE2022"/>
    <w:rsid w:val="00FE29AF"/>
    <w:rsid w:val="00FE395C"/>
    <w:rsid w:val="00FE3AD0"/>
    <w:rsid w:val="00FE3DE9"/>
    <w:rsid w:val="00FE54AE"/>
    <w:rsid w:val="00FE5CBF"/>
    <w:rsid w:val="00FE6176"/>
    <w:rsid w:val="00FF1997"/>
    <w:rsid w:val="00FF1E56"/>
    <w:rsid w:val="00FF2122"/>
    <w:rsid w:val="00FF2339"/>
    <w:rsid w:val="00FF2430"/>
    <w:rsid w:val="00FF26B9"/>
    <w:rsid w:val="00FF29E9"/>
    <w:rsid w:val="00FF33AA"/>
    <w:rsid w:val="00FF3613"/>
    <w:rsid w:val="00FF371D"/>
    <w:rsid w:val="00FF4B33"/>
    <w:rsid w:val="00FF53F1"/>
    <w:rsid w:val="00FF581C"/>
    <w:rsid w:val="00FF5F6F"/>
    <w:rsid w:val="00FF637D"/>
    <w:rsid w:val="00FF64CF"/>
    <w:rsid w:val="00FF6812"/>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1FF5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0"/>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8"/>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table" w:customStyle="1" w:styleId="TableGrid1">
    <w:name w:val="Table Grid1"/>
    <w:basedOn w:val="TableNormal"/>
    <w:next w:val="TableGrid"/>
    <w:uiPriority w:val="59"/>
    <w:rsid w:val="004559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6B38"/>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194FD7"/>
    <w:rPr>
      <w:rFonts w:ascii="Calibri" w:eastAsia="Calibri" w:hAnsi="Calibri"/>
      <w:sz w:val="22"/>
      <w:szCs w:val="22"/>
      <w:lang w:val="en-US" w:eastAsia="en-US"/>
    </w:rPr>
  </w:style>
  <w:style w:type="character" w:customStyle="1" w:styleId="normaltextrun">
    <w:name w:val="normaltextrun"/>
    <w:basedOn w:val="DefaultParagraphFont"/>
    <w:rsid w:val="007C31A6"/>
  </w:style>
  <w:style w:type="character" w:customStyle="1" w:styleId="spellingerror">
    <w:name w:val="spellingerror"/>
    <w:basedOn w:val="DefaultParagraphFont"/>
    <w:rsid w:val="007C31A6"/>
  </w:style>
  <w:style w:type="character" w:customStyle="1" w:styleId="eop">
    <w:name w:val="eop"/>
    <w:basedOn w:val="DefaultParagraphFont"/>
    <w:rsid w:val="007C31A6"/>
  </w:style>
  <w:style w:type="character" w:customStyle="1" w:styleId="CommentSubjectChar">
    <w:name w:val="Comment Subject Char"/>
    <w:basedOn w:val="CommentTextChar"/>
    <w:link w:val="CommentSubject"/>
    <w:semiHidden/>
    <w:rsid w:val="00B47A45"/>
    <w:rPr>
      <w:rFonts w:ascii="Book Antiqua" w:hAnsi="Book Antiqua"/>
      <w:b/>
      <w:bCs/>
      <w:lang w:val="x-none" w:eastAsia="x-none"/>
    </w:rPr>
  </w:style>
  <w:style w:type="paragraph" w:customStyle="1" w:styleId="TableParagraph">
    <w:name w:val="Table Paragraph"/>
    <w:basedOn w:val="Normal"/>
    <w:uiPriority w:val="1"/>
    <w:qFormat/>
    <w:rsid w:val="005D36C8"/>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771EDB"/>
    <w:pPr>
      <w:spacing w:after="360"/>
      <w:outlineLvl w:val="9"/>
    </w:pPr>
    <w:rPr>
      <w:rFonts w:ascii="Arial" w:hAnsi="Arial"/>
      <w:smallCaps/>
      <w:kern w:val="28"/>
      <w:sz w:val="34"/>
      <w:lang w:val="x-none"/>
    </w:rPr>
  </w:style>
  <w:style w:type="character" w:customStyle="1" w:styleId="FootnoteTextChar">
    <w:name w:val="Footnote Text Char"/>
    <w:basedOn w:val="DefaultParagraphFont"/>
    <w:link w:val="FootnoteText"/>
    <w:rsid w:val="00D8337D"/>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5094506">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0797022">
      <w:bodyDiv w:val="1"/>
      <w:marLeft w:val="0"/>
      <w:marRight w:val="0"/>
      <w:marTop w:val="0"/>
      <w:marBottom w:val="0"/>
      <w:divBdr>
        <w:top w:val="none" w:sz="0" w:space="0" w:color="auto"/>
        <w:left w:val="none" w:sz="0" w:space="0" w:color="auto"/>
        <w:bottom w:val="none" w:sz="0" w:space="0" w:color="auto"/>
        <w:right w:val="none" w:sz="0" w:space="0" w:color="auto"/>
      </w:divBdr>
    </w:div>
    <w:div w:id="27112831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221991">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1312220">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26592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556420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066223">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93830">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www.budget.gov.au" TargetMode="External"/><Relationship Id="rId117" Type="http://schemas.openxmlformats.org/officeDocument/2006/relationships/footer" Target="footer18.xml"/><Relationship Id="rId21" Type="http://schemas.openxmlformats.org/officeDocument/2006/relationships/footer" Target="footer2.xml"/><Relationship Id="rId42" Type="http://schemas.openxmlformats.org/officeDocument/2006/relationships/header" Target="header13.xml"/><Relationship Id="rId47" Type="http://schemas.openxmlformats.org/officeDocument/2006/relationships/footer" Target="footer10.xml"/><Relationship Id="rId63" Type="http://schemas.openxmlformats.org/officeDocument/2006/relationships/image" Target="media/image20.emf"/><Relationship Id="rId68" Type="http://schemas.openxmlformats.org/officeDocument/2006/relationships/image" Target="media/image25.emf"/><Relationship Id="rId84" Type="http://schemas.openxmlformats.org/officeDocument/2006/relationships/hyperlink" Target="https://www.transparency.gov.au/sites/default/files/reports/2021-22_corporate_plan_australian_electoral_commission.pdf" TargetMode="External"/><Relationship Id="rId89" Type="http://schemas.openxmlformats.org/officeDocument/2006/relationships/footer" Target="footer14.xml"/><Relationship Id="rId112" Type="http://schemas.openxmlformats.org/officeDocument/2006/relationships/header" Target="header23.xml"/><Relationship Id="rId133" Type="http://schemas.openxmlformats.org/officeDocument/2006/relationships/image" Target="media/image61.emf"/><Relationship Id="rId138" Type="http://schemas.openxmlformats.org/officeDocument/2006/relationships/footer" Target="footer24.xml"/><Relationship Id="rId154" Type="http://schemas.openxmlformats.org/officeDocument/2006/relationships/image" Target="media/image69.emf"/><Relationship Id="rId159" Type="http://schemas.openxmlformats.org/officeDocument/2006/relationships/header" Target="header33.xml"/><Relationship Id="rId170" Type="http://schemas.openxmlformats.org/officeDocument/2006/relationships/glossaryDocument" Target="glossary/document.xml"/><Relationship Id="rId16" Type="http://schemas.openxmlformats.org/officeDocument/2006/relationships/hyperlink" Target="http://creativecommons.org/licenses/by/3.0/au/deed.en" TargetMode="External"/><Relationship Id="rId107" Type="http://schemas.openxmlformats.org/officeDocument/2006/relationships/image" Target="media/image51.emf"/><Relationship Id="rId11" Type="http://schemas.openxmlformats.org/officeDocument/2006/relationships/webSettings" Target="webSettings.xml"/><Relationship Id="rId32" Type="http://schemas.openxmlformats.org/officeDocument/2006/relationships/footer" Target="footer5.xml"/><Relationship Id="rId37" Type="http://schemas.openxmlformats.org/officeDocument/2006/relationships/header" Target="header10.xml"/><Relationship Id="rId53" Type="http://schemas.openxmlformats.org/officeDocument/2006/relationships/image" Target="media/image10.emf"/><Relationship Id="rId58" Type="http://schemas.openxmlformats.org/officeDocument/2006/relationships/image" Target="media/image15.emf"/><Relationship Id="rId74" Type="http://schemas.openxmlformats.org/officeDocument/2006/relationships/image" Target="media/image31.emf"/><Relationship Id="rId79" Type="http://schemas.openxmlformats.org/officeDocument/2006/relationships/header" Target="header17.xml"/><Relationship Id="rId102" Type="http://schemas.openxmlformats.org/officeDocument/2006/relationships/image" Target="media/image46.emf"/><Relationship Id="rId123" Type="http://schemas.openxmlformats.org/officeDocument/2006/relationships/hyperlink" Target="https://www.futurefund.gov.au/about-us/access-to-information/parliamentary-and-statutory-reporting" TargetMode="External"/><Relationship Id="rId128" Type="http://schemas.openxmlformats.org/officeDocument/2006/relationships/image" Target="media/image56.emf"/><Relationship Id="rId144" Type="http://schemas.openxmlformats.org/officeDocument/2006/relationships/footer" Target="footer28.xml"/><Relationship Id="rId149" Type="http://schemas.openxmlformats.org/officeDocument/2006/relationships/hyperlink" Target="https://www.ipea.gov.au/home/publications-fact-sheets" TargetMode="External"/><Relationship Id="rId5" Type="http://schemas.openxmlformats.org/officeDocument/2006/relationships/customXml" Target="../customXml/item5.xml"/><Relationship Id="rId90" Type="http://schemas.openxmlformats.org/officeDocument/2006/relationships/image" Target="media/image36.emf"/><Relationship Id="rId95" Type="http://schemas.openxmlformats.org/officeDocument/2006/relationships/image" Target="media/image41.emf"/><Relationship Id="rId160" Type="http://schemas.openxmlformats.org/officeDocument/2006/relationships/header" Target="header34.xml"/><Relationship Id="rId165" Type="http://schemas.openxmlformats.org/officeDocument/2006/relationships/header" Target="header35.xml"/><Relationship Id="rId22" Type="http://schemas.openxmlformats.org/officeDocument/2006/relationships/header" Target="header2.xml"/><Relationship Id="rId27" Type="http://schemas.openxmlformats.org/officeDocument/2006/relationships/header" Target="header3.xml"/><Relationship Id="rId43" Type="http://schemas.openxmlformats.org/officeDocument/2006/relationships/footer" Target="footer9.xml"/><Relationship Id="rId48" Type="http://schemas.openxmlformats.org/officeDocument/2006/relationships/image" Target="media/image5.emf"/><Relationship Id="rId64" Type="http://schemas.openxmlformats.org/officeDocument/2006/relationships/image" Target="media/image21.emf"/><Relationship Id="rId69" Type="http://schemas.openxmlformats.org/officeDocument/2006/relationships/image" Target="media/image26.emf"/><Relationship Id="rId113" Type="http://schemas.openxmlformats.org/officeDocument/2006/relationships/header" Target="header24.xml"/><Relationship Id="rId118" Type="http://schemas.openxmlformats.org/officeDocument/2006/relationships/footer" Target="footer19.xml"/><Relationship Id="rId134" Type="http://schemas.openxmlformats.org/officeDocument/2006/relationships/image" Target="media/image62.emf"/><Relationship Id="rId139" Type="http://schemas.openxmlformats.org/officeDocument/2006/relationships/footer" Target="footer25.xml"/><Relationship Id="rId80" Type="http://schemas.openxmlformats.org/officeDocument/2006/relationships/footer" Target="footer12.xml"/><Relationship Id="rId85" Type="http://schemas.openxmlformats.org/officeDocument/2006/relationships/hyperlink" Target="https://www.transparency.gov.au/annual-reports/australian-electoral-commission/reporting-year/2020-21-27" TargetMode="External"/><Relationship Id="rId150" Type="http://schemas.openxmlformats.org/officeDocument/2006/relationships/hyperlink" Target="https://www.ipea.gov.au/home/publications-fact-sheets" TargetMode="External"/><Relationship Id="rId155" Type="http://schemas.openxmlformats.org/officeDocument/2006/relationships/image" Target="media/image70.emf"/><Relationship Id="rId171" Type="http://schemas.openxmlformats.org/officeDocument/2006/relationships/theme" Target="theme/theme1.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33" Type="http://schemas.openxmlformats.org/officeDocument/2006/relationships/header" Target="header7.xml"/><Relationship Id="rId38" Type="http://schemas.openxmlformats.org/officeDocument/2006/relationships/footer" Target="footer7.xml"/><Relationship Id="rId59" Type="http://schemas.openxmlformats.org/officeDocument/2006/relationships/image" Target="media/image16.emf"/><Relationship Id="rId103" Type="http://schemas.openxmlformats.org/officeDocument/2006/relationships/image" Target="media/image47.emf"/><Relationship Id="rId108" Type="http://schemas.openxmlformats.org/officeDocument/2006/relationships/image" Target="media/image52.emf"/><Relationship Id="rId124" Type="http://schemas.openxmlformats.org/officeDocument/2006/relationships/hyperlink" Target="https://www.futurefund.gov.au/about-us/publications" TargetMode="External"/><Relationship Id="rId129" Type="http://schemas.openxmlformats.org/officeDocument/2006/relationships/image" Target="media/image57.emf"/><Relationship Id="rId54" Type="http://schemas.openxmlformats.org/officeDocument/2006/relationships/image" Target="media/image11.emf"/><Relationship Id="rId70" Type="http://schemas.openxmlformats.org/officeDocument/2006/relationships/image" Target="media/image27.emf"/><Relationship Id="rId75" Type="http://schemas.openxmlformats.org/officeDocument/2006/relationships/image" Target="media/image32.emf"/><Relationship Id="rId91" Type="http://schemas.openxmlformats.org/officeDocument/2006/relationships/image" Target="media/image37.emf"/><Relationship Id="rId96" Type="http://schemas.openxmlformats.org/officeDocument/2006/relationships/image" Target="media/image42.emf"/><Relationship Id="rId140" Type="http://schemas.openxmlformats.org/officeDocument/2006/relationships/footer" Target="footer26.xml"/><Relationship Id="rId145" Type="http://schemas.openxmlformats.org/officeDocument/2006/relationships/footer" Target="footer29.xml"/><Relationship Id="rId161" Type="http://schemas.openxmlformats.org/officeDocument/2006/relationships/footer" Target="footer31.xml"/><Relationship Id="rId166"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header" Target="header4.xml"/><Relationship Id="rId36" Type="http://schemas.openxmlformats.org/officeDocument/2006/relationships/header" Target="header9.xml"/><Relationship Id="rId49" Type="http://schemas.openxmlformats.org/officeDocument/2006/relationships/image" Target="media/image6.emf"/><Relationship Id="rId57" Type="http://schemas.openxmlformats.org/officeDocument/2006/relationships/image" Target="media/image14.emf"/><Relationship Id="rId106" Type="http://schemas.openxmlformats.org/officeDocument/2006/relationships/image" Target="media/image50.emf"/><Relationship Id="rId114" Type="http://schemas.openxmlformats.org/officeDocument/2006/relationships/footer" Target="footer16.xml"/><Relationship Id="rId119" Type="http://schemas.openxmlformats.org/officeDocument/2006/relationships/footer" Target="footer20.xml"/><Relationship Id="rId127" Type="http://schemas.openxmlformats.org/officeDocument/2006/relationships/footer" Target="footer23.xml"/><Relationship Id="rId10" Type="http://schemas.openxmlformats.org/officeDocument/2006/relationships/settings" Target="settings.xml"/><Relationship Id="rId31" Type="http://schemas.openxmlformats.org/officeDocument/2006/relationships/header" Target="header6.xml"/><Relationship Id="rId44" Type="http://schemas.openxmlformats.org/officeDocument/2006/relationships/header" Target="header14.xml"/><Relationship Id="rId52" Type="http://schemas.openxmlformats.org/officeDocument/2006/relationships/image" Target="media/image9.emf"/><Relationship Id="rId60" Type="http://schemas.openxmlformats.org/officeDocument/2006/relationships/image" Target="media/image17.emf"/><Relationship Id="rId65" Type="http://schemas.openxmlformats.org/officeDocument/2006/relationships/image" Target="media/image22.emf"/><Relationship Id="rId73" Type="http://schemas.openxmlformats.org/officeDocument/2006/relationships/image" Target="media/image30.emf"/><Relationship Id="rId78" Type="http://schemas.openxmlformats.org/officeDocument/2006/relationships/footer" Target="footer11.xml"/><Relationship Id="rId81" Type="http://schemas.openxmlformats.org/officeDocument/2006/relationships/header" Target="header18.xml"/><Relationship Id="rId86" Type="http://schemas.openxmlformats.org/officeDocument/2006/relationships/header" Target="header19.xml"/><Relationship Id="rId94" Type="http://schemas.openxmlformats.org/officeDocument/2006/relationships/image" Target="media/image40.emf"/><Relationship Id="rId99" Type="http://schemas.openxmlformats.org/officeDocument/2006/relationships/image" Target="media/image45.emf"/><Relationship Id="rId101" Type="http://schemas.openxmlformats.org/officeDocument/2006/relationships/footer" Target="footer15.xml"/><Relationship Id="rId122" Type="http://schemas.openxmlformats.org/officeDocument/2006/relationships/footer" Target="footer22.xml"/><Relationship Id="rId130" Type="http://schemas.openxmlformats.org/officeDocument/2006/relationships/image" Target="media/image58.emf"/><Relationship Id="rId135" Type="http://schemas.openxmlformats.org/officeDocument/2006/relationships/image" Target="media/image63.emf"/><Relationship Id="rId143" Type="http://schemas.openxmlformats.org/officeDocument/2006/relationships/header" Target="header31.xml"/><Relationship Id="rId148" Type="http://schemas.openxmlformats.org/officeDocument/2006/relationships/image" Target="media/image65.emf"/><Relationship Id="rId151" Type="http://schemas.openxmlformats.org/officeDocument/2006/relationships/image" Target="media/image66.emf"/><Relationship Id="rId156" Type="http://schemas.openxmlformats.org/officeDocument/2006/relationships/image" Target="media/image71.emf"/><Relationship Id="rId164" Type="http://schemas.openxmlformats.org/officeDocument/2006/relationships/hyperlink" Target="http://www.finance.gov.au/resource-management/introduction/glossary/"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39" Type="http://schemas.openxmlformats.org/officeDocument/2006/relationships/header" Target="header11.xml"/><Relationship Id="rId109" Type="http://schemas.openxmlformats.org/officeDocument/2006/relationships/image" Target="media/image53.emf"/><Relationship Id="rId34" Type="http://schemas.openxmlformats.org/officeDocument/2006/relationships/footer" Target="footer6.xml"/><Relationship Id="rId50" Type="http://schemas.openxmlformats.org/officeDocument/2006/relationships/image" Target="media/image7.emf"/><Relationship Id="rId55" Type="http://schemas.openxmlformats.org/officeDocument/2006/relationships/image" Target="media/image12.emf"/><Relationship Id="rId76" Type="http://schemas.openxmlformats.org/officeDocument/2006/relationships/image" Target="media/image33.emf"/><Relationship Id="rId97" Type="http://schemas.openxmlformats.org/officeDocument/2006/relationships/image" Target="media/image43.emf"/><Relationship Id="rId104" Type="http://schemas.openxmlformats.org/officeDocument/2006/relationships/image" Target="media/image48.emf"/><Relationship Id="rId120" Type="http://schemas.openxmlformats.org/officeDocument/2006/relationships/footer" Target="footer21.xml"/><Relationship Id="rId125" Type="http://schemas.openxmlformats.org/officeDocument/2006/relationships/header" Target="header27.xml"/><Relationship Id="rId141" Type="http://schemas.openxmlformats.org/officeDocument/2006/relationships/header" Target="header30.xml"/><Relationship Id="rId146" Type="http://schemas.openxmlformats.org/officeDocument/2006/relationships/header" Target="header32.xml"/><Relationship Id="rId167" Type="http://schemas.openxmlformats.org/officeDocument/2006/relationships/header" Target="header37.xml"/><Relationship Id="rId7" Type="http://schemas.openxmlformats.org/officeDocument/2006/relationships/customXml" Target="../customXml/item7.xml"/><Relationship Id="rId71" Type="http://schemas.openxmlformats.org/officeDocument/2006/relationships/image" Target="media/image28.emf"/><Relationship Id="rId92" Type="http://schemas.openxmlformats.org/officeDocument/2006/relationships/image" Target="media/image38.emf"/><Relationship Id="rId162" Type="http://schemas.openxmlformats.org/officeDocument/2006/relationships/hyperlink" Target="http://www.finance.gov.au/resource-management/introduction/glossary/" TargetMode="External"/><Relationship Id="rId2" Type="http://schemas.openxmlformats.org/officeDocument/2006/relationships/customXml" Target="../customXml/item2.xml"/><Relationship Id="rId29" Type="http://schemas.openxmlformats.org/officeDocument/2006/relationships/header" Target="header5.xml"/><Relationship Id="rId24" Type="http://schemas.openxmlformats.org/officeDocument/2006/relationships/oleObject" Target="embeddings/oleObject1.bin"/><Relationship Id="rId40" Type="http://schemas.openxmlformats.org/officeDocument/2006/relationships/header" Target="header12.xml"/><Relationship Id="rId45" Type="http://schemas.openxmlformats.org/officeDocument/2006/relationships/header" Target="header15.xml"/><Relationship Id="rId66" Type="http://schemas.openxmlformats.org/officeDocument/2006/relationships/image" Target="media/image23.emf"/><Relationship Id="rId87" Type="http://schemas.openxmlformats.org/officeDocument/2006/relationships/header" Target="header20.xml"/><Relationship Id="rId110" Type="http://schemas.openxmlformats.org/officeDocument/2006/relationships/image" Target="media/image54.emf"/><Relationship Id="rId115" Type="http://schemas.openxmlformats.org/officeDocument/2006/relationships/header" Target="header25.xml"/><Relationship Id="rId131" Type="http://schemas.openxmlformats.org/officeDocument/2006/relationships/image" Target="media/image59.emf"/><Relationship Id="rId136" Type="http://schemas.openxmlformats.org/officeDocument/2006/relationships/image" Target="media/image64.emf"/><Relationship Id="rId157" Type="http://schemas.openxmlformats.org/officeDocument/2006/relationships/image" Target="media/image72.emf"/><Relationship Id="rId61" Type="http://schemas.openxmlformats.org/officeDocument/2006/relationships/image" Target="media/image18.emf"/><Relationship Id="rId82" Type="http://schemas.openxmlformats.org/officeDocument/2006/relationships/footer" Target="footer13.xml"/><Relationship Id="rId152" Type="http://schemas.openxmlformats.org/officeDocument/2006/relationships/image" Target="media/image67.emf"/><Relationship Id="rId19" Type="http://schemas.openxmlformats.org/officeDocument/2006/relationships/hyperlink" Target="http://creativecommons.org/licenses/by/3.0/au/deed.en" TargetMode="External"/><Relationship Id="rId14" Type="http://schemas.openxmlformats.org/officeDocument/2006/relationships/header" Target="header1.xml"/><Relationship Id="rId30" Type="http://schemas.openxmlformats.org/officeDocument/2006/relationships/footer" Target="footer4.xml"/><Relationship Id="rId35" Type="http://schemas.openxmlformats.org/officeDocument/2006/relationships/header" Target="header8.xml"/><Relationship Id="rId56" Type="http://schemas.openxmlformats.org/officeDocument/2006/relationships/image" Target="media/image13.emf"/><Relationship Id="rId77" Type="http://schemas.openxmlformats.org/officeDocument/2006/relationships/image" Target="media/image34.emf"/><Relationship Id="rId100" Type="http://schemas.openxmlformats.org/officeDocument/2006/relationships/header" Target="header22.xml"/><Relationship Id="rId105" Type="http://schemas.openxmlformats.org/officeDocument/2006/relationships/image" Target="media/image49.emf"/><Relationship Id="rId126" Type="http://schemas.openxmlformats.org/officeDocument/2006/relationships/header" Target="header28.xml"/><Relationship Id="rId147" Type="http://schemas.openxmlformats.org/officeDocument/2006/relationships/footer" Target="footer30.xml"/><Relationship Id="rId168" Type="http://schemas.openxmlformats.org/officeDocument/2006/relationships/footer" Target="footer32.xml"/><Relationship Id="rId8" Type="http://schemas.openxmlformats.org/officeDocument/2006/relationships/numbering" Target="numbering.xml"/><Relationship Id="rId51" Type="http://schemas.openxmlformats.org/officeDocument/2006/relationships/image" Target="media/image8.emf"/><Relationship Id="rId72" Type="http://schemas.openxmlformats.org/officeDocument/2006/relationships/image" Target="media/image29.emf"/><Relationship Id="rId93" Type="http://schemas.openxmlformats.org/officeDocument/2006/relationships/image" Target="media/image39.emf"/><Relationship Id="rId98" Type="http://schemas.openxmlformats.org/officeDocument/2006/relationships/image" Target="media/image44.emf"/><Relationship Id="rId121" Type="http://schemas.openxmlformats.org/officeDocument/2006/relationships/header" Target="header26.xml"/><Relationship Id="rId142" Type="http://schemas.openxmlformats.org/officeDocument/2006/relationships/footer" Target="footer27.xml"/><Relationship Id="rId163" Type="http://schemas.openxmlformats.org/officeDocument/2006/relationships/hyperlink" Target="http://www.finance.gov.au/resource-management/introduction/glossary/" TargetMode="External"/><Relationship Id="rId3" Type="http://schemas.openxmlformats.org/officeDocument/2006/relationships/customXml" Target="../customXml/item3.xml"/><Relationship Id="rId25" Type="http://schemas.openxmlformats.org/officeDocument/2006/relationships/footer" Target="footer3.xml"/><Relationship Id="rId46" Type="http://schemas.openxmlformats.org/officeDocument/2006/relationships/header" Target="header16.xml"/><Relationship Id="rId67" Type="http://schemas.openxmlformats.org/officeDocument/2006/relationships/image" Target="media/image24.emf"/><Relationship Id="rId116" Type="http://schemas.openxmlformats.org/officeDocument/2006/relationships/footer" Target="footer17.xml"/><Relationship Id="rId137" Type="http://schemas.openxmlformats.org/officeDocument/2006/relationships/header" Target="header29.xml"/><Relationship Id="rId158" Type="http://schemas.openxmlformats.org/officeDocument/2006/relationships/image" Target="media/image73.emf"/><Relationship Id="rId20" Type="http://schemas.openxmlformats.org/officeDocument/2006/relationships/hyperlink" Target="http://www.pmc.gov.au/government/commonwealth-coat-arms" TargetMode="External"/><Relationship Id="rId41" Type="http://schemas.openxmlformats.org/officeDocument/2006/relationships/footer" Target="footer8.xml"/><Relationship Id="rId62" Type="http://schemas.openxmlformats.org/officeDocument/2006/relationships/image" Target="media/image19.emf"/><Relationship Id="rId83" Type="http://schemas.openxmlformats.org/officeDocument/2006/relationships/image" Target="media/image35.emf"/><Relationship Id="rId88" Type="http://schemas.openxmlformats.org/officeDocument/2006/relationships/header" Target="header21.xml"/><Relationship Id="rId111" Type="http://schemas.openxmlformats.org/officeDocument/2006/relationships/image" Target="media/image55.emf"/><Relationship Id="rId132" Type="http://schemas.openxmlformats.org/officeDocument/2006/relationships/image" Target="media/image60.emf"/><Relationship Id="rId153" Type="http://schemas.openxmlformats.org/officeDocument/2006/relationships/image" Target="media/image68.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23DBF04CB450FB43A9E68E663E9BC"/>
        <w:category>
          <w:name w:val="General"/>
          <w:gallery w:val="placeholder"/>
        </w:category>
        <w:types>
          <w:type w:val="bbPlcHdr"/>
        </w:types>
        <w:behaviors>
          <w:behavior w:val="content"/>
        </w:behaviors>
        <w:guid w:val="{E32B8162-5711-400A-86D0-56BA900AFDCE}"/>
      </w:docPartPr>
      <w:docPartBody>
        <w:p w:rsidR="00B83245" w:rsidRDefault="00F5133C" w:rsidP="00F5133C">
          <w:pPr>
            <w:pStyle w:val="49C23DBF04CB450FB43A9E68E663E9B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mn-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3C"/>
    <w:rsid w:val="00053CBD"/>
    <w:rsid w:val="00080A15"/>
    <w:rsid w:val="000C781C"/>
    <w:rsid w:val="000E254F"/>
    <w:rsid w:val="001A2256"/>
    <w:rsid w:val="001F56AF"/>
    <w:rsid w:val="002377F8"/>
    <w:rsid w:val="0024026F"/>
    <w:rsid w:val="00265F32"/>
    <w:rsid w:val="002A5B6F"/>
    <w:rsid w:val="002E04A4"/>
    <w:rsid w:val="003160EB"/>
    <w:rsid w:val="00340543"/>
    <w:rsid w:val="00570B16"/>
    <w:rsid w:val="005827B2"/>
    <w:rsid w:val="00662006"/>
    <w:rsid w:val="007B634E"/>
    <w:rsid w:val="00911F3D"/>
    <w:rsid w:val="00963E4B"/>
    <w:rsid w:val="009D43E8"/>
    <w:rsid w:val="009E0583"/>
    <w:rsid w:val="00A37E2C"/>
    <w:rsid w:val="00A5049F"/>
    <w:rsid w:val="00AA2970"/>
    <w:rsid w:val="00AA4CAA"/>
    <w:rsid w:val="00AF3A36"/>
    <w:rsid w:val="00B81BA3"/>
    <w:rsid w:val="00B83245"/>
    <w:rsid w:val="00C067B7"/>
    <w:rsid w:val="00CB463C"/>
    <w:rsid w:val="00CF3635"/>
    <w:rsid w:val="00DC2192"/>
    <w:rsid w:val="00E166D8"/>
    <w:rsid w:val="00EB3FC4"/>
    <w:rsid w:val="00ED382A"/>
    <w:rsid w:val="00ED3B38"/>
    <w:rsid w:val="00F1389D"/>
    <w:rsid w:val="00F25F1F"/>
    <w:rsid w:val="00F44CE5"/>
    <w:rsid w:val="00F5133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33C"/>
    <w:rPr>
      <w:color w:val="808080"/>
    </w:rPr>
  </w:style>
  <w:style w:type="paragraph" w:customStyle="1" w:styleId="49C23DBF04CB450FB43A9E68E663E9BC">
    <w:name w:val="49C23DBF04CB450FB43A9E68E663E9BC"/>
    <w:rsid w:val="00F51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3.xml><?xml version="1.0" encoding="utf-8"?>
<ds:datastoreItem xmlns:ds="http://schemas.openxmlformats.org/officeDocument/2006/customXml" ds:itemID="{26CEAD22-808A-4C85-A925-26BD5C865F70}">
  <ds:schemaRefs>
    <ds:schemaRef ds:uri="http://purl.org/dc/terms/"/>
    <ds:schemaRef ds:uri="http://schemas.microsoft.com/office/infopath/2007/PartnerControls"/>
    <ds:schemaRef ds:uri="http://purl.org/dc/dcmitype/"/>
    <ds:schemaRef ds:uri="7f038680-7400-4805-8f95-861f74a21749"/>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82ff9d9b-d3fc-4aad-bc42-9949ee83b815"/>
    <ds:schemaRef ds:uri="http://www.w3.org/XML/1998/namespace"/>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F194CF98-9C2A-4F82-A33D-06882747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19513</Words>
  <Characters>126161</Characters>
  <Application>Microsoft Office Word</Application>
  <DocSecurity>0</DocSecurity>
  <Lines>1051</Lines>
  <Paragraphs>290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2022-03-26T07:31:00Z</dcterms:created>
  <dcterms:modified xsi:type="dcterms:W3CDTF">2022-03-27T00:18:00Z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