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2FA" w:rsidRDefault="002E72FA" w:rsidP="002E72FA">
      <w:pPr>
        <w:keepNext/>
        <w:keepLines/>
        <w:suppressAutoHyphens/>
        <w:spacing w:before="360" w:after="120" w:line="460" w:lineRule="atLeast"/>
        <w:contextualSpacing/>
        <w:outlineLvl w:val="0"/>
        <w:rPr>
          <w:rFonts w:ascii="Arial" w:eastAsia="Times New Roman" w:hAnsi="Arial" w:cs="Times New Roman"/>
          <w:bCs/>
          <w:color w:val="1C1C1C"/>
          <w:sz w:val="40"/>
          <w:szCs w:val="28"/>
        </w:rPr>
      </w:pPr>
      <w:bookmarkStart w:id="0" w:name="_Toc86135996"/>
      <w:r w:rsidRPr="002E72FA">
        <w:rPr>
          <w:rFonts w:ascii="Arial" w:eastAsia="Times New Roman" w:hAnsi="Arial" w:cs="Times New Roman"/>
          <w:bCs/>
          <w:color w:val="1C1C1C"/>
          <w:sz w:val="40"/>
          <w:szCs w:val="28"/>
        </w:rPr>
        <w:t>Appendix 2 – Illustrative example: costs to expense and capitalise</w:t>
      </w:r>
      <w:bookmarkEnd w:id="0"/>
    </w:p>
    <w:p w:rsidR="002E72FA" w:rsidRPr="002E72FA" w:rsidRDefault="002E72FA" w:rsidP="002E72FA">
      <w:pPr>
        <w:keepNext/>
        <w:keepLines/>
        <w:suppressAutoHyphens/>
        <w:spacing w:before="360" w:after="120" w:line="460" w:lineRule="atLeast"/>
        <w:contextualSpacing/>
        <w:outlineLvl w:val="0"/>
        <w:rPr>
          <w:rFonts w:ascii="Arial" w:eastAsia="Times New Roman" w:hAnsi="Arial" w:cs="Times New Roman"/>
          <w:bCs/>
          <w:color w:val="1C1C1C"/>
          <w:sz w:val="40"/>
          <w:szCs w:val="28"/>
        </w:rPr>
      </w:pPr>
    </w:p>
    <w:p w:rsidR="002E72FA" w:rsidRPr="002E72FA" w:rsidRDefault="002E72FA" w:rsidP="002E72FA">
      <w:pPr>
        <w:suppressAutoHyphens/>
        <w:spacing w:before="180" w:after="60" w:line="280" w:lineRule="atLeast"/>
        <w:rPr>
          <w:rFonts w:ascii="Times New Roman" w:eastAsia="Times New Roman" w:hAnsi="Times New Roman" w:cs="Times New Roman"/>
        </w:rPr>
      </w:pPr>
      <w:r w:rsidRPr="002E72FA">
        <w:rPr>
          <w:rFonts w:ascii="Times New Roman" w:eastAsia="Times New Roman" w:hAnsi="Times New Roman" w:cs="Times New Roman"/>
        </w:rPr>
        <w:t xml:space="preserve">Thresholds for capitalisation of expenditure will vary between entities, but will usually be documented in the entity’s Accountable Authority Instructions and/or accounting policies and operational guidance. Paragraphs 51-67 of </w:t>
      </w:r>
      <w:hyperlink r:id="rId5" w:history="1">
        <w:r w:rsidRPr="00967A68">
          <w:rPr>
            <w:rStyle w:val="Hyperlink"/>
            <w:rFonts w:ascii="Times New Roman" w:eastAsia="Times New Roman" w:hAnsi="Times New Roman" w:cs="Times New Roman"/>
          </w:rPr>
          <w:t>AASB 138</w:t>
        </w:r>
      </w:hyperlink>
      <w:r w:rsidRPr="002E72FA">
        <w:rPr>
          <w:rFonts w:ascii="Times New Roman" w:eastAsia="Times New Roman" w:hAnsi="Times New Roman" w:cs="Times New Roman"/>
        </w:rPr>
        <w:t xml:space="preserve"> and paragraphs 16-22A of </w:t>
      </w:r>
      <w:hyperlink r:id="rId6" w:history="1">
        <w:r w:rsidRPr="00967A68">
          <w:rPr>
            <w:rStyle w:val="Hyperlink"/>
            <w:rFonts w:ascii="Times New Roman" w:eastAsia="Times New Roman" w:hAnsi="Times New Roman" w:cs="Times New Roman"/>
          </w:rPr>
          <w:t>AASB 116</w:t>
        </w:r>
      </w:hyperlink>
      <w:r w:rsidRPr="002E72FA">
        <w:rPr>
          <w:rFonts w:ascii="Times New Roman" w:eastAsia="Times New Roman" w:hAnsi="Times New Roman" w:cs="Times New Roman"/>
        </w:rPr>
        <w:t xml:space="preserve"> provide further guidance on capitalisation of costs.</w:t>
      </w:r>
    </w:p>
    <w:tbl>
      <w:tblPr>
        <w:tblStyle w:val="TableGrid"/>
        <w:tblW w:w="923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2E72FA" w:rsidRPr="002E72FA" w:rsidTr="002E72FA">
        <w:tc>
          <w:tcPr>
            <w:tcW w:w="9236" w:type="dxa"/>
            <w:shd w:val="clear" w:color="auto" w:fill="B4B5DF"/>
          </w:tcPr>
          <w:p w:rsidR="002E72FA" w:rsidRPr="002E72FA" w:rsidRDefault="002E72FA" w:rsidP="002E72FA">
            <w:pPr>
              <w:suppressAutoHyphens/>
              <w:spacing w:before="180" w:after="60" w:line="280" w:lineRule="atLeast"/>
              <w:rPr>
                <w:rFonts w:cs="Arial"/>
                <w:b/>
                <w:sz w:val="30"/>
                <w:szCs w:val="30"/>
              </w:rPr>
            </w:pPr>
            <w:r w:rsidRPr="002E72FA">
              <w:rPr>
                <w:rFonts w:cs="Arial"/>
                <w:b/>
                <w:sz w:val="30"/>
                <w:szCs w:val="30"/>
              </w:rPr>
              <w:t>Scenario:</w:t>
            </w:r>
          </w:p>
          <w:p w:rsidR="002E72FA" w:rsidRPr="002E72FA" w:rsidRDefault="002E72FA" w:rsidP="002E72FA">
            <w:pPr>
              <w:suppressAutoHyphens/>
              <w:spacing w:before="180" w:after="60" w:line="280" w:lineRule="atLeast"/>
            </w:pPr>
            <w:r w:rsidRPr="002E72FA">
              <w:t xml:space="preserve">An entity develops a new IT software program to record customer details. </w:t>
            </w:r>
          </w:p>
          <w:p w:rsidR="002E72FA" w:rsidRPr="002E72FA" w:rsidRDefault="002E72FA" w:rsidP="002E72FA">
            <w:pPr>
              <w:suppressAutoHyphens/>
              <w:spacing w:before="180" w:after="60" w:line="280" w:lineRule="atLeast"/>
            </w:pPr>
            <w:r w:rsidRPr="002E72FA">
              <w:t>The entity incurred the following costs to develop the new software:</w:t>
            </w:r>
          </w:p>
          <w:p w:rsidR="002E72FA" w:rsidRPr="002E72FA" w:rsidRDefault="002E72FA" w:rsidP="002E72FA">
            <w:pPr>
              <w:numPr>
                <w:ilvl w:val="0"/>
                <w:numId w:val="1"/>
              </w:numPr>
              <w:suppressAutoHyphens/>
              <w:spacing w:before="200" w:line="260" w:lineRule="exact"/>
              <w:rPr>
                <w:rFonts w:eastAsia="Cambria" w:cs="Arial"/>
              </w:rPr>
            </w:pPr>
            <w:r w:rsidRPr="002E72FA">
              <w:rPr>
                <w:rFonts w:eastAsia="Cambria" w:cs="Arial"/>
              </w:rPr>
              <w:t>$5,000 consultant fees to search and evaluate off-the-shelf systems</w:t>
            </w:r>
          </w:p>
          <w:p w:rsidR="002E72FA" w:rsidRPr="002E72FA" w:rsidRDefault="002E72FA" w:rsidP="002E72FA">
            <w:pPr>
              <w:numPr>
                <w:ilvl w:val="0"/>
                <w:numId w:val="1"/>
              </w:numPr>
              <w:suppressAutoHyphens/>
              <w:spacing w:before="200" w:line="260" w:lineRule="exact"/>
              <w:rPr>
                <w:rFonts w:eastAsia="Cambria" w:cs="Arial"/>
              </w:rPr>
            </w:pPr>
            <w:r w:rsidRPr="002E72FA">
              <w:rPr>
                <w:rFonts w:eastAsia="Cambria" w:cs="Arial"/>
              </w:rPr>
              <w:t>$2,000 in employee expenses to select the final off-the-shelf system</w:t>
            </w:r>
          </w:p>
          <w:p w:rsidR="002E72FA" w:rsidRPr="002E72FA" w:rsidRDefault="002E72FA" w:rsidP="002E72FA">
            <w:pPr>
              <w:numPr>
                <w:ilvl w:val="0"/>
                <w:numId w:val="1"/>
              </w:numPr>
              <w:suppressAutoHyphens/>
              <w:spacing w:before="200" w:line="260" w:lineRule="exact"/>
              <w:rPr>
                <w:rFonts w:eastAsia="Cambria" w:cs="Arial"/>
              </w:rPr>
            </w:pPr>
            <w:r w:rsidRPr="002E72FA">
              <w:rPr>
                <w:rFonts w:eastAsia="Cambria" w:cs="Arial"/>
              </w:rPr>
              <w:t>$3,000 in employee expenses to design changes required to the off-the-shelf system</w:t>
            </w:r>
          </w:p>
          <w:p w:rsidR="002E72FA" w:rsidRPr="002E72FA" w:rsidRDefault="002E72FA" w:rsidP="002E72FA">
            <w:pPr>
              <w:numPr>
                <w:ilvl w:val="0"/>
                <w:numId w:val="1"/>
              </w:numPr>
              <w:suppressAutoHyphens/>
              <w:spacing w:before="200" w:line="260" w:lineRule="exact"/>
              <w:rPr>
                <w:rFonts w:eastAsia="Cambria" w:cs="Arial"/>
              </w:rPr>
            </w:pPr>
            <w:r w:rsidRPr="002E72FA">
              <w:rPr>
                <w:rFonts w:eastAsia="Cambria" w:cs="Arial"/>
              </w:rPr>
              <w:t>$10,000 in employee expenses to construct and test the new software</w:t>
            </w:r>
          </w:p>
          <w:p w:rsidR="002E72FA" w:rsidRPr="002E72FA" w:rsidRDefault="002E72FA" w:rsidP="002E72FA">
            <w:pPr>
              <w:numPr>
                <w:ilvl w:val="0"/>
                <w:numId w:val="1"/>
              </w:numPr>
              <w:suppressAutoHyphens/>
              <w:spacing w:before="200" w:line="260" w:lineRule="exact"/>
              <w:rPr>
                <w:rFonts w:eastAsia="Cambria" w:cs="Arial"/>
              </w:rPr>
            </w:pPr>
            <w:r w:rsidRPr="002E72FA">
              <w:rPr>
                <w:rFonts w:eastAsia="Cambria" w:cs="Arial"/>
              </w:rPr>
              <w:t>$5,000 for new terminals to replace old terminals that did not have the capacity to handle the new software</w:t>
            </w:r>
          </w:p>
          <w:p w:rsidR="002E72FA" w:rsidRPr="002E72FA" w:rsidRDefault="002E72FA" w:rsidP="002E72FA">
            <w:pPr>
              <w:numPr>
                <w:ilvl w:val="0"/>
                <w:numId w:val="1"/>
              </w:numPr>
              <w:suppressAutoHyphens/>
              <w:spacing w:before="200" w:line="260" w:lineRule="exact"/>
              <w:rPr>
                <w:rFonts w:eastAsia="Cambria" w:cs="Arial"/>
              </w:rPr>
            </w:pPr>
            <w:r w:rsidRPr="002E72FA">
              <w:rPr>
                <w:rFonts w:eastAsia="Cambria" w:cs="Arial"/>
              </w:rPr>
              <w:t>$500 to promote the new software to staff</w:t>
            </w:r>
          </w:p>
          <w:p w:rsidR="002E72FA" w:rsidRPr="002E72FA" w:rsidRDefault="002E72FA" w:rsidP="002E72FA">
            <w:pPr>
              <w:numPr>
                <w:ilvl w:val="0"/>
                <w:numId w:val="1"/>
              </w:numPr>
              <w:suppressAutoHyphens/>
              <w:spacing w:before="200" w:line="260" w:lineRule="exact"/>
              <w:rPr>
                <w:rFonts w:eastAsia="Cambria" w:cs="Arial"/>
              </w:rPr>
            </w:pPr>
            <w:r w:rsidRPr="002E72FA">
              <w:rPr>
                <w:rFonts w:eastAsia="Cambria" w:cs="Arial"/>
              </w:rPr>
              <w:t>$2,000 in training staff to operate the new asset.</w:t>
            </w:r>
          </w:p>
          <w:p w:rsidR="002E72FA" w:rsidRPr="002E72FA" w:rsidRDefault="002E72FA" w:rsidP="002E72FA">
            <w:pPr>
              <w:suppressAutoHyphens/>
              <w:spacing w:before="180" w:after="60" w:line="280" w:lineRule="atLeast"/>
            </w:pPr>
          </w:p>
        </w:tc>
      </w:tr>
      <w:tr w:rsidR="002E72FA" w:rsidRPr="002E72FA" w:rsidTr="002E72FA">
        <w:tc>
          <w:tcPr>
            <w:tcW w:w="9236" w:type="dxa"/>
            <w:shd w:val="clear" w:color="auto" w:fill="B4B5DF"/>
          </w:tcPr>
          <w:p w:rsidR="002E72FA" w:rsidRPr="002E72FA" w:rsidRDefault="002E72FA" w:rsidP="002E72FA">
            <w:pPr>
              <w:suppressAutoHyphens/>
              <w:spacing w:before="180" w:after="60" w:line="280" w:lineRule="atLeast"/>
              <w:rPr>
                <w:rFonts w:cs="Arial"/>
                <w:b/>
                <w:sz w:val="30"/>
                <w:szCs w:val="30"/>
              </w:rPr>
            </w:pPr>
            <w:r w:rsidRPr="002E72FA">
              <w:rPr>
                <w:rFonts w:cs="Arial"/>
                <w:b/>
                <w:sz w:val="30"/>
                <w:szCs w:val="30"/>
              </w:rPr>
              <w:t>Treatment of costs – expense or capitalisation</w:t>
            </w:r>
          </w:p>
          <w:p w:rsidR="002E72FA" w:rsidRPr="002E72FA" w:rsidRDefault="002E72FA" w:rsidP="002E72FA">
            <w:pPr>
              <w:suppressAutoHyphens/>
              <w:spacing w:before="180" w:after="60" w:line="280" w:lineRule="atLeast"/>
            </w:pPr>
            <w:r w:rsidRPr="002E72FA">
              <w:t>Assuming the requirements to capitalise are met, these co</w:t>
            </w:r>
            <w:bookmarkStart w:id="1" w:name="_GoBack"/>
            <w:bookmarkEnd w:id="1"/>
            <w:r w:rsidRPr="002E72FA">
              <w:t>sts would be treated as follows:</w:t>
            </w:r>
          </w:p>
          <w:p w:rsidR="002E72FA" w:rsidRPr="002E72FA" w:rsidRDefault="002E72FA" w:rsidP="002E72FA">
            <w:pPr>
              <w:numPr>
                <w:ilvl w:val="0"/>
                <w:numId w:val="2"/>
              </w:numPr>
              <w:suppressAutoHyphens/>
              <w:spacing w:before="200" w:line="260" w:lineRule="exact"/>
              <w:rPr>
                <w:rFonts w:eastAsia="Cambria" w:cs="Arial"/>
              </w:rPr>
            </w:pPr>
            <w:r w:rsidRPr="002E72FA">
              <w:rPr>
                <w:rFonts w:eastAsia="Cambria" w:cs="Arial"/>
              </w:rPr>
              <w:t>expense $5,000 consultant fee—as it was incurred in the research phase</w:t>
            </w:r>
          </w:p>
          <w:p w:rsidR="002E72FA" w:rsidRPr="002E72FA" w:rsidRDefault="002E72FA" w:rsidP="002E72FA">
            <w:pPr>
              <w:numPr>
                <w:ilvl w:val="0"/>
                <w:numId w:val="2"/>
              </w:numPr>
              <w:suppressAutoHyphens/>
              <w:spacing w:before="200" w:line="260" w:lineRule="exact"/>
              <w:rPr>
                <w:rFonts w:eastAsia="Cambria" w:cs="Arial"/>
              </w:rPr>
            </w:pPr>
            <w:r w:rsidRPr="002E72FA">
              <w:rPr>
                <w:rFonts w:eastAsia="Cambria" w:cs="Arial"/>
              </w:rPr>
              <w:t>expense $2,000 employee expenses—as it was incurred in the research phase</w:t>
            </w:r>
          </w:p>
          <w:p w:rsidR="002E72FA" w:rsidRPr="002E72FA" w:rsidRDefault="002E72FA" w:rsidP="002E72FA">
            <w:pPr>
              <w:numPr>
                <w:ilvl w:val="0"/>
                <w:numId w:val="2"/>
              </w:numPr>
              <w:suppressAutoHyphens/>
              <w:spacing w:before="200" w:line="260" w:lineRule="exact"/>
              <w:rPr>
                <w:rFonts w:eastAsia="Cambria" w:cs="Arial"/>
              </w:rPr>
            </w:pPr>
            <w:r w:rsidRPr="002E72FA">
              <w:rPr>
                <w:rFonts w:eastAsia="Cambria" w:cs="Arial"/>
              </w:rPr>
              <w:t>capitalise $3,000 employee expenses—as it is directly attributable and was incurred in the development phase</w:t>
            </w:r>
          </w:p>
          <w:p w:rsidR="002E72FA" w:rsidRPr="002E72FA" w:rsidRDefault="002E72FA" w:rsidP="002E72FA">
            <w:pPr>
              <w:numPr>
                <w:ilvl w:val="0"/>
                <w:numId w:val="2"/>
              </w:numPr>
              <w:suppressAutoHyphens/>
              <w:spacing w:before="200" w:line="260" w:lineRule="exact"/>
              <w:rPr>
                <w:rFonts w:eastAsia="Cambria" w:cs="Arial"/>
              </w:rPr>
            </w:pPr>
            <w:r w:rsidRPr="002E72FA">
              <w:rPr>
                <w:rFonts w:eastAsia="Cambria" w:cs="Arial"/>
              </w:rPr>
              <w:t>capitalise $10,000 employee expenses—as it is directly attributable and was incurred in the development phase</w:t>
            </w:r>
          </w:p>
          <w:p w:rsidR="002E72FA" w:rsidRPr="002E72FA" w:rsidRDefault="002E72FA" w:rsidP="002E72FA">
            <w:pPr>
              <w:numPr>
                <w:ilvl w:val="0"/>
                <w:numId w:val="2"/>
              </w:numPr>
              <w:suppressAutoHyphens/>
              <w:spacing w:before="200" w:line="260" w:lineRule="exact"/>
              <w:rPr>
                <w:rFonts w:eastAsia="Cambria" w:cs="Arial"/>
              </w:rPr>
            </w:pPr>
            <w:r w:rsidRPr="002E72FA">
              <w:rPr>
                <w:rFonts w:eastAsia="Cambria" w:cs="Arial"/>
              </w:rPr>
              <w:t xml:space="preserve">recognise  $5,000 as property, plant and equipment under </w:t>
            </w:r>
            <w:hyperlink r:id="rId7" w:history="1">
              <w:r w:rsidRPr="00967A68">
                <w:rPr>
                  <w:rStyle w:val="Hyperlink"/>
                  <w:rFonts w:eastAsia="Cambria" w:cs="Arial"/>
                </w:rPr>
                <w:t>AASB 116</w:t>
              </w:r>
            </w:hyperlink>
          </w:p>
          <w:p w:rsidR="002E72FA" w:rsidRPr="002E72FA" w:rsidRDefault="002E72FA" w:rsidP="002E72FA">
            <w:pPr>
              <w:numPr>
                <w:ilvl w:val="0"/>
                <w:numId w:val="2"/>
              </w:numPr>
              <w:suppressAutoHyphens/>
              <w:spacing w:before="200" w:line="260" w:lineRule="exact"/>
              <w:rPr>
                <w:rFonts w:eastAsia="Cambria" w:cs="Arial"/>
              </w:rPr>
            </w:pPr>
            <w:r w:rsidRPr="002E72FA">
              <w:rPr>
                <w:rFonts w:eastAsia="Cambria" w:cs="Arial"/>
              </w:rPr>
              <w:t>expense $500 as it is an operating expense incurred in the implementation phase</w:t>
            </w:r>
          </w:p>
          <w:p w:rsidR="002E72FA" w:rsidRPr="002E72FA" w:rsidRDefault="002E72FA" w:rsidP="002E72FA">
            <w:pPr>
              <w:numPr>
                <w:ilvl w:val="0"/>
                <w:numId w:val="2"/>
              </w:numPr>
              <w:suppressAutoHyphens/>
              <w:spacing w:before="200" w:line="260" w:lineRule="exact"/>
              <w:rPr>
                <w:rFonts w:eastAsia="Cambria" w:cs="Arial"/>
              </w:rPr>
            </w:pPr>
            <w:proofErr w:type="gramStart"/>
            <w:r w:rsidRPr="002E72FA">
              <w:rPr>
                <w:rFonts w:eastAsia="Cambria" w:cs="Arial"/>
              </w:rPr>
              <w:t>expense</w:t>
            </w:r>
            <w:proofErr w:type="gramEnd"/>
            <w:r w:rsidRPr="002E72FA">
              <w:rPr>
                <w:rFonts w:eastAsia="Cambria" w:cs="Arial"/>
              </w:rPr>
              <w:t xml:space="preserve"> $2,000 as it is an operating expense incurred in the implementation phase.</w:t>
            </w:r>
          </w:p>
          <w:p w:rsidR="002E72FA" w:rsidRPr="002E72FA" w:rsidRDefault="002E72FA" w:rsidP="002E72FA">
            <w:pPr>
              <w:spacing w:before="200" w:line="260" w:lineRule="exact"/>
              <w:ind w:left="720"/>
              <w:rPr>
                <w:rFonts w:eastAsia="Cambria" w:cs="Arial"/>
              </w:rPr>
            </w:pPr>
          </w:p>
        </w:tc>
      </w:tr>
    </w:tbl>
    <w:p w:rsidR="00976C1F" w:rsidRDefault="00967A68"/>
    <w:sectPr w:rsidR="00976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16D2"/>
    <w:multiLevelType w:val="hybridMultilevel"/>
    <w:tmpl w:val="318E6E3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41F68"/>
    <w:multiLevelType w:val="hybridMultilevel"/>
    <w:tmpl w:val="3DFECA9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FA"/>
    <w:rsid w:val="00060303"/>
    <w:rsid w:val="002E72FA"/>
    <w:rsid w:val="00771205"/>
    <w:rsid w:val="0096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F2D69-F68C-4CF3-B5EE-B06416CC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72FA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7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asb.gov.au/pronouncements/accounting-stand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asb.gov.au/pronouncements/accounting-standards/" TargetMode="External"/><Relationship Id="rId5" Type="http://schemas.openxmlformats.org/officeDocument/2006/relationships/hyperlink" Target="https://aasb.gov.au/pronouncements/accounting-standard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Company>Department of Finance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Babu, Raja</dc:creator>
  <cp:keywords/>
  <dc:description/>
  <cp:lastModifiedBy>Babu, Raja</cp:lastModifiedBy>
  <cp:revision>2</cp:revision>
  <dcterms:created xsi:type="dcterms:W3CDTF">2021-11-01T05:55:00Z</dcterms:created>
  <dcterms:modified xsi:type="dcterms:W3CDTF">2021-12-01T05:23:00Z</dcterms:modified>
</cp:coreProperties>
</file>