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940E2" w14:textId="1B67D7E8" w:rsidR="00A34A14" w:rsidRPr="004111A7" w:rsidRDefault="000C3B86" w:rsidP="00A34A14">
      <w:pPr>
        <w:pStyle w:val="Heading1"/>
      </w:pPr>
      <w:bookmarkStart w:id="0" w:name="_Toc190766151"/>
      <w:bookmarkStart w:id="1" w:name="_Toc444523519"/>
      <w:bookmarkStart w:id="2" w:name="_Toc71366647"/>
      <w:bookmarkStart w:id="3" w:name="_GoBack"/>
      <w:bookmarkEnd w:id="3"/>
      <w:r w:rsidRPr="004111A7">
        <w:t>Portfolio glossary</w:t>
      </w:r>
      <w:bookmarkEnd w:id="0"/>
      <w:bookmarkEnd w:id="1"/>
      <w:bookmarkEnd w:id="2"/>
    </w:p>
    <w:tbl>
      <w:tblPr>
        <w:tblW w:w="0" w:type="auto"/>
        <w:tblInd w:w="-34" w:type="dxa"/>
        <w:tblLook w:val="01E0" w:firstRow="1" w:lastRow="1" w:firstColumn="1" w:lastColumn="1" w:noHBand="0" w:noVBand="0"/>
      </w:tblPr>
      <w:tblGrid>
        <w:gridCol w:w="2253"/>
        <w:gridCol w:w="5491"/>
      </w:tblGrid>
      <w:tr w:rsidR="00A34A14" w:rsidRPr="004111A7" w14:paraId="30D49DE0" w14:textId="77777777" w:rsidTr="00456B4A">
        <w:trPr>
          <w:tblHeader/>
        </w:trPr>
        <w:tc>
          <w:tcPr>
            <w:tcW w:w="2253" w:type="dxa"/>
          </w:tcPr>
          <w:p w14:paraId="0FFB0F65" w14:textId="77777777" w:rsidR="00A34A14" w:rsidRPr="004111A7" w:rsidRDefault="00A34A14" w:rsidP="006F6D9B">
            <w:pPr>
              <w:pStyle w:val="TableColumnHeadingLeft"/>
            </w:pPr>
            <w:r w:rsidRPr="004111A7">
              <w:t>Term</w:t>
            </w:r>
          </w:p>
        </w:tc>
        <w:tc>
          <w:tcPr>
            <w:tcW w:w="5491" w:type="dxa"/>
          </w:tcPr>
          <w:p w14:paraId="2D8A61BF" w14:textId="77777777" w:rsidR="00A34A14" w:rsidRPr="004111A7" w:rsidRDefault="00A34A14" w:rsidP="006F6D9B">
            <w:pPr>
              <w:pStyle w:val="TableColumnHeadingLeft"/>
            </w:pPr>
            <w:r w:rsidRPr="004111A7">
              <w:t>Meaning</w:t>
            </w:r>
          </w:p>
        </w:tc>
      </w:tr>
      <w:tr w:rsidR="00A34A14" w:rsidRPr="004111A7" w14:paraId="329E48D6" w14:textId="77777777" w:rsidTr="00456B4A">
        <w:tc>
          <w:tcPr>
            <w:tcW w:w="2253" w:type="dxa"/>
          </w:tcPr>
          <w:p w14:paraId="67B96AC5" w14:textId="77777777" w:rsidR="00A34A14" w:rsidRPr="004111A7" w:rsidRDefault="00A34A14" w:rsidP="006F6D9B">
            <w:pPr>
              <w:spacing w:beforeLines="40" w:before="96" w:after="120"/>
              <w:jc w:val="left"/>
            </w:pPr>
            <w:r w:rsidRPr="004111A7">
              <w:t>Accumulated Depreciation</w:t>
            </w:r>
          </w:p>
        </w:tc>
        <w:tc>
          <w:tcPr>
            <w:tcW w:w="5491" w:type="dxa"/>
          </w:tcPr>
          <w:p w14:paraId="4F4203F2" w14:textId="77777777" w:rsidR="00A34A14" w:rsidRPr="004111A7" w:rsidRDefault="00A34A14" w:rsidP="006F6D9B">
            <w:pPr>
              <w:spacing w:beforeLines="40" w:before="96" w:after="120"/>
              <w:jc w:val="left"/>
            </w:pPr>
            <w:r w:rsidRPr="004111A7">
              <w:t>The aggregate depreciation recorded for a particular depreciating asset.</w:t>
            </w:r>
          </w:p>
        </w:tc>
      </w:tr>
      <w:tr w:rsidR="00A34A14" w:rsidRPr="004111A7" w14:paraId="677201C9" w14:textId="77777777" w:rsidTr="00456B4A">
        <w:tc>
          <w:tcPr>
            <w:tcW w:w="2253" w:type="dxa"/>
          </w:tcPr>
          <w:p w14:paraId="7D5CFF1F" w14:textId="77777777" w:rsidR="00A34A14" w:rsidRPr="004111A7" w:rsidRDefault="00A34A14" w:rsidP="006F6D9B">
            <w:pPr>
              <w:spacing w:beforeLines="40" w:before="96" w:after="120"/>
              <w:jc w:val="left"/>
            </w:pPr>
            <w:r w:rsidRPr="004111A7">
              <w:t>Administered Items</w:t>
            </w:r>
          </w:p>
        </w:tc>
        <w:tc>
          <w:tcPr>
            <w:tcW w:w="5491" w:type="dxa"/>
          </w:tcPr>
          <w:p w14:paraId="73B4501B" w14:textId="77777777" w:rsidR="00A34A14" w:rsidRPr="004111A7" w:rsidRDefault="00A34A14" w:rsidP="006F6D9B">
            <w:pPr>
              <w:spacing w:beforeLines="40" w:before="96" w:after="120"/>
              <w:jc w:val="left"/>
            </w:pPr>
            <w:r w:rsidRPr="004111A7">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A34A14" w:rsidRPr="004111A7" w14:paraId="27B3E295" w14:textId="77777777" w:rsidTr="00456B4A">
        <w:tc>
          <w:tcPr>
            <w:tcW w:w="2253" w:type="dxa"/>
          </w:tcPr>
          <w:p w14:paraId="1BBB5E1A" w14:textId="77777777" w:rsidR="00A34A14" w:rsidRPr="004111A7" w:rsidRDefault="00A34A14" w:rsidP="006F6D9B">
            <w:pPr>
              <w:spacing w:beforeLines="40" w:before="96" w:after="120"/>
              <w:jc w:val="left"/>
            </w:pPr>
            <w:r w:rsidRPr="004111A7">
              <w:t>Additional Estimates</w:t>
            </w:r>
          </w:p>
        </w:tc>
        <w:tc>
          <w:tcPr>
            <w:tcW w:w="5491" w:type="dxa"/>
          </w:tcPr>
          <w:p w14:paraId="7E15DC5D" w14:textId="77777777" w:rsidR="00A34A14" w:rsidRPr="004111A7" w:rsidRDefault="00A34A14" w:rsidP="006F6D9B">
            <w:pPr>
              <w:spacing w:beforeLines="40" w:before="96" w:after="120"/>
              <w:jc w:val="left"/>
            </w:pPr>
            <w:r w:rsidRPr="004111A7">
              <w:t xml:space="preserve">Where amounts appropriated at Budget time are insufficient, Parliament may appropriate more funds to portfolios through the Additional Estimates Acts. </w:t>
            </w:r>
          </w:p>
        </w:tc>
      </w:tr>
      <w:tr w:rsidR="00A34A14" w:rsidRPr="004111A7" w14:paraId="5E972B46" w14:textId="77777777" w:rsidTr="00456B4A">
        <w:tc>
          <w:tcPr>
            <w:tcW w:w="2253" w:type="dxa"/>
          </w:tcPr>
          <w:p w14:paraId="3B083F47" w14:textId="77777777" w:rsidR="00A34A14" w:rsidRPr="004111A7" w:rsidRDefault="00A34A14" w:rsidP="006F6D9B">
            <w:pPr>
              <w:spacing w:beforeLines="40" w:before="96" w:after="120"/>
              <w:jc w:val="left"/>
            </w:pPr>
            <w:r w:rsidRPr="004111A7">
              <w:t>Additional Estimates Bills or Acts</w:t>
            </w:r>
          </w:p>
        </w:tc>
        <w:tc>
          <w:tcPr>
            <w:tcW w:w="5491" w:type="dxa"/>
          </w:tcPr>
          <w:p w14:paraId="467055C4" w14:textId="77777777" w:rsidR="00A34A14" w:rsidRPr="004111A7" w:rsidRDefault="00A34A14" w:rsidP="006F6D9B">
            <w:pPr>
              <w:spacing w:beforeLines="40" w:before="96" w:after="120"/>
              <w:jc w:val="left"/>
            </w:pPr>
            <w:r w:rsidRPr="004111A7">
              <w:t>These are Appropriation Bills (No. 3) and (No .4) and a separate Bill for the Parliamentary Departments ((Parliamentary Departments) Bill (No.2)). These Bills are introduced into Parliament after the Budget Bills.</w:t>
            </w:r>
          </w:p>
        </w:tc>
      </w:tr>
      <w:tr w:rsidR="00A34A14" w:rsidRPr="004111A7" w14:paraId="2D1A6474" w14:textId="77777777" w:rsidTr="00456B4A">
        <w:tc>
          <w:tcPr>
            <w:tcW w:w="2253" w:type="dxa"/>
          </w:tcPr>
          <w:p w14:paraId="68640BEC" w14:textId="77777777" w:rsidR="00A34A14" w:rsidRPr="004111A7" w:rsidRDefault="00A34A14" w:rsidP="006F6D9B">
            <w:pPr>
              <w:spacing w:beforeLines="40" w:before="96" w:after="120"/>
              <w:jc w:val="left"/>
            </w:pPr>
            <w:r w:rsidRPr="004111A7">
              <w:t>Appropriation</w:t>
            </w:r>
          </w:p>
        </w:tc>
        <w:tc>
          <w:tcPr>
            <w:tcW w:w="5491" w:type="dxa"/>
          </w:tcPr>
          <w:p w14:paraId="612A415D" w14:textId="77777777" w:rsidR="00A34A14" w:rsidRPr="004111A7" w:rsidRDefault="00A34A14" w:rsidP="006F6D9B">
            <w:pPr>
              <w:spacing w:beforeLines="40" w:before="96" w:after="120"/>
              <w:jc w:val="left"/>
            </w:pPr>
            <w:r w:rsidRPr="004111A7">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A34A14" w:rsidRPr="004111A7" w14:paraId="0E1926D9" w14:textId="77777777" w:rsidTr="00456B4A">
        <w:tc>
          <w:tcPr>
            <w:tcW w:w="2253" w:type="dxa"/>
          </w:tcPr>
          <w:p w14:paraId="688C7D8C" w14:textId="77777777" w:rsidR="00A34A14" w:rsidRPr="004111A7" w:rsidRDefault="00A34A14" w:rsidP="006F6D9B">
            <w:pPr>
              <w:spacing w:beforeLines="40" w:before="96" w:after="120"/>
              <w:jc w:val="left"/>
            </w:pPr>
            <w:r w:rsidRPr="004111A7">
              <w:t>Annual Appropriation</w:t>
            </w:r>
          </w:p>
        </w:tc>
        <w:tc>
          <w:tcPr>
            <w:tcW w:w="5491" w:type="dxa"/>
          </w:tcPr>
          <w:p w14:paraId="70B941AB" w14:textId="77777777" w:rsidR="00A34A14" w:rsidRPr="004111A7" w:rsidRDefault="00A34A14" w:rsidP="006F6D9B">
            <w:pPr>
              <w:spacing w:beforeLines="40" w:before="96" w:after="120"/>
              <w:jc w:val="left"/>
            </w:pPr>
            <w:r w:rsidRPr="004111A7">
              <w:t>Two appropriation Bills are introduced into Parliament in May and comprise the Budget. Further Bills are introduced later in the financial year as part of the Additional Estimates. Parliamentary departments have their own appropriations.</w:t>
            </w:r>
          </w:p>
        </w:tc>
      </w:tr>
      <w:tr w:rsidR="00A34A14" w:rsidRPr="004111A7" w14:paraId="54D5B36E" w14:textId="77777777" w:rsidTr="00456B4A">
        <w:tc>
          <w:tcPr>
            <w:tcW w:w="2253" w:type="dxa"/>
          </w:tcPr>
          <w:p w14:paraId="75F411B2" w14:textId="77777777" w:rsidR="00A34A14" w:rsidRPr="004111A7" w:rsidRDefault="00A34A14" w:rsidP="006F6D9B">
            <w:pPr>
              <w:spacing w:beforeLines="40" w:before="96" w:after="120"/>
              <w:jc w:val="left"/>
            </w:pPr>
            <w:r w:rsidRPr="004111A7">
              <w:t>Capital Expenditure</w:t>
            </w:r>
          </w:p>
        </w:tc>
        <w:tc>
          <w:tcPr>
            <w:tcW w:w="5491" w:type="dxa"/>
          </w:tcPr>
          <w:p w14:paraId="2F57C2B7" w14:textId="77777777" w:rsidR="00A34A14" w:rsidRPr="004111A7" w:rsidRDefault="00A34A14" w:rsidP="006F6D9B">
            <w:pPr>
              <w:spacing w:beforeLines="40" w:before="96" w:after="120"/>
              <w:jc w:val="left"/>
            </w:pPr>
            <w:r w:rsidRPr="004111A7">
              <w:t>Expenditure by an entity on capital projects, for example purchasing a building.</w:t>
            </w:r>
          </w:p>
        </w:tc>
      </w:tr>
      <w:tr w:rsidR="00A34A14" w:rsidRPr="004111A7" w14:paraId="20EA2A54" w14:textId="77777777" w:rsidTr="00456B4A">
        <w:tblPrEx>
          <w:tblLook w:val="0000" w:firstRow="0" w:lastRow="0" w:firstColumn="0" w:lastColumn="0" w:noHBand="0" w:noVBand="0"/>
        </w:tblPrEx>
        <w:trPr>
          <w:cantSplit/>
          <w:trHeight w:val="567"/>
        </w:trPr>
        <w:tc>
          <w:tcPr>
            <w:tcW w:w="2253" w:type="dxa"/>
          </w:tcPr>
          <w:p w14:paraId="255171B5" w14:textId="77777777" w:rsidR="00A34A14" w:rsidRPr="004111A7" w:rsidRDefault="00A34A14" w:rsidP="006F6D9B">
            <w:pPr>
              <w:spacing w:beforeLines="40" w:before="96" w:after="120"/>
              <w:jc w:val="left"/>
            </w:pPr>
            <w:r w:rsidRPr="004111A7">
              <w:t>Charter of Budget Honesty Act</w:t>
            </w:r>
          </w:p>
        </w:tc>
        <w:tc>
          <w:tcPr>
            <w:tcW w:w="5491" w:type="dxa"/>
          </w:tcPr>
          <w:p w14:paraId="4083F210" w14:textId="77777777" w:rsidR="00A34A14" w:rsidRPr="004111A7" w:rsidRDefault="00A34A14" w:rsidP="006F6D9B">
            <w:pPr>
              <w:spacing w:beforeLines="40" w:before="96" w:after="120"/>
              <w:jc w:val="left"/>
            </w:pPr>
            <w:r w:rsidRPr="004111A7">
              <w:t xml:space="preserve">The </w:t>
            </w:r>
            <w:r w:rsidRPr="004111A7">
              <w:rPr>
                <w:i/>
              </w:rPr>
              <w:t>Charter of Budget Honesty Act 1998</w:t>
            </w:r>
            <w:r w:rsidRPr="004111A7">
              <w:t xml:space="preserve"> provides a legislative framework for the conduct and reporting of fiscal policy. </w:t>
            </w:r>
          </w:p>
        </w:tc>
      </w:tr>
      <w:tr w:rsidR="00A34A14" w:rsidRPr="004111A7" w14:paraId="319E55B0" w14:textId="77777777" w:rsidTr="00456B4A">
        <w:tblPrEx>
          <w:tblLook w:val="0000" w:firstRow="0" w:lastRow="0" w:firstColumn="0" w:lastColumn="0" w:noHBand="0" w:noVBand="0"/>
        </w:tblPrEx>
        <w:trPr>
          <w:cantSplit/>
          <w:trHeight w:val="567"/>
        </w:trPr>
        <w:tc>
          <w:tcPr>
            <w:tcW w:w="2253" w:type="dxa"/>
          </w:tcPr>
          <w:p w14:paraId="52669C2D" w14:textId="78952A97" w:rsidR="00A34A14" w:rsidRPr="004111A7" w:rsidRDefault="00863F53" w:rsidP="00863F53">
            <w:pPr>
              <w:spacing w:beforeLines="40" w:before="96" w:after="120"/>
              <w:jc w:val="left"/>
            </w:pPr>
            <w:r w:rsidRPr="004111A7">
              <w:lastRenderedPageBreak/>
              <w:t>Departmental Ite</w:t>
            </w:r>
            <w:r w:rsidR="00A34A14" w:rsidRPr="004111A7">
              <w:t>ms</w:t>
            </w:r>
          </w:p>
        </w:tc>
        <w:tc>
          <w:tcPr>
            <w:tcW w:w="5491" w:type="dxa"/>
          </w:tcPr>
          <w:p w14:paraId="45824503" w14:textId="77777777" w:rsidR="00A34A14" w:rsidRPr="004111A7" w:rsidRDefault="00A34A14" w:rsidP="006F6D9B">
            <w:pPr>
              <w:spacing w:beforeLines="40" w:before="96" w:after="120"/>
              <w:jc w:val="left"/>
            </w:pPr>
            <w:r w:rsidRPr="004111A7">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A34A14" w:rsidRPr="004111A7" w14:paraId="30068AF2" w14:textId="77777777" w:rsidTr="00456B4A">
        <w:tblPrEx>
          <w:tblLook w:val="0000" w:firstRow="0" w:lastRow="0" w:firstColumn="0" w:lastColumn="0" w:noHBand="0" w:noVBand="0"/>
        </w:tblPrEx>
        <w:trPr>
          <w:cantSplit/>
          <w:trHeight w:val="845"/>
        </w:trPr>
        <w:tc>
          <w:tcPr>
            <w:tcW w:w="2253" w:type="dxa"/>
          </w:tcPr>
          <w:p w14:paraId="224A135C" w14:textId="77777777" w:rsidR="00A34A14" w:rsidRPr="004111A7" w:rsidRDefault="00A34A14" w:rsidP="006F6D9B">
            <w:pPr>
              <w:spacing w:beforeLines="40" w:before="96" w:after="120"/>
              <w:jc w:val="left"/>
            </w:pPr>
            <w:r w:rsidRPr="004111A7">
              <w:t>Depreciation and Amortisation</w:t>
            </w:r>
          </w:p>
        </w:tc>
        <w:tc>
          <w:tcPr>
            <w:tcW w:w="5491" w:type="dxa"/>
          </w:tcPr>
          <w:p w14:paraId="0ED582C5" w14:textId="77777777" w:rsidR="00A34A14" w:rsidRPr="004111A7" w:rsidRDefault="00A34A14" w:rsidP="006F6D9B">
            <w:pPr>
              <w:spacing w:beforeLines="40" w:before="96" w:after="120"/>
              <w:jc w:val="left"/>
            </w:pPr>
            <w:r w:rsidRPr="004111A7">
              <w:t>Apportionment of an asset’s capital value as an expense over its estimated useful life to take account of normal usage, obsolescence, or the passage of time.</w:t>
            </w:r>
          </w:p>
        </w:tc>
      </w:tr>
      <w:tr w:rsidR="00A34A14" w:rsidRPr="004111A7" w14:paraId="4257037F" w14:textId="77777777" w:rsidTr="00456B4A">
        <w:tblPrEx>
          <w:tblLook w:val="0000" w:firstRow="0" w:lastRow="0" w:firstColumn="0" w:lastColumn="0" w:noHBand="0" w:noVBand="0"/>
        </w:tblPrEx>
        <w:trPr>
          <w:cantSplit/>
        </w:trPr>
        <w:tc>
          <w:tcPr>
            <w:tcW w:w="2253" w:type="dxa"/>
          </w:tcPr>
          <w:p w14:paraId="060D356B" w14:textId="77777777" w:rsidR="00A34A14" w:rsidRPr="004111A7" w:rsidRDefault="00A34A14" w:rsidP="006F6D9B">
            <w:pPr>
              <w:spacing w:beforeLines="40" w:before="96" w:after="120"/>
              <w:jc w:val="left"/>
            </w:pPr>
            <w:r w:rsidRPr="004111A7">
              <w:t>Equity or Net Assets</w:t>
            </w:r>
          </w:p>
        </w:tc>
        <w:tc>
          <w:tcPr>
            <w:tcW w:w="5491" w:type="dxa"/>
          </w:tcPr>
          <w:p w14:paraId="43C6F2A2" w14:textId="77777777" w:rsidR="00A34A14" w:rsidRPr="004111A7" w:rsidRDefault="00A34A14" w:rsidP="006F6D9B">
            <w:pPr>
              <w:spacing w:beforeLines="40" w:before="96" w:after="120"/>
              <w:jc w:val="left"/>
            </w:pPr>
            <w:r w:rsidRPr="004111A7">
              <w:t>Residual interest in the assets of an entity after deduction of its liabilities.</w:t>
            </w:r>
          </w:p>
        </w:tc>
      </w:tr>
      <w:tr w:rsidR="00A34A14" w:rsidRPr="004111A7" w14:paraId="017FA599" w14:textId="77777777" w:rsidTr="00456B4A">
        <w:tblPrEx>
          <w:tblLook w:val="0000" w:firstRow="0" w:lastRow="0" w:firstColumn="0" w:lastColumn="0" w:noHBand="0" w:noVBand="0"/>
        </w:tblPrEx>
        <w:trPr>
          <w:cantSplit/>
        </w:trPr>
        <w:tc>
          <w:tcPr>
            <w:tcW w:w="2253" w:type="dxa"/>
          </w:tcPr>
          <w:p w14:paraId="1F2E0664" w14:textId="77777777" w:rsidR="00A34A14" w:rsidRPr="004111A7" w:rsidRDefault="00A34A14" w:rsidP="006F6D9B">
            <w:pPr>
              <w:spacing w:beforeLines="40" w:before="96" w:after="120"/>
              <w:jc w:val="left"/>
            </w:pPr>
            <w:r w:rsidRPr="004111A7">
              <w:t xml:space="preserve">Expense </w:t>
            </w:r>
          </w:p>
        </w:tc>
        <w:tc>
          <w:tcPr>
            <w:tcW w:w="5491" w:type="dxa"/>
          </w:tcPr>
          <w:p w14:paraId="43B7E958" w14:textId="77777777" w:rsidR="00A34A14" w:rsidRPr="004111A7" w:rsidRDefault="00A34A14" w:rsidP="006F6D9B">
            <w:pPr>
              <w:spacing w:beforeLines="40" w:before="96" w:after="120"/>
              <w:jc w:val="left"/>
            </w:pPr>
            <w:r w:rsidRPr="004111A7">
              <w:t xml:space="preserve">Total value of all of the resources consumed in producing goods and services or the loss of future economic benefits in the form of reductions in assets or increases in liabilities of an entity. </w:t>
            </w:r>
          </w:p>
        </w:tc>
      </w:tr>
      <w:tr w:rsidR="00A34A14" w:rsidRPr="004111A7" w14:paraId="512FE034" w14:textId="77777777" w:rsidTr="00456B4A">
        <w:tblPrEx>
          <w:tblLook w:val="0000" w:firstRow="0" w:lastRow="0" w:firstColumn="0" w:lastColumn="0" w:noHBand="0" w:noVBand="0"/>
        </w:tblPrEx>
        <w:trPr>
          <w:cantSplit/>
        </w:trPr>
        <w:tc>
          <w:tcPr>
            <w:tcW w:w="2253" w:type="dxa"/>
          </w:tcPr>
          <w:p w14:paraId="19007CC8" w14:textId="77777777" w:rsidR="00A34A14" w:rsidRPr="004111A7" w:rsidRDefault="00A34A14" w:rsidP="006F6D9B">
            <w:pPr>
              <w:spacing w:beforeLines="40" w:before="96" w:after="120"/>
              <w:jc w:val="left"/>
            </w:pPr>
            <w:r w:rsidRPr="004111A7">
              <w:br w:type="page"/>
              <w:t>Fair Value</w:t>
            </w:r>
          </w:p>
        </w:tc>
        <w:tc>
          <w:tcPr>
            <w:tcW w:w="5491" w:type="dxa"/>
          </w:tcPr>
          <w:p w14:paraId="42BFBFDA" w14:textId="77777777" w:rsidR="00A34A14" w:rsidRPr="004111A7" w:rsidRDefault="00A34A14" w:rsidP="006F6D9B">
            <w:pPr>
              <w:spacing w:beforeLines="40" w:before="96" w:after="120"/>
              <w:jc w:val="left"/>
            </w:pPr>
            <w:r w:rsidRPr="004111A7">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A34A14" w:rsidRPr="004111A7" w14:paraId="234B4389" w14:textId="77777777" w:rsidTr="00456B4A">
        <w:tblPrEx>
          <w:tblLook w:val="0000" w:firstRow="0" w:lastRow="0" w:firstColumn="0" w:lastColumn="0" w:noHBand="0" w:noVBand="0"/>
        </w:tblPrEx>
        <w:trPr>
          <w:cantSplit/>
          <w:trHeight w:val="635"/>
        </w:trPr>
        <w:tc>
          <w:tcPr>
            <w:tcW w:w="2253" w:type="dxa"/>
          </w:tcPr>
          <w:p w14:paraId="34B9107F" w14:textId="77777777" w:rsidR="00A34A14" w:rsidRPr="004111A7" w:rsidRDefault="00A34A14" w:rsidP="006F6D9B">
            <w:pPr>
              <w:spacing w:beforeLines="40" w:before="96" w:after="120"/>
              <w:jc w:val="left"/>
            </w:pPr>
            <w:r w:rsidRPr="004111A7">
              <w:t>Measure</w:t>
            </w:r>
          </w:p>
        </w:tc>
        <w:tc>
          <w:tcPr>
            <w:tcW w:w="5491" w:type="dxa"/>
          </w:tcPr>
          <w:p w14:paraId="3ABA974D" w14:textId="77777777" w:rsidR="00A34A14" w:rsidRPr="004111A7" w:rsidRDefault="00A34A14" w:rsidP="006F6D9B">
            <w:pPr>
              <w:spacing w:beforeLines="40" w:before="96" w:after="120"/>
              <w:jc w:val="left"/>
            </w:pPr>
            <w:r w:rsidRPr="004111A7">
              <w:t xml:space="preserve">A new policy or savings decision of the government with financial impacts. </w:t>
            </w:r>
          </w:p>
        </w:tc>
      </w:tr>
      <w:tr w:rsidR="00A34A14" w:rsidRPr="004111A7" w14:paraId="24EFB270" w14:textId="77777777" w:rsidTr="00456B4A">
        <w:tblPrEx>
          <w:tblLook w:val="0000" w:firstRow="0" w:lastRow="0" w:firstColumn="0" w:lastColumn="0" w:noHBand="0" w:noVBand="0"/>
        </w:tblPrEx>
        <w:trPr>
          <w:cantSplit/>
          <w:trHeight w:val="417"/>
        </w:trPr>
        <w:tc>
          <w:tcPr>
            <w:tcW w:w="2253" w:type="dxa"/>
          </w:tcPr>
          <w:p w14:paraId="196A9B17" w14:textId="77777777" w:rsidR="00A34A14" w:rsidRPr="004111A7" w:rsidRDefault="00A34A14" w:rsidP="006F6D9B">
            <w:pPr>
              <w:spacing w:beforeLines="40" w:before="96" w:after="120"/>
              <w:jc w:val="left"/>
            </w:pPr>
            <w:r w:rsidRPr="004111A7">
              <w:t>Operating Result</w:t>
            </w:r>
          </w:p>
        </w:tc>
        <w:tc>
          <w:tcPr>
            <w:tcW w:w="5491" w:type="dxa"/>
          </w:tcPr>
          <w:p w14:paraId="29CC7D4D" w14:textId="77777777" w:rsidR="00A34A14" w:rsidRPr="004111A7" w:rsidRDefault="00A34A14" w:rsidP="006F6D9B">
            <w:pPr>
              <w:spacing w:beforeLines="40" w:before="96" w:after="120"/>
              <w:jc w:val="left"/>
            </w:pPr>
            <w:r w:rsidRPr="004111A7">
              <w:t>Equals income less expense.</w:t>
            </w:r>
          </w:p>
        </w:tc>
      </w:tr>
      <w:tr w:rsidR="00A34A14" w:rsidRPr="004111A7" w14:paraId="6D607449" w14:textId="77777777" w:rsidTr="00456B4A">
        <w:tblPrEx>
          <w:tblLook w:val="0000" w:firstRow="0" w:lastRow="0" w:firstColumn="0" w:lastColumn="0" w:noHBand="0" w:noVBand="0"/>
        </w:tblPrEx>
        <w:trPr>
          <w:cantSplit/>
          <w:trHeight w:val="283"/>
        </w:trPr>
        <w:tc>
          <w:tcPr>
            <w:tcW w:w="2253" w:type="dxa"/>
          </w:tcPr>
          <w:p w14:paraId="1A9D46C2" w14:textId="77777777" w:rsidR="00A34A14" w:rsidRPr="004111A7" w:rsidRDefault="00A34A14" w:rsidP="006F6D9B">
            <w:pPr>
              <w:spacing w:beforeLines="40" w:before="96" w:after="120"/>
              <w:jc w:val="left"/>
            </w:pPr>
            <w:r w:rsidRPr="004111A7">
              <w:t>Outcomes</w:t>
            </w:r>
          </w:p>
        </w:tc>
        <w:tc>
          <w:tcPr>
            <w:tcW w:w="5491" w:type="dxa"/>
          </w:tcPr>
          <w:p w14:paraId="1EB052AD" w14:textId="77777777" w:rsidR="00A34A14" w:rsidRPr="004111A7" w:rsidRDefault="00A34A14" w:rsidP="006F6D9B">
            <w:pPr>
              <w:spacing w:beforeLines="40" w:before="96" w:after="120"/>
              <w:jc w:val="left"/>
            </w:pPr>
            <w:r w:rsidRPr="004111A7">
              <w:t>The government's objectives in each portfolio area. Outcomes are desired results, impacts or consequences for the Australian community influenced by the actions of the Australian Government. Actual outcomes are the results or impacts actually achieved.</w:t>
            </w:r>
          </w:p>
        </w:tc>
      </w:tr>
      <w:tr w:rsidR="00A34A14" w:rsidRPr="004111A7" w14:paraId="0931B210" w14:textId="77777777" w:rsidTr="00456B4A">
        <w:tblPrEx>
          <w:tblLook w:val="0000" w:firstRow="0" w:lastRow="0" w:firstColumn="0" w:lastColumn="0" w:noHBand="0" w:noVBand="0"/>
        </w:tblPrEx>
        <w:trPr>
          <w:cantSplit/>
          <w:trHeight w:val="627"/>
        </w:trPr>
        <w:tc>
          <w:tcPr>
            <w:tcW w:w="2253" w:type="dxa"/>
          </w:tcPr>
          <w:p w14:paraId="285A12A0" w14:textId="77777777" w:rsidR="00A34A14" w:rsidRPr="004111A7" w:rsidRDefault="00A34A14" w:rsidP="006F6D9B">
            <w:pPr>
              <w:spacing w:beforeLines="40" w:before="96" w:after="120"/>
              <w:ind w:left="65" w:hanging="65"/>
              <w:jc w:val="left"/>
            </w:pPr>
            <w:r w:rsidRPr="004111A7">
              <w:t>Portfolio</w:t>
            </w:r>
          </w:p>
        </w:tc>
        <w:tc>
          <w:tcPr>
            <w:tcW w:w="5491" w:type="dxa"/>
          </w:tcPr>
          <w:p w14:paraId="22895294" w14:textId="77777777" w:rsidR="00A34A14" w:rsidRPr="004111A7" w:rsidRDefault="00A34A14" w:rsidP="006F6D9B">
            <w:pPr>
              <w:spacing w:beforeLines="40" w:before="96" w:after="120"/>
              <w:jc w:val="left"/>
            </w:pPr>
            <w:r w:rsidRPr="004111A7">
              <w:t>A Minister’s area of responsibility as a member of Cabinet. A portfolio consists of one or more Departments of State and a number of entities with similar general objectives and outcomes.</w:t>
            </w:r>
          </w:p>
        </w:tc>
      </w:tr>
      <w:tr w:rsidR="00A34A14" w:rsidRPr="004111A7" w14:paraId="4FB39CE5" w14:textId="77777777" w:rsidTr="00456B4A">
        <w:tblPrEx>
          <w:tblLook w:val="0000" w:firstRow="0" w:lastRow="0" w:firstColumn="0" w:lastColumn="0" w:noHBand="0" w:noVBand="0"/>
        </w:tblPrEx>
        <w:trPr>
          <w:cantSplit/>
          <w:trHeight w:val="291"/>
        </w:trPr>
        <w:tc>
          <w:tcPr>
            <w:tcW w:w="2253" w:type="dxa"/>
          </w:tcPr>
          <w:p w14:paraId="5288CF6D" w14:textId="77777777" w:rsidR="00A34A14" w:rsidRPr="004111A7" w:rsidRDefault="00A34A14" w:rsidP="006F6D9B">
            <w:pPr>
              <w:spacing w:beforeLines="40" w:before="96" w:after="120"/>
              <w:jc w:val="left"/>
            </w:pPr>
            <w:r w:rsidRPr="004111A7">
              <w:t xml:space="preserve">PGPA Act </w:t>
            </w:r>
          </w:p>
          <w:p w14:paraId="658A6A9A" w14:textId="77777777" w:rsidR="00A34A14" w:rsidRPr="004111A7" w:rsidRDefault="00A34A14" w:rsidP="006F6D9B">
            <w:pPr>
              <w:spacing w:beforeLines="40" w:before="96" w:after="120"/>
              <w:jc w:val="left"/>
            </w:pPr>
          </w:p>
        </w:tc>
        <w:tc>
          <w:tcPr>
            <w:tcW w:w="5491" w:type="dxa"/>
          </w:tcPr>
          <w:p w14:paraId="0A288644" w14:textId="77777777" w:rsidR="00A34A14" w:rsidRPr="004111A7" w:rsidRDefault="00A34A14" w:rsidP="006F6D9B">
            <w:pPr>
              <w:spacing w:beforeLines="40" w:before="96" w:after="120"/>
              <w:jc w:val="left"/>
            </w:pPr>
            <w:r w:rsidRPr="004111A7">
              <w:rPr>
                <w:i/>
              </w:rPr>
              <w:t xml:space="preserve">Public Governance, Performance and Accountability Act 2013 </w:t>
            </w:r>
            <w:r w:rsidRPr="004111A7">
              <w:t>(PGPA Act).</w:t>
            </w:r>
          </w:p>
        </w:tc>
      </w:tr>
      <w:tr w:rsidR="00A34A14" w:rsidRPr="004111A7" w14:paraId="2A6DD37F" w14:textId="77777777" w:rsidTr="00456B4A">
        <w:tblPrEx>
          <w:tblLook w:val="0000" w:firstRow="0" w:lastRow="0" w:firstColumn="0" w:lastColumn="0" w:noHBand="0" w:noVBand="0"/>
        </w:tblPrEx>
        <w:trPr>
          <w:cantSplit/>
          <w:trHeight w:val="663"/>
        </w:trPr>
        <w:tc>
          <w:tcPr>
            <w:tcW w:w="2253" w:type="dxa"/>
          </w:tcPr>
          <w:p w14:paraId="3896CDE4" w14:textId="77777777" w:rsidR="00A34A14" w:rsidRPr="004111A7" w:rsidRDefault="00A34A14" w:rsidP="006F6D9B">
            <w:pPr>
              <w:spacing w:beforeLines="40" w:before="96" w:after="120"/>
              <w:jc w:val="left"/>
            </w:pPr>
            <w:r w:rsidRPr="004111A7">
              <w:lastRenderedPageBreak/>
              <w:t>Revenue</w:t>
            </w:r>
          </w:p>
        </w:tc>
        <w:tc>
          <w:tcPr>
            <w:tcW w:w="5491" w:type="dxa"/>
          </w:tcPr>
          <w:p w14:paraId="0C656F5C" w14:textId="77777777" w:rsidR="00A34A14" w:rsidRPr="004111A7" w:rsidRDefault="00A34A14" w:rsidP="006F6D9B">
            <w:pPr>
              <w:spacing w:beforeLines="40" w:before="96" w:after="120"/>
              <w:jc w:val="left"/>
            </w:pPr>
            <w:r w:rsidRPr="004111A7">
              <w:t>Total value of resources earned or received to cover the production of goods and services or increases in future economic benefits in the form of increases in assets or reductions in liabilities of an entity.</w:t>
            </w:r>
          </w:p>
        </w:tc>
      </w:tr>
      <w:tr w:rsidR="00A34A14" w:rsidRPr="004111A7" w14:paraId="359F04D3" w14:textId="77777777" w:rsidTr="00456B4A">
        <w:tblPrEx>
          <w:tblLook w:val="0000" w:firstRow="0" w:lastRow="0" w:firstColumn="0" w:lastColumn="0" w:noHBand="0" w:noVBand="0"/>
        </w:tblPrEx>
        <w:trPr>
          <w:cantSplit/>
          <w:trHeight w:val="663"/>
        </w:trPr>
        <w:tc>
          <w:tcPr>
            <w:tcW w:w="2253" w:type="dxa"/>
          </w:tcPr>
          <w:p w14:paraId="52577605" w14:textId="77777777" w:rsidR="00A34A14" w:rsidRPr="004111A7" w:rsidRDefault="00A34A14" w:rsidP="006F6D9B">
            <w:pPr>
              <w:spacing w:beforeLines="40" w:before="96" w:after="120"/>
              <w:jc w:val="left"/>
            </w:pPr>
            <w:r w:rsidRPr="004111A7">
              <w:t>Special Accounts</w:t>
            </w:r>
          </w:p>
        </w:tc>
        <w:tc>
          <w:tcPr>
            <w:tcW w:w="5491" w:type="dxa"/>
          </w:tcPr>
          <w:p w14:paraId="00577137" w14:textId="77777777" w:rsidR="00A34A14" w:rsidRPr="004111A7" w:rsidRDefault="00A34A14" w:rsidP="006F6D9B">
            <w:pPr>
              <w:spacing w:beforeLines="40" w:before="96" w:after="120"/>
              <w:jc w:val="left"/>
            </w:pPr>
            <w:r w:rsidRPr="004111A7">
              <w:t xml:space="preserve">A type of </w:t>
            </w:r>
            <w:hyperlink r:id="rId12" w:anchor="special_appropriation" w:history="1">
              <w:r w:rsidRPr="004111A7">
                <w:t>special appropriation</w:t>
              </w:r>
            </w:hyperlink>
            <w:r w:rsidRPr="004111A7">
              <w:t>, limited by amount, criteria or time, which may be established under sections 78 and 80 of the PGPA Act.</w:t>
            </w:r>
          </w:p>
        </w:tc>
      </w:tr>
      <w:tr w:rsidR="00A34A14" w:rsidRPr="004111A7" w14:paraId="48DA0C97" w14:textId="77777777" w:rsidTr="00456B4A">
        <w:tblPrEx>
          <w:tblLook w:val="0000" w:firstRow="0" w:lastRow="0" w:firstColumn="0" w:lastColumn="0" w:noHBand="0" w:noVBand="0"/>
        </w:tblPrEx>
        <w:trPr>
          <w:cantSplit/>
          <w:trHeight w:val="350"/>
        </w:trPr>
        <w:tc>
          <w:tcPr>
            <w:tcW w:w="2253" w:type="dxa"/>
          </w:tcPr>
          <w:p w14:paraId="3088F530" w14:textId="77777777" w:rsidR="00A34A14" w:rsidRPr="004111A7" w:rsidRDefault="00A34A14" w:rsidP="006F6D9B">
            <w:pPr>
              <w:spacing w:beforeLines="40" w:before="96" w:after="120"/>
              <w:jc w:val="left"/>
            </w:pPr>
            <w:r w:rsidRPr="004111A7">
              <w:t xml:space="preserve">Special Appropriations </w:t>
            </w:r>
          </w:p>
        </w:tc>
        <w:tc>
          <w:tcPr>
            <w:tcW w:w="5491" w:type="dxa"/>
          </w:tcPr>
          <w:p w14:paraId="1132EED5" w14:textId="77777777" w:rsidR="00A34A14" w:rsidRPr="004111A7" w:rsidRDefault="00A34A14" w:rsidP="006F6D9B">
            <w:pPr>
              <w:spacing w:beforeLines="40" w:before="96" w:after="120"/>
              <w:jc w:val="left"/>
            </w:pPr>
            <w:r w:rsidRPr="004111A7">
              <w:t xml:space="preserve">Authority within an Act (other than an </w:t>
            </w:r>
            <w:hyperlink r:id="rId13" w:anchor="annual_appropriations" w:history="1">
              <w:r w:rsidRPr="004111A7">
                <w:t>annual Appropriation</w:t>
              </w:r>
            </w:hyperlink>
            <w:r w:rsidRPr="004111A7">
              <w:t xml:space="preserve"> Act) to spend money from the </w:t>
            </w:r>
            <w:hyperlink r:id="rId14" w:anchor="crf" w:history="1">
              <w:r w:rsidRPr="004111A7">
                <w:t>Consolidated Revenue Fund</w:t>
              </w:r>
            </w:hyperlink>
            <w:r w:rsidRPr="004111A7">
              <w:t xml:space="preserve"> for particular purposes. </w:t>
            </w:r>
            <w:r w:rsidRPr="004111A7">
              <w:rPr>
                <w:i/>
              </w:rPr>
              <w:t>The Social Security (Administration) Act 1999</w:t>
            </w:r>
            <w:r w:rsidRPr="004111A7">
              <w:t>, for example, contains several special appropriations to make social security payments. Special appropriations support around 80% of all government expenditure each year.</w:t>
            </w:r>
          </w:p>
          <w:p w14:paraId="6A01244A" w14:textId="77777777" w:rsidR="00A34A14" w:rsidRPr="004111A7" w:rsidRDefault="00A34A14" w:rsidP="006F6D9B">
            <w:pPr>
              <w:spacing w:beforeLines="40" w:before="96" w:after="120"/>
              <w:jc w:val="left"/>
            </w:pPr>
          </w:p>
        </w:tc>
      </w:tr>
    </w:tbl>
    <w:p w14:paraId="7021D14C" w14:textId="77777777" w:rsidR="00A34A14" w:rsidRDefault="00A34A14" w:rsidP="00A34A14">
      <w:pPr>
        <w:pStyle w:val="Source"/>
      </w:pPr>
    </w:p>
    <w:sectPr w:rsidR="00A34A14" w:rsidSect="00A97F8D">
      <w:headerReference w:type="even" r:id="rId15"/>
      <w:headerReference w:type="default" r:id="rId16"/>
      <w:headerReference w:type="first" r:id="rId17"/>
      <w:pgSz w:w="11906" w:h="16838" w:code="9"/>
      <w:pgMar w:top="2466" w:right="2098" w:bottom="2466" w:left="2098" w:header="1899" w:footer="189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77777777" w:rsidR="00B564C0" w:rsidRPr="00A97F8D" w:rsidRDefault="00B564C0" w:rsidP="00A97F8D">
    <w:pPr>
      <w:pStyle w:val="Header"/>
    </w:pP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60AC2AD0" w:rsidR="00B564C0" w:rsidRDefault="00B564C0" w:rsidP="00A02E16">
    <w:pPr>
      <w:pStyle w:val="HeaderOdd"/>
    </w:pPr>
    <w:r>
      <w:t>Glossary</w:t>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9BD" w14:textId="77777777" w:rsidR="00B564C0" w:rsidRPr="00970E65" w:rsidRDefault="00B564C0" w:rsidP="004461A4">
    <w:pPr>
      <w:pStyle w:val="HeaderOdd"/>
    </w:pPr>
    <w:r>
      <w:t>Glossary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2696"/>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ance.gov.au/resource-management/introduction/gloss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nance.gov.au/resource-management/introduction/glossa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ance.gov.au/resource-management/introduction/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D9F2FD12-B239-453E-8160-8052FD67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