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F205" w14:textId="77777777" w:rsidR="000671A4" w:rsidRPr="00F02BC5" w:rsidRDefault="000671A4">
      <w:pPr>
        <w:rPr>
          <w:b/>
          <w:smallCaps/>
          <w:kern w:val="34"/>
          <w:sz w:val="34"/>
          <w:lang w:eastAsia="en-AU"/>
        </w:rPr>
      </w:pPr>
      <w:bookmarkStart w:id="0" w:name="_Toc22012305"/>
      <w:bookmarkStart w:id="1" w:name="_Toc22012338"/>
      <w:bookmarkStart w:id="2" w:name="_Toc22012371"/>
      <w:bookmarkStart w:id="3" w:name="_Toc527705997"/>
      <w:bookmarkStart w:id="4" w:name="_Toc528687530"/>
      <w:bookmarkStart w:id="5" w:name="_GoBack"/>
      <w:bookmarkEnd w:id="5"/>
    </w:p>
    <w:p w14:paraId="23F76BD5" w14:textId="3A47D0FE" w:rsidR="00D34BB9" w:rsidRPr="00F02BC5" w:rsidRDefault="00D34BB9" w:rsidP="002B2BD7">
      <w:pPr>
        <w:pStyle w:val="Heading1"/>
        <w:rPr>
          <w:lang w:eastAsia="en-AU"/>
        </w:rPr>
      </w:pPr>
      <w:bookmarkStart w:id="6" w:name="_Toc23923005"/>
      <w:r w:rsidRPr="00F02BC5">
        <w:rPr>
          <w:lang w:eastAsia="en-AU"/>
        </w:rPr>
        <w:t>Commentary on the</w:t>
      </w:r>
      <w:r w:rsidRPr="00F02BC5">
        <w:rPr>
          <w:lang w:eastAsia="en-AU"/>
        </w:rPr>
        <w:br/>
      </w:r>
      <w:r w:rsidR="00595099" w:rsidRPr="00F02BC5">
        <w:rPr>
          <w:lang w:eastAsia="en-AU"/>
        </w:rPr>
        <w:t>C</w:t>
      </w:r>
      <w:r w:rsidRPr="00F02BC5">
        <w:rPr>
          <w:lang w:eastAsia="en-AU"/>
        </w:rPr>
        <w:t xml:space="preserve">onsolidated </w:t>
      </w:r>
      <w:r w:rsidR="00595099" w:rsidRPr="00F02BC5">
        <w:rPr>
          <w:lang w:eastAsia="en-AU"/>
        </w:rPr>
        <w:t>F</w:t>
      </w:r>
      <w:r w:rsidRPr="00F02BC5">
        <w:rPr>
          <w:lang w:eastAsia="en-AU"/>
        </w:rPr>
        <w:t xml:space="preserve">inancial </w:t>
      </w:r>
      <w:bookmarkEnd w:id="0"/>
      <w:bookmarkEnd w:id="1"/>
      <w:bookmarkEnd w:id="2"/>
      <w:r w:rsidR="00595099" w:rsidRPr="00F02BC5">
        <w:rPr>
          <w:lang w:eastAsia="en-AU"/>
        </w:rPr>
        <w:t>S</w:t>
      </w:r>
      <w:r w:rsidRPr="00F02BC5">
        <w:rPr>
          <w:lang w:eastAsia="en-AU"/>
        </w:rPr>
        <w:t>tatements</w:t>
      </w:r>
      <w:bookmarkEnd w:id="3"/>
      <w:bookmarkEnd w:id="4"/>
      <w:bookmarkEnd w:id="6"/>
    </w:p>
    <w:p w14:paraId="4E39CCCF" w14:textId="77777777" w:rsidR="00A33039" w:rsidRDefault="00A33039" w:rsidP="00D34BB9">
      <w:pPr>
        <w:sectPr w:rsidR="00A33039" w:rsidSect="00ED187A">
          <w:headerReference w:type="even" r:id="rId11"/>
          <w:headerReference w:type="default" r:id="rId12"/>
          <w:footerReference w:type="even" r:id="rId13"/>
          <w:footerReference w:type="default" r:id="rId14"/>
          <w:headerReference w:type="first" r:id="rId15"/>
          <w:footerReference w:type="first" r:id="rId16"/>
          <w:pgSz w:w="9979" w:h="14175" w:code="9"/>
          <w:pgMar w:top="1418" w:right="1134" w:bottom="1134" w:left="1418" w:header="1899" w:footer="1899" w:gutter="0"/>
          <w:cols w:space="708"/>
          <w:vAlign w:val="center"/>
          <w:titlePg/>
          <w:docGrid w:linePitch="360"/>
        </w:sectPr>
      </w:pPr>
    </w:p>
    <w:p w14:paraId="65F07ED4" w14:textId="62B17DF3" w:rsidR="009E5303" w:rsidRPr="00F02BC5" w:rsidRDefault="009E5303" w:rsidP="00D34BB9">
      <w:pPr>
        <w:sectPr w:rsidR="009E5303" w:rsidRPr="00F02BC5" w:rsidSect="00A532E0">
          <w:footerReference w:type="even" r:id="rId17"/>
          <w:pgSz w:w="9979" w:h="14175" w:code="9"/>
          <w:pgMar w:top="1418" w:right="1134" w:bottom="1134" w:left="1418" w:header="1899" w:footer="1899" w:gutter="0"/>
          <w:cols w:space="708"/>
          <w:vAlign w:val="center"/>
          <w:docGrid w:linePitch="360"/>
        </w:sectPr>
      </w:pPr>
    </w:p>
    <w:p w14:paraId="338A6D67" w14:textId="4B604F64" w:rsidR="00D34BB9" w:rsidRPr="00F02BC5" w:rsidRDefault="00D34BB9" w:rsidP="002B2BD7">
      <w:pPr>
        <w:pStyle w:val="Heading2"/>
        <w:rPr>
          <w:lang w:eastAsia="en-AU"/>
        </w:rPr>
      </w:pPr>
      <w:bookmarkStart w:id="7" w:name="_Toc23923006"/>
      <w:r w:rsidRPr="00F02BC5">
        <w:rPr>
          <w:lang w:eastAsia="en-AU"/>
        </w:rPr>
        <w:t>Introduction</w:t>
      </w:r>
      <w:bookmarkEnd w:id="7"/>
      <w:r w:rsidR="00992E3D" w:rsidRPr="00F02BC5">
        <w:rPr>
          <w:lang w:eastAsia="en-AU"/>
        </w:rPr>
        <w:t xml:space="preserve"> </w:t>
      </w:r>
    </w:p>
    <w:p w14:paraId="67ABCA44" w14:textId="77777777" w:rsidR="004F6F89" w:rsidRPr="00F02BC5" w:rsidRDefault="004F6F89" w:rsidP="004F6F89">
      <w:pPr>
        <w:pStyle w:val="Disclosuretext"/>
      </w:pPr>
      <w:r w:rsidRPr="00F02BC5">
        <w:t>The 2019-20 Consolidated Financial Statements (CFS) for the</w:t>
      </w:r>
      <w:r w:rsidRPr="00F02BC5">
        <w:br/>
        <w:t xml:space="preserve"> Australian Government present the whole of government and general government sector (GGS) financial reports and are prepared in accordance with AASB 1049 </w:t>
      </w:r>
      <w:r w:rsidRPr="00F02BC5">
        <w:rPr>
          <w:i/>
        </w:rPr>
        <w:t>Whole of Government and General Government Sector Financial Reporting</w:t>
      </w:r>
      <w:r w:rsidRPr="00F02BC5">
        <w:t xml:space="preserve"> (AASB 1049). They are required by section 48 of the </w:t>
      </w:r>
      <w:r w:rsidRPr="00F02BC5">
        <w:rPr>
          <w:i/>
        </w:rPr>
        <w:t>Public Governance, Performance and Accountability Act 2013</w:t>
      </w:r>
      <w:r w:rsidRPr="00F02BC5">
        <w:t xml:space="preserve"> (PGPA Act).</w:t>
      </w:r>
    </w:p>
    <w:p w14:paraId="5155764F" w14:textId="29B030B0" w:rsidR="00107A1D" w:rsidRPr="00F02BC5" w:rsidRDefault="004F6F89" w:rsidP="00882FBE">
      <w:pPr>
        <w:pStyle w:val="Disclosuretext"/>
      </w:pPr>
      <w:r w:rsidRPr="00F02BC5">
        <w:t>The CFS includes the consolidated results for all Australian Government controlled entities as well as disaggregated information on the sectors of government (GGS, public non</w:t>
      </w:r>
      <w:r w:rsidRPr="00F02BC5">
        <w:noBreakHyphen/>
        <w:t>financial corporations (PNFC) and public financial corporations (PFC))</w:t>
      </w:r>
      <w:r w:rsidRPr="00F02BC5">
        <w:rPr>
          <w:vertAlign w:val="superscript"/>
        </w:rPr>
        <w:footnoteReference w:id="1"/>
      </w:r>
      <w:r w:rsidRPr="00F02BC5">
        <w:t>. Unless explicitly stated, the financial results reported in this commentary comprise consolidated amounts for the Australian Government as a whole, inclusive of the GGS and PNFC and PFC sectors</w:t>
      </w:r>
      <w:r w:rsidRPr="00F02BC5">
        <w:rPr>
          <w:vertAlign w:val="superscript"/>
        </w:rPr>
        <w:footnoteReference w:id="2"/>
      </w:r>
      <w:r w:rsidRPr="00F02BC5">
        <w:t>. The GGS results in the 2019-20 CFS materially align with the 2019-20 Final Budget Outcome.</w:t>
      </w:r>
    </w:p>
    <w:p w14:paraId="2C78B289" w14:textId="77777777" w:rsidR="00241CD0" w:rsidRPr="00F02BC5" w:rsidRDefault="00241CD0" w:rsidP="00E734CE">
      <w:pPr>
        <w:pStyle w:val="Heading2-NoTOC"/>
        <w:spacing w:before="0" w:line="360" w:lineRule="auto"/>
      </w:pPr>
      <w:r w:rsidRPr="00F02BC5">
        <w:t>At a glance</w:t>
      </w:r>
    </w:p>
    <w:p w14:paraId="2D6604A4" w14:textId="18237B6D" w:rsidR="00241CD0" w:rsidRPr="00F02BC5" w:rsidRDefault="00241CD0" w:rsidP="0038598B">
      <w:pPr>
        <w:pStyle w:val="Tableheading"/>
        <w:spacing w:after="0"/>
        <w:rPr>
          <w:lang w:eastAsia="en-AU"/>
        </w:rPr>
      </w:pPr>
      <w:r w:rsidRPr="00F02BC5">
        <w:rPr>
          <w:lang w:eastAsia="en-AU"/>
        </w:rPr>
        <w:t>Table 1: Financial result</w:t>
      </w:r>
      <w:r w:rsidR="006D55CA" w:rsidRPr="00F02BC5">
        <w:rPr>
          <w:lang w:eastAsia="en-AU"/>
        </w:rPr>
        <w:t>s for the year ended 30 June 2020</w:t>
      </w:r>
    </w:p>
    <w:p w14:paraId="06E3F8D4" w14:textId="4AB6450A" w:rsidR="0065664B" w:rsidRPr="00F02BC5" w:rsidRDefault="0065664B" w:rsidP="0065664B">
      <w:pPr>
        <w:pStyle w:val="Tableheading"/>
        <w:spacing w:after="0" w:line="360" w:lineRule="auto"/>
        <w:rPr>
          <w:rStyle w:val="FootnoteReference"/>
        </w:rPr>
      </w:pPr>
      <w:r w:rsidRPr="00F02BC5">
        <w:rPr>
          <w:noProof/>
          <w:lang w:eastAsia="en-AU"/>
        </w:rPr>
        <w:drawing>
          <wp:inline distT="0" distB="0" distL="0" distR="0" wp14:anchorId="491D5F75" wp14:editId="44068F5A">
            <wp:extent cx="4537710" cy="2613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7710" cy="2613660"/>
                    </a:xfrm>
                    <a:prstGeom prst="rect">
                      <a:avLst/>
                    </a:prstGeom>
                    <a:noFill/>
                    <a:ln>
                      <a:noFill/>
                    </a:ln>
                  </pic:spPr>
                </pic:pic>
              </a:graphicData>
            </a:graphic>
          </wp:inline>
        </w:drawing>
      </w:r>
    </w:p>
    <w:p w14:paraId="2B95C5D4" w14:textId="3ECF98FE" w:rsidR="00D34BB9" w:rsidRPr="00F02BC5" w:rsidRDefault="00D34BB9" w:rsidP="002B2BD7">
      <w:pPr>
        <w:pStyle w:val="Tablenotes"/>
        <w:rPr>
          <w:lang w:eastAsia="en-AU"/>
        </w:rPr>
      </w:pPr>
      <w:r w:rsidRPr="00F02BC5">
        <w:rPr>
          <w:lang w:eastAsia="en-AU"/>
        </w:rPr>
        <w:t>Net operating balance equals total revenue minus total expenses.</w:t>
      </w:r>
    </w:p>
    <w:p w14:paraId="2BD31050" w14:textId="77777777" w:rsidR="00D34BB9" w:rsidRPr="00F02BC5" w:rsidRDefault="00D34BB9" w:rsidP="002B2BD7">
      <w:pPr>
        <w:pStyle w:val="Tablenotes"/>
        <w:rPr>
          <w:lang w:eastAsia="en-AU"/>
        </w:rPr>
      </w:pPr>
      <w:r w:rsidRPr="00F02BC5">
        <w:rPr>
          <w:lang w:eastAsia="en-AU"/>
        </w:rPr>
        <w:t>Fiscal balance (or net lending/borrowing) is the net operating balance less net capital investment.</w:t>
      </w:r>
    </w:p>
    <w:p w14:paraId="5B258CAD" w14:textId="77777777" w:rsidR="00EB5B15" w:rsidRPr="00F02BC5" w:rsidRDefault="00D34BB9" w:rsidP="005300BF">
      <w:pPr>
        <w:pStyle w:val="Tablenotes"/>
      </w:pPr>
      <w:r w:rsidRPr="00F02BC5">
        <w:t>Net worth is calculated as total assets minus total liabilities.</w:t>
      </w:r>
    </w:p>
    <w:p w14:paraId="0A4D2287" w14:textId="4E0C51BC" w:rsidR="00241CD0" w:rsidRPr="00F02BC5" w:rsidRDefault="00241CD0" w:rsidP="002B2BD7">
      <w:pPr>
        <w:pStyle w:val="Heading4"/>
      </w:pPr>
      <w:r w:rsidRPr="00F02BC5">
        <w:t>Operating statement (net operating balance)</w:t>
      </w:r>
      <w:r w:rsidRPr="00F02BC5">
        <w:tab/>
      </w:r>
    </w:p>
    <w:p w14:paraId="4C325CAD" w14:textId="3CF9F236" w:rsidR="00010061" w:rsidRPr="00F02BC5" w:rsidRDefault="00AD63F0" w:rsidP="0038598B">
      <w:pPr>
        <w:pStyle w:val="Tableheading"/>
        <w:spacing w:after="0"/>
        <w:rPr>
          <w:lang w:eastAsia="en-AU"/>
        </w:rPr>
      </w:pPr>
      <w:r w:rsidRPr="00F02BC5">
        <w:rPr>
          <w:lang w:eastAsia="en-AU"/>
        </w:rPr>
        <w:t>Table 2: Operating statement</w:t>
      </w:r>
    </w:p>
    <w:p w14:paraId="431A3C31" w14:textId="47F5A511" w:rsidR="00EA356E" w:rsidRPr="00F02BC5" w:rsidRDefault="0065664B" w:rsidP="00010061">
      <w:r w:rsidRPr="00F02BC5">
        <w:rPr>
          <w:noProof/>
          <w:lang w:eastAsia="en-AU"/>
        </w:rPr>
        <w:drawing>
          <wp:inline distT="0" distB="0" distL="0" distR="0" wp14:anchorId="20E66BA9" wp14:editId="7D8BDFBF">
            <wp:extent cx="4716145" cy="1937709"/>
            <wp:effectExtent l="0" t="0" r="825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6145" cy="1937709"/>
                    </a:xfrm>
                    <a:prstGeom prst="rect">
                      <a:avLst/>
                    </a:prstGeom>
                    <a:noFill/>
                    <a:ln>
                      <a:noFill/>
                    </a:ln>
                  </pic:spPr>
                </pic:pic>
              </a:graphicData>
            </a:graphic>
          </wp:inline>
        </w:drawing>
      </w:r>
    </w:p>
    <w:p w14:paraId="4C2C9E33" w14:textId="77777777" w:rsidR="00857EEC" w:rsidRPr="00F02BC5" w:rsidRDefault="00857EEC" w:rsidP="00857EEC">
      <w:pPr>
        <w:pStyle w:val="Chartheading"/>
      </w:pPr>
    </w:p>
    <w:p w14:paraId="4546EFFD" w14:textId="18997289" w:rsidR="00010061" w:rsidRPr="00F02BC5" w:rsidRDefault="00010061" w:rsidP="00857EEC">
      <w:pPr>
        <w:pStyle w:val="Chartheading"/>
      </w:pPr>
      <w:r w:rsidRPr="00F02BC5">
        <w:t>Chart 1: Operating statement (per cent of GDP)</w:t>
      </w:r>
      <w:r w:rsidRPr="00F02BC5">
        <w:rPr>
          <w:rFonts w:eastAsia="Calibri"/>
        </w:rPr>
        <w:t xml:space="preserve"> </w:t>
      </w:r>
      <w:r w:rsidR="00F5383C" w:rsidRPr="00F02BC5">
        <w:t>since 2010-11</w:t>
      </w:r>
    </w:p>
    <w:p w14:paraId="44093C50" w14:textId="2062B23A" w:rsidR="008F0CB5" w:rsidRPr="00F02BC5" w:rsidRDefault="008F0CB5" w:rsidP="008F0CB5">
      <w:pPr>
        <w:rPr>
          <w:lang w:eastAsia="en-AU"/>
        </w:rPr>
      </w:pPr>
    </w:p>
    <w:p w14:paraId="4D71910E" w14:textId="77B0DF23" w:rsidR="006A50D8" w:rsidRPr="00F02BC5" w:rsidRDefault="00AF7D27" w:rsidP="00587F30">
      <w:r>
        <w:rPr>
          <w:noProof/>
          <w:lang w:eastAsia="en-AU"/>
        </w:rPr>
        <w:drawing>
          <wp:inline distT="0" distB="0" distL="0" distR="0" wp14:anchorId="01A5FB51" wp14:editId="0434C687">
            <wp:extent cx="4932045" cy="3169920"/>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2045" cy="3169920"/>
                    </a:xfrm>
                    <a:prstGeom prst="rect">
                      <a:avLst/>
                    </a:prstGeom>
                    <a:noFill/>
                  </pic:spPr>
                </pic:pic>
              </a:graphicData>
            </a:graphic>
          </wp:inline>
        </w:drawing>
      </w:r>
    </w:p>
    <w:p w14:paraId="18D69F41" w14:textId="77777777" w:rsidR="006A50D8" w:rsidRPr="00F02BC5" w:rsidRDefault="006A50D8">
      <w:r w:rsidRPr="00F02BC5">
        <w:br w:type="page"/>
      </w:r>
    </w:p>
    <w:p w14:paraId="7CA839EE" w14:textId="77777777" w:rsidR="006A50D8" w:rsidRPr="00F02BC5" w:rsidRDefault="006A50D8" w:rsidP="002B2BD7">
      <w:pPr>
        <w:pStyle w:val="Heading4"/>
        <w:rPr>
          <w:lang w:eastAsia="en-AU"/>
        </w:rPr>
      </w:pPr>
      <w:r w:rsidRPr="00F02BC5">
        <w:rPr>
          <w:lang w:eastAsia="en-AU"/>
        </w:rPr>
        <w:t>Balance sheet (net worth)</w:t>
      </w:r>
    </w:p>
    <w:p w14:paraId="37360DD0" w14:textId="136562F5" w:rsidR="004150D3" w:rsidRPr="00F02BC5" w:rsidRDefault="006A50D8" w:rsidP="0038598B">
      <w:pPr>
        <w:pStyle w:val="Tableheading"/>
        <w:spacing w:after="0"/>
        <w:rPr>
          <w:lang w:eastAsia="en-AU"/>
        </w:rPr>
      </w:pPr>
      <w:r w:rsidRPr="00F02BC5">
        <w:rPr>
          <w:lang w:eastAsia="en-AU"/>
        </w:rPr>
        <w:t>Table 3: Balance sheet</w:t>
      </w:r>
    </w:p>
    <w:p w14:paraId="33920E5F" w14:textId="72496230" w:rsidR="00CB4056" w:rsidRPr="00F02BC5" w:rsidRDefault="0065664B" w:rsidP="00A47A99">
      <w:pPr>
        <w:pStyle w:val="Tableheading"/>
        <w:spacing w:after="0" w:line="360" w:lineRule="auto"/>
        <w:rPr>
          <w:rFonts w:eastAsia="Calibri"/>
          <w:b w:val="0"/>
          <w:lang w:eastAsia="en-AU"/>
        </w:rPr>
      </w:pPr>
      <w:r w:rsidRPr="00F02BC5">
        <w:rPr>
          <w:rFonts w:eastAsia="Calibri"/>
          <w:b w:val="0"/>
          <w:noProof/>
          <w:lang w:eastAsia="en-AU"/>
        </w:rPr>
        <w:drawing>
          <wp:inline distT="0" distB="0" distL="0" distR="0" wp14:anchorId="66717561" wp14:editId="29425F29">
            <wp:extent cx="4494530" cy="228600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4530" cy="2286000"/>
                    </a:xfrm>
                    <a:prstGeom prst="rect">
                      <a:avLst/>
                    </a:prstGeom>
                    <a:noFill/>
                    <a:ln>
                      <a:noFill/>
                    </a:ln>
                  </pic:spPr>
                </pic:pic>
              </a:graphicData>
            </a:graphic>
          </wp:inline>
        </w:drawing>
      </w:r>
    </w:p>
    <w:p w14:paraId="12A4D233" w14:textId="72BA8EE0" w:rsidR="004150D3" w:rsidRPr="00F02BC5" w:rsidRDefault="004150D3" w:rsidP="00E138C5">
      <w:pPr>
        <w:pStyle w:val="Tablenotes"/>
        <w:numPr>
          <w:ilvl w:val="0"/>
          <w:numId w:val="24"/>
        </w:numPr>
      </w:pPr>
      <w:r w:rsidRPr="00F02BC5">
        <w:t>Net financial worth equals total financial assets minus total liabilities.</w:t>
      </w:r>
    </w:p>
    <w:p w14:paraId="5820A380" w14:textId="77777777" w:rsidR="004150D3" w:rsidRPr="00F02BC5" w:rsidRDefault="004150D3" w:rsidP="00530A43">
      <w:pPr>
        <w:pStyle w:val="Tablenotes"/>
        <w:numPr>
          <w:ilvl w:val="0"/>
          <w:numId w:val="38"/>
        </w:numPr>
      </w:pPr>
      <w:r w:rsidRPr="00F02BC5">
        <w:t>Net debt equals the sum of the deposits held, government securities, loans and other borrowing, minus the sum of the cash and deposits, advances paid and investments, loans and placements.</w:t>
      </w:r>
    </w:p>
    <w:p w14:paraId="325DA7DE" w14:textId="2EDEDFA2" w:rsidR="00241CD0" w:rsidRPr="00F02BC5" w:rsidRDefault="00241CD0" w:rsidP="00E734CE">
      <w:pPr>
        <w:pStyle w:val="Tablenotes"/>
        <w:numPr>
          <w:ilvl w:val="0"/>
          <w:numId w:val="0"/>
        </w:numPr>
        <w:ind w:left="357"/>
      </w:pPr>
    </w:p>
    <w:p w14:paraId="4DFDB542" w14:textId="77777777" w:rsidR="006A50D8" w:rsidRPr="00F02BC5" w:rsidRDefault="006A50D8" w:rsidP="006A50D8">
      <w:pPr>
        <w:spacing w:after="240" w:line="260" w:lineRule="exact"/>
        <w:rPr>
          <w:lang w:eastAsia="en-AU"/>
        </w:rPr>
      </w:pPr>
    </w:p>
    <w:p w14:paraId="191F7501" w14:textId="7D8CE4E6" w:rsidR="006A50D8" w:rsidRPr="00F02BC5" w:rsidRDefault="006A50D8" w:rsidP="00857EEC">
      <w:pPr>
        <w:pStyle w:val="Chartheading"/>
      </w:pPr>
      <w:r w:rsidRPr="00F02BC5">
        <w:t>Chart 2: Balance shee</w:t>
      </w:r>
      <w:r w:rsidR="00BE659A" w:rsidRPr="00F02BC5">
        <w:t>t</w:t>
      </w:r>
      <w:r w:rsidR="00F5383C" w:rsidRPr="00F02BC5">
        <w:t xml:space="preserve"> (per cent of GDP) since 2010-11</w:t>
      </w:r>
    </w:p>
    <w:p w14:paraId="66D85A8A" w14:textId="14512D28" w:rsidR="0064616D" w:rsidRPr="00F02BC5" w:rsidRDefault="00AF7D27">
      <w:pPr>
        <w:rPr>
          <w:noProof/>
          <w:lang w:eastAsia="en-AU"/>
        </w:rPr>
      </w:pPr>
      <w:r>
        <w:rPr>
          <w:noProof/>
          <w:lang w:eastAsia="en-AU"/>
        </w:rPr>
        <w:drawing>
          <wp:inline distT="0" distB="0" distL="0" distR="0" wp14:anchorId="35D78455" wp14:editId="4957A90C">
            <wp:extent cx="4783666" cy="2758548"/>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6416" cy="2777434"/>
                    </a:xfrm>
                    <a:prstGeom prst="rect">
                      <a:avLst/>
                    </a:prstGeom>
                    <a:noFill/>
                  </pic:spPr>
                </pic:pic>
              </a:graphicData>
            </a:graphic>
          </wp:inline>
        </w:drawing>
      </w:r>
    </w:p>
    <w:p w14:paraId="15163C4C" w14:textId="48BB9F48" w:rsidR="00EB4D59" w:rsidRPr="00F02BC5" w:rsidRDefault="00EB4D59">
      <w:pPr>
        <w:rPr>
          <w:noProof/>
          <w:lang w:eastAsia="en-AU"/>
        </w:rPr>
      </w:pPr>
    </w:p>
    <w:p w14:paraId="4F0D4246" w14:textId="77777777" w:rsidR="00AF7D27" w:rsidRDefault="00AF7D27">
      <w:pPr>
        <w:rPr>
          <w:b/>
          <w:smallCaps/>
          <w:sz w:val="26"/>
          <w:szCs w:val="26"/>
          <w:lang w:eastAsia="en-AU"/>
        </w:rPr>
      </w:pPr>
      <w:bookmarkStart w:id="8" w:name="_Toc23923007"/>
      <w:r>
        <w:rPr>
          <w:lang w:eastAsia="en-AU"/>
        </w:rPr>
        <w:br w:type="page"/>
      </w:r>
    </w:p>
    <w:p w14:paraId="1113F31F" w14:textId="5873017F" w:rsidR="00241CD0" w:rsidRPr="00F02BC5" w:rsidRDefault="002B4A40" w:rsidP="00AD3F3E">
      <w:pPr>
        <w:pStyle w:val="Heading2"/>
        <w:rPr>
          <w:lang w:eastAsia="en-AU"/>
        </w:rPr>
      </w:pPr>
      <w:r w:rsidRPr="00F02BC5">
        <w:rPr>
          <w:lang w:eastAsia="en-AU"/>
        </w:rPr>
        <w:t>Discussion and A</w:t>
      </w:r>
      <w:r w:rsidR="00241CD0" w:rsidRPr="00F02BC5">
        <w:rPr>
          <w:lang w:eastAsia="en-AU"/>
        </w:rPr>
        <w:t>nalysis</w:t>
      </w:r>
      <w:bookmarkEnd w:id="8"/>
      <w:r w:rsidR="00241CD0" w:rsidRPr="00F02BC5">
        <w:rPr>
          <w:lang w:eastAsia="en-AU"/>
        </w:rPr>
        <w:t xml:space="preserve"> </w:t>
      </w:r>
    </w:p>
    <w:p w14:paraId="4562B8FD" w14:textId="77777777" w:rsidR="00241CD0" w:rsidRPr="00F02BC5" w:rsidRDefault="00241CD0" w:rsidP="00AD3F3E">
      <w:pPr>
        <w:pStyle w:val="Heading3"/>
      </w:pPr>
      <w:r w:rsidRPr="00F02BC5">
        <w:t>Net operating balance</w:t>
      </w:r>
    </w:p>
    <w:p w14:paraId="73D951D7" w14:textId="4DE1B295" w:rsidR="004F6F89" w:rsidRPr="00F02BC5" w:rsidRDefault="004F6F89" w:rsidP="004F6F89">
      <w:pPr>
        <w:pStyle w:val="Disclosuretext"/>
      </w:pPr>
      <w:r w:rsidRPr="00F02BC5">
        <w:t>The Australian Government’s net operating balance was a deficit of $99.</w:t>
      </w:r>
      <w:r w:rsidR="0065664B" w:rsidRPr="00F02BC5">
        <w:t>7</w:t>
      </w:r>
      <w:r w:rsidRPr="00F02BC5">
        <w:t xml:space="preserve"> billion for the year ended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Pr="00F02BC5">
        <w:t>, a deterioration of $102.</w:t>
      </w:r>
      <w:r w:rsidR="0065664B" w:rsidRPr="00F02BC5">
        <w:t>9</w:t>
      </w:r>
      <w:r w:rsidRPr="00F02BC5">
        <w:t xml:space="preserve"> billion against the 30 June </w:t>
      </w:r>
      <w:r w:rsidR="001141C2">
        <w:fldChar w:fldCharType="begin"/>
      </w:r>
      <w:r w:rsidR="001141C2">
        <w:instrText xml:space="preserve"> DOCPROPERTY  prYear  \* MERGEFORMAT </w:instrText>
      </w:r>
      <w:r w:rsidR="001141C2">
        <w:fldChar w:fldCharType="separate"/>
      </w:r>
      <w:r w:rsidRPr="00F02BC5">
        <w:t>2019</w:t>
      </w:r>
      <w:r w:rsidR="001141C2">
        <w:fldChar w:fldCharType="end"/>
      </w:r>
      <w:r w:rsidRPr="00F02BC5">
        <w:t xml:space="preserve"> result. The change in the net operating balance reflects the significant impact of the global COVID-19 pandemic and the scale of the Government’s economic response to support the Australian economy.</w:t>
      </w:r>
    </w:p>
    <w:p w14:paraId="73258CBA" w14:textId="77777777" w:rsidR="004F6F89" w:rsidRPr="00F02BC5" w:rsidRDefault="004F6F89" w:rsidP="004F6F89">
      <w:pPr>
        <w:pStyle w:val="Disclosuretext"/>
        <w:rPr>
          <w:rFonts w:eastAsia="Times New Roman"/>
        </w:rPr>
      </w:pPr>
      <w:r w:rsidRPr="00F02BC5">
        <w:t>The COVID-19 pandemic has caused severe contractions in economic activity, resulting in lower taxation revenue and higher unemployment benefit payments.</w:t>
      </w:r>
    </w:p>
    <w:p w14:paraId="29E6E66C" w14:textId="0294C3DE" w:rsidR="00241CD0" w:rsidRPr="00F02BC5" w:rsidRDefault="004F6F89" w:rsidP="004F6F89">
      <w:pPr>
        <w:pStyle w:val="Disclosuretext"/>
      </w:pPr>
      <w:r w:rsidRPr="00F02BC5">
        <w:t>As part of the Government’s response to COVID-19, economic support was provided to assist households and help businesses continue to operate through the economic downturn. This included the establishment of the time limited Coronavirus Supplement for income support recipients and the provision of the first $750 Economic Support Payment to pensioners and eligible recipients to manage the economic impact of COVID</w:t>
      </w:r>
      <w:r w:rsidRPr="00F02BC5">
        <w:noBreakHyphen/>
        <w:t>19. The Government also introduced the JobKeeper Payment to help businesses significantly impacted by COVID</w:t>
      </w:r>
      <w:r w:rsidRPr="00F02BC5">
        <w:noBreakHyphen/>
        <w:t>19 to cover the costs of their employees’ wages and provided temporary tax-free cash flow boosts to support eligible small and medium-sized businesses and not</w:t>
      </w:r>
      <w:r w:rsidRPr="00F02BC5">
        <w:noBreakHyphen/>
        <w:t>for</w:t>
      </w:r>
      <w:r w:rsidRPr="00F02BC5">
        <w:noBreakHyphen/>
        <w:t>profit organisations</w:t>
      </w:r>
      <w:r w:rsidR="00F5383C" w:rsidRPr="00F02BC5">
        <w:t>.</w:t>
      </w:r>
    </w:p>
    <w:p w14:paraId="6C3E004A" w14:textId="5BC014E2" w:rsidR="00A47A99" w:rsidRPr="00F02BC5" w:rsidRDefault="00241CD0" w:rsidP="0038598B">
      <w:pPr>
        <w:pStyle w:val="Tableheading"/>
        <w:spacing w:after="0"/>
        <w:rPr>
          <w:lang w:eastAsia="en-AU"/>
        </w:rPr>
      </w:pPr>
      <w:r w:rsidRPr="00F02BC5">
        <w:rPr>
          <w:lang w:eastAsia="en-AU"/>
        </w:rPr>
        <w:t xml:space="preserve">Table 4: Operating statement </w:t>
      </w:r>
    </w:p>
    <w:p w14:paraId="72EE13D7" w14:textId="31D2DFB3" w:rsidR="00A47A99" w:rsidRPr="00F02BC5" w:rsidRDefault="0065664B" w:rsidP="00AD3F3E">
      <w:pPr>
        <w:pStyle w:val="Tableheading"/>
      </w:pPr>
      <w:r w:rsidRPr="00F02BC5">
        <w:rPr>
          <w:noProof/>
          <w:lang w:eastAsia="en-AU"/>
        </w:rPr>
        <w:drawing>
          <wp:inline distT="0" distB="0" distL="0" distR="0" wp14:anchorId="382BD96B" wp14:editId="6A03E0C5">
            <wp:extent cx="4701540" cy="1104265"/>
            <wp:effectExtent l="0" t="0" r="381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1540" cy="1104265"/>
                    </a:xfrm>
                    <a:prstGeom prst="rect">
                      <a:avLst/>
                    </a:prstGeom>
                    <a:noFill/>
                    <a:ln>
                      <a:noFill/>
                    </a:ln>
                  </pic:spPr>
                </pic:pic>
              </a:graphicData>
            </a:graphic>
          </wp:inline>
        </w:drawing>
      </w:r>
    </w:p>
    <w:p w14:paraId="3BFF0618" w14:textId="6D25E1E0" w:rsidR="00241CD0" w:rsidRPr="00F02BC5" w:rsidRDefault="00241CD0" w:rsidP="00241CD0">
      <w:pPr>
        <w:keepNext/>
        <w:rPr>
          <w:rFonts w:cs="Arial"/>
          <w:b/>
        </w:rPr>
      </w:pPr>
    </w:p>
    <w:p w14:paraId="43BF6DD8" w14:textId="77777777" w:rsidR="00F5383C" w:rsidRPr="00F02BC5" w:rsidRDefault="00F5383C">
      <w:pPr>
        <w:rPr>
          <w:rFonts w:ascii="Book Antiqua" w:hAnsi="Book Antiqua"/>
          <w:spacing w:val="4"/>
          <w:sz w:val="20"/>
          <w:lang w:eastAsia="en-AU"/>
        </w:rPr>
      </w:pPr>
      <w:r w:rsidRPr="00F02BC5">
        <w:br w:type="page"/>
      </w:r>
    </w:p>
    <w:p w14:paraId="3A58C629" w14:textId="0AE62DCF" w:rsidR="00241CD0" w:rsidRPr="00F02BC5" w:rsidRDefault="00241CD0" w:rsidP="00F63E85">
      <w:pPr>
        <w:pStyle w:val="Disclosuretext"/>
      </w:pPr>
      <w:r w:rsidRPr="00F02BC5">
        <w:t>Chart 3 below shows the composition of the Australian Government’s net</w:t>
      </w:r>
      <w:r w:rsidR="00F5383C" w:rsidRPr="00F02BC5">
        <w:t xml:space="preserve"> operating balance since 2010-11</w:t>
      </w:r>
      <w:r w:rsidRPr="00F02BC5">
        <w:t>.</w:t>
      </w:r>
    </w:p>
    <w:p w14:paraId="7AB6ECBB" w14:textId="2612BA98" w:rsidR="00241CD0" w:rsidRPr="00F02BC5" w:rsidRDefault="00241CD0" w:rsidP="00AD3F3E">
      <w:pPr>
        <w:pStyle w:val="Chartheading"/>
      </w:pPr>
      <w:r w:rsidRPr="00F02BC5">
        <w:t>Chart 3: O</w:t>
      </w:r>
      <w:r w:rsidR="00BE659A" w:rsidRPr="00F02BC5">
        <w:t>p</w:t>
      </w:r>
      <w:r w:rsidR="00F5383C" w:rsidRPr="00F02BC5">
        <w:t>erating statement since 2010-11</w:t>
      </w:r>
    </w:p>
    <w:p w14:paraId="1D52E27D" w14:textId="19A4D4C0" w:rsidR="00EC6716" w:rsidRPr="00F02BC5" w:rsidRDefault="00EC6716" w:rsidP="00EC6716">
      <w:pPr>
        <w:rPr>
          <w:lang w:eastAsia="en-AU"/>
        </w:rPr>
      </w:pPr>
    </w:p>
    <w:p w14:paraId="087F38A3" w14:textId="26ECE7C1" w:rsidR="00992E3D" w:rsidRPr="00F02BC5" w:rsidRDefault="00AF7D27" w:rsidP="00573A64">
      <w:pPr>
        <w:pStyle w:val="Disclosuretext"/>
      </w:pPr>
      <w:r>
        <w:rPr>
          <w:noProof/>
        </w:rPr>
        <w:drawing>
          <wp:inline distT="0" distB="0" distL="0" distR="0" wp14:anchorId="6C764D1D" wp14:editId="17E4285B">
            <wp:extent cx="4651375" cy="25971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1375" cy="2597150"/>
                    </a:xfrm>
                    <a:prstGeom prst="rect">
                      <a:avLst/>
                    </a:prstGeom>
                    <a:noFill/>
                  </pic:spPr>
                </pic:pic>
              </a:graphicData>
            </a:graphic>
          </wp:inline>
        </w:drawing>
      </w:r>
    </w:p>
    <w:p w14:paraId="14850E18" w14:textId="77777777" w:rsidR="0091591C" w:rsidRPr="00F02BC5" w:rsidRDefault="0091591C" w:rsidP="00573A64">
      <w:pPr>
        <w:pStyle w:val="Disclosuretext"/>
      </w:pPr>
    </w:p>
    <w:p w14:paraId="61F2CD99" w14:textId="77777777" w:rsidR="00CF7084" w:rsidRPr="00F02BC5" w:rsidRDefault="00CF7084" w:rsidP="00573A64">
      <w:pPr>
        <w:pStyle w:val="Disclosuretext"/>
      </w:pPr>
    </w:p>
    <w:p w14:paraId="595EA490" w14:textId="77777777" w:rsidR="00CF7084" w:rsidRPr="00F02BC5" w:rsidRDefault="00CF7084" w:rsidP="00573A64">
      <w:pPr>
        <w:pStyle w:val="Disclosuretext"/>
      </w:pPr>
    </w:p>
    <w:p w14:paraId="535200CE" w14:textId="77777777" w:rsidR="00CB4056" w:rsidRPr="00F02BC5" w:rsidRDefault="00CB4056" w:rsidP="00573A64">
      <w:pPr>
        <w:pStyle w:val="Disclosuretext"/>
      </w:pPr>
    </w:p>
    <w:p w14:paraId="2E8579B3" w14:textId="77777777" w:rsidR="00F5383C" w:rsidRPr="00F02BC5" w:rsidRDefault="00F5383C">
      <w:pPr>
        <w:rPr>
          <w:b/>
          <w:sz w:val="20"/>
        </w:rPr>
      </w:pPr>
      <w:r w:rsidRPr="00F02BC5">
        <w:br w:type="page"/>
      </w:r>
    </w:p>
    <w:p w14:paraId="78EFCF74" w14:textId="63618057" w:rsidR="00241CD0" w:rsidRPr="00F02BC5" w:rsidRDefault="00241CD0" w:rsidP="00AD3F3E">
      <w:pPr>
        <w:pStyle w:val="Heading4"/>
      </w:pPr>
      <w:r w:rsidRPr="00F02BC5">
        <w:t>Revenue</w:t>
      </w:r>
    </w:p>
    <w:p w14:paraId="22F69558" w14:textId="678DC936" w:rsidR="00241CD0" w:rsidRPr="00F02BC5" w:rsidRDefault="004F6F89" w:rsidP="00F63E85">
      <w:pPr>
        <w:pStyle w:val="Disclosuretext"/>
      </w:pPr>
      <w:r w:rsidRPr="00F02BC5">
        <w:t>The Australian Government’s revenue decreased by $7.5 billion (1.5 per cent) in 2019-20 to $500.3 billion</w:t>
      </w:r>
      <w:r w:rsidR="00F5383C" w:rsidRPr="00F02BC5">
        <w:t>.</w:t>
      </w:r>
    </w:p>
    <w:p w14:paraId="68CC22B7" w14:textId="096A3DB4" w:rsidR="00241CD0" w:rsidRPr="00F02BC5" w:rsidRDefault="00241CD0" w:rsidP="0038598B">
      <w:pPr>
        <w:pStyle w:val="Tableheading"/>
        <w:spacing w:after="0"/>
        <w:rPr>
          <w:lang w:eastAsia="en-AU"/>
        </w:rPr>
      </w:pPr>
      <w:r w:rsidRPr="00F02BC5">
        <w:rPr>
          <w:lang w:eastAsia="en-AU"/>
        </w:rPr>
        <w:t>Table 5: Revenue</w:t>
      </w:r>
    </w:p>
    <w:p w14:paraId="7A5CA6D6" w14:textId="1504EDE5" w:rsidR="00241CD0" w:rsidRPr="00F02BC5" w:rsidRDefault="004F6F89" w:rsidP="00241CD0">
      <w:pPr>
        <w:keepNext/>
        <w:rPr>
          <w:rFonts w:cs="Arial"/>
          <w:b/>
        </w:rPr>
      </w:pPr>
      <w:r w:rsidRPr="00F02BC5">
        <w:rPr>
          <w:b/>
          <w:noProof/>
          <w:sz w:val="20"/>
          <w:lang w:eastAsia="en-AU"/>
        </w:rPr>
        <w:drawing>
          <wp:inline distT="0" distB="0" distL="0" distR="0" wp14:anchorId="3EB5ED40" wp14:editId="686F6866">
            <wp:extent cx="4701540" cy="767715"/>
            <wp:effectExtent l="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1540" cy="767715"/>
                    </a:xfrm>
                    <a:prstGeom prst="rect">
                      <a:avLst/>
                    </a:prstGeom>
                    <a:noFill/>
                    <a:ln>
                      <a:noFill/>
                    </a:ln>
                  </pic:spPr>
                </pic:pic>
              </a:graphicData>
            </a:graphic>
          </wp:inline>
        </w:drawing>
      </w:r>
    </w:p>
    <w:p w14:paraId="2FA22BAD" w14:textId="77777777" w:rsidR="00A91519" w:rsidRPr="00F02BC5" w:rsidRDefault="00A91519" w:rsidP="00A91519">
      <w:pPr>
        <w:pStyle w:val="Disclosuretext"/>
      </w:pPr>
    </w:p>
    <w:p w14:paraId="4F795035" w14:textId="7817B1C0" w:rsidR="00241CD0" w:rsidRPr="00F02BC5" w:rsidRDefault="00241CD0" w:rsidP="00AD3F3E">
      <w:pPr>
        <w:pStyle w:val="Heading4"/>
      </w:pPr>
      <w:r w:rsidRPr="00F02BC5">
        <w:t>Taxation revenue</w:t>
      </w:r>
    </w:p>
    <w:p w14:paraId="31C48EB7" w14:textId="5E79BD79" w:rsidR="00241CD0" w:rsidRPr="00F02BC5" w:rsidRDefault="004F6F89" w:rsidP="00241CD0">
      <w:pPr>
        <w:rPr>
          <w:rFonts w:ascii="Book Antiqua" w:hAnsi="Book Antiqua"/>
          <w:spacing w:val="4"/>
          <w:sz w:val="20"/>
          <w:lang w:eastAsia="en-AU"/>
        </w:rPr>
      </w:pPr>
      <w:r w:rsidRPr="00F02BC5">
        <w:rPr>
          <w:rFonts w:ascii="Book Antiqua" w:hAnsi="Book Antiqua"/>
          <w:spacing w:val="4"/>
          <w:sz w:val="20"/>
          <w:lang w:eastAsia="en-AU"/>
        </w:rPr>
        <w:t>The Australian Government’s total taxation revenue for the year ended 30 June </w:t>
      </w:r>
      <w:r w:rsidRPr="00F02BC5">
        <w:rPr>
          <w:rFonts w:ascii="Book Antiqua" w:hAnsi="Book Antiqua"/>
          <w:spacing w:val="4"/>
          <w:sz w:val="20"/>
          <w:lang w:eastAsia="en-AU"/>
        </w:rPr>
        <w:fldChar w:fldCharType="begin"/>
      </w:r>
      <w:r w:rsidRPr="00F02BC5">
        <w:rPr>
          <w:rFonts w:ascii="Book Antiqua" w:hAnsi="Book Antiqua"/>
          <w:spacing w:val="4"/>
          <w:sz w:val="20"/>
          <w:lang w:eastAsia="en-AU"/>
        </w:rPr>
        <w:instrText xml:space="preserve"> DOCPROPERTY  crYear  \* MERGEFORMAT </w:instrText>
      </w:r>
      <w:r w:rsidRPr="00F02BC5">
        <w:rPr>
          <w:rFonts w:ascii="Book Antiqua" w:hAnsi="Book Antiqua"/>
          <w:spacing w:val="4"/>
          <w:sz w:val="20"/>
          <w:lang w:eastAsia="en-AU"/>
        </w:rPr>
        <w:fldChar w:fldCharType="separate"/>
      </w:r>
      <w:r w:rsidRPr="00F02BC5">
        <w:rPr>
          <w:rFonts w:ascii="Book Antiqua" w:hAnsi="Book Antiqua"/>
          <w:spacing w:val="4"/>
          <w:sz w:val="20"/>
          <w:lang w:eastAsia="en-AU"/>
        </w:rPr>
        <w:t>2020</w:t>
      </w:r>
      <w:r w:rsidRPr="00F02BC5">
        <w:rPr>
          <w:rFonts w:ascii="Book Antiqua" w:hAnsi="Book Antiqua"/>
          <w:spacing w:val="4"/>
          <w:sz w:val="20"/>
          <w:lang w:eastAsia="en-AU"/>
        </w:rPr>
        <w:fldChar w:fldCharType="end"/>
      </w:r>
      <w:r w:rsidRPr="00F02BC5">
        <w:rPr>
          <w:rFonts w:ascii="Book Antiqua" w:hAnsi="Book Antiqua"/>
          <w:spacing w:val="4"/>
          <w:sz w:val="20"/>
          <w:lang w:eastAsia="en-AU"/>
        </w:rPr>
        <w:t xml:space="preserve"> was $447.1 billion. The composition of taxation revenue is shown in Chart 4 below</w:t>
      </w:r>
      <w:r w:rsidR="00F5383C" w:rsidRPr="00F02BC5">
        <w:rPr>
          <w:rFonts w:ascii="Book Antiqua" w:hAnsi="Book Antiqua"/>
          <w:spacing w:val="4"/>
          <w:sz w:val="20"/>
          <w:lang w:eastAsia="en-AU"/>
        </w:rPr>
        <w:t>.</w:t>
      </w:r>
    </w:p>
    <w:p w14:paraId="1F8185AA" w14:textId="77777777" w:rsidR="00BE659A" w:rsidRPr="00F02BC5" w:rsidRDefault="00BE659A" w:rsidP="00241CD0">
      <w:pPr>
        <w:rPr>
          <w:rFonts w:cs="Arial"/>
        </w:rPr>
      </w:pPr>
    </w:p>
    <w:p w14:paraId="7D9CE446" w14:textId="0B1CBA65" w:rsidR="00EC6716" w:rsidRPr="00F02BC5" w:rsidRDefault="00241CD0" w:rsidP="00E92AEE">
      <w:pPr>
        <w:pStyle w:val="Chartheading"/>
      </w:pPr>
      <w:r w:rsidRPr="00F02BC5">
        <w:t xml:space="preserve">Chart 4: Composition of taxation revenue </w:t>
      </w:r>
    </w:p>
    <w:p w14:paraId="21185E50" w14:textId="4CB5E4A1" w:rsidR="00CB4056" w:rsidRPr="00F02BC5" w:rsidRDefault="00AF7D27" w:rsidP="00CB4056">
      <w:pPr>
        <w:pStyle w:val="Chartheading"/>
        <w:jc w:val="left"/>
      </w:pPr>
      <w:r>
        <w:rPr>
          <w:noProof/>
          <w:lang w:eastAsia="en-AU"/>
        </w:rPr>
        <w:drawing>
          <wp:inline distT="0" distB="0" distL="0" distR="0" wp14:anchorId="13E8251C" wp14:editId="03C8E2EA">
            <wp:extent cx="4359275" cy="3359150"/>
            <wp:effectExtent l="0" t="0" r="317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9275" cy="3359150"/>
                    </a:xfrm>
                    <a:prstGeom prst="rect">
                      <a:avLst/>
                    </a:prstGeom>
                    <a:noFill/>
                  </pic:spPr>
                </pic:pic>
              </a:graphicData>
            </a:graphic>
          </wp:inline>
        </w:drawing>
      </w:r>
    </w:p>
    <w:p w14:paraId="7BE6224F" w14:textId="77777777" w:rsidR="00F5383C" w:rsidRPr="00F02BC5" w:rsidRDefault="00F5383C" w:rsidP="00F5383C">
      <w:pPr>
        <w:pStyle w:val="Disclosuretext"/>
        <w:jc w:val="left"/>
        <w:rPr>
          <w:sz w:val="16"/>
        </w:rPr>
      </w:pPr>
      <w:r w:rsidRPr="00F02BC5">
        <w:rPr>
          <w:sz w:val="16"/>
        </w:rPr>
        <w:t>* Other includes: Other indirect taxation ($8.9 billion); Superannuation funds taxes ($6.6 billion); Fringe benefits tax ($3.9 billion); and Resource rent taxes ($0.9 billion).</w:t>
      </w:r>
    </w:p>
    <w:p w14:paraId="20B181C8" w14:textId="77777777" w:rsidR="009547FF" w:rsidRPr="00F02BC5" w:rsidRDefault="009547FF">
      <w:pPr>
        <w:rPr>
          <w:rFonts w:ascii="Book Antiqua" w:hAnsi="Book Antiqua"/>
          <w:spacing w:val="4"/>
          <w:sz w:val="20"/>
          <w:lang w:eastAsia="en-AU"/>
        </w:rPr>
      </w:pPr>
      <w:r w:rsidRPr="00F02BC5">
        <w:br w:type="page"/>
      </w:r>
    </w:p>
    <w:p w14:paraId="09329DAB" w14:textId="77777777" w:rsidR="004F6F89" w:rsidRPr="00F02BC5" w:rsidRDefault="004F6F89" w:rsidP="004F6F89">
      <w:pPr>
        <w:pStyle w:val="Disclosuretext"/>
        <w:rPr>
          <w:rFonts w:ascii="Calibri" w:hAnsi="Calibri" w:cs="Calibri"/>
          <w:sz w:val="21"/>
          <w:szCs w:val="21"/>
        </w:rPr>
      </w:pPr>
      <w:r w:rsidRPr="00F02BC5">
        <w:t>Taxation revenue decreased by $8.8 billion (1.9 per cent) in comparison to 2018</w:t>
      </w:r>
      <w:r w:rsidRPr="00F02BC5">
        <w:noBreakHyphen/>
        <w:t>19. This is primarily a result of the impacts of the COVID-19 pandemic, driven by a decrease of $6.9 billion in company tax and a $4.3 billion decrease in superannuation fund taxes. This was partially offset by an increase in customs duties of $3.6 billion, particularly through tobacco duty.</w:t>
      </w:r>
      <w:r w:rsidRPr="00F02BC5">
        <w:rPr>
          <w:rFonts w:ascii="Calibri" w:hAnsi="Calibri" w:cs="Calibri"/>
          <w:sz w:val="21"/>
          <w:szCs w:val="21"/>
        </w:rPr>
        <w:t xml:space="preserve"> </w:t>
      </w:r>
    </w:p>
    <w:p w14:paraId="75D76EBA" w14:textId="77777777" w:rsidR="004F6F89" w:rsidRPr="00F02BC5" w:rsidRDefault="004F6F89" w:rsidP="004F6F89">
      <w:pPr>
        <w:rPr>
          <w:rFonts w:ascii="Book Antiqua" w:hAnsi="Book Antiqua"/>
          <w:spacing w:val="4"/>
          <w:sz w:val="20"/>
          <w:lang w:eastAsia="en-AU"/>
        </w:rPr>
      </w:pPr>
      <w:r w:rsidRPr="00F02BC5">
        <w:rPr>
          <w:rFonts w:ascii="Book Antiqua" w:hAnsi="Book Antiqua"/>
          <w:spacing w:val="4"/>
          <w:sz w:val="20"/>
          <w:lang w:eastAsia="en-AU"/>
        </w:rPr>
        <w:t xml:space="preserve">Refer to Note 2A of the 2019-20 CFS for further information. </w:t>
      </w:r>
    </w:p>
    <w:p w14:paraId="64BFCBF5" w14:textId="77777777" w:rsidR="004F6F89" w:rsidRPr="00F02BC5" w:rsidRDefault="004F6F89" w:rsidP="004F6F89">
      <w:pPr>
        <w:rPr>
          <w:rFonts w:cs="Arial"/>
        </w:rPr>
      </w:pPr>
    </w:p>
    <w:p w14:paraId="2D004F8B" w14:textId="77777777" w:rsidR="004F6F89" w:rsidRPr="00F02BC5" w:rsidRDefault="004F6F89" w:rsidP="004F6F89"/>
    <w:p w14:paraId="7FF863A8" w14:textId="77777777" w:rsidR="004F6F89" w:rsidRPr="00F02BC5" w:rsidRDefault="004F6F89" w:rsidP="004F6F89">
      <w:pPr>
        <w:pStyle w:val="Heading4"/>
      </w:pPr>
      <w:r w:rsidRPr="00F02BC5">
        <w:t>Non-taxation revenue</w:t>
      </w:r>
    </w:p>
    <w:p w14:paraId="5F1CE942" w14:textId="0CEA96B4" w:rsidR="00BE659A" w:rsidRPr="00F02BC5" w:rsidRDefault="004F6F89" w:rsidP="004F6F89">
      <w:pPr>
        <w:pStyle w:val="Disclosuretext"/>
      </w:pPr>
      <w:r w:rsidRPr="00F02BC5">
        <w:rPr>
          <w:rFonts w:cstheme="minorHAnsi"/>
        </w:rPr>
        <w:t>The Australian Government’s total non-taxation revenue for the year ended 30 June </w:t>
      </w:r>
      <w:r w:rsidR="00CB2967" w:rsidRPr="00F02BC5">
        <w:rPr>
          <w:rFonts w:cstheme="minorHAnsi"/>
        </w:rPr>
        <w:fldChar w:fldCharType="begin"/>
      </w:r>
      <w:r w:rsidR="00CB2967" w:rsidRPr="00F02BC5">
        <w:rPr>
          <w:rFonts w:cstheme="minorHAnsi"/>
        </w:rPr>
        <w:instrText xml:space="preserve"> DOCPROPERTY  crYear  \* MERGEFORMAT </w:instrText>
      </w:r>
      <w:r w:rsidR="00CB2967" w:rsidRPr="00F02BC5">
        <w:rPr>
          <w:rFonts w:cstheme="minorHAnsi"/>
        </w:rPr>
        <w:fldChar w:fldCharType="separate"/>
      </w:r>
      <w:r w:rsidR="00CB2967" w:rsidRPr="00F02BC5">
        <w:rPr>
          <w:rFonts w:cstheme="minorHAnsi"/>
        </w:rPr>
        <w:t>2020</w:t>
      </w:r>
      <w:r w:rsidR="00CB2967" w:rsidRPr="00F02BC5">
        <w:rPr>
          <w:rFonts w:cstheme="minorHAnsi"/>
        </w:rPr>
        <w:fldChar w:fldCharType="end"/>
      </w:r>
      <w:r w:rsidRPr="00F02BC5">
        <w:rPr>
          <w:rFonts w:cstheme="minorHAnsi"/>
        </w:rPr>
        <w:t xml:space="preserve"> was $53.2 billion. For more information, refer to Notes 2B to 2D of the 2019</w:t>
      </w:r>
      <w:r w:rsidRPr="00F02BC5">
        <w:rPr>
          <w:rFonts w:cstheme="minorHAnsi"/>
        </w:rPr>
        <w:noBreakHyphen/>
        <w:t>20 CFS</w:t>
      </w:r>
      <w:r w:rsidR="00BE659A" w:rsidRPr="00F02BC5">
        <w:t>.</w:t>
      </w:r>
    </w:p>
    <w:p w14:paraId="4A031EF7" w14:textId="77777777" w:rsidR="00F4463D" w:rsidRPr="00F02BC5" w:rsidRDefault="00F4463D" w:rsidP="007E52AC">
      <w:pPr>
        <w:pStyle w:val="Disclosuretext"/>
        <w:rPr>
          <w:rFonts w:cs="BTFGCJ+HelveticaNeue"/>
          <w:bCs/>
          <w:sz w:val="18"/>
          <w:szCs w:val="18"/>
        </w:rPr>
      </w:pPr>
      <w:r w:rsidRPr="00F02BC5">
        <w:rPr>
          <w:rFonts w:cs="BTFGCJ+HelveticaNeue"/>
        </w:rPr>
        <w:br w:type="page"/>
      </w:r>
    </w:p>
    <w:p w14:paraId="74C7B8DA" w14:textId="77777777" w:rsidR="008176DE" w:rsidRPr="00F02BC5" w:rsidRDefault="008176DE" w:rsidP="008E2AAE">
      <w:pPr>
        <w:pStyle w:val="Heading4"/>
      </w:pPr>
      <w:r w:rsidRPr="00F02BC5">
        <w:t>Expenses</w:t>
      </w:r>
    </w:p>
    <w:p w14:paraId="1D945C53" w14:textId="208FA118" w:rsidR="00BE659A" w:rsidRPr="00F02BC5" w:rsidRDefault="004F6F89" w:rsidP="00BE659A">
      <w:pPr>
        <w:pStyle w:val="Disclosuretext"/>
      </w:pPr>
      <w:r w:rsidRPr="00F02BC5">
        <w:t xml:space="preserve">The Australian Government’s total expenses for the year ended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Pr="00F02BC5">
        <w:t xml:space="preserve"> were $</w:t>
      </w:r>
      <w:r w:rsidR="0065664B" w:rsidRPr="00F02BC5">
        <w:t>600.0</w:t>
      </w:r>
      <w:r w:rsidRPr="00F02BC5">
        <w:t> billion. The composition of expenses is shown in Chart 5 below</w:t>
      </w:r>
      <w:r w:rsidR="00F5383C" w:rsidRPr="00F02BC5">
        <w:t>.</w:t>
      </w:r>
    </w:p>
    <w:p w14:paraId="4F06E8E3" w14:textId="3C3FF098" w:rsidR="00BE659A" w:rsidRPr="00F02BC5" w:rsidRDefault="00BE659A" w:rsidP="008E2AAE">
      <w:pPr>
        <w:pStyle w:val="Chartheading"/>
        <w:rPr>
          <w:b w:val="0"/>
          <w:noProof/>
          <w:lang w:eastAsia="en-AU"/>
        </w:rPr>
      </w:pPr>
    </w:p>
    <w:p w14:paraId="2E608A5B" w14:textId="7FBB49B0" w:rsidR="00BE0049" w:rsidRPr="00F02BC5" w:rsidRDefault="00BE0049" w:rsidP="008E2AAE">
      <w:pPr>
        <w:pStyle w:val="Chartheading"/>
        <w:rPr>
          <w:lang w:eastAsia="en-AU"/>
        </w:rPr>
      </w:pPr>
      <w:r w:rsidRPr="00F02BC5">
        <w:rPr>
          <w:lang w:eastAsia="en-AU"/>
        </w:rPr>
        <w:t xml:space="preserve">Chart 5: Composition of expenses </w:t>
      </w:r>
    </w:p>
    <w:p w14:paraId="0C2CA916" w14:textId="0392E4FE" w:rsidR="00EE715B" w:rsidRPr="00F02BC5" w:rsidRDefault="00AF7D27" w:rsidP="00EE715B">
      <w:pPr>
        <w:keepNext/>
        <w:jc w:val="center"/>
        <w:rPr>
          <w:rFonts w:ascii="Arial Bold" w:hAnsi="Arial Bold"/>
          <w:b/>
          <w:lang w:eastAsia="en-AU"/>
        </w:rPr>
      </w:pPr>
      <w:r>
        <w:rPr>
          <w:rFonts w:ascii="Arial Bold" w:hAnsi="Arial Bold"/>
          <w:b/>
          <w:noProof/>
          <w:lang w:eastAsia="en-AU"/>
        </w:rPr>
        <w:drawing>
          <wp:inline distT="0" distB="0" distL="0" distR="0" wp14:anchorId="4421631F" wp14:editId="54740FE7">
            <wp:extent cx="4218940" cy="322516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8940" cy="3225165"/>
                    </a:xfrm>
                    <a:prstGeom prst="rect">
                      <a:avLst/>
                    </a:prstGeom>
                    <a:noFill/>
                  </pic:spPr>
                </pic:pic>
              </a:graphicData>
            </a:graphic>
          </wp:inline>
        </w:drawing>
      </w:r>
    </w:p>
    <w:p w14:paraId="48A899BA" w14:textId="26FE323F" w:rsidR="00BE0049" w:rsidRPr="00F02BC5" w:rsidRDefault="00BE0049" w:rsidP="00BE0049">
      <w:pPr>
        <w:jc w:val="center"/>
        <w:rPr>
          <w:rFonts w:cs="Arial"/>
          <w:b/>
        </w:rPr>
      </w:pPr>
    </w:p>
    <w:p w14:paraId="799E50A9" w14:textId="7ABBB9E1" w:rsidR="004F6F89" w:rsidRPr="00F02BC5" w:rsidRDefault="004F6F89" w:rsidP="004F6F89">
      <w:pPr>
        <w:pStyle w:val="Disclosuretext"/>
      </w:pPr>
      <w:r w:rsidRPr="00F02BC5">
        <w:t>The Australian Government’s total expenses increased by $95.</w:t>
      </w:r>
      <w:r w:rsidR="0065664B" w:rsidRPr="00F02BC5">
        <w:t>4</w:t>
      </w:r>
      <w:r w:rsidRPr="00F02BC5">
        <w:t xml:space="preserve"> billion (18.9 per cent) in comparison to 2018-19. The key changes were:</w:t>
      </w:r>
    </w:p>
    <w:p w14:paraId="498969F7" w14:textId="77777777" w:rsidR="004F6F89" w:rsidRPr="00F02BC5" w:rsidRDefault="004F6F89" w:rsidP="004F6F89">
      <w:pPr>
        <w:pStyle w:val="Bulletlist"/>
      </w:pPr>
      <w:r w:rsidRPr="00F02BC5">
        <w:t xml:space="preserve">an increase in </w:t>
      </w:r>
      <w:r w:rsidRPr="00F02BC5">
        <w:rPr>
          <w:b/>
        </w:rPr>
        <w:t>subsidy expenses</w:t>
      </w:r>
      <w:r w:rsidRPr="00F02BC5">
        <w:t xml:space="preserve"> of $55.9 billion, </w:t>
      </w:r>
      <w:r w:rsidRPr="00F02BC5">
        <w:rPr>
          <w:color w:val="auto"/>
        </w:rPr>
        <w:t xml:space="preserve">primarily reflecting JobKeeper Payments and the temporary tax-free cash flow boosts to support businesses </w:t>
      </w:r>
      <w:r w:rsidRPr="00F02BC5">
        <w:t>as part of the Government’s economic response to the COVID</w:t>
      </w:r>
      <w:r w:rsidRPr="00F02BC5">
        <w:noBreakHyphen/>
        <w:t>19 pandemic ($55.2 billion);</w:t>
      </w:r>
    </w:p>
    <w:p w14:paraId="37B30B43" w14:textId="77777777" w:rsidR="004F6F89" w:rsidRPr="00F02BC5" w:rsidRDefault="004F6F89" w:rsidP="004F6F89">
      <w:pPr>
        <w:pStyle w:val="Bulletlist"/>
      </w:pPr>
      <w:r w:rsidRPr="00F02BC5">
        <w:t xml:space="preserve">an increase in </w:t>
      </w:r>
      <w:r w:rsidRPr="00F02BC5">
        <w:rPr>
          <w:b/>
        </w:rPr>
        <w:t xml:space="preserve">personal benefits </w:t>
      </w:r>
      <w:r w:rsidRPr="00F02BC5">
        <w:t>of $19.4 billion, primarily reflecting the time limited Coronavirus Supplement and the first payment of the Economic Support Payment to assist households as part of the Government’s economic response to the COVID-19 pandemic, together with changes in recipient numbers and average payment rates of social welfare payments as a result of the impact of COVID-19 on the economy ($18.4 billion);</w:t>
      </w:r>
    </w:p>
    <w:p w14:paraId="2793B88C" w14:textId="77777777" w:rsidR="00F02BC5" w:rsidRDefault="00F02BC5">
      <w:pPr>
        <w:rPr>
          <w:rFonts w:ascii="Book Antiqua" w:hAnsi="Book Antiqua"/>
          <w:sz w:val="20"/>
          <w:lang w:eastAsia="en-AU"/>
        </w:rPr>
      </w:pPr>
      <w:r>
        <w:br w:type="page"/>
      </w:r>
    </w:p>
    <w:p w14:paraId="6AC3DDB5" w14:textId="1173EE90"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gross operating expenses</w:t>
      </w:r>
      <w:r w:rsidR="0065664B" w:rsidRPr="00F02BC5">
        <w:rPr>
          <w:color w:val="auto"/>
        </w:rPr>
        <w:t xml:space="preserve"> of $19.3</w:t>
      </w:r>
      <w:r w:rsidRPr="00F02BC5">
        <w:rPr>
          <w:color w:val="auto"/>
        </w:rPr>
        <w:t xml:space="preserve"> billion, driven by: </w:t>
      </w:r>
    </w:p>
    <w:p w14:paraId="771D56D2" w14:textId="398DAD96" w:rsidR="004F6F89" w:rsidRPr="00F02BC5" w:rsidRDefault="004F6F89" w:rsidP="004F6F89">
      <w:pPr>
        <w:pStyle w:val="Indentlist"/>
        <w:ind w:hanging="273"/>
      </w:pPr>
      <w:r w:rsidRPr="00F02BC5">
        <w:t>an increase in benefits to households in goods and services of $10.</w:t>
      </w:r>
      <w:r w:rsidR="0065664B" w:rsidRPr="00F02BC5">
        <w:t>6</w:t>
      </w:r>
      <w:r w:rsidRPr="00F02BC5">
        <w:t xml:space="preserve"> billion, primarily relating to an increase in participants under the National Disability Insurance Scheme ($6.6 billion) and increased spending in aged care, medical and pharmaceutical benefits ($3.0 billion); </w:t>
      </w:r>
    </w:p>
    <w:p w14:paraId="3B98AFF9" w14:textId="41E0B10E" w:rsidR="004F6F89" w:rsidRPr="00F02BC5" w:rsidRDefault="004F6F89" w:rsidP="004F6F89">
      <w:pPr>
        <w:pStyle w:val="Indentlist"/>
        <w:ind w:hanging="273"/>
      </w:pPr>
      <w:r w:rsidRPr="00F02BC5">
        <w:t>an increase in depreciation and amortisation of $3.</w:t>
      </w:r>
      <w:r w:rsidR="0065664B" w:rsidRPr="00F02BC5">
        <w:t>7</w:t>
      </w:r>
      <w:r w:rsidRPr="00F02BC5">
        <w:t xml:space="preserve"> billion, largely due to the implementation of AASB 16 </w:t>
      </w:r>
      <w:r w:rsidRPr="00F02BC5">
        <w:rPr>
          <w:i/>
        </w:rPr>
        <w:t>Leases</w:t>
      </w:r>
      <w:r w:rsidRPr="00F02BC5">
        <w:t>; and</w:t>
      </w:r>
    </w:p>
    <w:p w14:paraId="6BA3BCB2" w14:textId="77777777" w:rsidR="004F6F89" w:rsidRPr="00F02BC5" w:rsidRDefault="004F6F89" w:rsidP="004F6F89">
      <w:pPr>
        <w:pStyle w:val="Indentlist"/>
        <w:tabs>
          <w:tab w:val="clear" w:pos="567"/>
          <w:tab w:val="num" w:pos="360"/>
        </w:tabs>
        <w:ind w:hanging="273"/>
      </w:pPr>
      <w:r w:rsidRPr="00F02BC5">
        <w:t>an increase in superannuation expense of $3.2 billion relating to the current employee service costs, which is calculated with reference to the valuation discount rate at the start of the reporting period.</w:t>
      </w:r>
    </w:p>
    <w:p w14:paraId="434CC923" w14:textId="01A5FA93" w:rsidR="00BE659A" w:rsidRPr="00F02BC5" w:rsidRDefault="004F6F89" w:rsidP="004F6F89">
      <w:pPr>
        <w:pStyle w:val="Disclosuretext"/>
      </w:pPr>
      <w:r w:rsidRPr="00F02BC5">
        <w:t>Chart 6 below provides a presentation of total expenses based on how the Australian Government allocated resources across the range of policy areas. The chart highlights the relative cost of each function for 2019-20</w:t>
      </w:r>
      <w:r w:rsidR="00F5383C" w:rsidRPr="00F02BC5">
        <w:t xml:space="preserve">. </w:t>
      </w:r>
    </w:p>
    <w:p w14:paraId="1E501BB7" w14:textId="77777777" w:rsidR="00BE659A" w:rsidRPr="00F02BC5" w:rsidRDefault="00BE0049" w:rsidP="00C4671D">
      <w:pPr>
        <w:pStyle w:val="Chartheading"/>
        <w:spacing w:before="240"/>
        <w:rPr>
          <w:lang w:eastAsia="en-AU"/>
        </w:rPr>
      </w:pPr>
      <w:r w:rsidRPr="00F02BC5">
        <w:rPr>
          <w:lang w:eastAsia="en-AU"/>
        </w:rPr>
        <w:t>Char</w:t>
      </w:r>
      <w:r w:rsidR="00BE659A" w:rsidRPr="00F02BC5">
        <w:rPr>
          <w:lang w:eastAsia="en-AU"/>
        </w:rPr>
        <w:t>t 6: Total expenses by function</w:t>
      </w:r>
    </w:p>
    <w:p w14:paraId="487AD9EC" w14:textId="4828ED36" w:rsidR="00BE0049" w:rsidRPr="00F02BC5" w:rsidRDefault="00AF7D27" w:rsidP="00C4671D">
      <w:pPr>
        <w:pStyle w:val="Chartheading"/>
        <w:spacing w:before="240"/>
        <w:rPr>
          <w:lang w:eastAsia="en-AU"/>
        </w:rPr>
      </w:pPr>
      <w:r>
        <w:rPr>
          <w:noProof/>
          <w:lang w:eastAsia="en-AU"/>
        </w:rPr>
        <w:drawing>
          <wp:inline distT="0" distB="0" distL="0" distR="0" wp14:anchorId="75839AEA" wp14:editId="0D7121C3">
            <wp:extent cx="4590415" cy="3359150"/>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0415" cy="3359150"/>
                    </a:xfrm>
                    <a:prstGeom prst="rect">
                      <a:avLst/>
                    </a:prstGeom>
                    <a:noFill/>
                  </pic:spPr>
                </pic:pic>
              </a:graphicData>
            </a:graphic>
          </wp:inline>
        </w:drawing>
      </w:r>
    </w:p>
    <w:p w14:paraId="222AD9E6" w14:textId="77777777" w:rsidR="00F5383C" w:rsidRPr="00F02BC5" w:rsidRDefault="00F5383C" w:rsidP="00F5383C">
      <w:pPr>
        <w:pStyle w:val="Disclosuretext"/>
        <w:rPr>
          <w:sz w:val="16"/>
        </w:rPr>
      </w:pPr>
      <w:r w:rsidRPr="00F02BC5">
        <w:rPr>
          <w:sz w:val="16"/>
        </w:rPr>
        <w:t>* Other includes: Fuel and energy ($10.6 billion); Public order and safety ($6.2 billion); Housing and community amenities ($5.4 billion); Recreation and culture ($4.0 billion); Mining, manufacturing and construction ($2.9 billion); and Agriculture, forestry and fishing ($2.6 billion).</w:t>
      </w:r>
    </w:p>
    <w:p w14:paraId="230B597C" w14:textId="62223993" w:rsidR="00F14446" w:rsidRPr="00F02BC5" w:rsidRDefault="00F5383C" w:rsidP="00F02BC5">
      <w:pPr>
        <w:pStyle w:val="Disclosuretext"/>
        <w:rPr>
          <w:b/>
        </w:rPr>
      </w:pPr>
      <w:r w:rsidRPr="00F02BC5">
        <w:t>Refer to Note 3 of the 2019-20 CFS for further information on expenses</w:t>
      </w:r>
      <w:r w:rsidR="007A73A2" w:rsidRPr="00F02BC5">
        <w:t>.</w:t>
      </w:r>
      <w:r w:rsidR="00F14446" w:rsidRPr="00F02BC5">
        <w:br w:type="page"/>
      </w:r>
    </w:p>
    <w:p w14:paraId="63E96E6E" w14:textId="27B34283" w:rsidR="00102597" w:rsidRPr="00F02BC5" w:rsidRDefault="00102597" w:rsidP="008E2AAE">
      <w:pPr>
        <w:pStyle w:val="Heading4"/>
      </w:pPr>
      <w:r w:rsidRPr="00F02BC5">
        <w:t>Net worth</w:t>
      </w:r>
    </w:p>
    <w:p w14:paraId="72FBFAA2" w14:textId="4E49F494" w:rsidR="00BE659A" w:rsidRPr="00F02BC5" w:rsidRDefault="004F6F89" w:rsidP="00BE659A">
      <w:pPr>
        <w:pStyle w:val="Disclosuretext"/>
      </w:pPr>
      <w:r w:rsidRPr="00F02BC5">
        <w:t>The Australian Governmen</w:t>
      </w:r>
      <w:r w:rsidR="0065664B" w:rsidRPr="00F02BC5">
        <w:t>t’s net worth declined by $134.7</w:t>
      </w:r>
      <w:r w:rsidRPr="00F02BC5">
        <w:t xml:space="preserve"> billion in 2019-20 t</w:t>
      </w:r>
      <w:r w:rsidR="0065664B" w:rsidRPr="00F02BC5">
        <w:t>o a negative net worth of $679.9</w:t>
      </w:r>
      <w:r w:rsidRPr="00F02BC5">
        <w:t xml:space="preserve"> billion as at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00BE659A" w:rsidRPr="00F02BC5">
        <w:t>.</w:t>
      </w:r>
    </w:p>
    <w:p w14:paraId="065498F8" w14:textId="7AF7FA0E" w:rsidR="00102597" w:rsidRPr="00F02BC5" w:rsidRDefault="00BE0049" w:rsidP="0038598B">
      <w:pPr>
        <w:pStyle w:val="Tableheading"/>
        <w:spacing w:after="0"/>
        <w:rPr>
          <w:lang w:eastAsia="en-AU"/>
        </w:rPr>
      </w:pPr>
      <w:r w:rsidRPr="00F02BC5">
        <w:rPr>
          <w:lang w:eastAsia="en-AU"/>
        </w:rPr>
        <w:t>Table 6</w:t>
      </w:r>
      <w:r w:rsidR="0091591C" w:rsidRPr="00F02BC5">
        <w:rPr>
          <w:lang w:eastAsia="en-AU"/>
        </w:rPr>
        <w:t>: Balance sheet</w:t>
      </w:r>
    </w:p>
    <w:p w14:paraId="202CBD8F" w14:textId="0AEC6965" w:rsidR="0091591C" w:rsidRPr="00F02BC5" w:rsidRDefault="0065664B" w:rsidP="007E52AC">
      <w:pPr>
        <w:pStyle w:val="Disclosuretext"/>
      </w:pPr>
      <w:r w:rsidRPr="00F02BC5">
        <w:rPr>
          <w:noProof/>
        </w:rPr>
        <w:drawing>
          <wp:inline distT="0" distB="0" distL="0" distR="0" wp14:anchorId="0C7FFDD0" wp14:editId="446C5457">
            <wp:extent cx="4624070" cy="1440815"/>
            <wp:effectExtent l="0" t="0" r="508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4070" cy="1440815"/>
                    </a:xfrm>
                    <a:prstGeom prst="rect">
                      <a:avLst/>
                    </a:prstGeom>
                    <a:noFill/>
                    <a:ln>
                      <a:noFill/>
                    </a:ln>
                  </pic:spPr>
                </pic:pic>
              </a:graphicData>
            </a:graphic>
          </wp:inline>
        </w:drawing>
      </w:r>
    </w:p>
    <w:p w14:paraId="767D0A07" w14:textId="7DFD635C" w:rsidR="00102597" w:rsidRPr="00F02BC5" w:rsidRDefault="00102597" w:rsidP="007E52AC">
      <w:pPr>
        <w:pStyle w:val="Disclosuretext"/>
      </w:pPr>
      <w:r w:rsidRPr="00F02BC5">
        <w:t xml:space="preserve">Chart 7 below shows the composition of the Australian Government’s </w:t>
      </w:r>
      <w:r w:rsidR="00CF7084" w:rsidRPr="00F02BC5">
        <w:t>financial position since 2009-10</w:t>
      </w:r>
      <w:r w:rsidRPr="00F02BC5">
        <w:t>.</w:t>
      </w:r>
    </w:p>
    <w:p w14:paraId="35F6A7A1" w14:textId="77777777" w:rsidR="00102597" w:rsidRPr="00F02BC5" w:rsidRDefault="00102597" w:rsidP="00102597">
      <w:pPr>
        <w:spacing w:line="260" w:lineRule="exact"/>
        <w:rPr>
          <w:lang w:eastAsia="en-AU"/>
        </w:rPr>
      </w:pPr>
    </w:p>
    <w:p w14:paraId="52899358" w14:textId="730ADF3F" w:rsidR="00102597" w:rsidRPr="00F02BC5" w:rsidRDefault="00102597" w:rsidP="00F14446">
      <w:pPr>
        <w:pStyle w:val="Chartheading"/>
        <w:rPr>
          <w:lang w:eastAsia="en-AU"/>
        </w:rPr>
      </w:pPr>
      <w:r w:rsidRPr="00F02BC5">
        <w:rPr>
          <w:lang w:eastAsia="en-AU"/>
        </w:rPr>
        <w:t>Char</w:t>
      </w:r>
      <w:r w:rsidR="00F5383C" w:rsidRPr="00F02BC5">
        <w:rPr>
          <w:lang w:eastAsia="en-AU"/>
        </w:rPr>
        <w:t>t 7: Balance sheet since 2010-11</w:t>
      </w:r>
    </w:p>
    <w:p w14:paraId="12E49324" w14:textId="56A8A41F" w:rsidR="00726E55" w:rsidRPr="00F02BC5" w:rsidRDefault="00E416CD" w:rsidP="00726E55">
      <w:pPr>
        <w:keepNext/>
        <w:jc w:val="center"/>
        <w:rPr>
          <w:b/>
          <w:bCs/>
          <w:color w:val="000000"/>
          <w:lang w:eastAsia="en-AU"/>
        </w:rPr>
      </w:pPr>
      <w:r w:rsidRPr="00E416CD">
        <w:rPr>
          <w:noProof/>
          <w:lang w:eastAsia="en-AU"/>
        </w:rPr>
        <w:drawing>
          <wp:inline distT="0" distB="0" distL="0" distR="0" wp14:anchorId="02B107A7" wp14:editId="739E6B9F">
            <wp:extent cx="5079600" cy="33048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79600" cy="3304800"/>
                    </a:xfrm>
                    <a:prstGeom prst="rect">
                      <a:avLst/>
                    </a:prstGeom>
                    <a:noFill/>
                    <a:ln>
                      <a:noFill/>
                    </a:ln>
                  </pic:spPr>
                </pic:pic>
              </a:graphicData>
            </a:graphic>
          </wp:inline>
        </w:drawing>
      </w:r>
    </w:p>
    <w:p w14:paraId="02E6783B" w14:textId="6E384993" w:rsidR="00E03961" w:rsidRPr="00F02BC5" w:rsidRDefault="00E03961" w:rsidP="00D838CC">
      <w:pPr>
        <w:rPr>
          <w:b/>
          <w:sz w:val="22"/>
          <w:lang w:eastAsia="en-AU"/>
        </w:rPr>
      </w:pPr>
    </w:p>
    <w:p w14:paraId="5E9F1A11" w14:textId="6612DCA5" w:rsidR="00BE659A" w:rsidRPr="00F02BC5" w:rsidRDefault="00BE659A">
      <w:pPr>
        <w:rPr>
          <w:b/>
          <w:sz w:val="22"/>
          <w:lang w:eastAsia="en-AU"/>
        </w:rPr>
      </w:pPr>
      <w:r w:rsidRPr="00F02BC5">
        <w:rPr>
          <w:b/>
          <w:sz w:val="22"/>
          <w:lang w:eastAsia="en-AU"/>
        </w:rPr>
        <w:br w:type="page"/>
      </w:r>
    </w:p>
    <w:p w14:paraId="61EF42B8" w14:textId="77777777" w:rsidR="00102597" w:rsidRPr="00F02BC5" w:rsidRDefault="00102597" w:rsidP="00F14446">
      <w:pPr>
        <w:pStyle w:val="Heading4"/>
      </w:pPr>
      <w:r w:rsidRPr="00F02BC5">
        <w:t>Assets</w:t>
      </w:r>
    </w:p>
    <w:p w14:paraId="428854E0" w14:textId="4BEB4A75" w:rsidR="00BE659A" w:rsidRPr="00F02BC5" w:rsidRDefault="004F6F89" w:rsidP="00BE659A">
      <w:pPr>
        <w:pStyle w:val="Disclosuretext"/>
      </w:pPr>
      <w:r w:rsidRPr="00F02BC5">
        <w:t xml:space="preserve">The Australian Government’s total assets as at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Pr="00F02BC5">
        <w:t xml:space="preserve"> were $838.6 billion</w:t>
      </w:r>
      <w:r w:rsidR="00BE659A" w:rsidRPr="00F02BC5">
        <w:t xml:space="preserve">. </w:t>
      </w:r>
    </w:p>
    <w:p w14:paraId="69EA971D" w14:textId="77777777" w:rsidR="00BE659A" w:rsidRPr="00F02BC5" w:rsidRDefault="00BE659A" w:rsidP="0038598B">
      <w:pPr>
        <w:pStyle w:val="Tableheading"/>
        <w:spacing w:after="0"/>
        <w:rPr>
          <w:lang w:eastAsia="en-AU"/>
        </w:rPr>
      </w:pPr>
      <w:r w:rsidRPr="00F02BC5">
        <w:rPr>
          <w:lang w:eastAsia="en-AU"/>
        </w:rPr>
        <w:t>Table 7: Assets</w:t>
      </w:r>
    </w:p>
    <w:p w14:paraId="67B41491" w14:textId="42AA91E1" w:rsidR="00BE659A" w:rsidRPr="00F02BC5" w:rsidRDefault="004F6F89" w:rsidP="00BE659A">
      <w:r w:rsidRPr="00F02BC5">
        <w:rPr>
          <w:noProof/>
          <w:lang w:eastAsia="en-AU"/>
        </w:rPr>
        <w:drawing>
          <wp:inline distT="0" distB="0" distL="0" distR="0" wp14:anchorId="7BD1D1EC" wp14:editId="3977C418">
            <wp:extent cx="4701540" cy="177673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01540" cy="1776730"/>
                    </a:xfrm>
                    <a:prstGeom prst="rect">
                      <a:avLst/>
                    </a:prstGeom>
                    <a:noFill/>
                    <a:ln>
                      <a:noFill/>
                    </a:ln>
                  </pic:spPr>
                </pic:pic>
              </a:graphicData>
            </a:graphic>
          </wp:inline>
        </w:drawing>
      </w:r>
    </w:p>
    <w:p w14:paraId="2F1794FB" w14:textId="77777777" w:rsidR="00577E59" w:rsidRPr="00F02BC5" w:rsidRDefault="00577E59" w:rsidP="00BE659A">
      <w:pPr>
        <w:pStyle w:val="Disclosuretext"/>
      </w:pPr>
    </w:p>
    <w:p w14:paraId="76E93305" w14:textId="136F43F0" w:rsidR="00BE659A" w:rsidRPr="00F02BC5" w:rsidRDefault="004F6F89" w:rsidP="00BE659A">
      <w:pPr>
        <w:pStyle w:val="Disclosuretext"/>
      </w:pPr>
      <w:r w:rsidRPr="00F02BC5">
        <w:t xml:space="preserve">The Australian Government’s total assets increased by $101.3 billion (13.7 per cent) since 30 June </w:t>
      </w:r>
      <w:r w:rsidR="001141C2">
        <w:fldChar w:fldCharType="begin"/>
      </w:r>
      <w:r w:rsidR="001141C2">
        <w:instrText xml:space="preserve"> DOCPROPERTY  prYear  \* MERGEFORMAT </w:instrText>
      </w:r>
      <w:r w:rsidR="001141C2">
        <w:fldChar w:fldCharType="separate"/>
      </w:r>
      <w:r w:rsidRPr="00F02BC5">
        <w:t>2019</w:t>
      </w:r>
      <w:r w:rsidR="001141C2">
        <w:fldChar w:fldCharType="end"/>
      </w:r>
      <w:r w:rsidRPr="00F02BC5">
        <w:t>. The composition of assets is shown in Chart 8 below</w:t>
      </w:r>
      <w:r w:rsidR="00BE659A" w:rsidRPr="00F02BC5">
        <w:t>.</w:t>
      </w:r>
    </w:p>
    <w:p w14:paraId="413944D0" w14:textId="351123AF" w:rsidR="00102597" w:rsidRPr="00F02BC5" w:rsidRDefault="00102597" w:rsidP="006468C4">
      <w:pPr>
        <w:pStyle w:val="Chartheading"/>
        <w:spacing w:before="240"/>
      </w:pPr>
      <w:r w:rsidRPr="00F02BC5">
        <w:t xml:space="preserve">Chart 8: Composition of assets </w:t>
      </w:r>
    </w:p>
    <w:p w14:paraId="01E0EA32" w14:textId="6CD0378A" w:rsidR="00726E55" w:rsidRPr="00F02BC5" w:rsidRDefault="00D06DF7" w:rsidP="00726E55">
      <w:pPr>
        <w:keepNext/>
        <w:jc w:val="center"/>
        <w:rPr>
          <w:rFonts w:ascii="Arial Bold" w:hAnsi="Arial Bold"/>
          <w:b/>
          <w:lang w:eastAsia="en-AU"/>
        </w:rPr>
      </w:pPr>
      <w:r>
        <w:rPr>
          <w:rFonts w:ascii="Arial Bold" w:hAnsi="Arial Bold"/>
          <w:b/>
          <w:noProof/>
          <w:lang w:eastAsia="en-AU"/>
        </w:rPr>
        <w:drawing>
          <wp:inline distT="0" distB="0" distL="0" distR="0" wp14:anchorId="705D57F8" wp14:editId="7AD231DF">
            <wp:extent cx="4584700" cy="320040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3200400"/>
                    </a:xfrm>
                    <a:prstGeom prst="rect">
                      <a:avLst/>
                    </a:prstGeom>
                    <a:noFill/>
                  </pic:spPr>
                </pic:pic>
              </a:graphicData>
            </a:graphic>
          </wp:inline>
        </w:drawing>
      </w:r>
    </w:p>
    <w:p w14:paraId="4D11BA00" w14:textId="6AC6BFD7" w:rsidR="00102597" w:rsidRPr="00F02BC5" w:rsidRDefault="00102597" w:rsidP="0064616D">
      <w:pPr>
        <w:jc w:val="center"/>
      </w:pPr>
    </w:p>
    <w:p w14:paraId="3C19750E" w14:textId="77777777" w:rsidR="005240E1" w:rsidRPr="00F02BC5" w:rsidRDefault="005240E1" w:rsidP="0064616D">
      <w:pPr>
        <w:jc w:val="center"/>
      </w:pPr>
    </w:p>
    <w:p w14:paraId="406B0D1B" w14:textId="77777777" w:rsidR="00EB2C70" w:rsidRPr="00F02BC5" w:rsidRDefault="00EB2C70">
      <w:pPr>
        <w:rPr>
          <w:rFonts w:ascii="Book Antiqua" w:hAnsi="Book Antiqua"/>
          <w:spacing w:val="4"/>
          <w:sz w:val="20"/>
          <w:lang w:eastAsia="en-AU"/>
        </w:rPr>
      </w:pPr>
      <w:r w:rsidRPr="00F02BC5">
        <w:rPr>
          <w:rFonts w:ascii="Book Antiqua" w:hAnsi="Book Antiqua"/>
          <w:spacing w:val="4"/>
          <w:sz w:val="20"/>
          <w:lang w:eastAsia="en-AU"/>
        </w:rPr>
        <w:br w:type="page"/>
      </w:r>
    </w:p>
    <w:p w14:paraId="5CFB3BF1" w14:textId="77777777" w:rsidR="004F6F89" w:rsidRPr="00F02BC5" w:rsidRDefault="004F6F89" w:rsidP="004F6F89">
      <w:pPr>
        <w:spacing w:after="160" w:line="259" w:lineRule="auto"/>
        <w:rPr>
          <w:rFonts w:ascii="Book Antiqua" w:hAnsi="Book Antiqua"/>
          <w:spacing w:val="4"/>
          <w:sz w:val="20"/>
          <w:lang w:eastAsia="en-AU"/>
        </w:rPr>
      </w:pPr>
      <w:r w:rsidRPr="00F02BC5">
        <w:rPr>
          <w:rFonts w:ascii="Book Antiqua" w:hAnsi="Book Antiqua"/>
          <w:spacing w:val="4"/>
          <w:sz w:val="20"/>
          <w:lang w:eastAsia="en-AU"/>
        </w:rPr>
        <w:t xml:space="preserve">The key changes in </w:t>
      </w:r>
      <w:r w:rsidRPr="00F02BC5">
        <w:rPr>
          <w:rFonts w:ascii="Book Antiqua" w:hAnsi="Book Antiqua"/>
          <w:b/>
          <w:spacing w:val="4"/>
          <w:sz w:val="20"/>
          <w:lang w:eastAsia="en-AU"/>
        </w:rPr>
        <w:t>financial assets</w:t>
      </w:r>
      <w:r w:rsidRPr="00F02BC5">
        <w:rPr>
          <w:rFonts w:ascii="Book Antiqua" w:hAnsi="Book Antiqua"/>
          <w:spacing w:val="4"/>
          <w:sz w:val="20"/>
          <w:lang w:eastAsia="en-AU"/>
        </w:rPr>
        <w:t xml:space="preserve"> were:</w:t>
      </w:r>
    </w:p>
    <w:p w14:paraId="2D376917" w14:textId="77777777"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investments, loans and placements</w:t>
      </w:r>
      <w:r w:rsidRPr="00F02BC5">
        <w:rPr>
          <w:color w:val="auto"/>
        </w:rPr>
        <w:t xml:space="preserve"> of $60.8 billion, primarily driven by the increase in government securities held by the Reserve Bank of Australia from purchases in the secondary market, conducted as part of a range of monetary policy measures to lower funding costs across the economy in response to the COVID-19 pandemic ($57.2 billion); and</w:t>
      </w:r>
    </w:p>
    <w:p w14:paraId="41C75758" w14:textId="77777777"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other receivables and accrued revenue</w:t>
      </w:r>
      <w:r w:rsidRPr="00F02BC5">
        <w:rPr>
          <w:color w:val="auto"/>
        </w:rPr>
        <w:t xml:space="preserve"> of $13.5 billion, primarily driven by </w:t>
      </w:r>
      <w:r w:rsidRPr="00F02BC5">
        <w:rPr>
          <w:rFonts w:cstheme="minorHAnsi"/>
        </w:rPr>
        <w:t>an increase in net tax receivables relating to payment deferrals granted to taxpayers experiencing financial hardship as a result of the COVID-19 pandemic ($8.3 billion) and</w:t>
      </w:r>
      <w:r w:rsidRPr="00F02BC5">
        <w:rPr>
          <w:color w:val="auto"/>
        </w:rPr>
        <w:t xml:space="preserve"> an increase in other receivables in respect of the advances that were paid to the states for GST during 2019-20 ($4.7 billion). </w:t>
      </w:r>
    </w:p>
    <w:p w14:paraId="176EA975" w14:textId="77777777" w:rsidR="004F6F89" w:rsidRPr="00F02BC5" w:rsidRDefault="004F6F89" w:rsidP="004F6F89">
      <w:pPr>
        <w:spacing w:after="200"/>
        <w:rPr>
          <w:rFonts w:ascii="Book Antiqua" w:hAnsi="Book Antiqua"/>
          <w:spacing w:val="4"/>
          <w:sz w:val="20"/>
          <w:lang w:eastAsia="en-AU"/>
        </w:rPr>
      </w:pPr>
      <w:r w:rsidRPr="00F02BC5">
        <w:rPr>
          <w:rFonts w:ascii="Book Antiqua" w:hAnsi="Book Antiqua"/>
          <w:spacing w:val="4"/>
          <w:sz w:val="20"/>
          <w:lang w:eastAsia="en-AU"/>
        </w:rPr>
        <w:t xml:space="preserve">The key changes to </w:t>
      </w:r>
      <w:r w:rsidRPr="00F02BC5">
        <w:rPr>
          <w:rFonts w:ascii="Book Antiqua" w:hAnsi="Book Antiqua"/>
          <w:b/>
          <w:spacing w:val="4"/>
          <w:sz w:val="20"/>
          <w:lang w:eastAsia="en-AU"/>
        </w:rPr>
        <w:t>non-financial assets</w:t>
      </w:r>
      <w:r w:rsidRPr="00F02BC5">
        <w:rPr>
          <w:rFonts w:ascii="Book Antiqua" w:hAnsi="Book Antiqua"/>
          <w:spacing w:val="4"/>
          <w:sz w:val="20"/>
          <w:lang w:eastAsia="en-AU"/>
        </w:rPr>
        <w:t xml:space="preserve"> were: </w:t>
      </w:r>
    </w:p>
    <w:p w14:paraId="0B67A2DB" w14:textId="77777777"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 xml:space="preserve">buildings </w:t>
      </w:r>
      <w:r w:rsidRPr="00F02BC5">
        <w:rPr>
          <w:color w:val="auto"/>
        </w:rPr>
        <w:t>and</w:t>
      </w:r>
      <w:r w:rsidRPr="00F02BC5">
        <w:rPr>
          <w:b/>
          <w:color w:val="auto"/>
        </w:rPr>
        <w:t xml:space="preserve"> other plant, equipment and</w:t>
      </w:r>
      <w:r w:rsidRPr="00F02BC5">
        <w:rPr>
          <w:color w:val="auto"/>
        </w:rPr>
        <w:t xml:space="preserve"> </w:t>
      </w:r>
      <w:r w:rsidRPr="00F02BC5">
        <w:rPr>
          <w:b/>
          <w:color w:val="auto"/>
        </w:rPr>
        <w:t>infrastructure</w:t>
      </w:r>
      <w:r w:rsidRPr="00F02BC5">
        <w:rPr>
          <w:color w:val="auto"/>
        </w:rPr>
        <w:t xml:space="preserve"> of $24.1 billion, reflecting the impact of the implementation of AASB 16</w:t>
      </w:r>
      <w:r w:rsidRPr="00F02BC5">
        <w:rPr>
          <w:i/>
          <w:color w:val="auto"/>
        </w:rPr>
        <w:t xml:space="preserve"> Leases</w:t>
      </w:r>
      <w:r w:rsidRPr="00F02BC5">
        <w:rPr>
          <w:color w:val="auto"/>
        </w:rPr>
        <w:t xml:space="preserve">; </w:t>
      </w:r>
    </w:p>
    <w:p w14:paraId="21DF6BA0" w14:textId="77777777"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specialist military equipment</w:t>
      </w:r>
      <w:r w:rsidRPr="00F02BC5">
        <w:rPr>
          <w:color w:val="auto"/>
        </w:rPr>
        <w:t xml:space="preserve"> of $5.1 billion, primarily as a result of additions and revaluation adjustments; and</w:t>
      </w:r>
    </w:p>
    <w:p w14:paraId="13309838" w14:textId="77777777" w:rsidR="004F6F89" w:rsidRPr="00F02BC5" w:rsidRDefault="004F6F89" w:rsidP="004F6F89">
      <w:pPr>
        <w:pStyle w:val="Bulletlist"/>
        <w:ind w:left="284" w:hanging="284"/>
        <w:rPr>
          <w:color w:val="auto"/>
        </w:rPr>
      </w:pPr>
      <w:r w:rsidRPr="00F02BC5">
        <w:rPr>
          <w:color w:val="auto"/>
        </w:rPr>
        <w:t xml:space="preserve">an increase in </w:t>
      </w:r>
      <w:r w:rsidRPr="00F02BC5">
        <w:rPr>
          <w:b/>
          <w:color w:val="auto"/>
        </w:rPr>
        <w:t>inventories</w:t>
      </w:r>
      <w:r w:rsidRPr="00F02BC5">
        <w:rPr>
          <w:color w:val="auto"/>
        </w:rPr>
        <w:t xml:space="preserve"> of $1.0 billion, driven by the purchase of personal protective equipment and pharmaceuticals for the National Medical Stockpile as part of the Government’s response to the COVID-19 pandemic. </w:t>
      </w:r>
    </w:p>
    <w:p w14:paraId="2B6E9B15" w14:textId="4A4C4D92" w:rsidR="00F5383C" w:rsidRPr="00F02BC5" w:rsidRDefault="004F6F89" w:rsidP="004F6F89">
      <w:pPr>
        <w:pStyle w:val="Disclosuretext"/>
      </w:pPr>
      <w:r w:rsidRPr="00F02BC5">
        <w:rPr>
          <w:rFonts w:cstheme="minorHAnsi"/>
        </w:rPr>
        <w:t>Note 5 of the 2019-20 CFS provides further information on assets</w:t>
      </w:r>
      <w:r w:rsidR="007A73A2" w:rsidRPr="00F02BC5">
        <w:t>.</w:t>
      </w:r>
    </w:p>
    <w:p w14:paraId="068598F5" w14:textId="51B1C20F" w:rsidR="004B1BEC" w:rsidRPr="00F02BC5" w:rsidRDefault="004B1BEC" w:rsidP="007E52AC">
      <w:pPr>
        <w:pStyle w:val="Disclosuretext"/>
      </w:pPr>
      <w:r w:rsidRPr="00F02BC5">
        <w:rPr>
          <w:bCs/>
        </w:rPr>
        <w:br w:type="page"/>
      </w:r>
    </w:p>
    <w:p w14:paraId="4E49B3CA" w14:textId="77777777" w:rsidR="004B1BEC" w:rsidRPr="00F02BC5" w:rsidRDefault="004B1BEC" w:rsidP="008422C0">
      <w:pPr>
        <w:pStyle w:val="Heading4"/>
      </w:pPr>
      <w:r w:rsidRPr="00F02BC5">
        <w:t>Liabilities</w:t>
      </w:r>
    </w:p>
    <w:p w14:paraId="1584740D" w14:textId="601CC4A2" w:rsidR="00BE659A" w:rsidRPr="00F02BC5" w:rsidRDefault="004F6F89" w:rsidP="00BE659A">
      <w:pPr>
        <w:pStyle w:val="Disclosuretext"/>
      </w:pPr>
      <w:r w:rsidRPr="00F02BC5">
        <w:t>The Australian Government’s total liabilities were $1,518.</w:t>
      </w:r>
      <w:r w:rsidR="0065664B" w:rsidRPr="00F02BC5">
        <w:t>5</w:t>
      </w:r>
      <w:r w:rsidRPr="00F02BC5">
        <w:t xml:space="preserve"> billion as at </w:t>
      </w:r>
      <w:r w:rsidR="001141C2">
        <w:fldChar w:fldCharType="begin"/>
      </w:r>
      <w:r w:rsidR="001141C2">
        <w:instrText xml:space="preserve"> DOCPROPERTY  pEnd  \* MERGEFORMAT </w:instrText>
      </w:r>
      <w:r w:rsidR="001141C2">
        <w:fldChar w:fldCharType="separate"/>
      </w:r>
      <w:r w:rsidRPr="00F02BC5">
        <w:t>30 June</w:t>
      </w:r>
      <w:r w:rsidR="001141C2">
        <w:fldChar w:fldCharType="end"/>
      </w:r>
      <w:r w:rsidRPr="00F02BC5">
        <w:t>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00E50F90" w:rsidRPr="00F02BC5">
        <w:t xml:space="preserve">. </w:t>
      </w:r>
    </w:p>
    <w:p w14:paraId="056849F5" w14:textId="77777777" w:rsidR="00BE659A" w:rsidRPr="00F02BC5" w:rsidRDefault="00BE659A" w:rsidP="0038598B">
      <w:pPr>
        <w:pStyle w:val="Tableheading"/>
        <w:spacing w:after="0"/>
        <w:rPr>
          <w:lang w:eastAsia="en-AU"/>
        </w:rPr>
      </w:pPr>
      <w:r w:rsidRPr="00F02BC5">
        <w:rPr>
          <w:lang w:eastAsia="en-AU"/>
        </w:rPr>
        <w:t>Table 8: Liabilities</w:t>
      </w:r>
    </w:p>
    <w:p w14:paraId="0CEA00F1" w14:textId="49C92735" w:rsidR="00BE659A" w:rsidRPr="00F02BC5" w:rsidRDefault="0065664B" w:rsidP="00BE659A">
      <w:pPr>
        <w:pStyle w:val="Tableheading"/>
        <w:spacing w:after="0" w:line="360" w:lineRule="auto"/>
        <w:rPr>
          <w:lang w:eastAsia="en-AU"/>
        </w:rPr>
      </w:pPr>
      <w:r w:rsidRPr="00F02BC5">
        <w:rPr>
          <w:noProof/>
          <w:lang w:eastAsia="en-AU"/>
        </w:rPr>
        <w:drawing>
          <wp:inline distT="0" distB="0" distL="0" distR="0" wp14:anchorId="0A49F59D" wp14:editId="1F5CE4FB">
            <wp:extent cx="4701540" cy="767715"/>
            <wp:effectExtent l="0" t="0" r="381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1540" cy="767715"/>
                    </a:xfrm>
                    <a:prstGeom prst="rect">
                      <a:avLst/>
                    </a:prstGeom>
                    <a:noFill/>
                    <a:ln>
                      <a:noFill/>
                    </a:ln>
                  </pic:spPr>
                </pic:pic>
              </a:graphicData>
            </a:graphic>
          </wp:inline>
        </w:drawing>
      </w:r>
    </w:p>
    <w:p w14:paraId="0832D53A" w14:textId="54CBBD9B" w:rsidR="00BE659A" w:rsidRPr="00F02BC5" w:rsidRDefault="004F6F89" w:rsidP="00BE659A">
      <w:pPr>
        <w:pStyle w:val="Disclosuretext"/>
      </w:pPr>
      <w:r w:rsidRPr="00F02BC5">
        <w:t>The Australian Government’s</w:t>
      </w:r>
      <w:r w:rsidR="00CE6859">
        <w:t xml:space="preserve"> liabilities increased by $236.0</w:t>
      </w:r>
      <w:r w:rsidRPr="00F02BC5">
        <w:t xml:space="preserve"> billion (18.4 per cent) since 30 June </w:t>
      </w:r>
      <w:r w:rsidR="001141C2">
        <w:fldChar w:fldCharType="begin"/>
      </w:r>
      <w:r w:rsidR="001141C2">
        <w:instrText xml:space="preserve"> DOCPROPERTY  prYear  \* MERGEFORMAT </w:instrText>
      </w:r>
      <w:r w:rsidR="001141C2">
        <w:fldChar w:fldCharType="separate"/>
      </w:r>
      <w:r w:rsidRPr="00F02BC5">
        <w:t>2019</w:t>
      </w:r>
      <w:r w:rsidR="001141C2">
        <w:fldChar w:fldCharType="end"/>
      </w:r>
      <w:r w:rsidRPr="00F02BC5">
        <w:t>.</w:t>
      </w:r>
      <w:r w:rsidRPr="00F02BC5">
        <w:rPr>
          <w:rFonts w:cs="Arial"/>
        </w:rPr>
        <w:t xml:space="preserve"> The composition of liabilities is shown in Chart 9 below</w:t>
      </w:r>
      <w:r w:rsidR="00BE659A" w:rsidRPr="00F02BC5">
        <w:rPr>
          <w:rFonts w:cs="Arial"/>
        </w:rPr>
        <w:t>.</w:t>
      </w:r>
    </w:p>
    <w:p w14:paraId="5959BF95" w14:textId="77777777" w:rsidR="00BE659A" w:rsidRPr="00F02BC5" w:rsidRDefault="00BE659A" w:rsidP="00BE659A">
      <w:pPr>
        <w:pStyle w:val="Disclosuretext"/>
        <w:rPr>
          <w:rFonts w:cs="Arial"/>
        </w:rPr>
      </w:pPr>
    </w:p>
    <w:p w14:paraId="4CE87B31" w14:textId="06F9B140" w:rsidR="004B1BEC" w:rsidRPr="00F02BC5" w:rsidRDefault="004B1BEC" w:rsidP="004B1BEC">
      <w:pPr>
        <w:keepNext/>
        <w:spacing w:before="120" w:after="20"/>
        <w:jc w:val="center"/>
        <w:rPr>
          <w:rFonts w:ascii="Arial Bold" w:hAnsi="Arial Bold"/>
          <w:b/>
          <w:lang w:eastAsia="en-AU"/>
        </w:rPr>
      </w:pPr>
      <w:r w:rsidRPr="00F02BC5">
        <w:rPr>
          <w:b/>
          <w:sz w:val="20"/>
        </w:rPr>
        <w:t>Chart 9: Composition of liabilities</w:t>
      </w:r>
      <w:r w:rsidRPr="00F02BC5">
        <w:rPr>
          <w:rFonts w:ascii="Arial Bold" w:hAnsi="Arial Bold"/>
          <w:b/>
          <w:lang w:eastAsia="en-AU"/>
        </w:rPr>
        <w:t xml:space="preserve"> </w:t>
      </w:r>
    </w:p>
    <w:p w14:paraId="0DCADED8" w14:textId="507E9DE4" w:rsidR="0064616D" w:rsidRDefault="0064616D" w:rsidP="00921B89">
      <w:pPr>
        <w:jc w:val="center"/>
        <w:rPr>
          <w:noProof/>
          <w:lang w:eastAsia="en-AU"/>
        </w:rPr>
      </w:pPr>
    </w:p>
    <w:p w14:paraId="247C123D" w14:textId="2155CF5F" w:rsidR="00D06DF7" w:rsidRPr="00F02BC5" w:rsidRDefault="00D06DF7" w:rsidP="00921B89">
      <w:pPr>
        <w:jc w:val="center"/>
        <w:rPr>
          <w:lang w:eastAsia="en-AU"/>
        </w:rPr>
      </w:pPr>
      <w:r>
        <w:rPr>
          <w:noProof/>
          <w:lang w:eastAsia="en-AU"/>
        </w:rPr>
        <w:drawing>
          <wp:inline distT="0" distB="0" distL="0" distR="0" wp14:anchorId="0192F77C" wp14:editId="2246E631">
            <wp:extent cx="3877310" cy="2969260"/>
            <wp:effectExtent l="0" t="0" r="8890" b="254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7310" cy="2969260"/>
                    </a:xfrm>
                    <a:prstGeom prst="rect">
                      <a:avLst/>
                    </a:prstGeom>
                    <a:noFill/>
                  </pic:spPr>
                </pic:pic>
              </a:graphicData>
            </a:graphic>
          </wp:inline>
        </w:drawing>
      </w:r>
    </w:p>
    <w:p w14:paraId="6D5A06BC" w14:textId="338AEAC7" w:rsidR="00E50F90" w:rsidRPr="00F02BC5" w:rsidRDefault="00E50F90" w:rsidP="00E50F90">
      <w:pPr>
        <w:pStyle w:val="Disclosuretext"/>
      </w:pPr>
    </w:p>
    <w:p w14:paraId="4654D8E4" w14:textId="52FD094B" w:rsidR="00E50F90" w:rsidRPr="00F02BC5" w:rsidRDefault="00E50F90">
      <w:pPr>
        <w:rPr>
          <w:rFonts w:ascii="Book Antiqua" w:hAnsi="Book Antiqua"/>
          <w:spacing w:val="4"/>
          <w:sz w:val="20"/>
          <w:lang w:eastAsia="en-AU"/>
        </w:rPr>
      </w:pPr>
      <w:r w:rsidRPr="00F02BC5">
        <w:br w:type="page"/>
      </w:r>
    </w:p>
    <w:p w14:paraId="5C68615E" w14:textId="03C5B450" w:rsidR="004F6F89" w:rsidRPr="00F02BC5" w:rsidRDefault="004F6F89" w:rsidP="004F6F89">
      <w:pPr>
        <w:pStyle w:val="Disclosuretext"/>
      </w:pPr>
      <w:r w:rsidRPr="00F02BC5">
        <w:t xml:space="preserve">The increase of $177.2 billion in </w:t>
      </w:r>
      <w:r w:rsidRPr="00F02BC5">
        <w:rPr>
          <w:b/>
        </w:rPr>
        <w:t>interest bearing liabilities</w:t>
      </w:r>
      <w:r w:rsidRPr="00F02BC5">
        <w:t xml:space="preserve"> is primarily due to:  </w:t>
      </w:r>
    </w:p>
    <w:p w14:paraId="2B6C34C8" w14:textId="742C3BA3" w:rsidR="004F6F89" w:rsidRPr="00F02BC5" w:rsidRDefault="004F6F89" w:rsidP="004F6F89">
      <w:pPr>
        <w:pStyle w:val="Bulletlist"/>
        <w:ind w:left="284" w:hanging="284"/>
        <w:rPr>
          <w:color w:val="auto"/>
        </w:rPr>
      </w:pPr>
      <w:r w:rsidRPr="00F02BC5">
        <w:rPr>
          <w:color w:val="auto"/>
        </w:rPr>
        <w:t xml:space="preserve">an increase in Australian Government Securities of $106.6 billion, primarily reflecting the Government’s increased borrowing requirements stemming from the response to, and impacts of, the COVID-19 pandemic; </w:t>
      </w:r>
    </w:p>
    <w:p w14:paraId="7131AA21" w14:textId="2040C5AA" w:rsidR="004F6F89" w:rsidRPr="00F02BC5" w:rsidRDefault="004F6F89" w:rsidP="004F6F89">
      <w:pPr>
        <w:pStyle w:val="Bulletlist"/>
        <w:ind w:left="284" w:hanging="284"/>
        <w:rPr>
          <w:color w:val="auto"/>
        </w:rPr>
      </w:pPr>
      <w:r w:rsidRPr="00F02BC5">
        <w:rPr>
          <w:color w:val="auto"/>
        </w:rPr>
        <w:t>an increase in deposits held of $44.9 billion, primarily reflecting the increase in balances held in Exchange Settlement accounts, as a result of the enhanced liquidity operations of the Reserve Bank of Australia in response to the COVID</w:t>
      </w:r>
      <w:r w:rsidRPr="00F02BC5">
        <w:rPr>
          <w:color w:val="auto"/>
        </w:rPr>
        <w:noBreakHyphen/>
        <w:t>19 pandemic ($44.0 billion); and</w:t>
      </w:r>
    </w:p>
    <w:p w14:paraId="1958AD26" w14:textId="547EE04C" w:rsidR="004F6F89" w:rsidRPr="00F02BC5" w:rsidRDefault="004F6F89" w:rsidP="004F6F89">
      <w:pPr>
        <w:pStyle w:val="Bulletlist"/>
        <w:ind w:left="284" w:hanging="284"/>
        <w:rPr>
          <w:color w:val="auto"/>
        </w:rPr>
      </w:pPr>
      <w:r w:rsidRPr="00F02BC5">
        <w:rPr>
          <w:color w:val="auto"/>
        </w:rPr>
        <w:t>an increase in lease</w:t>
      </w:r>
      <w:r w:rsidRPr="00F02BC5">
        <w:rPr>
          <w:b/>
          <w:color w:val="auto"/>
        </w:rPr>
        <w:t xml:space="preserve"> </w:t>
      </w:r>
      <w:r w:rsidRPr="00F02BC5">
        <w:rPr>
          <w:color w:val="auto"/>
        </w:rPr>
        <w:t xml:space="preserve">liabilities of $22.3 billion, reflecting the impact of the implementation of AASB 16 </w:t>
      </w:r>
      <w:r w:rsidRPr="00F02BC5">
        <w:rPr>
          <w:i/>
          <w:color w:val="auto"/>
        </w:rPr>
        <w:t>Leases</w:t>
      </w:r>
      <w:r w:rsidRPr="00F02BC5">
        <w:rPr>
          <w:color w:val="auto"/>
        </w:rPr>
        <w:t xml:space="preserve">. </w:t>
      </w:r>
    </w:p>
    <w:p w14:paraId="79F759B3" w14:textId="1D41222F" w:rsidR="004F6F89" w:rsidRPr="00F02BC5" w:rsidRDefault="004F6F89" w:rsidP="004F6F89">
      <w:pPr>
        <w:pStyle w:val="Disclosuretext"/>
      </w:pPr>
      <w:r w:rsidRPr="00F02BC5">
        <w:t xml:space="preserve">The increase in </w:t>
      </w:r>
      <w:r w:rsidRPr="00F02BC5">
        <w:rPr>
          <w:b/>
        </w:rPr>
        <w:t>provision and payables</w:t>
      </w:r>
      <w:r w:rsidR="0065664B" w:rsidRPr="00F02BC5">
        <w:t xml:space="preserve"> of $58.8</w:t>
      </w:r>
      <w:r w:rsidRPr="00F02BC5">
        <w:t xml:space="preserve"> billion was driven by: </w:t>
      </w:r>
    </w:p>
    <w:p w14:paraId="2139327F" w14:textId="143A2222" w:rsidR="004F6F89" w:rsidRPr="00F02BC5" w:rsidRDefault="004F6F89" w:rsidP="004F6F89">
      <w:pPr>
        <w:pStyle w:val="Bulletlist"/>
        <w:ind w:left="284" w:hanging="284"/>
        <w:rPr>
          <w:color w:val="auto"/>
        </w:rPr>
      </w:pPr>
      <w:r w:rsidRPr="00F02BC5">
        <w:rPr>
          <w:color w:val="auto"/>
        </w:rPr>
        <w:t xml:space="preserve">an increase in provisions of $19.6 billion for JobKeeper and cash flow boost payments to businesses as part of the Government’s economic response to the COVID-19 pandemic; </w:t>
      </w:r>
    </w:p>
    <w:p w14:paraId="2A52FF64" w14:textId="0B940F3C" w:rsidR="004F6F89" w:rsidRPr="00F02BC5" w:rsidRDefault="004F6F89" w:rsidP="004F6F89">
      <w:pPr>
        <w:pStyle w:val="Bulletlist"/>
        <w:ind w:left="284" w:hanging="284"/>
        <w:rPr>
          <w:color w:val="auto"/>
        </w:rPr>
      </w:pPr>
      <w:r w:rsidRPr="00F02BC5">
        <w:rPr>
          <w:color w:val="auto"/>
        </w:rPr>
        <w:t xml:space="preserve">an increase in the superannuation liability of $15.0 billion, in part due to the change in actuarial revaluation for a decrease in the long-term discount rates; </w:t>
      </w:r>
    </w:p>
    <w:p w14:paraId="4D1C5D38" w14:textId="1B80A423" w:rsidR="004F6F89" w:rsidRPr="00F02BC5" w:rsidRDefault="004F6F89" w:rsidP="004F6F89">
      <w:pPr>
        <w:pStyle w:val="Bulletlist"/>
        <w:ind w:left="284" w:hanging="284"/>
        <w:rPr>
          <w:color w:val="auto"/>
        </w:rPr>
      </w:pPr>
      <w:r w:rsidRPr="00F02BC5">
        <w:rPr>
          <w:color w:val="auto"/>
        </w:rPr>
        <w:t>an increase to the actuarial revaluation of other employee liabilities and other provisions relating to military compensation of $10.8 billion; and</w:t>
      </w:r>
    </w:p>
    <w:p w14:paraId="54310888" w14:textId="3ABE6D37" w:rsidR="004F6F89" w:rsidRPr="00F02BC5" w:rsidRDefault="004F6F89" w:rsidP="004F6F89">
      <w:pPr>
        <w:pStyle w:val="Bulletlist"/>
        <w:ind w:left="284" w:hanging="284"/>
        <w:rPr>
          <w:color w:val="auto"/>
        </w:rPr>
      </w:pPr>
      <w:r w:rsidRPr="00F02BC5">
        <w:rPr>
          <w:color w:val="auto"/>
        </w:rPr>
        <w:t xml:space="preserve">an increase in Australian currency on issue of $10.1 billion. </w:t>
      </w:r>
    </w:p>
    <w:p w14:paraId="449E62EE" w14:textId="427A1C76" w:rsidR="007A73A2" w:rsidRPr="00F02BC5" w:rsidRDefault="004F6F89" w:rsidP="004F6F89">
      <w:pPr>
        <w:pStyle w:val="Disclosuretext"/>
      </w:pPr>
      <w:r w:rsidRPr="00F02BC5">
        <w:rPr>
          <w:rFonts w:cstheme="minorHAnsi"/>
        </w:rPr>
        <w:t>Note 6 of the 2019-20 CFS provides further information on liabilities</w:t>
      </w:r>
      <w:r w:rsidR="00CB4056" w:rsidRPr="00F02BC5">
        <w:t>.</w:t>
      </w:r>
    </w:p>
    <w:p w14:paraId="0B461E87" w14:textId="5063CAFF" w:rsidR="00BE0049" w:rsidRPr="00F02BC5" w:rsidRDefault="00BE0049" w:rsidP="004B1BEC">
      <w:pPr>
        <w:spacing w:line="260" w:lineRule="exact"/>
      </w:pPr>
    </w:p>
    <w:p w14:paraId="1C0DE142" w14:textId="0A3E28E5" w:rsidR="004B1BEC" w:rsidRPr="00F02BC5" w:rsidRDefault="00F73BCB">
      <w:pPr>
        <w:rPr>
          <w:color w:val="000000"/>
          <w:lang w:eastAsia="en-AU"/>
        </w:rPr>
      </w:pPr>
      <w:r w:rsidRPr="00F02BC5">
        <w:rPr>
          <w:color w:val="000000"/>
          <w:lang w:eastAsia="en-AU"/>
        </w:rPr>
        <w:t xml:space="preserve"> </w:t>
      </w:r>
      <w:r w:rsidR="004B1BEC" w:rsidRPr="00F02BC5">
        <w:rPr>
          <w:color w:val="000000"/>
          <w:lang w:eastAsia="en-AU"/>
        </w:rPr>
        <w:br w:type="page"/>
      </w:r>
    </w:p>
    <w:p w14:paraId="5B876E00" w14:textId="4B800919" w:rsidR="004B1BEC" w:rsidRPr="00F02BC5" w:rsidRDefault="004B1BEC" w:rsidP="008422C0">
      <w:pPr>
        <w:pStyle w:val="Heading4"/>
      </w:pPr>
      <w:r w:rsidRPr="00F02BC5">
        <w:t>Cash flows</w:t>
      </w:r>
    </w:p>
    <w:p w14:paraId="1455C9C3" w14:textId="5F9239F0" w:rsidR="00BE659A" w:rsidRPr="00F02BC5" w:rsidRDefault="004F6F89" w:rsidP="00BE659A">
      <w:pPr>
        <w:pStyle w:val="Disclosuretext"/>
      </w:pPr>
      <w:r w:rsidRPr="00F02BC5">
        <w:t xml:space="preserve">The Australian Government’s cash balance was $8.0 billion at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Pr="00F02BC5">
        <w:t xml:space="preserve">. For the year ended 30 June </w:t>
      </w:r>
      <w:r w:rsidR="001141C2">
        <w:fldChar w:fldCharType="begin"/>
      </w:r>
      <w:r w:rsidR="001141C2">
        <w:instrText xml:space="preserve"> DOCPROPERTY  crYear  \* MERGEFORMAT </w:instrText>
      </w:r>
      <w:r w:rsidR="001141C2">
        <w:fldChar w:fldCharType="separate"/>
      </w:r>
      <w:r w:rsidRPr="00F02BC5">
        <w:t>2020</w:t>
      </w:r>
      <w:r w:rsidR="001141C2">
        <w:fldChar w:fldCharType="end"/>
      </w:r>
      <w:r w:rsidRPr="00F02BC5">
        <w:t>, the Australian Government recorded a cash deficit of $87.5 billion compared to a cash deficit of $0.5 billion for 2018-19</w:t>
      </w:r>
      <w:r w:rsidR="00BE659A" w:rsidRPr="00F02BC5">
        <w:t xml:space="preserve">. </w:t>
      </w:r>
    </w:p>
    <w:p w14:paraId="512C770F" w14:textId="194B9EA6" w:rsidR="00BE659A" w:rsidRPr="00F02BC5" w:rsidRDefault="00BE659A" w:rsidP="00BE659A"/>
    <w:p w14:paraId="7593EBB6" w14:textId="09E9FEAA" w:rsidR="004B1BEC" w:rsidRPr="00F02BC5" w:rsidRDefault="004B1BEC" w:rsidP="00033F89">
      <w:pPr>
        <w:pStyle w:val="Tableheading"/>
        <w:spacing w:after="0"/>
        <w:rPr>
          <w:lang w:eastAsia="en-AU"/>
        </w:rPr>
      </w:pPr>
      <w:r w:rsidRPr="00F02BC5">
        <w:rPr>
          <w:lang w:eastAsia="en-AU"/>
        </w:rPr>
        <w:t xml:space="preserve">Table </w:t>
      </w:r>
      <w:r w:rsidR="00BE0049" w:rsidRPr="00F02BC5">
        <w:rPr>
          <w:lang w:eastAsia="en-AU"/>
        </w:rPr>
        <w:t>9</w:t>
      </w:r>
      <w:r w:rsidRPr="00F02BC5">
        <w:rPr>
          <w:lang w:eastAsia="en-AU"/>
        </w:rPr>
        <w:t>: Cash flows</w:t>
      </w:r>
    </w:p>
    <w:p w14:paraId="5EC14E91" w14:textId="45773EA0" w:rsidR="007E52AC" w:rsidRPr="00F02BC5" w:rsidRDefault="006C4B4D" w:rsidP="00033F89">
      <w:pPr>
        <w:pStyle w:val="Disclosuretext"/>
        <w:spacing w:after="0"/>
      </w:pPr>
      <w:r w:rsidRPr="006C4B4D">
        <w:rPr>
          <w:noProof/>
        </w:rPr>
        <w:drawing>
          <wp:inline distT="0" distB="0" distL="0" distR="0" wp14:anchorId="6444B497" wp14:editId="0B78FAD3">
            <wp:extent cx="4720890" cy="3535200"/>
            <wp:effectExtent l="0" t="0" r="3810"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0890" cy="3535200"/>
                    </a:xfrm>
                    <a:prstGeom prst="rect">
                      <a:avLst/>
                    </a:prstGeom>
                    <a:noFill/>
                    <a:ln>
                      <a:noFill/>
                    </a:ln>
                  </pic:spPr>
                </pic:pic>
              </a:graphicData>
            </a:graphic>
          </wp:inline>
        </w:drawing>
      </w:r>
    </w:p>
    <w:p w14:paraId="47D8DF47" w14:textId="77777777" w:rsidR="00033F89" w:rsidRPr="00F02BC5" w:rsidRDefault="00033F89" w:rsidP="007E52AC">
      <w:pPr>
        <w:pStyle w:val="Disclosuretext"/>
      </w:pPr>
    </w:p>
    <w:p w14:paraId="498F8DF8" w14:textId="130B36D9" w:rsidR="004B1BEC" w:rsidRPr="00F02BC5" w:rsidRDefault="004B1BEC" w:rsidP="004B1BEC">
      <w:pPr>
        <w:spacing w:before="240" w:after="190" w:line="260" w:lineRule="exact"/>
        <w:rPr>
          <w:lang w:eastAsia="en-AU"/>
        </w:rPr>
      </w:pPr>
    </w:p>
    <w:p w14:paraId="23464746" w14:textId="20A2A75E" w:rsidR="001540E2" w:rsidRPr="00F02BC5" w:rsidRDefault="001540E2">
      <w:pPr>
        <w:rPr>
          <w:color w:val="000000"/>
          <w:lang w:eastAsia="en-AU"/>
        </w:rPr>
      </w:pPr>
      <w:r w:rsidRPr="00F02BC5">
        <w:rPr>
          <w:color w:val="000000"/>
          <w:lang w:eastAsia="en-AU"/>
        </w:rPr>
        <w:br w:type="page"/>
      </w:r>
    </w:p>
    <w:p w14:paraId="5A291CA6" w14:textId="4D35EFAA" w:rsidR="001540E2" w:rsidRPr="00F02BC5" w:rsidRDefault="001540E2" w:rsidP="008422C0">
      <w:pPr>
        <w:pStyle w:val="Heading4"/>
      </w:pPr>
      <w:r w:rsidRPr="00F02BC5">
        <w:t>Receipts and payments</w:t>
      </w:r>
    </w:p>
    <w:p w14:paraId="7A4F5A19" w14:textId="4E765313" w:rsidR="00BE659A" w:rsidRPr="00F02BC5" w:rsidRDefault="004F6F89" w:rsidP="00BE659A">
      <w:pPr>
        <w:pStyle w:val="Disclosuretext"/>
      </w:pPr>
      <w:r w:rsidRPr="00F02BC5">
        <w:t>The following charts provide a detailed breakdown of Australian Government receipts and payments for 2019-20, showing the relative composition of each dollar received and paid</w:t>
      </w:r>
      <w:r w:rsidR="00BE659A" w:rsidRPr="00F02BC5">
        <w:t>.</w:t>
      </w:r>
    </w:p>
    <w:p w14:paraId="1A476041" w14:textId="3C59154B" w:rsidR="001540E2" w:rsidRPr="00F02BC5" w:rsidRDefault="001540E2" w:rsidP="008422C0">
      <w:pPr>
        <w:pStyle w:val="Chartheading"/>
        <w:rPr>
          <w:lang w:eastAsia="en-AU"/>
        </w:rPr>
      </w:pPr>
      <w:r w:rsidRPr="00F02BC5">
        <w:rPr>
          <w:lang w:eastAsia="en-AU"/>
        </w:rPr>
        <w:t xml:space="preserve">Chart 10: Composition of each dollar of cash received in </w:t>
      </w:r>
      <w:r w:rsidR="00BE659A" w:rsidRPr="00F02BC5">
        <w:rPr>
          <w:lang w:eastAsia="en-AU"/>
        </w:rPr>
        <w:t>201</w:t>
      </w:r>
      <w:r w:rsidR="00D5033E" w:rsidRPr="00F02BC5">
        <w:rPr>
          <w:lang w:eastAsia="en-AU"/>
        </w:rPr>
        <w:t>9</w:t>
      </w:r>
      <w:r w:rsidR="00BE659A" w:rsidRPr="00F02BC5">
        <w:rPr>
          <w:lang w:eastAsia="en-AU"/>
        </w:rPr>
        <w:t>-</w:t>
      </w:r>
      <w:r w:rsidR="00D5033E" w:rsidRPr="00F02BC5">
        <w:rPr>
          <w:lang w:eastAsia="en-AU"/>
        </w:rPr>
        <w:t>20</w:t>
      </w:r>
    </w:p>
    <w:p w14:paraId="3F444FE4" w14:textId="1DC8725A" w:rsidR="0064616D" w:rsidRDefault="009E4D68" w:rsidP="00F267AA">
      <w:pPr>
        <w:jc w:val="center"/>
        <w:rPr>
          <w:lang w:eastAsia="en-AU"/>
        </w:rPr>
      </w:pPr>
      <w:r>
        <w:rPr>
          <w:noProof/>
          <w:lang w:eastAsia="en-AU"/>
        </w:rPr>
        <w:drawing>
          <wp:inline distT="0" distB="0" distL="0" distR="0" wp14:anchorId="10C4ACFE" wp14:editId="2DD7ACC1">
            <wp:extent cx="3784167" cy="2678430"/>
            <wp:effectExtent l="0" t="0" r="6985"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89023" cy="2681867"/>
                    </a:xfrm>
                    <a:prstGeom prst="rect">
                      <a:avLst/>
                    </a:prstGeom>
                    <a:noFill/>
                  </pic:spPr>
                </pic:pic>
              </a:graphicData>
            </a:graphic>
          </wp:inline>
        </w:drawing>
      </w:r>
    </w:p>
    <w:p w14:paraId="0707FE78" w14:textId="2B87AE80" w:rsidR="009E4D68" w:rsidRPr="00F02BC5" w:rsidRDefault="009E4D68" w:rsidP="00F267AA">
      <w:pPr>
        <w:jc w:val="center"/>
        <w:rPr>
          <w:lang w:eastAsia="en-AU"/>
        </w:rPr>
      </w:pPr>
    </w:p>
    <w:p w14:paraId="011894B0" w14:textId="7DD981CC" w:rsidR="00B12679" w:rsidRPr="00F02BC5" w:rsidRDefault="001540E2" w:rsidP="009B7499">
      <w:pPr>
        <w:pStyle w:val="Chartheading"/>
        <w:rPr>
          <w:lang w:eastAsia="en-AU"/>
        </w:rPr>
      </w:pPr>
      <w:r w:rsidRPr="00F02BC5">
        <w:rPr>
          <w:lang w:eastAsia="en-AU"/>
        </w:rPr>
        <w:t xml:space="preserve">Chart 11: Composition of each dollar of cash paid in </w:t>
      </w:r>
      <w:r w:rsidR="00BE659A" w:rsidRPr="00F02BC5">
        <w:rPr>
          <w:lang w:eastAsia="en-AU"/>
        </w:rPr>
        <w:t>201</w:t>
      </w:r>
      <w:r w:rsidR="00D5033E" w:rsidRPr="00F02BC5">
        <w:rPr>
          <w:lang w:eastAsia="en-AU"/>
        </w:rPr>
        <w:t>9</w:t>
      </w:r>
      <w:r w:rsidR="00BE659A" w:rsidRPr="00F02BC5">
        <w:rPr>
          <w:lang w:eastAsia="en-AU"/>
        </w:rPr>
        <w:t>-</w:t>
      </w:r>
      <w:r w:rsidR="00D5033E" w:rsidRPr="00F02BC5">
        <w:rPr>
          <w:lang w:eastAsia="en-AU"/>
        </w:rPr>
        <w:t>20</w:t>
      </w:r>
    </w:p>
    <w:p w14:paraId="10F27579" w14:textId="43DDE8F6" w:rsidR="008B51A9" w:rsidRPr="00F02BC5" w:rsidRDefault="008B51A9" w:rsidP="00F267AA">
      <w:pPr>
        <w:jc w:val="center"/>
        <w:rPr>
          <w:color w:val="000000"/>
          <w:lang w:eastAsia="en-AU"/>
        </w:rPr>
      </w:pPr>
      <w:r>
        <w:rPr>
          <w:noProof/>
          <w:color w:val="000000"/>
          <w:lang w:eastAsia="en-AU"/>
        </w:rPr>
        <w:drawing>
          <wp:inline distT="0" distB="0" distL="0" distR="0" wp14:anchorId="1660EB17" wp14:editId="5BB7FE9F">
            <wp:extent cx="4463323" cy="3042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l="4605" r="4894" b="4921"/>
                    <a:stretch/>
                  </pic:blipFill>
                  <pic:spPr bwMode="auto">
                    <a:xfrm>
                      <a:off x="0" y="0"/>
                      <a:ext cx="4463323" cy="3042000"/>
                    </a:xfrm>
                    <a:prstGeom prst="rect">
                      <a:avLst/>
                    </a:prstGeom>
                    <a:noFill/>
                    <a:ln>
                      <a:noFill/>
                    </a:ln>
                    <a:extLst>
                      <a:ext uri="{53640926-AAD7-44D8-BBD7-CCE9431645EC}">
                        <a14:shadowObscured xmlns:a14="http://schemas.microsoft.com/office/drawing/2010/main"/>
                      </a:ext>
                    </a:extLst>
                  </pic:spPr>
                </pic:pic>
              </a:graphicData>
            </a:graphic>
          </wp:inline>
        </w:drawing>
      </w:r>
    </w:p>
    <w:p w14:paraId="0A1F2AF8" w14:textId="63960F3F" w:rsidR="00A3384B" w:rsidRPr="00F02BC5" w:rsidRDefault="00A3384B" w:rsidP="00BE659A">
      <w:pPr>
        <w:pStyle w:val="Disclosuretext"/>
      </w:pPr>
    </w:p>
    <w:p w14:paraId="62FB3E22" w14:textId="1FAA7BF4" w:rsidR="00BE659A" w:rsidRPr="00F02BC5" w:rsidRDefault="00E50F90" w:rsidP="00BE659A">
      <w:pPr>
        <w:pStyle w:val="Disclosuretext"/>
      </w:pPr>
      <w:r w:rsidRPr="00F02BC5">
        <w:t>Chart 12 provides the trend of the Australian Government’s receipts and payments for operating activities and the sales and purchases of non-financial assets since 2010-11</w:t>
      </w:r>
      <w:r w:rsidR="00BE659A" w:rsidRPr="00F02BC5">
        <w:t>.</w:t>
      </w:r>
    </w:p>
    <w:p w14:paraId="0965C84D" w14:textId="61B7B9C5" w:rsidR="00170949" w:rsidRPr="00F02BC5" w:rsidRDefault="00170949" w:rsidP="008422C0">
      <w:pPr>
        <w:pStyle w:val="Chartheading"/>
        <w:rPr>
          <w:lang w:eastAsia="en-AU"/>
        </w:rPr>
      </w:pPr>
      <w:r w:rsidRPr="00F02BC5">
        <w:rPr>
          <w:lang w:eastAsia="en-AU"/>
        </w:rPr>
        <w:t>Chart 12: Receipts and payments – operating and non-financial assets</w:t>
      </w:r>
    </w:p>
    <w:p w14:paraId="605EACE8" w14:textId="77777777" w:rsidR="007873CE" w:rsidRPr="00F02BC5" w:rsidRDefault="007873CE" w:rsidP="00170949">
      <w:pPr>
        <w:keepNext/>
        <w:spacing w:before="120" w:after="20"/>
        <w:jc w:val="center"/>
        <w:rPr>
          <w:rFonts w:ascii="Arial Bold" w:hAnsi="Arial Bold"/>
          <w:b/>
          <w:lang w:eastAsia="en-AU"/>
        </w:rPr>
      </w:pPr>
    </w:p>
    <w:p w14:paraId="20C1DD2C" w14:textId="3305F796" w:rsidR="0064616D" w:rsidRPr="00F02BC5" w:rsidRDefault="003801A9">
      <w:pPr>
        <w:rPr>
          <w:b/>
          <w:lang w:eastAsia="en-AU"/>
        </w:rPr>
      </w:pPr>
      <w:r>
        <w:rPr>
          <w:b/>
          <w:noProof/>
          <w:lang w:eastAsia="en-AU"/>
        </w:rPr>
        <w:drawing>
          <wp:inline distT="0" distB="0" distL="0" distR="0" wp14:anchorId="65101DC6" wp14:editId="1509C637">
            <wp:extent cx="5005070" cy="2950845"/>
            <wp:effectExtent l="0" t="0" r="508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05070" cy="2950845"/>
                    </a:xfrm>
                    <a:prstGeom prst="rect">
                      <a:avLst/>
                    </a:prstGeom>
                    <a:noFill/>
                  </pic:spPr>
                </pic:pic>
              </a:graphicData>
            </a:graphic>
          </wp:inline>
        </w:drawing>
      </w:r>
    </w:p>
    <w:p w14:paraId="484E9CBD" w14:textId="77777777" w:rsidR="00170949" w:rsidRPr="00F02BC5" w:rsidRDefault="00170949">
      <w:pPr>
        <w:rPr>
          <w:color w:val="000000"/>
          <w:lang w:eastAsia="en-AU"/>
        </w:rPr>
      </w:pPr>
      <w:r w:rsidRPr="00F02BC5">
        <w:rPr>
          <w:color w:val="000000"/>
          <w:lang w:eastAsia="en-AU"/>
        </w:rPr>
        <w:br w:type="page"/>
      </w:r>
    </w:p>
    <w:p w14:paraId="0ADFE641" w14:textId="77777777" w:rsidR="00170949" w:rsidRPr="00F02BC5" w:rsidRDefault="00170949" w:rsidP="008422C0">
      <w:pPr>
        <w:pStyle w:val="Heading1A"/>
        <w:rPr>
          <w:noProof/>
        </w:rPr>
      </w:pPr>
      <w:r w:rsidRPr="00F02BC5">
        <w:t>APPENDIX A</w:t>
      </w:r>
    </w:p>
    <w:p w14:paraId="75F3ECE7" w14:textId="77777777" w:rsidR="00BE659A" w:rsidRPr="00F02BC5" w:rsidRDefault="00BE659A" w:rsidP="00BE659A">
      <w:pPr>
        <w:pStyle w:val="Heading2-NoTOC"/>
      </w:pPr>
      <w:r w:rsidRPr="00F02BC5">
        <w:t xml:space="preserve">Previous years </w:t>
      </w:r>
    </w:p>
    <w:p w14:paraId="5D667F27" w14:textId="77777777" w:rsidR="00E50F90" w:rsidRPr="00F02BC5" w:rsidRDefault="00E50F90" w:rsidP="00E50F90">
      <w:pPr>
        <w:pStyle w:val="Disclosuretext"/>
      </w:pPr>
      <w:r w:rsidRPr="00F02BC5">
        <w:t xml:space="preserve">The CFS since 1995-96 are available on the Department of Finance website at: </w:t>
      </w:r>
      <w:r w:rsidRPr="00F02BC5">
        <w:br/>
      </w:r>
      <w:hyperlink r:id="rId39" w:history="1">
        <w:r w:rsidRPr="00F02BC5">
          <w:t>http://www.finance.gov.au/publications/commonwealth-consolidated-financial-statements</w:t>
        </w:r>
      </w:hyperlink>
      <w:r w:rsidRPr="00F02BC5">
        <w:t>.</w:t>
      </w:r>
    </w:p>
    <w:p w14:paraId="4028EA49" w14:textId="77777777" w:rsidR="00E50F90" w:rsidRPr="00F02BC5" w:rsidRDefault="00E50F90" w:rsidP="00E50F90">
      <w:pPr>
        <w:pStyle w:val="Disclosuretext"/>
      </w:pPr>
      <w:r w:rsidRPr="00F02BC5">
        <w:t xml:space="preserve">The historical series datasets are available in electronic format at: </w:t>
      </w:r>
      <w:r w:rsidRPr="00F02BC5">
        <w:br/>
      </w:r>
      <w:hyperlink r:id="rId40" w:history="1">
        <w:r w:rsidRPr="00F02BC5">
          <w:t>http://data.gov.au/dataset/australian-government-consolidated-financial-statements-tables-and-data</w:t>
        </w:r>
      </w:hyperlink>
      <w:r w:rsidRPr="00F02BC5">
        <w:t>.</w:t>
      </w:r>
    </w:p>
    <w:p w14:paraId="7CB0DAAB" w14:textId="77777777" w:rsidR="00E50F90" w:rsidRPr="00F02BC5" w:rsidRDefault="00E50F90" w:rsidP="00E50F90">
      <w:pPr>
        <w:pStyle w:val="Heading2-NoTOC"/>
      </w:pPr>
      <w:r w:rsidRPr="00F02BC5">
        <w:t xml:space="preserve">Links to other publications </w:t>
      </w:r>
    </w:p>
    <w:p w14:paraId="27C1BE65" w14:textId="77777777" w:rsidR="00E50F90" w:rsidRPr="00F02BC5" w:rsidRDefault="00E50F90" w:rsidP="00E50F90">
      <w:pPr>
        <w:pStyle w:val="Disclosuretext"/>
      </w:pPr>
      <w:r w:rsidRPr="00F02BC5">
        <w:t>The Australian Government publishes a range of information about its projected and actual financial position. Links to some of these documents are set out below. The information in the following documents has been prepared for different purposes and therefore does not form part of the CFS. Further, the documents listed below are not subject to audit.</w:t>
      </w:r>
    </w:p>
    <w:p w14:paraId="4EB1EE4D" w14:textId="77777777" w:rsidR="00E50F90" w:rsidRPr="00F02BC5" w:rsidRDefault="00E50F90" w:rsidP="00E50F90">
      <w:pPr>
        <w:pStyle w:val="Heading4"/>
        <w:rPr>
          <w:lang w:eastAsia="en-AU"/>
        </w:rPr>
      </w:pPr>
      <w:r w:rsidRPr="00F02BC5">
        <w:rPr>
          <w:lang w:eastAsia="en-AU"/>
        </w:rPr>
        <w:t>2019-20 Final Budget Outcome</w:t>
      </w:r>
    </w:p>
    <w:p w14:paraId="1B0FD000" w14:textId="77777777" w:rsidR="00E50F90" w:rsidRPr="00F02BC5" w:rsidRDefault="00E50F90" w:rsidP="00E50F90">
      <w:pPr>
        <w:pStyle w:val="Disclosuretext"/>
      </w:pPr>
      <w:r w:rsidRPr="00F02BC5">
        <w:t xml:space="preserve">The 2019-20 Final Budget Outcome (FBO) was prepared in a manner consistent with the </w:t>
      </w:r>
      <w:r w:rsidRPr="00F02BC5">
        <w:rPr>
          <w:i/>
        </w:rPr>
        <w:t xml:space="preserve">Charter of Budget Honesty Act 1998 </w:t>
      </w:r>
      <w:r w:rsidRPr="00F02BC5">
        <w:t>(the Charter). The Charter requires that the Government provide the FBO no later than three months after the end of the financial year. Consistent with these requirements, the FBO encompasses Australian Government GGS fiscal outcomes for the 2019-20 financial year and is based on external reporting standards.</w:t>
      </w:r>
    </w:p>
    <w:p w14:paraId="48AB432D" w14:textId="77777777" w:rsidR="00E50F90" w:rsidRPr="00F02BC5" w:rsidRDefault="00E50F90" w:rsidP="00E50F90">
      <w:pPr>
        <w:pStyle w:val="Disclosuretext"/>
        <w:spacing w:after="0"/>
        <w:rPr>
          <w:spacing w:val="-14"/>
        </w:rPr>
      </w:pPr>
      <w:r w:rsidRPr="00F02BC5">
        <w:t>The 2019-20 FBO was released on the 25 September 2020 and is available on the Australian Government website at:</w:t>
      </w:r>
    </w:p>
    <w:p w14:paraId="6D3CF182" w14:textId="77777777" w:rsidR="00E50F90" w:rsidRPr="00F02BC5" w:rsidRDefault="00E50F90" w:rsidP="00E50F90">
      <w:pPr>
        <w:pStyle w:val="Disclosuretext"/>
        <w:rPr>
          <w:spacing w:val="0"/>
        </w:rPr>
      </w:pPr>
      <w:r w:rsidRPr="00F02BC5">
        <w:rPr>
          <w:spacing w:val="0"/>
        </w:rPr>
        <w:t>https://www.budget.gov.au/2019-20/content/fbo/.</w:t>
      </w:r>
    </w:p>
    <w:p w14:paraId="5609F219" w14:textId="77777777" w:rsidR="00E50F90" w:rsidRPr="00F02BC5" w:rsidRDefault="00E50F90" w:rsidP="00E50F90">
      <w:pPr>
        <w:pStyle w:val="Heading4"/>
        <w:rPr>
          <w:lang w:eastAsia="en-AU"/>
        </w:rPr>
      </w:pPr>
      <w:r w:rsidRPr="00F02BC5">
        <w:rPr>
          <w:lang w:eastAsia="en-AU"/>
        </w:rPr>
        <w:t>Australian Government Monthly Financial Statements</w:t>
      </w:r>
    </w:p>
    <w:p w14:paraId="56999C3F" w14:textId="77777777" w:rsidR="00E50F90" w:rsidRPr="00F02BC5" w:rsidRDefault="00E50F90" w:rsidP="00E50F90">
      <w:pPr>
        <w:pStyle w:val="Disclosuretext"/>
      </w:pPr>
      <w:r w:rsidRPr="00F02BC5">
        <w:t>The Australian Government GGS monthly financial statements (MFS) are prepared on a basis consistent with the Budget as required under section 47 of the PGPA Act. The statements are prepared in accordance with AASB 1049.</w:t>
      </w:r>
    </w:p>
    <w:p w14:paraId="5E0BFDB1" w14:textId="77777777" w:rsidR="00E50F90" w:rsidRPr="00F02BC5" w:rsidRDefault="00E50F90" w:rsidP="00E50F90">
      <w:pPr>
        <w:pStyle w:val="Disclosuretext"/>
        <w:spacing w:after="0"/>
      </w:pPr>
      <w:r w:rsidRPr="00F02BC5">
        <w:t xml:space="preserve">The Australian Government GGS MFS are available on the website of the Minister for Finance as well as the Department of Finance website: </w:t>
      </w:r>
    </w:p>
    <w:p w14:paraId="0D106338" w14:textId="77777777" w:rsidR="00E50F90" w:rsidRPr="00F02BC5" w:rsidRDefault="00E50F90" w:rsidP="00E50F90">
      <w:pPr>
        <w:pStyle w:val="Disclosuretext"/>
      </w:pPr>
      <w:r w:rsidRPr="00F02BC5">
        <w:t>https://www.finance.gov.au/publications/commonwealth-monthly-financial-statements/ and http://www.financeminister.gov.au/media-releases/2020.</w:t>
      </w:r>
    </w:p>
    <w:p w14:paraId="48BB0EBF" w14:textId="77777777" w:rsidR="00E50F90" w:rsidRPr="00F02BC5" w:rsidRDefault="00E50F90" w:rsidP="00E50F90">
      <w:pPr>
        <w:pStyle w:val="Disclosuretext"/>
      </w:pPr>
      <w:r w:rsidRPr="00F02BC5">
        <w:t xml:space="preserve">The historical series datasets are available in electronic format at: </w:t>
      </w:r>
      <w:hyperlink r:id="rId41" w:history="1">
        <w:r w:rsidRPr="00F02BC5">
          <w:t>http://data.gov.au/dataset/australian-government-general-government-sector-monthly-financial-statements-tables-and-data</w:t>
        </w:r>
      </w:hyperlink>
      <w:r w:rsidRPr="00F02BC5">
        <w:t xml:space="preserve">. </w:t>
      </w:r>
    </w:p>
    <w:p w14:paraId="3CB7B102" w14:textId="1A34246F" w:rsidR="00BE659A" w:rsidRPr="00F02BC5" w:rsidRDefault="00BE659A" w:rsidP="00BE659A">
      <w:pPr>
        <w:pStyle w:val="Disclosuretext"/>
      </w:pPr>
      <w:r w:rsidRPr="00F02BC5">
        <w:t xml:space="preserve">. </w:t>
      </w:r>
    </w:p>
    <w:p w14:paraId="6E0E6B19" w14:textId="77777777" w:rsidR="00BE659A" w:rsidRPr="00F02BC5" w:rsidRDefault="00BE659A" w:rsidP="00BE659A">
      <w:pPr>
        <w:pStyle w:val="Disclosuretext"/>
      </w:pPr>
    </w:p>
    <w:p w14:paraId="3A2F81F6" w14:textId="77777777" w:rsidR="00BE659A" w:rsidRPr="00F02BC5" w:rsidRDefault="00BE659A" w:rsidP="00BE659A">
      <w:pPr>
        <w:pStyle w:val="Heading4"/>
        <w:rPr>
          <w:lang w:eastAsia="en-AU"/>
        </w:rPr>
      </w:pPr>
      <w:r w:rsidRPr="00F02BC5">
        <w:rPr>
          <w:lang w:eastAsia="en-AU"/>
        </w:rPr>
        <w:t xml:space="preserve">Budget Strategy and Outlook and Mid-Year Economic and Fiscal Outlook </w:t>
      </w:r>
    </w:p>
    <w:p w14:paraId="74D1AC5B" w14:textId="77777777" w:rsidR="00E50F90" w:rsidRPr="00F02BC5" w:rsidRDefault="00E50F90" w:rsidP="00E50F90">
      <w:pPr>
        <w:pStyle w:val="Disclosuretext"/>
        <w:rPr>
          <w:rFonts w:eastAsia="Calibri"/>
        </w:rPr>
      </w:pPr>
      <w:r w:rsidRPr="00F02BC5">
        <w:rPr>
          <w:rFonts w:eastAsia="Calibri"/>
        </w:rPr>
        <w:t xml:space="preserve">The Budget Strategy and Outlook — Budget Paper No.1 — 2019-20, the Mid-Year Economic and Fiscal Outlook 2019-20 and the Budget Strategy and Outlook — Budget Paper No.1 — 2020-21 have been prepared in accordance with the Charter. </w:t>
      </w:r>
    </w:p>
    <w:p w14:paraId="2ACE0650" w14:textId="77777777" w:rsidR="00E50F90" w:rsidRPr="00F02BC5" w:rsidRDefault="00E50F90" w:rsidP="00E50F90">
      <w:pPr>
        <w:pStyle w:val="Disclosuretext"/>
        <w:rPr>
          <w:rFonts w:eastAsia="Calibri"/>
        </w:rPr>
      </w:pPr>
      <w:r w:rsidRPr="00F02BC5">
        <w:rPr>
          <w:rFonts w:eastAsia="Calibri"/>
        </w:rPr>
        <w:t>These Budget papers and the July 2020 Economic and Fiscal Update are available on the Australian Government website at http://www.budget.gov.au/.</w:t>
      </w:r>
    </w:p>
    <w:p w14:paraId="3CD4EA3A" w14:textId="77777777" w:rsidR="00E50F90" w:rsidRPr="00F02BC5" w:rsidRDefault="00E50F90" w:rsidP="00E50F90">
      <w:pPr>
        <w:pStyle w:val="Heading4"/>
        <w:rPr>
          <w:lang w:eastAsia="en-AU"/>
        </w:rPr>
      </w:pPr>
      <w:r w:rsidRPr="00F02BC5">
        <w:rPr>
          <w:lang w:eastAsia="en-AU"/>
        </w:rPr>
        <w:t xml:space="preserve">Tax Benchmarks and Variations Statement 2019 </w:t>
      </w:r>
    </w:p>
    <w:p w14:paraId="4F2A91A1" w14:textId="77777777" w:rsidR="00E50F90" w:rsidRPr="00F02BC5" w:rsidRDefault="00E50F90" w:rsidP="00E50F90">
      <w:pPr>
        <w:pStyle w:val="Disclosuretext"/>
        <w:spacing w:after="0"/>
        <w:rPr>
          <w:rFonts w:eastAsia="Calibri"/>
        </w:rPr>
      </w:pPr>
      <w:r w:rsidRPr="00F02BC5">
        <w:rPr>
          <w:rFonts w:eastAsia="Calibri"/>
        </w:rPr>
        <w:t xml:space="preserve">The Tax </w:t>
      </w:r>
      <w:r w:rsidRPr="00F02BC5">
        <w:t>Benchmarks and Variations</w:t>
      </w:r>
      <w:r w:rsidRPr="00F02BC5">
        <w:rPr>
          <w:rFonts w:eastAsia="Calibri"/>
        </w:rPr>
        <w:t xml:space="preserve"> Statement provides details of concessions, benefits, incentives and charges provided through the tax system (tax expenditures) to taxpayers by the Australian Government. Information is published on the Treasury website at: </w:t>
      </w:r>
    </w:p>
    <w:p w14:paraId="2F21B02C" w14:textId="77777777" w:rsidR="00E50F90" w:rsidRPr="00F02BC5" w:rsidRDefault="00E50F90" w:rsidP="00E50F90">
      <w:pPr>
        <w:pStyle w:val="Disclosuretext"/>
        <w:rPr>
          <w:rFonts w:eastAsia="Calibri"/>
        </w:rPr>
      </w:pPr>
      <w:r w:rsidRPr="00F02BC5">
        <w:rPr>
          <w:rFonts w:eastAsia="Calibri"/>
        </w:rPr>
        <w:t>http://treasury.gov.au/publication/p2020-51153/.</w:t>
      </w:r>
    </w:p>
    <w:p w14:paraId="53824158" w14:textId="77777777" w:rsidR="00F05B73" w:rsidRPr="00F02BC5" w:rsidRDefault="00F05B73" w:rsidP="00F267AA">
      <w:pPr>
        <w:autoSpaceDE w:val="0"/>
        <w:autoSpaceDN w:val="0"/>
        <w:adjustRightInd w:val="0"/>
        <w:spacing w:after="237"/>
        <w:rPr>
          <w:rFonts w:ascii="Arial Bold" w:hAnsi="Arial Bold"/>
          <w:b/>
          <w:smallCaps/>
          <w:sz w:val="26"/>
          <w:lang w:eastAsia="en-AU"/>
        </w:rPr>
      </w:pPr>
    </w:p>
    <w:p w14:paraId="4711A0BD" w14:textId="77777777" w:rsidR="00F267AA" w:rsidRPr="00F02BC5" w:rsidRDefault="00F267AA" w:rsidP="00F55D1A">
      <w:pPr>
        <w:spacing w:before="240" w:after="120"/>
        <w:rPr>
          <w:b/>
          <w:smallCaps/>
          <w:sz w:val="26"/>
        </w:rPr>
      </w:pPr>
    </w:p>
    <w:p w14:paraId="0A504F5A" w14:textId="77777777" w:rsidR="003F7C1A" w:rsidRPr="00F02BC5" w:rsidRDefault="003F7C1A" w:rsidP="003F7C1A"/>
    <w:p w14:paraId="4600D742" w14:textId="77777777" w:rsidR="003F7C1A" w:rsidRPr="00F02BC5" w:rsidRDefault="003F7C1A" w:rsidP="003F7C1A"/>
    <w:p w14:paraId="294ED539" w14:textId="6C2EE6AC" w:rsidR="00F43441" w:rsidRPr="00F02BC5" w:rsidRDefault="00F43441" w:rsidP="003F7C1A"/>
    <w:p w14:paraId="5E543C42" w14:textId="1ED772C0" w:rsidR="00F43441" w:rsidRPr="00F02BC5" w:rsidRDefault="00F43441" w:rsidP="00F43441">
      <w:pPr>
        <w:tabs>
          <w:tab w:val="left" w:pos="4293"/>
        </w:tabs>
      </w:pPr>
      <w:r w:rsidRPr="00F02BC5">
        <w:tab/>
      </w:r>
    </w:p>
    <w:p w14:paraId="11BA504C" w14:textId="6A958B92" w:rsidR="00D34A99" w:rsidRPr="00F02BC5" w:rsidRDefault="00F43441" w:rsidP="00F43441">
      <w:pPr>
        <w:tabs>
          <w:tab w:val="left" w:pos="4293"/>
        </w:tabs>
        <w:sectPr w:rsidR="00D34A99" w:rsidRPr="00F02BC5" w:rsidSect="00ED187A">
          <w:headerReference w:type="even" r:id="rId42"/>
          <w:headerReference w:type="default" r:id="rId43"/>
          <w:footerReference w:type="even" r:id="rId44"/>
          <w:footerReference w:type="default" r:id="rId45"/>
          <w:headerReference w:type="first" r:id="rId46"/>
          <w:footerReference w:type="first" r:id="rId47"/>
          <w:pgSz w:w="9979" w:h="14175" w:code="259"/>
          <w:pgMar w:top="1418" w:right="1134" w:bottom="1134" w:left="1418" w:header="567" w:footer="527" w:gutter="0"/>
          <w:pgNumType w:start="5"/>
          <w:cols w:space="708"/>
          <w:titlePg/>
          <w:docGrid w:linePitch="360"/>
        </w:sectPr>
      </w:pPr>
      <w:r w:rsidRPr="00F02BC5">
        <w:tab/>
      </w:r>
    </w:p>
    <w:p w14:paraId="65FA36BA" w14:textId="77777777" w:rsidR="00D97700" w:rsidRPr="00A4059A" w:rsidRDefault="00D97700" w:rsidP="00ED187A">
      <w:pPr>
        <w:rPr>
          <w:snapToGrid w:val="0"/>
          <w:lang w:eastAsia="en-AU"/>
        </w:rPr>
      </w:pPr>
    </w:p>
    <w:sectPr w:rsidR="00D97700" w:rsidRPr="00A4059A" w:rsidSect="00ED187A">
      <w:headerReference w:type="even" r:id="rId48"/>
      <w:headerReference w:type="default" r:id="rId49"/>
      <w:footerReference w:type="even" r:id="rId50"/>
      <w:footerReference w:type="default" r:id="rId51"/>
      <w:headerReference w:type="first" r:id="rId52"/>
      <w:pgSz w:w="9979" w:h="14175" w:code="9"/>
      <w:pgMar w:top="1418" w:right="1134" w:bottom="1134" w:left="1418" w:header="1899" w:footer="189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EAB0" w14:textId="77777777" w:rsidR="00047800" w:rsidRDefault="00047800">
      <w:r>
        <w:separator/>
      </w:r>
    </w:p>
  </w:endnote>
  <w:endnote w:type="continuationSeparator" w:id="0">
    <w:p w14:paraId="1A67596F" w14:textId="77777777" w:rsidR="00047800" w:rsidRDefault="000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TFGCJ+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0B86" w14:textId="2F15DE33" w:rsidR="00047800" w:rsidRPr="00A33039" w:rsidRDefault="00047800" w:rsidP="00A33039">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ED187A">
      <w:rPr>
        <w:rFonts w:ascii="Arial" w:hAnsi="Arial" w:cs="Arial"/>
        <w:noProof/>
        <w:sz w:val="16"/>
        <w:szCs w:val="16"/>
      </w:rPr>
      <w:t>2</w:t>
    </w:r>
    <w:r w:rsidRPr="00B41CFB">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11188"/>
      <w:docPartObj>
        <w:docPartGallery w:val="Page Numbers (Bottom of Page)"/>
        <w:docPartUnique/>
      </w:docPartObj>
    </w:sdtPr>
    <w:sdtEndPr>
      <w:rPr>
        <w:noProof/>
      </w:rPr>
    </w:sdtEndPr>
    <w:sdtContent>
      <w:p w14:paraId="32F477A0" w14:textId="77777777" w:rsidR="00047800" w:rsidRDefault="001141C2" w:rsidP="008F2D06">
        <w:pP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3C25" w14:textId="2AFE92C1" w:rsidR="00047800" w:rsidRPr="00B41CFB" w:rsidRDefault="00047800" w:rsidP="006D5022">
    <w:pPr>
      <w:pStyle w:val="Footer"/>
      <w:jc w:val="center"/>
      <w:rPr>
        <w:rFonts w:ascii="Arial" w:hAnsi="Arial" w:cs="Arial"/>
        <w:sz w:val="16"/>
        <w:szCs w:val="16"/>
      </w:rPr>
    </w:pPr>
  </w:p>
  <w:p w14:paraId="7CE314B9" w14:textId="77777777" w:rsidR="00047800" w:rsidRDefault="0004780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75C3" w14:textId="070D3A88" w:rsidR="00047800" w:rsidRPr="000A519B" w:rsidRDefault="00047800" w:rsidP="00EF1D7E">
    <w:pPr>
      <w:pStyle w:val="Footer"/>
      <w:jc w:val="center"/>
      <w:rPr>
        <w:rFonts w:ascii="Arial" w:hAnsi="Arial" w:cs="Arial"/>
        <w:sz w:val="16"/>
        <w:szCs w:val="16"/>
      </w:rPr>
    </w:pPr>
  </w:p>
  <w:p w14:paraId="2DD1B09F" w14:textId="4BAA3C07" w:rsidR="00047800" w:rsidRPr="00EF1D7E" w:rsidRDefault="00047800" w:rsidP="00EF1D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9B84" w14:textId="6F0C2B35" w:rsidR="00047800" w:rsidRPr="00B41CFB" w:rsidRDefault="00047800" w:rsidP="00EF1D7E">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1141C2">
      <w:rPr>
        <w:rFonts w:ascii="Arial" w:hAnsi="Arial" w:cs="Arial"/>
        <w:noProof/>
        <w:sz w:val="16"/>
        <w:szCs w:val="16"/>
      </w:rPr>
      <w:t>22</w:t>
    </w:r>
    <w:r w:rsidRPr="00B41CFB">
      <w:rPr>
        <w:rFonts w:ascii="Arial" w:hAnsi="Arial" w:cs="Arial"/>
        <w:noProof/>
        <w:sz w:val="16"/>
        <w:szCs w:val="16"/>
      </w:rPr>
      <w:fldChar w:fldCharType="end"/>
    </w:r>
  </w:p>
  <w:p w14:paraId="1E78AE16" w14:textId="77777777" w:rsidR="00047800" w:rsidRPr="00EF1D7E" w:rsidRDefault="00047800" w:rsidP="00EF1D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42A" w14:textId="4F8781C5" w:rsidR="00047800" w:rsidRPr="000A519B" w:rsidRDefault="00047800" w:rsidP="00284EB3">
    <w:pPr>
      <w:pStyle w:val="Footer"/>
      <w:jc w:val="center"/>
      <w:rPr>
        <w:rFonts w:ascii="Arial" w:hAnsi="Arial" w:cs="Arial"/>
        <w:sz w:val="16"/>
        <w:szCs w:val="16"/>
      </w:rPr>
    </w:pPr>
    <w:r w:rsidRPr="000A519B">
      <w:rPr>
        <w:rFonts w:ascii="Arial" w:hAnsi="Arial" w:cs="Arial"/>
        <w:sz w:val="16"/>
        <w:szCs w:val="16"/>
      </w:rPr>
      <w:fldChar w:fldCharType="begin"/>
    </w:r>
    <w:r w:rsidRPr="000A519B">
      <w:rPr>
        <w:rFonts w:ascii="Arial" w:hAnsi="Arial" w:cs="Arial"/>
        <w:sz w:val="16"/>
        <w:szCs w:val="16"/>
      </w:rPr>
      <w:instrText xml:space="preserve"> PAGE   \* MERGEFORMAT </w:instrText>
    </w:r>
    <w:r w:rsidRPr="000A519B">
      <w:rPr>
        <w:rFonts w:ascii="Arial" w:hAnsi="Arial" w:cs="Arial"/>
        <w:sz w:val="16"/>
        <w:szCs w:val="16"/>
      </w:rPr>
      <w:fldChar w:fldCharType="separate"/>
    </w:r>
    <w:r w:rsidR="001141C2">
      <w:rPr>
        <w:rFonts w:ascii="Arial" w:hAnsi="Arial" w:cs="Arial"/>
        <w:noProof/>
        <w:sz w:val="16"/>
        <w:szCs w:val="16"/>
      </w:rPr>
      <w:t>23</w:t>
    </w:r>
    <w:r w:rsidRPr="000A519B">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21A8" w14:textId="3A040A2F" w:rsidR="00ED187A" w:rsidRPr="00B41CFB" w:rsidRDefault="00ED187A" w:rsidP="006D5022">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1141C2">
      <w:rPr>
        <w:rFonts w:ascii="Arial" w:hAnsi="Arial" w:cs="Arial"/>
        <w:noProof/>
        <w:sz w:val="16"/>
        <w:szCs w:val="16"/>
      </w:rPr>
      <w:t>5</w:t>
    </w:r>
    <w:r w:rsidRPr="00B41CFB">
      <w:rPr>
        <w:rFonts w:ascii="Arial" w:hAnsi="Arial" w:cs="Arial"/>
        <w:noProof/>
        <w:sz w:val="16"/>
        <w:szCs w:val="16"/>
      </w:rPr>
      <w:fldChar w:fldCharType="end"/>
    </w:r>
  </w:p>
  <w:p w14:paraId="724A0E35" w14:textId="77777777" w:rsidR="00ED187A" w:rsidRDefault="00ED187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8138" w14:textId="29FA015D" w:rsidR="00047800" w:rsidRPr="00ED187A" w:rsidRDefault="00047800" w:rsidP="00ED18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12A4" w14:textId="77777777" w:rsidR="00047800" w:rsidRDefault="00047800" w:rsidP="00EC6884"/>
  <w:p w14:paraId="7D10933E" w14:textId="3D1AA75A" w:rsidR="00047800" w:rsidRDefault="00047800" w:rsidP="00D53F97">
    <w:pPr>
      <w:jc w:val="center"/>
    </w:pPr>
    <w:r>
      <w:fldChar w:fldCharType="begin"/>
    </w:r>
    <w:r>
      <w:instrText xml:space="preserve"> PAGE   \* MERGEFORMAT </w:instrText>
    </w:r>
    <w:r>
      <w:fldChar w:fldCharType="separate"/>
    </w:r>
    <w:r w:rsidR="00ED187A">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DB59" w14:textId="77777777" w:rsidR="00047800" w:rsidRDefault="00047800">
      <w:r>
        <w:separator/>
      </w:r>
    </w:p>
  </w:footnote>
  <w:footnote w:type="continuationSeparator" w:id="0">
    <w:p w14:paraId="24761CCF" w14:textId="77777777" w:rsidR="00047800" w:rsidRDefault="00047800">
      <w:r>
        <w:continuationSeparator/>
      </w:r>
    </w:p>
  </w:footnote>
  <w:footnote w:id="1">
    <w:p w14:paraId="518C394D" w14:textId="77777777" w:rsidR="00047800" w:rsidRPr="008E1BE3" w:rsidRDefault="00047800" w:rsidP="004F6F89">
      <w:pPr>
        <w:pStyle w:val="Footnotes"/>
        <w:rPr>
          <w:color w:val="3333FF"/>
        </w:rPr>
      </w:pPr>
      <w:r w:rsidRPr="00FF59A4">
        <w:footnoteRef/>
      </w:r>
      <w:r w:rsidRPr="00FF59A4">
        <w:t xml:space="preserve"> </w:t>
      </w:r>
      <w:r w:rsidRPr="00FF59A4">
        <w:tab/>
        <w:t>The institutional structure of the public sector is explained in Note 1 of the 201</w:t>
      </w:r>
      <w:r>
        <w:t>9</w:t>
      </w:r>
      <w:r w:rsidRPr="00FF59A4">
        <w:t>-</w:t>
      </w:r>
      <w:r>
        <w:t>20</w:t>
      </w:r>
      <w:r w:rsidRPr="00FF59A4">
        <w:t xml:space="preserve"> CFS. </w:t>
      </w:r>
      <w:r w:rsidRPr="00FF59A4">
        <w:br/>
      </w:r>
      <w:r w:rsidRPr="00623971">
        <w:t>Note 1</w:t>
      </w:r>
      <w:r>
        <w:t>4</w:t>
      </w:r>
      <w:r w:rsidRPr="00623971">
        <w:t xml:space="preserve"> of</w:t>
      </w:r>
      <w:r w:rsidRPr="00FF59A4">
        <w:t xml:space="preserve"> the 201</w:t>
      </w:r>
      <w:r>
        <w:t>9</w:t>
      </w:r>
      <w:r w:rsidRPr="00FF59A4">
        <w:t>-</w:t>
      </w:r>
      <w:r>
        <w:t>20</w:t>
      </w:r>
      <w:r w:rsidRPr="00FF59A4">
        <w:t xml:space="preserve"> CFS provides the list of </w:t>
      </w:r>
      <w:r w:rsidRPr="000B67CC">
        <w:t>Australian</w:t>
      </w:r>
      <w:r w:rsidRPr="00FF59A4">
        <w:t xml:space="preserve"> Government controlled reporting entities, including their sectoral classification.</w:t>
      </w:r>
    </w:p>
  </w:footnote>
  <w:footnote w:id="2">
    <w:p w14:paraId="0B7F1A77" w14:textId="77777777" w:rsidR="00047800" w:rsidRDefault="00047800" w:rsidP="004F6F89">
      <w:pPr>
        <w:pStyle w:val="Footnotes"/>
      </w:pPr>
      <w:r w:rsidRPr="00FF59A4">
        <w:footnoteRef/>
      </w:r>
      <w:r w:rsidRPr="00FF59A4">
        <w:t xml:space="preserve"> </w:t>
      </w:r>
      <w:r w:rsidRPr="00FF59A4">
        <w:tab/>
        <w:t xml:space="preserve">The balances and movements detailed in the commentary have been rounded to the nearest tenth of </w:t>
      </w:r>
      <w:r w:rsidRPr="00DF2BE0">
        <w:t xml:space="preserve">a billion. Discrepancies between totals and sums of components are due to rounding. </w:t>
      </w:r>
    </w:p>
    <w:p w14:paraId="2626F264" w14:textId="77777777" w:rsidR="00047800" w:rsidRPr="00DF2BE0" w:rsidRDefault="00047800" w:rsidP="004F6F89">
      <w:pPr>
        <w:pStyle w:val="Footnotes"/>
        <w:rPr>
          <w:color w:val="3333FF"/>
        </w:rPr>
      </w:pPr>
      <w:r>
        <w:t>3</w:t>
      </w:r>
      <w:r>
        <w:tab/>
      </w:r>
      <w:r w:rsidRPr="007F4E75">
        <w:t>The 2018-19 comparatives include restatements. Refer to Note 1.5 of the 2019-20 CFS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4622" w14:textId="16D8EF1F" w:rsidR="00047800" w:rsidRPr="00771786" w:rsidRDefault="001141C2" w:rsidP="00DE5351">
    <w:pPr>
      <w:rPr>
        <w:i/>
      </w:rPr>
    </w:pPr>
    <w:r>
      <w:rPr>
        <w:noProof/>
      </w:rPr>
      <w:pict w14:anchorId="1B52C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2" type="#_x0000_t136" style="position:absolute;margin-left:0;margin-top:0;width:453.7pt;height:69.8pt;z-index:251693568"/>
      </w:pict>
    </w:r>
    <w:r>
      <w:rPr>
        <w:noProof/>
      </w:rPr>
      <w:pict w14:anchorId="7BF5E109">
        <v:shape id="_x0000_s2059" type="#_x0000_t136" style="position:absolute;margin-left:0;margin-top:0;width:453.7pt;height:69.8pt;z-index:251694592"/>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1C35" w14:textId="1B5A478A" w:rsidR="00047800" w:rsidRPr="0000341E" w:rsidRDefault="001141C2" w:rsidP="0000341E">
    <w:r>
      <w:rPr>
        <w:noProof/>
      </w:rPr>
      <w:pict w14:anchorId="0DB6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3" type="#_x0000_t136" style="position:absolute;margin-left:0;margin-top:0;width:453.7pt;height:69.8pt;z-index:251696640"/>
      </w:pict>
    </w:r>
    <w:r>
      <w:rPr>
        <w:noProof/>
      </w:rPr>
      <w:pict w14:anchorId="6C4B502C">
        <v:shape id="_x0000_s2060" type="#_x0000_t136" style="position:absolute;margin-left:0;margin-top:0;width:453.7pt;height:69.8pt;z-index:251697664"/>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9B83" w14:textId="4FB96809" w:rsidR="00047800" w:rsidRDefault="001141C2" w:rsidP="00AA5AA7">
    <w:pPr>
      <w:pStyle w:val="Header"/>
      <w:jc w:val="right"/>
    </w:pPr>
    <w:r>
      <w:rPr>
        <w:noProof/>
      </w:rPr>
      <w:pict w14:anchorId="766A8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left:0;text-align:left;margin-left:0;margin-top:0;width:453.7pt;height:69.8pt;z-index:251690496"/>
      </w:pict>
    </w:r>
    <w:r>
      <w:rPr>
        <w:noProof/>
      </w:rPr>
      <w:pict w14:anchorId="11847156">
        <v:shape id="_x0000_s2058" type="#_x0000_t136" style="position:absolute;left:0;text-align:left;margin-left:0;margin-top:0;width:453.7pt;height:69.8pt;z-index:251691520"/>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EECD" w14:textId="0B9E3546" w:rsidR="00047800" w:rsidRPr="00BA408F" w:rsidRDefault="00047800" w:rsidP="00BA408F">
    <w:pPr>
      <w:pStyle w:val="Header"/>
    </w:pPr>
    <w:r w:rsidRPr="00BA408F">
      <w:t>Commentary on the financial statements</w:t>
    </w:r>
  </w:p>
  <w:p w14:paraId="068841B9" w14:textId="77777777" w:rsidR="00047800" w:rsidRPr="001A1834" w:rsidRDefault="00047800" w:rsidP="00897B2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ED12" w14:textId="4F6E6278" w:rsidR="00047800" w:rsidRPr="00BA408F" w:rsidRDefault="00047800" w:rsidP="006D5022">
    <w:pPr>
      <w:pStyle w:val="Header-right"/>
    </w:pPr>
    <w:r w:rsidRPr="00BA408F">
      <w:t>Commentary on the financial statements</w:t>
    </w:r>
  </w:p>
  <w:p w14:paraId="2C9E4D43" w14:textId="77777777" w:rsidR="00047800" w:rsidRPr="001A1834" w:rsidRDefault="00047800" w:rsidP="0000341E">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15B4" w14:textId="65C32CE5" w:rsidR="00047800" w:rsidRPr="00595099" w:rsidRDefault="00047800" w:rsidP="005950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B3FD" w14:textId="4AAB89CC" w:rsidR="00047800" w:rsidRPr="00ED187A" w:rsidRDefault="00047800" w:rsidP="00ED18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954" w14:textId="5FE00380" w:rsidR="00047800" w:rsidRPr="00112F79" w:rsidRDefault="00047800" w:rsidP="00D53F97">
    <w:pPr>
      <w:pStyle w:val="Header-right"/>
    </w:pPr>
    <w:r w:rsidRPr="007F129F">
      <w:t xml:space="preserve">Notes to the </w:t>
    </w:r>
    <w:r>
      <w:t>financial statement</w:t>
    </w:r>
    <w:r>
      <w:rPr>
        <w:noProof/>
      </w:rPr>
      <mc:AlternateContent>
        <mc:Choice Requires="wps">
          <w:drawing>
            <wp:anchor distT="46990" distB="46990" distL="90170" distR="90170" simplePos="0" relativeHeight="251662848" behindDoc="0" locked="0" layoutInCell="1" allowOverlap="1" wp14:anchorId="7ADE29E6" wp14:editId="37FA44A2">
              <wp:simplePos x="0" y="0"/>
              <wp:positionH relativeFrom="margin">
                <wp:posOffset>7741285</wp:posOffset>
              </wp:positionH>
              <wp:positionV relativeFrom="margin">
                <wp:posOffset>0</wp:posOffset>
              </wp:positionV>
              <wp:extent cx="334800" cy="4680000"/>
              <wp:effectExtent l="0" t="0" r="8255" b="6350"/>
              <wp:wrapSquare wrapText="bothSides"/>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C7932" w14:textId="4C1C3AAB"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E29E6" id="_x0000_t202" coordsize="21600,21600" o:spt="202" path="m,l,21600r21600,l21600,xe">
              <v:stroke joinstyle="miter"/>
              <v:path gradientshapeok="t" o:connecttype="rect"/>
            </v:shapetype>
            <v:shape id="Text Box 173" o:spid="_x0000_s1117" type="#_x0000_t202" style="position:absolute;left:0;text-align:left;margin-left:609.55pt;margin-top:0;width:26.35pt;height:368.5pt;z-index:2516628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B&#10;Pe7QhQIAABsFAAAOAAAAAAAAAAAAAAAAAC4CAABkcnMvZTJvRG9jLnhtbFBLAQItABQABgAIAAAA&#10;IQBRhYOa3gAAAAoBAAAPAAAAAAAAAAAAAAAAAN8EAABkcnMvZG93bnJldi54bWxQSwUGAAAAAAQA&#10;BADzAAAA6gUAAAAA&#10;" stroked="f">
              <v:textbox style="layout-flow:vertical">
                <w:txbxContent>
                  <w:p w14:paraId="26CC7932" w14:textId="4C1C3AAB" w:rsidR="001721A3" w:rsidRPr="008A11BE" w:rsidRDefault="001721A3"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1824" behindDoc="0" locked="0" layoutInCell="1" allowOverlap="1" wp14:anchorId="1727B9DE" wp14:editId="6A124A45">
              <wp:simplePos x="0" y="0"/>
              <wp:positionH relativeFrom="margin">
                <wp:posOffset>7741285</wp:posOffset>
              </wp:positionH>
              <wp:positionV relativeFrom="margin">
                <wp:posOffset>0</wp:posOffset>
              </wp:positionV>
              <wp:extent cx="334800" cy="4680000"/>
              <wp:effectExtent l="0" t="0" r="8255" b="6350"/>
              <wp:wrapSquare wrapText="bothSides"/>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24105" w14:textId="0B822089"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7B9DE" id="Text Box 174" o:spid="_x0000_s1118" type="#_x0000_t202" style="position:absolute;left:0;text-align:left;margin-left:609.55pt;margin-top:0;width:26.35pt;height:368.5pt;z-index:2516618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HTYfmoYCAAAbBQAADgAAAAAAAAAAAAAAAAAuAgAAZHJzL2Uyb0RvYy54bWxQSwECLQAUAAYACAAA&#10;ACEAUYWDmt4AAAAKAQAADwAAAAAAAAAAAAAAAADgBAAAZHJzL2Rvd25yZXYueG1sUEsFBgAAAAAE&#10;AAQA8wAAAOsFAAAAAA==&#10;" stroked="f">
              <v:textbox style="layout-flow:vertical">
                <w:txbxContent>
                  <w:p w14:paraId="0D524105" w14:textId="0B822089" w:rsidR="001721A3" w:rsidRPr="008A11BE" w:rsidRDefault="001721A3"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0800" behindDoc="0" locked="0" layoutInCell="1" allowOverlap="1" wp14:anchorId="5AB823FD" wp14:editId="65498277">
              <wp:simplePos x="0" y="0"/>
              <wp:positionH relativeFrom="margin">
                <wp:posOffset>7741285</wp:posOffset>
              </wp:positionH>
              <wp:positionV relativeFrom="margin">
                <wp:posOffset>0</wp:posOffset>
              </wp:positionV>
              <wp:extent cx="334800" cy="4680000"/>
              <wp:effectExtent l="0" t="0" r="8255" b="6350"/>
              <wp:wrapSquare wrapText="bothSides"/>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99128" w14:textId="61BB3A47"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823FD" id="Text Box 175" o:spid="_x0000_s1119" type="#_x0000_t202" style="position:absolute;left:0;text-align:left;margin-left:609.55pt;margin-top:0;width:26.35pt;height:368.5pt;z-index:2516608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t&#10;Z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Fx1&#10;eZ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C&#10;UQNMhQIAABsFAAAOAAAAAAAAAAAAAAAAAC4CAABkcnMvZTJvRG9jLnhtbFBLAQItABQABgAIAAAA&#10;IQBRhYOa3gAAAAoBAAAPAAAAAAAAAAAAAAAAAN8EAABkcnMvZG93bnJldi54bWxQSwUGAAAAAAQA&#10;BADzAAAA6gUAAAAA&#10;" stroked="f">
              <v:textbox style="layout-flow:vertical">
                <w:txbxContent>
                  <w:p w14:paraId="1B099128" w14:textId="61BB3A47" w:rsidR="001721A3" w:rsidRPr="008A11BE" w:rsidRDefault="001721A3"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0" distB="0" distL="114300" distR="114300" simplePos="0" relativeHeight="251659776" behindDoc="0" locked="0" layoutInCell="0" allowOverlap="1" wp14:anchorId="3CACB31F" wp14:editId="2D38EA96">
              <wp:simplePos x="0" y="0"/>
              <wp:positionH relativeFrom="rightMargin">
                <wp:posOffset>2841625</wp:posOffset>
              </wp:positionH>
              <wp:positionV relativeFrom="margin">
                <wp:posOffset>-1270</wp:posOffset>
              </wp:positionV>
              <wp:extent cx="340360" cy="4828540"/>
              <wp:effectExtent l="0" t="0" r="254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71C7B"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B31F" id="Rectangle 167" o:spid="_x0000_s1120" style="position:absolute;left:0;text-align:left;margin-left:223.75pt;margin-top:-.1pt;width:26.8pt;height:380.2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1EiE9YYCAAASBQAADgAAAAAAAAAAAAAAAAAuAgAAZHJzL2Uyb0RvYy54bWxQSwECLQAUAAYA&#10;CAAAACEAUPyxDuEAAAAJAQAADwAAAAAAAAAAAAAAAADgBAAAZHJzL2Rvd25yZXYueG1sUEsFBgAA&#10;AAAEAAQA8wAAAO4FAAAAAA==&#10;" o:allowincell="f" stroked="f">
              <v:textbox style="layout-flow:vertical">
                <w:txbxContent>
                  <w:p w14:paraId="70471C7B" w14:textId="77777777" w:rsidR="001721A3" w:rsidRPr="00C9514D" w:rsidRDefault="001721A3"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0" distB="0" distL="114300" distR="114300" simplePos="0" relativeHeight="251658752" behindDoc="0" locked="0" layoutInCell="0" allowOverlap="1" wp14:anchorId="3A8C7F0A" wp14:editId="3AF27A26">
              <wp:simplePos x="0" y="0"/>
              <wp:positionH relativeFrom="rightMargin">
                <wp:posOffset>2841625</wp:posOffset>
              </wp:positionH>
              <wp:positionV relativeFrom="margin">
                <wp:posOffset>-1270</wp:posOffset>
              </wp:positionV>
              <wp:extent cx="340360" cy="4828540"/>
              <wp:effectExtent l="0" t="0" r="254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1C30A"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F0A" id="Rectangle 168" o:spid="_x0000_s1121" style="position:absolute;left:0;text-align:left;margin-left:223.75pt;margin-top:-.1pt;width:26.8pt;height:380.2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PLXtD2HAgAAEgUAAA4AAAAAAAAAAAAAAAAALgIAAGRycy9lMm9Eb2MueG1sUEsBAi0AFAAG&#10;AAgAAAAhAFD8sQ7hAAAACQEAAA8AAAAAAAAAAAAAAAAA4QQAAGRycy9kb3ducmV2LnhtbFBLBQYA&#10;AAAABAAEAPMAAADvBQAAAAA=&#10;" o:allowincell="f" stroked="f">
              <v:textbox style="layout-flow:vertical">
                <w:txbxContent>
                  <w:p w14:paraId="2BE1C30A" w14:textId="77777777" w:rsidR="001721A3" w:rsidRPr="00C9514D" w:rsidRDefault="001721A3"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46990" distB="46990" distL="90170" distR="90170" simplePos="0" relativeHeight="251657728" behindDoc="0" locked="0" layoutInCell="1" allowOverlap="1" wp14:anchorId="0344E3A4" wp14:editId="04DDCA45">
              <wp:simplePos x="0" y="0"/>
              <wp:positionH relativeFrom="margin">
                <wp:posOffset>7741285</wp:posOffset>
              </wp:positionH>
              <wp:positionV relativeFrom="margin">
                <wp:posOffset>0</wp:posOffset>
              </wp:positionV>
              <wp:extent cx="334800" cy="4680000"/>
              <wp:effectExtent l="0" t="0" r="8255" b="6350"/>
              <wp:wrapSquare wrapText="bothSides"/>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C6BE8" w14:textId="2ECE2054" w:rsidR="00047800" w:rsidRPr="008A11BE" w:rsidRDefault="00047800"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4E3A4" id="Text Box 169" o:spid="_x0000_s1122" type="#_x0000_t202" style="position:absolute;left:0;text-align:left;margin-left:609.55pt;margin-top:0;width:26.35pt;height:368.5pt;z-index:2516577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2C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A3&#10;r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Fw1&#10;P8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h&#10;RN2ChQIAABsFAAAOAAAAAAAAAAAAAAAAAC4CAABkcnMvZTJvRG9jLnhtbFBLAQItABQABgAIAAAA&#10;IQBRhYOa3gAAAAoBAAAPAAAAAAAAAAAAAAAAAN8EAABkcnMvZG93bnJldi54bWxQSwUGAAAAAAQA&#10;BADzAAAA6gUAAAAA&#10;" stroked="f">
              <v:textbox style="layout-flow:vertical">
                <w:txbxContent>
                  <w:p w14:paraId="2E0C6BE8" w14:textId="2ECE2054" w:rsidR="001721A3" w:rsidRPr="008A11BE" w:rsidRDefault="001721A3"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6704" behindDoc="0" locked="0" layoutInCell="1" allowOverlap="1" wp14:anchorId="4BA57BAE" wp14:editId="26869F0A">
              <wp:simplePos x="0" y="0"/>
              <wp:positionH relativeFrom="margin">
                <wp:posOffset>7741285</wp:posOffset>
              </wp:positionH>
              <wp:positionV relativeFrom="margin">
                <wp:posOffset>0</wp:posOffset>
              </wp:positionV>
              <wp:extent cx="334800" cy="4680000"/>
              <wp:effectExtent l="0" t="0" r="8255" b="6350"/>
              <wp:wrapSquare wrapText="bothSides"/>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A8FD" w14:textId="08103D7E"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57BAE" id="Text Box 170" o:spid="_x0000_s1123" type="#_x0000_t202" style="position:absolute;left:0;text-align:left;margin-left:609.55pt;margin-top:0;width:26.35pt;height:368.5pt;z-index:2516567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eZiEAgAAGwUAAA4AAAAAAAAAAAAAAAAALgIAAGRycy9lMm9Eb2MueG1sUEsBAi0AFAAGAAgAAAAh&#10;AFGFg5reAAAACgEAAA8AAAAAAAAAAAAAAAAA3gQAAGRycy9kb3ducmV2LnhtbFBLBQYAAAAABAAE&#10;APMAAADpBQAAAAA=&#10;" stroked="f">
              <v:textbox style="layout-flow:vertical">
                <w:txbxContent>
                  <w:p w14:paraId="33C7A8FD" w14:textId="08103D7E" w:rsidR="001721A3" w:rsidRPr="008A11BE" w:rsidRDefault="001721A3"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5680" behindDoc="0" locked="0" layoutInCell="1" allowOverlap="1" wp14:anchorId="15900F36" wp14:editId="52A45685">
              <wp:simplePos x="0" y="0"/>
              <wp:positionH relativeFrom="margin">
                <wp:posOffset>7741285</wp:posOffset>
              </wp:positionH>
              <wp:positionV relativeFrom="margin">
                <wp:posOffset>0</wp:posOffset>
              </wp:positionV>
              <wp:extent cx="334800" cy="4680000"/>
              <wp:effectExtent l="0" t="0" r="8255" b="6350"/>
              <wp:wrapSquare wrapText="bothSides"/>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F702" w14:textId="7A4E30BB"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0F36" id="Text Box 171" o:spid="_x0000_s1124" type="#_x0000_t202" style="position:absolute;left:0;text-align:left;margin-left:609.55pt;margin-top:0;width:26.35pt;height:368.5pt;z-index:2516556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m02nQ4YCAAAbBQAADgAAAAAAAAAAAAAAAAAuAgAAZHJzL2Uyb0RvYy54bWxQSwECLQAUAAYACAAA&#10;ACEAUYWDmt4AAAAKAQAADwAAAAAAAAAAAAAAAADgBAAAZHJzL2Rvd25yZXYueG1sUEsFBgAAAAAE&#10;AAQA8wAAAOsFAAAAAA==&#10;" stroked="f">
              <v:textbox style="layout-flow:vertical">
                <w:txbxContent>
                  <w:p w14:paraId="6982F702" w14:textId="7A4E30BB" w:rsidR="001721A3" w:rsidRPr="008A11BE" w:rsidRDefault="001721A3"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4656" behindDoc="0" locked="0" layoutInCell="1" allowOverlap="1" wp14:anchorId="0598063C" wp14:editId="3433DE13">
              <wp:simplePos x="0" y="0"/>
              <wp:positionH relativeFrom="margin">
                <wp:posOffset>7741285</wp:posOffset>
              </wp:positionH>
              <wp:positionV relativeFrom="margin">
                <wp:posOffset>0</wp:posOffset>
              </wp:positionV>
              <wp:extent cx="334800" cy="4680000"/>
              <wp:effectExtent l="0" t="0" r="8255" b="6350"/>
              <wp:wrapSquare wrapText="bothSides"/>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4341" w14:textId="1DC59017" w:rsidR="00047800" w:rsidRPr="008A11BE" w:rsidRDefault="00047800"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8063C" id="Text Box 172" o:spid="_x0000_s1125" type="#_x0000_t202" style="position:absolute;left:0;text-align:left;margin-left:609.55pt;margin-top:0;width:26.35pt;height:368.5pt;z-index:2516546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ng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eY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bK&#10;8iSvrWLPIAyjgDfgGF4UmPgRowG6s8b2654YjlH3ToK4yqwofDuHRTGd57Awl5btpYVI2ipoegCL&#10;07WLT8BeG7Fr4aYoZ6nuQJCNCFrxyo1RHWUMHRiSOr4WvsUv18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6&#10;eGnghQIAABsFAAAOAAAAAAAAAAAAAAAAAC4CAABkcnMvZTJvRG9jLnhtbFBLAQItABQABgAIAAAA&#10;IQBRhYOa3gAAAAoBAAAPAAAAAAAAAAAAAAAAAN8EAABkcnMvZG93bnJldi54bWxQSwUGAAAAAAQA&#10;BADzAAAA6gUAAAAA&#10;" stroked="f">
              <v:textbox style="layout-flow:vertical">
                <w:txbxContent>
                  <w:p w14:paraId="39D24341" w14:textId="1DC59017" w:rsidR="001721A3" w:rsidRPr="008A11BE" w:rsidRDefault="001721A3" w:rsidP="00112F79">
                    <w:r>
                      <w:fldChar w:fldCharType="begin"/>
                    </w:r>
                    <w:r>
                      <w:instrText xml:space="preserve"> SUBJECT   \* MERGEFORMAT </w:instrText>
                    </w:r>
                    <w:r>
                      <w:fldChar w:fldCharType="end"/>
                    </w:r>
                  </w:p>
                </w:txbxContent>
              </v:textbox>
              <w10:wrap type="square" anchorx="margin" anchory="margin"/>
            </v:shape>
          </w:pict>
        </mc:Fallback>
      </mc:AlternateContent>
    </w:r>
    <w:r>
      <w: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9732" w14:textId="0A5A557D" w:rsidR="00047800" w:rsidRDefault="0004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46062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8"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1" w15:restartNumberingAfterBreak="0">
    <w:nsid w:val="391A4829"/>
    <w:multiLevelType w:val="hybridMultilevel"/>
    <w:tmpl w:val="C17E7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3"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5"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16"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7"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8"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9"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1"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2" w15:restartNumberingAfterBreak="0">
    <w:nsid w:val="5FDC5660"/>
    <w:multiLevelType w:val="hybridMultilevel"/>
    <w:tmpl w:val="BE2074D4"/>
    <w:lvl w:ilvl="0" w:tplc="95F446B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379AA"/>
    <w:multiLevelType w:val="multilevel"/>
    <w:tmpl w:val="4A2C09A0"/>
    <w:numStyleLink w:val="CurrentList1"/>
  </w:abstractNum>
  <w:abstractNum w:abstractNumId="24"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5"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num w:numId="1">
    <w:abstractNumId w:val="15"/>
  </w:num>
  <w:num w:numId="2">
    <w:abstractNumId w:val="25"/>
  </w:num>
  <w:num w:numId="3">
    <w:abstractNumId w:val="12"/>
    <w:lvlOverride w:ilvl="0">
      <w:startOverride w:val="1"/>
    </w:lvlOverride>
  </w:num>
  <w:num w:numId="4">
    <w:abstractNumId w:val="12"/>
    <w:lvlOverride w:ilvl="0">
      <w:startOverride w:val="1"/>
    </w:lvlOverride>
  </w:num>
  <w:num w:numId="5">
    <w:abstractNumId w:val="19"/>
  </w:num>
  <w:num w:numId="6">
    <w:abstractNumId w:val="13"/>
  </w:num>
  <w:num w:numId="7">
    <w:abstractNumId w:val="23"/>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7"/>
  </w:num>
  <w:num w:numId="49">
    <w:abstractNumId w:val="10"/>
  </w:num>
  <w:num w:numId="50">
    <w:abstractNumId w:val="11"/>
  </w:num>
  <w:num w:numId="51">
    <w:abstractNumId w:val="0"/>
  </w:num>
  <w:num w:numId="52">
    <w:abstractNumId w:val="9"/>
  </w:num>
  <w:num w:numId="53">
    <w:abstractNumId w:val="13"/>
  </w:num>
  <w:num w:numId="54">
    <w:abstractNumId w:val="13"/>
  </w:num>
  <w:num w:numId="55">
    <w:abstractNumId w:val="13"/>
  </w:num>
  <w:num w:numId="56">
    <w:abstractNumId w:val="5"/>
  </w:num>
  <w:num w:numId="57">
    <w:abstractNumId w:val="14"/>
  </w:num>
  <w:num w:numId="58">
    <w:abstractNumId w:val="18"/>
  </w:num>
  <w:num w:numId="59">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154">
      <v:stroke weight=".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F3"/>
    <w:rsid w:val="00011A8D"/>
    <w:rsid w:val="00011F9B"/>
    <w:rsid w:val="000121DE"/>
    <w:rsid w:val="000123F7"/>
    <w:rsid w:val="0001289C"/>
    <w:rsid w:val="00012B85"/>
    <w:rsid w:val="00013718"/>
    <w:rsid w:val="0001394A"/>
    <w:rsid w:val="00013C1D"/>
    <w:rsid w:val="00013D12"/>
    <w:rsid w:val="0001403C"/>
    <w:rsid w:val="0001412E"/>
    <w:rsid w:val="00014CC2"/>
    <w:rsid w:val="00014EE4"/>
    <w:rsid w:val="00015004"/>
    <w:rsid w:val="0001532F"/>
    <w:rsid w:val="000154AE"/>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5014"/>
    <w:rsid w:val="0002530B"/>
    <w:rsid w:val="0002580D"/>
    <w:rsid w:val="00025C78"/>
    <w:rsid w:val="00025FEB"/>
    <w:rsid w:val="0002612B"/>
    <w:rsid w:val="00026BF8"/>
    <w:rsid w:val="00026DD7"/>
    <w:rsid w:val="00026EFB"/>
    <w:rsid w:val="00027A80"/>
    <w:rsid w:val="00027D7C"/>
    <w:rsid w:val="00027EBB"/>
    <w:rsid w:val="00030359"/>
    <w:rsid w:val="00030929"/>
    <w:rsid w:val="00030A7F"/>
    <w:rsid w:val="00030B52"/>
    <w:rsid w:val="00030CC4"/>
    <w:rsid w:val="00030DE9"/>
    <w:rsid w:val="00031405"/>
    <w:rsid w:val="00031AD5"/>
    <w:rsid w:val="000324D5"/>
    <w:rsid w:val="00032BF4"/>
    <w:rsid w:val="00032E9C"/>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E3C"/>
    <w:rsid w:val="000410FD"/>
    <w:rsid w:val="00041FBE"/>
    <w:rsid w:val="000420D7"/>
    <w:rsid w:val="000421CD"/>
    <w:rsid w:val="0004270A"/>
    <w:rsid w:val="00044076"/>
    <w:rsid w:val="00044A7B"/>
    <w:rsid w:val="00044EAE"/>
    <w:rsid w:val="0004507F"/>
    <w:rsid w:val="00045297"/>
    <w:rsid w:val="00045B61"/>
    <w:rsid w:val="0004614B"/>
    <w:rsid w:val="0004668D"/>
    <w:rsid w:val="0004677E"/>
    <w:rsid w:val="000468D4"/>
    <w:rsid w:val="00046BCF"/>
    <w:rsid w:val="00046CCB"/>
    <w:rsid w:val="00046F8D"/>
    <w:rsid w:val="000470B1"/>
    <w:rsid w:val="00047800"/>
    <w:rsid w:val="000478FA"/>
    <w:rsid w:val="00047ABD"/>
    <w:rsid w:val="00047B2B"/>
    <w:rsid w:val="00047BCC"/>
    <w:rsid w:val="00051415"/>
    <w:rsid w:val="000519C7"/>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51B8"/>
    <w:rsid w:val="00075F21"/>
    <w:rsid w:val="00075F72"/>
    <w:rsid w:val="00075FA1"/>
    <w:rsid w:val="000760F1"/>
    <w:rsid w:val="000762C0"/>
    <w:rsid w:val="00076524"/>
    <w:rsid w:val="000767F3"/>
    <w:rsid w:val="000771C6"/>
    <w:rsid w:val="000775B1"/>
    <w:rsid w:val="0007790C"/>
    <w:rsid w:val="00080F80"/>
    <w:rsid w:val="000810DB"/>
    <w:rsid w:val="000817C2"/>
    <w:rsid w:val="000820F1"/>
    <w:rsid w:val="00082450"/>
    <w:rsid w:val="000824FD"/>
    <w:rsid w:val="00082676"/>
    <w:rsid w:val="00083597"/>
    <w:rsid w:val="000836D7"/>
    <w:rsid w:val="00083FB5"/>
    <w:rsid w:val="000843E6"/>
    <w:rsid w:val="000847E9"/>
    <w:rsid w:val="000855A1"/>
    <w:rsid w:val="0008656E"/>
    <w:rsid w:val="000865F6"/>
    <w:rsid w:val="00086C19"/>
    <w:rsid w:val="00086E38"/>
    <w:rsid w:val="00087481"/>
    <w:rsid w:val="000874A6"/>
    <w:rsid w:val="00087657"/>
    <w:rsid w:val="000877E8"/>
    <w:rsid w:val="00087C65"/>
    <w:rsid w:val="00087DC2"/>
    <w:rsid w:val="00090218"/>
    <w:rsid w:val="0009023E"/>
    <w:rsid w:val="00090529"/>
    <w:rsid w:val="0009053A"/>
    <w:rsid w:val="00090592"/>
    <w:rsid w:val="0009064E"/>
    <w:rsid w:val="00090D45"/>
    <w:rsid w:val="0009111C"/>
    <w:rsid w:val="0009137D"/>
    <w:rsid w:val="000916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409"/>
    <w:rsid w:val="000B0709"/>
    <w:rsid w:val="000B075C"/>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7D5"/>
    <w:rsid w:val="000B7ADD"/>
    <w:rsid w:val="000B7F50"/>
    <w:rsid w:val="000B7F96"/>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40A7"/>
    <w:rsid w:val="000C421D"/>
    <w:rsid w:val="000C5181"/>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631"/>
    <w:rsid w:val="000E3900"/>
    <w:rsid w:val="000E3B96"/>
    <w:rsid w:val="000E4429"/>
    <w:rsid w:val="000E4A39"/>
    <w:rsid w:val="000E4E59"/>
    <w:rsid w:val="000E4EED"/>
    <w:rsid w:val="000E54B5"/>
    <w:rsid w:val="000E5857"/>
    <w:rsid w:val="000E6769"/>
    <w:rsid w:val="000E6AC4"/>
    <w:rsid w:val="000E6CD7"/>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407C"/>
    <w:rsid w:val="00104515"/>
    <w:rsid w:val="00104DCC"/>
    <w:rsid w:val="001052AE"/>
    <w:rsid w:val="00105641"/>
    <w:rsid w:val="001056BE"/>
    <w:rsid w:val="00105774"/>
    <w:rsid w:val="00105953"/>
    <w:rsid w:val="00105AC2"/>
    <w:rsid w:val="00105BCF"/>
    <w:rsid w:val="00105C9A"/>
    <w:rsid w:val="00105DC1"/>
    <w:rsid w:val="00106068"/>
    <w:rsid w:val="00106FDF"/>
    <w:rsid w:val="00107289"/>
    <w:rsid w:val="00107A1D"/>
    <w:rsid w:val="00107E92"/>
    <w:rsid w:val="00107EF0"/>
    <w:rsid w:val="001101F2"/>
    <w:rsid w:val="001102E5"/>
    <w:rsid w:val="00110489"/>
    <w:rsid w:val="00110887"/>
    <w:rsid w:val="00110B0D"/>
    <w:rsid w:val="001110A0"/>
    <w:rsid w:val="0011118E"/>
    <w:rsid w:val="00111B32"/>
    <w:rsid w:val="00111C07"/>
    <w:rsid w:val="00111E55"/>
    <w:rsid w:val="00111EBF"/>
    <w:rsid w:val="00112007"/>
    <w:rsid w:val="0011214C"/>
    <w:rsid w:val="001128B7"/>
    <w:rsid w:val="00112B8C"/>
    <w:rsid w:val="00112E8E"/>
    <w:rsid w:val="00112F79"/>
    <w:rsid w:val="00113672"/>
    <w:rsid w:val="00113E84"/>
    <w:rsid w:val="001141C2"/>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F67"/>
    <w:rsid w:val="00133359"/>
    <w:rsid w:val="0013347B"/>
    <w:rsid w:val="001339F1"/>
    <w:rsid w:val="00133EF2"/>
    <w:rsid w:val="00133F9E"/>
    <w:rsid w:val="001341A8"/>
    <w:rsid w:val="0013443E"/>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FF"/>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1A3"/>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E23"/>
    <w:rsid w:val="00184FC6"/>
    <w:rsid w:val="0018543E"/>
    <w:rsid w:val="0018575B"/>
    <w:rsid w:val="00185BAF"/>
    <w:rsid w:val="001869E5"/>
    <w:rsid w:val="00186B0A"/>
    <w:rsid w:val="00186B60"/>
    <w:rsid w:val="001875B3"/>
    <w:rsid w:val="001876ED"/>
    <w:rsid w:val="0018798A"/>
    <w:rsid w:val="00187C15"/>
    <w:rsid w:val="00190195"/>
    <w:rsid w:val="00190326"/>
    <w:rsid w:val="00190BF6"/>
    <w:rsid w:val="00190E26"/>
    <w:rsid w:val="001911A1"/>
    <w:rsid w:val="001913EF"/>
    <w:rsid w:val="00191425"/>
    <w:rsid w:val="001916BA"/>
    <w:rsid w:val="00191844"/>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5D"/>
    <w:rsid w:val="0019786E"/>
    <w:rsid w:val="001978EC"/>
    <w:rsid w:val="00197D08"/>
    <w:rsid w:val="001A0116"/>
    <w:rsid w:val="001A017B"/>
    <w:rsid w:val="001A07BB"/>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9AD"/>
    <w:rsid w:val="001B0C76"/>
    <w:rsid w:val="001B0CD5"/>
    <w:rsid w:val="001B0F58"/>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353"/>
    <w:rsid w:val="001D4A75"/>
    <w:rsid w:val="001D4B20"/>
    <w:rsid w:val="001D4B30"/>
    <w:rsid w:val="001D54E1"/>
    <w:rsid w:val="001D5B0F"/>
    <w:rsid w:val="001D5FDE"/>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6F75"/>
    <w:rsid w:val="001E704B"/>
    <w:rsid w:val="001E7B2E"/>
    <w:rsid w:val="001E7C26"/>
    <w:rsid w:val="001E7DB5"/>
    <w:rsid w:val="001E7E1E"/>
    <w:rsid w:val="001F0304"/>
    <w:rsid w:val="001F0C04"/>
    <w:rsid w:val="001F0C40"/>
    <w:rsid w:val="001F0DC1"/>
    <w:rsid w:val="001F1812"/>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A33"/>
    <w:rsid w:val="00205AEF"/>
    <w:rsid w:val="00205E83"/>
    <w:rsid w:val="00205F16"/>
    <w:rsid w:val="00206645"/>
    <w:rsid w:val="0020690D"/>
    <w:rsid w:val="002070A5"/>
    <w:rsid w:val="00207363"/>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2F6D"/>
    <w:rsid w:val="002133AE"/>
    <w:rsid w:val="00213485"/>
    <w:rsid w:val="0021421E"/>
    <w:rsid w:val="0021433B"/>
    <w:rsid w:val="0021495F"/>
    <w:rsid w:val="00214DB1"/>
    <w:rsid w:val="00214EB3"/>
    <w:rsid w:val="00215114"/>
    <w:rsid w:val="0021524D"/>
    <w:rsid w:val="0021525A"/>
    <w:rsid w:val="002154E7"/>
    <w:rsid w:val="00215E8A"/>
    <w:rsid w:val="00215EFD"/>
    <w:rsid w:val="00215F9C"/>
    <w:rsid w:val="002163A1"/>
    <w:rsid w:val="002164D9"/>
    <w:rsid w:val="00216A32"/>
    <w:rsid w:val="00216A82"/>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309"/>
    <w:rsid w:val="002217E5"/>
    <w:rsid w:val="00221ABB"/>
    <w:rsid w:val="00221B8C"/>
    <w:rsid w:val="00221CB1"/>
    <w:rsid w:val="00221E93"/>
    <w:rsid w:val="002227E2"/>
    <w:rsid w:val="00222ECB"/>
    <w:rsid w:val="00222ED6"/>
    <w:rsid w:val="00222FA0"/>
    <w:rsid w:val="00223063"/>
    <w:rsid w:val="0022373B"/>
    <w:rsid w:val="0022390D"/>
    <w:rsid w:val="0022424F"/>
    <w:rsid w:val="00224300"/>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703"/>
    <w:rsid w:val="00233B06"/>
    <w:rsid w:val="00234576"/>
    <w:rsid w:val="002345AF"/>
    <w:rsid w:val="00234733"/>
    <w:rsid w:val="00234960"/>
    <w:rsid w:val="00234F83"/>
    <w:rsid w:val="0023573C"/>
    <w:rsid w:val="002359A0"/>
    <w:rsid w:val="00235CD3"/>
    <w:rsid w:val="002363E5"/>
    <w:rsid w:val="002364D0"/>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DA0"/>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7C2"/>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C8F"/>
    <w:rsid w:val="00261F4D"/>
    <w:rsid w:val="002620AB"/>
    <w:rsid w:val="0026218B"/>
    <w:rsid w:val="00262585"/>
    <w:rsid w:val="0026265F"/>
    <w:rsid w:val="00262EE3"/>
    <w:rsid w:val="00263538"/>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5238"/>
    <w:rsid w:val="002A54C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2C"/>
    <w:rsid w:val="002C2D97"/>
    <w:rsid w:val="002C2E95"/>
    <w:rsid w:val="002C2F67"/>
    <w:rsid w:val="002C35CA"/>
    <w:rsid w:val="002C39BE"/>
    <w:rsid w:val="002C3B4D"/>
    <w:rsid w:val="002C4078"/>
    <w:rsid w:val="002C43B8"/>
    <w:rsid w:val="002C45DF"/>
    <w:rsid w:val="002C4F45"/>
    <w:rsid w:val="002C50A9"/>
    <w:rsid w:val="002C590D"/>
    <w:rsid w:val="002C5AEF"/>
    <w:rsid w:val="002C5E6C"/>
    <w:rsid w:val="002C61F1"/>
    <w:rsid w:val="002C657E"/>
    <w:rsid w:val="002C7B9E"/>
    <w:rsid w:val="002C7EAD"/>
    <w:rsid w:val="002D0000"/>
    <w:rsid w:val="002D012C"/>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586"/>
    <w:rsid w:val="0030064E"/>
    <w:rsid w:val="00300BB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2049"/>
    <w:rsid w:val="00312113"/>
    <w:rsid w:val="003127A1"/>
    <w:rsid w:val="00312825"/>
    <w:rsid w:val="00312832"/>
    <w:rsid w:val="003130FB"/>
    <w:rsid w:val="00313696"/>
    <w:rsid w:val="00313B9B"/>
    <w:rsid w:val="00313E45"/>
    <w:rsid w:val="003145F7"/>
    <w:rsid w:val="0031473A"/>
    <w:rsid w:val="00314A85"/>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22D"/>
    <w:rsid w:val="0035472E"/>
    <w:rsid w:val="00354A0B"/>
    <w:rsid w:val="0035536B"/>
    <w:rsid w:val="0035546F"/>
    <w:rsid w:val="00355508"/>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32D9"/>
    <w:rsid w:val="00364223"/>
    <w:rsid w:val="0036465D"/>
    <w:rsid w:val="0036476A"/>
    <w:rsid w:val="00364E34"/>
    <w:rsid w:val="0036546C"/>
    <w:rsid w:val="003657E3"/>
    <w:rsid w:val="00365CAC"/>
    <w:rsid w:val="00365D1E"/>
    <w:rsid w:val="00365D4B"/>
    <w:rsid w:val="00365F51"/>
    <w:rsid w:val="0036620F"/>
    <w:rsid w:val="003662DF"/>
    <w:rsid w:val="003663E0"/>
    <w:rsid w:val="003669B6"/>
    <w:rsid w:val="00366B7E"/>
    <w:rsid w:val="00366BC1"/>
    <w:rsid w:val="00366F8D"/>
    <w:rsid w:val="00367523"/>
    <w:rsid w:val="00367832"/>
    <w:rsid w:val="00367864"/>
    <w:rsid w:val="00367D6C"/>
    <w:rsid w:val="00367F6A"/>
    <w:rsid w:val="003705A5"/>
    <w:rsid w:val="00371220"/>
    <w:rsid w:val="00371637"/>
    <w:rsid w:val="0037165A"/>
    <w:rsid w:val="0037193A"/>
    <w:rsid w:val="003719D3"/>
    <w:rsid w:val="00371E88"/>
    <w:rsid w:val="00372F44"/>
    <w:rsid w:val="003731CE"/>
    <w:rsid w:val="00373532"/>
    <w:rsid w:val="00373616"/>
    <w:rsid w:val="00373823"/>
    <w:rsid w:val="00373B56"/>
    <w:rsid w:val="00374424"/>
    <w:rsid w:val="00374771"/>
    <w:rsid w:val="003756EB"/>
    <w:rsid w:val="00375879"/>
    <w:rsid w:val="003758A1"/>
    <w:rsid w:val="00375A34"/>
    <w:rsid w:val="00376788"/>
    <w:rsid w:val="00376827"/>
    <w:rsid w:val="00376893"/>
    <w:rsid w:val="00376B85"/>
    <w:rsid w:val="00376E2D"/>
    <w:rsid w:val="00376F49"/>
    <w:rsid w:val="0037714E"/>
    <w:rsid w:val="003779FD"/>
    <w:rsid w:val="00377AB9"/>
    <w:rsid w:val="00377B08"/>
    <w:rsid w:val="00377D82"/>
    <w:rsid w:val="0038002F"/>
    <w:rsid w:val="003801A9"/>
    <w:rsid w:val="003808FA"/>
    <w:rsid w:val="00380FB6"/>
    <w:rsid w:val="00380FC4"/>
    <w:rsid w:val="00381422"/>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3FE5"/>
    <w:rsid w:val="00394021"/>
    <w:rsid w:val="00394C5D"/>
    <w:rsid w:val="00394FA2"/>
    <w:rsid w:val="00395276"/>
    <w:rsid w:val="003953D7"/>
    <w:rsid w:val="00395692"/>
    <w:rsid w:val="00395D8D"/>
    <w:rsid w:val="00395DA2"/>
    <w:rsid w:val="00395DAF"/>
    <w:rsid w:val="00395EE8"/>
    <w:rsid w:val="00396230"/>
    <w:rsid w:val="003963EA"/>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CB5"/>
    <w:rsid w:val="003B41A5"/>
    <w:rsid w:val="003B42C7"/>
    <w:rsid w:val="003B42C9"/>
    <w:rsid w:val="003B48BD"/>
    <w:rsid w:val="003B5360"/>
    <w:rsid w:val="003B56B4"/>
    <w:rsid w:val="003B58B2"/>
    <w:rsid w:val="003B5BC4"/>
    <w:rsid w:val="003B5C8D"/>
    <w:rsid w:val="003B6123"/>
    <w:rsid w:val="003B64E1"/>
    <w:rsid w:val="003B690C"/>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E97"/>
    <w:rsid w:val="003D1878"/>
    <w:rsid w:val="003D1B25"/>
    <w:rsid w:val="003D1BDB"/>
    <w:rsid w:val="003D1CD1"/>
    <w:rsid w:val="003D20B5"/>
    <w:rsid w:val="003D24BD"/>
    <w:rsid w:val="003D264A"/>
    <w:rsid w:val="003D2BDF"/>
    <w:rsid w:val="003D2CB1"/>
    <w:rsid w:val="003D2F00"/>
    <w:rsid w:val="003D301D"/>
    <w:rsid w:val="003D3C80"/>
    <w:rsid w:val="003D430A"/>
    <w:rsid w:val="003D44A7"/>
    <w:rsid w:val="003D46B1"/>
    <w:rsid w:val="003D53DF"/>
    <w:rsid w:val="003D58D1"/>
    <w:rsid w:val="003D5AA1"/>
    <w:rsid w:val="003D5D98"/>
    <w:rsid w:val="003D6724"/>
    <w:rsid w:val="003D69A1"/>
    <w:rsid w:val="003D6D58"/>
    <w:rsid w:val="003D7428"/>
    <w:rsid w:val="003D7AF6"/>
    <w:rsid w:val="003D7D89"/>
    <w:rsid w:val="003E0625"/>
    <w:rsid w:val="003E0B65"/>
    <w:rsid w:val="003E0D92"/>
    <w:rsid w:val="003E1495"/>
    <w:rsid w:val="003E14B4"/>
    <w:rsid w:val="003E1DAF"/>
    <w:rsid w:val="003E1EA2"/>
    <w:rsid w:val="003E2A0C"/>
    <w:rsid w:val="003E2A99"/>
    <w:rsid w:val="003E2C1D"/>
    <w:rsid w:val="003E2DDC"/>
    <w:rsid w:val="003E2EA4"/>
    <w:rsid w:val="003E2F17"/>
    <w:rsid w:val="003E2FEF"/>
    <w:rsid w:val="003E317C"/>
    <w:rsid w:val="003E3650"/>
    <w:rsid w:val="003E36E0"/>
    <w:rsid w:val="003E3C0F"/>
    <w:rsid w:val="003E3CA0"/>
    <w:rsid w:val="003E444C"/>
    <w:rsid w:val="003E49E5"/>
    <w:rsid w:val="003E51BC"/>
    <w:rsid w:val="003E523B"/>
    <w:rsid w:val="003E526B"/>
    <w:rsid w:val="003E5287"/>
    <w:rsid w:val="003E548B"/>
    <w:rsid w:val="003E59A0"/>
    <w:rsid w:val="003E62AC"/>
    <w:rsid w:val="003E635C"/>
    <w:rsid w:val="003E657B"/>
    <w:rsid w:val="003E689B"/>
    <w:rsid w:val="003E68F9"/>
    <w:rsid w:val="003E695C"/>
    <w:rsid w:val="003E6F20"/>
    <w:rsid w:val="003E7B61"/>
    <w:rsid w:val="003F004C"/>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C5B"/>
    <w:rsid w:val="00406580"/>
    <w:rsid w:val="004067B2"/>
    <w:rsid w:val="00406A6B"/>
    <w:rsid w:val="004073FC"/>
    <w:rsid w:val="00407683"/>
    <w:rsid w:val="00407826"/>
    <w:rsid w:val="00407BF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3D7C"/>
    <w:rsid w:val="00424623"/>
    <w:rsid w:val="0042464A"/>
    <w:rsid w:val="00425281"/>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D7A"/>
    <w:rsid w:val="0043324F"/>
    <w:rsid w:val="00433422"/>
    <w:rsid w:val="00433B31"/>
    <w:rsid w:val="00433D1D"/>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249"/>
    <w:rsid w:val="00441665"/>
    <w:rsid w:val="00442097"/>
    <w:rsid w:val="0044224C"/>
    <w:rsid w:val="004423A0"/>
    <w:rsid w:val="00442542"/>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60D3"/>
    <w:rsid w:val="0044613D"/>
    <w:rsid w:val="00447514"/>
    <w:rsid w:val="004475B4"/>
    <w:rsid w:val="00450029"/>
    <w:rsid w:val="0045004B"/>
    <w:rsid w:val="004504AC"/>
    <w:rsid w:val="004505DD"/>
    <w:rsid w:val="0045064A"/>
    <w:rsid w:val="004509F8"/>
    <w:rsid w:val="00450CF8"/>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7949"/>
    <w:rsid w:val="00457972"/>
    <w:rsid w:val="00457DBA"/>
    <w:rsid w:val="004600DA"/>
    <w:rsid w:val="0046058C"/>
    <w:rsid w:val="004605D0"/>
    <w:rsid w:val="00460783"/>
    <w:rsid w:val="00460E31"/>
    <w:rsid w:val="00462307"/>
    <w:rsid w:val="00462693"/>
    <w:rsid w:val="0046272B"/>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604"/>
    <w:rsid w:val="0048061D"/>
    <w:rsid w:val="004806F6"/>
    <w:rsid w:val="004809AF"/>
    <w:rsid w:val="00480CB5"/>
    <w:rsid w:val="0048139D"/>
    <w:rsid w:val="00481ABF"/>
    <w:rsid w:val="00481AD8"/>
    <w:rsid w:val="0048205E"/>
    <w:rsid w:val="004823E1"/>
    <w:rsid w:val="00482597"/>
    <w:rsid w:val="00482D2B"/>
    <w:rsid w:val="004832AA"/>
    <w:rsid w:val="00483976"/>
    <w:rsid w:val="00483B6D"/>
    <w:rsid w:val="00483DE1"/>
    <w:rsid w:val="00484719"/>
    <w:rsid w:val="00484A20"/>
    <w:rsid w:val="00484AD6"/>
    <w:rsid w:val="00484F3F"/>
    <w:rsid w:val="00485C61"/>
    <w:rsid w:val="00485D36"/>
    <w:rsid w:val="0048601E"/>
    <w:rsid w:val="00486072"/>
    <w:rsid w:val="004867E7"/>
    <w:rsid w:val="004868DA"/>
    <w:rsid w:val="00486DAB"/>
    <w:rsid w:val="00486F3C"/>
    <w:rsid w:val="0048713A"/>
    <w:rsid w:val="0048770F"/>
    <w:rsid w:val="004879E4"/>
    <w:rsid w:val="004901E4"/>
    <w:rsid w:val="00490246"/>
    <w:rsid w:val="00490412"/>
    <w:rsid w:val="0049093B"/>
    <w:rsid w:val="00490B0B"/>
    <w:rsid w:val="00490D73"/>
    <w:rsid w:val="00491107"/>
    <w:rsid w:val="00491D2F"/>
    <w:rsid w:val="00491EB5"/>
    <w:rsid w:val="00492607"/>
    <w:rsid w:val="0049294D"/>
    <w:rsid w:val="00492DD5"/>
    <w:rsid w:val="0049303A"/>
    <w:rsid w:val="00493211"/>
    <w:rsid w:val="00493357"/>
    <w:rsid w:val="004937A4"/>
    <w:rsid w:val="00493CED"/>
    <w:rsid w:val="004941D3"/>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42F7"/>
    <w:rsid w:val="004A43DB"/>
    <w:rsid w:val="004A44F1"/>
    <w:rsid w:val="004A4C3F"/>
    <w:rsid w:val="004A4E94"/>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806"/>
    <w:rsid w:val="004B290F"/>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C031F"/>
    <w:rsid w:val="004C0560"/>
    <w:rsid w:val="004C0A3C"/>
    <w:rsid w:val="004C0A6A"/>
    <w:rsid w:val="004C0BBF"/>
    <w:rsid w:val="004C0F99"/>
    <w:rsid w:val="004C1321"/>
    <w:rsid w:val="004C1712"/>
    <w:rsid w:val="004C18FC"/>
    <w:rsid w:val="004C191C"/>
    <w:rsid w:val="004C1B0E"/>
    <w:rsid w:val="004C1B2D"/>
    <w:rsid w:val="004C1F1F"/>
    <w:rsid w:val="004C20CC"/>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243"/>
    <w:rsid w:val="004C528B"/>
    <w:rsid w:val="004C54E4"/>
    <w:rsid w:val="004C5764"/>
    <w:rsid w:val="004C5A14"/>
    <w:rsid w:val="004C5F79"/>
    <w:rsid w:val="004C6569"/>
    <w:rsid w:val="004C7136"/>
    <w:rsid w:val="004C74AE"/>
    <w:rsid w:val="004C7BF1"/>
    <w:rsid w:val="004C7CDB"/>
    <w:rsid w:val="004C7E21"/>
    <w:rsid w:val="004C7FFB"/>
    <w:rsid w:val="004D06C6"/>
    <w:rsid w:val="004D076D"/>
    <w:rsid w:val="004D0F4C"/>
    <w:rsid w:val="004D10C7"/>
    <w:rsid w:val="004D1180"/>
    <w:rsid w:val="004D1F5C"/>
    <w:rsid w:val="004D24A8"/>
    <w:rsid w:val="004D2C30"/>
    <w:rsid w:val="004D3687"/>
    <w:rsid w:val="004D44D9"/>
    <w:rsid w:val="004D4CA7"/>
    <w:rsid w:val="004D5537"/>
    <w:rsid w:val="004D560D"/>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B3"/>
    <w:rsid w:val="004E09B6"/>
    <w:rsid w:val="004E142E"/>
    <w:rsid w:val="004E1764"/>
    <w:rsid w:val="004E21A5"/>
    <w:rsid w:val="004E2229"/>
    <w:rsid w:val="004E2393"/>
    <w:rsid w:val="004E26E1"/>
    <w:rsid w:val="004E278F"/>
    <w:rsid w:val="004E2B6A"/>
    <w:rsid w:val="004E3139"/>
    <w:rsid w:val="004E32EE"/>
    <w:rsid w:val="004E35CB"/>
    <w:rsid w:val="004E43A4"/>
    <w:rsid w:val="004E43A5"/>
    <w:rsid w:val="004E5634"/>
    <w:rsid w:val="004E570E"/>
    <w:rsid w:val="004E5969"/>
    <w:rsid w:val="004E5E68"/>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453"/>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D87"/>
    <w:rsid w:val="005134E5"/>
    <w:rsid w:val="00513B9F"/>
    <w:rsid w:val="00513C48"/>
    <w:rsid w:val="00513C84"/>
    <w:rsid w:val="00514094"/>
    <w:rsid w:val="0051418B"/>
    <w:rsid w:val="0051440A"/>
    <w:rsid w:val="0051465A"/>
    <w:rsid w:val="00514693"/>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A43"/>
    <w:rsid w:val="0053111C"/>
    <w:rsid w:val="005317DC"/>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E1F"/>
    <w:rsid w:val="00562E4D"/>
    <w:rsid w:val="0056300E"/>
    <w:rsid w:val="0056312D"/>
    <w:rsid w:val="00563322"/>
    <w:rsid w:val="0056341A"/>
    <w:rsid w:val="0056386D"/>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67FCE"/>
    <w:rsid w:val="00570061"/>
    <w:rsid w:val="00570C3B"/>
    <w:rsid w:val="00571275"/>
    <w:rsid w:val="005716E3"/>
    <w:rsid w:val="00571772"/>
    <w:rsid w:val="00571CF0"/>
    <w:rsid w:val="00571D34"/>
    <w:rsid w:val="00571E08"/>
    <w:rsid w:val="005721ED"/>
    <w:rsid w:val="005724CB"/>
    <w:rsid w:val="005725BA"/>
    <w:rsid w:val="00572748"/>
    <w:rsid w:val="00572AA6"/>
    <w:rsid w:val="00572D74"/>
    <w:rsid w:val="00572E46"/>
    <w:rsid w:val="005734F8"/>
    <w:rsid w:val="00573A64"/>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887"/>
    <w:rsid w:val="00576CD1"/>
    <w:rsid w:val="00576ECD"/>
    <w:rsid w:val="00576EE9"/>
    <w:rsid w:val="00576F55"/>
    <w:rsid w:val="00576FCF"/>
    <w:rsid w:val="005778B8"/>
    <w:rsid w:val="00577B43"/>
    <w:rsid w:val="00577E59"/>
    <w:rsid w:val="005801E4"/>
    <w:rsid w:val="00580779"/>
    <w:rsid w:val="00580B95"/>
    <w:rsid w:val="00580C26"/>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676"/>
    <w:rsid w:val="00586A9C"/>
    <w:rsid w:val="00586B04"/>
    <w:rsid w:val="00587D90"/>
    <w:rsid w:val="00587F30"/>
    <w:rsid w:val="00590122"/>
    <w:rsid w:val="0059089F"/>
    <w:rsid w:val="00590928"/>
    <w:rsid w:val="00590E61"/>
    <w:rsid w:val="00591026"/>
    <w:rsid w:val="00591842"/>
    <w:rsid w:val="00591909"/>
    <w:rsid w:val="00591D4A"/>
    <w:rsid w:val="00592419"/>
    <w:rsid w:val="005928D1"/>
    <w:rsid w:val="00592E60"/>
    <w:rsid w:val="005933DF"/>
    <w:rsid w:val="00593E84"/>
    <w:rsid w:val="005943AD"/>
    <w:rsid w:val="005945F5"/>
    <w:rsid w:val="00594E96"/>
    <w:rsid w:val="00595074"/>
    <w:rsid w:val="00595099"/>
    <w:rsid w:val="00595939"/>
    <w:rsid w:val="00596000"/>
    <w:rsid w:val="00596631"/>
    <w:rsid w:val="00596AC5"/>
    <w:rsid w:val="00596D3A"/>
    <w:rsid w:val="005972DB"/>
    <w:rsid w:val="005976FD"/>
    <w:rsid w:val="0059799B"/>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38C"/>
    <w:rsid w:val="005B47A9"/>
    <w:rsid w:val="005B48F5"/>
    <w:rsid w:val="005B4A75"/>
    <w:rsid w:val="005B4AF3"/>
    <w:rsid w:val="005B4F17"/>
    <w:rsid w:val="005B52CB"/>
    <w:rsid w:val="005B5850"/>
    <w:rsid w:val="005B5890"/>
    <w:rsid w:val="005B5A90"/>
    <w:rsid w:val="005B5DE2"/>
    <w:rsid w:val="005B5F25"/>
    <w:rsid w:val="005B626C"/>
    <w:rsid w:val="005B729C"/>
    <w:rsid w:val="005B7381"/>
    <w:rsid w:val="005B7681"/>
    <w:rsid w:val="005B7834"/>
    <w:rsid w:val="005B7A3C"/>
    <w:rsid w:val="005B7DA7"/>
    <w:rsid w:val="005C031B"/>
    <w:rsid w:val="005C0FBD"/>
    <w:rsid w:val="005C1115"/>
    <w:rsid w:val="005C14CA"/>
    <w:rsid w:val="005C151F"/>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FA7"/>
    <w:rsid w:val="005D4E7D"/>
    <w:rsid w:val="005D4F47"/>
    <w:rsid w:val="005D5058"/>
    <w:rsid w:val="005D6028"/>
    <w:rsid w:val="005D6092"/>
    <w:rsid w:val="005D65D6"/>
    <w:rsid w:val="005D6749"/>
    <w:rsid w:val="005D6D5A"/>
    <w:rsid w:val="005D73F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868"/>
    <w:rsid w:val="005E7992"/>
    <w:rsid w:val="005E7B70"/>
    <w:rsid w:val="005E7E24"/>
    <w:rsid w:val="005E7F18"/>
    <w:rsid w:val="005F0399"/>
    <w:rsid w:val="005F0B35"/>
    <w:rsid w:val="005F0B3A"/>
    <w:rsid w:val="005F106A"/>
    <w:rsid w:val="005F118A"/>
    <w:rsid w:val="005F171E"/>
    <w:rsid w:val="005F217A"/>
    <w:rsid w:val="005F23E3"/>
    <w:rsid w:val="005F2676"/>
    <w:rsid w:val="005F28CC"/>
    <w:rsid w:val="005F29DB"/>
    <w:rsid w:val="005F2A7F"/>
    <w:rsid w:val="005F2A96"/>
    <w:rsid w:val="005F2FC3"/>
    <w:rsid w:val="005F303F"/>
    <w:rsid w:val="005F3BDC"/>
    <w:rsid w:val="005F416D"/>
    <w:rsid w:val="005F4448"/>
    <w:rsid w:val="005F447D"/>
    <w:rsid w:val="005F4505"/>
    <w:rsid w:val="005F4E7E"/>
    <w:rsid w:val="005F4FB1"/>
    <w:rsid w:val="005F5574"/>
    <w:rsid w:val="005F558D"/>
    <w:rsid w:val="005F58FA"/>
    <w:rsid w:val="005F5DDC"/>
    <w:rsid w:val="005F5F41"/>
    <w:rsid w:val="005F62F5"/>
    <w:rsid w:val="005F66A0"/>
    <w:rsid w:val="005F6A45"/>
    <w:rsid w:val="005F6C17"/>
    <w:rsid w:val="005F6F70"/>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F99"/>
    <w:rsid w:val="006031AA"/>
    <w:rsid w:val="00603769"/>
    <w:rsid w:val="006037AD"/>
    <w:rsid w:val="00603972"/>
    <w:rsid w:val="00604249"/>
    <w:rsid w:val="00604268"/>
    <w:rsid w:val="00604462"/>
    <w:rsid w:val="006049A9"/>
    <w:rsid w:val="00604B59"/>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BBD"/>
    <w:rsid w:val="00617DFE"/>
    <w:rsid w:val="00617FEB"/>
    <w:rsid w:val="00620129"/>
    <w:rsid w:val="006203C0"/>
    <w:rsid w:val="00620441"/>
    <w:rsid w:val="00620CA8"/>
    <w:rsid w:val="00621397"/>
    <w:rsid w:val="00621456"/>
    <w:rsid w:val="006224EC"/>
    <w:rsid w:val="006228E0"/>
    <w:rsid w:val="00622E94"/>
    <w:rsid w:val="0062321F"/>
    <w:rsid w:val="00623483"/>
    <w:rsid w:val="0062391F"/>
    <w:rsid w:val="00623AB1"/>
    <w:rsid w:val="00623CAC"/>
    <w:rsid w:val="00623E9D"/>
    <w:rsid w:val="00623F04"/>
    <w:rsid w:val="00624560"/>
    <w:rsid w:val="00624627"/>
    <w:rsid w:val="00624738"/>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006"/>
    <w:rsid w:val="006325BB"/>
    <w:rsid w:val="006327C1"/>
    <w:rsid w:val="00632C96"/>
    <w:rsid w:val="00633072"/>
    <w:rsid w:val="0063325C"/>
    <w:rsid w:val="006334DD"/>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4F9"/>
    <w:rsid w:val="00636862"/>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21C8"/>
    <w:rsid w:val="00652778"/>
    <w:rsid w:val="00652814"/>
    <w:rsid w:val="00652ABB"/>
    <w:rsid w:val="00652CF1"/>
    <w:rsid w:val="00652E6E"/>
    <w:rsid w:val="00652FDD"/>
    <w:rsid w:val="00653884"/>
    <w:rsid w:val="006538DC"/>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802C1"/>
    <w:rsid w:val="006803CB"/>
    <w:rsid w:val="006807E7"/>
    <w:rsid w:val="006812E4"/>
    <w:rsid w:val="0068147C"/>
    <w:rsid w:val="00681AD1"/>
    <w:rsid w:val="00682053"/>
    <w:rsid w:val="00682198"/>
    <w:rsid w:val="00682382"/>
    <w:rsid w:val="00682613"/>
    <w:rsid w:val="006826D3"/>
    <w:rsid w:val="0068313E"/>
    <w:rsid w:val="006836DA"/>
    <w:rsid w:val="006837BB"/>
    <w:rsid w:val="00683948"/>
    <w:rsid w:val="00683A14"/>
    <w:rsid w:val="00683E0B"/>
    <w:rsid w:val="00684524"/>
    <w:rsid w:val="00684B8D"/>
    <w:rsid w:val="00684F28"/>
    <w:rsid w:val="00685BBE"/>
    <w:rsid w:val="00685BE8"/>
    <w:rsid w:val="006861FB"/>
    <w:rsid w:val="00686231"/>
    <w:rsid w:val="00686307"/>
    <w:rsid w:val="006870EA"/>
    <w:rsid w:val="00687254"/>
    <w:rsid w:val="00690993"/>
    <w:rsid w:val="00690A7E"/>
    <w:rsid w:val="00690B1F"/>
    <w:rsid w:val="00690DA3"/>
    <w:rsid w:val="0069104B"/>
    <w:rsid w:val="006915BF"/>
    <w:rsid w:val="00691966"/>
    <w:rsid w:val="00691EB5"/>
    <w:rsid w:val="006924A1"/>
    <w:rsid w:val="0069349A"/>
    <w:rsid w:val="006938A4"/>
    <w:rsid w:val="00693FF4"/>
    <w:rsid w:val="006941FA"/>
    <w:rsid w:val="0069468E"/>
    <w:rsid w:val="00695111"/>
    <w:rsid w:val="00695139"/>
    <w:rsid w:val="006953E5"/>
    <w:rsid w:val="0069619A"/>
    <w:rsid w:val="00696329"/>
    <w:rsid w:val="00697BA4"/>
    <w:rsid w:val="006A046A"/>
    <w:rsid w:val="006A0974"/>
    <w:rsid w:val="006A0F33"/>
    <w:rsid w:val="006A144B"/>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9D"/>
    <w:rsid w:val="006C26D2"/>
    <w:rsid w:val="006C2C2D"/>
    <w:rsid w:val="006C3035"/>
    <w:rsid w:val="006C331F"/>
    <w:rsid w:val="006C3AE7"/>
    <w:rsid w:val="006C3DA6"/>
    <w:rsid w:val="006C41BB"/>
    <w:rsid w:val="006C45DD"/>
    <w:rsid w:val="006C4779"/>
    <w:rsid w:val="006C47F6"/>
    <w:rsid w:val="006C4AAD"/>
    <w:rsid w:val="006C4B4D"/>
    <w:rsid w:val="006C4BFD"/>
    <w:rsid w:val="006C59D0"/>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E04EF"/>
    <w:rsid w:val="006E07F1"/>
    <w:rsid w:val="006E1093"/>
    <w:rsid w:val="006E1321"/>
    <w:rsid w:val="006E146E"/>
    <w:rsid w:val="006E16D9"/>
    <w:rsid w:val="006E1818"/>
    <w:rsid w:val="006E181E"/>
    <w:rsid w:val="006E1B5C"/>
    <w:rsid w:val="006E1D5D"/>
    <w:rsid w:val="006E1F57"/>
    <w:rsid w:val="006E21CB"/>
    <w:rsid w:val="006E2780"/>
    <w:rsid w:val="006E299A"/>
    <w:rsid w:val="006E2BCA"/>
    <w:rsid w:val="006E2E4A"/>
    <w:rsid w:val="006E2F6C"/>
    <w:rsid w:val="006E3294"/>
    <w:rsid w:val="006E33C3"/>
    <w:rsid w:val="006E3D5E"/>
    <w:rsid w:val="006E4D01"/>
    <w:rsid w:val="006E4EE8"/>
    <w:rsid w:val="006E5963"/>
    <w:rsid w:val="006E5EA8"/>
    <w:rsid w:val="006E64D6"/>
    <w:rsid w:val="006E652B"/>
    <w:rsid w:val="006E72B7"/>
    <w:rsid w:val="006F0228"/>
    <w:rsid w:val="006F0415"/>
    <w:rsid w:val="006F13CD"/>
    <w:rsid w:val="006F1F2C"/>
    <w:rsid w:val="006F2032"/>
    <w:rsid w:val="006F2563"/>
    <w:rsid w:val="006F2C95"/>
    <w:rsid w:val="006F3195"/>
    <w:rsid w:val="006F3B98"/>
    <w:rsid w:val="006F546C"/>
    <w:rsid w:val="006F5641"/>
    <w:rsid w:val="006F56CA"/>
    <w:rsid w:val="006F578E"/>
    <w:rsid w:val="006F6613"/>
    <w:rsid w:val="006F6789"/>
    <w:rsid w:val="006F6BD9"/>
    <w:rsid w:val="006F6E67"/>
    <w:rsid w:val="006F77D7"/>
    <w:rsid w:val="007007B6"/>
    <w:rsid w:val="007008E1"/>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C5F"/>
    <w:rsid w:val="00731EC7"/>
    <w:rsid w:val="00731FFE"/>
    <w:rsid w:val="007322DF"/>
    <w:rsid w:val="0073265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AFE"/>
    <w:rsid w:val="00743C7C"/>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C25"/>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D2B"/>
    <w:rsid w:val="00755FDA"/>
    <w:rsid w:val="00756CA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F9"/>
    <w:rsid w:val="0076578A"/>
    <w:rsid w:val="0076580C"/>
    <w:rsid w:val="00765A97"/>
    <w:rsid w:val="00765D2D"/>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EC8"/>
    <w:rsid w:val="00786F63"/>
    <w:rsid w:val="007871DA"/>
    <w:rsid w:val="00787363"/>
    <w:rsid w:val="007873CE"/>
    <w:rsid w:val="00787E6A"/>
    <w:rsid w:val="00790024"/>
    <w:rsid w:val="007902A7"/>
    <w:rsid w:val="007903EE"/>
    <w:rsid w:val="007907D1"/>
    <w:rsid w:val="00791132"/>
    <w:rsid w:val="00791806"/>
    <w:rsid w:val="00791CF8"/>
    <w:rsid w:val="00792362"/>
    <w:rsid w:val="00792A12"/>
    <w:rsid w:val="00792D1A"/>
    <w:rsid w:val="0079314C"/>
    <w:rsid w:val="007935CC"/>
    <w:rsid w:val="0079360E"/>
    <w:rsid w:val="007936DE"/>
    <w:rsid w:val="0079377A"/>
    <w:rsid w:val="007944FE"/>
    <w:rsid w:val="0079472A"/>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7A4"/>
    <w:rsid w:val="007A6BE4"/>
    <w:rsid w:val="007A710B"/>
    <w:rsid w:val="007A73A2"/>
    <w:rsid w:val="007A7739"/>
    <w:rsid w:val="007A7799"/>
    <w:rsid w:val="007B01E1"/>
    <w:rsid w:val="007B0345"/>
    <w:rsid w:val="007B0348"/>
    <w:rsid w:val="007B0B65"/>
    <w:rsid w:val="007B0D9F"/>
    <w:rsid w:val="007B0DD0"/>
    <w:rsid w:val="007B1164"/>
    <w:rsid w:val="007B166D"/>
    <w:rsid w:val="007B1AD6"/>
    <w:rsid w:val="007B205C"/>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72FE"/>
    <w:rsid w:val="007B7402"/>
    <w:rsid w:val="007B78B7"/>
    <w:rsid w:val="007B7DAD"/>
    <w:rsid w:val="007C08B8"/>
    <w:rsid w:val="007C08F6"/>
    <w:rsid w:val="007C12C6"/>
    <w:rsid w:val="007C13D9"/>
    <w:rsid w:val="007C1440"/>
    <w:rsid w:val="007C1863"/>
    <w:rsid w:val="007C1C2C"/>
    <w:rsid w:val="007C1EEE"/>
    <w:rsid w:val="007C21B1"/>
    <w:rsid w:val="007C29B0"/>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873"/>
    <w:rsid w:val="007C797C"/>
    <w:rsid w:val="007C7F42"/>
    <w:rsid w:val="007D059B"/>
    <w:rsid w:val="007D07A5"/>
    <w:rsid w:val="007D0A8A"/>
    <w:rsid w:val="007D1CE8"/>
    <w:rsid w:val="007D1FB6"/>
    <w:rsid w:val="007D21E6"/>
    <w:rsid w:val="007D2235"/>
    <w:rsid w:val="007D24FC"/>
    <w:rsid w:val="007D2709"/>
    <w:rsid w:val="007D27A7"/>
    <w:rsid w:val="007D29EB"/>
    <w:rsid w:val="007D29F9"/>
    <w:rsid w:val="007D2C17"/>
    <w:rsid w:val="007D2D8C"/>
    <w:rsid w:val="007D2F2A"/>
    <w:rsid w:val="007D33ED"/>
    <w:rsid w:val="007D393F"/>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E22"/>
    <w:rsid w:val="007F529E"/>
    <w:rsid w:val="007F52D2"/>
    <w:rsid w:val="007F56B6"/>
    <w:rsid w:val="007F57CD"/>
    <w:rsid w:val="007F5A28"/>
    <w:rsid w:val="007F5B7E"/>
    <w:rsid w:val="007F62F1"/>
    <w:rsid w:val="007F673F"/>
    <w:rsid w:val="007F674D"/>
    <w:rsid w:val="007F683A"/>
    <w:rsid w:val="007F6ED8"/>
    <w:rsid w:val="007F78D2"/>
    <w:rsid w:val="007F7AA0"/>
    <w:rsid w:val="007F7E0C"/>
    <w:rsid w:val="008000EB"/>
    <w:rsid w:val="0080020A"/>
    <w:rsid w:val="008006B0"/>
    <w:rsid w:val="00800BBD"/>
    <w:rsid w:val="00800F95"/>
    <w:rsid w:val="00801247"/>
    <w:rsid w:val="00801B29"/>
    <w:rsid w:val="008020CF"/>
    <w:rsid w:val="00802340"/>
    <w:rsid w:val="0080234E"/>
    <w:rsid w:val="0080281A"/>
    <w:rsid w:val="00802C12"/>
    <w:rsid w:val="0080317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85"/>
    <w:rsid w:val="00807D9B"/>
    <w:rsid w:val="00810710"/>
    <w:rsid w:val="008108C4"/>
    <w:rsid w:val="00810B1E"/>
    <w:rsid w:val="00811EE4"/>
    <w:rsid w:val="00812049"/>
    <w:rsid w:val="008120DB"/>
    <w:rsid w:val="0081222C"/>
    <w:rsid w:val="00812649"/>
    <w:rsid w:val="00812858"/>
    <w:rsid w:val="00812B18"/>
    <w:rsid w:val="00812EBA"/>
    <w:rsid w:val="008131BC"/>
    <w:rsid w:val="008133DA"/>
    <w:rsid w:val="00813B93"/>
    <w:rsid w:val="008142EF"/>
    <w:rsid w:val="00814346"/>
    <w:rsid w:val="00814473"/>
    <w:rsid w:val="0081486B"/>
    <w:rsid w:val="00814AA6"/>
    <w:rsid w:val="00814E7D"/>
    <w:rsid w:val="00814F8C"/>
    <w:rsid w:val="008151BB"/>
    <w:rsid w:val="0081609F"/>
    <w:rsid w:val="00816206"/>
    <w:rsid w:val="0081659E"/>
    <w:rsid w:val="00816755"/>
    <w:rsid w:val="00816BEF"/>
    <w:rsid w:val="00816C2E"/>
    <w:rsid w:val="00816C63"/>
    <w:rsid w:val="008173FA"/>
    <w:rsid w:val="00817610"/>
    <w:rsid w:val="008176DE"/>
    <w:rsid w:val="00817C1D"/>
    <w:rsid w:val="00820805"/>
    <w:rsid w:val="00820B80"/>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3"/>
    <w:rsid w:val="00833624"/>
    <w:rsid w:val="0083399E"/>
    <w:rsid w:val="00833A0E"/>
    <w:rsid w:val="00834E29"/>
    <w:rsid w:val="008359CD"/>
    <w:rsid w:val="00835AF1"/>
    <w:rsid w:val="00836031"/>
    <w:rsid w:val="00836490"/>
    <w:rsid w:val="00836CF8"/>
    <w:rsid w:val="00837292"/>
    <w:rsid w:val="00837524"/>
    <w:rsid w:val="00837527"/>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695D"/>
    <w:rsid w:val="00846D98"/>
    <w:rsid w:val="00847259"/>
    <w:rsid w:val="0085018D"/>
    <w:rsid w:val="008503E6"/>
    <w:rsid w:val="008504CF"/>
    <w:rsid w:val="0085083E"/>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AE6"/>
    <w:rsid w:val="00866B03"/>
    <w:rsid w:val="00867297"/>
    <w:rsid w:val="0086739F"/>
    <w:rsid w:val="00867563"/>
    <w:rsid w:val="00867671"/>
    <w:rsid w:val="008678A2"/>
    <w:rsid w:val="008678F8"/>
    <w:rsid w:val="0086796C"/>
    <w:rsid w:val="008679E7"/>
    <w:rsid w:val="008709C3"/>
    <w:rsid w:val="00870B57"/>
    <w:rsid w:val="00870EA2"/>
    <w:rsid w:val="0087126C"/>
    <w:rsid w:val="00871322"/>
    <w:rsid w:val="00871C0E"/>
    <w:rsid w:val="00871CCE"/>
    <w:rsid w:val="00871CF2"/>
    <w:rsid w:val="008721C9"/>
    <w:rsid w:val="00872340"/>
    <w:rsid w:val="00872348"/>
    <w:rsid w:val="0087240F"/>
    <w:rsid w:val="00872622"/>
    <w:rsid w:val="00872C84"/>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77A38"/>
    <w:rsid w:val="0088004A"/>
    <w:rsid w:val="00880235"/>
    <w:rsid w:val="00880B88"/>
    <w:rsid w:val="00880FA9"/>
    <w:rsid w:val="00881141"/>
    <w:rsid w:val="0088126D"/>
    <w:rsid w:val="00881324"/>
    <w:rsid w:val="008814ED"/>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2D0"/>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8FE"/>
    <w:rsid w:val="008A2D77"/>
    <w:rsid w:val="008A2F5E"/>
    <w:rsid w:val="008A3028"/>
    <w:rsid w:val="008A3169"/>
    <w:rsid w:val="008A32CA"/>
    <w:rsid w:val="008A3462"/>
    <w:rsid w:val="008A3963"/>
    <w:rsid w:val="008A3FB2"/>
    <w:rsid w:val="008A4F9F"/>
    <w:rsid w:val="008A50DC"/>
    <w:rsid w:val="008A561C"/>
    <w:rsid w:val="008A5EC5"/>
    <w:rsid w:val="008A5F6A"/>
    <w:rsid w:val="008A6011"/>
    <w:rsid w:val="008A61AA"/>
    <w:rsid w:val="008A61C3"/>
    <w:rsid w:val="008A6256"/>
    <w:rsid w:val="008A64FE"/>
    <w:rsid w:val="008A6AEA"/>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1A9"/>
    <w:rsid w:val="008B542F"/>
    <w:rsid w:val="008B5B33"/>
    <w:rsid w:val="008B5D97"/>
    <w:rsid w:val="008B6824"/>
    <w:rsid w:val="008B6C39"/>
    <w:rsid w:val="008B6DCF"/>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FBD"/>
    <w:rsid w:val="008D2047"/>
    <w:rsid w:val="008D2202"/>
    <w:rsid w:val="008D24D6"/>
    <w:rsid w:val="008D25CF"/>
    <w:rsid w:val="008D2993"/>
    <w:rsid w:val="008D2BB9"/>
    <w:rsid w:val="008D2C29"/>
    <w:rsid w:val="008D2C66"/>
    <w:rsid w:val="008D2E81"/>
    <w:rsid w:val="008D3223"/>
    <w:rsid w:val="008D3463"/>
    <w:rsid w:val="008D37A4"/>
    <w:rsid w:val="008D3A69"/>
    <w:rsid w:val="008D40FC"/>
    <w:rsid w:val="008D4E1C"/>
    <w:rsid w:val="008D50E8"/>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D06"/>
    <w:rsid w:val="008F2F5A"/>
    <w:rsid w:val="008F311E"/>
    <w:rsid w:val="008F31C5"/>
    <w:rsid w:val="008F35DC"/>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0BFB"/>
    <w:rsid w:val="0090110A"/>
    <w:rsid w:val="00901405"/>
    <w:rsid w:val="009014B8"/>
    <w:rsid w:val="00901C11"/>
    <w:rsid w:val="00901EEF"/>
    <w:rsid w:val="00902011"/>
    <w:rsid w:val="009022CB"/>
    <w:rsid w:val="00902311"/>
    <w:rsid w:val="0090236C"/>
    <w:rsid w:val="0090290D"/>
    <w:rsid w:val="00902A00"/>
    <w:rsid w:val="00902FAB"/>
    <w:rsid w:val="009030DA"/>
    <w:rsid w:val="00903271"/>
    <w:rsid w:val="00903339"/>
    <w:rsid w:val="00903396"/>
    <w:rsid w:val="00903547"/>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3A4A"/>
    <w:rsid w:val="00914325"/>
    <w:rsid w:val="0091437E"/>
    <w:rsid w:val="009144E7"/>
    <w:rsid w:val="009145B1"/>
    <w:rsid w:val="009145D1"/>
    <w:rsid w:val="00914974"/>
    <w:rsid w:val="00914A72"/>
    <w:rsid w:val="00914B96"/>
    <w:rsid w:val="00914D86"/>
    <w:rsid w:val="00914EF2"/>
    <w:rsid w:val="00915253"/>
    <w:rsid w:val="009152AE"/>
    <w:rsid w:val="009153C0"/>
    <w:rsid w:val="0091591C"/>
    <w:rsid w:val="00915F26"/>
    <w:rsid w:val="009161E5"/>
    <w:rsid w:val="00916F4A"/>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384"/>
    <w:rsid w:val="009306C5"/>
    <w:rsid w:val="009306E9"/>
    <w:rsid w:val="00930C6B"/>
    <w:rsid w:val="009316C0"/>
    <w:rsid w:val="0093170F"/>
    <w:rsid w:val="00931CE0"/>
    <w:rsid w:val="00932696"/>
    <w:rsid w:val="00932E66"/>
    <w:rsid w:val="00933550"/>
    <w:rsid w:val="0093389B"/>
    <w:rsid w:val="00933B0D"/>
    <w:rsid w:val="00933F1F"/>
    <w:rsid w:val="009341EC"/>
    <w:rsid w:val="00934A8F"/>
    <w:rsid w:val="00934CE8"/>
    <w:rsid w:val="00934F73"/>
    <w:rsid w:val="009353F8"/>
    <w:rsid w:val="00935680"/>
    <w:rsid w:val="00935F6B"/>
    <w:rsid w:val="009361B7"/>
    <w:rsid w:val="00936479"/>
    <w:rsid w:val="0093696A"/>
    <w:rsid w:val="0093774E"/>
    <w:rsid w:val="009378CD"/>
    <w:rsid w:val="0094064D"/>
    <w:rsid w:val="00940936"/>
    <w:rsid w:val="00940B70"/>
    <w:rsid w:val="0094172C"/>
    <w:rsid w:val="00941ABE"/>
    <w:rsid w:val="0094250C"/>
    <w:rsid w:val="0094254E"/>
    <w:rsid w:val="00942987"/>
    <w:rsid w:val="00942E42"/>
    <w:rsid w:val="0094368A"/>
    <w:rsid w:val="00943A2D"/>
    <w:rsid w:val="00943BA1"/>
    <w:rsid w:val="00943D29"/>
    <w:rsid w:val="00943F13"/>
    <w:rsid w:val="00944141"/>
    <w:rsid w:val="00944777"/>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34C"/>
    <w:rsid w:val="00964591"/>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6328"/>
    <w:rsid w:val="0097662E"/>
    <w:rsid w:val="00976B9F"/>
    <w:rsid w:val="0097728C"/>
    <w:rsid w:val="0097740A"/>
    <w:rsid w:val="00977611"/>
    <w:rsid w:val="00977A44"/>
    <w:rsid w:val="00977A9C"/>
    <w:rsid w:val="00977D34"/>
    <w:rsid w:val="0098075A"/>
    <w:rsid w:val="00980D42"/>
    <w:rsid w:val="00981722"/>
    <w:rsid w:val="00981959"/>
    <w:rsid w:val="009819CB"/>
    <w:rsid w:val="00983E24"/>
    <w:rsid w:val="0098407E"/>
    <w:rsid w:val="00984849"/>
    <w:rsid w:val="00984858"/>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68F"/>
    <w:rsid w:val="00996D4F"/>
    <w:rsid w:val="009975A6"/>
    <w:rsid w:val="00997795"/>
    <w:rsid w:val="00997C52"/>
    <w:rsid w:val="00997CAC"/>
    <w:rsid w:val="009A0AD9"/>
    <w:rsid w:val="009A0C84"/>
    <w:rsid w:val="009A1170"/>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A7406"/>
    <w:rsid w:val="009B01B3"/>
    <w:rsid w:val="009B07DE"/>
    <w:rsid w:val="009B0807"/>
    <w:rsid w:val="009B1A23"/>
    <w:rsid w:val="009B2149"/>
    <w:rsid w:val="009B232C"/>
    <w:rsid w:val="009B2AAB"/>
    <w:rsid w:val="009B2C4E"/>
    <w:rsid w:val="009B319F"/>
    <w:rsid w:val="009B327D"/>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499"/>
    <w:rsid w:val="009B7C5F"/>
    <w:rsid w:val="009C03EE"/>
    <w:rsid w:val="009C0730"/>
    <w:rsid w:val="009C0F1B"/>
    <w:rsid w:val="009C1909"/>
    <w:rsid w:val="009C1F6E"/>
    <w:rsid w:val="009C2917"/>
    <w:rsid w:val="009C2EB7"/>
    <w:rsid w:val="009C30EC"/>
    <w:rsid w:val="009C34E6"/>
    <w:rsid w:val="009C3BB7"/>
    <w:rsid w:val="009C3EA6"/>
    <w:rsid w:val="009C3F6C"/>
    <w:rsid w:val="009C406B"/>
    <w:rsid w:val="009C4A0F"/>
    <w:rsid w:val="009C4A3F"/>
    <w:rsid w:val="009C4E54"/>
    <w:rsid w:val="009C51E1"/>
    <w:rsid w:val="009C5343"/>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C71"/>
    <w:rsid w:val="009D6F54"/>
    <w:rsid w:val="009D71A9"/>
    <w:rsid w:val="009D7678"/>
    <w:rsid w:val="009D7713"/>
    <w:rsid w:val="009D7795"/>
    <w:rsid w:val="009D77F1"/>
    <w:rsid w:val="009D78B1"/>
    <w:rsid w:val="009E0340"/>
    <w:rsid w:val="009E061D"/>
    <w:rsid w:val="009E14A1"/>
    <w:rsid w:val="009E1B35"/>
    <w:rsid w:val="009E1B68"/>
    <w:rsid w:val="009E1BAD"/>
    <w:rsid w:val="009E2014"/>
    <w:rsid w:val="009E2629"/>
    <w:rsid w:val="009E28B2"/>
    <w:rsid w:val="009E3764"/>
    <w:rsid w:val="009E3EF2"/>
    <w:rsid w:val="009E4844"/>
    <w:rsid w:val="009E4D68"/>
    <w:rsid w:val="009E507F"/>
    <w:rsid w:val="009E50AA"/>
    <w:rsid w:val="009E5303"/>
    <w:rsid w:val="009E5C19"/>
    <w:rsid w:val="009E603B"/>
    <w:rsid w:val="009E6508"/>
    <w:rsid w:val="009E66B6"/>
    <w:rsid w:val="009E67A0"/>
    <w:rsid w:val="009E6A65"/>
    <w:rsid w:val="009E7099"/>
    <w:rsid w:val="009E7269"/>
    <w:rsid w:val="009E7A8E"/>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75A"/>
    <w:rsid w:val="00A01BC0"/>
    <w:rsid w:val="00A0226D"/>
    <w:rsid w:val="00A02440"/>
    <w:rsid w:val="00A02646"/>
    <w:rsid w:val="00A02AC4"/>
    <w:rsid w:val="00A02C17"/>
    <w:rsid w:val="00A02C75"/>
    <w:rsid w:val="00A02FEE"/>
    <w:rsid w:val="00A0313D"/>
    <w:rsid w:val="00A033FD"/>
    <w:rsid w:val="00A03907"/>
    <w:rsid w:val="00A046E8"/>
    <w:rsid w:val="00A047E0"/>
    <w:rsid w:val="00A05098"/>
    <w:rsid w:val="00A05275"/>
    <w:rsid w:val="00A05D69"/>
    <w:rsid w:val="00A05EA9"/>
    <w:rsid w:val="00A05F3B"/>
    <w:rsid w:val="00A06022"/>
    <w:rsid w:val="00A06B61"/>
    <w:rsid w:val="00A06D11"/>
    <w:rsid w:val="00A06D4A"/>
    <w:rsid w:val="00A06E71"/>
    <w:rsid w:val="00A06F61"/>
    <w:rsid w:val="00A07788"/>
    <w:rsid w:val="00A07D66"/>
    <w:rsid w:val="00A10954"/>
    <w:rsid w:val="00A10B22"/>
    <w:rsid w:val="00A10BC1"/>
    <w:rsid w:val="00A10F56"/>
    <w:rsid w:val="00A1115F"/>
    <w:rsid w:val="00A11851"/>
    <w:rsid w:val="00A11A5E"/>
    <w:rsid w:val="00A11E57"/>
    <w:rsid w:val="00A11EA1"/>
    <w:rsid w:val="00A1242E"/>
    <w:rsid w:val="00A12698"/>
    <w:rsid w:val="00A134FE"/>
    <w:rsid w:val="00A13652"/>
    <w:rsid w:val="00A1388D"/>
    <w:rsid w:val="00A13897"/>
    <w:rsid w:val="00A13975"/>
    <w:rsid w:val="00A13C7E"/>
    <w:rsid w:val="00A13CEF"/>
    <w:rsid w:val="00A13D6B"/>
    <w:rsid w:val="00A14085"/>
    <w:rsid w:val="00A14787"/>
    <w:rsid w:val="00A147B0"/>
    <w:rsid w:val="00A149BC"/>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31"/>
    <w:rsid w:val="00A23F48"/>
    <w:rsid w:val="00A24133"/>
    <w:rsid w:val="00A24712"/>
    <w:rsid w:val="00A248E1"/>
    <w:rsid w:val="00A24B74"/>
    <w:rsid w:val="00A24DE6"/>
    <w:rsid w:val="00A25108"/>
    <w:rsid w:val="00A253B8"/>
    <w:rsid w:val="00A2558E"/>
    <w:rsid w:val="00A2563F"/>
    <w:rsid w:val="00A25814"/>
    <w:rsid w:val="00A2590E"/>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39"/>
    <w:rsid w:val="00A330A2"/>
    <w:rsid w:val="00A3383A"/>
    <w:rsid w:val="00A3384B"/>
    <w:rsid w:val="00A34357"/>
    <w:rsid w:val="00A345A3"/>
    <w:rsid w:val="00A34AF4"/>
    <w:rsid w:val="00A34C3D"/>
    <w:rsid w:val="00A34EC0"/>
    <w:rsid w:val="00A34F00"/>
    <w:rsid w:val="00A35EFB"/>
    <w:rsid w:val="00A3608E"/>
    <w:rsid w:val="00A360ED"/>
    <w:rsid w:val="00A3694D"/>
    <w:rsid w:val="00A36C82"/>
    <w:rsid w:val="00A3740E"/>
    <w:rsid w:val="00A37436"/>
    <w:rsid w:val="00A37497"/>
    <w:rsid w:val="00A374FB"/>
    <w:rsid w:val="00A40174"/>
    <w:rsid w:val="00A40442"/>
    <w:rsid w:val="00A40582"/>
    <w:rsid w:val="00A4059A"/>
    <w:rsid w:val="00A40B45"/>
    <w:rsid w:val="00A40DD2"/>
    <w:rsid w:val="00A416DF"/>
    <w:rsid w:val="00A420F4"/>
    <w:rsid w:val="00A422B9"/>
    <w:rsid w:val="00A425DA"/>
    <w:rsid w:val="00A42806"/>
    <w:rsid w:val="00A432E0"/>
    <w:rsid w:val="00A435E6"/>
    <w:rsid w:val="00A43643"/>
    <w:rsid w:val="00A43FDC"/>
    <w:rsid w:val="00A44371"/>
    <w:rsid w:val="00A44915"/>
    <w:rsid w:val="00A44940"/>
    <w:rsid w:val="00A45825"/>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AEC"/>
    <w:rsid w:val="00A53C91"/>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BA9"/>
    <w:rsid w:val="00A64C3A"/>
    <w:rsid w:val="00A64DC3"/>
    <w:rsid w:val="00A64E0D"/>
    <w:rsid w:val="00A65373"/>
    <w:rsid w:val="00A654CA"/>
    <w:rsid w:val="00A655B7"/>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B6"/>
    <w:rsid w:val="00A73F26"/>
    <w:rsid w:val="00A73F8C"/>
    <w:rsid w:val="00A744B7"/>
    <w:rsid w:val="00A74530"/>
    <w:rsid w:val="00A7470F"/>
    <w:rsid w:val="00A74CB4"/>
    <w:rsid w:val="00A75B36"/>
    <w:rsid w:val="00A76075"/>
    <w:rsid w:val="00A762FC"/>
    <w:rsid w:val="00A7666F"/>
    <w:rsid w:val="00A77003"/>
    <w:rsid w:val="00A770C5"/>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4BD"/>
    <w:rsid w:val="00A86565"/>
    <w:rsid w:val="00A866D6"/>
    <w:rsid w:val="00A867F5"/>
    <w:rsid w:val="00A86AE0"/>
    <w:rsid w:val="00A86FEB"/>
    <w:rsid w:val="00A8703B"/>
    <w:rsid w:val="00A87050"/>
    <w:rsid w:val="00A87736"/>
    <w:rsid w:val="00A8794C"/>
    <w:rsid w:val="00A87E76"/>
    <w:rsid w:val="00A90A4D"/>
    <w:rsid w:val="00A90F2B"/>
    <w:rsid w:val="00A91002"/>
    <w:rsid w:val="00A91361"/>
    <w:rsid w:val="00A91519"/>
    <w:rsid w:val="00A9175D"/>
    <w:rsid w:val="00A921CA"/>
    <w:rsid w:val="00A926B3"/>
    <w:rsid w:val="00A92900"/>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EC8"/>
    <w:rsid w:val="00AA64E5"/>
    <w:rsid w:val="00AA6650"/>
    <w:rsid w:val="00AA669D"/>
    <w:rsid w:val="00AA6B31"/>
    <w:rsid w:val="00AA6F81"/>
    <w:rsid w:val="00AA71BE"/>
    <w:rsid w:val="00AA750F"/>
    <w:rsid w:val="00AA7F4A"/>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7D6"/>
    <w:rsid w:val="00AB588F"/>
    <w:rsid w:val="00AB5A2B"/>
    <w:rsid w:val="00AB5D74"/>
    <w:rsid w:val="00AB5E67"/>
    <w:rsid w:val="00AB5EC2"/>
    <w:rsid w:val="00AB6468"/>
    <w:rsid w:val="00AB64FE"/>
    <w:rsid w:val="00AB66AF"/>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434"/>
    <w:rsid w:val="00AC6537"/>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612"/>
    <w:rsid w:val="00AE0C34"/>
    <w:rsid w:val="00AE0E39"/>
    <w:rsid w:val="00AE1101"/>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1E1"/>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8D0"/>
    <w:rsid w:val="00B11BD5"/>
    <w:rsid w:val="00B1200B"/>
    <w:rsid w:val="00B12477"/>
    <w:rsid w:val="00B12679"/>
    <w:rsid w:val="00B128E9"/>
    <w:rsid w:val="00B12D06"/>
    <w:rsid w:val="00B131CF"/>
    <w:rsid w:val="00B133F0"/>
    <w:rsid w:val="00B13429"/>
    <w:rsid w:val="00B13B7B"/>
    <w:rsid w:val="00B140AD"/>
    <w:rsid w:val="00B14273"/>
    <w:rsid w:val="00B143D8"/>
    <w:rsid w:val="00B14821"/>
    <w:rsid w:val="00B14B7A"/>
    <w:rsid w:val="00B15122"/>
    <w:rsid w:val="00B1547A"/>
    <w:rsid w:val="00B15481"/>
    <w:rsid w:val="00B15DD8"/>
    <w:rsid w:val="00B163B6"/>
    <w:rsid w:val="00B170FF"/>
    <w:rsid w:val="00B17167"/>
    <w:rsid w:val="00B174B7"/>
    <w:rsid w:val="00B17A0D"/>
    <w:rsid w:val="00B17FC9"/>
    <w:rsid w:val="00B20072"/>
    <w:rsid w:val="00B200B8"/>
    <w:rsid w:val="00B2064D"/>
    <w:rsid w:val="00B20801"/>
    <w:rsid w:val="00B20F0B"/>
    <w:rsid w:val="00B21ADB"/>
    <w:rsid w:val="00B21E04"/>
    <w:rsid w:val="00B22447"/>
    <w:rsid w:val="00B226E9"/>
    <w:rsid w:val="00B22883"/>
    <w:rsid w:val="00B236EE"/>
    <w:rsid w:val="00B23CE0"/>
    <w:rsid w:val="00B24033"/>
    <w:rsid w:val="00B242C3"/>
    <w:rsid w:val="00B2472F"/>
    <w:rsid w:val="00B2490B"/>
    <w:rsid w:val="00B24B0B"/>
    <w:rsid w:val="00B24BA5"/>
    <w:rsid w:val="00B24C0F"/>
    <w:rsid w:val="00B24C93"/>
    <w:rsid w:val="00B25036"/>
    <w:rsid w:val="00B252A3"/>
    <w:rsid w:val="00B255EF"/>
    <w:rsid w:val="00B2564A"/>
    <w:rsid w:val="00B25A58"/>
    <w:rsid w:val="00B25CF1"/>
    <w:rsid w:val="00B25E07"/>
    <w:rsid w:val="00B25EC6"/>
    <w:rsid w:val="00B26245"/>
    <w:rsid w:val="00B26535"/>
    <w:rsid w:val="00B26629"/>
    <w:rsid w:val="00B26753"/>
    <w:rsid w:val="00B26C10"/>
    <w:rsid w:val="00B26DA2"/>
    <w:rsid w:val="00B27007"/>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1EA"/>
    <w:rsid w:val="00B35471"/>
    <w:rsid w:val="00B354BE"/>
    <w:rsid w:val="00B35651"/>
    <w:rsid w:val="00B35C0A"/>
    <w:rsid w:val="00B362AC"/>
    <w:rsid w:val="00B3638D"/>
    <w:rsid w:val="00B364F4"/>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FB7"/>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C8C"/>
    <w:rsid w:val="00B54EB6"/>
    <w:rsid w:val="00B55A21"/>
    <w:rsid w:val="00B55AF5"/>
    <w:rsid w:val="00B56225"/>
    <w:rsid w:val="00B567BE"/>
    <w:rsid w:val="00B56828"/>
    <w:rsid w:val="00B56D80"/>
    <w:rsid w:val="00B56D84"/>
    <w:rsid w:val="00B56D9C"/>
    <w:rsid w:val="00B571B6"/>
    <w:rsid w:val="00B57BCE"/>
    <w:rsid w:val="00B603BA"/>
    <w:rsid w:val="00B606D8"/>
    <w:rsid w:val="00B60992"/>
    <w:rsid w:val="00B60C4D"/>
    <w:rsid w:val="00B60CB0"/>
    <w:rsid w:val="00B60D5B"/>
    <w:rsid w:val="00B613AF"/>
    <w:rsid w:val="00B616FD"/>
    <w:rsid w:val="00B61CDA"/>
    <w:rsid w:val="00B6228C"/>
    <w:rsid w:val="00B6228E"/>
    <w:rsid w:val="00B62A51"/>
    <w:rsid w:val="00B6378F"/>
    <w:rsid w:val="00B63FD0"/>
    <w:rsid w:val="00B6402E"/>
    <w:rsid w:val="00B6408E"/>
    <w:rsid w:val="00B647BD"/>
    <w:rsid w:val="00B64AE8"/>
    <w:rsid w:val="00B64B7A"/>
    <w:rsid w:val="00B6531B"/>
    <w:rsid w:val="00B65371"/>
    <w:rsid w:val="00B654E3"/>
    <w:rsid w:val="00B6565F"/>
    <w:rsid w:val="00B65A72"/>
    <w:rsid w:val="00B66674"/>
    <w:rsid w:val="00B66F1C"/>
    <w:rsid w:val="00B67D07"/>
    <w:rsid w:val="00B7028A"/>
    <w:rsid w:val="00B70455"/>
    <w:rsid w:val="00B707FB"/>
    <w:rsid w:val="00B70E1E"/>
    <w:rsid w:val="00B715E3"/>
    <w:rsid w:val="00B7168B"/>
    <w:rsid w:val="00B716CF"/>
    <w:rsid w:val="00B71A2E"/>
    <w:rsid w:val="00B71A51"/>
    <w:rsid w:val="00B71E5C"/>
    <w:rsid w:val="00B721A5"/>
    <w:rsid w:val="00B726B2"/>
    <w:rsid w:val="00B727F0"/>
    <w:rsid w:val="00B731DD"/>
    <w:rsid w:val="00B7346D"/>
    <w:rsid w:val="00B74004"/>
    <w:rsid w:val="00B74080"/>
    <w:rsid w:val="00B7430D"/>
    <w:rsid w:val="00B74AD3"/>
    <w:rsid w:val="00B74AFB"/>
    <w:rsid w:val="00B7515B"/>
    <w:rsid w:val="00B75877"/>
    <w:rsid w:val="00B759C5"/>
    <w:rsid w:val="00B75E7A"/>
    <w:rsid w:val="00B76023"/>
    <w:rsid w:val="00B7654C"/>
    <w:rsid w:val="00B7693D"/>
    <w:rsid w:val="00B76B83"/>
    <w:rsid w:val="00B76E7C"/>
    <w:rsid w:val="00B7767D"/>
    <w:rsid w:val="00B77B85"/>
    <w:rsid w:val="00B77BB8"/>
    <w:rsid w:val="00B80538"/>
    <w:rsid w:val="00B8088C"/>
    <w:rsid w:val="00B809F4"/>
    <w:rsid w:val="00B81109"/>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821"/>
    <w:rsid w:val="00B91B73"/>
    <w:rsid w:val="00B91E0A"/>
    <w:rsid w:val="00B91ED3"/>
    <w:rsid w:val="00B921D0"/>
    <w:rsid w:val="00B922AC"/>
    <w:rsid w:val="00B923EF"/>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A00A8"/>
    <w:rsid w:val="00BA00B0"/>
    <w:rsid w:val="00BA01AD"/>
    <w:rsid w:val="00BA0C50"/>
    <w:rsid w:val="00BA0E2F"/>
    <w:rsid w:val="00BA15A2"/>
    <w:rsid w:val="00BA1961"/>
    <w:rsid w:val="00BA1C40"/>
    <w:rsid w:val="00BA2931"/>
    <w:rsid w:val="00BA2E23"/>
    <w:rsid w:val="00BA3BC2"/>
    <w:rsid w:val="00BA408F"/>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948"/>
    <w:rsid w:val="00BB5992"/>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02AC"/>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183A"/>
    <w:rsid w:val="00BE1847"/>
    <w:rsid w:val="00BE191A"/>
    <w:rsid w:val="00BE1D6D"/>
    <w:rsid w:val="00BE2064"/>
    <w:rsid w:val="00BE2643"/>
    <w:rsid w:val="00BE34D2"/>
    <w:rsid w:val="00BE4BCD"/>
    <w:rsid w:val="00BE4C31"/>
    <w:rsid w:val="00BE4D12"/>
    <w:rsid w:val="00BE500B"/>
    <w:rsid w:val="00BE5151"/>
    <w:rsid w:val="00BE5221"/>
    <w:rsid w:val="00BE54DF"/>
    <w:rsid w:val="00BE550A"/>
    <w:rsid w:val="00BE5D08"/>
    <w:rsid w:val="00BE659A"/>
    <w:rsid w:val="00BE6679"/>
    <w:rsid w:val="00BE6D8B"/>
    <w:rsid w:val="00BE6F3A"/>
    <w:rsid w:val="00BE74C0"/>
    <w:rsid w:val="00BE7531"/>
    <w:rsid w:val="00BE7675"/>
    <w:rsid w:val="00BE78E7"/>
    <w:rsid w:val="00BE7C27"/>
    <w:rsid w:val="00BE7E66"/>
    <w:rsid w:val="00BF0074"/>
    <w:rsid w:val="00BF0325"/>
    <w:rsid w:val="00BF0967"/>
    <w:rsid w:val="00BF0D6F"/>
    <w:rsid w:val="00BF0E66"/>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AB1"/>
    <w:rsid w:val="00BF70AF"/>
    <w:rsid w:val="00BF73EE"/>
    <w:rsid w:val="00BF75E7"/>
    <w:rsid w:val="00BF782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5B9"/>
    <w:rsid w:val="00C02890"/>
    <w:rsid w:val="00C02BCD"/>
    <w:rsid w:val="00C03379"/>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EB5"/>
    <w:rsid w:val="00C110AC"/>
    <w:rsid w:val="00C11207"/>
    <w:rsid w:val="00C113A6"/>
    <w:rsid w:val="00C1149F"/>
    <w:rsid w:val="00C11937"/>
    <w:rsid w:val="00C11F95"/>
    <w:rsid w:val="00C12F92"/>
    <w:rsid w:val="00C13277"/>
    <w:rsid w:val="00C138BB"/>
    <w:rsid w:val="00C13906"/>
    <w:rsid w:val="00C13D86"/>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26"/>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4719"/>
    <w:rsid w:val="00C34C32"/>
    <w:rsid w:val="00C3619E"/>
    <w:rsid w:val="00C36794"/>
    <w:rsid w:val="00C3703D"/>
    <w:rsid w:val="00C378D5"/>
    <w:rsid w:val="00C4007B"/>
    <w:rsid w:val="00C40A76"/>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8B6"/>
    <w:rsid w:val="00C4491B"/>
    <w:rsid w:val="00C44DB6"/>
    <w:rsid w:val="00C452F4"/>
    <w:rsid w:val="00C4534E"/>
    <w:rsid w:val="00C45394"/>
    <w:rsid w:val="00C455A8"/>
    <w:rsid w:val="00C45A1C"/>
    <w:rsid w:val="00C46616"/>
    <w:rsid w:val="00C4671D"/>
    <w:rsid w:val="00C46755"/>
    <w:rsid w:val="00C46894"/>
    <w:rsid w:val="00C46D73"/>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390D"/>
    <w:rsid w:val="00C5427E"/>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DF1"/>
    <w:rsid w:val="00C613F2"/>
    <w:rsid w:val="00C615A5"/>
    <w:rsid w:val="00C61663"/>
    <w:rsid w:val="00C61FB4"/>
    <w:rsid w:val="00C62E71"/>
    <w:rsid w:val="00C631C7"/>
    <w:rsid w:val="00C63A01"/>
    <w:rsid w:val="00C63DAB"/>
    <w:rsid w:val="00C640DF"/>
    <w:rsid w:val="00C646C3"/>
    <w:rsid w:val="00C64D51"/>
    <w:rsid w:val="00C653B5"/>
    <w:rsid w:val="00C6542A"/>
    <w:rsid w:val="00C65507"/>
    <w:rsid w:val="00C6584C"/>
    <w:rsid w:val="00C6588B"/>
    <w:rsid w:val="00C65AE0"/>
    <w:rsid w:val="00C65FEA"/>
    <w:rsid w:val="00C6600C"/>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E08"/>
    <w:rsid w:val="00C73061"/>
    <w:rsid w:val="00C732D6"/>
    <w:rsid w:val="00C73553"/>
    <w:rsid w:val="00C73780"/>
    <w:rsid w:val="00C737CF"/>
    <w:rsid w:val="00C73E9F"/>
    <w:rsid w:val="00C73EDC"/>
    <w:rsid w:val="00C7453B"/>
    <w:rsid w:val="00C747B3"/>
    <w:rsid w:val="00C74856"/>
    <w:rsid w:val="00C749A8"/>
    <w:rsid w:val="00C74D9D"/>
    <w:rsid w:val="00C751E4"/>
    <w:rsid w:val="00C751E5"/>
    <w:rsid w:val="00C75974"/>
    <w:rsid w:val="00C764A8"/>
    <w:rsid w:val="00C765D1"/>
    <w:rsid w:val="00C77382"/>
    <w:rsid w:val="00C77F72"/>
    <w:rsid w:val="00C8015B"/>
    <w:rsid w:val="00C80585"/>
    <w:rsid w:val="00C80779"/>
    <w:rsid w:val="00C80ADA"/>
    <w:rsid w:val="00C80EF4"/>
    <w:rsid w:val="00C81445"/>
    <w:rsid w:val="00C816F0"/>
    <w:rsid w:val="00C8193B"/>
    <w:rsid w:val="00C81EC4"/>
    <w:rsid w:val="00C8213A"/>
    <w:rsid w:val="00C8230B"/>
    <w:rsid w:val="00C823E6"/>
    <w:rsid w:val="00C824A4"/>
    <w:rsid w:val="00C8283E"/>
    <w:rsid w:val="00C82855"/>
    <w:rsid w:val="00C82869"/>
    <w:rsid w:val="00C82880"/>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A2"/>
    <w:rsid w:val="00C91FBA"/>
    <w:rsid w:val="00C9243F"/>
    <w:rsid w:val="00C925B4"/>
    <w:rsid w:val="00C92879"/>
    <w:rsid w:val="00C92BEA"/>
    <w:rsid w:val="00C93798"/>
    <w:rsid w:val="00C93E08"/>
    <w:rsid w:val="00C9414A"/>
    <w:rsid w:val="00C94275"/>
    <w:rsid w:val="00C948F6"/>
    <w:rsid w:val="00C9514D"/>
    <w:rsid w:val="00C95365"/>
    <w:rsid w:val="00C96004"/>
    <w:rsid w:val="00C9627B"/>
    <w:rsid w:val="00C96420"/>
    <w:rsid w:val="00C966DB"/>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B20"/>
    <w:rsid w:val="00CB0DCF"/>
    <w:rsid w:val="00CB0E7A"/>
    <w:rsid w:val="00CB108A"/>
    <w:rsid w:val="00CB1254"/>
    <w:rsid w:val="00CB16E3"/>
    <w:rsid w:val="00CB1766"/>
    <w:rsid w:val="00CB1FB0"/>
    <w:rsid w:val="00CB22E5"/>
    <w:rsid w:val="00CB282D"/>
    <w:rsid w:val="00CB2967"/>
    <w:rsid w:val="00CB2A52"/>
    <w:rsid w:val="00CB2F3F"/>
    <w:rsid w:val="00CB3416"/>
    <w:rsid w:val="00CB3DFD"/>
    <w:rsid w:val="00CB3FC1"/>
    <w:rsid w:val="00CB4056"/>
    <w:rsid w:val="00CB4422"/>
    <w:rsid w:val="00CB4AB1"/>
    <w:rsid w:val="00CB56C9"/>
    <w:rsid w:val="00CB6147"/>
    <w:rsid w:val="00CB61BB"/>
    <w:rsid w:val="00CB64F3"/>
    <w:rsid w:val="00CB6862"/>
    <w:rsid w:val="00CB6C75"/>
    <w:rsid w:val="00CB7212"/>
    <w:rsid w:val="00CB7F7D"/>
    <w:rsid w:val="00CC01EC"/>
    <w:rsid w:val="00CC02B3"/>
    <w:rsid w:val="00CC041A"/>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764B"/>
    <w:rsid w:val="00CC7703"/>
    <w:rsid w:val="00CC7B93"/>
    <w:rsid w:val="00CD0103"/>
    <w:rsid w:val="00CD0ECE"/>
    <w:rsid w:val="00CD19CA"/>
    <w:rsid w:val="00CD21D8"/>
    <w:rsid w:val="00CD2325"/>
    <w:rsid w:val="00CD23C6"/>
    <w:rsid w:val="00CD23E3"/>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BC3"/>
    <w:rsid w:val="00CE0323"/>
    <w:rsid w:val="00CE0840"/>
    <w:rsid w:val="00CE08A8"/>
    <w:rsid w:val="00CE0BBC"/>
    <w:rsid w:val="00CE1076"/>
    <w:rsid w:val="00CE1226"/>
    <w:rsid w:val="00CE1407"/>
    <w:rsid w:val="00CE15A1"/>
    <w:rsid w:val="00CE197D"/>
    <w:rsid w:val="00CE1FE6"/>
    <w:rsid w:val="00CE2489"/>
    <w:rsid w:val="00CE2865"/>
    <w:rsid w:val="00CE29E5"/>
    <w:rsid w:val="00CE2C9E"/>
    <w:rsid w:val="00CE2D0A"/>
    <w:rsid w:val="00CE2F3E"/>
    <w:rsid w:val="00CE32E8"/>
    <w:rsid w:val="00CE357F"/>
    <w:rsid w:val="00CE3945"/>
    <w:rsid w:val="00CE4B46"/>
    <w:rsid w:val="00CE4FC1"/>
    <w:rsid w:val="00CE5029"/>
    <w:rsid w:val="00CE5638"/>
    <w:rsid w:val="00CE59B1"/>
    <w:rsid w:val="00CE59B7"/>
    <w:rsid w:val="00CE64E6"/>
    <w:rsid w:val="00CE65C9"/>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661"/>
    <w:rsid w:val="00CF08B6"/>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CC3"/>
    <w:rsid w:val="00CF622F"/>
    <w:rsid w:val="00CF636E"/>
    <w:rsid w:val="00CF677C"/>
    <w:rsid w:val="00CF69AA"/>
    <w:rsid w:val="00CF6B35"/>
    <w:rsid w:val="00CF6E2E"/>
    <w:rsid w:val="00CF708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3D"/>
    <w:rsid w:val="00D108D5"/>
    <w:rsid w:val="00D10A9B"/>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216F"/>
    <w:rsid w:val="00D226A6"/>
    <w:rsid w:val="00D22920"/>
    <w:rsid w:val="00D22AE8"/>
    <w:rsid w:val="00D23018"/>
    <w:rsid w:val="00D2321E"/>
    <w:rsid w:val="00D23CB0"/>
    <w:rsid w:val="00D25544"/>
    <w:rsid w:val="00D25622"/>
    <w:rsid w:val="00D25BA3"/>
    <w:rsid w:val="00D25CE0"/>
    <w:rsid w:val="00D25E93"/>
    <w:rsid w:val="00D260D3"/>
    <w:rsid w:val="00D26370"/>
    <w:rsid w:val="00D263C1"/>
    <w:rsid w:val="00D2647E"/>
    <w:rsid w:val="00D264CC"/>
    <w:rsid w:val="00D26679"/>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3684"/>
    <w:rsid w:val="00D4470A"/>
    <w:rsid w:val="00D44C6D"/>
    <w:rsid w:val="00D45238"/>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CEB"/>
    <w:rsid w:val="00D53DF0"/>
    <w:rsid w:val="00D53F97"/>
    <w:rsid w:val="00D541C2"/>
    <w:rsid w:val="00D548C1"/>
    <w:rsid w:val="00D549A0"/>
    <w:rsid w:val="00D559C1"/>
    <w:rsid w:val="00D559D7"/>
    <w:rsid w:val="00D56009"/>
    <w:rsid w:val="00D56B4D"/>
    <w:rsid w:val="00D56BC6"/>
    <w:rsid w:val="00D56BF1"/>
    <w:rsid w:val="00D57043"/>
    <w:rsid w:val="00D57087"/>
    <w:rsid w:val="00D57369"/>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4D4"/>
    <w:rsid w:val="00D745CB"/>
    <w:rsid w:val="00D74761"/>
    <w:rsid w:val="00D74764"/>
    <w:rsid w:val="00D748AA"/>
    <w:rsid w:val="00D74925"/>
    <w:rsid w:val="00D74DC5"/>
    <w:rsid w:val="00D753AE"/>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F51"/>
    <w:rsid w:val="00D92F79"/>
    <w:rsid w:val="00D933F9"/>
    <w:rsid w:val="00D9407A"/>
    <w:rsid w:val="00D94097"/>
    <w:rsid w:val="00D94607"/>
    <w:rsid w:val="00D9541B"/>
    <w:rsid w:val="00D95841"/>
    <w:rsid w:val="00D96800"/>
    <w:rsid w:val="00D96977"/>
    <w:rsid w:val="00D97700"/>
    <w:rsid w:val="00D97C81"/>
    <w:rsid w:val="00D97E88"/>
    <w:rsid w:val="00DA03D4"/>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7A8"/>
    <w:rsid w:val="00DB17E4"/>
    <w:rsid w:val="00DB1C92"/>
    <w:rsid w:val="00DB2277"/>
    <w:rsid w:val="00DB24A3"/>
    <w:rsid w:val="00DB290C"/>
    <w:rsid w:val="00DB2FC5"/>
    <w:rsid w:val="00DB3745"/>
    <w:rsid w:val="00DB3886"/>
    <w:rsid w:val="00DB3933"/>
    <w:rsid w:val="00DB3EA2"/>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1247"/>
    <w:rsid w:val="00DC155D"/>
    <w:rsid w:val="00DC1DA7"/>
    <w:rsid w:val="00DC21A9"/>
    <w:rsid w:val="00DC244C"/>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2B16"/>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194"/>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E7698"/>
    <w:rsid w:val="00DE7934"/>
    <w:rsid w:val="00DF0148"/>
    <w:rsid w:val="00DF04AD"/>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CF8"/>
    <w:rsid w:val="00E05A3C"/>
    <w:rsid w:val="00E05C9E"/>
    <w:rsid w:val="00E05D83"/>
    <w:rsid w:val="00E0697F"/>
    <w:rsid w:val="00E07317"/>
    <w:rsid w:val="00E07A5D"/>
    <w:rsid w:val="00E07B72"/>
    <w:rsid w:val="00E1030C"/>
    <w:rsid w:val="00E10363"/>
    <w:rsid w:val="00E104DE"/>
    <w:rsid w:val="00E10588"/>
    <w:rsid w:val="00E10875"/>
    <w:rsid w:val="00E109BB"/>
    <w:rsid w:val="00E109EF"/>
    <w:rsid w:val="00E10EE3"/>
    <w:rsid w:val="00E110AC"/>
    <w:rsid w:val="00E12B15"/>
    <w:rsid w:val="00E12DC8"/>
    <w:rsid w:val="00E12DF9"/>
    <w:rsid w:val="00E13449"/>
    <w:rsid w:val="00E13512"/>
    <w:rsid w:val="00E138C5"/>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858"/>
    <w:rsid w:val="00E20903"/>
    <w:rsid w:val="00E2092B"/>
    <w:rsid w:val="00E209F1"/>
    <w:rsid w:val="00E211B4"/>
    <w:rsid w:val="00E213AC"/>
    <w:rsid w:val="00E21ECD"/>
    <w:rsid w:val="00E22604"/>
    <w:rsid w:val="00E22A0C"/>
    <w:rsid w:val="00E22B08"/>
    <w:rsid w:val="00E22F0D"/>
    <w:rsid w:val="00E23578"/>
    <w:rsid w:val="00E23598"/>
    <w:rsid w:val="00E239D6"/>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0"/>
    <w:rsid w:val="00E35EC8"/>
    <w:rsid w:val="00E360FB"/>
    <w:rsid w:val="00E3697F"/>
    <w:rsid w:val="00E36D41"/>
    <w:rsid w:val="00E36DEE"/>
    <w:rsid w:val="00E37391"/>
    <w:rsid w:val="00E3755C"/>
    <w:rsid w:val="00E403C3"/>
    <w:rsid w:val="00E40788"/>
    <w:rsid w:val="00E408D0"/>
    <w:rsid w:val="00E4120E"/>
    <w:rsid w:val="00E41238"/>
    <w:rsid w:val="00E4138F"/>
    <w:rsid w:val="00E416CD"/>
    <w:rsid w:val="00E4185A"/>
    <w:rsid w:val="00E4196F"/>
    <w:rsid w:val="00E41A53"/>
    <w:rsid w:val="00E41C0E"/>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5023A"/>
    <w:rsid w:val="00E5030F"/>
    <w:rsid w:val="00E50B7A"/>
    <w:rsid w:val="00E50CDC"/>
    <w:rsid w:val="00E50F90"/>
    <w:rsid w:val="00E51049"/>
    <w:rsid w:val="00E51C91"/>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233"/>
    <w:rsid w:val="00E6166E"/>
    <w:rsid w:val="00E61AD9"/>
    <w:rsid w:val="00E61C24"/>
    <w:rsid w:val="00E61EF8"/>
    <w:rsid w:val="00E620E2"/>
    <w:rsid w:val="00E6214B"/>
    <w:rsid w:val="00E621D7"/>
    <w:rsid w:val="00E62268"/>
    <w:rsid w:val="00E6246D"/>
    <w:rsid w:val="00E62522"/>
    <w:rsid w:val="00E625C3"/>
    <w:rsid w:val="00E62C13"/>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51"/>
    <w:rsid w:val="00E714F3"/>
    <w:rsid w:val="00E716B6"/>
    <w:rsid w:val="00E7170D"/>
    <w:rsid w:val="00E71C86"/>
    <w:rsid w:val="00E71E74"/>
    <w:rsid w:val="00E71F2B"/>
    <w:rsid w:val="00E724CE"/>
    <w:rsid w:val="00E72AF9"/>
    <w:rsid w:val="00E72F05"/>
    <w:rsid w:val="00E7300F"/>
    <w:rsid w:val="00E7335D"/>
    <w:rsid w:val="00E734CE"/>
    <w:rsid w:val="00E735FA"/>
    <w:rsid w:val="00E73A74"/>
    <w:rsid w:val="00E7413D"/>
    <w:rsid w:val="00E7442F"/>
    <w:rsid w:val="00E74C96"/>
    <w:rsid w:val="00E75057"/>
    <w:rsid w:val="00E755F2"/>
    <w:rsid w:val="00E7575E"/>
    <w:rsid w:val="00E758C9"/>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93C"/>
    <w:rsid w:val="00E83165"/>
    <w:rsid w:val="00E83179"/>
    <w:rsid w:val="00E83F1D"/>
    <w:rsid w:val="00E83FBE"/>
    <w:rsid w:val="00E841E6"/>
    <w:rsid w:val="00E844DB"/>
    <w:rsid w:val="00E84877"/>
    <w:rsid w:val="00E84A41"/>
    <w:rsid w:val="00E84EF5"/>
    <w:rsid w:val="00E84F38"/>
    <w:rsid w:val="00E851A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87D80"/>
    <w:rsid w:val="00E90351"/>
    <w:rsid w:val="00E906D9"/>
    <w:rsid w:val="00E909DD"/>
    <w:rsid w:val="00E91068"/>
    <w:rsid w:val="00E913C5"/>
    <w:rsid w:val="00E915FE"/>
    <w:rsid w:val="00E9184F"/>
    <w:rsid w:val="00E919DE"/>
    <w:rsid w:val="00E91D7C"/>
    <w:rsid w:val="00E91D91"/>
    <w:rsid w:val="00E91E02"/>
    <w:rsid w:val="00E924D5"/>
    <w:rsid w:val="00E92AEE"/>
    <w:rsid w:val="00E92E2F"/>
    <w:rsid w:val="00E932CA"/>
    <w:rsid w:val="00E9331F"/>
    <w:rsid w:val="00E933B4"/>
    <w:rsid w:val="00E93799"/>
    <w:rsid w:val="00E93A93"/>
    <w:rsid w:val="00E940D1"/>
    <w:rsid w:val="00E94486"/>
    <w:rsid w:val="00E9495F"/>
    <w:rsid w:val="00E94A04"/>
    <w:rsid w:val="00E94F10"/>
    <w:rsid w:val="00E95148"/>
    <w:rsid w:val="00E95156"/>
    <w:rsid w:val="00E9520E"/>
    <w:rsid w:val="00E95D56"/>
    <w:rsid w:val="00E96105"/>
    <w:rsid w:val="00E966E8"/>
    <w:rsid w:val="00E968E1"/>
    <w:rsid w:val="00E96B33"/>
    <w:rsid w:val="00E96B85"/>
    <w:rsid w:val="00E96D05"/>
    <w:rsid w:val="00E972F1"/>
    <w:rsid w:val="00E9782A"/>
    <w:rsid w:val="00E97FE7"/>
    <w:rsid w:val="00EA0023"/>
    <w:rsid w:val="00EA0293"/>
    <w:rsid w:val="00EA0ABE"/>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622"/>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D2A"/>
    <w:rsid w:val="00EC4E99"/>
    <w:rsid w:val="00EC5E8C"/>
    <w:rsid w:val="00EC621D"/>
    <w:rsid w:val="00EC6716"/>
    <w:rsid w:val="00EC6884"/>
    <w:rsid w:val="00EC695B"/>
    <w:rsid w:val="00EC69CA"/>
    <w:rsid w:val="00EC6C91"/>
    <w:rsid w:val="00EC6E78"/>
    <w:rsid w:val="00EC6FC0"/>
    <w:rsid w:val="00EC734A"/>
    <w:rsid w:val="00EC74BC"/>
    <w:rsid w:val="00ED00DC"/>
    <w:rsid w:val="00ED0156"/>
    <w:rsid w:val="00ED02AD"/>
    <w:rsid w:val="00ED08B2"/>
    <w:rsid w:val="00ED0E87"/>
    <w:rsid w:val="00ED104F"/>
    <w:rsid w:val="00ED134E"/>
    <w:rsid w:val="00ED177D"/>
    <w:rsid w:val="00ED187A"/>
    <w:rsid w:val="00ED19A7"/>
    <w:rsid w:val="00ED1A39"/>
    <w:rsid w:val="00ED1AC3"/>
    <w:rsid w:val="00ED2528"/>
    <w:rsid w:val="00ED2817"/>
    <w:rsid w:val="00ED2EE0"/>
    <w:rsid w:val="00ED3462"/>
    <w:rsid w:val="00ED354D"/>
    <w:rsid w:val="00ED358F"/>
    <w:rsid w:val="00ED40FB"/>
    <w:rsid w:val="00ED42FC"/>
    <w:rsid w:val="00ED4B67"/>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F06E4"/>
    <w:rsid w:val="00EF0E2E"/>
    <w:rsid w:val="00EF1777"/>
    <w:rsid w:val="00EF1D7E"/>
    <w:rsid w:val="00EF20E6"/>
    <w:rsid w:val="00EF2229"/>
    <w:rsid w:val="00EF23DA"/>
    <w:rsid w:val="00EF2528"/>
    <w:rsid w:val="00EF324F"/>
    <w:rsid w:val="00EF3437"/>
    <w:rsid w:val="00EF3AF1"/>
    <w:rsid w:val="00EF3CBF"/>
    <w:rsid w:val="00EF3F17"/>
    <w:rsid w:val="00EF407C"/>
    <w:rsid w:val="00EF4204"/>
    <w:rsid w:val="00EF455A"/>
    <w:rsid w:val="00EF493B"/>
    <w:rsid w:val="00EF49FA"/>
    <w:rsid w:val="00EF4A22"/>
    <w:rsid w:val="00EF4C25"/>
    <w:rsid w:val="00EF4D40"/>
    <w:rsid w:val="00EF4E90"/>
    <w:rsid w:val="00EF4EA9"/>
    <w:rsid w:val="00EF51A3"/>
    <w:rsid w:val="00EF53FF"/>
    <w:rsid w:val="00EF5921"/>
    <w:rsid w:val="00EF5D65"/>
    <w:rsid w:val="00EF61F3"/>
    <w:rsid w:val="00EF66AE"/>
    <w:rsid w:val="00EF6AB3"/>
    <w:rsid w:val="00EF6BF1"/>
    <w:rsid w:val="00EF6C13"/>
    <w:rsid w:val="00EF6E26"/>
    <w:rsid w:val="00EF761A"/>
    <w:rsid w:val="00EF76E6"/>
    <w:rsid w:val="00F002D1"/>
    <w:rsid w:val="00F0030F"/>
    <w:rsid w:val="00F00577"/>
    <w:rsid w:val="00F00A43"/>
    <w:rsid w:val="00F00BE4"/>
    <w:rsid w:val="00F00C8A"/>
    <w:rsid w:val="00F01163"/>
    <w:rsid w:val="00F01836"/>
    <w:rsid w:val="00F01871"/>
    <w:rsid w:val="00F01B0B"/>
    <w:rsid w:val="00F02077"/>
    <w:rsid w:val="00F02124"/>
    <w:rsid w:val="00F021F9"/>
    <w:rsid w:val="00F024C8"/>
    <w:rsid w:val="00F02AB3"/>
    <w:rsid w:val="00F02BC5"/>
    <w:rsid w:val="00F02C4F"/>
    <w:rsid w:val="00F032AD"/>
    <w:rsid w:val="00F038E4"/>
    <w:rsid w:val="00F042C9"/>
    <w:rsid w:val="00F042FB"/>
    <w:rsid w:val="00F04D9F"/>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9B4"/>
    <w:rsid w:val="00F12E53"/>
    <w:rsid w:val="00F131FF"/>
    <w:rsid w:val="00F13511"/>
    <w:rsid w:val="00F13793"/>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F58"/>
    <w:rsid w:val="00F20076"/>
    <w:rsid w:val="00F2017D"/>
    <w:rsid w:val="00F20586"/>
    <w:rsid w:val="00F20D80"/>
    <w:rsid w:val="00F21A2B"/>
    <w:rsid w:val="00F21C80"/>
    <w:rsid w:val="00F21D64"/>
    <w:rsid w:val="00F22A73"/>
    <w:rsid w:val="00F22B2B"/>
    <w:rsid w:val="00F2366E"/>
    <w:rsid w:val="00F23806"/>
    <w:rsid w:val="00F239BD"/>
    <w:rsid w:val="00F244AA"/>
    <w:rsid w:val="00F245AD"/>
    <w:rsid w:val="00F247FC"/>
    <w:rsid w:val="00F25019"/>
    <w:rsid w:val="00F251B4"/>
    <w:rsid w:val="00F25563"/>
    <w:rsid w:val="00F25674"/>
    <w:rsid w:val="00F25E9C"/>
    <w:rsid w:val="00F26612"/>
    <w:rsid w:val="00F267AA"/>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B73"/>
    <w:rsid w:val="00F373CE"/>
    <w:rsid w:val="00F3756A"/>
    <w:rsid w:val="00F3757B"/>
    <w:rsid w:val="00F3794B"/>
    <w:rsid w:val="00F37EA5"/>
    <w:rsid w:val="00F40597"/>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125"/>
    <w:rsid w:val="00F47592"/>
    <w:rsid w:val="00F47881"/>
    <w:rsid w:val="00F478CA"/>
    <w:rsid w:val="00F47A03"/>
    <w:rsid w:val="00F47AB7"/>
    <w:rsid w:val="00F47F71"/>
    <w:rsid w:val="00F50034"/>
    <w:rsid w:val="00F5082A"/>
    <w:rsid w:val="00F50E87"/>
    <w:rsid w:val="00F50EBB"/>
    <w:rsid w:val="00F51596"/>
    <w:rsid w:val="00F51ADC"/>
    <w:rsid w:val="00F51CCD"/>
    <w:rsid w:val="00F51F69"/>
    <w:rsid w:val="00F52711"/>
    <w:rsid w:val="00F527BD"/>
    <w:rsid w:val="00F52E66"/>
    <w:rsid w:val="00F52E73"/>
    <w:rsid w:val="00F52F23"/>
    <w:rsid w:val="00F52FF5"/>
    <w:rsid w:val="00F5339C"/>
    <w:rsid w:val="00F53536"/>
    <w:rsid w:val="00F53807"/>
    <w:rsid w:val="00F5383C"/>
    <w:rsid w:val="00F53BA3"/>
    <w:rsid w:val="00F53CF0"/>
    <w:rsid w:val="00F53E99"/>
    <w:rsid w:val="00F53F82"/>
    <w:rsid w:val="00F54227"/>
    <w:rsid w:val="00F54290"/>
    <w:rsid w:val="00F543CA"/>
    <w:rsid w:val="00F54BF1"/>
    <w:rsid w:val="00F54E68"/>
    <w:rsid w:val="00F5503C"/>
    <w:rsid w:val="00F55504"/>
    <w:rsid w:val="00F556BC"/>
    <w:rsid w:val="00F556C4"/>
    <w:rsid w:val="00F55D1A"/>
    <w:rsid w:val="00F55E8F"/>
    <w:rsid w:val="00F563FF"/>
    <w:rsid w:val="00F566D1"/>
    <w:rsid w:val="00F569D4"/>
    <w:rsid w:val="00F56AD7"/>
    <w:rsid w:val="00F56E4A"/>
    <w:rsid w:val="00F5755E"/>
    <w:rsid w:val="00F57B5B"/>
    <w:rsid w:val="00F57B7E"/>
    <w:rsid w:val="00F57FEE"/>
    <w:rsid w:val="00F60864"/>
    <w:rsid w:val="00F608D7"/>
    <w:rsid w:val="00F60C9D"/>
    <w:rsid w:val="00F61247"/>
    <w:rsid w:val="00F61252"/>
    <w:rsid w:val="00F61392"/>
    <w:rsid w:val="00F619FE"/>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E39"/>
    <w:rsid w:val="00F67FA1"/>
    <w:rsid w:val="00F701D8"/>
    <w:rsid w:val="00F70453"/>
    <w:rsid w:val="00F708DA"/>
    <w:rsid w:val="00F70AE9"/>
    <w:rsid w:val="00F715A6"/>
    <w:rsid w:val="00F71671"/>
    <w:rsid w:val="00F71980"/>
    <w:rsid w:val="00F71B78"/>
    <w:rsid w:val="00F71B9E"/>
    <w:rsid w:val="00F71EE5"/>
    <w:rsid w:val="00F71EFB"/>
    <w:rsid w:val="00F72706"/>
    <w:rsid w:val="00F72A3A"/>
    <w:rsid w:val="00F72CCB"/>
    <w:rsid w:val="00F72D88"/>
    <w:rsid w:val="00F73070"/>
    <w:rsid w:val="00F7351E"/>
    <w:rsid w:val="00F7371D"/>
    <w:rsid w:val="00F73838"/>
    <w:rsid w:val="00F738CB"/>
    <w:rsid w:val="00F73BCB"/>
    <w:rsid w:val="00F73FA3"/>
    <w:rsid w:val="00F7497C"/>
    <w:rsid w:val="00F75564"/>
    <w:rsid w:val="00F75852"/>
    <w:rsid w:val="00F75886"/>
    <w:rsid w:val="00F75E8A"/>
    <w:rsid w:val="00F76257"/>
    <w:rsid w:val="00F76371"/>
    <w:rsid w:val="00F7649D"/>
    <w:rsid w:val="00F76FA7"/>
    <w:rsid w:val="00F77174"/>
    <w:rsid w:val="00F774CE"/>
    <w:rsid w:val="00F7770C"/>
    <w:rsid w:val="00F77A02"/>
    <w:rsid w:val="00F77E68"/>
    <w:rsid w:val="00F80129"/>
    <w:rsid w:val="00F808A7"/>
    <w:rsid w:val="00F80F6D"/>
    <w:rsid w:val="00F81122"/>
    <w:rsid w:val="00F81446"/>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2CC"/>
    <w:rsid w:val="00FA22E1"/>
    <w:rsid w:val="00FA259E"/>
    <w:rsid w:val="00FA28BD"/>
    <w:rsid w:val="00FA295C"/>
    <w:rsid w:val="00FA2E1A"/>
    <w:rsid w:val="00FA2E71"/>
    <w:rsid w:val="00FA3851"/>
    <w:rsid w:val="00FA40E5"/>
    <w:rsid w:val="00FA42A7"/>
    <w:rsid w:val="00FA4704"/>
    <w:rsid w:val="00FA47FC"/>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88A"/>
    <w:rsid w:val="00FC245E"/>
    <w:rsid w:val="00FC26B8"/>
    <w:rsid w:val="00FC2AF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A2A"/>
    <w:rsid w:val="00FD2A35"/>
    <w:rsid w:val="00FD2B94"/>
    <w:rsid w:val="00FD2C8E"/>
    <w:rsid w:val="00FD2ECC"/>
    <w:rsid w:val="00FD3162"/>
    <w:rsid w:val="00FD3348"/>
    <w:rsid w:val="00FD3401"/>
    <w:rsid w:val="00FD369E"/>
    <w:rsid w:val="00FD3877"/>
    <w:rsid w:val="00FD50B9"/>
    <w:rsid w:val="00FD5128"/>
    <w:rsid w:val="00FD57E8"/>
    <w:rsid w:val="00FD5CE6"/>
    <w:rsid w:val="00FD5ECC"/>
    <w:rsid w:val="00FD65BD"/>
    <w:rsid w:val="00FD6B05"/>
    <w:rsid w:val="00FD6E26"/>
    <w:rsid w:val="00FD6EFC"/>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EF8"/>
    <w:rsid w:val="00FE3DD2"/>
    <w:rsid w:val="00FE42A1"/>
    <w:rsid w:val="00FE4617"/>
    <w:rsid w:val="00FE48BD"/>
    <w:rsid w:val="00FE4F49"/>
    <w:rsid w:val="00FE5657"/>
    <w:rsid w:val="00FE5B5F"/>
    <w:rsid w:val="00FE6356"/>
    <w:rsid w:val="00FE6393"/>
    <w:rsid w:val="00FE64DE"/>
    <w:rsid w:val="00FE6743"/>
    <w:rsid w:val="00FE6B92"/>
    <w:rsid w:val="00FE6F8E"/>
    <w:rsid w:val="00FE729F"/>
    <w:rsid w:val="00FE732A"/>
    <w:rsid w:val="00FE732E"/>
    <w:rsid w:val="00FE747F"/>
    <w:rsid w:val="00FE76D2"/>
    <w:rsid w:val="00FE7F2C"/>
    <w:rsid w:val="00FF150C"/>
    <w:rsid w:val="00FF1F24"/>
    <w:rsid w:val="00FF28FB"/>
    <w:rsid w:val="00FF2E51"/>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4">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42"/>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45"/>
      </w:numPr>
      <w:suppressAutoHyphens/>
      <w:spacing w:before="180" w:after="60" w:line="280" w:lineRule="atLeast"/>
      <w:contextualSpacing/>
    </w:pPr>
    <w:rPr>
      <w:rFonts w:asciiTheme="minorHAnsi" w:hAnsiTheme="minorHAnsi"/>
      <w:sz w:val="22"/>
      <w:szCs w:val="22"/>
    </w:rPr>
  </w:style>
  <w:style w:type="character" w:styleId="LineNumber">
    <w:name w:val="line number"/>
    <w:basedOn w:val="DefaultParagraphFont"/>
    <w:semiHidden/>
    <w:unhideWhenUsed/>
    <w:rsid w:val="00F0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9.png"/><Relationship Id="rId39" Type="http://schemas.openxmlformats.org/officeDocument/2006/relationships/hyperlink" Target="http://www.finance.gov.au/publications/commonwealth-consolidated-financial-statements"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png"/><Relationship Id="rId42" Type="http://schemas.openxmlformats.org/officeDocument/2006/relationships/header" Target="header4.xml"/><Relationship Id="rId47" Type="http://schemas.openxmlformats.org/officeDocument/2006/relationships/footer" Target="footer7.xml"/><Relationship Id="rId50"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png"/><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emf"/><Relationship Id="rId41" Type="http://schemas.openxmlformats.org/officeDocument/2006/relationships/hyperlink" Target="http://data.gov.au/dataset/australian-government-general-government-sector-monthly-financial-statements-tables-and-dat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yperlink" Target="http://data.gov.au/dataset/australian-government-consolidated-financial-statements-tables-and-data" TargetMode="External"/><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footer" Target="footer5.xm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eader" Target="header5.xm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B6D998F2D604983A0F5A0FAC4FB64" ma:contentTypeVersion="13" ma:contentTypeDescription="Create a new document." ma:contentTypeScope="" ma:versionID="52a4eff3c2dd08a2b82a4e25fe2d7244">
  <xsd:schema xmlns:xsd="http://www.w3.org/2001/XMLSchema" xmlns:xs="http://www.w3.org/2001/XMLSchema" xmlns:p="http://schemas.microsoft.com/office/2006/metadata/properties" xmlns:ns3="99db4426-7133-4bb0-b399-7dfe9ddfae1b" xmlns:ns4="bbcd0457-a192-4764-b84e-34d2e8da9e07" targetNamespace="http://schemas.microsoft.com/office/2006/metadata/properties" ma:root="true" ma:fieldsID="161ad2cf1f4e82a8b8c2d20d0a07e3c2" ns3:_="" ns4:_="">
    <xsd:import namespace="99db4426-7133-4bb0-b399-7dfe9ddfae1b"/>
    <xsd:import namespace="bbcd0457-a192-4764-b84e-34d2e8da9e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4426-7133-4bb0-b399-7dfe9ddfa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d0457-a192-4764-b84e-34d2e8da9e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0037-D22A-4738-97BF-F4C21950ADD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9db4426-7133-4bb0-b399-7dfe9ddfae1b"/>
    <ds:schemaRef ds:uri="bbcd0457-a192-4764-b84e-34d2e8da9e07"/>
    <ds:schemaRef ds:uri="http://www.w3.org/XML/1998/namespace"/>
  </ds:schemaRefs>
</ds:datastoreItem>
</file>

<file path=customXml/itemProps2.xml><?xml version="1.0" encoding="utf-8"?>
<ds:datastoreItem xmlns:ds="http://schemas.openxmlformats.org/officeDocument/2006/customXml" ds:itemID="{14F32E57-DC5A-458A-88F9-7B4B489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4426-7133-4bb0-b399-7dfe9ddfae1b"/>
    <ds:schemaRef ds:uri="bbcd0457-a192-4764-b84e-34d2e8da9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4.xml><?xml version="1.0" encoding="utf-8"?>
<ds:datastoreItem xmlns:ds="http://schemas.openxmlformats.org/officeDocument/2006/customXml" ds:itemID="{39438840-1614-4B08-B5F5-E2170AE8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2071</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Department of Finance</dc:creator>
  <cp:keywords/>
  <cp:lastModifiedBy>Truong, Minh</cp:lastModifiedBy>
  <cp:revision>4</cp:revision>
  <cp:lastPrinted>2020-12-02T08:09:00Z</cp:lastPrinted>
  <dcterms:created xsi:type="dcterms:W3CDTF">2020-12-06T22:30:00Z</dcterms:created>
  <dcterms:modified xsi:type="dcterms:W3CDTF">2020-12-07T21:47:00Z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2020</vt:lpwstr>
  </property>
  <property fmtid="{D5CDD505-2E9C-101B-9397-08002B2CF9AE}" pid="3" name="prYear">
    <vt:lpwstr>2019</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0x010100587B6D998F2D604983A0F5A0FAC4FB64</vt:lpwstr>
  </property>
</Properties>
</file>