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708D" w14:textId="77777777" w:rsidR="004E058F" w:rsidRDefault="00FA38E8" w:rsidP="00861C74">
      <w:pPr>
        <w:pStyle w:val="Title"/>
        <w:tabs>
          <w:tab w:val="left" w:pos="1840"/>
        </w:tabs>
        <w:ind w:right="-569"/>
        <w:rPr>
          <w:b/>
          <w:sz w:val="44"/>
        </w:rPr>
      </w:pPr>
      <w:bookmarkStart w:id="0" w:name="_Toc517346669"/>
      <w:bookmarkStart w:id="1" w:name="_Toc517347544"/>
      <w:bookmarkStart w:id="2" w:name="_Toc517355933"/>
      <w:bookmarkStart w:id="3" w:name="_Toc517355985"/>
      <w:bookmarkStart w:id="4" w:name="_Toc517362004"/>
      <w:bookmarkStart w:id="5" w:name="_Toc29913683"/>
      <w:bookmarkStart w:id="6" w:name="_GoBack"/>
      <w:bookmarkEnd w:id="6"/>
      <w:r w:rsidRPr="00FA38E8">
        <w:rPr>
          <w:b/>
          <w:sz w:val="44"/>
        </w:rPr>
        <w:t>FINANCE POSITION PAPER</w:t>
      </w:r>
      <w:bookmarkEnd w:id="0"/>
      <w:bookmarkEnd w:id="1"/>
      <w:bookmarkEnd w:id="2"/>
      <w:bookmarkEnd w:id="3"/>
      <w:bookmarkEnd w:id="4"/>
      <w:bookmarkEnd w:id="5"/>
    </w:p>
    <w:p w14:paraId="2D88D420" w14:textId="77777777" w:rsidR="00FA38E8" w:rsidRDefault="00557E30" w:rsidP="00FA38E8">
      <w:pPr>
        <w:ind w:right="-569"/>
        <w:jc w:val="right"/>
        <w:rPr>
          <w:rFonts w:asciiTheme="majorHAnsi" w:hAnsiTheme="majorHAnsi" w:cstheme="majorHAnsi"/>
          <w:b/>
        </w:rPr>
      </w:pPr>
      <w:r>
        <w:rPr>
          <w:rFonts w:asciiTheme="majorHAnsi" w:hAnsiTheme="majorHAnsi" w:cstheme="majorHAnsi"/>
          <w:b/>
        </w:rPr>
        <w:t>Measurement</w:t>
      </w:r>
      <w:r w:rsidR="00206E40">
        <w:rPr>
          <w:rFonts w:asciiTheme="majorHAnsi" w:hAnsiTheme="majorHAnsi" w:cstheme="majorHAnsi"/>
          <w:b/>
        </w:rPr>
        <w:t xml:space="preserve"> of Right of Use (ROU) Assets under AASB 16 </w:t>
      </w:r>
      <w:r w:rsidR="00206E40" w:rsidRPr="00206E40">
        <w:rPr>
          <w:rFonts w:asciiTheme="majorHAnsi" w:hAnsiTheme="majorHAnsi" w:cstheme="majorHAnsi"/>
          <w:b/>
          <w:i/>
        </w:rPr>
        <w:t>Leases</w:t>
      </w:r>
    </w:p>
    <w:p w14:paraId="753E8FB0" w14:textId="2B9EEF45" w:rsidR="00AE6FDB" w:rsidRDefault="001F6364" w:rsidP="00AE6FDB">
      <w:pPr>
        <w:ind w:right="-569"/>
        <w:jc w:val="right"/>
        <w:rPr>
          <w:rFonts w:asciiTheme="majorHAnsi" w:hAnsiTheme="majorHAnsi" w:cstheme="majorHAnsi"/>
          <w:b/>
        </w:rPr>
      </w:pPr>
      <w:r>
        <w:rPr>
          <w:rFonts w:asciiTheme="majorHAnsi" w:hAnsiTheme="majorHAnsi" w:cstheme="majorHAnsi"/>
          <w:b/>
        </w:rPr>
        <w:t>201</w:t>
      </w:r>
      <w:r w:rsidR="00206E40">
        <w:rPr>
          <w:rFonts w:asciiTheme="majorHAnsi" w:hAnsiTheme="majorHAnsi" w:cstheme="majorHAnsi"/>
          <w:b/>
        </w:rPr>
        <w:t>9</w:t>
      </w:r>
      <w:r>
        <w:rPr>
          <w:rFonts w:asciiTheme="majorHAnsi" w:hAnsiTheme="majorHAnsi" w:cstheme="majorHAnsi"/>
          <w:b/>
        </w:rPr>
        <w:t>-</w:t>
      </w:r>
      <w:r w:rsidR="00206E40">
        <w:rPr>
          <w:rFonts w:asciiTheme="majorHAnsi" w:hAnsiTheme="majorHAnsi" w:cstheme="majorHAnsi"/>
          <w:b/>
        </w:rPr>
        <w:t>20</w:t>
      </w:r>
      <w:r>
        <w:rPr>
          <w:rFonts w:asciiTheme="majorHAnsi" w:hAnsiTheme="majorHAnsi" w:cstheme="majorHAnsi"/>
          <w:b/>
        </w:rPr>
        <w:t xml:space="preserve"> No.</w:t>
      </w:r>
      <w:r w:rsidR="00CF7C2C">
        <w:rPr>
          <w:rFonts w:asciiTheme="majorHAnsi" w:hAnsiTheme="majorHAnsi" w:cstheme="majorHAnsi"/>
          <w:b/>
        </w:rPr>
        <w:t>1</w:t>
      </w:r>
    </w:p>
    <w:p w14:paraId="7C1B3863" w14:textId="77777777" w:rsidR="004137E8" w:rsidRDefault="001F6364" w:rsidP="00FA38E8">
      <w:pPr>
        <w:ind w:right="-569"/>
        <w:jc w:val="right"/>
        <w:rPr>
          <w:rFonts w:asciiTheme="majorHAnsi" w:hAnsiTheme="majorHAnsi" w:cstheme="majorHAnsi"/>
          <w:b/>
        </w:rPr>
      </w:pPr>
      <w:r>
        <w:rPr>
          <w:b/>
        </w:rPr>
        <w:t xml:space="preserve">Version </w:t>
      </w:r>
      <w:r w:rsidR="001D56E7">
        <w:rPr>
          <w:b/>
        </w:rPr>
        <w:t>1</w:t>
      </w:r>
      <w:r w:rsidR="004137E8">
        <w:rPr>
          <w:b/>
        </w:rPr>
        <w:t>.0</w:t>
      </w:r>
    </w:p>
    <w:p w14:paraId="3B4F2C12" w14:textId="77777777" w:rsidR="005A17A5" w:rsidRDefault="005A17A5" w:rsidP="00FA38E8">
      <w:pPr>
        <w:ind w:right="-569"/>
        <w:jc w:val="right"/>
        <w:rPr>
          <w:rFonts w:asciiTheme="majorHAnsi" w:hAnsiTheme="majorHAnsi" w:cstheme="majorHAnsi"/>
          <w:b/>
        </w:rPr>
      </w:pPr>
    </w:p>
    <w:p w14:paraId="675A7CFD" w14:textId="77777777" w:rsidR="00504ED0" w:rsidRDefault="00504ED0" w:rsidP="00FA38E8">
      <w:pPr>
        <w:ind w:right="-569"/>
        <w:jc w:val="right"/>
        <w:rPr>
          <w:rFonts w:asciiTheme="majorHAnsi" w:hAnsiTheme="majorHAnsi" w:cstheme="majorHAnsi"/>
          <w:b/>
        </w:rPr>
      </w:pPr>
    </w:p>
    <w:p w14:paraId="1579D692" w14:textId="49A57C37" w:rsidR="005A17A5" w:rsidRPr="00FA38E8" w:rsidRDefault="003A3C1B" w:rsidP="00FA38E8">
      <w:pPr>
        <w:ind w:right="-569"/>
        <w:jc w:val="right"/>
        <w:rPr>
          <w:rFonts w:asciiTheme="majorHAnsi" w:hAnsiTheme="majorHAnsi" w:cstheme="majorHAnsi"/>
          <w:b/>
        </w:rPr>
      </w:pPr>
      <w:r>
        <w:rPr>
          <w:rFonts w:asciiTheme="majorHAnsi" w:hAnsiTheme="majorHAnsi" w:cstheme="majorHAnsi"/>
          <w:b/>
        </w:rPr>
        <w:t>June</w:t>
      </w:r>
      <w:r w:rsidR="006D5E6C">
        <w:rPr>
          <w:rFonts w:asciiTheme="majorHAnsi" w:hAnsiTheme="majorHAnsi" w:cstheme="majorHAnsi"/>
          <w:b/>
        </w:rPr>
        <w:t xml:space="preserve"> </w:t>
      </w:r>
      <w:r w:rsidR="001F6364">
        <w:rPr>
          <w:rFonts w:asciiTheme="majorHAnsi" w:hAnsiTheme="majorHAnsi" w:cstheme="majorHAnsi"/>
          <w:b/>
        </w:rPr>
        <w:t>20</w:t>
      </w:r>
      <w:r w:rsidR="006D5E6C">
        <w:rPr>
          <w:rFonts w:asciiTheme="majorHAnsi" w:hAnsiTheme="majorHAnsi" w:cstheme="majorHAnsi"/>
          <w:b/>
        </w:rPr>
        <w:t>20</w:t>
      </w:r>
    </w:p>
    <w:p w14:paraId="7E295EA6" w14:textId="77777777" w:rsidR="006C4DD1" w:rsidRDefault="006C4DD1" w:rsidP="006C4DD1"/>
    <w:p w14:paraId="14210EAD" w14:textId="77777777" w:rsidR="005D3E0C" w:rsidRDefault="005D3E0C" w:rsidP="006C4DD1">
      <w:pPr>
        <w:sectPr w:rsidR="005D3E0C" w:rsidSect="003839BE">
          <w:headerReference w:type="even" r:id="rId13"/>
          <w:headerReference w:type="default" r:id="rId14"/>
          <w:footerReference w:type="default" r:id="rId15"/>
          <w:headerReference w:type="first" r:id="rId16"/>
          <w:footerReference w:type="first" r:id="rId17"/>
          <w:type w:val="continuous"/>
          <w:pgSz w:w="11906" w:h="16838" w:code="9"/>
          <w:pgMar w:top="2268" w:right="1418" w:bottom="1418" w:left="1418" w:header="567" w:footer="624" w:gutter="0"/>
          <w:cols w:space="708"/>
          <w:titlePg/>
          <w:docGrid w:linePitch="360"/>
        </w:sectPr>
      </w:pPr>
    </w:p>
    <w:p w14:paraId="533CCCCD" w14:textId="77777777" w:rsidR="003B30A6" w:rsidRDefault="003B30A6" w:rsidP="005D3E0C">
      <w:pPr>
        <w:pStyle w:val="TOCHeading"/>
        <w:tabs>
          <w:tab w:val="left" w:pos="2977"/>
        </w:tabs>
      </w:pPr>
    </w:p>
    <w:p w14:paraId="5E89B906" w14:textId="77777777" w:rsidR="0020122A" w:rsidRDefault="0020122A" w:rsidP="005D3E0C">
      <w:pPr>
        <w:pStyle w:val="TOCHeading"/>
        <w:tabs>
          <w:tab w:val="left" w:pos="2977"/>
        </w:tabs>
      </w:pPr>
      <w:r>
        <w:t>Contents</w:t>
      </w:r>
    </w:p>
    <w:p w14:paraId="648C123D" w14:textId="77777777" w:rsidR="00092CFD" w:rsidRPr="00092CFD" w:rsidRDefault="00092CFD" w:rsidP="00092CFD">
      <w:pPr>
        <w:rPr>
          <w:lang w:val="en-US"/>
        </w:rPr>
      </w:pPr>
    </w:p>
    <w:p w14:paraId="6CA4A00C" w14:textId="77777777" w:rsidR="006D5E6C" w:rsidRDefault="00E9704B">
      <w:pPr>
        <w:pStyle w:val="TOC1"/>
        <w:rPr>
          <w:rFonts w:eastAsiaTheme="minorEastAsia"/>
          <w:b w:val="0"/>
          <w:noProof/>
          <w:sz w:val="22"/>
          <w:lang w:eastAsia="en-AU"/>
        </w:rPr>
      </w:pPr>
      <w:r>
        <w:rPr>
          <w:b w:val="0"/>
          <w:sz w:val="19"/>
        </w:rPr>
        <w:fldChar w:fldCharType="begin"/>
      </w:r>
      <w:r>
        <w:rPr>
          <w:b w:val="0"/>
          <w:sz w:val="19"/>
        </w:rPr>
        <w:instrText xml:space="preserve"> TOC \o "1-1" \h \z \u </w:instrText>
      </w:r>
      <w:r>
        <w:rPr>
          <w:b w:val="0"/>
          <w:sz w:val="19"/>
        </w:rPr>
        <w:fldChar w:fldCharType="separate"/>
      </w:r>
      <w:hyperlink w:anchor="_Toc29913683" w:history="1">
        <w:r w:rsidR="006D5E6C" w:rsidRPr="001F6C0A">
          <w:rPr>
            <w:rStyle w:val="Hyperlink"/>
            <w:noProof/>
          </w:rPr>
          <w:t>FINANCE POSITION PAPER</w:t>
        </w:r>
        <w:r w:rsidR="006D5E6C">
          <w:rPr>
            <w:noProof/>
            <w:webHidden/>
          </w:rPr>
          <w:tab/>
        </w:r>
        <w:r w:rsidR="006D5E6C">
          <w:rPr>
            <w:noProof/>
            <w:webHidden/>
          </w:rPr>
          <w:fldChar w:fldCharType="begin"/>
        </w:r>
        <w:r w:rsidR="006D5E6C">
          <w:rPr>
            <w:noProof/>
            <w:webHidden/>
          </w:rPr>
          <w:instrText xml:space="preserve"> PAGEREF _Toc29913683 \h </w:instrText>
        </w:r>
        <w:r w:rsidR="006D5E6C">
          <w:rPr>
            <w:noProof/>
            <w:webHidden/>
          </w:rPr>
        </w:r>
        <w:r w:rsidR="006D5E6C">
          <w:rPr>
            <w:noProof/>
            <w:webHidden/>
          </w:rPr>
          <w:fldChar w:fldCharType="separate"/>
        </w:r>
        <w:r w:rsidR="001C770D">
          <w:rPr>
            <w:noProof/>
            <w:webHidden/>
          </w:rPr>
          <w:t>1</w:t>
        </w:r>
        <w:r w:rsidR="006D5E6C">
          <w:rPr>
            <w:noProof/>
            <w:webHidden/>
          </w:rPr>
          <w:fldChar w:fldCharType="end"/>
        </w:r>
      </w:hyperlink>
    </w:p>
    <w:p w14:paraId="029CF02A" w14:textId="77777777" w:rsidR="006D5E6C" w:rsidRDefault="00362BF8">
      <w:pPr>
        <w:pStyle w:val="TOC1"/>
        <w:rPr>
          <w:rFonts w:eastAsiaTheme="minorEastAsia"/>
          <w:b w:val="0"/>
          <w:noProof/>
          <w:sz w:val="22"/>
          <w:lang w:eastAsia="en-AU"/>
        </w:rPr>
      </w:pPr>
      <w:hyperlink w:anchor="_Toc29913684" w:history="1">
        <w:r w:rsidR="006D5E6C" w:rsidRPr="001F6C0A">
          <w:rPr>
            <w:rStyle w:val="Hyperlink"/>
            <w:noProof/>
          </w:rPr>
          <w:t>Purpose</w:t>
        </w:r>
        <w:r w:rsidR="006D5E6C">
          <w:rPr>
            <w:noProof/>
            <w:webHidden/>
          </w:rPr>
          <w:tab/>
        </w:r>
        <w:r w:rsidR="006D5E6C">
          <w:rPr>
            <w:noProof/>
            <w:webHidden/>
          </w:rPr>
          <w:fldChar w:fldCharType="begin"/>
        </w:r>
        <w:r w:rsidR="006D5E6C">
          <w:rPr>
            <w:noProof/>
            <w:webHidden/>
          </w:rPr>
          <w:instrText xml:space="preserve"> PAGEREF _Toc29913684 \h </w:instrText>
        </w:r>
        <w:r w:rsidR="006D5E6C">
          <w:rPr>
            <w:noProof/>
            <w:webHidden/>
          </w:rPr>
        </w:r>
        <w:r w:rsidR="006D5E6C">
          <w:rPr>
            <w:noProof/>
            <w:webHidden/>
          </w:rPr>
          <w:fldChar w:fldCharType="separate"/>
        </w:r>
        <w:r w:rsidR="001C770D">
          <w:rPr>
            <w:noProof/>
            <w:webHidden/>
          </w:rPr>
          <w:t>3</w:t>
        </w:r>
        <w:r w:rsidR="006D5E6C">
          <w:rPr>
            <w:noProof/>
            <w:webHidden/>
          </w:rPr>
          <w:fldChar w:fldCharType="end"/>
        </w:r>
      </w:hyperlink>
    </w:p>
    <w:p w14:paraId="59B61BDA" w14:textId="77777777" w:rsidR="006D5E6C" w:rsidRDefault="00362BF8">
      <w:pPr>
        <w:pStyle w:val="TOC1"/>
        <w:rPr>
          <w:rFonts w:eastAsiaTheme="minorEastAsia"/>
          <w:b w:val="0"/>
          <w:noProof/>
          <w:sz w:val="22"/>
          <w:lang w:eastAsia="en-AU"/>
        </w:rPr>
      </w:pPr>
      <w:hyperlink w:anchor="_Toc29913685" w:history="1">
        <w:r w:rsidR="006D5E6C" w:rsidRPr="001F6C0A">
          <w:rPr>
            <w:rStyle w:val="Hyperlink"/>
            <w:noProof/>
          </w:rPr>
          <w:t>Background</w:t>
        </w:r>
        <w:r w:rsidR="006D5E6C">
          <w:rPr>
            <w:noProof/>
            <w:webHidden/>
          </w:rPr>
          <w:tab/>
        </w:r>
        <w:r w:rsidR="006D5E6C">
          <w:rPr>
            <w:noProof/>
            <w:webHidden/>
          </w:rPr>
          <w:fldChar w:fldCharType="begin"/>
        </w:r>
        <w:r w:rsidR="006D5E6C">
          <w:rPr>
            <w:noProof/>
            <w:webHidden/>
          </w:rPr>
          <w:instrText xml:space="preserve"> PAGEREF _Toc29913685 \h </w:instrText>
        </w:r>
        <w:r w:rsidR="006D5E6C">
          <w:rPr>
            <w:noProof/>
            <w:webHidden/>
          </w:rPr>
        </w:r>
        <w:r w:rsidR="006D5E6C">
          <w:rPr>
            <w:noProof/>
            <w:webHidden/>
          </w:rPr>
          <w:fldChar w:fldCharType="separate"/>
        </w:r>
        <w:r w:rsidR="001C770D">
          <w:rPr>
            <w:noProof/>
            <w:webHidden/>
          </w:rPr>
          <w:t>3</w:t>
        </w:r>
        <w:r w:rsidR="006D5E6C">
          <w:rPr>
            <w:noProof/>
            <w:webHidden/>
          </w:rPr>
          <w:fldChar w:fldCharType="end"/>
        </w:r>
      </w:hyperlink>
    </w:p>
    <w:p w14:paraId="3A575490" w14:textId="77777777" w:rsidR="006D5E6C" w:rsidRDefault="00362BF8">
      <w:pPr>
        <w:pStyle w:val="TOC1"/>
        <w:rPr>
          <w:rFonts w:eastAsiaTheme="minorEastAsia"/>
          <w:b w:val="0"/>
          <w:noProof/>
          <w:sz w:val="22"/>
          <w:lang w:eastAsia="en-AU"/>
        </w:rPr>
      </w:pPr>
      <w:hyperlink w:anchor="_Toc29913686" w:history="1">
        <w:r w:rsidR="006D5E6C" w:rsidRPr="001F6C0A">
          <w:rPr>
            <w:rStyle w:val="Hyperlink"/>
            <w:noProof/>
          </w:rPr>
          <w:t>Relevant Accounting Pronouncements</w:t>
        </w:r>
        <w:r w:rsidR="006D5E6C">
          <w:rPr>
            <w:noProof/>
            <w:webHidden/>
          </w:rPr>
          <w:tab/>
        </w:r>
        <w:r w:rsidR="006D5E6C">
          <w:rPr>
            <w:noProof/>
            <w:webHidden/>
          </w:rPr>
          <w:fldChar w:fldCharType="begin"/>
        </w:r>
        <w:r w:rsidR="006D5E6C">
          <w:rPr>
            <w:noProof/>
            <w:webHidden/>
          </w:rPr>
          <w:instrText xml:space="preserve"> PAGEREF _Toc29913686 \h </w:instrText>
        </w:r>
        <w:r w:rsidR="006D5E6C">
          <w:rPr>
            <w:noProof/>
            <w:webHidden/>
          </w:rPr>
        </w:r>
        <w:r w:rsidR="006D5E6C">
          <w:rPr>
            <w:noProof/>
            <w:webHidden/>
          </w:rPr>
          <w:fldChar w:fldCharType="separate"/>
        </w:r>
        <w:r w:rsidR="001C770D">
          <w:rPr>
            <w:noProof/>
            <w:webHidden/>
          </w:rPr>
          <w:t>4</w:t>
        </w:r>
        <w:r w:rsidR="006D5E6C">
          <w:rPr>
            <w:noProof/>
            <w:webHidden/>
          </w:rPr>
          <w:fldChar w:fldCharType="end"/>
        </w:r>
      </w:hyperlink>
    </w:p>
    <w:p w14:paraId="4353E50A" w14:textId="77777777" w:rsidR="006D5E6C" w:rsidRDefault="00362BF8">
      <w:pPr>
        <w:pStyle w:val="TOC1"/>
        <w:rPr>
          <w:rFonts w:eastAsiaTheme="minorEastAsia"/>
          <w:b w:val="0"/>
          <w:noProof/>
          <w:sz w:val="22"/>
          <w:lang w:eastAsia="en-AU"/>
        </w:rPr>
      </w:pPr>
      <w:hyperlink w:anchor="_Toc29913687" w:history="1">
        <w:r w:rsidR="006D5E6C" w:rsidRPr="001F6C0A">
          <w:rPr>
            <w:rStyle w:val="Hyperlink"/>
            <w:noProof/>
          </w:rPr>
          <w:t>Finance Positions</w:t>
        </w:r>
        <w:r w:rsidR="006D5E6C">
          <w:rPr>
            <w:noProof/>
            <w:webHidden/>
          </w:rPr>
          <w:tab/>
        </w:r>
        <w:r w:rsidR="006D5E6C">
          <w:rPr>
            <w:noProof/>
            <w:webHidden/>
          </w:rPr>
          <w:fldChar w:fldCharType="begin"/>
        </w:r>
        <w:r w:rsidR="006D5E6C">
          <w:rPr>
            <w:noProof/>
            <w:webHidden/>
          </w:rPr>
          <w:instrText xml:space="preserve"> PAGEREF _Toc29913687 \h </w:instrText>
        </w:r>
        <w:r w:rsidR="006D5E6C">
          <w:rPr>
            <w:noProof/>
            <w:webHidden/>
          </w:rPr>
        </w:r>
        <w:r w:rsidR="006D5E6C">
          <w:rPr>
            <w:noProof/>
            <w:webHidden/>
          </w:rPr>
          <w:fldChar w:fldCharType="separate"/>
        </w:r>
        <w:r w:rsidR="001C770D">
          <w:rPr>
            <w:noProof/>
            <w:webHidden/>
          </w:rPr>
          <w:t>4</w:t>
        </w:r>
        <w:r w:rsidR="006D5E6C">
          <w:rPr>
            <w:noProof/>
            <w:webHidden/>
          </w:rPr>
          <w:fldChar w:fldCharType="end"/>
        </w:r>
      </w:hyperlink>
    </w:p>
    <w:p w14:paraId="04868A7A" w14:textId="77777777" w:rsidR="0020122A" w:rsidRDefault="00E9704B" w:rsidP="0020122A">
      <w:r>
        <w:rPr>
          <w:b/>
          <w:sz w:val="19"/>
        </w:rPr>
        <w:fldChar w:fldCharType="end"/>
      </w:r>
    </w:p>
    <w:p w14:paraId="387B15A1" w14:textId="77777777" w:rsidR="006B5625" w:rsidRDefault="006B5625">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64F99AE0" w14:textId="77777777" w:rsidR="0047595C" w:rsidRPr="008056F2" w:rsidRDefault="0047595C" w:rsidP="008056F2">
      <w:pPr>
        <w:pStyle w:val="Heading1"/>
      </w:pPr>
      <w:bookmarkStart w:id="7" w:name="_Toc517347447"/>
      <w:bookmarkStart w:id="8" w:name="_Toc29913684"/>
      <w:r w:rsidRPr="008056F2">
        <w:lastRenderedPageBreak/>
        <w:t>Purpose</w:t>
      </w:r>
      <w:bookmarkEnd w:id="7"/>
      <w:bookmarkEnd w:id="8"/>
    </w:p>
    <w:p w14:paraId="56B777F6" w14:textId="77777777" w:rsidR="005A2497" w:rsidRDefault="00ED1CDA" w:rsidP="002D2CC4">
      <w:pPr>
        <w:jc w:val="both"/>
      </w:pPr>
      <w:r w:rsidRPr="00ED1CDA">
        <w:t>This paper provide</w:t>
      </w:r>
      <w:r w:rsidR="00A810EF">
        <w:t>s</w:t>
      </w:r>
      <w:r w:rsidRPr="00ED1CDA">
        <w:t xml:space="preserve"> the Department of Finance’s (Finance</w:t>
      </w:r>
      <w:r w:rsidR="009E4974">
        <w:t>’s</w:t>
      </w:r>
      <w:r w:rsidRPr="00ED1CDA">
        <w:t xml:space="preserve">) position on </w:t>
      </w:r>
      <w:r w:rsidR="00805942">
        <w:t>whe</w:t>
      </w:r>
      <w:r w:rsidR="0001364D">
        <w:t xml:space="preserve">ther </w:t>
      </w:r>
      <w:r w:rsidR="002D2CC4">
        <w:t xml:space="preserve">Right of Use (ROU) </w:t>
      </w:r>
      <w:r w:rsidR="001B0564">
        <w:t>lease a</w:t>
      </w:r>
      <w:r w:rsidR="002D2CC4">
        <w:t xml:space="preserve">ssets </w:t>
      </w:r>
      <w:r w:rsidR="00805942" w:rsidRPr="00805942">
        <w:t>are required</w:t>
      </w:r>
      <w:r w:rsidR="00282C8C">
        <w:t xml:space="preserve"> </w:t>
      </w:r>
      <w:r w:rsidR="006A1520">
        <w:t xml:space="preserve">to be measured at fair value </w:t>
      </w:r>
      <w:r w:rsidR="00282C8C">
        <w:t xml:space="preserve">under AASB 16 </w:t>
      </w:r>
      <w:r w:rsidR="006A1520" w:rsidRPr="006A1520">
        <w:rPr>
          <w:i/>
        </w:rPr>
        <w:t>Leases</w:t>
      </w:r>
      <w:r w:rsidR="006A1520">
        <w:t xml:space="preserve"> </w:t>
      </w:r>
      <w:r w:rsidR="00282C8C">
        <w:t>and related Australian Accounting Standards</w:t>
      </w:r>
      <w:r w:rsidR="002D2CC4">
        <w:t>.</w:t>
      </w:r>
      <w:bookmarkStart w:id="9" w:name="_Toc517347448"/>
    </w:p>
    <w:p w14:paraId="57820A7B" w14:textId="77777777" w:rsidR="0047595C" w:rsidRPr="008056F2" w:rsidRDefault="00557E30" w:rsidP="008056F2">
      <w:pPr>
        <w:pStyle w:val="Heading1"/>
      </w:pPr>
      <w:bookmarkStart w:id="10" w:name="_Toc29913685"/>
      <w:bookmarkEnd w:id="9"/>
      <w:r>
        <w:t>Background</w:t>
      </w:r>
      <w:bookmarkEnd w:id="10"/>
    </w:p>
    <w:p w14:paraId="32D90306" w14:textId="5CDEF863" w:rsidR="005A2497" w:rsidRDefault="004F0C10" w:rsidP="002E1F96">
      <w:bookmarkStart w:id="11" w:name="_Toc517347449"/>
      <w:r w:rsidRPr="004F0C10">
        <w:t xml:space="preserve">AASB 16 </w:t>
      </w:r>
      <w:r w:rsidRPr="004F0C10">
        <w:rPr>
          <w:i/>
        </w:rPr>
        <w:t>Leases</w:t>
      </w:r>
      <w:r w:rsidRPr="004F0C10">
        <w:t xml:space="preserve"> </w:t>
      </w:r>
      <w:r w:rsidR="0097141A">
        <w:t xml:space="preserve">applies to the </w:t>
      </w:r>
      <w:r>
        <w:t>2019-20</w:t>
      </w:r>
      <w:r w:rsidRPr="004F0C10">
        <w:t xml:space="preserve"> </w:t>
      </w:r>
      <w:r w:rsidR="0097141A">
        <w:t xml:space="preserve">financial year </w:t>
      </w:r>
      <w:r>
        <w:t>and</w:t>
      </w:r>
      <w:r w:rsidRPr="004F0C10">
        <w:t xml:space="preserve"> bring</w:t>
      </w:r>
      <w:r>
        <w:t>s</w:t>
      </w:r>
      <w:r w:rsidRPr="004F0C10">
        <w:t xml:space="preserve"> leases that were previously recognised as operating expenses on</w:t>
      </w:r>
      <w:r w:rsidR="006A1520">
        <w:t>to</w:t>
      </w:r>
      <w:r w:rsidRPr="004F0C10">
        <w:t xml:space="preserve"> balance sheet</w:t>
      </w:r>
      <w:r w:rsidR="006A1520">
        <w:t>s</w:t>
      </w:r>
      <w:r w:rsidRPr="004F0C10">
        <w:t xml:space="preserve"> as </w:t>
      </w:r>
      <w:r w:rsidR="00282C8C">
        <w:t xml:space="preserve">ROU </w:t>
      </w:r>
      <w:r w:rsidRPr="004F0C10">
        <w:t>asset</w:t>
      </w:r>
      <w:r w:rsidR="00282C8C">
        <w:t>s</w:t>
      </w:r>
      <w:r w:rsidRPr="004F0C10">
        <w:t xml:space="preserve"> and lease liabilit</w:t>
      </w:r>
      <w:r w:rsidR="00282C8C">
        <w:t>ies</w:t>
      </w:r>
      <w:r w:rsidRPr="004F0C10">
        <w:t>.</w:t>
      </w:r>
      <w:r w:rsidR="002E1F96">
        <w:t xml:space="preserve">  </w:t>
      </w:r>
      <w:r w:rsidR="006A1520">
        <w:t>Paragraph</w:t>
      </w:r>
      <w:r w:rsidR="00504D6C">
        <w:t>s</w:t>
      </w:r>
      <w:r w:rsidR="006A1520">
        <w:t xml:space="preserve"> </w:t>
      </w:r>
      <w:r w:rsidR="00504D6C">
        <w:t xml:space="preserve">29 and 35 </w:t>
      </w:r>
      <w:r w:rsidR="006A1520">
        <w:t xml:space="preserve">of </w:t>
      </w:r>
      <w:r w:rsidR="002E1F96">
        <w:t xml:space="preserve">AASB 16 </w:t>
      </w:r>
      <w:r w:rsidR="00504D6C">
        <w:t>require lessees to measure ROU assets at cost, unless</w:t>
      </w:r>
      <w:r w:rsidR="002E1F96">
        <w:t xml:space="preserve"> the ROU assets relat</w:t>
      </w:r>
      <w:r w:rsidR="004319DC">
        <w:t>ed</w:t>
      </w:r>
      <w:r w:rsidR="002E1F96">
        <w:t xml:space="preserve"> to a class of </w:t>
      </w:r>
      <w:r w:rsidR="006A1520">
        <w:t>property, plant and equipment (</w:t>
      </w:r>
      <w:r w:rsidR="002E1F96">
        <w:t>PPE</w:t>
      </w:r>
      <w:r w:rsidR="006A1520">
        <w:t>)</w:t>
      </w:r>
      <w:r w:rsidR="002E1F96">
        <w:t xml:space="preserve"> </w:t>
      </w:r>
      <w:r w:rsidR="00504D6C">
        <w:t xml:space="preserve">measured </w:t>
      </w:r>
      <w:r w:rsidR="002E1F96">
        <w:t>at fair value</w:t>
      </w:r>
      <w:r w:rsidR="00363DC6">
        <w:t xml:space="preserve"> under AASB 116 </w:t>
      </w:r>
      <w:r w:rsidR="00363DC6" w:rsidRPr="00F613DF">
        <w:rPr>
          <w:i/>
        </w:rPr>
        <w:t>Property, Plant &amp; Equipment</w:t>
      </w:r>
      <w:r w:rsidR="00363DC6" w:rsidRPr="00EC2300">
        <w:rPr>
          <w:rStyle w:val="FootnoteReference"/>
        </w:rPr>
        <w:footnoteReference w:id="1"/>
      </w:r>
      <w:r w:rsidR="002E1F96" w:rsidRPr="00EC2300">
        <w:t>.</w:t>
      </w:r>
    </w:p>
    <w:p w14:paraId="4A55DE10" w14:textId="2228E6D1" w:rsidR="00F613DF" w:rsidRDefault="00104E5F" w:rsidP="002E1F96">
      <w:r w:rsidRPr="00104E5F">
        <w:t xml:space="preserve">The </w:t>
      </w:r>
      <w:r w:rsidR="006A1520" w:rsidRPr="006A1520">
        <w:rPr>
          <w:i/>
        </w:rPr>
        <w:t>Public Governance, Performance and Accountability</w:t>
      </w:r>
      <w:r w:rsidR="006A1520">
        <w:t xml:space="preserve"> (</w:t>
      </w:r>
      <w:r w:rsidRPr="00104E5F">
        <w:rPr>
          <w:i/>
        </w:rPr>
        <w:t>Financ</w:t>
      </w:r>
      <w:r w:rsidR="006A1520">
        <w:rPr>
          <w:i/>
        </w:rPr>
        <w:t>ial</w:t>
      </w:r>
      <w:r w:rsidRPr="00104E5F">
        <w:rPr>
          <w:i/>
        </w:rPr>
        <w:t xml:space="preserve"> Reporting</w:t>
      </w:r>
      <w:r w:rsidR="006A1520">
        <w:rPr>
          <w:i/>
        </w:rPr>
        <w:t>)</w:t>
      </w:r>
      <w:r w:rsidRPr="00104E5F">
        <w:rPr>
          <w:i/>
        </w:rPr>
        <w:t xml:space="preserve"> Rule</w:t>
      </w:r>
      <w:r w:rsidRPr="00104E5F">
        <w:t xml:space="preserve"> </w:t>
      </w:r>
      <w:r w:rsidR="006A1520">
        <w:t xml:space="preserve">2015 </w:t>
      </w:r>
      <w:r w:rsidRPr="00104E5F">
        <w:t xml:space="preserve">(FRR) </w:t>
      </w:r>
      <w:r w:rsidR="00504D6C">
        <w:t xml:space="preserve">generally </w:t>
      </w:r>
      <w:r w:rsidRPr="00104E5F">
        <w:t>requires</w:t>
      </w:r>
      <w:r w:rsidR="006A1520">
        <w:t xml:space="preserve"> </w:t>
      </w:r>
      <w:r w:rsidR="006A1520" w:rsidRPr="006A1520">
        <w:t>Commonwealth</w:t>
      </w:r>
      <w:r w:rsidR="006A1520">
        <w:rPr>
          <w:i/>
        </w:rPr>
        <w:t xml:space="preserve"> </w:t>
      </w:r>
      <w:r w:rsidR="004319DC">
        <w:t>entities</w:t>
      </w:r>
      <w:r w:rsidR="00340CE7">
        <w:t>’</w:t>
      </w:r>
      <w:r w:rsidR="004319DC">
        <w:t xml:space="preserve"> </w:t>
      </w:r>
      <w:r w:rsidR="00504D6C">
        <w:t>non financial assets</w:t>
      </w:r>
      <w:r w:rsidRPr="00104E5F">
        <w:t xml:space="preserve"> to be measured at fair value</w:t>
      </w:r>
      <w:r w:rsidR="00F613DF">
        <w:t>.  This accounting policy</w:t>
      </w:r>
      <w:r>
        <w:t xml:space="preserve"> maintain</w:t>
      </w:r>
      <w:r w:rsidR="00F613DF">
        <w:t>s</w:t>
      </w:r>
      <w:r>
        <w:t xml:space="preserve"> consistency with Government Finance Statistics (</w:t>
      </w:r>
      <w:r w:rsidRPr="008A4ED5">
        <w:t>GFS</w:t>
      </w:r>
      <w:r>
        <w:t xml:space="preserve">) in the Commonwealth’s </w:t>
      </w:r>
      <w:r w:rsidRPr="00557E30">
        <w:t>Whole of Government and General Government Sector</w:t>
      </w:r>
      <w:r w:rsidRPr="00805942">
        <w:rPr>
          <w:i/>
        </w:rPr>
        <w:t xml:space="preserve"> </w:t>
      </w:r>
      <w:r w:rsidRPr="00EC1845">
        <w:t>(GGS)</w:t>
      </w:r>
      <w:r>
        <w:rPr>
          <w:i/>
        </w:rPr>
        <w:t xml:space="preserve"> </w:t>
      </w:r>
      <w:r>
        <w:t>financial statements</w:t>
      </w:r>
      <w:r w:rsidR="00422297">
        <w:t xml:space="preserve">, as required by </w:t>
      </w:r>
      <w:r w:rsidR="00422297" w:rsidRPr="00F613DF">
        <w:rPr>
          <w:bCs/>
        </w:rPr>
        <w:t xml:space="preserve">AASB 1049 </w:t>
      </w:r>
      <w:r w:rsidR="00422297" w:rsidRPr="00363DC6">
        <w:rPr>
          <w:bCs/>
          <w:i/>
        </w:rPr>
        <w:t>Whole of Government and General Government Sector Financial Reporting</w:t>
      </w:r>
      <w:r w:rsidR="00363DC6" w:rsidRPr="00EC2300">
        <w:rPr>
          <w:rStyle w:val="FootnoteReference"/>
          <w:bCs/>
        </w:rPr>
        <w:footnoteReference w:id="2"/>
      </w:r>
      <w:r w:rsidR="00362A39">
        <w:rPr>
          <w:bCs/>
          <w:i/>
        </w:rPr>
        <w:t xml:space="preserve"> </w:t>
      </w:r>
      <w:r w:rsidR="00362A39" w:rsidRPr="00362A39">
        <w:rPr>
          <w:rStyle w:val="FootnoteReference"/>
          <w:bCs/>
        </w:rPr>
        <w:footnoteReference w:id="3"/>
      </w:r>
      <w:r w:rsidRPr="00EC2300">
        <w:t>.</w:t>
      </w:r>
      <w:r>
        <w:t xml:space="preserve">  </w:t>
      </w:r>
    </w:p>
    <w:p w14:paraId="5B34E055" w14:textId="77777777" w:rsidR="00557E30" w:rsidRDefault="00E069E2" w:rsidP="002E1F96">
      <w:r>
        <w:t>This paper considers</w:t>
      </w:r>
      <w:r w:rsidR="00104E5F">
        <w:t xml:space="preserve"> whether </w:t>
      </w:r>
      <w:r>
        <w:t xml:space="preserve">Commonwealth </w:t>
      </w:r>
      <w:r w:rsidR="00104E5F">
        <w:t xml:space="preserve">ROU assets </w:t>
      </w:r>
      <w:r w:rsidR="006A1520">
        <w:t xml:space="preserve">should </w:t>
      </w:r>
      <w:r w:rsidR="00104E5F">
        <w:t>be measured at fair value</w:t>
      </w:r>
      <w:r>
        <w:t xml:space="preserve"> under AASB 16</w:t>
      </w:r>
      <w:r w:rsidR="00F613DF">
        <w:t xml:space="preserve">.  </w:t>
      </w:r>
      <w:r w:rsidR="006A1520">
        <w:t>Commonwealth a</w:t>
      </w:r>
      <w:r w:rsidR="00F613DF">
        <w:t>genc</w:t>
      </w:r>
      <w:r w:rsidR="006A1520">
        <w:t xml:space="preserve">ies have advised </w:t>
      </w:r>
      <w:r w:rsidR="00F613DF">
        <w:t xml:space="preserve">that revaluing ROU assets </w:t>
      </w:r>
      <w:r w:rsidR="006A1520">
        <w:t>would</w:t>
      </w:r>
      <w:r w:rsidR="00363DC6">
        <w:t xml:space="preserve"> be a resource intensive process which will </w:t>
      </w:r>
      <w:r w:rsidR="00F613DF">
        <w:t xml:space="preserve">present a </w:t>
      </w:r>
      <w:r w:rsidR="006A1520">
        <w:t xml:space="preserve">range of practical difficulties, </w:t>
      </w:r>
      <w:r w:rsidR="00F613DF">
        <w:t>including finance system limitations</w:t>
      </w:r>
      <w:r w:rsidR="00EC2300">
        <w:t xml:space="preserve"> in reconciling movements in ROU asset values to lease payments</w:t>
      </w:r>
      <w:r w:rsidR="00F613DF">
        <w:t>.</w:t>
      </w:r>
      <w:r w:rsidR="00557E30">
        <w:rPr>
          <w:color w:val="FF0000"/>
        </w:rPr>
        <w:t xml:space="preserve"> </w:t>
      </w:r>
    </w:p>
    <w:p w14:paraId="168EF286" w14:textId="77777777" w:rsidR="00362A39" w:rsidRDefault="00362A39">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04FAC9C3" w14:textId="77777777" w:rsidR="0047595C" w:rsidRPr="008056F2" w:rsidRDefault="00092CFD" w:rsidP="005074C1">
      <w:pPr>
        <w:pStyle w:val="Heading1"/>
      </w:pPr>
      <w:bookmarkStart w:id="12" w:name="_Toc29913686"/>
      <w:r>
        <w:lastRenderedPageBreak/>
        <w:t>Relevant A</w:t>
      </w:r>
      <w:r w:rsidR="0047595C" w:rsidRPr="008056F2">
        <w:t xml:space="preserve">ccounting </w:t>
      </w:r>
      <w:r>
        <w:t>P</w:t>
      </w:r>
      <w:r w:rsidR="0047595C" w:rsidRPr="008056F2">
        <w:t>ronouncements</w:t>
      </w:r>
      <w:bookmarkEnd w:id="11"/>
      <w:bookmarkEnd w:id="12"/>
    </w:p>
    <w:p w14:paraId="241AF178" w14:textId="77777777" w:rsidR="006D1045" w:rsidRDefault="006D1045" w:rsidP="005074C1">
      <w:r>
        <w:t xml:space="preserve">The following </w:t>
      </w:r>
      <w:r w:rsidR="007D4141">
        <w:t>accounting standards</w:t>
      </w:r>
      <w:r>
        <w:t xml:space="preserve"> are relevant:</w:t>
      </w:r>
    </w:p>
    <w:p w14:paraId="38AE41D7" w14:textId="77777777" w:rsidR="00C91966" w:rsidRDefault="00C91966" w:rsidP="000B1C6F">
      <w:pPr>
        <w:pStyle w:val="ListParagraph"/>
        <w:numPr>
          <w:ilvl w:val="0"/>
          <w:numId w:val="6"/>
        </w:numPr>
      </w:pPr>
      <w:r>
        <w:t xml:space="preserve">AASB 13 </w:t>
      </w:r>
      <w:r w:rsidRPr="007C2065">
        <w:rPr>
          <w:i/>
        </w:rPr>
        <w:t>Fair Value Measurement</w:t>
      </w:r>
      <w:r>
        <w:t xml:space="preserve">; </w:t>
      </w:r>
    </w:p>
    <w:p w14:paraId="1020A642" w14:textId="77777777" w:rsidR="007C2065" w:rsidRPr="00FD33E7" w:rsidRDefault="00C91966" w:rsidP="000B1C6F">
      <w:pPr>
        <w:pStyle w:val="ListParagraph"/>
        <w:numPr>
          <w:ilvl w:val="0"/>
          <w:numId w:val="6"/>
        </w:numPr>
      </w:pPr>
      <w:r>
        <w:t xml:space="preserve">AASB 16 </w:t>
      </w:r>
      <w:r w:rsidRPr="00C91966">
        <w:rPr>
          <w:i/>
        </w:rPr>
        <w:t>Leases;</w:t>
      </w:r>
    </w:p>
    <w:p w14:paraId="4F96DA96" w14:textId="77777777" w:rsidR="005B52A2" w:rsidRDefault="00FD33E7" w:rsidP="005B52A2">
      <w:pPr>
        <w:pStyle w:val="ListParagraph"/>
        <w:numPr>
          <w:ilvl w:val="0"/>
          <w:numId w:val="6"/>
        </w:numPr>
      </w:pPr>
      <w:r>
        <w:t xml:space="preserve">AASB 116 </w:t>
      </w:r>
      <w:r w:rsidRPr="00FD33E7">
        <w:rPr>
          <w:i/>
        </w:rPr>
        <w:t>Property, Plant &amp; Equipment</w:t>
      </w:r>
      <w:r>
        <w:rPr>
          <w:i/>
        </w:rPr>
        <w:t>;</w:t>
      </w:r>
      <w:r w:rsidR="00431734">
        <w:rPr>
          <w:i/>
        </w:rPr>
        <w:t xml:space="preserve"> </w:t>
      </w:r>
      <w:r w:rsidR="00C91966">
        <w:t>and</w:t>
      </w:r>
    </w:p>
    <w:p w14:paraId="694C9790" w14:textId="77777777" w:rsidR="00C91966" w:rsidRPr="005074C1" w:rsidRDefault="00C91966" w:rsidP="005B52A2">
      <w:pPr>
        <w:pStyle w:val="ListParagraph"/>
        <w:numPr>
          <w:ilvl w:val="0"/>
          <w:numId w:val="6"/>
        </w:numPr>
      </w:pPr>
      <w:r>
        <w:t xml:space="preserve">AASB 1049 </w:t>
      </w:r>
      <w:r w:rsidRPr="005B52A2">
        <w:rPr>
          <w:i/>
        </w:rPr>
        <w:t>Whole of Government and General Government Sector Financial Reporting.</w:t>
      </w:r>
    </w:p>
    <w:p w14:paraId="3A5F5ECE" w14:textId="77777777" w:rsidR="00CD6E37" w:rsidRDefault="00CD6E37" w:rsidP="00EC2300">
      <w:pPr>
        <w:pStyle w:val="Heading1"/>
      </w:pPr>
      <w:bookmarkStart w:id="13" w:name="_Toc29913687"/>
      <w:r>
        <w:t>Finance Pos</w:t>
      </w:r>
      <w:r w:rsidR="000C1A16">
        <w:t>i</w:t>
      </w:r>
      <w:r>
        <w:t>tion</w:t>
      </w:r>
      <w:r w:rsidR="00557E30">
        <w:t>s</w:t>
      </w:r>
      <w:bookmarkEnd w:id="13"/>
    </w:p>
    <w:p w14:paraId="77C4E976" w14:textId="77777777" w:rsidR="0002294C" w:rsidRPr="0002294C" w:rsidRDefault="0002294C" w:rsidP="007B00FC">
      <w:pPr>
        <w:rPr>
          <w:sz w:val="28"/>
          <w:szCs w:val="28"/>
        </w:rPr>
      </w:pPr>
      <w:r w:rsidRPr="0002294C">
        <w:rPr>
          <w:sz w:val="28"/>
          <w:szCs w:val="28"/>
        </w:rPr>
        <w:t>Asset Classes</w:t>
      </w:r>
    </w:p>
    <w:p w14:paraId="583D51E5" w14:textId="2F7DCB39" w:rsidR="00557E30" w:rsidRDefault="00AF0B73" w:rsidP="004040FD">
      <w:r>
        <w:t xml:space="preserve">Paragraph 37 of </w:t>
      </w:r>
      <w:r w:rsidR="007D1CE0">
        <w:t xml:space="preserve">AASB 116 defines a class of </w:t>
      </w:r>
      <w:r w:rsidR="00505ED4">
        <w:t>property, plant and equipment (PPE)</w:t>
      </w:r>
      <w:r w:rsidR="007D1CE0">
        <w:t xml:space="preserve"> assets as “</w:t>
      </w:r>
      <w:r w:rsidR="007D1CE0" w:rsidRPr="007D1CE0">
        <w:t>A class of property, plant and equipment is a grouping of assets of a similar nature and use in an entity’s operations. The following are examples of separate classes: (a) land; (b) land and buildings; (c) machinery; (d) ships; (e) aircraft; (f) motor vehicles; (g) furniture and fixtures; (h) office equi</w:t>
      </w:r>
      <w:r w:rsidR="007D1CE0">
        <w:t xml:space="preserve">pment; and (i) bearer plants”.  </w:t>
      </w:r>
    </w:p>
    <w:p w14:paraId="437BAC1C" w14:textId="77777777" w:rsidR="004040FD" w:rsidRDefault="00282C8C" w:rsidP="004040FD">
      <w:r>
        <w:t>The right</w:t>
      </w:r>
      <w:r w:rsidR="00D56297">
        <w:t>s and obligations and ri</w:t>
      </w:r>
      <w:r w:rsidR="0002294C">
        <w:t xml:space="preserve">sks and benefits of assets </w:t>
      </w:r>
      <w:r>
        <w:t xml:space="preserve">under lease contracts </w:t>
      </w:r>
      <w:r w:rsidR="0002294C">
        <w:t xml:space="preserve">may differ </w:t>
      </w:r>
      <w:r>
        <w:t xml:space="preserve">substantially </w:t>
      </w:r>
      <w:r w:rsidR="0002294C">
        <w:t xml:space="preserve">from corresponding assets owned outright.  Lease </w:t>
      </w:r>
      <w:r w:rsidR="000117F5">
        <w:t xml:space="preserve">ROU </w:t>
      </w:r>
      <w:r w:rsidR="0002294C">
        <w:t>assets can therefore be considered to be a distinct ‘grouping of assets of a similar nature’ to corresponding assets owned outright</w:t>
      </w:r>
      <w:r w:rsidR="006D2B1C">
        <w:t xml:space="preserve"> and</w:t>
      </w:r>
      <w:r w:rsidR="006A1520">
        <w:t xml:space="preserve"> </w:t>
      </w:r>
      <w:r w:rsidR="004040FD" w:rsidRPr="004040FD">
        <w:t xml:space="preserve">will be separately disclosed in Commonwealth </w:t>
      </w:r>
      <w:r w:rsidR="00B51595">
        <w:t xml:space="preserve">entity </w:t>
      </w:r>
      <w:r w:rsidR="004040FD" w:rsidRPr="004040FD">
        <w:t>financial statements.</w:t>
      </w:r>
    </w:p>
    <w:p w14:paraId="7A8699EA" w14:textId="0F23C3AD" w:rsidR="008E5A86" w:rsidRDefault="00EA5762" w:rsidP="004040FD">
      <w:r w:rsidRPr="00AA1884">
        <w:t xml:space="preserve">Where ROU assets were previously recognised by Commonwealth lessees under AASB 117 </w:t>
      </w:r>
      <w:r w:rsidRPr="00AA1884">
        <w:rPr>
          <w:i/>
        </w:rPr>
        <w:t>Leases</w:t>
      </w:r>
      <w:r w:rsidRPr="00AA1884">
        <w:t xml:space="preserve"> as finance lease assets, reclassifying those ROU assets into separate ROU specific asset classes </w:t>
      </w:r>
      <w:r w:rsidR="008E5A86" w:rsidRPr="00FF5CA6">
        <w:t xml:space="preserve">under AASB 16 </w:t>
      </w:r>
      <w:r w:rsidRPr="00AA1884">
        <w:t xml:space="preserve">would be a change in accounting policy under AASB 108 </w:t>
      </w:r>
      <w:r w:rsidRPr="00AA1884">
        <w:rPr>
          <w:i/>
        </w:rPr>
        <w:t>Accounting Policies, Changes in Accounting Estimates and Errors</w:t>
      </w:r>
      <w:r w:rsidRPr="00AA1884">
        <w:t>.  Paragraph 19(a) of AASB 108 states that entities should “account for a change in accounting policy resulting from the initial application of an Australian Accounting Standard in accordance with the specific transitional provisions, if any, in that Australian Accounting Standard;”</w:t>
      </w:r>
      <w:r w:rsidR="00A64689">
        <w:t>.</w:t>
      </w:r>
      <w:r w:rsidRPr="00AA1884">
        <w:t xml:space="preserve">  The Commonwealth Government has elected to apply </w:t>
      </w:r>
      <w:r w:rsidR="00A64689" w:rsidRPr="009F0E84">
        <w:t>paragraph C5(b) of AASB 16</w:t>
      </w:r>
      <w:r w:rsidR="00A64689">
        <w:t>, which is</w:t>
      </w:r>
      <w:r w:rsidRPr="00AA1884">
        <w:t xml:space="preserve"> </w:t>
      </w:r>
      <w:r w:rsidR="00A64689">
        <w:t xml:space="preserve">to apply </w:t>
      </w:r>
      <w:r w:rsidR="00A64689" w:rsidRPr="009F0E84">
        <w:t xml:space="preserve">AASB 16 </w:t>
      </w:r>
      <w:r w:rsidR="00A64689" w:rsidRPr="009F0E84">
        <w:rPr>
          <w:i/>
        </w:rPr>
        <w:t>Leases</w:t>
      </w:r>
      <w:r w:rsidR="00A64689">
        <w:rPr>
          <w:i/>
        </w:rPr>
        <w:t xml:space="preserve"> </w:t>
      </w:r>
      <w:r w:rsidRPr="00AA1884">
        <w:t>“retrospectively with the cumulative effect of initially applying the standard recognised at the date of initial application”.</w:t>
      </w:r>
      <w:r w:rsidR="008E5A86">
        <w:t xml:space="preserve">  </w:t>
      </w:r>
    </w:p>
    <w:p w14:paraId="18CBADDB" w14:textId="6A1673F3" w:rsidR="00EA5762" w:rsidRDefault="008E5A86" w:rsidP="004040FD">
      <w:r>
        <w:t xml:space="preserve">The date of initial application of AASB 16 for Commonwealth entities </w:t>
      </w:r>
      <w:r w:rsidR="00D30142">
        <w:t xml:space="preserve">which report on a financial year basis </w:t>
      </w:r>
      <w:r>
        <w:t xml:space="preserve">is 1 July 2019. Therefore, the new </w:t>
      </w:r>
      <w:r w:rsidR="00A64689">
        <w:t xml:space="preserve">ROU </w:t>
      </w:r>
      <w:r>
        <w:t>asset class</w:t>
      </w:r>
      <w:r w:rsidR="00A64689">
        <w:t>es</w:t>
      </w:r>
      <w:r>
        <w:t xml:space="preserve"> would only apply </w:t>
      </w:r>
      <w:r w:rsidR="00D30142">
        <w:t xml:space="preserve">for these entities </w:t>
      </w:r>
      <w:r>
        <w:t>from the 2019-20 year.</w:t>
      </w:r>
    </w:p>
    <w:p w14:paraId="58D96A2C" w14:textId="7A6B22A4" w:rsidR="00251194" w:rsidRDefault="00251194" w:rsidP="00251194">
      <w:pPr>
        <w:pStyle w:val="Boxed2Heading"/>
      </w:pPr>
      <w:r>
        <w:t xml:space="preserve">FINANCE POSITION 1:  </w:t>
      </w:r>
      <w:r w:rsidRPr="00251194">
        <w:rPr>
          <w:b w:val="0"/>
        </w:rPr>
        <w:t>Lease ROU assets</w:t>
      </w:r>
      <w:r>
        <w:t xml:space="preserve"> </w:t>
      </w:r>
      <w:r w:rsidR="00112D16">
        <w:rPr>
          <w:b w:val="0"/>
        </w:rPr>
        <w:t>should</w:t>
      </w:r>
      <w:r w:rsidRPr="00251194">
        <w:rPr>
          <w:b w:val="0"/>
        </w:rPr>
        <w:t xml:space="preserve"> be </w:t>
      </w:r>
      <w:r w:rsidR="002927A5">
        <w:rPr>
          <w:b w:val="0"/>
        </w:rPr>
        <w:t>classified</w:t>
      </w:r>
      <w:r w:rsidRPr="00251194">
        <w:rPr>
          <w:b w:val="0"/>
        </w:rPr>
        <w:t xml:space="preserve"> by </w:t>
      </w:r>
      <w:r w:rsidR="00627050">
        <w:rPr>
          <w:b w:val="0"/>
        </w:rPr>
        <w:t xml:space="preserve">Commonwealth </w:t>
      </w:r>
      <w:r w:rsidRPr="00251194">
        <w:rPr>
          <w:b w:val="0"/>
        </w:rPr>
        <w:t xml:space="preserve">lessees </w:t>
      </w:r>
      <w:r>
        <w:rPr>
          <w:b w:val="0"/>
        </w:rPr>
        <w:t xml:space="preserve">as </w:t>
      </w:r>
      <w:r w:rsidRPr="00251194">
        <w:rPr>
          <w:b w:val="0"/>
        </w:rPr>
        <w:t>separate asset</w:t>
      </w:r>
      <w:r>
        <w:rPr>
          <w:b w:val="0"/>
        </w:rPr>
        <w:t xml:space="preserve"> classes</w:t>
      </w:r>
      <w:r w:rsidRPr="00251194">
        <w:rPr>
          <w:b w:val="0"/>
        </w:rPr>
        <w:t xml:space="preserve"> to </w:t>
      </w:r>
      <w:r>
        <w:rPr>
          <w:b w:val="0"/>
        </w:rPr>
        <w:t xml:space="preserve">corresponding </w:t>
      </w:r>
      <w:r w:rsidRPr="00251194">
        <w:rPr>
          <w:b w:val="0"/>
        </w:rPr>
        <w:t>assets owned outright</w:t>
      </w:r>
      <w:r w:rsidR="00A64689">
        <w:rPr>
          <w:b w:val="0"/>
        </w:rPr>
        <w:t xml:space="preserve"> from 2019-20 onwards</w:t>
      </w:r>
      <w:r w:rsidRPr="00251194">
        <w:rPr>
          <w:b w:val="0"/>
        </w:rPr>
        <w:t>.</w:t>
      </w:r>
      <w:r w:rsidR="002E1F96">
        <w:rPr>
          <w:b w:val="0"/>
        </w:rPr>
        <w:t xml:space="preserve">  </w:t>
      </w:r>
    </w:p>
    <w:p w14:paraId="27CAFBFE" w14:textId="77777777" w:rsidR="0002294C" w:rsidRDefault="0002294C" w:rsidP="007B00FC"/>
    <w:p w14:paraId="3132093B" w14:textId="77777777" w:rsidR="008E5A86" w:rsidRDefault="008E5A86" w:rsidP="007B00FC">
      <w:pPr>
        <w:rPr>
          <w:sz w:val="28"/>
          <w:szCs w:val="28"/>
        </w:rPr>
      </w:pPr>
      <w:r>
        <w:rPr>
          <w:sz w:val="28"/>
          <w:szCs w:val="28"/>
        </w:rPr>
        <w:br w:type="page"/>
      </w:r>
    </w:p>
    <w:p w14:paraId="6798DA9F" w14:textId="77777777" w:rsidR="0002294C" w:rsidRPr="0002294C" w:rsidRDefault="0002294C" w:rsidP="007B00FC">
      <w:pPr>
        <w:rPr>
          <w:sz w:val="28"/>
          <w:szCs w:val="28"/>
        </w:rPr>
      </w:pPr>
      <w:r w:rsidRPr="0002294C">
        <w:rPr>
          <w:sz w:val="28"/>
          <w:szCs w:val="28"/>
        </w:rPr>
        <w:lastRenderedPageBreak/>
        <w:t>Ongoing Measurement of ROU Assets</w:t>
      </w:r>
      <w:r w:rsidR="002C426E">
        <w:rPr>
          <w:sz w:val="28"/>
          <w:szCs w:val="28"/>
        </w:rPr>
        <w:t xml:space="preserve"> under AASB 16</w:t>
      </w:r>
    </w:p>
    <w:p w14:paraId="6E07FCD2" w14:textId="1ED54F19" w:rsidR="002C426E" w:rsidRPr="002C426E" w:rsidRDefault="002C426E" w:rsidP="004040FD">
      <w:pPr>
        <w:spacing w:afterLines="60" w:after="144"/>
      </w:pPr>
      <w:r>
        <w:t xml:space="preserve">Paragraph 35 of </w:t>
      </w:r>
      <w:r w:rsidRPr="002C426E">
        <w:t xml:space="preserve">AASB 16 provides entities with the option to </w:t>
      </w:r>
      <w:r>
        <w:t>measure</w:t>
      </w:r>
      <w:r w:rsidRPr="002C426E">
        <w:t xml:space="preserve"> ROU </w:t>
      </w:r>
      <w:r>
        <w:t>a</w:t>
      </w:r>
      <w:r w:rsidRPr="002C426E">
        <w:t xml:space="preserve">ssets at </w:t>
      </w:r>
      <w:r>
        <w:t>fair value where the ROU asset</w:t>
      </w:r>
      <w:r w:rsidR="008E5A86">
        <w:t>s</w:t>
      </w:r>
      <w:r>
        <w:t xml:space="preserve"> relate to</w:t>
      </w:r>
      <w:r w:rsidRPr="002C426E">
        <w:t xml:space="preserve"> a class of </w:t>
      </w:r>
      <w:r w:rsidR="00505ED4">
        <w:t xml:space="preserve">PPE </w:t>
      </w:r>
      <w:r w:rsidRPr="002C426E">
        <w:t xml:space="preserve">assets already </w:t>
      </w:r>
      <w:r>
        <w:t xml:space="preserve">measured </w:t>
      </w:r>
      <w:r w:rsidRPr="002C426E">
        <w:t>at fair val</w:t>
      </w:r>
      <w:r w:rsidR="00EC2300">
        <w:t>ue under AASB 116.  All other ROU</w:t>
      </w:r>
      <w:r w:rsidRPr="002C426E">
        <w:t xml:space="preserve"> </w:t>
      </w:r>
      <w:r w:rsidR="00EC2300">
        <w:t xml:space="preserve">assets </w:t>
      </w:r>
      <w:r w:rsidRPr="002C426E">
        <w:t>should be at cost.</w:t>
      </w:r>
    </w:p>
    <w:p w14:paraId="437AF62E" w14:textId="42AB3E9E" w:rsidR="004040FD" w:rsidRPr="004040FD" w:rsidRDefault="004040FD" w:rsidP="004040FD">
      <w:pPr>
        <w:suppressAutoHyphens w:val="0"/>
        <w:spacing w:afterLines="60" w:after="144"/>
      </w:pPr>
      <w:r w:rsidRPr="004040FD">
        <w:t xml:space="preserve">Because ROU assets </w:t>
      </w:r>
      <w:r w:rsidR="00435322">
        <w:t>do</w:t>
      </w:r>
      <w:r w:rsidRPr="004040FD">
        <w:t xml:space="preserve"> not relate to a class of PPE to which Commonwealth agencies already </w:t>
      </w:r>
      <w:r w:rsidR="004A2B59">
        <w:t xml:space="preserve">apply the revaluation model, </w:t>
      </w:r>
      <w:r w:rsidRPr="004040FD">
        <w:t xml:space="preserve">ROU assets </w:t>
      </w:r>
      <w:r w:rsidR="00435322">
        <w:t xml:space="preserve">should not </w:t>
      </w:r>
      <w:r w:rsidRPr="004040FD">
        <w:t xml:space="preserve">be measured at fair value under </w:t>
      </w:r>
      <w:r w:rsidR="004A2B59">
        <w:t xml:space="preserve">paragraph 35 of </w:t>
      </w:r>
      <w:r w:rsidRPr="004040FD">
        <w:t xml:space="preserve">AASB 16.  Therefore, </w:t>
      </w:r>
      <w:r w:rsidR="00505ED4">
        <w:t>this approach</w:t>
      </w:r>
      <w:r w:rsidRPr="004040FD">
        <w:t xml:space="preserve"> </w:t>
      </w:r>
      <w:r w:rsidR="00505ED4">
        <w:t xml:space="preserve">is consistent </w:t>
      </w:r>
      <w:r w:rsidRPr="004040FD">
        <w:t>with GFS practices</w:t>
      </w:r>
      <w:r w:rsidR="004A2B59">
        <w:t xml:space="preserve"> under </w:t>
      </w:r>
      <w:r w:rsidR="004A2B59" w:rsidRPr="004040FD">
        <w:t>AASB 1049</w:t>
      </w:r>
      <w:r w:rsidRPr="004040FD">
        <w:t>.</w:t>
      </w:r>
    </w:p>
    <w:p w14:paraId="5F432025" w14:textId="05B5CE80" w:rsidR="006A312A" w:rsidRPr="006A312A" w:rsidRDefault="006A312A" w:rsidP="007B00FC">
      <w:r w:rsidRPr="006A312A">
        <w:t xml:space="preserve">ROU asset classes </w:t>
      </w:r>
      <w:r w:rsidR="004A2B59">
        <w:t>may</w:t>
      </w:r>
      <w:r w:rsidRPr="006A312A">
        <w:t xml:space="preserve"> include some existing leases which were previously accounted for as finance lease</w:t>
      </w:r>
      <w:r w:rsidR="004A2B59">
        <w:t xml:space="preserve"> ROU assets</w:t>
      </w:r>
      <w:r w:rsidRPr="006A312A">
        <w:t xml:space="preserve"> under AASB 117 </w:t>
      </w:r>
      <w:r w:rsidRPr="006A312A">
        <w:rPr>
          <w:i/>
        </w:rPr>
        <w:t>Leases</w:t>
      </w:r>
      <w:r w:rsidR="001F5939">
        <w:rPr>
          <w:i/>
        </w:rPr>
        <w:t xml:space="preserve">.  </w:t>
      </w:r>
      <w:r w:rsidR="007B0DE6" w:rsidRPr="007B0DE6">
        <w:t>Prior to 2019-20, t</w:t>
      </w:r>
      <w:r w:rsidR="001F5939" w:rsidRPr="001F5939">
        <w:t xml:space="preserve">hese ROU </w:t>
      </w:r>
      <w:r w:rsidR="001F5939" w:rsidRPr="003F7AD8">
        <w:t xml:space="preserve">assets </w:t>
      </w:r>
      <w:r w:rsidR="006F47B8">
        <w:t>were</w:t>
      </w:r>
      <w:r w:rsidR="003F7AD8" w:rsidRPr="003F7AD8">
        <w:t xml:space="preserve"> included in</w:t>
      </w:r>
      <w:r w:rsidR="004F7E55">
        <w:t xml:space="preserve"> PPE</w:t>
      </w:r>
      <w:r w:rsidR="003F7AD8">
        <w:rPr>
          <w:i/>
        </w:rPr>
        <w:t xml:space="preserve"> </w:t>
      </w:r>
      <w:r w:rsidR="003F7AD8" w:rsidRPr="003F7AD8">
        <w:t>asset classes which</w:t>
      </w:r>
      <w:r w:rsidR="003F7AD8">
        <w:rPr>
          <w:i/>
        </w:rPr>
        <w:t xml:space="preserve"> </w:t>
      </w:r>
      <w:r w:rsidRPr="006A312A">
        <w:t xml:space="preserve">were </w:t>
      </w:r>
      <w:r w:rsidR="004A2B59">
        <w:t xml:space="preserve">required to be </w:t>
      </w:r>
      <w:r w:rsidRPr="006A312A">
        <w:t xml:space="preserve">measured at fair value under clause 17 of the FRR.   </w:t>
      </w:r>
      <w:r>
        <w:t xml:space="preserve">Paragraph </w:t>
      </w:r>
      <w:r w:rsidRPr="006A312A">
        <w:t>C11</w:t>
      </w:r>
      <w:r>
        <w:t xml:space="preserve"> of </w:t>
      </w:r>
      <w:r w:rsidRPr="006A312A">
        <w:t>AASB 16 requires</w:t>
      </w:r>
      <w:r w:rsidR="00E4365E">
        <w:t>, where implementation option C5(b) is applied, that</w:t>
      </w:r>
      <w:r w:rsidRPr="006A312A">
        <w:t xml:space="preserve"> ROU assets previously classified as finance leases under AASB 117 be </w:t>
      </w:r>
      <w:r w:rsidR="006F47B8">
        <w:t xml:space="preserve">initially recognised on </w:t>
      </w:r>
      <w:r w:rsidR="004F7E55">
        <w:t xml:space="preserve">AASB 16 </w:t>
      </w:r>
      <w:r w:rsidR="006F47B8">
        <w:t xml:space="preserve">transition date </w:t>
      </w:r>
      <w:r w:rsidRPr="006A312A">
        <w:t>at the</w:t>
      </w:r>
      <w:r w:rsidR="004F7E55">
        <w:t>ir</w:t>
      </w:r>
      <w:r w:rsidRPr="006A312A">
        <w:t xml:space="preserve"> carrying amount under AASB 117 immediately prior to transition.  </w:t>
      </w:r>
    </w:p>
    <w:p w14:paraId="6900EB55" w14:textId="210102B0" w:rsidR="007B00FC" w:rsidRPr="001F5939" w:rsidRDefault="004A63AD" w:rsidP="007B00FC">
      <w:pPr>
        <w:pStyle w:val="Boxed2Heading"/>
        <w:rPr>
          <w:b w:val="0"/>
        </w:rPr>
      </w:pPr>
      <w:r w:rsidRPr="001F5939">
        <w:t xml:space="preserve">FINANCE POSITION </w:t>
      </w:r>
      <w:r w:rsidR="00251194" w:rsidRPr="001F5939">
        <w:t>2</w:t>
      </w:r>
      <w:r w:rsidR="00AB5BF7" w:rsidRPr="001F5939">
        <w:t>:</w:t>
      </w:r>
      <w:r w:rsidR="00136F54" w:rsidRPr="001F5939">
        <w:t xml:space="preserve">  </w:t>
      </w:r>
      <w:r w:rsidR="00147744">
        <w:rPr>
          <w:b w:val="0"/>
        </w:rPr>
        <w:t>Lease</w:t>
      </w:r>
      <w:r w:rsidR="001F5939" w:rsidRPr="001F5939">
        <w:rPr>
          <w:b w:val="0"/>
        </w:rPr>
        <w:t xml:space="preserve"> ROU assets should be measured at cost after initial recognition in Commonwealth </w:t>
      </w:r>
      <w:r w:rsidR="004F7E55">
        <w:rPr>
          <w:b w:val="0"/>
        </w:rPr>
        <w:t>entity</w:t>
      </w:r>
      <w:r w:rsidR="001F5939" w:rsidRPr="001F5939">
        <w:rPr>
          <w:b w:val="0"/>
        </w:rPr>
        <w:t xml:space="preserve">, GGS and Whole of Government financial statements.  </w:t>
      </w:r>
      <w:r w:rsidR="002545B4">
        <w:rPr>
          <w:b w:val="0"/>
        </w:rPr>
        <w:t xml:space="preserve">Existing AASB 117 finance lease ROU assets on transition date should be transferred into the new asset classes at their carrying values on </w:t>
      </w:r>
      <w:r w:rsidR="003E587E">
        <w:rPr>
          <w:b w:val="0"/>
        </w:rPr>
        <w:t>1 July 2019</w:t>
      </w:r>
      <w:r w:rsidR="002545B4">
        <w:rPr>
          <w:b w:val="0"/>
        </w:rPr>
        <w:t>.</w:t>
      </w:r>
    </w:p>
    <w:p w14:paraId="6350FC16" w14:textId="77777777" w:rsidR="0020498B" w:rsidRPr="0020498B" w:rsidRDefault="003033B1" w:rsidP="007B00FC">
      <w:pPr>
        <w:suppressAutoHyphens w:val="0"/>
        <w:spacing w:before="0" w:after="120" w:line="440" w:lineRule="atLeast"/>
        <w:rPr>
          <w:b/>
        </w:rPr>
      </w:pPr>
      <w:r>
        <w:rPr>
          <w:sz w:val="28"/>
          <w:szCs w:val="28"/>
        </w:rPr>
        <w:br w:type="page"/>
      </w:r>
    </w:p>
    <w:p w14:paraId="34E3BA86" w14:textId="77777777" w:rsidR="007662C0" w:rsidRPr="00F22B64" w:rsidRDefault="007662C0" w:rsidP="00F22B64">
      <w:pPr>
        <w:suppressAutoHyphens w:val="0"/>
        <w:spacing w:before="0" w:after="120" w:line="440" w:lineRule="atLeast"/>
        <w:rPr>
          <w:sz w:val="18"/>
        </w:rPr>
        <w:sectPr w:rsidR="007662C0" w:rsidRPr="00F22B64" w:rsidSect="00F22B64">
          <w:headerReference w:type="even" r:id="rId18"/>
          <w:headerReference w:type="default" r:id="rId19"/>
          <w:footerReference w:type="default" r:id="rId20"/>
          <w:headerReference w:type="first" r:id="rId21"/>
          <w:pgSz w:w="11906" w:h="16838" w:code="9"/>
          <w:pgMar w:top="1418" w:right="1418" w:bottom="1418" w:left="1418" w:header="567" w:footer="624" w:gutter="0"/>
          <w:cols w:space="708"/>
          <w:docGrid w:linePitch="360"/>
        </w:sectPr>
      </w:pPr>
    </w:p>
    <w:p w14:paraId="1F777B0D" w14:textId="77777777" w:rsidR="005D3E0C" w:rsidRPr="00C23CDE" w:rsidRDefault="00366D1D" w:rsidP="00C23CDE">
      <w:pPr>
        <w:pStyle w:val="Caption"/>
        <w:shd w:val="clear" w:color="auto" w:fill="C6C6C6" w:themeFill="text2" w:themeFillTint="40"/>
        <w:rPr>
          <w:sz w:val="28"/>
        </w:rPr>
      </w:pPr>
      <w:r>
        <w:rPr>
          <w:sz w:val="28"/>
        </w:rPr>
        <w:lastRenderedPageBreak/>
        <w:t>Prepared</w:t>
      </w:r>
      <w:r w:rsidR="00EB2922" w:rsidRPr="00C23CDE">
        <w:rPr>
          <w:sz w:val="28"/>
        </w:rPr>
        <w:t xml:space="preserve"> by</w:t>
      </w:r>
    </w:p>
    <w:p w14:paraId="45B8696E" w14:textId="77777777" w:rsidR="00E60E77" w:rsidRPr="00E04868" w:rsidRDefault="00E60E77" w:rsidP="00E60E77">
      <w:pPr>
        <w:pStyle w:val="Caption"/>
      </w:pPr>
      <w:r w:rsidRPr="00E04868">
        <w:t>Signature:</w:t>
      </w:r>
    </w:p>
    <w:p w14:paraId="4EB17448" w14:textId="77777777" w:rsidR="00C23CDE" w:rsidRPr="00E04868" w:rsidRDefault="00C23CDE" w:rsidP="00C23CDE">
      <w:pPr>
        <w:rPr>
          <w:sz w:val="20"/>
        </w:rPr>
      </w:pPr>
    </w:p>
    <w:p w14:paraId="08C6C766" w14:textId="77777777" w:rsidR="00EB2922" w:rsidRPr="00E04868" w:rsidRDefault="00EB2922" w:rsidP="00EB2922">
      <w:pPr>
        <w:pStyle w:val="Caption"/>
      </w:pPr>
      <w:r w:rsidRPr="00E04868">
        <w:t>Name:</w:t>
      </w:r>
      <w:r w:rsidR="0087171D">
        <w:t xml:space="preserve"> </w:t>
      </w:r>
      <w:r w:rsidR="000B1C6F">
        <w:t>Rob Tkalcevic</w:t>
      </w:r>
    </w:p>
    <w:p w14:paraId="4CDC5458" w14:textId="77777777" w:rsidR="00EB2922" w:rsidRPr="00E04868" w:rsidRDefault="00EB2922" w:rsidP="00EB2922">
      <w:pPr>
        <w:pStyle w:val="Caption"/>
      </w:pPr>
      <w:r w:rsidRPr="00E04868">
        <w:t>Position:</w:t>
      </w:r>
      <w:r w:rsidR="0087171D">
        <w:t xml:space="preserve"> </w:t>
      </w:r>
      <w:r w:rsidR="000B1C6F">
        <w:t xml:space="preserve">Assistant </w:t>
      </w:r>
      <w:r w:rsidR="0087171D">
        <w:t>Director, Accounting Policy and Advice</w:t>
      </w:r>
    </w:p>
    <w:p w14:paraId="3B9C87F7" w14:textId="2569FB2B" w:rsidR="00EB2922" w:rsidRPr="00E04868" w:rsidRDefault="00EB2922" w:rsidP="00EB2922">
      <w:pPr>
        <w:pStyle w:val="Caption"/>
      </w:pPr>
      <w:r w:rsidRPr="00E04868">
        <w:t>Date:</w:t>
      </w:r>
      <w:r w:rsidR="00B27D03">
        <w:t xml:space="preserve"> </w:t>
      </w:r>
      <w:r w:rsidR="00EE0D85">
        <w:t xml:space="preserve">          </w:t>
      </w:r>
      <w:r w:rsidR="003A3C1B">
        <w:t>June</w:t>
      </w:r>
      <w:r w:rsidR="00E35848">
        <w:t xml:space="preserve"> 2020</w:t>
      </w:r>
    </w:p>
    <w:p w14:paraId="7F18D9F4" w14:textId="77777777" w:rsidR="00EB2922" w:rsidRDefault="00EB2922" w:rsidP="00EB2922"/>
    <w:p w14:paraId="776E73ED" w14:textId="77777777" w:rsidR="00366D1D" w:rsidRPr="00C23CDE" w:rsidRDefault="00D87427" w:rsidP="00366D1D">
      <w:pPr>
        <w:pStyle w:val="Caption"/>
        <w:shd w:val="clear" w:color="auto" w:fill="C6C6C6" w:themeFill="text2" w:themeFillTint="40"/>
        <w:rPr>
          <w:sz w:val="28"/>
        </w:rPr>
      </w:pPr>
      <w:r w:rsidRPr="00BE2DD6">
        <w:rPr>
          <w:sz w:val="28"/>
        </w:rPr>
        <w:t>Approved</w:t>
      </w:r>
      <w:r w:rsidR="00366D1D" w:rsidRPr="00C23CDE">
        <w:rPr>
          <w:sz w:val="28"/>
        </w:rPr>
        <w:t xml:space="preserve"> by</w:t>
      </w:r>
    </w:p>
    <w:p w14:paraId="636248E7" w14:textId="77777777" w:rsidR="00366D1D" w:rsidRPr="00E04868" w:rsidRDefault="00366D1D" w:rsidP="00366D1D">
      <w:pPr>
        <w:pStyle w:val="Caption"/>
      </w:pPr>
      <w:r w:rsidRPr="00E04868">
        <w:t>Signature:</w:t>
      </w:r>
    </w:p>
    <w:p w14:paraId="4C939EDB" w14:textId="77777777" w:rsidR="00366D1D" w:rsidRPr="00E04868" w:rsidRDefault="00366D1D" w:rsidP="00366D1D">
      <w:pPr>
        <w:rPr>
          <w:sz w:val="20"/>
        </w:rPr>
      </w:pPr>
    </w:p>
    <w:p w14:paraId="564228B3" w14:textId="77777777" w:rsidR="00366D1D" w:rsidRPr="00E04868" w:rsidRDefault="00366D1D" w:rsidP="00366D1D">
      <w:pPr>
        <w:pStyle w:val="Caption"/>
      </w:pPr>
      <w:r w:rsidRPr="00E04868">
        <w:t>Name:</w:t>
      </w:r>
      <w:r w:rsidR="0087171D">
        <w:t xml:space="preserve"> </w:t>
      </w:r>
      <w:r w:rsidR="00B97CC4">
        <w:t>Dario Forner</w:t>
      </w:r>
      <w:r w:rsidR="0087171D">
        <w:t xml:space="preserve"> </w:t>
      </w:r>
    </w:p>
    <w:p w14:paraId="43203F82" w14:textId="77777777" w:rsidR="00366D1D" w:rsidRPr="00E04868" w:rsidRDefault="00366D1D" w:rsidP="00366D1D">
      <w:pPr>
        <w:pStyle w:val="Caption"/>
      </w:pPr>
      <w:r w:rsidRPr="00E04868">
        <w:t>Position:</w:t>
      </w:r>
      <w:r w:rsidR="0087171D">
        <w:t xml:space="preserve"> </w:t>
      </w:r>
      <w:r w:rsidR="00B97CC4">
        <w:t>Branch Manager</w:t>
      </w:r>
      <w:r w:rsidR="0087171D">
        <w:t xml:space="preserve">, Accounting </w:t>
      </w:r>
      <w:r w:rsidR="00B97CC4">
        <w:t xml:space="preserve">and Framework </w:t>
      </w:r>
      <w:r w:rsidR="0087171D">
        <w:t>Branch</w:t>
      </w:r>
    </w:p>
    <w:p w14:paraId="473127F5" w14:textId="2C52D165" w:rsidR="00366D1D" w:rsidRPr="00E04868" w:rsidRDefault="00366D1D" w:rsidP="00366D1D">
      <w:pPr>
        <w:pStyle w:val="Caption"/>
      </w:pPr>
      <w:r w:rsidRPr="00E04868">
        <w:t>Date:</w:t>
      </w:r>
      <w:r w:rsidR="00B27D03">
        <w:t xml:space="preserve"> </w:t>
      </w:r>
      <w:r w:rsidR="00EE0D85">
        <w:t xml:space="preserve">          </w:t>
      </w:r>
      <w:r w:rsidR="003A3C1B">
        <w:t>June</w:t>
      </w:r>
      <w:r w:rsidR="00656DC9">
        <w:t xml:space="preserve"> </w:t>
      </w:r>
      <w:r w:rsidR="0040230E">
        <w:t>20</w:t>
      </w:r>
      <w:r w:rsidR="00E35848">
        <w:t>20</w:t>
      </w:r>
    </w:p>
    <w:p w14:paraId="43D6B1A7" w14:textId="77777777" w:rsidR="00EB2922" w:rsidRDefault="00EB2922" w:rsidP="00EB2922"/>
    <w:sectPr w:rsidR="00EB2922" w:rsidSect="00E65519">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1661" w14:textId="77777777" w:rsidR="00591E03" w:rsidRDefault="00591E03" w:rsidP="00EF4574">
      <w:pPr>
        <w:spacing w:before="0" w:after="0" w:line="240" w:lineRule="auto"/>
      </w:pPr>
      <w:r>
        <w:separator/>
      </w:r>
    </w:p>
    <w:p w14:paraId="244965CD" w14:textId="77777777" w:rsidR="00591E03" w:rsidRDefault="00591E03"/>
  </w:endnote>
  <w:endnote w:type="continuationSeparator" w:id="0">
    <w:p w14:paraId="755D98B0" w14:textId="77777777" w:rsidR="00591E03" w:rsidRDefault="00591E03" w:rsidP="00EF4574">
      <w:pPr>
        <w:spacing w:before="0" w:after="0" w:line="240" w:lineRule="auto"/>
      </w:pPr>
      <w:r>
        <w:continuationSeparator/>
      </w:r>
    </w:p>
    <w:p w14:paraId="22B77DC4" w14:textId="77777777" w:rsidR="00591E03" w:rsidRDefault="00591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4219" w14:textId="77777777" w:rsidR="00545F2E" w:rsidRDefault="00545F2E" w:rsidP="005D3E0C">
    <w:pPr>
      <w:pStyle w:val="Footer"/>
      <w:jc w:val="right"/>
      <w:rPr>
        <w:noProof/>
      </w:rPr>
    </w:pPr>
  </w:p>
  <w:p w14:paraId="4F1CAD5F" w14:textId="77777777" w:rsidR="00545F2E" w:rsidRPr="000A6A8B" w:rsidRDefault="00545F2E" w:rsidP="000A6A8B">
    <w:pPr>
      <w:pStyle w:val="Footer"/>
      <w:jc w:val="center"/>
      <w:rPr>
        <w:rStyle w:val="Classification"/>
      </w:rPr>
    </w:pPr>
    <w:r w:rsidRPr="000A6A8B">
      <w:rPr>
        <w:rStyle w:val="Classification"/>
      </w:rPr>
      <w:t>Classification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8B77" w14:textId="77777777" w:rsidR="00545F2E" w:rsidRDefault="00545F2E">
    <w:pPr>
      <w:pStyle w:val="Footer"/>
    </w:pPr>
  </w:p>
  <w:p w14:paraId="393617D1" w14:textId="77777777" w:rsidR="00545F2E" w:rsidRPr="000A6A8B" w:rsidRDefault="00545F2E"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983754"/>
      <w:docPartObj>
        <w:docPartGallery w:val="Page Numbers (Bottom of Page)"/>
        <w:docPartUnique/>
      </w:docPartObj>
    </w:sdtPr>
    <w:sdtEndPr/>
    <w:sdtContent>
      <w:sdt>
        <w:sdtPr>
          <w:id w:val="-717895319"/>
          <w:docPartObj>
            <w:docPartGallery w:val="Page Numbers (Top of Page)"/>
            <w:docPartUnique/>
          </w:docPartObj>
        </w:sdtPr>
        <w:sdtEndPr/>
        <w:sdtContent>
          <w:p w14:paraId="196CC499" w14:textId="1DFFFD3B" w:rsidR="00545F2E" w:rsidRDefault="00545F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62BF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2BF8">
              <w:rPr>
                <w:b/>
                <w:bCs/>
                <w:noProof/>
              </w:rPr>
              <w:t>6</w:t>
            </w:r>
            <w:r>
              <w:rPr>
                <w:b/>
                <w:bCs/>
                <w:sz w:val="24"/>
                <w:szCs w:val="24"/>
              </w:rPr>
              <w:fldChar w:fldCharType="end"/>
            </w:r>
          </w:p>
        </w:sdtContent>
      </w:sdt>
    </w:sdtContent>
  </w:sdt>
  <w:p w14:paraId="7CBED4AE" w14:textId="77777777" w:rsidR="00545F2E" w:rsidRPr="000A6A8B" w:rsidRDefault="00545F2E" w:rsidP="000A6A8B">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27DD" w14:textId="77777777" w:rsidR="00591E03" w:rsidRDefault="00591E03" w:rsidP="0020122A">
      <w:pPr>
        <w:pStyle w:val="FootnoteSeparator"/>
      </w:pPr>
    </w:p>
  </w:footnote>
  <w:footnote w:type="continuationSeparator" w:id="0">
    <w:p w14:paraId="189CCB56" w14:textId="77777777" w:rsidR="00591E03" w:rsidRDefault="00591E03" w:rsidP="00EF4574">
      <w:pPr>
        <w:spacing w:before="0" w:after="0" w:line="240" w:lineRule="auto"/>
      </w:pPr>
      <w:r>
        <w:continuationSeparator/>
      </w:r>
    </w:p>
    <w:p w14:paraId="523160A8" w14:textId="77777777" w:rsidR="00591E03" w:rsidRDefault="00591E03"/>
  </w:footnote>
  <w:footnote w:id="1">
    <w:p w14:paraId="4A4EAE06" w14:textId="77777777" w:rsidR="00363DC6" w:rsidRPr="00363DC6" w:rsidRDefault="00363DC6" w:rsidP="009F4E57">
      <w:pPr>
        <w:pStyle w:val="FootnoteText"/>
        <w:ind w:left="142" w:hanging="142"/>
        <w:rPr>
          <w:bCs/>
          <w:sz w:val="20"/>
        </w:rPr>
      </w:pPr>
      <w:r>
        <w:rPr>
          <w:rStyle w:val="FootnoteReference"/>
        </w:rPr>
        <w:footnoteRef/>
      </w:r>
      <w:r>
        <w:t xml:space="preserve"> </w:t>
      </w:r>
      <w:r w:rsidR="00D56297" w:rsidRPr="00D56297">
        <w:rPr>
          <w:bCs/>
          <w:sz w:val="20"/>
        </w:rPr>
        <w:t xml:space="preserve">Paragraph 29 of </w:t>
      </w:r>
      <w:r w:rsidRPr="00363DC6">
        <w:rPr>
          <w:bCs/>
          <w:sz w:val="20"/>
        </w:rPr>
        <w:t>AASB 116 allows measurement of PPE assets after initial recognition at cost or fair value, by class of PPE asset.</w:t>
      </w:r>
    </w:p>
  </w:footnote>
  <w:footnote w:id="2">
    <w:p w14:paraId="4776F38C" w14:textId="77777777" w:rsidR="00363DC6" w:rsidRPr="00363DC6" w:rsidRDefault="00363DC6" w:rsidP="00362A39">
      <w:pPr>
        <w:spacing w:before="0" w:after="0" w:line="200" w:lineRule="atLeast"/>
        <w:ind w:left="142" w:hanging="142"/>
        <w:rPr>
          <w:sz w:val="20"/>
          <w:szCs w:val="20"/>
        </w:rPr>
      </w:pPr>
      <w:r>
        <w:rPr>
          <w:rStyle w:val="FootnoteReference"/>
        </w:rPr>
        <w:footnoteRef/>
      </w:r>
      <w:r>
        <w:t xml:space="preserve"> </w:t>
      </w:r>
      <w:r w:rsidR="009F4E57" w:rsidRPr="009F4E57">
        <w:rPr>
          <w:bCs/>
          <w:sz w:val="20"/>
          <w:szCs w:val="20"/>
        </w:rPr>
        <w:t>Paragraph 13 of AASB 1049 states:  “where compliance with the ABS GFS Manual would not conflict with Australian Accounting Standards, the principles and rules in the ABS GFS Manual shall be applied.  In particular, certain Australian Accounting Standards allow optional treatments within their scope.  Those optional treatments in Australian Accounting Standards aligned with the principles or rules in the ABS GFS Manual shall be applied”.</w:t>
      </w:r>
      <w:r w:rsidR="009F4E57">
        <w:rPr>
          <w:bCs/>
          <w:sz w:val="20"/>
          <w:szCs w:val="20"/>
        </w:rPr>
        <w:t xml:space="preserve">  </w:t>
      </w:r>
    </w:p>
  </w:footnote>
  <w:footnote w:id="3">
    <w:p w14:paraId="396A13C2" w14:textId="77777777" w:rsidR="00362A39" w:rsidRDefault="00362A39" w:rsidP="00362A39">
      <w:pPr>
        <w:pStyle w:val="FootnoteText"/>
        <w:ind w:left="142" w:hanging="142"/>
      </w:pPr>
      <w:r>
        <w:rPr>
          <w:rStyle w:val="FootnoteReference"/>
        </w:rPr>
        <w:footnoteRef/>
      </w:r>
      <w:r>
        <w:t xml:space="preserve"> </w:t>
      </w:r>
      <w:r w:rsidRPr="009F4E57">
        <w:rPr>
          <w:bCs/>
          <w:sz w:val="20"/>
        </w:rPr>
        <w:t>Paragraph 14(a) of AASB 1049 states:  “Examples of particular optional treatments in Australian Accounting Standards that paragraph 13 of this Standard has the effect of limiting, include: (a) assets within the scope of AASB 116 Property, Plant and Equipment, AASB 138 Intangible Assets or AASB 140 Investment Property that may be measured at cost or at fair value.  Those assets that are assets under the ABS GFS Manual that are within the scope of those Standards are required to be measured at fair value because the ABS GFS Manual requires those assets to be measured at market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ADB7F" w14:textId="77777777" w:rsidR="00545F2E" w:rsidRDefault="00545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7EE26" w14:textId="77777777" w:rsidR="00545F2E" w:rsidRPr="000A6A8B" w:rsidRDefault="00545F2E" w:rsidP="000A6A8B">
    <w:pPr>
      <w:pStyle w:val="Header"/>
      <w:jc w:val="center"/>
      <w:rPr>
        <w:rStyle w:val="Classification"/>
      </w:rPr>
    </w:pPr>
    <w:r w:rsidRPr="000A6A8B">
      <w:rPr>
        <w:rStyle w:val="Classification"/>
      </w:rPr>
      <w:t>Classification</w:t>
    </w:r>
  </w:p>
  <w:p w14:paraId="3817EA91" w14:textId="77777777" w:rsidR="00545F2E" w:rsidRDefault="00545F2E">
    <w:pPr>
      <w:pStyle w:val="Header"/>
    </w:pPr>
    <w:r>
      <w:rPr>
        <w:noProof/>
        <w:lang w:eastAsia="en-AU"/>
      </w:rPr>
      <w:drawing>
        <wp:anchor distT="0" distB="0" distL="114300" distR="114300" simplePos="0" relativeHeight="251657216" behindDoc="1" locked="0" layoutInCell="1" allowOverlap="1" wp14:anchorId="36FD3990" wp14:editId="2B961D4F">
          <wp:simplePos x="0" y="0"/>
          <wp:positionH relativeFrom="page">
            <wp:align>left</wp:align>
          </wp:positionH>
          <wp:positionV relativeFrom="paragraph">
            <wp:posOffset>-538968</wp:posOffset>
          </wp:positionV>
          <wp:extent cx="7571105" cy="10705465"/>
          <wp:effectExtent l="0" t="0" r="0" b="635"/>
          <wp:wrapNone/>
          <wp:docPr id="4" name="Picture 4"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2793" w14:textId="77777777" w:rsidR="00545F2E" w:rsidRPr="000A6A8B" w:rsidRDefault="00362BF8" w:rsidP="001E3C58">
    <w:pPr>
      <w:pStyle w:val="Header"/>
      <w:tabs>
        <w:tab w:val="clear" w:pos="4513"/>
        <w:tab w:val="center" w:pos="4535"/>
        <w:tab w:val="right" w:pos="9070"/>
      </w:tabs>
      <w:jc w:val="center"/>
      <w:rPr>
        <w:rStyle w:val="Classification"/>
      </w:rPr>
    </w:pPr>
    <w:r>
      <w:rPr>
        <w:noProof/>
      </w:rPr>
      <w:pict w14:anchorId="38EF2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p>
  <w:p w14:paraId="694311C9" w14:textId="77777777" w:rsidR="00545F2E" w:rsidRDefault="00545F2E" w:rsidP="001E3C58">
    <w:pPr>
      <w:pStyle w:val="Header"/>
      <w:tabs>
        <w:tab w:val="clear" w:pos="4513"/>
        <w:tab w:val="clear" w:pos="9026"/>
        <w:tab w:val="center" w:pos="4535"/>
      </w:tabs>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297C" w14:textId="77777777" w:rsidR="00E91140" w:rsidRDefault="00E91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4CCD" w14:textId="77777777" w:rsidR="00545F2E" w:rsidRPr="00DB6D69" w:rsidRDefault="00545F2E">
    <w:pPr>
      <w:pStyle w:val="Header"/>
      <w:rPr>
        <w:b/>
      </w:rPr>
    </w:pPr>
    <w:r w:rsidRPr="00DB6D69">
      <w:rPr>
        <w:b/>
      </w:rPr>
      <w:t>Department of Finance</w:t>
    </w:r>
  </w:p>
  <w:p w14:paraId="01F23476" w14:textId="77B3FF85" w:rsidR="00545F2E" w:rsidRDefault="00545F2E" w:rsidP="009F178F">
    <w:pPr>
      <w:pStyle w:val="Header"/>
      <w:tabs>
        <w:tab w:val="left" w:pos="6072"/>
        <w:tab w:val="right" w:pos="9070"/>
      </w:tabs>
      <w:spacing w:after="680"/>
      <w:jc w:val="left"/>
      <w:rPr>
        <w:noProof/>
      </w:rPr>
    </w:pPr>
    <w:r>
      <w:tab/>
    </w:r>
    <w:r>
      <w:tab/>
    </w:r>
    <w:r>
      <w:tab/>
    </w:r>
    <w:r>
      <w:rPr>
        <w:noProof/>
      </w:rPr>
      <w:fldChar w:fldCharType="begin"/>
    </w:r>
    <w:r>
      <w:rPr>
        <w:noProof/>
      </w:rPr>
      <w:instrText xml:space="preserve"> STYLEREF  Title  \* MERGEFORMAT </w:instrText>
    </w:r>
    <w:r>
      <w:rPr>
        <w:noProof/>
      </w:rPr>
      <w:fldChar w:fldCharType="separate"/>
    </w:r>
    <w:r w:rsidR="00362BF8">
      <w:rPr>
        <w:noProof/>
      </w:rPr>
      <w:t>FINANCE POSITION PAPER</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6D746" w14:textId="77777777" w:rsidR="00E91140" w:rsidRDefault="00E91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55A4AF7"/>
    <w:multiLevelType w:val="hybridMultilevel"/>
    <w:tmpl w:val="3F760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911E92"/>
    <w:multiLevelType w:val="hybridMultilevel"/>
    <w:tmpl w:val="DE90D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B3727AA"/>
    <w:multiLevelType w:val="hybridMultilevel"/>
    <w:tmpl w:val="B2340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62786962"/>
    <w:multiLevelType w:val="hybridMultilevel"/>
    <w:tmpl w:val="222C3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6D80105"/>
    <w:multiLevelType w:val="hybridMultilevel"/>
    <w:tmpl w:val="795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984493"/>
    <w:multiLevelType w:val="hybridMultilevel"/>
    <w:tmpl w:val="EC78517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6"/>
  </w:num>
  <w:num w:numId="6">
    <w:abstractNumId w:val="7"/>
  </w:num>
  <w:num w:numId="7">
    <w:abstractNumId w:val="9"/>
  </w:num>
  <w:num w:numId="8">
    <w:abstractNumId w:val="10"/>
  </w:num>
  <w:num w:numId="9">
    <w:abstractNumId w:val="1"/>
  </w:num>
  <w:num w:numId="10">
    <w:abstractNumId w:val="3"/>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6BA7"/>
    <w:rsid w:val="000117F5"/>
    <w:rsid w:val="0001364D"/>
    <w:rsid w:val="0001399F"/>
    <w:rsid w:val="00015073"/>
    <w:rsid w:val="0002294C"/>
    <w:rsid w:val="0002782F"/>
    <w:rsid w:val="00040066"/>
    <w:rsid w:val="00040B24"/>
    <w:rsid w:val="00045E85"/>
    <w:rsid w:val="00054E4D"/>
    <w:rsid w:val="00060073"/>
    <w:rsid w:val="000603C7"/>
    <w:rsid w:val="0006744D"/>
    <w:rsid w:val="00073AC5"/>
    <w:rsid w:val="000743C1"/>
    <w:rsid w:val="00077348"/>
    <w:rsid w:val="000829F4"/>
    <w:rsid w:val="00087040"/>
    <w:rsid w:val="000875DB"/>
    <w:rsid w:val="00092CFD"/>
    <w:rsid w:val="000A432A"/>
    <w:rsid w:val="000A4B30"/>
    <w:rsid w:val="000A4E06"/>
    <w:rsid w:val="000A60CA"/>
    <w:rsid w:val="000A6A8B"/>
    <w:rsid w:val="000A6CB5"/>
    <w:rsid w:val="000A7EB7"/>
    <w:rsid w:val="000B0273"/>
    <w:rsid w:val="000B1C6F"/>
    <w:rsid w:val="000C1A16"/>
    <w:rsid w:val="000C2A48"/>
    <w:rsid w:val="000C5F75"/>
    <w:rsid w:val="000D3723"/>
    <w:rsid w:val="000D60B1"/>
    <w:rsid w:val="000E308D"/>
    <w:rsid w:val="000E54E9"/>
    <w:rsid w:val="000F2E42"/>
    <w:rsid w:val="00104E5F"/>
    <w:rsid w:val="00112D16"/>
    <w:rsid w:val="00121868"/>
    <w:rsid w:val="00123E72"/>
    <w:rsid w:val="00136530"/>
    <w:rsid w:val="00136F54"/>
    <w:rsid w:val="00147744"/>
    <w:rsid w:val="0015078D"/>
    <w:rsid w:val="00152CAB"/>
    <w:rsid w:val="001541EA"/>
    <w:rsid w:val="001612A4"/>
    <w:rsid w:val="00164B02"/>
    <w:rsid w:val="001661BF"/>
    <w:rsid w:val="00182C32"/>
    <w:rsid w:val="00186D8F"/>
    <w:rsid w:val="001947F5"/>
    <w:rsid w:val="001A662D"/>
    <w:rsid w:val="001B0564"/>
    <w:rsid w:val="001C2DF4"/>
    <w:rsid w:val="001C682B"/>
    <w:rsid w:val="001C770D"/>
    <w:rsid w:val="001D1AA9"/>
    <w:rsid w:val="001D1C35"/>
    <w:rsid w:val="001D56E7"/>
    <w:rsid w:val="001D7EB4"/>
    <w:rsid w:val="001E1DC0"/>
    <w:rsid w:val="001E3C58"/>
    <w:rsid w:val="001F5939"/>
    <w:rsid w:val="001F6364"/>
    <w:rsid w:val="002009C3"/>
    <w:rsid w:val="0020122A"/>
    <w:rsid w:val="0020498B"/>
    <w:rsid w:val="00206E40"/>
    <w:rsid w:val="00206EAF"/>
    <w:rsid w:val="00207F6C"/>
    <w:rsid w:val="00211D67"/>
    <w:rsid w:val="00212907"/>
    <w:rsid w:val="002131E0"/>
    <w:rsid w:val="00215212"/>
    <w:rsid w:val="00222172"/>
    <w:rsid w:val="00222BE3"/>
    <w:rsid w:val="00232709"/>
    <w:rsid w:val="00237BD6"/>
    <w:rsid w:val="00241288"/>
    <w:rsid w:val="002424D0"/>
    <w:rsid w:val="00242CA6"/>
    <w:rsid w:val="00244BF8"/>
    <w:rsid w:val="00244DE8"/>
    <w:rsid w:val="00247DE3"/>
    <w:rsid w:val="00251194"/>
    <w:rsid w:val="002517EF"/>
    <w:rsid w:val="002523D6"/>
    <w:rsid w:val="002545B4"/>
    <w:rsid w:val="0026366E"/>
    <w:rsid w:val="00264E0D"/>
    <w:rsid w:val="0026796F"/>
    <w:rsid w:val="00267C9F"/>
    <w:rsid w:val="00273DBE"/>
    <w:rsid w:val="00274170"/>
    <w:rsid w:val="00275293"/>
    <w:rsid w:val="00277368"/>
    <w:rsid w:val="00282C8C"/>
    <w:rsid w:val="0028487F"/>
    <w:rsid w:val="0028602A"/>
    <w:rsid w:val="00287723"/>
    <w:rsid w:val="00291365"/>
    <w:rsid w:val="002927A5"/>
    <w:rsid w:val="00296E65"/>
    <w:rsid w:val="002A18C9"/>
    <w:rsid w:val="002A20FE"/>
    <w:rsid w:val="002A46BE"/>
    <w:rsid w:val="002A5238"/>
    <w:rsid w:val="002B5912"/>
    <w:rsid w:val="002B66D3"/>
    <w:rsid w:val="002C426E"/>
    <w:rsid w:val="002D2CC4"/>
    <w:rsid w:val="002D456E"/>
    <w:rsid w:val="002E08B8"/>
    <w:rsid w:val="002E1F96"/>
    <w:rsid w:val="002E2168"/>
    <w:rsid w:val="002F5017"/>
    <w:rsid w:val="002F7C5D"/>
    <w:rsid w:val="00301144"/>
    <w:rsid w:val="003033B1"/>
    <w:rsid w:val="00311CE1"/>
    <w:rsid w:val="00313A92"/>
    <w:rsid w:val="003148B7"/>
    <w:rsid w:val="003158C3"/>
    <w:rsid w:val="00315BD6"/>
    <w:rsid w:val="00320E59"/>
    <w:rsid w:val="00324367"/>
    <w:rsid w:val="0032444F"/>
    <w:rsid w:val="003274CD"/>
    <w:rsid w:val="00330074"/>
    <w:rsid w:val="003334C5"/>
    <w:rsid w:val="00340334"/>
    <w:rsid w:val="00340CE7"/>
    <w:rsid w:val="00344E67"/>
    <w:rsid w:val="0035119D"/>
    <w:rsid w:val="003532A5"/>
    <w:rsid w:val="003617AA"/>
    <w:rsid w:val="00362A39"/>
    <w:rsid w:val="00362BF8"/>
    <w:rsid w:val="00363DC6"/>
    <w:rsid w:val="003665A2"/>
    <w:rsid w:val="00366D1D"/>
    <w:rsid w:val="003700FF"/>
    <w:rsid w:val="003839BE"/>
    <w:rsid w:val="003A0DA3"/>
    <w:rsid w:val="003A3C1B"/>
    <w:rsid w:val="003A4A61"/>
    <w:rsid w:val="003A5468"/>
    <w:rsid w:val="003A71C5"/>
    <w:rsid w:val="003B30A6"/>
    <w:rsid w:val="003B422A"/>
    <w:rsid w:val="003B4870"/>
    <w:rsid w:val="003B4F12"/>
    <w:rsid w:val="003C0E5E"/>
    <w:rsid w:val="003D082B"/>
    <w:rsid w:val="003E1E6A"/>
    <w:rsid w:val="003E587E"/>
    <w:rsid w:val="003E65FE"/>
    <w:rsid w:val="003F1AEA"/>
    <w:rsid w:val="003F1CEA"/>
    <w:rsid w:val="003F7AD8"/>
    <w:rsid w:val="004016B4"/>
    <w:rsid w:val="0040230E"/>
    <w:rsid w:val="004040FD"/>
    <w:rsid w:val="00404CDC"/>
    <w:rsid w:val="00405F22"/>
    <w:rsid w:val="00406ADD"/>
    <w:rsid w:val="004134D1"/>
    <w:rsid w:val="004137E8"/>
    <w:rsid w:val="00413F1E"/>
    <w:rsid w:val="00414484"/>
    <w:rsid w:val="00416807"/>
    <w:rsid w:val="00420099"/>
    <w:rsid w:val="00422297"/>
    <w:rsid w:val="00423F31"/>
    <w:rsid w:val="00424990"/>
    <w:rsid w:val="00431734"/>
    <w:rsid w:val="00431899"/>
    <w:rsid w:val="004319DC"/>
    <w:rsid w:val="00435322"/>
    <w:rsid w:val="00443A4A"/>
    <w:rsid w:val="00443C2E"/>
    <w:rsid w:val="004458BA"/>
    <w:rsid w:val="00447013"/>
    <w:rsid w:val="00451C4D"/>
    <w:rsid w:val="00461C1E"/>
    <w:rsid w:val="00462A85"/>
    <w:rsid w:val="00470702"/>
    <w:rsid w:val="00471711"/>
    <w:rsid w:val="0047595C"/>
    <w:rsid w:val="00483F57"/>
    <w:rsid w:val="00484E76"/>
    <w:rsid w:val="00486804"/>
    <w:rsid w:val="0049225B"/>
    <w:rsid w:val="00495538"/>
    <w:rsid w:val="00496715"/>
    <w:rsid w:val="00497937"/>
    <w:rsid w:val="004A0742"/>
    <w:rsid w:val="004A2071"/>
    <w:rsid w:val="004A2B59"/>
    <w:rsid w:val="004A63AD"/>
    <w:rsid w:val="004B0800"/>
    <w:rsid w:val="004B3775"/>
    <w:rsid w:val="004C2A06"/>
    <w:rsid w:val="004C3F58"/>
    <w:rsid w:val="004D21ED"/>
    <w:rsid w:val="004D279B"/>
    <w:rsid w:val="004D5B08"/>
    <w:rsid w:val="004D640A"/>
    <w:rsid w:val="004D7B1C"/>
    <w:rsid w:val="004E058F"/>
    <w:rsid w:val="004E3B87"/>
    <w:rsid w:val="004F0C10"/>
    <w:rsid w:val="004F6F2A"/>
    <w:rsid w:val="004F7E55"/>
    <w:rsid w:val="00504D6C"/>
    <w:rsid w:val="00504ED0"/>
    <w:rsid w:val="005058A6"/>
    <w:rsid w:val="00505ED4"/>
    <w:rsid w:val="005074C1"/>
    <w:rsid w:val="005102D8"/>
    <w:rsid w:val="00510921"/>
    <w:rsid w:val="00510AD3"/>
    <w:rsid w:val="005113EC"/>
    <w:rsid w:val="00513348"/>
    <w:rsid w:val="005326F4"/>
    <w:rsid w:val="00533B5D"/>
    <w:rsid w:val="00545F2E"/>
    <w:rsid w:val="00553ACA"/>
    <w:rsid w:val="005570E8"/>
    <w:rsid w:val="00557E30"/>
    <w:rsid w:val="0057009C"/>
    <w:rsid w:val="005715B4"/>
    <w:rsid w:val="00576566"/>
    <w:rsid w:val="00577DE4"/>
    <w:rsid w:val="005908EF"/>
    <w:rsid w:val="00591E03"/>
    <w:rsid w:val="00594108"/>
    <w:rsid w:val="005970EA"/>
    <w:rsid w:val="005A17A5"/>
    <w:rsid w:val="005A2497"/>
    <w:rsid w:val="005A38B9"/>
    <w:rsid w:val="005A3F8E"/>
    <w:rsid w:val="005A632A"/>
    <w:rsid w:val="005B52A2"/>
    <w:rsid w:val="005B653A"/>
    <w:rsid w:val="005C37F0"/>
    <w:rsid w:val="005C6415"/>
    <w:rsid w:val="005D2D36"/>
    <w:rsid w:val="005D3E0C"/>
    <w:rsid w:val="005D4A78"/>
    <w:rsid w:val="005E38E9"/>
    <w:rsid w:val="005E414F"/>
    <w:rsid w:val="005E7EDD"/>
    <w:rsid w:val="00601044"/>
    <w:rsid w:val="00601407"/>
    <w:rsid w:val="00605926"/>
    <w:rsid w:val="0060762C"/>
    <w:rsid w:val="00611334"/>
    <w:rsid w:val="0061448E"/>
    <w:rsid w:val="006211CC"/>
    <w:rsid w:val="00623BA1"/>
    <w:rsid w:val="00627050"/>
    <w:rsid w:val="006346BC"/>
    <w:rsid w:val="00640D9F"/>
    <w:rsid w:val="0064213F"/>
    <w:rsid w:val="00643630"/>
    <w:rsid w:val="0064401F"/>
    <w:rsid w:val="00651117"/>
    <w:rsid w:val="00651BE8"/>
    <w:rsid w:val="00652BFC"/>
    <w:rsid w:val="00656DC9"/>
    <w:rsid w:val="00664D44"/>
    <w:rsid w:val="006660C9"/>
    <w:rsid w:val="00666291"/>
    <w:rsid w:val="0066652A"/>
    <w:rsid w:val="0067037F"/>
    <w:rsid w:val="006775DD"/>
    <w:rsid w:val="00682167"/>
    <w:rsid w:val="0068603B"/>
    <w:rsid w:val="00686D01"/>
    <w:rsid w:val="00687084"/>
    <w:rsid w:val="0069337C"/>
    <w:rsid w:val="006A1520"/>
    <w:rsid w:val="006A312A"/>
    <w:rsid w:val="006B5625"/>
    <w:rsid w:val="006C15A7"/>
    <w:rsid w:val="006C42AF"/>
    <w:rsid w:val="006C4DD1"/>
    <w:rsid w:val="006C7B11"/>
    <w:rsid w:val="006C7F2D"/>
    <w:rsid w:val="006D1045"/>
    <w:rsid w:val="006D18A5"/>
    <w:rsid w:val="006D2AE2"/>
    <w:rsid w:val="006D2B1C"/>
    <w:rsid w:val="006D5E6C"/>
    <w:rsid w:val="006D6B7F"/>
    <w:rsid w:val="006D7350"/>
    <w:rsid w:val="006D778A"/>
    <w:rsid w:val="006E06BC"/>
    <w:rsid w:val="006E2388"/>
    <w:rsid w:val="006E24E0"/>
    <w:rsid w:val="006E6A46"/>
    <w:rsid w:val="006F193A"/>
    <w:rsid w:val="006F47B8"/>
    <w:rsid w:val="006F5ACF"/>
    <w:rsid w:val="006F690E"/>
    <w:rsid w:val="007100EC"/>
    <w:rsid w:val="00711D8E"/>
    <w:rsid w:val="00712672"/>
    <w:rsid w:val="00716BD7"/>
    <w:rsid w:val="00717880"/>
    <w:rsid w:val="00720185"/>
    <w:rsid w:val="007232DB"/>
    <w:rsid w:val="00732ACB"/>
    <w:rsid w:val="007333B6"/>
    <w:rsid w:val="00734084"/>
    <w:rsid w:val="00734E3F"/>
    <w:rsid w:val="00736985"/>
    <w:rsid w:val="00737A13"/>
    <w:rsid w:val="00740C99"/>
    <w:rsid w:val="00744AEF"/>
    <w:rsid w:val="0075057E"/>
    <w:rsid w:val="007556DB"/>
    <w:rsid w:val="0076150C"/>
    <w:rsid w:val="007662C0"/>
    <w:rsid w:val="007735BB"/>
    <w:rsid w:val="00773EA8"/>
    <w:rsid w:val="00785171"/>
    <w:rsid w:val="007A3F95"/>
    <w:rsid w:val="007B00FC"/>
    <w:rsid w:val="007B0DE6"/>
    <w:rsid w:val="007B194B"/>
    <w:rsid w:val="007B6200"/>
    <w:rsid w:val="007C2065"/>
    <w:rsid w:val="007C549B"/>
    <w:rsid w:val="007C69A1"/>
    <w:rsid w:val="007C705E"/>
    <w:rsid w:val="007D0248"/>
    <w:rsid w:val="007D1CE0"/>
    <w:rsid w:val="007D23AB"/>
    <w:rsid w:val="007D4141"/>
    <w:rsid w:val="007E1FB9"/>
    <w:rsid w:val="007E6D3E"/>
    <w:rsid w:val="00801310"/>
    <w:rsid w:val="008013DB"/>
    <w:rsid w:val="00801518"/>
    <w:rsid w:val="00801B9F"/>
    <w:rsid w:val="008056F2"/>
    <w:rsid w:val="00805942"/>
    <w:rsid w:val="0080612B"/>
    <w:rsid w:val="00806277"/>
    <w:rsid w:val="008105DA"/>
    <w:rsid w:val="008141E0"/>
    <w:rsid w:val="00821F0F"/>
    <w:rsid w:val="00836A51"/>
    <w:rsid w:val="008417CD"/>
    <w:rsid w:val="00845665"/>
    <w:rsid w:val="008507A6"/>
    <w:rsid w:val="00856068"/>
    <w:rsid w:val="00861C74"/>
    <w:rsid w:val="0087171D"/>
    <w:rsid w:val="00876472"/>
    <w:rsid w:val="00876625"/>
    <w:rsid w:val="00880B3F"/>
    <w:rsid w:val="00893245"/>
    <w:rsid w:val="00894C8C"/>
    <w:rsid w:val="008A4ED5"/>
    <w:rsid w:val="008B62C7"/>
    <w:rsid w:val="008C052D"/>
    <w:rsid w:val="008D4A99"/>
    <w:rsid w:val="008E43BD"/>
    <w:rsid w:val="008E443C"/>
    <w:rsid w:val="008E5A86"/>
    <w:rsid w:val="008F15B8"/>
    <w:rsid w:val="0090309A"/>
    <w:rsid w:val="00905944"/>
    <w:rsid w:val="0091155F"/>
    <w:rsid w:val="00921D5A"/>
    <w:rsid w:val="00926245"/>
    <w:rsid w:val="0094515C"/>
    <w:rsid w:val="00950820"/>
    <w:rsid w:val="00951364"/>
    <w:rsid w:val="009540CD"/>
    <w:rsid w:val="009615CF"/>
    <w:rsid w:val="00963CEF"/>
    <w:rsid w:val="00964274"/>
    <w:rsid w:val="00966A49"/>
    <w:rsid w:val="0097040B"/>
    <w:rsid w:val="0097141A"/>
    <w:rsid w:val="0097581E"/>
    <w:rsid w:val="00984691"/>
    <w:rsid w:val="009846C4"/>
    <w:rsid w:val="00993203"/>
    <w:rsid w:val="00996147"/>
    <w:rsid w:val="009A2DA7"/>
    <w:rsid w:val="009B4D3B"/>
    <w:rsid w:val="009B591D"/>
    <w:rsid w:val="009C2B9B"/>
    <w:rsid w:val="009D4DA3"/>
    <w:rsid w:val="009D7407"/>
    <w:rsid w:val="009E0866"/>
    <w:rsid w:val="009E4974"/>
    <w:rsid w:val="009E4C90"/>
    <w:rsid w:val="009E5F1B"/>
    <w:rsid w:val="009E7C84"/>
    <w:rsid w:val="009F178F"/>
    <w:rsid w:val="009F1EE2"/>
    <w:rsid w:val="009F4E57"/>
    <w:rsid w:val="00A00327"/>
    <w:rsid w:val="00A04D48"/>
    <w:rsid w:val="00A06789"/>
    <w:rsid w:val="00A13444"/>
    <w:rsid w:val="00A1577D"/>
    <w:rsid w:val="00A20E8E"/>
    <w:rsid w:val="00A24A62"/>
    <w:rsid w:val="00A27E6B"/>
    <w:rsid w:val="00A31C9F"/>
    <w:rsid w:val="00A35575"/>
    <w:rsid w:val="00A423B8"/>
    <w:rsid w:val="00A52807"/>
    <w:rsid w:val="00A56370"/>
    <w:rsid w:val="00A63E63"/>
    <w:rsid w:val="00A64689"/>
    <w:rsid w:val="00A7397A"/>
    <w:rsid w:val="00A741AB"/>
    <w:rsid w:val="00A8073B"/>
    <w:rsid w:val="00A810EF"/>
    <w:rsid w:val="00A85BF4"/>
    <w:rsid w:val="00A9567B"/>
    <w:rsid w:val="00AA1884"/>
    <w:rsid w:val="00AB01F8"/>
    <w:rsid w:val="00AB19CF"/>
    <w:rsid w:val="00AB1BAA"/>
    <w:rsid w:val="00AB2784"/>
    <w:rsid w:val="00AB2A13"/>
    <w:rsid w:val="00AB5BF7"/>
    <w:rsid w:val="00AC164A"/>
    <w:rsid w:val="00AC2A4B"/>
    <w:rsid w:val="00AE38C1"/>
    <w:rsid w:val="00AE6FDB"/>
    <w:rsid w:val="00AF0B73"/>
    <w:rsid w:val="00AF2050"/>
    <w:rsid w:val="00AF7FDC"/>
    <w:rsid w:val="00B01C5F"/>
    <w:rsid w:val="00B056A9"/>
    <w:rsid w:val="00B0753D"/>
    <w:rsid w:val="00B10C28"/>
    <w:rsid w:val="00B17E8F"/>
    <w:rsid w:val="00B209B1"/>
    <w:rsid w:val="00B23D28"/>
    <w:rsid w:val="00B27BDC"/>
    <w:rsid w:val="00B27D03"/>
    <w:rsid w:val="00B27F92"/>
    <w:rsid w:val="00B36327"/>
    <w:rsid w:val="00B51595"/>
    <w:rsid w:val="00B517AE"/>
    <w:rsid w:val="00B54CA5"/>
    <w:rsid w:val="00B568A1"/>
    <w:rsid w:val="00B57293"/>
    <w:rsid w:val="00B60352"/>
    <w:rsid w:val="00B75B16"/>
    <w:rsid w:val="00B805AD"/>
    <w:rsid w:val="00B8138B"/>
    <w:rsid w:val="00B823D9"/>
    <w:rsid w:val="00B87F8F"/>
    <w:rsid w:val="00B90BCC"/>
    <w:rsid w:val="00B91E80"/>
    <w:rsid w:val="00B94B36"/>
    <w:rsid w:val="00B97CC4"/>
    <w:rsid w:val="00BB26C5"/>
    <w:rsid w:val="00BB4426"/>
    <w:rsid w:val="00BB6CDC"/>
    <w:rsid w:val="00BB7C27"/>
    <w:rsid w:val="00BD2DC6"/>
    <w:rsid w:val="00BD5406"/>
    <w:rsid w:val="00BD5C90"/>
    <w:rsid w:val="00BD6A8A"/>
    <w:rsid w:val="00BE2287"/>
    <w:rsid w:val="00BE2DD6"/>
    <w:rsid w:val="00BE6D44"/>
    <w:rsid w:val="00BE752C"/>
    <w:rsid w:val="00BF370F"/>
    <w:rsid w:val="00BF4DE6"/>
    <w:rsid w:val="00BF5023"/>
    <w:rsid w:val="00C10986"/>
    <w:rsid w:val="00C15B87"/>
    <w:rsid w:val="00C23CDE"/>
    <w:rsid w:val="00C31A6C"/>
    <w:rsid w:val="00C345D4"/>
    <w:rsid w:val="00C42CDE"/>
    <w:rsid w:val="00C55132"/>
    <w:rsid w:val="00C602E5"/>
    <w:rsid w:val="00C609DB"/>
    <w:rsid w:val="00C64343"/>
    <w:rsid w:val="00C6551C"/>
    <w:rsid w:val="00C7268A"/>
    <w:rsid w:val="00C80B0B"/>
    <w:rsid w:val="00C83865"/>
    <w:rsid w:val="00C84D2D"/>
    <w:rsid w:val="00C862C5"/>
    <w:rsid w:val="00C91966"/>
    <w:rsid w:val="00CA2382"/>
    <w:rsid w:val="00CA2595"/>
    <w:rsid w:val="00CA37B1"/>
    <w:rsid w:val="00CA4AB5"/>
    <w:rsid w:val="00CA4DD0"/>
    <w:rsid w:val="00CA751A"/>
    <w:rsid w:val="00CB17A0"/>
    <w:rsid w:val="00CB1959"/>
    <w:rsid w:val="00CB65CD"/>
    <w:rsid w:val="00CB7C62"/>
    <w:rsid w:val="00CC2B4B"/>
    <w:rsid w:val="00CC31FA"/>
    <w:rsid w:val="00CC5B39"/>
    <w:rsid w:val="00CD45C3"/>
    <w:rsid w:val="00CD6E37"/>
    <w:rsid w:val="00CD718A"/>
    <w:rsid w:val="00CD7DC8"/>
    <w:rsid w:val="00CF70B8"/>
    <w:rsid w:val="00CF7C2C"/>
    <w:rsid w:val="00D0296C"/>
    <w:rsid w:val="00D02CDD"/>
    <w:rsid w:val="00D053F3"/>
    <w:rsid w:val="00D07E68"/>
    <w:rsid w:val="00D14D91"/>
    <w:rsid w:val="00D210D7"/>
    <w:rsid w:val="00D22869"/>
    <w:rsid w:val="00D22CED"/>
    <w:rsid w:val="00D27953"/>
    <w:rsid w:val="00D30142"/>
    <w:rsid w:val="00D33CBE"/>
    <w:rsid w:val="00D46D82"/>
    <w:rsid w:val="00D56297"/>
    <w:rsid w:val="00D61725"/>
    <w:rsid w:val="00D64A74"/>
    <w:rsid w:val="00D6649B"/>
    <w:rsid w:val="00D714AE"/>
    <w:rsid w:val="00D82439"/>
    <w:rsid w:val="00D838AD"/>
    <w:rsid w:val="00D87427"/>
    <w:rsid w:val="00DA4525"/>
    <w:rsid w:val="00DB2023"/>
    <w:rsid w:val="00DB6D69"/>
    <w:rsid w:val="00DC430B"/>
    <w:rsid w:val="00DD5038"/>
    <w:rsid w:val="00DD5E7C"/>
    <w:rsid w:val="00DE401E"/>
    <w:rsid w:val="00DF25F7"/>
    <w:rsid w:val="00DF43FA"/>
    <w:rsid w:val="00DF7C95"/>
    <w:rsid w:val="00E0001B"/>
    <w:rsid w:val="00E011C6"/>
    <w:rsid w:val="00E03838"/>
    <w:rsid w:val="00E04868"/>
    <w:rsid w:val="00E0568E"/>
    <w:rsid w:val="00E069E2"/>
    <w:rsid w:val="00E20247"/>
    <w:rsid w:val="00E32330"/>
    <w:rsid w:val="00E32700"/>
    <w:rsid w:val="00E33E12"/>
    <w:rsid w:val="00E357B7"/>
    <w:rsid w:val="00E35848"/>
    <w:rsid w:val="00E4365E"/>
    <w:rsid w:val="00E44D53"/>
    <w:rsid w:val="00E479EC"/>
    <w:rsid w:val="00E52DD7"/>
    <w:rsid w:val="00E53800"/>
    <w:rsid w:val="00E6081F"/>
    <w:rsid w:val="00E60E77"/>
    <w:rsid w:val="00E623E9"/>
    <w:rsid w:val="00E65519"/>
    <w:rsid w:val="00E66DD1"/>
    <w:rsid w:val="00E67EE3"/>
    <w:rsid w:val="00E72DBA"/>
    <w:rsid w:val="00E75DC6"/>
    <w:rsid w:val="00E91140"/>
    <w:rsid w:val="00E92AA2"/>
    <w:rsid w:val="00E92E05"/>
    <w:rsid w:val="00E934A6"/>
    <w:rsid w:val="00E96EC6"/>
    <w:rsid w:val="00E9704B"/>
    <w:rsid w:val="00EA04B2"/>
    <w:rsid w:val="00EA0C74"/>
    <w:rsid w:val="00EA20F3"/>
    <w:rsid w:val="00EA2E78"/>
    <w:rsid w:val="00EA3374"/>
    <w:rsid w:val="00EA5762"/>
    <w:rsid w:val="00EA7656"/>
    <w:rsid w:val="00EA79E6"/>
    <w:rsid w:val="00EB2922"/>
    <w:rsid w:val="00EB7DAB"/>
    <w:rsid w:val="00EC1845"/>
    <w:rsid w:val="00EC2300"/>
    <w:rsid w:val="00EC2EC4"/>
    <w:rsid w:val="00EC3DD1"/>
    <w:rsid w:val="00ED1CDA"/>
    <w:rsid w:val="00ED43D1"/>
    <w:rsid w:val="00EE0D85"/>
    <w:rsid w:val="00EE26C5"/>
    <w:rsid w:val="00EE4EE1"/>
    <w:rsid w:val="00EF4574"/>
    <w:rsid w:val="00EF75CD"/>
    <w:rsid w:val="00F06034"/>
    <w:rsid w:val="00F10917"/>
    <w:rsid w:val="00F17FF0"/>
    <w:rsid w:val="00F2198C"/>
    <w:rsid w:val="00F227E0"/>
    <w:rsid w:val="00F22B64"/>
    <w:rsid w:val="00F2371C"/>
    <w:rsid w:val="00F24B75"/>
    <w:rsid w:val="00F2684E"/>
    <w:rsid w:val="00F400FC"/>
    <w:rsid w:val="00F43370"/>
    <w:rsid w:val="00F45500"/>
    <w:rsid w:val="00F52CD7"/>
    <w:rsid w:val="00F56021"/>
    <w:rsid w:val="00F613DF"/>
    <w:rsid w:val="00F6622B"/>
    <w:rsid w:val="00F711F3"/>
    <w:rsid w:val="00F729EF"/>
    <w:rsid w:val="00F77CAE"/>
    <w:rsid w:val="00F84E8C"/>
    <w:rsid w:val="00F93D81"/>
    <w:rsid w:val="00F95A5F"/>
    <w:rsid w:val="00F96BB9"/>
    <w:rsid w:val="00FA38E8"/>
    <w:rsid w:val="00FB3474"/>
    <w:rsid w:val="00FB44AA"/>
    <w:rsid w:val="00FB5DE7"/>
    <w:rsid w:val="00FB79A6"/>
    <w:rsid w:val="00FC4B38"/>
    <w:rsid w:val="00FD33E7"/>
    <w:rsid w:val="00FD6B8D"/>
    <w:rsid w:val="00FD7045"/>
    <w:rsid w:val="00FE6D51"/>
    <w:rsid w:val="00FF001E"/>
    <w:rsid w:val="00FF064E"/>
    <w:rsid w:val="00FF1B9F"/>
    <w:rsid w:val="00FF1C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41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BalloonText">
    <w:name w:val="Balloon Text"/>
    <w:basedOn w:val="Normal"/>
    <w:link w:val="BalloonTextChar"/>
    <w:uiPriority w:val="99"/>
    <w:semiHidden/>
    <w:unhideWhenUsed/>
    <w:rsid w:val="00B91E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80"/>
    <w:rPr>
      <w:rFonts w:ascii="Segoe UI" w:hAnsi="Segoe UI" w:cs="Segoe UI"/>
      <w:sz w:val="18"/>
      <w:szCs w:val="18"/>
    </w:rPr>
  </w:style>
  <w:style w:type="paragraph" w:styleId="NoSpacing">
    <w:name w:val="No Spacing"/>
    <w:link w:val="NoSpacingChar"/>
    <w:uiPriority w:val="1"/>
    <w:qFormat/>
    <w:rsid w:val="009F178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178F"/>
    <w:rPr>
      <w:rFonts w:eastAsiaTheme="minorEastAsia"/>
      <w:lang w:val="en-US"/>
    </w:rPr>
  </w:style>
  <w:style w:type="character" w:styleId="CommentReference">
    <w:name w:val="annotation reference"/>
    <w:basedOn w:val="DefaultParagraphFont"/>
    <w:uiPriority w:val="99"/>
    <w:semiHidden/>
    <w:unhideWhenUsed/>
    <w:rsid w:val="007E6D3E"/>
    <w:rPr>
      <w:sz w:val="16"/>
      <w:szCs w:val="16"/>
    </w:rPr>
  </w:style>
  <w:style w:type="paragraph" w:styleId="CommentText">
    <w:name w:val="annotation text"/>
    <w:basedOn w:val="Normal"/>
    <w:link w:val="CommentTextChar"/>
    <w:uiPriority w:val="99"/>
    <w:semiHidden/>
    <w:unhideWhenUsed/>
    <w:rsid w:val="007E6D3E"/>
    <w:pPr>
      <w:spacing w:line="240" w:lineRule="auto"/>
    </w:pPr>
    <w:rPr>
      <w:sz w:val="20"/>
      <w:szCs w:val="20"/>
    </w:rPr>
  </w:style>
  <w:style w:type="character" w:customStyle="1" w:styleId="CommentTextChar">
    <w:name w:val="Comment Text Char"/>
    <w:basedOn w:val="DefaultParagraphFont"/>
    <w:link w:val="CommentText"/>
    <w:uiPriority w:val="99"/>
    <w:semiHidden/>
    <w:rsid w:val="007E6D3E"/>
    <w:rPr>
      <w:sz w:val="20"/>
      <w:szCs w:val="20"/>
    </w:rPr>
  </w:style>
  <w:style w:type="paragraph" w:styleId="CommentSubject">
    <w:name w:val="annotation subject"/>
    <w:basedOn w:val="CommentText"/>
    <w:next w:val="CommentText"/>
    <w:link w:val="CommentSubjectChar"/>
    <w:uiPriority w:val="99"/>
    <w:semiHidden/>
    <w:unhideWhenUsed/>
    <w:rsid w:val="007E6D3E"/>
    <w:rPr>
      <w:b/>
      <w:bCs/>
    </w:rPr>
  </w:style>
  <w:style w:type="character" w:customStyle="1" w:styleId="CommentSubjectChar">
    <w:name w:val="Comment Subject Char"/>
    <w:basedOn w:val="CommentTextChar"/>
    <w:link w:val="CommentSubject"/>
    <w:uiPriority w:val="99"/>
    <w:semiHidden/>
    <w:rsid w:val="007E6D3E"/>
    <w:rPr>
      <w:b/>
      <w:bCs/>
      <w:sz w:val="20"/>
      <w:szCs w:val="20"/>
    </w:rPr>
  </w:style>
  <w:style w:type="paragraph" w:styleId="ListParagraph">
    <w:name w:val="List Paragraph"/>
    <w:aliases w:val="1 heading,Bullet Point,Bullet point,Bullet points,Bulleted Para,Content descriptions,FooterText,L,List Paragraph1,List Paragraph11,NAST Quote,NFP GP Bulleted List,Paragraphe de liste1,bullet point list,numbered,列出段落,列出段落1"/>
    <w:basedOn w:val="Normal"/>
    <w:link w:val="ListParagraphChar"/>
    <w:uiPriority w:val="34"/>
    <w:qFormat/>
    <w:rsid w:val="00ED1CDA"/>
    <w:pPr>
      <w:ind w:left="720"/>
      <w:contextualSpacing/>
    </w:pPr>
  </w:style>
  <w:style w:type="paragraph" w:customStyle="1" w:styleId="Default">
    <w:name w:val="Default"/>
    <w:rsid w:val="00BD6A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ListParagraphChar">
    <w:name w:val="List Paragraph Char"/>
    <w:aliases w:val="1 heading Char,Bullet Point Char,Bullet point Char,Bullet points Char,Bulleted Para Char,Content descriptions Char,FooterText Char,L Char,List Paragraph1 Char,List Paragraph11 Char,NAST Quote Char,NFP GP Bulleted List Char,列出段落 Char"/>
    <w:basedOn w:val="DefaultParagraphFont"/>
    <w:link w:val="ListParagraph"/>
    <w:uiPriority w:val="99"/>
    <w:locked/>
    <w:rsid w:val="00311CE1"/>
  </w:style>
  <w:style w:type="paragraph" w:styleId="Revision">
    <w:name w:val="Revision"/>
    <w:hidden/>
    <w:uiPriority w:val="99"/>
    <w:semiHidden/>
    <w:rsid w:val="003A5468"/>
    <w:pPr>
      <w:spacing w:after="0" w:line="240" w:lineRule="auto"/>
    </w:pPr>
  </w:style>
  <w:style w:type="character" w:styleId="FollowedHyperlink">
    <w:name w:val="FollowedHyperlink"/>
    <w:basedOn w:val="DefaultParagraphFont"/>
    <w:uiPriority w:val="99"/>
    <w:semiHidden/>
    <w:unhideWhenUsed/>
    <w:rsid w:val="00353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1683">
      <w:bodyDiv w:val="1"/>
      <w:marLeft w:val="0"/>
      <w:marRight w:val="0"/>
      <w:marTop w:val="0"/>
      <w:marBottom w:val="0"/>
      <w:divBdr>
        <w:top w:val="none" w:sz="0" w:space="0" w:color="auto"/>
        <w:left w:val="none" w:sz="0" w:space="0" w:color="auto"/>
        <w:bottom w:val="none" w:sz="0" w:space="0" w:color="auto"/>
        <w:right w:val="none" w:sz="0" w:space="0" w:color="auto"/>
      </w:divBdr>
    </w:div>
    <w:div w:id="18681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IconOverlay xmlns="http://schemas.microsoft.com/sharepoint/v4" xsi:nil="true"/>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Policy/Advice</TermName>
          <TermId xmlns="http://schemas.microsoft.com/office/infopath/2007/PartnerControls">9487b7ba-e9d4-4e56-9fd5-fbe77776353a</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d163c1c4-855a-4881-8259-681c09980ad5">FIN201633505-1261068652-814</_dlc_DocId>
    <_dlc_DocIdUrl xmlns="d163c1c4-855a-4881-8259-681c09980ad5">
      <Url>https://f1.prdmgd.finance.gov.au/sites/50033505/_layouts/15/DocIdRedir.aspx?ID=FIN201633505-1261068652-814</Url>
      <Description>FIN201633505-1261068652-814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EC5E8B7D9F840B439E44064AD5CDECF0" ma:contentTypeVersion="69" ma:contentTypeDescription="Finance Word Document" ma:contentTypeScope="" ma:versionID="d41b32f43a803cbdbdc3f5ef388df3e5">
  <xsd:schema xmlns:xsd="http://www.w3.org/2001/XMLSchema" xmlns:xs="http://www.w3.org/2001/XMLSchema" xmlns:p="http://schemas.microsoft.com/office/2006/metadata/properties" xmlns:ns1="http://schemas.microsoft.com/sharepoint/v3" xmlns:ns2="82ff9d9b-d3fc-4aad-bc42-9949ee83b815" xmlns:ns3="d163c1c4-855a-4881-8259-681c09980ad5" xmlns:ns4="http://schemas.microsoft.com/sharepoint/v4" targetNamespace="http://schemas.microsoft.com/office/2006/metadata/properties" ma:root="true" ma:fieldsID="f25fc6c254fe8412795ab84425b7414c" ns1:_="" ns2:_="" ns3:_="" ns4:_="">
    <xsd:import namespace="http://schemas.microsoft.com/sharepoint/v3"/>
    <xsd:import namespace="82ff9d9b-d3fc-4aad-bc42-9949ee83b815"/>
    <xsd:import namespace="d163c1c4-855a-4881-8259-681c09980ad5"/>
    <xsd:import namespace="http://schemas.microsoft.com/sharepoint/v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SharedWithUsers" minOccurs="0"/>
                <xsd:element ref="ns4:IconOverla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xsd:simpleType>
        <xsd:restriction base="dms:Choice">
          <xsd:enumeration value="UNOFFICIAL"/>
          <xsd:enumeration value="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6318d2f0-f03b-4efd-ae43-ed0b819fbc9f}" ma:internalName="TaxCatchAll" ma:showField="CatchAllData" ma:web="d163c1c4-855a-4881-8259-681c09980ad5">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6318d2f0-f03b-4efd-ae43-ed0b819fbc9f}" ma:internalName="TaxCatchAllLabel" ma:readOnly="true" ma:showField="CatchAllDataLabel" ma:web="d163c1c4-855a-4881-8259-681c09980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3c1c4-855a-4881-8259-681c09980ad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D121-40CA-4A79-AF1E-5E79C87E0A31}">
  <ds:schemaRefs>
    <ds:schemaRef ds:uri="Microsoft.SharePoint.Taxonomy.ContentTypeSync"/>
  </ds:schemaRefs>
</ds:datastoreItem>
</file>

<file path=customXml/itemProps2.xml><?xml version="1.0" encoding="utf-8"?>
<ds:datastoreItem xmlns:ds="http://schemas.openxmlformats.org/officeDocument/2006/customXml" ds:itemID="{74BD9E8A-D8B7-404F-BDE7-11D11000D7FF}">
  <ds:schemaRefs>
    <ds:schemaRef ds:uri="http://schemas.microsoft.com/sharepoint/events"/>
  </ds:schemaRefs>
</ds:datastoreItem>
</file>

<file path=customXml/itemProps3.xml><?xml version="1.0" encoding="utf-8"?>
<ds:datastoreItem xmlns:ds="http://schemas.openxmlformats.org/officeDocument/2006/customXml" ds:itemID="{1086230D-759A-44BF-9C46-65E988CAAF97}">
  <ds:schemaRefs>
    <ds:schemaRef ds:uri="http://schemas.microsoft.com/sharepoint/v3/contenttype/forms"/>
  </ds:schemaRefs>
</ds:datastoreItem>
</file>

<file path=customXml/itemProps4.xml><?xml version="1.0" encoding="utf-8"?>
<ds:datastoreItem xmlns:ds="http://schemas.openxmlformats.org/officeDocument/2006/customXml" ds:itemID="{F2266C01-15D6-4298-84F9-F7397FD8E07A}">
  <ds:schemaRefs>
    <ds:schemaRef ds:uri="http://schemas.microsoft.com/office/2006/documentManagement/types"/>
    <ds:schemaRef ds:uri="d163c1c4-855a-4881-8259-681c09980ad5"/>
    <ds:schemaRef ds:uri="http://purl.org/dc/elements/1.1/"/>
    <ds:schemaRef ds:uri="http://schemas.openxmlformats.org/package/2006/metadata/core-properties"/>
    <ds:schemaRef ds:uri="http://schemas.microsoft.com/sharepoint/v4"/>
    <ds:schemaRef ds:uri="http://purl.org/dc/terms/"/>
    <ds:schemaRef ds:uri="http://schemas.microsoft.com/office/2006/metadata/properties"/>
    <ds:schemaRef ds:uri="http://purl.org/dc/dcmitype/"/>
    <ds:schemaRef ds:uri="http://schemas.microsoft.com/office/infopath/2007/PartnerControls"/>
    <ds:schemaRef ds:uri="82ff9d9b-d3fc-4aad-bc42-9949ee83b815"/>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3AABDC3-B775-4C79-9355-20265CC21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d163c1c4-855a-4881-8259-681c09980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9A94E6-1B7F-4BE4-B594-C1C7CC55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Finance Position Paper</vt:lpstr>
    </vt:vector>
  </TitlesOfParts>
  <Manager/>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Position Paper</dc:title>
  <dc:subject/>
  <dc:creator/>
  <cp:keywords/>
  <dc:description>FARM_Position Paper Template</dc:description>
  <cp:lastModifiedBy/>
  <cp:revision>1</cp:revision>
  <dcterms:created xsi:type="dcterms:W3CDTF">2020-06-25T04:26:00Z</dcterms:created>
  <dcterms:modified xsi:type="dcterms:W3CDTF">2020-06-26T02:12:00Z</dcterms:modified>
  <cp:category>For Official Use Only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0x010100B321FEA60C5BA343A52BC94EC00ABC9E070100EC5E8B7D9F840B439E44064AD5CDECF0</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Policy/Advice|9487b7ba-e9d4-4e56-9fd5-fbe77776353a</vt:lpwstr>
  </property>
  <property fmtid="{D5CDD505-2E9C-101B-9397-08002B2CF9AE}" pid="8" name="_dlc_DocIdItemGuid">
    <vt:lpwstr>7abaca1a-1b2a-41fc-b780-0946f4d67648</vt:lpwstr>
  </property>
</Properties>
</file>