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5A355" w14:textId="16FDC760" w:rsidR="00DD2B2C" w:rsidRPr="009D2800" w:rsidRDefault="00C40180" w:rsidP="001440E3">
      <w:pPr>
        <w:spacing w:after="0"/>
        <w:rPr>
          <w:rFonts w:ascii="Arial" w:eastAsiaTheme="majorEastAsia" w:hAnsi="Arial" w:cs="Arial"/>
          <w:b/>
          <w:bCs/>
          <w:color w:val="1F4E79" w:themeColor="accent1" w:themeShade="80"/>
          <w:kern w:val="28"/>
          <w:sz w:val="32"/>
          <w:szCs w:val="32"/>
        </w:rPr>
      </w:pPr>
      <w:r w:rsidRPr="009D2800">
        <w:rPr>
          <w:rFonts w:ascii="Arial" w:eastAsiaTheme="majorEastAsia" w:hAnsi="Arial" w:cs="Arial"/>
          <w:b/>
          <w:bCs/>
          <w:color w:val="1F4E79" w:themeColor="accent1" w:themeShade="80"/>
          <w:kern w:val="28"/>
          <w:sz w:val="32"/>
          <w:szCs w:val="32"/>
        </w:rPr>
        <w:t xml:space="preserve">Reporting </w:t>
      </w:r>
      <w:r w:rsidR="001C10CE" w:rsidRPr="009D2800">
        <w:rPr>
          <w:rFonts w:ascii="Arial" w:eastAsiaTheme="majorEastAsia" w:hAnsi="Arial" w:cs="Arial"/>
          <w:b/>
          <w:bCs/>
          <w:color w:val="1F4E79" w:themeColor="accent1" w:themeShade="80"/>
          <w:kern w:val="28"/>
          <w:sz w:val="32"/>
          <w:szCs w:val="32"/>
        </w:rPr>
        <w:t>requirements for</w:t>
      </w:r>
      <w:r w:rsidR="00F018DB" w:rsidRPr="009D2800">
        <w:rPr>
          <w:rFonts w:ascii="Arial" w:eastAsiaTheme="majorEastAsia" w:hAnsi="Arial" w:cs="Arial"/>
          <w:b/>
          <w:bCs/>
          <w:color w:val="1F4E79" w:themeColor="accent1" w:themeShade="80"/>
          <w:kern w:val="28"/>
          <w:sz w:val="32"/>
          <w:szCs w:val="32"/>
        </w:rPr>
        <w:t xml:space="preserve"> a new </w:t>
      </w:r>
      <w:r w:rsidR="00BC29BD" w:rsidRPr="009D2800">
        <w:rPr>
          <w:rFonts w:ascii="Arial" w:eastAsiaTheme="majorEastAsia" w:hAnsi="Arial" w:cs="Arial"/>
          <w:b/>
          <w:bCs/>
          <w:color w:val="1F4E79" w:themeColor="accent1" w:themeShade="80"/>
          <w:kern w:val="28"/>
          <w:sz w:val="32"/>
          <w:szCs w:val="32"/>
        </w:rPr>
        <w:t xml:space="preserve">Commonwealth entity or Commonwealth company’s </w:t>
      </w:r>
      <w:r w:rsidR="001C10CE" w:rsidRPr="009D2800">
        <w:rPr>
          <w:rFonts w:ascii="Arial" w:eastAsiaTheme="majorEastAsia" w:hAnsi="Arial" w:cs="Arial"/>
          <w:b/>
          <w:bCs/>
          <w:color w:val="1F4E79" w:themeColor="accent1" w:themeShade="80"/>
          <w:kern w:val="28"/>
          <w:sz w:val="32"/>
          <w:szCs w:val="32"/>
        </w:rPr>
        <w:t>first reporting p</w:t>
      </w:r>
      <w:r w:rsidRPr="009D2800">
        <w:rPr>
          <w:rFonts w:ascii="Arial" w:eastAsiaTheme="majorEastAsia" w:hAnsi="Arial" w:cs="Arial"/>
          <w:b/>
          <w:bCs/>
          <w:color w:val="1F4E79" w:themeColor="accent1" w:themeShade="80"/>
          <w:kern w:val="28"/>
          <w:sz w:val="32"/>
          <w:szCs w:val="32"/>
        </w:rPr>
        <w:t xml:space="preserve">eriod </w:t>
      </w:r>
    </w:p>
    <w:p w14:paraId="29B24BA6" w14:textId="77777777" w:rsidR="00AC7D70" w:rsidRDefault="00AC7D70" w:rsidP="001440E3">
      <w:pPr>
        <w:spacing w:after="0"/>
        <w:rPr>
          <w:rFonts w:ascii="Arial" w:hAnsi="Arial" w:cs="Arial"/>
          <w:i/>
          <w:color w:val="808080" w:themeColor="background1" w:themeShade="80"/>
        </w:rPr>
      </w:pPr>
    </w:p>
    <w:p w14:paraId="7293C123" w14:textId="6815DC53" w:rsidR="00AB1E60" w:rsidRPr="009D2800" w:rsidRDefault="00AB1E60" w:rsidP="001440E3">
      <w:pPr>
        <w:spacing w:after="0"/>
        <w:rPr>
          <w:rFonts w:ascii="Arial" w:hAnsi="Arial" w:cs="Arial"/>
          <w:i/>
          <w:color w:val="808080" w:themeColor="background1" w:themeShade="80"/>
        </w:rPr>
      </w:pPr>
      <w:r w:rsidRPr="009D2800">
        <w:rPr>
          <w:rFonts w:ascii="Arial" w:hAnsi="Arial" w:cs="Arial"/>
          <w:i/>
          <w:color w:val="808080" w:themeColor="background1" w:themeShade="80"/>
        </w:rPr>
        <w:t>Description of guidance on website</w:t>
      </w:r>
    </w:p>
    <w:tbl>
      <w:tblPr>
        <w:tblStyle w:val="TableGrid"/>
        <w:tblW w:w="0" w:type="auto"/>
        <w:tblLook w:val="04A0" w:firstRow="1" w:lastRow="0" w:firstColumn="1" w:lastColumn="0" w:noHBand="0" w:noVBand="1"/>
      </w:tblPr>
      <w:tblGrid>
        <w:gridCol w:w="9016"/>
      </w:tblGrid>
      <w:tr w:rsidR="00AB1E60" w:rsidRPr="00AC7D70" w14:paraId="3EC17687" w14:textId="77777777" w:rsidTr="00AB1E60">
        <w:tc>
          <w:tcPr>
            <w:tcW w:w="9016" w:type="dxa"/>
          </w:tcPr>
          <w:p w14:paraId="67A84DE7" w14:textId="26EDB665" w:rsidR="007F04D6" w:rsidRPr="009D2800" w:rsidRDefault="002E036E" w:rsidP="00F97028">
            <w:pPr>
              <w:rPr>
                <w:rFonts w:ascii="Arial" w:hAnsi="Arial" w:cs="Arial"/>
              </w:rPr>
            </w:pPr>
            <w:bookmarkStart w:id="0" w:name="_GoBack"/>
            <w:r w:rsidRPr="009D2800">
              <w:rPr>
                <w:rFonts w:ascii="Arial" w:hAnsi="Arial" w:cs="Arial"/>
              </w:rPr>
              <w:t xml:space="preserve">This guidance discusses the specific reporting requirements mandated under the </w:t>
            </w:r>
            <w:r w:rsidR="002055C4" w:rsidRPr="009D2800">
              <w:rPr>
                <w:rFonts w:ascii="Arial" w:hAnsi="Arial" w:cs="Arial"/>
                <w:i/>
              </w:rPr>
              <w:t>Public Governance, Perform</w:t>
            </w:r>
            <w:r w:rsidR="007651C8" w:rsidRPr="009D2800">
              <w:rPr>
                <w:rFonts w:ascii="Arial" w:hAnsi="Arial" w:cs="Arial"/>
                <w:i/>
              </w:rPr>
              <w:t>ance and Accountability Act 2013</w:t>
            </w:r>
            <w:r w:rsidR="002055C4" w:rsidRPr="009D2800">
              <w:rPr>
                <w:rFonts w:ascii="Arial" w:hAnsi="Arial" w:cs="Arial"/>
                <w:i/>
              </w:rPr>
              <w:t xml:space="preserve"> </w:t>
            </w:r>
            <w:r w:rsidR="002055C4" w:rsidRPr="009D2800">
              <w:rPr>
                <w:rFonts w:ascii="Arial" w:hAnsi="Arial" w:cs="Arial"/>
              </w:rPr>
              <w:t>(</w:t>
            </w:r>
            <w:r w:rsidRPr="009D2800">
              <w:rPr>
                <w:rFonts w:ascii="Arial" w:hAnsi="Arial" w:cs="Arial"/>
              </w:rPr>
              <w:t>PGPA Act</w:t>
            </w:r>
            <w:r w:rsidR="002055C4" w:rsidRPr="009D2800">
              <w:rPr>
                <w:rFonts w:ascii="Arial" w:hAnsi="Arial" w:cs="Arial"/>
              </w:rPr>
              <w:t>)</w:t>
            </w:r>
            <w:r w:rsidRPr="009D2800">
              <w:rPr>
                <w:rFonts w:ascii="Arial" w:hAnsi="Arial" w:cs="Arial"/>
              </w:rPr>
              <w:t xml:space="preserve"> </w:t>
            </w:r>
            <w:r w:rsidR="00367053" w:rsidRPr="009D2800">
              <w:rPr>
                <w:rFonts w:ascii="Arial" w:hAnsi="Arial" w:cs="Arial"/>
              </w:rPr>
              <w:t xml:space="preserve">for each reporting period </w:t>
            </w:r>
            <w:r w:rsidRPr="009D2800">
              <w:rPr>
                <w:rFonts w:ascii="Arial" w:hAnsi="Arial" w:cs="Arial"/>
              </w:rPr>
              <w:t>and ho</w:t>
            </w:r>
            <w:r w:rsidR="00944D5F" w:rsidRPr="009D2800">
              <w:rPr>
                <w:rFonts w:ascii="Arial" w:hAnsi="Arial" w:cs="Arial"/>
              </w:rPr>
              <w:t xml:space="preserve">w these apply to a new Commonwealth entity or Commonwealth company’s </w:t>
            </w:r>
            <w:r w:rsidRPr="009D2800">
              <w:rPr>
                <w:rFonts w:ascii="Arial" w:hAnsi="Arial" w:cs="Arial"/>
              </w:rPr>
              <w:t>first reporting period.</w:t>
            </w:r>
            <w:r w:rsidR="007914F9" w:rsidRPr="009D2800">
              <w:rPr>
                <w:rFonts w:ascii="Arial" w:hAnsi="Arial" w:cs="Arial"/>
              </w:rPr>
              <w:t xml:space="preserve">  </w:t>
            </w:r>
          </w:p>
        </w:tc>
      </w:tr>
      <w:bookmarkEnd w:id="0"/>
    </w:tbl>
    <w:p w14:paraId="609D01B4" w14:textId="77777777" w:rsidR="00AC7D70" w:rsidRDefault="00AC7D70" w:rsidP="001440E3">
      <w:pPr>
        <w:spacing w:after="0"/>
        <w:rPr>
          <w:rFonts w:ascii="Arial" w:hAnsi="Arial" w:cs="Arial"/>
          <w:i/>
          <w:color w:val="808080" w:themeColor="background1" w:themeShade="80"/>
        </w:rPr>
      </w:pPr>
    </w:p>
    <w:p w14:paraId="65BB5753" w14:textId="380CDD92" w:rsidR="00AB1E60" w:rsidRPr="009D2800" w:rsidRDefault="00AB1E60" w:rsidP="001440E3">
      <w:pPr>
        <w:spacing w:after="0"/>
        <w:rPr>
          <w:rFonts w:ascii="Arial" w:hAnsi="Arial" w:cs="Arial"/>
          <w:i/>
        </w:rPr>
      </w:pPr>
      <w:r w:rsidRPr="009D2800">
        <w:rPr>
          <w:rFonts w:ascii="Arial" w:hAnsi="Arial" w:cs="Arial"/>
          <w:i/>
          <w:color w:val="808080" w:themeColor="background1" w:themeShade="80"/>
        </w:rPr>
        <w:t>Main body of guidance</w:t>
      </w:r>
    </w:p>
    <w:tbl>
      <w:tblPr>
        <w:tblStyle w:val="TableGrid"/>
        <w:tblW w:w="0" w:type="auto"/>
        <w:tblLook w:val="04A0" w:firstRow="1" w:lastRow="0" w:firstColumn="1" w:lastColumn="0" w:noHBand="0" w:noVBand="1"/>
      </w:tblPr>
      <w:tblGrid>
        <w:gridCol w:w="9016"/>
      </w:tblGrid>
      <w:tr w:rsidR="00AB1E60" w:rsidRPr="00AC7D70" w14:paraId="0E6F209A" w14:textId="77777777" w:rsidTr="00AB1E60">
        <w:tc>
          <w:tcPr>
            <w:tcW w:w="9016" w:type="dxa"/>
          </w:tcPr>
          <w:p w14:paraId="3A589732" w14:textId="315CAC51" w:rsidR="00AB1E60" w:rsidRPr="009D2800" w:rsidRDefault="00AB1E60" w:rsidP="00AB1E60">
            <w:pPr>
              <w:rPr>
                <w:rFonts w:ascii="Arial" w:hAnsi="Arial" w:cs="Arial"/>
                <w:b/>
                <w:sz w:val="24"/>
                <w:szCs w:val="24"/>
              </w:rPr>
            </w:pPr>
            <w:r w:rsidRPr="009D2800">
              <w:rPr>
                <w:rFonts w:ascii="Arial" w:hAnsi="Arial" w:cs="Arial"/>
                <w:b/>
                <w:sz w:val="24"/>
                <w:szCs w:val="24"/>
              </w:rPr>
              <w:t>Who does this apply to?</w:t>
            </w:r>
          </w:p>
          <w:p w14:paraId="4B4B712C" w14:textId="77777777" w:rsidR="0013717A" w:rsidRPr="009D2800" w:rsidRDefault="0013717A" w:rsidP="00AB1E60">
            <w:pPr>
              <w:rPr>
                <w:rFonts w:ascii="Arial" w:hAnsi="Arial" w:cs="Arial"/>
                <w:b/>
              </w:rPr>
            </w:pPr>
          </w:p>
          <w:p w14:paraId="53A4E066" w14:textId="2FB56E2E" w:rsidR="00AB1E60" w:rsidRDefault="00AB1E60" w:rsidP="00AB1E60">
            <w:pPr>
              <w:rPr>
                <w:rFonts w:ascii="Arial" w:hAnsi="Arial" w:cs="Arial"/>
              </w:rPr>
            </w:pPr>
            <w:r w:rsidRPr="009D2800">
              <w:rPr>
                <w:rFonts w:ascii="Arial" w:hAnsi="Arial" w:cs="Arial"/>
              </w:rPr>
              <w:t xml:space="preserve">This guidance is relevant to </w:t>
            </w:r>
            <w:r w:rsidR="009D6491" w:rsidRPr="009D2800">
              <w:rPr>
                <w:rFonts w:ascii="Arial" w:hAnsi="Arial" w:cs="Arial"/>
              </w:rPr>
              <w:t xml:space="preserve">officials </w:t>
            </w:r>
            <w:r w:rsidR="005954F2" w:rsidRPr="009D2800">
              <w:rPr>
                <w:rFonts w:ascii="Arial" w:hAnsi="Arial" w:cs="Arial"/>
              </w:rPr>
              <w:t xml:space="preserve">(typically </w:t>
            </w:r>
            <w:r w:rsidR="009D6491" w:rsidRPr="009D2800">
              <w:rPr>
                <w:rFonts w:ascii="Arial" w:hAnsi="Arial" w:cs="Arial"/>
              </w:rPr>
              <w:t>in portfolio departments</w:t>
            </w:r>
            <w:r w:rsidR="005954F2" w:rsidRPr="009D2800">
              <w:rPr>
                <w:rFonts w:ascii="Arial" w:hAnsi="Arial" w:cs="Arial"/>
              </w:rPr>
              <w:t>)</w:t>
            </w:r>
            <w:r w:rsidR="009D6491" w:rsidRPr="009D2800">
              <w:rPr>
                <w:rFonts w:ascii="Arial" w:hAnsi="Arial" w:cs="Arial"/>
              </w:rPr>
              <w:t xml:space="preserve"> who intend</w:t>
            </w:r>
            <w:r w:rsidR="00944D5F" w:rsidRPr="009D2800">
              <w:rPr>
                <w:rFonts w:ascii="Arial" w:hAnsi="Arial" w:cs="Arial"/>
              </w:rPr>
              <w:t xml:space="preserve"> to establish a new Commonwealth entity or Commonwealth company </w:t>
            </w:r>
            <w:r w:rsidRPr="009D2800">
              <w:rPr>
                <w:rFonts w:ascii="Arial" w:hAnsi="Arial" w:cs="Arial"/>
              </w:rPr>
              <w:t>under the PGPA Act.</w:t>
            </w:r>
          </w:p>
          <w:p w14:paraId="5E509813" w14:textId="54E7080A" w:rsidR="00D52975" w:rsidRDefault="00D52975" w:rsidP="00AB1E60">
            <w:pPr>
              <w:rPr>
                <w:rFonts w:ascii="Arial" w:hAnsi="Arial" w:cs="Arial"/>
              </w:rPr>
            </w:pPr>
          </w:p>
          <w:p w14:paraId="130C2D05" w14:textId="0FA48F06" w:rsidR="00D52975" w:rsidRPr="009D2800" w:rsidRDefault="00D52975" w:rsidP="00AB1E60">
            <w:pPr>
              <w:rPr>
                <w:rFonts w:ascii="Arial" w:hAnsi="Arial" w:cs="Arial"/>
                <w:b/>
              </w:rPr>
            </w:pPr>
            <w:r>
              <w:rPr>
                <w:rFonts w:ascii="Arial" w:hAnsi="Arial" w:cs="Arial"/>
                <w:b/>
              </w:rPr>
              <w:t>What secti</w:t>
            </w:r>
            <w:r w:rsidR="006A1C5B">
              <w:rPr>
                <w:rFonts w:ascii="Arial" w:hAnsi="Arial" w:cs="Arial"/>
                <w:b/>
              </w:rPr>
              <w:t>ons of the PGPA Act are relevant</w:t>
            </w:r>
            <w:r>
              <w:rPr>
                <w:rFonts w:ascii="Arial" w:hAnsi="Arial" w:cs="Arial"/>
                <w:b/>
              </w:rPr>
              <w:t>?</w:t>
            </w:r>
          </w:p>
          <w:p w14:paraId="75396F5E" w14:textId="77777777" w:rsidR="00D52975" w:rsidRDefault="00D52975" w:rsidP="00AB1E60">
            <w:pPr>
              <w:rPr>
                <w:rFonts w:ascii="Arial" w:hAnsi="Arial" w:cs="Arial"/>
              </w:rPr>
            </w:pPr>
          </w:p>
          <w:p w14:paraId="3E2C3A21" w14:textId="191EFE59" w:rsidR="00D52975" w:rsidRPr="009D2800" w:rsidRDefault="00D52975" w:rsidP="00AB1E60">
            <w:pPr>
              <w:rPr>
                <w:rFonts w:ascii="Arial" w:hAnsi="Arial" w:cs="Arial"/>
              </w:rPr>
            </w:pPr>
            <w:r>
              <w:rPr>
                <w:rFonts w:ascii="Arial" w:hAnsi="Arial" w:cs="Arial"/>
              </w:rPr>
              <w:t>For PGPA Act section references, see the table below.</w:t>
            </w:r>
          </w:p>
          <w:p w14:paraId="77419DDD" w14:textId="0582E61A" w:rsidR="00AB1E60" w:rsidRPr="009D2800" w:rsidRDefault="00AB1E60" w:rsidP="00AB1E60">
            <w:pPr>
              <w:rPr>
                <w:rFonts w:ascii="Arial" w:hAnsi="Arial" w:cs="Arial"/>
              </w:rPr>
            </w:pPr>
          </w:p>
          <w:p w14:paraId="2C7003F8" w14:textId="28418558" w:rsidR="00646891" w:rsidRPr="009D2800" w:rsidRDefault="00646891" w:rsidP="00646891">
            <w:pPr>
              <w:rPr>
                <w:rFonts w:ascii="Arial" w:hAnsi="Arial" w:cs="Arial"/>
                <w:b/>
                <w:sz w:val="24"/>
                <w:szCs w:val="24"/>
              </w:rPr>
            </w:pPr>
            <w:r w:rsidRPr="009D2800">
              <w:rPr>
                <w:rFonts w:ascii="Arial" w:hAnsi="Arial" w:cs="Arial"/>
                <w:b/>
                <w:sz w:val="24"/>
                <w:szCs w:val="24"/>
              </w:rPr>
              <w:t>What is a reporting period?</w:t>
            </w:r>
          </w:p>
          <w:p w14:paraId="74A54B12" w14:textId="77777777" w:rsidR="0013717A" w:rsidRPr="009D2800" w:rsidRDefault="0013717A" w:rsidP="00646891">
            <w:pPr>
              <w:rPr>
                <w:rFonts w:ascii="Arial" w:hAnsi="Arial" w:cs="Arial"/>
                <w:b/>
              </w:rPr>
            </w:pPr>
          </w:p>
          <w:p w14:paraId="37EF22ED" w14:textId="72273B0B" w:rsidR="00646891" w:rsidRPr="009D2800" w:rsidRDefault="00646891" w:rsidP="00646891">
            <w:pPr>
              <w:rPr>
                <w:rFonts w:ascii="Arial" w:hAnsi="Arial" w:cs="Arial"/>
              </w:rPr>
            </w:pPr>
            <w:r w:rsidRPr="009D2800">
              <w:rPr>
                <w:rFonts w:ascii="Arial" w:hAnsi="Arial" w:cs="Arial"/>
              </w:rPr>
              <w:t xml:space="preserve">Reporting period is defined under the PGPA Act </w:t>
            </w:r>
            <w:r w:rsidR="003637AB" w:rsidRPr="009D2800">
              <w:rPr>
                <w:rFonts w:ascii="Arial" w:hAnsi="Arial" w:cs="Arial"/>
              </w:rPr>
              <w:t xml:space="preserve">(section 8) </w:t>
            </w:r>
            <w:r w:rsidRPr="009D2800">
              <w:rPr>
                <w:rFonts w:ascii="Arial" w:hAnsi="Arial" w:cs="Arial"/>
              </w:rPr>
              <w:t>as:</w:t>
            </w:r>
          </w:p>
          <w:p w14:paraId="6C1BA6C7" w14:textId="77777777" w:rsidR="00646891" w:rsidRPr="009D2800" w:rsidRDefault="00646891" w:rsidP="00646891">
            <w:pPr>
              <w:pStyle w:val="ListParagraph"/>
              <w:numPr>
                <w:ilvl w:val="0"/>
                <w:numId w:val="6"/>
              </w:numPr>
              <w:rPr>
                <w:rFonts w:ascii="Arial" w:hAnsi="Arial" w:cs="Arial"/>
              </w:rPr>
            </w:pPr>
            <w:r w:rsidRPr="009D2800">
              <w:rPr>
                <w:rFonts w:ascii="Arial" w:hAnsi="Arial" w:cs="Arial"/>
              </w:rPr>
              <w:t>the period of 12 months commencing on 1 July; or</w:t>
            </w:r>
          </w:p>
          <w:p w14:paraId="7BDA0179" w14:textId="77777777" w:rsidR="00646891" w:rsidRPr="009D2800" w:rsidRDefault="00646891" w:rsidP="00646891">
            <w:pPr>
              <w:pStyle w:val="ListParagraph"/>
              <w:numPr>
                <w:ilvl w:val="0"/>
                <w:numId w:val="6"/>
              </w:numPr>
              <w:rPr>
                <w:rFonts w:ascii="Arial" w:hAnsi="Arial" w:cs="Arial"/>
              </w:rPr>
            </w:pPr>
            <w:proofErr w:type="gramStart"/>
            <w:r w:rsidRPr="009D2800">
              <w:rPr>
                <w:rFonts w:ascii="Arial" w:hAnsi="Arial" w:cs="Arial"/>
              </w:rPr>
              <w:t>any</w:t>
            </w:r>
            <w:proofErr w:type="gramEnd"/>
            <w:r w:rsidRPr="009D2800">
              <w:rPr>
                <w:rFonts w:ascii="Arial" w:hAnsi="Arial" w:cs="Arial"/>
              </w:rPr>
              <w:t xml:space="preserve"> other period prescribed by an Act or the rules for an entity, company or subsidiary.</w:t>
            </w:r>
          </w:p>
          <w:p w14:paraId="75776F6C" w14:textId="77777777" w:rsidR="00646891" w:rsidRPr="009D2800" w:rsidRDefault="00646891" w:rsidP="00646891">
            <w:pPr>
              <w:rPr>
                <w:rFonts w:ascii="Arial" w:hAnsi="Arial" w:cs="Arial"/>
              </w:rPr>
            </w:pPr>
          </w:p>
          <w:p w14:paraId="09C21458" w14:textId="65CD0889" w:rsidR="00646891" w:rsidRPr="009D2800" w:rsidRDefault="00646891" w:rsidP="00646891">
            <w:pPr>
              <w:rPr>
                <w:rFonts w:ascii="Arial" w:hAnsi="Arial" w:cs="Arial"/>
              </w:rPr>
            </w:pPr>
            <w:r w:rsidRPr="009D2800">
              <w:rPr>
                <w:rFonts w:ascii="Arial" w:hAnsi="Arial" w:cs="Arial"/>
              </w:rPr>
              <w:t>General</w:t>
            </w:r>
            <w:r w:rsidR="006D5CFB" w:rsidRPr="009D2800">
              <w:rPr>
                <w:rFonts w:ascii="Arial" w:hAnsi="Arial" w:cs="Arial"/>
              </w:rPr>
              <w:t xml:space="preserve">ly, the reporting period for a Commonwealth </w:t>
            </w:r>
            <w:r w:rsidRPr="009D2800">
              <w:rPr>
                <w:rFonts w:ascii="Arial" w:hAnsi="Arial" w:cs="Arial"/>
              </w:rPr>
              <w:t>entity or Commonwealth company will commence on 1 July and end on 30 June the following year.</w:t>
            </w:r>
            <w:r w:rsidR="006D5CFB" w:rsidRPr="009D2800">
              <w:rPr>
                <w:rFonts w:ascii="Arial" w:hAnsi="Arial" w:cs="Arial"/>
              </w:rPr>
              <w:t xml:space="preserve"> </w:t>
            </w:r>
            <w:r w:rsidR="00F26C9B" w:rsidRPr="009D2800">
              <w:rPr>
                <w:rFonts w:ascii="Arial" w:hAnsi="Arial" w:cs="Arial"/>
              </w:rPr>
              <w:t>However the first reporting period may be less than 12 months (i.e. commencement date to 30 June).</w:t>
            </w:r>
          </w:p>
          <w:p w14:paraId="5FCAE368" w14:textId="77777777" w:rsidR="00646891" w:rsidRPr="009D2800" w:rsidRDefault="00646891" w:rsidP="00AB1E60">
            <w:pPr>
              <w:rPr>
                <w:rFonts w:ascii="Arial" w:hAnsi="Arial" w:cs="Arial"/>
                <w:b/>
                <w:u w:val="single"/>
              </w:rPr>
            </w:pPr>
          </w:p>
          <w:p w14:paraId="09FC4093" w14:textId="043DE409" w:rsidR="00D0490D" w:rsidRPr="009D2800" w:rsidRDefault="00CB2394" w:rsidP="00AB1E60">
            <w:pPr>
              <w:rPr>
                <w:rFonts w:ascii="Arial" w:hAnsi="Arial" w:cs="Arial"/>
                <w:b/>
                <w:sz w:val="24"/>
                <w:szCs w:val="24"/>
              </w:rPr>
            </w:pPr>
            <w:r w:rsidRPr="009D2800">
              <w:rPr>
                <w:rFonts w:ascii="Arial" w:hAnsi="Arial" w:cs="Arial"/>
                <w:b/>
                <w:sz w:val="24"/>
                <w:szCs w:val="24"/>
              </w:rPr>
              <w:t>Wha</w:t>
            </w:r>
            <w:r w:rsidR="00A6029D" w:rsidRPr="009D2800">
              <w:rPr>
                <w:rFonts w:ascii="Arial" w:hAnsi="Arial" w:cs="Arial"/>
                <w:b/>
                <w:sz w:val="24"/>
                <w:szCs w:val="24"/>
              </w:rPr>
              <w:t>t is required each reporting period under the PGPA Act?</w:t>
            </w:r>
          </w:p>
          <w:p w14:paraId="5561CF5C" w14:textId="77777777" w:rsidR="0013717A" w:rsidRPr="009D2800" w:rsidRDefault="0013717A" w:rsidP="00AB1E60">
            <w:pPr>
              <w:rPr>
                <w:rFonts w:ascii="Arial" w:hAnsi="Arial" w:cs="Arial"/>
                <w:b/>
              </w:rPr>
            </w:pPr>
          </w:p>
          <w:p w14:paraId="158FED15" w14:textId="5234D510" w:rsidR="004C3154" w:rsidRPr="009D2800" w:rsidRDefault="004C3154" w:rsidP="004C3154">
            <w:pPr>
              <w:rPr>
                <w:rFonts w:ascii="Arial" w:hAnsi="Arial" w:cs="Arial"/>
              </w:rPr>
            </w:pPr>
            <w:r w:rsidRPr="009D2800">
              <w:rPr>
                <w:rFonts w:ascii="Arial" w:hAnsi="Arial" w:cs="Arial"/>
              </w:rPr>
              <w:t>Subject to the exceptions listed</w:t>
            </w:r>
            <w:r w:rsidR="0092282E" w:rsidRPr="009D2800">
              <w:rPr>
                <w:rFonts w:ascii="Arial" w:hAnsi="Arial" w:cs="Arial"/>
              </w:rPr>
              <w:t xml:space="preserve"> below</w:t>
            </w:r>
            <w:r w:rsidRPr="009D2800">
              <w:rPr>
                <w:rFonts w:ascii="Arial" w:hAnsi="Arial" w:cs="Arial"/>
              </w:rPr>
              <w:t>, the PGPA Act requires Commonwealth enti</w:t>
            </w:r>
            <w:r w:rsidR="008C221B" w:rsidRPr="009D2800">
              <w:rPr>
                <w:rFonts w:ascii="Arial" w:hAnsi="Arial" w:cs="Arial"/>
              </w:rPr>
              <w:t xml:space="preserve">ties and </w:t>
            </w:r>
            <w:r w:rsidRPr="009D2800">
              <w:rPr>
                <w:rFonts w:ascii="Arial" w:hAnsi="Arial" w:cs="Arial"/>
              </w:rPr>
              <w:t xml:space="preserve">Commonwealth companies to </w:t>
            </w:r>
            <w:r w:rsidRPr="009D2800">
              <w:rPr>
                <w:rFonts w:ascii="Arial" w:hAnsi="Arial" w:cs="Arial"/>
                <w:i/>
                <w:u w:val="single"/>
              </w:rPr>
              <w:t>prepare</w:t>
            </w:r>
            <w:r w:rsidRPr="009D2800">
              <w:rPr>
                <w:rFonts w:ascii="Arial" w:hAnsi="Arial" w:cs="Arial"/>
              </w:rPr>
              <w:t xml:space="preserve"> the following each reporting period:</w:t>
            </w:r>
          </w:p>
          <w:p w14:paraId="2C74A7A7" w14:textId="1B01BC7E" w:rsidR="00F36807" w:rsidRPr="009D2800" w:rsidRDefault="00F36807" w:rsidP="00F36807">
            <w:pPr>
              <w:pStyle w:val="ListParagraph"/>
              <w:numPr>
                <w:ilvl w:val="0"/>
                <w:numId w:val="3"/>
              </w:numPr>
              <w:rPr>
                <w:rFonts w:ascii="Arial" w:hAnsi="Arial" w:cs="Arial"/>
              </w:rPr>
            </w:pPr>
            <w:r w:rsidRPr="009D2800">
              <w:rPr>
                <w:rFonts w:ascii="Arial" w:hAnsi="Arial" w:cs="Arial"/>
              </w:rPr>
              <w:t>annual financial statements</w:t>
            </w:r>
            <w:r w:rsidR="00285703" w:rsidRPr="009D2800">
              <w:rPr>
                <w:rFonts w:ascii="Arial" w:hAnsi="Arial" w:cs="Arial"/>
              </w:rPr>
              <w:t xml:space="preserve"> (Commonwealth entities only)</w:t>
            </w:r>
          </w:p>
          <w:p w14:paraId="12508E82" w14:textId="4FA21149" w:rsidR="00F36807" w:rsidRPr="009D2800" w:rsidRDefault="00F36807" w:rsidP="00F36807">
            <w:pPr>
              <w:pStyle w:val="ListParagraph"/>
              <w:numPr>
                <w:ilvl w:val="0"/>
                <w:numId w:val="3"/>
              </w:numPr>
              <w:rPr>
                <w:rFonts w:ascii="Arial" w:hAnsi="Arial" w:cs="Arial"/>
              </w:rPr>
            </w:pPr>
            <w:r w:rsidRPr="009D2800">
              <w:rPr>
                <w:rFonts w:ascii="Arial" w:hAnsi="Arial" w:cs="Arial"/>
              </w:rPr>
              <w:t>annual report</w:t>
            </w:r>
            <w:r w:rsidR="00CF62E1" w:rsidRPr="009D2800">
              <w:rPr>
                <w:rFonts w:ascii="Arial" w:hAnsi="Arial" w:cs="Arial"/>
              </w:rPr>
              <w:t xml:space="preserve"> </w:t>
            </w:r>
            <w:r w:rsidR="008E58E8" w:rsidRPr="009D2800">
              <w:rPr>
                <w:rFonts w:ascii="Arial" w:hAnsi="Arial" w:cs="Arial"/>
              </w:rPr>
              <w:t>(Commonwealth entities only)</w:t>
            </w:r>
          </w:p>
          <w:p w14:paraId="09EF5BA7" w14:textId="77777777" w:rsidR="005D3267" w:rsidRPr="009D2800" w:rsidRDefault="005D3267" w:rsidP="005D3267">
            <w:pPr>
              <w:pStyle w:val="ListParagraph"/>
              <w:numPr>
                <w:ilvl w:val="0"/>
                <w:numId w:val="3"/>
              </w:numPr>
              <w:rPr>
                <w:rFonts w:ascii="Arial" w:hAnsi="Arial" w:cs="Arial"/>
              </w:rPr>
            </w:pPr>
            <w:r w:rsidRPr="009D2800">
              <w:rPr>
                <w:rFonts w:ascii="Arial" w:hAnsi="Arial" w:cs="Arial"/>
              </w:rPr>
              <w:t>corporate plan</w:t>
            </w:r>
          </w:p>
          <w:p w14:paraId="3F2C97B7" w14:textId="77777777" w:rsidR="005D3267" w:rsidRPr="009D2800" w:rsidRDefault="005D3267" w:rsidP="00F36807">
            <w:pPr>
              <w:pStyle w:val="ListParagraph"/>
              <w:numPr>
                <w:ilvl w:val="0"/>
                <w:numId w:val="3"/>
              </w:numPr>
              <w:rPr>
                <w:rFonts w:ascii="Arial" w:hAnsi="Arial" w:cs="Arial"/>
              </w:rPr>
            </w:pPr>
            <w:r w:rsidRPr="009D2800">
              <w:rPr>
                <w:rFonts w:ascii="Arial" w:hAnsi="Arial" w:cs="Arial"/>
              </w:rPr>
              <w:t>budget estimates (Commonwealth entities and wholly-owned Commonwealth companies only)</w:t>
            </w:r>
          </w:p>
          <w:p w14:paraId="36D00D40" w14:textId="25A9173C" w:rsidR="00F36807" w:rsidRPr="009D2800" w:rsidRDefault="00F36807" w:rsidP="005D3267">
            <w:pPr>
              <w:pStyle w:val="ListParagraph"/>
              <w:numPr>
                <w:ilvl w:val="0"/>
                <w:numId w:val="3"/>
              </w:numPr>
              <w:rPr>
                <w:rFonts w:ascii="Arial" w:hAnsi="Arial" w:cs="Arial"/>
              </w:rPr>
            </w:pPr>
            <w:r w:rsidRPr="009D2800">
              <w:rPr>
                <w:rFonts w:ascii="Arial" w:hAnsi="Arial" w:cs="Arial"/>
              </w:rPr>
              <w:t>annual performance statements</w:t>
            </w:r>
            <w:r w:rsidR="00285703" w:rsidRPr="009D2800">
              <w:rPr>
                <w:rFonts w:ascii="Arial" w:hAnsi="Arial" w:cs="Arial"/>
              </w:rPr>
              <w:t xml:space="preserve"> (Commonwealth entities only)</w:t>
            </w:r>
          </w:p>
          <w:p w14:paraId="62ED0F58" w14:textId="4DA2E16A" w:rsidR="00D67E4C" w:rsidRPr="009D2800" w:rsidRDefault="00D67E4C" w:rsidP="009D2800">
            <w:pPr>
              <w:rPr>
                <w:rFonts w:ascii="Arial" w:hAnsi="Arial" w:cs="Arial"/>
              </w:rPr>
            </w:pPr>
          </w:p>
          <w:p w14:paraId="7CAE7AFE" w14:textId="1F2149FD" w:rsidR="00D67E4C" w:rsidRPr="009D2800" w:rsidRDefault="00D67E4C" w:rsidP="009D2800">
            <w:pPr>
              <w:rPr>
                <w:rFonts w:ascii="Arial" w:hAnsi="Arial" w:cs="Arial"/>
              </w:rPr>
            </w:pPr>
            <w:r w:rsidRPr="009D2800">
              <w:rPr>
                <w:rFonts w:ascii="Arial" w:hAnsi="Arial" w:cs="Arial"/>
              </w:rPr>
              <w:t xml:space="preserve">Commonwealth companies are required to </w:t>
            </w:r>
            <w:r w:rsidRPr="009D2800">
              <w:rPr>
                <w:rFonts w:ascii="Arial" w:hAnsi="Arial" w:cs="Arial"/>
                <w:i/>
                <w:u w:val="single"/>
              </w:rPr>
              <w:t>prepare</w:t>
            </w:r>
            <w:r w:rsidRPr="009D2800">
              <w:rPr>
                <w:rFonts w:ascii="Arial" w:hAnsi="Arial" w:cs="Arial"/>
              </w:rPr>
              <w:t xml:space="preserve"> </w:t>
            </w:r>
            <w:r w:rsidR="008E58E8" w:rsidRPr="009D2800">
              <w:rPr>
                <w:rFonts w:ascii="Arial" w:hAnsi="Arial" w:cs="Arial"/>
              </w:rPr>
              <w:t xml:space="preserve">a financial report, directors’ report and auditor’s report </w:t>
            </w:r>
            <w:r w:rsidR="00CF62E1" w:rsidRPr="009D2800">
              <w:rPr>
                <w:rFonts w:ascii="Arial" w:hAnsi="Arial" w:cs="Arial"/>
              </w:rPr>
              <w:t xml:space="preserve">in accordance with </w:t>
            </w:r>
            <w:r w:rsidRPr="009D2800">
              <w:rPr>
                <w:rFonts w:ascii="Arial" w:hAnsi="Arial" w:cs="Arial"/>
              </w:rPr>
              <w:t xml:space="preserve">the </w:t>
            </w:r>
            <w:r w:rsidRPr="009D2800">
              <w:rPr>
                <w:rFonts w:ascii="Arial" w:hAnsi="Arial" w:cs="Arial"/>
                <w:i/>
              </w:rPr>
              <w:t>Corporations Act 2001</w:t>
            </w:r>
            <w:r w:rsidRPr="009D2800">
              <w:rPr>
                <w:rFonts w:ascii="Arial" w:hAnsi="Arial" w:cs="Arial"/>
              </w:rPr>
              <w:t>.</w:t>
            </w:r>
            <w:r w:rsidR="008E58E8" w:rsidRPr="009D2800">
              <w:rPr>
                <w:rFonts w:ascii="Arial" w:hAnsi="Arial" w:cs="Arial"/>
              </w:rPr>
              <w:t xml:space="preserve"> This forms the annual report required to be </w:t>
            </w:r>
            <w:r w:rsidR="008E58E8" w:rsidRPr="009D2800">
              <w:rPr>
                <w:rFonts w:ascii="Arial" w:hAnsi="Arial" w:cs="Arial"/>
                <w:i/>
                <w:u w:val="single"/>
              </w:rPr>
              <w:t>provided</w:t>
            </w:r>
            <w:r w:rsidR="008E58E8" w:rsidRPr="009D2800">
              <w:rPr>
                <w:rFonts w:ascii="Arial" w:hAnsi="Arial" w:cs="Arial"/>
              </w:rPr>
              <w:t xml:space="preserve"> to the responsible Minister under the PGPA Act (additional information may be required for wholly-owned Commonwealth companies).</w:t>
            </w:r>
            <w:r w:rsidR="00CF62E1" w:rsidRPr="009D2800">
              <w:rPr>
                <w:rFonts w:ascii="Arial" w:hAnsi="Arial" w:cs="Arial"/>
              </w:rPr>
              <w:t xml:space="preserve"> </w:t>
            </w:r>
          </w:p>
          <w:p w14:paraId="211E3749" w14:textId="53495CB2" w:rsidR="00A80DB2" w:rsidRPr="009D2800" w:rsidRDefault="00A80DB2" w:rsidP="00AB1E60">
            <w:pPr>
              <w:rPr>
                <w:rFonts w:ascii="Arial" w:hAnsi="Arial" w:cs="Arial"/>
              </w:rPr>
            </w:pPr>
          </w:p>
          <w:p w14:paraId="5307F632" w14:textId="245CEF10" w:rsidR="00A6029D" w:rsidRPr="009D2800" w:rsidRDefault="00A6029D" w:rsidP="00AB1E60">
            <w:pPr>
              <w:rPr>
                <w:rFonts w:ascii="Arial" w:hAnsi="Arial" w:cs="Arial"/>
                <w:b/>
                <w:sz w:val="24"/>
                <w:szCs w:val="24"/>
              </w:rPr>
            </w:pPr>
            <w:r w:rsidRPr="009D2800">
              <w:rPr>
                <w:rFonts w:ascii="Arial" w:hAnsi="Arial" w:cs="Arial"/>
                <w:b/>
                <w:sz w:val="24"/>
                <w:szCs w:val="24"/>
              </w:rPr>
              <w:t>What is required for the first reporting period?</w:t>
            </w:r>
          </w:p>
          <w:p w14:paraId="1C4C0F35" w14:textId="77777777" w:rsidR="0013717A" w:rsidRPr="009D2800" w:rsidRDefault="0013717A" w:rsidP="00AB1E60">
            <w:pPr>
              <w:rPr>
                <w:rFonts w:ascii="Arial" w:hAnsi="Arial" w:cs="Arial"/>
                <w:b/>
              </w:rPr>
            </w:pPr>
          </w:p>
          <w:p w14:paraId="08CD5165" w14:textId="42A4C7A4" w:rsidR="00004384" w:rsidRPr="009D2800" w:rsidRDefault="00185845" w:rsidP="00185845">
            <w:pPr>
              <w:rPr>
                <w:rFonts w:ascii="Arial" w:hAnsi="Arial" w:cs="Arial"/>
              </w:rPr>
            </w:pPr>
            <w:r w:rsidRPr="009D2800">
              <w:rPr>
                <w:rFonts w:ascii="Arial" w:hAnsi="Arial" w:cs="Arial"/>
              </w:rPr>
              <w:t>T</w:t>
            </w:r>
            <w:r w:rsidR="00004384" w:rsidRPr="009D2800">
              <w:rPr>
                <w:rFonts w:ascii="Arial" w:hAnsi="Arial" w:cs="Arial"/>
              </w:rPr>
              <w:t>he items listed above</w:t>
            </w:r>
            <w:r w:rsidRPr="009D2800">
              <w:rPr>
                <w:rFonts w:ascii="Arial" w:hAnsi="Arial" w:cs="Arial"/>
              </w:rPr>
              <w:t xml:space="preserve"> are required for </w:t>
            </w:r>
            <w:r w:rsidR="008C221B" w:rsidRPr="009D2800">
              <w:rPr>
                <w:rFonts w:ascii="Arial" w:hAnsi="Arial" w:cs="Arial"/>
              </w:rPr>
              <w:t xml:space="preserve">a new Commonwealth entity or </w:t>
            </w:r>
            <w:r w:rsidRPr="009D2800">
              <w:rPr>
                <w:rFonts w:ascii="Arial" w:hAnsi="Arial" w:cs="Arial"/>
              </w:rPr>
              <w:t xml:space="preserve">Commonwealth company’s </w:t>
            </w:r>
            <w:r w:rsidR="00004384" w:rsidRPr="009D2800">
              <w:rPr>
                <w:rFonts w:ascii="Arial" w:hAnsi="Arial" w:cs="Arial"/>
              </w:rPr>
              <w:t xml:space="preserve">first reporting period, </w:t>
            </w:r>
            <w:r w:rsidR="006D5CFB" w:rsidRPr="009D2800">
              <w:rPr>
                <w:rFonts w:ascii="Arial" w:hAnsi="Arial" w:cs="Arial"/>
              </w:rPr>
              <w:t xml:space="preserve">as appropriate, </w:t>
            </w:r>
            <w:r w:rsidR="00255C27" w:rsidRPr="009D2800">
              <w:rPr>
                <w:rFonts w:ascii="Arial" w:hAnsi="Arial" w:cs="Arial"/>
              </w:rPr>
              <w:t>noting</w:t>
            </w:r>
            <w:r w:rsidR="00004384" w:rsidRPr="009D2800">
              <w:rPr>
                <w:rFonts w:ascii="Arial" w:hAnsi="Arial" w:cs="Arial"/>
              </w:rPr>
              <w:t xml:space="preserve"> the following:</w:t>
            </w:r>
          </w:p>
          <w:p w14:paraId="7B52D418" w14:textId="5C8CD75F" w:rsidR="00BE4804" w:rsidRPr="009D2800" w:rsidRDefault="00BE4804" w:rsidP="00004384">
            <w:pPr>
              <w:pStyle w:val="Bullet1"/>
              <w:rPr>
                <w:rFonts w:ascii="Arial" w:hAnsi="Arial" w:cs="Arial"/>
              </w:rPr>
            </w:pPr>
            <w:proofErr w:type="gramStart"/>
            <w:r w:rsidRPr="009D2800">
              <w:rPr>
                <w:rFonts w:ascii="Arial" w:hAnsi="Arial" w:cs="Arial"/>
                <w:u w:val="single"/>
              </w:rPr>
              <w:lastRenderedPageBreak/>
              <w:t>corporate</w:t>
            </w:r>
            <w:proofErr w:type="gramEnd"/>
            <w:r w:rsidRPr="009D2800">
              <w:rPr>
                <w:rFonts w:ascii="Arial" w:hAnsi="Arial" w:cs="Arial"/>
                <w:u w:val="single"/>
              </w:rPr>
              <w:t xml:space="preserve"> plan</w:t>
            </w:r>
            <w:r w:rsidRPr="009D2800">
              <w:rPr>
                <w:rFonts w:ascii="Arial" w:hAnsi="Arial" w:cs="Arial"/>
              </w:rPr>
              <w:t xml:space="preserve"> </w:t>
            </w:r>
            <w:r w:rsidR="00255C27" w:rsidRPr="009D2800">
              <w:rPr>
                <w:rFonts w:ascii="Arial" w:hAnsi="Arial" w:cs="Arial"/>
              </w:rPr>
              <w:t>–</w:t>
            </w:r>
            <w:r w:rsidR="001631B7" w:rsidRPr="009D2800">
              <w:rPr>
                <w:rFonts w:ascii="Arial" w:hAnsi="Arial" w:cs="Arial"/>
              </w:rPr>
              <w:t xml:space="preserve"> </w:t>
            </w:r>
            <w:r w:rsidR="000C44B2" w:rsidRPr="009D2800">
              <w:rPr>
                <w:rFonts w:ascii="Arial" w:hAnsi="Arial" w:cs="Arial"/>
              </w:rPr>
              <w:t>a new Commonwealth entity or Commonwealth company’s</w:t>
            </w:r>
            <w:r w:rsidR="002F0711" w:rsidRPr="009D2800">
              <w:rPr>
                <w:rFonts w:ascii="Arial" w:hAnsi="Arial" w:cs="Arial"/>
              </w:rPr>
              <w:t xml:space="preserve"> </w:t>
            </w:r>
            <w:r w:rsidR="00255C27" w:rsidRPr="009D2800">
              <w:rPr>
                <w:rFonts w:ascii="Arial" w:hAnsi="Arial" w:cs="Arial"/>
              </w:rPr>
              <w:t xml:space="preserve">first corporate plan </w:t>
            </w:r>
            <w:r w:rsidR="001631B7" w:rsidRPr="009D2800">
              <w:rPr>
                <w:rFonts w:ascii="Arial" w:hAnsi="Arial" w:cs="Arial"/>
              </w:rPr>
              <w:t xml:space="preserve">must be prepared as soon as practicable </w:t>
            </w:r>
            <w:r w:rsidR="00255C27" w:rsidRPr="009D2800">
              <w:rPr>
                <w:rFonts w:ascii="Arial" w:hAnsi="Arial" w:cs="Arial"/>
              </w:rPr>
              <w:t>(as per</w:t>
            </w:r>
            <w:r w:rsidR="00210446" w:rsidRPr="009D2800">
              <w:rPr>
                <w:rFonts w:ascii="Arial" w:hAnsi="Arial" w:cs="Arial"/>
              </w:rPr>
              <w:t xml:space="preserve"> </w:t>
            </w:r>
            <w:r w:rsidR="001631B7" w:rsidRPr="009D2800">
              <w:rPr>
                <w:rFonts w:ascii="Arial" w:hAnsi="Arial" w:cs="Arial"/>
              </w:rPr>
              <w:t xml:space="preserve">subsection 16E(7) of </w:t>
            </w:r>
            <w:r w:rsidR="00210446" w:rsidRPr="009D2800">
              <w:rPr>
                <w:rFonts w:ascii="Arial" w:hAnsi="Arial" w:cs="Arial"/>
              </w:rPr>
              <w:t>the</w:t>
            </w:r>
            <w:r w:rsidR="00255C27" w:rsidRPr="009D2800">
              <w:rPr>
                <w:rFonts w:ascii="Arial" w:hAnsi="Arial" w:cs="Arial"/>
              </w:rPr>
              <w:t xml:space="preserve"> </w:t>
            </w:r>
            <w:r w:rsidR="00255C27" w:rsidRPr="009D2800">
              <w:rPr>
                <w:rFonts w:ascii="Arial" w:hAnsi="Arial" w:cs="Arial"/>
                <w:i/>
              </w:rPr>
              <w:t>Public Governance, Performance and Accountability Rule 2014</w:t>
            </w:r>
            <w:r w:rsidR="009C4427" w:rsidRPr="009D2800">
              <w:rPr>
                <w:rFonts w:ascii="Arial" w:hAnsi="Arial" w:cs="Arial"/>
                <w:i/>
              </w:rPr>
              <w:t xml:space="preserve"> </w:t>
            </w:r>
            <w:r w:rsidR="009C4427" w:rsidRPr="009D2800">
              <w:rPr>
                <w:rFonts w:ascii="Arial" w:hAnsi="Arial" w:cs="Arial"/>
              </w:rPr>
              <w:t>(PGPA Rule)</w:t>
            </w:r>
            <w:r w:rsidR="00255C27" w:rsidRPr="009D2800">
              <w:rPr>
                <w:rFonts w:ascii="Arial" w:hAnsi="Arial" w:cs="Arial"/>
              </w:rPr>
              <w:t>)</w:t>
            </w:r>
            <w:r w:rsidR="00210446" w:rsidRPr="009D2800">
              <w:rPr>
                <w:rFonts w:ascii="Arial" w:hAnsi="Arial" w:cs="Arial"/>
              </w:rPr>
              <w:t xml:space="preserve">. </w:t>
            </w:r>
          </w:p>
          <w:p w14:paraId="05C9F9B5" w14:textId="1D770D39" w:rsidR="00004384" w:rsidRPr="009D2800" w:rsidRDefault="00004384" w:rsidP="00004384">
            <w:pPr>
              <w:pStyle w:val="Bullet1"/>
              <w:rPr>
                <w:rFonts w:ascii="Arial" w:hAnsi="Arial" w:cs="Arial"/>
              </w:rPr>
            </w:pPr>
            <w:proofErr w:type="gramStart"/>
            <w:r w:rsidRPr="009D2800">
              <w:rPr>
                <w:rFonts w:ascii="Arial" w:hAnsi="Arial" w:cs="Arial"/>
                <w:u w:val="single"/>
              </w:rPr>
              <w:t>budget</w:t>
            </w:r>
            <w:proofErr w:type="gramEnd"/>
            <w:r w:rsidRPr="009D2800">
              <w:rPr>
                <w:rFonts w:ascii="Arial" w:hAnsi="Arial" w:cs="Arial"/>
                <w:u w:val="single"/>
              </w:rPr>
              <w:t xml:space="preserve"> estimates</w:t>
            </w:r>
            <w:r w:rsidRPr="009D2800">
              <w:rPr>
                <w:rFonts w:ascii="Arial" w:hAnsi="Arial" w:cs="Arial"/>
              </w:rPr>
              <w:t xml:space="preserve"> – given the annual budget cycle, </w:t>
            </w:r>
            <w:r w:rsidR="002F0711" w:rsidRPr="009D2800">
              <w:rPr>
                <w:rFonts w:ascii="Arial" w:hAnsi="Arial" w:cs="Arial"/>
              </w:rPr>
              <w:t xml:space="preserve">it is possible for new Commonwealth entities and </w:t>
            </w:r>
            <w:r w:rsidR="00F5332D" w:rsidRPr="009D2800">
              <w:rPr>
                <w:rFonts w:ascii="Arial" w:hAnsi="Arial" w:cs="Arial"/>
              </w:rPr>
              <w:t xml:space="preserve">wholly-owned </w:t>
            </w:r>
            <w:r w:rsidR="002F0711" w:rsidRPr="009D2800">
              <w:rPr>
                <w:rFonts w:ascii="Arial" w:hAnsi="Arial" w:cs="Arial"/>
              </w:rPr>
              <w:t xml:space="preserve">Commonwealth companies </w:t>
            </w:r>
            <w:r w:rsidRPr="009D2800">
              <w:rPr>
                <w:rFonts w:ascii="Arial" w:hAnsi="Arial" w:cs="Arial"/>
              </w:rPr>
              <w:t>to be established too late in the financial year to prepare budget estimates.</w:t>
            </w:r>
            <w:r w:rsidR="007E4C99" w:rsidRPr="009D2800">
              <w:rPr>
                <w:rFonts w:ascii="Arial" w:hAnsi="Arial" w:cs="Arial"/>
              </w:rPr>
              <w:t xml:space="preserve"> T</w:t>
            </w:r>
            <w:r w:rsidR="00D66052" w:rsidRPr="009D2800">
              <w:rPr>
                <w:rFonts w:ascii="Arial" w:hAnsi="Arial" w:cs="Arial"/>
              </w:rPr>
              <w:t xml:space="preserve">hese would need to be </w:t>
            </w:r>
            <w:r w:rsidR="000600D1" w:rsidRPr="009D2800">
              <w:rPr>
                <w:rFonts w:ascii="Arial" w:hAnsi="Arial" w:cs="Arial"/>
              </w:rPr>
              <w:t xml:space="preserve">prepared </w:t>
            </w:r>
            <w:r w:rsidR="007E4C99" w:rsidRPr="009D2800">
              <w:rPr>
                <w:rFonts w:ascii="Arial" w:hAnsi="Arial" w:cs="Arial"/>
              </w:rPr>
              <w:t>at the next estimates update.</w:t>
            </w:r>
          </w:p>
          <w:p w14:paraId="73E255F9" w14:textId="4B99F4CE" w:rsidR="00004384" w:rsidRPr="009D2800" w:rsidRDefault="00004384" w:rsidP="00004384">
            <w:pPr>
              <w:pStyle w:val="Bullet1"/>
              <w:rPr>
                <w:rFonts w:ascii="Arial" w:hAnsi="Arial" w:cs="Arial"/>
              </w:rPr>
            </w:pPr>
            <w:r w:rsidRPr="009D2800">
              <w:rPr>
                <w:rFonts w:ascii="Arial" w:hAnsi="Arial" w:cs="Arial"/>
                <w:u w:val="single"/>
              </w:rPr>
              <w:t>annual performance statements</w:t>
            </w:r>
            <w:r w:rsidRPr="009D2800">
              <w:rPr>
                <w:rFonts w:ascii="Arial" w:hAnsi="Arial" w:cs="Arial"/>
              </w:rPr>
              <w:t xml:space="preserve"> – </w:t>
            </w:r>
            <w:r w:rsidR="00DD28B3" w:rsidRPr="009D2800">
              <w:rPr>
                <w:rFonts w:ascii="Arial" w:hAnsi="Arial" w:cs="Arial"/>
              </w:rPr>
              <w:t xml:space="preserve">given the performance cycle, it is possible for </w:t>
            </w:r>
            <w:r w:rsidR="001527E1" w:rsidRPr="009D2800">
              <w:rPr>
                <w:rFonts w:ascii="Arial" w:hAnsi="Arial" w:cs="Arial"/>
              </w:rPr>
              <w:t xml:space="preserve">Commonwealth </w:t>
            </w:r>
            <w:r w:rsidRPr="009D2800">
              <w:rPr>
                <w:rFonts w:ascii="Arial" w:hAnsi="Arial" w:cs="Arial"/>
              </w:rPr>
              <w:t>entities established late</w:t>
            </w:r>
            <w:r w:rsidR="009E3ADC" w:rsidRPr="009D2800">
              <w:rPr>
                <w:rFonts w:ascii="Arial" w:hAnsi="Arial" w:cs="Arial"/>
              </w:rPr>
              <w:t xml:space="preserve"> in the reporting period to have </w:t>
            </w:r>
            <w:r w:rsidR="00DD28B3" w:rsidRPr="009D2800">
              <w:rPr>
                <w:rFonts w:ascii="Arial" w:hAnsi="Arial" w:cs="Arial"/>
              </w:rPr>
              <w:t xml:space="preserve">limited </w:t>
            </w:r>
            <w:r w:rsidR="001A1FEF" w:rsidRPr="009D2800">
              <w:rPr>
                <w:rFonts w:ascii="Arial" w:hAnsi="Arial" w:cs="Arial"/>
              </w:rPr>
              <w:t xml:space="preserve">actual </w:t>
            </w:r>
            <w:r w:rsidR="009E3ADC" w:rsidRPr="009D2800">
              <w:rPr>
                <w:rFonts w:ascii="Arial" w:hAnsi="Arial" w:cs="Arial"/>
              </w:rPr>
              <w:t xml:space="preserve">performance </w:t>
            </w:r>
            <w:r w:rsidR="00DD28B3" w:rsidRPr="009D2800">
              <w:rPr>
                <w:rFonts w:ascii="Arial" w:hAnsi="Arial" w:cs="Arial"/>
              </w:rPr>
              <w:t>results to report</w:t>
            </w:r>
            <w:r w:rsidR="009E3ADC" w:rsidRPr="009D2800">
              <w:rPr>
                <w:rFonts w:ascii="Arial" w:hAnsi="Arial" w:cs="Arial"/>
              </w:rPr>
              <w:t>.</w:t>
            </w:r>
          </w:p>
          <w:p w14:paraId="2EF55D36" w14:textId="15EEACE3" w:rsidR="00594A45" w:rsidRPr="009D2800" w:rsidRDefault="00594A45" w:rsidP="00AB1E60">
            <w:pPr>
              <w:rPr>
                <w:rFonts w:ascii="Arial" w:hAnsi="Arial" w:cs="Arial"/>
              </w:rPr>
            </w:pPr>
          </w:p>
          <w:p w14:paraId="3EF5BC48" w14:textId="173B54A7" w:rsidR="0001221E" w:rsidRPr="009D2800" w:rsidRDefault="0001221E" w:rsidP="00AB1E60">
            <w:pPr>
              <w:rPr>
                <w:rFonts w:ascii="Arial" w:hAnsi="Arial" w:cs="Arial"/>
              </w:rPr>
            </w:pPr>
            <w:r w:rsidRPr="009D2800">
              <w:rPr>
                <w:rFonts w:ascii="Arial" w:hAnsi="Arial" w:cs="Arial"/>
              </w:rPr>
              <w:t xml:space="preserve">The specific approach suitable in each case should be discussed with the relevant area of </w:t>
            </w:r>
            <w:r w:rsidR="00735B02" w:rsidRPr="009D2800">
              <w:rPr>
                <w:rFonts w:ascii="Arial" w:hAnsi="Arial" w:cs="Arial"/>
              </w:rPr>
              <w:t>the Department of Finance (</w:t>
            </w:r>
            <w:r w:rsidRPr="009D2800">
              <w:rPr>
                <w:rFonts w:ascii="Arial" w:hAnsi="Arial" w:cs="Arial"/>
              </w:rPr>
              <w:t>Finance</w:t>
            </w:r>
            <w:r w:rsidR="00735B02" w:rsidRPr="009D2800">
              <w:rPr>
                <w:rFonts w:ascii="Arial" w:hAnsi="Arial" w:cs="Arial"/>
              </w:rPr>
              <w:t>)</w:t>
            </w:r>
            <w:r w:rsidRPr="009D2800">
              <w:rPr>
                <w:rFonts w:ascii="Arial" w:hAnsi="Arial" w:cs="Arial"/>
              </w:rPr>
              <w:t xml:space="preserve"> </w:t>
            </w:r>
            <w:r w:rsidR="00ED550A" w:rsidRPr="009D2800">
              <w:rPr>
                <w:rFonts w:ascii="Arial" w:hAnsi="Arial" w:cs="Arial"/>
              </w:rPr>
              <w:t xml:space="preserve">(see contacts below) </w:t>
            </w:r>
            <w:r w:rsidRPr="009D2800">
              <w:rPr>
                <w:rFonts w:ascii="Arial" w:hAnsi="Arial" w:cs="Arial"/>
              </w:rPr>
              <w:t>as early as possible in the process.</w:t>
            </w:r>
          </w:p>
          <w:p w14:paraId="117EB4EB" w14:textId="77777777" w:rsidR="0001221E" w:rsidRPr="009D2800" w:rsidRDefault="0001221E" w:rsidP="00AB1E60">
            <w:pPr>
              <w:rPr>
                <w:rFonts w:ascii="Arial" w:hAnsi="Arial" w:cs="Arial"/>
              </w:rPr>
            </w:pPr>
          </w:p>
          <w:p w14:paraId="4801652C" w14:textId="7B42F2AF" w:rsidR="000C77F3" w:rsidRPr="009D2800" w:rsidRDefault="00256A54" w:rsidP="00AB1E60">
            <w:pPr>
              <w:rPr>
                <w:rFonts w:ascii="Arial" w:hAnsi="Arial" w:cs="Arial"/>
              </w:rPr>
            </w:pPr>
            <w:r w:rsidRPr="009D2800">
              <w:rPr>
                <w:rFonts w:ascii="Arial" w:hAnsi="Arial" w:cs="Arial"/>
              </w:rPr>
              <w:t xml:space="preserve">Under </w:t>
            </w:r>
            <w:r w:rsidR="00A0081F" w:rsidRPr="009D2800">
              <w:rPr>
                <w:rFonts w:ascii="Arial" w:hAnsi="Arial" w:cs="Arial"/>
              </w:rPr>
              <w:t>the Australian Government</w:t>
            </w:r>
            <w:r w:rsidRPr="009D2800">
              <w:rPr>
                <w:rFonts w:ascii="Arial" w:hAnsi="Arial" w:cs="Arial"/>
              </w:rPr>
              <w:t>’s financial reporting framework, n</w:t>
            </w:r>
            <w:r w:rsidR="006C7DE1" w:rsidRPr="009D2800">
              <w:rPr>
                <w:rFonts w:ascii="Arial" w:hAnsi="Arial" w:cs="Arial"/>
              </w:rPr>
              <w:t xml:space="preserve">ew Commonwealth entities and Commonwealth companies also need to provide information to Finance </w:t>
            </w:r>
            <w:r w:rsidR="00735B02" w:rsidRPr="009D2800">
              <w:rPr>
                <w:rFonts w:ascii="Arial" w:hAnsi="Arial" w:cs="Arial"/>
              </w:rPr>
              <w:t>for</w:t>
            </w:r>
            <w:r w:rsidR="00CB2394" w:rsidRPr="009D2800">
              <w:rPr>
                <w:rFonts w:ascii="Arial" w:hAnsi="Arial" w:cs="Arial"/>
              </w:rPr>
              <w:t xml:space="preserve"> the consolidated financial statements, </w:t>
            </w:r>
            <w:r w:rsidRPr="009D2800">
              <w:rPr>
                <w:rFonts w:ascii="Arial" w:hAnsi="Arial" w:cs="Arial"/>
              </w:rPr>
              <w:t>(</w:t>
            </w:r>
            <w:r w:rsidR="00CB2394" w:rsidRPr="009D2800">
              <w:rPr>
                <w:rFonts w:ascii="Arial" w:hAnsi="Arial" w:cs="Arial"/>
              </w:rPr>
              <w:t>c</w:t>
            </w:r>
            <w:r w:rsidR="001E303A" w:rsidRPr="009D2800">
              <w:rPr>
                <w:rFonts w:ascii="Arial" w:hAnsi="Arial" w:cs="Arial"/>
              </w:rPr>
              <w:t>onsistent with established year-</w:t>
            </w:r>
            <w:r w:rsidR="00CB2394" w:rsidRPr="009D2800">
              <w:rPr>
                <w:rFonts w:ascii="Arial" w:hAnsi="Arial" w:cs="Arial"/>
              </w:rPr>
              <w:t xml:space="preserve">end </w:t>
            </w:r>
            <w:r w:rsidR="004C02A0" w:rsidRPr="009D2800">
              <w:rPr>
                <w:rFonts w:ascii="Arial" w:hAnsi="Arial" w:cs="Arial"/>
              </w:rPr>
              <w:t>processes</w:t>
            </w:r>
            <w:r w:rsidRPr="009D2800">
              <w:rPr>
                <w:rFonts w:ascii="Arial" w:hAnsi="Arial" w:cs="Arial"/>
              </w:rPr>
              <w:t>)</w:t>
            </w:r>
            <w:r w:rsidR="00CB2394" w:rsidRPr="009D2800">
              <w:rPr>
                <w:rFonts w:ascii="Arial" w:hAnsi="Arial" w:cs="Arial"/>
              </w:rPr>
              <w:t>.</w:t>
            </w:r>
          </w:p>
          <w:p w14:paraId="2A7C0186" w14:textId="6D4438D9" w:rsidR="00A33582" w:rsidRPr="009D2800" w:rsidRDefault="00A33582" w:rsidP="00AB1E60">
            <w:pPr>
              <w:rPr>
                <w:rFonts w:ascii="Arial" w:hAnsi="Arial" w:cs="Arial"/>
              </w:rPr>
            </w:pPr>
          </w:p>
          <w:p w14:paraId="28FAF439" w14:textId="2CF0284A" w:rsidR="005B7D6A" w:rsidRPr="009D2800" w:rsidRDefault="005B7D6A" w:rsidP="00AB1E60">
            <w:pPr>
              <w:rPr>
                <w:rFonts w:ascii="Arial" w:hAnsi="Arial" w:cs="Arial"/>
                <w:b/>
                <w:sz w:val="24"/>
                <w:szCs w:val="24"/>
              </w:rPr>
            </w:pPr>
            <w:r w:rsidRPr="009D2800">
              <w:rPr>
                <w:rFonts w:ascii="Arial" w:hAnsi="Arial" w:cs="Arial"/>
                <w:b/>
                <w:sz w:val="24"/>
                <w:szCs w:val="24"/>
              </w:rPr>
              <w:t xml:space="preserve">What options are available for </w:t>
            </w:r>
            <w:r w:rsidR="008436D0" w:rsidRPr="009D2800">
              <w:rPr>
                <w:rFonts w:ascii="Arial" w:hAnsi="Arial" w:cs="Arial"/>
                <w:b/>
                <w:sz w:val="24"/>
                <w:szCs w:val="24"/>
              </w:rPr>
              <w:t xml:space="preserve">Commonwealth </w:t>
            </w:r>
            <w:r w:rsidRPr="009D2800">
              <w:rPr>
                <w:rFonts w:ascii="Arial" w:hAnsi="Arial" w:cs="Arial"/>
                <w:b/>
                <w:sz w:val="24"/>
                <w:szCs w:val="24"/>
              </w:rPr>
              <w:t>entities</w:t>
            </w:r>
            <w:r w:rsidR="00415B49" w:rsidRPr="009D2800">
              <w:rPr>
                <w:rFonts w:ascii="Arial" w:hAnsi="Arial" w:cs="Arial"/>
                <w:b/>
                <w:sz w:val="24"/>
                <w:szCs w:val="24"/>
              </w:rPr>
              <w:t xml:space="preserve"> and Commonwealth companies</w:t>
            </w:r>
            <w:r w:rsidRPr="009D2800">
              <w:rPr>
                <w:rFonts w:ascii="Arial" w:hAnsi="Arial" w:cs="Arial"/>
                <w:b/>
                <w:sz w:val="24"/>
                <w:szCs w:val="24"/>
              </w:rPr>
              <w:t xml:space="preserve"> created late in the reporting period?</w:t>
            </w:r>
          </w:p>
          <w:p w14:paraId="14467607" w14:textId="77777777" w:rsidR="0013717A" w:rsidRPr="009D2800" w:rsidRDefault="0013717A" w:rsidP="00AB1E60">
            <w:pPr>
              <w:rPr>
                <w:rFonts w:ascii="Arial" w:hAnsi="Arial" w:cs="Arial"/>
                <w:b/>
              </w:rPr>
            </w:pPr>
          </w:p>
          <w:p w14:paraId="3C7BA0C5" w14:textId="74445105" w:rsidR="00220561" w:rsidRPr="009D2800" w:rsidRDefault="00C263B3" w:rsidP="00AB1E60">
            <w:pPr>
              <w:rPr>
                <w:rFonts w:ascii="Arial" w:hAnsi="Arial" w:cs="Arial"/>
              </w:rPr>
            </w:pPr>
            <w:r w:rsidRPr="009D2800">
              <w:rPr>
                <w:rFonts w:ascii="Arial" w:hAnsi="Arial" w:cs="Arial"/>
              </w:rPr>
              <w:t>In exceptional</w:t>
            </w:r>
            <w:r w:rsidR="00D0490D" w:rsidRPr="009D2800">
              <w:rPr>
                <w:rFonts w:ascii="Arial" w:hAnsi="Arial" w:cs="Arial"/>
              </w:rPr>
              <w:t xml:space="preserve"> circumstances, it may be </w:t>
            </w:r>
            <w:r w:rsidR="001527E1" w:rsidRPr="009D2800">
              <w:rPr>
                <w:rFonts w:ascii="Arial" w:hAnsi="Arial" w:cs="Arial"/>
              </w:rPr>
              <w:t>appropriate to legally extend a Commonwealth</w:t>
            </w:r>
            <w:r w:rsidR="00415B49" w:rsidRPr="009D2800">
              <w:rPr>
                <w:rFonts w:ascii="Arial" w:hAnsi="Arial" w:cs="Arial"/>
              </w:rPr>
              <w:t xml:space="preserve"> entity or Commonwealth company’s </w:t>
            </w:r>
            <w:r w:rsidR="00D0490D" w:rsidRPr="009D2800">
              <w:rPr>
                <w:rFonts w:ascii="Arial" w:hAnsi="Arial" w:cs="Arial"/>
              </w:rPr>
              <w:t>first reporting period beyond 12 months</w:t>
            </w:r>
            <w:r w:rsidR="00FA5323" w:rsidRPr="009D2800">
              <w:rPr>
                <w:rFonts w:ascii="Arial" w:hAnsi="Arial" w:cs="Arial"/>
              </w:rPr>
              <w:t xml:space="preserve"> (i.e. commencement date </w:t>
            </w:r>
            <w:r w:rsidR="001A1FEF" w:rsidRPr="009D2800">
              <w:rPr>
                <w:rFonts w:ascii="Arial" w:hAnsi="Arial" w:cs="Arial"/>
              </w:rPr>
              <w:t>(</w:t>
            </w:r>
            <w:r w:rsidR="002A671E" w:rsidRPr="009D2800">
              <w:rPr>
                <w:rFonts w:ascii="Arial" w:hAnsi="Arial" w:cs="Arial"/>
              </w:rPr>
              <w:t>pre 1 July</w:t>
            </w:r>
            <w:r w:rsidR="001A1FEF" w:rsidRPr="009D2800">
              <w:rPr>
                <w:rFonts w:ascii="Arial" w:hAnsi="Arial" w:cs="Arial"/>
              </w:rPr>
              <w:t>)</w:t>
            </w:r>
            <w:r w:rsidR="002A671E" w:rsidRPr="009D2800">
              <w:rPr>
                <w:rFonts w:ascii="Arial" w:hAnsi="Arial" w:cs="Arial"/>
              </w:rPr>
              <w:t xml:space="preserve"> </w:t>
            </w:r>
            <w:r w:rsidR="00FA5323" w:rsidRPr="009D2800">
              <w:rPr>
                <w:rFonts w:ascii="Arial" w:hAnsi="Arial" w:cs="Arial"/>
              </w:rPr>
              <w:t>to 30 June the following calendar year)</w:t>
            </w:r>
            <w:r w:rsidR="00D0490D" w:rsidRPr="009D2800">
              <w:rPr>
                <w:rFonts w:ascii="Arial" w:hAnsi="Arial" w:cs="Arial"/>
              </w:rPr>
              <w:t>.</w:t>
            </w:r>
            <w:r w:rsidR="00063318" w:rsidRPr="009D2800">
              <w:rPr>
                <w:rFonts w:ascii="Arial" w:hAnsi="Arial" w:cs="Arial"/>
              </w:rPr>
              <w:t xml:space="preserve"> </w:t>
            </w:r>
            <w:r w:rsidR="00C274D0" w:rsidRPr="009D2800">
              <w:rPr>
                <w:rFonts w:ascii="Arial" w:hAnsi="Arial" w:cs="Arial"/>
              </w:rPr>
              <w:t xml:space="preserve">If Commonwealth entities or Commonwealth companies </w:t>
            </w:r>
            <w:r w:rsidR="00F94275" w:rsidRPr="009D2800">
              <w:rPr>
                <w:rFonts w:ascii="Arial" w:hAnsi="Arial" w:cs="Arial"/>
              </w:rPr>
              <w:t>would like to discuss this option, e</w:t>
            </w:r>
            <w:r w:rsidR="00063318" w:rsidRPr="009D2800">
              <w:rPr>
                <w:rFonts w:ascii="Arial" w:hAnsi="Arial" w:cs="Arial"/>
              </w:rPr>
              <w:t xml:space="preserve">arly engagement with Finance </w:t>
            </w:r>
            <w:r w:rsidR="00ED550A" w:rsidRPr="009D2800">
              <w:rPr>
                <w:rFonts w:ascii="Arial" w:hAnsi="Arial" w:cs="Arial"/>
              </w:rPr>
              <w:t xml:space="preserve">(see contacts below) </w:t>
            </w:r>
            <w:r w:rsidR="00063318" w:rsidRPr="009D2800">
              <w:rPr>
                <w:rFonts w:ascii="Arial" w:hAnsi="Arial" w:cs="Arial"/>
              </w:rPr>
              <w:t xml:space="preserve">is highly recommended (i.e. at the point legislation is being drafted or amended to create a new </w:t>
            </w:r>
            <w:r w:rsidR="009C2477" w:rsidRPr="009D2800">
              <w:rPr>
                <w:rFonts w:ascii="Arial" w:hAnsi="Arial" w:cs="Arial"/>
              </w:rPr>
              <w:t xml:space="preserve">Commonwealth </w:t>
            </w:r>
            <w:r w:rsidR="00063318" w:rsidRPr="009D2800">
              <w:rPr>
                <w:rFonts w:ascii="Arial" w:hAnsi="Arial" w:cs="Arial"/>
              </w:rPr>
              <w:t>entity</w:t>
            </w:r>
            <w:r w:rsidR="00C274D0" w:rsidRPr="009D2800">
              <w:rPr>
                <w:rFonts w:ascii="Arial" w:hAnsi="Arial" w:cs="Arial"/>
              </w:rPr>
              <w:t xml:space="preserve"> or Commonwealth company</w:t>
            </w:r>
            <w:r w:rsidR="00063318" w:rsidRPr="009D2800">
              <w:rPr>
                <w:rFonts w:ascii="Arial" w:hAnsi="Arial" w:cs="Arial"/>
              </w:rPr>
              <w:t>).</w:t>
            </w:r>
            <w:r w:rsidR="00220561" w:rsidRPr="009D2800">
              <w:rPr>
                <w:rFonts w:ascii="Arial" w:hAnsi="Arial" w:cs="Arial"/>
              </w:rPr>
              <w:t xml:space="preserve"> </w:t>
            </w:r>
          </w:p>
          <w:p w14:paraId="18D74C1A" w14:textId="77777777" w:rsidR="00415B49" w:rsidRPr="009D2800" w:rsidRDefault="00415B49" w:rsidP="00AB1E60">
            <w:pPr>
              <w:rPr>
                <w:rFonts w:ascii="Arial" w:hAnsi="Arial" w:cs="Arial"/>
              </w:rPr>
            </w:pPr>
          </w:p>
          <w:p w14:paraId="5B482EF6" w14:textId="716AB39A" w:rsidR="004E5A31" w:rsidRPr="009D2800" w:rsidRDefault="004E5A31" w:rsidP="00AB1E60">
            <w:pPr>
              <w:rPr>
                <w:rFonts w:ascii="Arial" w:hAnsi="Arial" w:cs="Arial"/>
              </w:rPr>
            </w:pPr>
            <w:r w:rsidRPr="009D2800">
              <w:rPr>
                <w:rFonts w:ascii="Arial" w:hAnsi="Arial" w:cs="Arial"/>
              </w:rPr>
              <w:t xml:space="preserve">As financial statements capture transactions and events during the reporting period, there are very limited instances when legally extending the reporting period should be considered. </w:t>
            </w:r>
          </w:p>
          <w:p w14:paraId="29938684" w14:textId="77777777" w:rsidR="004E5A31" w:rsidRPr="009D2800" w:rsidRDefault="004E5A31" w:rsidP="00AB1E60">
            <w:pPr>
              <w:rPr>
                <w:rFonts w:ascii="Arial" w:hAnsi="Arial" w:cs="Arial"/>
              </w:rPr>
            </w:pPr>
          </w:p>
          <w:p w14:paraId="2A3D86DB" w14:textId="5699239F" w:rsidR="00910EB8" w:rsidRPr="009D2800" w:rsidRDefault="00910EB8" w:rsidP="009D2800">
            <w:pPr>
              <w:shd w:val="clear" w:color="auto" w:fill="B4C6E7" w:themeFill="accent5" w:themeFillTint="66"/>
              <w:rPr>
                <w:rFonts w:ascii="Arial" w:hAnsi="Arial" w:cs="Arial"/>
                <w:b/>
              </w:rPr>
            </w:pPr>
            <w:r w:rsidRPr="009D2800">
              <w:rPr>
                <w:rFonts w:ascii="Arial" w:hAnsi="Arial" w:cs="Arial"/>
                <w:b/>
              </w:rPr>
              <w:t>Example</w:t>
            </w:r>
            <w:r>
              <w:rPr>
                <w:rFonts w:ascii="Arial" w:hAnsi="Arial" w:cs="Arial"/>
                <w:b/>
              </w:rPr>
              <w:t>s</w:t>
            </w:r>
            <w:r w:rsidRPr="009D2800">
              <w:rPr>
                <w:rFonts w:ascii="Arial" w:hAnsi="Arial" w:cs="Arial"/>
                <w:b/>
              </w:rPr>
              <w:t>:</w:t>
            </w:r>
          </w:p>
          <w:p w14:paraId="5026A8B0" w14:textId="77777777" w:rsidR="00910EB8" w:rsidRDefault="00910EB8" w:rsidP="009D2800">
            <w:pPr>
              <w:shd w:val="clear" w:color="auto" w:fill="B4C6E7" w:themeFill="accent5" w:themeFillTint="66"/>
              <w:rPr>
                <w:rFonts w:ascii="Arial" w:hAnsi="Arial" w:cs="Arial"/>
              </w:rPr>
            </w:pPr>
          </w:p>
          <w:p w14:paraId="1515E663" w14:textId="0C76827D" w:rsidR="00710753" w:rsidRPr="009D2800" w:rsidRDefault="00D0490D" w:rsidP="009D2800">
            <w:pPr>
              <w:shd w:val="clear" w:color="auto" w:fill="B4C6E7" w:themeFill="accent5" w:themeFillTint="66"/>
              <w:rPr>
                <w:rFonts w:ascii="Arial" w:hAnsi="Arial" w:cs="Arial"/>
              </w:rPr>
            </w:pPr>
            <w:r w:rsidRPr="009D2800">
              <w:rPr>
                <w:rFonts w:ascii="Arial" w:hAnsi="Arial" w:cs="Arial"/>
              </w:rPr>
              <w:t xml:space="preserve">For example, if a new </w:t>
            </w:r>
            <w:r w:rsidR="00962D03" w:rsidRPr="009D2800">
              <w:rPr>
                <w:rFonts w:ascii="Arial" w:hAnsi="Arial" w:cs="Arial"/>
              </w:rPr>
              <w:t xml:space="preserve">Commonwealth </w:t>
            </w:r>
            <w:r w:rsidRPr="009D2800">
              <w:rPr>
                <w:rFonts w:ascii="Arial" w:hAnsi="Arial" w:cs="Arial"/>
              </w:rPr>
              <w:t>entity</w:t>
            </w:r>
            <w:r w:rsidR="00415B49" w:rsidRPr="009D2800">
              <w:rPr>
                <w:rFonts w:ascii="Arial" w:hAnsi="Arial" w:cs="Arial"/>
              </w:rPr>
              <w:t xml:space="preserve"> or Commonwealth company</w:t>
            </w:r>
            <w:r w:rsidRPr="009D2800">
              <w:rPr>
                <w:rFonts w:ascii="Arial" w:hAnsi="Arial" w:cs="Arial"/>
              </w:rPr>
              <w:t xml:space="preserve"> is to be created on 28 June</w:t>
            </w:r>
            <w:r w:rsidR="00D10114" w:rsidRPr="009D2800">
              <w:rPr>
                <w:rFonts w:ascii="Arial" w:hAnsi="Arial" w:cs="Arial"/>
              </w:rPr>
              <w:t>, and is unlikely to commence</w:t>
            </w:r>
            <w:r w:rsidR="00220561" w:rsidRPr="009D2800">
              <w:rPr>
                <w:rFonts w:ascii="Arial" w:hAnsi="Arial" w:cs="Arial"/>
              </w:rPr>
              <w:t xml:space="preserve"> its operating activities </w:t>
            </w:r>
            <w:r w:rsidR="00C83760" w:rsidRPr="009D2800">
              <w:rPr>
                <w:rFonts w:ascii="Arial" w:hAnsi="Arial" w:cs="Arial"/>
              </w:rPr>
              <w:t>prior to 30 June, it may</w:t>
            </w:r>
            <w:r w:rsidRPr="009D2800">
              <w:rPr>
                <w:rFonts w:ascii="Arial" w:hAnsi="Arial" w:cs="Arial"/>
              </w:rPr>
              <w:t xml:space="preserve"> be app</w:t>
            </w:r>
            <w:r w:rsidR="00664EC7" w:rsidRPr="009D2800">
              <w:rPr>
                <w:rFonts w:ascii="Arial" w:hAnsi="Arial" w:cs="Arial"/>
              </w:rPr>
              <w:t xml:space="preserve">ropriate to discuss </w:t>
            </w:r>
            <w:r w:rsidRPr="009D2800">
              <w:rPr>
                <w:rFonts w:ascii="Arial" w:hAnsi="Arial" w:cs="Arial"/>
              </w:rPr>
              <w:t xml:space="preserve">legally extending the first reporting period with </w:t>
            </w:r>
            <w:r w:rsidR="00063318" w:rsidRPr="009D2800">
              <w:rPr>
                <w:rFonts w:ascii="Arial" w:hAnsi="Arial" w:cs="Arial"/>
              </w:rPr>
              <w:t>Finance</w:t>
            </w:r>
            <w:r w:rsidRPr="009D2800">
              <w:rPr>
                <w:rFonts w:ascii="Arial" w:hAnsi="Arial" w:cs="Arial"/>
              </w:rPr>
              <w:t xml:space="preserve">. </w:t>
            </w:r>
          </w:p>
          <w:p w14:paraId="5CCD6339" w14:textId="77777777" w:rsidR="00710753" w:rsidRPr="009D2800" w:rsidRDefault="00710753" w:rsidP="009D2800">
            <w:pPr>
              <w:shd w:val="clear" w:color="auto" w:fill="B4C6E7" w:themeFill="accent5" w:themeFillTint="66"/>
              <w:rPr>
                <w:rFonts w:ascii="Arial" w:hAnsi="Arial" w:cs="Arial"/>
              </w:rPr>
            </w:pPr>
          </w:p>
          <w:p w14:paraId="5E7639EB" w14:textId="3978BB18" w:rsidR="00D0490D" w:rsidRPr="009D2800" w:rsidRDefault="00D0490D" w:rsidP="009D2800">
            <w:pPr>
              <w:shd w:val="clear" w:color="auto" w:fill="B4C6E7" w:themeFill="accent5" w:themeFillTint="66"/>
              <w:rPr>
                <w:rFonts w:ascii="Arial" w:hAnsi="Arial" w:cs="Arial"/>
              </w:rPr>
            </w:pPr>
            <w:r w:rsidRPr="009D2800">
              <w:rPr>
                <w:rFonts w:ascii="Arial" w:hAnsi="Arial" w:cs="Arial"/>
              </w:rPr>
              <w:t>By co</w:t>
            </w:r>
            <w:r w:rsidR="00962D03" w:rsidRPr="009D2800">
              <w:rPr>
                <w:rFonts w:ascii="Arial" w:hAnsi="Arial" w:cs="Arial"/>
              </w:rPr>
              <w:t xml:space="preserve">ntrast, if a Commonwealth </w:t>
            </w:r>
            <w:r w:rsidR="00664EC7" w:rsidRPr="009D2800">
              <w:rPr>
                <w:rFonts w:ascii="Arial" w:hAnsi="Arial" w:cs="Arial"/>
              </w:rPr>
              <w:t>entity</w:t>
            </w:r>
            <w:r w:rsidR="00415B49" w:rsidRPr="009D2800">
              <w:rPr>
                <w:rFonts w:ascii="Arial" w:hAnsi="Arial" w:cs="Arial"/>
              </w:rPr>
              <w:t xml:space="preserve"> or Commonwealth company</w:t>
            </w:r>
            <w:r w:rsidR="00664EC7" w:rsidRPr="009D2800">
              <w:rPr>
                <w:rFonts w:ascii="Arial" w:hAnsi="Arial" w:cs="Arial"/>
              </w:rPr>
              <w:t xml:space="preserve"> is to be established</w:t>
            </w:r>
            <w:r w:rsidR="00D16974" w:rsidRPr="009D2800">
              <w:rPr>
                <w:rFonts w:ascii="Arial" w:hAnsi="Arial" w:cs="Arial"/>
              </w:rPr>
              <w:t xml:space="preserve"> on 1 April</w:t>
            </w:r>
            <w:r w:rsidRPr="009D2800">
              <w:rPr>
                <w:rFonts w:ascii="Arial" w:hAnsi="Arial" w:cs="Arial"/>
              </w:rPr>
              <w:t xml:space="preserve"> and </w:t>
            </w:r>
            <w:r w:rsidR="00D10114" w:rsidRPr="009D2800">
              <w:rPr>
                <w:rFonts w:ascii="Arial" w:hAnsi="Arial" w:cs="Arial"/>
              </w:rPr>
              <w:t>will commence</w:t>
            </w:r>
            <w:r w:rsidR="009B3C62" w:rsidRPr="009D2800">
              <w:rPr>
                <w:rFonts w:ascii="Arial" w:hAnsi="Arial" w:cs="Arial"/>
              </w:rPr>
              <w:t xml:space="preserve"> operating </w:t>
            </w:r>
            <w:r w:rsidRPr="009D2800">
              <w:rPr>
                <w:rFonts w:ascii="Arial" w:hAnsi="Arial" w:cs="Arial"/>
              </w:rPr>
              <w:t>activities by 30 June, it would not be appropriate to extend the reporting period.</w:t>
            </w:r>
          </w:p>
          <w:p w14:paraId="71E54F08" w14:textId="62234855" w:rsidR="00F04630" w:rsidRPr="009D2800" w:rsidRDefault="00F04630" w:rsidP="009D2800">
            <w:pPr>
              <w:shd w:val="clear" w:color="auto" w:fill="B4C6E7" w:themeFill="accent5" w:themeFillTint="66"/>
              <w:rPr>
                <w:rFonts w:ascii="Arial" w:hAnsi="Arial" w:cs="Arial"/>
              </w:rPr>
            </w:pPr>
          </w:p>
          <w:p w14:paraId="16EE7F5F" w14:textId="77777777" w:rsidR="00910EB8" w:rsidRDefault="00910EB8" w:rsidP="00AB1E60">
            <w:pPr>
              <w:rPr>
                <w:rFonts w:ascii="Arial" w:hAnsi="Arial" w:cs="Arial"/>
                <w:b/>
                <w:sz w:val="24"/>
                <w:szCs w:val="24"/>
              </w:rPr>
            </w:pPr>
          </w:p>
          <w:p w14:paraId="15F85CBA" w14:textId="12BA7A32" w:rsidR="00D0490D" w:rsidRPr="009D2800" w:rsidRDefault="00D0490D" w:rsidP="00AB1E60">
            <w:pPr>
              <w:rPr>
                <w:rFonts w:ascii="Arial" w:hAnsi="Arial" w:cs="Arial"/>
                <w:b/>
                <w:sz w:val="24"/>
                <w:szCs w:val="24"/>
              </w:rPr>
            </w:pPr>
            <w:r w:rsidRPr="009D2800">
              <w:rPr>
                <w:rFonts w:ascii="Arial" w:hAnsi="Arial" w:cs="Arial"/>
                <w:b/>
                <w:sz w:val="24"/>
                <w:szCs w:val="24"/>
              </w:rPr>
              <w:t xml:space="preserve">What are </w:t>
            </w:r>
            <w:r w:rsidR="00A575B3" w:rsidRPr="009D2800">
              <w:rPr>
                <w:rFonts w:ascii="Arial" w:hAnsi="Arial" w:cs="Arial"/>
                <w:b/>
                <w:sz w:val="24"/>
                <w:szCs w:val="24"/>
              </w:rPr>
              <w:t>the implicat</w:t>
            </w:r>
            <w:r w:rsidR="00415B49" w:rsidRPr="009D2800">
              <w:rPr>
                <w:rFonts w:ascii="Arial" w:hAnsi="Arial" w:cs="Arial"/>
                <w:b/>
                <w:sz w:val="24"/>
                <w:szCs w:val="24"/>
              </w:rPr>
              <w:t xml:space="preserve">ions of extending the </w:t>
            </w:r>
            <w:r w:rsidRPr="009D2800">
              <w:rPr>
                <w:rFonts w:ascii="Arial" w:hAnsi="Arial" w:cs="Arial"/>
                <w:b/>
                <w:sz w:val="24"/>
                <w:szCs w:val="24"/>
              </w:rPr>
              <w:t>first reporting period?</w:t>
            </w:r>
          </w:p>
          <w:p w14:paraId="756A0710" w14:textId="77777777" w:rsidR="0013717A" w:rsidRPr="009D2800" w:rsidRDefault="0013717A" w:rsidP="00AB1E60">
            <w:pPr>
              <w:rPr>
                <w:rFonts w:ascii="Arial" w:hAnsi="Arial" w:cs="Arial"/>
                <w:b/>
              </w:rPr>
            </w:pPr>
          </w:p>
          <w:p w14:paraId="7565C71C" w14:textId="50ECF006" w:rsidR="00664EC7" w:rsidRPr="009D2800" w:rsidRDefault="00664EC7" w:rsidP="006813B9">
            <w:pPr>
              <w:rPr>
                <w:rFonts w:ascii="Arial" w:hAnsi="Arial" w:cs="Arial"/>
              </w:rPr>
            </w:pPr>
            <w:r w:rsidRPr="009D2800">
              <w:rPr>
                <w:rFonts w:ascii="Arial" w:hAnsi="Arial" w:cs="Arial"/>
              </w:rPr>
              <w:t xml:space="preserve">Extending the reporting period </w:t>
            </w:r>
            <w:r w:rsidR="008C419B" w:rsidRPr="009D2800">
              <w:rPr>
                <w:rFonts w:ascii="Arial" w:hAnsi="Arial" w:cs="Arial"/>
              </w:rPr>
              <w:t xml:space="preserve">may only be </w:t>
            </w:r>
            <w:r w:rsidR="00D16B01" w:rsidRPr="009D2800">
              <w:rPr>
                <w:rFonts w:ascii="Arial" w:hAnsi="Arial" w:cs="Arial"/>
              </w:rPr>
              <w:t>appropriate</w:t>
            </w:r>
            <w:r w:rsidR="008C419B" w:rsidRPr="009D2800">
              <w:rPr>
                <w:rFonts w:ascii="Arial" w:hAnsi="Arial" w:cs="Arial"/>
              </w:rPr>
              <w:t xml:space="preserve"> in very </w:t>
            </w:r>
            <w:r w:rsidR="00D16B01" w:rsidRPr="009D2800">
              <w:rPr>
                <w:rFonts w:ascii="Arial" w:hAnsi="Arial" w:cs="Arial"/>
              </w:rPr>
              <w:t>rare situations</w:t>
            </w:r>
            <w:r w:rsidR="008C419B" w:rsidRPr="009D2800">
              <w:rPr>
                <w:rFonts w:ascii="Arial" w:hAnsi="Arial" w:cs="Arial"/>
              </w:rPr>
              <w:t xml:space="preserve"> and the main consideration should be transparency of government activities. It </w:t>
            </w:r>
            <w:r w:rsidRPr="009D2800">
              <w:rPr>
                <w:rFonts w:ascii="Arial" w:hAnsi="Arial" w:cs="Arial"/>
              </w:rPr>
              <w:t xml:space="preserve">defers </w:t>
            </w:r>
            <w:r w:rsidR="003E63EC" w:rsidRPr="009D2800">
              <w:rPr>
                <w:rFonts w:ascii="Arial" w:hAnsi="Arial" w:cs="Arial"/>
              </w:rPr>
              <w:t xml:space="preserve">certain </w:t>
            </w:r>
            <w:r w:rsidR="003E63EC" w:rsidRPr="009D2800">
              <w:rPr>
                <w:rFonts w:ascii="Arial" w:hAnsi="Arial" w:cs="Arial"/>
              </w:rPr>
              <w:lastRenderedPageBreak/>
              <w:t xml:space="preserve">reporting obligations for a new </w:t>
            </w:r>
            <w:r w:rsidR="00A575B3" w:rsidRPr="009D2800">
              <w:rPr>
                <w:rFonts w:ascii="Arial" w:hAnsi="Arial" w:cs="Arial"/>
              </w:rPr>
              <w:t xml:space="preserve">Commonwealth </w:t>
            </w:r>
            <w:r w:rsidR="003E63EC" w:rsidRPr="009D2800">
              <w:rPr>
                <w:rFonts w:ascii="Arial" w:hAnsi="Arial" w:cs="Arial"/>
              </w:rPr>
              <w:t>en</w:t>
            </w:r>
            <w:r w:rsidR="005D4C09" w:rsidRPr="009D2800">
              <w:rPr>
                <w:rFonts w:ascii="Arial" w:hAnsi="Arial" w:cs="Arial"/>
              </w:rPr>
              <w:t xml:space="preserve">tity </w:t>
            </w:r>
            <w:r w:rsidR="00415B49" w:rsidRPr="009D2800">
              <w:rPr>
                <w:rFonts w:ascii="Arial" w:hAnsi="Arial" w:cs="Arial"/>
              </w:rPr>
              <w:t xml:space="preserve">or Commonwealth company </w:t>
            </w:r>
            <w:r w:rsidR="005D4C09" w:rsidRPr="009D2800">
              <w:rPr>
                <w:rFonts w:ascii="Arial" w:hAnsi="Arial" w:cs="Arial"/>
              </w:rPr>
              <w:t>until a later period, when</w:t>
            </w:r>
            <w:r w:rsidR="009C2477" w:rsidRPr="009D2800">
              <w:rPr>
                <w:rFonts w:ascii="Arial" w:hAnsi="Arial" w:cs="Arial"/>
              </w:rPr>
              <w:t xml:space="preserve"> they are</w:t>
            </w:r>
            <w:r w:rsidR="003E63EC" w:rsidRPr="009D2800">
              <w:rPr>
                <w:rFonts w:ascii="Arial" w:hAnsi="Arial" w:cs="Arial"/>
              </w:rPr>
              <w:t xml:space="preserve"> better resourced to undertake them.</w:t>
            </w:r>
          </w:p>
          <w:p w14:paraId="1F1ACCAA" w14:textId="77777777" w:rsidR="00664EC7" w:rsidRPr="009D2800" w:rsidRDefault="00664EC7" w:rsidP="006813B9">
            <w:pPr>
              <w:rPr>
                <w:rFonts w:ascii="Arial" w:hAnsi="Arial" w:cs="Arial"/>
              </w:rPr>
            </w:pPr>
          </w:p>
          <w:p w14:paraId="75EC1B4E" w14:textId="7127F804" w:rsidR="00AE4119" w:rsidRPr="009D2800" w:rsidRDefault="0007120F" w:rsidP="00AB1E60">
            <w:pPr>
              <w:rPr>
                <w:rFonts w:ascii="Arial" w:hAnsi="Arial" w:cs="Arial"/>
              </w:rPr>
            </w:pPr>
            <w:r w:rsidRPr="009D2800">
              <w:rPr>
                <w:rFonts w:ascii="Arial" w:hAnsi="Arial" w:cs="Arial"/>
              </w:rPr>
              <w:t xml:space="preserve">If a new </w:t>
            </w:r>
            <w:r w:rsidR="00AE4119" w:rsidRPr="009D2800">
              <w:rPr>
                <w:rFonts w:ascii="Arial" w:hAnsi="Arial" w:cs="Arial"/>
              </w:rPr>
              <w:t xml:space="preserve">Commonwealth </w:t>
            </w:r>
            <w:r w:rsidRPr="009D2800">
              <w:rPr>
                <w:rFonts w:ascii="Arial" w:hAnsi="Arial" w:cs="Arial"/>
              </w:rPr>
              <w:t>e</w:t>
            </w:r>
            <w:r w:rsidR="00C274D0" w:rsidRPr="009D2800">
              <w:rPr>
                <w:rFonts w:ascii="Arial" w:hAnsi="Arial" w:cs="Arial"/>
              </w:rPr>
              <w:t xml:space="preserve">ntity’s </w:t>
            </w:r>
            <w:r w:rsidR="002665E8" w:rsidRPr="009D2800">
              <w:rPr>
                <w:rFonts w:ascii="Arial" w:hAnsi="Arial" w:cs="Arial"/>
              </w:rPr>
              <w:t>first reporting period i</w:t>
            </w:r>
            <w:r w:rsidRPr="009D2800">
              <w:rPr>
                <w:rFonts w:ascii="Arial" w:hAnsi="Arial" w:cs="Arial"/>
              </w:rPr>
              <w:t xml:space="preserve">s legally extended beyond 12 months, </w:t>
            </w:r>
            <w:r w:rsidR="00111AA9" w:rsidRPr="009D2800">
              <w:rPr>
                <w:rFonts w:ascii="Arial" w:hAnsi="Arial" w:cs="Arial"/>
              </w:rPr>
              <w:t xml:space="preserve">there is no requirement to prepare </w:t>
            </w:r>
            <w:r w:rsidR="00A029AE" w:rsidRPr="009D2800">
              <w:rPr>
                <w:rFonts w:ascii="Arial" w:hAnsi="Arial" w:cs="Arial"/>
              </w:rPr>
              <w:t xml:space="preserve">an </w:t>
            </w:r>
            <w:r w:rsidR="00160CAB" w:rsidRPr="009D2800">
              <w:rPr>
                <w:rFonts w:ascii="Arial" w:hAnsi="Arial" w:cs="Arial"/>
              </w:rPr>
              <w:t xml:space="preserve">annual report, annual performance statements, </w:t>
            </w:r>
            <w:r w:rsidR="00A029AE" w:rsidRPr="009D2800">
              <w:rPr>
                <w:rFonts w:ascii="Arial" w:hAnsi="Arial" w:cs="Arial"/>
              </w:rPr>
              <w:t xml:space="preserve">a </w:t>
            </w:r>
            <w:r w:rsidR="00160CAB" w:rsidRPr="009D2800">
              <w:rPr>
                <w:rFonts w:ascii="Arial" w:hAnsi="Arial" w:cs="Arial"/>
              </w:rPr>
              <w:t xml:space="preserve">corporate plan or budget estimates </w:t>
            </w:r>
            <w:r w:rsidR="00111AA9" w:rsidRPr="009D2800">
              <w:rPr>
                <w:rFonts w:ascii="Arial" w:hAnsi="Arial" w:cs="Arial"/>
              </w:rPr>
              <w:t>for the period</w:t>
            </w:r>
            <w:r w:rsidR="00812C68" w:rsidRPr="009D2800">
              <w:rPr>
                <w:rFonts w:ascii="Arial" w:hAnsi="Arial" w:cs="Arial"/>
              </w:rPr>
              <w:t xml:space="preserve"> </w:t>
            </w:r>
            <w:r w:rsidR="00111AA9" w:rsidRPr="009D2800">
              <w:rPr>
                <w:rFonts w:ascii="Arial" w:hAnsi="Arial" w:cs="Arial"/>
              </w:rPr>
              <w:t xml:space="preserve">from commencement date to 30 </w:t>
            </w:r>
            <w:r w:rsidR="00415B49" w:rsidRPr="009D2800">
              <w:rPr>
                <w:rFonts w:ascii="Arial" w:hAnsi="Arial" w:cs="Arial"/>
              </w:rPr>
              <w:t xml:space="preserve">June in the same calendar year. </w:t>
            </w:r>
            <w:r w:rsidR="007F4B8F" w:rsidRPr="009D2800">
              <w:rPr>
                <w:rFonts w:ascii="Arial" w:hAnsi="Arial" w:cs="Arial"/>
              </w:rPr>
              <w:t>Rather than preparing audited fin</w:t>
            </w:r>
            <w:r w:rsidR="00415B49" w:rsidRPr="009D2800">
              <w:rPr>
                <w:rFonts w:ascii="Arial" w:hAnsi="Arial" w:cs="Arial"/>
              </w:rPr>
              <w:t>ancial statements, Commonwealth enti</w:t>
            </w:r>
            <w:r w:rsidR="00C274D0" w:rsidRPr="009D2800">
              <w:rPr>
                <w:rFonts w:ascii="Arial" w:hAnsi="Arial" w:cs="Arial"/>
              </w:rPr>
              <w:t xml:space="preserve">ties </w:t>
            </w:r>
            <w:r w:rsidR="002665E8" w:rsidRPr="009D2800">
              <w:rPr>
                <w:rFonts w:ascii="Arial" w:hAnsi="Arial" w:cs="Arial"/>
              </w:rPr>
              <w:t xml:space="preserve">would </w:t>
            </w:r>
            <w:r w:rsidR="00236989" w:rsidRPr="009D2800">
              <w:rPr>
                <w:rFonts w:ascii="Arial" w:hAnsi="Arial" w:cs="Arial"/>
              </w:rPr>
              <w:t xml:space="preserve">only </w:t>
            </w:r>
            <w:r w:rsidR="002665E8" w:rsidRPr="009D2800">
              <w:rPr>
                <w:rFonts w:ascii="Arial" w:hAnsi="Arial" w:cs="Arial"/>
              </w:rPr>
              <w:t xml:space="preserve">be </w:t>
            </w:r>
            <w:r w:rsidR="007F4B8F" w:rsidRPr="009D2800">
              <w:rPr>
                <w:rFonts w:ascii="Arial" w:hAnsi="Arial" w:cs="Arial"/>
              </w:rPr>
              <w:t>required to provide Finance with the information necessary to prepare the consolidated financial statements. At a minimum, this would be a set of a face stat</w:t>
            </w:r>
            <w:r w:rsidR="00415B49" w:rsidRPr="009D2800">
              <w:rPr>
                <w:rFonts w:ascii="Arial" w:hAnsi="Arial" w:cs="Arial"/>
              </w:rPr>
              <w:t xml:space="preserve">ements certified by their </w:t>
            </w:r>
            <w:r w:rsidR="007F4B8F" w:rsidRPr="009D2800">
              <w:rPr>
                <w:rFonts w:ascii="Arial" w:hAnsi="Arial" w:cs="Arial"/>
              </w:rPr>
              <w:t>Chief Financial Officer (or equivalent). The specific requirements in each case would require discussion with Finance</w:t>
            </w:r>
            <w:r w:rsidR="00855F3B" w:rsidRPr="009D2800">
              <w:rPr>
                <w:rFonts w:ascii="Arial" w:hAnsi="Arial" w:cs="Arial"/>
              </w:rPr>
              <w:t xml:space="preserve"> (see contacts below)</w:t>
            </w:r>
            <w:r w:rsidR="007F4B8F" w:rsidRPr="009D2800">
              <w:rPr>
                <w:rFonts w:ascii="Arial" w:hAnsi="Arial" w:cs="Arial"/>
              </w:rPr>
              <w:t xml:space="preserve">. </w:t>
            </w:r>
            <w:r w:rsidR="00AE4119" w:rsidRPr="009D2800">
              <w:rPr>
                <w:rFonts w:ascii="Arial" w:hAnsi="Arial" w:cs="Arial"/>
              </w:rPr>
              <w:t>The implications differ for Commonwealth companies.</w:t>
            </w:r>
          </w:p>
          <w:p w14:paraId="34F4F361" w14:textId="745749EE" w:rsidR="0020122F" w:rsidRPr="009D2800" w:rsidRDefault="0020122F" w:rsidP="00AB1E60">
            <w:pPr>
              <w:rPr>
                <w:rFonts w:ascii="Arial" w:hAnsi="Arial" w:cs="Arial"/>
              </w:rPr>
            </w:pPr>
          </w:p>
          <w:p w14:paraId="18C29800" w14:textId="3E8BD330" w:rsidR="00CA337D" w:rsidRDefault="009C4427" w:rsidP="00AB1E60">
            <w:pPr>
              <w:rPr>
                <w:rFonts w:ascii="Arial" w:hAnsi="Arial" w:cs="Arial"/>
                <w:b/>
                <w:sz w:val="24"/>
                <w:szCs w:val="24"/>
              </w:rPr>
            </w:pPr>
            <w:r w:rsidRPr="009D2800">
              <w:rPr>
                <w:rFonts w:ascii="Arial" w:hAnsi="Arial" w:cs="Arial"/>
                <w:b/>
                <w:sz w:val="24"/>
                <w:szCs w:val="24"/>
              </w:rPr>
              <w:t>What is involved in e</w:t>
            </w:r>
            <w:r w:rsidR="00CA337D" w:rsidRPr="009D2800">
              <w:rPr>
                <w:rFonts w:ascii="Arial" w:hAnsi="Arial" w:cs="Arial"/>
                <w:b/>
                <w:sz w:val="24"/>
                <w:szCs w:val="24"/>
              </w:rPr>
              <w:t>xtending the first reporting period</w:t>
            </w:r>
            <w:r w:rsidRPr="009D2800">
              <w:rPr>
                <w:rFonts w:ascii="Arial" w:hAnsi="Arial" w:cs="Arial"/>
                <w:b/>
                <w:sz w:val="24"/>
                <w:szCs w:val="24"/>
              </w:rPr>
              <w:t>?</w:t>
            </w:r>
          </w:p>
          <w:p w14:paraId="1531A012" w14:textId="77777777" w:rsidR="00840A1F" w:rsidRPr="009D2800" w:rsidRDefault="00840A1F" w:rsidP="00AB1E60">
            <w:pP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0"/>
            </w:tblGrid>
            <w:tr w:rsidR="00840A1F" w14:paraId="7C22C7F0" w14:textId="77777777" w:rsidTr="009D2800">
              <w:tc>
                <w:tcPr>
                  <w:tcW w:w="8790" w:type="dxa"/>
                  <w:shd w:val="clear" w:color="auto" w:fill="CCFFFF"/>
                </w:tcPr>
                <w:p w14:paraId="243E6A06" w14:textId="4E21AA62" w:rsidR="00840A1F" w:rsidRDefault="00840A1F" w:rsidP="00840A1F">
                  <w:pPr>
                    <w:rPr>
                      <w:rFonts w:ascii="Arial" w:hAnsi="Arial" w:cs="Arial"/>
                      <w:b/>
                    </w:rPr>
                  </w:pPr>
                  <w:r>
                    <w:rPr>
                      <w:rFonts w:ascii="Arial" w:hAnsi="Arial" w:cs="Arial"/>
                      <w:b/>
                    </w:rPr>
                    <w:t>Practical Guidance:</w:t>
                  </w:r>
                </w:p>
                <w:p w14:paraId="14885CC4" w14:textId="77777777" w:rsidR="00840A1F" w:rsidRDefault="00840A1F" w:rsidP="00840A1F">
                  <w:pPr>
                    <w:rPr>
                      <w:rFonts w:ascii="Arial" w:hAnsi="Arial" w:cs="Arial"/>
                      <w:b/>
                    </w:rPr>
                  </w:pPr>
                </w:p>
                <w:p w14:paraId="2710A009" w14:textId="0976257A" w:rsidR="00840A1F" w:rsidRPr="00960C77" w:rsidRDefault="00840A1F" w:rsidP="00840A1F">
                  <w:pPr>
                    <w:rPr>
                      <w:rFonts w:ascii="Arial" w:hAnsi="Arial" w:cs="Arial"/>
                    </w:rPr>
                  </w:pPr>
                  <w:r w:rsidRPr="00960C77">
                    <w:rPr>
                      <w:rFonts w:ascii="Arial" w:hAnsi="Arial" w:cs="Arial"/>
                      <w:b/>
                    </w:rPr>
                    <w:t>Step 1:</w:t>
                  </w:r>
                  <w:r w:rsidRPr="00960C77">
                    <w:rPr>
                      <w:rFonts w:ascii="Arial" w:hAnsi="Arial" w:cs="Arial"/>
                    </w:rPr>
                    <w:t xml:space="preserve"> Provide a robust proposal for whether a new Commonwealth entity or Commonwealth company’s first reporting period should be legally extended (noting this is only likely to be suitable in very limited circumstances). Each scenario would need to be assessed by Finance on a case-by-case basis.</w:t>
                  </w:r>
                </w:p>
                <w:p w14:paraId="43D84DDD" w14:textId="77777777" w:rsidR="00840A1F" w:rsidRPr="00960C77" w:rsidRDefault="00840A1F" w:rsidP="00840A1F">
                  <w:pPr>
                    <w:rPr>
                      <w:rFonts w:ascii="Arial" w:hAnsi="Arial" w:cs="Arial"/>
                    </w:rPr>
                  </w:pPr>
                </w:p>
                <w:p w14:paraId="5C2FF3E5" w14:textId="77777777" w:rsidR="00840A1F" w:rsidRPr="00960C77" w:rsidRDefault="00840A1F" w:rsidP="00840A1F">
                  <w:pPr>
                    <w:rPr>
                      <w:rFonts w:ascii="Arial" w:hAnsi="Arial" w:cs="Arial"/>
                      <w:b/>
                    </w:rPr>
                  </w:pPr>
                  <w:r w:rsidRPr="00960C77">
                    <w:rPr>
                      <w:rFonts w:ascii="Arial" w:hAnsi="Arial" w:cs="Arial"/>
                      <w:b/>
                    </w:rPr>
                    <w:t xml:space="preserve">Step 2: </w:t>
                  </w:r>
                </w:p>
                <w:p w14:paraId="36AC8583" w14:textId="77777777" w:rsidR="00840A1F" w:rsidRPr="00960C77" w:rsidRDefault="00840A1F" w:rsidP="00840A1F">
                  <w:pPr>
                    <w:pStyle w:val="ListParagraph"/>
                    <w:numPr>
                      <w:ilvl w:val="0"/>
                      <w:numId w:val="4"/>
                    </w:numPr>
                    <w:rPr>
                      <w:rFonts w:ascii="Arial" w:hAnsi="Arial" w:cs="Arial"/>
                    </w:rPr>
                  </w:pPr>
                  <w:r w:rsidRPr="00960C77">
                    <w:rPr>
                      <w:rFonts w:ascii="Arial" w:hAnsi="Arial" w:cs="Arial"/>
                    </w:rPr>
                    <w:t>If it is to be extended:</w:t>
                  </w:r>
                </w:p>
                <w:p w14:paraId="138ACCF5" w14:textId="77777777" w:rsidR="00840A1F" w:rsidRPr="00E73B66" w:rsidRDefault="00840A1F" w:rsidP="00E73B66">
                  <w:pPr>
                    <w:pStyle w:val="Bullet1"/>
                    <w:numPr>
                      <w:ilvl w:val="0"/>
                      <w:numId w:val="1"/>
                    </w:numPr>
                    <w:rPr>
                      <w:rFonts w:ascii="Arial" w:hAnsi="Arial" w:cs="Arial"/>
                    </w:rPr>
                  </w:pPr>
                  <w:r w:rsidRPr="00E73B66">
                    <w:rPr>
                      <w:rFonts w:ascii="Arial" w:hAnsi="Arial" w:cs="Arial"/>
                    </w:rPr>
                    <w:t>Include an appropriate clause in the Commonwealth entity or Commonwealth company’s enabling legislation, in consultation with the Office of Parliamentary Counsel and Finance (noting that the legislation should also be clear on commencement date, or it may be difficult to determine whether extending the first reporting period is appropriate); or</w:t>
                  </w:r>
                </w:p>
                <w:p w14:paraId="4EE588BA" w14:textId="49752FCF" w:rsidR="00840A1F" w:rsidRPr="00E73B66" w:rsidRDefault="00840A1F" w:rsidP="00E73B66">
                  <w:pPr>
                    <w:pStyle w:val="Bullet1"/>
                    <w:numPr>
                      <w:ilvl w:val="0"/>
                      <w:numId w:val="1"/>
                    </w:numPr>
                    <w:rPr>
                      <w:rFonts w:ascii="Arial" w:hAnsi="Arial" w:cs="Arial"/>
                    </w:rPr>
                  </w:pPr>
                  <w:r w:rsidRPr="00E73B66">
                    <w:rPr>
                      <w:rFonts w:ascii="Arial" w:hAnsi="Arial" w:cs="Arial"/>
                    </w:rPr>
                    <w:t xml:space="preserve">Consult with Finance on whether it is appropriate for the Minister for Finance to extend the Commonwealth entity or Commonwealth </w:t>
                  </w:r>
                  <w:proofErr w:type="gramStart"/>
                  <w:r w:rsidRPr="00E73B66">
                    <w:rPr>
                      <w:rFonts w:ascii="Arial" w:hAnsi="Arial" w:cs="Arial"/>
                    </w:rPr>
                    <w:t>company’s</w:t>
                  </w:r>
                  <w:proofErr w:type="gramEnd"/>
                  <w:r w:rsidRPr="00E73B66">
                    <w:rPr>
                      <w:rFonts w:ascii="Arial" w:hAnsi="Arial" w:cs="Arial"/>
                    </w:rPr>
                    <w:t xml:space="preserve"> reporting period via a PGPA Rule amendment. Register any PGPA Rule amendments on the Federal Register of Legislation.</w:t>
                  </w:r>
                </w:p>
                <w:p w14:paraId="2FB804D9" w14:textId="77777777" w:rsidR="00D8379E" w:rsidRPr="00960C77" w:rsidRDefault="00D8379E" w:rsidP="009D2800">
                  <w:pPr>
                    <w:pStyle w:val="ListParagraph"/>
                    <w:ind w:left="1420"/>
                    <w:rPr>
                      <w:rFonts w:ascii="Arial" w:hAnsi="Arial" w:cs="Arial"/>
                    </w:rPr>
                  </w:pPr>
                </w:p>
                <w:p w14:paraId="56BB2A79" w14:textId="77777777" w:rsidR="00840A1F" w:rsidRPr="00960C77" w:rsidRDefault="00840A1F" w:rsidP="00840A1F">
                  <w:pPr>
                    <w:pStyle w:val="ListParagraph"/>
                    <w:numPr>
                      <w:ilvl w:val="0"/>
                      <w:numId w:val="4"/>
                    </w:numPr>
                    <w:rPr>
                      <w:rFonts w:ascii="Arial" w:hAnsi="Arial" w:cs="Arial"/>
                    </w:rPr>
                  </w:pPr>
                  <w:r w:rsidRPr="00960C77">
                    <w:rPr>
                      <w:rFonts w:ascii="Arial" w:hAnsi="Arial" w:cs="Arial"/>
                    </w:rPr>
                    <w:t>Seek additional legal advice from the Australian Government Solicitor (if required).</w:t>
                  </w:r>
                </w:p>
                <w:p w14:paraId="65595B2A" w14:textId="77777777" w:rsidR="00840A1F" w:rsidRPr="00960C77" w:rsidRDefault="00840A1F" w:rsidP="00840A1F">
                  <w:pPr>
                    <w:rPr>
                      <w:rFonts w:ascii="Arial" w:hAnsi="Arial" w:cs="Arial"/>
                    </w:rPr>
                  </w:pPr>
                  <w:r w:rsidRPr="00960C77">
                    <w:rPr>
                      <w:rFonts w:ascii="Arial" w:hAnsi="Arial" w:cs="Arial"/>
                    </w:rPr>
                    <w:t xml:space="preserve">       </w:t>
                  </w:r>
                </w:p>
                <w:p w14:paraId="40FE7030" w14:textId="300B5A16" w:rsidR="00840A1F" w:rsidRDefault="00840A1F" w:rsidP="00840A1F">
                  <w:pPr>
                    <w:rPr>
                      <w:rFonts w:ascii="Arial" w:hAnsi="Arial" w:cs="Arial"/>
                      <w:b/>
                    </w:rPr>
                  </w:pPr>
                  <w:r w:rsidRPr="00960C77">
                    <w:rPr>
                      <w:rFonts w:ascii="Arial" w:hAnsi="Arial" w:cs="Arial"/>
                      <w:b/>
                    </w:rPr>
                    <w:t>Step 3:</w:t>
                  </w:r>
                  <w:r w:rsidRPr="00960C77">
                    <w:rPr>
                      <w:rFonts w:ascii="Arial" w:hAnsi="Arial" w:cs="Arial"/>
                    </w:rPr>
                    <w:t xml:space="preserve"> Confirm the reporting implications of the extended reporting period with the relevant areas of Finance (including the information required for the consolidated financial statements).</w:t>
                  </w:r>
                </w:p>
              </w:tc>
            </w:tr>
          </w:tbl>
          <w:p w14:paraId="6573E365" w14:textId="77777777" w:rsidR="0013717A" w:rsidRPr="009D2800" w:rsidRDefault="0013717A" w:rsidP="00AB1E60">
            <w:pPr>
              <w:rPr>
                <w:rFonts w:ascii="Arial" w:hAnsi="Arial" w:cs="Arial"/>
                <w:b/>
              </w:rPr>
            </w:pPr>
          </w:p>
          <w:p w14:paraId="68BF500E" w14:textId="2029A8F8" w:rsidR="00B83E9C" w:rsidRPr="009D2800" w:rsidRDefault="009C4427">
            <w:pPr>
              <w:rPr>
                <w:rFonts w:ascii="Arial" w:hAnsi="Arial" w:cs="Arial"/>
              </w:rPr>
            </w:pPr>
            <w:r w:rsidRPr="009D2800">
              <w:rPr>
                <w:rFonts w:ascii="Arial" w:hAnsi="Arial" w:cs="Arial"/>
              </w:rPr>
              <w:t xml:space="preserve"> </w:t>
            </w:r>
          </w:p>
        </w:tc>
      </w:tr>
    </w:tbl>
    <w:p w14:paraId="511E74AB" w14:textId="77777777" w:rsidR="00C71472" w:rsidRPr="009D2800" w:rsidRDefault="00C71472" w:rsidP="001440E3">
      <w:pPr>
        <w:spacing w:after="0"/>
        <w:rPr>
          <w:rFonts w:ascii="Arial" w:hAnsi="Arial" w:cs="Arial"/>
          <w:i/>
          <w:color w:val="808080" w:themeColor="background1" w:themeShade="80"/>
        </w:rPr>
      </w:pPr>
    </w:p>
    <w:p w14:paraId="3C03A66B" w14:textId="6C0D3105" w:rsidR="00EF7D25" w:rsidRPr="009D2800" w:rsidRDefault="00AB1E60" w:rsidP="001440E3">
      <w:pPr>
        <w:spacing w:after="0"/>
        <w:rPr>
          <w:rFonts w:ascii="Arial" w:hAnsi="Arial" w:cs="Arial"/>
          <w:u w:val="single"/>
        </w:rPr>
      </w:pPr>
      <w:r w:rsidRPr="009D2800">
        <w:rPr>
          <w:rFonts w:ascii="Arial" w:hAnsi="Arial" w:cs="Arial"/>
          <w:i/>
          <w:color w:val="808080" w:themeColor="background1" w:themeShade="80"/>
        </w:rPr>
        <w:t>Contacts</w:t>
      </w:r>
    </w:p>
    <w:tbl>
      <w:tblPr>
        <w:tblStyle w:val="TableGrid"/>
        <w:tblW w:w="0" w:type="auto"/>
        <w:tblLook w:val="04A0" w:firstRow="1" w:lastRow="0" w:firstColumn="1" w:lastColumn="0" w:noHBand="0" w:noVBand="1"/>
      </w:tblPr>
      <w:tblGrid>
        <w:gridCol w:w="9016"/>
      </w:tblGrid>
      <w:tr w:rsidR="00AB1E60" w:rsidRPr="00AC7D70" w14:paraId="67B6E22B" w14:textId="77777777" w:rsidTr="00AB1E60">
        <w:tc>
          <w:tcPr>
            <w:tcW w:w="9016" w:type="dxa"/>
          </w:tcPr>
          <w:p w14:paraId="5D79FDD1" w14:textId="06E51B27" w:rsidR="002F4F89" w:rsidRPr="009D2800" w:rsidRDefault="00984D43" w:rsidP="00C20EB8">
            <w:pPr>
              <w:rPr>
                <w:rFonts w:ascii="Arial" w:hAnsi="Arial" w:cs="Arial"/>
                <w:b/>
              </w:rPr>
            </w:pPr>
            <w:r w:rsidRPr="009D2800">
              <w:rPr>
                <w:rFonts w:ascii="Arial" w:hAnsi="Arial" w:cs="Arial"/>
                <w:b/>
              </w:rPr>
              <w:t xml:space="preserve">Accounting and Frameworks </w:t>
            </w:r>
          </w:p>
          <w:p w14:paraId="4BFEB067" w14:textId="6FD1C45E" w:rsidR="002F4F89" w:rsidRPr="009D2800" w:rsidRDefault="00984D43" w:rsidP="00C20EB8">
            <w:pPr>
              <w:rPr>
                <w:rStyle w:val="Hyperlink"/>
                <w:rFonts w:ascii="Arial" w:hAnsi="Arial" w:cs="Arial"/>
              </w:rPr>
            </w:pPr>
            <w:r w:rsidRPr="009D2800">
              <w:rPr>
                <w:rFonts w:ascii="Arial" w:hAnsi="Arial" w:cs="Arial"/>
              </w:rPr>
              <w:t xml:space="preserve">Annual financial statements - </w:t>
            </w:r>
            <w:hyperlink r:id="rId8" w:history="1">
              <w:r w:rsidR="002F4F89" w:rsidRPr="009D2800">
                <w:rPr>
                  <w:rStyle w:val="Hyperlink"/>
                  <w:rFonts w:ascii="Arial" w:hAnsi="Arial" w:cs="Arial"/>
                </w:rPr>
                <w:t>accountingpolicy@finance.gov.au</w:t>
              </w:r>
            </w:hyperlink>
          </w:p>
          <w:p w14:paraId="5D67440E" w14:textId="7D023658" w:rsidR="00F94275" w:rsidRPr="009D2800" w:rsidRDefault="00F94275" w:rsidP="00C20EB8">
            <w:pPr>
              <w:rPr>
                <w:rFonts w:ascii="Arial" w:hAnsi="Arial" w:cs="Arial"/>
              </w:rPr>
            </w:pPr>
            <w:r w:rsidRPr="009D2800">
              <w:rPr>
                <w:rStyle w:val="Hyperlink"/>
                <w:rFonts w:ascii="Arial" w:hAnsi="Arial" w:cs="Arial"/>
                <w:color w:val="auto"/>
                <w:u w:val="none"/>
              </w:rPr>
              <w:t xml:space="preserve">Extending the reporting period - </w:t>
            </w:r>
            <w:hyperlink r:id="rId9" w:history="1">
              <w:r w:rsidRPr="009D2800">
                <w:rPr>
                  <w:rStyle w:val="Hyperlink"/>
                  <w:rFonts w:ascii="Arial" w:hAnsi="Arial" w:cs="Arial"/>
                </w:rPr>
                <w:t>accountingpolicy@finance.gov.au</w:t>
              </w:r>
            </w:hyperlink>
            <w:r w:rsidR="00E64EDD" w:rsidRPr="009D2800">
              <w:rPr>
                <w:rStyle w:val="Hyperlink"/>
                <w:rFonts w:ascii="Arial" w:hAnsi="Arial" w:cs="Arial"/>
                <w:u w:val="none"/>
              </w:rPr>
              <w:t xml:space="preserve"> </w:t>
            </w:r>
            <w:r w:rsidR="00E64EDD" w:rsidRPr="009D2800">
              <w:rPr>
                <w:rStyle w:val="Hyperlink"/>
                <w:rFonts w:ascii="Arial" w:hAnsi="Arial" w:cs="Arial"/>
                <w:color w:val="auto"/>
                <w:u w:val="none"/>
              </w:rPr>
              <w:t xml:space="preserve">and </w:t>
            </w:r>
            <w:hyperlink r:id="rId10" w:history="1">
              <w:r w:rsidR="00E64EDD" w:rsidRPr="009D2800">
                <w:rPr>
                  <w:rStyle w:val="Hyperlink"/>
                  <w:rFonts w:ascii="Arial" w:hAnsi="Arial" w:cs="Arial"/>
                </w:rPr>
                <w:t>PGPA@finance.gov.au</w:t>
              </w:r>
            </w:hyperlink>
          </w:p>
          <w:p w14:paraId="5A71996F" w14:textId="164E1169" w:rsidR="00AB1E60" w:rsidRPr="009D2800" w:rsidRDefault="00AB1E60" w:rsidP="00C20EB8">
            <w:pPr>
              <w:rPr>
                <w:rFonts w:ascii="Arial" w:hAnsi="Arial" w:cs="Arial"/>
              </w:rPr>
            </w:pPr>
            <w:r w:rsidRPr="009D2800">
              <w:rPr>
                <w:rFonts w:ascii="Arial" w:hAnsi="Arial" w:cs="Arial"/>
              </w:rPr>
              <w:t xml:space="preserve"> </w:t>
            </w:r>
          </w:p>
          <w:p w14:paraId="20BD2348" w14:textId="77777777" w:rsidR="00984D43" w:rsidRPr="009D2800" w:rsidRDefault="00984D43" w:rsidP="00C20EB8">
            <w:pPr>
              <w:rPr>
                <w:rFonts w:ascii="Arial" w:hAnsi="Arial" w:cs="Arial"/>
                <w:b/>
              </w:rPr>
            </w:pPr>
            <w:r w:rsidRPr="009D2800">
              <w:rPr>
                <w:rFonts w:ascii="Arial" w:hAnsi="Arial" w:cs="Arial"/>
                <w:b/>
              </w:rPr>
              <w:t>Accountability and Reporting</w:t>
            </w:r>
          </w:p>
          <w:p w14:paraId="47165A1E" w14:textId="609EC55C" w:rsidR="008F4AB5" w:rsidRPr="009D2800" w:rsidRDefault="00AB1E60" w:rsidP="00C20EB8">
            <w:pPr>
              <w:rPr>
                <w:rFonts w:ascii="Arial" w:hAnsi="Arial" w:cs="Arial"/>
              </w:rPr>
            </w:pPr>
            <w:r w:rsidRPr="009D2800">
              <w:rPr>
                <w:rFonts w:ascii="Arial" w:hAnsi="Arial" w:cs="Arial"/>
              </w:rPr>
              <w:t>Annual reports</w:t>
            </w:r>
            <w:r w:rsidR="006A4FAB" w:rsidRPr="009D2800">
              <w:rPr>
                <w:rFonts w:ascii="Arial" w:hAnsi="Arial" w:cs="Arial"/>
              </w:rPr>
              <w:t xml:space="preserve"> - </w:t>
            </w:r>
            <w:hyperlink r:id="rId11" w:history="1">
              <w:r w:rsidR="008F4AB5" w:rsidRPr="009D2800">
                <w:rPr>
                  <w:rStyle w:val="Hyperlink"/>
                  <w:rFonts w:ascii="Arial" w:hAnsi="Arial" w:cs="Arial"/>
                </w:rPr>
                <w:t>PGPA@finance.gov.au</w:t>
              </w:r>
            </w:hyperlink>
          </w:p>
          <w:p w14:paraId="26576E25" w14:textId="2ABD537C" w:rsidR="008F4AB5" w:rsidRPr="009D2800" w:rsidRDefault="00AB1E60" w:rsidP="00C20EB8">
            <w:pPr>
              <w:rPr>
                <w:rFonts w:ascii="Arial" w:hAnsi="Arial" w:cs="Arial"/>
              </w:rPr>
            </w:pPr>
            <w:r w:rsidRPr="009D2800">
              <w:rPr>
                <w:rFonts w:ascii="Arial" w:hAnsi="Arial" w:cs="Arial"/>
              </w:rPr>
              <w:t>Corporate plans</w:t>
            </w:r>
            <w:r w:rsidR="00984D43" w:rsidRPr="009D2800">
              <w:rPr>
                <w:rFonts w:ascii="Arial" w:hAnsi="Arial" w:cs="Arial"/>
              </w:rPr>
              <w:t xml:space="preserve"> – </w:t>
            </w:r>
            <w:hyperlink r:id="rId12" w:history="1">
              <w:r w:rsidR="008F4AB5" w:rsidRPr="009D2800">
                <w:rPr>
                  <w:rStyle w:val="Hyperlink"/>
                  <w:rFonts w:ascii="Arial" w:hAnsi="Arial" w:cs="Arial"/>
                </w:rPr>
                <w:t>PGPA@finance.gov.au</w:t>
              </w:r>
            </w:hyperlink>
          </w:p>
          <w:p w14:paraId="33013E46" w14:textId="32AE0C13" w:rsidR="00AB1E60" w:rsidRPr="009D2800" w:rsidRDefault="00984D43" w:rsidP="00C20EB8">
            <w:pPr>
              <w:rPr>
                <w:rFonts w:ascii="Arial" w:hAnsi="Arial" w:cs="Arial"/>
              </w:rPr>
            </w:pPr>
            <w:r w:rsidRPr="009D2800">
              <w:rPr>
                <w:rFonts w:ascii="Arial" w:hAnsi="Arial" w:cs="Arial"/>
              </w:rPr>
              <w:t xml:space="preserve">Annual performance statements – </w:t>
            </w:r>
            <w:hyperlink r:id="rId13" w:history="1">
              <w:r w:rsidR="008F4AB5" w:rsidRPr="009D2800">
                <w:rPr>
                  <w:rStyle w:val="Hyperlink"/>
                  <w:rFonts w:ascii="Arial" w:hAnsi="Arial" w:cs="Arial"/>
                </w:rPr>
                <w:t>PGPA@finance.gov.au</w:t>
              </w:r>
            </w:hyperlink>
          </w:p>
          <w:p w14:paraId="1E0E21DA" w14:textId="5A12000E" w:rsidR="002F4F89" w:rsidRPr="009D2800" w:rsidRDefault="002F4F89" w:rsidP="00C20EB8">
            <w:pPr>
              <w:rPr>
                <w:rFonts w:ascii="Arial" w:hAnsi="Arial" w:cs="Arial"/>
              </w:rPr>
            </w:pPr>
          </w:p>
          <w:p w14:paraId="46289C0C" w14:textId="77777777" w:rsidR="00984D43" w:rsidRPr="009D2800" w:rsidRDefault="00984D43" w:rsidP="00C20EB8">
            <w:pPr>
              <w:rPr>
                <w:rFonts w:ascii="Arial" w:hAnsi="Arial" w:cs="Arial"/>
                <w:b/>
              </w:rPr>
            </w:pPr>
            <w:r w:rsidRPr="009D2800">
              <w:rPr>
                <w:rFonts w:ascii="Arial" w:hAnsi="Arial" w:cs="Arial"/>
                <w:b/>
              </w:rPr>
              <w:t xml:space="preserve">Estimates and Reporting </w:t>
            </w:r>
          </w:p>
          <w:p w14:paraId="2FF1C123" w14:textId="77777777" w:rsidR="002F4F89" w:rsidRPr="009D2800" w:rsidRDefault="002F4F89" w:rsidP="00C20EB8">
            <w:pPr>
              <w:rPr>
                <w:rFonts w:ascii="Arial" w:hAnsi="Arial" w:cs="Arial"/>
              </w:rPr>
            </w:pPr>
            <w:r w:rsidRPr="009D2800">
              <w:rPr>
                <w:rFonts w:ascii="Arial" w:hAnsi="Arial" w:cs="Arial"/>
              </w:rPr>
              <w:t>Consolidated financial statements</w:t>
            </w:r>
            <w:r w:rsidR="00984D43" w:rsidRPr="009D2800">
              <w:rPr>
                <w:rFonts w:ascii="Arial" w:hAnsi="Arial" w:cs="Arial"/>
              </w:rPr>
              <w:t xml:space="preserve"> – </w:t>
            </w:r>
            <w:hyperlink r:id="rId14" w:history="1">
              <w:r w:rsidR="0021604C" w:rsidRPr="009D2800">
                <w:rPr>
                  <w:rStyle w:val="Hyperlink"/>
                  <w:rFonts w:ascii="Arial" w:hAnsi="Arial" w:cs="Arial"/>
                </w:rPr>
                <w:t>CFSTeam@finance.gov.au</w:t>
              </w:r>
            </w:hyperlink>
            <w:r w:rsidR="0021604C" w:rsidRPr="009D2800">
              <w:rPr>
                <w:rFonts w:ascii="Arial" w:hAnsi="Arial" w:cs="Arial"/>
              </w:rPr>
              <w:t xml:space="preserve"> </w:t>
            </w:r>
          </w:p>
          <w:p w14:paraId="50FE663C" w14:textId="77777777" w:rsidR="000D2F48" w:rsidRPr="009D2800" w:rsidRDefault="000D2F48" w:rsidP="00C20EB8">
            <w:pPr>
              <w:rPr>
                <w:rFonts w:ascii="Arial" w:hAnsi="Arial" w:cs="Arial"/>
                <w:u w:val="single"/>
              </w:rPr>
            </w:pPr>
          </w:p>
          <w:p w14:paraId="33804A96" w14:textId="77777777" w:rsidR="000D2F48" w:rsidRPr="009D2800" w:rsidRDefault="0041362F" w:rsidP="00C20EB8">
            <w:pPr>
              <w:rPr>
                <w:rFonts w:ascii="Arial" w:hAnsi="Arial" w:cs="Arial"/>
                <w:b/>
              </w:rPr>
            </w:pPr>
            <w:r w:rsidRPr="009D2800">
              <w:rPr>
                <w:rFonts w:ascii="Arial" w:hAnsi="Arial" w:cs="Arial"/>
                <w:b/>
              </w:rPr>
              <w:t xml:space="preserve">Budget estimates </w:t>
            </w:r>
          </w:p>
          <w:p w14:paraId="406CE926" w14:textId="77777777" w:rsidR="000D2F48" w:rsidRPr="009D2800" w:rsidRDefault="000D2F48" w:rsidP="00C20EB8">
            <w:pPr>
              <w:rPr>
                <w:rFonts w:ascii="Arial" w:hAnsi="Arial" w:cs="Arial"/>
              </w:rPr>
            </w:pPr>
            <w:r w:rsidRPr="009D2800">
              <w:rPr>
                <w:rFonts w:ascii="Arial" w:hAnsi="Arial" w:cs="Arial"/>
              </w:rPr>
              <w:t>– Agency Advice Unit in Finance</w:t>
            </w:r>
          </w:p>
          <w:p w14:paraId="1F0D9918" w14:textId="20A68A22" w:rsidR="0041362F" w:rsidRPr="009D2800" w:rsidRDefault="000D2F48" w:rsidP="00C20EB8">
            <w:pPr>
              <w:rPr>
                <w:rFonts w:ascii="Arial" w:hAnsi="Arial" w:cs="Arial"/>
              </w:rPr>
            </w:pPr>
            <w:r w:rsidRPr="009D2800">
              <w:rPr>
                <w:rFonts w:ascii="Arial" w:hAnsi="Arial" w:cs="Arial"/>
              </w:rPr>
              <w:t xml:space="preserve">– </w:t>
            </w:r>
            <w:r w:rsidR="00EB629C" w:rsidRPr="009D2800">
              <w:rPr>
                <w:rFonts w:ascii="Arial" w:hAnsi="Arial" w:cs="Arial"/>
              </w:rPr>
              <w:t xml:space="preserve">relevant contacts in </w:t>
            </w:r>
            <w:r w:rsidR="0041362F" w:rsidRPr="009D2800">
              <w:rPr>
                <w:rFonts w:ascii="Arial" w:hAnsi="Arial" w:cs="Arial"/>
              </w:rPr>
              <w:t>Portfolio Department</w:t>
            </w:r>
          </w:p>
        </w:tc>
      </w:tr>
    </w:tbl>
    <w:p w14:paraId="42F4F467" w14:textId="186EAB9A" w:rsidR="0055674C" w:rsidRPr="009D2800" w:rsidRDefault="0055674C" w:rsidP="00E01823">
      <w:pPr>
        <w:spacing w:after="0"/>
        <w:rPr>
          <w:rFonts w:ascii="Arial" w:hAnsi="Arial" w:cs="Arial"/>
        </w:rPr>
      </w:pPr>
    </w:p>
    <w:p w14:paraId="68B9E080" w14:textId="17B8FEB0" w:rsidR="00C71472" w:rsidRPr="009D2800" w:rsidRDefault="00C71472" w:rsidP="00E01823">
      <w:pPr>
        <w:spacing w:after="0"/>
        <w:rPr>
          <w:rFonts w:ascii="Arial" w:hAnsi="Arial" w:cs="Arial"/>
          <w:i/>
          <w:color w:val="808080" w:themeColor="background1" w:themeShade="80"/>
        </w:rPr>
      </w:pPr>
      <w:r w:rsidRPr="009D2800">
        <w:rPr>
          <w:rFonts w:ascii="Arial" w:hAnsi="Arial" w:cs="Arial"/>
          <w:i/>
          <w:color w:val="808080" w:themeColor="background1" w:themeShade="80"/>
        </w:rPr>
        <w:t>PGPA Act References</w:t>
      </w:r>
    </w:p>
    <w:tbl>
      <w:tblPr>
        <w:tblStyle w:val="TableGrid"/>
        <w:tblW w:w="0" w:type="auto"/>
        <w:tblLook w:val="04A0" w:firstRow="1" w:lastRow="0" w:firstColumn="1" w:lastColumn="0" w:noHBand="0" w:noVBand="1"/>
      </w:tblPr>
      <w:tblGrid>
        <w:gridCol w:w="4508"/>
        <w:gridCol w:w="4508"/>
      </w:tblGrid>
      <w:tr w:rsidR="008457D5" w:rsidRPr="00AC7D70" w14:paraId="5FEB6431" w14:textId="77777777" w:rsidTr="009D2800">
        <w:tc>
          <w:tcPr>
            <w:tcW w:w="4508" w:type="dxa"/>
            <w:shd w:val="clear" w:color="auto" w:fill="33CCCC"/>
          </w:tcPr>
          <w:p w14:paraId="1858FB9B" w14:textId="0CB7D4F4" w:rsidR="008457D5" w:rsidRPr="009D2800" w:rsidRDefault="008457D5" w:rsidP="00E01823">
            <w:pPr>
              <w:rPr>
                <w:rFonts w:ascii="Arial" w:hAnsi="Arial" w:cs="Arial"/>
                <w:b/>
              </w:rPr>
            </w:pPr>
            <w:r w:rsidRPr="009D2800">
              <w:rPr>
                <w:rFonts w:ascii="Arial" w:hAnsi="Arial" w:cs="Arial"/>
                <w:b/>
              </w:rPr>
              <w:t>Item</w:t>
            </w:r>
          </w:p>
        </w:tc>
        <w:tc>
          <w:tcPr>
            <w:tcW w:w="4508" w:type="dxa"/>
            <w:shd w:val="clear" w:color="auto" w:fill="33CCCC"/>
          </w:tcPr>
          <w:p w14:paraId="28B91871" w14:textId="4B634F21" w:rsidR="008457D5" w:rsidRPr="009D2800" w:rsidRDefault="008457D5" w:rsidP="00E01823">
            <w:pPr>
              <w:rPr>
                <w:rFonts w:ascii="Arial" w:hAnsi="Arial" w:cs="Arial"/>
                <w:b/>
              </w:rPr>
            </w:pPr>
            <w:r w:rsidRPr="009D2800">
              <w:rPr>
                <w:rFonts w:ascii="Arial" w:hAnsi="Arial" w:cs="Arial"/>
                <w:b/>
              </w:rPr>
              <w:t>PGPA Act</w:t>
            </w:r>
          </w:p>
        </w:tc>
      </w:tr>
      <w:tr w:rsidR="008457D5" w:rsidRPr="00AC7D70" w14:paraId="2F38E265" w14:textId="77777777" w:rsidTr="008457D5">
        <w:tc>
          <w:tcPr>
            <w:tcW w:w="4508" w:type="dxa"/>
          </w:tcPr>
          <w:p w14:paraId="646F8E08" w14:textId="7F570EEA" w:rsidR="008457D5" w:rsidRPr="009D2800" w:rsidRDefault="008457D5" w:rsidP="00E01823">
            <w:pPr>
              <w:rPr>
                <w:rFonts w:ascii="Arial" w:hAnsi="Arial" w:cs="Arial"/>
              </w:rPr>
            </w:pPr>
            <w:r w:rsidRPr="009D2800">
              <w:rPr>
                <w:rFonts w:ascii="Arial" w:hAnsi="Arial" w:cs="Arial"/>
              </w:rPr>
              <w:t>Commonwealth entity (definition)</w:t>
            </w:r>
          </w:p>
        </w:tc>
        <w:tc>
          <w:tcPr>
            <w:tcW w:w="4508" w:type="dxa"/>
          </w:tcPr>
          <w:p w14:paraId="26A8A7C4" w14:textId="45B13A7F" w:rsidR="008457D5" w:rsidRPr="009D2800" w:rsidRDefault="008457D5" w:rsidP="00E01823">
            <w:pPr>
              <w:rPr>
                <w:rFonts w:ascii="Arial" w:hAnsi="Arial" w:cs="Arial"/>
              </w:rPr>
            </w:pPr>
            <w:r w:rsidRPr="009D2800">
              <w:rPr>
                <w:rFonts w:ascii="Arial" w:hAnsi="Arial" w:cs="Arial"/>
              </w:rPr>
              <w:t>Section 10</w:t>
            </w:r>
          </w:p>
        </w:tc>
      </w:tr>
      <w:tr w:rsidR="008457D5" w:rsidRPr="00AC7D70" w14:paraId="64F4635A" w14:textId="77777777" w:rsidTr="008457D5">
        <w:tc>
          <w:tcPr>
            <w:tcW w:w="4508" w:type="dxa"/>
          </w:tcPr>
          <w:p w14:paraId="34520E84" w14:textId="7CFCBD82" w:rsidR="008457D5" w:rsidRPr="009D2800" w:rsidRDefault="008457D5" w:rsidP="00E01823">
            <w:pPr>
              <w:rPr>
                <w:rFonts w:ascii="Arial" w:hAnsi="Arial" w:cs="Arial"/>
              </w:rPr>
            </w:pPr>
            <w:r w:rsidRPr="009D2800">
              <w:rPr>
                <w:rFonts w:ascii="Arial" w:hAnsi="Arial" w:cs="Arial"/>
              </w:rPr>
              <w:t>Commonwealth company (definition)</w:t>
            </w:r>
          </w:p>
        </w:tc>
        <w:tc>
          <w:tcPr>
            <w:tcW w:w="4508" w:type="dxa"/>
          </w:tcPr>
          <w:p w14:paraId="4B039EEA" w14:textId="7659DA31" w:rsidR="008457D5" w:rsidRPr="009D2800" w:rsidRDefault="008457D5" w:rsidP="00E01823">
            <w:pPr>
              <w:rPr>
                <w:rFonts w:ascii="Arial" w:hAnsi="Arial" w:cs="Arial"/>
              </w:rPr>
            </w:pPr>
            <w:r w:rsidRPr="009D2800">
              <w:rPr>
                <w:rFonts w:ascii="Arial" w:hAnsi="Arial" w:cs="Arial"/>
              </w:rPr>
              <w:t>Subsection 89(1)</w:t>
            </w:r>
          </w:p>
        </w:tc>
      </w:tr>
      <w:tr w:rsidR="00F640DC" w:rsidRPr="00AC7D70" w14:paraId="38B2A843" w14:textId="77777777" w:rsidTr="008457D5">
        <w:tc>
          <w:tcPr>
            <w:tcW w:w="4508" w:type="dxa"/>
          </w:tcPr>
          <w:p w14:paraId="7680FF7E" w14:textId="73C4EC16" w:rsidR="00F640DC" w:rsidRPr="009D2800" w:rsidRDefault="00F640DC" w:rsidP="00E01823">
            <w:pPr>
              <w:rPr>
                <w:rFonts w:ascii="Arial" w:hAnsi="Arial" w:cs="Arial"/>
              </w:rPr>
            </w:pPr>
            <w:r w:rsidRPr="009D2800">
              <w:rPr>
                <w:rFonts w:ascii="Arial" w:hAnsi="Arial" w:cs="Arial"/>
              </w:rPr>
              <w:t>Reporting period (definition)</w:t>
            </w:r>
          </w:p>
        </w:tc>
        <w:tc>
          <w:tcPr>
            <w:tcW w:w="4508" w:type="dxa"/>
          </w:tcPr>
          <w:p w14:paraId="4DD67E28" w14:textId="36E9E7BC" w:rsidR="00F640DC" w:rsidRPr="009D2800" w:rsidRDefault="00F640DC" w:rsidP="00E01823">
            <w:pPr>
              <w:rPr>
                <w:rFonts w:ascii="Arial" w:hAnsi="Arial" w:cs="Arial"/>
              </w:rPr>
            </w:pPr>
            <w:r w:rsidRPr="009D2800">
              <w:rPr>
                <w:rFonts w:ascii="Arial" w:hAnsi="Arial" w:cs="Arial"/>
              </w:rPr>
              <w:t>Section 8</w:t>
            </w:r>
          </w:p>
        </w:tc>
      </w:tr>
      <w:tr w:rsidR="008457D5" w:rsidRPr="00AC7D70" w14:paraId="2B98B9EC" w14:textId="77777777" w:rsidTr="008457D5">
        <w:tc>
          <w:tcPr>
            <w:tcW w:w="4508" w:type="dxa"/>
          </w:tcPr>
          <w:p w14:paraId="0E946690" w14:textId="3A8E1BFD" w:rsidR="008457D5" w:rsidRPr="009D2800" w:rsidRDefault="008457D5" w:rsidP="00E01823">
            <w:pPr>
              <w:rPr>
                <w:rFonts w:ascii="Arial" w:hAnsi="Arial" w:cs="Arial"/>
              </w:rPr>
            </w:pPr>
            <w:r w:rsidRPr="009D2800">
              <w:rPr>
                <w:rFonts w:ascii="Arial" w:hAnsi="Arial" w:cs="Arial"/>
              </w:rPr>
              <w:t>Annual financial statements</w:t>
            </w:r>
          </w:p>
        </w:tc>
        <w:tc>
          <w:tcPr>
            <w:tcW w:w="4508" w:type="dxa"/>
          </w:tcPr>
          <w:p w14:paraId="6E2F673E" w14:textId="756C0EAC" w:rsidR="008457D5" w:rsidRPr="009D2800" w:rsidRDefault="00F94A26" w:rsidP="00E01823">
            <w:pPr>
              <w:rPr>
                <w:rFonts w:ascii="Arial" w:hAnsi="Arial" w:cs="Arial"/>
              </w:rPr>
            </w:pPr>
            <w:r w:rsidRPr="009D2800">
              <w:rPr>
                <w:rFonts w:ascii="Arial" w:hAnsi="Arial" w:cs="Arial"/>
              </w:rPr>
              <w:t>Section 42</w:t>
            </w:r>
          </w:p>
        </w:tc>
      </w:tr>
      <w:tr w:rsidR="008457D5" w:rsidRPr="00AC7D70" w14:paraId="25680D7B" w14:textId="77777777" w:rsidTr="008457D5">
        <w:tc>
          <w:tcPr>
            <w:tcW w:w="4508" w:type="dxa"/>
          </w:tcPr>
          <w:p w14:paraId="1D216B14" w14:textId="02A49AFB" w:rsidR="008457D5" w:rsidRPr="009D2800" w:rsidRDefault="008457D5" w:rsidP="00E01823">
            <w:pPr>
              <w:rPr>
                <w:rFonts w:ascii="Arial" w:hAnsi="Arial" w:cs="Arial"/>
              </w:rPr>
            </w:pPr>
            <w:r w:rsidRPr="009D2800">
              <w:rPr>
                <w:rFonts w:ascii="Arial" w:hAnsi="Arial" w:cs="Arial"/>
              </w:rPr>
              <w:t>Annual report</w:t>
            </w:r>
          </w:p>
        </w:tc>
        <w:tc>
          <w:tcPr>
            <w:tcW w:w="4508" w:type="dxa"/>
          </w:tcPr>
          <w:p w14:paraId="261597AA" w14:textId="26DFEF0B" w:rsidR="008457D5" w:rsidRPr="009D2800" w:rsidRDefault="008457D5" w:rsidP="00E01823">
            <w:pPr>
              <w:rPr>
                <w:rFonts w:ascii="Arial" w:hAnsi="Arial" w:cs="Arial"/>
              </w:rPr>
            </w:pPr>
            <w:r w:rsidRPr="009D2800">
              <w:rPr>
                <w:rFonts w:ascii="Arial" w:hAnsi="Arial" w:cs="Arial"/>
              </w:rPr>
              <w:t>Sections 46 and 97</w:t>
            </w:r>
          </w:p>
        </w:tc>
      </w:tr>
      <w:tr w:rsidR="008457D5" w:rsidRPr="00AC7D70" w14:paraId="1F63B211" w14:textId="77777777" w:rsidTr="008457D5">
        <w:tc>
          <w:tcPr>
            <w:tcW w:w="4508" w:type="dxa"/>
          </w:tcPr>
          <w:p w14:paraId="7A7C76A3" w14:textId="3C4258B5" w:rsidR="008457D5" w:rsidRPr="009D2800" w:rsidRDefault="008457D5" w:rsidP="00E01823">
            <w:pPr>
              <w:rPr>
                <w:rFonts w:ascii="Arial" w:hAnsi="Arial" w:cs="Arial"/>
              </w:rPr>
            </w:pPr>
            <w:r w:rsidRPr="009D2800">
              <w:rPr>
                <w:rFonts w:ascii="Arial" w:hAnsi="Arial" w:cs="Arial"/>
              </w:rPr>
              <w:t>Corporate plan</w:t>
            </w:r>
          </w:p>
        </w:tc>
        <w:tc>
          <w:tcPr>
            <w:tcW w:w="4508" w:type="dxa"/>
          </w:tcPr>
          <w:p w14:paraId="13E04FD7" w14:textId="39F55CF1" w:rsidR="008457D5" w:rsidRPr="009D2800" w:rsidRDefault="008457D5" w:rsidP="00E01823">
            <w:pPr>
              <w:rPr>
                <w:rFonts w:ascii="Arial" w:hAnsi="Arial" w:cs="Arial"/>
              </w:rPr>
            </w:pPr>
            <w:r w:rsidRPr="009D2800">
              <w:rPr>
                <w:rFonts w:ascii="Arial" w:hAnsi="Arial" w:cs="Arial"/>
              </w:rPr>
              <w:t>Sections 35 and 95</w:t>
            </w:r>
          </w:p>
        </w:tc>
      </w:tr>
      <w:tr w:rsidR="008457D5" w:rsidRPr="00AC7D70" w14:paraId="57F632F7" w14:textId="77777777" w:rsidTr="008457D5">
        <w:tc>
          <w:tcPr>
            <w:tcW w:w="4508" w:type="dxa"/>
          </w:tcPr>
          <w:p w14:paraId="23D9EE6B" w14:textId="693C8A20" w:rsidR="008457D5" w:rsidRPr="009D2800" w:rsidRDefault="008457D5" w:rsidP="00E01823">
            <w:pPr>
              <w:rPr>
                <w:rFonts w:ascii="Arial" w:hAnsi="Arial" w:cs="Arial"/>
              </w:rPr>
            </w:pPr>
            <w:r w:rsidRPr="009D2800">
              <w:rPr>
                <w:rFonts w:ascii="Arial" w:hAnsi="Arial" w:cs="Arial"/>
              </w:rPr>
              <w:t>Budget estimates</w:t>
            </w:r>
          </w:p>
        </w:tc>
        <w:tc>
          <w:tcPr>
            <w:tcW w:w="4508" w:type="dxa"/>
          </w:tcPr>
          <w:p w14:paraId="7A9C4454" w14:textId="74660D46" w:rsidR="008457D5" w:rsidRPr="009D2800" w:rsidRDefault="008457D5" w:rsidP="00E01823">
            <w:pPr>
              <w:rPr>
                <w:rFonts w:ascii="Arial" w:hAnsi="Arial" w:cs="Arial"/>
              </w:rPr>
            </w:pPr>
            <w:r w:rsidRPr="009D2800">
              <w:rPr>
                <w:rFonts w:ascii="Arial" w:hAnsi="Arial" w:cs="Arial"/>
              </w:rPr>
              <w:t>Sections 36 and 96</w:t>
            </w:r>
          </w:p>
        </w:tc>
      </w:tr>
      <w:tr w:rsidR="008457D5" w:rsidRPr="00AC7D70" w14:paraId="7511F4B2" w14:textId="77777777" w:rsidTr="008457D5">
        <w:tc>
          <w:tcPr>
            <w:tcW w:w="4508" w:type="dxa"/>
          </w:tcPr>
          <w:p w14:paraId="1B0E0FAA" w14:textId="525F2E55" w:rsidR="008457D5" w:rsidRPr="009D2800" w:rsidRDefault="008457D5" w:rsidP="00E01823">
            <w:pPr>
              <w:rPr>
                <w:rFonts w:ascii="Arial" w:hAnsi="Arial" w:cs="Arial"/>
              </w:rPr>
            </w:pPr>
            <w:r w:rsidRPr="009D2800">
              <w:rPr>
                <w:rFonts w:ascii="Arial" w:hAnsi="Arial" w:cs="Arial"/>
              </w:rPr>
              <w:t>Annual performance statements</w:t>
            </w:r>
          </w:p>
        </w:tc>
        <w:tc>
          <w:tcPr>
            <w:tcW w:w="4508" w:type="dxa"/>
          </w:tcPr>
          <w:p w14:paraId="057BAFBF" w14:textId="292ED67A" w:rsidR="008457D5" w:rsidRPr="009D2800" w:rsidRDefault="00F94A26" w:rsidP="00E01823">
            <w:pPr>
              <w:rPr>
                <w:rFonts w:ascii="Arial" w:hAnsi="Arial" w:cs="Arial"/>
              </w:rPr>
            </w:pPr>
            <w:r w:rsidRPr="009D2800">
              <w:rPr>
                <w:rFonts w:ascii="Arial" w:hAnsi="Arial" w:cs="Arial"/>
              </w:rPr>
              <w:t>Section 39</w:t>
            </w:r>
          </w:p>
        </w:tc>
      </w:tr>
    </w:tbl>
    <w:p w14:paraId="2F0F6B9F" w14:textId="77777777" w:rsidR="00C71472" w:rsidRPr="009D2800" w:rsidRDefault="00C71472" w:rsidP="00E01823">
      <w:pPr>
        <w:spacing w:after="0"/>
        <w:rPr>
          <w:rFonts w:ascii="Arial" w:hAnsi="Arial" w:cs="Arial"/>
          <w:i/>
          <w:color w:val="808080" w:themeColor="background1" w:themeShade="80"/>
        </w:rPr>
      </w:pPr>
    </w:p>
    <w:sectPr w:rsidR="00C71472" w:rsidRPr="009D280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6099A" w14:textId="77777777" w:rsidR="009F398E" w:rsidRDefault="009F398E" w:rsidP="009F398E">
      <w:pPr>
        <w:spacing w:after="0" w:line="240" w:lineRule="auto"/>
      </w:pPr>
      <w:r>
        <w:separator/>
      </w:r>
    </w:p>
  </w:endnote>
  <w:endnote w:type="continuationSeparator" w:id="0">
    <w:p w14:paraId="79317E69" w14:textId="77777777" w:rsidR="009F398E" w:rsidRDefault="009F398E" w:rsidP="009F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3CE99" w14:textId="77777777" w:rsidR="009F398E" w:rsidRDefault="009F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408C2" w14:textId="77777777" w:rsidR="009F398E" w:rsidRDefault="009F3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2FD75" w14:textId="77777777" w:rsidR="009F398E" w:rsidRDefault="009F3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5A96C" w14:textId="77777777" w:rsidR="009F398E" w:rsidRDefault="009F398E" w:rsidP="009F398E">
      <w:pPr>
        <w:spacing w:after="0" w:line="240" w:lineRule="auto"/>
      </w:pPr>
      <w:r>
        <w:separator/>
      </w:r>
    </w:p>
  </w:footnote>
  <w:footnote w:type="continuationSeparator" w:id="0">
    <w:p w14:paraId="7C36A8D6" w14:textId="77777777" w:rsidR="009F398E" w:rsidRDefault="009F398E" w:rsidP="009F3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8CDCA" w14:textId="77777777" w:rsidR="009F398E" w:rsidRDefault="009F3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EB490" w14:textId="52FA6DD1" w:rsidR="009F398E" w:rsidRDefault="009F3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D6C2B" w14:textId="77777777" w:rsidR="009F398E" w:rsidRDefault="009F3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3119"/>
    <w:multiLevelType w:val="hybridMultilevel"/>
    <w:tmpl w:val="CCEE4830"/>
    <w:lvl w:ilvl="0" w:tplc="EC146FAC">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C54EE"/>
    <w:multiLevelType w:val="hybridMultilevel"/>
    <w:tmpl w:val="5A10787A"/>
    <w:lvl w:ilvl="0" w:tplc="F9A23ED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64F29A9"/>
    <w:multiLevelType w:val="multilevel"/>
    <w:tmpl w:val="84B8172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pStyle w:val="Bullet1"/>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lowerLetter"/>
      <w:lvlText w:val="(%5)"/>
      <w:lvlJc w:val="left"/>
      <w:pPr>
        <w:ind w:left="1420" w:hanging="284"/>
      </w:pPr>
      <w:rPr>
        <w:rFonts w:hint="default"/>
      </w:rPr>
    </w:lvl>
    <w:lvl w:ilvl="5">
      <w:start w:val="1"/>
      <w:numFmt w:val="bullet"/>
      <w:lvlText w:val=""/>
      <w:lvlJc w:val="left"/>
      <w:pPr>
        <w:ind w:left="1704" w:hanging="284"/>
      </w:pPr>
      <w:rPr>
        <w:rFonts w:ascii="Symbol" w:hAnsi="Symbol"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40D32AC2"/>
    <w:multiLevelType w:val="hybridMultilevel"/>
    <w:tmpl w:val="E6BC7F36"/>
    <w:lvl w:ilvl="0" w:tplc="5E929D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5577CB"/>
    <w:multiLevelType w:val="hybridMultilevel"/>
    <w:tmpl w:val="D1568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35331D"/>
    <w:multiLevelType w:val="hybridMultilevel"/>
    <w:tmpl w:val="229C25D4"/>
    <w:lvl w:ilvl="0" w:tplc="9D149CD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DB"/>
    <w:rsid w:val="00000BB9"/>
    <w:rsid w:val="00004384"/>
    <w:rsid w:val="0001221E"/>
    <w:rsid w:val="00021F5E"/>
    <w:rsid w:val="000349BF"/>
    <w:rsid w:val="00053F4D"/>
    <w:rsid w:val="000600D1"/>
    <w:rsid w:val="00063318"/>
    <w:rsid w:val="0007120F"/>
    <w:rsid w:val="000B38E5"/>
    <w:rsid w:val="000C1631"/>
    <w:rsid w:val="000C2C7F"/>
    <w:rsid w:val="000C3126"/>
    <w:rsid w:val="000C35B2"/>
    <w:rsid w:val="000C44B2"/>
    <w:rsid w:val="000C77F3"/>
    <w:rsid w:val="000D2F48"/>
    <w:rsid w:val="000F6949"/>
    <w:rsid w:val="00111AA9"/>
    <w:rsid w:val="001138CB"/>
    <w:rsid w:val="00114DD5"/>
    <w:rsid w:val="0012003E"/>
    <w:rsid w:val="0013717A"/>
    <w:rsid w:val="00140AB7"/>
    <w:rsid w:val="001440E3"/>
    <w:rsid w:val="001527E1"/>
    <w:rsid w:val="00160CAB"/>
    <w:rsid w:val="001631B7"/>
    <w:rsid w:val="00177AA2"/>
    <w:rsid w:val="0018507F"/>
    <w:rsid w:val="00185845"/>
    <w:rsid w:val="001A1FEF"/>
    <w:rsid w:val="001C0863"/>
    <w:rsid w:val="001C10CE"/>
    <w:rsid w:val="001E303A"/>
    <w:rsid w:val="001F0CBA"/>
    <w:rsid w:val="001F4BAF"/>
    <w:rsid w:val="0020122F"/>
    <w:rsid w:val="00201C95"/>
    <w:rsid w:val="00204744"/>
    <w:rsid w:val="002055C4"/>
    <w:rsid w:val="00206A21"/>
    <w:rsid w:val="00210446"/>
    <w:rsid w:val="00214A13"/>
    <w:rsid w:val="0021604C"/>
    <w:rsid w:val="00220561"/>
    <w:rsid w:val="00221AF9"/>
    <w:rsid w:val="00236989"/>
    <w:rsid w:val="00255C27"/>
    <w:rsid w:val="00256A54"/>
    <w:rsid w:val="00263CE1"/>
    <w:rsid w:val="002654B1"/>
    <w:rsid w:val="002665E8"/>
    <w:rsid w:val="002672AC"/>
    <w:rsid w:val="002776D4"/>
    <w:rsid w:val="00285703"/>
    <w:rsid w:val="002A671E"/>
    <w:rsid w:val="002A6728"/>
    <w:rsid w:val="002B1094"/>
    <w:rsid w:val="002B111D"/>
    <w:rsid w:val="002B2A36"/>
    <w:rsid w:val="002C6F6A"/>
    <w:rsid w:val="002D34C5"/>
    <w:rsid w:val="002D5FC8"/>
    <w:rsid w:val="002E036E"/>
    <w:rsid w:val="002F0711"/>
    <w:rsid w:val="002F4F89"/>
    <w:rsid w:val="00302FF8"/>
    <w:rsid w:val="00316170"/>
    <w:rsid w:val="00324FF9"/>
    <w:rsid w:val="003637AB"/>
    <w:rsid w:val="0036418C"/>
    <w:rsid w:val="00367053"/>
    <w:rsid w:val="00392D0A"/>
    <w:rsid w:val="003A3133"/>
    <w:rsid w:val="003A32C0"/>
    <w:rsid w:val="003A7460"/>
    <w:rsid w:val="003B525F"/>
    <w:rsid w:val="003E63EC"/>
    <w:rsid w:val="003F2FF3"/>
    <w:rsid w:val="0041362F"/>
    <w:rsid w:val="00415ADF"/>
    <w:rsid w:val="00415B49"/>
    <w:rsid w:val="00442DB3"/>
    <w:rsid w:val="004467C1"/>
    <w:rsid w:val="004569F0"/>
    <w:rsid w:val="00462CC4"/>
    <w:rsid w:val="00486ACA"/>
    <w:rsid w:val="00491A97"/>
    <w:rsid w:val="004B4E1B"/>
    <w:rsid w:val="004C02A0"/>
    <w:rsid w:val="004C3154"/>
    <w:rsid w:val="004C467D"/>
    <w:rsid w:val="004E5A31"/>
    <w:rsid w:val="004F5277"/>
    <w:rsid w:val="0051349F"/>
    <w:rsid w:val="005162AB"/>
    <w:rsid w:val="00522973"/>
    <w:rsid w:val="0055674C"/>
    <w:rsid w:val="005601EF"/>
    <w:rsid w:val="005644D6"/>
    <w:rsid w:val="005730FE"/>
    <w:rsid w:val="00577CD3"/>
    <w:rsid w:val="005850EC"/>
    <w:rsid w:val="00594A45"/>
    <w:rsid w:val="005954F2"/>
    <w:rsid w:val="005A18DB"/>
    <w:rsid w:val="005B030E"/>
    <w:rsid w:val="005B5A58"/>
    <w:rsid w:val="005B7D6A"/>
    <w:rsid w:val="005C513C"/>
    <w:rsid w:val="005D3267"/>
    <w:rsid w:val="005D4C09"/>
    <w:rsid w:val="005F1DCC"/>
    <w:rsid w:val="00604C5F"/>
    <w:rsid w:val="0062001D"/>
    <w:rsid w:val="00646891"/>
    <w:rsid w:val="006507C6"/>
    <w:rsid w:val="00652872"/>
    <w:rsid w:val="00664EC7"/>
    <w:rsid w:val="0067399A"/>
    <w:rsid w:val="00674172"/>
    <w:rsid w:val="0067639E"/>
    <w:rsid w:val="006813B9"/>
    <w:rsid w:val="00690F15"/>
    <w:rsid w:val="006A1C5B"/>
    <w:rsid w:val="006A4FAB"/>
    <w:rsid w:val="006C42BA"/>
    <w:rsid w:val="006C7DE1"/>
    <w:rsid w:val="006D4372"/>
    <w:rsid w:val="006D4FE0"/>
    <w:rsid w:val="006D5CFB"/>
    <w:rsid w:val="006D7DAA"/>
    <w:rsid w:val="00710753"/>
    <w:rsid w:val="00724AD5"/>
    <w:rsid w:val="007253FB"/>
    <w:rsid w:val="00735B02"/>
    <w:rsid w:val="007429F5"/>
    <w:rsid w:val="00743891"/>
    <w:rsid w:val="007477C7"/>
    <w:rsid w:val="00762D6F"/>
    <w:rsid w:val="007651C8"/>
    <w:rsid w:val="007762CF"/>
    <w:rsid w:val="007868CC"/>
    <w:rsid w:val="007914F9"/>
    <w:rsid w:val="007A7ED6"/>
    <w:rsid w:val="007E3CC8"/>
    <w:rsid w:val="007E4C99"/>
    <w:rsid w:val="007E723C"/>
    <w:rsid w:val="007F04D6"/>
    <w:rsid w:val="007F165F"/>
    <w:rsid w:val="007F4B8F"/>
    <w:rsid w:val="00805FB6"/>
    <w:rsid w:val="00812C68"/>
    <w:rsid w:val="00825471"/>
    <w:rsid w:val="00834481"/>
    <w:rsid w:val="00840A1F"/>
    <w:rsid w:val="008436D0"/>
    <w:rsid w:val="008457D5"/>
    <w:rsid w:val="008476D6"/>
    <w:rsid w:val="00855F3B"/>
    <w:rsid w:val="0087066C"/>
    <w:rsid w:val="00877E34"/>
    <w:rsid w:val="00880D01"/>
    <w:rsid w:val="00881C46"/>
    <w:rsid w:val="008B52EE"/>
    <w:rsid w:val="008C221B"/>
    <w:rsid w:val="008C419B"/>
    <w:rsid w:val="008D1B3A"/>
    <w:rsid w:val="008D6276"/>
    <w:rsid w:val="008E58E8"/>
    <w:rsid w:val="008F4AB5"/>
    <w:rsid w:val="00910EB8"/>
    <w:rsid w:val="0092282E"/>
    <w:rsid w:val="00944871"/>
    <w:rsid w:val="00944C89"/>
    <w:rsid w:val="00944D5F"/>
    <w:rsid w:val="00962D03"/>
    <w:rsid w:val="009661F6"/>
    <w:rsid w:val="00984D43"/>
    <w:rsid w:val="00994471"/>
    <w:rsid w:val="009B2129"/>
    <w:rsid w:val="009B384D"/>
    <w:rsid w:val="009B3C62"/>
    <w:rsid w:val="009C2477"/>
    <w:rsid w:val="009C4427"/>
    <w:rsid w:val="009D1D0F"/>
    <w:rsid w:val="009D2800"/>
    <w:rsid w:val="009D6491"/>
    <w:rsid w:val="009E3ADC"/>
    <w:rsid w:val="009F398E"/>
    <w:rsid w:val="009F49FB"/>
    <w:rsid w:val="00A0081F"/>
    <w:rsid w:val="00A029AE"/>
    <w:rsid w:val="00A1769E"/>
    <w:rsid w:val="00A20501"/>
    <w:rsid w:val="00A33582"/>
    <w:rsid w:val="00A42233"/>
    <w:rsid w:val="00A575B3"/>
    <w:rsid w:val="00A6029D"/>
    <w:rsid w:val="00A72297"/>
    <w:rsid w:val="00A80DB2"/>
    <w:rsid w:val="00A81F9C"/>
    <w:rsid w:val="00AB1E60"/>
    <w:rsid w:val="00AC4D08"/>
    <w:rsid w:val="00AC7D70"/>
    <w:rsid w:val="00AD5EB4"/>
    <w:rsid w:val="00AD5EDA"/>
    <w:rsid w:val="00AE4119"/>
    <w:rsid w:val="00AE6C60"/>
    <w:rsid w:val="00AF51F7"/>
    <w:rsid w:val="00AF57C3"/>
    <w:rsid w:val="00B06BF4"/>
    <w:rsid w:val="00B17EDD"/>
    <w:rsid w:val="00B33F8A"/>
    <w:rsid w:val="00B34CA1"/>
    <w:rsid w:val="00B500AB"/>
    <w:rsid w:val="00B67147"/>
    <w:rsid w:val="00B83E9C"/>
    <w:rsid w:val="00BA152D"/>
    <w:rsid w:val="00BB5CFB"/>
    <w:rsid w:val="00BB65DE"/>
    <w:rsid w:val="00BC29BD"/>
    <w:rsid w:val="00BE22A3"/>
    <w:rsid w:val="00BE33D4"/>
    <w:rsid w:val="00BE4804"/>
    <w:rsid w:val="00BF009B"/>
    <w:rsid w:val="00C075CC"/>
    <w:rsid w:val="00C07DA1"/>
    <w:rsid w:val="00C131C9"/>
    <w:rsid w:val="00C20EB8"/>
    <w:rsid w:val="00C25A6C"/>
    <w:rsid w:val="00C263B3"/>
    <w:rsid w:val="00C274D0"/>
    <w:rsid w:val="00C27CF4"/>
    <w:rsid w:val="00C40180"/>
    <w:rsid w:val="00C71472"/>
    <w:rsid w:val="00C80145"/>
    <w:rsid w:val="00C83760"/>
    <w:rsid w:val="00C91D62"/>
    <w:rsid w:val="00C93BCC"/>
    <w:rsid w:val="00C97B21"/>
    <w:rsid w:val="00CA337D"/>
    <w:rsid w:val="00CA5363"/>
    <w:rsid w:val="00CA7DF9"/>
    <w:rsid w:val="00CB2394"/>
    <w:rsid w:val="00CB6896"/>
    <w:rsid w:val="00CC3F92"/>
    <w:rsid w:val="00CF62E1"/>
    <w:rsid w:val="00D0408A"/>
    <w:rsid w:val="00D0490D"/>
    <w:rsid w:val="00D0613F"/>
    <w:rsid w:val="00D06242"/>
    <w:rsid w:val="00D10114"/>
    <w:rsid w:val="00D1030B"/>
    <w:rsid w:val="00D154F7"/>
    <w:rsid w:val="00D16974"/>
    <w:rsid w:val="00D16B01"/>
    <w:rsid w:val="00D344C0"/>
    <w:rsid w:val="00D43561"/>
    <w:rsid w:val="00D47FAD"/>
    <w:rsid w:val="00D52975"/>
    <w:rsid w:val="00D56A3C"/>
    <w:rsid w:val="00D66052"/>
    <w:rsid w:val="00D67E4C"/>
    <w:rsid w:val="00D75DBF"/>
    <w:rsid w:val="00D8379E"/>
    <w:rsid w:val="00DC5AB6"/>
    <w:rsid w:val="00DD28B3"/>
    <w:rsid w:val="00DD2B2C"/>
    <w:rsid w:val="00DE010E"/>
    <w:rsid w:val="00DF5651"/>
    <w:rsid w:val="00E01823"/>
    <w:rsid w:val="00E02484"/>
    <w:rsid w:val="00E3713A"/>
    <w:rsid w:val="00E64EDD"/>
    <w:rsid w:val="00E73B66"/>
    <w:rsid w:val="00E90A1F"/>
    <w:rsid w:val="00EA0DB4"/>
    <w:rsid w:val="00EA7C87"/>
    <w:rsid w:val="00EB629C"/>
    <w:rsid w:val="00EC10FC"/>
    <w:rsid w:val="00ED550A"/>
    <w:rsid w:val="00EF10FE"/>
    <w:rsid w:val="00EF7D25"/>
    <w:rsid w:val="00F018DB"/>
    <w:rsid w:val="00F04630"/>
    <w:rsid w:val="00F103A1"/>
    <w:rsid w:val="00F26C9B"/>
    <w:rsid w:val="00F36807"/>
    <w:rsid w:val="00F420D3"/>
    <w:rsid w:val="00F5332D"/>
    <w:rsid w:val="00F56601"/>
    <w:rsid w:val="00F56993"/>
    <w:rsid w:val="00F640DC"/>
    <w:rsid w:val="00F7028A"/>
    <w:rsid w:val="00F8123E"/>
    <w:rsid w:val="00F91A91"/>
    <w:rsid w:val="00F94275"/>
    <w:rsid w:val="00F946B2"/>
    <w:rsid w:val="00F94A26"/>
    <w:rsid w:val="00F97028"/>
    <w:rsid w:val="00FA5323"/>
    <w:rsid w:val="00FC4C33"/>
    <w:rsid w:val="00FF3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F0CD32"/>
  <w15:chartTrackingRefBased/>
  <w15:docId w15:val="{3E936ADF-724B-4748-9983-63EA227E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EF7D25"/>
    <w:pPr>
      <w:numPr>
        <w:ilvl w:val="2"/>
        <w:numId w:val="1"/>
      </w:numPr>
      <w:suppressAutoHyphens/>
      <w:spacing w:before="180" w:after="60" w:line="280" w:lineRule="atLeast"/>
    </w:pPr>
  </w:style>
  <w:style w:type="character" w:styleId="Emphasis">
    <w:name w:val="Emphasis"/>
    <w:basedOn w:val="DefaultParagraphFont"/>
    <w:uiPriority w:val="20"/>
    <w:qFormat/>
    <w:rsid w:val="00D344C0"/>
    <w:rPr>
      <w:i/>
      <w:iCs/>
    </w:rPr>
  </w:style>
  <w:style w:type="character" w:styleId="Hyperlink">
    <w:name w:val="Hyperlink"/>
    <w:basedOn w:val="DefaultParagraphFont"/>
    <w:uiPriority w:val="99"/>
    <w:unhideWhenUsed/>
    <w:rsid w:val="00D344C0"/>
    <w:rPr>
      <w:color w:val="0563C1" w:themeColor="hyperlink"/>
      <w:u w:val="single"/>
    </w:rPr>
  </w:style>
  <w:style w:type="character" w:customStyle="1" w:styleId="field">
    <w:name w:val="field"/>
    <w:basedOn w:val="DefaultParagraphFont"/>
    <w:rsid w:val="00D344C0"/>
  </w:style>
  <w:style w:type="character" w:styleId="CommentReference">
    <w:name w:val="annotation reference"/>
    <w:basedOn w:val="DefaultParagraphFont"/>
    <w:uiPriority w:val="99"/>
    <w:semiHidden/>
    <w:unhideWhenUsed/>
    <w:rsid w:val="00D344C0"/>
    <w:rPr>
      <w:sz w:val="16"/>
      <w:szCs w:val="16"/>
    </w:rPr>
  </w:style>
  <w:style w:type="paragraph" w:styleId="CommentText">
    <w:name w:val="annotation text"/>
    <w:basedOn w:val="Normal"/>
    <w:link w:val="CommentTextChar"/>
    <w:uiPriority w:val="99"/>
    <w:semiHidden/>
    <w:unhideWhenUsed/>
    <w:rsid w:val="00D344C0"/>
    <w:pPr>
      <w:spacing w:line="240" w:lineRule="auto"/>
    </w:pPr>
    <w:rPr>
      <w:sz w:val="20"/>
      <w:szCs w:val="20"/>
    </w:rPr>
  </w:style>
  <w:style w:type="character" w:customStyle="1" w:styleId="CommentTextChar">
    <w:name w:val="Comment Text Char"/>
    <w:basedOn w:val="DefaultParagraphFont"/>
    <w:link w:val="CommentText"/>
    <w:uiPriority w:val="99"/>
    <w:semiHidden/>
    <w:rsid w:val="00D344C0"/>
    <w:rPr>
      <w:sz w:val="20"/>
      <w:szCs w:val="20"/>
    </w:rPr>
  </w:style>
  <w:style w:type="paragraph" w:styleId="CommentSubject">
    <w:name w:val="annotation subject"/>
    <w:basedOn w:val="CommentText"/>
    <w:next w:val="CommentText"/>
    <w:link w:val="CommentSubjectChar"/>
    <w:uiPriority w:val="99"/>
    <w:semiHidden/>
    <w:unhideWhenUsed/>
    <w:rsid w:val="00D344C0"/>
    <w:rPr>
      <w:b/>
      <w:bCs/>
    </w:rPr>
  </w:style>
  <w:style w:type="character" w:customStyle="1" w:styleId="CommentSubjectChar">
    <w:name w:val="Comment Subject Char"/>
    <w:basedOn w:val="CommentTextChar"/>
    <w:link w:val="CommentSubject"/>
    <w:uiPriority w:val="99"/>
    <w:semiHidden/>
    <w:rsid w:val="00D344C0"/>
    <w:rPr>
      <w:b/>
      <w:bCs/>
      <w:sz w:val="20"/>
      <w:szCs w:val="20"/>
    </w:rPr>
  </w:style>
  <w:style w:type="paragraph" w:styleId="BalloonText">
    <w:name w:val="Balloon Text"/>
    <w:basedOn w:val="Normal"/>
    <w:link w:val="BalloonTextChar"/>
    <w:uiPriority w:val="99"/>
    <w:semiHidden/>
    <w:unhideWhenUsed/>
    <w:rsid w:val="00D34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4C0"/>
    <w:rPr>
      <w:rFonts w:ascii="Segoe UI" w:hAnsi="Segoe UI" w:cs="Segoe UI"/>
      <w:sz w:val="18"/>
      <w:szCs w:val="18"/>
    </w:rPr>
  </w:style>
  <w:style w:type="paragraph" w:styleId="ListParagraph">
    <w:name w:val="List Paragraph"/>
    <w:basedOn w:val="Normal"/>
    <w:uiPriority w:val="34"/>
    <w:qFormat/>
    <w:rsid w:val="002D5FC8"/>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DC5AB6"/>
    <w:rPr>
      <w:color w:val="954F72" w:themeColor="followedHyperlink"/>
      <w:u w:val="single"/>
    </w:rPr>
  </w:style>
  <w:style w:type="table" w:styleId="TableGrid">
    <w:name w:val="Table Grid"/>
    <w:basedOn w:val="TableNormal"/>
    <w:uiPriority w:val="39"/>
    <w:rsid w:val="00AB1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3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98E"/>
  </w:style>
  <w:style w:type="paragraph" w:styleId="Footer">
    <w:name w:val="footer"/>
    <w:basedOn w:val="Normal"/>
    <w:link w:val="FooterChar"/>
    <w:uiPriority w:val="99"/>
    <w:unhideWhenUsed/>
    <w:rsid w:val="009F3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4319">
      <w:bodyDiv w:val="1"/>
      <w:marLeft w:val="0"/>
      <w:marRight w:val="0"/>
      <w:marTop w:val="0"/>
      <w:marBottom w:val="0"/>
      <w:divBdr>
        <w:top w:val="none" w:sz="0" w:space="0" w:color="auto"/>
        <w:left w:val="none" w:sz="0" w:space="0" w:color="auto"/>
        <w:bottom w:val="none" w:sz="0" w:space="0" w:color="auto"/>
        <w:right w:val="none" w:sz="0" w:space="0" w:color="auto"/>
      </w:divBdr>
    </w:div>
    <w:div w:id="34710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ountingpolicy@finance.gov.au" TargetMode="External"/><Relationship Id="rId13" Type="http://schemas.openxmlformats.org/officeDocument/2006/relationships/hyperlink" Target="mailto:PGPA@finance.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GPA@finance.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PA@finance.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GPA@finance.gov.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ccountingpolicy@finance.gov.au" TargetMode="External"/><Relationship Id="rId14" Type="http://schemas.openxmlformats.org/officeDocument/2006/relationships/hyperlink" Target="mailto:CFSTeam@finance.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3E176-BFBC-4688-9E5A-3539D682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CB6659B9</Template>
  <TotalTime>1</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Crimmins, Laura</dc:creator>
  <cp:keywords/>
  <dc:description/>
  <cp:lastModifiedBy>Lin, Mary</cp:lastModifiedBy>
  <cp:revision>4</cp:revision>
  <cp:lastPrinted>2020-01-15T00:37:00Z</cp:lastPrinted>
  <dcterms:created xsi:type="dcterms:W3CDTF">2020-03-20T05:04:00Z</dcterms:created>
  <dcterms:modified xsi:type="dcterms:W3CDTF">2020-03-20T05:05:00Z</dcterms:modified>
  <cp:contentStatus/>
</cp:coreProperties>
</file>