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8054F" w14:textId="77777777" w:rsidR="000C2A48" w:rsidRPr="00403543" w:rsidRDefault="00F27115" w:rsidP="00737D3E">
      <w:pPr>
        <w:pStyle w:val="Title"/>
        <w:spacing w:line="276" w:lineRule="auto"/>
      </w:pPr>
      <w:r>
        <w:t>Australian Government</w:t>
      </w:r>
    </w:p>
    <w:p w14:paraId="525B91A1" w14:textId="238D53E1" w:rsidR="00737D3E" w:rsidRDefault="00857EDF" w:rsidP="000527F7">
      <w:pPr>
        <w:pStyle w:val="Title"/>
        <w:spacing w:line="276" w:lineRule="auto"/>
        <w:sectPr w:rsidR="00737D3E" w:rsidSect="00A05DE4">
          <w:headerReference w:type="default" r:id="rId8"/>
          <w:footerReference w:type="default" r:id="rId9"/>
          <w:headerReference w:type="first" r:id="rId10"/>
          <w:footerReference w:type="first" r:id="rId11"/>
          <w:type w:val="continuous"/>
          <w:pgSz w:w="11906" w:h="16838" w:code="9"/>
          <w:pgMar w:top="1035" w:right="720" w:bottom="720" w:left="720" w:header="567" w:footer="624" w:gutter="0"/>
          <w:cols w:space="708"/>
          <w:titlePg/>
          <w:docGrid w:linePitch="360"/>
        </w:sectPr>
      </w:pPr>
      <w:r>
        <w:t>Grants News</w:t>
      </w:r>
      <w:r w:rsidR="00737D3E">
        <w:t xml:space="preserve"> – </w:t>
      </w:r>
      <w:r w:rsidR="00B41E98">
        <w:t>July</w:t>
      </w:r>
      <w:r w:rsidR="000E3C17">
        <w:t xml:space="preserve"> </w:t>
      </w:r>
      <w:r w:rsidR="00CE7CFB">
        <w:t>2018</w:t>
      </w:r>
      <w:r w:rsidR="000527F7">
        <w:t xml:space="preserve"> Edition</w:t>
      </w:r>
    </w:p>
    <w:p w14:paraId="202A2C07" w14:textId="77777777" w:rsidR="00B122F9" w:rsidRDefault="00B122F9" w:rsidP="0010160C">
      <w:pPr>
        <w:spacing w:line="276" w:lineRule="auto"/>
        <w:rPr>
          <w:b/>
          <w:i/>
          <w:sz w:val="32"/>
          <w:szCs w:val="32"/>
        </w:rPr>
      </w:pPr>
    </w:p>
    <w:p w14:paraId="12B4B8AA" w14:textId="77777777" w:rsidR="00C40DCE" w:rsidRDefault="0036476A" w:rsidP="0010160C">
      <w:pPr>
        <w:spacing w:line="276" w:lineRule="auto"/>
        <w:rPr>
          <w:b/>
          <w:i/>
          <w:sz w:val="32"/>
          <w:szCs w:val="32"/>
        </w:rPr>
      </w:pPr>
      <w:r>
        <w:rPr>
          <w:b/>
          <w:i/>
          <w:sz w:val="32"/>
          <w:szCs w:val="32"/>
        </w:rPr>
        <w:t>Great</w:t>
      </w:r>
      <w:r w:rsidR="007719B4" w:rsidRPr="009B0A3B">
        <w:rPr>
          <w:b/>
          <w:i/>
          <w:sz w:val="32"/>
          <w:szCs w:val="32"/>
        </w:rPr>
        <w:t xml:space="preserve"> News</w:t>
      </w:r>
      <w:r w:rsidR="00D16BBF" w:rsidRPr="009B0A3B">
        <w:rPr>
          <w:b/>
          <w:i/>
          <w:sz w:val="32"/>
          <w:szCs w:val="32"/>
        </w:rPr>
        <w:t>!</w:t>
      </w:r>
      <w:r w:rsidR="007719B4" w:rsidRPr="009B0A3B">
        <w:rPr>
          <w:b/>
          <w:i/>
          <w:sz w:val="32"/>
          <w:szCs w:val="32"/>
        </w:rPr>
        <w:t xml:space="preserve"> </w:t>
      </w:r>
    </w:p>
    <w:p w14:paraId="18EA36EB" w14:textId="7BF21FA3" w:rsidR="0010160C" w:rsidRPr="009237F5" w:rsidRDefault="0036476A" w:rsidP="0010160C">
      <w:pPr>
        <w:spacing w:line="276" w:lineRule="auto"/>
        <w:rPr>
          <w:b/>
          <w:i/>
          <w:sz w:val="32"/>
          <w:szCs w:val="32"/>
        </w:rPr>
      </w:pPr>
      <w:r>
        <w:rPr>
          <w:b/>
          <w:i/>
          <w:sz w:val="24"/>
          <w:szCs w:val="24"/>
        </w:rPr>
        <w:t xml:space="preserve">Three </w:t>
      </w:r>
      <w:r w:rsidR="00B32EF5">
        <w:rPr>
          <w:b/>
          <w:i/>
          <w:sz w:val="24"/>
          <w:szCs w:val="24"/>
        </w:rPr>
        <w:t xml:space="preserve">grants related </w:t>
      </w:r>
      <w:r w:rsidR="0010160C" w:rsidRPr="0010160C">
        <w:rPr>
          <w:b/>
          <w:i/>
          <w:sz w:val="24"/>
          <w:szCs w:val="24"/>
        </w:rPr>
        <w:t xml:space="preserve">Resource Management </w:t>
      </w:r>
      <w:r w:rsidRPr="0010160C">
        <w:rPr>
          <w:b/>
          <w:i/>
          <w:sz w:val="24"/>
          <w:szCs w:val="24"/>
        </w:rPr>
        <w:t>Guides</w:t>
      </w:r>
      <w:r w:rsidR="00B32EF5">
        <w:rPr>
          <w:b/>
          <w:i/>
          <w:sz w:val="24"/>
          <w:szCs w:val="24"/>
        </w:rPr>
        <w:t xml:space="preserve"> have been updated</w:t>
      </w:r>
      <w:r w:rsidR="00C873A3">
        <w:rPr>
          <w:b/>
          <w:i/>
          <w:sz w:val="24"/>
          <w:szCs w:val="24"/>
        </w:rPr>
        <w:t>,</w:t>
      </w:r>
      <w:r w:rsidR="00B32EF5">
        <w:rPr>
          <w:b/>
          <w:i/>
          <w:sz w:val="24"/>
          <w:szCs w:val="24"/>
        </w:rPr>
        <w:t xml:space="preserve"> and are </w:t>
      </w:r>
      <w:r w:rsidR="009E50DA">
        <w:rPr>
          <w:b/>
          <w:i/>
          <w:sz w:val="24"/>
          <w:szCs w:val="24"/>
        </w:rPr>
        <w:t xml:space="preserve">now </w:t>
      </w:r>
      <w:r>
        <w:rPr>
          <w:b/>
          <w:i/>
          <w:sz w:val="24"/>
          <w:szCs w:val="24"/>
        </w:rPr>
        <w:t xml:space="preserve">available </w:t>
      </w:r>
      <w:r w:rsidR="009E50DA">
        <w:rPr>
          <w:b/>
          <w:i/>
          <w:sz w:val="24"/>
          <w:szCs w:val="24"/>
        </w:rPr>
        <w:t>o</w:t>
      </w:r>
      <w:r>
        <w:rPr>
          <w:b/>
          <w:i/>
          <w:sz w:val="24"/>
          <w:szCs w:val="24"/>
        </w:rPr>
        <w:t xml:space="preserve">n the </w:t>
      </w:r>
      <w:r w:rsidR="003B0390">
        <w:rPr>
          <w:b/>
          <w:i/>
          <w:sz w:val="24"/>
          <w:szCs w:val="24"/>
        </w:rPr>
        <w:t>Department of Finance website</w:t>
      </w:r>
      <w:r w:rsidR="0010160C" w:rsidRPr="0010160C">
        <w:rPr>
          <w:b/>
          <w:i/>
          <w:sz w:val="24"/>
          <w:szCs w:val="24"/>
        </w:rPr>
        <w:t>!</w:t>
      </w:r>
    </w:p>
    <w:p w14:paraId="0ABE93D4" w14:textId="0EFA674F" w:rsidR="00C873A3" w:rsidRDefault="009237F5" w:rsidP="00C873A3">
      <w:pPr>
        <w:spacing w:before="200" w:after="0" w:line="276" w:lineRule="auto"/>
        <w:rPr>
          <w:rFonts w:cstheme="minorHAnsi"/>
        </w:rPr>
      </w:pPr>
      <w:r>
        <w:rPr>
          <w:rFonts w:cstheme="minorHAnsi"/>
        </w:rPr>
        <w:t xml:space="preserve">The </w:t>
      </w:r>
      <w:r w:rsidR="009E50DA">
        <w:rPr>
          <w:rFonts w:cstheme="minorHAnsi"/>
        </w:rPr>
        <w:t xml:space="preserve">Department of </w:t>
      </w:r>
      <w:r w:rsidR="006926B5">
        <w:rPr>
          <w:rFonts w:cstheme="minorHAnsi"/>
        </w:rPr>
        <w:t xml:space="preserve">Finance </w:t>
      </w:r>
      <w:r w:rsidR="0010160C" w:rsidRPr="001C6742">
        <w:rPr>
          <w:rFonts w:cstheme="minorHAnsi"/>
        </w:rPr>
        <w:t xml:space="preserve">in consultation </w:t>
      </w:r>
      <w:r w:rsidR="0010160C">
        <w:rPr>
          <w:rFonts w:cstheme="minorHAnsi"/>
        </w:rPr>
        <w:t xml:space="preserve">with </w:t>
      </w:r>
      <w:r w:rsidR="0036476A">
        <w:rPr>
          <w:rFonts w:cstheme="minorHAnsi"/>
        </w:rPr>
        <w:t xml:space="preserve">20 </w:t>
      </w:r>
      <w:r w:rsidR="00854CB3">
        <w:rPr>
          <w:rFonts w:cstheme="minorHAnsi"/>
        </w:rPr>
        <w:t xml:space="preserve">non-corporate </w:t>
      </w:r>
      <w:r w:rsidR="0010160C">
        <w:rPr>
          <w:rFonts w:cstheme="minorHAnsi"/>
        </w:rPr>
        <w:t xml:space="preserve">Commonwealth </w:t>
      </w:r>
      <w:r w:rsidR="00035691">
        <w:rPr>
          <w:rFonts w:cstheme="minorHAnsi"/>
        </w:rPr>
        <w:t>entities</w:t>
      </w:r>
      <w:r w:rsidR="009E50DA">
        <w:rPr>
          <w:rFonts w:cstheme="minorHAnsi"/>
        </w:rPr>
        <w:t xml:space="preserve"> have</w:t>
      </w:r>
      <w:r w:rsidR="0036476A">
        <w:rPr>
          <w:rFonts w:cstheme="minorHAnsi"/>
        </w:rPr>
        <w:t xml:space="preserve"> reviewed and revised </w:t>
      </w:r>
      <w:r w:rsidR="00C40DCE">
        <w:rPr>
          <w:rFonts w:cstheme="minorHAnsi"/>
        </w:rPr>
        <w:t>the</w:t>
      </w:r>
      <w:r w:rsidR="00B74D3A">
        <w:rPr>
          <w:rFonts w:cstheme="minorHAnsi"/>
        </w:rPr>
        <w:t xml:space="preserve"> following grants related </w:t>
      </w:r>
      <w:r w:rsidR="0010160C">
        <w:rPr>
          <w:rFonts w:cstheme="minorHAnsi"/>
        </w:rPr>
        <w:t>Resource Management Guides</w:t>
      </w:r>
      <w:r w:rsidR="00D12712">
        <w:rPr>
          <w:rFonts w:cstheme="minorHAnsi"/>
        </w:rPr>
        <w:t xml:space="preserve"> (RMGs)</w:t>
      </w:r>
      <w:r w:rsidR="00B74D3A">
        <w:rPr>
          <w:rFonts w:cstheme="minorHAnsi"/>
        </w:rPr>
        <w:t>:</w:t>
      </w:r>
      <w:r w:rsidR="0010160C" w:rsidRPr="001C6742">
        <w:rPr>
          <w:rFonts w:cstheme="minorHAnsi"/>
        </w:rPr>
        <w:t xml:space="preserve"> </w:t>
      </w:r>
    </w:p>
    <w:p w14:paraId="771151F4" w14:textId="2F572A22" w:rsidR="0010160C" w:rsidRPr="00B17861" w:rsidRDefault="00EB6419" w:rsidP="009237F5">
      <w:pPr>
        <w:pStyle w:val="ListParagraph"/>
        <w:numPr>
          <w:ilvl w:val="0"/>
          <w:numId w:val="25"/>
        </w:numPr>
        <w:spacing w:before="200" w:after="0" w:line="276" w:lineRule="auto"/>
        <w:rPr>
          <w:rFonts w:cstheme="minorHAnsi"/>
          <w:b/>
          <w:i/>
        </w:rPr>
      </w:pPr>
      <w:hyperlink r:id="rId12" w:history="1">
        <w:r w:rsidR="0010160C" w:rsidRPr="002B4CD5">
          <w:rPr>
            <w:rStyle w:val="Hyperlink"/>
            <w:rFonts w:cstheme="minorHAnsi"/>
            <w:b/>
            <w:i/>
          </w:rPr>
          <w:t>Resource Management Guide No. 411: Grants, Procurements and Other Financial Arrangements</w:t>
        </w:r>
      </w:hyperlink>
      <w:r w:rsidR="0010160C" w:rsidRPr="00B17861">
        <w:rPr>
          <w:rFonts w:cstheme="minorHAnsi"/>
          <w:b/>
          <w:i/>
        </w:rPr>
        <w:t xml:space="preserve"> </w:t>
      </w:r>
    </w:p>
    <w:p w14:paraId="2E57A91C" w14:textId="77777777" w:rsidR="00854CB3" w:rsidRPr="00B17861" w:rsidRDefault="00854CB3" w:rsidP="00B17861">
      <w:pPr>
        <w:pStyle w:val="ListParagraph"/>
        <w:spacing w:before="200" w:after="0" w:line="276" w:lineRule="auto"/>
        <w:rPr>
          <w:rFonts w:cstheme="minorHAnsi"/>
          <w:b/>
          <w:i/>
        </w:rPr>
      </w:pPr>
    </w:p>
    <w:p w14:paraId="0BF361D2" w14:textId="31F54CEF" w:rsidR="00854CB3" w:rsidRPr="002B4CD5" w:rsidRDefault="002B4CD5" w:rsidP="00B17861">
      <w:pPr>
        <w:pStyle w:val="ListParagraph"/>
        <w:numPr>
          <w:ilvl w:val="0"/>
          <w:numId w:val="25"/>
        </w:numPr>
        <w:spacing w:before="200" w:after="0" w:line="276" w:lineRule="auto"/>
        <w:rPr>
          <w:rStyle w:val="Hyperlink"/>
          <w:rFonts w:cstheme="minorHAnsi"/>
          <w:b/>
          <w:i/>
        </w:rPr>
      </w:pPr>
      <w:r>
        <w:rPr>
          <w:rFonts w:cstheme="minorHAnsi"/>
          <w:b/>
          <w:i/>
        </w:rPr>
        <w:fldChar w:fldCharType="begin"/>
      </w:r>
      <w:r>
        <w:rPr>
          <w:rFonts w:cstheme="minorHAnsi"/>
          <w:b/>
          <w:i/>
        </w:rPr>
        <w:instrText xml:space="preserve"> HYPERLINK "https://www.finance.gov.au/sites/default/files/resource-management-guide-no-412.pdf" </w:instrText>
      </w:r>
      <w:r>
        <w:rPr>
          <w:rFonts w:cstheme="minorHAnsi"/>
          <w:b/>
          <w:i/>
        </w:rPr>
        <w:fldChar w:fldCharType="separate"/>
      </w:r>
      <w:r w:rsidR="0010160C" w:rsidRPr="002B4CD5">
        <w:rPr>
          <w:rStyle w:val="Hyperlink"/>
          <w:rFonts w:cstheme="minorHAnsi"/>
          <w:b/>
          <w:i/>
        </w:rPr>
        <w:t xml:space="preserve">Resource Management Guide No. 412: Australian Government Grants – Briefing, Reporting, Evaluating and Election Commitments </w:t>
      </w:r>
    </w:p>
    <w:p w14:paraId="7BDA9782" w14:textId="46631E98" w:rsidR="00854CB3" w:rsidRPr="00854CB3" w:rsidRDefault="002B4CD5" w:rsidP="00B17861">
      <w:pPr>
        <w:pStyle w:val="ListParagraph"/>
        <w:spacing w:before="200" w:after="0" w:line="276" w:lineRule="auto"/>
        <w:rPr>
          <w:rFonts w:cstheme="minorHAnsi"/>
          <w:b/>
          <w:i/>
        </w:rPr>
      </w:pPr>
      <w:r>
        <w:rPr>
          <w:rFonts w:cstheme="minorHAnsi"/>
          <w:b/>
          <w:i/>
        </w:rPr>
        <w:fldChar w:fldCharType="end"/>
      </w:r>
    </w:p>
    <w:p w14:paraId="0B3941B3" w14:textId="60BEF817" w:rsidR="0010160C" w:rsidRPr="00B17861" w:rsidRDefault="00EB6419" w:rsidP="009237F5">
      <w:pPr>
        <w:pStyle w:val="ListParagraph"/>
        <w:numPr>
          <w:ilvl w:val="0"/>
          <w:numId w:val="25"/>
        </w:numPr>
        <w:spacing w:before="200" w:after="0" w:line="276" w:lineRule="auto"/>
        <w:rPr>
          <w:rFonts w:cstheme="minorHAnsi"/>
          <w:b/>
          <w:i/>
        </w:rPr>
      </w:pPr>
      <w:hyperlink r:id="rId13" w:history="1">
        <w:r w:rsidR="0010160C" w:rsidRPr="002B4CD5">
          <w:rPr>
            <w:rStyle w:val="Hyperlink"/>
            <w:rFonts w:cstheme="minorHAnsi"/>
            <w:b/>
            <w:i/>
          </w:rPr>
          <w:t>Resource Management Guide No. 421: Publ</w:t>
        </w:r>
        <w:r w:rsidR="0020226E" w:rsidRPr="002B4CD5">
          <w:rPr>
            <w:rStyle w:val="Hyperlink"/>
            <w:rFonts w:cstheme="minorHAnsi"/>
            <w:b/>
            <w:i/>
          </w:rPr>
          <w:t>ishing and R</w:t>
        </w:r>
        <w:r w:rsidR="0010160C" w:rsidRPr="002B4CD5">
          <w:rPr>
            <w:rStyle w:val="Hyperlink"/>
            <w:rFonts w:cstheme="minorHAnsi"/>
            <w:b/>
            <w:i/>
          </w:rPr>
          <w:t>eport</w:t>
        </w:r>
        <w:r w:rsidR="00854CB3" w:rsidRPr="002B4CD5">
          <w:rPr>
            <w:rStyle w:val="Hyperlink"/>
            <w:rFonts w:cstheme="minorHAnsi"/>
            <w:b/>
            <w:i/>
          </w:rPr>
          <w:t>ing</w:t>
        </w:r>
        <w:r w:rsidR="0010160C" w:rsidRPr="002B4CD5">
          <w:rPr>
            <w:rStyle w:val="Hyperlink"/>
            <w:rFonts w:cstheme="minorHAnsi"/>
            <w:b/>
            <w:i/>
          </w:rPr>
          <w:t xml:space="preserve"> Grants and GrantConnect</w:t>
        </w:r>
      </w:hyperlink>
      <w:r w:rsidR="0010160C" w:rsidRPr="00B17861">
        <w:rPr>
          <w:rFonts w:cstheme="minorHAnsi"/>
          <w:b/>
          <w:i/>
        </w:rPr>
        <w:t xml:space="preserve"> </w:t>
      </w:r>
    </w:p>
    <w:p w14:paraId="1CF1DB0D" w14:textId="505B12FC" w:rsidR="00D12712" w:rsidRDefault="004F07F0" w:rsidP="008A007F">
      <w:pPr>
        <w:pStyle w:val="BodyText"/>
      </w:pPr>
      <w:r>
        <w:t>The updated RMGs</w:t>
      </w:r>
      <w:r w:rsidR="00D12712" w:rsidRPr="00D12712">
        <w:t xml:space="preserve"> reflects best practice grants administration under the </w:t>
      </w:r>
      <w:hyperlink r:id="rId14" w:history="1">
        <w:r w:rsidR="00D12712" w:rsidRPr="001C2E58">
          <w:rPr>
            <w:rStyle w:val="Hyperlink"/>
            <w:rFonts w:cs="Times New Roman"/>
            <w:i/>
          </w:rPr>
          <w:t>Commonwealth Grants Rules and Guidelines 2017</w:t>
        </w:r>
        <w:r w:rsidR="00D12712" w:rsidRPr="001C2E58">
          <w:rPr>
            <w:rStyle w:val="Hyperlink"/>
            <w:rFonts w:cs="Times New Roman"/>
          </w:rPr>
          <w:t xml:space="preserve"> (CGRGs)</w:t>
        </w:r>
      </w:hyperlink>
      <w:r w:rsidR="00D12712" w:rsidRPr="00D12712">
        <w:t xml:space="preserve">.  </w:t>
      </w:r>
    </w:p>
    <w:p w14:paraId="4F9C4EEB" w14:textId="0FAF4F40" w:rsidR="009767B8" w:rsidRPr="008A007F" w:rsidRDefault="00C40DCE" w:rsidP="008A007F">
      <w:pPr>
        <w:pStyle w:val="BodyText"/>
      </w:pPr>
      <w:r>
        <w:t>The</w:t>
      </w:r>
      <w:r w:rsidR="00B74D3A" w:rsidRPr="008A007F">
        <w:t xml:space="preserve"> guides are designed to assist officials to operate in the Australian Government</w:t>
      </w:r>
      <w:r w:rsidR="00EA0841">
        <w:t>’</w:t>
      </w:r>
      <w:r w:rsidR="00B74D3A" w:rsidRPr="008A007F">
        <w:t xml:space="preserve">s resource management framework by providing guidance on how officials can best implement the requirements under </w:t>
      </w:r>
      <w:r w:rsidR="00D12712">
        <w:t>the CGRGs.</w:t>
      </w:r>
    </w:p>
    <w:p w14:paraId="69472599" w14:textId="77777777" w:rsidR="00D12712" w:rsidRDefault="00C40DCE" w:rsidP="00C40DCE">
      <w:pPr>
        <w:spacing w:before="200" w:after="0" w:line="276" w:lineRule="auto"/>
        <w:rPr>
          <w:rFonts w:cstheme="minorHAnsi"/>
        </w:rPr>
      </w:pPr>
      <w:r w:rsidRPr="00D12712">
        <w:rPr>
          <w:rFonts w:cs="Times New Roman"/>
          <w:color w:val="000000" w:themeColor="text1"/>
          <w:szCs w:val="20"/>
        </w:rPr>
        <w:t>The RMGs are available from the Finance website at:</w:t>
      </w:r>
      <w:r w:rsidRPr="00C40DCE">
        <w:rPr>
          <w:rFonts w:cstheme="minorHAnsi"/>
        </w:rPr>
        <w:t xml:space="preserve"> </w:t>
      </w:r>
      <w:hyperlink r:id="rId15" w:history="1">
        <w:r w:rsidRPr="0009003D">
          <w:rPr>
            <w:rStyle w:val="Hyperlink"/>
            <w:rFonts w:cstheme="minorHAnsi"/>
          </w:rPr>
          <w:t>https://www.finance.gov.au/resource-management/grants/additional-guidance/</w:t>
        </w:r>
      </w:hyperlink>
      <w:r w:rsidR="00D12712">
        <w:rPr>
          <w:rFonts w:cstheme="minorHAnsi"/>
        </w:rPr>
        <w:t xml:space="preserve">. </w:t>
      </w:r>
    </w:p>
    <w:p w14:paraId="745BEEB6" w14:textId="33E6DCF0" w:rsidR="00C40DCE" w:rsidRPr="00E208C7" w:rsidRDefault="00D12712" w:rsidP="00C40DCE">
      <w:pPr>
        <w:spacing w:before="200" w:after="0" w:line="276" w:lineRule="auto"/>
        <w:rPr>
          <w:rFonts w:cstheme="minorHAnsi"/>
          <w:b/>
        </w:rPr>
      </w:pPr>
      <w:r w:rsidRPr="00E208C7">
        <w:rPr>
          <w:rFonts w:cstheme="minorHAnsi"/>
          <w:b/>
        </w:rPr>
        <w:t>For more information</w:t>
      </w:r>
      <w:r w:rsidR="00C40DCE" w:rsidRPr="00E208C7">
        <w:rPr>
          <w:rFonts w:cstheme="minorHAnsi"/>
          <w:b/>
        </w:rPr>
        <w:t xml:space="preserve"> email</w:t>
      </w:r>
      <w:r w:rsidR="00E208C7">
        <w:rPr>
          <w:rFonts w:cstheme="minorHAnsi"/>
          <w:b/>
        </w:rPr>
        <w:t>:</w:t>
      </w:r>
      <w:r w:rsidR="00C40DCE" w:rsidRPr="00E208C7">
        <w:rPr>
          <w:rFonts w:cstheme="minorHAnsi"/>
          <w:b/>
        </w:rPr>
        <w:t xml:space="preserve"> </w:t>
      </w:r>
      <w:hyperlink r:id="rId16" w:history="1">
        <w:r w:rsidR="00035691" w:rsidRPr="00E208C7">
          <w:rPr>
            <w:rStyle w:val="Hyperlink"/>
            <w:rFonts w:cstheme="minorHAnsi"/>
            <w:b/>
          </w:rPr>
          <w:t>grants@finance.gov.au</w:t>
        </w:r>
      </w:hyperlink>
    </w:p>
    <w:p w14:paraId="00497836" w14:textId="7862E499" w:rsidR="00C40DCE" w:rsidRDefault="00C40DCE" w:rsidP="00B122F9">
      <w:pPr>
        <w:spacing w:before="200" w:after="0" w:line="276" w:lineRule="auto"/>
        <w:rPr>
          <w:rStyle w:val="Hyperlink"/>
          <w:rFonts w:cstheme="minorHAnsi"/>
        </w:rPr>
      </w:pPr>
    </w:p>
    <w:p w14:paraId="04E8CBC1" w14:textId="71DD5C7D" w:rsidR="00C40DCE" w:rsidRDefault="00C40DCE" w:rsidP="00B122F9">
      <w:pPr>
        <w:spacing w:before="200" w:after="0" w:line="276" w:lineRule="auto"/>
        <w:rPr>
          <w:rStyle w:val="Hyperlink"/>
          <w:rFonts w:cstheme="minorHAnsi"/>
        </w:rPr>
      </w:pPr>
    </w:p>
    <w:p w14:paraId="5E0EF0A9" w14:textId="734255F7" w:rsidR="006C2E15" w:rsidRDefault="00221DB3" w:rsidP="00EA07EA">
      <w:pPr>
        <w:spacing w:before="0" w:after="0" w:line="276" w:lineRule="auto"/>
        <w:rPr>
          <w:b/>
          <w:i/>
          <w:sz w:val="24"/>
          <w:szCs w:val="24"/>
        </w:rPr>
      </w:pPr>
      <w:r w:rsidRPr="00315C89">
        <w:rPr>
          <w:b/>
          <w:i/>
          <w:sz w:val="24"/>
          <w:szCs w:val="24"/>
        </w:rPr>
        <w:t>This</w:t>
      </w:r>
      <w:r w:rsidR="00B41E98">
        <w:rPr>
          <w:b/>
          <w:i/>
          <w:sz w:val="24"/>
          <w:szCs w:val="24"/>
        </w:rPr>
        <w:t xml:space="preserve"> July</w:t>
      </w:r>
      <w:r w:rsidR="009E50DA" w:rsidRPr="00315C89">
        <w:rPr>
          <w:b/>
          <w:i/>
          <w:sz w:val="24"/>
          <w:szCs w:val="24"/>
        </w:rPr>
        <w:t xml:space="preserve"> edition of Grants New</w:t>
      </w:r>
      <w:r w:rsidR="009237F5">
        <w:rPr>
          <w:b/>
          <w:i/>
          <w:sz w:val="24"/>
          <w:szCs w:val="24"/>
        </w:rPr>
        <w:t>s</w:t>
      </w:r>
      <w:r w:rsidRPr="00315C89">
        <w:rPr>
          <w:b/>
          <w:i/>
          <w:sz w:val="24"/>
          <w:szCs w:val="24"/>
        </w:rPr>
        <w:t xml:space="preserve"> provide</w:t>
      </w:r>
      <w:r w:rsidR="009E50DA" w:rsidRPr="00315C89">
        <w:rPr>
          <w:b/>
          <w:i/>
          <w:sz w:val="24"/>
          <w:szCs w:val="24"/>
        </w:rPr>
        <w:t>s</w:t>
      </w:r>
      <w:r w:rsidRPr="00315C89">
        <w:rPr>
          <w:b/>
          <w:i/>
          <w:sz w:val="24"/>
          <w:szCs w:val="24"/>
        </w:rPr>
        <w:t xml:space="preserve"> </w:t>
      </w:r>
      <w:r w:rsidR="00315C89" w:rsidRPr="00315C89">
        <w:rPr>
          <w:b/>
          <w:i/>
          <w:sz w:val="24"/>
          <w:szCs w:val="24"/>
        </w:rPr>
        <w:t xml:space="preserve">a number of </w:t>
      </w:r>
      <w:r w:rsidRPr="00315C89">
        <w:rPr>
          <w:b/>
          <w:i/>
          <w:sz w:val="24"/>
          <w:szCs w:val="24"/>
        </w:rPr>
        <w:t>interesting articles</w:t>
      </w:r>
      <w:r w:rsidR="00315C89" w:rsidRPr="00315C89">
        <w:rPr>
          <w:b/>
          <w:i/>
          <w:sz w:val="24"/>
          <w:szCs w:val="24"/>
        </w:rPr>
        <w:t xml:space="preserve"> on</w:t>
      </w:r>
      <w:r w:rsidRPr="00315C89">
        <w:rPr>
          <w:b/>
          <w:i/>
          <w:sz w:val="24"/>
          <w:szCs w:val="24"/>
        </w:rPr>
        <w:t xml:space="preserve">: </w:t>
      </w:r>
    </w:p>
    <w:p w14:paraId="52E8E7A1" w14:textId="77777777" w:rsidR="00EA07EA" w:rsidRPr="00EA07EA" w:rsidRDefault="00EA07EA" w:rsidP="00EA07EA">
      <w:pPr>
        <w:spacing w:before="0" w:after="0" w:line="276" w:lineRule="auto"/>
        <w:rPr>
          <w:b/>
          <w:i/>
        </w:rPr>
      </w:pPr>
    </w:p>
    <w:p w14:paraId="5BAE5075" w14:textId="77777777" w:rsidR="006C2E15" w:rsidRDefault="009E50DA" w:rsidP="00EA07EA">
      <w:pPr>
        <w:pStyle w:val="ListParagraph"/>
        <w:numPr>
          <w:ilvl w:val="0"/>
          <w:numId w:val="24"/>
        </w:numPr>
        <w:spacing w:line="276" w:lineRule="auto"/>
        <w:rPr>
          <w:i/>
          <w:sz w:val="24"/>
          <w:szCs w:val="24"/>
        </w:rPr>
      </w:pPr>
      <w:r w:rsidRPr="00315C89">
        <w:rPr>
          <w:i/>
          <w:sz w:val="24"/>
          <w:szCs w:val="24"/>
        </w:rPr>
        <w:t>GrantConnect</w:t>
      </w:r>
      <w:r w:rsidR="003A476E" w:rsidRPr="00315C89">
        <w:rPr>
          <w:i/>
          <w:sz w:val="24"/>
          <w:szCs w:val="24"/>
        </w:rPr>
        <w:t>;</w:t>
      </w:r>
    </w:p>
    <w:p w14:paraId="0650DFBD" w14:textId="7FEEE9F0" w:rsidR="00B122F9" w:rsidRPr="006C2E15" w:rsidRDefault="003A476E" w:rsidP="00EA07EA">
      <w:pPr>
        <w:pStyle w:val="ListParagraph"/>
        <w:numPr>
          <w:ilvl w:val="0"/>
          <w:numId w:val="24"/>
        </w:numPr>
        <w:spacing w:line="276" w:lineRule="auto"/>
        <w:rPr>
          <w:i/>
          <w:sz w:val="24"/>
          <w:szCs w:val="24"/>
        </w:rPr>
      </w:pPr>
      <w:r w:rsidRPr="006C2E15">
        <w:rPr>
          <w:i/>
          <w:sz w:val="24"/>
          <w:szCs w:val="24"/>
        </w:rPr>
        <w:t xml:space="preserve">The </w:t>
      </w:r>
      <w:r w:rsidR="00315C89" w:rsidRPr="006C2E15">
        <w:rPr>
          <w:i/>
          <w:sz w:val="24"/>
          <w:szCs w:val="24"/>
        </w:rPr>
        <w:t xml:space="preserve">Streamlining </w:t>
      </w:r>
      <w:r w:rsidR="00C40DCE">
        <w:rPr>
          <w:i/>
          <w:sz w:val="24"/>
          <w:szCs w:val="24"/>
        </w:rPr>
        <w:t xml:space="preserve">Government </w:t>
      </w:r>
      <w:r w:rsidR="00315C89" w:rsidRPr="006C2E15">
        <w:rPr>
          <w:i/>
          <w:sz w:val="24"/>
          <w:szCs w:val="24"/>
        </w:rPr>
        <w:t>Grants Administration Program a</w:t>
      </w:r>
      <w:bookmarkStart w:id="0" w:name="_GoBack"/>
      <w:bookmarkEnd w:id="0"/>
      <w:r w:rsidR="00315C89" w:rsidRPr="006C2E15">
        <w:rPr>
          <w:i/>
          <w:sz w:val="24"/>
          <w:szCs w:val="24"/>
        </w:rPr>
        <w:t xml:space="preserve">nd </w:t>
      </w:r>
      <w:r w:rsidR="009E50DA" w:rsidRPr="006C2E15">
        <w:rPr>
          <w:i/>
          <w:sz w:val="24"/>
          <w:szCs w:val="24"/>
        </w:rPr>
        <w:t>Grants Hubs</w:t>
      </w:r>
      <w:r w:rsidRPr="006C2E15">
        <w:rPr>
          <w:i/>
          <w:sz w:val="24"/>
          <w:szCs w:val="24"/>
        </w:rPr>
        <w:t>;</w:t>
      </w:r>
    </w:p>
    <w:p w14:paraId="6B357FF4" w14:textId="2D76572B" w:rsidR="00B122F9" w:rsidRPr="006C2E15" w:rsidRDefault="00B74D3A" w:rsidP="00EA07EA">
      <w:pPr>
        <w:pStyle w:val="ListParagraph"/>
        <w:numPr>
          <w:ilvl w:val="0"/>
          <w:numId w:val="24"/>
        </w:numPr>
        <w:spacing w:line="276" w:lineRule="auto"/>
        <w:rPr>
          <w:i/>
          <w:sz w:val="24"/>
          <w:szCs w:val="24"/>
        </w:rPr>
      </w:pPr>
      <w:r w:rsidRPr="006C2E15">
        <w:rPr>
          <w:i/>
          <w:sz w:val="24"/>
          <w:szCs w:val="24"/>
        </w:rPr>
        <w:t>W</w:t>
      </w:r>
      <w:r w:rsidR="003A476E" w:rsidRPr="006C2E15">
        <w:rPr>
          <w:i/>
          <w:sz w:val="24"/>
          <w:szCs w:val="24"/>
        </w:rPr>
        <w:t xml:space="preserve">hole-of-government Grant </w:t>
      </w:r>
      <w:r w:rsidR="00B40F9C">
        <w:rPr>
          <w:i/>
          <w:sz w:val="24"/>
          <w:szCs w:val="24"/>
        </w:rPr>
        <w:t>Tools</w:t>
      </w:r>
      <w:r w:rsidR="003A476E" w:rsidRPr="006C2E15">
        <w:rPr>
          <w:i/>
          <w:sz w:val="24"/>
          <w:szCs w:val="24"/>
        </w:rPr>
        <w:t>;</w:t>
      </w:r>
      <w:r w:rsidR="00EA07EA">
        <w:rPr>
          <w:i/>
          <w:sz w:val="24"/>
          <w:szCs w:val="24"/>
        </w:rPr>
        <w:t xml:space="preserve"> and</w:t>
      </w:r>
    </w:p>
    <w:p w14:paraId="201C06FA" w14:textId="2FAE5268" w:rsidR="00B122F9" w:rsidRPr="00B122F9" w:rsidRDefault="00221DB3" w:rsidP="00EA07EA">
      <w:pPr>
        <w:pStyle w:val="ListParagraph"/>
        <w:numPr>
          <w:ilvl w:val="0"/>
          <w:numId w:val="24"/>
        </w:numPr>
        <w:spacing w:line="276" w:lineRule="auto"/>
        <w:rPr>
          <w:i/>
          <w:sz w:val="24"/>
          <w:szCs w:val="24"/>
        </w:rPr>
      </w:pPr>
      <w:r w:rsidRPr="00315C89">
        <w:rPr>
          <w:i/>
          <w:sz w:val="24"/>
          <w:szCs w:val="24"/>
        </w:rPr>
        <w:t>G</w:t>
      </w:r>
      <w:r w:rsidR="003A476E" w:rsidRPr="00315C89">
        <w:rPr>
          <w:i/>
          <w:sz w:val="24"/>
          <w:szCs w:val="24"/>
        </w:rPr>
        <w:t>rant-making charities</w:t>
      </w:r>
      <w:r w:rsidR="00315C89" w:rsidRPr="00315C89">
        <w:rPr>
          <w:i/>
          <w:sz w:val="24"/>
          <w:szCs w:val="24"/>
        </w:rPr>
        <w:t>;</w:t>
      </w:r>
    </w:p>
    <w:p w14:paraId="29742287" w14:textId="12FBD8BC" w:rsidR="009237F5" w:rsidRDefault="009237F5" w:rsidP="00EA07EA">
      <w:pPr>
        <w:pStyle w:val="ListParagraph"/>
        <w:spacing w:after="0" w:line="276" w:lineRule="auto"/>
        <w:ind w:left="360"/>
        <w:rPr>
          <w:i/>
          <w:sz w:val="24"/>
          <w:szCs w:val="24"/>
        </w:rPr>
      </w:pPr>
    </w:p>
    <w:p w14:paraId="7362DC7C" w14:textId="01C2CE61" w:rsidR="007F3309" w:rsidRDefault="00C52FE4" w:rsidP="00C52FE4">
      <w:pPr>
        <w:spacing w:before="0" w:after="0" w:line="276" w:lineRule="auto"/>
        <w:rPr>
          <w:b/>
          <w:sz w:val="36"/>
          <w:szCs w:val="36"/>
          <w:shd w:val="clear" w:color="auto" w:fill="BDDCDF" w:themeFill="accent1"/>
        </w:rPr>
      </w:pPr>
      <w:r w:rsidRPr="00C52FE4">
        <w:rPr>
          <w:b/>
          <w:sz w:val="36"/>
          <w:szCs w:val="36"/>
          <w:shd w:val="clear" w:color="auto" w:fill="BDDCDF" w:themeFill="accent1"/>
        </w:rPr>
        <w:t>GrantConnect</w:t>
      </w:r>
      <w:r>
        <w:rPr>
          <w:b/>
          <w:sz w:val="36"/>
          <w:szCs w:val="36"/>
          <w:shd w:val="clear" w:color="auto" w:fill="BDDCDF" w:themeFill="accent1"/>
        </w:rPr>
        <w:t xml:space="preserve"> </w:t>
      </w:r>
      <w:r w:rsidR="007F3309">
        <w:rPr>
          <w:b/>
          <w:sz w:val="36"/>
          <w:szCs w:val="36"/>
          <w:shd w:val="clear" w:color="auto" w:fill="BDDCDF" w:themeFill="accent1"/>
        </w:rPr>
        <w:t>–</w:t>
      </w:r>
      <w:r>
        <w:rPr>
          <w:b/>
          <w:sz w:val="36"/>
          <w:szCs w:val="36"/>
          <w:shd w:val="clear" w:color="auto" w:fill="BDDCDF" w:themeFill="accent1"/>
        </w:rPr>
        <w:t xml:space="preserve"> </w:t>
      </w:r>
    </w:p>
    <w:p w14:paraId="51BF00A9" w14:textId="044C04DA" w:rsidR="00C52FE4" w:rsidRPr="00C52FE4" w:rsidRDefault="00C52FE4" w:rsidP="00C52FE4">
      <w:pPr>
        <w:spacing w:before="0" w:after="0" w:line="276" w:lineRule="auto"/>
        <w:rPr>
          <w:b/>
          <w:sz w:val="36"/>
          <w:szCs w:val="36"/>
          <w:shd w:val="clear" w:color="auto" w:fill="BDDCDF" w:themeFill="accent1"/>
        </w:rPr>
      </w:pPr>
      <w:proofErr w:type="gramStart"/>
      <w:r>
        <w:rPr>
          <w:b/>
          <w:sz w:val="36"/>
          <w:szCs w:val="36"/>
          <w:shd w:val="clear" w:color="auto" w:fill="BDDCDF" w:themeFill="accent1"/>
        </w:rPr>
        <w:t>the</w:t>
      </w:r>
      <w:proofErr w:type="gramEnd"/>
      <w:r>
        <w:rPr>
          <w:b/>
          <w:sz w:val="36"/>
          <w:szCs w:val="36"/>
          <w:shd w:val="clear" w:color="auto" w:fill="BDDCDF" w:themeFill="accent1"/>
        </w:rPr>
        <w:t xml:space="preserve"> ‘GO-to’ place for </w:t>
      </w:r>
      <w:r w:rsidR="007F3309">
        <w:rPr>
          <w:b/>
          <w:sz w:val="36"/>
          <w:szCs w:val="36"/>
          <w:shd w:val="clear" w:color="auto" w:fill="BDDCDF" w:themeFill="accent1"/>
        </w:rPr>
        <w:t>grants</w:t>
      </w:r>
    </w:p>
    <w:p w14:paraId="2789381A" w14:textId="1C95E80D" w:rsidR="00C52FE4" w:rsidRPr="008A007F" w:rsidRDefault="00C52FE4" w:rsidP="008A007F">
      <w:pPr>
        <w:spacing w:before="200" w:after="0" w:line="276" w:lineRule="auto"/>
        <w:rPr>
          <w:rFonts w:cstheme="minorHAnsi"/>
        </w:rPr>
      </w:pPr>
      <w:r w:rsidRPr="008A007F">
        <w:rPr>
          <w:rFonts w:cstheme="minorHAnsi"/>
        </w:rPr>
        <w:t>GrantConnect has been the single point of discovery for all Australian Government Grant O</w:t>
      </w:r>
      <w:r w:rsidR="00A61E86" w:rsidRPr="008A007F">
        <w:rPr>
          <w:rFonts w:cstheme="minorHAnsi"/>
        </w:rPr>
        <w:t>pportunities since 30 April 2017</w:t>
      </w:r>
      <w:r w:rsidRPr="008A007F">
        <w:rPr>
          <w:rFonts w:cstheme="minorHAnsi"/>
        </w:rPr>
        <w:t xml:space="preserve">, and Grants Awarded information since 31 December 2017. </w:t>
      </w:r>
    </w:p>
    <w:p w14:paraId="5639F5B7" w14:textId="4F1AC0C1" w:rsidR="00C52FE4" w:rsidRDefault="00C52FE4" w:rsidP="00C52FE4">
      <w:pPr>
        <w:rPr>
          <w:bCs/>
        </w:rPr>
      </w:pPr>
      <w:r w:rsidRPr="00C52FE4">
        <w:rPr>
          <w:bCs/>
        </w:rPr>
        <w:t>During this time, entities and applicants have been making the most of the information available on GrantConnect. Some interesting statistics to date are:</w:t>
      </w:r>
    </w:p>
    <w:p w14:paraId="0F822214" w14:textId="4B35E32E" w:rsidR="00851507" w:rsidRPr="00B122F9" w:rsidRDefault="00851507" w:rsidP="00851507">
      <w:pPr>
        <w:pStyle w:val="ListParagraph"/>
        <w:numPr>
          <w:ilvl w:val="0"/>
          <w:numId w:val="26"/>
        </w:numPr>
        <w:spacing w:line="252" w:lineRule="auto"/>
        <w:rPr>
          <w:color w:val="404040" w:themeColor="text1" w:themeTint="BF"/>
        </w:rPr>
      </w:pPr>
      <w:r w:rsidRPr="00B122F9">
        <w:rPr>
          <w:color w:val="404040" w:themeColor="text1" w:themeTint="BF"/>
        </w:rPr>
        <w:t>1</w:t>
      </w:r>
      <w:r w:rsidR="001C2E58">
        <w:rPr>
          <w:color w:val="404040" w:themeColor="text1" w:themeTint="BF"/>
        </w:rPr>
        <w:t>3,5</w:t>
      </w:r>
      <w:r w:rsidRPr="00B122F9">
        <w:rPr>
          <w:color w:val="404040" w:themeColor="text1" w:themeTint="BF"/>
        </w:rPr>
        <w:t xml:space="preserve">00 public - Registered Users, </w:t>
      </w:r>
      <w:r w:rsidR="001C2E58">
        <w:rPr>
          <w:color w:val="404040" w:themeColor="text1" w:themeTint="BF"/>
        </w:rPr>
        <w:t>400</w:t>
      </w:r>
      <w:r w:rsidRPr="00B122F9">
        <w:rPr>
          <w:color w:val="404040" w:themeColor="text1" w:themeTint="BF"/>
        </w:rPr>
        <w:t xml:space="preserve"> Entity Users</w:t>
      </w:r>
    </w:p>
    <w:p w14:paraId="0E621177" w14:textId="4F964474" w:rsidR="00851507" w:rsidRPr="00B122F9" w:rsidRDefault="00887EB7" w:rsidP="00851507">
      <w:pPr>
        <w:pStyle w:val="ListParagraph"/>
        <w:numPr>
          <w:ilvl w:val="0"/>
          <w:numId w:val="26"/>
        </w:numPr>
        <w:spacing w:line="252" w:lineRule="auto"/>
        <w:rPr>
          <w:color w:val="404040" w:themeColor="text1" w:themeTint="BF"/>
        </w:rPr>
      </w:pPr>
      <w:r>
        <w:rPr>
          <w:color w:val="404040" w:themeColor="text1" w:themeTint="BF"/>
        </w:rPr>
        <w:t>511,000</w:t>
      </w:r>
      <w:r w:rsidR="00851507" w:rsidRPr="00B122F9">
        <w:rPr>
          <w:color w:val="404040" w:themeColor="text1" w:themeTint="BF"/>
        </w:rPr>
        <w:t xml:space="preserve"> opportunity notifications emails have been sent to Registered Users</w:t>
      </w:r>
    </w:p>
    <w:p w14:paraId="6344BE8C" w14:textId="545006BF" w:rsidR="00851507" w:rsidRPr="00B122F9" w:rsidRDefault="00851507" w:rsidP="00851507">
      <w:pPr>
        <w:pStyle w:val="ListParagraph"/>
        <w:numPr>
          <w:ilvl w:val="0"/>
          <w:numId w:val="26"/>
        </w:numPr>
        <w:spacing w:line="252" w:lineRule="auto"/>
        <w:rPr>
          <w:color w:val="404040" w:themeColor="text1" w:themeTint="BF"/>
        </w:rPr>
      </w:pPr>
      <w:r w:rsidRPr="00B122F9">
        <w:rPr>
          <w:color w:val="404040" w:themeColor="text1" w:themeTint="BF"/>
        </w:rPr>
        <w:t>4</w:t>
      </w:r>
      <w:r w:rsidR="00887EB7">
        <w:rPr>
          <w:color w:val="404040" w:themeColor="text1" w:themeTint="BF"/>
        </w:rPr>
        <w:t>2</w:t>
      </w:r>
      <w:r w:rsidRPr="00B122F9">
        <w:rPr>
          <w:color w:val="404040" w:themeColor="text1" w:themeTint="BF"/>
        </w:rPr>
        <w:t xml:space="preserve"> Forecast Opportunities published (2</w:t>
      </w:r>
      <w:r w:rsidR="00887EB7">
        <w:rPr>
          <w:color w:val="404040" w:themeColor="text1" w:themeTint="BF"/>
        </w:rPr>
        <w:t>8</w:t>
      </w:r>
      <w:r w:rsidRPr="00B122F9">
        <w:rPr>
          <w:color w:val="404040" w:themeColor="text1" w:themeTint="BF"/>
        </w:rPr>
        <w:t xml:space="preserve"> linked to Grant Opportunities)</w:t>
      </w:r>
    </w:p>
    <w:p w14:paraId="5F4EE32A" w14:textId="6AB8085A" w:rsidR="00851507" w:rsidRDefault="00FF64CF" w:rsidP="00851507">
      <w:pPr>
        <w:pStyle w:val="ListParagraph"/>
        <w:numPr>
          <w:ilvl w:val="0"/>
          <w:numId w:val="26"/>
        </w:numPr>
        <w:spacing w:line="252" w:lineRule="auto"/>
        <w:rPr>
          <w:color w:val="404040" w:themeColor="text1" w:themeTint="BF"/>
        </w:rPr>
      </w:pPr>
      <w:r>
        <w:rPr>
          <w:color w:val="404040" w:themeColor="text1" w:themeTint="BF"/>
        </w:rPr>
        <w:t>312</w:t>
      </w:r>
      <w:r w:rsidR="00851507" w:rsidRPr="00B122F9">
        <w:rPr>
          <w:color w:val="404040" w:themeColor="text1" w:themeTint="BF"/>
        </w:rPr>
        <w:t xml:space="preserve"> Grant Opportunities published with </w:t>
      </w:r>
      <w:r w:rsidR="00887EB7">
        <w:rPr>
          <w:color w:val="404040" w:themeColor="text1" w:themeTint="BF"/>
        </w:rPr>
        <w:t>23,000</w:t>
      </w:r>
      <w:r w:rsidR="00851507" w:rsidRPr="00B122F9">
        <w:rPr>
          <w:color w:val="404040" w:themeColor="text1" w:themeTint="BF"/>
        </w:rPr>
        <w:t xml:space="preserve"> downloads of grant guidelines</w:t>
      </w:r>
    </w:p>
    <w:p w14:paraId="79BB383F" w14:textId="119F9187" w:rsidR="00887EB7" w:rsidRPr="00B122F9" w:rsidRDefault="00887EB7" w:rsidP="00851507">
      <w:pPr>
        <w:pStyle w:val="ListParagraph"/>
        <w:numPr>
          <w:ilvl w:val="0"/>
          <w:numId w:val="26"/>
        </w:numPr>
        <w:spacing w:line="252" w:lineRule="auto"/>
        <w:rPr>
          <w:color w:val="404040" w:themeColor="text1" w:themeTint="BF"/>
        </w:rPr>
      </w:pPr>
      <w:r>
        <w:rPr>
          <w:color w:val="404040" w:themeColor="text1" w:themeTint="BF"/>
        </w:rPr>
        <w:t>Approx. 7,100 Grants Awards published with a total value $2.3 billion.</w:t>
      </w:r>
    </w:p>
    <w:p w14:paraId="2B07592E" w14:textId="39DAE17F" w:rsidR="00C52FE4" w:rsidRPr="00C52FE4" w:rsidRDefault="00C52FE4" w:rsidP="008A007F">
      <w:pPr>
        <w:pStyle w:val="BodyText"/>
      </w:pPr>
      <w:r w:rsidRPr="00C52FE4">
        <w:t xml:space="preserve">The next phase of the project will provide secure application submission. More information will become available once testing activities and acceptance is finalised. </w:t>
      </w:r>
    </w:p>
    <w:p w14:paraId="333F4E3F" w14:textId="1D09916B" w:rsidR="007F3309" w:rsidRDefault="00C52FE4" w:rsidP="00C507A4">
      <w:pPr>
        <w:rPr>
          <w:rFonts w:ascii="Calibri" w:eastAsia="Calibri" w:hAnsi="Calibri" w:cs="Times New Roman"/>
          <w:b/>
          <w:color w:val="auto"/>
        </w:rPr>
      </w:pPr>
      <w:r w:rsidRPr="00E208C7">
        <w:rPr>
          <w:b/>
        </w:rPr>
        <w:t xml:space="preserve">For more information about GrantConnect, visit </w:t>
      </w:r>
      <w:hyperlink r:id="rId17" w:history="1">
        <w:r w:rsidRPr="00E208C7">
          <w:rPr>
            <w:rFonts w:cs="MuseoSans-500"/>
            <w:b/>
            <w:color w:val="auto"/>
            <w:u w:val="single" w:color="0070C0"/>
          </w:rPr>
          <w:t>www.grants.gov.au</w:t>
        </w:r>
      </w:hyperlink>
      <w:r w:rsidRPr="00E208C7">
        <w:rPr>
          <w:rFonts w:cs="MuseoSans-500"/>
          <w:b/>
          <w:color w:val="auto"/>
          <w:u w:val="single" w:color="0070C0"/>
        </w:rPr>
        <w:t xml:space="preserve"> </w:t>
      </w:r>
      <w:r w:rsidRPr="00E208C7">
        <w:rPr>
          <w:b/>
        </w:rPr>
        <w:t xml:space="preserve">or watch the informational video on </w:t>
      </w:r>
      <w:hyperlink r:id="rId18" w:history="1">
        <w:r w:rsidRPr="00E208C7">
          <w:rPr>
            <w:rFonts w:cs="MuseoSans-500"/>
            <w:b/>
            <w:color w:val="auto"/>
            <w:u w:val="single" w:color="0070C0"/>
          </w:rPr>
          <w:t>YouTube</w:t>
        </w:r>
      </w:hyperlink>
      <w:r w:rsidRPr="00E208C7">
        <w:rPr>
          <w:rFonts w:cs="MuseoSans-500"/>
          <w:b/>
          <w:color w:val="auto"/>
          <w:u w:val="single" w:color="0070C0"/>
        </w:rPr>
        <w:t>.</w:t>
      </w:r>
      <w:r w:rsidR="007F3309" w:rsidRPr="00E208C7">
        <w:rPr>
          <w:rFonts w:ascii="Calibri" w:eastAsia="Calibri" w:hAnsi="Calibri" w:cs="Times New Roman"/>
          <w:b/>
          <w:color w:val="auto"/>
        </w:rPr>
        <w:t xml:space="preserve">  </w:t>
      </w:r>
    </w:p>
    <w:p w14:paraId="131C65E7" w14:textId="77777777" w:rsidR="009A21B8" w:rsidRPr="00E208C7" w:rsidRDefault="009A21B8" w:rsidP="00C507A4">
      <w:pPr>
        <w:rPr>
          <w:rFonts w:ascii="Calibri" w:eastAsia="Calibri" w:hAnsi="Calibri" w:cs="Times New Roman"/>
          <w:b/>
          <w:color w:val="auto"/>
        </w:rPr>
      </w:pPr>
    </w:p>
    <w:p w14:paraId="5152D4E6" w14:textId="1C4D2F14" w:rsidR="000879AD" w:rsidRPr="00D12712" w:rsidRDefault="000879AD" w:rsidP="007F3309">
      <w:pPr>
        <w:pStyle w:val="BodyText1"/>
        <w:pBdr>
          <w:top w:val="single" w:sz="4" w:space="4" w:color="43848B" w:themeColor="accent1" w:themeShade="80"/>
          <w:left w:val="single" w:sz="4" w:space="4" w:color="43848B" w:themeColor="accent1" w:themeShade="80"/>
          <w:bottom w:val="single" w:sz="4" w:space="4" w:color="43848B" w:themeColor="accent1" w:themeShade="80"/>
          <w:right w:val="single" w:sz="4" w:space="4" w:color="43848B" w:themeColor="accent1" w:themeShade="80"/>
        </w:pBdr>
        <w:shd w:val="clear" w:color="auto" w:fill="D3E7E7" w:themeFill="accent2" w:themeFillTint="66"/>
        <w:rPr>
          <w:rFonts w:asciiTheme="majorHAnsi" w:hAnsiTheme="majorHAnsi" w:cstheme="majorHAnsi"/>
          <w:b/>
          <w:szCs w:val="22"/>
        </w:rPr>
      </w:pPr>
      <w:r w:rsidRPr="00D12712">
        <w:rPr>
          <w:rFonts w:asciiTheme="majorHAnsi" w:hAnsiTheme="majorHAnsi" w:cstheme="majorHAnsi"/>
          <w:b/>
          <w:szCs w:val="22"/>
        </w:rPr>
        <w:lastRenderedPageBreak/>
        <w:t xml:space="preserve">Streamlining Government Grants Administration (SGGA) </w:t>
      </w:r>
    </w:p>
    <w:p w14:paraId="083F0394" w14:textId="07F1539E" w:rsidR="00C507A4" w:rsidRPr="00D12712" w:rsidRDefault="00C507A4" w:rsidP="007F3309">
      <w:pPr>
        <w:pStyle w:val="BodyText1"/>
        <w:pBdr>
          <w:top w:val="single" w:sz="4" w:space="4" w:color="43848B" w:themeColor="accent1" w:themeShade="80"/>
          <w:left w:val="single" w:sz="4" w:space="4" w:color="43848B" w:themeColor="accent1" w:themeShade="80"/>
          <w:bottom w:val="single" w:sz="4" w:space="4" w:color="43848B" w:themeColor="accent1" w:themeShade="80"/>
          <w:right w:val="single" w:sz="4" w:space="4" w:color="43848B" w:themeColor="accent1" w:themeShade="80"/>
        </w:pBdr>
        <w:shd w:val="clear" w:color="auto" w:fill="D3E7E7" w:themeFill="accent2" w:themeFillTint="66"/>
        <w:rPr>
          <w:rFonts w:asciiTheme="majorHAnsi" w:hAnsiTheme="majorHAnsi" w:cstheme="majorHAnsi"/>
          <w:szCs w:val="22"/>
        </w:rPr>
      </w:pPr>
      <w:r w:rsidRPr="00D12712">
        <w:rPr>
          <w:rFonts w:asciiTheme="majorHAnsi" w:hAnsiTheme="majorHAnsi" w:cstheme="majorHAnsi"/>
          <w:szCs w:val="22"/>
        </w:rPr>
        <w:t>The S</w:t>
      </w:r>
      <w:r w:rsidR="000879AD" w:rsidRPr="00D12712">
        <w:rPr>
          <w:rFonts w:asciiTheme="majorHAnsi" w:hAnsiTheme="majorHAnsi" w:cstheme="majorHAnsi"/>
          <w:szCs w:val="22"/>
        </w:rPr>
        <w:t>GGA i</w:t>
      </w:r>
      <w:r w:rsidRPr="00D12712">
        <w:rPr>
          <w:rFonts w:asciiTheme="majorHAnsi" w:hAnsiTheme="majorHAnsi" w:cstheme="majorHAnsi"/>
          <w:szCs w:val="22"/>
        </w:rPr>
        <w:t xml:space="preserve">nitiative, led by the Department of Finance, is part of the Government’s vision to drive a smarter and more productive public sector. </w:t>
      </w:r>
    </w:p>
    <w:p w14:paraId="431292F2" w14:textId="2C5DDD86" w:rsidR="00035691" w:rsidRDefault="00C507A4" w:rsidP="009309E7">
      <w:pPr>
        <w:pStyle w:val="BodyText1"/>
        <w:pBdr>
          <w:top w:val="single" w:sz="4" w:space="4" w:color="43848B" w:themeColor="accent1" w:themeShade="80"/>
          <w:left w:val="single" w:sz="4" w:space="4" w:color="43848B" w:themeColor="accent1" w:themeShade="80"/>
          <w:bottom w:val="single" w:sz="4" w:space="4" w:color="43848B" w:themeColor="accent1" w:themeShade="80"/>
          <w:right w:val="single" w:sz="4" w:space="4" w:color="43848B" w:themeColor="accent1" w:themeShade="80"/>
        </w:pBdr>
        <w:shd w:val="clear" w:color="auto" w:fill="D3E7E7" w:themeFill="accent2" w:themeFillTint="66"/>
        <w:rPr>
          <w:rFonts w:asciiTheme="majorHAnsi" w:hAnsiTheme="majorHAnsi" w:cstheme="majorHAnsi"/>
          <w:szCs w:val="22"/>
        </w:rPr>
      </w:pPr>
      <w:r w:rsidRPr="00D12712">
        <w:rPr>
          <w:rFonts w:asciiTheme="majorHAnsi" w:hAnsiTheme="majorHAnsi" w:cstheme="majorHAnsi"/>
          <w:szCs w:val="22"/>
        </w:rPr>
        <w:t xml:space="preserve">For 14 participating entities, grants administration is being consolidated into two specialist </w:t>
      </w:r>
      <w:r w:rsidR="00035691">
        <w:rPr>
          <w:rFonts w:asciiTheme="majorHAnsi" w:hAnsiTheme="majorHAnsi" w:cstheme="majorHAnsi"/>
          <w:szCs w:val="22"/>
        </w:rPr>
        <w:t xml:space="preserve">grants </w:t>
      </w:r>
      <w:r w:rsidRPr="00D12712">
        <w:rPr>
          <w:rFonts w:asciiTheme="majorHAnsi" w:hAnsiTheme="majorHAnsi" w:cstheme="majorHAnsi"/>
          <w:szCs w:val="22"/>
        </w:rPr>
        <w:t>hubs</w:t>
      </w:r>
      <w:r w:rsidR="00035691">
        <w:rPr>
          <w:rFonts w:asciiTheme="majorHAnsi" w:hAnsiTheme="majorHAnsi" w:cstheme="majorHAnsi"/>
          <w:szCs w:val="22"/>
        </w:rPr>
        <w:t xml:space="preserve"> -</w:t>
      </w:r>
      <w:r w:rsidRPr="00D12712">
        <w:rPr>
          <w:rFonts w:asciiTheme="majorHAnsi" w:hAnsiTheme="majorHAnsi" w:cstheme="majorHAnsi"/>
          <w:szCs w:val="22"/>
        </w:rPr>
        <w:t xml:space="preserve"> </w:t>
      </w:r>
      <w:r w:rsidR="00035691">
        <w:rPr>
          <w:rFonts w:asciiTheme="majorHAnsi" w:hAnsiTheme="majorHAnsi" w:cstheme="majorHAnsi"/>
          <w:szCs w:val="22"/>
        </w:rPr>
        <w:t>the B</w:t>
      </w:r>
      <w:r w:rsidRPr="00D12712">
        <w:rPr>
          <w:rFonts w:asciiTheme="majorHAnsi" w:hAnsiTheme="majorHAnsi" w:cstheme="majorHAnsi"/>
          <w:szCs w:val="22"/>
        </w:rPr>
        <w:t xml:space="preserve">usiness </w:t>
      </w:r>
      <w:r w:rsidR="00035691">
        <w:rPr>
          <w:rFonts w:asciiTheme="majorHAnsi" w:hAnsiTheme="majorHAnsi" w:cstheme="majorHAnsi"/>
          <w:szCs w:val="22"/>
        </w:rPr>
        <w:t>G</w:t>
      </w:r>
      <w:r w:rsidRPr="00D12712">
        <w:rPr>
          <w:rFonts w:asciiTheme="majorHAnsi" w:hAnsiTheme="majorHAnsi" w:cstheme="majorHAnsi"/>
          <w:szCs w:val="22"/>
        </w:rPr>
        <w:t xml:space="preserve">rants </w:t>
      </w:r>
      <w:r w:rsidR="00035691">
        <w:rPr>
          <w:rFonts w:asciiTheme="majorHAnsi" w:hAnsiTheme="majorHAnsi" w:cstheme="majorHAnsi"/>
          <w:szCs w:val="22"/>
        </w:rPr>
        <w:t xml:space="preserve">Hub </w:t>
      </w:r>
      <w:r w:rsidRPr="00D12712">
        <w:rPr>
          <w:rFonts w:asciiTheme="majorHAnsi" w:hAnsiTheme="majorHAnsi" w:cstheme="majorHAnsi"/>
          <w:szCs w:val="22"/>
        </w:rPr>
        <w:t xml:space="preserve">and </w:t>
      </w:r>
      <w:r w:rsidR="00035691">
        <w:rPr>
          <w:rFonts w:asciiTheme="majorHAnsi" w:hAnsiTheme="majorHAnsi" w:cstheme="majorHAnsi"/>
          <w:szCs w:val="22"/>
        </w:rPr>
        <w:t>Community G</w:t>
      </w:r>
      <w:r w:rsidRPr="00D12712">
        <w:rPr>
          <w:rFonts w:asciiTheme="majorHAnsi" w:hAnsiTheme="majorHAnsi" w:cstheme="majorHAnsi"/>
          <w:szCs w:val="22"/>
        </w:rPr>
        <w:t>rants</w:t>
      </w:r>
      <w:r w:rsidR="00035691">
        <w:rPr>
          <w:rFonts w:asciiTheme="majorHAnsi" w:hAnsiTheme="majorHAnsi" w:cstheme="majorHAnsi"/>
          <w:szCs w:val="22"/>
        </w:rPr>
        <w:t xml:space="preserve"> Hub</w:t>
      </w:r>
      <w:r w:rsidRPr="00D12712">
        <w:rPr>
          <w:rFonts w:asciiTheme="majorHAnsi" w:hAnsiTheme="majorHAnsi" w:cstheme="majorHAnsi"/>
          <w:szCs w:val="22"/>
        </w:rPr>
        <w:t>.</w:t>
      </w:r>
      <w:r w:rsidR="00215760">
        <w:rPr>
          <w:rFonts w:asciiTheme="majorHAnsi" w:hAnsiTheme="majorHAnsi" w:cstheme="majorHAnsi"/>
          <w:szCs w:val="22"/>
        </w:rPr>
        <w:t xml:space="preserve"> </w:t>
      </w:r>
      <w:r w:rsidR="00035691">
        <w:rPr>
          <w:rFonts w:asciiTheme="majorHAnsi" w:hAnsiTheme="majorHAnsi" w:cstheme="majorHAnsi"/>
          <w:szCs w:val="22"/>
        </w:rPr>
        <w:t>This</w:t>
      </w:r>
      <w:r w:rsidRPr="00D12712">
        <w:rPr>
          <w:rFonts w:asciiTheme="majorHAnsi" w:hAnsiTheme="majorHAnsi" w:cstheme="majorHAnsi"/>
          <w:szCs w:val="22"/>
        </w:rPr>
        <w:t xml:space="preserve"> standardised and streamlined approach to the administration of government grants is </w:t>
      </w:r>
      <w:r w:rsidR="00035691">
        <w:rPr>
          <w:rFonts w:asciiTheme="majorHAnsi" w:hAnsiTheme="majorHAnsi" w:cstheme="majorHAnsi"/>
          <w:szCs w:val="22"/>
        </w:rPr>
        <w:t xml:space="preserve">a key </w:t>
      </w:r>
      <w:r w:rsidRPr="00D12712">
        <w:rPr>
          <w:rFonts w:asciiTheme="majorHAnsi" w:hAnsiTheme="majorHAnsi" w:cstheme="majorHAnsi"/>
          <w:szCs w:val="22"/>
        </w:rPr>
        <w:t xml:space="preserve">part of the </w:t>
      </w:r>
      <w:r w:rsidR="00035691">
        <w:rPr>
          <w:rFonts w:asciiTheme="majorHAnsi" w:hAnsiTheme="majorHAnsi" w:cstheme="majorHAnsi"/>
          <w:szCs w:val="22"/>
        </w:rPr>
        <w:t xml:space="preserve">SGGA </w:t>
      </w:r>
      <w:r w:rsidRPr="00D12712">
        <w:rPr>
          <w:rFonts w:asciiTheme="majorHAnsi" w:hAnsiTheme="majorHAnsi" w:cstheme="majorHAnsi"/>
          <w:szCs w:val="22"/>
        </w:rPr>
        <w:t>Program</w:t>
      </w:r>
      <w:r w:rsidR="00035691">
        <w:rPr>
          <w:rFonts w:asciiTheme="majorHAnsi" w:hAnsiTheme="majorHAnsi" w:cstheme="majorHAnsi"/>
          <w:szCs w:val="22"/>
        </w:rPr>
        <w:t xml:space="preserve">.  </w:t>
      </w:r>
    </w:p>
    <w:p w14:paraId="15E56076" w14:textId="0DD1FFE1" w:rsidR="00C52FE4" w:rsidRPr="00D12712" w:rsidRDefault="00035691" w:rsidP="009309E7">
      <w:pPr>
        <w:pStyle w:val="BodyText1"/>
        <w:pBdr>
          <w:top w:val="single" w:sz="4" w:space="4" w:color="43848B" w:themeColor="accent1" w:themeShade="80"/>
          <w:left w:val="single" w:sz="4" w:space="4" w:color="43848B" w:themeColor="accent1" w:themeShade="80"/>
          <w:bottom w:val="single" w:sz="4" w:space="4" w:color="43848B" w:themeColor="accent1" w:themeShade="80"/>
          <w:right w:val="single" w:sz="4" w:space="4" w:color="43848B" w:themeColor="accent1" w:themeShade="80"/>
        </w:pBdr>
        <w:shd w:val="clear" w:color="auto" w:fill="D3E7E7" w:themeFill="accent2" w:themeFillTint="66"/>
        <w:rPr>
          <w:rFonts w:asciiTheme="majorHAnsi" w:hAnsiTheme="majorHAnsi" w:cstheme="majorHAnsi"/>
          <w:iCs/>
          <w:szCs w:val="22"/>
        </w:rPr>
      </w:pPr>
      <w:r>
        <w:rPr>
          <w:rFonts w:asciiTheme="majorHAnsi" w:hAnsiTheme="majorHAnsi" w:cstheme="majorHAnsi"/>
          <w:szCs w:val="22"/>
        </w:rPr>
        <w:t>C</w:t>
      </w:r>
      <w:r w:rsidR="00C507A4" w:rsidRPr="00D12712">
        <w:rPr>
          <w:rFonts w:asciiTheme="majorHAnsi" w:hAnsiTheme="majorHAnsi" w:cstheme="majorHAnsi"/>
          <w:szCs w:val="22"/>
        </w:rPr>
        <w:t>hanging the public</w:t>
      </w:r>
      <w:r>
        <w:rPr>
          <w:rFonts w:asciiTheme="majorHAnsi" w:hAnsiTheme="majorHAnsi" w:cstheme="majorHAnsi"/>
          <w:szCs w:val="22"/>
        </w:rPr>
        <w:t xml:space="preserve"> </w:t>
      </w:r>
      <w:r w:rsidR="00C507A4" w:rsidRPr="00D12712">
        <w:rPr>
          <w:rFonts w:asciiTheme="majorHAnsi" w:hAnsiTheme="majorHAnsi" w:cstheme="majorHAnsi"/>
          <w:szCs w:val="22"/>
        </w:rPr>
        <w:t>service approach to grants delivery, improving discoverability and delivering effective digital</w:t>
      </w:r>
      <w:r w:rsidR="00C507A4" w:rsidRPr="00D12712">
        <w:rPr>
          <w:rFonts w:asciiTheme="majorHAnsi" w:hAnsiTheme="majorHAnsi" w:cstheme="majorHAnsi"/>
          <w:iCs/>
          <w:szCs w:val="22"/>
        </w:rPr>
        <w:t xml:space="preserve"> solutions</w:t>
      </w:r>
      <w:r>
        <w:rPr>
          <w:rFonts w:asciiTheme="majorHAnsi" w:hAnsiTheme="majorHAnsi" w:cstheme="majorHAnsi"/>
          <w:iCs/>
          <w:szCs w:val="22"/>
        </w:rPr>
        <w:t xml:space="preserve">, will reduce </w:t>
      </w:r>
      <w:r w:rsidR="00C507A4" w:rsidRPr="00D12712">
        <w:rPr>
          <w:rFonts w:asciiTheme="majorHAnsi" w:hAnsiTheme="majorHAnsi" w:cstheme="majorHAnsi"/>
          <w:iCs/>
          <w:szCs w:val="22"/>
        </w:rPr>
        <w:t xml:space="preserve">red tape for grant applicants and </w:t>
      </w:r>
      <w:r>
        <w:rPr>
          <w:rFonts w:asciiTheme="majorHAnsi" w:hAnsiTheme="majorHAnsi" w:cstheme="majorHAnsi"/>
          <w:iCs/>
          <w:szCs w:val="22"/>
        </w:rPr>
        <w:t xml:space="preserve">provide the Government with accurate and helpful </w:t>
      </w:r>
      <w:r w:rsidR="00C507A4" w:rsidRPr="00D12712">
        <w:rPr>
          <w:rFonts w:asciiTheme="majorHAnsi" w:hAnsiTheme="majorHAnsi" w:cstheme="majorHAnsi"/>
          <w:iCs/>
          <w:szCs w:val="22"/>
        </w:rPr>
        <w:t>data</w:t>
      </w:r>
      <w:r w:rsidR="00F00245" w:rsidRPr="00D12712">
        <w:rPr>
          <w:rFonts w:asciiTheme="majorHAnsi" w:hAnsiTheme="majorHAnsi" w:cstheme="majorHAnsi"/>
          <w:iCs/>
          <w:szCs w:val="22"/>
        </w:rPr>
        <w:t>.</w:t>
      </w:r>
    </w:p>
    <w:p w14:paraId="13683F5D" w14:textId="740B0A93" w:rsidR="000879AD" w:rsidRPr="00A63621" w:rsidRDefault="00215760" w:rsidP="000879AD">
      <w:pPr>
        <w:spacing w:line="276" w:lineRule="auto"/>
        <w:rPr>
          <w:b/>
          <w:sz w:val="32"/>
          <w:szCs w:val="32"/>
        </w:rPr>
      </w:pPr>
      <w:r w:rsidRPr="00A63621">
        <w:rPr>
          <w:b/>
          <w:sz w:val="32"/>
          <w:szCs w:val="32"/>
        </w:rPr>
        <w:t xml:space="preserve">It’s all </w:t>
      </w:r>
      <w:r w:rsidR="00A63621" w:rsidRPr="00A63621">
        <w:rPr>
          <w:b/>
          <w:sz w:val="32"/>
          <w:szCs w:val="32"/>
        </w:rPr>
        <w:t xml:space="preserve">happening in the </w:t>
      </w:r>
      <w:r w:rsidRPr="00A63621">
        <w:rPr>
          <w:b/>
          <w:sz w:val="32"/>
          <w:szCs w:val="32"/>
        </w:rPr>
        <w:t>H</w:t>
      </w:r>
      <w:r w:rsidR="000879AD" w:rsidRPr="00A63621">
        <w:rPr>
          <w:b/>
          <w:sz w:val="32"/>
          <w:szCs w:val="32"/>
        </w:rPr>
        <w:t>ubs</w:t>
      </w:r>
      <w:r w:rsidRPr="00A63621">
        <w:rPr>
          <w:b/>
          <w:sz w:val="32"/>
          <w:szCs w:val="32"/>
        </w:rPr>
        <w:t>!</w:t>
      </w:r>
      <w:r w:rsidR="000879AD" w:rsidRPr="00A63621">
        <w:rPr>
          <w:b/>
          <w:sz w:val="32"/>
          <w:szCs w:val="32"/>
        </w:rPr>
        <w:t xml:space="preserve"> </w:t>
      </w:r>
    </w:p>
    <w:p w14:paraId="12EA2047" w14:textId="74462AB4" w:rsidR="00215760" w:rsidRDefault="00215760" w:rsidP="008A007F">
      <w:pPr>
        <w:spacing w:before="200" w:after="0" w:line="276" w:lineRule="auto"/>
        <w:rPr>
          <w:rFonts w:ascii="Helvetica" w:hAnsi="Helvetica" w:cs="Arial"/>
          <w:b/>
          <w:color w:val="333333"/>
          <w:lang w:val="en"/>
        </w:rPr>
      </w:pPr>
      <w:r w:rsidRPr="00215760">
        <w:rPr>
          <w:rFonts w:ascii="Helvetica" w:hAnsi="Helvetica" w:cs="Arial"/>
          <w:b/>
          <w:color w:val="333333"/>
          <w:lang w:val="en"/>
        </w:rPr>
        <w:t xml:space="preserve">Since 1 July </w:t>
      </w:r>
      <w:r w:rsidR="008318E4" w:rsidRPr="00215760">
        <w:rPr>
          <w:rFonts w:ascii="Helvetica" w:hAnsi="Helvetica" w:cs="Arial"/>
          <w:b/>
          <w:color w:val="333333"/>
          <w:lang w:val="en"/>
        </w:rPr>
        <w:t>2016,</w:t>
      </w:r>
      <w:r w:rsidRPr="00215760">
        <w:rPr>
          <w:rFonts w:ascii="Helvetica" w:hAnsi="Helvetica" w:cs="Arial"/>
          <w:b/>
          <w:color w:val="333333"/>
          <w:lang w:val="en"/>
        </w:rPr>
        <w:t xml:space="preserve"> the </w:t>
      </w:r>
      <w:hyperlink r:id="rId19" w:history="1">
        <w:r w:rsidRPr="00A21D24">
          <w:rPr>
            <w:rStyle w:val="Hyperlink"/>
            <w:rFonts w:ascii="Helvetica" w:hAnsi="Helvetica" w:cs="Arial"/>
            <w:b/>
            <w:lang w:val="en"/>
          </w:rPr>
          <w:t>Community Grants Hub</w:t>
        </w:r>
      </w:hyperlink>
      <w:r>
        <w:rPr>
          <w:rFonts w:ascii="Helvetica" w:hAnsi="Helvetica" w:cs="Arial"/>
          <w:b/>
          <w:color w:val="333333"/>
          <w:lang w:val="en"/>
        </w:rPr>
        <w:t xml:space="preserve"> (CGH)</w:t>
      </w:r>
      <w:r w:rsidRPr="00215760">
        <w:rPr>
          <w:rFonts w:ascii="Helvetica" w:hAnsi="Helvetica" w:cs="Arial"/>
          <w:b/>
          <w:color w:val="333333"/>
          <w:lang w:val="en"/>
        </w:rPr>
        <w:t xml:space="preserve"> has been busy transitioning, designing and delivering Australian Government grants programs</w:t>
      </w:r>
      <w:r w:rsidR="006679DA">
        <w:rPr>
          <w:rFonts w:ascii="Helvetica" w:hAnsi="Helvetica" w:cs="Arial"/>
          <w:b/>
          <w:color w:val="333333"/>
          <w:lang w:val="en"/>
        </w:rPr>
        <w:t>.</w:t>
      </w:r>
    </w:p>
    <w:p w14:paraId="7580CB2D" w14:textId="3DF2EAF9" w:rsidR="00215760" w:rsidRDefault="00215760" w:rsidP="008A007F">
      <w:pPr>
        <w:spacing w:before="200" w:after="0" w:line="276" w:lineRule="auto"/>
        <w:rPr>
          <w:rFonts w:cstheme="minorHAnsi"/>
        </w:rPr>
      </w:pPr>
      <w:r>
        <w:rPr>
          <w:rFonts w:cstheme="minorHAnsi"/>
        </w:rPr>
        <w:t>The CGH</w:t>
      </w:r>
      <w:r w:rsidR="008C2B36" w:rsidRPr="008C2B36">
        <w:rPr>
          <w:rFonts w:cstheme="minorHAnsi"/>
        </w:rPr>
        <w:t xml:space="preserve"> </w:t>
      </w:r>
      <w:r w:rsidR="006679DA">
        <w:rPr>
          <w:rFonts w:cstheme="minorHAnsi"/>
        </w:rPr>
        <w:t xml:space="preserve">now </w:t>
      </w:r>
      <w:r>
        <w:rPr>
          <w:rFonts w:cstheme="minorHAnsi"/>
        </w:rPr>
        <w:t>d</w:t>
      </w:r>
      <w:r w:rsidR="008C2B36" w:rsidRPr="008C2B36">
        <w:rPr>
          <w:rFonts w:cstheme="minorHAnsi"/>
        </w:rPr>
        <w:t xml:space="preserve">elivers end-to-end grants administration to over 21,000 community grants across government worth about $7.8 billion in grant recipient payments. </w:t>
      </w:r>
    </w:p>
    <w:p w14:paraId="23782C5B" w14:textId="063B85AA" w:rsidR="00215760" w:rsidRPr="006679DA" w:rsidRDefault="00215760" w:rsidP="008A007F">
      <w:pPr>
        <w:spacing w:before="200" w:after="0" w:line="276" w:lineRule="auto"/>
        <w:rPr>
          <w:rFonts w:cstheme="minorHAnsi"/>
          <w:b/>
        </w:rPr>
      </w:pPr>
      <w:r w:rsidRPr="00185E10">
        <w:rPr>
          <w:rFonts w:cstheme="minorHAnsi"/>
          <w:b/>
        </w:rPr>
        <w:t>Two new Hub digital platforms</w:t>
      </w:r>
      <w:r w:rsidRPr="00215760">
        <w:rPr>
          <w:rFonts w:cstheme="minorHAnsi"/>
        </w:rPr>
        <w:t xml:space="preserve"> </w:t>
      </w:r>
      <w:r w:rsidR="006679DA">
        <w:rPr>
          <w:rFonts w:cstheme="minorHAnsi"/>
        </w:rPr>
        <w:t>will</w:t>
      </w:r>
      <w:r w:rsidRPr="00215760">
        <w:rPr>
          <w:rFonts w:cstheme="minorHAnsi"/>
        </w:rPr>
        <w:t xml:space="preserve"> improv</w:t>
      </w:r>
      <w:r w:rsidR="006679DA">
        <w:rPr>
          <w:rFonts w:cstheme="minorHAnsi"/>
        </w:rPr>
        <w:t>e</w:t>
      </w:r>
      <w:r w:rsidRPr="00215760">
        <w:rPr>
          <w:rFonts w:cstheme="minorHAnsi"/>
        </w:rPr>
        <w:t xml:space="preserve"> the grant experience for </w:t>
      </w:r>
      <w:r w:rsidR="006679DA">
        <w:rPr>
          <w:rFonts w:cstheme="minorHAnsi"/>
        </w:rPr>
        <w:t>CGH’s</w:t>
      </w:r>
      <w:r w:rsidRPr="00215760">
        <w:rPr>
          <w:rFonts w:cstheme="minorHAnsi"/>
        </w:rPr>
        <w:t xml:space="preserve"> client agencies and recipients</w:t>
      </w:r>
      <w:r w:rsidR="006679DA">
        <w:rPr>
          <w:rFonts w:cstheme="minorHAnsi"/>
        </w:rPr>
        <w:t xml:space="preserve"> – </w:t>
      </w:r>
      <w:r w:rsidR="006679DA" w:rsidRPr="006679DA">
        <w:rPr>
          <w:rFonts w:cstheme="minorHAnsi"/>
          <w:b/>
        </w:rPr>
        <w:t>a Grant Recipient Portal and a Hub Portal.</w:t>
      </w:r>
      <w:r w:rsidRPr="006679DA">
        <w:rPr>
          <w:rFonts w:cstheme="minorHAnsi"/>
          <w:b/>
        </w:rPr>
        <w:t xml:space="preserve"> </w:t>
      </w:r>
    </w:p>
    <w:p w14:paraId="42B03F5F" w14:textId="6EBEFBCA" w:rsidR="006679DA" w:rsidRDefault="006679DA" w:rsidP="006679DA">
      <w:pPr>
        <w:spacing w:before="200" w:after="0" w:line="276" w:lineRule="auto"/>
        <w:rPr>
          <w:rFonts w:cstheme="minorHAnsi"/>
        </w:rPr>
      </w:pPr>
      <w:r w:rsidRPr="006679DA">
        <w:rPr>
          <w:rFonts w:cstheme="minorHAnsi"/>
        </w:rPr>
        <w:t xml:space="preserve">The </w:t>
      </w:r>
      <w:r w:rsidRPr="00B21BF3">
        <w:rPr>
          <w:rFonts w:cstheme="minorHAnsi"/>
          <w:b/>
        </w:rPr>
        <w:t xml:space="preserve">Grant Recipient Portal </w:t>
      </w:r>
      <w:r w:rsidRPr="006679DA">
        <w:rPr>
          <w:rFonts w:cstheme="minorHAnsi"/>
        </w:rPr>
        <w:t xml:space="preserve">will provide a single entry point for grants management and administration, eliminating the need for grant recipients to access multiple agency websites to meet </w:t>
      </w:r>
      <w:r>
        <w:rPr>
          <w:rFonts w:cstheme="minorHAnsi"/>
        </w:rPr>
        <w:t>grant</w:t>
      </w:r>
      <w:r w:rsidRPr="006679DA">
        <w:rPr>
          <w:rFonts w:cstheme="minorHAnsi"/>
        </w:rPr>
        <w:t xml:space="preserve"> agreement conditions</w:t>
      </w:r>
      <w:r w:rsidR="00B21BF3">
        <w:rPr>
          <w:rFonts w:cstheme="minorHAnsi"/>
        </w:rPr>
        <w:t>.</w:t>
      </w:r>
      <w:r>
        <w:rPr>
          <w:rFonts w:cstheme="minorHAnsi"/>
        </w:rPr>
        <w:t xml:space="preserve"> </w:t>
      </w:r>
    </w:p>
    <w:p w14:paraId="1BB557F1" w14:textId="6A003366" w:rsidR="006E3B9D" w:rsidRPr="008A007F" w:rsidRDefault="006679DA" w:rsidP="006679DA">
      <w:pPr>
        <w:spacing w:before="200" w:after="0" w:line="276" w:lineRule="auto"/>
        <w:rPr>
          <w:rFonts w:cstheme="minorHAnsi"/>
        </w:rPr>
      </w:pPr>
      <w:r w:rsidRPr="006679DA">
        <w:rPr>
          <w:rFonts w:cstheme="minorHAnsi"/>
        </w:rPr>
        <w:t xml:space="preserve">The </w:t>
      </w:r>
      <w:r w:rsidRPr="00B21BF3">
        <w:rPr>
          <w:rFonts w:cstheme="minorHAnsi"/>
          <w:b/>
        </w:rPr>
        <w:t>Hub Portal</w:t>
      </w:r>
      <w:r w:rsidRPr="006679DA">
        <w:rPr>
          <w:rFonts w:cstheme="minorHAnsi"/>
        </w:rPr>
        <w:t xml:space="preserve"> is an online system for client agencies to self-manage their business transactions with the Hub. It includes reporting, templates, contact information, performance management and financial management processes. </w:t>
      </w:r>
    </w:p>
    <w:p w14:paraId="3427AB97" w14:textId="082A1472" w:rsidR="006679DA" w:rsidRPr="00EC6FBA" w:rsidRDefault="006679DA" w:rsidP="006679DA">
      <w:pPr>
        <w:pStyle w:val="BodyText"/>
        <w:rPr>
          <w:color w:val="auto"/>
        </w:rPr>
      </w:pPr>
      <w:r>
        <w:rPr>
          <w:color w:val="auto"/>
        </w:rPr>
        <w:t xml:space="preserve">For more information on any of the Hub’s new </w:t>
      </w:r>
      <w:r w:rsidR="00E133BA">
        <w:rPr>
          <w:color w:val="auto"/>
        </w:rPr>
        <w:t>developments,</w:t>
      </w:r>
      <w:r w:rsidR="00F87584">
        <w:rPr>
          <w:color w:val="auto"/>
        </w:rPr>
        <w:t xml:space="preserve"> email</w:t>
      </w:r>
      <w:r>
        <w:rPr>
          <w:color w:val="auto"/>
        </w:rPr>
        <w:t xml:space="preserve"> Hub Communications at </w:t>
      </w:r>
      <w:hyperlink r:id="rId20" w:history="1">
        <w:r w:rsidRPr="002C7B8F">
          <w:rPr>
            <w:rStyle w:val="Hyperlink"/>
          </w:rPr>
          <w:t>communications@communitygrants.gov.au</w:t>
        </w:r>
      </w:hyperlink>
      <w:r>
        <w:rPr>
          <w:color w:val="auto"/>
        </w:rPr>
        <w:t xml:space="preserve">. </w:t>
      </w:r>
    </w:p>
    <w:p w14:paraId="246A8C63" w14:textId="60C6FD26" w:rsidR="003008D2" w:rsidRDefault="003008D2" w:rsidP="00215760">
      <w:pPr>
        <w:spacing w:before="200" w:after="0" w:line="276" w:lineRule="auto"/>
        <w:rPr>
          <w:b/>
        </w:rPr>
      </w:pPr>
      <w:r w:rsidRPr="003008D2">
        <w:rPr>
          <w:b/>
        </w:rPr>
        <w:t xml:space="preserve">The Department of Industry, Innovation and Science, has been the government’s chief conduit to business for more than 20 years, delivering over 200 programs worth more than $20 billion to Australian businesses and customers. </w:t>
      </w:r>
    </w:p>
    <w:p w14:paraId="528306D2" w14:textId="246F561B" w:rsidR="003008D2" w:rsidRDefault="003008D2" w:rsidP="003008D2">
      <w:r>
        <w:t xml:space="preserve">Building on the department’s strong history of program delivery, the </w:t>
      </w:r>
      <w:hyperlink r:id="rId21" w:history="1">
        <w:r w:rsidRPr="00A21D24">
          <w:rPr>
            <w:rStyle w:val="Hyperlink"/>
            <w:rFonts w:cstheme="minorBidi"/>
          </w:rPr>
          <w:t>Business Grants Hub</w:t>
        </w:r>
      </w:hyperlink>
      <w:r>
        <w:t xml:space="preserve"> </w:t>
      </w:r>
      <w:r w:rsidR="00830953">
        <w:t xml:space="preserve">(BGH) </w:t>
      </w:r>
      <w:r>
        <w:t>was established on 1 Ju</w:t>
      </w:r>
      <w:r w:rsidR="00E208C7">
        <w:t>ly</w:t>
      </w:r>
      <w:r>
        <w:t xml:space="preserve"> 2016 under the Streamlining Government Grants Administration Program for </w:t>
      </w:r>
      <w:r w:rsidR="006745D1">
        <w:t>design and delivery of</w:t>
      </w:r>
      <w:r>
        <w:t xml:space="preserve"> </w:t>
      </w:r>
      <w:proofErr w:type="spellStart"/>
      <w:r>
        <w:t>of</w:t>
      </w:r>
      <w:proofErr w:type="spellEnd"/>
      <w:r>
        <w:t xml:space="preserve"> grants. </w:t>
      </w:r>
    </w:p>
    <w:p w14:paraId="20346A46" w14:textId="164608ED" w:rsidR="003008D2" w:rsidRDefault="003008D2" w:rsidP="008A007F">
      <w:pPr>
        <w:spacing w:before="200" w:after="0" w:line="276" w:lineRule="auto"/>
        <w:rPr>
          <w:rFonts w:cstheme="minorHAnsi"/>
        </w:rPr>
      </w:pPr>
      <w:r w:rsidRPr="003008D2">
        <w:rPr>
          <w:rFonts w:cstheme="minorHAnsi"/>
        </w:rPr>
        <w:t xml:space="preserve">Since </w:t>
      </w:r>
      <w:r w:rsidR="00E208C7">
        <w:rPr>
          <w:rFonts w:cstheme="minorHAnsi"/>
        </w:rPr>
        <w:t xml:space="preserve">then, </w:t>
      </w:r>
      <w:r w:rsidRPr="003008D2">
        <w:rPr>
          <w:rFonts w:cstheme="minorHAnsi"/>
        </w:rPr>
        <w:t>the B</w:t>
      </w:r>
      <w:r w:rsidR="00830953">
        <w:rPr>
          <w:rFonts w:cstheme="minorHAnsi"/>
        </w:rPr>
        <w:t>GH</w:t>
      </w:r>
      <w:r w:rsidRPr="003008D2">
        <w:rPr>
          <w:rFonts w:cstheme="minorHAnsi"/>
        </w:rPr>
        <w:t xml:space="preserve"> has launched </w:t>
      </w:r>
      <w:r w:rsidR="006745D1">
        <w:rPr>
          <w:rFonts w:cstheme="minorHAnsi"/>
        </w:rPr>
        <w:t xml:space="preserve">over </w:t>
      </w:r>
      <w:r w:rsidR="006745D1" w:rsidRPr="003008D2">
        <w:rPr>
          <w:rFonts w:cstheme="minorHAnsi"/>
        </w:rPr>
        <w:t>6</w:t>
      </w:r>
      <w:r w:rsidR="006745D1">
        <w:rPr>
          <w:rFonts w:cstheme="minorHAnsi"/>
        </w:rPr>
        <w:t>5</w:t>
      </w:r>
      <w:r w:rsidR="006745D1" w:rsidRPr="003008D2">
        <w:rPr>
          <w:rFonts w:cstheme="minorHAnsi"/>
        </w:rPr>
        <w:t xml:space="preserve"> </w:t>
      </w:r>
      <w:r w:rsidRPr="003008D2">
        <w:rPr>
          <w:rFonts w:cstheme="minorHAnsi"/>
        </w:rPr>
        <w:t xml:space="preserve">grant opportunities worth in excess of $1.5 billion, across 32 programs, for eight government entities. </w:t>
      </w:r>
    </w:p>
    <w:p w14:paraId="2C802483" w14:textId="561D4BA5" w:rsidR="00EB170F" w:rsidRDefault="003008D2" w:rsidP="003008D2">
      <w:pPr>
        <w:spacing w:before="200" w:after="0" w:line="276" w:lineRule="auto"/>
        <w:rPr>
          <w:rFonts w:cstheme="minorHAnsi"/>
        </w:rPr>
      </w:pPr>
      <w:r w:rsidRPr="003008D2">
        <w:rPr>
          <w:rFonts w:cstheme="minorHAnsi"/>
        </w:rPr>
        <w:t xml:space="preserve">Over time, </w:t>
      </w:r>
      <w:r w:rsidRPr="004C5067">
        <w:rPr>
          <w:rFonts w:cstheme="minorHAnsi"/>
        </w:rPr>
        <w:t>the B</w:t>
      </w:r>
      <w:r w:rsidR="00830953" w:rsidRPr="004C5067">
        <w:rPr>
          <w:rFonts w:cstheme="minorHAnsi"/>
        </w:rPr>
        <w:t xml:space="preserve">GH </w:t>
      </w:r>
      <w:r w:rsidRPr="004C5067">
        <w:rPr>
          <w:rFonts w:cstheme="minorHAnsi"/>
        </w:rPr>
        <w:t>has evolved to better meet the needs of our policy partners</w:t>
      </w:r>
      <w:r w:rsidRPr="003008D2">
        <w:rPr>
          <w:rFonts w:cstheme="minorHAnsi"/>
        </w:rPr>
        <w:t xml:space="preserve"> and build on lessons</w:t>
      </w:r>
      <w:r>
        <w:rPr>
          <w:rFonts w:cstheme="minorHAnsi"/>
        </w:rPr>
        <w:t xml:space="preserve"> learned,</w:t>
      </w:r>
      <w:r w:rsidRPr="003008D2">
        <w:rPr>
          <w:rFonts w:cstheme="minorHAnsi"/>
        </w:rPr>
        <w:t xml:space="preserve"> as more programs come through the Hub. </w:t>
      </w:r>
    </w:p>
    <w:p w14:paraId="7A4C199F" w14:textId="77777777" w:rsidR="00283FDE" w:rsidRDefault="00830953" w:rsidP="00F87584">
      <w:pPr>
        <w:spacing w:before="200" w:after="0" w:line="276" w:lineRule="auto"/>
        <w:rPr>
          <w:rFonts w:cstheme="minorHAnsi"/>
        </w:rPr>
      </w:pPr>
      <w:r w:rsidRPr="00830953">
        <w:rPr>
          <w:rFonts w:cstheme="minorHAnsi"/>
        </w:rPr>
        <w:t xml:space="preserve">To meet the government’s renewed focus on streamlining and simplifying the administration of grants through the Budget </w:t>
      </w:r>
      <w:r w:rsidR="004B5268">
        <w:rPr>
          <w:rFonts w:cstheme="minorHAnsi"/>
        </w:rPr>
        <w:t xml:space="preserve">Process </w:t>
      </w:r>
      <w:r w:rsidRPr="00830953">
        <w:rPr>
          <w:rFonts w:cstheme="minorHAnsi"/>
        </w:rPr>
        <w:t xml:space="preserve">Operational Rules and </w:t>
      </w:r>
      <w:r w:rsidR="004F07F0">
        <w:rPr>
          <w:rFonts w:cstheme="minorHAnsi"/>
        </w:rPr>
        <w:t xml:space="preserve">grants policy </w:t>
      </w:r>
      <w:r w:rsidRPr="00830953">
        <w:rPr>
          <w:rFonts w:cstheme="minorHAnsi"/>
        </w:rPr>
        <w:t xml:space="preserve">guidance from the Department of Finance, </w:t>
      </w:r>
      <w:r>
        <w:rPr>
          <w:rFonts w:cstheme="minorHAnsi"/>
        </w:rPr>
        <w:t xml:space="preserve">the BGH </w:t>
      </w:r>
      <w:r w:rsidRPr="008A007F">
        <w:rPr>
          <w:rFonts w:cstheme="minorHAnsi"/>
        </w:rPr>
        <w:t>ha</w:t>
      </w:r>
      <w:r w:rsidR="00E208C7">
        <w:rPr>
          <w:rFonts w:cstheme="minorHAnsi"/>
        </w:rPr>
        <w:t>s</w:t>
      </w:r>
      <w:r w:rsidRPr="008A007F">
        <w:rPr>
          <w:rFonts w:cstheme="minorHAnsi"/>
        </w:rPr>
        <w:t xml:space="preserve"> </w:t>
      </w:r>
      <w:r>
        <w:rPr>
          <w:rFonts w:cstheme="minorHAnsi"/>
        </w:rPr>
        <w:t xml:space="preserve">also </w:t>
      </w:r>
      <w:r w:rsidRPr="008A007F">
        <w:rPr>
          <w:rFonts w:cstheme="minorHAnsi"/>
        </w:rPr>
        <w:t xml:space="preserve">updated </w:t>
      </w:r>
      <w:r>
        <w:rPr>
          <w:rFonts w:cstheme="minorHAnsi"/>
        </w:rPr>
        <w:t xml:space="preserve">their </w:t>
      </w:r>
      <w:r w:rsidRPr="008A007F">
        <w:rPr>
          <w:rFonts w:cstheme="minorHAnsi"/>
        </w:rPr>
        <w:t>service offering to better simplify and streamline the administration of grants</w:t>
      </w:r>
      <w:r>
        <w:rPr>
          <w:rFonts w:cstheme="minorHAnsi"/>
        </w:rPr>
        <w:t>.</w:t>
      </w:r>
      <w:r w:rsidR="00F87584">
        <w:rPr>
          <w:rFonts w:cstheme="minorHAnsi"/>
        </w:rPr>
        <w:t xml:space="preserve"> </w:t>
      </w:r>
    </w:p>
    <w:p w14:paraId="1D495694" w14:textId="75633744" w:rsidR="00F87584" w:rsidRPr="004C5067" w:rsidRDefault="00495D44" w:rsidP="00F87584">
      <w:pPr>
        <w:spacing w:before="200" w:after="0" w:line="276" w:lineRule="auto"/>
        <w:rPr>
          <w:rFonts w:cstheme="minorHAnsi"/>
          <w:b/>
        </w:rPr>
      </w:pPr>
      <w:r w:rsidRPr="004C5067">
        <w:rPr>
          <w:rFonts w:cstheme="minorHAnsi"/>
          <w:b/>
        </w:rPr>
        <w:t>The new service offering was launched in January 2018.</w:t>
      </w:r>
    </w:p>
    <w:p w14:paraId="470B40A7" w14:textId="77777777" w:rsidR="00283FDE" w:rsidRDefault="006745D1" w:rsidP="00F87584">
      <w:pPr>
        <w:spacing w:before="200" w:after="0" w:line="276" w:lineRule="auto"/>
      </w:pPr>
      <w:r>
        <w:t xml:space="preserve">To achieve an improved experience for grant applicants and recipients, lower the delivery costs and provide greater visibility of programs to government, the BGH provide a standard service offering. </w:t>
      </w:r>
    </w:p>
    <w:p w14:paraId="6F73F329" w14:textId="38469143" w:rsidR="00283FDE" w:rsidRDefault="006745D1" w:rsidP="00F87584">
      <w:pPr>
        <w:spacing w:before="200" w:after="0" w:line="276" w:lineRule="auto"/>
      </w:pPr>
      <w:r>
        <w:t>T</w:t>
      </w:r>
      <w:r w:rsidRPr="006745D1">
        <w:t>o allow som</w:t>
      </w:r>
      <w:r w:rsidR="00283FDE">
        <w:t xml:space="preserve">e configurability, services are </w:t>
      </w:r>
      <w:r w:rsidRPr="006745D1">
        <w:t xml:space="preserve">outlined across three levels of complexity: simple, moderate and complex. </w:t>
      </w:r>
    </w:p>
    <w:p w14:paraId="6988F69A" w14:textId="15BC2F6C" w:rsidR="006745D1" w:rsidRDefault="006745D1" w:rsidP="00F87584">
      <w:pPr>
        <w:spacing w:before="200" w:after="0" w:line="276" w:lineRule="auto"/>
        <w:rPr>
          <w:rFonts w:cstheme="minorHAnsi"/>
        </w:rPr>
      </w:pPr>
      <w:r w:rsidRPr="006745D1">
        <w:t>Some services may be restricted depending on the complexity of the program.</w:t>
      </w:r>
    </w:p>
    <w:p w14:paraId="70CD241B" w14:textId="3CEBE1D7" w:rsidR="00F87584" w:rsidRPr="00283FDE" w:rsidRDefault="00F87584" w:rsidP="00F87584">
      <w:pPr>
        <w:spacing w:before="200" w:after="0" w:line="276" w:lineRule="auto"/>
        <w:rPr>
          <w:rFonts w:cs="Times New Roman"/>
          <w:b/>
          <w:color w:val="000000" w:themeColor="text1"/>
          <w:szCs w:val="20"/>
        </w:rPr>
      </w:pPr>
      <w:r w:rsidRPr="00283FDE">
        <w:rPr>
          <w:rFonts w:cstheme="minorHAnsi"/>
          <w:b/>
        </w:rPr>
        <w:t>For more information on the B</w:t>
      </w:r>
      <w:r w:rsidR="00E208C7" w:rsidRPr="00283FDE">
        <w:rPr>
          <w:rFonts w:cstheme="minorHAnsi"/>
          <w:b/>
        </w:rPr>
        <w:t>GH a</w:t>
      </w:r>
      <w:r w:rsidRPr="00283FDE">
        <w:rPr>
          <w:rFonts w:cstheme="minorHAnsi"/>
          <w:b/>
        </w:rPr>
        <w:t>nd their services</w:t>
      </w:r>
      <w:r w:rsidR="00E133BA" w:rsidRPr="00283FDE">
        <w:rPr>
          <w:rFonts w:cstheme="minorHAnsi"/>
          <w:b/>
        </w:rPr>
        <w:t>,</w:t>
      </w:r>
      <w:r w:rsidRPr="00283FDE">
        <w:rPr>
          <w:rFonts w:cstheme="minorHAnsi"/>
          <w:b/>
        </w:rPr>
        <w:t xml:space="preserve"> email</w:t>
      </w:r>
      <w:r w:rsidR="00E208C7" w:rsidRPr="00283FDE">
        <w:rPr>
          <w:rFonts w:cstheme="minorHAnsi"/>
          <w:b/>
        </w:rPr>
        <w:t>:</w:t>
      </w:r>
      <w:r w:rsidRPr="00283FDE">
        <w:rPr>
          <w:rFonts w:cstheme="minorHAnsi"/>
          <w:b/>
        </w:rPr>
        <w:t xml:space="preserve"> </w:t>
      </w:r>
      <w:hyperlink r:id="rId22" w:history="1">
        <w:r w:rsidR="006745D1" w:rsidRPr="00283FDE">
          <w:rPr>
            <w:rStyle w:val="Hyperlink"/>
            <w:b/>
          </w:rPr>
          <w:t>engage@industry.gov.au</w:t>
        </w:r>
      </w:hyperlink>
      <w:r w:rsidRPr="00283FDE">
        <w:rPr>
          <w:rFonts w:cstheme="minorHAnsi"/>
          <w:b/>
        </w:rPr>
        <w:t>.</w:t>
      </w:r>
      <w:r w:rsidRPr="00283FDE">
        <w:rPr>
          <w:rFonts w:cs="Times New Roman"/>
          <w:b/>
          <w:color w:val="000000" w:themeColor="text1"/>
          <w:szCs w:val="20"/>
        </w:rPr>
        <w:t xml:space="preserve"> </w:t>
      </w:r>
    </w:p>
    <w:p w14:paraId="061BD7EF" w14:textId="77777777" w:rsidR="007F61A6" w:rsidRDefault="007F61A6" w:rsidP="001B38AB">
      <w:pPr>
        <w:spacing w:before="0" w:after="0" w:line="276" w:lineRule="auto"/>
        <w:rPr>
          <w:b/>
          <w:sz w:val="36"/>
          <w:szCs w:val="36"/>
          <w:shd w:val="clear" w:color="auto" w:fill="BDDCDF" w:themeFill="accent1"/>
        </w:rPr>
      </w:pPr>
    </w:p>
    <w:p w14:paraId="117917F1" w14:textId="75379242" w:rsidR="001B38AB" w:rsidRPr="00315C89" w:rsidRDefault="001B38AB" w:rsidP="001B38AB">
      <w:pPr>
        <w:spacing w:before="0" w:after="0" w:line="276" w:lineRule="auto"/>
        <w:rPr>
          <w:b/>
          <w:sz w:val="36"/>
          <w:szCs w:val="36"/>
          <w:shd w:val="clear" w:color="auto" w:fill="BDDCDF" w:themeFill="accent1"/>
        </w:rPr>
      </w:pPr>
      <w:r>
        <w:rPr>
          <w:b/>
          <w:sz w:val="36"/>
          <w:szCs w:val="36"/>
          <w:shd w:val="clear" w:color="auto" w:fill="BDDCDF" w:themeFill="accent1"/>
        </w:rPr>
        <w:lastRenderedPageBreak/>
        <w:t>Whole of Government Grants Tools Update</w:t>
      </w:r>
    </w:p>
    <w:p w14:paraId="6D984101" w14:textId="1DFE1364" w:rsidR="001B38AB" w:rsidRPr="001B38AB" w:rsidRDefault="001B38AB" w:rsidP="001B38AB">
      <w:pPr>
        <w:spacing w:after="0"/>
        <w:rPr>
          <w:rFonts w:cstheme="minorHAnsi"/>
          <w:b/>
          <w:color w:val="333333"/>
          <w:lang w:val="en"/>
        </w:rPr>
      </w:pPr>
      <w:r>
        <w:rPr>
          <w:rFonts w:cstheme="minorHAnsi"/>
          <w:b/>
          <w:color w:val="333333"/>
          <w:lang w:val="en"/>
        </w:rPr>
        <w:t xml:space="preserve">The Department of </w:t>
      </w:r>
      <w:r w:rsidRPr="001B38AB">
        <w:rPr>
          <w:rFonts w:cstheme="minorHAnsi"/>
          <w:b/>
          <w:color w:val="333333"/>
          <w:lang w:val="en"/>
        </w:rPr>
        <w:t xml:space="preserve">Finance </w:t>
      </w:r>
      <w:r>
        <w:rPr>
          <w:rFonts w:cstheme="minorHAnsi"/>
          <w:b/>
          <w:color w:val="333333"/>
          <w:lang w:val="en"/>
        </w:rPr>
        <w:t xml:space="preserve">(Finance) </w:t>
      </w:r>
      <w:r w:rsidRPr="001B38AB">
        <w:rPr>
          <w:rFonts w:cstheme="minorHAnsi"/>
          <w:b/>
          <w:color w:val="333333"/>
          <w:lang w:val="en"/>
        </w:rPr>
        <w:t xml:space="preserve">has </w:t>
      </w:r>
      <w:r w:rsidR="00E040A1">
        <w:rPr>
          <w:rFonts w:cstheme="minorHAnsi"/>
          <w:b/>
          <w:color w:val="333333"/>
          <w:lang w:val="en"/>
        </w:rPr>
        <w:t xml:space="preserve">developed </w:t>
      </w:r>
      <w:r w:rsidRPr="001B38AB">
        <w:rPr>
          <w:rFonts w:cstheme="minorHAnsi"/>
          <w:b/>
          <w:color w:val="333333"/>
          <w:lang w:val="en"/>
        </w:rPr>
        <w:t xml:space="preserve">a suite of whole-of-government </w:t>
      </w:r>
      <w:proofErr w:type="spellStart"/>
      <w:r w:rsidRPr="001B38AB">
        <w:rPr>
          <w:rFonts w:cstheme="minorHAnsi"/>
          <w:b/>
          <w:color w:val="333333"/>
          <w:lang w:val="en"/>
        </w:rPr>
        <w:t>standardised</w:t>
      </w:r>
      <w:proofErr w:type="spellEnd"/>
      <w:r w:rsidRPr="001B38AB">
        <w:rPr>
          <w:rFonts w:cstheme="minorHAnsi"/>
          <w:b/>
          <w:color w:val="333333"/>
          <w:lang w:val="en"/>
        </w:rPr>
        <w:t xml:space="preserve"> </w:t>
      </w:r>
      <w:r w:rsidR="00B452C8">
        <w:rPr>
          <w:rFonts w:cstheme="minorHAnsi"/>
          <w:b/>
          <w:color w:val="333333"/>
          <w:lang w:val="en"/>
        </w:rPr>
        <w:t>grant</w:t>
      </w:r>
      <w:r w:rsidRPr="001B38AB">
        <w:rPr>
          <w:rFonts w:cstheme="minorHAnsi"/>
          <w:b/>
          <w:color w:val="333333"/>
          <w:lang w:val="en"/>
        </w:rPr>
        <w:t xml:space="preserve"> templates in consultation with entities, in particular f</w:t>
      </w:r>
      <w:r w:rsidR="00B452C8">
        <w:rPr>
          <w:rFonts w:cstheme="minorHAnsi"/>
          <w:b/>
          <w:color w:val="333333"/>
          <w:lang w:val="en"/>
        </w:rPr>
        <w:t>o</w:t>
      </w:r>
      <w:r w:rsidRPr="001B38AB">
        <w:rPr>
          <w:rFonts w:cstheme="minorHAnsi"/>
          <w:b/>
          <w:color w:val="333333"/>
          <w:lang w:val="en"/>
        </w:rPr>
        <w:t>r gran</w:t>
      </w:r>
      <w:r w:rsidR="00E040A1">
        <w:rPr>
          <w:rFonts w:cstheme="minorHAnsi"/>
          <w:b/>
          <w:color w:val="333333"/>
          <w:lang w:val="en"/>
        </w:rPr>
        <w:t>t opportunity</w:t>
      </w:r>
      <w:r w:rsidRPr="001B38AB">
        <w:rPr>
          <w:rFonts w:cstheme="minorHAnsi"/>
          <w:b/>
          <w:color w:val="333333"/>
          <w:lang w:val="en"/>
        </w:rPr>
        <w:t xml:space="preserve"> guidelines and grant agreements. </w:t>
      </w:r>
    </w:p>
    <w:p w14:paraId="540D1AE8" w14:textId="085FEEB7" w:rsidR="001B38AB" w:rsidRPr="001B38AB" w:rsidRDefault="001B38AB" w:rsidP="001B38AB">
      <w:pPr>
        <w:spacing w:after="0"/>
        <w:rPr>
          <w:rFonts w:cstheme="minorHAnsi"/>
          <w:color w:val="333333"/>
          <w:lang w:val="en"/>
        </w:rPr>
      </w:pPr>
      <w:r>
        <w:rPr>
          <w:rFonts w:cstheme="minorHAnsi"/>
          <w:color w:val="333333"/>
          <w:lang w:val="en"/>
        </w:rPr>
        <w:t>Commonwealth e</w:t>
      </w:r>
      <w:r w:rsidRPr="001B38AB">
        <w:rPr>
          <w:rFonts w:cstheme="minorHAnsi"/>
          <w:color w:val="333333"/>
          <w:lang w:val="en"/>
        </w:rPr>
        <w:t xml:space="preserve">ntities tested </w:t>
      </w:r>
      <w:r w:rsidRPr="00E040A1">
        <w:rPr>
          <w:rFonts w:cstheme="minorHAnsi"/>
          <w:color w:val="333333"/>
          <w:lang w:val="en"/>
        </w:rPr>
        <w:t>the grant guidelines templates with stakeholders for six months in 2017, and provided their</w:t>
      </w:r>
      <w:r w:rsidRPr="001B38AB">
        <w:rPr>
          <w:rFonts w:cstheme="minorHAnsi"/>
          <w:color w:val="333333"/>
          <w:lang w:val="en"/>
        </w:rPr>
        <w:t xml:space="preserve"> feedback to Finance. Following the success of the pilot, entities have endorsed the guidelines templates</w:t>
      </w:r>
      <w:r>
        <w:rPr>
          <w:rFonts w:cstheme="minorHAnsi"/>
          <w:color w:val="333333"/>
          <w:lang w:val="en"/>
        </w:rPr>
        <w:t>.  In the coming months, Fi</w:t>
      </w:r>
      <w:r w:rsidRPr="001B38AB">
        <w:rPr>
          <w:rFonts w:cstheme="minorHAnsi"/>
          <w:color w:val="333333"/>
          <w:lang w:val="en"/>
        </w:rPr>
        <w:t>nance will take the endorsed guidelines templates suite to Government for consideration</w:t>
      </w:r>
      <w:r w:rsidR="00B53A8F">
        <w:rPr>
          <w:rFonts w:cstheme="minorHAnsi"/>
          <w:color w:val="333333"/>
          <w:lang w:val="en"/>
        </w:rPr>
        <w:t>.</w:t>
      </w:r>
      <w:r w:rsidRPr="001B38AB">
        <w:rPr>
          <w:rFonts w:cstheme="minorHAnsi"/>
          <w:color w:val="333333"/>
          <w:lang w:val="en"/>
        </w:rPr>
        <w:t xml:space="preserve"> </w:t>
      </w:r>
    </w:p>
    <w:p w14:paraId="15CE0841" w14:textId="0D919D83" w:rsidR="001B38AB" w:rsidRPr="001B38AB" w:rsidRDefault="001B38AB" w:rsidP="001B38AB">
      <w:pPr>
        <w:spacing w:after="0"/>
        <w:rPr>
          <w:rFonts w:cstheme="minorHAnsi"/>
          <w:color w:val="333333"/>
          <w:lang w:val="en"/>
        </w:rPr>
      </w:pPr>
      <w:r w:rsidRPr="001B38AB">
        <w:rPr>
          <w:rFonts w:cstheme="minorHAnsi"/>
          <w:color w:val="333333"/>
          <w:lang w:val="en"/>
        </w:rPr>
        <w:t xml:space="preserve">Entities are currently testing a suite of Grant Agreement </w:t>
      </w:r>
      <w:r w:rsidR="008318E4" w:rsidRPr="001B38AB">
        <w:rPr>
          <w:rFonts w:cstheme="minorHAnsi"/>
          <w:color w:val="333333"/>
          <w:lang w:val="en"/>
        </w:rPr>
        <w:t>templates, which</w:t>
      </w:r>
      <w:r w:rsidRPr="001B38AB">
        <w:rPr>
          <w:rFonts w:cstheme="minorHAnsi"/>
          <w:color w:val="333333"/>
          <w:lang w:val="en"/>
        </w:rPr>
        <w:t xml:space="preserve"> consist </w:t>
      </w:r>
      <w:r w:rsidR="008318E4" w:rsidRPr="001B38AB">
        <w:rPr>
          <w:rFonts w:cstheme="minorHAnsi"/>
          <w:color w:val="333333"/>
          <w:lang w:val="en"/>
        </w:rPr>
        <w:t>of</w:t>
      </w:r>
      <w:r w:rsidRPr="001B38AB">
        <w:rPr>
          <w:rFonts w:cstheme="minorHAnsi"/>
          <w:color w:val="333333"/>
          <w:lang w:val="en"/>
        </w:rPr>
        <w:t xml:space="preserve"> a letter of agreement; simple grant agreement (previously the low-risk grant agreement template); standard grant agreement with clause bank; and a letter and deed of variations templates.</w:t>
      </w:r>
    </w:p>
    <w:p w14:paraId="7395793F" w14:textId="537F4C10" w:rsidR="001B38AB" w:rsidRPr="001B38AB" w:rsidRDefault="001B38AB" w:rsidP="004D573B">
      <w:pPr>
        <w:spacing w:after="0"/>
        <w:rPr>
          <w:rFonts w:ascii="Helvetica" w:hAnsi="Helvetica" w:cs="Helvetica"/>
          <w:color w:val="333333"/>
          <w:lang w:val="en"/>
        </w:rPr>
      </w:pPr>
      <w:r w:rsidRPr="001B38AB">
        <w:rPr>
          <w:rFonts w:cstheme="minorHAnsi"/>
          <w:color w:val="333333"/>
          <w:lang w:val="en"/>
        </w:rPr>
        <w:t xml:space="preserve">Finance has been holding focus group meetings with entities to discuss how the templates are working and whether any significant issues have arisen. </w:t>
      </w:r>
      <w:r w:rsidR="004D573B">
        <w:rPr>
          <w:rFonts w:cstheme="minorHAnsi"/>
          <w:color w:val="333333"/>
          <w:lang w:val="en"/>
        </w:rPr>
        <w:t>E</w:t>
      </w:r>
      <w:r w:rsidRPr="001B38AB">
        <w:rPr>
          <w:rFonts w:cstheme="minorHAnsi"/>
          <w:color w:val="333333"/>
          <w:lang w:val="en"/>
        </w:rPr>
        <w:t xml:space="preserve">ntities have received </w:t>
      </w:r>
      <w:r w:rsidR="004D573B">
        <w:rPr>
          <w:rFonts w:cstheme="minorHAnsi"/>
          <w:color w:val="333333"/>
          <w:lang w:val="en"/>
        </w:rPr>
        <w:t xml:space="preserve">some </w:t>
      </w:r>
      <w:proofErr w:type="spellStart"/>
      <w:r w:rsidRPr="001B38AB">
        <w:rPr>
          <w:rFonts w:cstheme="minorHAnsi"/>
          <w:color w:val="333333"/>
          <w:lang w:val="en"/>
        </w:rPr>
        <w:t>favourable</w:t>
      </w:r>
      <w:proofErr w:type="spellEnd"/>
      <w:r w:rsidRPr="001B38AB">
        <w:rPr>
          <w:rFonts w:cstheme="minorHAnsi"/>
          <w:color w:val="333333"/>
          <w:lang w:val="en"/>
        </w:rPr>
        <w:t xml:space="preserve"> feedback on both the grant guidelines and grant agreement templates from their non-government stakeholders. </w:t>
      </w:r>
    </w:p>
    <w:p w14:paraId="48594F3C" w14:textId="187C5050" w:rsidR="001B38AB" w:rsidRDefault="001B38AB" w:rsidP="001B38AB">
      <w:pPr>
        <w:spacing w:before="200" w:after="0" w:line="276" w:lineRule="auto"/>
        <w:rPr>
          <w:rFonts w:cstheme="minorHAnsi"/>
        </w:rPr>
      </w:pPr>
      <w:r w:rsidRPr="001B38AB">
        <w:rPr>
          <w:rFonts w:cstheme="minorHAnsi"/>
        </w:rPr>
        <w:t>The templates</w:t>
      </w:r>
      <w:r w:rsidR="004D573B">
        <w:rPr>
          <w:rFonts w:cstheme="minorHAnsi"/>
        </w:rPr>
        <w:t xml:space="preserve"> </w:t>
      </w:r>
      <w:r w:rsidRPr="001B38AB">
        <w:rPr>
          <w:rFonts w:cstheme="minorHAnsi"/>
        </w:rPr>
        <w:t xml:space="preserve">seek to improve and streamline grant </w:t>
      </w:r>
      <w:r w:rsidR="004D573B">
        <w:rPr>
          <w:rFonts w:cstheme="minorHAnsi"/>
        </w:rPr>
        <w:t>guideline</w:t>
      </w:r>
      <w:r w:rsidR="00754FE7">
        <w:rPr>
          <w:rFonts w:cstheme="minorHAnsi"/>
        </w:rPr>
        <w:t>s and</w:t>
      </w:r>
      <w:r w:rsidR="004D573B">
        <w:rPr>
          <w:rFonts w:cstheme="minorHAnsi"/>
        </w:rPr>
        <w:t xml:space="preserve"> grant </w:t>
      </w:r>
      <w:r w:rsidRPr="001B38AB">
        <w:rPr>
          <w:rFonts w:cstheme="minorHAnsi"/>
        </w:rPr>
        <w:t xml:space="preserve">agreements </w:t>
      </w:r>
      <w:r w:rsidR="00754FE7">
        <w:rPr>
          <w:rFonts w:cstheme="minorHAnsi"/>
        </w:rPr>
        <w:t xml:space="preserve">across </w:t>
      </w:r>
      <w:r w:rsidRPr="001B38AB">
        <w:rPr>
          <w:rFonts w:cstheme="minorHAnsi"/>
        </w:rPr>
        <w:t xml:space="preserve">Commonwealth entities </w:t>
      </w:r>
      <w:r w:rsidR="00754FE7">
        <w:rPr>
          <w:rFonts w:cstheme="minorHAnsi"/>
        </w:rPr>
        <w:t>for</w:t>
      </w:r>
      <w:r w:rsidRPr="001B38AB">
        <w:rPr>
          <w:rFonts w:cstheme="minorHAnsi"/>
        </w:rPr>
        <w:t xml:space="preserve"> grant recipients, </w:t>
      </w:r>
      <w:r w:rsidR="00B53A8F">
        <w:rPr>
          <w:rFonts w:cstheme="minorHAnsi"/>
        </w:rPr>
        <w:t xml:space="preserve">and </w:t>
      </w:r>
      <w:r w:rsidRPr="001B38AB">
        <w:rPr>
          <w:rFonts w:cstheme="minorHAnsi"/>
        </w:rPr>
        <w:t xml:space="preserve">make it easier and more efficient for grant recipients to engage with the Commonwealth. </w:t>
      </w:r>
    </w:p>
    <w:p w14:paraId="254199A0" w14:textId="2FDC6AB7" w:rsidR="001B38AB" w:rsidRDefault="001B38AB" w:rsidP="00300559">
      <w:pPr>
        <w:spacing w:before="0" w:after="0"/>
        <w:rPr>
          <w:rStyle w:val="Hyperlink"/>
          <w:rFonts w:ascii="Helvetica" w:hAnsi="Helvetica" w:cs="Helvetica"/>
          <w:b/>
          <w:sz w:val="20"/>
          <w:szCs w:val="20"/>
          <w:lang w:val="en"/>
        </w:rPr>
      </w:pPr>
      <w:r w:rsidRPr="00300559">
        <w:rPr>
          <w:rFonts w:ascii="Helvetica" w:hAnsi="Helvetica" w:cs="Helvetica"/>
          <w:b/>
          <w:color w:val="333333"/>
          <w:sz w:val="20"/>
          <w:szCs w:val="20"/>
          <w:lang w:val="en"/>
        </w:rPr>
        <w:t xml:space="preserve">For more information about the templates, contact the Grants Policy team at the Department of Finance: </w:t>
      </w:r>
      <w:hyperlink r:id="rId23" w:history="1">
        <w:r w:rsidRPr="00300559">
          <w:rPr>
            <w:rStyle w:val="Hyperlink"/>
            <w:rFonts w:ascii="Helvetica" w:hAnsi="Helvetica" w:cs="Helvetica"/>
            <w:b/>
            <w:sz w:val="20"/>
            <w:szCs w:val="20"/>
            <w:lang w:val="en"/>
          </w:rPr>
          <w:t>grants@finance.gov.au</w:t>
        </w:r>
      </w:hyperlink>
    </w:p>
    <w:p w14:paraId="35F6CC71" w14:textId="77777777" w:rsidR="00300559" w:rsidRPr="00300559" w:rsidRDefault="00300559" w:rsidP="00300559">
      <w:pPr>
        <w:spacing w:before="0" w:after="0"/>
        <w:rPr>
          <w:rStyle w:val="Hyperlink"/>
          <w:rFonts w:ascii="Helvetica" w:hAnsi="Helvetica" w:cs="Helvetica"/>
          <w:b/>
          <w:sz w:val="20"/>
          <w:szCs w:val="20"/>
          <w:lang w:val="en"/>
        </w:rPr>
      </w:pPr>
    </w:p>
    <w:p w14:paraId="6EAD0246" w14:textId="77777777" w:rsidR="00965030" w:rsidRDefault="00300559" w:rsidP="00300559">
      <w:pPr>
        <w:pStyle w:val="BodyText1"/>
        <w:pBdr>
          <w:top w:val="single" w:sz="4" w:space="4" w:color="43848B" w:themeColor="accent1" w:themeShade="80"/>
          <w:left w:val="single" w:sz="4" w:space="4" w:color="43848B" w:themeColor="accent1" w:themeShade="80"/>
          <w:bottom w:val="single" w:sz="4" w:space="4" w:color="43848B" w:themeColor="accent1" w:themeShade="80"/>
          <w:right w:val="single" w:sz="4" w:space="4" w:color="43848B" w:themeColor="accent1" w:themeShade="80"/>
        </w:pBdr>
        <w:shd w:val="clear" w:color="auto" w:fill="D3E7E7" w:themeFill="accent2" w:themeFillTint="66"/>
        <w:rPr>
          <w:b/>
          <w:sz w:val="24"/>
        </w:rPr>
      </w:pPr>
      <w:r>
        <w:rPr>
          <w:b/>
          <w:sz w:val="24"/>
        </w:rPr>
        <w:t xml:space="preserve">Reminder!   It’s </w:t>
      </w:r>
      <w:r w:rsidRPr="00FB70AF">
        <w:rPr>
          <w:b/>
          <w:sz w:val="24"/>
        </w:rPr>
        <w:t xml:space="preserve">almost time </w:t>
      </w:r>
      <w:r>
        <w:rPr>
          <w:b/>
          <w:sz w:val="24"/>
        </w:rPr>
        <w:t xml:space="preserve">for government entities </w:t>
      </w:r>
      <w:r w:rsidRPr="00FB70AF">
        <w:rPr>
          <w:b/>
          <w:sz w:val="24"/>
        </w:rPr>
        <w:t xml:space="preserve">to lodge </w:t>
      </w:r>
      <w:r>
        <w:rPr>
          <w:b/>
          <w:sz w:val="24"/>
        </w:rPr>
        <w:t xml:space="preserve">their </w:t>
      </w:r>
      <w:r w:rsidR="007F61A6">
        <w:rPr>
          <w:b/>
          <w:sz w:val="24"/>
        </w:rPr>
        <w:t xml:space="preserve">first </w:t>
      </w:r>
      <w:r w:rsidRPr="00FB70AF">
        <w:rPr>
          <w:b/>
          <w:sz w:val="24"/>
        </w:rPr>
        <w:t>Taxable payments annual reports</w:t>
      </w:r>
      <w:r w:rsidRPr="00FB70AF">
        <w:rPr>
          <w:sz w:val="24"/>
        </w:rPr>
        <w:t xml:space="preserve"> </w:t>
      </w:r>
      <w:r w:rsidRPr="00300559">
        <w:rPr>
          <w:b/>
          <w:sz w:val="24"/>
        </w:rPr>
        <w:t>for the 2017-18 financial year</w:t>
      </w:r>
      <w:r w:rsidR="00B452C8">
        <w:rPr>
          <w:b/>
          <w:sz w:val="24"/>
        </w:rPr>
        <w:t>.</w:t>
      </w:r>
    </w:p>
    <w:p w14:paraId="21026AFC" w14:textId="0DC23662" w:rsidR="00300559" w:rsidRPr="00FB70AF" w:rsidRDefault="00300559" w:rsidP="00300559">
      <w:pPr>
        <w:pStyle w:val="BodyText1"/>
        <w:pBdr>
          <w:top w:val="single" w:sz="4" w:space="4" w:color="43848B" w:themeColor="accent1" w:themeShade="80"/>
          <w:left w:val="single" w:sz="4" w:space="4" w:color="43848B" w:themeColor="accent1" w:themeShade="80"/>
          <w:bottom w:val="single" w:sz="4" w:space="4" w:color="43848B" w:themeColor="accent1" w:themeShade="80"/>
          <w:right w:val="single" w:sz="4" w:space="4" w:color="43848B" w:themeColor="accent1" w:themeShade="80"/>
        </w:pBdr>
        <w:shd w:val="clear" w:color="auto" w:fill="D3E7E7" w:themeFill="accent2" w:themeFillTint="66"/>
        <w:rPr>
          <w:sz w:val="24"/>
        </w:rPr>
      </w:pPr>
      <w:r w:rsidRPr="00FB70AF">
        <w:rPr>
          <w:sz w:val="24"/>
        </w:rPr>
        <w:t xml:space="preserve"> The Taxable payments annual report is due by</w:t>
      </w:r>
      <w:r>
        <w:rPr>
          <w:sz w:val="24"/>
        </w:rPr>
        <w:t xml:space="preserve"> </w:t>
      </w:r>
      <w:r w:rsidRPr="00FB70AF">
        <w:rPr>
          <w:sz w:val="24"/>
        </w:rPr>
        <w:t>28 August 2018</w:t>
      </w:r>
      <w:r w:rsidR="00CF07A0">
        <w:rPr>
          <w:sz w:val="24"/>
        </w:rPr>
        <w:t xml:space="preserve">. </w:t>
      </w:r>
      <w:r w:rsidR="005D00AB">
        <w:rPr>
          <w:sz w:val="24"/>
        </w:rPr>
        <w:t xml:space="preserve">Visit the ATO </w:t>
      </w:r>
      <w:r w:rsidRPr="00FB70AF">
        <w:rPr>
          <w:sz w:val="24"/>
        </w:rPr>
        <w:t>website</w:t>
      </w:r>
      <w:r w:rsidR="005D00AB">
        <w:rPr>
          <w:sz w:val="24"/>
        </w:rPr>
        <w:t xml:space="preserve"> for more information</w:t>
      </w:r>
      <w:r w:rsidRPr="00FB70AF">
        <w:rPr>
          <w:sz w:val="24"/>
        </w:rPr>
        <w:t xml:space="preserve">: </w:t>
      </w:r>
      <w:hyperlink r:id="rId24" w:history="1">
        <w:r w:rsidR="00F25980" w:rsidRPr="0049673C">
          <w:rPr>
            <w:rStyle w:val="Hyperlink"/>
            <w:rFonts w:asciiTheme="majorHAnsi" w:hAnsiTheme="majorHAnsi" w:cstheme="majorBidi"/>
            <w:b/>
            <w:szCs w:val="22"/>
          </w:rPr>
          <w:t>www.ato.gov.au/tpargov</w:t>
        </w:r>
      </w:hyperlink>
      <w:r w:rsidRPr="00FB70AF">
        <w:rPr>
          <w:sz w:val="24"/>
        </w:rPr>
        <w:t xml:space="preserve"> </w:t>
      </w:r>
    </w:p>
    <w:p w14:paraId="69082AB7" w14:textId="206041B8" w:rsidR="006A13CA" w:rsidRPr="00444CF3" w:rsidRDefault="00741520" w:rsidP="00F87584">
      <w:pPr>
        <w:spacing w:before="200" w:after="0" w:line="276" w:lineRule="auto"/>
        <w:rPr>
          <w:b/>
          <w:sz w:val="32"/>
          <w:szCs w:val="32"/>
        </w:rPr>
      </w:pPr>
      <w:r>
        <w:rPr>
          <w:b/>
          <w:color w:val="59A7A7" w:themeColor="accent2" w:themeShade="BF"/>
          <w:sz w:val="32"/>
          <w:szCs w:val="32"/>
        </w:rPr>
        <w:t xml:space="preserve">The ACNC </w:t>
      </w:r>
      <w:r w:rsidR="006A13CA" w:rsidRPr="00444CF3">
        <w:rPr>
          <w:b/>
          <w:color w:val="59A7A7" w:themeColor="accent2" w:themeShade="BF"/>
          <w:sz w:val="32"/>
          <w:szCs w:val="32"/>
        </w:rPr>
        <w:t>- Grant-making charities provide billions in grants and donations</w:t>
      </w:r>
    </w:p>
    <w:p w14:paraId="479B03A1" w14:textId="77777777" w:rsidR="009C6C16" w:rsidRDefault="006A13CA" w:rsidP="008A007F">
      <w:pPr>
        <w:spacing w:before="200" w:after="0" w:line="276" w:lineRule="auto"/>
        <w:rPr>
          <w:rFonts w:cstheme="minorHAnsi"/>
        </w:rPr>
      </w:pPr>
      <w:r w:rsidRPr="008A007F">
        <w:rPr>
          <w:rFonts w:cstheme="minorHAnsi"/>
        </w:rPr>
        <w:t xml:space="preserve">Grant-making charities provide more than </w:t>
      </w:r>
      <w:r w:rsidR="00A0557B" w:rsidRPr="008A007F">
        <w:rPr>
          <w:rFonts w:cstheme="minorHAnsi"/>
        </w:rPr>
        <w:t xml:space="preserve">         </w:t>
      </w:r>
      <w:r w:rsidRPr="008A007F">
        <w:rPr>
          <w:rFonts w:cstheme="minorHAnsi"/>
        </w:rPr>
        <w:t>$4 billion annually in grants and donations, and hold more than $56 billion in assets, according to new research by the Australian Charities and Not-for-profits Commission (ACNC).</w:t>
      </w:r>
      <w:r w:rsidR="00FB70AF" w:rsidRPr="008A007F">
        <w:rPr>
          <w:rFonts w:cstheme="minorHAnsi"/>
        </w:rPr>
        <w:t xml:space="preserve"> </w:t>
      </w:r>
    </w:p>
    <w:p w14:paraId="484CFAAB" w14:textId="74F3CA0B" w:rsidR="006A13CA" w:rsidRPr="008A007F" w:rsidRDefault="006A13CA" w:rsidP="008A007F">
      <w:pPr>
        <w:spacing w:before="200" w:after="0" w:line="276" w:lineRule="auto"/>
        <w:rPr>
          <w:rFonts w:cstheme="minorHAnsi"/>
        </w:rPr>
      </w:pPr>
      <w:r w:rsidRPr="009C6C16">
        <w:rPr>
          <w:rFonts w:cstheme="minorHAnsi"/>
          <w:i/>
        </w:rPr>
        <w:t>Australia’s Grant-making Charities in 2016</w:t>
      </w:r>
      <w:r w:rsidRPr="008A007F">
        <w:rPr>
          <w:rFonts w:cstheme="minorHAnsi"/>
        </w:rPr>
        <w:t xml:space="preserve">, a sub-report of the Australian Charities Report, examined the activities of over 10,000 grant-making charities in 2016. </w:t>
      </w:r>
    </w:p>
    <w:p w14:paraId="4C393FF9" w14:textId="77777777" w:rsidR="006A13CA" w:rsidRPr="008A007F" w:rsidRDefault="006A13CA" w:rsidP="008A007F">
      <w:pPr>
        <w:spacing w:before="200" w:after="0" w:line="276" w:lineRule="auto"/>
        <w:rPr>
          <w:rFonts w:cstheme="minorHAnsi"/>
        </w:rPr>
      </w:pPr>
      <w:r w:rsidRPr="008A007F">
        <w:rPr>
          <w:rFonts w:cstheme="minorHAnsi"/>
        </w:rPr>
        <w:t xml:space="preserve">The research found these charities had a combined total revenue of $16.5 billion in 2016 and employed more than 100,000 people. However, more than 80 per cent of grant-making charities operated with no paid staff, and were supported by over 300,000 volunteers. </w:t>
      </w:r>
    </w:p>
    <w:p w14:paraId="5BF2BF92" w14:textId="77777777" w:rsidR="007B7EB0" w:rsidRDefault="006A13CA" w:rsidP="008A007F">
      <w:pPr>
        <w:spacing w:before="200" w:after="0" w:line="276" w:lineRule="auto"/>
        <w:rPr>
          <w:rFonts w:cstheme="minorHAnsi"/>
        </w:rPr>
      </w:pPr>
      <w:r w:rsidRPr="008A007F">
        <w:rPr>
          <w:rFonts w:cstheme="minorHAnsi"/>
        </w:rPr>
        <w:t>The research also found that more than 37 per cent of funding was distributed to organisations through public or open processes, and 14 per cent of grants were issued to rural and regional recipients.</w:t>
      </w:r>
      <w:r w:rsidR="00AD3B91">
        <w:rPr>
          <w:rFonts w:cstheme="minorHAnsi"/>
        </w:rPr>
        <w:t xml:space="preserve"> </w:t>
      </w:r>
    </w:p>
    <w:p w14:paraId="0A6DA085" w14:textId="36EA7762" w:rsidR="006A13CA" w:rsidRPr="008A007F" w:rsidRDefault="0033259F" w:rsidP="008A007F">
      <w:pPr>
        <w:spacing w:before="200" w:after="0" w:line="276" w:lineRule="auto"/>
        <w:rPr>
          <w:rFonts w:cstheme="minorHAnsi"/>
        </w:rPr>
      </w:pPr>
      <w:r w:rsidRPr="008A007F">
        <w:rPr>
          <w:rFonts w:cstheme="minorHAnsi"/>
        </w:rPr>
        <w:t xml:space="preserve">The sub-report </w:t>
      </w:r>
      <w:r w:rsidR="006A13CA" w:rsidRPr="008A007F">
        <w:rPr>
          <w:rFonts w:cstheme="minorHAnsi"/>
        </w:rPr>
        <w:t xml:space="preserve">was produced by the ACNC in partnership with the Centre for Social Impact and the Social Policy Research Centre at the University of New South Wales. </w:t>
      </w:r>
    </w:p>
    <w:p w14:paraId="2C730C26" w14:textId="10C50284" w:rsidR="007B7EB0" w:rsidRPr="004F07F0" w:rsidRDefault="005F1602" w:rsidP="005F1602">
      <w:pPr>
        <w:rPr>
          <w:rFonts w:cstheme="minorHAnsi"/>
          <w:b/>
        </w:rPr>
      </w:pPr>
      <w:r w:rsidRPr="004F07F0">
        <w:rPr>
          <w:rFonts w:cstheme="minorHAnsi"/>
          <w:b/>
        </w:rPr>
        <w:t>The Australia’s Grant-making Charities in 2016 sub-report, and the full report, are available to download on the Australian Charities Report microsite</w:t>
      </w:r>
      <w:r w:rsidR="009C6C16" w:rsidRPr="004F07F0">
        <w:rPr>
          <w:rFonts w:cstheme="minorHAnsi"/>
          <w:b/>
        </w:rPr>
        <w:t>:</w:t>
      </w:r>
      <w:r w:rsidRPr="004F07F0">
        <w:rPr>
          <w:rFonts w:cstheme="minorHAnsi"/>
          <w:b/>
        </w:rPr>
        <w:t xml:space="preserve"> </w:t>
      </w:r>
      <w:hyperlink r:id="rId25" w:history="1">
        <w:r w:rsidR="00B677AD" w:rsidRPr="00B677AD">
          <w:rPr>
            <w:rStyle w:val="Hyperlink"/>
            <w:rFonts w:cstheme="minorHAnsi"/>
            <w:b/>
          </w:rPr>
          <w:t>australiancharities.acnc.gov.au.</w:t>
        </w:r>
      </w:hyperlink>
      <w:r w:rsidRPr="004F07F0">
        <w:rPr>
          <w:rFonts w:cstheme="minorHAnsi"/>
          <w:b/>
        </w:rPr>
        <w:t>.</w:t>
      </w:r>
    </w:p>
    <w:p w14:paraId="59E72854" w14:textId="40FA3380" w:rsidR="009C6C16" w:rsidRPr="009C6C16" w:rsidRDefault="009C6C16" w:rsidP="005F1602">
      <w:pPr>
        <w:rPr>
          <w:rFonts w:cstheme="minorHAnsi"/>
        </w:rPr>
      </w:pPr>
      <w:r>
        <w:rPr>
          <w:noProof/>
          <w:lang w:eastAsia="en-AU"/>
        </w:rPr>
        <w:drawing>
          <wp:inline distT="0" distB="0" distL="0" distR="0" wp14:anchorId="59969183" wp14:editId="00592A88">
            <wp:extent cx="2997513" cy="60456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2042" t="12610" r="65531" b="75762"/>
                    <a:stretch/>
                  </pic:blipFill>
                  <pic:spPr bwMode="auto">
                    <a:xfrm>
                      <a:off x="0" y="0"/>
                      <a:ext cx="3007943" cy="606666"/>
                    </a:xfrm>
                    <a:prstGeom prst="rect">
                      <a:avLst/>
                    </a:prstGeom>
                    <a:ln>
                      <a:noFill/>
                    </a:ln>
                    <a:extLst>
                      <a:ext uri="{53640926-AAD7-44D8-BBD7-CCE9431645EC}">
                        <a14:shadowObscured xmlns:a14="http://schemas.microsoft.com/office/drawing/2010/main"/>
                      </a:ext>
                    </a:extLst>
                  </pic:spPr>
                </pic:pic>
              </a:graphicData>
            </a:graphic>
          </wp:inline>
        </w:drawing>
      </w:r>
    </w:p>
    <w:p w14:paraId="78140062" w14:textId="325FA3BE" w:rsidR="007B7EB0" w:rsidRDefault="007B7EB0" w:rsidP="007B7EB0">
      <w:pPr>
        <w:spacing w:before="0" w:after="0" w:line="276" w:lineRule="auto"/>
        <w:rPr>
          <w:b/>
          <w:sz w:val="16"/>
          <w:szCs w:val="16"/>
          <w:shd w:val="clear" w:color="auto" w:fill="BDDCDF" w:themeFill="accent1"/>
        </w:rPr>
      </w:pPr>
    </w:p>
    <w:p w14:paraId="6162FA52" w14:textId="2D29FE2C" w:rsidR="007B7EB0" w:rsidRDefault="007B7EB0" w:rsidP="007B7EB0">
      <w:pPr>
        <w:spacing w:before="0" w:after="0" w:line="276" w:lineRule="auto"/>
        <w:rPr>
          <w:b/>
          <w:sz w:val="16"/>
          <w:szCs w:val="16"/>
          <w:shd w:val="clear" w:color="auto" w:fill="BDDCDF" w:themeFill="accent1"/>
        </w:rPr>
      </w:pPr>
    </w:p>
    <w:p w14:paraId="52DF1B5D" w14:textId="01597CE0" w:rsidR="00E20BFE" w:rsidRPr="007B7EB0" w:rsidRDefault="00FB70AF" w:rsidP="007B7EB0">
      <w:pPr>
        <w:pStyle w:val="Heading3"/>
        <w:pBdr>
          <w:top w:val="single" w:sz="4" w:space="4" w:color="43848B" w:themeColor="accent1" w:themeShade="80"/>
          <w:left w:val="single" w:sz="4" w:space="4" w:color="43848B" w:themeColor="accent1" w:themeShade="80"/>
          <w:bottom w:val="single" w:sz="4" w:space="5" w:color="43848B" w:themeColor="accent1" w:themeShade="80"/>
          <w:right w:val="single" w:sz="4" w:space="4" w:color="43848B" w:themeColor="accent1" w:themeShade="80"/>
        </w:pBdr>
        <w:shd w:val="clear" w:color="auto" w:fill="D3E7E7" w:themeFill="accent2" w:themeFillTint="66"/>
        <w:spacing w:before="0" w:after="0"/>
        <w:rPr>
          <w:color w:val="59A7A7" w:themeColor="accent2" w:themeShade="BF"/>
          <w:sz w:val="20"/>
          <w:szCs w:val="20"/>
        </w:rPr>
      </w:pPr>
      <w:r w:rsidRPr="007B7EB0">
        <w:rPr>
          <w:color w:val="59A7A7" w:themeColor="accent2" w:themeShade="BF"/>
          <w:sz w:val="20"/>
          <w:szCs w:val="20"/>
        </w:rPr>
        <w:t xml:space="preserve">Subscribe to </w:t>
      </w:r>
      <w:r w:rsidR="00E20BFE" w:rsidRPr="007B7EB0">
        <w:rPr>
          <w:color w:val="59A7A7" w:themeColor="accent2" w:themeShade="BF"/>
          <w:sz w:val="20"/>
          <w:szCs w:val="20"/>
        </w:rPr>
        <w:t xml:space="preserve">Grants News: </w:t>
      </w:r>
      <w:hyperlink r:id="rId27" w:history="1">
        <w:r w:rsidR="00E20BFE" w:rsidRPr="007B7EB0">
          <w:rPr>
            <w:rStyle w:val="Hyperlink"/>
            <w:rFonts w:asciiTheme="majorHAnsi" w:hAnsiTheme="majorHAnsi" w:cstheme="majorBidi"/>
            <w:sz w:val="20"/>
            <w:szCs w:val="20"/>
          </w:rPr>
          <w:t>http://www.finance.gov.au/financial-framework/financial-management-policy-guidance/grants/news.htm</w:t>
        </w:r>
      </w:hyperlink>
    </w:p>
    <w:p w14:paraId="789B443F" w14:textId="661905DE" w:rsidR="00FB70AF" w:rsidRPr="007B7EB0" w:rsidRDefault="00FB70AF" w:rsidP="007B7EB0">
      <w:pPr>
        <w:pStyle w:val="Heading3"/>
        <w:pBdr>
          <w:top w:val="single" w:sz="4" w:space="4" w:color="43848B" w:themeColor="accent1" w:themeShade="80"/>
          <w:left w:val="single" w:sz="4" w:space="4" w:color="43848B" w:themeColor="accent1" w:themeShade="80"/>
          <w:bottom w:val="single" w:sz="4" w:space="5" w:color="43848B" w:themeColor="accent1" w:themeShade="80"/>
          <w:right w:val="single" w:sz="4" w:space="4" w:color="43848B" w:themeColor="accent1" w:themeShade="80"/>
        </w:pBdr>
        <w:shd w:val="clear" w:color="auto" w:fill="D3E7E7" w:themeFill="accent2" w:themeFillTint="66"/>
        <w:spacing w:before="0" w:after="0"/>
        <w:rPr>
          <w:rFonts w:cstheme="majorHAnsi"/>
          <w:color w:val="auto"/>
          <w:sz w:val="20"/>
          <w:szCs w:val="20"/>
        </w:rPr>
      </w:pPr>
      <w:r w:rsidRPr="007B7EB0">
        <w:rPr>
          <w:color w:val="59A7A7" w:themeColor="accent2" w:themeShade="BF"/>
          <w:sz w:val="20"/>
          <w:szCs w:val="20"/>
        </w:rPr>
        <w:t xml:space="preserve">Submit an article: </w:t>
      </w:r>
      <w:hyperlink r:id="rId28" w:history="1">
        <w:r w:rsidRPr="007B7EB0">
          <w:rPr>
            <w:color w:val="59A7A7" w:themeColor="accent2" w:themeShade="BF"/>
            <w:sz w:val="20"/>
            <w:szCs w:val="20"/>
          </w:rPr>
          <w:t>grants@finance.gov.au</w:t>
        </w:r>
      </w:hyperlink>
    </w:p>
    <w:sectPr w:rsidR="00FB70AF" w:rsidRPr="007B7EB0" w:rsidSect="001E3916">
      <w:type w:val="continuous"/>
      <w:pgSz w:w="11906" w:h="16838" w:code="9"/>
      <w:pgMar w:top="1418" w:right="720" w:bottom="720" w:left="720" w:header="567" w:footer="624"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A8FF7" w14:textId="77777777" w:rsidR="004C1A1B" w:rsidRDefault="004C1A1B" w:rsidP="00403543">
      <w:r>
        <w:separator/>
      </w:r>
    </w:p>
  </w:endnote>
  <w:endnote w:type="continuationSeparator" w:id="0">
    <w:p w14:paraId="565422A3" w14:textId="77777777" w:rsidR="004C1A1B" w:rsidRDefault="004C1A1B" w:rsidP="0040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616B7" w14:textId="5540F378" w:rsidR="00857EDF" w:rsidRDefault="00857EDF">
    <w:pPr>
      <w:pStyle w:val="Footer"/>
      <w:pBdr>
        <w:top w:val="single" w:sz="4" w:space="1" w:color="D9D9D9" w:themeColor="background1" w:themeShade="D9"/>
      </w:pBdr>
      <w:jc w:val="right"/>
    </w:pPr>
  </w:p>
  <w:p w14:paraId="54E21257" w14:textId="77777777" w:rsidR="00857EDF" w:rsidRDefault="00857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40024"/>
      <w:docPartObj>
        <w:docPartGallery w:val="Page Numbers (Bottom of Page)"/>
        <w:docPartUnique/>
      </w:docPartObj>
    </w:sdtPr>
    <w:sdtEndPr>
      <w:rPr>
        <w:color w:val="7F7F7F" w:themeColor="background1" w:themeShade="7F"/>
        <w:spacing w:val="60"/>
      </w:rPr>
    </w:sdtEndPr>
    <w:sdtContent>
      <w:p w14:paraId="14BFB044" w14:textId="26664D31" w:rsidR="00857EDF" w:rsidRDefault="00857EDF">
        <w:pPr>
          <w:pStyle w:val="Footer"/>
          <w:pBdr>
            <w:top w:val="single" w:sz="4" w:space="1" w:color="D9D9D9" w:themeColor="background1" w:themeShade="D9"/>
          </w:pBdr>
          <w:jc w:val="right"/>
        </w:pPr>
        <w:r>
          <w:t xml:space="preserve">Grant News </w:t>
        </w:r>
      </w:p>
    </w:sdtContent>
  </w:sdt>
  <w:p w14:paraId="18D9EE1B" w14:textId="77777777" w:rsidR="00857EDF" w:rsidRDefault="00857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0502E" w14:textId="77777777" w:rsidR="004C1A1B" w:rsidRDefault="004C1A1B" w:rsidP="00403543">
      <w:pPr>
        <w:pStyle w:val="FootnoteSeparator"/>
      </w:pPr>
    </w:p>
  </w:footnote>
  <w:footnote w:type="continuationSeparator" w:id="0">
    <w:p w14:paraId="0E0E5B01" w14:textId="77777777" w:rsidR="004C1A1B" w:rsidRDefault="004C1A1B" w:rsidP="00403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796F2" w14:textId="003914CF" w:rsidR="001E3916" w:rsidRPr="00C337B1" w:rsidRDefault="001E3916" w:rsidP="001E3916">
    <w:pPr>
      <w:pStyle w:val="Header"/>
      <w:jc w:val="left"/>
      <w:rPr>
        <w:sz w:val="20"/>
        <w:szCs w:val="20"/>
      </w:rPr>
    </w:pPr>
    <w:r>
      <w:rPr>
        <w:b/>
        <w:caps/>
        <w:noProof/>
        <w:sz w:val="24"/>
        <w:lang w:eastAsia="en-AU"/>
      </w:rPr>
      <w:drawing>
        <wp:anchor distT="0" distB="0" distL="114300" distR="114300" simplePos="0" relativeHeight="251657728" behindDoc="1" locked="0" layoutInCell="1" allowOverlap="1" wp14:anchorId="70AEFFCB" wp14:editId="04980343">
          <wp:simplePos x="0" y="0"/>
          <wp:positionH relativeFrom="page">
            <wp:posOffset>1856</wp:posOffset>
          </wp:positionH>
          <wp:positionV relativeFrom="paragraph">
            <wp:posOffset>-375920</wp:posOffset>
          </wp:positionV>
          <wp:extent cx="7541537" cy="1081119"/>
          <wp:effectExtent l="0" t="0" r="2540" b="5080"/>
          <wp:wrapNone/>
          <wp:docPr id="109" name="Picture 109" descr="C:\Users\seabel\AppData\Local\Microsoft\Windows\INetCache\Content.Word\CI templates_newsletter blue 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abel\AppData\Local\Microsoft\Windows\INetCache\Content.Word\CI templates_newsletter blue P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537" cy="1081119"/>
                  </a:xfrm>
                  <a:prstGeom prst="rect">
                    <a:avLst/>
                  </a:prstGeom>
                  <a:noFill/>
                  <a:ln>
                    <a:noFill/>
                  </a:ln>
                </pic:spPr>
              </pic:pic>
            </a:graphicData>
          </a:graphic>
          <wp14:sizeRelH relativeFrom="page">
            <wp14:pctWidth>0</wp14:pctWidth>
          </wp14:sizeRelH>
          <wp14:sizeRelV relativeFrom="page">
            <wp14:pctHeight>0</wp14:pctHeight>
          </wp14:sizeRelV>
        </wp:anchor>
      </w:drawing>
    </w:r>
    <w:r w:rsidR="00857EDF">
      <w:rPr>
        <w:sz w:val="20"/>
        <w:szCs w:val="20"/>
      </w:rPr>
      <w:t xml:space="preserve">Grant News, </w:t>
    </w:r>
    <w:r w:rsidR="00215760">
      <w:rPr>
        <w:sz w:val="20"/>
        <w:szCs w:val="20"/>
      </w:rPr>
      <w:t>July</w:t>
    </w:r>
    <w:r w:rsidR="00B82383">
      <w:rPr>
        <w:sz w:val="20"/>
        <w:szCs w:val="20"/>
      </w:rPr>
      <w:t xml:space="preserve"> </w:t>
    </w:r>
    <w:r w:rsidR="00A15E68">
      <w:rPr>
        <w:sz w:val="20"/>
        <w:szCs w:val="20"/>
      </w:rPr>
      <w:t>2018</w:t>
    </w:r>
  </w:p>
  <w:p w14:paraId="35666F52" w14:textId="77777777" w:rsidR="00DB6D69" w:rsidRDefault="00DB6D69" w:rsidP="00403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4D62F" w14:textId="77777777" w:rsidR="000C2A48" w:rsidRDefault="00857EDF" w:rsidP="00403543">
    <w:pPr>
      <w:pStyle w:val="Header"/>
    </w:pPr>
    <w:r>
      <w:rPr>
        <w:noProof/>
        <w:lang w:eastAsia="en-AU"/>
      </w:rPr>
      <mc:AlternateContent>
        <mc:Choice Requires="wps">
          <w:drawing>
            <wp:anchor distT="0" distB="0" distL="114300" distR="114300" simplePos="0" relativeHeight="251656704" behindDoc="0" locked="0" layoutInCell="1" allowOverlap="1" wp14:anchorId="56C1E633" wp14:editId="67A90998">
              <wp:simplePos x="0" y="0"/>
              <wp:positionH relativeFrom="page">
                <wp:align>left</wp:align>
              </wp:positionH>
              <wp:positionV relativeFrom="paragraph">
                <wp:posOffset>1666876</wp:posOffset>
              </wp:positionV>
              <wp:extent cx="3730028" cy="7635240"/>
              <wp:effectExtent l="0" t="0" r="3810" b="3810"/>
              <wp:wrapNone/>
              <wp:docPr id="4" name="Rectangle 4"/>
              <wp:cNvGraphicFramePr/>
              <a:graphic xmlns:a="http://schemas.openxmlformats.org/drawingml/2006/main">
                <a:graphicData uri="http://schemas.microsoft.com/office/word/2010/wordprocessingShape">
                  <wps:wsp>
                    <wps:cNvSpPr/>
                    <wps:spPr>
                      <a:xfrm>
                        <a:off x="0" y="0"/>
                        <a:ext cx="3730028" cy="7635240"/>
                      </a:xfrm>
                      <a:prstGeom prst="rect">
                        <a:avLst/>
                      </a:prstGeom>
                      <a:solidFill>
                        <a:schemeClr val="tx2">
                          <a:lumMod val="10000"/>
                          <a:lumOff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7356E" id="Rectangle 4" o:spid="_x0000_s1026" style="position:absolute;margin-left:0;margin-top:131.25pt;width:293.7pt;height:601.2pt;z-index:2516567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" fillcolor="#e8e8e8 [351]" stroked="f" strokeweight="2pt">
              <w10:wrap anchorx="page"/>
            </v:rect>
          </w:pict>
        </mc:Fallback>
      </mc:AlternateContent>
    </w:r>
    <w:r w:rsidR="00EB6419">
      <w:rPr>
        <w:noProof/>
      </w:rPr>
      <w:pict w14:anchorId="5AE1E8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6pt;margin-top:-30.5pt;width:598.2pt;height:161.6pt;z-index:-251657728;mso-position-horizontal-relative:text;mso-position-vertical-relative:text;mso-width-relative:page;mso-height-relative:page">
          <v:imagedata r:id="rId1" o:title="CI templates_newsletter blue P1"/>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548B7"/>
    <w:multiLevelType w:val="hybridMultilevel"/>
    <w:tmpl w:val="941EA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BC24DD0"/>
    <w:multiLevelType w:val="hybridMultilevel"/>
    <w:tmpl w:val="F7ECD0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E7A715A"/>
    <w:multiLevelType w:val="hybridMultilevel"/>
    <w:tmpl w:val="99DC18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0500E4"/>
    <w:multiLevelType w:val="hybridMultilevel"/>
    <w:tmpl w:val="9FEA44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8AA3863"/>
    <w:multiLevelType w:val="hybridMultilevel"/>
    <w:tmpl w:val="D8F25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33822E6F"/>
    <w:multiLevelType w:val="multilevel"/>
    <w:tmpl w:val="21E6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AD6AF7"/>
    <w:multiLevelType w:val="hybridMultilevel"/>
    <w:tmpl w:val="83EEA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0E615E"/>
    <w:multiLevelType w:val="hybridMultilevel"/>
    <w:tmpl w:val="53ECFEC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AB204E6"/>
    <w:multiLevelType w:val="hybridMultilevel"/>
    <w:tmpl w:val="1C2E821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2E3A2C"/>
    <w:multiLevelType w:val="hybridMultilevel"/>
    <w:tmpl w:val="440865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2753D62"/>
    <w:multiLevelType w:val="hybridMultilevel"/>
    <w:tmpl w:val="25B027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AFA105A"/>
    <w:multiLevelType w:val="hybridMultilevel"/>
    <w:tmpl w:val="FC62E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CC02D34"/>
    <w:multiLevelType w:val="hybridMultilevel"/>
    <w:tmpl w:val="C9A40F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07979BB"/>
    <w:multiLevelType w:val="hybridMultilevel"/>
    <w:tmpl w:val="BB66C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F56C64"/>
    <w:multiLevelType w:val="hybridMultilevel"/>
    <w:tmpl w:val="95C65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6436473F"/>
    <w:multiLevelType w:val="hybridMultilevel"/>
    <w:tmpl w:val="9CD4E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1"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63A65E5"/>
    <w:multiLevelType w:val="hybridMultilevel"/>
    <w:tmpl w:val="A7423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6"/>
  </w:num>
  <w:num w:numId="4">
    <w:abstractNumId w:val="17"/>
  </w:num>
  <w:num w:numId="5">
    <w:abstractNumId w:val="18"/>
  </w:num>
  <w:num w:numId="6">
    <w:abstractNumId w:val="21"/>
  </w:num>
  <w:num w:numId="7">
    <w:abstractNumId w:val="6"/>
  </w:num>
  <w:num w:numId="8">
    <w:abstractNumId w:val="1"/>
  </w:num>
  <w:num w:numId="9">
    <w:abstractNumId w:val="4"/>
  </w:num>
  <w:num w:numId="10">
    <w:abstractNumId w:val="3"/>
  </w:num>
  <w:num w:numId="11">
    <w:abstractNumId w:val="20"/>
  </w:num>
  <w:num w:numId="12">
    <w:abstractNumId w:val="19"/>
  </w:num>
  <w:num w:numId="13">
    <w:abstractNumId w:val="22"/>
  </w:num>
  <w:num w:numId="14">
    <w:abstractNumId w:val="9"/>
  </w:num>
  <w:num w:numId="15">
    <w:abstractNumId w:val="15"/>
  </w:num>
  <w:num w:numId="16">
    <w:abstractNumId w:val="2"/>
  </w:num>
  <w:num w:numId="17">
    <w:abstractNumId w:val="11"/>
  </w:num>
  <w:num w:numId="18">
    <w:abstractNumId w:val="12"/>
  </w:num>
  <w:num w:numId="19">
    <w:abstractNumId w:val="7"/>
  </w:num>
  <w:num w:numId="20">
    <w:abstractNumId w:val="5"/>
  </w:num>
  <w:num w:numId="21">
    <w:abstractNumId w:val="16"/>
  </w:num>
  <w:num w:numId="22">
    <w:abstractNumId w:val="10"/>
  </w:num>
  <w:num w:numId="23">
    <w:abstractNumId w:val="13"/>
  </w:num>
  <w:num w:numId="24">
    <w:abstractNumId w:val="0"/>
  </w:num>
  <w:num w:numId="25">
    <w:abstractNumId w:val="8"/>
  </w:num>
  <w:num w:numId="26">
    <w:abstractNumId w:val="12"/>
  </w:num>
  <w:num w:numId="2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42F"/>
    <w:rsid w:val="00012901"/>
    <w:rsid w:val="00013BF4"/>
    <w:rsid w:val="00016F1C"/>
    <w:rsid w:val="00021B85"/>
    <w:rsid w:val="00025511"/>
    <w:rsid w:val="0002782F"/>
    <w:rsid w:val="00034CB4"/>
    <w:rsid w:val="00035691"/>
    <w:rsid w:val="000510F4"/>
    <w:rsid w:val="00052474"/>
    <w:rsid w:val="000527F7"/>
    <w:rsid w:val="00054E4D"/>
    <w:rsid w:val="00060073"/>
    <w:rsid w:val="00071FBA"/>
    <w:rsid w:val="000879AD"/>
    <w:rsid w:val="000A0718"/>
    <w:rsid w:val="000A4B30"/>
    <w:rsid w:val="000A6A8B"/>
    <w:rsid w:val="000B6D47"/>
    <w:rsid w:val="000C2A48"/>
    <w:rsid w:val="000D60B1"/>
    <w:rsid w:val="000E3C17"/>
    <w:rsid w:val="000F6B9D"/>
    <w:rsid w:val="0010160C"/>
    <w:rsid w:val="00105B1A"/>
    <w:rsid w:val="0010669A"/>
    <w:rsid w:val="001111FC"/>
    <w:rsid w:val="001144A9"/>
    <w:rsid w:val="00121A52"/>
    <w:rsid w:val="001541EA"/>
    <w:rsid w:val="00157CB6"/>
    <w:rsid w:val="001612A4"/>
    <w:rsid w:val="00174602"/>
    <w:rsid w:val="00174A61"/>
    <w:rsid w:val="00174FC9"/>
    <w:rsid w:val="0017710C"/>
    <w:rsid w:val="00185E10"/>
    <w:rsid w:val="00186B32"/>
    <w:rsid w:val="001B003E"/>
    <w:rsid w:val="001B38AB"/>
    <w:rsid w:val="001C2E58"/>
    <w:rsid w:val="001C3D0D"/>
    <w:rsid w:val="001E1DC0"/>
    <w:rsid w:val="001E3771"/>
    <w:rsid w:val="001E3916"/>
    <w:rsid w:val="001F3D07"/>
    <w:rsid w:val="001F6EE5"/>
    <w:rsid w:val="0020122A"/>
    <w:rsid w:val="0020226E"/>
    <w:rsid w:val="0020294B"/>
    <w:rsid w:val="00207808"/>
    <w:rsid w:val="00215760"/>
    <w:rsid w:val="00220C31"/>
    <w:rsid w:val="0022134D"/>
    <w:rsid w:val="00221DB3"/>
    <w:rsid w:val="00227D2C"/>
    <w:rsid w:val="002374C4"/>
    <w:rsid w:val="002401BF"/>
    <w:rsid w:val="0024092C"/>
    <w:rsid w:val="00242B7E"/>
    <w:rsid w:val="00244415"/>
    <w:rsid w:val="00270E6F"/>
    <w:rsid w:val="00275F2A"/>
    <w:rsid w:val="00283FDE"/>
    <w:rsid w:val="0028602A"/>
    <w:rsid w:val="002934DC"/>
    <w:rsid w:val="00297571"/>
    <w:rsid w:val="002A0BC2"/>
    <w:rsid w:val="002A6E82"/>
    <w:rsid w:val="002B34B4"/>
    <w:rsid w:val="002B453A"/>
    <w:rsid w:val="002B455D"/>
    <w:rsid w:val="002B4CD5"/>
    <w:rsid w:val="002C4AAA"/>
    <w:rsid w:val="002D5BA6"/>
    <w:rsid w:val="002E143A"/>
    <w:rsid w:val="002E6EB1"/>
    <w:rsid w:val="002F24DC"/>
    <w:rsid w:val="002F5A6F"/>
    <w:rsid w:val="00300061"/>
    <w:rsid w:val="00300559"/>
    <w:rsid w:val="003008D2"/>
    <w:rsid w:val="00301144"/>
    <w:rsid w:val="003069D0"/>
    <w:rsid w:val="00310D18"/>
    <w:rsid w:val="00311502"/>
    <w:rsid w:val="003148B7"/>
    <w:rsid w:val="003158C3"/>
    <w:rsid w:val="00315C89"/>
    <w:rsid w:val="00320D03"/>
    <w:rsid w:val="003227C9"/>
    <w:rsid w:val="003274CD"/>
    <w:rsid w:val="0033259F"/>
    <w:rsid w:val="00334D36"/>
    <w:rsid w:val="00335368"/>
    <w:rsid w:val="0035119D"/>
    <w:rsid w:val="00361BDD"/>
    <w:rsid w:val="0036476A"/>
    <w:rsid w:val="00365ED5"/>
    <w:rsid w:val="00370C2F"/>
    <w:rsid w:val="00393CC6"/>
    <w:rsid w:val="003A00E9"/>
    <w:rsid w:val="003A1007"/>
    <w:rsid w:val="003A1A8F"/>
    <w:rsid w:val="003A476E"/>
    <w:rsid w:val="003B0390"/>
    <w:rsid w:val="003B4F12"/>
    <w:rsid w:val="003C0611"/>
    <w:rsid w:val="003C5454"/>
    <w:rsid w:val="003E2545"/>
    <w:rsid w:val="003E3BE1"/>
    <w:rsid w:val="003E4A20"/>
    <w:rsid w:val="003F6037"/>
    <w:rsid w:val="00401CF0"/>
    <w:rsid w:val="00403543"/>
    <w:rsid w:val="00405F64"/>
    <w:rsid w:val="00410755"/>
    <w:rsid w:val="00411C0E"/>
    <w:rsid w:val="00421283"/>
    <w:rsid w:val="00423F31"/>
    <w:rsid w:val="00431899"/>
    <w:rsid w:val="00434944"/>
    <w:rsid w:val="004418A0"/>
    <w:rsid w:val="00444CF3"/>
    <w:rsid w:val="00446EE0"/>
    <w:rsid w:val="0045031E"/>
    <w:rsid w:val="00452DE0"/>
    <w:rsid w:val="004571E2"/>
    <w:rsid w:val="004652BA"/>
    <w:rsid w:val="004718F7"/>
    <w:rsid w:val="004802B1"/>
    <w:rsid w:val="00480A78"/>
    <w:rsid w:val="004824BB"/>
    <w:rsid w:val="0048524B"/>
    <w:rsid w:val="00485D20"/>
    <w:rsid w:val="00486804"/>
    <w:rsid w:val="004878AC"/>
    <w:rsid w:val="00491DFA"/>
    <w:rsid w:val="00495D44"/>
    <w:rsid w:val="00495D87"/>
    <w:rsid w:val="004B3775"/>
    <w:rsid w:val="004B5268"/>
    <w:rsid w:val="004C1A1B"/>
    <w:rsid w:val="004C5067"/>
    <w:rsid w:val="004C599B"/>
    <w:rsid w:val="004C7E04"/>
    <w:rsid w:val="004D2999"/>
    <w:rsid w:val="004D573B"/>
    <w:rsid w:val="004D5F12"/>
    <w:rsid w:val="004E058F"/>
    <w:rsid w:val="004E3B87"/>
    <w:rsid w:val="004E7BE5"/>
    <w:rsid w:val="004F07F0"/>
    <w:rsid w:val="004F505B"/>
    <w:rsid w:val="004F51CE"/>
    <w:rsid w:val="004F65E6"/>
    <w:rsid w:val="0050381B"/>
    <w:rsid w:val="00506848"/>
    <w:rsid w:val="00510921"/>
    <w:rsid w:val="00510AD3"/>
    <w:rsid w:val="00513348"/>
    <w:rsid w:val="00513C3D"/>
    <w:rsid w:val="0052062A"/>
    <w:rsid w:val="00531531"/>
    <w:rsid w:val="00533B5D"/>
    <w:rsid w:val="00533B70"/>
    <w:rsid w:val="00540E9E"/>
    <w:rsid w:val="00541C37"/>
    <w:rsid w:val="00542ACE"/>
    <w:rsid w:val="00543ECA"/>
    <w:rsid w:val="005502BB"/>
    <w:rsid w:val="005506BA"/>
    <w:rsid w:val="00551817"/>
    <w:rsid w:val="005553EB"/>
    <w:rsid w:val="0056685F"/>
    <w:rsid w:val="00567082"/>
    <w:rsid w:val="005676F1"/>
    <w:rsid w:val="005732E5"/>
    <w:rsid w:val="00582D99"/>
    <w:rsid w:val="00584BFB"/>
    <w:rsid w:val="005963F1"/>
    <w:rsid w:val="005970EA"/>
    <w:rsid w:val="00597860"/>
    <w:rsid w:val="005A6C78"/>
    <w:rsid w:val="005B4CEF"/>
    <w:rsid w:val="005C0FA4"/>
    <w:rsid w:val="005C37F0"/>
    <w:rsid w:val="005D00AB"/>
    <w:rsid w:val="005D13E4"/>
    <w:rsid w:val="005E1594"/>
    <w:rsid w:val="005E178A"/>
    <w:rsid w:val="005E45E3"/>
    <w:rsid w:val="005E51A2"/>
    <w:rsid w:val="005F1602"/>
    <w:rsid w:val="005F7C3E"/>
    <w:rsid w:val="00601752"/>
    <w:rsid w:val="00601F5E"/>
    <w:rsid w:val="006049BF"/>
    <w:rsid w:val="00615FD8"/>
    <w:rsid w:val="00623BA1"/>
    <w:rsid w:val="00625169"/>
    <w:rsid w:val="006264F6"/>
    <w:rsid w:val="006346BC"/>
    <w:rsid w:val="00646A07"/>
    <w:rsid w:val="006519D6"/>
    <w:rsid w:val="006664FD"/>
    <w:rsid w:val="0066652A"/>
    <w:rsid w:val="006679DA"/>
    <w:rsid w:val="006745D1"/>
    <w:rsid w:val="00676247"/>
    <w:rsid w:val="00682167"/>
    <w:rsid w:val="006857CC"/>
    <w:rsid w:val="006926B5"/>
    <w:rsid w:val="00694766"/>
    <w:rsid w:val="006A13CA"/>
    <w:rsid w:val="006B3B29"/>
    <w:rsid w:val="006B591C"/>
    <w:rsid w:val="006C2E15"/>
    <w:rsid w:val="006C3A37"/>
    <w:rsid w:val="006C42AF"/>
    <w:rsid w:val="006C4DD1"/>
    <w:rsid w:val="006D77EC"/>
    <w:rsid w:val="006E0265"/>
    <w:rsid w:val="006E0E5B"/>
    <w:rsid w:val="006E3B9D"/>
    <w:rsid w:val="00700CB1"/>
    <w:rsid w:val="00701696"/>
    <w:rsid w:val="00701AA8"/>
    <w:rsid w:val="00711C1C"/>
    <w:rsid w:val="00711D8E"/>
    <w:rsid w:val="00712672"/>
    <w:rsid w:val="00715446"/>
    <w:rsid w:val="0072667A"/>
    <w:rsid w:val="007275EC"/>
    <w:rsid w:val="00732C19"/>
    <w:rsid w:val="00733167"/>
    <w:rsid w:val="00734E3F"/>
    <w:rsid w:val="0073521D"/>
    <w:rsid w:val="00736985"/>
    <w:rsid w:val="00737D3E"/>
    <w:rsid w:val="00741520"/>
    <w:rsid w:val="00741F62"/>
    <w:rsid w:val="00751D9D"/>
    <w:rsid w:val="007525F1"/>
    <w:rsid w:val="00754A42"/>
    <w:rsid w:val="00754FE7"/>
    <w:rsid w:val="0076364B"/>
    <w:rsid w:val="00763779"/>
    <w:rsid w:val="007719B4"/>
    <w:rsid w:val="00772365"/>
    <w:rsid w:val="00774982"/>
    <w:rsid w:val="00794B91"/>
    <w:rsid w:val="00795539"/>
    <w:rsid w:val="007A36A4"/>
    <w:rsid w:val="007B6200"/>
    <w:rsid w:val="007B7EB0"/>
    <w:rsid w:val="007C13C2"/>
    <w:rsid w:val="007C6051"/>
    <w:rsid w:val="007D1EC0"/>
    <w:rsid w:val="007E4125"/>
    <w:rsid w:val="007E4CE6"/>
    <w:rsid w:val="007E5552"/>
    <w:rsid w:val="007E730C"/>
    <w:rsid w:val="007F3309"/>
    <w:rsid w:val="007F61A6"/>
    <w:rsid w:val="00801B9F"/>
    <w:rsid w:val="00802117"/>
    <w:rsid w:val="00804713"/>
    <w:rsid w:val="00810821"/>
    <w:rsid w:val="00817250"/>
    <w:rsid w:val="00826B32"/>
    <w:rsid w:val="00830953"/>
    <w:rsid w:val="008318E4"/>
    <w:rsid w:val="008329B2"/>
    <w:rsid w:val="0084288B"/>
    <w:rsid w:val="00843D07"/>
    <w:rsid w:val="008454F1"/>
    <w:rsid w:val="00851507"/>
    <w:rsid w:val="00852C50"/>
    <w:rsid w:val="008531A4"/>
    <w:rsid w:val="00853A2F"/>
    <w:rsid w:val="00854CB3"/>
    <w:rsid w:val="00857EDF"/>
    <w:rsid w:val="00867691"/>
    <w:rsid w:val="00872455"/>
    <w:rsid w:val="00873AEA"/>
    <w:rsid w:val="008764DB"/>
    <w:rsid w:val="008779E4"/>
    <w:rsid w:val="00880B3F"/>
    <w:rsid w:val="00885573"/>
    <w:rsid w:val="00887EB7"/>
    <w:rsid w:val="0089446A"/>
    <w:rsid w:val="008A007F"/>
    <w:rsid w:val="008A3030"/>
    <w:rsid w:val="008B59F0"/>
    <w:rsid w:val="008B66B3"/>
    <w:rsid w:val="008C2B36"/>
    <w:rsid w:val="008D6FEF"/>
    <w:rsid w:val="008E505A"/>
    <w:rsid w:val="008F2C86"/>
    <w:rsid w:val="00916F5A"/>
    <w:rsid w:val="00917013"/>
    <w:rsid w:val="00920760"/>
    <w:rsid w:val="009219DC"/>
    <w:rsid w:val="00922191"/>
    <w:rsid w:val="009237F5"/>
    <w:rsid w:val="009309E7"/>
    <w:rsid w:val="009319BF"/>
    <w:rsid w:val="00944919"/>
    <w:rsid w:val="00945FC5"/>
    <w:rsid w:val="0095206A"/>
    <w:rsid w:val="00963022"/>
    <w:rsid w:val="00965030"/>
    <w:rsid w:val="00966490"/>
    <w:rsid w:val="00966496"/>
    <w:rsid w:val="009767B8"/>
    <w:rsid w:val="00976B4D"/>
    <w:rsid w:val="00985818"/>
    <w:rsid w:val="00987785"/>
    <w:rsid w:val="009A21B8"/>
    <w:rsid w:val="009A43AB"/>
    <w:rsid w:val="009A48D6"/>
    <w:rsid w:val="009A50B2"/>
    <w:rsid w:val="009B0A3B"/>
    <w:rsid w:val="009B4D3B"/>
    <w:rsid w:val="009B53C8"/>
    <w:rsid w:val="009C14C1"/>
    <w:rsid w:val="009C6C16"/>
    <w:rsid w:val="009D7407"/>
    <w:rsid w:val="009E0866"/>
    <w:rsid w:val="009E50DA"/>
    <w:rsid w:val="009F3480"/>
    <w:rsid w:val="009F5BA8"/>
    <w:rsid w:val="009F6DE4"/>
    <w:rsid w:val="00A0241C"/>
    <w:rsid w:val="00A0557B"/>
    <w:rsid w:val="00A05DE4"/>
    <w:rsid w:val="00A15E68"/>
    <w:rsid w:val="00A20895"/>
    <w:rsid w:val="00A21D24"/>
    <w:rsid w:val="00A24A62"/>
    <w:rsid w:val="00A257A8"/>
    <w:rsid w:val="00A31C9F"/>
    <w:rsid w:val="00A35EB8"/>
    <w:rsid w:val="00A42237"/>
    <w:rsid w:val="00A50E93"/>
    <w:rsid w:val="00A56215"/>
    <w:rsid w:val="00A6001B"/>
    <w:rsid w:val="00A60037"/>
    <w:rsid w:val="00A61E86"/>
    <w:rsid w:val="00A63086"/>
    <w:rsid w:val="00A63621"/>
    <w:rsid w:val="00A75C2C"/>
    <w:rsid w:val="00A76378"/>
    <w:rsid w:val="00A826BB"/>
    <w:rsid w:val="00A93095"/>
    <w:rsid w:val="00AB1AAB"/>
    <w:rsid w:val="00AB334A"/>
    <w:rsid w:val="00AB464A"/>
    <w:rsid w:val="00AC164A"/>
    <w:rsid w:val="00AC3824"/>
    <w:rsid w:val="00AC3DCF"/>
    <w:rsid w:val="00AC6A1D"/>
    <w:rsid w:val="00AD214C"/>
    <w:rsid w:val="00AD3B91"/>
    <w:rsid w:val="00AE42BA"/>
    <w:rsid w:val="00AE6A2C"/>
    <w:rsid w:val="00AE79F2"/>
    <w:rsid w:val="00AF2050"/>
    <w:rsid w:val="00B122F9"/>
    <w:rsid w:val="00B15108"/>
    <w:rsid w:val="00B17861"/>
    <w:rsid w:val="00B21BF3"/>
    <w:rsid w:val="00B221CB"/>
    <w:rsid w:val="00B25C4E"/>
    <w:rsid w:val="00B27535"/>
    <w:rsid w:val="00B306A4"/>
    <w:rsid w:val="00B32EF5"/>
    <w:rsid w:val="00B37E1F"/>
    <w:rsid w:val="00B40F9C"/>
    <w:rsid w:val="00B41E66"/>
    <w:rsid w:val="00B41E98"/>
    <w:rsid w:val="00B452C8"/>
    <w:rsid w:val="00B4751A"/>
    <w:rsid w:val="00B47EE5"/>
    <w:rsid w:val="00B508F5"/>
    <w:rsid w:val="00B53714"/>
    <w:rsid w:val="00B53A8F"/>
    <w:rsid w:val="00B677AD"/>
    <w:rsid w:val="00B71292"/>
    <w:rsid w:val="00B74C68"/>
    <w:rsid w:val="00B74D3A"/>
    <w:rsid w:val="00B807B0"/>
    <w:rsid w:val="00B82383"/>
    <w:rsid w:val="00B87849"/>
    <w:rsid w:val="00B9587E"/>
    <w:rsid w:val="00BA2CF7"/>
    <w:rsid w:val="00BB26C5"/>
    <w:rsid w:val="00BC155B"/>
    <w:rsid w:val="00BC2B22"/>
    <w:rsid w:val="00BD0819"/>
    <w:rsid w:val="00BD358F"/>
    <w:rsid w:val="00BE288B"/>
    <w:rsid w:val="00BE49BE"/>
    <w:rsid w:val="00BF4DE6"/>
    <w:rsid w:val="00BF5B27"/>
    <w:rsid w:val="00BF6738"/>
    <w:rsid w:val="00C015CC"/>
    <w:rsid w:val="00C01BC9"/>
    <w:rsid w:val="00C05384"/>
    <w:rsid w:val="00C07FC1"/>
    <w:rsid w:val="00C1246E"/>
    <w:rsid w:val="00C127D2"/>
    <w:rsid w:val="00C17099"/>
    <w:rsid w:val="00C24366"/>
    <w:rsid w:val="00C362A4"/>
    <w:rsid w:val="00C40DCE"/>
    <w:rsid w:val="00C42CDE"/>
    <w:rsid w:val="00C507A4"/>
    <w:rsid w:val="00C52FE4"/>
    <w:rsid w:val="00C64C7E"/>
    <w:rsid w:val="00C76ACF"/>
    <w:rsid w:val="00C77D4E"/>
    <w:rsid w:val="00C855A9"/>
    <w:rsid w:val="00C864A6"/>
    <w:rsid w:val="00C873A3"/>
    <w:rsid w:val="00C93DCA"/>
    <w:rsid w:val="00CA37B1"/>
    <w:rsid w:val="00CA455D"/>
    <w:rsid w:val="00CA4E6A"/>
    <w:rsid w:val="00CA6828"/>
    <w:rsid w:val="00CA77E5"/>
    <w:rsid w:val="00CB0FEA"/>
    <w:rsid w:val="00CB1959"/>
    <w:rsid w:val="00CB1B96"/>
    <w:rsid w:val="00CC1438"/>
    <w:rsid w:val="00CC75AA"/>
    <w:rsid w:val="00CD0F48"/>
    <w:rsid w:val="00CD2F93"/>
    <w:rsid w:val="00CE7CFB"/>
    <w:rsid w:val="00CF07A0"/>
    <w:rsid w:val="00CF38C2"/>
    <w:rsid w:val="00D0296C"/>
    <w:rsid w:val="00D06891"/>
    <w:rsid w:val="00D12712"/>
    <w:rsid w:val="00D15B5B"/>
    <w:rsid w:val="00D16BBF"/>
    <w:rsid w:val="00D325B7"/>
    <w:rsid w:val="00D32B2D"/>
    <w:rsid w:val="00D3570E"/>
    <w:rsid w:val="00D40A9F"/>
    <w:rsid w:val="00D43082"/>
    <w:rsid w:val="00D44651"/>
    <w:rsid w:val="00D462AC"/>
    <w:rsid w:val="00D5602D"/>
    <w:rsid w:val="00D624FE"/>
    <w:rsid w:val="00D76700"/>
    <w:rsid w:val="00D80A5F"/>
    <w:rsid w:val="00D83D46"/>
    <w:rsid w:val="00D85584"/>
    <w:rsid w:val="00D934E9"/>
    <w:rsid w:val="00D93E28"/>
    <w:rsid w:val="00D95030"/>
    <w:rsid w:val="00D968FE"/>
    <w:rsid w:val="00D97330"/>
    <w:rsid w:val="00DA50CB"/>
    <w:rsid w:val="00DA7B27"/>
    <w:rsid w:val="00DB35A3"/>
    <w:rsid w:val="00DB3FD9"/>
    <w:rsid w:val="00DB5F81"/>
    <w:rsid w:val="00DB60AA"/>
    <w:rsid w:val="00DB6D69"/>
    <w:rsid w:val="00DB71EA"/>
    <w:rsid w:val="00DC430B"/>
    <w:rsid w:val="00DC54AC"/>
    <w:rsid w:val="00DD55E3"/>
    <w:rsid w:val="00DE62F1"/>
    <w:rsid w:val="00E040A1"/>
    <w:rsid w:val="00E133BA"/>
    <w:rsid w:val="00E14286"/>
    <w:rsid w:val="00E16AB2"/>
    <w:rsid w:val="00E208C7"/>
    <w:rsid w:val="00E20BFE"/>
    <w:rsid w:val="00E21382"/>
    <w:rsid w:val="00E227C9"/>
    <w:rsid w:val="00E24DAC"/>
    <w:rsid w:val="00E318D6"/>
    <w:rsid w:val="00E33794"/>
    <w:rsid w:val="00E357B7"/>
    <w:rsid w:val="00E36335"/>
    <w:rsid w:val="00E373A5"/>
    <w:rsid w:val="00E53800"/>
    <w:rsid w:val="00E56086"/>
    <w:rsid w:val="00E6081F"/>
    <w:rsid w:val="00E67CFE"/>
    <w:rsid w:val="00E733F7"/>
    <w:rsid w:val="00E740BE"/>
    <w:rsid w:val="00E7456E"/>
    <w:rsid w:val="00E9511C"/>
    <w:rsid w:val="00EA04B2"/>
    <w:rsid w:val="00EA07EA"/>
    <w:rsid w:val="00EA0841"/>
    <w:rsid w:val="00EA20F3"/>
    <w:rsid w:val="00EA4169"/>
    <w:rsid w:val="00EA59DA"/>
    <w:rsid w:val="00EA5E9A"/>
    <w:rsid w:val="00EB170F"/>
    <w:rsid w:val="00EB2CBA"/>
    <w:rsid w:val="00EB466E"/>
    <w:rsid w:val="00EB6419"/>
    <w:rsid w:val="00EC7D93"/>
    <w:rsid w:val="00ED0A0A"/>
    <w:rsid w:val="00ED43D1"/>
    <w:rsid w:val="00EE4EE1"/>
    <w:rsid w:val="00EF4574"/>
    <w:rsid w:val="00EF59BF"/>
    <w:rsid w:val="00F00245"/>
    <w:rsid w:val="00F01187"/>
    <w:rsid w:val="00F23CE3"/>
    <w:rsid w:val="00F25980"/>
    <w:rsid w:val="00F2684E"/>
    <w:rsid w:val="00F268CD"/>
    <w:rsid w:val="00F27115"/>
    <w:rsid w:val="00F27DA3"/>
    <w:rsid w:val="00F31066"/>
    <w:rsid w:val="00F316C5"/>
    <w:rsid w:val="00F33736"/>
    <w:rsid w:val="00F374C7"/>
    <w:rsid w:val="00F443C6"/>
    <w:rsid w:val="00F56FA7"/>
    <w:rsid w:val="00F5739C"/>
    <w:rsid w:val="00F62D85"/>
    <w:rsid w:val="00F67A79"/>
    <w:rsid w:val="00F67AAF"/>
    <w:rsid w:val="00F729EF"/>
    <w:rsid w:val="00F73491"/>
    <w:rsid w:val="00F7707D"/>
    <w:rsid w:val="00F77CAE"/>
    <w:rsid w:val="00F80CD2"/>
    <w:rsid w:val="00F84AC0"/>
    <w:rsid w:val="00F87584"/>
    <w:rsid w:val="00F96BB9"/>
    <w:rsid w:val="00FA2040"/>
    <w:rsid w:val="00FA258C"/>
    <w:rsid w:val="00FA2D90"/>
    <w:rsid w:val="00FB158B"/>
    <w:rsid w:val="00FB70AF"/>
    <w:rsid w:val="00FC088A"/>
    <w:rsid w:val="00FC1ACA"/>
    <w:rsid w:val="00FC632A"/>
    <w:rsid w:val="00FD0026"/>
    <w:rsid w:val="00FD091E"/>
    <w:rsid w:val="00FD0E7D"/>
    <w:rsid w:val="00FD50DD"/>
    <w:rsid w:val="00FD7D12"/>
    <w:rsid w:val="00FE4858"/>
    <w:rsid w:val="00FE4DC6"/>
    <w:rsid w:val="00FE6D51"/>
    <w:rsid w:val="00FF2B1C"/>
    <w:rsid w:val="00FF64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71ABA3D"/>
  <w15:docId w15:val="{9B3D9A84-8831-4BE1-A87C-A2E0FB4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082"/>
    <w:pPr>
      <w:suppressAutoHyphens/>
      <w:spacing w:before="180" w:after="60" w:line="280" w:lineRule="atLeast"/>
    </w:pPr>
    <w:rPr>
      <w:color w:val="404040" w:themeColor="text1" w:themeTint="BF"/>
    </w:rPr>
  </w:style>
  <w:style w:type="paragraph" w:styleId="Heading1">
    <w:name w:val="heading 1"/>
    <w:basedOn w:val="Normal"/>
    <w:next w:val="Normal"/>
    <w:link w:val="Heading1Char"/>
    <w:uiPriority w:val="9"/>
    <w:qFormat/>
    <w:rsid w:val="00A05DE4"/>
    <w:pPr>
      <w:keepNext/>
      <w:keepLines/>
      <w:spacing w:before="360" w:after="120" w:line="460" w:lineRule="atLeast"/>
      <w:contextualSpacing/>
      <w:outlineLvl w:val="0"/>
    </w:pPr>
    <w:rPr>
      <w:rFonts w:asciiTheme="majorHAnsi" w:eastAsiaTheme="majorEastAsia" w:hAnsiTheme="majorHAnsi" w:cstheme="majorBidi"/>
      <w:bCs/>
      <w:sz w:val="40"/>
      <w:szCs w:val="28"/>
    </w:rPr>
  </w:style>
  <w:style w:type="paragraph" w:styleId="Heading2">
    <w:name w:val="heading 2"/>
    <w:basedOn w:val="Heading1"/>
    <w:next w:val="Normal"/>
    <w:link w:val="Heading2Char"/>
    <w:uiPriority w:val="9"/>
    <w:unhideWhenUsed/>
    <w:qFormat/>
    <w:rsid w:val="00021B85"/>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021B85"/>
    <w:pPr>
      <w:spacing w:line="340" w:lineRule="atLeast"/>
      <w:outlineLvl w:val="2"/>
    </w:pPr>
    <w:rPr>
      <w:bCs/>
      <w:sz w:val="30"/>
    </w:rPr>
  </w:style>
  <w:style w:type="paragraph" w:styleId="Heading4">
    <w:name w:val="heading 4"/>
    <w:basedOn w:val="Heading3"/>
    <w:next w:val="Normal"/>
    <w:link w:val="Heading4Char"/>
    <w:uiPriority w:val="9"/>
    <w:unhideWhenUsed/>
    <w:rsid w:val="00021B85"/>
    <w:pPr>
      <w:spacing w:before="240" w:line="300" w:lineRule="atLeast"/>
      <w:outlineLvl w:val="3"/>
    </w:pPr>
    <w:rPr>
      <w:iCs/>
      <w:sz w:val="26"/>
    </w:rPr>
  </w:style>
  <w:style w:type="paragraph" w:styleId="Heading5">
    <w:name w:val="heading 5"/>
    <w:basedOn w:val="Heading4"/>
    <w:next w:val="Normal"/>
    <w:link w:val="Heading5Char"/>
    <w:uiPriority w:val="9"/>
    <w:semiHidden/>
    <w:unhideWhenUsed/>
    <w:rsid w:val="00021B85"/>
    <w:pPr>
      <w:outlineLvl w:val="4"/>
    </w:pPr>
    <w:rPr>
      <w:i/>
      <w:color w:val="BDDCDF" w:themeColor="accent1"/>
      <w:sz w:val="22"/>
      <w14:textFill>
        <w14:solidFill>
          <w14:schemeClr w14:val="accent1">
            <w14:lumMod w14:val="75000"/>
            <w14:lumMod w14:val="75000"/>
            <w14:lumOff w14:val="25000"/>
          </w14:schemeClr>
        </w14:solidFill>
      </w14:textFill>
    </w:rPr>
  </w:style>
  <w:style w:type="paragraph" w:styleId="Heading6">
    <w:name w:val="heading 6"/>
    <w:basedOn w:val="Heading5"/>
    <w:next w:val="Normal"/>
    <w:link w:val="Heading6Char"/>
    <w:uiPriority w:val="9"/>
    <w:semiHidden/>
    <w:unhideWhenUsed/>
    <w:qFormat/>
    <w:rsid w:val="00021B85"/>
    <w:pPr>
      <w:spacing w:before="40"/>
      <w:outlineLvl w:val="5"/>
    </w:pPr>
    <w:rPr>
      <w14:textFill>
        <w14:solidFill>
          <w14:schemeClr w14:val="accent1">
            <w14:lumMod w14:val="50000"/>
            <w14:lumMod w14:val="75000"/>
            <w14:lumOff w14:val="25000"/>
          </w14:schemeClr>
        </w14:solidFill>
      </w14:textFill>
    </w:rPr>
  </w:style>
  <w:style w:type="paragraph" w:styleId="Heading7">
    <w:name w:val="heading 7"/>
    <w:basedOn w:val="Heading6"/>
    <w:next w:val="Normal"/>
    <w:link w:val="Heading7Char"/>
    <w:uiPriority w:val="9"/>
    <w:semiHidden/>
    <w:unhideWhenUsed/>
    <w:qFormat/>
    <w:rsid w:val="00021B85"/>
    <w:pPr>
      <w:outlineLvl w:val="6"/>
    </w:pPr>
    <w:rPr>
      <w:i w:val="0"/>
      <w:iCs w:val="0"/>
    </w:rPr>
  </w:style>
  <w:style w:type="paragraph" w:styleId="Heading8">
    <w:name w:val="heading 8"/>
    <w:basedOn w:val="Heading7"/>
    <w:next w:val="Normal"/>
    <w:link w:val="Heading8Char"/>
    <w:uiPriority w:val="9"/>
    <w:semiHidden/>
    <w:unhideWhenUsed/>
    <w:qFormat/>
    <w:rsid w:val="00021B85"/>
    <w:pPr>
      <w:outlineLvl w:val="7"/>
    </w:pPr>
    <w:rPr>
      <w:color w:val="000000" w:themeColor="text1"/>
      <w:sz w:val="21"/>
      <w:szCs w:val="21"/>
      <w14:textFill>
        <w14:solidFill>
          <w14:schemeClr w14:val="tx1">
            <w14:lumMod w14:val="85000"/>
            <w14:lumOff w14:val="15000"/>
            <w14:lumMod w14:val="75000"/>
            <w14:lumOff w14:val="25000"/>
          </w14:schemeClr>
        </w14:solidFill>
      </w14:textFill>
    </w:rPr>
  </w:style>
  <w:style w:type="paragraph" w:styleId="Heading9">
    <w:name w:val="heading 9"/>
    <w:basedOn w:val="Heading8"/>
    <w:next w:val="Normal"/>
    <w:link w:val="Heading9Char"/>
    <w:uiPriority w:val="9"/>
    <w:semiHidden/>
    <w:unhideWhenUsed/>
    <w:qFormat/>
    <w:rsid w:val="00021B85"/>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DE4"/>
    <w:rPr>
      <w:rFonts w:asciiTheme="majorHAnsi" w:eastAsiaTheme="majorEastAsia" w:hAnsiTheme="majorHAnsi" w:cstheme="majorBidi"/>
      <w:bCs/>
      <w:color w:val="404040" w:themeColor="text1" w:themeTint="BF"/>
      <w:sz w:val="40"/>
      <w:szCs w:val="28"/>
    </w:rPr>
  </w:style>
  <w:style w:type="character" w:customStyle="1" w:styleId="Heading2Char">
    <w:name w:val="Heading 2 Char"/>
    <w:basedOn w:val="DefaultParagraphFont"/>
    <w:link w:val="Heading2"/>
    <w:uiPriority w:val="4"/>
    <w:rsid w:val="00021B85"/>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021B85"/>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rsid w:val="00021B85"/>
    <w:pPr>
      <w:ind w:left="284"/>
    </w:pPr>
  </w:style>
  <w:style w:type="paragraph" w:styleId="Title">
    <w:name w:val="Title"/>
    <w:basedOn w:val="Heading1"/>
    <w:next w:val="Normal"/>
    <w:link w:val="TitleChar"/>
    <w:uiPriority w:val="10"/>
    <w:qFormat/>
    <w:rsid w:val="00403543"/>
    <w:pPr>
      <w:keepNext w:val="0"/>
      <w:spacing w:line="480" w:lineRule="atLeast"/>
    </w:pPr>
    <w:rPr>
      <w:kern w:val="28"/>
      <w:sz w:val="48"/>
      <w:szCs w:val="52"/>
    </w:rPr>
  </w:style>
  <w:style w:type="character" w:customStyle="1" w:styleId="TitleChar">
    <w:name w:val="Title Char"/>
    <w:basedOn w:val="DefaultParagraphFont"/>
    <w:link w:val="Title"/>
    <w:uiPriority w:val="10"/>
    <w:rsid w:val="00403543"/>
    <w:rPr>
      <w:rFonts w:asciiTheme="majorHAnsi" w:eastAsiaTheme="majorEastAsia" w:hAnsiTheme="majorHAnsi" w:cstheme="majorBidi"/>
      <w:bCs/>
      <w:color w:val="404040" w:themeColor="text1" w:themeTint="BF"/>
      <w:kern w:val="28"/>
      <w:sz w:val="48"/>
      <w:szCs w:val="52"/>
    </w:rPr>
  </w:style>
  <w:style w:type="paragraph" w:styleId="Subtitle">
    <w:name w:val="Subtitle"/>
    <w:basedOn w:val="Title"/>
    <w:next w:val="Normal"/>
    <w:link w:val="SubtitleChar"/>
    <w:uiPriority w:val="11"/>
    <w:rsid w:val="00021B85"/>
    <w:pPr>
      <w:numPr>
        <w:ilvl w:val="1"/>
      </w:numPr>
      <w:spacing w:line="260" w:lineRule="atLeast"/>
      <w:jc w:val="right"/>
    </w:pPr>
    <w:rPr>
      <w:b/>
      <w:iCs/>
      <w:sz w:val="20"/>
      <w:szCs w:val="24"/>
    </w:rPr>
  </w:style>
  <w:style w:type="character" w:customStyle="1" w:styleId="SubtitleChar">
    <w:name w:val="Subtitle Char"/>
    <w:basedOn w:val="DefaultParagraphFont"/>
    <w:link w:val="Subtitle"/>
    <w:uiPriority w:val="11"/>
    <w:rsid w:val="00021B85"/>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021B85"/>
    <w:pPr>
      <w:numPr>
        <w:numId w:val="6"/>
      </w:numPr>
      <w:spacing w:before="120"/>
    </w:pPr>
  </w:style>
  <w:style w:type="paragraph" w:customStyle="1" w:styleId="Bullet2">
    <w:name w:val="Bullet 2"/>
    <w:basedOn w:val="Bullet1"/>
    <w:qFormat/>
    <w:rsid w:val="00021B85"/>
    <w:pPr>
      <w:numPr>
        <w:ilvl w:val="1"/>
      </w:numPr>
    </w:pPr>
  </w:style>
  <w:style w:type="paragraph" w:customStyle="1" w:styleId="Bullet3">
    <w:name w:val="Bullet 3"/>
    <w:basedOn w:val="Bullet2"/>
    <w:qFormat/>
    <w:rsid w:val="00021B85"/>
    <w:pPr>
      <w:numPr>
        <w:ilvl w:val="2"/>
      </w:numPr>
    </w:pPr>
  </w:style>
  <w:style w:type="paragraph" w:customStyle="1" w:styleId="NumberedList1">
    <w:name w:val="Numbered List 1"/>
    <w:basedOn w:val="Normal"/>
    <w:qFormat/>
    <w:rsid w:val="00021B85"/>
    <w:pPr>
      <w:numPr>
        <w:numId w:val="8"/>
      </w:numPr>
    </w:pPr>
  </w:style>
  <w:style w:type="paragraph" w:customStyle="1" w:styleId="NumberedList2">
    <w:name w:val="Numbered List 2"/>
    <w:basedOn w:val="NumberedList1"/>
    <w:qFormat/>
    <w:rsid w:val="00021B85"/>
    <w:pPr>
      <w:numPr>
        <w:ilvl w:val="1"/>
      </w:numPr>
      <w:spacing w:before="120"/>
    </w:pPr>
  </w:style>
  <w:style w:type="paragraph" w:customStyle="1" w:styleId="NumberedList3">
    <w:name w:val="Numbered List 3"/>
    <w:basedOn w:val="NumberedList2"/>
    <w:qFormat/>
    <w:rsid w:val="00021B85"/>
    <w:pPr>
      <w:numPr>
        <w:ilvl w:val="2"/>
      </w:numPr>
    </w:pPr>
  </w:style>
  <w:style w:type="paragraph" w:customStyle="1" w:styleId="Heading1Numbered">
    <w:name w:val="Heading 1 Numbered"/>
    <w:basedOn w:val="Heading1"/>
    <w:next w:val="Normal"/>
    <w:rsid w:val="00021B85"/>
    <w:pPr>
      <w:numPr>
        <w:numId w:val="7"/>
      </w:numPr>
    </w:pPr>
  </w:style>
  <w:style w:type="paragraph" w:customStyle="1" w:styleId="Heading2Numbered">
    <w:name w:val="Heading 2 Numbered"/>
    <w:basedOn w:val="Heading2"/>
    <w:next w:val="Normal"/>
    <w:rsid w:val="00021B85"/>
    <w:pPr>
      <w:numPr>
        <w:ilvl w:val="1"/>
        <w:numId w:val="7"/>
      </w:numPr>
    </w:pPr>
    <w:rPr>
      <w:bCs/>
    </w:rPr>
  </w:style>
  <w:style w:type="paragraph" w:customStyle="1" w:styleId="Heading3Numbered">
    <w:name w:val="Heading 3 Numbered"/>
    <w:basedOn w:val="Heading3"/>
    <w:next w:val="Normal"/>
    <w:rsid w:val="00021B85"/>
    <w:pPr>
      <w:numPr>
        <w:ilvl w:val="2"/>
        <w:numId w:val="7"/>
      </w:numPr>
    </w:pPr>
    <w:rPr>
      <w:szCs w:val="22"/>
    </w:rPr>
  </w:style>
  <w:style w:type="numbering" w:customStyle="1" w:styleId="BulletsList">
    <w:name w:val="Bullets List"/>
    <w:uiPriority w:val="99"/>
    <w:rsid w:val="00021B85"/>
    <w:pPr>
      <w:numPr>
        <w:numId w:val="1"/>
      </w:numPr>
    </w:pPr>
  </w:style>
  <w:style w:type="numbering" w:customStyle="1" w:styleId="Numberedlist">
    <w:name w:val="Numbered list"/>
    <w:uiPriority w:val="99"/>
    <w:rsid w:val="00021B85"/>
    <w:pPr>
      <w:numPr>
        <w:numId w:val="2"/>
      </w:numPr>
    </w:pPr>
  </w:style>
  <w:style w:type="numbering" w:customStyle="1" w:styleId="HeadingsList">
    <w:name w:val="Headings List"/>
    <w:uiPriority w:val="99"/>
    <w:rsid w:val="00021B85"/>
    <w:pPr>
      <w:numPr>
        <w:numId w:val="3"/>
      </w:numPr>
    </w:pPr>
  </w:style>
  <w:style w:type="table" w:styleId="PlainTable2">
    <w:name w:val="Plain Table 2"/>
    <w:basedOn w:val="TableNormal"/>
    <w:uiPriority w:val="42"/>
    <w:rsid w:val="00021B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rsid w:val="00021B85"/>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021B85"/>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021B8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021B85"/>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021B85"/>
    <w:pPr>
      <w:tabs>
        <w:tab w:val="left" w:pos="1134"/>
        <w:tab w:val="right" w:pos="9072"/>
      </w:tabs>
      <w:spacing w:before="60"/>
      <w:ind w:left="1134" w:hanging="680"/>
    </w:pPr>
  </w:style>
  <w:style w:type="paragraph" w:styleId="Header">
    <w:name w:val="header"/>
    <w:basedOn w:val="Normal"/>
    <w:link w:val="HeaderChar"/>
    <w:uiPriority w:val="99"/>
    <w:unhideWhenUsed/>
    <w:rsid w:val="00021B85"/>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021B85"/>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021B85"/>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021B85"/>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021B85"/>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021B85"/>
    <w:pPr>
      <w:numPr>
        <w:numId w:val="4"/>
      </w:numPr>
    </w:pPr>
  </w:style>
  <w:style w:type="paragraph" w:styleId="TOC8">
    <w:name w:val="toc 8"/>
    <w:basedOn w:val="Normal"/>
    <w:next w:val="Normal"/>
    <w:autoRedefine/>
    <w:uiPriority w:val="39"/>
    <w:unhideWhenUsed/>
    <w:rsid w:val="00021B85"/>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021B85"/>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021B85"/>
    <w:pPr>
      <w:spacing w:after="0"/>
      <w:ind w:left="907" w:hanging="907"/>
    </w:pPr>
  </w:style>
  <w:style w:type="paragraph" w:customStyle="1" w:styleId="IntroPara">
    <w:name w:val="Intro Para"/>
    <w:basedOn w:val="Normal"/>
    <w:qFormat/>
    <w:rsid w:val="00403543"/>
    <w:pPr>
      <w:spacing w:line="360" w:lineRule="auto"/>
    </w:pPr>
    <w:rPr>
      <w:sz w:val="24"/>
    </w:rPr>
  </w:style>
  <w:style w:type="table" w:styleId="TableGrid">
    <w:name w:val="Table Grid"/>
    <w:basedOn w:val="TableNormal"/>
    <w:uiPriority w:val="59"/>
    <w:rsid w:val="0002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21B85"/>
    <w:rPr>
      <w:sz w:val="14"/>
    </w:rPr>
  </w:style>
  <w:style w:type="numbering" w:customStyle="1" w:styleId="FigureTitles">
    <w:name w:val="Figure Titles"/>
    <w:uiPriority w:val="99"/>
    <w:rsid w:val="00021B85"/>
    <w:pPr>
      <w:numPr>
        <w:numId w:val="5"/>
      </w:numPr>
    </w:pPr>
  </w:style>
  <w:style w:type="character" w:styleId="Hyperlink">
    <w:name w:val="Hyperlink"/>
    <w:basedOn w:val="DefaultParagraphFont"/>
    <w:uiPriority w:val="99"/>
    <w:rsid w:val="00021B85"/>
    <w:rPr>
      <w:rFonts w:asciiTheme="minorHAnsi" w:hAnsiTheme="minorHAnsi" w:cs="MuseoSans-500"/>
      <w:color w:val="auto"/>
      <w:u w:val="single" w:color="0070C0"/>
    </w:rPr>
  </w:style>
  <w:style w:type="character" w:styleId="IntenseEmphasis">
    <w:name w:val="Intense Emphasis"/>
    <w:basedOn w:val="DefaultParagraphFont"/>
    <w:uiPriority w:val="21"/>
    <w:rsid w:val="00021B85"/>
    <w:rPr>
      <w:b/>
      <w:i/>
      <w:iCs/>
      <w:color w:val="auto"/>
    </w:rPr>
  </w:style>
  <w:style w:type="character" w:styleId="Strong">
    <w:name w:val="Strong"/>
    <w:basedOn w:val="DefaultParagraphFont"/>
    <w:uiPriority w:val="22"/>
    <w:rsid w:val="00021B85"/>
    <w:rPr>
      <w:b/>
      <w:bCs/>
    </w:rPr>
  </w:style>
  <w:style w:type="character" w:styleId="Emphasis">
    <w:name w:val="Emphasis"/>
    <w:basedOn w:val="DefaultParagraphFont"/>
    <w:uiPriority w:val="20"/>
    <w:qFormat/>
    <w:rsid w:val="00021B85"/>
    <w:rPr>
      <w:i/>
      <w:iCs/>
    </w:rPr>
  </w:style>
  <w:style w:type="character" w:customStyle="1" w:styleId="Heading5Char">
    <w:name w:val="Heading 5 Char"/>
    <w:basedOn w:val="DefaultParagraphFont"/>
    <w:link w:val="Heading5"/>
    <w:uiPriority w:val="9"/>
    <w:semiHidden/>
    <w:rsid w:val="00021B85"/>
    <w:rPr>
      <w:rFonts w:asciiTheme="majorHAnsi" w:eastAsiaTheme="majorEastAsia" w:hAnsiTheme="majorHAnsi" w:cstheme="majorBidi"/>
      <w:bCs/>
      <w:i/>
      <w:iCs/>
      <w:color w:val="77B6BD" w:themeColor="accent1" w:themeShade="BF"/>
      <w:szCs w:val="26"/>
    </w:rPr>
  </w:style>
  <w:style w:type="paragraph" w:styleId="Caption">
    <w:name w:val="caption"/>
    <w:basedOn w:val="Normal"/>
    <w:next w:val="Normal"/>
    <w:uiPriority w:val="35"/>
    <w:unhideWhenUsed/>
    <w:rsid w:val="00021B85"/>
    <w:pPr>
      <w:spacing w:before="200" w:after="120"/>
    </w:pPr>
    <w:rPr>
      <w:b/>
      <w:iCs/>
      <w:szCs w:val="18"/>
    </w:rPr>
  </w:style>
  <w:style w:type="paragraph" w:styleId="Footer">
    <w:name w:val="footer"/>
    <w:basedOn w:val="Normal"/>
    <w:link w:val="FooterChar"/>
    <w:uiPriority w:val="99"/>
    <w:unhideWhenUsed/>
    <w:rsid w:val="00021B85"/>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021B85"/>
    <w:rPr>
      <w:sz w:val="14"/>
    </w:rPr>
  </w:style>
  <w:style w:type="character" w:customStyle="1" w:styleId="Heading6Char">
    <w:name w:val="Heading 6 Char"/>
    <w:basedOn w:val="DefaultParagraphFont"/>
    <w:link w:val="Heading6"/>
    <w:uiPriority w:val="9"/>
    <w:semiHidden/>
    <w:rsid w:val="00021B85"/>
    <w:rPr>
      <w:rFonts w:asciiTheme="majorHAnsi" w:eastAsiaTheme="majorEastAsia" w:hAnsiTheme="majorHAnsi" w:cstheme="majorBidi"/>
      <w:bCs/>
      <w:i/>
      <w:iCs/>
      <w:color w:val="43838A" w:themeColor="accent1" w:themeShade="7F"/>
      <w:szCs w:val="26"/>
    </w:rPr>
  </w:style>
  <w:style w:type="character" w:customStyle="1" w:styleId="Heading7Char">
    <w:name w:val="Heading 7 Char"/>
    <w:basedOn w:val="DefaultParagraphFont"/>
    <w:link w:val="Heading7"/>
    <w:uiPriority w:val="9"/>
    <w:semiHidden/>
    <w:rsid w:val="00021B85"/>
    <w:rPr>
      <w:rFonts w:asciiTheme="majorHAnsi" w:eastAsiaTheme="majorEastAsia" w:hAnsiTheme="majorHAnsi" w:cstheme="majorBidi"/>
      <w:bCs/>
      <w:color w:val="43838A" w:themeColor="accent1" w:themeShade="7F"/>
      <w:szCs w:val="26"/>
    </w:rPr>
  </w:style>
  <w:style w:type="character" w:customStyle="1" w:styleId="Heading8Char">
    <w:name w:val="Heading 8 Char"/>
    <w:basedOn w:val="DefaultParagraphFont"/>
    <w:link w:val="Heading8"/>
    <w:uiPriority w:val="9"/>
    <w:semiHidden/>
    <w:rsid w:val="00021B85"/>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021B85"/>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qFormat/>
    <w:rsid w:val="00021B85"/>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021B85"/>
    <w:rPr>
      <w:b/>
      <w:sz w:val="24"/>
    </w:rPr>
  </w:style>
  <w:style w:type="paragraph" w:customStyle="1" w:styleId="Boxed2Text">
    <w:name w:val="Boxed 2 Text"/>
    <w:basedOn w:val="Boxed1Text"/>
    <w:qFormat/>
    <w:rsid w:val="00021B85"/>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21B85"/>
    <w:rPr>
      <w:b/>
      <w:sz w:val="24"/>
    </w:rPr>
  </w:style>
  <w:style w:type="character" w:styleId="PageNumber">
    <w:name w:val="page number"/>
    <w:basedOn w:val="DefaultParagraphFont"/>
    <w:uiPriority w:val="99"/>
    <w:unhideWhenUsed/>
    <w:rsid w:val="00021B85"/>
  </w:style>
  <w:style w:type="table" w:styleId="TableGridLight">
    <w:name w:val="Grid Table Light"/>
    <w:basedOn w:val="TableNormal"/>
    <w:uiPriority w:val="40"/>
    <w:rsid w:val="00021B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021B85"/>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rsid w:val="00021B85"/>
    <w:pPr>
      <w:spacing w:before="60"/>
    </w:pPr>
    <w:rPr>
      <w:sz w:val="18"/>
    </w:rPr>
  </w:style>
  <w:style w:type="paragraph" w:customStyle="1" w:styleId="TableSourceNotes">
    <w:name w:val="Table Source Notes"/>
    <w:basedOn w:val="TableText"/>
    <w:rsid w:val="00021B85"/>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021B85"/>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021B85"/>
    <w:rPr>
      <w:sz w:val="16"/>
      <w:szCs w:val="20"/>
    </w:rPr>
  </w:style>
  <w:style w:type="character" w:styleId="FootnoteReference">
    <w:name w:val="footnote reference"/>
    <w:basedOn w:val="DefaultParagraphFont"/>
    <w:uiPriority w:val="99"/>
    <w:semiHidden/>
    <w:unhideWhenUsed/>
    <w:rsid w:val="00021B85"/>
    <w:rPr>
      <w:vertAlign w:val="superscript"/>
    </w:rPr>
  </w:style>
  <w:style w:type="paragraph" w:customStyle="1" w:styleId="FootnoteSeparator">
    <w:name w:val="Footnote Separator"/>
    <w:basedOn w:val="Normal"/>
    <w:rsid w:val="00021B85"/>
    <w:pPr>
      <w:pBdr>
        <w:top w:val="single" w:sz="2" w:space="1" w:color="auto"/>
      </w:pBdr>
      <w:spacing w:before="0" w:after="0" w:line="240" w:lineRule="auto"/>
    </w:pPr>
  </w:style>
  <w:style w:type="character" w:styleId="PlaceholderText">
    <w:name w:val="Placeholder Text"/>
    <w:basedOn w:val="DefaultParagraphFont"/>
    <w:uiPriority w:val="99"/>
    <w:semiHidden/>
    <w:rsid w:val="00021B85"/>
    <w:rPr>
      <w:color w:val="808080"/>
    </w:rPr>
  </w:style>
  <w:style w:type="character" w:customStyle="1" w:styleId="Classification">
    <w:name w:val="Classification"/>
    <w:basedOn w:val="DefaultParagraphFont"/>
    <w:uiPriority w:val="1"/>
    <w:rsid w:val="00021B85"/>
    <w:rPr>
      <w:b/>
      <w:caps/>
      <w:smallCaps w:val="0"/>
      <w:sz w:val="24"/>
    </w:rPr>
  </w:style>
  <w:style w:type="paragraph" w:customStyle="1" w:styleId="Firstpagespace">
    <w:name w:val="First page space"/>
    <w:basedOn w:val="Normal"/>
    <w:rsid w:val="005A6C78"/>
    <w:pPr>
      <w:spacing w:after="1200"/>
    </w:pPr>
  </w:style>
  <w:style w:type="paragraph" w:styleId="Date">
    <w:name w:val="Date"/>
    <w:basedOn w:val="Normal"/>
    <w:next w:val="Normal"/>
    <w:link w:val="DateChar"/>
    <w:uiPriority w:val="99"/>
    <w:unhideWhenUsed/>
    <w:rsid w:val="00B807B0"/>
    <w:pPr>
      <w:spacing w:before="280" w:after="600"/>
      <w:jc w:val="right"/>
    </w:pPr>
    <w:rPr>
      <w:color w:val="CDE4E7" w:themeColor="accent1" w:themeTint="BF"/>
      <w:sz w:val="28"/>
    </w:rPr>
  </w:style>
  <w:style w:type="character" w:customStyle="1" w:styleId="DateChar">
    <w:name w:val="Date Char"/>
    <w:basedOn w:val="DefaultParagraphFont"/>
    <w:link w:val="Date"/>
    <w:uiPriority w:val="99"/>
    <w:rsid w:val="00B807B0"/>
    <w:rPr>
      <w:color w:val="BDDCDF" w:themeColor="accent1"/>
      <w:sz w:val="28"/>
    </w:rPr>
  </w:style>
  <w:style w:type="paragraph" w:styleId="ListParagraph">
    <w:name w:val="List Paragraph"/>
    <w:basedOn w:val="Normal"/>
    <w:uiPriority w:val="34"/>
    <w:qFormat/>
    <w:rsid w:val="004D2999"/>
    <w:pPr>
      <w:suppressAutoHyphens w:val="0"/>
      <w:spacing w:before="0" w:after="160" w:line="259" w:lineRule="auto"/>
      <w:ind w:left="720"/>
      <w:contextualSpacing/>
    </w:pPr>
    <w:rPr>
      <w:color w:val="auto"/>
    </w:rPr>
  </w:style>
  <w:style w:type="paragraph" w:styleId="BodyText">
    <w:name w:val="Body Text"/>
    <w:link w:val="BodyTextChar"/>
    <w:qFormat/>
    <w:rsid w:val="004D2999"/>
    <w:pPr>
      <w:spacing w:before="120" w:after="140" w:line="280" w:lineRule="atLeast"/>
    </w:pPr>
    <w:rPr>
      <w:rFonts w:cs="Times New Roman"/>
      <w:color w:val="000000" w:themeColor="text1"/>
      <w:szCs w:val="20"/>
    </w:rPr>
  </w:style>
  <w:style w:type="character" w:customStyle="1" w:styleId="BodyTextChar">
    <w:name w:val="Body Text Char"/>
    <w:basedOn w:val="DefaultParagraphFont"/>
    <w:link w:val="BodyText"/>
    <w:rsid w:val="004D2999"/>
    <w:rPr>
      <w:rFonts w:cs="Times New Roman"/>
      <w:color w:val="000000" w:themeColor="text1"/>
      <w:szCs w:val="20"/>
    </w:rPr>
  </w:style>
  <w:style w:type="paragraph" w:styleId="NoSpacing">
    <w:name w:val="No Spacing"/>
    <w:link w:val="NoSpacingChar"/>
    <w:uiPriority w:val="1"/>
    <w:qFormat/>
    <w:rsid w:val="004418A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418A0"/>
    <w:rPr>
      <w:rFonts w:eastAsiaTheme="minorEastAsia"/>
      <w:lang w:val="en-US"/>
    </w:rPr>
  </w:style>
  <w:style w:type="character" w:styleId="FollowedHyperlink">
    <w:name w:val="FollowedHyperlink"/>
    <w:basedOn w:val="DefaultParagraphFont"/>
    <w:uiPriority w:val="99"/>
    <w:semiHidden/>
    <w:unhideWhenUsed/>
    <w:rsid w:val="00FA258C"/>
    <w:rPr>
      <w:color w:val="954F72" w:themeColor="followedHyperlink"/>
      <w:u w:val="single"/>
    </w:rPr>
  </w:style>
  <w:style w:type="character" w:styleId="CommentReference">
    <w:name w:val="annotation reference"/>
    <w:basedOn w:val="DefaultParagraphFont"/>
    <w:uiPriority w:val="99"/>
    <w:semiHidden/>
    <w:unhideWhenUsed/>
    <w:rsid w:val="00186B32"/>
    <w:rPr>
      <w:sz w:val="16"/>
      <w:szCs w:val="16"/>
    </w:rPr>
  </w:style>
  <w:style w:type="paragraph" w:styleId="CommentText">
    <w:name w:val="annotation text"/>
    <w:basedOn w:val="Normal"/>
    <w:link w:val="CommentTextChar"/>
    <w:uiPriority w:val="99"/>
    <w:unhideWhenUsed/>
    <w:rsid w:val="00186B32"/>
    <w:pPr>
      <w:spacing w:line="240" w:lineRule="auto"/>
    </w:pPr>
    <w:rPr>
      <w:sz w:val="20"/>
      <w:szCs w:val="20"/>
    </w:rPr>
  </w:style>
  <w:style w:type="character" w:customStyle="1" w:styleId="CommentTextChar">
    <w:name w:val="Comment Text Char"/>
    <w:basedOn w:val="DefaultParagraphFont"/>
    <w:link w:val="CommentText"/>
    <w:uiPriority w:val="99"/>
    <w:rsid w:val="00186B32"/>
    <w:rPr>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186B32"/>
    <w:rPr>
      <w:b/>
      <w:bCs/>
    </w:rPr>
  </w:style>
  <w:style w:type="character" w:customStyle="1" w:styleId="CommentSubjectChar">
    <w:name w:val="Comment Subject Char"/>
    <w:basedOn w:val="CommentTextChar"/>
    <w:link w:val="CommentSubject"/>
    <w:uiPriority w:val="99"/>
    <w:semiHidden/>
    <w:rsid w:val="00186B32"/>
    <w:rPr>
      <w:b/>
      <w:bCs/>
      <w:color w:val="404040" w:themeColor="text1" w:themeTint="BF"/>
      <w:sz w:val="20"/>
      <w:szCs w:val="20"/>
    </w:rPr>
  </w:style>
  <w:style w:type="paragraph" w:styleId="BalloonText">
    <w:name w:val="Balloon Text"/>
    <w:basedOn w:val="Normal"/>
    <w:link w:val="BalloonTextChar"/>
    <w:uiPriority w:val="99"/>
    <w:semiHidden/>
    <w:unhideWhenUsed/>
    <w:rsid w:val="00186B3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B32"/>
    <w:rPr>
      <w:rFonts w:ascii="Segoe UI" w:hAnsi="Segoe UI" w:cs="Segoe UI"/>
      <w:color w:val="404040" w:themeColor="text1" w:themeTint="BF"/>
      <w:sz w:val="18"/>
      <w:szCs w:val="18"/>
    </w:rPr>
  </w:style>
  <w:style w:type="paragraph" w:customStyle="1" w:styleId="BodyText1">
    <w:name w:val="Body Text1"/>
    <w:basedOn w:val="Normal"/>
    <w:qFormat/>
    <w:rsid w:val="002F5A6F"/>
    <w:pPr>
      <w:suppressAutoHyphens w:val="0"/>
      <w:spacing w:before="0" w:after="120" w:line="240" w:lineRule="auto"/>
    </w:pPr>
    <w:rPr>
      <w:rFonts w:ascii="Cambria" w:eastAsia="Times New Roman" w:hAnsi="Cambria" w:cs="Times New Roman"/>
      <w:color w:val="auto"/>
      <w:szCs w:val="24"/>
    </w:rPr>
  </w:style>
  <w:style w:type="numbering" w:customStyle="1" w:styleId="Bullets">
    <w:name w:val="Bullets"/>
    <w:basedOn w:val="NoList"/>
    <w:uiPriority w:val="99"/>
    <w:rsid w:val="006E3B9D"/>
    <w:pPr>
      <w:numPr>
        <w:numId w:val="11"/>
      </w:numPr>
    </w:pPr>
  </w:style>
  <w:style w:type="paragraph" w:customStyle="1" w:styleId="Bullets1">
    <w:name w:val="Bullets 1"/>
    <w:basedOn w:val="BodyText"/>
    <w:qFormat/>
    <w:rsid w:val="006E3B9D"/>
    <w:pPr>
      <w:numPr>
        <w:numId w:val="11"/>
      </w:numPr>
    </w:pPr>
  </w:style>
  <w:style w:type="paragraph" w:customStyle="1" w:styleId="Bullets2">
    <w:name w:val="Bullets 2"/>
    <w:basedOn w:val="BodyText"/>
    <w:qFormat/>
    <w:rsid w:val="006E3B9D"/>
    <w:pPr>
      <w:numPr>
        <w:ilvl w:val="1"/>
        <w:numId w:val="11"/>
      </w:numPr>
    </w:pPr>
  </w:style>
  <w:style w:type="paragraph" w:customStyle="1" w:styleId="TableBullets2">
    <w:name w:val="Table Bullets 2"/>
    <w:basedOn w:val="TableText"/>
    <w:uiPriority w:val="20"/>
    <w:qFormat/>
    <w:rsid w:val="006E3B9D"/>
    <w:pPr>
      <w:numPr>
        <w:ilvl w:val="7"/>
        <w:numId w:val="11"/>
      </w:numPr>
      <w:suppressAutoHyphens w:val="0"/>
      <w:spacing w:before="40" w:after="100"/>
      <w:ind w:right="113"/>
    </w:pPr>
    <w:rPr>
      <w:rFonts w:cs="Times New Roman"/>
      <w:color w:val="000000" w:themeColor="text1"/>
      <w:sz w:val="22"/>
      <w:szCs w:val="20"/>
    </w:rPr>
  </w:style>
  <w:style w:type="paragraph" w:customStyle="1" w:styleId="TableBullets1">
    <w:name w:val="Table Bullets 1"/>
    <w:basedOn w:val="TableText"/>
    <w:uiPriority w:val="20"/>
    <w:qFormat/>
    <w:rsid w:val="006E3B9D"/>
    <w:pPr>
      <w:numPr>
        <w:ilvl w:val="6"/>
        <w:numId w:val="11"/>
      </w:numPr>
      <w:suppressAutoHyphens w:val="0"/>
      <w:spacing w:before="40" w:after="100"/>
      <w:ind w:right="113"/>
    </w:pPr>
    <w:rPr>
      <w:rFonts w:cs="Times New Roman"/>
      <w:color w:val="000000" w:themeColor="text1"/>
      <w:sz w:val="22"/>
      <w:szCs w:val="20"/>
    </w:rPr>
  </w:style>
  <w:style w:type="paragraph" w:styleId="NormalWeb">
    <w:name w:val="Normal (Web)"/>
    <w:basedOn w:val="Normal"/>
    <w:uiPriority w:val="99"/>
    <w:unhideWhenUsed/>
    <w:rsid w:val="006E3B9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Boxbulletedlist1">
    <w:name w:val="Box bulleted list 1"/>
    <w:basedOn w:val="Normal"/>
    <w:uiPriority w:val="25"/>
    <w:qFormat/>
    <w:rsid w:val="007525F1"/>
    <w:pPr>
      <w:suppressAutoHyphens w:val="0"/>
      <w:spacing w:before="140" w:after="0" w:line="240" w:lineRule="atLeast"/>
      <w:ind w:left="624" w:right="340" w:hanging="284"/>
    </w:pPr>
    <w:rPr>
      <w:rFonts w:cs="Times New Roman"/>
      <w:color w:val="000000" w:themeColor="text1"/>
      <w:sz w:val="20"/>
      <w:szCs w:val="20"/>
    </w:rPr>
  </w:style>
  <w:style w:type="paragraph" w:customStyle="1" w:styleId="Boxbulletedlist2">
    <w:name w:val="Box bulleted list 2"/>
    <w:basedOn w:val="Normal"/>
    <w:uiPriority w:val="25"/>
    <w:qFormat/>
    <w:rsid w:val="007525F1"/>
    <w:pPr>
      <w:suppressAutoHyphens w:val="0"/>
      <w:spacing w:before="140" w:after="0" w:line="240" w:lineRule="atLeast"/>
      <w:ind w:left="879" w:right="340" w:hanging="255"/>
    </w:pPr>
    <w:rPr>
      <w:rFonts w:cs="Times New Roman"/>
      <w:color w:val="000000" w:themeColor="text1"/>
      <w:sz w:val="20"/>
      <w:szCs w:val="20"/>
    </w:rPr>
  </w:style>
  <w:style w:type="paragraph" w:customStyle="1" w:styleId="Boxbulletedlist3">
    <w:name w:val="Box bulleted list 3"/>
    <w:basedOn w:val="Normal"/>
    <w:uiPriority w:val="25"/>
    <w:qFormat/>
    <w:rsid w:val="007525F1"/>
    <w:pPr>
      <w:suppressAutoHyphens w:val="0"/>
      <w:spacing w:before="140" w:after="0" w:line="240" w:lineRule="atLeast"/>
      <w:ind w:left="1077" w:right="340" w:hanging="198"/>
    </w:pPr>
    <w:rPr>
      <w:rFonts w:cs="Times New Roman"/>
      <w:color w:val="000000" w:themeColor="text1"/>
      <w:sz w:val="20"/>
      <w:szCs w:val="20"/>
    </w:rPr>
  </w:style>
  <w:style w:type="paragraph" w:customStyle="1" w:styleId="Bulletedlist1">
    <w:name w:val="Bulleted list 1"/>
    <w:basedOn w:val="Normal"/>
    <w:uiPriority w:val="1"/>
    <w:qFormat/>
    <w:rsid w:val="007525F1"/>
    <w:pPr>
      <w:suppressAutoHyphens w:val="0"/>
      <w:spacing w:before="85" w:after="0" w:line="240" w:lineRule="atLeast"/>
      <w:ind w:left="284" w:hanging="284"/>
    </w:pPr>
    <w:rPr>
      <w:rFonts w:cs="Times New Roman"/>
      <w:color w:val="000000" w:themeColor="text1"/>
      <w:sz w:val="20"/>
      <w:szCs w:val="20"/>
    </w:rPr>
  </w:style>
  <w:style w:type="paragraph" w:customStyle="1" w:styleId="Bulletedlist2">
    <w:name w:val="Bulleted list 2"/>
    <w:basedOn w:val="Normal"/>
    <w:uiPriority w:val="1"/>
    <w:qFormat/>
    <w:rsid w:val="007525F1"/>
    <w:pPr>
      <w:suppressAutoHyphens w:val="0"/>
      <w:spacing w:before="85" w:after="0" w:line="240" w:lineRule="atLeast"/>
      <w:ind w:left="539" w:hanging="255"/>
    </w:pPr>
    <w:rPr>
      <w:rFonts w:cs="Times New Roman"/>
      <w:color w:val="000000" w:themeColor="text1"/>
      <w:sz w:val="20"/>
      <w:szCs w:val="20"/>
    </w:rPr>
  </w:style>
  <w:style w:type="paragraph" w:customStyle="1" w:styleId="Bulletedlist3">
    <w:name w:val="Bulleted list 3"/>
    <w:basedOn w:val="Normal"/>
    <w:uiPriority w:val="1"/>
    <w:qFormat/>
    <w:rsid w:val="007525F1"/>
    <w:pPr>
      <w:suppressAutoHyphens w:val="0"/>
      <w:spacing w:before="57" w:after="0" w:line="240" w:lineRule="atLeast"/>
      <w:ind w:left="737" w:hanging="198"/>
    </w:pPr>
    <w:rPr>
      <w:rFonts w:cs="Times New Roman"/>
      <w:color w:val="000000" w:themeColor="text1"/>
      <w:sz w:val="20"/>
      <w:szCs w:val="20"/>
    </w:rPr>
  </w:style>
  <w:style w:type="paragraph" w:customStyle="1" w:styleId="Tablebulletedlist1">
    <w:name w:val="Table bulleted list 1"/>
    <w:basedOn w:val="TableText"/>
    <w:uiPriority w:val="20"/>
    <w:qFormat/>
    <w:rsid w:val="007525F1"/>
    <w:pPr>
      <w:suppressAutoHyphens w:val="0"/>
      <w:spacing w:before="85" w:after="0" w:line="240" w:lineRule="atLeast"/>
      <w:ind w:left="510" w:right="227" w:hanging="283"/>
    </w:pPr>
    <w:rPr>
      <w:rFonts w:cs="Times New Roman"/>
      <w:color w:val="000000" w:themeColor="text1"/>
      <w:sz w:val="20"/>
      <w:szCs w:val="20"/>
    </w:rPr>
  </w:style>
  <w:style w:type="paragraph" w:customStyle="1" w:styleId="Tablebulletedlist2">
    <w:name w:val="Table bulleted list 2"/>
    <w:basedOn w:val="TableText"/>
    <w:uiPriority w:val="20"/>
    <w:qFormat/>
    <w:rsid w:val="007525F1"/>
    <w:pPr>
      <w:suppressAutoHyphens w:val="0"/>
      <w:spacing w:before="85" w:after="0" w:line="240" w:lineRule="atLeast"/>
      <w:ind w:left="765" w:right="227" w:hanging="255"/>
    </w:pPr>
    <w:rPr>
      <w:rFonts w:cs="Times New Roman"/>
      <w:color w:val="000000" w:themeColor="text1"/>
      <w:sz w:val="20"/>
      <w:szCs w:val="20"/>
    </w:rPr>
  </w:style>
  <w:style w:type="paragraph" w:customStyle="1" w:styleId="Tablebulletedlist3">
    <w:name w:val="Table bulleted list 3"/>
    <w:basedOn w:val="TableText"/>
    <w:uiPriority w:val="20"/>
    <w:qFormat/>
    <w:rsid w:val="007525F1"/>
    <w:pPr>
      <w:suppressAutoHyphens w:val="0"/>
      <w:spacing w:before="57" w:after="0" w:line="240" w:lineRule="atLeast"/>
      <w:ind w:left="964" w:right="227" w:hanging="199"/>
    </w:pPr>
    <w:rPr>
      <w:rFonts w:cs="Times New Roman"/>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93175">
      <w:bodyDiv w:val="1"/>
      <w:marLeft w:val="0"/>
      <w:marRight w:val="0"/>
      <w:marTop w:val="0"/>
      <w:marBottom w:val="0"/>
      <w:divBdr>
        <w:top w:val="none" w:sz="0" w:space="0" w:color="auto"/>
        <w:left w:val="none" w:sz="0" w:space="0" w:color="auto"/>
        <w:bottom w:val="none" w:sz="0" w:space="0" w:color="auto"/>
        <w:right w:val="none" w:sz="0" w:space="0" w:color="auto"/>
      </w:divBdr>
      <w:divsChild>
        <w:div w:id="1310090674">
          <w:marLeft w:val="0"/>
          <w:marRight w:val="0"/>
          <w:marTop w:val="0"/>
          <w:marBottom w:val="0"/>
          <w:divBdr>
            <w:top w:val="none" w:sz="0" w:space="0" w:color="auto"/>
            <w:left w:val="none" w:sz="0" w:space="0" w:color="auto"/>
            <w:bottom w:val="none" w:sz="0" w:space="0" w:color="auto"/>
            <w:right w:val="none" w:sz="0" w:space="0" w:color="auto"/>
          </w:divBdr>
          <w:divsChild>
            <w:div w:id="643655843">
              <w:marLeft w:val="0"/>
              <w:marRight w:val="0"/>
              <w:marTop w:val="0"/>
              <w:marBottom w:val="0"/>
              <w:divBdr>
                <w:top w:val="none" w:sz="0" w:space="0" w:color="auto"/>
                <w:left w:val="none" w:sz="0" w:space="0" w:color="auto"/>
                <w:bottom w:val="none" w:sz="0" w:space="0" w:color="auto"/>
                <w:right w:val="none" w:sz="0" w:space="0" w:color="auto"/>
              </w:divBdr>
              <w:divsChild>
                <w:div w:id="816846116">
                  <w:marLeft w:val="0"/>
                  <w:marRight w:val="0"/>
                  <w:marTop w:val="0"/>
                  <w:marBottom w:val="0"/>
                  <w:divBdr>
                    <w:top w:val="none" w:sz="0" w:space="0" w:color="auto"/>
                    <w:left w:val="none" w:sz="0" w:space="0" w:color="auto"/>
                    <w:bottom w:val="none" w:sz="0" w:space="0" w:color="auto"/>
                    <w:right w:val="none" w:sz="0" w:space="0" w:color="auto"/>
                  </w:divBdr>
                  <w:divsChild>
                    <w:div w:id="1073771936">
                      <w:marLeft w:val="0"/>
                      <w:marRight w:val="0"/>
                      <w:marTop w:val="0"/>
                      <w:marBottom w:val="0"/>
                      <w:divBdr>
                        <w:top w:val="none" w:sz="0" w:space="0" w:color="auto"/>
                        <w:left w:val="none" w:sz="0" w:space="0" w:color="auto"/>
                        <w:bottom w:val="none" w:sz="0" w:space="0" w:color="auto"/>
                        <w:right w:val="none" w:sz="0" w:space="0" w:color="auto"/>
                      </w:divBdr>
                      <w:divsChild>
                        <w:div w:id="1987006651">
                          <w:marLeft w:val="0"/>
                          <w:marRight w:val="0"/>
                          <w:marTop w:val="0"/>
                          <w:marBottom w:val="0"/>
                          <w:divBdr>
                            <w:top w:val="none" w:sz="0" w:space="0" w:color="auto"/>
                            <w:left w:val="none" w:sz="0" w:space="0" w:color="auto"/>
                            <w:bottom w:val="none" w:sz="0" w:space="0" w:color="auto"/>
                            <w:right w:val="none" w:sz="0" w:space="0" w:color="auto"/>
                          </w:divBdr>
                          <w:divsChild>
                            <w:div w:id="889610710">
                              <w:marLeft w:val="0"/>
                              <w:marRight w:val="0"/>
                              <w:marTop w:val="0"/>
                              <w:marBottom w:val="0"/>
                              <w:divBdr>
                                <w:top w:val="none" w:sz="0" w:space="0" w:color="auto"/>
                                <w:left w:val="none" w:sz="0" w:space="0" w:color="auto"/>
                                <w:bottom w:val="none" w:sz="0" w:space="0" w:color="auto"/>
                                <w:right w:val="none" w:sz="0" w:space="0" w:color="auto"/>
                              </w:divBdr>
                              <w:divsChild>
                                <w:div w:id="1999308745">
                                  <w:marLeft w:val="0"/>
                                  <w:marRight w:val="0"/>
                                  <w:marTop w:val="0"/>
                                  <w:marBottom w:val="0"/>
                                  <w:divBdr>
                                    <w:top w:val="none" w:sz="0" w:space="0" w:color="auto"/>
                                    <w:left w:val="none" w:sz="0" w:space="0" w:color="auto"/>
                                    <w:bottom w:val="none" w:sz="0" w:space="0" w:color="auto"/>
                                    <w:right w:val="none" w:sz="0" w:space="0" w:color="auto"/>
                                  </w:divBdr>
                                  <w:divsChild>
                                    <w:div w:id="267006592">
                                      <w:marLeft w:val="0"/>
                                      <w:marRight w:val="0"/>
                                      <w:marTop w:val="0"/>
                                      <w:marBottom w:val="0"/>
                                      <w:divBdr>
                                        <w:top w:val="none" w:sz="0" w:space="0" w:color="auto"/>
                                        <w:left w:val="none" w:sz="0" w:space="0" w:color="auto"/>
                                        <w:bottom w:val="none" w:sz="0" w:space="0" w:color="auto"/>
                                        <w:right w:val="none" w:sz="0" w:space="0" w:color="auto"/>
                                      </w:divBdr>
                                      <w:divsChild>
                                        <w:div w:id="457602013">
                                          <w:marLeft w:val="0"/>
                                          <w:marRight w:val="0"/>
                                          <w:marTop w:val="0"/>
                                          <w:marBottom w:val="0"/>
                                          <w:divBdr>
                                            <w:top w:val="none" w:sz="0" w:space="0" w:color="auto"/>
                                            <w:left w:val="none" w:sz="0" w:space="0" w:color="auto"/>
                                            <w:bottom w:val="none" w:sz="0" w:space="0" w:color="auto"/>
                                            <w:right w:val="none" w:sz="0" w:space="0" w:color="auto"/>
                                          </w:divBdr>
                                          <w:divsChild>
                                            <w:div w:id="6587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540123">
      <w:bodyDiv w:val="1"/>
      <w:marLeft w:val="0"/>
      <w:marRight w:val="0"/>
      <w:marTop w:val="0"/>
      <w:marBottom w:val="0"/>
      <w:divBdr>
        <w:top w:val="none" w:sz="0" w:space="0" w:color="auto"/>
        <w:left w:val="none" w:sz="0" w:space="0" w:color="auto"/>
        <w:bottom w:val="none" w:sz="0" w:space="0" w:color="auto"/>
        <w:right w:val="none" w:sz="0" w:space="0" w:color="auto"/>
      </w:divBdr>
      <w:divsChild>
        <w:div w:id="494611693">
          <w:marLeft w:val="0"/>
          <w:marRight w:val="0"/>
          <w:marTop w:val="0"/>
          <w:marBottom w:val="0"/>
          <w:divBdr>
            <w:top w:val="none" w:sz="0" w:space="0" w:color="auto"/>
            <w:left w:val="none" w:sz="0" w:space="0" w:color="auto"/>
            <w:bottom w:val="none" w:sz="0" w:space="0" w:color="auto"/>
            <w:right w:val="none" w:sz="0" w:space="0" w:color="auto"/>
          </w:divBdr>
          <w:divsChild>
            <w:div w:id="652298269">
              <w:marLeft w:val="0"/>
              <w:marRight w:val="0"/>
              <w:marTop w:val="0"/>
              <w:marBottom w:val="0"/>
              <w:divBdr>
                <w:top w:val="none" w:sz="0" w:space="0" w:color="auto"/>
                <w:left w:val="none" w:sz="0" w:space="0" w:color="auto"/>
                <w:bottom w:val="none" w:sz="0" w:space="0" w:color="auto"/>
                <w:right w:val="none" w:sz="0" w:space="0" w:color="auto"/>
              </w:divBdr>
              <w:divsChild>
                <w:div w:id="1070469783">
                  <w:marLeft w:val="0"/>
                  <w:marRight w:val="0"/>
                  <w:marTop w:val="0"/>
                  <w:marBottom w:val="0"/>
                  <w:divBdr>
                    <w:top w:val="none" w:sz="0" w:space="0" w:color="auto"/>
                    <w:left w:val="none" w:sz="0" w:space="0" w:color="auto"/>
                    <w:bottom w:val="none" w:sz="0" w:space="0" w:color="auto"/>
                    <w:right w:val="none" w:sz="0" w:space="0" w:color="auto"/>
                  </w:divBdr>
                  <w:divsChild>
                    <w:div w:id="1690791578">
                      <w:marLeft w:val="0"/>
                      <w:marRight w:val="0"/>
                      <w:marTop w:val="0"/>
                      <w:marBottom w:val="0"/>
                      <w:divBdr>
                        <w:top w:val="none" w:sz="0" w:space="0" w:color="auto"/>
                        <w:left w:val="none" w:sz="0" w:space="0" w:color="auto"/>
                        <w:bottom w:val="none" w:sz="0" w:space="0" w:color="auto"/>
                        <w:right w:val="none" w:sz="0" w:space="0" w:color="auto"/>
                      </w:divBdr>
                      <w:divsChild>
                        <w:div w:id="1241524049">
                          <w:marLeft w:val="0"/>
                          <w:marRight w:val="0"/>
                          <w:marTop w:val="0"/>
                          <w:marBottom w:val="0"/>
                          <w:divBdr>
                            <w:top w:val="none" w:sz="0" w:space="0" w:color="auto"/>
                            <w:left w:val="none" w:sz="0" w:space="0" w:color="auto"/>
                            <w:bottom w:val="none" w:sz="0" w:space="0" w:color="auto"/>
                            <w:right w:val="none" w:sz="0" w:space="0" w:color="auto"/>
                          </w:divBdr>
                          <w:divsChild>
                            <w:div w:id="835262778">
                              <w:marLeft w:val="0"/>
                              <w:marRight w:val="0"/>
                              <w:marTop w:val="0"/>
                              <w:marBottom w:val="0"/>
                              <w:divBdr>
                                <w:top w:val="none" w:sz="0" w:space="0" w:color="auto"/>
                                <w:left w:val="none" w:sz="0" w:space="0" w:color="auto"/>
                                <w:bottom w:val="none" w:sz="0" w:space="0" w:color="auto"/>
                                <w:right w:val="none" w:sz="0" w:space="0" w:color="auto"/>
                              </w:divBdr>
                              <w:divsChild>
                                <w:div w:id="979067525">
                                  <w:marLeft w:val="0"/>
                                  <w:marRight w:val="0"/>
                                  <w:marTop w:val="0"/>
                                  <w:marBottom w:val="0"/>
                                  <w:divBdr>
                                    <w:top w:val="none" w:sz="0" w:space="0" w:color="auto"/>
                                    <w:left w:val="none" w:sz="0" w:space="0" w:color="auto"/>
                                    <w:bottom w:val="none" w:sz="0" w:space="0" w:color="auto"/>
                                    <w:right w:val="none" w:sz="0" w:space="0" w:color="auto"/>
                                  </w:divBdr>
                                  <w:divsChild>
                                    <w:div w:id="2041662904">
                                      <w:marLeft w:val="0"/>
                                      <w:marRight w:val="0"/>
                                      <w:marTop w:val="0"/>
                                      <w:marBottom w:val="0"/>
                                      <w:divBdr>
                                        <w:top w:val="none" w:sz="0" w:space="0" w:color="auto"/>
                                        <w:left w:val="none" w:sz="0" w:space="0" w:color="auto"/>
                                        <w:bottom w:val="none" w:sz="0" w:space="0" w:color="auto"/>
                                        <w:right w:val="none" w:sz="0" w:space="0" w:color="auto"/>
                                      </w:divBdr>
                                      <w:divsChild>
                                        <w:div w:id="823426827">
                                          <w:marLeft w:val="0"/>
                                          <w:marRight w:val="0"/>
                                          <w:marTop w:val="0"/>
                                          <w:marBottom w:val="0"/>
                                          <w:divBdr>
                                            <w:top w:val="none" w:sz="0" w:space="0" w:color="auto"/>
                                            <w:left w:val="none" w:sz="0" w:space="0" w:color="auto"/>
                                            <w:bottom w:val="none" w:sz="0" w:space="0" w:color="auto"/>
                                            <w:right w:val="none" w:sz="0" w:space="0" w:color="auto"/>
                                          </w:divBdr>
                                          <w:divsChild>
                                            <w:div w:id="2248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4410109">
      <w:bodyDiv w:val="1"/>
      <w:marLeft w:val="0"/>
      <w:marRight w:val="0"/>
      <w:marTop w:val="0"/>
      <w:marBottom w:val="0"/>
      <w:divBdr>
        <w:top w:val="none" w:sz="0" w:space="0" w:color="auto"/>
        <w:left w:val="none" w:sz="0" w:space="0" w:color="auto"/>
        <w:bottom w:val="none" w:sz="0" w:space="0" w:color="auto"/>
        <w:right w:val="none" w:sz="0" w:space="0" w:color="auto"/>
      </w:divBdr>
    </w:div>
    <w:div w:id="432089933">
      <w:bodyDiv w:val="1"/>
      <w:marLeft w:val="0"/>
      <w:marRight w:val="0"/>
      <w:marTop w:val="0"/>
      <w:marBottom w:val="0"/>
      <w:divBdr>
        <w:top w:val="none" w:sz="0" w:space="0" w:color="auto"/>
        <w:left w:val="none" w:sz="0" w:space="0" w:color="auto"/>
        <w:bottom w:val="none" w:sz="0" w:space="0" w:color="auto"/>
        <w:right w:val="none" w:sz="0" w:space="0" w:color="auto"/>
      </w:divBdr>
    </w:div>
    <w:div w:id="440876269">
      <w:bodyDiv w:val="1"/>
      <w:marLeft w:val="0"/>
      <w:marRight w:val="0"/>
      <w:marTop w:val="0"/>
      <w:marBottom w:val="0"/>
      <w:divBdr>
        <w:top w:val="none" w:sz="0" w:space="0" w:color="auto"/>
        <w:left w:val="none" w:sz="0" w:space="0" w:color="auto"/>
        <w:bottom w:val="none" w:sz="0" w:space="0" w:color="auto"/>
        <w:right w:val="none" w:sz="0" w:space="0" w:color="auto"/>
      </w:divBdr>
      <w:divsChild>
        <w:div w:id="291398940">
          <w:marLeft w:val="0"/>
          <w:marRight w:val="0"/>
          <w:marTop w:val="0"/>
          <w:marBottom w:val="0"/>
          <w:divBdr>
            <w:top w:val="none" w:sz="0" w:space="0" w:color="auto"/>
            <w:left w:val="none" w:sz="0" w:space="0" w:color="auto"/>
            <w:bottom w:val="none" w:sz="0" w:space="0" w:color="auto"/>
            <w:right w:val="none" w:sz="0" w:space="0" w:color="auto"/>
          </w:divBdr>
          <w:divsChild>
            <w:div w:id="712389886">
              <w:marLeft w:val="0"/>
              <w:marRight w:val="0"/>
              <w:marTop w:val="0"/>
              <w:marBottom w:val="0"/>
              <w:divBdr>
                <w:top w:val="none" w:sz="0" w:space="0" w:color="auto"/>
                <w:left w:val="none" w:sz="0" w:space="0" w:color="auto"/>
                <w:bottom w:val="none" w:sz="0" w:space="0" w:color="auto"/>
                <w:right w:val="none" w:sz="0" w:space="0" w:color="auto"/>
              </w:divBdr>
              <w:divsChild>
                <w:div w:id="79649055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023164652">
      <w:bodyDiv w:val="1"/>
      <w:marLeft w:val="0"/>
      <w:marRight w:val="0"/>
      <w:marTop w:val="0"/>
      <w:marBottom w:val="0"/>
      <w:divBdr>
        <w:top w:val="none" w:sz="0" w:space="0" w:color="auto"/>
        <w:left w:val="none" w:sz="0" w:space="0" w:color="auto"/>
        <w:bottom w:val="none" w:sz="0" w:space="0" w:color="auto"/>
        <w:right w:val="none" w:sz="0" w:space="0" w:color="auto"/>
      </w:divBdr>
    </w:div>
    <w:div w:id="1480541265">
      <w:bodyDiv w:val="1"/>
      <w:marLeft w:val="0"/>
      <w:marRight w:val="0"/>
      <w:marTop w:val="0"/>
      <w:marBottom w:val="0"/>
      <w:divBdr>
        <w:top w:val="none" w:sz="0" w:space="0" w:color="auto"/>
        <w:left w:val="none" w:sz="0" w:space="0" w:color="auto"/>
        <w:bottom w:val="none" w:sz="0" w:space="0" w:color="auto"/>
        <w:right w:val="none" w:sz="0" w:space="0" w:color="auto"/>
      </w:divBdr>
    </w:div>
    <w:div w:id="1806510844">
      <w:bodyDiv w:val="1"/>
      <w:marLeft w:val="0"/>
      <w:marRight w:val="0"/>
      <w:marTop w:val="0"/>
      <w:marBottom w:val="0"/>
      <w:divBdr>
        <w:top w:val="none" w:sz="0" w:space="0" w:color="auto"/>
        <w:left w:val="none" w:sz="0" w:space="0" w:color="auto"/>
        <w:bottom w:val="none" w:sz="0" w:space="0" w:color="auto"/>
        <w:right w:val="none" w:sz="0" w:space="0" w:color="auto"/>
      </w:divBdr>
    </w:div>
    <w:div w:id="1948459511">
      <w:bodyDiv w:val="1"/>
      <w:marLeft w:val="0"/>
      <w:marRight w:val="0"/>
      <w:marTop w:val="0"/>
      <w:marBottom w:val="0"/>
      <w:divBdr>
        <w:top w:val="none" w:sz="0" w:space="0" w:color="auto"/>
        <w:left w:val="none" w:sz="0" w:space="0" w:color="auto"/>
        <w:bottom w:val="none" w:sz="0" w:space="0" w:color="auto"/>
        <w:right w:val="none" w:sz="0" w:space="0" w:color="auto"/>
      </w:divBdr>
      <w:divsChild>
        <w:div w:id="1399088271">
          <w:marLeft w:val="0"/>
          <w:marRight w:val="0"/>
          <w:marTop w:val="0"/>
          <w:marBottom w:val="0"/>
          <w:divBdr>
            <w:top w:val="none" w:sz="0" w:space="0" w:color="auto"/>
            <w:left w:val="none" w:sz="0" w:space="0" w:color="auto"/>
            <w:bottom w:val="none" w:sz="0" w:space="0" w:color="auto"/>
            <w:right w:val="none" w:sz="0" w:space="0" w:color="auto"/>
          </w:divBdr>
          <w:divsChild>
            <w:div w:id="1651328514">
              <w:marLeft w:val="0"/>
              <w:marRight w:val="0"/>
              <w:marTop w:val="0"/>
              <w:marBottom w:val="0"/>
              <w:divBdr>
                <w:top w:val="none" w:sz="0" w:space="0" w:color="auto"/>
                <w:left w:val="none" w:sz="0" w:space="0" w:color="auto"/>
                <w:bottom w:val="none" w:sz="0" w:space="0" w:color="auto"/>
                <w:right w:val="none" w:sz="0" w:space="0" w:color="auto"/>
              </w:divBdr>
              <w:divsChild>
                <w:div w:id="17530972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inance.gov.au/sites/default/files/rmg421-grantconnect-publishing-grants.pdf" TargetMode="External"/><Relationship Id="rId18" Type="http://schemas.openxmlformats.org/officeDocument/2006/relationships/hyperlink" Target="https://www.youtube.com/watch?v=XttF5BL1D7c"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www.business.gov.au/for-government/business-grants-hub" TargetMode="External"/><Relationship Id="rId7" Type="http://schemas.openxmlformats.org/officeDocument/2006/relationships/endnotes" Target="endnotes.xml"/><Relationship Id="rId12" Type="http://schemas.openxmlformats.org/officeDocument/2006/relationships/hyperlink" Target="https://www.finance.gov.au/sites/default/files/rmg_411_0.pdf" TargetMode="External"/><Relationship Id="rId17" Type="http://schemas.openxmlformats.org/officeDocument/2006/relationships/hyperlink" Target="http://www.grants.gov.au" TargetMode="External"/><Relationship Id="rId25" Type="http://schemas.openxmlformats.org/officeDocument/2006/relationships/hyperlink" Target="http://australiancharities.acnc.gov.au/download/special-interest-reports/" TargetMode="External"/><Relationship Id="rId2" Type="http://schemas.openxmlformats.org/officeDocument/2006/relationships/numbering" Target="numbering.xml"/><Relationship Id="rId16" Type="http://schemas.openxmlformats.org/officeDocument/2006/relationships/hyperlink" Target="mailto:grants@finance.gov.au" TargetMode="External"/><Relationship Id="rId20" Type="http://schemas.openxmlformats.org/officeDocument/2006/relationships/hyperlink" Target="mailto:communications@communitygrants.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ato.gov.au/tpargov" TargetMode="External"/><Relationship Id="rId5" Type="http://schemas.openxmlformats.org/officeDocument/2006/relationships/webSettings" Target="webSettings.xml"/><Relationship Id="rId15" Type="http://schemas.openxmlformats.org/officeDocument/2006/relationships/hyperlink" Target="https://www.finance.gov.au/resource-management/grants/additional-guidance/" TargetMode="External"/><Relationship Id="rId23" Type="http://schemas.openxmlformats.org/officeDocument/2006/relationships/hyperlink" Target="mailto:grants@finance.gov.au" TargetMode="External"/><Relationship Id="rId28" Type="http://schemas.openxmlformats.org/officeDocument/2006/relationships/hyperlink" Target="mailto:grants@finance.gov.au" TargetMode="External"/><Relationship Id="rId10" Type="http://schemas.openxmlformats.org/officeDocument/2006/relationships/header" Target="header2.xml"/><Relationship Id="rId19" Type="http://schemas.openxmlformats.org/officeDocument/2006/relationships/hyperlink" Target="https://www.communitygrants.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inance.gov.au/sites/default/files/commonwealth-grants-rules-and-guidelines.pdf" TargetMode="External"/><Relationship Id="rId22" Type="http://schemas.openxmlformats.org/officeDocument/2006/relationships/hyperlink" Target="mailto:engage@industry.gov.au" TargetMode="External"/><Relationship Id="rId27" Type="http://schemas.openxmlformats.org/officeDocument/2006/relationships/hyperlink" Target="http://www.finance.gov.au/financial-framework/financial-management-policy-guidance/grants/news.ht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694AB-6890-451C-9115-DAAA7FE51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122CB638</Template>
  <TotalTime>1</TotalTime>
  <Pages>3</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Australian Government Grants News – July 2018 Edition</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Grants News – July 2018 Edition</dc:title>
  <dc:subject/>
  <dc:creator>Department of Finance</dc:creator>
  <cp:keywords/>
  <dc:description/>
  <cp:lastModifiedBy>Irvine, Silas</cp:lastModifiedBy>
  <cp:revision>2</cp:revision>
  <cp:lastPrinted>2018-06-28T00:59:00Z</cp:lastPrinted>
  <dcterms:created xsi:type="dcterms:W3CDTF">2019-12-04T00:52:00Z</dcterms:created>
  <dcterms:modified xsi:type="dcterms:W3CDTF">2019-12-04T00:52:00Z</dcterms:modified>
  <cp:contentStatus>Classification</cp:contentStatus>
</cp:coreProperties>
</file>