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CF" w:rsidRPr="000C3B86" w:rsidRDefault="003E08CF" w:rsidP="003E08CF"/>
    <w:p w:rsidR="00A73816" w:rsidRDefault="00A73816" w:rsidP="00A73816">
      <w:pPr>
        <w:pStyle w:val="Department"/>
      </w:pPr>
      <w:bookmarkStart w:id="0" w:name="FutureFund"/>
    </w:p>
    <w:p w:rsidR="00A73816" w:rsidRDefault="00A73816" w:rsidP="005B4B12">
      <w:pPr>
        <w:pStyle w:val="Title"/>
      </w:pPr>
      <w:bookmarkStart w:id="1" w:name="_Toc418078237"/>
      <w:bookmarkStart w:id="2" w:name="_Toc418078257"/>
      <w:r>
        <w:t>Future Fund Management Agency</w:t>
      </w:r>
      <w:bookmarkEnd w:id="1"/>
      <w:bookmarkEnd w:id="2"/>
    </w:p>
    <w:p w:rsidR="00A73816" w:rsidRDefault="00A73816" w:rsidP="00A73816">
      <w:pPr>
        <w:pStyle w:val="Department"/>
      </w:pPr>
    </w:p>
    <w:p w:rsidR="00A73816" w:rsidRDefault="00A73816" w:rsidP="00A73816">
      <w:pPr>
        <w:pStyle w:val="Department"/>
      </w:pPr>
    </w:p>
    <w:p w:rsidR="00A73816" w:rsidRDefault="00A73816" w:rsidP="00A73816">
      <w:pPr>
        <w:pStyle w:val="Department"/>
      </w:pPr>
    </w:p>
    <w:p w:rsidR="00A73816" w:rsidRDefault="00A73816" w:rsidP="00A73816">
      <w:pPr>
        <w:pStyle w:val="Department"/>
      </w:pPr>
    </w:p>
    <w:p w:rsidR="00A73816" w:rsidRDefault="00A73816" w:rsidP="00A73816">
      <w:pPr>
        <w:pStyle w:val="DepartmentSubtitle"/>
      </w:pPr>
      <w:r>
        <w:t>Entity Resources and Planned Performance</w:t>
      </w:r>
    </w:p>
    <w:p w:rsidR="00610267" w:rsidRDefault="00610267" w:rsidP="00A73816">
      <w:pPr>
        <w:sectPr w:rsidR="00610267" w:rsidSect="00AA27AA">
          <w:footerReference w:type="even" r:id="rId11"/>
          <w:footerReference w:type="default" r:id="rId12"/>
          <w:type w:val="oddPage"/>
          <w:pgSz w:w="11906" w:h="16838" w:code="9"/>
          <w:pgMar w:top="2466" w:right="2098" w:bottom="2466" w:left="2098" w:header="1899" w:footer="1899" w:gutter="0"/>
          <w:cols w:space="708"/>
          <w:titlePg/>
          <w:docGrid w:linePitch="360"/>
        </w:sectPr>
      </w:pPr>
    </w:p>
    <w:p w:rsidR="00A73816" w:rsidRDefault="00A73816" w:rsidP="00A73816">
      <w:pPr>
        <w:pStyle w:val="ContentsHeading"/>
        <w:keepNext w:val="0"/>
      </w:pPr>
      <w:r>
        <w:lastRenderedPageBreak/>
        <w:t>Future Fund Management Agency</w:t>
      </w:r>
    </w:p>
    <w:p w:rsidR="002E7E5B" w:rsidRDefault="00062D8E">
      <w:pPr>
        <w:pStyle w:val="TOC1"/>
        <w:rPr>
          <w:rFonts w:asciiTheme="minorHAnsi" w:eastAsiaTheme="minorEastAsia" w:hAnsiTheme="minorHAnsi" w:cstheme="minorBidi"/>
          <w:b w:val="0"/>
          <w:noProof/>
          <w:sz w:val="22"/>
          <w:szCs w:val="22"/>
        </w:rPr>
      </w:pPr>
      <w:r w:rsidRPr="00062D8E">
        <w:fldChar w:fldCharType="begin"/>
      </w:r>
      <w:r w:rsidR="00A73816" w:rsidRPr="00A73816">
        <w:instrText xml:space="preserve"> TOC \b FutureFund \h \z \t "Heading 3,1,Heading 4,2" </w:instrText>
      </w:r>
      <w:r w:rsidRPr="00062D8E">
        <w:fldChar w:fldCharType="separate"/>
      </w:r>
      <w:hyperlink w:anchor="_Toc418003432" w:history="1">
        <w:r w:rsidR="002E7E5B" w:rsidRPr="00A773BA">
          <w:rPr>
            <w:rStyle w:val="Hyperlink"/>
            <w:noProof/>
          </w:rPr>
          <w:t>Section 1: Entity Overview and Resources</w:t>
        </w:r>
        <w:r w:rsidR="002E7E5B">
          <w:rPr>
            <w:noProof/>
            <w:webHidden/>
          </w:rPr>
          <w:tab/>
        </w:r>
        <w:r>
          <w:rPr>
            <w:noProof/>
            <w:webHidden/>
          </w:rPr>
          <w:fldChar w:fldCharType="begin"/>
        </w:r>
        <w:r w:rsidR="002E7E5B">
          <w:rPr>
            <w:noProof/>
            <w:webHidden/>
          </w:rPr>
          <w:instrText xml:space="preserve"> PAGEREF _Toc418003432 \h </w:instrText>
        </w:r>
        <w:r>
          <w:rPr>
            <w:noProof/>
            <w:webHidden/>
          </w:rPr>
        </w:r>
        <w:r>
          <w:rPr>
            <w:noProof/>
            <w:webHidden/>
          </w:rPr>
          <w:fldChar w:fldCharType="separate"/>
        </w:r>
        <w:r w:rsidR="00276DA6">
          <w:rPr>
            <w:noProof/>
            <w:webHidden/>
          </w:rPr>
          <w:t>137</w:t>
        </w:r>
        <w:r>
          <w:rPr>
            <w:noProof/>
            <w:webHidden/>
          </w:rPr>
          <w:fldChar w:fldCharType="end"/>
        </w:r>
      </w:hyperlink>
    </w:p>
    <w:p w:rsidR="002E7E5B" w:rsidRDefault="00062D8E">
      <w:pPr>
        <w:pStyle w:val="TOC2"/>
        <w:tabs>
          <w:tab w:val="left" w:pos="800"/>
        </w:tabs>
        <w:rPr>
          <w:rFonts w:asciiTheme="minorHAnsi" w:eastAsiaTheme="minorEastAsia" w:hAnsiTheme="minorHAnsi" w:cstheme="minorBidi"/>
          <w:noProof/>
          <w:sz w:val="22"/>
          <w:szCs w:val="22"/>
        </w:rPr>
      </w:pPr>
      <w:hyperlink w:anchor="_Toc418003433" w:history="1">
        <w:r w:rsidR="002E7E5B" w:rsidRPr="00A773BA">
          <w:rPr>
            <w:rStyle w:val="Hyperlink"/>
            <w:noProof/>
          </w:rPr>
          <w:t>1.1</w:t>
        </w:r>
        <w:r w:rsidR="002E7E5B">
          <w:rPr>
            <w:rFonts w:asciiTheme="minorHAnsi" w:eastAsiaTheme="minorEastAsia" w:hAnsiTheme="minorHAnsi" w:cstheme="minorBidi"/>
            <w:noProof/>
            <w:sz w:val="22"/>
            <w:szCs w:val="22"/>
          </w:rPr>
          <w:tab/>
        </w:r>
        <w:r w:rsidR="002E7E5B" w:rsidRPr="00A773BA">
          <w:rPr>
            <w:rStyle w:val="Hyperlink"/>
            <w:noProof/>
          </w:rPr>
          <w:t>Strategic Direction Statement</w:t>
        </w:r>
        <w:r w:rsidR="002E7E5B">
          <w:rPr>
            <w:noProof/>
            <w:webHidden/>
          </w:rPr>
          <w:tab/>
        </w:r>
        <w:r>
          <w:rPr>
            <w:noProof/>
            <w:webHidden/>
          </w:rPr>
          <w:fldChar w:fldCharType="begin"/>
        </w:r>
        <w:r w:rsidR="002E7E5B">
          <w:rPr>
            <w:noProof/>
            <w:webHidden/>
          </w:rPr>
          <w:instrText xml:space="preserve"> PAGEREF _Toc418003433 \h </w:instrText>
        </w:r>
        <w:r>
          <w:rPr>
            <w:noProof/>
            <w:webHidden/>
          </w:rPr>
        </w:r>
        <w:r>
          <w:rPr>
            <w:noProof/>
            <w:webHidden/>
          </w:rPr>
          <w:fldChar w:fldCharType="separate"/>
        </w:r>
        <w:r w:rsidR="00276DA6">
          <w:rPr>
            <w:noProof/>
            <w:webHidden/>
          </w:rPr>
          <w:t>137</w:t>
        </w:r>
        <w:r>
          <w:rPr>
            <w:noProof/>
            <w:webHidden/>
          </w:rPr>
          <w:fldChar w:fldCharType="end"/>
        </w:r>
      </w:hyperlink>
    </w:p>
    <w:p w:rsidR="002E7E5B" w:rsidRDefault="00062D8E">
      <w:pPr>
        <w:pStyle w:val="TOC2"/>
        <w:tabs>
          <w:tab w:val="left" w:pos="800"/>
        </w:tabs>
        <w:rPr>
          <w:rFonts w:asciiTheme="minorHAnsi" w:eastAsiaTheme="minorEastAsia" w:hAnsiTheme="minorHAnsi" w:cstheme="minorBidi"/>
          <w:noProof/>
          <w:sz w:val="22"/>
          <w:szCs w:val="22"/>
        </w:rPr>
      </w:pPr>
      <w:hyperlink w:anchor="_Toc418003434" w:history="1">
        <w:r w:rsidR="002E7E5B" w:rsidRPr="00A773BA">
          <w:rPr>
            <w:rStyle w:val="Hyperlink"/>
            <w:noProof/>
          </w:rPr>
          <w:t>1.2</w:t>
        </w:r>
        <w:r w:rsidR="002E7E5B">
          <w:rPr>
            <w:rFonts w:asciiTheme="minorHAnsi" w:eastAsiaTheme="minorEastAsia" w:hAnsiTheme="minorHAnsi" w:cstheme="minorBidi"/>
            <w:noProof/>
            <w:sz w:val="22"/>
            <w:szCs w:val="22"/>
          </w:rPr>
          <w:tab/>
        </w:r>
        <w:r w:rsidR="002E7E5B" w:rsidRPr="00A773BA">
          <w:rPr>
            <w:rStyle w:val="Hyperlink"/>
            <w:noProof/>
          </w:rPr>
          <w:t>Entity Resource Statement</w:t>
        </w:r>
        <w:r w:rsidR="002E7E5B">
          <w:rPr>
            <w:noProof/>
            <w:webHidden/>
          </w:rPr>
          <w:tab/>
        </w:r>
        <w:r>
          <w:rPr>
            <w:noProof/>
            <w:webHidden/>
          </w:rPr>
          <w:fldChar w:fldCharType="begin"/>
        </w:r>
        <w:r w:rsidR="002E7E5B">
          <w:rPr>
            <w:noProof/>
            <w:webHidden/>
          </w:rPr>
          <w:instrText xml:space="preserve"> PAGEREF _Toc418003434 \h </w:instrText>
        </w:r>
        <w:r>
          <w:rPr>
            <w:noProof/>
            <w:webHidden/>
          </w:rPr>
        </w:r>
        <w:r>
          <w:rPr>
            <w:noProof/>
            <w:webHidden/>
          </w:rPr>
          <w:fldChar w:fldCharType="separate"/>
        </w:r>
        <w:r w:rsidR="00276DA6">
          <w:rPr>
            <w:noProof/>
            <w:webHidden/>
          </w:rPr>
          <w:t>138</w:t>
        </w:r>
        <w:r>
          <w:rPr>
            <w:noProof/>
            <w:webHidden/>
          </w:rPr>
          <w:fldChar w:fldCharType="end"/>
        </w:r>
      </w:hyperlink>
    </w:p>
    <w:p w:rsidR="002E7E5B" w:rsidRDefault="00062D8E">
      <w:pPr>
        <w:pStyle w:val="TOC2"/>
        <w:tabs>
          <w:tab w:val="left" w:pos="800"/>
        </w:tabs>
        <w:rPr>
          <w:rFonts w:asciiTheme="minorHAnsi" w:eastAsiaTheme="minorEastAsia" w:hAnsiTheme="minorHAnsi" w:cstheme="minorBidi"/>
          <w:noProof/>
          <w:sz w:val="22"/>
          <w:szCs w:val="22"/>
        </w:rPr>
      </w:pPr>
      <w:hyperlink w:anchor="_Toc418003435" w:history="1">
        <w:r w:rsidR="002E7E5B" w:rsidRPr="00A773BA">
          <w:rPr>
            <w:rStyle w:val="Hyperlink"/>
            <w:noProof/>
          </w:rPr>
          <w:t>1.3</w:t>
        </w:r>
        <w:r w:rsidR="002E7E5B">
          <w:rPr>
            <w:rFonts w:asciiTheme="minorHAnsi" w:eastAsiaTheme="minorEastAsia" w:hAnsiTheme="minorHAnsi" w:cstheme="minorBidi"/>
            <w:noProof/>
            <w:sz w:val="22"/>
            <w:szCs w:val="22"/>
          </w:rPr>
          <w:tab/>
        </w:r>
        <w:r w:rsidR="002E7E5B" w:rsidRPr="00A773BA">
          <w:rPr>
            <w:rStyle w:val="Hyperlink"/>
            <w:noProof/>
          </w:rPr>
          <w:t>Budget Measures</w:t>
        </w:r>
        <w:r w:rsidR="002E7E5B">
          <w:rPr>
            <w:noProof/>
            <w:webHidden/>
          </w:rPr>
          <w:tab/>
        </w:r>
        <w:r>
          <w:rPr>
            <w:noProof/>
            <w:webHidden/>
          </w:rPr>
          <w:fldChar w:fldCharType="begin"/>
        </w:r>
        <w:r w:rsidR="002E7E5B">
          <w:rPr>
            <w:noProof/>
            <w:webHidden/>
          </w:rPr>
          <w:instrText xml:space="preserve"> PAGEREF _Toc418003435 \h </w:instrText>
        </w:r>
        <w:r>
          <w:rPr>
            <w:noProof/>
            <w:webHidden/>
          </w:rPr>
        </w:r>
        <w:r>
          <w:rPr>
            <w:noProof/>
            <w:webHidden/>
          </w:rPr>
          <w:fldChar w:fldCharType="separate"/>
        </w:r>
        <w:r w:rsidR="00276DA6">
          <w:rPr>
            <w:noProof/>
            <w:webHidden/>
          </w:rPr>
          <w:t>138</w:t>
        </w:r>
        <w:r>
          <w:rPr>
            <w:noProof/>
            <w:webHidden/>
          </w:rPr>
          <w:fldChar w:fldCharType="end"/>
        </w:r>
      </w:hyperlink>
    </w:p>
    <w:p w:rsidR="002E7E5B" w:rsidRDefault="00062D8E">
      <w:pPr>
        <w:pStyle w:val="TOC1"/>
        <w:rPr>
          <w:rFonts w:asciiTheme="minorHAnsi" w:eastAsiaTheme="minorEastAsia" w:hAnsiTheme="minorHAnsi" w:cstheme="minorBidi"/>
          <w:b w:val="0"/>
          <w:noProof/>
          <w:sz w:val="22"/>
          <w:szCs w:val="22"/>
        </w:rPr>
      </w:pPr>
      <w:hyperlink w:anchor="_Toc418003436" w:history="1">
        <w:r w:rsidR="002E7E5B" w:rsidRPr="00A773BA">
          <w:rPr>
            <w:rStyle w:val="Hyperlink"/>
            <w:noProof/>
          </w:rPr>
          <w:t>Section 2: Outcomes and Planned Performance</w:t>
        </w:r>
        <w:r w:rsidR="002E7E5B">
          <w:rPr>
            <w:noProof/>
            <w:webHidden/>
          </w:rPr>
          <w:tab/>
        </w:r>
        <w:r>
          <w:rPr>
            <w:noProof/>
            <w:webHidden/>
          </w:rPr>
          <w:fldChar w:fldCharType="begin"/>
        </w:r>
        <w:r w:rsidR="002E7E5B">
          <w:rPr>
            <w:noProof/>
            <w:webHidden/>
          </w:rPr>
          <w:instrText xml:space="preserve"> PAGEREF _Toc418003436 \h </w:instrText>
        </w:r>
        <w:r>
          <w:rPr>
            <w:noProof/>
            <w:webHidden/>
          </w:rPr>
        </w:r>
        <w:r>
          <w:rPr>
            <w:noProof/>
            <w:webHidden/>
          </w:rPr>
          <w:fldChar w:fldCharType="separate"/>
        </w:r>
        <w:r w:rsidR="00276DA6">
          <w:rPr>
            <w:noProof/>
            <w:webHidden/>
          </w:rPr>
          <w:t>139</w:t>
        </w:r>
        <w:r>
          <w:rPr>
            <w:noProof/>
            <w:webHidden/>
          </w:rPr>
          <w:fldChar w:fldCharType="end"/>
        </w:r>
      </w:hyperlink>
    </w:p>
    <w:p w:rsidR="002E7E5B" w:rsidRDefault="00062D8E">
      <w:pPr>
        <w:pStyle w:val="TOC2"/>
        <w:tabs>
          <w:tab w:val="left" w:pos="800"/>
        </w:tabs>
        <w:rPr>
          <w:rFonts w:asciiTheme="minorHAnsi" w:eastAsiaTheme="minorEastAsia" w:hAnsiTheme="minorHAnsi" w:cstheme="minorBidi"/>
          <w:noProof/>
          <w:sz w:val="22"/>
          <w:szCs w:val="22"/>
        </w:rPr>
      </w:pPr>
      <w:hyperlink w:anchor="_Toc418003437" w:history="1">
        <w:r w:rsidR="002E7E5B" w:rsidRPr="00A773BA">
          <w:rPr>
            <w:rStyle w:val="Hyperlink"/>
            <w:noProof/>
          </w:rPr>
          <w:t>2.1</w:t>
        </w:r>
        <w:r w:rsidR="002E7E5B">
          <w:rPr>
            <w:rFonts w:asciiTheme="minorHAnsi" w:eastAsiaTheme="minorEastAsia" w:hAnsiTheme="minorHAnsi" w:cstheme="minorBidi"/>
            <w:noProof/>
            <w:sz w:val="22"/>
            <w:szCs w:val="22"/>
          </w:rPr>
          <w:tab/>
        </w:r>
        <w:r w:rsidR="002E7E5B" w:rsidRPr="00A773BA">
          <w:rPr>
            <w:rStyle w:val="Hyperlink"/>
            <w:noProof/>
          </w:rPr>
          <w:t>Outcomes and Performance Information</w:t>
        </w:r>
        <w:r w:rsidR="002E7E5B">
          <w:rPr>
            <w:noProof/>
            <w:webHidden/>
          </w:rPr>
          <w:tab/>
        </w:r>
        <w:r>
          <w:rPr>
            <w:noProof/>
            <w:webHidden/>
          </w:rPr>
          <w:fldChar w:fldCharType="begin"/>
        </w:r>
        <w:r w:rsidR="002E7E5B">
          <w:rPr>
            <w:noProof/>
            <w:webHidden/>
          </w:rPr>
          <w:instrText xml:space="preserve"> PAGEREF _Toc418003437 \h </w:instrText>
        </w:r>
        <w:r>
          <w:rPr>
            <w:noProof/>
            <w:webHidden/>
          </w:rPr>
        </w:r>
        <w:r>
          <w:rPr>
            <w:noProof/>
            <w:webHidden/>
          </w:rPr>
          <w:fldChar w:fldCharType="separate"/>
        </w:r>
        <w:r w:rsidR="00276DA6">
          <w:rPr>
            <w:noProof/>
            <w:webHidden/>
          </w:rPr>
          <w:t>139</w:t>
        </w:r>
        <w:r>
          <w:rPr>
            <w:noProof/>
            <w:webHidden/>
          </w:rPr>
          <w:fldChar w:fldCharType="end"/>
        </w:r>
      </w:hyperlink>
    </w:p>
    <w:p w:rsidR="002E7E5B" w:rsidRDefault="00062D8E">
      <w:pPr>
        <w:pStyle w:val="TOC1"/>
        <w:rPr>
          <w:rFonts w:asciiTheme="minorHAnsi" w:eastAsiaTheme="minorEastAsia" w:hAnsiTheme="minorHAnsi" w:cstheme="minorBidi"/>
          <w:b w:val="0"/>
          <w:noProof/>
          <w:sz w:val="22"/>
          <w:szCs w:val="22"/>
        </w:rPr>
      </w:pPr>
      <w:hyperlink w:anchor="_Toc418003438" w:history="1">
        <w:r w:rsidR="002E7E5B" w:rsidRPr="00A773BA">
          <w:rPr>
            <w:rStyle w:val="Hyperlink"/>
            <w:noProof/>
          </w:rPr>
          <w:t>Section 3: Explanatory Tables and Budgeted Financial Statements</w:t>
        </w:r>
        <w:r w:rsidR="002E7E5B">
          <w:rPr>
            <w:noProof/>
            <w:webHidden/>
          </w:rPr>
          <w:tab/>
        </w:r>
        <w:r>
          <w:rPr>
            <w:noProof/>
            <w:webHidden/>
          </w:rPr>
          <w:fldChar w:fldCharType="begin"/>
        </w:r>
        <w:r w:rsidR="002E7E5B">
          <w:rPr>
            <w:noProof/>
            <w:webHidden/>
          </w:rPr>
          <w:instrText xml:space="preserve"> PAGEREF _Toc418003438 \h </w:instrText>
        </w:r>
        <w:r>
          <w:rPr>
            <w:noProof/>
            <w:webHidden/>
          </w:rPr>
        </w:r>
        <w:r>
          <w:rPr>
            <w:noProof/>
            <w:webHidden/>
          </w:rPr>
          <w:fldChar w:fldCharType="separate"/>
        </w:r>
        <w:r w:rsidR="00276DA6">
          <w:rPr>
            <w:noProof/>
            <w:webHidden/>
          </w:rPr>
          <w:t>143</w:t>
        </w:r>
        <w:r>
          <w:rPr>
            <w:noProof/>
            <w:webHidden/>
          </w:rPr>
          <w:fldChar w:fldCharType="end"/>
        </w:r>
      </w:hyperlink>
    </w:p>
    <w:p w:rsidR="002E7E5B" w:rsidRDefault="00062D8E">
      <w:pPr>
        <w:pStyle w:val="TOC2"/>
        <w:tabs>
          <w:tab w:val="left" w:pos="800"/>
        </w:tabs>
        <w:rPr>
          <w:rFonts w:asciiTheme="minorHAnsi" w:eastAsiaTheme="minorEastAsia" w:hAnsiTheme="minorHAnsi" w:cstheme="minorBidi"/>
          <w:noProof/>
          <w:sz w:val="22"/>
          <w:szCs w:val="22"/>
        </w:rPr>
      </w:pPr>
      <w:hyperlink w:anchor="_Toc418003439" w:history="1">
        <w:r w:rsidR="002E7E5B" w:rsidRPr="00A773BA">
          <w:rPr>
            <w:rStyle w:val="Hyperlink"/>
            <w:noProof/>
          </w:rPr>
          <w:t>3.1</w:t>
        </w:r>
        <w:r w:rsidR="002E7E5B">
          <w:rPr>
            <w:rFonts w:asciiTheme="minorHAnsi" w:eastAsiaTheme="minorEastAsia" w:hAnsiTheme="minorHAnsi" w:cstheme="minorBidi"/>
            <w:noProof/>
            <w:sz w:val="22"/>
            <w:szCs w:val="22"/>
          </w:rPr>
          <w:tab/>
        </w:r>
        <w:r w:rsidR="002E7E5B" w:rsidRPr="00A773BA">
          <w:rPr>
            <w:rStyle w:val="Hyperlink"/>
            <w:noProof/>
          </w:rPr>
          <w:t>Explanatory Tables</w:t>
        </w:r>
        <w:r w:rsidR="002E7E5B">
          <w:rPr>
            <w:noProof/>
            <w:webHidden/>
          </w:rPr>
          <w:tab/>
        </w:r>
        <w:r>
          <w:rPr>
            <w:noProof/>
            <w:webHidden/>
          </w:rPr>
          <w:fldChar w:fldCharType="begin"/>
        </w:r>
        <w:r w:rsidR="002E7E5B">
          <w:rPr>
            <w:noProof/>
            <w:webHidden/>
          </w:rPr>
          <w:instrText xml:space="preserve"> PAGEREF _Toc418003439 \h </w:instrText>
        </w:r>
        <w:r>
          <w:rPr>
            <w:noProof/>
            <w:webHidden/>
          </w:rPr>
        </w:r>
        <w:r>
          <w:rPr>
            <w:noProof/>
            <w:webHidden/>
          </w:rPr>
          <w:fldChar w:fldCharType="separate"/>
        </w:r>
        <w:r w:rsidR="00276DA6">
          <w:rPr>
            <w:noProof/>
            <w:webHidden/>
          </w:rPr>
          <w:t>143</w:t>
        </w:r>
        <w:r>
          <w:rPr>
            <w:noProof/>
            <w:webHidden/>
          </w:rPr>
          <w:fldChar w:fldCharType="end"/>
        </w:r>
      </w:hyperlink>
    </w:p>
    <w:p w:rsidR="002E7E5B" w:rsidRDefault="00062D8E">
      <w:pPr>
        <w:pStyle w:val="TOC2"/>
        <w:tabs>
          <w:tab w:val="left" w:pos="800"/>
        </w:tabs>
        <w:rPr>
          <w:rFonts w:asciiTheme="minorHAnsi" w:eastAsiaTheme="minorEastAsia" w:hAnsiTheme="minorHAnsi" w:cstheme="minorBidi"/>
          <w:noProof/>
          <w:sz w:val="22"/>
          <w:szCs w:val="22"/>
        </w:rPr>
      </w:pPr>
      <w:hyperlink w:anchor="_Toc418003440" w:history="1">
        <w:r w:rsidR="002E7E5B" w:rsidRPr="00A773BA">
          <w:rPr>
            <w:rStyle w:val="Hyperlink"/>
            <w:noProof/>
          </w:rPr>
          <w:t>3.2</w:t>
        </w:r>
        <w:r w:rsidR="002E7E5B">
          <w:rPr>
            <w:rFonts w:asciiTheme="minorHAnsi" w:eastAsiaTheme="minorEastAsia" w:hAnsiTheme="minorHAnsi" w:cstheme="minorBidi"/>
            <w:noProof/>
            <w:sz w:val="22"/>
            <w:szCs w:val="22"/>
          </w:rPr>
          <w:tab/>
        </w:r>
        <w:r w:rsidR="002E7E5B" w:rsidRPr="00A773BA">
          <w:rPr>
            <w:rStyle w:val="Hyperlink"/>
            <w:noProof/>
          </w:rPr>
          <w:t>Budgeted Financial Statements</w:t>
        </w:r>
        <w:r w:rsidR="002E7E5B">
          <w:rPr>
            <w:noProof/>
            <w:webHidden/>
          </w:rPr>
          <w:tab/>
        </w:r>
        <w:r>
          <w:rPr>
            <w:noProof/>
            <w:webHidden/>
          </w:rPr>
          <w:fldChar w:fldCharType="begin"/>
        </w:r>
        <w:r w:rsidR="002E7E5B">
          <w:rPr>
            <w:noProof/>
            <w:webHidden/>
          </w:rPr>
          <w:instrText xml:space="preserve"> PAGEREF _Toc418003440 \h </w:instrText>
        </w:r>
        <w:r>
          <w:rPr>
            <w:noProof/>
            <w:webHidden/>
          </w:rPr>
        </w:r>
        <w:r>
          <w:rPr>
            <w:noProof/>
            <w:webHidden/>
          </w:rPr>
          <w:fldChar w:fldCharType="separate"/>
        </w:r>
        <w:r w:rsidR="00276DA6">
          <w:rPr>
            <w:noProof/>
            <w:webHidden/>
          </w:rPr>
          <w:t>144</w:t>
        </w:r>
        <w:r>
          <w:rPr>
            <w:noProof/>
            <w:webHidden/>
          </w:rPr>
          <w:fldChar w:fldCharType="end"/>
        </w:r>
      </w:hyperlink>
    </w:p>
    <w:p w:rsidR="00A73816" w:rsidRPr="00A73816" w:rsidRDefault="00062D8E" w:rsidP="00A73816">
      <w:r w:rsidRPr="00A73816">
        <w:fldChar w:fldCharType="end"/>
      </w:r>
    </w:p>
    <w:p w:rsidR="00A73816" w:rsidRDefault="00A73816" w:rsidP="00A73816">
      <w:pPr>
        <w:sectPr w:rsidR="00A73816" w:rsidSect="00863578">
          <w:footerReference w:type="first" r:id="rId13"/>
          <w:type w:val="oddPage"/>
          <w:pgSz w:w="11906" w:h="16838" w:code="9"/>
          <w:pgMar w:top="2466" w:right="2098" w:bottom="2466" w:left="2098" w:header="1899" w:footer="1899" w:gutter="0"/>
          <w:pgNumType w:start="135"/>
          <w:cols w:space="708"/>
          <w:titlePg/>
          <w:docGrid w:linePitch="360"/>
        </w:sectPr>
      </w:pPr>
    </w:p>
    <w:p w:rsidR="00A73816" w:rsidRDefault="00A73816" w:rsidP="00A442CD">
      <w:pPr>
        <w:pStyle w:val="Heading2"/>
      </w:pPr>
      <w:bookmarkStart w:id="3" w:name="_Toc417373593"/>
      <w:bookmarkStart w:id="4" w:name="_Toc417895939"/>
      <w:r>
        <w:lastRenderedPageBreak/>
        <w:t>Future Fund Management Agency</w:t>
      </w:r>
      <w:bookmarkEnd w:id="3"/>
      <w:bookmarkEnd w:id="4"/>
    </w:p>
    <w:p w:rsidR="00A73816" w:rsidRPr="003553DE" w:rsidRDefault="00A73816" w:rsidP="00A73816">
      <w:pPr>
        <w:pStyle w:val="Heading3"/>
      </w:pPr>
      <w:bookmarkStart w:id="5" w:name="_Toc417292341"/>
      <w:bookmarkStart w:id="6" w:name="_Toc417292383"/>
      <w:bookmarkStart w:id="7" w:name="_Toc418003432"/>
      <w:r w:rsidRPr="003553DE">
        <w:t>Section 1: Entity Overview and Resources</w:t>
      </w:r>
      <w:bookmarkEnd w:id="5"/>
      <w:bookmarkEnd w:id="6"/>
      <w:bookmarkEnd w:id="7"/>
    </w:p>
    <w:p w:rsidR="00A73816" w:rsidRPr="002F5C83" w:rsidRDefault="00A73816" w:rsidP="00A73816">
      <w:pPr>
        <w:pStyle w:val="Heading4"/>
      </w:pPr>
      <w:bookmarkStart w:id="8" w:name="_Toc417292342"/>
      <w:bookmarkStart w:id="9" w:name="_Toc417292384"/>
      <w:bookmarkStart w:id="10" w:name="_Toc418003433"/>
      <w:r w:rsidRPr="002F5C83">
        <w:t>1.1</w:t>
      </w:r>
      <w:r w:rsidRPr="002F5C83">
        <w:tab/>
        <w:t>Strategic Direction Statement</w:t>
      </w:r>
      <w:bookmarkEnd w:id="8"/>
      <w:bookmarkEnd w:id="9"/>
      <w:bookmarkEnd w:id="10"/>
    </w:p>
    <w:p w:rsidR="00A73816" w:rsidRPr="00DE376F" w:rsidRDefault="00A73816" w:rsidP="00A73816">
      <w:pPr>
        <w:pStyle w:val="Exampletext"/>
        <w:rPr>
          <w:i w:val="0"/>
          <w:color w:val="auto"/>
        </w:rPr>
      </w:pPr>
      <w:r w:rsidRPr="00DE376F">
        <w:rPr>
          <w:i w:val="0"/>
          <w:color w:val="auto"/>
        </w:rPr>
        <w:t xml:space="preserve">The Future Fund Management Agency (FFMA) was established by the </w:t>
      </w:r>
      <w:r>
        <w:rPr>
          <w:color w:val="auto"/>
        </w:rPr>
        <w:t>Future Fund Act </w:t>
      </w:r>
      <w:r w:rsidRPr="00DE376F">
        <w:rPr>
          <w:color w:val="auto"/>
        </w:rPr>
        <w:t>2006</w:t>
      </w:r>
      <w:r w:rsidRPr="00DE376F">
        <w:rPr>
          <w:i w:val="0"/>
          <w:color w:val="auto"/>
        </w:rPr>
        <w:t xml:space="preserve"> to support and advise the Future Fund Board of Guardians (the Board) in its task of investing the assets of the Future Fund. </w:t>
      </w:r>
    </w:p>
    <w:p w:rsidR="00A73816" w:rsidRDefault="00A73816" w:rsidP="00A73816">
      <w:pPr>
        <w:pStyle w:val="Exampletext"/>
        <w:rPr>
          <w:i w:val="0"/>
          <w:color w:val="auto"/>
        </w:rPr>
      </w:pPr>
      <w:r w:rsidRPr="00DE376F">
        <w:rPr>
          <w:i w:val="0"/>
          <w:color w:val="auto"/>
        </w:rPr>
        <w:t xml:space="preserve">The scope of the FFMA and the Board was extended by the </w:t>
      </w:r>
      <w:r>
        <w:rPr>
          <w:color w:val="auto"/>
        </w:rPr>
        <w:t>Nation-building Funds Act </w:t>
      </w:r>
      <w:r w:rsidRPr="000B047A">
        <w:rPr>
          <w:color w:val="auto"/>
        </w:rPr>
        <w:t>2008</w:t>
      </w:r>
      <w:r w:rsidRPr="00DE376F">
        <w:rPr>
          <w:i w:val="0"/>
          <w:color w:val="auto"/>
        </w:rPr>
        <w:t xml:space="preserve"> </w:t>
      </w:r>
      <w:r>
        <w:rPr>
          <w:i w:val="0"/>
          <w:color w:val="auto"/>
        </w:rPr>
        <w:t>and subsequently by t</w:t>
      </w:r>
      <w:r w:rsidRPr="00BC184E">
        <w:rPr>
          <w:i w:val="0"/>
          <w:color w:val="auto"/>
        </w:rPr>
        <w:t xml:space="preserve">he </w:t>
      </w:r>
      <w:r w:rsidRPr="00C35C95">
        <w:rPr>
          <w:color w:val="auto"/>
        </w:rPr>
        <w:t>National Disability Insurance Scheme Act</w:t>
      </w:r>
      <w:r w:rsidRPr="00BC184E">
        <w:rPr>
          <w:i w:val="0"/>
          <w:color w:val="auto"/>
        </w:rPr>
        <w:t xml:space="preserve"> </w:t>
      </w:r>
      <w:r w:rsidRPr="000B047A">
        <w:rPr>
          <w:color w:val="auto"/>
        </w:rPr>
        <w:t>2013</w:t>
      </w:r>
      <w:r w:rsidRPr="00BC184E">
        <w:rPr>
          <w:i w:val="0"/>
          <w:color w:val="auto"/>
        </w:rPr>
        <w:t xml:space="preserve"> </w:t>
      </w:r>
      <w:r w:rsidRPr="00DE376F">
        <w:rPr>
          <w:i w:val="0"/>
          <w:color w:val="auto"/>
        </w:rPr>
        <w:t xml:space="preserve">to include the management of investments to grow other Australian Government Asset Funds as a means to provide financing sources for substantial future investments in </w:t>
      </w:r>
      <w:bookmarkStart w:id="11" w:name="_GoBack"/>
      <w:r w:rsidRPr="00DE376F">
        <w:rPr>
          <w:i w:val="0"/>
          <w:color w:val="auto"/>
        </w:rPr>
        <w:t>the Australian economy.</w:t>
      </w:r>
      <w:r>
        <w:rPr>
          <w:i w:val="0"/>
          <w:color w:val="auto"/>
        </w:rPr>
        <w:t xml:space="preserve"> </w:t>
      </w:r>
      <w:r w:rsidRPr="00DE376F">
        <w:rPr>
          <w:i w:val="0"/>
          <w:color w:val="auto"/>
        </w:rPr>
        <w:t xml:space="preserve">As a result the FFMA supports the Board in managing </w:t>
      </w:r>
      <w:bookmarkEnd w:id="11"/>
      <w:r w:rsidRPr="00DE376F">
        <w:rPr>
          <w:i w:val="0"/>
          <w:color w:val="auto"/>
        </w:rPr>
        <w:t>investments of the Future Fund, Building Australia Fund</w:t>
      </w:r>
      <w:r>
        <w:rPr>
          <w:i w:val="0"/>
          <w:color w:val="auto"/>
        </w:rPr>
        <w:t xml:space="preserve"> (BAF)</w:t>
      </w:r>
      <w:r w:rsidRPr="00DE376F">
        <w:rPr>
          <w:i w:val="0"/>
          <w:color w:val="auto"/>
        </w:rPr>
        <w:t xml:space="preserve">, Education Investment Fund </w:t>
      </w:r>
      <w:r>
        <w:rPr>
          <w:i w:val="0"/>
          <w:color w:val="auto"/>
        </w:rPr>
        <w:t xml:space="preserve">(EIF), </w:t>
      </w:r>
      <w:r w:rsidRPr="00DE376F">
        <w:rPr>
          <w:i w:val="0"/>
          <w:color w:val="auto"/>
        </w:rPr>
        <w:t>Health and Hospitals Fund</w:t>
      </w:r>
      <w:r>
        <w:rPr>
          <w:i w:val="0"/>
          <w:color w:val="auto"/>
        </w:rPr>
        <w:t xml:space="preserve"> (HHF) and </w:t>
      </w:r>
      <w:r w:rsidRPr="00276077">
        <w:rPr>
          <w:i w:val="0"/>
          <w:color w:val="auto"/>
        </w:rPr>
        <w:t>DisabilityCare Australia Fund</w:t>
      </w:r>
      <w:r>
        <w:rPr>
          <w:i w:val="0"/>
          <w:color w:val="auto"/>
        </w:rPr>
        <w:t xml:space="preserve"> (DCAF).</w:t>
      </w:r>
    </w:p>
    <w:p w:rsidR="00A73816" w:rsidRDefault="00A73816" w:rsidP="00A73816">
      <w:pPr>
        <w:pStyle w:val="Exampletext"/>
        <w:rPr>
          <w:i w:val="0"/>
          <w:color w:val="auto"/>
        </w:rPr>
      </w:pPr>
      <w:r w:rsidRPr="00B22C56">
        <w:rPr>
          <w:i w:val="0"/>
          <w:color w:val="auto"/>
        </w:rPr>
        <w:t xml:space="preserve">Subject to the passage of legislation, the scope of the Board and FFMA is to be broadened by the establishment of two new Australian Government Investment Funds; </w:t>
      </w:r>
      <w:r w:rsidRPr="00684545">
        <w:rPr>
          <w:i w:val="0"/>
          <w:color w:val="auto"/>
        </w:rPr>
        <w:t>the Asset Recycling Fund (ARF);</w:t>
      </w:r>
      <w:r w:rsidRPr="00B22C56">
        <w:rPr>
          <w:i w:val="0"/>
          <w:color w:val="auto"/>
        </w:rPr>
        <w:t xml:space="preserve"> and the Medical Research Future Fund (MRFF). The three Nation-building Funds will be abolished through a repeal of the </w:t>
      </w:r>
      <w:r w:rsidRPr="00B22C56">
        <w:rPr>
          <w:color w:val="auto"/>
        </w:rPr>
        <w:t>Nation-building Funds Act 2008.</w:t>
      </w:r>
      <w:r>
        <w:rPr>
          <w:i w:val="0"/>
          <w:color w:val="auto"/>
        </w:rPr>
        <w:t xml:space="preserve"> </w:t>
      </w:r>
    </w:p>
    <w:p w:rsidR="00A73816" w:rsidRPr="00DE376F" w:rsidRDefault="00A73816" w:rsidP="00A73816">
      <w:pPr>
        <w:pStyle w:val="Exampletext"/>
        <w:rPr>
          <w:i w:val="0"/>
          <w:color w:val="auto"/>
        </w:rPr>
      </w:pPr>
      <w:r>
        <w:rPr>
          <w:i w:val="0"/>
          <w:color w:val="auto"/>
        </w:rPr>
        <w:t>T</w:t>
      </w:r>
      <w:r w:rsidRPr="00DE376F">
        <w:rPr>
          <w:i w:val="0"/>
          <w:color w:val="auto"/>
        </w:rPr>
        <w:t>he FFMA focuse</w:t>
      </w:r>
      <w:r>
        <w:rPr>
          <w:i w:val="0"/>
          <w:color w:val="auto"/>
        </w:rPr>
        <w:t>s</w:t>
      </w:r>
      <w:r w:rsidRPr="00DE376F">
        <w:rPr>
          <w:i w:val="0"/>
          <w:color w:val="auto"/>
        </w:rPr>
        <w:t xml:space="preserve"> on supporting and advising the Board in developing and implementing</w:t>
      </w:r>
      <w:r>
        <w:rPr>
          <w:i w:val="0"/>
          <w:color w:val="auto"/>
        </w:rPr>
        <w:t xml:space="preserve"> appropriate investment strategies for the funds. </w:t>
      </w:r>
    </w:p>
    <w:p w:rsidR="00A73816" w:rsidRPr="00CC2D15" w:rsidRDefault="00A73816" w:rsidP="00A73816">
      <w:pPr>
        <w:pStyle w:val="Exampletext"/>
        <w:rPr>
          <w:i w:val="0"/>
          <w:color w:val="auto"/>
        </w:rPr>
      </w:pPr>
      <w:r w:rsidRPr="00DE376F">
        <w:rPr>
          <w:i w:val="0"/>
          <w:color w:val="auto"/>
        </w:rPr>
        <w:t>The Future Fund</w:t>
      </w:r>
      <w:r>
        <w:rPr>
          <w:i w:val="0"/>
          <w:color w:val="auto"/>
        </w:rPr>
        <w:t xml:space="preserve">’s portfolio has now been significantly invested </w:t>
      </w:r>
      <w:r w:rsidR="00831A3F">
        <w:rPr>
          <w:i w:val="0"/>
          <w:color w:val="auto"/>
        </w:rPr>
        <w:t>and</w:t>
      </w:r>
      <w:r>
        <w:rPr>
          <w:i w:val="0"/>
          <w:color w:val="auto"/>
        </w:rPr>
        <w:t xml:space="preserve"> will continue to evolve as the Board manages the portfolio in line with its mandate and strategy. The approach to managing the portfolio is detailed in the 2013-14 Future Fund Annual Report. </w:t>
      </w:r>
      <w:r w:rsidRPr="00DE376F">
        <w:rPr>
          <w:i w:val="0"/>
          <w:color w:val="auto"/>
        </w:rPr>
        <w:t xml:space="preserve">Recognising the potential for continued volatility in investment markets, an important emphasis </w:t>
      </w:r>
      <w:r w:rsidRPr="00CC2D15">
        <w:rPr>
          <w:i w:val="0"/>
          <w:color w:val="auto"/>
        </w:rPr>
        <w:t xml:space="preserve">for the FFMA and the Board is maintaining a long term investment perspective and strategy that balances risk with expected return as required under the </w:t>
      </w:r>
      <w:r w:rsidRPr="000B047A">
        <w:rPr>
          <w:i w:val="0"/>
          <w:color w:val="auto"/>
        </w:rPr>
        <w:t>Future Fund Investment Mandate Directions 2006</w:t>
      </w:r>
      <w:r w:rsidRPr="00CC2D15">
        <w:rPr>
          <w:i w:val="0"/>
          <w:color w:val="auto"/>
        </w:rPr>
        <w:t xml:space="preserve"> (Investment Mandate). </w:t>
      </w:r>
    </w:p>
    <w:p w:rsidR="00A73816" w:rsidRDefault="00A73816" w:rsidP="00A73816">
      <w:pPr>
        <w:pStyle w:val="Exampletext"/>
        <w:rPr>
          <w:i w:val="0"/>
          <w:color w:val="auto"/>
        </w:rPr>
      </w:pPr>
      <w:r w:rsidRPr="0041748E">
        <w:rPr>
          <w:i w:val="0"/>
          <w:color w:val="auto"/>
        </w:rPr>
        <w:t>The FFMA provides support and advice to the Board in relation to the BAF, EIF, HHF and DCAF and is focused on developing and implementing investment strategies consistent with the</w:t>
      </w:r>
      <w:r w:rsidRPr="00CC2D15">
        <w:rPr>
          <w:i w:val="0"/>
          <w:color w:val="auto"/>
        </w:rPr>
        <w:t xml:space="preserve"> legislation and mandates. The</w:t>
      </w:r>
      <w:r>
        <w:rPr>
          <w:i w:val="0"/>
          <w:color w:val="auto"/>
        </w:rPr>
        <w:t xml:space="preserve"> investment strategies </w:t>
      </w:r>
      <w:r w:rsidRPr="00A9149A">
        <w:rPr>
          <w:i w:val="0"/>
          <w:color w:val="auto"/>
        </w:rPr>
        <w:t>and approach for the</w:t>
      </w:r>
      <w:r>
        <w:rPr>
          <w:i w:val="0"/>
          <w:color w:val="auto"/>
        </w:rPr>
        <w:t xml:space="preserve"> </w:t>
      </w:r>
      <w:r w:rsidR="00AD6259">
        <w:rPr>
          <w:i w:val="0"/>
          <w:color w:val="auto"/>
        </w:rPr>
        <w:t>Nation-building Funds</w:t>
      </w:r>
      <w:r>
        <w:rPr>
          <w:i w:val="0"/>
          <w:color w:val="auto"/>
        </w:rPr>
        <w:t xml:space="preserve"> </w:t>
      </w:r>
      <w:r w:rsidR="00BA4411">
        <w:rPr>
          <w:i w:val="0"/>
          <w:color w:val="auto"/>
        </w:rPr>
        <w:t>are</w:t>
      </w:r>
      <w:r w:rsidRPr="00A9149A">
        <w:rPr>
          <w:i w:val="0"/>
          <w:color w:val="auto"/>
        </w:rPr>
        <w:t xml:space="preserve"> detailed in the 201</w:t>
      </w:r>
      <w:r>
        <w:rPr>
          <w:i w:val="0"/>
          <w:color w:val="auto"/>
        </w:rPr>
        <w:t>3</w:t>
      </w:r>
      <w:r w:rsidRPr="00A9149A">
        <w:rPr>
          <w:i w:val="0"/>
          <w:color w:val="auto"/>
        </w:rPr>
        <w:t>-1</w:t>
      </w:r>
      <w:r>
        <w:rPr>
          <w:i w:val="0"/>
          <w:color w:val="auto"/>
        </w:rPr>
        <w:t>4</w:t>
      </w:r>
      <w:r w:rsidRPr="00A9149A">
        <w:rPr>
          <w:i w:val="0"/>
          <w:color w:val="auto"/>
        </w:rPr>
        <w:t xml:space="preserve"> </w:t>
      </w:r>
      <w:r>
        <w:rPr>
          <w:i w:val="0"/>
          <w:color w:val="auto"/>
        </w:rPr>
        <w:t>Future Fund A</w:t>
      </w:r>
      <w:r w:rsidRPr="00A9149A">
        <w:rPr>
          <w:i w:val="0"/>
          <w:color w:val="auto"/>
        </w:rPr>
        <w:t xml:space="preserve">nnual </w:t>
      </w:r>
      <w:r>
        <w:rPr>
          <w:i w:val="0"/>
          <w:color w:val="auto"/>
        </w:rPr>
        <w:t>R</w:t>
      </w:r>
      <w:r w:rsidRPr="00A9149A">
        <w:rPr>
          <w:i w:val="0"/>
          <w:color w:val="auto"/>
        </w:rPr>
        <w:t>eport.</w:t>
      </w:r>
    </w:p>
    <w:p w:rsidR="00A73816" w:rsidRPr="002F5C83" w:rsidRDefault="00A73816" w:rsidP="00A73816">
      <w:pPr>
        <w:pStyle w:val="Heading4"/>
      </w:pPr>
      <w:r>
        <w:br w:type="page"/>
      </w:r>
      <w:bookmarkStart w:id="12" w:name="_Toc417292343"/>
      <w:bookmarkStart w:id="13" w:name="_Toc417292385"/>
      <w:bookmarkStart w:id="14" w:name="_Toc418003434"/>
      <w:r w:rsidRPr="002F5C83">
        <w:lastRenderedPageBreak/>
        <w:t>1.2</w:t>
      </w:r>
      <w:r w:rsidRPr="002F5C83">
        <w:tab/>
        <w:t>Entity Resource Statement</w:t>
      </w:r>
      <w:bookmarkEnd w:id="12"/>
      <w:bookmarkEnd w:id="13"/>
      <w:bookmarkEnd w:id="14"/>
    </w:p>
    <w:p w:rsidR="00A73816" w:rsidRDefault="00A73816" w:rsidP="00A73816">
      <w:r>
        <w:t>Table 1.1 shows the total resources from all sources. The table summarises how resources will be applied by outcome and by administered and departmental classification.</w:t>
      </w:r>
    </w:p>
    <w:p w:rsidR="00A73816" w:rsidRPr="00C613B3" w:rsidRDefault="00A73816" w:rsidP="00E453F8">
      <w:pPr>
        <w:pStyle w:val="Heading5"/>
      </w:pPr>
      <w:r w:rsidRPr="00C613B3">
        <w:t>Table 1.1: Future Fund Management Agency Resource Statement — Budget</w:t>
      </w:r>
      <w:r w:rsidRPr="00C613B3">
        <w:br/>
        <w:t>Estimates for 2015-16 as at Budget May 2015</w:t>
      </w:r>
    </w:p>
    <w:tbl>
      <w:tblPr>
        <w:tblW w:w="7480" w:type="dxa"/>
        <w:tblInd w:w="93" w:type="dxa"/>
        <w:tblLook w:val="04A0"/>
      </w:tblPr>
      <w:tblGrid>
        <w:gridCol w:w="2554"/>
        <w:gridCol w:w="260"/>
        <w:gridCol w:w="1139"/>
        <w:gridCol w:w="260"/>
        <w:gridCol w:w="1090"/>
        <w:gridCol w:w="274"/>
        <w:gridCol w:w="991"/>
        <w:gridCol w:w="274"/>
        <w:gridCol w:w="991"/>
      </w:tblGrid>
      <w:tr w:rsidR="002E7F19" w:rsidRPr="002E7F19" w:rsidTr="002E7F19">
        <w:trPr>
          <w:trHeight w:val="222"/>
        </w:trPr>
        <w:tc>
          <w:tcPr>
            <w:tcW w:w="2580" w:type="dxa"/>
            <w:tcBorders>
              <w:top w:val="single" w:sz="4" w:space="0" w:color="000000"/>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180" w:type="dxa"/>
            <w:tcBorders>
              <w:top w:val="single" w:sz="4" w:space="0" w:color="000000"/>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r w:rsidRPr="002E7F19">
              <w:rPr>
                <w:rFonts w:ascii="Arial" w:hAnsi="Arial" w:cs="Arial"/>
                <w:sz w:val="16"/>
                <w:szCs w:val="16"/>
              </w:rPr>
              <w:t> </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1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11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1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10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Proposed</w:t>
            </w:r>
          </w:p>
        </w:tc>
        <w:tc>
          <w:tcPr>
            <w:tcW w:w="1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vertAlign w:val="superscript"/>
              </w:rPr>
              <w:t> </w:t>
            </w:r>
          </w:p>
        </w:tc>
        <w:tc>
          <w:tcPr>
            <w:tcW w:w="100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Total</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available</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of prior</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center"/>
              <w:rPr>
                <w:rFonts w:ascii="Arial" w:hAnsi="Arial" w:cs="Arial"/>
                <w:sz w:val="16"/>
                <w:szCs w:val="16"/>
              </w:rPr>
            </w:pPr>
            <w:r w:rsidRPr="002E7F19">
              <w:rPr>
                <w:rFonts w:ascii="Arial" w:hAnsi="Arial" w:cs="Arial"/>
                <w:sz w:val="16"/>
                <w:szCs w:val="16"/>
                <w:vertAlign w:val="superscript"/>
              </w:rPr>
              <w:t>+</w:t>
            </w: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at Budget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center"/>
              <w:rPr>
                <w:rFonts w:ascii="Arial" w:hAnsi="Arial" w:cs="Arial"/>
                <w:sz w:val="16"/>
                <w:szCs w:val="16"/>
              </w:rPr>
            </w:pPr>
            <w:r w:rsidRPr="002E7F19">
              <w:rPr>
                <w:rFonts w:ascii="Arial" w:hAnsi="Arial" w:cs="Arial"/>
                <w:sz w:val="16"/>
                <w:szCs w:val="16"/>
                <w:vertAlign w:val="superscript"/>
              </w:rPr>
              <w:t>=</w:t>
            </w: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appropriation</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year amounts</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xml:space="preserve"> available in</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r>
      <w:tr w:rsidR="002E7F19" w:rsidRPr="002E7F19" w:rsidTr="002E7F19">
        <w:trPr>
          <w:trHeight w:val="222"/>
        </w:trPr>
        <w:tc>
          <w:tcPr>
            <w:tcW w:w="25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8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Special accounts</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Opening balance</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Non-appropriation receipts to</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special accounts</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705,042</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666,450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666,450</w:t>
            </w:r>
          </w:p>
        </w:tc>
      </w:tr>
      <w:tr w:rsidR="002E7F19" w:rsidRPr="002E7F19" w:rsidTr="002E7F19">
        <w:trPr>
          <w:trHeight w:val="225"/>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special accounts</w:t>
            </w: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705,042</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r>
      <w:tr w:rsidR="002E7F19" w:rsidRPr="002E7F19" w:rsidTr="002E7F19">
        <w:trPr>
          <w:trHeight w:val="60"/>
        </w:trPr>
        <w:tc>
          <w:tcPr>
            <w:tcW w:w="25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r>
      <w:tr w:rsidR="002E7F19" w:rsidRPr="002E7F19" w:rsidTr="002E7F19">
        <w:trPr>
          <w:trHeight w:val="240"/>
        </w:trPr>
        <w:tc>
          <w:tcPr>
            <w:tcW w:w="25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net resourcing for FFMA</w:t>
            </w:r>
          </w:p>
        </w:tc>
        <w:tc>
          <w:tcPr>
            <w:tcW w:w="180" w:type="dxa"/>
            <w:tcBorders>
              <w:top w:val="nil"/>
              <w:left w:val="nil"/>
              <w:bottom w:val="single" w:sz="4" w:space="0" w:color="auto"/>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r w:rsidRPr="002E7F19">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705,042</w:t>
            </w:r>
          </w:p>
        </w:tc>
        <w:tc>
          <w:tcPr>
            <w:tcW w:w="1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c>
          <w:tcPr>
            <w:tcW w:w="11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1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c>
          <w:tcPr>
            <w:tcW w:w="1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666,450</w:t>
            </w:r>
          </w:p>
        </w:tc>
      </w:tr>
    </w:tbl>
    <w:p w:rsidR="00A73816" w:rsidRPr="00D844DE" w:rsidRDefault="00A73816" w:rsidP="00A73816">
      <w:pPr>
        <w:spacing w:after="0" w:line="240" w:lineRule="auto"/>
        <w:rPr>
          <w:sz w:val="6"/>
          <w:szCs w:val="6"/>
        </w:rPr>
      </w:pPr>
    </w:p>
    <w:p w:rsidR="00A73816" w:rsidRPr="0049416D" w:rsidRDefault="00A73816" w:rsidP="00A73816">
      <w:pPr>
        <w:pStyle w:val="Source"/>
        <w:rPr>
          <w:sz w:val="15"/>
          <w:szCs w:val="15"/>
        </w:rPr>
      </w:pPr>
      <w:r w:rsidRPr="0049416D">
        <w:rPr>
          <w:sz w:val="15"/>
          <w:szCs w:val="15"/>
        </w:rPr>
        <w:t>Reader note: All figures are GST exclusive.</w:t>
      </w:r>
    </w:p>
    <w:p w:rsidR="00A73816" w:rsidRPr="0049416D" w:rsidRDefault="00A73816" w:rsidP="00A73816">
      <w:pPr>
        <w:pStyle w:val="Source"/>
        <w:rPr>
          <w:sz w:val="15"/>
          <w:szCs w:val="15"/>
        </w:rPr>
      </w:pPr>
    </w:p>
    <w:p w:rsidR="00A73816" w:rsidRPr="0049416D" w:rsidRDefault="00A73816" w:rsidP="00A73816">
      <w:pPr>
        <w:pStyle w:val="Source"/>
        <w:rPr>
          <w:sz w:val="15"/>
          <w:szCs w:val="15"/>
        </w:rPr>
      </w:pPr>
      <w:r w:rsidRPr="0049416D">
        <w:rPr>
          <w:sz w:val="15"/>
          <w:szCs w:val="15"/>
        </w:rPr>
        <w:t>Note: Future Fund does not receive any annual appropriations. Its outputs are funded as payments from the Future Fund Special Account.</w:t>
      </w:r>
    </w:p>
    <w:p w:rsidR="00A73816" w:rsidRPr="004E29E3" w:rsidRDefault="00A73816" w:rsidP="00A73816"/>
    <w:p w:rsidR="00A73816" w:rsidRPr="002F5C83" w:rsidRDefault="00A73816" w:rsidP="00A73816">
      <w:pPr>
        <w:pStyle w:val="Heading4"/>
      </w:pPr>
      <w:bookmarkStart w:id="15" w:name="_Toc417292344"/>
      <w:bookmarkStart w:id="16" w:name="_Toc417292386"/>
      <w:bookmarkStart w:id="17" w:name="_Toc418003435"/>
      <w:r w:rsidRPr="002F5C83">
        <w:t>1.3</w:t>
      </w:r>
      <w:r w:rsidRPr="002F5C83">
        <w:tab/>
        <w:t>Budget Measures</w:t>
      </w:r>
      <w:bookmarkEnd w:id="15"/>
      <w:bookmarkEnd w:id="16"/>
      <w:bookmarkEnd w:id="17"/>
    </w:p>
    <w:p w:rsidR="001648FA" w:rsidRDefault="001648FA" w:rsidP="001648FA">
      <w:r>
        <w:t>No budget measures have been announced since the 2014-15 Mid-Year Economic and Fiscal Outlook (MYEFO) that impact FFMA.</w:t>
      </w:r>
    </w:p>
    <w:p w:rsidR="001648FA" w:rsidRDefault="001648FA" w:rsidP="001648FA">
      <w:r>
        <w:t>All budget measures have been previously reported in a portfolio statement.</w:t>
      </w:r>
    </w:p>
    <w:p w:rsidR="00A73816" w:rsidRDefault="00A73816" w:rsidP="00A73816">
      <w:pPr>
        <w:spacing w:after="0" w:line="240" w:lineRule="auto"/>
        <w:jc w:val="left"/>
        <w:rPr>
          <w:rFonts w:ascii="Arial" w:hAnsi="Arial"/>
          <w:b/>
          <w:smallCaps/>
          <w:sz w:val="26"/>
        </w:rPr>
      </w:pPr>
      <w:r>
        <w:br w:type="page"/>
      </w:r>
    </w:p>
    <w:p w:rsidR="00A73816" w:rsidRPr="003553DE" w:rsidRDefault="00A73816" w:rsidP="00A73816">
      <w:pPr>
        <w:pStyle w:val="Heading3"/>
      </w:pPr>
      <w:bookmarkStart w:id="18" w:name="_Toc417292345"/>
      <w:bookmarkStart w:id="19" w:name="_Toc417292387"/>
      <w:bookmarkStart w:id="20" w:name="_Toc418003436"/>
      <w:r w:rsidRPr="003553DE">
        <w:lastRenderedPageBreak/>
        <w:t>Section 2: Outcomes and Planned Performance</w:t>
      </w:r>
      <w:bookmarkEnd w:id="18"/>
      <w:bookmarkEnd w:id="19"/>
      <w:bookmarkEnd w:id="20"/>
    </w:p>
    <w:p w:rsidR="00A73816" w:rsidRPr="002F5C83" w:rsidRDefault="00A73816" w:rsidP="00A73816">
      <w:pPr>
        <w:pStyle w:val="Heading4"/>
      </w:pPr>
      <w:bookmarkStart w:id="21" w:name="_Toc417292346"/>
      <w:bookmarkStart w:id="22" w:name="_Toc417292388"/>
      <w:bookmarkStart w:id="23" w:name="_Toc418003437"/>
      <w:r w:rsidRPr="002F5C83">
        <w:t>2.1</w:t>
      </w:r>
      <w:r w:rsidRPr="002F5C83">
        <w:tab/>
        <w:t>Outcomes and Performance Information</w:t>
      </w:r>
      <w:bookmarkEnd w:id="21"/>
      <w:bookmarkEnd w:id="22"/>
      <w:bookmarkEnd w:id="23"/>
    </w:p>
    <w:p w:rsidR="00A73816" w:rsidRDefault="00A73816" w:rsidP="00A73816">
      <w:r>
        <w:t xml:space="preserve">Government outcomes are the intended results, impacts or consequences of actions by the </w:t>
      </w:r>
      <w:r w:rsidR="00D87624">
        <w:t>government</w:t>
      </w:r>
      <w:r>
        <w:t xml:space="preserve"> on the Australian community. </w:t>
      </w:r>
      <w:r w:rsidRPr="00E95DB8">
        <w:t xml:space="preserve">Commonwealth </w:t>
      </w:r>
      <w:r>
        <w:t>programmes</w:t>
      </w:r>
      <w:r w:rsidRPr="00E95DB8">
        <w:t xml:space="preserve"> are the primary vehicle by which </w:t>
      </w:r>
      <w:r w:rsidR="00D87624">
        <w:t>government</w:t>
      </w:r>
      <w:r w:rsidRPr="00E95DB8">
        <w:t xml:space="preserve"> </w:t>
      </w:r>
      <w:r>
        <w:t xml:space="preserve">entities </w:t>
      </w:r>
      <w:r w:rsidRPr="00E95DB8">
        <w:t xml:space="preserve">achieve the intended results of their outcome statements. </w:t>
      </w:r>
      <w:r>
        <w:t xml:space="preserve">Entities </w:t>
      </w:r>
      <w:r w:rsidRPr="00E95DB8">
        <w:t xml:space="preserve">are required to identify the </w:t>
      </w:r>
      <w:r>
        <w:t xml:space="preserve">programmes which contribute to </w:t>
      </w:r>
      <w:r w:rsidR="00D87624">
        <w:t>government</w:t>
      </w:r>
      <w:r>
        <w:t xml:space="preserve"> outcomes over the Budget and forward years.</w:t>
      </w:r>
    </w:p>
    <w:p w:rsidR="00A73816" w:rsidRDefault="00A73816" w:rsidP="00A73816">
      <w:r>
        <w:t xml:space="preserve">Each outcome is described below together with its related programmes, specifying the performance indicators and targets used to assess and monitor the performance of </w:t>
      </w:r>
      <w:r w:rsidRPr="003E0E5F">
        <w:t xml:space="preserve">FFMA in achieving </w:t>
      </w:r>
      <w:r w:rsidR="00D87624">
        <w:t>government</w:t>
      </w:r>
      <w:r w:rsidRPr="003E0E5F">
        <w:t xml:space="preserve"> </w:t>
      </w:r>
      <w:r>
        <w:t>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A73816" w:rsidTr="00A73816">
        <w:tc>
          <w:tcPr>
            <w:tcW w:w="7713" w:type="dxa"/>
            <w:shd w:val="clear" w:color="auto" w:fill="E6E6E6"/>
          </w:tcPr>
          <w:p w:rsidR="00A73816" w:rsidRPr="00AF5179" w:rsidRDefault="00A73816" w:rsidP="00BA4411">
            <w:pPr>
              <w:spacing w:before="120" w:after="120" w:line="240" w:lineRule="auto"/>
              <w:ind w:left="1559" w:hanging="1559"/>
              <w:rPr>
                <w:rFonts w:ascii="Arial" w:hAnsi="Arial" w:cs="Arial"/>
                <w:b/>
              </w:rPr>
            </w:pPr>
            <w:r w:rsidRPr="00AF5179">
              <w:rPr>
                <w:rFonts w:ascii="Arial" w:hAnsi="Arial" w:cs="Arial"/>
                <w:b/>
              </w:rPr>
              <w:t>Outcome 1</w:t>
            </w:r>
            <w:r w:rsidRPr="00AF5179">
              <w:rPr>
                <w:rFonts w:ascii="Arial" w:hAnsi="Arial" w:cs="Arial"/>
                <w:b/>
              </w:rPr>
              <w:tab/>
            </w:r>
            <w:r w:rsidRPr="002852DA">
              <w:rPr>
                <w:rFonts w:ascii="Arial" w:hAnsi="Arial" w:cs="Arial"/>
                <w:b/>
              </w:rPr>
              <w:t>Make provision for the Commonwealth’s unfunded superannuation liabilities, payments for the creation and development of infrastructure, and payments from the DisabilityCare Australia Fund by managing the investment activities of the Future Fund, Nation-building Funds and DisabilityCare Australia Fund, in line with the Government’s investment mandates.</w:t>
            </w:r>
          </w:p>
        </w:tc>
      </w:tr>
    </w:tbl>
    <w:p w:rsidR="00A73816" w:rsidRDefault="00A73816" w:rsidP="00A73816">
      <w:pPr>
        <w:pStyle w:val="NoSpacing"/>
      </w:pPr>
    </w:p>
    <w:p w:rsidR="00A73816" w:rsidRDefault="00A73816" w:rsidP="00A73816">
      <w:pPr>
        <w:pStyle w:val="NoSpacing"/>
      </w:pPr>
    </w:p>
    <w:p w:rsidR="00A73816" w:rsidRDefault="00A73816" w:rsidP="00A73816">
      <w:pPr>
        <w:pStyle w:val="TableColumnHeadingLeft"/>
      </w:pPr>
      <w:r>
        <w:t>Outcome 1 Strategy</w:t>
      </w:r>
    </w:p>
    <w:p w:rsidR="00A73816" w:rsidRDefault="00A73816" w:rsidP="00A73816">
      <w:pPr>
        <w:pStyle w:val="TableTextBullet"/>
        <w:numPr>
          <w:ilvl w:val="0"/>
          <w:numId w:val="0"/>
        </w:numPr>
        <w:spacing w:after="240" w:line="260" w:lineRule="exact"/>
        <w:jc w:val="both"/>
        <w:rPr>
          <w:rFonts w:ascii="Book Antiqua" w:hAnsi="Book Antiqua"/>
          <w:sz w:val="20"/>
        </w:rPr>
      </w:pPr>
      <w:r>
        <w:rPr>
          <w:rFonts w:ascii="Book Antiqua" w:hAnsi="Book Antiqua"/>
          <w:sz w:val="20"/>
        </w:rPr>
        <w:t xml:space="preserve">The FFMA contributes to the achievement of the outcome through the provision of </w:t>
      </w:r>
      <w:r w:rsidRPr="009A2C01">
        <w:rPr>
          <w:rFonts w:ascii="Book Antiqua" w:hAnsi="Book Antiqua"/>
          <w:sz w:val="20"/>
        </w:rPr>
        <w:t xml:space="preserve">advice and support to </w:t>
      </w:r>
      <w:r w:rsidR="00831A3F">
        <w:rPr>
          <w:rFonts w:ascii="Book Antiqua" w:hAnsi="Book Antiqua"/>
          <w:sz w:val="20"/>
        </w:rPr>
        <w:t xml:space="preserve">the Board </w:t>
      </w:r>
      <w:r w:rsidRPr="009A2C01">
        <w:rPr>
          <w:rFonts w:ascii="Book Antiqua" w:hAnsi="Book Antiqua"/>
          <w:sz w:val="20"/>
        </w:rPr>
        <w:t xml:space="preserve">and through the implementation of investment decisions. This work is focused on ensuring that the assets of the Future Fund, the </w:t>
      </w:r>
      <w:r w:rsidR="00AD6259">
        <w:rPr>
          <w:rFonts w:ascii="Book Antiqua" w:hAnsi="Book Antiqua"/>
          <w:sz w:val="20"/>
        </w:rPr>
        <w:t>Nation-building Funds</w:t>
      </w:r>
      <w:r w:rsidRPr="009A2C01">
        <w:rPr>
          <w:rFonts w:ascii="Book Antiqua" w:hAnsi="Book Antiqua"/>
          <w:sz w:val="20"/>
        </w:rPr>
        <w:t xml:space="preserve"> and the DisabilityCare Australia Fund are invested in line with the relevant legislation and investment mandates to achieve their investment objectives.</w:t>
      </w:r>
      <w:r>
        <w:rPr>
          <w:rFonts w:ascii="Book Antiqua" w:hAnsi="Book Antiqua"/>
          <w:sz w:val="20"/>
        </w:rPr>
        <w:t xml:space="preserve"> </w:t>
      </w:r>
    </w:p>
    <w:p w:rsidR="00A73816" w:rsidRPr="00326FE9" w:rsidRDefault="00A73816" w:rsidP="00A73816">
      <w:r w:rsidRPr="00326FE9">
        <w:t xml:space="preserve">This work includes portfolio modelling, risk management, the appointment of investment managers and the application of appropriate corporate governance. </w:t>
      </w:r>
    </w:p>
    <w:p w:rsidR="00A73816" w:rsidRPr="00733F64" w:rsidRDefault="00A73816" w:rsidP="00A73816">
      <w:r w:rsidRPr="0041748E">
        <w:t>The specific investment strategies applied to the investment of assets, together with the overarching investment beliefs and principles of the organisation, are detailed in the 2013-14 Future Fund Annual Report.</w:t>
      </w:r>
    </w:p>
    <w:p w:rsidR="00A73816" w:rsidRDefault="00A73816" w:rsidP="00A73816">
      <w:pPr>
        <w:pStyle w:val="TableColumnHeadingLeft"/>
      </w:pPr>
      <w:r>
        <w:t>Outcome Expense Statement</w:t>
      </w:r>
    </w:p>
    <w:p w:rsidR="00A73816" w:rsidRDefault="00A73816" w:rsidP="00A73816">
      <w:r>
        <w:t>Table 2.1 provides an overview of the total expenses for Outcome 1, by programme.</w:t>
      </w:r>
    </w:p>
    <w:p w:rsidR="00A73816" w:rsidRPr="00C613B3" w:rsidRDefault="00A73816" w:rsidP="00E453F8">
      <w:pPr>
        <w:pStyle w:val="Heading5"/>
      </w:pPr>
      <w:r>
        <w:br w:type="page"/>
      </w:r>
      <w:r w:rsidRPr="00C613B3">
        <w:lastRenderedPageBreak/>
        <w:t>Table 2.1: Budgeted Expenses for Outcome 1</w:t>
      </w:r>
    </w:p>
    <w:tbl>
      <w:tblPr>
        <w:tblW w:w="7060" w:type="dxa"/>
        <w:tblInd w:w="93" w:type="dxa"/>
        <w:tblLook w:val="04A0"/>
      </w:tblPr>
      <w:tblGrid>
        <w:gridCol w:w="4820"/>
        <w:gridCol w:w="1120"/>
        <w:gridCol w:w="1120"/>
      </w:tblGrid>
      <w:tr w:rsidR="002E7F19" w:rsidRPr="002E7F19" w:rsidTr="002E7F19">
        <w:trPr>
          <w:trHeight w:val="225"/>
        </w:trPr>
        <w:tc>
          <w:tcPr>
            <w:tcW w:w="4820" w:type="dxa"/>
            <w:tcBorders>
              <w:top w:val="single" w:sz="4" w:space="0" w:color="auto"/>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Outcome 1: Make provision for the Commonwealth’s</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2015-16</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unfunded superannuation liabilities, payments for the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creation and  development of infrastructure, and</w:t>
            </w:r>
          </w:p>
        </w:tc>
        <w:tc>
          <w:tcPr>
            <w:tcW w:w="1120" w:type="dxa"/>
            <w:tcBorders>
              <w:top w:val="nil"/>
              <w:left w:val="nil"/>
              <w:bottom w:val="nil"/>
              <w:right w:val="nil"/>
            </w:tcBorders>
            <w:shd w:val="clear" w:color="000000" w:fill="FFFFFF"/>
            <w:noWrap/>
            <w:vAlign w:val="bottom"/>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1120" w:type="dxa"/>
            <w:tcBorders>
              <w:top w:val="nil"/>
              <w:left w:val="nil"/>
              <w:bottom w:val="nil"/>
              <w:right w:val="nil"/>
            </w:tcBorders>
            <w:shd w:val="clear" w:color="000000" w:fill="E6E6E6"/>
            <w:noWrap/>
            <w:vAlign w:val="bottom"/>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expenses</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payments from the DisabilityCare Australia Fund by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expenses</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managing the investment activities of the Future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Nation-building Funds and DisabilityCare Australia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in line with the Government’s investment mandates.</w:t>
            </w:r>
          </w:p>
        </w:tc>
        <w:tc>
          <w:tcPr>
            <w:tcW w:w="11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60"/>
        </w:trPr>
        <w:tc>
          <w:tcPr>
            <w:tcW w:w="4820" w:type="dxa"/>
            <w:tcBorders>
              <w:top w:val="nil"/>
              <w:left w:val="nil"/>
              <w:bottom w:val="nil"/>
              <w:right w:val="nil"/>
            </w:tcBorders>
            <w:shd w:val="clear" w:color="auto" w:fill="auto"/>
            <w:noWrap/>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Programme 1.1: Management of the investment of</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the Future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44,363</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47,326</w:t>
            </w:r>
          </w:p>
        </w:tc>
      </w:tr>
      <w:tr w:rsidR="002E7F19" w:rsidRPr="002E7F19" w:rsidTr="002E7F19">
        <w:trPr>
          <w:trHeight w:val="60"/>
        </w:trPr>
        <w:tc>
          <w:tcPr>
            <w:tcW w:w="482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for Programme 1.1</w:t>
            </w:r>
          </w:p>
        </w:tc>
        <w:tc>
          <w:tcPr>
            <w:tcW w:w="11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44,363</w:t>
            </w:r>
          </w:p>
        </w:tc>
        <w:tc>
          <w:tcPr>
            <w:tcW w:w="11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47,326</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Programme 1.2: Management of the Investment of the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Building Australia Fund, Education Investment 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Health and Hospitals Fund and DisabilityCare Australia</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Fund</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759</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63</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for Programme 1.2</w:t>
            </w:r>
          </w:p>
        </w:tc>
        <w:tc>
          <w:tcPr>
            <w:tcW w:w="11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759</w:t>
            </w:r>
          </w:p>
        </w:tc>
        <w:tc>
          <w:tcPr>
            <w:tcW w:w="11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63</w:t>
            </w:r>
          </w:p>
        </w:tc>
      </w:tr>
      <w:tr w:rsidR="002E7F19" w:rsidRPr="002E7F19" w:rsidTr="002E7F19">
        <w:trPr>
          <w:trHeight w:val="60"/>
        </w:trPr>
        <w:tc>
          <w:tcPr>
            <w:tcW w:w="4820" w:type="dxa"/>
            <w:tcBorders>
              <w:top w:val="nil"/>
              <w:left w:val="nil"/>
              <w:bottom w:val="nil"/>
              <w:right w:val="nil"/>
            </w:tcBorders>
            <w:shd w:val="clear" w:color="auto" w:fill="auto"/>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Outcome 1 Totals by appropriation type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r>
      <w:tr w:rsidR="002E7F19" w:rsidRPr="002E7F19" w:rsidTr="002E7F19">
        <w:trPr>
          <w:trHeight w:val="225"/>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Special accounts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45,122</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47,389</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4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expenses for Outcome 1</w:t>
            </w:r>
          </w:p>
        </w:tc>
        <w:tc>
          <w:tcPr>
            <w:tcW w:w="11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45,122</w:t>
            </w:r>
          </w:p>
        </w:tc>
        <w:tc>
          <w:tcPr>
            <w:tcW w:w="11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47,389</w:t>
            </w:r>
          </w:p>
        </w:tc>
      </w:tr>
      <w:tr w:rsidR="002E7F19" w:rsidRPr="002E7F19" w:rsidTr="002E7F19">
        <w:trPr>
          <w:trHeight w:val="60"/>
        </w:trPr>
        <w:tc>
          <w:tcPr>
            <w:tcW w:w="4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4"/>
                <w:szCs w:val="14"/>
              </w:rPr>
            </w:pPr>
          </w:p>
        </w:tc>
      </w:tr>
      <w:tr w:rsidR="002E7F19" w:rsidRPr="002E7F19" w:rsidTr="002E7F19">
        <w:trPr>
          <w:trHeight w:val="225"/>
        </w:trPr>
        <w:tc>
          <w:tcPr>
            <w:tcW w:w="48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2014-15</w:t>
            </w:r>
          </w:p>
        </w:tc>
        <w:tc>
          <w:tcPr>
            <w:tcW w:w="11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2015-16</w:t>
            </w:r>
          </w:p>
        </w:tc>
      </w:tr>
      <w:tr w:rsidR="002E7F19" w:rsidRPr="002E7F19" w:rsidTr="002E7F19">
        <w:trPr>
          <w:trHeight w:val="225"/>
        </w:trPr>
        <w:tc>
          <w:tcPr>
            <w:tcW w:w="48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Average Staffing Level (number)</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104</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122</w:t>
            </w:r>
          </w:p>
        </w:tc>
      </w:tr>
    </w:tbl>
    <w:p w:rsidR="00A73816" w:rsidRPr="00D844DE" w:rsidRDefault="00A73816" w:rsidP="00A73816">
      <w:pPr>
        <w:spacing w:after="0" w:line="240" w:lineRule="auto"/>
        <w:rPr>
          <w:sz w:val="6"/>
          <w:szCs w:val="6"/>
        </w:rPr>
      </w:pPr>
    </w:p>
    <w:p w:rsidR="00A73816" w:rsidRPr="0049416D" w:rsidRDefault="00A73816" w:rsidP="00A73816">
      <w:pPr>
        <w:pStyle w:val="Source"/>
        <w:rPr>
          <w:sz w:val="15"/>
          <w:szCs w:val="15"/>
        </w:rPr>
      </w:pPr>
      <w:r w:rsidRPr="0049416D">
        <w:rPr>
          <w:sz w:val="15"/>
          <w:szCs w:val="15"/>
        </w:rPr>
        <w:t>Note: Programme splits and totals are indicative estimates and may change in the course of the Budget year as government priorities change.</w:t>
      </w:r>
    </w:p>
    <w:p w:rsidR="00A73816" w:rsidRDefault="00A73816" w:rsidP="00A73816">
      <w:pPr>
        <w:pStyle w:val="NoSpacing"/>
      </w:pPr>
    </w:p>
    <w:p w:rsidR="00A73816" w:rsidRPr="00107E93" w:rsidRDefault="00A73816" w:rsidP="00A73816">
      <w:pPr>
        <w:spacing w:before="240" w:line="240" w:lineRule="auto"/>
        <w:jc w:val="left"/>
        <w:rPr>
          <w:rFonts w:ascii="Arial Bold" w:hAnsi="Arial Bold" w:cs="Arial"/>
          <w:b/>
          <w:smallCaps/>
          <w:sz w:val="26"/>
          <w:szCs w:val="26"/>
        </w:rPr>
      </w:pPr>
      <w:r>
        <w:br w:type="page"/>
      </w:r>
      <w:r w:rsidRPr="00107E93">
        <w:rPr>
          <w:rFonts w:ascii="Arial Bold" w:hAnsi="Arial Bold" w:cs="Arial"/>
          <w:b/>
          <w:smallCaps/>
          <w:sz w:val="26"/>
          <w:szCs w:val="26"/>
        </w:rP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A73816" w:rsidRPr="008B6334" w:rsidTr="00A73816">
        <w:tc>
          <w:tcPr>
            <w:tcW w:w="7713" w:type="dxa"/>
            <w:shd w:val="clear" w:color="auto" w:fill="E6E6E6"/>
          </w:tcPr>
          <w:p w:rsidR="00A73816" w:rsidRPr="008B6334" w:rsidRDefault="00A73816" w:rsidP="00A73816">
            <w:pPr>
              <w:pStyle w:val="TableColumnHeadingLeft"/>
            </w:pPr>
            <w:r w:rsidRPr="008B6334">
              <w:t>Programme 1.1:</w:t>
            </w:r>
            <w:r w:rsidRPr="008B6334">
              <w:rPr>
                <w:rFonts w:cs="Arial"/>
              </w:rPr>
              <w:t xml:space="preserve"> Management of the Investment of the Future Fund</w:t>
            </w:r>
          </w:p>
        </w:tc>
      </w:tr>
    </w:tbl>
    <w:p w:rsidR="00A73816" w:rsidRPr="008B6334" w:rsidRDefault="00A73816" w:rsidP="00A73816">
      <w:pPr>
        <w:pStyle w:val="NoSpacing"/>
      </w:pPr>
    </w:p>
    <w:p w:rsidR="00A73816" w:rsidRPr="008B6334" w:rsidRDefault="00A73816" w:rsidP="00A73816">
      <w:pPr>
        <w:pStyle w:val="TableColumnHeadingLeft"/>
        <w:jc w:val="both"/>
      </w:pPr>
      <w:r w:rsidRPr="008B6334">
        <w:t>Programme 1.1 Objective</w:t>
      </w:r>
    </w:p>
    <w:p w:rsidR="00A73816" w:rsidRDefault="00A73816" w:rsidP="00684545">
      <w:pPr>
        <w:pStyle w:val="ListParagraph"/>
        <w:numPr>
          <w:ilvl w:val="0"/>
          <w:numId w:val="59"/>
        </w:numPr>
        <w:autoSpaceDE w:val="0"/>
        <w:autoSpaceDN w:val="0"/>
        <w:spacing w:after="120" w:line="240" w:lineRule="auto"/>
        <w:ind w:left="567"/>
        <w:contextualSpacing w:val="0"/>
        <w:jc w:val="both"/>
        <w:rPr>
          <w:rFonts w:ascii="Book Antiqua" w:hAnsi="Book Antiqua"/>
          <w:sz w:val="20"/>
          <w:szCs w:val="20"/>
        </w:rPr>
      </w:pPr>
      <w:r w:rsidRPr="00107E93">
        <w:rPr>
          <w:rFonts w:ascii="Book Antiqua" w:hAnsi="Book Antiqua"/>
          <w:sz w:val="20"/>
          <w:szCs w:val="20"/>
        </w:rPr>
        <w:t xml:space="preserve">The FFMA supports </w:t>
      </w:r>
      <w:r w:rsidR="00831A3F">
        <w:rPr>
          <w:rFonts w:ascii="Book Antiqua" w:hAnsi="Book Antiqua"/>
          <w:sz w:val="20"/>
          <w:szCs w:val="20"/>
        </w:rPr>
        <w:t>the Board</w:t>
      </w:r>
      <w:r w:rsidRPr="00107E93">
        <w:rPr>
          <w:rFonts w:ascii="Book Antiqua" w:hAnsi="Book Antiqua"/>
          <w:sz w:val="20"/>
          <w:szCs w:val="20"/>
        </w:rPr>
        <w:t xml:space="preserve"> in investing to accumulate assets for the purpose of offsetting the unfunded superannuation liabilities of the Australian Government which will fall due on future generations.</w:t>
      </w:r>
    </w:p>
    <w:p w:rsidR="00684545" w:rsidRPr="00684545" w:rsidRDefault="00684545" w:rsidP="00684545">
      <w:pPr>
        <w:pStyle w:val="TOC9"/>
        <w:rPr>
          <w:lang w:val="en-US" w:eastAsia="en-US"/>
        </w:rPr>
      </w:pPr>
    </w:p>
    <w:p w:rsidR="00A73816" w:rsidRPr="008B6334" w:rsidRDefault="00A73816" w:rsidP="00A73816">
      <w:pPr>
        <w:pStyle w:val="TableColumnHeadingLeft"/>
        <w:jc w:val="both"/>
      </w:pPr>
      <w:r w:rsidRPr="008B6334">
        <w:t>Programme 1.1 Expenses</w:t>
      </w:r>
    </w:p>
    <w:tbl>
      <w:tblPr>
        <w:tblW w:w="7180" w:type="dxa"/>
        <w:tblInd w:w="93" w:type="dxa"/>
        <w:tblLook w:val="04A0"/>
      </w:tblPr>
      <w:tblGrid>
        <w:gridCol w:w="3240"/>
        <w:gridCol w:w="928"/>
        <w:gridCol w:w="800"/>
        <w:gridCol w:w="821"/>
        <w:gridCol w:w="821"/>
        <w:gridCol w:w="821"/>
      </w:tblGrid>
      <w:tr w:rsidR="002E7F19" w:rsidRPr="002E7F19" w:rsidTr="002E7F19">
        <w:trPr>
          <w:trHeight w:val="225"/>
        </w:trPr>
        <w:tc>
          <w:tcPr>
            <w:tcW w:w="3240" w:type="dxa"/>
            <w:tcBorders>
              <w:top w:val="single" w:sz="4" w:space="0" w:color="000000"/>
              <w:left w:val="nil"/>
              <w:bottom w:val="nil"/>
              <w:right w:val="nil"/>
            </w:tcBorders>
            <w:shd w:val="clear" w:color="auto" w:fill="auto"/>
            <w:hideMark/>
          </w:tcPr>
          <w:p w:rsidR="002E7F19" w:rsidRPr="002E7F19" w:rsidRDefault="002E7F19" w:rsidP="002E7F19">
            <w:pPr>
              <w:spacing w:after="0" w:line="240" w:lineRule="auto"/>
              <w:jc w:val="center"/>
              <w:rPr>
                <w:rFonts w:ascii="Arial" w:hAnsi="Arial" w:cs="Arial"/>
                <w:b/>
                <w:bCs/>
                <w:sz w:val="16"/>
                <w:szCs w:val="16"/>
              </w:rPr>
            </w:pPr>
            <w:r w:rsidRPr="002E7F19">
              <w:rPr>
                <w:rFonts w:ascii="Arial" w:hAnsi="Arial" w:cs="Arial"/>
                <w:b/>
                <w:bCs/>
                <w:sz w:val="16"/>
                <w:szCs w:val="16"/>
              </w:rPr>
              <w:t> </w:t>
            </w:r>
          </w:p>
        </w:tc>
        <w:tc>
          <w:tcPr>
            <w:tcW w:w="800" w:type="dxa"/>
            <w:tcBorders>
              <w:top w:val="single" w:sz="4" w:space="0" w:color="000000"/>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0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7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780" w:type="dxa"/>
            <w:tcBorders>
              <w:top w:val="single" w:sz="4" w:space="0" w:color="000000"/>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780" w:type="dxa"/>
            <w:tcBorders>
              <w:top w:val="single" w:sz="4" w:space="0" w:color="000000"/>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Estimated</w:t>
            </w: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Budget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0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Future Fund Special Account</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44,363</w:t>
            </w: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47,326</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47,564</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48,244</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49,309</w:t>
            </w:r>
          </w:p>
        </w:tc>
      </w:tr>
      <w:tr w:rsidR="002E7F19" w:rsidRPr="002E7F19" w:rsidTr="002E7F19">
        <w:trPr>
          <w:trHeight w:val="60"/>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single" w:sz="4" w:space="0" w:color="000000"/>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Total Programme expenses </w:t>
            </w:r>
          </w:p>
        </w:tc>
        <w:tc>
          <w:tcPr>
            <w:tcW w:w="80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44,363</w:t>
            </w:r>
          </w:p>
        </w:tc>
        <w:tc>
          <w:tcPr>
            <w:tcW w:w="800" w:type="dxa"/>
            <w:tcBorders>
              <w:top w:val="single" w:sz="4" w:space="0" w:color="auto"/>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47,326</w:t>
            </w:r>
          </w:p>
        </w:tc>
        <w:tc>
          <w:tcPr>
            <w:tcW w:w="78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47,564</w:t>
            </w:r>
          </w:p>
        </w:tc>
        <w:tc>
          <w:tcPr>
            <w:tcW w:w="78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48,244</w:t>
            </w:r>
          </w:p>
        </w:tc>
        <w:tc>
          <w:tcPr>
            <w:tcW w:w="780" w:type="dxa"/>
            <w:tcBorders>
              <w:top w:val="single" w:sz="4" w:space="0" w:color="auto"/>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49,309</w:t>
            </w:r>
          </w:p>
        </w:tc>
      </w:tr>
    </w:tbl>
    <w:p w:rsidR="00A73816" w:rsidRPr="00D844DE" w:rsidRDefault="00A73816" w:rsidP="00A73816">
      <w:pPr>
        <w:spacing w:after="0" w:line="240" w:lineRule="auto"/>
        <w:rPr>
          <w:sz w:val="6"/>
          <w:szCs w:val="6"/>
        </w:rPr>
      </w:pPr>
    </w:p>
    <w:p w:rsidR="00A73816" w:rsidRDefault="00A73816" w:rsidP="00A73816">
      <w:pPr>
        <w:pStyle w:val="NoSpacing"/>
      </w:pPr>
    </w:p>
    <w:p w:rsidR="00A73816" w:rsidRPr="008B6334" w:rsidRDefault="00A73816" w:rsidP="00A73816">
      <w:pPr>
        <w:pStyle w:val="TableColumnHeadingLeft"/>
        <w:jc w:val="both"/>
      </w:pPr>
      <w:r>
        <w:t>Programme 1.1 Deliverables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Ensure all decisions of the Board are given effect as directed by the Board within timeframes and quali</w:t>
      </w:r>
      <w:r w:rsidR="00684545">
        <w:rPr>
          <w:rFonts w:ascii="Book Antiqua" w:hAnsi="Book Antiqua"/>
          <w:sz w:val="20"/>
          <w:szCs w:val="20"/>
        </w:rPr>
        <w:t>ty levels agreed with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Ensure all investments are made in accordance with relevant legislation, </w:t>
      </w:r>
      <w:r w:rsidR="00831A3F">
        <w:rPr>
          <w:rFonts w:ascii="Book Antiqua" w:hAnsi="Book Antiqua"/>
          <w:sz w:val="20"/>
          <w:szCs w:val="20"/>
        </w:rPr>
        <w:t>i</w:t>
      </w:r>
      <w:r w:rsidRPr="00107E93">
        <w:rPr>
          <w:rFonts w:ascii="Book Antiqua" w:hAnsi="Book Antiqua"/>
          <w:sz w:val="20"/>
          <w:szCs w:val="20"/>
        </w:rPr>
        <w:t xml:space="preserve">nvestment </w:t>
      </w:r>
      <w:r w:rsidR="00831A3F">
        <w:rPr>
          <w:rFonts w:ascii="Book Antiqua" w:hAnsi="Book Antiqua"/>
          <w:sz w:val="20"/>
          <w:szCs w:val="20"/>
        </w:rPr>
        <w:t>m</w:t>
      </w:r>
      <w:r w:rsidRPr="00107E93">
        <w:rPr>
          <w:rFonts w:ascii="Book Antiqua" w:hAnsi="Book Antiqua"/>
          <w:sz w:val="20"/>
          <w:szCs w:val="20"/>
        </w:rPr>
        <w:t>an</w:t>
      </w:r>
      <w:r w:rsidR="00684545">
        <w:rPr>
          <w:rFonts w:ascii="Book Antiqua" w:hAnsi="Book Antiqua"/>
          <w:sz w:val="20"/>
          <w:szCs w:val="20"/>
        </w:rPr>
        <w:t>date and ministerial directions;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admin</w:t>
      </w:r>
      <w:r w:rsidR="00684545">
        <w:rPr>
          <w:rFonts w:ascii="Book Antiqua" w:hAnsi="Book Antiqua"/>
          <w:sz w:val="20"/>
          <w:szCs w:val="20"/>
        </w:rPr>
        <w:t>istrative services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information a</w:t>
      </w:r>
      <w:r w:rsidR="00684545">
        <w:rPr>
          <w:rFonts w:ascii="Book Antiqua" w:hAnsi="Book Antiqua"/>
          <w:sz w:val="20"/>
          <w:szCs w:val="20"/>
        </w:rPr>
        <w:t>nd recommendations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Advise the Board about the perfo</w:t>
      </w:r>
      <w:r w:rsidR="00684545">
        <w:rPr>
          <w:rFonts w:ascii="Book Antiqua" w:hAnsi="Book Antiqua"/>
          <w:sz w:val="20"/>
          <w:szCs w:val="20"/>
        </w:rPr>
        <w:t>rmance of the Board’s functions; and</w:t>
      </w:r>
    </w:p>
    <w:p w:rsidR="00A73816"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Make resources and facilities available to the Board.</w:t>
      </w:r>
    </w:p>
    <w:p w:rsidR="00A73816" w:rsidRPr="00107E93" w:rsidRDefault="00A73816" w:rsidP="00A73816">
      <w:pPr>
        <w:autoSpaceDE w:val="0"/>
        <w:autoSpaceDN w:val="0"/>
        <w:spacing w:after="80" w:line="240" w:lineRule="auto"/>
      </w:pPr>
    </w:p>
    <w:p w:rsidR="00A73816" w:rsidRPr="008B6334" w:rsidRDefault="00A73816" w:rsidP="00A73816">
      <w:pPr>
        <w:pStyle w:val="TableColumnHeadingLeft"/>
        <w:jc w:val="both"/>
      </w:pPr>
      <w:r w:rsidRPr="008B6334">
        <w:t xml:space="preserve">Programme </w:t>
      </w:r>
      <w:r>
        <w:t>1.1 Key Performance Indicators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Provide assistance and advice to the Board in pursuit of achieving the </w:t>
      </w:r>
      <w:r w:rsidR="00831A3F">
        <w:rPr>
          <w:rFonts w:ascii="Book Antiqua" w:hAnsi="Book Antiqua"/>
          <w:sz w:val="20"/>
          <w:szCs w:val="20"/>
        </w:rPr>
        <w:t>i</w:t>
      </w:r>
      <w:r w:rsidRPr="00107E93">
        <w:rPr>
          <w:rFonts w:ascii="Book Antiqua" w:hAnsi="Book Antiqua"/>
          <w:sz w:val="20"/>
          <w:szCs w:val="20"/>
        </w:rPr>
        <w:t xml:space="preserve">nvestment </w:t>
      </w:r>
      <w:r w:rsidR="00831A3F">
        <w:rPr>
          <w:rFonts w:ascii="Book Antiqua" w:hAnsi="Book Antiqua"/>
          <w:sz w:val="20"/>
          <w:szCs w:val="20"/>
        </w:rPr>
        <w:t>m</w:t>
      </w:r>
      <w:r w:rsidRPr="00107E93">
        <w:rPr>
          <w:rFonts w:ascii="Book Antiqua" w:hAnsi="Book Antiqua"/>
          <w:sz w:val="20"/>
          <w:szCs w:val="20"/>
        </w:rPr>
        <w:t>andate target return of at least 4.5 to 5.5% above the Consumer Price Index (CPI) over the long term (interpreted as rolling 10 year periods) with acceptable but not excessive risk.</w:t>
      </w:r>
      <w:r w:rsidRPr="00107E93">
        <w:rPr>
          <w:rFonts w:ascii="Book Antiqua" w:hAnsi="Book Antiqua"/>
          <w:sz w:val="20"/>
          <w:szCs w:val="20"/>
        </w:rPr>
        <w:br w:type="page"/>
      </w:r>
    </w:p>
    <w:p w:rsidR="00A73816" w:rsidRPr="008B6334" w:rsidRDefault="00A73816" w:rsidP="00A73816">
      <w:pPr>
        <w:pStyle w:val="NoSpacing"/>
        <w:rPr>
          <w:sz w:val="2"/>
          <w:szCs w:val="2"/>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tblPr>
      <w:tblGrid>
        <w:gridCol w:w="7713"/>
      </w:tblGrid>
      <w:tr w:rsidR="00A73816" w:rsidTr="00A73816">
        <w:tc>
          <w:tcPr>
            <w:tcW w:w="7713" w:type="dxa"/>
            <w:shd w:val="clear" w:color="auto" w:fill="E6E6E6"/>
          </w:tcPr>
          <w:p w:rsidR="00A73816" w:rsidRDefault="00A73816" w:rsidP="00A73816">
            <w:pPr>
              <w:pStyle w:val="TableColumnHeadingLeft"/>
            </w:pPr>
            <w:r>
              <w:t>Programme 1.2:</w:t>
            </w:r>
            <w:r w:rsidRPr="00735E48">
              <w:rPr>
                <w:rFonts w:cs="Arial"/>
              </w:rPr>
              <w:t xml:space="preserve"> </w:t>
            </w:r>
            <w:r w:rsidRPr="00B77966">
              <w:rPr>
                <w:rFonts w:cs="Arial"/>
              </w:rPr>
              <w:t>Management of the Investment of the Building Australia Fund, Education Investment Fund</w:t>
            </w:r>
            <w:r>
              <w:rPr>
                <w:rFonts w:cs="Arial"/>
              </w:rPr>
              <w:t xml:space="preserve">, </w:t>
            </w:r>
            <w:r w:rsidRPr="00B77966">
              <w:rPr>
                <w:rFonts w:cs="Arial"/>
              </w:rPr>
              <w:t>Health</w:t>
            </w:r>
            <w:r>
              <w:rPr>
                <w:rFonts w:cs="Arial"/>
              </w:rPr>
              <w:t xml:space="preserve"> and </w:t>
            </w:r>
            <w:r w:rsidRPr="00B77966">
              <w:rPr>
                <w:rFonts w:cs="Arial"/>
              </w:rPr>
              <w:t>Hospitals Fund</w:t>
            </w:r>
            <w:r>
              <w:t xml:space="preserve"> </w:t>
            </w:r>
            <w:r w:rsidRPr="00B77966">
              <w:t xml:space="preserve">and </w:t>
            </w:r>
            <w:r w:rsidRPr="00C2095D">
              <w:t>DisabilityCare Australia Fund</w:t>
            </w:r>
          </w:p>
        </w:tc>
      </w:tr>
    </w:tbl>
    <w:p w:rsidR="00A73816" w:rsidRDefault="00A73816" w:rsidP="00A73816">
      <w:pPr>
        <w:pStyle w:val="NoSpacing"/>
      </w:pPr>
    </w:p>
    <w:p w:rsidR="00A73816" w:rsidRPr="00BE17A7" w:rsidRDefault="00A73816" w:rsidP="00A73816">
      <w:pPr>
        <w:pStyle w:val="TableColumnHeadingLeft"/>
      </w:pPr>
      <w:r w:rsidRPr="00BE17A7">
        <w:t xml:space="preserve">Programme </w:t>
      </w:r>
      <w:r>
        <w:t xml:space="preserve">1.2 </w:t>
      </w:r>
      <w:r w:rsidRPr="00BE17A7">
        <w:t>Objective</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The </w:t>
      </w:r>
      <w:r w:rsidRPr="00FF76AC">
        <w:rPr>
          <w:rFonts w:ascii="Book Antiqua" w:hAnsi="Book Antiqua"/>
          <w:i/>
          <w:sz w:val="20"/>
          <w:szCs w:val="20"/>
        </w:rPr>
        <w:t>Nation-building Funds Act 2008</w:t>
      </w:r>
      <w:r w:rsidRPr="00107E93">
        <w:rPr>
          <w:rFonts w:ascii="Book Antiqua" w:hAnsi="Book Antiqua"/>
          <w:sz w:val="20"/>
          <w:szCs w:val="20"/>
        </w:rPr>
        <w:t xml:space="preserve"> established the Education Investment Fund, the Health and Hospitals Fund and the Building Australia Fund on </w:t>
      </w:r>
      <w:r>
        <w:rPr>
          <w:rFonts w:ascii="Book Antiqua" w:hAnsi="Book Antiqua"/>
          <w:sz w:val="20"/>
          <w:szCs w:val="20"/>
        </w:rPr>
        <w:t>1 </w:t>
      </w:r>
      <w:r w:rsidRPr="00107E93">
        <w:rPr>
          <w:rFonts w:ascii="Book Antiqua" w:hAnsi="Book Antiqua"/>
          <w:sz w:val="20"/>
          <w:szCs w:val="20"/>
        </w:rPr>
        <w:t>January</w:t>
      </w:r>
      <w:r>
        <w:rPr>
          <w:rFonts w:ascii="Book Antiqua" w:hAnsi="Book Antiqua"/>
          <w:sz w:val="20"/>
          <w:szCs w:val="20"/>
        </w:rPr>
        <w:t> </w:t>
      </w:r>
      <w:r w:rsidRPr="00107E93">
        <w:rPr>
          <w:rFonts w:ascii="Book Antiqua" w:hAnsi="Book Antiqua"/>
          <w:sz w:val="20"/>
          <w:szCs w:val="20"/>
        </w:rPr>
        <w:t>2009. The role of the FFMA was extended to include supporting the Board in the investment of the assets of these funds.</w:t>
      </w:r>
    </w:p>
    <w:p w:rsidR="00A73816"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The </w:t>
      </w:r>
      <w:r w:rsidRPr="00FF76AC">
        <w:rPr>
          <w:rFonts w:ascii="Book Antiqua" w:hAnsi="Book Antiqua"/>
          <w:i/>
          <w:sz w:val="20"/>
          <w:szCs w:val="20"/>
        </w:rPr>
        <w:t>National Disability Insurance Scheme Act 2013</w:t>
      </w:r>
      <w:r w:rsidRPr="00107E93">
        <w:rPr>
          <w:rFonts w:ascii="Book Antiqua" w:hAnsi="Book Antiqua"/>
          <w:sz w:val="20"/>
          <w:szCs w:val="20"/>
        </w:rPr>
        <w:t xml:space="preserve"> established the DisabilityCare Australia Fund (DCAF) on 1 July 2014. The role of the FFMA was extended to include supporting the </w:t>
      </w:r>
      <w:r w:rsidR="00831A3F">
        <w:rPr>
          <w:rFonts w:ascii="Book Antiqua" w:hAnsi="Book Antiqua"/>
          <w:sz w:val="20"/>
          <w:szCs w:val="20"/>
        </w:rPr>
        <w:t>Board</w:t>
      </w:r>
      <w:r w:rsidRPr="00107E93">
        <w:rPr>
          <w:rFonts w:ascii="Book Antiqua" w:hAnsi="Book Antiqua"/>
          <w:sz w:val="20"/>
          <w:szCs w:val="20"/>
        </w:rPr>
        <w:t xml:space="preserve"> in the investment of the assets of this fund.</w:t>
      </w:r>
    </w:p>
    <w:p w:rsidR="00A73816" w:rsidRPr="00107E93" w:rsidRDefault="00A73816" w:rsidP="00A73816">
      <w:pPr>
        <w:autoSpaceDE w:val="0"/>
        <w:autoSpaceDN w:val="0"/>
        <w:spacing w:after="80" w:line="240" w:lineRule="auto"/>
      </w:pPr>
    </w:p>
    <w:p w:rsidR="00A73816" w:rsidRPr="008B6334" w:rsidRDefault="00A73816" w:rsidP="00A73816">
      <w:pPr>
        <w:pStyle w:val="TableColumnHeadingLeft"/>
        <w:jc w:val="both"/>
      </w:pPr>
      <w:r w:rsidRPr="008B6334">
        <w:t>Programme 1.</w:t>
      </w:r>
      <w:r>
        <w:t>2</w:t>
      </w:r>
      <w:r w:rsidRPr="008B6334">
        <w:t xml:space="preserve"> Expenses</w:t>
      </w:r>
    </w:p>
    <w:tbl>
      <w:tblPr>
        <w:tblW w:w="7260" w:type="dxa"/>
        <w:tblInd w:w="93" w:type="dxa"/>
        <w:tblLook w:val="04A0"/>
      </w:tblPr>
      <w:tblGrid>
        <w:gridCol w:w="3240"/>
        <w:gridCol w:w="928"/>
        <w:gridCol w:w="880"/>
        <w:gridCol w:w="821"/>
        <w:gridCol w:w="821"/>
        <w:gridCol w:w="821"/>
      </w:tblGrid>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center"/>
              <w:rPr>
                <w:rFonts w:ascii="Arial" w:hAnsi="Arial" w:cs="Arial"/>
                <w:b/>
                <w:bCs/>
                <w:sz w:val="16"/>
                <w:szCs w:val="16"/>
              </w:rPr>
            </w:pPr>
          </w:p>
        </w:tc>
        <w:tc>
          <w:tcPr>
            <w:tcW w:w="800" w:type="dxa"/>
            <w:tcBorders>
              <w:top w:val="single" w:sz="4" w:space="0" w:color="auto"/>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80" w:type="dxa"/>
            <w:tcBorders>
              <w:top w:val="single" w:sz="4" w:space="0" w:color="auto"/>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78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780" w:type="dxa"/>
            <w:tcBorders>
              <w:top w:val="single" w:sz="4" w:space="0" w:color="auto"/>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780" w:type="dxa"/>
            <w:tcBorders>
              <w:top w:val="single" w:sz="4" w:space="0" w:color="auto"/>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Estimated</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Budget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5"/>
        </w:trPr>
        <w:tc>
          <w:tcPr>
            <w:tcW w:w="3240" w:type="dxa"/>
            <w:tcBorders>
              <w:top w:val="nil"/>
              <w:left w:val="nil"/>
              <w:bottom w:val="nil"/>
              <w:right w:val="nil"/>
            </w:tcBorders>
            <w:shd w:val="clear" w:color="auto" w:fill="auto"/>
            <w:hideMark/>
          </w:tcPr>
          <w:p w:rsidR="002E7F19" w:rsidRPr="002E7F19" w:rsidRDefault="002E7F19" w:rsidP="002E7F19">
            <w:pPr>
              <w:spacing w:after="0" w:line="240" w:lineRule="auto"/>
              <w:jc w:val="left"/>
              <w:rPr>
                <w:rFonts w:ascii="Arial" w:hAnsi="Arial" w:cs="Arial"/>
                <w:sz w:val="16"/>
                <w:szCs w:val="16"/>
              </w:rPr>
            </w:pPr>
          </w:p>
        </w:tc>
        <w:tc>
          <w:tcPr>
            <w:tcW w:w="80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8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xml:space="preserve">Special account expenses: </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Future Fund Special Account</w:t>
            </w: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759</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63</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r>
      <w:tr w:rsidR="002E7F19" w:rsidRPr="002E7F19" w:rsidTr="002E7F19">
        <w:trPr>
          <w:trHeight w:val="60"/>
        </w:trPr>
        <w:tc>
          <w:tcPr>
            <w:tcW w:w="32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7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240" w:type="dxa"/>
            <w:tcBorders>
              <w:top w:val="nil"/>
              <w:left w:val="nil"/>
              <w:bottom w:val="single" w:sz="4" w:space="0" w:color="auto"/>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Total Programme expenses </w:t>
            </w:r>
          </w:p>
        </w:tc>
        <w:tc>
          <w:tcPr>
            <w:tcW w:w="8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759</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63</w:t>
            </w:r>
          </w:p>
        </w:tc>
        <w:tc>
          <w:tcPr>
            <w:tcW w:w="7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7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7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bl>
    <w:p w:rsidR="00A73816" w:rsidRPr="00D844DE" w:rsidRDefault="00A73816" w:rsidP="00A73816">
      <w:pPr>
        <w:spacing w:after="0" w:line="240" w:lineRule="auto"/>
        <w:rPr>
          <w:sz w:val="6"/>
          <w:szCs w:val="6"/>
        </w:rPr>
      </w:pPr>
    </w:p>
    <w:p w:rsidR="00A73816" w:rsidRDefault="00A73816" w:rsidP="00A73816">
      <w:pPr>
        <w:pStyle w:val="NoSpacing"/>
      </w:pPr>
    </w:p>
    <w:p w:rsidR="00A73816" w:rsidRDefault="00A73816" w:rsidP="00A73816">
      <w:pPr>
        <w:pStyle w:val="TableColumnHeadingLeft"/>
        <w:jc w:val="both"/>
      </w:pPr>
      <w:r>
        <w:t xml:space="preserve">Programme 1.2 Deliverables  </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Ensure all decisions of the </w:t>
      </w:r>
      <w:r w:rsidR="00831A3F">
        <w:rPr>
          <w:rFonts w:ascii="Book Antiqua" w:hAnsi="Book Antiqua"/>
          <w:sz w:val="20"/>
          <w:szCs w:val="20"/>
        </w:rPr>
        <w:t>Board</w:t>
      </w:r>
      <w:r w:rsidRPr="00107E93">
        <w:rPr>
          <w:rFonts w:ascii="Book Antiqua" w:hAnsi="Book Antiqua"/>
          <w:sz w:val="20"/>
          <w:szCs w:val="20"/>
        </w:rPr>
        <w:t xml:space="preserve"> are given effect as directed by the Board within timeframes and quality levels agreed with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 xml:space="preserve">Ensure all investments are made in accordance with relevant legislation, </w:t>
      </w:r>
      <w:r w:rsidR="00831A3F">
        <w:rPr>
          <w:rFonts w:ascii="Book Antiqua" w:hAnsi="Book Antiqua"/>
          <w:sz w:val="20"/>
          <w:szCs w:val="20"/>
        </w:rPr>
        <w:t>i</w:t>
      </w:r>
      <w:r w:rsidRPr="00107E93">
        <w:rPr>
          <w:rFonts w:ascii="Book Antiqua" w:hAnsi="Book Antiqua"/>
          <w:sz w:val="20"/>
          <w:szCs w:val="20"/>
        </w:rPr>
        <w:t xml:space="preserve">nvestment </w:t>
      </w:r>
      <w:r w:rsidR="00831A3F">
        <w:rPr>
          <w:rFonts w:ascii="Book Antiqua" w:hAnsi="Book Antiqua"/>
          <w:sz w:val="20"/>
          <w:szCs w:val="20"/>
        </w:rPr>
        <w:t>m</w:t>
      </w:r>
      <w:r w:rsidRPr="00107E93">
        <w:rPr>
          <w:rFonts w:ascii="Book Antiqua" w:hAnsi="Book Antiqua"/>
          <w:sz w:val="20"/>
          <w:szCs w:val="20"/>
        </w:rPr>
        <w:t>andate and ministerial directions.</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administrative services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information and recommendations to the Board.</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Advise the Board about the performance of the Board’s functions.</w:t>
      </w:r>
    </w:p>
    <w:p w:rsidR="00A73816"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Make resources and facilities available to the Board.</w:t>
      </w:r>
    </w:p>
    <w:p w:rsidR="00A73816" w:rsidRPr="00107E93" w:rsidRDefault="00A73816" w:rsidP="00A73816">
      <w:pPr>
        <w:autoSpaceDE w:val="0"/>
        <w:autoSpaceDN w:val="0"/>
        <w:spacing w:after="80" w:line="240" w:lineRule="auto"/>
      </w:pPr>
    </w:p>
    <w:p w:rsidR="00A73816" w:rsidRDefault="00A73816" w:rsidP="00A73816">
      <w:pPr>
        <w:pStyle w:val="TableColumnHeadingLeft"/>
        <w:jc w:val="both"/>
      </w:pPr>
      <w:r>
        <w:t xml:space="preserve">Programme 1.2 Key Performance Indicators  </w:t>
      </w:r>
    </w:p>
    <w:p w:rsidR="00A73816" w:rsidRPr="00107E93" w:rsidRDefault="00A73816" w:rsidP="00375F30">
      <w:pPr>
        <w:pStyle w:val="ListParagraph"/>
        <w:numPr>
          <w:ilvl w:val="0"/>
          <w:numId w:val="9"/>
        </w:numPr>
        <w:autoSpaceDE w:val="0"/>
        <w:autoSpaceDN w:val="0"/>
        <w:spacing w:after="120" w:line="240" w:lineRule="auto"/>
        <w:ind w:left="567" w:hanging="357"/>
        <w:contextualSpacing w:val="0"/>
        <w:jc w:val="both"/>
        <w:rPr>
          <w:rFonts w:ascii="Book Antiqua" w:hAnsi="Book Antiqua"/>
          <w:sz w:val="20"/>
          <w:szCs w:val="20"/>
        </w:rPr>
      </w:pPr>
      <w:r w:rsidRPr="00107E93">
        <w:rPr>
          <w:rFonts w:ascii="Book Antiqua" w:hAnsi="Book Antiqua"/>
          <w:sz w:val="20"/>
          <w:szCs w:val="20"/>
        </w:rPr>
        <w:t>Provide assistance and advice to the Board in pursuit of achieving the Investment Mandate target return for each of the Nation-building Funds and the DisabilityCare Australia Fund of the Australian three month bank bill swap rate plus 0.3% per annum, calculated on a rolling 12 month basis while minimising the probability of capital loss over a 12 month horizon.</w:t>
      </w:r>
    </w:p>
    <w:p w:rsidR="00A73816" w:rsidRPr="003553DE" w:rsidRDefault="00A73816" w:rsidP="00A73816">
      <w:pPr>
        <w:pStyle w:val="Heading3"/>
      </w:pPr>
      <w:r>
        <w:br w:type="page"/>
      </w:r>
      <w:bookmarkStart w:id="24" w:name="_Toc417292347"/>
      <w:bookmarkStart w:id="25" w:name="_Toc417292389"/>
      <w:bookmarkStart w:id="26" w:name="_Toc418003438"/>
      <w:r w:rsidRPr="003553DE">
        <w:lastRenderedPageBreak/>
        <w:t>Section 3: Explanatory Tables and Budgeted Financial Statements</w:t>
      </w:r>
      <w:bookmarkEnd w:id="24"/>
      <w:bookmarkEnd w:id="25"/>
      <w:bookmarkEnd w:id="26"/>
    </w:p>
    <w:p w:rsidR="00A73816" w:rsidRDefault="00A73816" w:rsidP="00A73816">
      <w:r>
        <w:t>Section 3 presents explanatory tables and budgeted financial statements which provide a comprehensive snapshot of entity finances for the 2015-16</w:t>
      </w:r>
      <w:r>
        <w:rPr>
          <w:color w:val="00B050"/>
        </w:rPr>
        <w:t xml:space="preserve"> </w:t>
      </w:r>
      <w:r w:rsidR="00831A3F" w:rsidRPr="00831A3F">
        <w:t>B</w:t>
      </w:r>
      <w:r>
        <w:t xml:space="preserve">udget </w:t>
      </w:r>
      <w:r w:rsidR="00831A3F">
        <w:t>Y</w:t>
      </w:r>
      <w:r>
        <w:t>ear.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A73816" w:rsidRPr="002F5C83" w:rsidRDefault="00A73816" w:rsidP="00A73816">
      <w:pPr>
        <w:pStyle w:val="Heading4"/>
      </w:pPr>
      <w:bookmarkStart w:id="27" w:name="_Toc417292348"/>
      <w:bookmarkStart w:id="28" w:name="_Toc417292390"/>
      <w:bookmarkStart w:id="29" w:name="_Toc418003439"/>
      <w:r w:rsidRPr="002F5C83">
        <w:t>3.1</w:t>
      </w:r>
      <w:r w:rsidRPr="002F5C83">
        <w:tab/>
        <w:t>Explanatory Tables</w:t>
      </w:r>
      <w:bookmarkEnd w:id="27"/>
      <w:bookmarkEnd w:id="28"/>
      <w:bookmarkEnd w:id="29"/>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3.1.1</w:t>
      </w:r>
      <w:r w:rsidRPr="00107E93">
        <w:rPr>
          <w:rFonts w:ascii="Arial Bold" w:hAnsi="Arial Bold" w:cs="Arial"/>
          <w:b/>
          <w:smallCaps/>
          <w:sz w:val="26"/>
          <w:szCs w:val="26"/>
        </w:rPr>
        <w:tab/>
        <w:t>Movement of Administered Funds Between Years</w:t>
      </w:r>
    </w:p>
    <w:p w:rsidR="00A73816" w:rsidRDefault="00A73816" w:rsidP="00A73816">
      <w:r>
        <w:t xml:space="preserve">Table 3.1.1 is not included as there is no movement of administered fund between years. </w:t>
      </w: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3.1.2</w:t>
      </w:r>
      <w:r w:rsidRPr="00107E93">
        <w:rPr>
          <w:rFonts w:ascii="Arial Bold" w:hAnsi="Arial Bold" w:cs="Arial"/>
          <w:b/>
          <w:smallCaps/>
          <w:sz w:val="26"/>
          <w:szCs w:val="26"/>
        </w:rPr>
        <w:tab/>
        <w:t>Special Accounts</w:t>
      </w:r>
    </w:p>
    <w:p w:rsidR="00A73816" w:rsidRDefault="00A73816" w:rsidP="00A73816">
      <w:r>
        <w:t>Special Accounts provide a means to set aside and record amounts used for specified purposes. Special Accounts can be created by a Finance Minister’s Determination under section 78 of the PGPA</w:t>
      </w:r>
      <w:r w:rsidRPr="00DA28A8">
        <w:t xml:space="preserve"> Act</w:t>
      </w:r>
      <w:r>
        <w:rPr>
          <w:i/>
        </w:rPr>
        <w:t xml:space="preserve"> </w:t>
      </w:r>
      <w:r>
        <w:t xml:space="preserve">or under separate enabling legislation (section 80 of the PGPA Act refers). Table 3.1.2 shows the expected additions (receipts) and reductions (payments) for each account used by </w:t>
      </w:r>
      <w:r w:rsidR="00BA4411">
        <w:t>FFMA</w:t>
      </w:r>
      <w:r>
        <w:t>.</w:t>
      </w:r>
    </w:p>
    <w:p w:rsidR="00A73816" w:rsidRPr="009C5811" w:rsidRDefault="00A73816" w:rsidP="00E453F8">
      <w:pPr>
        <w:pStyle w:val="Heading5"/>
      </w:pPr>
      <w:r w:rsidRPr="009C5811">
        <w:t>Table 3.1.2: Estimates of Special Account Flows and Balances</w:t>
      </w:r>
    </w:p>
    <w:tbl>
      <w:tblPr>
        <w:tblW w:w="8160" w:type="dxa"/>
        <w:tblInd w:w="87" w:type="dxa"/>
        <w:tblLook w:val="04A0"/>
      </w:tblPr>
      <w:tblGrid>
        <w:gridCol w:w="2420"/>
        <w:gridCol w:w="880"/>
        <w:gridCol w:w="880"/>
        <w:gridCol w:w="920"/>
        <w:gridCol w:w="1040"/>
        <w:gridCol w:w="1180"/>
        <w:gridCol w:w="840"/>
      </w:tblGrid>
      <w:tr w:rsidR="002E7F19" w:rsidRPr="002E7F19" w:rsidTr="002E7F19">
        <w:trPr>
          <w:trHeight w:val="225"/>
        </w:trPr>
        <w:tc>
          <w:tcPr>
            <w:tcW w:w="24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Opening</w:t>
            </w:r>
          </w:p>
        </w:tc>
        <w:tc>
          <w:tcPr>
            <w:tcW w:w="9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4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18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84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Closing</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balance</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Receipts</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Payments</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Adjustments</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balance</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2015-16</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2014-15</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Outcome</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92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8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Future Fund Special</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center"/>
              <w:rPr>
                <w:rFonts w:ascii="Arial" w:hAnsi="Arial" w:cs="Arial"/>
                <w:color w:val="000000"/>
                <w:sz w:val="16"/>
                <w:szCs w:val="16"/>
              </w:rPr>
            </w:pPr>
            <w:r w:rsidRPr="002E7F19">
              <w:rPr>
                <w:rFonts w:ascii="Arial" w:hAnsi="Arial" w:cs="Arial"/>
                <w:color w:val="000000"/>
                <w:sz w:val="16"/>
                <w:szCs w:val="16"/>
              </w:rPr>
              <w:t>1</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Account (A)(D)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r>
      <w:tr w:rsidR="002E7F19" w:rsidRPr="002E7F19" w:rsidTr="002E7F19">
        <w:trPr>
          <w:trHeight w:val="60"/>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i/>
                <w:iCs/>
                <w:color w:val="000000"/>
                <w:sz w:val="16"/>
                <w:szCs w:val="16"/>
              </w:rPr>
            </w:pPr>
            <w:r w:rsidRPr="002E7F19">
              <w:rPr>
                <w:rFonts w:ascii="Arial" w:hAnsi="Arial" w:cs="Arial"/>
                <w:i/>
                <w:iCs/>
                <w:color w:val="000000"/>
                <w:sz w:val="16"/>
                <w:szCs w:val="16"/>
              </w:rPr>
              <w:t> </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Total special accounts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2015-16 Budget 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9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0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1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60"/>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24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i/>
                <w:iCs/>
                <w:sz w:val="16"/>
                <w:szCs w:val="16"/>
              </w:rPr>
            </w:pPr>
            <w:r w:rsidRPr="002E7F19">
              <w:rPr>
                <w:rFonts w:ascii="Arial" w:hAnsi="Arial" w:cs="Arial"/>
                <w:i/>
                <w:iCs/>
                <w:sz w:val="16"/>
                <w:szCs w:val="16"/>
              </w:rPr>
              <w:t>Total special accounts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9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0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24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i/>
                <w:iCs/>
                <w:color w:val="000000"/>
                <w:sz w:val="16"/>
                <w:szCs w:val="16"/>
              </w:rPr>
            </w:pPr>
            <w:r w:rsidRPr="002E7F19">
              <w:rPr>
                <w:rFonts w:ascii="Arial" w:hAnsi="Arial" w:cs="Arial"/>
                <w:i/>
                <w:iCs/>
                <w:color w:val="000000"/>
                <w:sz w:val="16"/>
                <w:szCs w:val="16"/>
              </w:rPr>
              <w:t>2014-15 estimated actual</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9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0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(705,042)</w:t>
            </w:r>
          </w:p>
        </w:tc>
        <w:tc>
          <w:tcPr>
            <w:tcW w:w="11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i/>
                <w:iCs/>
                <w:color w:val="000000"/>
                <w:sz w:val="16"/>
                <w:szCs w:val="16"/>
              </w:rPr>
            </w:pPr>
            <w:r w:rsidRPr="002E7F19">
              <w:rPr>
                <w:rFonts w:ascii="Arial" w:hAnsi="Arial" w:cs="Arial"/>
                <w:i/>
                <w:iCs/>
                <w:color w:val="000000"/>
                <w:sz w:val="16"/>
                <w:szCs w:val="16"/>
              </w:rPr>
              <w:t>-</w:t>
            </w:r>
          </w:p>
        </w:tc>
      </w:tr>
    </w:tbl>
    <w:p w:rsidR="00A73816" w:rsidRPr="00D844DE" w:rsidRDefault="00A73816" w:rsidP="00A73816">
      <w:pPr>
        <w:spacing w:after="0" w:line="240" w:lineRule="auto"/>
        <w:rPr>
          <w:sz w:val="6"/>
          <w:szCs w:val="6"/>
        </w:rPr>
      </w:pPr>
    </w:p>
    <w:p w:rsidR="00A73816" w:rsidRPr="0049416D" w:rsidRDefault="00A73816" w:rsidP="00A73816">
      <w:pPr>
        <w:pStyle w:val="Source"/>
        <w:rPr>
          <w:sz w:val="15"/>
          <w:szCs w:val="15"/>
        </w:rPr>
      </w:pPr>
      <w:r w:rsidRPr="0049416D">
        <w:rPr>
          <w:sz w:val="15"/>
          <w:szCs w:val="15"/>
        </w:rPr>
        <w:t>(A) = Administered</w:t>
      </w:r>
    </w:p>
    <w:p w:rsidR="00A73816" w:rsidRPr="0049416D" w:rsidRDefault="00A73816" w:rsidP="00A73816">
      <w:pPr>
        <w:pStyle w:val="Source"/>
        <w:rPr>
          <w:sz w:val="15"/>
          <w:szCs w:val="15"/>
        </w:rPr>
      </w:pPr>
      <w:r w:rsidRPr="0049416D">
        <w:rPr>
          <w:sz w:val="15"/>
          <w:szCs w:val="15"/>
        </w:rPr>
        <w:t>(D) = Departmental</w:t>
      </w:r>
    </w:p>
    <w:p w:rsidR="00A73816" w:rsidRDefault="00A73816" w:rsidP="00A73816">
      <w:pPr>
        <w:pStyle w:val="SingleParagraph"/>
      </w:pP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3.1.3</w:t>
      </w:r>
      <w:r w:rsidRPr="00107E93">
        <w:rPr>
          <w:rFonts w:ascii="Arial Bold" w:hAnsi="Arial Bold" w:cs="Arial"/>
          <w:b/>
          <w:smallCaps/>
          <w:sz w:val="26"/>
          <w:szCs w:val="26"/>
        </w:rPr>
        <w:tab/>
        <w:t>Australian Government Indigenous Expenditure</w:t>
      </w:r>
    </w:p>
    <w:p w:rsidR="00A73816" w:rsidRDefault="00A73816" w:rsidP="00A73816">
      <w:pPr>
        <w:rPr>
          <w:rFonts w:ascii="Arial" w:hAnsi="Arial" w:cs="Arial"/>
          <w:b/>
          <w:smallCaps/>
          <w:sz w:val="26"/>
        </w:rPr>
      </w:pPr>
      <w:r>
        <w:t>The 2014</w:t>
      </w:r>
      <w:r>
        <w:noBreakHyphen/>
        <w:t>15 Australian Government Indigenous Statement is not applicable because FFMA has no indigenous</w:t>
      </w:r>
      <w:r w:rsidR="00684545">
        <w:t>-</w:t>
      </w:r>
      <w:r>
        <w:t>specific expenses.</w:t>
      </w:r>
      <w:r>
        <w:rPr>
          <w:rFonts w:cs="Arial"/>
          <w:smallCaps/>
          <w:sz w:val="26"/>
        </w:rPr>
        <w:br w:type="page"/>
      </w:r>
    </w:p>
    <w:p w:rsidR="00A73816" w:rsidRPr="002F5C83" w:rsidRDefault="00A73816" w:rsidP="00A73816">
      <w:pPr>
        <w:pStyle w:val="Heading4"/>
      </w:pPr>
      <w:bookmarkStart w:id="30" w:name="_Toc417292349"/>
      <w:bookmarkStart w:id="31" w:name="_Toc417292391"/>
      <w:bookmarkStart w:id="32" w:name="_Toc418003440"/>
      <w:r w:rsidRPr="002F5C83">
        <w:lastRenderedPageBreak/>
        <w:t>3.2</w:t>
      </w:r>
      <w:r w:rsidRPr="002F5C83">
        <w:tab/>
        <w:t>Budgeted Financial Statements</w:t>
      </w:r>
      <w:bookmarkEnd w:id="30"/>
      <w:bookmarkEnd w:id="31"/>
      <w:bookmarkEnd w:id="32"/>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3.2.1</w:t>
      </w:r>
      <w:r w:rsidRPr="00107E93">
        <w:rPr>
          <w:rFonts w:ascii="Arial Bold" w:hAnsi="Arial Bold" w:cs="Arial"/>
          <w:b/>
          <w:smallCaps/>
          <w:sz w:val="26"/>
          <w:szCs w:val="26"/>
        </w:rPr>
        <w:tab/>
        <w:t>Differences in Entity Resourcing and Financial Statements</w:t>
      </w:r>
    </w:p>
    <w:p w:rsidR="00A73816" w:rsidRDefault="00A73816" w:rsidP="00A73816">
      <w:r>
        <w:t xml:space="preserve">No material differences exist between </w:t>
      </w:r>
      <w:r w:rsidR="00081A28">
        <w:t>entity</w:t>
      </w:r>
      <w:r>
        <w:t xml:space="preserve"> resourcing and the financial statements.</w:t>
      </w: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rsidRPr="00107E93">
        <w:rPr>
          <w:rFonts w:ascii="Arial Bold" w:hAnsi="Arial Bold" w:cs="Arial"/>
          <w:b/>
          <w:smallCaps/>
          <w:sz w:val="26"/>
          <w:szCs w:val="26"/>
        </w:rPr>
        <w:t>3.2.2</w:t>
      </w:r>
      <w:r w:rsidRPr="00107E93">
        <w:rPr>
          <w:rFonts w:ascii="Arial Bold" w:hAnsi="Arial Bold" w:cs="Arial"/>
          <w:b/>
          <w:smallCaps/>
          <w:sz w:val="26"/>
          <w:szCs w:val="26"/>
        </w:rPr>
        <w:tab/>
        <w:t>Analysis of Budgeted Financial Statements</w:t>
      </w:r>
    </w:p>
    <w:p w:rsidR="00A73816" w:rsidRPr="00F73AA3" w:rsidRDefault="00A73816" w:rsidP="00A73816">
      <w:pPr>
        <w:spacing w:line="240" w:lineRule="auto"/>
        <w:jc w:val="left"/>
      </w:pPr>
      <w:r w:rsidRPr="00F73AA3">
        <w:t>Departmental expenditure will increase over the 201</w:t>
      </w:r>
      <w:r>
        <w:t>5</w:t>
      </w:r>
      <w:r w:rsidRPr="00F73AA3">
        <w:t>-1</w:t>
      </w:r>
      <w:r>
        <w:t>6</w:t>
      </w:r>
      <w:r w:rsidRPr="00F73AA3">
        <w:t xml:space="preserve"> estimate year in line with maintaining and developing </w:t>
      </w:r>
      <w:r w:rsidR="00081A28">
        <w:t>FFMA</w:t>
      </w:r>
      <w:r w:rsidRPr="00F73AA3">
        <w:t xml:space="preserve">’s ability to support the Board in managing the Future Fund and other Australian Government Asset Funds. </w:t>
      </w:r>
    </w:p>
    <w:p w:rsidR="00A73816" w:rsidRPr="00F73AA3" w:rsidRDefault="00A73816" w:rsidP="00A73816">
      <w:pPr>
        <w:spacing w:line="240" w:lineRule="auto"/>
        <w:jc w:val="left"/>
      </w:pPr>
      <w:r w:rsidRPr="00F73AA3">
        <w:t>Administered expenditure will increase over the 201</w:t>
      </w:r>
      <w:r>
        <w:t>5</w:t>
      </w:r>
      <w:r w:rsidRPr="00F73AA3">
        <w:t>-1</w:t>
      </w:r>
      <w:r>
        <w:t>6</w:t>
      </w:r>
      <w:r w:rsidRPr="00F73AA3">
        <w:t xml:space="preserve"> estimate year as a result of the expected growth of the portfolio and the evolution of the asset allocation in line with the Board’s investment strategy.</w:t>
      </w:r>
    </w:p>
    <w:p w:rsidR="00A73816" w:rsidRPr="00107E93" w:rsidRDefault="00A73816" w:rsidP="00A73816">
      <w:pPr>
        <w:tabs>
          <w:tab w:val="left" w:pos="709"/>
        </w:tabs>
        <w:spacing w:before="240" w:line="240" w:lineRule="auto"/>
        <w:jc w:val="left"/>
        <w:rPr>
          <w:rFonts w:ascii="Arial Bold" w:hAnsi="Arial Bold" w:cs="Arial"/>
          <w:b/>
          <w:smallCaps/>
          <w:sz w:val="26"/>
          <w:szCs w:val="26"/>
        </w:rPr>
      </w:pPr>
      <w:r>
        <w:br w:type="page"/>
      </w:r>
      <w:r w:rsidRPr="00107E93">
        <w:rPr>
          <w:rFonts w:ascii="Arial Bold" w:hAnsi="Arial Bold" w:cs="Arial"/>
          <w:b/>
          <w:smallCaps/>
          <w:sz w:val="26"/>
          <w:szCs w:val="26"/>
        </w:rPr>
        <w:lastRenderedPageBreak/>
        <w:t>3.2.3</w:t>
      </w:r>
      <w:r w:rsidRPr="00107E93">
        <w:rPr>
          <w:rFonts w:ascii="Arial Bold" w:hAnsi="Arial Bold" w:cs="Arial"/>
          <w:b/>
          <w:smallCaps/>
          <w:sz w:val="26"/>
          <w:szCs w:val="26"/>
        </w:rPr>
        <w:tab/>
        <w:t>Budgeted Financial Statements Tables</w:t>
      </w:r>
    </w:p>
    <w:p w:rsidR="00A73816" w:rsidRPr="00C613B3" w:rsidRDefault="003D3DE6" w:rsidP="00E453F8">
      <w:pPr>
        <w:pStyle w:val="Heading5"/>
      </w:pPr>
      <w:r w:rsidRPr="00793F50">
        <w:t xml:space="preserve">Table 3.2.1: </w:t>
      </w:r>
      <w:r>
        <w:t>Budgeted Comprehensive Income Statement – Departmental</w:t>
      </w:r>
      <w:r>
        <w:br/>
        <w:t>(showing Net Cost of Services)</w:t>
      </w:r>
      <w:r>
        <w:br/>
        <w:t>for the period ended 30 June</w:t>
      </w:r>
    </w:p>
    <w:tbl>
      <w:tblPr>
        <w:tblW w:w="7140" w:type="dxa"/>
        <w:tblInd w:w="93" w:type="dxa"/>
        <w:tblLook w:val="04A0"/>
      </w:tblPr>
      <w:tblGrid>
        <w:gridCol w:w="3040"/>
        <w:gridCol w:w="928"/>
        <w:gridCol w:w="821"/>
        <w:gridCol w:w="821"/>
        <w:gridCol w:w="821"/>
        <w:gridCol w:w="821"/>
      </w:tblGrid>
      <w:tr w:rsidR="002E7F19" w:rsidRPr="002E7F19" w:rsidTr="002E7F19">
        <w:trPr>
          <w:trHeight w:val="225"/>
        </w:trPr>
        <w:tc>
          <w:tcPr>
            <w:tcW w:w="3040" w:type="dxa"/>
            <w:tcBorders>
              <w:top w:val="single" w:sz="4" w:space="0" w:color="auto"/>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30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EXPENSES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Employee benefits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31,492</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31,170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31,684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32,354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33,004</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Suppliers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12,195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14,526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13,726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13,937</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14,302</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1,435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1,693</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2,154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1,953</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2,003</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45,122</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47,389</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47,564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48,244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49,309</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Other revenue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44,972</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47,239</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47,414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48,094</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49,159</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44,972</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47,239</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47,414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48,094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49,159</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Gains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Other gains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150</w:t>
            </w: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150</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45,122</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47,389</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47,564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48,244</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49,309</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Net cost of (contribution by)</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services</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Surplus (Deficit) attributable to</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 xml:space="preserve"> the Australian Government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r w:rsidR="002E7F19" w:rsidRPr="002E7F19" w:rsidTr="002E7F19">
        <w:trPr>
          <w:trHeight w:val="60"/>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 comprehensive income (loss)</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 xml:space="preserve"> attributable to the Australian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p>
        </w:tc>
      </w:tr>
      <w:tr w:rsidR="002E7F19" w:rsidRPr="002E7F19" w:rsidTr="002E7F19">
        <w:trPr>
          <w:trHeight w:val="225"/>
        </w:trPr>
        <w:tc>
          <w:tcPr>
            <w:tcW w:w="3040" w:type="dxa"/>
            <w:tcBorders>
              <w:top w:val="nil"/>
              <w:left w:val="nil"/>
              <w:bottom w:val="single" w:sz="4" w:space="0" w:color="auto"/>
              <w:right w:val="nil"/>
            </w:tcBorders>
            <w:shd w:val="clear" w:color="auto" w:fill="auto"/>
            <w:vAlign w:val="bottom"/>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Government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w:t>
            </w:r>
          </w:p>
        </w:tc>
      </w:tr>
    </w:tbl>
    <w:p w:rsidR="00A73816" w:rsidRPr="00D844DE" w:rsidRDefault="00A73816" w:rsidP="00A73816">
      <w:pPr>
        <w:spacing w:after="0" w:line="240" w:lineRule="auto"/>
        <w:rPr>
          <w:sz w:val="6"/>
          <w:szCs w:val="6"/>
        </w:rPr>
      </w:pPr>
    </w:p>
    <w:p w:rsidR="00A73816" w:rsidRDefault="00A73816" w:rsidP="00A73816">
      <w:pPr>
        <w:pStyle w:val="Source"/>
      </w:pPr>
      <w:r w:rsidRPr="00E4582E">
        <w:t>Prepared on Australian Accounting Standards basis</w:t>
      </w:r>
      <w:r>
        <w:t>.</w:t>
      </w:r>
    </w:p>
    <w:p w:rsidR="00A73816" w:rsidRDefault="00A73816" w:rsidP="00A73816">
      <w:pPr>
        <w:pStyle w:val="Source"/>
      </w:pPr>
    </w:p>
    <w:p w:rsidR="003D3DE6" w:rsidRDefault="003D3DE6">
      <w:pPr>
        <w:spacing w:after="0" w:line="240" w:lineRule="auto"/>
        <w:jc w:val="left"/>
        <w:rPr>
          <w:rFonts w:ascii="Arial" w:hAnsi="Arial" w:cs="Arial"/>
          <w:b/>
        </w:rPr>
      </w:pPr>
      <w:r>
        <w:br w:type="page"/>
      </w:r>
    </w:p>
    <w:p w:rsidR="00A73816" w:rsidRPr="00C613B3" w:rsidRDefault="003D3DE6" w:rsidP="00E453F8">
      <w:pPr>
        <w:pStyle w:val="Heading5"/>
      </w:pPr>
      <w:r w:rsidRPr="00793F50">
        <w:lastRenderedPageBreak/>
        <w:t xml:space="preserve">Table 3.2.2: </w:t>
      </w:r>
      <w:r>
        <w:t>Budgeted Balance Sheet – Departmental</w:t>
      </w:r>
      <w:r>
        <w:br/>
        <w:t>as at 30 June</w:t>
      </w:r>
    </w:p>
    <w:tbl>
      <w:tblPr>
        <w:tblW w:w="7160" w:type="dxa"/>
        <w:tblInd w:w="93" w:type="dxa"/>
        <w:tblLook w:val="04A0"/>
      </w:tblPr>
      <w:tblGrid>
        <w:gridCol w:w="2960"/>
        <w:gridCol w:w="928"/>
        <w:gridCol w:w="840"/>
        <w:gridCol w:w="840"/>
        <w:gridCol w:w="840"/>
        <w:gridCol w:w="840"/>
      </w:tblGrid>
      <w:tr w:rsidR="002E7F19" w:rsidRPr="002E7F19" w:rsidTr="002E7F19">
        <w:trPr>
          <w:trHeight w:val="225"/>
        </w:trPr>
        <w:tc>
          <w:tcPr>
            <w:tcW w:w="296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84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Financial 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Cash </w:t>
            </w:r>
            <w:r w:rsidRPr="002E7F19">
              <w:rPr>
                <w:rFonts w:ascii="Arial" w:hAnsi="Arial" w:cs="Arial"/>
                <w:sz w:val="16"/>
                <w:szCs w:val="16"/>
              </w:rPr>
              <w:t>and cash equivalents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Trade and other receivables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19,839</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15,881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20,872</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22,461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24,158</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20,019</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16,061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21,052</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22,641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24,338</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Non-financial 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Property, plant and equipment</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854</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3,655</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2,844</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2,134</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1,475</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Intangibles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1,663</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2,892</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2,299</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1,212</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non-financial 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206</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non-financial assets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2,723</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6,753</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5,349</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4,146</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2,893</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assets</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22,742</w:t>
            </w:r>
          </w:p>
        </w:tc>
        <w:tc>
          <w:tcPr>
            <w:tcW w:w="84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22,814</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26,401</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26,787</w:t>
            </w:r>
          </w:p>
        </w:tc>
        <w:tc>
          <w:tcPr>
            <w:tcW w:w="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27,231</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LIABILITIES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Payables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payables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6,367</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5,813</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8,626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8,161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7,735</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payables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6,367</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5,813</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8,626</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8,161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7,735</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Provisions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 provisions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16,375</w:t>
            </w: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17,001</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17,775</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18,626</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19,496</w:t>
            </w: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provisions</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16,375</w:t>
            </w:r>
          </w:p>
        </w:tc>
        <w:tc>
          <w:tcPr>
            <w:tcW w:w="84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17,001</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17,775</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18,626</w:t>
            </w:r>
          </w:p>
        </w:tc>
        <w:tc>
          <w:tcPr>
            <w:tcW w:w="84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19,496</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liabilities</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22,742</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22,814</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26,401</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26,787</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27,231</w:t>
            </w:r>
          </w:p>
        </w:tc>
      </w:tr>
      <w:tr w:rsidR="002E7F19" w:rsidRPr="002E7F19" w:rsidTr="002E7F19">
        <w:trPr>
          <w:trHeight w:val="60"/>
        </w:trPr>
        <w:tc>
          <w:tcPr>
            <w:tcW w:w="29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96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Net assets</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bl>
    <w:p w:rsidR="00A73816" w:rsidRPr="00D844DE" w:rsidRDefault="00A73816" w:rsidP="00A73816">
      <w:pPr>
        <w:pStyle w:val="Exampletextbullet"/>
        <w:numPr>
          <w:ilvl w:val="0"/>
          <w:numId w:val="0"/>
        </w:numPr>
        <w:spacing w:after="0" w:line="240" w:lineRule="auto"/>
        <w:jc w:val="left"/>
        <w:rPr>
          <w:sz w:val="6"/>
          <w:szCs w:val="6"/>
        </w:rPr>
      </w:pPr>
    </w:p>
    <w:p w:rsidR="0049416D" w:rsidRPr="0049416D" w:rsidRDefault="0049416D" w:rsidP="0049416D">
      <w:pPr>
        <w:pStyle w:val="Source"/>
        <w:rPr>
          <w:sz w:val="6"/>
          <w:szCs w:val="6"/>
        </w:rPr>
      </w:pPr>
    </w:p>
    <w:p w:rsidR="00A73816" w:rsidRDefault="00A73816" w:rsidP="00A73816">
      <w:pPr>
        <w:pStyle w:val="Source"/>
      </w:pPr>
      <w:r>
        <w:t>Prepared on Australian Accounting Standards basis.</w:t>
      </w:r>
    </w:p>
    <w:p w:rsidR="00A73816" w:rsidRDefault="00A73816" w:rsidP="00A73816">
      <w:pPr>
        <w:pStyle w:val="Source"/>
      </w:pPr>
    </w:p>
    <w:p w:rsidR="00A73816" w:rsidRPr="00C613B3" w:rsidRDefault="00A73816" w:rsidP="00E453F8">
      <w:pPr>
        <w:pStyle w:val="Heading5"/>
      </w:pPr>
      <w:r>
        <w:br w:type="page"/>
      </w:r>
      <w:r w:rsidR="003D3DE6" w:rsidRPr="00793F50">
        <w:lastRenderedPageBreak/>
        <w:t xml:space="preserve">Table 3.2.3: </w:t>
      </w:r>
      <w:r w:rsidR="003D3DE6">
        <w:t>Budgeted Statement of Changes in Equity – Summary of Movement – Departmental</w:t>
      </w:r>
      <w:r w:rsidR="003D3DE6">
        <w:br/>
        <w:t>for the period ended 30 June 2016</w:t>
      </w:r>
    </w:p>
    <w:p w:rsidR="00A73816" w:rsidRDefault="00A73816" w:rsidP="00A73816">
      <w:pPr>
        <w:pStyle w:val="Exampletextbullet"/>
        <w:numPr>
          <w:ilvl w:val="0"/>
          <w:numId w:val="0"/>
        </w:numPr>
        <w:spacing w:after="0" w:line="240" w:lineRule="auto"/>
        <w:ind w:left="284" w:hanging="284"/>
        <w:jc w:val="left"/>
        <w:rPr>
          <w:i w:val="0"/>
          <w:color w:val="auto"/>
        </w:rPr>
      </w:pPr>
    </w:p>
    <w:p w:rsidR="00A73816" w:rsidRDefault="00A73816" w:rsidP="00A73816">
      <w:pPr>
        <w:pStyle w:val="NoSpacing"/>
      </w:pPr>
      <w:r>
        <w:t>Table 3.2.3 is not included because FFMA does not have any changes in equity.</w:t>
      </w:r>
    </w:p>
    <w:p w:rsidR="00A73816" w:rsidRPr="00C613B3" w:rsidRDefault="00A73816" w:rsidP="00E453F8">
      <w:pPr>
        <w:pStyle w:val="Heading5"/>
      </w:pPr>
      <w:r>
        <w:br w:type="page"/>
      </w:r>
      <w:r w:rsidR="003D3DE6" w:rsidRPr="00793F50">
        <w:lastRenderedPageBreak/>
        <w:t xml:space="preserve">Table 3.2.4: </w:t>
      </w:r>
      <w:r w:rsidR="003D3DE6">
        <w:t>Budgeted Statement of Cash Flows – Departmental</w:t>
      </w:r>
      <w:r w:rsidR="003D3DE6">
        <w:br/>
        <w:t>for the period ended 30 June</w:t>
      </w:r>
    </w:p>
    <w:tbl>
      <w:tblPr>
        <w:tblW w:w="7240" w:type="dxa"/>
        <w:tblInd w:w="93" w:type="dxa"/>
        <w:tblLook w:val="04A0"/>
      </w:tblPr>
      <w:tblGrid>
        <w:gridCol w:w="2840"/>
        <w:gridCol w:w="928"/>
        <w:gridCol w:w="880"/>
        <w:gridCol w:w="880"/>
        <w:gridCol w:w="880"/>
        <w:gridCol w:w="880"/>
      </w:tblGrid>
      <w:tr w:rsidR="002E7F19" w:rsidRPr="002E7F19" w:rsidTr="002E7F19">
        <w:trPr>
          <w:trHeight w:val="225"/>
        </w:trPr>
        <w:tc>
          <w:tcPr>
            <w:tcW w:w="284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88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8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8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46,314</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55,140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50,358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51,315</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52,379</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46,314</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55,140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50,358</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51,315</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52,379</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29,073</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30,508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30,876</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31,468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32,097</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12,073</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14,412</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14,008</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14,356</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14,723</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Net GST paid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4,051</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4,497</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4,724</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4,741</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4,809</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45,197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49,417</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49,608</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50,565</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51,629</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cash from (used by)</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1,117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5,723</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Purchase of property, plant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and equipment</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1,117</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5,723</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750</w:t>
            </w: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1,117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5,723</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cash from (used by)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(1,117)</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(5,723)</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(750)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increase (decrease)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 cash held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Cash and cash equivalents at the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180</w:t>
            </w:r>
          </w:p>
        </w:tc>
      </w:tr>
      <w:tr w:rsidR="002E7F19" w:rsidRPr="002E7F19" w:rsidTr="002E7F19">
        <w:trPr>
          <w:trHeight w:val="60"/>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Cash and cash equivalents at the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84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end of the reporting period</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180</w:t>
            </w:r>
          </w:p>
        </w:tc>
      </w:tr>
    </w:tbl>
    <w:p w:rsidR="00A73816" w:rsidRPr="00D844DE" w:rsidRDefault="00A73816" w:rsidP="00A73816">
      <w:pPr>
        <w:spacing w:after="0" w:line="240" w:lineRule="auto"/>
        <w:rPr>
          <w:sz w:val="6"/>
          <w:szCs w:val="6"/>
        </w:rPr>
      </w:pPr>
    </w:p>
    <w:p w:rsidR="00A73816" w:rsidRDefault="00A73816" w:rsidP="00A73816">
      <w:pPr>
        <w:pStyle w:val="Source"/>
      </w:pPr>
      <w:r>
        <w:t>Prepared on Australian Accounting Standards basis.</w:t>
      </w:r>
    </w:p>
    <w:p w:rsidR="00A73816" w:rsidRDefault="00A73816" w:rsidP="00A73816">
      <w:pPr>
        <w:pStyle w:val="NoSpacing"/>
      </w:pPr>
    </w:p>
    <w:p w:rsidR="003D3DE6" w:rsidRPr="00C613B3" w:rsidRDefault="00A73816" w:rsidP="003D3DE6">
      <w:pPr>
        <w:pStyle w:val="Heading5"/>
      </w:pPr>
      <w:r>
        <w:br w:type="page"/>
      </w:r>
      <w:bookmarkStart w:id="33" w:name="OLE_LINK2"/>
      <w:r w:rsidR="003D3DE6" w:rsidRPr="00793F50">
        <w:lastRenderedPageBreak/>
        <w:t xml:space="preserve">Table 3.2.5: </w:t>
      </w:r>
      <w:r w:rsidR="003D3DE6">
        <w:t>Capital Budget Statement – Departmental</w:t>
      </w:r>
      <w:r w:rsidR="003D3DE6" w:rsidRPr="00793F50">
        <w:br/>
        <w:t>for the period ended 30 June</w:t>
      </w:r>
      <w:bookmarkEnd w:id="33"/>
    </w:p>
    <w:tbl>
      <w:tblPr>
        <w:tblW w:w="7180" w:type="dxa"/>
        <w:tblInd w:w="93" w:type="dxa"/>
        <w:tblLook w:val="04A0"/>
      </w:tblPr>
      <w:tblGrid>
        <w:gridCol w:w="2980"/>
        <w:gridCol w:w="928"/>
        <w:gridCol w:w="821"/>
        <w:gridCol w:w="821"/>
        <w:gridCol w:w="840"/>
        <w:gridCol w:w="880"/>
      </w:tblGrid>
      <w:tr w:rsidR="002E7F19" w:rsidRPr="002E7F19" w:rsidTr="002E7F19">
        <w:trPr>
          <w:trHeight w:val="225"/>
        </w:trPr>
        <w:tc>
          <w:tcPr>
            <w:tcW w:w="2980" w:type="dxa"/>
            <w:tcBorders>
              <w:top w:val="single" w:sz="4" w:space="0" w:color="auto"/>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4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Estimated</w:t>
            </w:r>
          </w:p>
        </w:tc>
        <w:tc>
          <w:tcPr>
            <w:tcW w:w="820" w:type="dxa"/>
            <w:tcBorders>
              <w:top w:val="single" w:sz="4" w:space="0" w:color="auto"/>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Budget</w:t>
            </w:r>
          </w:p>
        </w:tc>
        <w:tc>
          <w:tcPr>
            <w:tcW w:w="82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84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c>
          <w:tcPr>
            <w:tcW w:w="88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Forward</w:t>
            </w: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actual</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estimate</w:t>
            </w: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84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8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2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4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8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60"/>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PURCHASE OF NON-FINANCIAL</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ASSETS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Funded internally from</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r>
      <w:tr w:rsidR="002E7F19" w:rsidRPr="002E7F19" w:rsidTr="002E7F19">
        <w:trPr>
          <w:trHeight w:val="225"/>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departmental resources</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1,117</w:t>
            </w: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5,723</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750</w:t>
            </w: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750</w:t>
            </w: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750</w:t>
            </w:r>
          </w:p>
        </w:tc>
      </w:tr>
      <w:tr w:rsidR="002E7F19" w:rsidRPr="002E7F19" w:rsidTr="002E7F19">
        <w:trPr>
          <w:trHeight w:val="60"/>
        </w:trPr>
        <w:tc>
          <w:tcPr>
            <w:tcW w:w="29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 </w:t>
            </w:r>
          </w:p>
        </w:tc>
        <w:tc>
          <w:tcPr>
            <w:tcW w:w="8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4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25"/>
        </w:trPr>
        <w:tc>
          <w:tcPr>
            <w:tcW w:w="29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TOTAL</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1,117</w:t>
            </w:r>
          </w:p>
        </w:tc>
        <w:tc>
          <w:tcPr>
            <w:tcW w:w="82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5,723</w:t>
            </w:r>
          </w:p>
        </w:tc>
        <w:tc>
          <w:tcPr>
            <w:tcW w:w="82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750</w:t>
            </w:r>
          </w:p>
        </w:tc>
        <w:tc>
          <w:tcPr>
            <w:tcW w:w="84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750</w:t>
            </w:r>
          </w:p>
        </w:tc>
        <w:tc>
          <w:tcPr>
            <w:tcW w:w="8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750</w:t>
            </w:r>
          </w:p>
        </w:tc>
      </w:tr>
    </w:tbl>
    <w:p w:rsidR="003D3DE6" w:rsidRPr="00D844DE" w:rsidRDefault="003D3DE6" w:rsidP="003D3DE6">
      <w:pPr>
        <w:spacing w:after="0" w:line="240" w:lineRule="auto"/>
        <w:rPr>
          <w:sz w:val="6"/>
          <w:szCs w:val="6"/>
        </w:rPr>
      </w:pPr>
    </w:p>
    <w:p w:rsidR="003D3DE6" w:rsidRDefault="003D3DE6" w:rsidP="003D3DE6">
      <w:pPr>
        <w:pStyle w:val="Source"/>
      </w:pPr>
      <w:r>
        <w:t>Prepared on Australian Accounting Standards basis.</w:t>
      </w:r>
    </w:p>
    <w:p w:rsidR="003D3DE6" w:rsidRDefault="003D3DE6" w:rsidP="003D3DE6">
      <w:pPr>
        <w:pStyle w:val="NoSpacing"/>
      </w:pPr>
    </w:p>
    <w:p w:rsidR="00A73816" w:rsidRPr="00C613B3" w:rsidRDefault="003D3DE6" w:rsidP="003D3DE6">
      <w:pPr>
        <w:pStyle w:val="Heading5"/>
      </w:pPr>
      <w:r>
        <w:br w:type="page"/>
      </w:r>
      <w:r w:rsidRPr="00793F50">
        <w:lastRenderedPageBreak/>
        <w:t xml:space="preserve">Table 3.2.6: </w:t>
      </w:r>
      <w:r>
        <w:t>Budgeted Statement of Asset Movements – Departmental</w:t>
      </w:r>
      <w:r>
        <w:br/>
        <w:t>for the period ended 30 June 2016</w:t>
      </w:r>
    </w:p>
    <w:tbl>
      <w:tblPr>
        <w:tblW w:w="6100" w:type="dxa"/>
        <w:tblInd w:w="93" w:type="dxa"/>
        <w:tblLook w:val="04A0"/>
      </w:tblPr>
      <w:tblGrid>
        <w:gridCol w:w="2880"/>
        <w:gridCol w:w="1330"/>
        <w:gridCol w:w="1138"/>
        <w:gridCol w:w="812"/>
      </w:tblGrid>
      <w:tr w:rsidR="002E7F19" w:rsidRPr="002E7F19" w:rsidTr="002E7F19">
        <w:trPr>
          <w:trHeight w:val="225"/>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b/>
                <w:bCs/>
                <w:sz w:val="16"/>
                <w:szCs w:val="16"/>
              </w:rPr>
            </w:pPr>
          </w:p>
        </w:tc>
        <w:tc>
          <w:tcPr>
            <w:tcW w:w="3220" w:type="dxa"/>
            <w:gridSpan w:val="3"/>
            <w:tcBorders>
              <w:top w:val="nil"/>
              <w:left w:val="nil"/>
              <w:bottom w:val="single" w:sz="4" w:space="0" w:color="auto"/>
              <w:right w:val="nil"/>
            </w:tcBorders>
            <w:shd w:val="clear" w:color="auto" w:fill="auto"/>
            <w:noWrap/>
            <w:vAlign w:val="bottom"/>
            <w:hideMark/>
          </w:tcPr>
          <w:p w:rsidR="002E7F19" w:rsidRPr="002E7F19" w:rsidRDefault="002E7F19" w:rsidP="002E7F19">
            <w:pPr>
              <w:spacing w:after="0" w:line="240" w:lineRule="auto"/>
              <w:jc w:val="center"/>
              <w:rPr>
                <w:rFonts w:ascii="Arial" w:hAnsi="Arial" w:cs="Arial"/>
                <w:b/>
                <w:bCs/>
                <w:sz w:val="16"/>
                <w:szCs w:val="16"/>
              </w:rPr>
            </w:pPr>
            <w:r w:rsidRPr="002E7F19">
              <w:rPr>
                <w:rFonts w:ascii="Arial" w:hAnsi="Arial" w:cs="Arial"/>
                <w:b/>
                <w:bCs/>
                <w:sz w:val="16"/>
                <w:szCs w:val="16"/>
              </w:rPr>
              <w:t>Asset Category</w:t>
            </w:r>
          </w:p>
        </w:tc>
      </w:tr>
      <w:tr w:rsidR="002E7F19" w:rsidRPr="002E7F19" w:rsidTr="002E7F19">
        <w:trPr>
          <w:trHeight w:val="210"/>
        </w:trPr>
        <w:tc>
          <w:tcPr>
            <w:tcW w:w="2880" w:type="dxa"/>
            <w:tcBorders>
              <w:top w:val="single" w:sz="4" w:space="0" w:color="auto"/>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r w:rsidRPr="002E7F19">
              <w:rPr>
                <w:rFonts w:ascii="Arial" w:hAnsi="Arial" w:cs="Arial"/>
                <w:sz w:val="16"/>
                <w:szCs w:val="16"/>
              </w:rPr>
              <w:t> </w:t>
            </w:r>
          </w:p>
        </w:tc>
        <w:tc>
          <w:tcPr>
            <w:tcW w:w="1330"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Other property,</w:t>
            </w:r>
          </w:p>
        </w:tc>
        <w:tc>
          <w:tcPr>
            <w:tcW w:w="1138"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Computer</w:t>
            </w:r>
          </w:p>
        </w:tc>
        <w:tc>
          <w:tcPr>
            <w:tcW w:w="752" w:type="dxa"/>
            <w:tcBorders>
              <w:top w:val="single" w:sz="4" w:space="0" w:color="auto"/>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Total</w:t>
            </w:r>
          </w:p>
        </w:tc>
      </w:tr>
      <w:tr w:rsidR="002E7F19" w:rsidRPr="002E7F19" w:rsidTr="002E7F19">
        <w:trPr>
          <w:trHeight w:val="210"/>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plant and</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software and</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equipment</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intangibles</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1138"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c>
          <w:tcPr>
            <w:tcW w:w="752"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$'000</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As at 1 July 2015</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 xml:space="preserve">Gross book value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7,019</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3,912</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10,931</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Accumulated depreciation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amortisation and impairment</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(6,165)</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(2,249)</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(8,414)</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Opening net book balance</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854</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1,663</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2,517</w:t>
            </w:r>
          </w:p>
        </w:tc>
      </w:tr>
      <w:tr w:rsidR="002E7F19" w:rsidRPr="002E7F19" w:rsidTr="002E7F19">
        <w:trPr>
          <w:trHeight w:val="6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CAPITAL ASSET ADDITIONS</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Estimated expenditure on</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1"/>
              <w:jc w:val="left"/>
              <w:rPr>
                <w:rFonts w:ascii="Arial" w:hAnsi="Arial" w:cs="Arial"/>
                <w:b/>
                <w:bCs/>
                <w:sz w:val="16"/>
                <w:szCs w:val="16"/>
              </w:rPr>
            </w:pPr>
            <w:r w:rsidRPr="002E7F19">
              <w:rPr>
                <w:rFonts w:ascii="Arial" w:hAnsi="Arial" w:cs="Arial"/>
                <w:b/>
                <w:bCs/>
                <w:sz w:val="16"/>
                <w:szCs w:val="16"/>
              </w:rPr>
              <w:t>new or replacement assets</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By purchase - other</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3,728</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1,995</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5,723</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additions</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3,728</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1,995</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5,723</w:t>
            </w:r>
          </w:p>
        </w:tc>
      </w:tr>
      <w:tr w:rsidR="002E7F19" w:rsidRPr="002E7F19" w:rsidTr="002E7F19">
        <w:trPr>
          <w:trHeight w:val="60"/>
        </w:trPr>
        <w:tc>
          <w:tcPr>
            <w:tcW w:w="288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jc w:val="left"/>
              <w:rPr>
                <w:rFonts w:ascii="Arial" w:hAnsi="Arial" w:cs="Arial"/>
                <w:b/>
                <w:bCs/>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Other movements</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Depreciation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amortisation expense</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(927)</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(766)</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(1,693)</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sz w:val="16"/>
                <w:szCs w:val="16"/>
              </w:rPr>
            </w:pPr>
            <w:r w:rsidRPr="002E7F19">
              <w:rPr>
                <w:rFonts w:ascii="Arial" w:hAnsi="Arial" w:cs="Arial"/>
                <w:b/>
                <w:bCs/>
                <w:sz w:val="16"/>
                <w:szCs w:val="16"/>
              </w:rPr>
              <w:t>Total other movements</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(927)</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(766)</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(1,693)</w:t>
            </w:r>
          </w:p>
        </w:tc>
      </w:tr>
      <w:tr w:rsidR="002E7F19" w:rsidRPr="002E7F19" w:rsidTr="002E7F19">
        <w:trPr>
          <w:trHeight w:val="60"/>
        </w:trPr>
        <w:tc>
          <w:tcPr>
            <w:tcW w:w="2880" w:type="dxa"/>
            <w:tcBorders>
              <w:top w:val="nil"/>
              <w:left w:val="nil"/>
              <w:bottom w:val="nil"/>
              <w:right w:val="nil"/>
            </w:tcBorders>
            <w:shd w:val="clear" w:color="auto" w:fill="auto"/>
            <w:vAlign w:val="bottom"/>
            <w:hideMark/>
          </w:tcPr>
          <w:p w:rsidR="002E7F19" w:rsidRPr="002E7F19" w:rsidRDefault="002E7F19" w:rsidP="002E7F19">
            <w:pPr>
              <w:spacing w:after="0" w:line="240" w:lineRule="auto"/>
              <w:jc w:val="left"/>
              <w:rPr>
                <w:rFonts w:ascii="Arial" w:hAnsi="Arial" w:cs="Arial"/>
                <w:sz w:val="16"/>
                <w:szCs w:val="16"/>
              </w:rPr>
            </w:pP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As at 30 June 2016</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Gross book value</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10,747</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5,907</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16,654</w:t>
            </w: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Accumulated depreciation /</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sz w:val="16"/>
                <w:szCs w:val="16"/>
              </w:rPr>
            </w:pP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p>
        </w:tc>
      </w:tr>
      <w:tr w:rsidR="002E7F19" w:rsidRPr="002E7F19" w:rsidTr="002E7F19">
        <w:trPr>
          <w:trHeight w:val="210"/>
        </w:trPr>
        <w:tc>
          <w:tcPr>
            <w:tcW w:w="28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sz w:val="16"/>
                <w:szCs w:val="16"/>
              </w:rPr>
            </w:pPr>
            <w:r w:rsidRPr="002E7F19">
              <w:rPr>
                <w:rFonts w:ascii="Arial" w:hAnsi="Arial" w:cs="Arial"/>
                <w:sz w:val="16"/>
                <w:szCs w:val="16"/>
              </w:rPr>
              <w:t>amortisation and impairment</w:t>
            </w:r>
          </w:p>
        </w:tc>
        <w:tc>
          <w:tcPr>
            <w:tcW w:w="133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(7,092)</w:t>
            </w:r>
          </w:p>
        </w:tc>
        <w:tc>
          <w:tcPr>
            <w:tcW w:w="1138"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(3,015)</w:t>
            </w:r>
          </w:p>
        </w:tc>
        <w:tc>
          <w:tcPr>
            <w:tcW w:w="752"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(10,107)</w:t>
            </w:r>
          </w:p>
        </w:tc>
      </w:tr>
      <w:tr w:rsidR="002E7F19" w:rsidRPr="002E7F19" w:rsidTr="002E7F19">
        <w:trPr>
          <w:trHeight w:val="210"/>
        </w:trPr>
        <w:tc>
          <w:tcPr>
            <w:tcW w:w="288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sz w:val="16"/>
                <w:szCs w:val="16"/>
              </w:rPr>
            </w:pPr>
            <w:r w:rsidRPr="002E7F19">
              <w:rPr>
                <w:rFonts w:ascii="Arial" w:hAnsi="Arial" w:cs="Arial"/>
                <w:b/>
                <w:bCs/>
                <w:sz w:val="16"/>
                <w:szCs w:val="16"/>
              </w:rPr>
              <w:t>Closing net book balance</w:t>
            </w:r>
          </w:p>
        </w:tc>
        <w:tc>
          <w:tcPr>
            <w:tcW w:w="133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3,655</w:t>
            </w:r>
          </w:p>
        </w:tc>
        <w:tc>
          <w:tcPr>
            <w:tcW w:w="1138"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2,892</w:t>
            </w:r>
          </w:p>
        </w:tc>
        <w:tc>
          <w:tcPr>
            <w:tcW w:w="752"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sz w:val="16"/>
                <w:szCs w:val="16"/>
              </w:rPr>
            </w:pPr>
            <w:r w:rsidRPr="002E7F19">
              <w:rPr>
                <w:rFonts w:ascii="Arial" w:hAnsi="Arial" w:cs="Arial"/>
                <w:b/>
                <w:bCs/>
                <w:sz w:val="16"/>
                <w:szCs w:val="16"/>
              </w:rPr>
              <w:t>6,547</w:t>
            </w:r>
          </w:p>
        </w:tc>
      </w:tr>
    </w:tbl>
    <w:p w:rsidR="00A73816" w:rsidRPr="00D844DE" w:rsidRDefault="00A73816" w:rsidP="00A73816">
      <w:pPr>
        <w:spacing w:after="0" w:line="240" w:lineRule="auto"/>
        <w:rPr>
          <w:sz w:val="6"/>
          <w:szCs w:val="6"/>
        </w:rPr>
      </w:pPr>
    </w:p>
    <w:p w:rsidR="00A73816" w:rsidRPr="002B7D6F" w:rsidRDefault="00A73816" w:rsidP="00A73816">
      <w:pPr>
        <w:pStyle w:val="Source"/>
      </w:pPr>
      <w:r w:rsidRPr="003458E0">
        <w:t>Prepared on Australian Accounting Standards basis.</w:t>
      </w:r>
    </w:p>
    <w:p w:rsidR="00A73816" w:rsidRDefault="00A73816" w:rsidP="00A73816">
      <w:pPr>
        <w:spacing w:after="0" w:line="240" w:lineRule="auto"/>
        <w:jc w:val="left"/>
        <w:rPr>
          <w:rFonts w:ascii="Arial" w:hAnsi="Arial" w:cs="Arial"/>
          <w:b/>
        </w:rPr>
      </w:pPr>
      <w:r>
        <w:rPr>
          <w:rFonts w:cs="Arial"/>
          <w:bCs/>
          <w:iCs/>
        </w:rPr>
        <w:br w:type="page"/>
      </w:r>
    </w:p>
    <w:p w:rsidR="00A73816" w:rsidRPr="00C613B3" w:rsidRDefault="003D3DE6" w:rsidP="00E453F8">
      <w:pPr>
        <w:pStyle w:val="Heading5"/>
      </w:pPr>
      <w:r w:rsidRPr="00793F50">
        <w:lastRenderedPageBreak/>
        <w:t xml:space="preserve">Table 3.2.7: </w:t>
      </w:r>
      <w:r>
        <w:t>Budgeted Schedule of Income and Expenses Administered on Behalf of the Government</w:t>
      </w:r>
      <w:r>
        <w:br/>
        <w:t>for the period ended 30 June</w:t>
      </w:r>
    </w:p>
    <w:tbl>
      <w:tblPr>
        <w:tblW w:w="8160" w:type="dxa"/>
        <w:tblInd w:w="93" w:type="dxa"/>
        <w:tblLook w:val="04A0"/>
      </w:tblPr>
      <w:tblGrid>
        <w:gridCol w:w="2560"/>
        <w:gridCol w:w="1124"/>
        <w:gridCol w:w="1120"/>
        <w:gridCol w:w="1120"/>
        <w:gridCol w:w="1120"/>
        <w:gridCol w:w="1124"/>
      </w:tblGrid>
      <w:tr w:rsidR="002E7F19" w:rsidRPr="002E7F19" w:rsidTr="002E7F19">
        <w:trPr>
          <w:trHeight w:val="225"/>
        </w:trPr>
        <w:tc>
          <w:tcPr>
            <w:tcW w:w="256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12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1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11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112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1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EXPENSES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 benefits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931</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966</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1,005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1,046</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1,087</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Suppliers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667,102</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737,455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787,422</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841,150</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899,107</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expenses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668,033</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738,421</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788,427</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842,196</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900,194</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LESS: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OWN-SOURCE INCOME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Non-taxation revenue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Interest</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256,991</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1,291,215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1,434,625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1,624,590</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1,813,669</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Dividends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3,195,484</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2,519,470</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2,682,645</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2,866,839</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3,073,492</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Total non-taxation revenue</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3,452,475</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3,810,685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4,117,270</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4,491,429</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4,887,161</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Gains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Other gains</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12,741,983</w:t>
            </w: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5,311,991</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5,664,112</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5,989,784</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6,357,075</w:t>
            </w: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Total gains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12,741,983</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5,311,991</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5,664,112</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5,989,784</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6,357,075</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own-sourced income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administered on behalf of</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government</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16,194,458</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9,122,676</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9,781,382</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10,481,213</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11,244,236</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cost of /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(contribution by) services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(15,526,425)</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(8,384,255)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(8,992,955)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(9,639,017)</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(10,344,042)</w:t>
            </w:r>
          </w:p>
        </w:tc>
      </w:tr>
      <w:tr w:rsidR="002E7F19" w:rsidRPr="002E7F19" w:rsidTr="002E7F19">
        <w:trPr>
          <w:trHeight w:val="60"/>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5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comprehensive</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2560" w:type="dxa"/>
            <w:tcBorders>
              <w:top w:val="nil"/>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income (loss)</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15,526,425</w:t>
            </w:r>
          </w:p>
        </w:tc>
        <w:tc>
          <w:tcPr>
            <w:tcW w:w="1120" w:type="dxa"/>
            <w:tcBorders>
              <w:top w:val="single" w:sz="4" w:space="0" w:color="000000"/>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8,384,255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8,992,955</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9,639,017</w:t>
            </w:r>
          </w:p>
        </w:tc>
        <w:tc>
          <w:tcPr>
            <w:tcW w:w="1120" w:type="dxa"/>
            <w:tcBorders>
              <w:top w:val="single" w:sz="4" w:space="0" w:color="000000"/>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10,344,042</w:t>
            </w:r>
          </w:p>
        </w:tc>
      </w:tr>
    </w:tbl>
    <w:p w:rsidR="00A73816" w:rsidRPr="009C5811" w:rsidRDefault="00A73816" w:rsidP="00A73816">
      <w:pPr>
        <w:spacing w:after="0" w:line="240" w:lineRule="auto"/>
        <w:rPr>
          <w:sz w:val="6"/>
          <w:szCs w:val="6"/>
        </w:rPr>
      </w:pPr>
    </w:p>
    <w:p w:rsidR="00A73816" w:rsidRDefault="00A73816" w:rsidP="00A73816">
      <w:pPr>
        <w:pStyle w:val="Source"/>
      </w:pPr>
      <w:r w:rsidRPr="00E4582E">
        <w:t>Prepared on Australian Accounting Standards basis</w:t>
      </w:r>
      <w:r>
        <w:t>.</w:t>
      </w:r>
    </w:p>
    <w:p w:rsidR="00A73816" w:rsidRPr="00C613B3" w:rsidRDefault="00A73816" w:rsidP="00E453F8">
      <w:pPr>
        <w:pStyle w:val="Heading5"/>
      </w:pPr>
      <w:r>
        <w:br w:type="page"/>
      </w:r>
      <w:r w:rsidR="00F5199A" w:rsidRPr="00793F50">
        <w:lastRenderedPageBreak/>
        <w:t xml:space="preserve">Table 3.2.8: </w:t>
      </w:r>
      <w:r w:rsidR="00F5199A">
        <w:t>Budgeted Schedule of Assets and Liabilities Administered on Behalf of Government</w:t>
      </w:r>
      <w:r w:rsidR="00F5199A">
        <w:br/>
        <w:t>as at 30 June</w:t>
      </w:r>
    </w:p>
    <w:tbl>
      <w:tblPr>
        <w:tblW w:w="8320" w:type="dxa"/>
        <w:tblInd w:w="93" w:type="dxa"/>
        <w:tblLook w:val="04A0"/>
      </w:tblPr>
      <w:tblGrid>
        <w:gridCol w:w="2320"/>
        <w:gridCol w:w="1200"/>
        <w:gridCol w:w="1200"/>
        <w:gridCol w:w="1200"/>
        <w:gridCol w:w="1200"/>
        <w:gridCol w:w="1200"/>
      </w:tblGrid>
      <w:tr w:rsidR="002E7F19" w:rsidRPr="002E7F19" w:rsidTr="002E7F19">
        <w:trPr>
          <w:trHeight w:val="225"/>
        </w:trPr>
        <w:tc>
          <w:tcPr>
            <w:tcW w:w="232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20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20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120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120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20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ASSETS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Financial assets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Cash and cash equivalents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Trade and other receivables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1,423,083</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1,315,009</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1,340,850</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1,370,145</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1,403,040</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investments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116,338,226</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124,907,236</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133,953,072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143,643,141</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154,040,194</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financial assets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117,762,501</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126,223,437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135,295,114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145,014,478</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155,444,426</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Total assets administered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on behalf of government</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117,762,501</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126,223,437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135,295,114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145,014,478</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155,444,426</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LIABILITIES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Payables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Suppliers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310,045</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386,740</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465,462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545,809</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631,715</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 payables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385,803</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payables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695,848</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772,543</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851,265</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931,612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1,017,518</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Provisions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Employee provisions</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36</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22</w:t>
            </w: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provisions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36</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p>
        </w:tc>
      </w:tr>
      <w:tr w:rsidR="002E7F19" w:rsidRPr="002E7F19" w:rsidTr="002E7F19">
        <w:trPr>
          <w:trHeight w:val="225"/>
        </w:trPr>
        <w:tc>
          <w:tcPr>
            <w:tcW w:w="3520" w:type="dxa"/>
            <w:gridSpan w:val="2"/>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liabilities administered</w:t>
            </w: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on behalf of government</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695,884</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772,565</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851,287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931,634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1,017,540</w:t>
            </w:r>
          </w:p>
        </w:tc>
      </w:tr>
      <w:tr w:rsidR="002E7F19" w:rsidRPr="002E7F19" w:rsidTr="002E7F19">
        <w:trPr>
          <w:trHeight w:val="60"/>
        </w:trPr>
        <w:tc>
          <w:tcPr>
            <w:tcW w:w="232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20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r>
      <w:tr w:rsidR="002E7F19" w:rsidRPr="002E7F19" w:rsidTr="002E7F19">
        <w:trPr>
          <w:trHeight w:val="225"/>
        </w:trPr>
        <w:tc>
          <w:tcPr>
            <w:tcW w:w="232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assets/(liabilities)</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117,066,617</w:t>
            </w:r>
          </w:p>
        </w:tc>
        <w:tc>
          <w:tcPr>
            <w:tcW w:w="120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125,450,872</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134,443,827</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144,082,844</w:t>
            </w:r>
          </w:p>
        </w:tc>
        <w:tc>
          <w:tcPr>
            <w:tcW w:w="120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154,426,886</w:t>
            </w:r>
          </w:p>
        </w:tc>
      </w:tr>
    </w:tbl>
    <w:p w:rsidR="00A73816" w:rsidRPr="00D844DE" w:rsidRDefault="00A73816" w:rsidP="00A73816">
      <w:pPr>
        <w:spacing w:after="0" w:line="240" w:lineRule="auto"/>
        <w:rPr>
          <w:sz w:val="6"/>
          <w:szCs w:val="6"/>
        </w:rPr>
      </w:pPr>
    </w:p>
    <w:p w:rsidR="00A73816" w:rsidRDefault="00A73816" w:rsidP="00A73816">
      <w:pPr>
        <w:pStyle w:val="Source"/>
      </w:pPr>
      <w:r w:rsidRPr="00E4582E">
        <w:t>Prepared on Australian Accounting Standards basis</w:t>
      </w:r>
      <w:r>
        <w:t>.</w:t>
      </w:r>
    </w:p>
    <w:p w:rsidR="00A73816" w:rsidRPr="00C613B3" w:rsidRDefault="00A73816" w:rsidP="00E453F8">
      <w:pPr>
        <w:pStyle w:val="Heading5"/>
      </w:pPr>
      <w:r>
        <w:br w:type="page"/>
      </w:r>
      <w:r w:rsidR="00F5199A" w:rsidRPr="00793F50">
        <w:lastRenderedPageBreak/>
        <w:t xml:space="preserve">Table 3.2.9: </w:t>
      </w:r>
      <w:r w:rsidR="00F5199A">
        <w:t>Budgeted Schedule of Administered Cash Flows</w:t>
      </w:r>
      <w:r w:rsidR="00F5199A">
        <w:br/>
        <w:t>for the period ended 30 June</w:t>
      </w:r>
    </w:p>
    <w:tbl>
      <w:tblPr>
        <w:tblW w:w="8060" w:type="dxa"/>
        <w:tblInd w:w="93" w:type="dxa"/>
        <w:tblLook w:val="04A0"/>
      </w:tblPr>
      <w:tblGrid>
        <w:gridCol w:w="2660"/>
        <w:gridCol w:w="1080"/>
        <w:gridCol w:w="1080"/>
        <w:gridCol w:w="1080"/>
        <w:gridCol w:w="1080"/>
        <w:gridCol w:w="1080"/>
      </w:tblGrid>
      <w:tr w:rsidR="002E7F19" w:rsidRPr="002E7F19" w:rsidTr="002E7F19">
        <w:trPr>
          <w:trHeight w:val="225"/>
        </w:trPr>
        <w:tc>
          <w:tcPr>
            <w:tcW w:w="266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Estimated</w:t>
            </w:r>
          </w:p>
        </w:tc>
        <w:tc>
          <w:tcPr>
            <w:tcW w:w="1080" w:type="dxa"/>
            <w:tcBorders>
              <w:top w:val="single" w:sz="4" w:space="0" w:color="000000"/>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Budget</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c>
          <w:tcPr>
            <w:tcW w:w="1080" w:type="dxa"/>
            <w:tcBorders>
              <w:top w:val="single" w:sz="4" w:space="0" w:color="000000"/>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Forward</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actual</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estimate</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0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2014-15</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2015-16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2016-17</w:t>
            </w:r>
          </w:p>
        </w:tc>
        <w:tc>
          <w:tcPr>
            <w:tcW w:w="10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2017-18</w:t>
            </w:r>
          </w:p>
        </w:tc>
        <w:tc>
          <w:tcPr>
            <w:tcW w:w="1080" w:type="dxa"/>
            <w:tcBorders>
              <w:top w:val="nil"/>
              <w:left w:val="nil"/>
              <w:bottom w:val="nil"/>
              <w:right w:val="nil"/>
            </w:tcBorders>
            <w:shd w:val="clear" w:color="000000" w:fill="FFFFFF"/>
            <w:noWrap/>
            <w:vAlign w:val="center"/>
            <w:hideMark/>
          </w:tcPr>
          <w:p w:rsidR="002E7F19" w:rsidRPr="002E7F19" w:rsidRDefault="002E7F19" w:rsidP="002E7F19">
            <w:pPr>
              <w:spacing w:after="0" w:line="240" w:lineRule="auto"/>
              <w:jc w:val="right"/>
              <w:rPr>
                <w:rFonts w:ascii="Arial" w:hAnsi="Arial" w:cs="Arial"/>
                <w:sz w:val="16"/>
                <w:szCs w:val="16"/>
              </w:rPr>
            </w:pPr>
            <w:r w:rsidRPr="002E7F19">
              <w:rPr>
                <w:rFonts w:ascii="Arial" w:hAnsi="Arial" w:cs="Arial"/>
                <w:sz w:val="16"/>
                <w:szCs w:val="16"/>
              </w:rPr>
              <w:t>2018-19</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c>
          <w:tcPr>
            <w:tcW w:w="108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$'000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received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Interest</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274,499</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1,291,215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1,434,625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1,624,590</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1,813,669</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Dividends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2,723,247</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2,627,841</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2,656,827</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2,837,612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3,039,133</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Net GST received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5,409</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4,421</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4,718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4,741</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4,809</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received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3,003,155</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3,923,477</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4,096,170</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4,466,943</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4,857,611</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Suppliers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659,302</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609,816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666,277</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714,299</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765,740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sz w:val="16"/>
                <w:szCs w:val="16"/>
              </w:rPr>
            </w:pPr>
            <w:r w:rsidRPr="002E7F19">
              <w:rPr>
                <w:rFonts w:ascii="Arial" w:hAnsi="Arial" w:cs="Arial"/>
                <w:sz w:val="16"/>
                <w:szCs w:val="16"/>
              </w:rPr>
              <w:t>Employees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931</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966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1,005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1,046</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1,087</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Other</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44,809</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55,668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47,164</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51,314</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52,378</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705,042</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666,450</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714,446</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766,659</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819,205</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cash from (used by)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operating activities</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2,298,113</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3,257,027</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3,381,724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3,700,284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4,038,406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received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 xml:space="preserve">Proceeds from sales of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200" w:firstLine="320"/>
              <w:jc w:val="left"/>
              <w:rPr>
                <w:rFonts w:ascii="Arial" w:hAnsi="Arial" w:cs="Arial"/>
                <w:color w:val="000000"/>
                <w:sz w:val="16"/>
                <w:szCs w:val="16"/>
              </w:rPr>
            </w:pPr>
            <w:r w:rsidRPr="002E7F19">
              <w:rPr>
                <w:rFonts w:ascii="Arial" w:hAnsi="Arial" w:cs="Arial"/>
                <w:color w:val="000000"/>
                <w:sz w:val="16"/>
                <w:szCs w:val="16"/>
              </w:rPr>
              <w:t>investments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7,297,118</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3,705,268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4,112,818</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2,588,570</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2,707,710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received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7,297,118</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3,705,268</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4,112,818</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2,588,570</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2,707,710</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used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Investments</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9,595,231</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6,962,295</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7,494,542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6,288,854</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6,746,116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Total cash used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9,595,231</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6,962,295</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7,494,542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6,288,854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6,746,116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 xml:space="preserve">Net cash from (used by)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investing activities</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(2,298,113)</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(3,257,027)</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(3,381,724)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(3,700,284)</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(4,038,406)</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Net increase (decrease) in</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 xml:space="preserve"> cash held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color w:val="000000"/>
                <w:sz w:val="16"/>
                <w:szCs w:val="16"/>
              </w:rPr>
            </w:pPr>
            <w:r w:rsidRPr="002E7F19">
              <w:rPr>
                <w:rFonts w:ascii="Arial" w:hAnsi="Arial" w:cs="Arial"/>
                <w:color w:val="000000"/>
                <w:sz w:val="16"/>
                <w:szCs w:val="16"/>
              </w:rPr>
              <w:t>Cash and cash equivalents at</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ind w:firstLineChars="100" w:firstLine="160"/>
              <w:jc w:val="left"/>
              <w:rPr>
                <w:rFonts w:ascii="Arial" w:hAnsi="Arial" w:cs="Arial"/>
                <w:color w:val="000000"/>
                <w:sz w:val="16"/>
                <w:szCs w:val="16"/>
              </w:rPr>
            </w:pPr>
            <w:r w:rsidRPr="002E7F19">
              <w:rPr>
                <w:rFonts w:ascii="Arial" w:hAnsi="Arial" w:cs="Arial"/>
                <w:color w:val="000000"/>
                <w:sz w:val="16"/>
                <w:szCs w:val="16"/>
              </w:rPr>
              <w:t>beginning of reporting period</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1,192</w:t>
            </w:r>
          </w:p>
        </w:tc>
      </w:tr>
      <w:tr w:rsidR="002E7F19" w:rsidRPr="002E7F19" w:rsidTr="002E7F19">
        <w:trPr>
          <w:trHeight w:val="225"/>
        </w:trPr>
        <w:tc>
          <w:tcPr>
            <w:tcW w:w="266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left"/>
              <w:rPr>
                <w:rFonts w:ascii="Arial" w:hAnsi="Arial" w:cs="Arial"/>
                <w:b/>
                <w:bCs/>
                <w:color w:val="000000"/>
                <w:sz w:val="16"/>
                <w:szCs w:val="16"/>
              </w:rPr>
            </w:pPr>
            <w:r w:rsidRPr="002E7F19">
              <w:rPr>
                <w:rFonts w:ascii="Arial" w:hAnsi="Arial" w:cs="Arial"/>
                <w:b/>
                <w:bCs/>
                <w:color w:val="000000"/>
                <w:sz w:val="16"/>
                <w:szCs w:val="16"/>
              </w:rPr>
              <w:t>Cash and cash equivalents at</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color w:val="000000"/>
                <w:sz w:val="16"/>
                <w:szCs w:val="16"/>
              </w:rPr>
            </w:pPr>
            <w:r w:rsidRPr="002E7F19">
              <w:rPr>
                <w:rFonts w:ascii="Arial" w:hAnsi="Arial" w:cs="Arial"/>
                <w:color w:val="000000"/>
                <w:sz w:val="16"/>
                <w:szCs w:val="16"/>
              </w:rPr>
              <w:t> </w:t>
            </w: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c>
          <w:tcPr>
            <w:tcW w:w="1080" w:type="dxa"/>
            <w:tcBorders>
              <w:top w:val="nil"/>
              <w:left w:val="nil"/>
              <w:bottom w:val="nil"/>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color w:val="000000"/>
                <w:sz w:val="16"/>
                <w:szCs w:val="16"/>
              </w:rPr>
            </w:pPr>
          </w:p>
        </w:tc>
      </w:tr>
      <w:tr w:rsidR="002E7F19" w:rsidRPr="002E7F19" w:rsidTr="002E7F19">
        <w:trPr>
          <w:trHeight w:val="225"/>
        </w:trPr>
        <w:tc>
          <w:tcPr>
            <w:tcW w:w="2660" w:type="dxa"/>
            <w:tcBorders>
              <w:top w:val="nil"/>
              <w:left w:val="nil"/>
              <w:bottom w:val="single" w:sz="4" w:space="0" w:color="000000"/>
              <w:right w:val="nil"/>
            </w:tcBorders>
            <w:shd w:val="clear" w:color="auto" w:fill="auto"/>
            <w:noWrap/>
            <w:vAlign w:val="center"/>
            <w:hideMark/>
          </w:tcPr>
          <w:p w:rsidR="002E7F19" w:rsidRPr="002E7F19" w:rsidRDefault="002E7F19" w:rsidP="002E7F19">
            <w:pPr>
              <w:spacing w:after="0" w:line="240" w:lineRule="auto"/>
              <w:ind w:firstLineChars="100" w:firstLine="161"/>
              <w:jc w:val="left"/>
              <w:rPr>
                <w:rFonts w:ascii="Arial" w:hAnsi="Arial" w:cs="Arial"/>
                <w:b/>
                <w:bCs/>
                <w:color w:val="000000"/>
                <w:sz w:val="16"/>
                <w:szCs w:val="16"/>
              </w:rPr>
            </w:pPr>
            <w:r w:rsidRPr="002E7F19">
              <w:rPr>
                <w:rFonts w:ascii="Arial" w:hAnsi="Arial" w:cs="Arial"/>
                <w:b/>
                <w:bCs/>
                <w:color w:val="000000"/>
                <w:sz w:val="16"/>
                <w:szCs w:val="16"/>
              </w:rPr>
              <w:t>end of reporting period</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000000" w:fill="E6E6E6"/>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c>
          <w:tcPr>
            <w:tcW w:w="1080" w:type="dxa"/>
            <w:tcBorders>
              <w:top w:val="single" w:sz="4" w:space="0" w:color="auto"/>
              <w:left w:val="nil"/>
              <w:bottom w:val="single" w:sz="4" w:space="0" w:color="auto"/>
              <w:right w:val="nil"/>
            </w:tcBorders>
            <w:shd w:val="clear" w:color="auto" w:fill="auto"/>
            <w:noWrap/>
            <w:vAlign w:val="center"/>
            <w:hideMark/>
          </w:tcPr>
          <w:p w:rsidR="002E7F19" w:rsidRPr="002E7F19" w:rsidRDefault="002E7F19" w:rsidP="002E7F19">
            <w:pPr>
              <w:spacing w:after="0" w:line="240" w:lineRule="auto"/>
              <w:jc w:val="right"/>
              <w:rPr>
                <w:rFonts w:ascii="Arial" w:hAnsi="Arial" w:cs="Arial"/>
                <w:b/>
                <w:bCs/>
                <w:color w:val="000000"/>
                <w:sz w:val="16"/>
                <w:szCs w:val="16"/>
              </w:rPr>
            </w:pPr>
            <w:r w:rsidRPr="002E7F19">
              <w:rPr>
                <w:rFonts w:ascii="Arial" w:hAnsi="Arial" w:cs="Arial"/>
                <w:b/>
                <w:bCs/>
                <w:color w:val="000000"/>
                <w:sz w:val="16"/>
                <w:szCs w:val="16"/>
              </w:rPr>
              <w:t>1,192</w:t>
            </w:r>
          </w:p>
        </w:tc>
      </w:tr>
    </w:tbl>
    <w:p w:rsidR="00A73816" w:rsidRPr="00D844DE" w:rsidRDefault="00A73816" w:rsidP="00A73816">
      <w:pPr>
        <w:spacing w:after="0" w:line="240" w:lineRule="auto"/>
        <w:rPr>
          <w:sz w:val="6"/>
          <w:szCs w:val="6"/>
        </w:rPr>
      </w:pPr>
    </w:p>
    <w:p w:rsidR="00A73816" w:rsidRDefault="00A73816" w:rsidP="00A73816">
      <w:pPr>
        <w:pStyle w:val="Source"/>
      </w:pPr>
      <w:r>
        <w:t>Prepared on Australian Accounting Standards basis.</w:t>
      </w:r>
    </w:p>
    <w:p w:rsidR="00A73816" w:rsidRDefault="00A73816" w:rsidP="00A73816">
      <w:pPr>
        <w:pStyle w:val="TableGraphic"/>
      </w:pPr>
    </w:p>
    <w:p w:rsidR="00A73816" w:rsidRPr="00C613B3" w:rsidRDefault="00536008" w:rsidP="00E453F8">
      <w:pPr>
        <w:pStyle w:val="Heading5"/>
      </w:pPr>
      <w:r w:rsidRPr="00793F50">
        <w:t xml:space="preserve">Table 3.2.10: </w:t>
      </w:r>
      <w:r>
        <w:t>Schedule of Administered Capital Budget</w:t>
      </w:r>
      <w:r>
        <w:br/>
        <w:t>for the period ended 30 June</w:t>
      </w:r>
    </w:p>
    <w:p w:rsidR="00A73816" w:rsidRDefault="00A73816" w:rsidP="00A73816">
      <w:pPr>
        <w:pStyle w:val="Exampletextbullet"/>
        <w:numPr>
          <w:ilvl w:val="0"/>
          <w:numId w:val="0"/>
        </w:numPr>
        <w:spacing w:after="0" w:line="240" w:lineRule="auto"/>
        <w:ind w:left="284" w:hanging="284"/>
        <w:jc w:val="left"/>
        <w:rPr>
          <w:i w:val="0"/>
          <w:color w:val="auto"/>
        </w:rPr>
      </w:pPr>
    </w:p>
    <w:p w:rsidR="00A73816" w:rsidRDefault="00A73816" w:rsidP="00A73816">
      <w:pPr>
        <w:pStyle w:val="ExampleText0"/>
        <w:rPr>
          <w:i w:val="0"/>
          <w:color w:val="auto"/>
        </w:rPr>
      </w:pPr>
      <w:r w:rsidRPr="002F68D0">
        <w:rPr>
          <w:i w:val="0"/>
          <w:color w:val="auto"/>
        </w:rPr>
        <w:t>The FFMA has no budgeted capital administered on beh</w:t>
      </w:r>
      <w:r>
        <w:rPr>
          <w:i w:val="0"/>
          <w:color w:val="auto"/>
        </w:rPr>
        <w:t>alf of the Australian Government.</w:t>
      </w:r>
    </w:p>
    <w:p w:rsidR="00A73816" w:rsidRPr="00C613B3" w:rsidRDefault="00536008" w:rsidP="00E453F8">
      <w:pPr>
        <w:pStyle w:val="Heading5"/>
      </w:pPr>
      <w:r w:rsidRPr="00793F50">
        <w:t xml:space="preserve">Table 3.2.11: </w:t>
      </w:r>
      <w:r>
        <w:t>Budgeted Schedule of Asset Movements – Administered</w:t>
      </w:r>
      <w:r>
        <w:br/>
        <w:t>for the period ended 30 June 2016</w:t>
      </w:r>
    </w:p>
    <w:p w:rsidR="00A73816" w:rsidRDefault="00A73816" w:rsidP="00A73816">
      <w:pPr>
        <w:pStyle w:val="Exampletextbullet"/>
        <w:numPr>
          <w:ilvl w:val="0"/>
          <w:numId w:val="0"/>
        </w:numPr>
        <w:spacing w:after="0" w:line="240" w:lineRule="auto"/>
        <w:ind w:left="284" w:hanging="284"/>
        <w:jc w:val="left"/>
        <w:rPr>
          <w:i w:val="0"/>
          <w:color w:val="auto"/>
        </w:rPr>
      </w:pPr>
    </w:p>
    <w:p w:rsidR="00A73816" w:rsidRPr="000C3B86" w:rsidRDefault="00A73816" w:rsidP="00A73816">
      <w:pPr>
        <w:pStyle w:val="TableGraphic"/>
        <w:spacing w:after="240" w:line="260" w:lineRule="exact"/>
        <w:ind w:right="0"/>
      </w:pPr>
      <w:r w:rsidRPr="00FC0936">
        <w:t xml:space="preserve">The FFMA </w:t>
      </w:r>
      <w:r>
        <w:t>has no budgeted non-financial assets administered on behalf of the Australian Government.</w:t>
      </w:r>
    </w:p>
    <w:sectPr w:rsidR="00A73816" w:rsidRPr="000C3B86" w:rsidSect="00AA27AA">
      <w:headerReference w:type="even" r:id="rId14"/>
      <w:headerReference w:type="default" r:id="rId15"/>
      <w:headerReference w:type="first" r:id="rId16"/>
      <w:type w:val="oddPage"/>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75" w:rsidRDefault="00321575" w:rsidP="00C07DEC">
      <w:r>
        <w:separator/>
      </w:r>
    </w:p>
  </w:endnote>
  <w:endnote w:type="continuationSeparator" w:id="0">
    <w:p w:rsidR="00321575" w:rsidRDefault="00321575" w:rsidP="00C07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8" w:rsidRDefault="00863578">
    <w:pPr>
      <w:pStyle w:val="Footer"/>
    </w:pPr>
    <w:fldSimple w:instr=" PAGE   \* MERGEFORMAT ">
      <w:r>
        <w:rPr>
          <w:noProof/>
        </w:rPr>
        <w:t>152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578" w:rsidRDefault="00863578">
    <w:pPr>
      <w:pStyle w:val="Footer"/>
    </w:pPr>
    <w:fldSimple w:instr=" PAGE   \* MERGEFORMAT ">
      <w:r>
        <w:rPr>
          <w:noProof/>
        </w:rPr>
        <w:t>153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1808A4" w:rsidRDefault="00062D8E" w:rsidP="001808A4">
    <w:pPr>
      <w:pStyle w:val="Footer"/>
    </w:pPr>
    <w:fldSimple w:instr=" PAGE   \* MERGEFORMAT ">
      <w:r w:rsidR="00863578">
        <w:rPr>
          <w:noProof/>
        </w:rPr>
        <w:t>137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75" w:rsidRDefault="00321575" w:rsidP="00C07DEC">
      <w:r>
        <w:separator/>
      </w:r>
    </w:p>
  </w:footnote>
  <w:footnote w:type="continuationSeparator" w:id="0">
    <w:p w:rsidR="00321575" w:rsidRDefault="00321575" w:rsidP="00C0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863578" w:rsidRDefault="00863578" w:rsidP="00361259">
    <w:pPr>
      <w:pStyle w:val="HeaderEven"/>
    </w:pPr>
    <w:r>
      <w:t>FFMA Budget Statements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Default="00863578" w:rsidP="00361259">
    <w:pPr>
      <w:pStyle w:val="HeaderOdd"/>
    </w:pPr>
    <w:r>
      <w:t>FFMA Budget Statements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575" w:rsidRPr="00F10D71" w:rsidRDefault="00321575" w:rsidP="00F10D71">
    <w:pPr>
      <w:pStyle w:val="HeaderOd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32A"/>
    <w:multiLevelType w:val="hybridMultilevel"/>
    <w:tmpl w:val="15549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8F0871"/>
    <w:multiLevelType w:val="hybridMultilevel"/>
    <w:tmpl w:val="2F1A5AD4"/>
    <w:lvl w:ilvl="0" w:tplc="AB205F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20EA0"/>
    <w:multiLevelType w:val="singleLevel"/>
    <w:tmpl w:val="3982C1BE"/>
    <w:lvl w:ilvl="0">
      <w:start w:val="1"/>
      <w:numFmt w:val="bullet"/>
      <w:lvlRestart w:val="0"/>
      <w:lvlText w:val="•"/>
      <w:lvlJc w:val="left"/>
      <w:pPr>
        <w:tabs>
          <w:tab w:val="num" w:pos="284"/>
        </w:tabs>
        <w:ind w:left="284" w:hanging="284"/>
      </w:pPr>
      <w:rPr>
        <w:b w:val="0"/>
        <w:i w:val="0"/>
        <w:color w:val="000000"/>
      </w:rPr>
    </w:lvl>
  </w:abstractNum>
  <w:abstractNum w:abstractNumId="3">
    <w:nsid w:val="04862A55"/>
    <w:multiLevelType w:val="hybridMultilevel"/>
    <w:tmpl w:val="94C23C9A"/>
    <w:lvl w:ilvl="0" w:tplc="A0A085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E16BE4"/>
    <w:multiLevelType w:val="hybridMultilevel"/>
    <w:tmpl w:val="A6AA4530"/>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A102D9"/>
    <w:multiLevelType w:val="hybridMultilevel"/>
    <w:tmpl w:val="C36C9B0E"/>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934D57"/>
    <w:multiLevelType w:val="hybridMultilevel"/>
    <w:tmpl w:val="84D2EA4A"/>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nsid w:val="10DD14C3"/>
    <w:multiLevelType w:val="hybridMultilevel"/>
    <w:tmpl w:val="48600C24"/>
    <w:lvl w:ilvl="0" w:tplc="40348D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943BA1"/>
    <w:multiLevelType w:val="hybridMultilevel"/>
    <w:tmpl w:val="8A78BCBC"/>
    <w:lvl w:ilvl="0" w:tplc="FD0C5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A3F16A7"/>
    <w:multiLevelType w:val="hybridMultilevel"/>
    <w:tmpl w:val="7F5EDCBE"/>
    <w:lvl w:ilvl="0" w:tplc="0B4220B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EB0CD5"/>
    <w:multiLevelType w:val="hybridMultilevel"/>
    <w:tmpl w:val="0FEC347A"/>
    <w:lvl w:ilvl="0" w:tplc="A5343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EB74B8"/>
    <w:multiLevelType w:val="hybridMultilevel"/>
    <w:tmpl w:val="350C8036"/>
    <w:lvl w:ilvl="0" w:tplc="3B4AFF1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BA4584"/>
    <w:multiLevelType w:val="hybridMultilevel"/>
    <w:tmpl w:val="1CD807EC"/>
    <w:lvl w:ilvl="0" w:tplc="7B54D7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247475"/>
    <w:multiLevelType w:val="hybridMultilevel"/>
    <w:tmpl w:val="DC8212C0"/>
    <w:name w:val="ExampleTextBullet22"/>
    <w:lvl w:ilvl="0" w:tplc="50B806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746F3E"/>
    <w:multiLevelType w:val="hybridMultilevel"/>
    <w:tmpl w:val="C2A245AE"/>
    <w:lvl w:ilvl="0" w:tplc="F29C039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E957F0"/>
    <w:multiLevelType w:val="hybridMultilevel"/>
    <w:tmpl w:val="9C120D5E"/>
    <w:lvl w:ilvl="0" w:tplc="84CC24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F8E0765"/>
    <w:multiLevelType w:val="hybridMultilevel"/>
    <w:tmpl w:val="BE7E5F22"/>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nsid w:val="302D74E7"/>
    <w:multiLevelType w:val="hybridMultilevel"/>
    <w:tmpl w:val="2DEACDAE"/>
    <w:lvl w:ilvl="0" w:tplc="1BF6F5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52A4314"/>
    <w:multiLevelType w:val="hybridMultilevel"/>
    <w:tmpl w:val="2B22443C"/>
    <w:lvl w:ilvl="0" w:tplc="ECECB1FA">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62906D9"/>
    <w:multiLevelType w:val="hybridMultilevel"/>
    <w:tmpl w:val="DAC2D4A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37014FF1"/>
    <w:multiLevelType w:val="hybridMultilevel"/>
    <w:tmpl w:val="D1E61152"/>
    <w:name w:val="ExampleTextBullet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0878E0"/>
    <w:multiLevelType w:val="hybridMultilevel"/>
    <w:tmpl w:val="0D420116"/>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7">
    <w:nsid w:val="3C222161"/>
    <w:multiLevelType w:val="hybridMultilevel"/>
    <w:tmpl w:val="86ECB460"/>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8">
    <w:nsid w:val="3EDD6DF2"/>
    <w:multiLevelType w:val="hybridMultilevel"/>
    <w:tmpl w:val="45F09C68"/>
    <w:lvl w:ilvl="0" w:tplc="883870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F4B727F"/>
    <w:multiLevelType w:val="hybridMultilevel"/>
    <w:tmpl w:val="954C28A0"/>
    <w:lvl w:ilvl="0" w:tplc="95D488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nsid w:val="45CC754B"/>
    <w:multiLevelType w:val="hybridMultilevel"/>
    <w:tmpl w:val="079EB120"/>
    <w:lvl w:ilvl="0" w:tplc="0C090001">
      <w:start w:val="1"/>
      <w:numFmt w:val="bullet"/>
      <w:lvlText w:val=""/>
      <w:lvlJc w:val="left"/>
      <w:pPr>
        <w:ind w:left="720" w:hanging="360"/>
      </w:pPr>
      <w:rPr>
        <w:rFonts w:ascii="Symbol" w:hAnsi="Symbol" w:hint="default"/>
      </w:rPr>
    </w:lvl>
    <w:lvl w:ilvl="1" w:tplc="578E5778">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564150"/>
    <w:multiLevelType w:val="hybridMultilevel"/>
    <w:tmpl w:val="C6900AF8"/>
    <w:lvl w:ilvl="0" w:tplc="9DDA5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C24F51"/>
    <w:multiLevelType w:val="hybridMultilevel"/>
    <w:tmpl w:val="262A807C"/>
    <w:lvl w:ilvl="0" w:tplc="EFB240A2">
      <w:start w:val="1"/>
      <w:numFmt w:val="decimal"/>
      <w:lvlText w:val="%1."/>
      <w:lvlJc w:val="left"/>
      <w:pPr>
        <w:ind w:left="644" w:hanging="360"/>
      </w:pPr>
      <w:rPr>
        <w:rFont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nsid w:val="4B7054EE"/>
    <w:multiLevelType w:val="hybridMultilevel"/>
    <w:tmpl w:val="D980A9E0"/>
    <w:lvl w:ilvl="0" w:tplc="0C090001">
      <w:start w:val="1"/>
      <w:numFmt w:val="bullet"/>
      <w:lvlText w:val=""/>
      <w:lvlJc w:val="left"/>
      <w:pPr>
        <w:ind w:left="360" w:hanging="360"/>
      </w:pPr>
      <w:rPr>
        <w:rFonts w:ascii="Symbol" w:hAnsi="Symbol" w:hint="default"/>
      </w:rPr>
    </w:lvl>
    <w:lvl w:ilvl="1" w:tplc="578E5778">
      <w:start w:val="1"/>
      <w:numFmt w:val="bullet"/>
      <w:lvlText w:val="–"/>
      <w:lvlJc w:val="left"/>
      <w:pPr>
        <w:ind w:left="1080" w:hanging="360"/>
      </w:pPr>
      <w:rPr>
        <w:rFonts w:ascii="Calibri" w:hAnsi="Calibri"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BFB18B6"/>
    <w:multiLevelType w:val="hybridMultilevel"/>
    <w:tmpl w:val="6ECE2E7C"/>
    <w:lvl w:ilvl="0" w:tplc="AEB6F9B0">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4E6D6539"/>
    <w:multiLevelType w:val="hybridMultilevel"/>
    <w:tmpl w:val="0F6ADBCA"/>
    <w:lvl w:ilvl="0" w:tplc="D056F1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ED91490"/>
    <w:multiLevelType w:val="hybridMultilevel"/>
    <w:tmpl w:val="097ADF56"/>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8">
    <w:nsid w:val="4F1523DD"/>
    <w:multiLevelType w:val="hybridMultilevel"/>
    <w:tmpl w:val="1414B70E"/>
    <w:lvl w:ilvl="0" w:tplc="1F94FB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F397C02"/>
    <w:multiLevelType w:val="hybridMultilevel"/>
    <w:tmpl w:val="48BA5450"/>
    <w:lvl w:ilvl="0" w:tplc="578E5778">
      <w:start w:val="1"/>
      <w:numFmt w:val="bullet"/>
      <w:lvlText w:val="–"/>
      <w:lvlJc w:val="left"/>
      <w:pPr>
        <w:ind w:left="1080" w:hanging="360"/>
      </w:pPr>
      <w:rPr>
        <w:rFonts w:ascii="Calibri" w:hAnsi="Calibri"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FCE6513"/>
    <w:multiLevelType w:val="hybridMultilevel"/>
    <w:tmpl w:val="9A9E0B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1E57F69"/>
    <w:multiLevelType w:val="hybridMultilevel"/>
    <w:tmpl w:val="8B4420C4"/>
    <w:lvl w:ilvl="0" w:tplc="6B3C3A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39A0997"/>
    <w:multiLevelType w:val="hybridMultilevel"/>
    <w:tmpl w:val="4C98DB40"/>
    <w:lvl w:ilvl="0" w:tplc="D2D84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4BF626B"/>
    <w:multiLevelType w:val="hybridMultilevel"/>
    <w:tmpl w:val="FDD0A484"/>
    <w:lvl w:ilvl="0" w:tplc="01E276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66766B5"/>
    <w:multiLevelType w:val="hybridMultilevel"/>
    <w:tmpl w:val="02C6CCEC"/>
    <w:lvl w:ilvl="0" w:tplc="ECECB1FA">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nsid w:val="56D87015"/>
    <w:multiLevelType w:val="hybridMultilevel"/>
    <w:tmpl w:val="46B85734"/>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7">
    <w:nsid w:val="5A467DDE"/>
    <w:multiLevelType w:val="hybridMultilevel"/>
    <w:tmpl w:val="65E680EE"/>
    <w:lvl w:ilvl="0" w:tplc="ECECB1FA">
      <w:start w:val="1"/>
      <w:numFmt w:val="bullet"/>
      <w:lvlText w:val=""/>
      <w:lvlJc w:val="left"/>
      <w:pPr>
        <w:tabs>
          <w:tab w:val="num" w:pos="360"/>
        </w:tabs>
        <w:ind w:left="360" w:hanging="360"/>
      </w:pPr>
      <w:rPr>
        <w:rFonts w:ascii="Symbol" w:hAnsi="Symbol" w:hint="default"/>
      </w:rPr>
    </w:lvl>
    <w:lvl w:ilvl="1" w:tplc="0C090019">
      <w:start w:val="8250"/>
      <w:numFmt w:val="bullet"/>
      <w:lvlText w:val="-"/>
      <w:lvlJc w:val="left"/>
      <w:pPr>
        <w:tabs>
          <w:tab w:val="num" w:pos="1080"/>
        </w:tabs>
        <w:ind w:left="1080" w:hanging="360"/>
      </w:pPr>
      <w:rPr>
        <w:rFonts w:ascii="Arial" w:eastAsia="Times New Roman" w:hAnsi="Arial" w:hint="default"/>
      </w:rPr>
    </w:lvl>
    <w:lvl w:ilvl="2" w:tplc="0C09001B" w:tentative="1">
      <w:start w:val="1"/>
      <w:numFmt w:val="bullet"/>
      <w:lvlText w:val=""/>
      <w:lvlJc w:val="left"/>
      <w:pPr>
        <w:tabs>
          <w:tab w:val="num" w:pos="1800"/>
        </w:tabs>
        <w:ind w:left="1800" w:hanging="360"/>
      </w:pPr>
      <w:rPr>
        <w:rFonts w:ascii="Wingdings" w:hAnsi="Wingdings" w:hint="default"/>
      </w:rPr>
    </w:lvl>
    <w:lvl w:ilvl="3" w:tplc="0C09000F" w:tentative="1">
      <w:start w:val="1"/>
      <w:numFmt w:val="bullet"/>
      <w:lvlText w:val=""/>
      <w:lvlJc w:val="left"/>
      <w:pPr>
        <w:tabs>
          <w:tab w:val="num" w:pos="2520"/>
        </w:tabs>
        <w:ind w:left="2520" w:hanging="360"/>
      </w:pPr>
      <w:rPr>
        <w:rFonts w:ascii="Symbol" w:hAnsi="Symbol" w:hint="default"/>
      </w:rPr>
    </w:lvl>
    <w:lvl w:ilvl="4" w:tplc="0C090019" w:tentative="1">
      <w:start w:val="1"/>
      <w:numFmt w:val="bullet"/>
      <w:lvlText w:val="o"/>
      <w:lvlJc w:val="left"/>
      <w:pPr>
        <w:tabs>
          <w:tab w:val="num" w:pos="3240"/>
        </w:tabs>
        <w:ind w:left="3240" w:hanging="360"/>
      </w:pPr>
      <w:rPr>
        <w:rFonts w:ascii="Courier New" w:hAnsi="Courier New" w:hint="default"/>
      </w:rPr>
    </w:lvl>
    <w:lvl w:ilvl="5" w:tplc="0C09001B" w:tentative="1">
      <w:start w:val="1"/>
      <w:numFmt w:val="bullet"/>
      <w:lvlText w:val=""/>
      <w:lvlJc w:val="left"/>
      <w:pPr>
        <w:tabs>
          <w:tab w:val="num" w:pos="3960"/>
        </w:tabs>
        <w:ind w:left="3960" w:hanging="360"/>
      </w:pPr>
      <w:rPr>
        <w:rFonts w:ascii="Wingdings" w:hAnsi="Wingdings" w:hint="default"/>
      </w:rPr>
    </w:lvl>
    <w:lvl w:ilvl="6" w:tplc="0C09000F" w:tentative="1">
      <w:start w:val="1"/>
      <w:numFmt w:val="bullet"/>
      <w:lvlText w:val=""/>
      <w:lvlJc w:val="left"/>
      <w:pPr>
        <w:tabs>
          <w:tab w:val="num" w:pos="4680"/>
        </w:tabs>
        <w:ind w:left="4680" w:hanging="360"/>
      </w:pPr>
      <w:rPr>
        <w:rFonts w:ascii="Symbol" w:hAnsi="Symbol" w:hint="default"/>
      </w:rPr>
    </w:lvl>
    <w:lvl w:ilvl="7" w:tplc="0C090019" w:tentative="1">
      <w:start w:val="1"/>
      <w:numFmt w:val="bullet"/>
      <w:lvlText w:val="o"/>
      <w:lvlJc w:val="left"/>
      <w:pPr>
        <w:tabs>
          <w:tab w:val="num" w:pos="5400"/>
        </w:tabs>
        <w:ind w:left="5400" w:hanging="360"/>
      </w:pPr>
      <w:rPr>
        <w:rFonts w:ascii="Courier New" w:hAnsi="Courier New" w:hint="default"/>
      </w:rPr>
    </w:lvl>
    <w:lvl w:ilvl="8" w:tplc="0C09001B" w:tentative="1">
      <w:start w:val="1"/>
      <w:numFmt w:val="bullet"/>
      <w:lvlText w:val=""/>
      <w:lvlJc w:val="left"/>
      <w:pPr>
        <w:tabs>
          <w:tab w:val="num" w:pos="6120"/>
        </w:tabs>
        <w:ind w:left="6120" w:hanging="360"/>
      </w:pPr>
      <w:rPr>
        <w:rFonts w:ascii="Wingdings" w:hAnsi="Wingdings" w:hint="default"/>
      </w:rPr>
    </w:lvl>
  </w:abstractNum>
  <w:abstractNum w:abstractNumId="48">
    <w:nsid w:val="638B1F33"/>
    <w:multiLevelType w:val="hybridMultilevel"/>
    <w:tmpl w:val="F91EBB54"/>
    <w:lvl w:ilvl="0" w:tplc="A1C8137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59E325D"/>
    <w:multiLevelType w:val="hybridMultilevel"/>
    <w:tmpl w:val="CFD0DCA4"/>
    <w:lvl w:ilvl="0" w:tplc="8F7C1108">
      <w:start w:val="1"/>
      <w:numFmt w:val="decimal"/>
      <w:lvlText w:val="%1."/>
      <w:lvlJc w:val="left"/>
      <w:pPr>
        <w:ind w:left="763" w:hanging="360"/>
      </w:pPr>
      <w:rPr>
        <w:rFonts w:hint="default"/>
      </w:r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50">
    <w:nsid w:val="661B73FA"/>
    <w:multiLevelType w:val="hybridMultilevel"/>
    <w:tmpl w:val="F4F883B2"/>
    <w:lvl w:ilvl="0" w:tplc="B94C22A8">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nsid w:val="674A4487"/>
    <w:multiLevelType w:val="hybridMultilevel"/>
    <w:tmpl w:val="5E02F696"/>
    <w:lvl w:ilvl="0" w:tplc="AC70D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3">
    <w:nsid w:val="6B6957C0"/>
    <w:multiLevelType w:val="hybridMultilevel"/>
    <w:tmpl w:val="359E449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nsid w:val="6BBD6F4D"/>
    <w:multiLevelType w:val="hybridMultilevel"/>
    <w:tmpl w:val="121622A2"/>
    <w:lvl w:ilvl="0" w:tplc="C6A89C1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CA23F04"/>
    <w:multiLevelType w:val="hybridMultilevel"/>
    <w:tmpl w:val="554233E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nsid w:val="700422E7"/>
    <w:multiLevelType w:val="hybridMultilevel"/>
    <w:tmpl w:val="426CA626"/>
    <w:lvl w:ilvl="0" w:tplc="F926E2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0A77720"/>
    <w:multiLevelType w:val="hybridMultilevel"/>
    <w:tmpl w:val="B7604D42"/>
    <w:lvl w:ilvl="0" w:tplc="F2B6BA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4E01C1"/>
    <w:multiLevelType w:val="hybridMultilevel"/>
    <w:tmpl w:val="0C2A1A7A"/>
    <w:lvl w:ilvl="0" w:tplc="5874F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3A85323"/>
    <w:multiLevelType w:val="hybridMultilevel"/>
    <w:tmpl w:val="3626DD48"/>
    <w:lvl w:ilvl="0" w:tplc="052490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45707A6"/>
    <w:multiLevelType w:val="hybridMultilevel"/>
    <w:tmpl w:val="3278779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nsid w:val="756E4F5B"/>
    <w:multiLevelType w:val="hybridMultilevel"/>
    <w:tmpl w:val="529C952E"/>
    <w:lvl w:ilvl="0" w:tplc="9D38DF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653321C"/>
    <w:multiLevelType w:val="hybridMultilevel"/>
    <w:tmpl w:val="1EFC2F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78343153"/>
    <w:multiLevelType w:val="hybridMultilevel"/>
    <w:tmpl w:val="0FA80DFC"/>
    <w:lvl w:ilvl="0" w:tplc="68A638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9712557"/>
    <w:multiLevelType w:val="hybridMultilevel"/>
    <w:tmpl w:val="6D2C8C94"/>
    <w:lvl w:ilvl="0" w:tplc="0C09000F">
      <w:start w:val="1"/>
      <w:numFmt w:val="decimal"/>
      <w:lvlText w:val="%1."/>
      <w:lvlJc w:val="left"/>
      <w:pPr>
        <w:ind w:left="720" w:hanging="360"/>
      </w:pPr>
      <w:rPr>
        <w:rFont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6">
    <w:nsid w:val="7E042717"/>
    <w:multiLevelType w:val="hybridMultilevel"/>
    <w:tmpl w:val="AEC06842"/>
    <w:lvl w:ilvl="0" w:tplc="5A84F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E1B1954"/>
    <w:multiLevelType w:val="hybridMultilevel"/>
    <w:tmpl w:val="E362C9AE"/>
    <w:lvl w:ilvl="0" w:tplc="BCEC27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F61056A"/>
    <w:multiLevelType w:val="hybridMultilevel"/>
    <w:tmpl w:val="AF783F22"/>
    <w:lvl w:ilvl="0" w:tplc="4C6644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8"/>
  </w:num>
  <w:num w:numId="3">
    <w:abstractNumId w:val="52"/>
  </w:num>
  <w:num w:numId="4">
    <w:abstractNumId w:val="26"/>
    <w:lvlOverride w:ilvl="0">
      <w:startOverride w:val="1"/>
    </w:lvlOverride>
  </w:num>
  <w:num w:numId="5">
    <w:abstractNumId w:val="61"/>
  </w:num>
  <w:num w:numId="6">
    <w:abstractNumId w:val="19"/>
  </w:num>
  <w:num w:numId="7">
    <w:abstractNumId w:val="46"/>
  </w:num>
  <w:num w:numId="8">
    <w:abstractNumId w:val="6"/>
  </w:num>
  <w:num w:numId="9">
    <w:abstractNumId w:val="53"/>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5"/>
  </w:num>
  <w:num w:numId="15">
    <w:abstractNumId w:val="50"/>
  </w:num>
  <w:num w:numId="16">
    <w:abstractNumId w:val="17"/>
  </w:num>
  <w:num w:numId="17">
    <w:abstractNumId w:val="45"/>
  </w:num>
  <w:num w:numId="18">
    <w:abstractNumId w:val="21"/>
  </w:num>
  <w:num w:numId="19">
    <w:abstractNumId w:val="64"/>
  </w:num>
  <w:num w:numId="20">
    <w:abstractNumId w:val="4"/>
  </w:num>
  <w:num w:numId="21">
    <w:abstractNumId w:val="12"/>
  </w:num>
  <w:num w:numId="22">
    <w:abstractNumId w:val="32"/>
  </w:num>
  <w:num w:numId="23">
    <w:abstractNumId w:val="33"/>
  </w:num>
  <w:num w:numId="24">
    <w:abstractNumId w:val="3"/>
  </w:num>
  <w:num w:numId="25">
    <w:abstractNumId w:val="49"/>
  </w:num>
  <w:num w:numId="26">
    <w:abstractNumId w:val="10"/>
  </w:num>
  <w:num w:numId="27">
    <w:abstractNumId w:val="11"/>
  </w:num>
  <w:num w:numId="28">
    <w:abstractNumId w:val="48"/>
  </w:num>
  <w:num w:numId="29">
    <w:abstractNumId w:val="68"/>
  </w:num>
  <w:num w:numId="30">
    <w:abstractNumId w:val="67"/>
  </w:num>
  <w:num w:numId="31">
    <w:abstractNumId w:val="15"/>
  </w:num>
  <w:num w:numId="32">
    <w:abstractNumId w:val="28"/>
  </w:num>
  <w:num w:numId="33">
    <w:abstractNumId w:val="36"/>
  </w:num>
  <w:num w:numId="34">
    <w:abstractNumId w:val="59"/>
  </w:num>
  <w:num w:numId="35">
    <w:abstractNumId w:val="56"/>
  </w:num>
  <w:num w:numId="36">
    <w:abstractNumId w:val="7"/>
  </w:num>
  <w:num w:numId="37">
    <w:abstractNumId w:val="41"/>
  </w:num>
  <w:num w:numId="38">
    <w:abstractNumId w:val="25"/>
  </w:num>
  <w:num w:numId="39">
    <w:abstractNumId w:val="5"/>
  </w:num>
  <w:num w:numId="40">
    <w:abstractNumId w:val="44"/>
  </w:num>
  <w:num w:numId="41">
    <w:abstractNumId w:val="2"/>
  </w:num>
  <w:num w:numId="42">
    <w:abstractNumId w:val="37"/>
  </w:num>
  <w:num w:numId="43">
    <w:abstractNumId w:val="23"/>
  </w:num>
  <w:num w:numId="44">
    <w:abstractNumId w:val="27"/>
  </w:num>
  <w:num w:numId="45">
    <w:abstractNumId w:val="20"/>
  </w:num>
  <w:num w:numId="46">
    <w:abstractNumId w:val="65"/>
  </w:num>
  <w:num w:numId="47">
    <w:abstractNumId w:val="54"/>
  </w:num>
  <w:num w:numId="48">
    <w:abstractNumId w:val="47"/>
  </w:num>
  <w:num w:numId="49">
    <w:abstractNumId w:val="60"/>
  </w:num>
  <w:num w:numId="50">
    <w:abstractNumId w:val="40"/>
  </w:num>
  <w:num w:numId="51">
    <w:abstractNumId w:val="42"/>
  </w:num>
  <w:num w:numId="52">
    <w:abstractNumId w:val="38"/>
  </w:num>
  <w:num w:numId="53">
    <w:abstractNumId w:val="22"/>
  </w:num>
  <w:num w:numId="54">
    <w:abstractNumId w:val="51"/>
  </w:num>
  <w:num w:numId="55">
    <w:abstractNumId w:val="0"/>
  </w:num>
  <w:num w:numId="56">
    <w:abstractNumId w:val="18"/>
  </w:num>
  <w:num w:numId="57">
    <w:abstractNumId w:val="57"/>
  </w:num>
  <w:num w:numId="58">
    <w:abstractNumId w:val="43"/>
  </w:num>
  <w:num w:numId="59">
    <w:abstractNumId w:val="63"/>
  </w:num>
  <w:num w:numId="60">
    <w:abstractNumId w:val="66"/>
  </w:num>
  <w:num w:numId="61">
    <w:abstractNumId w:val="62"/>
  </w:num>
  <w:num w:numId="62">
    <w:abstractNumId w:val="29"/>
  </w:num>
  <w:num w:numId="63">
    <w:abstractNumId w:val="13"/>
  </w:num>
  <w:num w:numId="64">
    <w:abstractNumId w:val="31"/>
  </w:num>
  <w:num w:numId="65">
    <w:abstractNumId w:val="1"/>
  </w:num>
  <w:num w:numId="66">
    <w:abstractNumId w:val="58"/>
  </w:num>
  <w:num w:numId="67">
    <w:abstractNumId w:val="5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attachedTemplate r:id="rId1"/>
  <w:stylePaneFormatFilter w:val="3001"/>
  <w:defaultTabStop w:val="567"/>
  <w:evenAndOddHeaders/>
  <w:drawingGridHorizontalSpacing w:val="100"/>
  <w:displayHorizontalDrawingGridEvery w:val="2"/>
  <w:noPunctuationKerning/>
  <w:characterSpacingControl w:val="doNotCompress"/>
  <w:hdrShapeDefaults>
    <o:shapedefaults v:ext="edit" spidmax="126977"/>
  </w:hdrShapeDefaults>
  <w:footnotePr>
    <w:footnote w:id="-1"/>
    <w:footnote w:id="0"/>
  </w:footnotePr>
  <w:endnotePr>
    <w:endnote w:id="-1"/>
    <w:endnote w:id="0"/>
  </w:endnotePr>
  <w:compat/>
  <w:rsids>
    <w:rsidRoot w:val="0010657F"/>
    <w:rsid w:val="000000C3"/>
    <w:rsid w:val="00003AC4"/>
    <w:rsid w:val="00006AE4"/>
    <w:rsid w:val="0000711B"/>
    <w:rsid w:val="00007ECB"/>
    <w:rsid w:val="00012BB0"/>
    <w:rsid w:val="00013D25"/>
    <w:rsid w:val="0001438C"/>
    <w:rsid w:val="00016D95"/>
    <w:rsid w:val="00017619"/>
    <w:rsid w:val="000212E6"/>
    <w:rsid w:val="0002139C"/>
    <w:rsid w:val="000216A7"/>
    <w:rsid w:val="00021DA6"/>
    <w:rsid w:val="000220B0"/>
    <w:rsid w:val="000260CB"/>
    <w:rsid w:val="000300D7"/>
    <w:rsid w:val="00030FDA"/>
    <w:rsid w:val="00031C46"/>
    <w:rsid w:val="0003235D"/>
    <w:rsid w:val="00032AAF"/>
    <w:rsid w:val="00036095"/>
    <w:rsid w:val="000364F3"/>
    <w:rsid w:val="000369AC"/>
    <w:rsid w:val="0003724F"/>
    <w:rsid w:val="000373CB"/>
    <w:rsid w:val="000400ED"/>
    <w:rsid w:val="000413D4"/>
    <w:rsid w:val="00042FDD"/>
    <w:rsid w:val="00043832"/>
    <w:rsid w:val="00044568"/>
    <w:rsid w:val="00045667"/>
    <w:rsid w:val="00050182"/>
    <w:rsid w:val="00050630"/>
    <w:rsid w:val="00052423"/>
    <w:rsid w:val="00054A04"/>
    <w:rsid w:val="00054CC3"/>
    <w:rsid w:val="0005600E"/>
    <w:rsid w:val="00056260"/>
    <w:rsid w:val="0005722F"/>
    <w:rsid w:val="00060890"/>
    <w:rsid w:val="00062D8E"/>
    <w:rsid w:val="00063C44"/>
    <w:rsid w:val="00063CE1"/>
    <w:rsid w:val="00065053"/>
    <w:rsid w:val="000655E4"/>
    <w:rsid w:val="000656AD"/>
    <w:rsid w:val="00065C71"/>
    <w:rsid w:val="00065EBA"/>
    <w:rsid w:val="00067B6F"/>
    <w:rsid w:val="00067E1D"/>
    <w:rsid w:val="0007064C"/>
    <w:rsid w:val="000712EE"/>
    <w:rsid w:val="000725C0"/>
    <w:rsid w:val="00072EB6"/>
    <w:rsid w:val="00074CE6"/>
    <w:rsid w:val="0007657B"/>
    <w:rsid w:val="00077277"/>
    <w:rsid w:val="0007743A"/>
    <w:rsid w:val="00077BAC"/>
    <w:rsid w:val="00080069"/>
    <w:rsid w:val="00080D8B"/>
    <w:rsid w:val="00080F4F"/>
    <w:rsid w:val="00081A28"/>
    <w:rsid w:val="00082159"/>
    <w:rsid w:val="0008449F"/>
    <w:rsid w:val="00085732"/>
    <w:rsid w:val="00085A71"/>
    <w:rsid w:val="0009050F"/>
    <w:rsid w:val="000924A7"/>
    <w:rsid w:val="00094B28"/>
    <w:rsid w:val="00096DEE"/>
    <w:rsid w:val="00097063"/>
    <w:rsid w:val="000A08A5"/>
    <w:rsid w:val="000A10F5"/>
    <w:rsid w:val="000A1558"/>
    <w:rsid w:val="000A19AA"/>
    <w:rsid w:val="000A1A89"/>
    <w:rsid w:val="000A1C91"/>
    <w:rsid w:val="000A24C4"/>
    <w:rsid w:val="000A345B"/>
    <w:rsid w:val="000A372A"/>
    <w:rsid w:val="000A395D"/>
    <w:rsid w:val="000A56A5"/>
    <w:rsid w:val="000A5C86"/>
    <w:rsid w:val="000A6897"/>
    <w:rsid w:val="000A6DBE"/>
    <w:rsid w:val="000B0302"/>
    <w:rsid w:val="000B1FC4"/>
    <w:rsid w:val="000B2404"/>
    <w:rsid w:val="000B2C78"/>
    <w:rsid w:val="000B36D8"/>
    <w:rsid w:val="000B3B7D"/>
    <w:rsid w:val="000B6F18"/>
    <w:rsid w:val="000C19EF"/>
    <w:rsid w:val="000C1AC9"/>
    <w:rsid w:val="000C2D7D"/>
    <w:rsid w:val="000C3B86"/>
    <w:rsid w:val="000C6FB8"/>
    <w:rsid w:val="000C7C76"/>
    <w:rsid w:val="000D084B"/>
    <w:rsid w:val="000D13E5"/>
    <w:rsid w:val="000D1617"/>
    <w:rsid w:val="000D2B76"/>
    <w:rsid w:val="000D2E3D"/>
    <w:rsid w:val="000D43DE"/>
    <w:rsid w:val="000D58A1"/>
    <w:rsid w:val="000D644C"/>
    <w:rsid w:val="000D6EDF"/>
    <w:rsid w:val="000E0A85"/>
    <w:rsid w:val="000E212B"/>
    <w:rsid w:val="000E68E3"/>
    <w:rsid w:val="000E6DDB"/>
    <w:rsid w:val="000E74A6"/>
    <w:rsid w:val="000E7A66"/>
    <w:rsid w:val="000F03B1"/>
    <w:rsid w:val="000F08AE"/>
    <w:rsid w:val="000F2D33"/>
    <w:rsid w:val="000F43F4"/>
    <w:rsid w:val="000F440E"/>
    <w:rsid w:val="000F5468"/>
    <w:rsid w:val="000F6647"/>
    <w:rsid w:val="000F73B7"/>
    <w:rsid w:val="000F7E7B"/>
    <w:rsid w:val="001002F8"/>
    <w:rsid w:val="00102650"/>
    <w:rsid w:val="00102654"/>
    <w:rsid w:val="001028CC"/>
    <w:rsid w:val="001045F9"/>
    <w:rsid w:val="0010472B"/>
    <w:rsid w:val="0010657F"/>
    <w:rsid w:val="00112D0F"/>
    <w:rsid w:val="00112D24"/>
    <w:rsid w:val="001133E0"/>
    <w:rsid w:val="00115DE5"/>
    <w:rsid w:val="001163D6"/>
    <w:rsid w:val="0011726A"/>
    <w:rsid w:val="0012022D"/>
    <w:rsid w:val="00120B5E"/>
    <w:rsid w:val="00121EB0"/>
    <w:rsid w:val="0012228D"/>
    <w:rsid w:val="00123514"/>
    <w:rsid w:val="00123925"/>
    <w:rsid w:val="00126187"/>
    <w:rsid w:val="00126641"/>
    <w:rsid w:val="001270E3"/>
    <w:rsid w:val="00130BB7"/>
    <w:rsid w:val="00133D3A"/>
    <w:rsid w:val="001352EE"/>
    <w:rsid w:val="00135505"/>
    <w:rsid w:val="00136827"/>
    <w:rsid w:val="001375D4"/>
    <w:rsid w:val="0014131A"/>
    <w:rsid w:val="001433DB"/>
    <w:rsid w:val="00143E88"/>
    <w:rsid w:val="001455D8"/>
    <w:rsid w:val="00147347"/>
    <w:rsid w:val="0014790A"/>
    <w:rsid w:val="00151A81"/>
    <w:rsid w:val="00151ABB"/>
    <w:rsid w:val="00151ADA"/>
    <w:rsid w:val="0015261C"/>
    <w:rsid w:val="00153C7F"/>
    <w:rsid w:val="00154447"/>
    <w:rsid w:val="00154F5B"/>
    <w:rsid w:val="00155DA6"/>
    <w:rsid w:val="00160CDF"/>
    <w:rsid w:val="00161DAC"/>
    <w:rsid w:val="00162B55"/>
    <w:rsid w:val="00162D8B"/>
    <w:rsid w:val="0016371C"/>
    <w:rsid w:val="001638E9"/>
    <w:rsid w:val="001648FA"/>
    <w:rsid w:val="00165824"/>
    <w:rsid w:val="00167749"/>
    <w:rsid w:val="001677A5"/>
    <w:rsid w:val="00171A85"/>
    <w:rsid w:val="00174565"/>
    <w:rsid w:val="00175BB3"/>
    <w:rsid w:val="00177A9A"/>
    <w:rsid w:val="001808A4"/>
    <w:rsid w:val="00180CBF"/>
    <w:rsid w:val="001815A5"/>
    <w:rsid w:val="00186850"/>
    <w:rsid w:val="0018704C"/>
    <w:rsid w:val="001904A5"/>
    <w:rsid w:val="0019199B"/>
    <w:rsid w:val="001923C8"/>
    <w:rsid w:val="001939FF"/>
    <w:rsid w:val="00194DE8"/>
    <w:rsid w:val="00197990"/>
    <w:rsid w:val="001A004D"/>
    <w:rsid w:val="001A0106"/>
    <w:rsid w:val="001A02CB"/>
    <w:rsid w:val="001A11DB"/>
    <w:rsid w:val="001A2458"/>
    <w:rsid w:val="001A33F4"/>
    <w:rsid w:val="001A4F7C"/>
    <w:rsid w:val="001A6256"/>
    <w:rsid w:val="001A789B"/>
    <w:rsid w:val="001B03CC"/>
    <w:rsid w:val="001B05E5"/>
    <w:rsid w:val="001B0C75"/>
    <w:rsid w:val="001B44C2"/>
    <w:rsid w:val="001B659F"/>
    <w:rsid w:val="001B712D"/>
    <w:rsid w:val="001B7399"/>
    <w:rsid w:val="001B7655"/>
    <w:rsid w:val="001B7F09"/>
    <w:rsid w:val="001C1166"/>
    <w:rsid w:val="001C261E"/>
    <w:rsid w:val="001C3AC7"/>
    <w:rsid w:val="001C67C2"/>
    <w:rsid w:val="001C7B78"/>
    <w:rsid w:val="001D0BA6"/>
    <w:rsid w:val="001D1942"/>
    <w:rsid w:val="001D1DDB"/>
    <w:rsid w:val="001D53EA"/>
    <w:rsid w:val="001D5C5B"/>
    <w:rsid w:val="001D6BD6"/>
    <w:rsid w:val="001D6F7C"/>
    <w:rsid w:val="001E12A5"/>
    <w:rsid w:val="001E1EDB"/>
    <w:rsid w:val="001E31A4"/>
    <w:rsid w:val="001E3A18"/>
    <w:rsid w:val="001E717D"/>
    <w:rsid w:val="001E71F5"/>
    <w:rsid w:val="001E7D86"/>
    <w:rsid w:val="001F25B8"/>
    <w:rsid w:val="001F377B"/>
    <w:rsid w:val="001F3CF9"/>
    <w:rsid w:val="001F55E5"/>
    <w:rsid w:val="001F5CB9"/>
    <w:rsid w:val="00200DC3"/>
    <w:rsid w:val="002039FE"/>
    <w:rsid w:val="002050B0"/>
    <w:rsid w:val="0020514C"/>
    <w:rsid w:val="00205D80"/>
    <w:rsid w:val="0021093F"/>
    <w:rsid w:val="00211FFE"/>
    <w:rsid w:val="002133CA"/>
    <w:rsid w:val="00213CAF"/>
    <w:rsid w:val="00213E2E"/>
    <w:rsid w:val="00215783"/>
    <w:rsid w:val="00215932"/>
    <w:rsid w:val="0021644B"/>
    <w:rsid w:val="00216DC9"/>
    <w:rsid w:val="00217BAC"/>
    <w:rsid w:val="00217CA0"/>
    <w:rsid w:val="002202EB"/>
    <w:rsid w:val="00220FCF"/>
    <w:rsid w:val="002213AD"/>
    <w:rsid w:val="00221705"/>
    <w:rsid w:val="002329C3"/>
    <w:rsid w:val="002332AE"/>
    <w:rsid w:val="002333C2"/>
    <w:rsid w:val="00233676"/>
    <w:rsid w:val="00234040"/>
    <w:rsid w:val="00241245"/>
    <w:rsid w:val="00244D22"/>
    <w:rsid w:val="00246C09"/>
    <w:rsid w:val="00247262"/>
    <w:rsid w:val="002535FB"/>
    <w:rsid w:val="00255DCB"/>
    <w:rsid w:val="0025616B"/>
    <w:rsid w:val="00257FF4"/>
    <w:rsid w:val="002608CE"/>
    <w:rsid w:val="00260E55"/>
    <w:rsid w:val="0026279C"/>
    <w:rsid w:val="00262CD3"/>
    <w:rsid w:val="00265289"/>
    <w:rsid w:val="00266613"/>
    <w:rsid w:val="00266FE9"/>
    <w:rsid w:val="00272396"/>
    <w:rsid w:val="00274835"/>
    <w:rsid w:val="0027614D"/>
    <w:rsid w:val="00276DA6"/>
    <w:rsid w:val="00281CF6"/>
    <w:rsid w:val="00282943"/>
    <w:rsid w:val="0028359B"/>
    <w:rsid w:val="00285622"/>
    <w:rsid w:val="002857FE"/>
    <w:rsid w:val="00292D6A"/>
    <w:rsid w:val="0029312A"/>
    <w:rsid w:val="0029325C"/>
    <w:rsid w:val="00293B2D"/>
    <w:rsid w:val="002960B7"/>
    <w:rsid w:val="00297824"/>
    <w:rsid w:val="002A153F"/>
    <w:rsid w:val="002A40DC"/>
    <w:rsid w:val="002A5329"/>
    <w:rsid w:val="002A59CE"/>
    <w:rsid w:val="002A5C2D"/>
    <w:rsid w:val="002A61E5"/>
    <w:rsid w:val="002A7ECF"/>
    <w:rsid w:val="002A7FC8"/>
    <w:rsid w:val="002B0A81"/>
    <w:rsid w:val="002B1CE7"/>
    <w:rsid w:val="002B2687"/>
    <w:rsid w:val="002B2F0F"/>
    <w:rsid w:val="002B595D"/>
    <w:rsid w:val="002B5B7B"/>
    <w:rsid w:val="002B5F6A"/>
    <w:rsid w:val="002B6962"/>
    <w:rsid w:val="002B779E"/>
    <w:rsid w:val="002B7D6F"/>
    <w:rsid w:val="002B7D78"/>
    <w:rsid w:val="002C0552"/>
    <w:rsid w:val="002C1787"/>
    <w:rsid w:val="002C22ED"/>
    <w:rsid w:val="002C25D0"/>
    <w:rsid w:val="002C280B"/>
    <w:rsid w:val="002C2DB0"/>
    <w:rsid w:val="002C5D97"/>
    <w:rsid w:val="002C7455"/>
    <w:rsid w:val="002C75B0"/>
    <w:rsid w:val="002C7703"/>
    <w:rsid w:val="002C7A63"/>
    <w:rsid w:val="002C7E06"/>
    <w:rsid w:val="002D0153"/>
    <w:rsid w:val="002D26C3"/>
    <w:rsid w:val="002D2D6B"/>
    <w:rsid w:val="002D403A"/>
    <w:rsid w:val="002D4262"/>
    <w:rsid w:val="002E005F"/>
    <w:rsid w:val="002E043C"/>
    <w:rsid w:val="002E1064"/>
    <w:rsid w:val="002E323F"/>
    <w:rsid w:val="002E63D2"/>
    <w:rsid w:val="002E661C"/>
    <w:rsid w:val="002E7E5B"/>
    <w:rsid w:val="002E7F19"/>
    <w:rsid w:val="002F1B12"/>
    <w:rsid w:val="002F1F60"/>
    <w:rsid w:val="002F591B"/>
    <w:rsid w:val="002F5C83"/>
    <w:rsid w:val="002F6F14"/>
    <w:rsid w:val="00300013"/>
    <w:rsid w:val="003006F8"/>
    <w:rsid w:val="00300BF2"/>
    <w:rsid w:val="003027C1"/>
    <w:rsid w:val="00305718"/>
    <w:rsid w:val="00305EC5"/>
    <w:rsid w:val="003077B8"/>
    <w:rsid w:val="003111F8"/>
    <w:rsid w:val="0031204A"/>
    <w:rsid w:val="0031272B"/>
    <w:rsid w:val="00314C5F"/>
    <w:rsid w:val="00315435"/>
    <w:rsid w:val="00317218"/>
    <w:rsid w:val="0032038C"/>
    <w:rsid w:val="00321575"/>
    <w:rsid w:val="0032228A"/>
    <w:rsid w:val="00322BC3"/>
    <w:rsid w:val="00325C5E"/>
    <w:rsid w:val="00325FAE"/>
    <w:rsid w:val="0032738E"/>
    <w:rsid w:val="00331C5F"/>
    <w:rsid w:val="00332007"/>
    <w:rsid w:val="00333074"/>
    <w:rsid w:val="00333223"/>
    <w:rsid w:val="00337F82"/>
    <w:rsid w:val="00340640"/>
    <w:rsid w:val="003435D6"/>
    <w:rsid w:val="003458E0"/>
    <w:rsid w:val="00345CCD"/>
    <w:rsid w:val="003511CE"/>
    <w:rsid w:val="00351283"/>
    <w:rsid w:val="00351909"/>
    <w:rsid w:val="00352BE0"/>
    <w:rsid w:val="0035333E"/>
    <w:rsid w:val="003538F0"/>
    <w:rsid w:val="00353A8E"/>
    <w:rsid w:val="003553DE"/>
    <w:rsid w:val="00356E4B"/>
    <w:rsid w:val="00357DAE"/>
    <w:rsid w:val="00361259"/>
    <w:rsid w:val="00361429"/>
    <w:rsid w:val="003705BF"/>
    <w:rsid w:val="00370935"/>
    <w:rsid w:val="00375E52"/>
    <w:rsid w:val="00375F30"/>
    <w:rsid w:val="00382234"/>
    <w:rsid w:val="00386352"/>
    <w:rsid w:val="0038672F"/>
    <w:rsid w:val="00386BC9"/>
    <w:rsid w:val="00386F24"/>
    <w:rsid w:val="0039053D"/>
    <w:rsid w:val="00391152"/>
    <w:rsid w:val="00392767"/>
    <w:rsid w:val="003932E3"/>
    <w:rsid w:val="0039449C"/>
    <w:rsid w:val="003A0290"/>
    <w:rsid w:val="003A165B"/>
    <w:rsid w:val="003A43F4"/>
    <w:rsid w:val="003A4EAC"/>
    <w:rsid w:val="003B0D03"/>
    <w:rsid w:val="003B1F0A"/>
    <w:rsid w:val="003B1FE6"/>
    <w:rsid w:val="003B2C1F"/>
    <w:rsid w:val="003B5533"/>
    <w:rsid w:val="003B57DC"/>
    <w:rsid w:val="003B5A85"/>
    <w:rsid w:val="003B6D75"/>
    <w:rsid w:val="003B71EE"/>
    <w:rsid w:val="003B7621"/>
    <w:rsid w:val="003C13A6"/>
    <w:rsid w:val="003C1EB4"/>
    <w:rsid w:val="003C279A"/>
    <w:rsid w:val="003C2C1E"/>
    <w:rsid w:val="003C54F5"/>
    <w:rsid w:val="003D032D"/>
    <w:rsid w:val="003D0CBF"/>
    <w:rsid w:val="003D0E0D"/>
    <w:rsid w:val="003D1E47"/>
    <w:rsid w:val="003D22AE"/>
    <w:rsid w:val="003D2716"/>
    <w:rsid w:val="003D3C14"/>
    <w:rsid w:val="003D3DE6"/>
    <w:rsid w:val="003D4557"/>
    <w:rsid w:val="003D543D"/>
    <w:rsid w:val="003D59FD"/>
    <w:rsid w:val="003E08CF"/>
    <w:rsid w:val="003E0A7E"/>
    <w:rsid w:val="003E10B8"/>
    <w:rsid w:val="003E110F"/>
    <w:rsid w:val="003E122D"/>
    <w:rsid w:val="003E13F5"/>
    <w:rsid w:val="003E36EE"/>
    <w:rsid w:val="003E4ACA"/>
    <w:rsid w:val="003E4E15"/>
    <w:rsid w:val="003E5AE8"/>
    <w:rsid w:val="003E5DDA"/>
    <w:rsid w:val="003F07EE"/>
    <w:rsid w:val="003F09A6"/>
    <w:rsid w:val="003F29F2"/>
    <w:rsid w:val="003F3BFC"/>
    <w:rsid w:val="003F47DF"/>
    <w:rsid w:val="003F4F9F"/>
    <w:rsid w:val="00400B2A"/>
    <w:rsid w:val="0040272D"/>
    <w:rsid w:val="00405E90"/>
    <w:rsid w:val="004065CE"/>
    <w:rsid w:val="004105DD"/>
    <w:rsid w:val="00410DCE"/>
    <w:rsid w:val="0041429D"/>
    <w:rsid w:val="00414E1F"/>
    <w:rsid w:val="00415543"/>
    <w:rsid w:val="0041765C"/>
    <w:rsid w:val="00420837"/>
    <w:rsid w:val="00420AAC"/>
    <w:rsid w:val="00421EEC"/>
    <w:rsid w:val="00422933"/>
    <w:rsid w:val="00422F4B"/>
    <w:rsid w:val="004248B4"/>
    <w:rsid w:val="00424C66"/>
    <w:rsid w:val="00424DC1"/>
    <w:rsid w:val="0042526D"/>
    <w:rsid w:val="004254A2"/>
    <w:rsid w:val="00425D9F"/>
    <w:rsid w:val="00426D71"/>
    <w:rsid w:val="00430256"/>
    <w:rsid w:val="00431BF1"/>
    <w:rsid w:val="004342F8"/>
    <w:rsid w:val="0043440D"/>
    <w:rsid w:val="00434A2F"/>
    <w:rsid w:val="00436F7B"/>
    <w:rsid w:val="00437283"/>
    <w:rsid w:val="004372D6"/>
    <w:rsid w:val="0044083A"/>
    <w:rsid w:val="004408FA"/>
    <w:rsid w:val="004413CA"/>
    <w:rsid w:val="004414FB"/>
    <w:rsid w:val="0044245C"/>
    <w:rsid w:val="00444D99"/>
    <w:rsid w:val="00451501"/>
    <w:rsid w:val="004528D0"/>
    <w:rsid w:val="00454564"/>
    <w:rsid w:val="0045480C"/>
    <w:rsid w:val="004562E5"/>
    <w:rsid w:val="00457BC3"/>
    <w:rsid w:val="0046034D"/>
    <w:rsid w:val="00462272"/>
    <w:rsid w:val="004637B1"/>
    <w:rsid w:val="0046390C"/>
    <w:rsid w:val="00463944"/>
    <w:rsid w:val="00465D4E"/>
    <w:rsid w:val="004669C1"/>
    <w:rsid w:val="00467BDD"/>
    <w:rsid w:val="00467EB6"/>
    <w:rsid w:val="004717F6"/>
    <w:rsid w:val="0047481E"/>
    <w:rsid w:val="00474918"/>
    <w:rsid w:val="00475EAF"/>
    <w:rsid w:val="004815F8"/>
    <w:rsid w:val="00481E32"/>
    <w:rsid w:val="004831ED"/>
    <w:rsid w:val="00483228"/>
    <w:rsid w:val="004836A7"/>
    <w:rsid w:val="004847B4"/>
    <w:rsid w:val="00484921"/>
    <w:rsid w:val="00486614"/>
    <w:rsid w:val="00487E11"/>
    <w:rsid w:val="00487FB8"/>
    <w:rsid w:val="004919D4"/>
    <w:rsid w:val="00491D42"/>
    <w:rsid w:val="00491FB2"/>
    <w:rsid w:val="0049212C"/>
    <w:rsid w:val="00494152"/>
    <w:rsid w:val="0049416D"/>
    <w:rsid w:val="00495C39"/>
    <w:rsid w:val="004A0301"/>
    <w:rsid w:val="004A1224"/>
    <w:rsid w:val="004A247B"/>
    <w:rsid w:val="004A28C5"/>
    <w:rsid w:val="004A4284"/>
    <w:rsid w:val="004A4F0B"/>
    <w:rsid w:val="004A660C"/>
    <w:rsid w:val="004A6B44"/>
    <w:rsid w:val="004B0B19"/>
    <w:rsid w:val="004B0CF6"/>
    <w:rsid w:val="004B247D"/>
    <w:rsid w:val="004B37A7"/>
    <w:rsid w:val="004B4426"/>
    <w:rsid w:val="004B5F2A"/>
    <w:rsid w:val="004B66F1"/>
    <w:rsid w:val="004B74B2"/>
    <w:rsid w:val="004C07FE"/>
    <w:rsid w:val="004C1399"/>
    <w:rsid w:val="004C2A17"/>
    <w:rsid w:val="004C2C7A"/>
    <w:rsid w:val="004C4DBD"/>
    <w:rsid w:val="004C5507"/>
    <w:rsid w:val="004D134B"/>
    <w:rsid w:val="004D1E1A"/>
    <w:rsid w:val="004D23A9"/>
    <w:rsid w:val="004D29F5"/>
    <w:rsid w:val="004D2F90"/>
    <w:rsid w:val="004D657B"/>
    <w:rsid w:val="004D7804"/>
    <w:rsid w:val="004E1701"/>
    <w:rsid w:val="004E2825"/>
    <w:rsid w:val="004E3079"/>
    <w:rsid w:val="004E36EF"/>
    <w:rsid w:val="004E62E4"/>
    <w:rsid w:val="004E6716"/>
    <w:rsid w:val="004F0E90"/>
    <w:rsid w:val="004F0F5B"/>
    <w:rsid w:val="004F1756"/>
    <w:rsid w:val="004F19AC"/>
    <w:rsid w:val="004F22B8"/>
    <w:rsid w:val="004F2437"/>
    <w:rsid w:val="004F4624"/>
    <w:rsid w:val="004F5303"/>
    <w:rsid w:val="004F5573"/>
    <w:rsid w:val="004F634F"/>
    <w:rsid w:val="0050141B"/>
    <w:rsid w:val="005018E0"/>
    <w:rsid w:val="00502638"/>
    <w:rsid w:val="005029BC"/>
    <w:rsid w:val="005041F8"/>
    <w:rsid w:val="005048E3"/>
    <w:rsid w:val="00505A77"/>
    <w:rsid w:val="00505CB3"/>
    <w:rsid w:val="00506EB0"/>
    <w:rsid w:val="0050798C"/>
    <w:rsid w:val="00511EBF"/>
    <w:rsid w:val="00512143"/>
    <w:rsid w:val="00512B95"/>
    <w:rsid w:val="005136CD"/>
    <w:rsid w:val="00514F30"/>
    <w:rsid w:val="00521860"/>
    <w:rsid w:val="00521898"/>
    <w:rsid w:val="005222CC"/>
    <w:rsid w:val="00522379"/>
    <w:rsid w:val="00522622"/>
    <w:rsid w:val="00525AB1"/>
    <w:rsid w:val="00527492"/>
    <w:rsid w:val="005277F5"/>
    <w:rsid w:val="005310C1"/>
    <w:rsid w:val="00532994"/>
    <w:rsid w:val="005329BE"/>
    <w:rsid w:val="00533515"/>
    <w:rsid w:val="00534AC0"/>
    <w:rsid w:val="00535557"/>
    <w:rsid w:val="00536008"/>
    <w:rsid w:val="0053606A"/>
    <w:rsid w:val="005369C0"/>
    <w:rsid w:val="005401D5"/>
    <w:rsid w:val="00540D82"/>
    <w:rsid w:val="00541254"/>
    <w:rsid w:val="00541723"/>
    <w:rsid w:val="00542BA5"/>
    <w:rsid w:val="00547EB8"/>
    <w:rsid w:val="00552FC2"/>
    <w:rsid w:val="00553C63"/>
    <w:rsid w:val="00553DA2"/>
    <w:rsid w:val="00554D88"/>
    <w:rsid w:val="00555623"/>
    <w:rsid w:val="005562DC"/>
    <w:rsid w:val="00556725"/>
    <w:rsid w:val="00557A85"/>
    <w:rsid w:val="005606B5"/>
    <w:rsid w:val="00562BAD"/>
    <w:rsid w:val="00564D41"/>
    <w:rsid w:val="00565C86"/>
    <w:rsid w:val="00566181"/>
    <w:rsid w:val="005708BD"/>
    <w:rsid w:val="00574906"/>
    <w:rsid w:val="00574E9E"/>
    <w:rsid w:val="005752BC"/>
    <w:rsid w:val="0057622F"/>
    <w:rsid w:val="00576693"/>
    <w:rsid w:val="00577958"/>
    <w:rsid w:val="00577977"/>
    <w:rsid w:val="00581821"/>
    <w:rsid w:val="00581D30"/>
    <w:rsid w:val="005835E9"/>
    <w:rsid w:val="00584245"/>
    <w:rsid w:val="00584D80"/>
    <w:rsid w:val="00586535"/>
    <w:rsid w:val="00586BB5"/>
    <w:rsid w:val="00586DFB"/>
    <w:rsid w:val="005905BC"/>
    <w:rsid w:val="00590B75"/>
    <w:rsid w:val="00590DAA"/>
    <w:rsid w:val="00592349"/>
    <w:rsid w:val="00595E46"/>
    <w:rsid w:val="00596F3F"/>
    <w:rsid w:val="00597EEF"/>
    <w:rsid w:val="005A0A02"/>
    <w:rsid w:val="005A1C4E"/>
    <w:rsid w:val="005A3678"/>
    <w:rsid w:val="005A4A1A"/>
    <w:rsid w:val="005A61D3"/>
    <w:rsid w:val="005A7E70"/>
    <w:rsid w:val="005B1B3E"/>
    <w:rsid w:val="005B40E8"/>
    <w:rsid w:val="005B4B12"/>
    <w:rsid w:val="005B6DAA"/>
    <w:rsid w:val="005B70AB"/>
    <w:rsid w:val="005B7314"/>
    <w:rsid w:val="005B7D8B"/>
    <w:rsid w:val="005B7E9B"/>
    <w:rsid w:val="005C03F6"/>
    <w:rsid w:val="005C0475"/>
    <w:rsid w:val="005C04F7"/>
    <w:rsid w:val="005C1569"/>
    <w:rsid w:val="005C25DC"/>
    <w:rsid w:val="005C4604"/>
    <w:rsid w:val="005C4BEE"/>
    <w:rsid w:val="005C6E74"/>
    <w:rsid w:val="005C781C"/>
    <w:rsid w:val="005C7B76"/>
    <w:rsid w:val="005D079F"/>
    <w:rsid w:val="005D2646"/>
    <w:rsid w:val="005D7A35"/>
    <w:rsid w:val="005E034F"/>
    <w:rsid w:val="005E09A7"/>
    <w:rsid w:val="005E11DF"/>
    <w:rsid w:val="005E198B"/>
    <w:rsid w:val="005E19D9"/>
    <w:rsid w:val="005E1D35"/>
    <w:rsid w:val="005E1EF1"/>
    <w:rsid w:val="005E2A31"/>
    <w:rsid w:val="005E442F"/>
    <w:rsid w:val="005E483D"/>
    <w:rsid w:val="005E490E"/>
    <w:rsid w:val="005E61D8"/>
    <w:rsid w:val="005E7E2C"/>
    <w:rsid w:val="005F0FCC"/>
    <w:rsid w:val="005F18F5"/>
    <w:rsid w:val="005F29CD"/>
    <w:rsid w:val="005F3175"/>
    <w:rsid w:val="005F3436"/>
    <w:rsid w:val="005F4471"/>
    <w:rsid w:val="005F4730"/>
    <w:rsid w:val="005F57D8"/>
    <w:rsid w:val="005F5AD5"/>
    <w:rsid w:val="005F642B"/>
    <w:rsid w:val="005F67FC"/>
    <w:rsid w:val="005F7877"/>
    <w:rsid w:val="006026E1"/>
    <w:rsid w:val="00603A90"/>
    <w:rsid w:val="00605DEB"/>
    <w:rsid w:val="006065BF"/>
    <w:rsid w:val="006070EA"/>
    <w:rsid w:val="0060749D"/>
    <w:rsid w:val="00607ABE"/>
    <w:rsid w:val="00607F53"/>
    <w:rsid w:val="00610267"/>
    <w:rsid w:val="006103D0"/>
    <w:rsid w:val="00611EAE"/>
    <w:rsid w:val="0061364A"/>
    <w:rsid w:val="00613BEA"/>
    <w:rsid w:val="0061402C"/>
    <w:rsid w:val="0061595F"/>
    <w:rsid w:val="00616179"/>
    <w:rsid w:val="0061675B"/>
    <w:rsid w:val="0062052B"/>
    <w:rsid w:val="00621A86"/>
    <w:rsid w:val="00622990"/>
    <w:rsid w:val="00623401"/>
    <w:rsid w:val="00623629"/>
    <w:rsid w:val="00625C40"/>
    <w:rsid w:val="00627E7C"/>
    <w:rsid w:val="00631369"/>
    <w:rsid w:val="006315B3"/>
    <w:rsid w:val="00632481"/>
    <w:rsid w:val="0063262D"/>
    <w:rsid w:val="00633500"/>
    <w:rsid w:val="00637BBD"/>
    <w:rsid w:val="00640D17"/>
    <w:rsid w:val="00642768"/>
    <w:rsid w:val="00642C8C"/>
    <w:rsid w:val="00643BA4"/>
    <w:rsid w:val="00646ACE"/>
    <w:rsid w:val="006474C0"/>
    <w:rsid w:val="00647927"/>
    <w:rsid w:val="00652B9B"/>
    <w:rsid w:val="00652C4A"/>
    <w:rsid w:val="00653743"/>
    <w:rsid w:val="00653DD9"/>
    <w:rsid w:val="00654E6A"/>
    <w:rsid w:val="006562A1"/>
    <w:rsid w:val="006575F3"/>
    <w:rsid w:val="006602B5"/>
    <w:rsid w:val="00660871"/>
    <w:rsid w:val="00662AF4"/>
    <w:rsid w:val="006636AA"/>
    <w:rsid w:val="00664E08"/>
    <w:rsid w:val="00665B4C"/>
    <w:rsid w:val="0066774D"/>
    <w:rsid w:val="00667F42"/>
    <w:rsid w:val="0067020F"/>
    <w:rsid w:val="00670296"/>
    <w:rsid w:val="00671284"/>
    <w:rsid w:val="00671734"/>
    <w:rsid w:val="006727FC"/>
    <w:rsid w:val="00673906"/>
    <w:rsid w:val="00676E5B"/>
    <w:rsid w:val="00677D6B"/>
    <w:rsid w:val="00680795"/>
    <w:rsid w:val="00681733"/>
    <w:rsid w:val="00682713"/>
    <w:rsid w:val="0068277F"/>
    <w:rsid w:val="00683005"/>
    <w:rsid w:val="00683579"/>
    <w:rsid w:val="00684545"/>
    <w:rsid w:val="0068522C"/>
    <w:rsid w:val="006854CE"/>
    <w:rsid w:val="00686315"/>
    <w:rsid w:val="00686B72"/>
    <w:rsid w:val="0068790B"/>
    <w:rsid w:val="00691689"/>
    <w:rsid w:val="00692DAB"/>
    <w:rsid w:val="00694104"/>
    <w:rsid w:val="006941DD"/>
    <w:rsid w:val="0069466B"/>
    <w:rsid w:val="00697CAE"/>
    <w:rsid w:val="006A2615"/>
    <w:rsid w:val="006A5866"/>
    <w:rsid w:val="006A5CE2"/>
    <w:rsid w:val="006A5E77"/>
    <w:rsid w:val="006B0F54"/>
    <w:rsid w:val="006B415B"/>
    <w:rsid w:val="006B4C95"/>
    <w:rsid w:val="006B4CBA"/>
    <w:rsid w:val="006C0FA2"/>
    <w:rsid w:val="006C2E46"/>
    <w:rsid w:val="006C4E45"/>
    <w:rsid w:val="006C5090"/>
    <w:rsid w:val="006C5EE1"/>
    <w:rsid w:val="006C61B1"/>
    <w:rsid w:val="006C74D9"/>
    <w:rsid w:val="006C7DA9"/>
    <w:rsid w:val="006D0669"/>
    <w:rsid w:val="006D2660"/>
    <w:rsid w:val="006D3771"/>
    <w:rsid w:val="006D440A"/>
    <w:rsid w:val="006D5647"/>
    <w:rsid w:val="006D592F"/>
    <w:rsid w:val="006D62BE"/>
    <w:rsid w:val="006D774D"/>
    <w:rsid w:val="006D77F0"/>
    <w:rsid w:val="006D7B71"/>
    <w:rsid w:val="006E0006"/>
    <w:rsid w:val="006E04BB"/>
    <w:rsid w:val="006E0DF6"/>
    <w:rsid w:val="006E1BDE"/>
    <w:rsid w:val="006E336C"/>
    <w:rsid w:val="006E3B9E"/>
    <w:rsid w:val="006E4366"/>
    <w:rsid w:val="006E4A27"/>
    <w:rsid w:val="006E5384"/>
    <w:rsid w:val="006E5828"/>
    <w:rsid w:val="006E628D"/>
    <w:rsid w:val="006E66F8"/>
    <w:rsid w:val="006E6BB9"/>
    <w:rsid w:val="006E784F"/>
    <w:rsid w:val="006F0B4F"/>
    <w:rsid w:val="006F2DF3"/>
    <w:rsid w:val="006F2DF9"/>
    <w:rsid w:val="006F3C6F"/>
    <w:rsid w:val="006F41C6"/>
    <w:rsid w:val="006F5ADE"/>
    <w:rsid w:val="006F5DD9"/>
    <w:rsid w:val="006F6FA2"/>
    <w:rsid w:val="007001D0"/>
    <w:rsid w:val="00700CE3"/>
    <w:rsid w:val="00701397"/>
    <w:rsid w:val="00701498"/>
    <w:rsid w:val="00701E70"/>
    <w:rsid w:val="00702A49"/>
    <w:rsid w:val="00704F47"/>
    <w:rsid w:val="00706479"/>
    <w:rsid w:val="00706879"/>
    <w:rsid w:val="007070B6"/>
    <w:rsid w:val="007072C2"/>
    <w:rsid w:val="0070746B"/>
    <w:rsid w:val="007075CA"/>
    <w:rsid w:val="00707FA4"/>
    <w:rsid w:val="007108C4"/>
    <w:rsid w:val="0071151E"/>
    <w:rsid w:val="0071482B"/>
    <w:rsid w:val="00714B5C"/>
    <w:rsid w:val="00714C8F"/>
    <w:rsid w:val="00715A32"/>
    <w:rsid w:val="00716A45"/>
    <w:rsid w:val="00716F57"/>
    <w:rsid w:val="00721409"/>
    <w:rsid w:val="007221A2"/>
    <w:rsid w:val="00722928"/>
    <w:rsid w:val="00722935"/>
    <w:rsid w:val="0072335F"/>
    <w:rsid w:val="00726933"/>
    <w:rsid w:val="007273D5"/>
    <w:rsid w:val="00727815"/>
    <w:rsid w:val="00730E31"/>
    <w:rsid w:val="00731EA2"/>
    <w:rsid w:val="00734E06"/>
    <w:rsid w:val="00735CE3"/>
    <w:rsid w:val="00736E9D"/>
    <w:rsid w:val="007373FA"/>
    <w:rsid w:val="007377B7"/>
    <w:rsid w:val="0074063F"/>
    <w:rsid w:val="00740EF1"/>
    <w:rsid w:val="00744256"/>
    <w:rsid w:val="00744DBD"/>
    <w:rsid w:val="00745398"/>
    <w:rsid w:val="00747C87"/>
    <w:rsid w:val="007561F0"/>
    <w:rsid w:val="007565C3"/>
    <w:rsid w:val="00756632"/>
    <w:rsid w:val="0075754A"/>
    <w:rsid w:val="00760554"/>
    <w:rsid w:val="0076083D"/>
    <w:rsid w:val="00761DC2"/>
    <w:rsid w:val="00762B1E"/>
    <w:rsid w:val="00763D3B"/>
    <w:rsid w:val="00764742"/>
    <w:rsid w:val="007651E7"/>
    <w:rsid w:val="00766434"/>
    <w:rsid w:val="00770E10"/>
    <w:rsid w:val="00771E5C"/>
    <w:rsid w:val="00772107"/>
    <w:rsid w:val="00774A83"/>
    <w:rsid w:val="00775146"/>
    <w:rsid w:val="0077566D"/>
    <w:rsid w:val="00776097"/>
    <w:rsid w:val="007766A5"/>
    <w:rsid w:val="00776CA1"/>
    <w:rsid w:val="00776E39"/>
    <w:rsid w:val="0078016D"/>
    <w:rsid w:val="00781A4A"/>
    <w:rsid w:val="00782098"/>
    <w:rsid w:val="0078297B"/>
    <w:rsid w:val="00782A6D"/>
    <w:rsid w:val="00784161"/>
    <w:rsid w:val="00786D0B"/>
    <w:rsid w:val="00790033"/>
    <w:rsid w:val="00790E9B"/>
    <w:rsid w:val="007917E7"/>
    <w:rsid w:val="00791C4A"/>
    <w:rsid w:val="007927C6"/>
    <w:rsid w:val="00792BB2"/>
    <w:rsid w:val="0079348E"/>
    <w:rsid w:val="00793F50"/>
    <w:rsid w:val="0079405B"/>
    <w:rsid w:val="00795822"/>
    <w:rsid w:val="00795D94"/>
    <w:rsid w:val="007978DB"/>
    <w:rsid w:val="007A00A5"/>
    <w:rsid w:val="007A03ED"/>
    <w:rsid w:val="007A05F4"/>
    <w:rsid w:val="007A0BB9"/>
    <w:rsid w:val="007A0F02"/>
    <w:rsid w:val="007A1D73"/>
    <w:rsid w:val="007A3DAA"/>
    <w:rsid w:val="007A4023"/>
    <w:rsid w:val="007A5A94"/>
    <w:rsid w:val="007A6C47"/>
    <w:rsid w:val="007A7333"/>
    <w:rsid w:val="007B347F"/>
    <w:rsid w:val="007B5A98"/>
    <w:rsid w:val="007B5E30"/>
    <w:rsid w:val="007C2270"/>
    <w:rsid w:val="007C27D4"/>
    <w:rsid w:val="007C31AE"/>
    <w:rsid w:val="007C32E0"/>
    <w:rsid w:val="007C4CCE"/>
    <w:rsid w:val="007C570A"/>
    <w:rsid w:val="007C7D49"/>
    <w:rsid w:val="007D1630"/>
    <w:rsid w:val="007D1D99"/>
    <w:rsid w:val="007D4D2A"/>
    <w:rsid w:val="007D763D"/>
    <w:rsid w:val="007E00B1"/>
    <w:rsid w:val="007E0749"/>
    <w:rsid w:val="007E2F87"/>
    <w:rsid w:val="007E334F"/>
    <w:rsid w:val="007E3CB0"/>
    <w:rsid w:val="007E5D39"/>
    <w:rsid w:val="007E66C8"/>
    <w:rsid w:val="007E67BD"/>
    <w:rsid w:val="007E6BBD"/>
    <w:rsid w:val="007F06E1"/>
    <w:rsid w:val="007F517F"/>
    <w:rsid w:val="007F6391"/>
    <w:rsid w:val="007F6FB8"/>
    <w:rsid w:val="007F76FF"/>
    <w:rsid w:val="00801491"/>
    <w:rsid w:val="008015A7"/>
    <w:rsid w:val="00803099"/>
    <w:rsid w:val="00806E4B"/>
    <w:rsid w:val="0081066B"/>
    <w:rsid w:val="00810809"/>
    <w:rsid w:val="00812350"/>
    <w:rsid w:val="00812741"/>
    <w:rsid w:val="008128E3"/>
    <w:rsid w:val="00815871"/>
    <w:rsid w:val="00821789"/>
    <w:rsid w:val="0082180B"/>
    <w:rsid w:val="00824C6B"/>
    <w:rsid w:val="00825D4F"/>
    <w:rsid w:val="008260ED"/>
    <w:rsid w:val="00830017"/>
    <w:rsid w:val="00830DC9"/>
    <w:rsid w:val="00831A3F"/>
    <w:rsid w:val="00833A6A"/>
    <w:rsid w:val="00833E2F"/>
    <w:rsid w:val="008368F3"/>
    <w:rsid w:val="008400A8"/>
    <w:rsid w:val="0084156A"/>
    <w:rsid w:val="00841A85"/>
    <w:rsid w:val="00842297"/>
    <w:rsid w:val="008427B1"/>
    <w:rsid w:val="00842B06"/>
    <w:rsid w:val="008444ED"/>
    <w:rsid w:val="008449FF"/>
    <w:rsid w:val="0084601D"/>
    <w:rsid w:val="00846C73"/>
    <w:rsid w:val="00847B16"/>
    <w:rsid w:val="00847E0C"/>
    <w:rsid w:val="00850C6E"/>
    <w:rsid w:val="0085161D"/>
    <w:rsid w:val="0085349F"/>
    <w:rsid w:val="00855597"/>
    <w:rsid w:val="00855780"/>
    <w:rsid w:val="00856178"/>
    <w:rsid w:val="00856C69"/>
    <w:rsid w:val="008570AB"/>
    <w:rsid w:val="008606A2"/>
    <w:rsid w:val="00861C8E"/>
    <w:rsid w:val="00862545"/>
    <w:rsid w:val="0086273D"/>
    <w:rsid w:val="00863578"/>
    <w:rsid w:val="0086444C"/>
    <w:rsid w:val="00865A76"/>
    <w:rsid w:val="008667E8"/>
    <w:rsid w:val="0086730B"/>
    <w:rsid w:val="008679E6"/>
    <w:rsid w:val="00867A0F"/>
    <w:rsid w:val="00871811"/>
    <w:rsid w:val="00872C20"/>
    <w:rsid w:val="00872E1F"/>
    <w:rsid w:val="00873942"/>
    <w:rsid w:val="00873D79"/>
    <w:rsid w:val="00880558"/>
    <w:rsid w:val="00883DAF"/>
    <w:rsid w:val="00885B83"/>
    <w:rsid w:val="00885DA2"/>
    <w:rsid w:val="00886342"/>
    <w:rsid w:val="008875DE"/>
    <w:rsid w:val="00887C08"/>
    <w:rsid w:val="0089092F"/>
    <w:rsid w:val="00896FF4"/>
    <w:rsid w:val="008972BD"/>
    <w:rsid w:val="008A0E85"/>
    <w:rsid w:val="008A1DDE"/>
    <w:rsid w:val="008A1EDC"/>
    <w:rsid w:val="008A2E5A"/>
    <w:rsid w:val="008A371D"/>
    <w:rsid w:val="008A4FE2"/>
    <w:rsid w:val="008A5443"/>
    <w:rsid w:val="008A55A8"/>
    <w:rsid w:val="008A5F01"/>
    <w:rsid w:val="008A6B66"/>
    <w:rsid w:val="008B0969"/>
    <w:rsid w:val="008B11D0"/>
    <w:rsid w:val="008B15C4"/>
    <w:rsid w:val="008B4464"/>
    <w:rsid w:val="008B4692"/>
    <w:rsid w:val="008B4A0F"/>
    <w:rsid w:val="008B4BF2"/>
    <w:rsid w:val="008B56E5"/>
    <w:rsid w:val="008B5AFD"/>
    <w:rsid w:val="008B6650"/>
    <w:rsid w:val="008B7A4E"/>
    <w:rsid w:val="008C1506"/>
    <w:rsid w:val="008C2495"/>
    <w:rsid w:val="008C2D30"/>
    <w:rsid w:val="008C2E11"/>
    <w:rsid w:val="008C73DE"/>
    <w:rsid w:val="008C77F7"/>
    <w:rsid w:val="008D0AE4"/>
    <w:rsid w:val="008D1916"/>
    <w:rsid w:val="008D1B0D"/>
    <w:rsid w:val="008D2DD0"/>
    <w:rsid w:val="008D2F52"/>
    <w:rsid w:val="008D6B57"/>
    <w:rsid w:val="008D74C3"/>
    <w:rsid w:val="008D7DFC"/>
    <w:rsid w:val="008E00FD"/>
    <w:rsid w:val="008E09AC"/>
    <w:rsid w:val="008E16E7"/>
    <w:rsid w:val="008E33EA"/>
    <w:rsid w:val="008E4180"/>
    <w:rsid w:val="008E5722"/>
    <w:rsid w:val="008E5F84"/>
    <w:rsid w:val="008E6A1B"/>
    <w:rsid w:val="008F0EA9"/>
    <w:rsid w:val="008F1B1E"/>
    <w:rsid w:val="008F411D"/>
    <w:rsid w:val="008F4D31"/>
    <w:rsid w:val="008F5FF0"/>
    <w:rsid w:val="008F61F2"/>
    <w:rsid w:val="008F63BC"/>
    <w:rsid w:val="008F7F78"/>
    <w:rsid w:val="00900316"/>
    <w:rsid w:val="0090122A"/>
    <w:rsid w:val="00901F17"/>
    <w:rsid w:val="0090394F"/>
    <w:rsid w:val="00904728"/>
    <w:rsid w:val="009054D3"/>
    <w:rsid w:val="00907B9D"/>
    <w:rsid w:val="00910CFA"/>
    <w:rsid w:val="009125D2"/>
    <w:rsid w:val="00915E3F"/>
    <w:rsid w:val="00916C8B"/>
    <w:rsid w:val="00922344"/>
    <w:rsid w:val="0092273F"/>
    <w:rsid w:val="009238F1"/>
    <w:rsid w:val="009249B4"/>
    <w:rsid w:val="00926D0F"/>
    <w:rsid w:val="009279E1"/>
    <w:rsid w:val="00933783"/>
    <w:rsid w:val="00934A5A"/>
    <w:rsid w:val="00935E14"/>
    <w:rsid w:val="009410E0"/>
    <w:rsid w:val="00942454"/>
    <w:rsid w:val="009444B1"/>
    <w:rsid w:val="009467C6"/>
    <w:rsid w:val="00946DA9"/>
    <w:rsid w:val="00951035"/>
    <w:rsid w:val="00951BD3"/>
    <w:rsid w:val="00957310"/>
    <w:rsid w:val="0095750D"/>
    <w:rsid w:val="00962B8F"/>
    <w:rsid w:val="00964464"/>
    <w:rsid w:val="009654CB"/>
    <w:rsid w:val="00965665"/>
    <w:rsid w:val="00966D4F"/>
    <w:rsid w:val="0097192E"/>
    <w:rsid w:val="00971F52"/>
    <w:rsid w:val="0097202E"/>
    <w:rsid w:val="00972E0B"/>
    <w:rsid w:val="009748F0"/>
    <w:rsid w:val="00974A7C"/>
    <w:rsid w:val="0097587B"/>
    <w:rsid w:val="009766FE"/>
    <w:rsid w:val="00977715"/>
    <w:rsid w:val="00980439"/>
    <w:rsid w:val="00982444"/>
    <w:rsid w:val="00982BA7"/>
    <w:rsid w:val="00982D92"/>
    <w:rsid w:val="00982F10"/>
    <w:rsid w:val="00983267"/>
    <w:rsid w:val="009834A0"/>
    <w:rsid w:val="009843A8"/>
    <w:rsid w:val="00984993"/>
    <w:rsid w:val="00992500"/>
    <w:rsid w:val="00992F61"/>
    <w:rsid w:val="0099496C"/>
    <w:rsid w:val="00995831"/>
    <w:rsid w:val="00996569"/>
    <w:rsid w:val="00997EC1"/>
    <w:rsid w:val="009A057B"/>
    <w:rsid w:val="009A06F0"/>
    <w:rsid w:val="009A14DE"/>
    <w:rsid w:val="009A2105"/>
    <w:rsid w:val="009A5B8E"/>
    <w:rsid w:val="009A7BC2"/>
    <w:rsid w:val="009B1897"/>
    <w:rsid w:val="009B1965"/>
    <w:rsid w:val="009B1BB7"/>
    <w:rsid w:val="009B48D4"/>
    <w:rsid w:val="009C0992"/>
    <w:rsid w:val="009C0C48"/>
    <w:rsid w:val="009C1830"/>
    <w:rsid w:val="009C23DA"/>
    <w:rsid w:val="009C24B3"/>
    <w:rsid w:val="009C2C09"/>
    <w:rsid w:val="009C2E5A"/>
    <w:rsid w:val="009C347A"/>
    <w:rsid w:val="009C6214"/>
    <w:rsid w:val="009C7B18"/>
    <w:rsid w:val="009C7D55"/>
    <w:rsid w:val="009C7F52"/>
    <w:rsid w:val="009D07F2"/>
    <w:rsid w:val="009D1884"/>
    <w:rsid w:val="009D24A3"/>
    <w:rsid w:val="009D3312"/>
    <w:rsid w:val="009D3665"/>
    <w:rsid w:val="009D3C84"/>
    <w:rsid w:val="009D4B65"/>
    <w:rsid w:val="009D6969"/>
    <w:rsid w:val="009D7470"/>
    <w:rsid w:val="009D7A58"/>
    <w:rsid w:val="009E0CED"/>
    <w:rsid w:val="009E17A2"/>
    <w:rsid w:val="009E2D23"/>
    <w:rsid w:val="009E3E96"/>
    <w:rsid w:val="009E4043"/>
    <w:rsid w:val="009E43C1"/>
    <w:rsid w:val="009E4CB8"/>
    <w:rsid w:val="009E5BF2"/>
    <w:rsid w:val="009F3BA0"/>
    <w:rsid w:val="009F3F5D"/>
    <w:rsid w:val="009F4CB9"/>
    <w:rsid w:val="009F573D"/>
    <w:rsid w:val="00A00CD4"/>
    <w:rsid w:val="00A00FC6"/>
    <w:rsid w:val="00A01C02"/>
    <w:rsid w:val="00A0324F"/>
    <w:rsid w:val="00A038D1"/>
    <w:rsid w:val="00A05113"/>
    <w:rsid w:val="00A054DC"/>
    <w:rsid w:val="00A05A73"/>
    <w:rsid w:val="00A0659C"/>
    <w:rsid w:val="00A069AE"/>
    <w:rsid w:val="00A06F13"/>
    <w:rsid w:val="00A07DF7"/>
    <w:rsid w:val="00A10389"/>
    <w:rsid w:val="00A1133E"/>
    <w:rsid w:val="00A11888"/>
    <w:rsid w:val="00A11E62"/>
    <w:rsid w:val="00A11E8F"/>
    <w:rsid w:val="00A12369"/>
    <w:rsid w:val="00A14357"/>
    <w:rsid w:val="00A147BF"/>
    <w:rsid w:val="00A1524F"/>
    <w:rsid w:val="00A15E63"/>
    <w:rsid w:val="00A16646"/>
    <w:rsid w:val="00A17672"/>
    <w:rsid w:val="00A20E56"/>
    <w:rsid w:val="00A23BC2"/>
    <w:rsid w:val="00A27727"/>
    <w:rsid w:val="00A279AC"/>
    <w:rsid w:val="00A27EF3"/>
    <w:rsid w:val="00A30C5D"/>
    <w:rsid w:val="00A310F1"/>
    <w:rsid w:val="00A31D1D"/>
    <w:rsid w:val="00A35FAA"/>
    <w:rsid w:val="00A37DF9"/>
    <w:rsid w:val="00A40163"/>
    <w:rsid w:val="00A409BC"/>
    <w:rsid w:val="00A42F6D"/>
    <w:rsid w:val="00A442CD"/>
    <w:rsid w:val="00A44612"/>
    <w:rsid w:val="00A44720"/>
    <w:rsid w:val="00A51337"/>
    <w:rsid w:val="00A540A5"/>
    <w:rsid w:val="00A54248"/>
    <w:rsid w:val="00A55B6F"/>
    <w:rsid w:val="00A61F1C"/>
    <w:rsid w:val="00A6388E"/>
    <w:rsid w:val="00A675CB"/>
    <w:rsid w:val="00A70398"/>
    <w:rsid w:val="00A709AD"/>
    <w:rsid w:val="00A733CB"/>
    <w:rsid w:val="00A73816"/>
    <w:rsid w:val="00A751AD"/>
    <w:rsid w:val="00A775CF"/>
    <w:rsid w:val="00A77853"/>
    <w:rsid w:val="00A77A5F"/>
    <w:rsid w:val="00A77FAF"/>
    <w:rsid w:val="00A8009B"/>
    <w:rsid w:val="00A80C87"/>
    <w:rsid w:val="00A8425B"/>
    <w:rsid w:val="00A84503"/>
    <w:rsid w:val="00A861B9"/>
    <w:rsid w:val="00A8653B"/>
    <w:rsid w:val="00A86CDB"/>
    <w:rsid w:val="00A8782F"/>
    <w:rsid w:val="00A9167D"/>
    <w:rsid w:val="00A92D25"/>
    <w:rsid w:val="00A94689"/>
    <w:rsid w:val="00A94DDB"/>
    <w:rsid w:val="00A96FFE"/>
    <w:rsid w:val="00AA27AA"/>
    <w:rsid w:val="00AA2DF3"/>
    <w:rsid w:val="00AA50BC"/>
    <w:rsid w:val="00AB07F2"/>
    <w:rsid w:val="00AB24E7"/>
    <w:rsid w:val="00AB3237"/>
    <w:rsid w:val="00AB3A2D"/>
    <w:rsid w:val="00AB5C7E"/>
    <w:rsid w:val="00AB75AE"/>
    <w:rsid w:val="00AB76EC"/>
    <w:rsid w:val="00AB77C4"/>
    <w:rsid w:val="00AB7933"/>
    <w:rsid w:val="00AC13C9"/>
    <w:rsid w:val="00AC2792"/>
    <w:rsid w:val="00AC3CF0"/>
    <w:rsid w:val="00AC3D18"/>
    <w:rsid w:val="00AD10CF"/>
    <w:rsid w:val="00AD35EA"/>
    <w:rsid w:val="00AD3BC7"/>
    <w:rsid w:val="00AD562E"/>
    <w:rsid w:val="00AD5B1B"/>
    <w:rsid w:val="00AD6259"/>
    <w:rsid w:val="00AE1674"/>
    <w:rsid w:val="00AE1D75"/>
    <w:rsid w:val="00AE2459"/>
    <w:rsid w:val="00AE29C2"/>
    <w:rsid w:val="00AE3D23"/>
    <w:rsid w:val="00AE41BB"/>
    <w:rsid w:val="00AE4EC8"/>
    <w:rsid w:val="00AE563A"/>
    <w:rsid w:val="00AE5D9F"/>
    <w:rsid w:val="00AE5F15"/>
    <w:rsid w:val="00AE61C0"/>
    <w:rsid w:val="00AE76C9"/>
    <w:rsid w:val="00AF0C7E"/>
    <w:rsid w:val="00AF0EB2"/>
    <w:rsid w:val="00AF2791"/>
    <w:rsid w:val="00AF32F0"/>
    <w:rsid w:val="00AF3811"/>
    <w:rsid w:val="00AF418D"/>
    <w:rsid w:val="00AF5179"/>
    <w:rsid w:val="00AF560E"/>
    <w:rsid w:val="00AF6220"/>
    <w:rsid w:val="00AF70EE"/>
    <w:rsid w:val="00AF7618"/>
    <w:rsid w:val="00B00AF9"/>
    <w:rsid w:val="00B00B01"/>
    <w:rsid w:val="00B04550"/>
    <w:rsid w:val="00B04964"/>
    <w:rsid w:val="00B06F40"/>
    <w:rsid w:val="00B10605"/>
    <w:rsid w:val="00B10F95"/>
    <w:rsid w:val="00B10FCF"/>
    <w:rsid w:val="00B12331"/>
    <w:rsid w:val="00B1274F"/>
    <w:rsid w:val="00B15B71"/>
    <w:rsid w:val="00B2087D"/>
    <w:rsid w:val="00B21941"/>
    <w:rsid w:val="00B21EB4"/>
    <w:rsid w:val="00B22202"/>
    <w:rsid w:val="00B240AA"/>
    <w:rsid w:val="00B26C44"/>
    <w:rsid w:val="00B27820"/>
    <w:rsid w:val="00B30944"/>
    <w:rsid w:val="00B323BD"/>
    <w:rsid w:val="00B33F4D"/>
    <w:rsid w:val="00B37148"/>
    <w:rsid w:val="00B42B56"/>
    <w:rsid w:val="00B455C0"/>
    <w:rsid w:val="00B460B5"/>
    <w:rsid w:val="00B47240"/>
    <w:rsid w:val="00B47F4C"/>
    <w:rsid w:val="00B51526"/>
    <w:rsid w:val="00B523E2"/>
    <w:rsid w:val="00B5762D"/>
    <w:rsid w:val="00B60F6F"/>
    <w:rsid w:val="00B61A52"/>
    <w:rsid w:val="00B6230B"/>
    <w:rsid w:val="00B6389E"/>
    <w:rsid w:val="00B64DE4"/>
    <w:rsid w:val="00B66467"/>
    <w:rsid w:val="00B71222"/>
    <w:rsid w:val="00B7262F"/>
    <w:rsid w:val="00B7358B"/>
    <w:rsid w:val="00B7388C"/>
    <w:rsid w:val="00B73E0D"/>
    <w:rsid w:val="00B77593"/>
    <w:rsid w:val="00B830A1"/>
    <w:rsid w:val="00B83705"/>
    <w:rsid w:val="00B83CA0"/>
    <w:rsid w:val="00B84243"/>
    <w:rsid w:val="00B85C34"/>
    <w:rsid w:val="00B8742F"/>
    <w:rsid w:val="00B876C0"/>
    <w:rsid w:val="00B93884"/>
    <w:rsid w:val="00B94A65"/>
    <w:rsid w:val="00B94ADF"/>
    <w:rsid w:val="00B94FB4"/>
    <w:rsid w:val="00B95D2D"/>
    <w:rsid w:val="00B9676C"/>
    <w:rsid w:val="00BA0966"/>
    <w:rsid w:val="00BA0F2F"/>
    <w:rsid w:val="00BA379F"/>
    <w:rsid w:val="00BA4411"/>
    <w:rsid w:val="00BA6777"/>
    <w:rsid w:val="00BA6813"/>
    <w:rsid w:val="00BB19A7"/>
    <w:rsid w:val="00BB2A98"/>
    <w:rsid w:val="00BB3AB5"/>
    <w:rsid w:val="00BB3DA8"/>
    <w:rsid w:val="00BB498B"/>
    <w:rsid w:val="00BB6D23"/>
    <w:rsid w:val="00BB721D"/>
    <w:rsid w:val="00BB7455"/>
    <w:rsid w:val="00BC17FB"/>
    <w:rsid w:val="00BC2C65"/>
    <w:rsid w:val="00BC3CAB"/>
    <w:rsid w:val="00BC42CE"/>
    <w:rsid w:val="00BC6702"/>
    <w:rsid w:val="00BD210E"/>
    <w:rsid w:val="00BD304D"/>
    <w:rsid w:val="00BE70B3"/>
    <w:rsid w:val="00BE7D58"/>
    <w:rsid w:val="00BF0270"/>
    <w:rsid w:val="00BF0E14"/>
    <w:rsid w:val="00BF11BF"/>
    <w:rsid w:val="00BF164E"/>
    <w:rsid w:val="00BF2148"/>
    <w:rsid w:val="00BF23C3"/>
    <w:rsid w:val="00BF263F"/>
    <w:rsid w:val="00BF3E50"/>
    <w:rsid w:val="00BF6570"/>
    <w:rsid w:val="00BF6D42"/>
    <w:rsid w:val="00BF7ED9"/>
    <w:rsid w:val="00C00AA5"/>
    <w:rsid w:val="00C07DEC"/>
    <w:rsid w:val="00C1005F"/>
    <w:rsid w:val="00C107D2"/>
    <w:rsid w:val="00C11F05"/>
    <w:rsid w:val="00C11F2F"/>
    <w:rsid w:val="00C12D0A"/>
    <w:rsid w:val="00C12DE9"/>
    <w:rsid w:val="00C15DEF"/>
    <w:rsid w:val="00C17158"/>
    <w:rsid w:val="00C17A51"/>
    <w:rsid w:val="00C20E76"/>
    <w:rsid w:val="00C23647"/>
    <w:rsid w:val="00C24021"/>
    <w:rsid w:val="00C2476F"/>
    <w:rsid w:val="00C2641F"/>
    <w:rsid w:val="00C273A1"/>
    <w:rsid w:val="00C3009E"/>
    <w:rsid w:val="00C31E81"/>
    <w:rsid w:val="00C3239B"/>
    <w:rsid w:val="00C3324A"/>
    <w:rsid w:val="00C336DD"/>
    <w:rsid w:val="00C34390"/>
    <w:rsid w:val="00C34C59"/>
    <w:rsid w:val="00C359BA"/>
    <w:rsid w:val="00C35E53"/>
    <w:rsid w:val="00C3662D"/>
    <w:rsid w:val="00C36775"/>
    <w:rsid w:val="00C406CE"/>
    <w:rsid w:val="00C41219"/>
    <w:rsid w:val="00C41D55"/>
    <w:rsid w:val="00C420C5"/>
    <w:rsid w:val="00C428E6"/>
    <w:rsid w:val="00C42D37"/>
    <w:rsid w:val="00C431A3"/>
    <w:rsid w:val="00C43756"/>
    <w:rsid w:val="00C44BE3"/>
    <w:rsid w:val="00C44C1D"/>
    <w:rsid w:val="00C5028C"/>
    <w:rsid w:val="00C51C07"/>
    <w:rsid w:val="00C53EF2"/>
    <w:rsid w:val="00C5570B"/>
    <w:rsid w:val="00C55846"/>
    <w:rsid w:val="00C57082"/>
    <w:rsid w:val="00C605F4"/>
    <w:rsid w:val="00C615E5"/>
    <w:rsid w:val="00C619FE"/>
    <w:rsid w:val="00C62A49"/>
    <w:rsid w:val="00C6305B"/>
    <w:rsid w:val="00C63C1F"/>
    <w:rsid w:val="00C63ED7"/>
    <w:rsid w:val="00C706DE"/>
    <w:rsid w:val="00C74126"/>
    <w:rsid w:val="00C74C39"/>
    <w:rsid w:val="00C74DA9"/>
    <w:rsid w:val="00C7638D"/>
    <w:rsid w:val="00C763EA"/>
    <w:rsid w:val="00C771EB"/>
    <w:rsid w:val="00C8049D"/>
    <w:rsid w:val="00C81254"/>
    <w:rsid w:val="00C85E77"/>
    <w:rsid w:val="00C8748F"/>
    <w:rsid w:val="00C87FB8"/>
    <w:rsid w:val="00C91CF4"/>
    <w:rsid w:val="00C92123"/>
    <w:rsid w:val="00C94229"/>
    <w:rsid w:val="00C95596"/>
    <w:rsid w:val="00C95850"/>
    <w:rsid w:val="00C95B85"/>
    <w:rsid w:val="00C97F24"/>
    <w:rsid w:val="00CA0B5E"/>
    <w:rsid w:val="00CA0F4F"/>
    <w:rsid w:val="00CA17B1"/>
    <w:rsid w:val="00CA2A47"/>
    <w:rsid w:val="00CA3214"/>
    <w:rsid w:val="00CA450E"/>
    <w:rsid w:val="00CA4819"/>
    <w:rsid w:val="00CA600B"/>
    <w:rsid w:val="00CA709C"/>
    <w:rsid w:val="00CB00D4"/>
    <w:rsid w:val="00CB1F59"/>
    <w:rsid w:val="00CB54F0"/>
    <w:rsid w:val="00CB5C31"/>
    <w:rsid w:val="00CB62C0"/>
    <w:rsid w:val="00CB795F"/>
    <w:rsid w:val="00CC0486"/>
    <w:rsid w:val="00CC0B67"/>
    <w:rsid w:val="00CC3220"/>
    <w:rsid w:val="00CC453E"/>
    <w:rsid w:val="00CC4867"/>
    <w:rsid w:val="00CC5AB0"/>
    <w:rsid w:val="00CC63D5"/>
    <w:rsid w:val="00CC7C89"/>
    <w:rsid w:val="00CC7ED8"/>
    <w:rsid w:val="00CC7F08"/>
    <w:rsid w:val="00CD1BF3"/>
    <w:rsid w:val="00CD2C4A"/>
    <w:rsid w:val="00CD3382"/>
    <w:rsid w:val="00CD7118"/>
    <w:rsid w:val="00CE0085"/>
    <w:rsid w:val="00CE0472"/>
    <w:rsid w:val="00CE2C1A"/>
    <w:rsid w:val="00CE3F53"/>
    <w:rsid w:val="00CE4134"/>
    <w:rsid w:val="00CE4FC8"/>
    <w:rsid w:val="00CE558E"/>
    <w:rsid w:val="00CE5EC0"/>
    <w:rsid w:val="00CE645E"/>
    <w:rsid w:val="00CE7933"/>
    <w:rsid w:val="00CF2C6F"/>
    <w:rsid w:val="00CF4131"/>
    <w:rsid w:val="00CF5085"/>
    <w:rsid w:val="00CF5391"/>
    <w:rsid w:val="00CF6028"/>
    <w:rsid w:val="00CF6796"/>
    <w:rsid w:val="00D00382"/>
    <w:rsid w:val="00D0086A"/>
    <w:rsid w:val="00D02C37"/>
    <w:rsid w:val="00D02EF1"/>
    <w:rsid w:val="00D05719"/>
    <w:rsid w:val="00D076E9"/>
    <w:rsid w:val="00D07A8D"/>
    <w:rsid w:val="00D1024D"/>
    <w:rsid w:val="00D120BF"/>
    <w:rsid w:val="00D13536"/>
    <w:rsid w:val="00D13659"/>
    <w:rsid w:val="00D143EC"/>
    <w:rsid w:val="00D1515D"/>
    <w:rsid w:val="00D1545C"/>
    <w:rsid w:val="00D15ACB"/>
    <w:rsid w:val="00D1741D"/>
    <w:rsid w:val="00D174C3"/>
    <w:rsid w:val="00D17D15"/>
    <w:rsid w:val="00D17E55"/>
    <w:rsid w:val="00D2179B"/>
    <w:rsid w:val="00D22699"/>
    <w:rsid w:val="00D2316C"/>
    <w:rsid w:val="00D23FB7"/>
    <w:rsid w:val="00D24FF4"/>
    <w:rsid w:val="00D30A84"/>
    <w:rsid w:val="00D30CBA"/>
    <w:rsid w:val="00D31052"/>
    <w:rsid w:val="00D323B5"/>
    <w:rsid w:val="00D327B7"/>
    <w:rsid w:val="00D36333"/>
    <w:rsid w:val="00D37C36"/>
    <w:rsid w:val="00D42454"/>
    <w:rsid w:val="00D428B3"/>
    <w:rsid w:val="00D44D21"/>
    <w:rsid w:val="00D46A7B"/>
    <w:rsid w:val="00D503B7"/>
    <w:rsid w:val="00D50C9B"/>
    <w:rsid w:val="00D52FA6"/>
    <w:rsid w:val="00D5385C"/>
    <w:rsid w:val="00D5491C"/>
    <w:rsid w:val="00D549BF"/>
    <w:rsid w:val="00D551E1"/>
    <w:rsid w:val="00D55763"/>
    <w:rsid w:val="00D55F66"/>
    <w:rsid w:val="00D5708A"/>
    <w:rsid w:val="00D576B5"/>
    <w:rsid w:val="00D57849"/>
    <w:rsid w:val="00D60439"/>
    <w:rsid w:val="00D6199A"/>
    <w:rsid w:val="00D64BE6"/>
    <w:rsid w:val="00D6661E"/>
    <w:rsid w:val="00D66692"/>
    <w:rsid w:val="00D7026C"/>
    <w:rsid w:val="00D70EB2"/>
    <w:rsid w:val="00D715EF"/>
    <w:rsid w:val="00D75924"/>
    <w:rsid w:val="00D75DD0"/>
    <w:rsid w:val="00D7602E"/>
    <w:rsid w:val="00D76996"/>
    <w:rsid w:val="00D83B82"/>
    <w:rsid w:val="00D846C2"/>
    <w:rsid w:val="00D85D3F"/>
    <w:rsid w:val="00D87479"/>
    <w:rsid w:val="00D87624"/>
    <w:rsid w:val="00D9150D"/>
    <w:rsid w:val="00D91854"/>
    <w:rsid w:val="00D92B42"/>
    <w:rsid w:val="00D951E1"/>
    <w:rsid w:val="00D961F2"/>
    <w:rsid w:val="00D97687"/>
    <w:rsid w:val="00D9775E"/>
    <w:rsid w:val="00DA07D8"/>
    <w:rsid w:val="00DA1610"/>
    <w:rsid w:val="00DA1A11"/>
    <w:rsid w:val="00DA1BEF"/>
    <w:rsid w:val="00DA28A8"/>
    <w:rsid w:val="00DA3143"/>
    <w:rsid w:val="00DA4EAE"/>
    <w:rsid w:val="00DA6854"/>
    <w:rsid w:val="00DA6D4F"/>
    <w:rsid w:val="00DA6FB4"/>
    <w:rsid w:val="00DA7AC3"/>
    <w:rsid w:val="00DB10A8"/>
    <w:rsid w:val="00DB4C98"/>
    <w:rsid w:val="00DB4F1B"/>
    <w:rsid w:val="00DB50EA"/>
    <w:rsid w:val="00DB584E"/>
    <w:rsid w:val="00DB69D9"/>
    <w:rsid w:val="00DC235D"/>
    <w:rsid w:val="00DC32EC"/>
    <w:rsid w:val="00DC39E1"/>
    <w:rsid w:val="00DC4099"/>
    <w:rsid w:val="00DC4790"/>
    <w:rsid w:val="00DC6737"/>
    <w:rsid w:val="00DD06D6"/>
    <w:rsid w:val="00DD0BA0"/>
    <w:rsid w:val="00DD7648"/>
    <w:rsid w:val="00DD7B40"/>
    <w:rsid w:val="00DE117E"/>
    <w:rsid w:val="00DE1987"/>
    <w:rsid w:val="00DE25CC"/>
    <w:rsid w:val="00DE36CF"/>
    <w:rsid w:val="00DE42BA"/>
    <w:rsid w:val="00DE50C2"/>
    <w:rsid w:val="00DE566F"/>
    <w:rsid w:val="00DE5DF9"/>
    <w:rsid w:val="00DE5E0C"/>
    <w:rsid w:val="00DE60EA"/>
    <w:rsid w:val="00DF0728"/>
    <w:rsid w:val="00DF1ADC"/>
    <w:rsid w:val="00DF2249"/>
    <w:rsid w:val="00DF2CE5"/>
    <w:rsid w:val="00DF30D5"/>
    <w:rsid w:val="00DF363A"/>
    <w:rsid w:val="00DF4173"/>
    <w:rsid w:val="00DF61C8"/>
    <w:rsid w:val="00DF6323"/>
    <w:rsid w:val="00DF6B26"/>
    <w:rsid w:val="00DF744E"/>
    <w:rsid w:val="00E00258"/>
    <w:rsid w:val="00E01B7C"/>
    <w:rsid w:val="00E01F36"/>
    <w:rsid w:val="00E054BA"/>
    <w:rsid w:val="00E05967"/>
    <w:rsid w:val="00E06F9F"/>
    <w:rsid w:val="00E07E24"/>
    <w:rsid w:val="00E10D3F"/>
    <w:rsid w:val="00E11210"/>
    <w:rsid w:val="00E121DD"/>
    <w:rsid w:val="00E1675C"/>
    <w:rsid w:val="00E16977"/>
    <w:rsid w:val="00E16BE1"/>
    <w:rsid w:val="00E17DAB"/>
    <w:rsid w:val="00E20628"/>
    <w:rsid w:val="00E2103B"/>
    <w:rsid w:val="00E22A07"/>
    <w:rsid w:val="00E26003"/>
    <w:rsid w:val="00E27319"/>
    <w:rsid w:val="00E273FF"/>
    <w:rsid w:val="00E27B91"/>
    <w:rsid w:val="00E30FE2"/>
    <w:rsid w:val="00E37BA9"/>
    <w:rsid w:val="00E4238F"/>
    <w:rsid w:val="00E42411"/>
    <w:rsid w:val="00E42C8A"/>
    <w:rsid w:val="00E43965"/>
    <w:rsid w:val="00E43E3B"/>
    <w:rsid w:val="00E4452C"/>
    <w:rsid w:val="00E453F8"/>
    <w:rsid w:val="00E4582E"/>
    <w:rsid w:val="00E46611"/>
    <w:rsid w:val="00E46AB8"/>
    <w:rsid w:val="00E473B3"/>
    <w:rsid w:val="00E5330F"/>
    <w:rsid w:val="00E54185"/>
    <w:rsid w:val="00E55ABA"/>
    <w:rsid w:val="00E5728A"/>
    <w:rsid w:val="00E60751"/>
    <w:rsid w:val="00E6169B"/>
    <w:rsid w:val="00E62B36"/>
    <w:rsid w:val="00E62DF5"/>
    <w:rsid w:val="00E62F69"/>
    <w:rsid w:val="00E6369F"/>
    <w:rsid w:val="00E647C8"/>
    <w:rsid w:val="00E672CB"/>
    <w:rsid w:val="00E70F0A"/>
    <w:rsid w:val="00E715E7"/>
    <w:rsid w:val="00E71F0F"/>
    <w:rsid w:val="00E731D7"/>
    <w:rsid w:val="00E74ACE"/>
    <w:rsid w:val="00E77C06"/>
    <w:rsid w:val="00E81A64"/>
    <w:rsid w:val="00E831F7"/>
    <w:rsid w:val="00E835D7"/>
    <w:rsid w:val="00E855E0"/>
    <w:rsid w:val="00E860B7"/>
    <w:rsid w:val="00E86259"/>
    <w:rsid w:val="00E8780D"/>
    <w:rsid w:val="00E9358B"/>
    <w:rsid w:val="00E95103"/>
    <w:rsid w:val="00E956B3"/>
    <w:rsid w:val="00E95DB8"/>
    <w:rsid w:val="00E95E3B"/>
    <w:rsid w:val="00E971BB"/>
    <w:rsid w:val="00E97527"/>
    <w:rsid w:val="00EA2442"/>
    <w:rsid w:val="00EA5A9E"/>
    <w:rsid w:val="00EA6556"/>
    <w:rsid w:val="00EA6842"/>
    <w:rsid w:val="00EB063E"/>
    <w:rsid w:val="00EB068F"/>
    <w:rsid w:val="00EB4C26"/>
    <w:rsid w:val="00EB5127"/>
    <w:rsid w:val="00EB53F2"/>
    <w:rsid w:val="00EB7803"/>
    <w:rsid w:val="00EC0295"/>
    <w:rsid w:val="00EC0454"/>
    <w:rsid w:val="00EC19FA"/>
    <w:rsid w:val="00EC5F86"/>
    <w:rsid w:val="00ED0940"/>
    <w:rsid w:val="00ED25CE"/>
    <w:rsid w:val="00ED3A55"/>
    <w:rsid w:val="00ED402C"/>
    <w:rsid w:val="00ED468F"/>
    <w:rsid w:val="00ED6D9F"/>
    <w:rsid w:val="00EE0ACF"/>
    <w:rsid w:val="00EE37DE"/>
    <w:rsid w:val="00EE3E7F"/>
    <w:rsid w:val="00EE455E"/>
    <w:rsid w:val="00EE67C5"/>
    <w:rsid w:val="00EE788D"/>
    <w:rsid w:val="00EF18EF"/>
    <w:rsid w:val="00EF2A15"/>
    <w:rsid w:val="00EF3070"/>
    <w:rsid w:val="00EF4031"/>
    <w:rsid w:val="00EF6BDC"/>
    <w:rsid w:val="00F00728"/>
    <w:rsid w:val="00F01FF7"/>
    <w:rsid w:val="00F05784"/>
    <w:rsid w:val="00F05908"/>
    <w:rsid w:val="00F1076B"/>
    <w:rsid w:val="00F10D71"/>
    <w:rsid w:val="00F11B9B"/>
    <w:rsid w:val="00F11D20"/>
    <w:rsid w:val="00F120D0"/>
    <w:rsid w:val="00F13E0D"/>
    <w:rsid w:val="00F14467"/>
    <w:rsid w:val="00F20B6E"/>
    <w:rsid w:val="00F20FF5"/>
    <w:rsid w:val="00F248EC"/>
    <w:rsid w:val="00F24BCF"/>
    <w:rsid w:val="00F24C64"/>
    <w:rsid w:val="00F2639B"/>
    <w:rsid w:val="00F26509"/>
    <w:rsid w:val="00F276EE"/>
    <w:rsid w:val="00F31355"/>
    <w:rsid w:val="00F3255F"/>
    <w:rsid w:val="00F3374F"/>
    <w:rsid w:val="00F3510E"/>
    <w:rsid w:val="00F357F3"/>
    <w:rsid w:val="00F35B8D"/>
    <w:rsid w:val="00F373DC"/>
    <w:rsid w:val="00F37EF3"/>
    <w:rsid w:val="00F402E8"/>
    <w:rsid w:val="00F403D6"/>
    <w:rsid w:val="00F40782"/>
    <w:rsid w:val="00F42204"/>
    <w:rsid w:val="00F422EF"/>
    <w:rsid w:val="00F42894"/>
    <w:rsid w:val="00F45CF2"/>
    <w:rsid w:val="00F4743F"/>
    <w:rsid w:val="00F47B25"/>
    <w:rsid w:val="00F5077E"/>
    <w:rsid w:val="00F51346"/>
    <w:rsid w:val="00F5199A"/>
    <w:rsid w:val="00F5235B"/>
    <w:rsid w:val="00F54947"/>
    <w:rsid w:val="00F5495A"/>
    <w:rsid w:val="00F54F7B"/>
    <w:rsid w:val="00F560DC"/>
    <w:rsid w:val="00F56916"/>
    <w:rsid w:val="00F56AD0"/>
    <w:rsid w:val="00F56CB1"/>
    <w:rsid w:val="00F613E9"/>
    <w:rsid w:val="00F625D0"/>
    <w:rsid w:val="00F63F85"/>
    <w:rsid w:val="00F65819"/>
    <w:rsid w:val="00F66863"/>
    <w:rsid w:val="00F66DAA"/>
    <w:rsid w:val="00F71182"/>
    <w:rsid w:val="00F72D23"/>
    <w:rsid w:val="00F73E47"/>
    <w:rsid w:val="00F7451D"/>
    <w:rsid w:val="00F74CB0"/>
    <w:rsid w:val="00F75495"/>
    <w:rsid w:val="00F765EB"/>
    <w:rsid w:val="00F81CE4"/>
    <w:rsid w:val="00F82354"/>
    <w:rsid w:val="00F8498C"/>
    <w:rsid w:val="00F8673B"/>
    <w:rsid w:val="00F868E5"/>
    <w:rsid w:val="00F90159"/>
    <w:rsid w:val="00F908F8"/>
    <w:rsid w:val="00F91491"/>
    <w:rsid w:val="00F92442"/>
    <w:rsid w:val="00F926C8"/>
    <w:rsid w:val="00F97C22"/>
    <w:rsid w:val="00F97D2D"/>
    <w:rsid w:val="00FA05A4"/>
    <w:rsid w:val="00FA0BA3"/>
    <w:rsid w:val="00FA0C92"/>
    <w:rsid w:val="00FA30C2"/>
    <w:rsid w:val="00FA4191"/>
    <w:rsid w:val="00FA63B6"/>
    <w:rsid w:val="00FA7135"/>
    <w:rsid w:val="00FA784C"/>
    <w:rsid w:val="00FB06E1"/>
    <w:rsid w:val="00FB0CA2"/>
    <w:rsid w:val="00FB3095"/>
    <w:rsid w:val="00FB6912"/>
    <w:rsid w:val="00FC00DD"/>
    <w:rsid w:val="00FC1247"/>
    <w:rsid w:val="00FC1C66"/>
    <w:rsid w:val="00FC3CD4"/>
    <w:rsid w:val="00FC5E1E"/>
    <w:rsid w:val="00FC68BF"/>
    <w:rsid w:val="00FC7CAC"/>
    <w:rsid w:val="00FD14D0"/>
    <w:rsid w:val="00FD1B30"/>
    <w:rsid w:val="00FD284B"/>
    <w:rsid w:val="00FD295C"/>
    <w:rsid w:val="00FD3D3E"/>
    <w:rsid w:val="00FD5051"/>
    <w:rsid w:val="00FD5438"/>
    <w:rsid w:val="00FD5958"/>
    <w:rsid w:val="00FD5A0F"/>
    <w:rsid w:val="00FD756D"/>
    <w:rsid w:val="00FD7972"/>
    <w:rsid w:val="00FE059A"/>
    <w:rsid w:val="00FE0781"/>
    <w:rsid w:val="00FE29AF"/>
    <w:rsid w:val="00FE3181"/>
    <w:rsid w:val="00FE54AE"/>
    <w:rsid w:val="00FF2339"/>
    <w:rsid w:val="00FF2430"/>
    <w:rsid w:val="00FF26B9"/>
    <w:rsid w:val="00FF33AA"/>
    <w:rsid w:val="00FF371D"/>
    <w:rsid w:val="00FF637D"/>
    <w:rsid w:val="00FF64CF"/>
    <w:rsid w:val="00FF6B5D"/>
    <w:rsid w:val="00FF76AC"/>
    <w:rsid w:val="00FF7C3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rules v:ext="edit">
        <o:r id="V:Rule5" type="connector" idref="#_x0000_s1228"/>
        <o:r id="V:Rule6" type="connector" idref="#_x0000_s1117"/>
        <o:r id="V:Rule7" type="connector" idref="#_x0000_s1114"/>
        <o:r id="V:Rule8"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F86"/>
    <w:pPr>
      <w:spacing w:after="240" w:line="260" w:lineRule="exact"/>
      <w:jc w:val="both"/>
    </w:pPr>
    <w:rPr>
      <w:rFonts w:ascii="Book Antiqua" w:hAnsi="Book Antiqua"/>
    </w:rPr>
  </w:style>
  <w:style w:type="paragraph" w:styleId="Heading1">
    <w:name w:val="heading 1"/>
    <w:basedOn w:val="HeadingBase"/>
    <w:next w:val="Normal"/>
    <w:qFormat/>
    <w:rsid w:val="00B1274F"/>
    <w:pPr>
      <w:keepNext w:val="0"/>
      <w:jc w:val="center"/>
      <w:outlineLvl w:val="0"/>
    </w:pPr>
    <w:rPr>
      <w:b/>
      <w:smallCaps/>
      <w:kern w:val="28"/>
      <w:sz w:val="52"/>
    </w:rPr>
  </w:style>
  <w:style w:type="paragraph" w:styleId="Heading2">
    <w:name w:val="heading 2"/>
    <w:basedOn w:val="HeadingBase"/>
    <w:next w:val="Normal"/>
    <w:qFormat/>
    <w:rsid w:val="004F1756"/>
    <w:pPr>
      <w:keepNext w:val="0"/>
      <w:spacing w:after="360"/>
      <w:jc w:val="center"/>
      <w:outlineLvl w:val="1"/>
    </w:pPr>
    <w:rPr>
      <w:rFonts w:ascii="Arial Bold" w:hAnsi="Arial Bold" w:cs="Arial"/>
      <w:b/>
      <w:smallCaps/>
      <w:sz w:val="34"/>
      <w:szCs w:val="34"/>
    </w:rPr>
  </w:style>
  <w:style w:type="paragraph" w:styleId="Heading3">
    <w:name w:val="heading 3"/>
    <w:basedOn w:val="HeadingBase"/>
    <w:next w:val="Normal"/>
    <w:link w:val="Heading3Char"/>
    <w:qFormat/>
    <w:rsid w:val="008D2DD0"/>
    <w:pPr>
      <w:keepNext w:val="0"/>
      <w:tabs>
        <w:tab w:val="left" w:pos="709"/>
      </w:tabs>
      <w:spacing w:after="240"/>
      <w:outlineLvl w:val="2"/>
    </w:pPr>
    <w:rPr>
      <w:rFonts w:cs="Arial"/>
      <w:sz w:val="30"/>
      <w:szCs w:val="30"/>
    </w:rPr>
  </w:style>
  <w:style w:type="paragraph" w:styleId="Heading4">
    <w:name w:val="heading 4"/>
    <w:basedOn w:val="HeadingBase"/>
    <w:next w:val="Normal"/>
    <w:qFormat/>
    <w:rsid w:val="008D2DD0"/>
    <w:pPr>
      <w:keepNext w:val="0"/>
      <w:tabs>
        <w:tab w:val="left" w:pos="709"/>
      </w:tabs>
      <w:spacing w:before="240" w:after="240"/>
      <w:outlineLvl w:val="3"/>
    </w:pPr>
    <w:rPr>
      <w:rFonts w:cs="Arial"/>
      <w:b/>
      <w:smallCaps/>
      <w:sz w:val="26"/>
    </w:rPr>
  </w:style>
  <w:style w:type="paragraph" w:styleId="Heading5">
    <w:name w:val="heading 5"/>
    <w:basedOn w:val="HeadingBase"/>
    <w:next w:val="Normal"/>
    <w:link w:val="Heading5Char"/>
    <w:qFormat/>
    <w:rsid w:val="00E453F8"/>
    <w:pPr>
      <w:keepNext w:val="0"/>
      <w:spacing w:before="120" w:after="60"/>
      <w:outlineLvl w:val="4"/>
    </w:pPr>
    <w:rPr>
      <w:rFonts w:cs="Arial"/>
      <w:b/>
      <w:sz w:val="20"/>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6"/>
    <w:next w:val="Normal"/>
    <w:qFormat/>
    <w:rsid w:val="00A37DF9"/>
    <w:pPr>
      <w:keepNext w:val="0"/>
      <w:outlineLvl w:val="6"/>
    </w:pPr>
    <w:rPr>
      <w:b/>
      <w:bCs w:val="0"/>
      <w:sz w:val="22"/>
      <w:szCs w:val="20"/>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Department"/>
    <w:qFormat/>
    <w:rsid w:val="005B4B12"/>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2B2687"/>
    <w:pPr>
      <w:spacing w:after="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style>
  <w:style w:type="paragraph" w:styleId="ListParagraph">
    <w:name w:val="List Paragraph"/>
    <w:aliases w:val="NFP GP Bulleted List,List Paragraph1,Recommendation"/>
    <w:basedOn w:val="Normal"/>
    <w:next w:val="TOC9"/>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D2DD0"/>
    <w:rPr>
      <w:rFonts w:ascii="Arial" w:hAnsi="Arial" w:cs="Arial"/>
      <w:sz w:val="30"/>
      <w:szCs w:val="30"/>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paragraph" w:styleId="BodyText">
    <w:name w:val="Body Text"/>
    <w:basedOn w:val="Normal"/>
    <w:link w:val="BodyTextChar"/>
    <w:uiPriority w:val="99"/>
    <w:rsid w:val="004B66F1"/>
    <w:pPr>
      <w:spacing w:after="120"/>
    </w:pPr>
  </w:style>
  <w:style w:type="character" w:customStyle="1" w:styleId="BodyTextChar">
    <w:name w:val="Body Text Char"/>
    <w:basedOn w:val="DefaultParagraphFont"/>
    <w:link w:val="BodyText"/>
    <w:uiPriority w:val="99"/>
    <w:rsid w:val="004B66F1"/>
    <w:rPr>
      <w:rFonts w:ascii="Book Antiqua" w:hAnsi="Book Antiqua"/>
    </w:rPr>
  </w:style>
  <w:style w:type="character" w:customStyle="1" w:styleId="Heading5Char">
    <w:name w:val="Heading 5 Char"/>
    <w:basedOn w:val="DefaultParagraphFont"/>
    <w:link w:val="Heading5"/>
    <w:rsid w:val="00E453F8"/>
    <w:rPr>
      <w:rFonts w:ascii="Arial" w:hAnsi="Arial" w:cs="Arial"/>
      <w:b/>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872C20"/>
    <w:rPr>
      <w:rFonts w:ascii="Calibri" w:eastAsia="Calibri" w:hAnsi="Calibri"/>
      <w:sz w:val="22"/>
      <w:szCs w:val="22"/>
      <w:lang w:val="en-US" w:eastAsia="en-US"/>
    </w:rPr>
  </w:style>
  <w:style w:type="paragraph" w:customStyle="1" w:styleId="HeadingMin">
    <w:name w:val="HeadingMin"/>
    <w:basedOn w:val="Normal"/>
    <w:rsid w:val="000D084B"/>
    <w:pPr>
      <w:spacing w:after="0" w:line="240" w:lineRule="auto"/>
      <w:jc w:val="center"/>
    </w:pPr>
    <w:rPr>
      <w:rFonts w:ascii="Arial" w:hAnsi="Arial"/>
      <w:caps/>
      <w:spacing w:val="20"/>
      <w:sz w:val="40"/>
      <w:szCs w:val="24"/>
    </w:rPr>
  </w:style>
  <w:style w:type="paragraph" w:customStyle="1" w:styleId="HeadingOffice">
    <w:name w:val="HeadingOffice"/>
    <w:basedOn w:val="Normal"/>
    <w:rsid w:val="000D084B"/>
    <w:pPr>
      <w:spacing w:after="0" w:line="240" w:lineRule="auto"/>
      <w:jc w:val="center"/>
    </w:pPr>
    <w:rPr>
      <w:rFonts w:ascii="Arial" w:hAnsi="Arial"/>
      <w:spacing w:val="10"/>
      <w:sz w:val="28"/>
      <w:szCs w:val="24"/>
    </w:rPr>
  </w:style>
  <w:style w:type="character" w:customStyle="1" w:styleId="FooterChar">
    <w:name w:val="Footer Char"/>
    <w:basedOn w:val="DefaultParagraphFont"/>
    <w:link w:val="Footer"/>
    <w:uiPriority w:val="99"/>
    <w:rsid w:val="008A2E5A"/>
    <w:rPr>
      <w:rFonts w:ascii="Arial" w:hAnsi="Arial"/>
    </w:rPr>
  </w:style>
  <w:style w:type="character" w:styleId="Emphasis">
    <w:name w:val="Emphasis"/>
    <w:uiPriority w:val="20"/>
    <w:qFormat/>
    <w:rsid w:val="00901F17"/>
    <w:rPr>
      <w:i/>
      <w:iCs/>
    </w:rPr>
  </w:style>
  <w:style w:type="character" w:customStyle="1" w:styleId="TableTextBulletChar">
    <w:name w:val="Table Text Bullet Char"/>
    <w:link w:val="TableTextBullet"/>
    <w:rsid w:val="00A00FC6"/>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7875667">
      <w:bodyDiv w:val="1"/>
      <w:marLeft w:val="0"/>
      <w:marRight w:val="0"/>
      <w:marTop w:val="0"/>
      <w:marBottom w:val="0"/>
      <w:divBdr>
        <w:top w:val="none" w:sz="0" w:space="0" w:color="auto"/>
        <w:left w:val="none" w:sz="0" w:space="0" w:color="auto"/>
        <w:bottom w:val="none" w:sz="0" w:space="0" w:color="auto"/>
        <w:right w:val="none" w:sz="0" w:space="0" w:color="auto"/>
      </w:divBdr>
    </w:div>
    <w:div w:id="15931586">
      <w:bodyDiv w:val="1"/>
      <w:marLeft w:val="0"/>
      <w:marRight w:val="0"/>
      <w:marTop w:val="0"/>
      <w:marBottom w:val="0"/>
      <w:divBdr>
        <w:top w:val="none" w:sz="0" w:space="0" w:color="auto"/>
        <w:left w:val="none" w:sz="0" w:space="0" w:color="auto"/>
        <w:bottom w:val="none" w:sz="0" w:space="0" w:color="auto"/>
        <w:right w:val="none" w:sz="0" w:space="0" w:color="auto"/>
      </w:divBdr>
    </w:div>
    <w:div w:id="16733247">
      <w:bodyDiv w:val="1"/>
      <w:marLeft w:val="0"/>
      <w:marRight w:val="0"/>
      <w:marTop w:val="0"/>
      <w:marBottom w:val="0"/>
      <w:divBdr>
        <w:top w:val="none" w:sz="0" w:space="0" w:color="auto"/>
        <w:left w:val="none" w:sz="0" w:space="0" w:color="auto"/>
        <w:bottom w:val="none" w:sz="0" w:space="0" w:color="auto"/>
        <w:right w:val="none" w:sz="0" w:space="0" w:color="auto"/>
      </w:divBdr>
    </w:div>
    <w:div w:id="48113810">
      <w:bodyDiv w:val="1"/>
      <w:marLeft w:val="0"/>
      <w:marRight w:val="0"/>
      <w:marTop w:val="0"/>
      <w:marBottom w:val="0"/>
      <w:divBdr>
        <w:top w:val="none" w:sz="0" w:space="0" w:color="auto"/>
        <w:left w:val="none" w:sz="0" w:space="0" w:color="auto"/>
        <w:bottom w:val="none" w:sz="0" w:space="0" w:color="auto"/>
        <w:right w:val="none" w:sz="0" w:space="0" w:color="auto"/>
      </w:divBdr>
    </w:div>
    <w:div w:id="78797736">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972225">
      <w:bodyDiv w:val="1"/>
      <w:marLeft w:val="0"/>
      <w:marRight w:val="0"/>
      <w:marTop w:val="0"/>
      <w:marBottom w:val="0"/>
      <w:divBdr>
        <w:top w:val="none" w:sz="0" w:space="0" w:color="auto"/>
        <w:left w:val="none" w:sz="0" w:space="0" w:color="auto"/>
        <w:bottom w:val="none" w:sz="0" w:space="0" w:color="auto"/>
        <w:right w:val="none" w:sz="0" w:space="0" w:color="auto"/>
      </w:divBdr>
    </w:div>
    <w:div w:id="106852591">
      <w:bodyDiv w:val="1"/>
      <w:marLeft w:val="0"/>
      <w:marRight w:val="0"/>
      <w:marTop w:val="0"/>
      <w:marBottom w:val="0"/>
      <w:divBdr>
        <w:top w:val="none" w:sz="0" w:space="0" w:color="auto"/>
        <w:left w:val="none" w:sz="0" w:space="0" w:color="auto"/>
        <w:bottom w:val="none" w:sz="0" w:space="0" w:color="auto"/>
        <w:right w:val="none" w:sz="0" w:space="0" w:color="auto"/>
      </w:divBdr>
    </w:div>
    <w:div w:id="143278137">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1843573">
      <w:bodyDiv w:val="1"/>
      <w:marLeft w:val="0"/>
      <w:marRight w:val="0"/>
      <w:marTop w:val="0"/>
      <w:marBottom w:val="0"/>
      <w:divBdr>
        <w:top w:val="none" w:sz="0" w:space="0" w:color="auto"/>
        <w:left w:val="none" w:sz="0" w:space="0" w:color="auto"/>
        <w:bottom w:val="none" w:sz="0" w:space="0" w:color="auto"/>
        <w:right w:val="none" w:sz="0" w:space="0" w:color="auto"/>
      </w:divBdr>
    </w:div>
    <w:div w:id="207227727">
      <w:bodyDiv w:val="1"/>
      <w:marLeft w:val="0"/>
      <w:marRight w:val="0"/>
      <w:marTop w:val="0"/>
      <w:marBottom w:val="0"/>
      <w:divBdr>
        <w:top w:val="none" w:sz="0" w:space="0" w:color="auto"/>
        <w:left w:val="none" w:sz="0" w:space="0" w:color="auto"/>
        <w:bottom w:val="none" w:sz="0" w:space="0" w:color="auto"/>
        <w:right w:val="none" w:sz="0" w:space="0" w:color="auto"/>
      </w:divBdr>
    </w:div>
    <w:div w:id="213665568">
      <w:bodyDiv w:val="1"/>
      <w:marLeft w:val="0"/>
      <w:marRight w:val="0"/>
      <w:marTop w:val="0"/>
      <w:marBottom w:val="0"/>
      <w:divBdr>
        <w:top w:val="none" w:sz="0" w:space="0" w:color="auto"/>
        <w:left w:val="none" w:sz="0" w:space="0" w:color="auto"/>
        <w:bottom w:val="none" w:sz="0" w:space="0" w:color="auto"/>
        <w:right w:val="none" w:sz="0" w:space="0" w:color="auto"/>
      </w:divBdr>
    </w:div>
    <w:div w:id="21701794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3053582">
      <w:bodyDiv w:val="1"/>
      <w:marLeft w:val="0"/>
      <w:marRight w:val="0"/>
      <w:marTop w:val="0"/>
      <w:marBottom w:val="0"/>
      <w:divBdr>
        <w:top w:val="none" w:sz="0" w:space="0" w:color="auto"/>
        <w:left w:val="none" w:sz="0" w:space="0" w:color="auto"/>
        <w:bottom w:val="none" w:sz="0" w:space="0" w:color="auto"/>
        <w:right w:val="none" w:sz="0" w:space="0" w:color="auto"/>
      </w:divBdr>
    </w:div>
    <w:div w:id="237981028">
      <w:bodyDiv w:val="1"/>
      <w:marLeft w:val="0"/>
      <w:marRight w:val="0"/>
      <w:marTop w:val="0"/>
      <w:marBottom w:val="0"/>
      <w:divBdr>
        <w:top w:val="none" w:sz="0" w:space="0" w:color="auto"/>
        <w:left w:val="none" w:sz="0" w:space="0" w:color="auto"/>
        <w:bottom w:val="none" w:sz="0" w:space="0" w:color="auto"/>
        <w:right w:val="none" w:sz="0" w:space="0" w:color="auto"/>
      </w:divBdr>
    </w:div>
    <w:div w:id="239025080">
      <w:bodyDiv w:val="1"/>
      <w:marLeft w:val="0"/>
      <w:marRight w:val="0"/>
      <w:marTop w:val="0"/>
      <w:marBottom w:val="0"/>
      <w:divBdr>
        <w:top w:val="none" w:sz="0" w:space="0" w:color="auto"/>
        <w:left w:val="none" w:sz="0" w:space="0" w:color="auto"/>
        <w:bottom w:val="none" w:sz="0" w:space="0" w:color="auto"/>
        <w:right w:val="none" w:sz="0" w:space="0" w:color="auto"/>
      </w:divBdr>
    </w:div>
    <w:div w:id="241648202">
      <w:bodyDiv w:val="1"/>
      <w:marLeft w:val="0"/>
      <w:marRight w:val="0"/>
      <w:marTop w:val="0"/>
      <w:marBottom w:val="0"/>
      <w:divBdr>
        <w:top w:val="none" w:sz="0" w:space="0" w:color="auto"/>
        <w:left w:val="none" w:sz="0" w:space="0" w:color="auto"/>
        <w:bottom w:val="none" w:sz="0" w:space="0" w:color="auto"/>
        <w:right w:val="none" w:sz="0" w:space="0" w:color="auto"/>
      </w:divBdr>
    </w:div>
    <w:div w:id="252863759">
      <w:bodyDiv w:val="1"/>
      <w:marLeft w:val="0"/>
      <w:marRight w:val="0"/>
      <w:marTop w:val="0"/>
      <w:marBottom w:val="0"/>
      <w:divBdr>
        <w:top w:val="none" w:sz="0" w:space="0" w:color="auto"/>
        <w:left w:val="none" w:sz="0" w:space="0" w:color="auto"/>
        <w:bottom w:val="none" w:sz="0" w:space="0" w:color="auto"/>
        <w:right w:val="none" w:sz="0" w:space="0" w:color="auto"/>
      </w:divBdr>
    </w:div>
    <w:div w:id="290673867">
      <w:bodyDiv w:val="1"/>
      <w:marLeft w:val="0"/>
      <w:marRight w:val="0"/>
      <w:marTop w:val="0"/>
      <w:marBottom w:val="0"/>
      <w:divBdr>
        <w:top w:val="none" w:sz="0" w:space="0" w:color="auto"/>
        <w:left w:val="none" w:sz="0" w:space="0" w:color="auto"/>
        <w:bottom w:val="none" w:sz="0" w:space="0" w:color="auto"/>
        <w:right w:val="none" w:sz="0" w:space="0" w:color="auto"/>
      </w:divBdr>
    </w:div>
    <w:div w:id="29742010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1426179">
      <w:bodyDiv w:val="1"/>
      <w:marLeft w:val="0"/>
      <w:marRight w:val="0"/>
      <w:marTop w:val="0"/>
      <w:marBottom w:val="0"/>
      <w:divBdr>
        <w:top w:val="none" w:sz="0" w:space="0" w:color="auto"/>
        <w:left w:val="none" w:sz="0" w:space="0" w:color="auto"/>
        <w:bottom w:val="none" w:sz="0" w:space="0" w:color="auto"/>
        <w:right w:val="none" w:sz="0" w:space="0" w:color="auto"/>
      </w:divBdr>
    </w:div>
    <w:div w:id="311255637">
      <w:bodyDiv w:val="1"/>
      <w:marLeft w:val="0"/>
      <w:marRight w:val="0"/>
      <w:marTop w:val="0"/>
      <w:marBottom w:val="0"/>
      <w:divBdr>
        <w:top w:val="none" w:sz="0" w:space="0" w:color="auto"/>
        <w:left w:val="none" w:sz="0" w:space="0" w:color="auto"/>
        <w:bottom w:val="none" w:sz="0" w:space="0" w:color="auto"/>
        <w:right w:val="none" w:sz="0" w:space="0" w:color="auto"/>
      </w:divBdr>
    </w:div>
    <w:div w:id="32501408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1057944">
      <w:bodyDiv w:val="1"/>
      <w:marLeft w:val="0"/>
      <w:marRight w:val="0"/>
      <w:marTop w:val="0"/>
      <w:marBottom w:val="0"/>
      <w:divBdr>
        <w:top w:val="none" w:sz="0" w:space="0" w:color="auto"/>
        <w:left w:val="none" w:sz="0" w:space="0" w:color="auto"/>
        <w:bottom w:val="none" w:sz="0" w:space="0" w:color="auto"/>
        <w:right w:val="none" w:sz="0" w:space="0" w:color="auto"/>
      </w:divBdr>
    </w:div>
    <w:div w:id="343243777">
      <w:bodyDiv w:val="1"/>
      <w:marLeft w:val="0"/>
      <w:marRight w:val="0"/>
      <w:marTop w:val="0"/>
      <w:marBottom w:val="0"/>
      <w:divBdr>
        <w:top w:val="none" w:sz="0" w:space="0" w:color="auto"/>
        <w:left w:val="none" w:sz="0" w:space="0" w:color="auto"/>
        <w:bottom w:val="none" w:sz="0" w:space="0" w:color="auto"/>
        <w:right w:val="none" w:sz="0" w:space="0" w:color="auto"/>
      </w:divBdr>
    </w:div>
    <w:div w:id="34344068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068224">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0737272">
      <w:bodyDiv w:val="1"/>
      <w:marLeft w:val="0"/>
      <w:marRight w:val="0"/>
      <w:marTop w:val="0"/>
      <w:marBottom w:val="0"/>
      <w:divBdr>
        <w:top w:val="none" w:sz="0" w:space="0" w:color="auto"/>
        <w:left w:val="none" w:sz="0" w:space="0" w:color="auto"/>
        <w:bottom w:val="none" w:sz="0" w:space="0" w:color="auto"/>
        <w:right w:val="none" w:sz="0" w:space="0" w:color="auto"/>
      </w:divBdr>
    </w:div>
    <w:div w:id="382027844">
      <w:bodyDiv w:val="1"/>
      <w:marLeft w:val="0"/>
      <w:marRight w:val="0"/>
      <w:marTop w:val="0"/>
      <w:marBottom w:val="0"/>
      <w:divBdr>
        <w:top w:val="none" w:sz="0" w:space="0" w:color="auto"/>
        <w:left w:val="none" w:sz="0" w:space="0" w:color="auto"/>
        <w:bottom w:val="none" w:sz="0" w:space="0" w:color="auto"/>
        <w:right w:val="none" w:sz="0" w:space="0" w:color="auto"/>
      </w:divBdr>
    </w:div>
    <w:div w:id="390882456">
      <w:bodyDiv w:val="1"/>
      <w:marLeft w:val="0"/>
      <w:marRight w:val="0"/>
      <w:marTop w:val="0"/>
      <w:marBottom w:val="0"/>
      <w:divBdr>
        <w:top w:val="none" w:sz="0" w:space="0" w:color="auto"/>
        <w:left w:val="none" w:sz="0" w:space="0" w:color="auto"/>
        <w:bottom w:val="none" w:sz="0" w:space="0" w:color="auto"/>
        <w:right w:val="none" w:sz="0" w:space="0" w:color="auto"/>
      </w:divBdr>
    </w:div>
    <w:div w:id="394358723">
      <w:bodyDiv w:val="1"/>
      <w:marLeft w:val="0"/>
      <w:marRight w:val="0"/>
      <w:marTop w:val="0"/>
      <w:marBottom w:val="0"/>
      <w:divBdr>
        <w:top w:val="none" w:sz="0" w:space="0" w:color="auto"/>
        <w:left w:val="none" w:sz="0" w:space="0" w:color="auto"/>
        <w:bottom w:val="none" w:sz="0" w:space="0" w:color="auto"/>
        <w:right w:val="none" w:sz="0" w:space="0" w:color="auto"/>
      </w:divBdr>
    </w:div>
    <w:div w:id="396251118">
      <w:bodyDiv w:val="1"/>
      <w:marLeft w:val="0"/>
      <w:marRight w:val="0"/>
      <w:marTop w:val="0"/>
      <w:marBottom w:val="0"/>
      <w:divBdr>
        <w:top w:val="none" w:sz="0" w:space="0" w:color="auto"/>
        <w:left w:val="none" w:sz="0" w:space="0" w:color="auto"/>
        <w:bottom w:val="none" w:sz="0" w:space="0" w:color="auto"/>
        <w:right w:val="none" w:sz="0" w:space="0" w:color="auto"/>
      </w:divBdr>
    </w:div>
    <w:div w:id="428895462">
      <w:bodyDiv w:val="1"/>
      <w:marLeft w:val="0"/>
      <w:marRight w:val="0"/>
      <w:marTop w:val="0"/>
      <w:marBottom w:val="0"/>
      <w:divBdr>
        <w:top w:val="none" w:sz="0" w:space="0" w:color="auto"/>
        <w:left w:val="none" w:sz="0" w:space="0" w:color="auto"/>
        <w:bottom w:val="none" w:sz="0" w:space="0" w:color="auto"/>
        <w:right w:val="none" w:sz="0" w:space="0" w:color="auto"/>
      </w:divBdr>
    </w:div>
    <w:div w:id="446698882">
      <w:bodyDiv w:val="1"/>
      <w:marLeft w:val="0"/>
      <w:marRight w:val="0"/>
      <w:marTop w:val="0"/>
      <w:marBottom w:val="0"/>
      <w:divBdr>
        <w:top w:val="none" w:sz="0" w:space="0" w:color="auto"/>
        <w:left w:val="none" w:sz="0" w:space="0" w:color="auto"/>
        <w:bottom w:val="none" w:sz="0" w:space="0" w:color="auto"/>
        <w:right w:val="none" w:sz="0" w:space="0" w:color="auto"/>
      </w:divBdr>
    </w:div>
    <w:div w:id="44770116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5102728">
      <w:bodyDiv w:val="1"/>
      <w:marLeft w:val="0"/>
      <w:marRight w:val="0"/>
      <w:marTop w:val="0"/>
      <w:marBottom w:val="0"/>
      <w:divBdr>
        <w:top w:val="none" w:sz="0" w:space="0" w:color="auto"/>
        <w:left w:val="none" w:sz="0" w:space="0" w:color="auto"/>
        <w:bottom w:val="none" w:sz="0" w:space="0" w:color="auto"/>
        <w:right w:val="none" w:sz="0" w:space="0" w:color="auto"/>
      </w:divBdr>
    </w:div>
    <w:div w:id="49129045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8721086">
      <w:bodyDiv w:val="1"/>
      <w:marLeft w:val="0"/>
      <w:marRight w:val="0"/>
      <w:marTop w:val="0"/>
      <w:marBottom w:val="0"/>
      <w:divBdr>
        <w:top w:val="none" w:sz="0" w:space="0" w:color="auto"/>
        <w:left w:val="none" w:sz="0" w:space="0" w:color="auto"/>
        <w:bottom w:val="none" w:sz="0" w:space="0" w:color="auto"/>
        <w:right w:val="none" w:sz="0" w:space="0" w:color="auto"/>
      </w:divBdr>
    </w:div>
    <w:div w:id="534193809">
      <w:bodyDiv w:val="1"/>
      <w:marLeft w:val="0"/>
      <w:marRight w:val="0"/>
      <w:marTop w:val="0"/>
      <w:marBottom w:val="0"/>
      <w:divBdr>
        <w:top w:val="none" w:sz="0" w:space="0" w:color="auto"/>
        <w:left w:val="none" w:sz="0" w:space="0" w:color="auto"/>
        <w:bottom w:val="none" w:sz="0" w:space="0" w:color="auto"/>
        <w:right w:val="none" w:sz="0" w:space="0" w:color="auto"/>
      </w:divBdr>
    </w:div>
    <w:div w:id="566108423">
      <w:bodyDiv w:val="1"/>
      <w:marLeft w:val="0"/>
      <w:marRight w:val="0"/>
      <w:marTop w:val="0"/>
      <w:marBottom w:val="0"/>
      <w:divBdr>
        <w:top w:val="none" w:sz="0" w:space="0" w:color="auto"/>
        <w:left w:val="none" w:sz="0" w:space="0" w:color="auto"/>
        <w:bottom w:val="none" w:sz="0" w:space="0" w:color="auto"/>
        <w:right w:val="none" w:sz="0" w:space="0" w:color="auto"/>
      </w:divBdr>
    </w:div>
    <w:div w:id="574586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8124001">
      <w:bodyDiv w:val="1"/>
      <w:marLeft w:val="0"/>
      <w:marRight w:val="0"/>
      <w:marTop w:val="0"/>
      <w:marBottom w:val="0"/>
      <w:divBdr>
        <w:top w:val="none" w:sz="0" w:space="0" w:color="auto"/>
        <w:left w:val="none" w:sz="0" w:space="0" w:color="auto"/>
        <w:bottom w:val="none" w:sz="0" w:space="0" w:color="auto"/>
        <w:right w:val="none" w:sz="0" w:space="0" w:color="auto"/>
      </w:divBdr>
    </w:div>
    <w:div w:id="617493845">
      <w:bodyDiv w:val="1"/>
      <w:marLeft w:val="0"/>
      <w:marRight w:val="0"/>
      <w:marTop w:val="0"/>
      <w:marBottom w:val="0"/>
      <w:divBdr>
        <w:top w:val="none" w:sz="0" w:space="0" w:color="auto"/>
        <w:left w:val="none" w:sz="0" w:space="0" w:color="auto"/>
        <w:bottom w:val="none" w:sz="0" w:space="0" w:color="auto"/>
        <w:right w:val="none" w:sz="0" w:space="0" w:color="auto"/>
      </w:divBdr>
    </w:div>
    <w:div w:id="618336174">
      <w:bodyDiv w:val="1"/>
      <w:marLeft w:val="0"/>
      <w:marRight w:val="0"/>
      <w:marTop w:val="0"/>
      <w:marBottom w:val="0"/>
      <w:divBdr>
        <w:top w:val="none" w:sz="0" w:space="0" w:color="auto"/>
        <w:left w:val="none" w:sz="0" w:space="0" w:color="auto"/>
        <w:bottom w:val="none" w:sz="0" w:space="0" w:color="auto"/>
        <w:right w:val="none" w:sz="0" w:space="0" w:color="auto"/>
      </w:divBdr>
    </w:div>
    <w:div w:id="632951924">
      <w:bodyDiv w:val="1"/>
      <w:marLeft w:val="0"/>
      <w:marRight w:val="0"/>
      <w:marTop w:val="0"/>
      <w:marBottom w:val="0"/>
      <w:divBdr>
        <w:top w:val="none" w:sz="0" w:space="0" w:color="auto"/>
        <w:left w:val="none" w:sz="0" w:space="0" w:color="auto"/>
        <w:bottom w:val="none" w:sz="0" w:space="0" w:color="auto"/>
        <w:right w:val="none" w:sz="0" w:space="0" w:color="auto"/>
      </w:divBdr>
    </w:div>
    <w:div w:id="644940959">
      <w:bodyDiv w:val="1"/>
      <w:marLeft w:val="0"/>
      <w:marRight w:val="0"/>
      <w:marTop w:val="0"/>
      <w:marBottom w:val="0"/>
      <w:divBdr>
        <w:top w:val="none" w:sz="0" w:space="0" w:color="auto"/>
        <w:left w:val="none" w:sz="0" w:space="0" w:color="auto"/>
        <w:bottom w:val="none" w:sz="0" w:space="0" w:color="auto"/>
        <w:right w:val="none" w:sz="0" w:space="0" w:color="auto"/>
      </w:divBdr>
    </w:div>
    <w:div w:id="648747730">
      <w:bodyDiv w:val="1"/>
      <w:marLeft w:val="0"/>
      <w:marRight w:val="0"/>
      <w:marTop w:val="0"/>
      <w:marBottom w:val="0"/>
      <w:divBdr>
        <w:top w:val="none" w:sz="0" w:space="0" w:color="auto"/>
        <w:left w:val="none" w:sz="0" w:space="0" w:color="auto"/>
        <w:bottom w:val="none" w:sz="0" w:space="0" w:color="auto"/>
        <w:right w:val="none" w:sz="0" w:space="0" w:color="auto"/>
      </w:divBdr>
    </w:div>
    <w:div w:id="678387635">
      <w:bodyDiv w:val="1"/>
      <w:marLeft w:val="0"/>
      <w:marRight w:val="0"/>
      <w:marTop w:val="0"/>
      <w:marBottom w:val="0"/>
      <w:divBdr>
        <w:top w:val="none" w:sz="0" w:space="0" w:color="auto"/>
        <w:left w:val="none" w:sz="0" w:space="0" w:color="auto"/>
        <w:bottom w:val="none" w:sz="0" w:space="0" w:color="auto"/>
        <w:right w:val="none" w:sz="0" w:space="0" w:color="auto"/>
      </w:divBdr>
    </w:div>
    <w:div w:id="703362902">
      <w:bodyDiv w:val="1"/>
      <w:marLeft w:val="0"/>
      <w:marRight w:val="0"/>
      <w:marTop w:val="0"/>
      <w:marBottom w:val="0"/>
      <w:divBdr>
        <w:top w:val="none" w:sz="0" w:space="0" w:color="auto"/>
        <w:left w:val="none" w:sz="0" w:space="0" w:color="auto"/>
        <w:bottom w:val="none" w:sz="0" w:space="0" w:color="auto"/>
        <w:right w:val="none" w:sz="0" w:space="0" w:color="auto"/>
      </w:divBdr>
    </w:div>
    <w:div w:id="723219266">
      <w:bodyDiv w:val="1"/>
      <w:marLeft w:val="0"/>
      <w:marRight w:val="0"/>
      <w:marTop w:val="0"/>
      <w:marBottom w:val="0"/>
      <w:divBdr>
        <w:top w:val="none" w:sz="0" w:space="0" w:color="auto"/>
        <w:left w:val="none" w:sz="0" w:space="0" w:color="auto"/>
        <w:bottom w:val="none" w:sz="0" w:space="0" w:color="auto"/>
        <w:right w:val="none" w:sz="0" w:space="0" w:color="auto"/>
      </w:divBdr>
    </w:div>
    <w:div w:id="724182765">
      <w:bodyDiv w:val="1"/>
      <w:marLeft w:val="0"/>
      <w:marRight w:val="0"/>
      <w:marTop w:val="0"/>
      <w:marBottom w:val="0"/>
      <w:divBdr>
        <w:top w:val="none" w:sz="0" w:space="0" w:color="auto"/>
        <w:left w:val="none" w:sz="0" w:space="0" w:color="auto"/>
        <w:bottom w:val="none" w:sz="0" w:space="0" w:color="auto"/>
        <w:right w:val="none" w:sz="0" w:space="0" w:color="auto"/>
      </w:divBdr>
    </w:div>
    <w:div w:id="730663296">
      <w:bodyDiv w:val="1"/>
      <w:marLeft w:val="0"/>
      <w:marRight w:val="0"/>
      <w:marTop w:val="0"/>
      <w:marBottom w:val="0"/>
      <w:divBdr>
        <w:top w:val="none" w:sz="0" w:space="0" w:color="auto"/>
        <w:left w:val="none" w:sz="0" w:space="0" w:color="auto"/>
        <w:bottom w:val="none" w:sz="0" w:space="0" w:color="auto"/>
        <w:right w:val="none" w:sz="0" w:space="0" w:color="auto"/>
      </w:divBdr>
    </w:div>
    <w:div w:id="745349109">
      <w:bodyDiv w:val="1"/>
      <w:marLeft w:val="0"/>
      <w:marRight w:val="0"/>
      <w:marTop w:val="0"/>
      <w:marBottom w:val="0"/>
      <w:divBdr>
        <w:top w:val="none" w:sz="0" w:space="0" w:color="auto"/>
        <w:left w:val="none" w:sz="0" w:space="0" w:color="auto"/>
        <w:bottom w:val="none" w:sz="0" w:space="0" w:color="auto"/>
        <w:right w:val="none" w:sz="0" w:space="0" w:color="auto"/>
      </w:divBdr>
    </w:div>
    <w:div w:id="772212723">
      <w:bodyDiv w:val="1"/>
      <w:marLeft w:val="0"/>
      <w:marRight w:val="0"/>
      <w:marTop w:val="0"/>
      <w:marBottom w:val="0"/>
      <w:divBdr>
        <w:top w:val="none" w:sz="0" w:space="0" w:color="auto"/>
        <w:left w:val="none" w:sz="0" w:space="0" w:color="auto"/>
        <w:bottom w:val="none" w:sz="0" w:space="0" w:color="auto"/>
        <w:right w:val="none" w:sz="0" w:space="0" w:color="auto"/>
      </w:divBdr>
    </w:div>
    <w:div w:id="774053512">
      <w:bodyDiv w:val="1"/>
      <w:marLeft w:val="0"/>
      <w:marRight w:val="0"/>
      <w:marTop w:val="0"/>
      <w:marBottom w:val="0"/>
      <w:divBdr>
        <w:top w:val="none" w:sz="0" w:space="0" w:color="auto"/>
        <w:left w:val="none" w:sz="0" w:space="0" w:color="auto"/>
        <w:bottom w:val="none" w:sz="0" w:space="0" w:color="auto"/>
        <w:right w:val="none" w:sz="0" w:space="0" w:color="auto"/>
      </w:divBdr>
    </w:div>
    <w:div w:id="777217173">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
    <w:div w:id="791821132">
      <w:bodyDiv w:val="1"/>
      <w:marLeft w:val="0"/>
      <w:marRight w:val="0"/>
      <w:marTop w:val="0"/>
      <w:marBottom w:val="0"/>
      <w:divBdr>
        <w:top w:val="none" w:sz="0" w:space="0" w:color="auto"/>
        <w:left w:val="none" w:sz="0" w:space="0" w:color="auto"/>
        <w:bottom w:val="none" w:sz="0" w:space="0" w:color="auto"/>
        <w:right w:val="none" w:sz="0" w:space="0" w:color="auto"/>
      </w:divBdr>
    </w:div>
    <w:div w:id="797917482">
      <w:bodyDiv w:val="1"/>
      <w:marLeft w:val="0"/>
      <w:marRight w:val="0"/>
      <w:marTop w:val="0"/>
      <w:marBottom w:val="0"/>
      <w:divBdr>
        <w:top w:val="none" w:sz="0" w:space="0" w:color="auto"/>
        <w:left w:val="none" w:sz="0" w:space="0" w:color="auto"/>
        <w:bottom w:val="none" w:sz="0" w:space="0" w:color="auto"/>
        <w:right w:val="none" w:sz="0" w:space="0" w:color="auto"/>
      </w:divBdr>
    </w:div>
    <w:div w:id="824853926">
      <w:bodyDiv w:val="1"/>
      <w:marLeft w:val="0"/>
      <w:marRight w:val="0"/>
      <w:marTop w:val="0"/>
      <w:marBottom w:val="0"/>
      <w:divBdr>
        <w:top w:val="none" w:sz="0" w:space="0" w:color="auto"/>
        <w:left w:val="none" w:sz="0" w:space="0" w:color="auto"/>
        <w:bottom w:val="none" w:sz="0" w:space="0" w:color="auto"/>
        <w:right w:val="none" w:sz="0" w:space="0" w:color="auto"/>
      </w:divBdr>
    </w:div>
    <w:div w:id="829053857">
      <w:bodyDiv w:val="1"/>
      <w:marLeft w:val="0"/>
      <w:marRight w:val="0"/>
      <w:marTop w:val="0"/>
      <w:marBottom w:val="0"/>
      <w:divBdr>
        <w:top w:val="none" w:sz="0" w:space="0" w:color="auto"/>
        <w:left w:val="none" w:sz="0" w:space="0" w:color="auto"/>
        <w:bottom w:val="none" w:sz="0" w:space="0" w:color="auto"/>
        <w:right w:val="none" w:sz="0" w:space="0" w:color="auto"/>
      </w:divBdr>
    </w:div>
    <w:div w:id="832257572">
      <w:bodyDiv w:val="1"/>
      <w:marLeft w:val="0"/>
      <w:marRight w:val="0"/>
      <w:marTop w:val="0"/>
      <w:marBottom w:val="0"/>
      <w:divBdr>
        <w:top w:val="none" w:sz="0" w:space="0" w:color="auto"/>
        <w:left w:val="none" w:sz="0" w:space="0" w:color="auto"/>
        <w:bottom w:val="none" w:sz="0" w:space="0" w:color="auto"/>
        <w:right w:val="none" w:sz="0" w:space="0" w:color="auto"/>
      </w:divBdr>
    </w:div>
    <w:div w:id="836267157">
      <w:bodyDiv w:val="1"/>
      <w:marLeft w:val="0"/>
      <w:marRight w:val="0"/>
      <w:marTop w:val="0"/>
      <w:marBottom w:val="0"/>
      <w:divBdr>
        <w:top w:val="none" w:sz="0" w:space="0" w:color="auto"/>
        <w:left w:val="none" w:sz="0" w:space="0" w:color="auto"/>
        <w:bottom w:val="none" w:sz="0" w:space="0" w:color="auto"/>
        <w:right w:val="none" w:sz="0" w:space="0" w:color="auto"/>
      </w:divBdr>
    </w:div>
    <w:div w:id="84096956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75580475">
      <w:bodyDiv w:val="1"/>
      <w:marLeft w:val="0"/>
      <w:marRight w:val="0"/>
      <w:marTop w:val="0"/>
      <w:marBottom w:val="0"/>
      <w:divBdr>
        <w:top w:val="none" w:sz="0" w:space="0" w:color="auto"/>
        <w:left w:val="none" w:sz="0" w:space="0" w:color="auto"/>
        <w:bottom w:val="none" w:sz="0" w:space="0" w:color="auto"/>
        <w:right w:val="none" w:sz="0" w:space="0" w:color="auto"/>
      </w:divBdr>
    </w:div>
    <w:div w:id="880705363">
      <w:bodyDiv w:val="1"/>
      <w:marLeft w:val="0"/>
      <w:marRight w:val="0"/>
      <w:marTop w:val="0"/>
      <w:marBottom w:val="0"/>
      <w:divBdr>
        <w:top w:val="none" w:sz="0" w:space="0" w:color="auto"/>
        <w:left w:val="none" w:sz="0" w:space="0" w:color="auto"/>
        <w:bottom w:val="none" w:sz="0" w:space="0" w:color="auto"/>
        <w:right w:val="none" w:sz="0" w:space="0" w:color="auto"/>
      </w:divBdr>
    </w:div>
    <w:div w:id="887690765">
      <w:bodyDiv w:val="1"/>
      <w:marLeft w:val="0"/>
      <w:marRight w:val="0"/>
      <w:marTop w:val="0"/>
      <w:marBottom w:val="0"/>
      <w:divBdr>
        <w:top w:val="none" w:sz="0" w:space="0" w:color="auto"/>
        <w:left w:val="none" w:sz="0" w:space="0" w:color="auto"/>
        <w:bottom w:val="none" w:sz="0" w:space="0" w:color="auto"/>
        <w:right w:val="none" w:sz="0" w:space="0" w:color="auto"/>
      </w:divBdr>
    </w:div>
    <w:div w:id="899824175">
      <w:bodyDiv w:val="1"/>
      <w:marLeft w:val="0"/>
      <w:marRight w:val="0"/>
      <w:marTop w:val="0"/>
      <w:marBottom w:val="0"/>
      <w:divBdr>
        <w:top w:val="none" w:sz="0" w:space="0" w:color="auto"/>
        <w:left w:val="none" w:sz="0" w:space="0" w:color="auto"/>
        <w:bottom w:val="none" w:sz="0" w:space="0" w:color="auto"/>
        <w:right w:val="none" w:sz="0" w:space="0" w:color="auto"/>
      </w:divBdr>
    </w:div>
    <w:div w:id="90954001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292888">
      <w:bodyDiv w:val="1"/>
      <w:marLeft w:val="0"/>
      <w:marRight w:val="0"/>
      <w:marTop w:val="0"/>
      <w:marBottom w:val="0"/>
      <w:divBdr>
        <w:top w:val="none" w:sz="0" w:space="0" w:color="auto"/>
        <w:left w:val="none" w:sz="0" w:space="0" w:color="auto"/>
        <w:bottom w:val="none" w:sz="0" w:space="0" w:color="auto"/>
        <w:right w:val="none" w:sz="0" w:space="0" w:color="auto"/>
      </w:divBdr>
    </w:div>
    <w:div w:id="919364728">
      <w:bodyDiv w:val="1"/>
      <w:marLeft w:val="0"/>
      <w:marRight w:val="0"/>
      <w:marTop w:val="0"/>
      <w:marBottom w:val="0"/>
      <w:divBdr>
        <w:top w:val="none" w:sz="0" w:space="0" w:color="auto"/>
        <w:left w:val="none" w:sz="0" w:space="0" w:color="auto"/>
        <w:bottom w:val="none" w:sz="0" w:space="0" w:color="auto"/>
        <w:right w:val="none" w:sz="0" w:space="0" w:color="auto"/>
      </w:divBdr>
    </w:div>
    <w:div w:id="925845560">
      <w:bodyDiv w:val="1"/>
      <w:marLeft w:val="0"/>
      <w:marRight w:val="0"/>
      <w:marTop w:val="0"/>
      <w:marBottom w:val="0"/>
      <w:divBdr>
        <w:top w:val="none" w:sz="0" w:space="0" w:color="auto"/>
        <w:left w:val="none" w:sz="0" w:space="0" w:color="auto"/>
        <w:bottom w:val="none" w:sz="0" w:space="0" w:color="auto"/>
        <w:right w:val="none" w:sz="0" w:space="0" w:color="auto"/>
      </w:divBdr>
    </w:div>
    <w:div w:id="936786190">
      <w:bodyDiv w:val="1"/>
      <w:marLeft w:val="0"/>
      <w:marRight w:val="0"/>
      <w:marTop w:val="0"/>
      <w:marBottom w:val="0"/>
      <w:divBdr>
        <w:top w:val="none" w:sz="0" w:space="0" w:color="auto"/>
        <w:left w:val="none" w:sz="0" w:space="0" w:color="auto"/>
        <w:bottom w:val="none" w:sz="0" w:space="0" w:color="auto"/>
        <w:right w:val="none" w:sz="0" w:space="0" w:color="auto"/>
      </w:divBdr>
    </w:div>
    <w:div w:id="963345780">
      <w:bodyDiv w:val="1"/>
      <w:marLeft w:val="0"/>
      <w:marRight w:val="0"/>
      <w:marTop w:val="0"/>
      <w:marBottom w:val="0"/>
      <w:divBdr>
        <w:top w:val="none" w:sz="0" w:space="0" w:color="auto"/>
        <w:left w:val="none" w:sz="0" w:space="0" w:color="auto"/>
        <w:bottom w:val="none" w:sz="0" w:space="0" w:color="auto"/>
        <w:right w:val="none" w:sz="0" w:space="0" w:color="auto"/>
      </w:divBdr>
    </w:div>
    <w:div w:id="9774883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4698093">
      <w:bodyDiv w:val="1"/>
      <w:marLeft w:val="0"/>
      <w:marRight w:val="0"/>
      <w:marTop w:val="0"/>
      <w:marBottom w:val="0"/>
      <w:divBdr>
        <w:top w:val="none" w:sz="0" w:space="0" w:color="auto"/>
        <w:left w:val="none" w:sz="0" w:space="0" w:color="auto"/>
        <w:bottom w:val="none" w:sz="0" w:space="0" w:color="auto"/>
        <w:right w:val="none" w:sz="0" w:space="0" w:color="auto"/>
      </w:divBdr>
    </w:div>
    <w:div w:id="984898352">
      <w:bodyDiv w:val="1"/>
      <w:marLeft w:val="0"/>
      <w:marRight w:val="0"/>
      <w:marTop w:val="0"/>
      <w:marBottom w:val="0"/>
      <w:divBdr>
        <w:top w:val="none" w:sz="0" w:space="0" w:color="auto"/>
        <w:left w:val="none" w:sz="0" w:space="0" w:color="auto"/>
        <w:bottom w:val="none" w:sz="0" w:space="0" w:color="auto"/>
        <w:right w:val="none" w:sz="0" w:space="0" w:color="auto"/>
      </w:divBdr>
    </w:div>
    <w:div w:id="990451712">
      <w:bodyDiv w:val="1"/>
      <w:marLeft w:val="0"/>
      <w:marRight w:val="0"/>
      <w:marTop w:val="0"/>
      <w:marBottom w:val="0"/>
      <w:divBdr>
        <w:top w:val="none" w:sz="0" w:space="0" w:color="auto"/>
        <w:left w:val="none" w:sz="0" w:space="0" w:color="auto"/>
        <w:bottom w:val="none" w:sz="0" w:space="0" w:color="auto"/>
        <w:right w:val="none" w:sz="0" w:space="0" w:color="auto"/>
      </w:divBdr>
    </w:div>
    <w:div w:id="99222140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7776255">
      <w:bodyDiv w:val="1"/>
      <w:marLeft w:val="0"/>
      <w:marRight w:val="0"/>
      <w:marTop w:val="0"/>
      <w:marBottom w:val="0"/>
      <w:divBdr>
        <w:top w:val="none" w:sz="0" w:space="0" w:color="auto"/>
        <w:left w:val="none" w:sz="0" w:space="0" w:color="auto"/>
        <w:bottom w:val="none" w:sz="0" w:space="0" w:color="auto"/>
        <w:right w:val="none" w:sz="0" w:space="0" w:color="auto"/>
      </w:divBdr>
    </w:div>
    <w:div w:id="104413900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190243">
      <w:bodyDiv w:val="1"/>
      <w:marLeft w:val="0"/>
      <w:marRight w:val="0"/>
      <w:marTop w:val="0"/>
      <w:marBottom w:val="0"/>
      <w:divBdr>
        <w:top w:val="none" w:sz="0" w:space="0" w:color="auto"/>
        <w:left w:val="none" w:sz="0" w:space="0" w:color="auto"/>
        <w:bottom w:val="none" w:sz="0" w:space="0" w:color="auto"/>
        <w:right w:val="none" w:sz="0" w:space="0" w:color="auto"/>
      </w:divBdr>
    </w:div>
    <w:div w:id="1056123638">
      <w:bodyDiv w:val="1"/>
      <w:marLeft w:val="0"/>
      <w:marRight w:val="0"/>
      <w:marTop w:val="0"/>
      <w:marBottom w:val="0"/>
      <w:divBdr>
        <w:top w:val="none" w:sz="0" w:space="0" w:color="auto"/>
        <w:left w:val="none" w:sz="0" w:space="0" w:color="auto"/>
        <w:bottom w:val="none" w:sz="0" w:space="0" w:color="auto"/>
        <w:right w:val="none" w:sz="0" w:space="0" w:color="auto"/>
      </w:divBdr>
    </w:div>
    <w:div w:id="1062365761">
      <w:bodyDiv w:val="1"/>
      <w:marLeft w:val="0"/>
      <w:marRight w:val="0"/>
      <w:marTop w:val="0"/>
      <w:marBottom w:val="0"/>
      <w:divBdr>
        <w:top w:val="none" w:sz="0" w:space="0" w:color="auto"/>
        <w:left w:val="none" w:sz="0" w:space="0" w:color="auto"/>
        <w:bottom w:val="none" w:sz="0" w:space="0" w:color="auto"/>
        <w:right w:val="none" w:sz="0" w:space="0" w:color="auto"/>
      </w:divBdr>
    </w:div>
    <w:div w:id="107408634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3361244">
      <w:bodyDiv w:val="1"/>
      <w:marLeft w:val="0"/>
      <w:marRight w:val="0"/>
      <w:marTop w:val="0"/>
      <w:marBottom w:val="0"/>
      <w:divBdr>
        <w:top w:val="none" w:sz="0" w:space="0" w:color="auto"/>
        <w:left w:val="none" w:sz="0" w:space="0" w:color="auto"/>
        <w:bottom w:val="none" w:sz="0" w:space="0" w:color="auto"/>
        <w:right w:val="none" w:sz="0" w:space="0" w:color="auto"/>
      </w:divBdr>
    </w:div>
    <w:div w:id="1100447612">
      <w:bodyDiv w:val="1"/>
      <w:marLeft w:val="0"/>
      <w:marRight w:val="0"/>
      <w:marTop w:val="0"/>
      <w:marBottom w:val="0"/>
      <w:divBdr>
        <w:top w:val="none" w:sz="0" w:space="0" w:color="auto"/>
        <w:left w:val="none" w:sz="0" w:space="0" w:color="auto"/>
        <w:bottom w:val="none" w:sz="0" w:space="0" w:color="auto"/>
        <w:right w:val="none" w:sz="0" w:space="0" w:color="auto"/>
      </w:divBdr>
    </w:div>
    <w:div w:id="110318517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432118">
      <w:bodyDiv w:val="1"/>
      <w:marLeft w:val="0"/>
      <w:marRight w:val="0"/>
      <w:marTop w:val="0"/>
      <w:marBottom w:val="0"/>
      <w:divBdr>
        <w:top w:val="none" w:sz="0" w:space="0" w:color="auto"/>
        <w:left w:val="none" w:sz="0" w:space="0" w:color="auto"/>
        <w:bottom w:val="none" w:sz="0" w:space="0" w:color="auto"/>
        <w:right w:val="none" w:sz="0" w:space="0" w:color="auto"/>
      </w:divBdr>
    </w:div>
    <w:div w:id="1110780823">
      <w:bodyDiv w:val="1"/>
      <w:marLeft w:val="0"/>
      <w:marRight w:val="0"/>
      <w:marTop w:val="0"/>
      <w:marBottom w:val="0"/>
      <w:divBdr>
        <w:top w:val="none" w:sz="0" w:space="0" w:color="auto"/>
        <w:left w:val="none" w:sz="0" w:space="0" w:color="auto"/>
        <w:bottom w:val="none" w:sz="0" w:space="0" w:color="auto"/>
        <w:right w:val="none" w:sz="0" w:space="0" w:color="auto"/>
      </w:divBdr>
    </w:div>
    <w:div w:id="1164323700">
      <w:bodyDiv w:val="1"/>
      <w:marLeft w:val="0"/>
      <w:marRight w:val="0"/>
      <w:marTop w:val="0"/>
      <w:marBottom w:val="0"/>
      <w:divBdr>
        <w:top w:val="none" w:sz="0" w:space="0" w:color="auto"/>
        <w:left w:val="none" w:sz="0" w:space="0" w:color="auto"/>
        <w:bottom w:val="none" w:sz="0" w:space="0" w:color="auto"/>
        <w:right w:val="none" w:sz="0" w:space="0" w:color="auto"/>
      </w:divBdr>
    </w:div>
    <w:div w:id="1181579606">
      <w:bodyDiv w:val="1"/>
      <w:marLeft w:val="0"/>
      <w:marRight w:val="0"/>
      <w:marTop w:val="0"/>
      <w:marBottom w:val="0"/>
      <w:divBdr>
        <w:top w:val="none" w:sz="0" w:space="0" w:color="auto"/>
        <w:left w:val="none" w:sz="0" w:space="0" w:color="auto"/>
        <w:bottom w:val="none" w:sz="0" w:space="0" w:color="auto"/>
        <w:right w:val="none" w:sz="0" w:space="0" w:color="auto"/>
      </w:divBdr>
    </w:div>
    <w:div w:id="1185705930">
      <w:bodyDiv w:val="1"/>
      <w:marLeft w:val="0"/>
      <w:marRight w:val="0"/>
      <w:marTop w:val="0"/>
      <w:marBottom w:val="0"/>
      <w:divBdr>
        <w:top w:val="none" w:sz="0" w:space="0" w:color="auto"/>
        <w:left w:val="none" w:sz="0" w:space="0" w:color="auto"/>
        <w:bottom w:val="none" w:sz="0" w:space="0" w:color="auto"/>
        <w:right w:val="none" w:sz="0" w:space="0" w:color="auto"/>
      </w:divBdr>
    </w:div>
    <w:div w:id="1199506917">
      <w:bodyDiv w:val="1"/>
      <w:marLeft w:val="0"/>
      <w:marRight w:val="0"/>
      <w:marTop w:val="0"/>
      <w:marBottom w:val="0"/>
      <w:divBdr>
        <w:top w:val="none" w:sz="0" w:space="0" w:color="auto"/>
        <w:left w:val="none" w:sz="0" w:space="0" w:color="auto"/>
        <w:bottom w:val="none" w:sz="0" w:space="0" w:color="auto"/>
        <w:right w:val="none" w:sz="0" w:space="0" w:color="auto"/>
      </w:divBdr>
    </w:div>
    <w:div w:id="1210799703">
      <w:bodyDiv w:val="1"/>
      <w:marLeft w:val="0"/>
      <w:marRight w:val="0"/>
      <w:marTop w:val="0"/>
      <w:marBottom w:val="0"/>
      <w:divBdr>
        <w:top w:val="none" w:sz="0" w:space="0" w:color="auto"/>
        <w:left w:val="none" w:sz="0" w:space="0" w:color="auto"/>
        <w:bottom w:val="none" w:sz="0" w:space="0" w:color="auto"/>
        <w:right w:val="none" w:sz="0" w:space="0" w:color="auto"/>
      </w:divBdr>
    </w:div>
    <w:div w:id="121982443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57736">
      <w:bodyDiv w:val="1"/>
      <w:marLeft w:val="0"/>
      <w:marRight w:val="0"/>
      <w:marTop w:val="0"/>
      <w:marBottom w:val="0"/>
      <w:divBdr>
        <w:top w:val="none" w:sz="0" w:space="0" w:color="auto"/>
        <w:left w:val="none" w:sz="0" w:space="0" w:color="auto"/>
        <w:bottom w:val="none" w:sz="0" w:space="0" w:color="auto"/>
        <w:right w:val="none" w:sz="0" w:space="0" w:color="auto"/>
      </w:divBdr>
    </w:div>
    <w:div w:id="127212370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131160">
      <w:bodyDiv w:val="1"/>
      <w:marLeft w:val="0"/>
      <w:marRight w:val="0"/>
      <w:marTop w:val="0"/>
      <w:marBottom w:val="0"/>
      <w:divBdr>
        <w:top w:val="none" w:sz="0" w:space="0" w:color="auto"/>
        <w:left w:val="none" w:sz="0" w:space="0" w:color="auto"/>
        <w:bottom w:val="none" w:sz="0" w:space="0" w:color="auto"/>
        <w:right w:val="none" w:sz="0" w:space="0" w:color="auto"/>
      </w:divBdr>
    </w:div>
    <w:div w:id="1296910193">
      <w:bodyDiv w:val="1"/>
      <w:marLeft w:val="0"/>
      <w:marRight w:val="0"/>
      <w:marTop w:val="0"/>
      <w:marBottom w:val="0"/>
      <w:divBdr>
        <w:top w:val="none" w:sz="0" w:space="0" w:color="auto"/>
        <w:left w:val="none" w:sz="0" w:space="0" w:color="auto"/>
        <w:bottom w:val="none" w:sz="0" w:space="0" w:color="auto"/>
        <w:right w:val="none" w:sz="0" w:space="0" w:color="auto"/>
      </w:divBdr>
    </w:div>
    <w:div w:id="1312829037">
      <w:bodyDiv w:val="1"/>
      <w:marLeft w:val="0"/>
      <w:marRight w:val="0"/>
      <w:marTop w:val="0"/>
      <w:marBottom w:val="0"/>
      <w:divBdr>
        <w:top w:val="none" w:sz="0" w:space="0" w:color="auto"/>
        <w:left w:val="none" w:sz="0" w:space="0" w:color="auto"/>
        <w:bottom w:val="none" w:sz="0" w:space="0" w:color="auto"/>
        <w:right w:val="none" w:sz="0" w:space="0" w:color="auto"/>
      </w:divBdr>
    </w:div>
    <w:div w:id="1317413136">
      <w:bodyDiv w:val="1"/>
      <w:marLeft w:val="0"/>
      <w:marRight w:val="0"/>
      <w:marTop w:val="0"/>
      <w:marBottom w:val="0"/>
      <w:divBdr>
        <w:top w:val="none" w:sz="0" w:space="0" w:color="auto"/>
        <w:left w:val="none" w:sz="0" w:space="0" w:color="auto"/>
        <w:bottom w:val="none" w:sz="0" w:space="0" w:color="auto"/>
        <w:right w:val="none" w:sz="0" w:space="0" w:color="auto"/>
      </w:divBdr>
    </w:div>
    <w:div w:id="1324309605">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4838905">
      <w:bodyDiv w:val="1"/>
      <w:marLeft w:val="0"/>
      <w:marRight w:val="0"/>
      <w:marTop w:val="0"/>
      <w:marBottom w:val="0"/>
      <w:divBdr>
        <w:top w:val="none" w:sz="0" w:space="0" w:color="auto"/>
        <w:left w:val="none" w:sz="0" w:space="0" w:color="auto"/>
        <w:bottom w:val="none" w:sz="0" w:space="0" w:color="auto"/>
        <w:right w:val="none" w:sz="0" w:space="0" w:color="auto"/>
      </w:divBdr>
    </w:div>
    <w:div w:id="1362900391">
      <w:bodyDiv w:val="1"/>
      <w:marLeft w:val="0"/>
      <w:marRight w:val="0"/>
      <w:marTop w:val="0"/>
      <w:marBottom w:val="0"/>
      <w:divBdr>
        <w:top w:val="none" w:sz="0" w:space="0" w:color="auto"/>
        <w:left w:val="none" w:sz="0" w:space="0" w:color="auto"/>
        <w:bottom w:val="none" w:sz="0" w:space="0" w:color="auto"/>
        <w:right w:val="none" w:sz="0" w:space="0" w:color="auto"/>
      </w:divBdr>
    </w:div>
    <w:div w:id="1378968206">
      <w:bodyDiv w:val="1"/>
      <w:marLeft w:val="0"/>
      <w:marRight w:val="0"/>
      <w:marTop w:val="0"/>
      <w:marBottom w:val="0"/>
      <w:divBdr>
        <w:top w:val="none" w:sz="0" w:space="0" w:color="auto"/>
        <w:left w:val="none" w:sz="0" w:space="0" w:color="auto"/>
        <w:bottom w:val="none" w:sz="0" w:space="0" w:color="auto"/>
        <w:right w:val="none" w:sz="0" w:space="0" w:color="auto"/>
      </w:divBdr>
    </w:div>
    <w:div w:id="1395465096">
      <w:bodyDiv w:val="1"/>
      <w:marLeft w:val="0"/>
      <w:marRight w:val="0"/>
      <w:marTop w:val="0"/>
      <w:marBottom w:val="0"/>
      <w:divBdr>
        <w:top w:val="none" w:sz="0" w:space="0" w:color="auto"/>
        <w:left w:val="none" w:sz="0" w:space="0" w:color="auto"/>
        <w:bottom w:val="none" w:sz="0" w:space="0" w:color="auto"/>
        <w:right w:val="none" w:sz="0" w:space="0" w:color="auto"/>
      </w:divBdr>
    </w:div>
    <w:div w:id="1395468470">
      <w:bodyDiv w:val="1"/>
      <w:marLeft w:val="0"/>
      <w:marRight w:val="0"/>
      <w:marTop w:val="0"/>
      <w:marBottom w:val="0"/>
      <w:divBdr>
        <w:top w:val="none" w:sz="0" w:space="0" w:color="auto"/>
        <w:left w:val="none" w:sz="0" w:space="0" w:color="auto"/>
        <w:bottom w:val="none" w:sz="0" w:space="0" w:color="auto"/>
        <w:right w:val="none" w:sz="0" w:space="0" w:color="auto"/>
      </w:divBdr>
    </w:div>
    <w:div w:id="1397432449">
      <w:bodyDiv w:val="1"/>
      <w:marLeft w:val="0"/>
      <w:marRight w:val="0"/>
      <w:marTop w:val="0"/>
      <w:marBottom w:val="0"/>
      <w:divBdr>
        <w:top w:val="none" w:sz="0" w:space="0" w:color="auto"/>
        <w:left w:val="none" w:sz="0" w:space="0" w:color="auto"/>
        <w:bottom w:val="none" w:sz="0" w:space="0" w:color="auto"/>
        <w:right w:val="none" w:sz="0" w:space="0" w:color="auto"/>
      </w:divBdr>
    </w:div>
    <w:div w:id="1399743993">
      <w:bodyDiv w:val="1"/>
      <w:marLeft w:val="0"/>
      <w:marRight w:val="0"/>
      <w:marTop w:val="0"/>
      <w:marBottom w:val="0"/>
      <w:divBdr>
        <w:top w:val="none" w:sz="0" w:space="0" w:color="auto"/>
        <w:left w:val="none" w:sz="0" w:space="0" w:color="auto"/>
        <w:bottom w:val="none" w:sz="0" w:space="0" w:color="auto"/>
        <w:right w:val="none" w:sz="0" w:space="0" w:color="auto"/>
      </w:divBdr>
    </w:div>
    <w:div w:id="1401513398">
      <w:bodyDiv w:val="1"/>
      <w:marLeft w:val="0"/>
      <w:marRight w:val="0"/>
      <w:marTop w:val="0"/>
      <w:marBottom w:val="0"/>
      <w:divBdr>
        <w:top w:val="none" w:sz="0" w:space="0" w:color="auto"/>
        <w:left w:val="none" w:sz="0" w:space="0" w:color="auto"/>
        <w:bottom w:val="none" w:sz="0" w:space="0" w:color="auto"/>
        <w:right w:val="none" w:sz="0" w:space="0" w:color="auto"/>
      </w:divBdr>
    </w:div>
    <w:div w:id="1404568474">
      <w:bodyDiv w:val="1"/>
      <w:marLeft w:val="0"/>
      <w:marRight w:val="0"/>
      <w:marTop w:val="0"/>
      <w:marBottom w:val="0"/>
      <w:divBdr>
        <w:top w:val="none" w:sz="0" w:space="0" w:color="auto"/>
        <w:left w:val="none" w:sz="0" w:space="0" w:color="auto"/>
        <w:bottom w:val="none" w:sz="0" w:space="0" w:color="auto"/>
        <w:right w:val="none" w:sz="0" w:space="0" w:color="auto"/>
      </w:divBdr>
    </w:div>
    <w:div w:id="1411973387">
      <w:bodyDiv w:val="1"/>
      <w:marLeft w:val="0"/>
      <w:marRight w:val="0"/>
      <w:marTop w:val="0"/>
      <w:marBottom w:val="0"/>
      <w:divBdr>
        <w:top w:val="none" w:sz="0" w:space="0" w:color="auto"/>
        <w:left w:val="none" w:sz="0" w:space="0" w:color="auto"/>
        <w:bottom w:val="none" w:sz="0" w:space="0" w:color="auto"/>
        <w:right w:val="none" w:sz="0" w:space="0" w:color="auto"/>
      </w:divBdr>
    </w:div>
    <w:div w:id="1421832819">
      <w:bodyDiv w:val="1"/>
      <w:marLeft w:val="0"/>
      <w:marRight w:val="0"/>
      <w:marTop w:val="0"/>
      <w:marBottom w:val="0"/>
      <w:divBdr>
        <w:top w:val="none" w:sz="0" w:space="0" w:color="auto"/>
        <w:left w:val="none" w:sz="0" w:space="0" w:color="auto"/>
        <w:bottom w:val="none" w:sz="0" w:space="0" w:color="auto"/>
        <w:right w:val="none" w:sz="0" w:space="0" w:color="auto"/>
      </w:divBdr>
    </w:div>
    <w:div w:id="1429080940">
      <w:bodyDiv w:val="1"/>
      <w:marLeft w:val="0"/>
      <w:marRight w:val="0"/>
      <w:marTop w:val="0"/>
      <w:marBottom w:val="0"/>
      <w:divBdr>
        <w:top w:val="none" w:sz="0" w:space="0" w:color="auto"/>
        <w:left w:val="none" w:sz="0" w:space="0" w:color="auto"/>
        <w:bottom w:val="none" w:sz="0" w:space="0" w:color="auto"/>
        <w:right w:val="none" w:sz="0" w:space="0" w:color="auto"/>
      </w:divBdr>
    </w:div>
    <w:div w:id="1432973697">
      <w:bodyDiv w:val="1"/>
      <w:marLeft w:val="0"/>
      <w:marRight w:val="0"/>
      <w:marTop w:val="0"/>
      <w:marBottom w:val="0"/>
      <w:divBdr>
        <w:top w:val="none" w:sz="0" w:space="0" w:color="auto"/>
        <w:left w:val="none" w:sz="0" w:space="0" w:color="auto"/>
        <w:bottom w:val="none" w:sz="0" w:space="0" w:color="auto"/>
        <w:right w:val="none" w:sz="0" w:space="0" w:color="auto"/>
      </w:divBdr>
    </w:div>
    <w:div w:id="1439177112">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1169380">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8055013">
      <w:bodyDiv w:val="1"/>
      <w:marLeft w:val="0"/>
      <w:marRight w:val="0"/>
      <w:marTop w:val="0"/>
      <w:marBottom w:val="0"/>
      <w:divBdr>
        <w:top w:val="none" w:sz="0" w:space="0" w:color="auto"/>
        <w:left w:val="none" w:sz="0" w:space="0" w:color="auto"/>
        <w:bottom w:val="none" w:sz="0" w:space="0" w:color="auto"/>
        <w:right w:val="none" w:sz="0" w:space="0" w:color="auto"/>
      </w:divBdr>
    </w:div>
    <w:div w:id="1510440250">
      <w:bodyDiv w:val="1"/>
      <w:marLeft w:val="0"/>
      <w:marRight w:val="0"/>
      <w:marTop w:val="0"/>
      <w:marBottom w:val="0"/>
      <w:divBdr>
        <w:top w:val="none" w:sz="0" w:space="0" w:color="auto"/>
        <w:left w:val="none" w:sz="0" w:space="0" w:color="auto"/>
        <w:bottom w:val="none" w:sz="0" w:space="0" w:color="auto"/>
        <w:right w:val="none" w:sz="0" w:space="0" w:color="auto"/>
      </w:divBdr>
    </w:div>
    <w:div w:id="1524394747">
      <w:bodyDiv w:val="1"/>
      <w:marLeft w:val="0"/>
      <w:marRight w:val="0"/>
      <w:marTop w:val="0"/>
      <w:marBottom w:val="0"/>
      <w:divBdr>
        <w:top w:val="none" w:sz="0" w:space="0" w:color="auto"/>
        <w:left w:val="none" w:sz="0" w:space="0" w:color="auto"/>
        <w:bottom w:val="none" w:sz="0" w:space="0" w:color="auto"/>
        <w:right w:val="none" w:sz="0" w:space="0" w:color="auto"/>
      </w:divBdr>
    </w:div>
    <w:div w:id="1526669910">
      <w:bodyDiv w:val="1"/>
      <w:marLeft w:val="0"/>
      <w:marRight w:val="0"/>
      <w:marTop w:val="0"/>
      <w:marBottom w:val="0"/>
      <w:divBdr>
        <w:top w:val="none" w:sz="0" w:space="0" w:color="auto"/>
        <w:left w:val="none" w:sz="0" w:space="0" w:color="auto"/>
        <w:bottom w:val="none" w:sz="0" w:space="0" w:color="auto"/>
        <w:right w:val="none" w:sz="0" w:space="0" w:color="auto"/>
      </w:divBdr>
    </w:div>
    <w:div w:id="1548641194">
      <w:bodyDiv w:val="1"/>
      <w:marLeft w:val="0"/>
      <w:marRight w:val="0"/>
      <w:marTop w:val="0"/>
      <w:marBottom w:val="0"/>
      <w:divBdr>
        <w:top w:val="none" w:sz="0" w:space="0" w:color="auto"/>
        <w:left w:val="none" w:sz="0" w:space="0" w:color="auto"/>
        <w:bottom w:val="none" w:sz="0" w:space="0" w:color="auto"/>
        <w:right w:val="none" w:sz="0" w:space="0" w:color="auto"/>
      </w:divBdr>
    </w:div>
    <w:div w:id="1549877733">
      <w:bodyDiv w:val="1"/>
      <w:marLeft w:val="0"/>
      <w:marRight w:val="0"/>
      <w:marTop w:val="0"/>
      <w:marBottom w:val="0"/>
      <w:divBdr>
        <w:top w:val="none" w:sz="0" w:space="0" w:color="auto"/>
        <w:left w:val="none" w:sz="0" w:space="0" w:color="auto"/>
        <w:bottom w:val="none" w:sz="0" w:space="0" w:color="auto"/>
        <w:right w:val="none" w:sz="0" w:space="0" w:color="auto"/>
      </w:divBdr>
    </w:div>
    <w:div w:id="1576281255">
      <w:bodyDiv w:val="1"/>
      <w:marLeft w:val="0"/>
      <w:marRight w:val="0"/>
      <w:marTop w:val="0"/>
      <w:marBottom w:val="0"/>
      <w:divBdr>
        <w:top w:val="none" w:sz="0" w:space="0" w:color="auto"/>
        <w:left w:val="none" w:sz="0" w:space="0" w:color="auto"/>
        <w:bottom w:val="none" w:sz="0" w:space="0" w:color="auto"/>
        <w:right w:val="none" w:sz="0" w:space="0" w:color="auto"/>
      </w:divBdr>
    </w:div>
    <w:div w:id="1595431698">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0143621">
      <w:bodyDiv w:val="1"/>
      <w:marLeft w:val="0"/>
      <w:marRight w:val="0"/>
      <w:marTop w:val="0"/>
      <w:marBottom w:val="0"/>
      <w:divBdr>
        <w:top w:val="none" w:sz="0" w:space="0" w:color="auto"/>
        <w:left w:val="none" w:sz="0" w:space="0" w:color="auto"/>
        <w:bottom w:val="none" w:sz="0" w:space="0" w:color="auto"/>
        <w:right w:val="none" w:sz="0" w:space="0" w:color="auto"/>
      </w:divBdr>
    </w:div>
    <w:div w:id="161004155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5690348">
      <w:bodyDiv w:val="1"/>
      <w:marLeft w:val="0"/>
      <w:marRight w:val="0"/>
      <w:marTop w:val="0"/>
      <w:marBottom w:val="0"/>
      <w:divBdr>
        <w:top w:val="none" w:sz="0" w:space="0" w:color="auto"/>
        <w:left w:val="none" w:sz="0" w:space="0" w:color="auto"/>
        <w:bottom w:val="none" w:sz="0" w:space="0" w:color="auto"/>
        <w:right w:val="none" w:sz="0" w:space="0" w:color="auto"/>
      </w:divBdr>
    </w:div>
    <w:div w:id="1632709773">
      <w:bodyDiv w:val="1"/>
      <w:marLeft w:val="0"/>
      <w:marRight w:val="0"/>
      <w:marTop w:val="0"/>
      <w:marBottom w:val="0"/>
      <w:divBdr>
        <w:top w:val="none" w:sz="0" w:space="0" w:color="auto"/>
        <w:left w:val="none" w:sz="0" w:space="0" w:color="auto"/>
        <w:bottom w:val="none" w:sz="0" w:space="0" w:color="auto"/>
        <w:right w:val="none" w:sz="0" w:space="0" w:color="auto"/>
      </w:divBdr>
    </w:div>
    <w:div w:id="1654603893">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6928369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139331">
      <w:bodyDiv w:val="1"/>
      <w:marLeft w:val="0"/>
      <w:marRight w:val="0"/>
      <w:marTop w:val="0"/>
      <w:marBottom w:val="0"/>
      <w:divBdr>
        <w:top w:val="none" w:sz="0" w:space="0" w:color="auto"/>
        <w:left w:val="none" w:sz="0" w:space="0" w:color="auto"/>
        <w:bottom w:val="none" w:sz="0" w:space="0" w:color="auto"/>
        <w:right w:val="none" w:sz="0" w:space="0" w:color="auto"/>
      </w:divBdr>
    </w:div>
    <w:div w:id="1715538144">
      <w:bodyDiv w:val="1"/>
      <w:marLeft w:val="0"/>
      <w:marRight w:val="0"/>
      <w:marTop w:val="0"/>
      <w:marBottom w:val="0"/>
      <w:divBdr>
        <w:top w:val="none" w:sz="0" w:space="0" w:color="auto"/>
        <w:left w:val="none" w:sz="0" w:space="0" w:color="auto"/>
        <w:bottom w:val="none" w:sz="0" w:space="0" w:color="auto"/>
        <w:right w:val="none" w:sz="0" w:space="0" w:color="auto"/>
      </w:divBdr>
    </w:div>
    <w:div w:id="1716344956">
      <w:bodyDiv w:val="1"/>
      <w:marLeft w:val="0"/>
      <w:marRight w:val="0"/>
      <w:marTop w:val="0"/>
      <w:marBottom w:val="0"/>
      <w:divBdr>
        <w:top w:val="none" w:sz="0" w:space="0" w:color="auto"/>
        <w:left w:val="none" w:sz="0" w:space="0" w:color="auto"/>
        <w:bottom w:val="none" w:sz="0" w:space="0" w:color="auto"/>
        <w:right w:val="none" w:sz="0" w:space="0" w:color="auto"/>
      </w:divBdr>
    </w:div>
    <w:div w:id="1726102860">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5319658">
      <w:bodyDiv w:val="1"/>
      <w:marLeft w:val="0"/>
      <w:marRight w:val="0"/>
      <w:marTop w:val="0"/>
      <w:marBottom w:val="0"/>
      <w:divBdr>
        <w:top w:val="none" w:sz="0" w:space="0" w:color="auto"/>
        <w:left w:val="none" w:sz="0" w:space="0" w:color="auto"/>
        <w:bottom w:val="none" w:sz="0" w:space="0" w:color="auto"/>
        <w:right w:val="none" w:sz="0" w:space="0" w:color="auto"/>
      </w:divBdr>
    </w:div>
    <w:div w:id="1755778551">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061957">
      <w:bodyDiv w:val="1"/>
      <w:marLeft w:val="0"/>
      <w:marRight w:val="0"/>
      <w:marTop w:val="0"/>
      <w:marBottom w:val="0"/>
      <w:divBdr>
        <w:top w:val="none" w:sz="0" w:space="0" w:color="auto"/>
        <w:left w:val="none" w:sz="0" w:space="0" w:color="auto"/>
        <w:bottom w:val="none" w:sz="0" w:space="0" w:color="auto"/>
        <w:right w:val="none" w:sz="0" w:space="0" w:color="auto"/>
      </w:divBdr>
    </w:div>
    <w:div w:id="1778986960">
      <w:bodyDiv w:val="1"/>
      <w:marLeft w:val="0"/>
      <w:marRight w:val="0"/>
      <w:marTop w:val="0"/>
      <w:marBottom w:val="0"/>
      <w:divBdr>
        <w:top w:val="none" w:sz="0" w:space="0" w:color="auto"/>
        <w:left w:val="none" w:sz="0" w:space="0" w:color="auto"/>
        <w:bottom w:val="none" w:sz="0" w:space="0" w:color="auto"/>
        <w:right w:val="none" w:sz="0" w:space="0" w:color="auto"/>
      </w:divBdr>
    </w:div>
    <w:div w:id="1782609666">
      <w:bodyDiv w:val="1"/>
      <w:marLeft w:val="0"/>
      <w:marRight w:val="0"/>
      <w:marTop w:val="0"/>
      <w:marBottom w:val="0"/>
      <w:divBdr>
        <w:top w:val="none" w:sz="0" w:space="0" w:color="auto"/>
        <w:left w:val="none" w:sz="0" w:space="0" w:color="auto"/>
        <w:bottom w:val="none" w:sz="0" w:space="0" w:color="auto"/>
        <w:right w:val="none" w:sz="0" w:space="0" w:color="auto"/>
      </w:divBdr>
    </w:div>
    <w:div w:id="1794054718">
      <w:bodyDiv w:val="1"/>
      <w:marLeft w:val="0"/>
      <w:marRight w:val="0"/>
      <w:marTop w:val="0"/>
      <w:marBottom w:val="0"/>
      <w:divBdr>
        <w:top w:val="none" w:sz="0" w:space="0" w:color="auto"/>
        <w:left w:val="none" w:sz="0" w:space="0" w:color="auto"/>
        <w:bottom w:val="none" w:sz="0" w:space="0" w:color="auto"/>
        <w:right w:val="none" w:sz="0" w:space="0" w:color="auto"/>
      </w:divBdr>
    </w:div>
    <w:div w:id="1802334598">
      <w:bodyDiv w:val="1"/>
      <w:marLeft w:val="0"/>
      <w:marRight w:val="0"/>
      <w:marTop w:val="0"/>
      <w:marBottom w:val="0"/>
      <w:divBdr>
        <w:top w:val="none" w:sz="0" w:space="0" w:color="auto"/>
        <w:left w:val="none" w:sz="0" w:space="0" w:color="auto"/>
        <w:bottom w:val="none" w:sz="0" w:space="0" w:color="auto"/>
        <w:right w:val="none" w:sz="0" w:space="0" w:color="auto"/>
      </w:divBdr>
    </w:div>
    <w:div w:id="1805001545">
      <w:bodyDiv w:val="1"/>
      <w:marLeft w:val="0"/>
      <w:marRight w:val="0"/>
      <w:marTop w:val="0"/>
      <w:marBottom w:val="0"/>
      <w:divBdr>
        <w:top w:val="none" w:sz="0" w:space="0" w:color="auto"/>
        <w:left w:val="none" w:sz="0" w:space="0" w:color="auto"/>
        <w:bottom w:val="none" w:sz="0" w:space="0" w:color="auto"/>
        <w:right w:val="none" w:sz="0" w:space="0" w:color="auto"/>
      </w:divBdr>
    </w:div>
    <w:div w:id="1810971409">
      <w:bodyDiv w:val="1"/>
      <w:marLeft w:val="0"/>
      <w:marRight w:val="0"/>
      <w:marTop w:val="0"/>
      <w:marBottom w:val="0"/>
      <w:divBdr>
        <w:top w:val="none" w:sz="0" w:space="0" w:color="auto"/>
        <w:left w:val="none" w:sz="0" w:space="0" w:color="auto"/>
        <w:bottom w:val="none" w:sz="0" w:space="0" w:color="auto"/>
        <w:right w:val="none" w:sz="0" w:space="0" w:color="auto"/>
      </w:divBdr>
    </w:div>
    <w:div w:id="1815753240">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5298291">
      <w:bodyDiv w:val="1"/>
      <w:marLeft w:val="0"/>
      <w:marRight w:val="0"/>
      <w:marTop w:val="0"/>
      <w:marBottom w:val="0"/>
      <w:divBdr>
        <w:top w:val="none" w:sz="0" w:space="0" w:color="auto"/>
        <w:left w:val="none" w:sz="0" w:space="0" w:color="auto"/>
        <w:bottom w:val="none" w:sz="0" w:space="0" w:color="auto"/>
        <w:right w:val="none" w:sz="0" w:space="0" w:color="auto"/>
      </w:divBdr>
    </w:div>
    <w:div w:id="1835949292">
      <w:bodyDiv w:val="1"/>
      <w:marLeft w:val="0"/>
      <w:marRight w:val="0"/>
      <w:marTop w:val="0"/>
      <w:marBottom w:val="0"/>
      <w:divBdr>
        <w:top w:val="none" w:sz="0" w:space="0" w:color="auto"/>
        <w:left w:val="none" w:sz="0" w:space="0" w:color="auto"/>
        <w:bottom w:val="none" w:sz="0" w:space="0" w:color="auto"/>
        <w:right w:val="none" w:sz="0" w:space="0" w:color="auto"/>
      </w:divBdr>
    </w:div>
    <w:div w:id="1840920729">
      <w:bodyDiv w:val="1"/>
      <w:marLeft w:val="0"/>
      <w:marRight w:val="0"/>
      <w:marTop w:val="0"/>
      <w:marBottom w:val="0"/>
      <w:divBdr>
        <w:top w:val="none" w:sz="0" w:space="0" w:color="auto"/>
        <w:left w:val="none" w:sz="0" w:space="0" w:color="auto"/>
        <w:bottom w:val="none" w:sz="0" w:space="0" w:color="auto"/>
        <w:right w:val="none" w:sz="0" w:space="0" w:color="auto"/>
      </w:divBdr>
    </w:div>
    <w:div w:id="1898512696">
      <w:bodyDiv w:val="1"/>
      <w:marLeft w:val="0"/>
      <w:marRight w:val="0"/>
      <w:marTop w:val="0"/>
      <w:marBottom w:val="0"/>
      <w:divBdr>
        <w:top w:val="none" w:sz="0" w:space="0" w:color="auto"/>
        <w:left w:val="none" w:sz="0" w:space="0" w:color="auto"/>
        <w:bottom w:val="none" w:sz="0" w:space="0" w:color="auto"/>
        <w:right w:val="none" w:sz="0" w:space="0" w:color="auto"/>
      </w:divBdr>
    </w:div>
    <w:div w:id="1902206599">
      <w:bodyDiv w:val="1"/>
      <w:marLeft w:val="0"/>
      <w:marRight w:val="0"/>
      <w:marTop w:val="0"/>
      <w:marBottom w:val="0"/>
      <w:divBdr>
        <w:top w:val="none" w:sz="0" w:space="0" w:color="auto"/>
        <w:left w:val="none" w:sz="0" w:space="0" w:color="auto"/>
        <w:bottom w:val="none" w:sz="0" w:space="0" w:color="auto"/>
        <w:right w:val="none" w:sz="0" w:space="0" w:color="auto"/>
      </w:divBdr>
    </w:div>
    <w:div w:id="1912353544">
      <w:bodyDiv w:val="1"/>
      <w:marLeft w:val="0"/>
      <w:marRight w:val="0"/>
      <w:marTop w:val="0"/>
      <w:marBottom w:val="0"/>
      <w:divBdr>
        <w:top w:val="none" w:sz="0" w:space="0" w:color="auto"/>
        <w:left w:val="none" w:sz="0" w:space="0" w:color="auto"/>
        <w:bottom w:val="none" w:sz="0" w:space="0" w:color="auto"/>
        <w:right w:val="none" w:sz="0" w:space="0" w:color="auto"/>
      </w:divBdr>
    </w:div>
    <w:div w:id="192245003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707915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0013469">
      <w:bodyDiv w:val="1"/>
      <w:marLeft w:val="0"/>
      <w:marRight w:val="0"/>
      <w:marTop w:val="0"/>
      <w:marBottom w:val="0"/>
      <w:divBdr>
        <w:top w:val="none" w:sz="0" w:space="0" w:color="auto"/>
        <w:left w:val="none" w:sz="0" w:space="0" w:color="auto"/>
        <w:bottom w:val="none" w:sz="0" w:space="0" w:color="auto"/>
        <w:right w:val="none" w:sz="0" w:space="0" w:color="auto"/>
      </w:divBdr>
    </w:div>
    <w:div w:id="1977489381">
      <w:bodyDiv w:val="1"/>
      <w:marLeft w:val="0"/>
      <w:marRight w:val="0"/>
      <w:marTop w:val="0"/>
      <w:marBottom w:val="0"/>
      <w:divBdr>
        <w:top w:val="none" w:sz="0" w:space="0" w:color="auto"/>
        <w:left w:val="none" w:sz="0" w:space="0" w:color="auto"/>
        <w:bottom w:val="none" w:sz="0" w:space="0" w:color="auto"/>
        <w:right w:val="none" w:sz="0" w:space="0" w:color="auto"/>
      </w:divBdr>
    </w:div>
    <w:div w:id="1987319697">
      <w:bodyDiv w:val="1"/>
      <w:marLeft w:val="0"/>
      <w:marRight w:val="0"/>
      <w:marTop w:val="0"/>
      <w:marBottom w:val="0"/>
      <w:divBdr>
        <w:top w:val="none" w:sz="0" w:space="0" w:color="auto"/>
        <w:left w:val="none" w:sz="0" w:space="0" w:color="auto"/>
        <w:bottom w:val="none" w:sz="0" w:space="0" w:color="auto"/>
        <w:right w:val="none" w:sz="0" w:space="0" w:color="auto"/>
      </w:divBdr>
    </w:div>
    <w:div w:id="2004506403">
      <w:bodyDiv w:val="1"/>
      <w:marLeft w:val="0"/>
      <w:marRight w:val="0"/>
      <w:marTop w:val="0"/>
      <w:marBottom w:val="0"/>
      <w:divBdr>
        <w:top w:val="none" w:sz="0" w:space="0" w:color="auto"/>
        <w:left w:val="none" w:sz="0" w:space="0" w:color="auto"/>
        <w:bottom w:val="none" w:sz="0" w:space="0" w:color="auto"/>
        <w:right w:val="none" w:sz="0" w:space="0" w:color="auto"/>
      </w:divBdr>
    </w:div>
    <w:div w:id="2014260160">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4886892">
      <w:bodyDiv w:val="1"/>
      <w:marLeft w:val="0"/>
      <w:marRight w:val="0"/>
      <w:marTop w:val="0"/>
      <w:marBottom w:val="0"/>
      <w:divBdr>
        <w:top w:val="none" w:sz="0" w:space="0" w:color="auto"/>
        <w:left w:val="none" w:sz="0" w:space="0" w:color="auto"/>
        <w:bottom w:val="none" w:sz="0" w:space="0" w:color="auto"/>
        <w:right w:val="none" w:sz="0" w:space="0" w:color="auto"/>
      </w:divBdr>
    </w:div>
    <w:div w:id="2113432833">
      <w:bodyDiv w:val="1"/>
      <w:marLeft w:val="0"/>
      <w:marRight w:val="0"/>
      <w:marTop w:val="0"/>
      <w:marBottom w:val="0"/>
      <w:divBdr>
        <w:top w:val="none" w:sz="0" w:space="0" w:color="auto"/>
        <w:left w:val="none" w:sz="0" w:space="0" w:color="auto"/>
        <w:bottom w:val="none" w:sz="0" w:space="0" w:color="auto"/>
        <w:right w:val="none" w:sz="0" w:space="0" w:color="auto"/>
      </w:divBdr>
    </w:div>
    <w:div w:id="2128773007">
      <w:bodyDiv w:val="1"/>
      <w:marLeft w:val="0"/>
      <w:marRight w:val="0"/>
      <w:marTop w:val="0"/>
      <w:marBottom w:val="0"/>
      <w:divBdr>
        <w:top w:val="none" w:sz="0" w:space="0" w:color="auto"/>
        <w:left w:val="none" w:sz="0" w:space="0" w:color="auto"/>
        <w:bottom w:val="none" w:sz="0" w:space="0" w:color="auto"/>
        <w:right w:val="none" w:sz="0" w:space="0" w:color="auto"/>
      </w:divBdr>
    </w:div>
    <w:div w:id="2129473502">
      <w:bodyDiv w:val="1"/>
      <w:marLeft w:val="0"/>
      <w:marRight w:val="0"/>
      <w:marTop w:val="0"/>
      <w:marBottom w:val="0"/>
      <w:divBdr>
        <w:top w:val="none" w:sz="0" w:space="0" w:color="auto"/>
        <w:left w:val="none" w:sz="0" w:space="0" w:color="auto"/>
        <w:bottom w:val="none" w:sz="0" w:space="0" w:color="auto"/>
        <w:right w:val="none" w:sz="0" w:space="0" w:color="auto"/>
      </w:divBdr>
    </w:div>
    <w:div w:id="2138257639">
      <w:bodyDiv w:val="1"/>
      <w:marLeft w:val="0"/>
      <w:marRight w:val="0"/>
      <w:marTop w:val="0"/>
      <w:marBottom w:val="0"/>
      <w:divBdr>
        <w:top w:val="none" w:sz="0" w:space="0" w:color="auto"/>
        <w:left w:val="none" w:sz="0" w:space="0" w:color="auto"/>
        <w:bottom w:val="none" w:sz="0" w:space="0" w:color="auto"/>
        <w:right w:val="none" w:sz="0" w:space="0" w:color="auto"/>
      </w:divBdr>
    </w:div>
    <w:div w:id="2141919428">
      <w:bodyDiv w:val="1"/>
      <w:marLeft w:val="0"/>
      <w:marRight w:val="0"/>
      <w:marTop w:val="0"/>
      <w:marBottom w:val="0"/>
      <w:divBdr>
        <w:top w:val="none" w:sz="0" w:space="0" w:color="auto"/>
        <w:left w:val="none" w:sz="0" w:space="0" w:color="auto"/>
        <w:bottom w:val="none" w:sz="0" w:space="0" w:color="auto"/>
        <w:right w:val="none" w:sz="0" w:space="0" w:color="auto"/>
      </w:divBdr>
    </w:div>
    <w:div w:id="21465080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2.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A4C3886-6B48-46FD-9173-50D31267B297}">
  <ds:schemaRefs>
    <ds:schemaRef ds:uri="http://schemas.microsoft.com/office/2006/metadata/properties"/>
    <ds:schemaRef ds:uri="92f8bd56-8465-45fb-84ac-454baa360449"/>
  </ds:schemaRefs>
</ds:datastoreItem>
</file>

<file path=customXml/itemProps4.xml><?xml version="1.0" encoding="utf-8"?>
<ds:datastoreItem xmlns:ds="http://schemas.openxmlformats.org/officeDocument/2006/customXml" ds:itemID="{441ECD2A-F2F7-4F08-A7AF-603437EF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21</Pages>
  <Words>3128</Words>
  <Characters>20399</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23481</CharactersWithSpaces>
  <SharedDoc>false</SharedDoc>
  <HLinks>
    <vt:vector size="24" baseType="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lastModifiedBy>Brendan Palazzi</cp:lastModifiedBy>
  <cp:revision>2</cp:revision>
  <cp:lastPrinted>2015-05-10T07:11:00Z</cp:lastPrinted>
  <dcterms:created xsi:type="dcterms:W3CDTF">2015-05-12T06:29:00Z</dcterms:created>
  <dcterms:modified xsi:type="dcterms:W3CDTF">2015-05-12T06:29:00Z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