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A48" w:rsidRDefault="0048352A" w:rsidP="000C2A48">
      <w:r w:rsidRPr="00422C07">
        <w:rPr>
          <w:highlight w:val="lightGray"/>
        </w:rPr>
        <w:t>&gt;insert government department crest&lt;</w:t>
      </w:r>
    </w:p>
    <w:p w:rsidR="00DA75AF" w:rsidRDefault="001C285E" w:rsidP="00DA75AF">
      <w:pPr>
        <w:pStyle w:val="Title"/>
      </w:pPr>
      <w:r w:rsidRPr="00A73272">
        <w:t>Property Management Plan Template</w:t>
      </w:r>
    </w:p>
    <w:p w:rsidR="00501D33" w:rsidRPr="00501D33" w:rsidRDefault="00501D33" w:rsidP="007C6EDE">
      <w:pPr>
        <w:pStyle w:val="Subtitle"/>
      </w:pPr>
      <w:r w:rsidRPr="00422C07">
        <w:rPr>
          <w:highlight w:val="lightGray"/>
        </w:rPr>
        <w:t xml:space="preserve">&lt;Insert </w:t>
      </w:r>
      <w:r w:rsidR="00D20019">
        <w:rPr>
          <w:highlight w:val="lightGray"/>
        </w:rPr>
        <w:t>NCE</w:t>
      </w:r>
      <w:r w:rsidRPr="00422C07">
        <w:rPr>
          <w:highlight w:val="lightGray"/>
        </w:rPr>
        <w:t xml:space="preserve"> Name&gt;</w:t>
      </w:r>
    </w:p>
    <w:p w:rsidR="00AA22C6" w:rsidRDefault="00AA22C6" w:rsidP="00AA22C6">
      <w:pPr>
        <w:jc w:val="right"/>
      </w:pPr>
      <w:r>
        <w:t xml:space="preserve">Last updated: </w:t>
      </w:r>
      <w:r w:rsidRPr="00422C07">
        <w:rPr>
          <w:highlight w:val="lightGray"/>
        </w:rPr>
        <w:t>&lt;date&gt;</w:t>
      </w:r>
      <w:r>
        <w:t xml:space="preserve"> </w:t>
      </w:r>
    </w:p>
    <w:p w:rsidR="006C4DD1" w:rsidRPr="00A73272" w:rsidRDefault="006C4DD1" w:rsidP="006C4DD1"/>
    <w:p w:rsidR="00AA22C6" w:rsidRPr="00AA22C6" w:rsidRDefault="00AA22C6" w:rsidP="00AA22C6">
      <w:pPr>
        <w:rPr>
          <w:i/>
          <w:color w:val="0070C0"/>
        </w:rPr>
      </w:pPr>
      <w:r w:rsidRPr="00AA22C6">
        <w:rPr>
          <w:i/>
          <w:color w:val="0070C0"/>
        </w:rPr>
        <w:t xml:space="preserve">This template is a general guide and </w:t>
      </w:r>
      <w:proofErr w:type="gramStart"/>
      <w:r>
        <w:rPr>
          <w:i/>
          <w:color w:val="0070C0"/>
        </w:rPr>
        <w:t xml:space="preserve">can be </w:t>
      </w:r>
      <w:r w:rsidRPr="00AA22C6">
        <w:rPr>
          <w:i/>
          <w:color w:val="0070C0"/>
        </w:rPr>
        <w:t>adapted</w:t>
      </w:r>
      <w:proofErr w:type="gramEnd"/>
      <w:r w:rsidRPr="00AA22C6">
        <w:rPr>
          <w:i/>
          <w:color w:val="0070C0"/>
        </w:rPr>
        <w:t xml:space="preserve"> by </w:t>
      </w:r>
      <w:r w:rsidR="00D20019">
        <w:rPr>
          <w:i/>
          <w:color w:val="0070C0"/>
        </w:rPr>
        <w:t>NCEs</w:t>
      </w:r>
      <w:r w:rsidRPr="00AA22C6">
        <w:rPr>
          <w:i/>
          <w:color w:val="0070C0"/>
        </w:rPr>
        <w:t xml:space="preserve"> as required.</w:t>
      </w:r>
      <w:r>
        <w:rPr>
          <w:i/>
          <w:color w:val="0070C0"/>
        </w:rPr>
        <w:t xml:space="preserve"> </w:t>
      </w:r>
    </w:p>
    <w:p w:rsidR="001C285E" w:rsidRPr="00A73272" w:rsidRDefault="001C285E" w:rsidP="001C285E"/>
    <w:p w:rsidR="001C285E" w:rsidRDefault="001C285E" w:rsidP="001C285E"/>
    <w:p w:rsidR="00AA22C6" w:rsidRDefault="00AA22C6" w:rsidP="001C285E"/>
    <w:p w:rsidR="00AA22C6" w:rsidRDefault="00AA22C6" w:rsidP="001C285E"/>
    <w:tbl>
      <w:tblPr>
        <w:tblStyle w:val="GridTable1Light"/>
        <w:tblW w:w="0" w:type="auto"/>
        <w:tblLook w:val="04A0" w:firstRow="1" w:lastRow="0" w:firstColumn="1" w:lastColumn="0" w:noHBand="0" w:noVBand="1"/>
      </w:tblPr>
      <w:tblGrid>
        <w:gridCol w:w="4530"/>
        <w:gridCol w:w="4530"/>
      </w:tblGrid>
      <w:tr w:rsidR="001C285E" w:rsidRPr="00A73272" w:rsidTr="001C28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rsidR="001C285E" w:rsidRPr="003A70F7" w:rsidRDefault="001C285E" w:rsidP="001C285E">
            <w:pPr>
              <w:pStyle w:val="TableText"/>
              <w:rPr>
                <w:sz w:val="22"/>
              </w:rPr>
            </w:pPr>
            <w:r w:rsidRPr="003A70F7">
              <w:rPr>
                <w:sz w:val="22"/>
              </w:rPr>
              <w:lastRenderedPageBreak/>
              <w:t>Indicator type</w:t>
            </w:r>
          </w:p>
        </w:tc>
        <w:tc>
          <w:tcPr>
            <w:tcW w:w="4530" w:type="dxa"/>
          </w:tcPr>
          <w:p w:rsidR="001C285E" w:rsidRPr="003A70F7" w:rsidRDefault="001C285E" w:rsidP="001C285E">
            <w:pPr>
              <w:pStyle w:val="TableText"/>
              <w:cnfStyle w:val="100000000000" w:firstRow="1" w:lastRow="0" w:firstColumn="0" w:lastColumn="0" w:oddVBand="0" w:evenVBand="0" w:oddHBand="0" w:evenHBand="0" w:firstRowFirstColumn="0" w:firstRowLastColumn="0" w:lastRowFirstColumn="0" w:lastRowLastColumn="0"/>
              <w:rPr>
                <w:sz w:val="22"/>
              </w:rPr>
            </w:pPr>
            <w:r w:rsidRPr="003A70F7">
              <w:rPr>
                <w:sz w:val="22"/>
              </w:rPr>
              <w:t>Indicator</w:t>
            </w:r>
          </w:p>
        </w:tc>
      </w:tr>
      <w:tr w:rsidR="001C285E" w:rsidRPr="00A73272" w:rsidTr="001C285E">
        <w:tc>
          <w:tcPr>
            <w:cnfStyle w:val="001000000000" w:firstRow="0" w:lastRow="0" w:firstColumn="1" w:lastColumn="0" w:oddVBand="0" w:evenVBand="0" w:oddHBand="0" w:evenHBand="0" w:firstRowFirstColumn="0" w:firstRowLastColumn="0" w:lastRowFirstColumn="0" w:lastRowLastColumn="0"/>
            <w:tcW w:w="4530" w:type="dxa"/>
          </w:tcPr>
          <w:p w:rsidR="001C285E" w:rsidRPr="003A70F7" w:rsidRDefault="001C285E" w:rsidP="001C285E">
            <w:pPr>
              <w:pStyle w:val="TableText"/>
              <w:rPr>
                <w:sz w:val="22"/>
                <w:vertAlign w:val="superscript"/>
              </w:rPr>
            </w:pPr>
            <w:r w:rsidRPr="003A70F7">
              <w:rPr>
                <w:sz w:val="22"/>
              </w:rPr>
              <w:t>Property utilisation</w:t>
            </w:r>
            <w:r w:rsidRPr="003A70F7">
              <w:rPr>
                <w:sz w:val="22"/>
                <w:vertAlign w:val="superscript"/>
              </w:rPr>
              <w:t>3</w:t>
            </w:r>
          </w:p>
        </w:tc>
        <w:tc>
          <w:tcPr>
            <w:tcW w:w="4530" w:type="dxa"/>
          </w:tcPr>
          <w:p w:rsidR="001C285E" w:rsidRPr="003A70F7" w:rsidRDefault="001C285E" w:rsidP="001C285E">
            <w:pPr>
              <w:pStyle w:val="TableText"/>
              <w:cnfStyle w:val="000000000000" w:firstRow="0" w:lastRow="0" w:firstColumn="0" w:lastColumn="0" w:oddVBand="0" w:evenVBand="0" w:oddHBand="0" w:evenHBand="0" w:firstRowFirstColumn="0" w:firstRowLastColumn="0" w:lastRowFirstColumn="0" w:lastRowLastColumn="0"/>
              <w:rPr>
                <w:sz w:val="22"/>
              </w:rPr>
            </w:pPr>
            <w:r w:rsidRPr="003A70F7">
              <w:rPr>
                <w:sz w:val="22"/>
              </w:rPr>
              <w:t>Fit-out density (m</w:t>
            </w:r>
            <w:r w:rsidRPr="003A70F7">
              <w:rPr>
                <w:sz w:val="22"/>
                <w:vertAlign w:val="superscript"/>
              </w:rPr>
              <w:t xml:space="preserve">2 </w:t>
            </w:r>
            <w:r w:rsidRPr="003A70F7">
              <w:rPr>
                <w:sz w:val="22"/>
              </w:rPr>
              <w:t xml:space="preserve">/ </w:t>
            </w:r>
            <w:proofErr w:type="spellStart"/>
            <w:r w:rsidRPr="003A70F7">
              <w:rPr>
                <w:sz w:val="22"/>
              </w:rPr>
              <w:t>workpoint</w:t>
            </w:r>
            <w:proofErr w:type="spellEnd"/>
            <w:r w:rsidRPr="003A70F7">
              <w:rPr>
                <w:sz w:val="22"/>
              </w:rPr>
              <w:t>)</w:t>
            </w:r>
          </w:p>
          <w:p w:rsidR="001C285E" w:rsidRPr="003A70F7" w:rsidRDefault="001C285E" w:rsidP="001C285E">
            <w:pPr>
              <w:pStyle w:val="TableText"/>
              <w:cnfStyle w:val="000000000000" w:firstRow="0" w:lastRow="0" w:firstColumn="0" w:lastColumn="0" w:oddVBand="0" w:evenVBand="0" w:oddHBand="0" w:evenHBand="0" w:firstRowFirstColumn="0" w:firstRowLastColumn="0" w:lastRowFirstColumn="0" w:lastRowLastColumn="0"/>
              <w:rPr>
                <w:sz w:val="22"/>
              </w:rPr>
            </w:pPr>
            <w:r w:rsidRPr="003A70F7">
              <w:rPr>
                <w:sz w:val="22"/>
              </w:rPr>
              <w:t>Occupational density (m</w:t>
            </w:r>
            <w:r w:rsidRPr="003A70F7">
              <w:rPr>
                <w:sz w:val="22"/>
                <w:vertAlign w:val="superscript"/>
              </w:rPr>
              <w:t xml:space="preserve">2 </w:t>
            </w:r>
            <w:r w:rsidRPr="003A70F7">
              <w:rPr>
                <w:sz w:val="22"/>
              </w:rPr>
              <w:t xml:space="preserve">/ occupied </w:t>
            </w:r>
            <w:proofErr w:type="spellStart"/>
            <w:r w:rsidRPr="003A70F7">
              <w:rPr>
                <w:sz w:val="22"/>
              </w:rPr>
              <w:t>workpoint</w:t>
            </w:r>
            <w:proofErr w:type="spellEnd"/>
            <w:r w:rsidRPr="003A70F7">
              <w:rPr>
                <w:sz w:val="22"/>
              </w:rPr>
              <w:t>)</w:t>
            </w:r>
          </w:p>
          <w:p w:rsidR="001C285E" w:rsidRPr="003A70F7" w:rsidRDefault="001C285E" w:rsidP="001C285E">
            <w:pPr>
              <w:pStyle w:val="TableText"/>
              <w:cnfStyle w:val="000000000000" w:firstRow="0" w:lastRow="0" w:firstColumn="0" w:lastColumn="0" w:oddVBand="0" w:evenVBand="0" w:oddHBand="0" w:evenHBand="0" w:firstRowFirstColumn="0" w:firstRowLastColumn="0" w:lastRowFirstColumn="0" w:lastRowLastColumn="0"/>
              <w:rPr>
                <w:sz w:val="22"/>
              </w:rPr>
            </w:pPr>
            <w:proofErr w:type="spellStart"/>
            <w:r w:rsidRPr="003A70F7">
              <w:rPr>
                <w:sz w:val="22"/>
              </w:rPr>
              <w:t>Workpoint</w:t>
            </w:r>
            <w:proofErr w:type="spellEnd"/>
            <w:r w:rsidRPr="003A70F7">
              <w:rPr>
                <w:sz w:val="22"/>
              </w:rPr>
              <w:t xml:space="preserve"> vacancy (%)</w:t>
            </w:r>
          </w:p>
        </w:tc>
      </w:tr>
      <w:tr w:rsidR="001C285E" w:rsidRPr="00A73272" w:rsidTr="001C285E">
        <w:tc>
          <w:tcPr>
            <w:cnfStyle w:val="001000000000" w:firstRow="0" w:lastRow="0" w:firstColumn="1" w:lastColumn="0" w:oddVBand="0" w:evenVBand="0" w:oddHBand="0" w:evenHBand="0" w:firstRowFirstColumn="0" w:firstRowLastColumn="0" w:lastRowFirstColumn="0" w:lastRowLastColumn="0"/>
            <w:tcW w:w="4530" w:type="dxa"/>
          </w:tcPr>
          <w:p w:rsidR="001C285E" w:rsidRPr="003A70F7" w:rsidRDefault="001C285E" w:rsidP="001C285E">
            <w:pPr>
              <w:pStyle w:val="TableText"/>
              <w:rPr>
                <w:sz w:val="22"/>
              </w:rPr>
            </w:pPr>
            <w:r w:rsidRPr="003A70F7">
              <w:rPr>
                <w:sz w:val="22"/>
              </w:rPr>
              <w:t>Costs</w:t>
            </w:r>
          </w:p>
        </w:tc>
        <w:tc>
          <w:tcPr>
            <w:tcW w:w="4530" w:type="dxa"/>
          </w:tcPr>
          <w:p w:rsidR="001C285E" w:rsidRPr="003A70F7" w:rsidRDefault="001C285E" w:rsidP="001C285E">
            <w:pPr>
              <w:pStyle w:val="TableText"/>
              <w:cnfStyle w:val="000000000000" w:firstRow="0" w:lastRow="0" w:firstColumn="0" w:lastColumn="0" w:oddVBand="0" w:evenVBand="0" w:oddHBand="0" w:evenHBand="0" w:firstRowFirstColumn="0" w:firstRowLastColumn="0" w:lastRowFirstColumn="0" w:lastRowLastColumn="0"/>
              <w:rPr>
                <w:sz w:val="22"/>
              </w:rPr>
            </w:pPr>
            <w:r w:rsidRPr="003A70F7">
              <w:rPr>
                <w:sz w:val="22"/>
              </w:rPr>
              <w:t>Rent per square metre ($ / m</w:t>
            </w:r>
            <w:r w:rsidRPr="003A70F7">
              <w:rPr>
                <w:rStyle w:val="superscript"/>
                <w:sz w:val="22"/>
              </w:rPr>
              <w:t>2</w:t>
            </w:r>
            <w:r w:rsidRPr="003A70F7">
              <w:rPr>
                <w:sz w:val="22"/>
              </w:rPr>
              <w:t xml:space="preserve"> / p.a.)</w:t>
            </w:r>
          </w:p>
          <w:p w:rsidR="001C285E" w:rsidRPr="003A70F7" w:rsidRDefault="001C285E" w:rsidP="001C285E">
            <w:pPr>
              <w:pStyle w:val="TableText"/>
              <w:cnfStyle w:val="000000000000" w:firstRow="0" w:lastRow="0" w:firstColumn="0" w:lastColumn="0" w:oddVBand="0" w:evenVBand="0" w:oddHBand="0" w:evenHBand="0" w:firstRowFirstColumn="0" w:firstRowLastColumn="0" w:lastRowFirstColumn="0" w:lastRowLastColumn="0"/>
              <w:rPr>
                <w:sz w:val="22"/>
              </w:rPr>
            </w:pPr>
            <w:r w:rsidRPr="003A70F7">
              <w:rPr>
                <w:sz w:val="22"/>
              </w:rPr>
              <w:t xml:space="preserve">Other property operating costs per square metre </w:t>
            </w:r>
            <w:r w:rsidRPr="003A70F7">
              <w:rPr>
                <w:sz w:val="22"/>
              </w:rPr>
              <w:br/>
              <w:t>($ / m</w:t>
            </w:r>
            <w:r w:rsidRPr="003A70F7">
              <w:rPr>
                <w:rStyle w:val="superscript"/>
                <w:sz w:val="22"/>
              </w:rPr>
              <w:t>2</w:t>
            </w:r>
            <w:r w:rsidRPr="003A70F7">
              <w:rPr>
                <w:sz w:val="22"/>
              </w:rPr>
              <w:t xml:space="preserve"> / p.a.)</w:t>
            </w:r>
          </w:p>
          <w:p w:rsidR="001C285E" w:rsidRPr="003A70F7" w:rsidRDefault="001C285E" w:rsidP="001C285E">
            <w:pPr>
              <w:pStyle w:val="TableText"/>
              <w:cnfStyle w:val="000000000000" w:firstRow="0" w:lastRow="0" w:firstColumn="0" w:lastColumn="0" w:oddVBand="0" w:evenVBand="0" w:oddHBand="0" w:evenHBand="0" w:firstRowFirstColumn="0" w:firstRowLastColumn="0" w:lastRowFirstColumn="0" w:lastRowLastColumn="0"/>
              <w:rPr>
                <w:sz w:val="22"/>
              </w:rPr>
            </w:pPr>
            <w:r w:rsidRPr="003A70F7">
              <w:rPr>
                <w:sz w:val="22"/>
              </w:rPr>
              <w:t>Total property costs per square metre ($ / m</w:t>
            </w:r>
            <w:r w:rsidRPr="003A70F7">
              <w:rPr>
                <w:rStyle w:val="superscript"/>
                <w:sz w:val="22"/>
              </w:rPr>
              <w:t>2</w:t>
            </w:r>
            <w:r w:rsidRPr="003A70F7">
              <w:rPr>
                <w:sz w:val="22"/>
              </w:rPr>
              <w:t xml:space="preserve"> / p.a.)</w:t>
            </w:r>
          </w:p>
          <w:p w:rsidR="001C285E" w:rsidRPr="003A70F7" w:rsidRDefault="001C285E" w:rsidP="001C285E">
            <w:pPr>
              <w:pStyle w:val="TableText"/>
              <w:cnfStyle w:val="000000000000" w:firstRow="0" w:lastRow="0" w:firstColumn="0" w:lastColumn="0" w:oddVBand="0" w:evenVBand="0" w:oddHBand="0" w:evenHBand="0" w:firstRowFirstColumn="0" w:firstRowLastColumn="0" w:lastRowFirstColumn="0" w:lastRowLastColumn="0"/>
              <w:rPr>
                <w:sz w:val="22"/>
              </w:rPr>
            </w:pPr>
            <w:r w:rsidRPr="003A70F7">
              <w:rPr>
                <w:spacing w:val="-3"/>
                <w:sz w:val="22"/>
              </w:rPr>
              <w:t>Total property costs as a percentage of total operating expenses (%</w:t>
            </w:r>
            <w:r w:rsidRPr="003A70F7">
              <w:rPr>
                <w:sz w:val="22"/>
              </w:rPr>
              <w:t>)</w:t>
            </w:r>
          </w:p>
        </w:tc>
      </w:tr>
      <w:tr w:rsidR="001C285E" w:rsidRPr="00A73272" w:rsidTr="001C285E">
        <w:tc>
          <w:tcPr>
            <w:cnfStyle w:val="001000000000" w:firstRow="0" w:lastRow="0" w:firstColumn="1" w:lastColumn="0" w:oddVBand="0" w:evenVBand="0" w:oddHBand="0" w:evenHBand="0" w:firstRowFirstColumn="0" w:firstRowLastColumn="0" w:lastRowFirstColumn="0" w:lastRowLastColumn="0"/>
            <w:tcW w:w="4530" w:type="dxa"/>
          </w:tcPr>
          <w:p w:rsidR="001C285E" w:rsidRPr="003A70F7" w:rsidRDefault="001C285E" w:rsidP="001C285E">
            <w:pPr>
              <w:pStyle w:val="TableText"/>
              <w:rPr>
                <w:sz w:val="22"/>
              </w:rPr>
            </w:pPr>
            <w:r w:rsidRPr="003A70F7">
              <w:rPr>
                <w:sz w:val="22"/>
              </w:rPr>
              <w:t>Work practices</w:t>
            </w:r>
          </w:p>
        </w:tc>
        <w:tc>
          <w:tcPr>
            <w:tcW w:w="4530" w:type="dxa"/>
          </w:tcPr>
          <w:p w:rsidR="001C285E" w:rsidRPr="003A70F7" w:rsidRDefault="001C285E" w:rsidP="001C285E">
            <w:pPr>
              <w:pStyle w:val="TableText"/>
              <w:cnfStyle w:val="000000000000" w:firstRow="0" w:lastRow="0" w:firstColumn="0" w:lastColumn="0" w:oddVBand="0" w:evenVBand="0" w:oddHBand="0" w:evenHBand="0" w:firstRowFirstColumn="0" w:firstRowLastColumn="0" w:lastRowFirstColumn="0" w:lastRowLastColumn="0"/>
              <w:rPr>
                <w:sz w:val="22"/>
              </w:rPr>
            </w:pPr>
            <w:r w:rsidRPr="003A70F7">
              <w:rPr>
                <w:sz w:val="22"/>
              </w:rPr>
              <w:t>Percentage of employees participating in formal desk-sharing or formal work from home arrangements (%)</w:t>
            </w:r>
          </w:p>
        </w:tc>
      </w:tr>
      <w:tr w:rsidR="001C285E" w:rsidRPr="00A73272" w:rsidTr="001C285E">
        <w:tc>
          <w:tcPr>
            <w:cnfStyle w:val="001000000000" w:firstRow="0" w:lastRow="0" w:firstColumn="1" w:lastColumn="0" w:oddVBand="0" w:evenVBand="0" w:oddHBand="0" w:evenHBand="0" w:firstRowFirstColumn="0" w:firstRowLastColumn="0" w:lastRowFirstColumn="0" w:lastRowLastColumn="0"/>
            <w:tcW w:w="4530" w:type="dxa"/>
          </w:tcPr>
          <w:p w:rsidR="001C285E" w:rsidRPr="003A70F7" w:rsidRDefault="001C285E" w:rsidP="001C285E">
            <w:pPr>
              <w:pStyle w:val="TableText"/>
              <w:rPr>
                <w:sz w:val="22"/>
              </w:rPr>
            </w:pPr>
            <w:r w:rsidRPr="003A70F7">
              <w:rPr>
                <w:sz w:val="22"/>
              </w:rPr>
              <w:t>Environmental sustainability</w:t>
            </w:r>
          </w:p>
        </w:tc>
        <w:tc>
          <w:tcPr>
            <w:tcW w:w="4530" w:type="dxa"/>
          </w:tcPr>
          <w:p w:rsidR="001C285E" w:rsidRPr="003A70F7" w:rsidRDefault="001C285E" w:rsidP="001C285E">
            <w:pPr>
              <w:pStyle w:val="TableText"/>
              <w:cnfStyle w:val="000000000000" w:firstRow="0" w:lastRow="0" w:firstColumn="0" w:lastColumn="0" w:oddVBand="0" w:evenVBand="0" w:oddHBand="0" w:evenHBand="0" w:firstRowFirstColumn="0" w:firstRowLastColumn="0" w:lastRowFirstColumn="0" w:lastRowLastColumn="0"/>
              <w:rPr>
                <w:sz w:val="22"/>
              </w:rPr>
            </w:pPr>
            <w:r w:rsidRPr="003A70F7">
              <w:rPr>
                <w:sz w:val="22"/>
              </w:rPr>
              <w:t>Energy usage per square metre (MJ / m</w:t>
            </w:r>
            <w:r w:rsidRPr="003A70F7">
              <w:rPr>
                <w:rStyle w:val="superscript"/>
                <w:sz w:val="22"/>
              </w:rPr>
              <w:t>2</w:t>
            </w:r>
            <w:r w:rsidRPr="003A70F7">
              <w:rPr>
                <w:sz w:val="22"/>
              </w:rPr>
              <w:t xml:space="preserve"> / p.a.) - Base Building</w:t>
            </w:r>
          </w:p>
          <w:p w:rsidR="001C285E" w:rsidRPr="003A70F7" w:rsidRDefault="001C285E" w:rsidP="001C285E">
            <w:pPr>
              <w:pStyle w:val="TableText"/>
              <w:cnfStyle w:val="000000000000" w:firstRow="0" w:lastRow="0" w:firstColumn="0" w:lastColumn="0" w:oddVBand="0" w:evenVBand="0" w:oddHBand="0" w:evenHBand="0" w:firstRowFirstColumn="0" w:firstRowLastColumn="0" w:lastRowFirstColumn="0" w:lastRowLastColumn="0"/>
              <w:rPr>
                <w:sz w:val="22"/>
              </w:rPr>
            </w:pPr>
            <w:r w:rsidRPr="003A70F7">
              <w:rPr>
                <w:sz w:val="22"/>
              </w:rPr>
              <w:t xml:space="preserve">Energy usage per person (MJ / occupied </w:t>
            </w:r>
            <w:proofErr w:type="spellStart"/>
            <w:r w:rsidRPr="003A70F7">
              <w:rPr>
                <w:sz w:val="22"/>
              </w:rPr>
              <w:t>workpoint</w:t>
            </w:r>
            <w:proofErr w:type="spellEnd"/>
            <w:r w:rsidRPr="003A70F7">
              <w:rPr>
                <w:sz w:val="22"/>
              </w:rPr>
              <w:t xml:space="preserve"> / p.a.) – Tenancy</w:t>
            </w:r>
          </w:p>
          <w:p w:rsidR="001C285E" w:rsidRPr="003A70F7" w:rsidRDefault="001C285E" w:rsidP="001C285E">
            <w:pPr>
              <w:pStyle w:val="TableText"/>
              <w:cnfStyle w:val="000000000000" w:firstRow="0" w:lastRow="0" w:firstColumn="0" w:lastColumn="0" w:oddVBand="0" w:evenVBand="0" w:oddHBand="0" w:evenHBand="0" w:firstRowFirstColumn="0" w:firstRowLastColumn="0" w:lastRowFirstColumn="0" w:lastRowLastColumn="0"/>
              <w:rPr>
                <w:sz w:val="22"/>
              </w:rPr>
            </w:pPr>
            <w:r w:rsidRPr="003A70F7">
              <w:rPr>
                <w:sz w:val="22"/>
              </w:rPr>
              <w:t>National Australian Built Environment Rating System (NABERS) Energy rating (stars) - Tenancy and Base Building</w:t>
            </w:r>
          </w:p>
        </w:tc>
      </w:tr>
    </w:tbl>
    <w:p w:rsidR="001C285E" w:rsidRPr="00A73272" w:rsidRDefault="001C285E" w:rsidP="001C285E"/>
    <w:p w:rsidR="00422C07" w:rsidRDefault="00422C07">
      <w:pPr>
        <w:suppressAutoHyphens w:val="0"/>
        <w:spacing w:before="0" w:after="120" w:line="440" w:lineRule="atLeast"/>
      </w:pPr>
      <w:r>
        <w:br w:type="page"/>
      </w:r>
    </w:p>
    <w:p w:rsidR="001C285E" w:rsidRPr="00A73272" w:rsidRDefault="001C285E" w:rsidP="001C285E">
      <w:pPr>
        <w:pStyle w:val="Heading1Numbered"/>
      </w:pPr>
      <w:r w:rsidRPr="00A73272">
        <w:lastRenderedPageBreak/>
        <w:t>Executive summary</w:t>
      </w:r>
    </w:p>
    <w:p w:rsidR="00907278" w:rsidRPr="00422C07" w:rsidRDefault="00907278" w:rsidP="00907278">
      <w:pPr>
        <w:rPr>
          <w:b/>
          <w:i/>
          <w:color w:val="0070C0"/>
        </w:rPr>
      </w:pPr>
      <w:r w:rsidRPr="00422C07">
        <w:rPr>
          <w:color w:val="0070C0"/>
        </w:rPr>
        <w:t>(Guide: maximum one page)</w:t>
      </w:r>
    </w:p>
    <w:p w:rsidR="00907278" w:rsidRPr="00AE6F90" w:rsidRDefault="00907278" w:rsidP="00907278">
      <w:pPr>
        <w:pStyle w:val="Bullet1"/>
        <w:rPr>
          <w:highlight w:val="lightGray"/>
        </w:rPr>
      </w:pPr>
      <w:r w:rsidRPr="00AE6F90">
        <w:rPr>
          <w:highlight w:val="lightGray"/>
        </w:rPr>
        <w:t xml:space="preserve">The executive summary should provide a high-level overview of the information contained within the property management plan and may be designed to be read without the accompanying sections. </w:t>
      </w:r>
    </w:p>
    <w:p w:rsidR="00907278" w:rsidRPr="00AE6F90" w:rsidRDefault="00907278" w:rsidP="00907278">
      <w:pPr>
        <w:pStyle w:val="Bullet1"/>
        <w:rPr>
          <w:highlight w:val="lightGray"/>
        </w:rPr>
      </w:pPr>
      <w:r w:rsidRPr="00AE6F90">
        <w:rPr>
          <w:highlight w:val="lightGray"/>
        </w:rPr>
        <w:t>In this section, it may be useful to include:</w:t>
      </w:r>
    </w:p>
    <w:p w:rsidR="00907278" w:rsidRPr="00AE6F90" w:rsidRDefault="00907278" w:rsidP="00907278">
      <w:pPr>
        <w:pStyle w:val="Bullet2"/>
        <w:rPr>
          <w:highlight w:val="lightGray"/>
        </w:rPr>
      </w:pPr>
      <w:r w:rsidRPr="00AE6F90">
        <w:rPr>
          <w:highlight w:val="lightGray"/>
        </w:rPr>
        <w:t>a statement about the purpose of the property management plan;</w:t>
      </w:r>
    </w:p>
    <w:p w:rsidR="00907278" w:rsidRPr="00AE6F90" w:rsidRDefault="00907278" w:rsidP="00907278">
      <w:pPr>
        <w:pStyle w:val="Bullet2"/>
        <w:rPr>
          <w:highlight w:val="lightGray"/>
        </w:rPr>
      </w:pPr>
      <w:r w:rsidRPr="00AE6F90">
        <w:rPr>
          <w:highlight w:val="lightGray"/>
        </w:rPr>
        <w:t>the time period that the property management plan covers and the timing of the next review;</w:t>
      </w:r>
    </w:p>
    <w:p w:rsidR="00907278" w:rsidRPr="00AE6F90" w:rsidRDefault="00907278" w:rsidP="00907278">
      <w:pPr>
        <w:pStyle w:val="Bullet2"/>
        <w:rPr>
          <w:highlight w:val="lightGray"/>
        </w:rPr>
      </w:pPr>
      <w:r w:rsidRPr="00AE6F90">
        <w:rPr>
          <w:highlight w:val="lightGray"/>
        </w:rPr>
        <w:t xml:space="preserve">a high level summary of the </w:t>
      </w:r>
      <w:r w:rsidR="00D20019">
        <w:rPr>
          <w:highlight w:val="lightGray"/>
        </w:rPr>
        <w:t>NCE</w:t>
      </w:r>
      <w:r w:rsidRPr="00AE6F90">
        <w:rPr>
          <w:highlight w:val="lightGray"/>
        </w:rPr>
        <w:t xml:space="preserve">’s property portfolio e.g. aggregate details, including locations and tenancy areas by State, in tabular form where useful; </w:t>
      </w:r>
    </w:p>
    <w:p w:rsidR="00907278" w:rsidRPr="00AE6F90" w:rsidRDefault="00907278" w:rsidP="00907278">
      <w:pPr>
        <w:pStyle w:val="Bullet2"/>
        <w:rPr>
          <w:highlight w:val="lightGray"/>
        </w:rPr>
      </w:pPr>
      <w:r w:rsidRPr="00AE6F90">
        <w:rPr>
          <w:highlight w:val="lightGray"/>
        </w:rPr>
        <w:t>the overarching property management strategies and goals;</w:t>
      </w:r>
    </w:p>
    <w:p w:rsidR="00907278" w:rsidRPr="00AE6F90" w:rsidRDefault="00907278" w:rsidP="00907278">
      <w:pPr>
        <w:pStyle w:val="Bullet2"/>
        <w:rPr>
          <w:highlight w:val="lightGray"/>
        </w:rPr>
      </w:pPr>
      <w:r w:rsidRPr="00AE6F90">
        <w:rPr>
          <w:highlight w:val="lightGray"/>
        </w:rPr>
        <w:t xml:space="preserve">a summary of the assessments undertaken; </w:t>
      </w:r>
    </w:p>
    <w:p w:rsidR="00907278" w:rsidRPr="00AE6F90" w:rsidRDefault="00907278" w:rsidP="00907278">
      <w:pPr>
        <w:pStyle w:val="Bullet2"/>
        <w:rPr>
          <w:highlight w:val="lightGray"/>
        </w:rPr>
      </w:pPr>
      <w:r w:rsidRPr="00AE6F90">
        <w:rPr>
          <w:highlight w:val="lightGray"/>
        </w:rPr>
        <w:t>an outline of the consultation and approval processes; and</w:t>
      </w:r>
    </w:p>
    <w:p w:rsidR="00907278" w:rsidRPr="00AE6F90" w:rsidRDefault="00907278" w:rsidP="00907278">
      <w:pPr>
        <w:pStyle w:val="Bullet2"/>
        <w:rPr>
          <w:highlight w:val="lightGray"/>
        </w:rPr>
      </w:pPr>
      <w:proofErr w:type="gramStart"/>
      <w:r w:rsidRPr="00AE6F90">
        <w:rPr>
          <w:highlight w:val="lightGray"/>
        </w:rPr>
        <w:t>a</w:t>
      </w:r>
      <w:proofErr w:type="gramEnd"/>
      <w:r w:rsidRPr="00AE6F90">
        <w:rPr>
          <w:highlight w:val="lightGray"/>
        </w:rPr>
        <w:t xml:space="preserve"> statement of the risks and opportunities considered as part of the </w:t>
      </w:r>
      <w:r w:rsidR="00D20019">
        <w:rPr>
          <w:highlight w:val="lightGray"/>
        </w:rPr>
        <w:t>NCE</w:t>
      </w:r>
      <w:r w:rsidRPr="00AE6F90">
        <w:rPr>
          <w:highlight w:val="lightGray"/>
        </w:rPr>
        <w:t>’s property management strategy.</w:t>
      </w:r>
    </w:p>
    <w:p w:rsidR="00EC0BD8" w:rsidRDefault="00EC0BD8">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rsidR="001C285E" w:rsidRPr="00A73272" w:rsidRDefault="001C285E" w:rsidP="001C285E">
      <w:pPr>
        <w:pStyle w:val="Heading1Numbered"/>
      </w:pPr>
      <w:r w:rsidRPr="00A73272">
        <w:lastRenderedPageBreak/>
        <w:t>Introduction</w:t>
      </w:r>
    </w:p>
    <w:p w:rsidR="00907278" w:rsidRPr="00AE6F90" w:rsidRDefault="00907278" w:rsidP="00907278">
      <w:pPr>
        <w:pStyle w:val="Bullets2ndindent"/>
        <w:numPr>
          <w:ilvl w:val="0"/>
          <w:numId w:val="0"/>
        </w:numPr>
        <w:rPr>
          <w:b/>
          <w:color w:val="0070C0"/>
          <w:sz w:val="24"/>
        </w:rPr>
      </w:pPr>
      <w:r w:rsidRPr="00AE6F90">
        <w:rPr>
          <w:color w:val="0070C0"/>
          <w:szCs w:val="20"/>
        </w:rPr>
        <w:t>(Guide: maximum one page)</w:t>
      </w:r>
    </w:p>
    <w:p w:rsidR="00907278" w:rsidRPr="00AE6F90" w:rsidRDefault="00907278" w:rsidP="00907278">
      <w:pPr>
        <w:pStyle w:val="Bullet1"/>
        <w:rPr>
          <w:highlight w:val="lightGray"/>
        </w:rPr>
      </w:pPr>
      <w:r w:rsidRPr="00AE6F90">
        <w:rPr>
          <w:highlight w:val="lightGray"/>
        </w:rPr>
        <w:t xml:space="preserve">The introduction should outline the role of property in meeting the objectives of the </w:t>
      </w:r>
      <w:r w:rsidR="00D20019">
        <w:rPr>
          <w:highlight w:val="lightGray"/>
        </w:rPr>
        <w:t>NCE</w:t>
      </w:r>
      <w:r w:rsidRPr="00AE6F90">
        <w:rPr>
          <w:highlight w:val="lightGray"/>
        </w:rPr>
        <w:t xml:space="preserve">. The introduction should help to establish the context in which the property management plan has been developed. </w:t>
      </w:r>
    </w:p>
    <w:p w:rsidR="00907278" w:rsidRPr="00AE6F90" w:rsidRDefault="00907278" w:rsidP="00907278">
      <w:pPr>
        <w:pStyle w:val="Bullet1"/>
        <w:rPr>
          <w:highlight w:val="lightGray"/>
        </w:rPr>
      </w:pPr>
      <w:r w:rsidRPr="00AE6F90">
        <w:rPr>
          <w:highlight w:val="lightGray"/>
        </w:rPr>
        <w:t>In this section, it may be useful to include:</w:t>
      </w:r>
    </w:p>
    <w:p w:rsidR="00907278" w:rsidRPr="00AE6F90" w:rsidRDefault="00907278" w:rsidP="00907278">
      <w:pPr>
        <w:pStyle w:val="Bullet2"/>
        <w:rPr>
          <w:highlight w:val="lightGray"/>
        </w:rPr>
      </w:pPr>
      <w:r w:rsidRPr="00AE6F90">
        <w:rPr>
          <w:highlight w:val="lightGray"/>
        </w:rPr>
        <w:t xml:space="preserve">an outline of the </w:t>
      </w:r>
      <w:r w:rsidR="00D20019">
        <w:rPr>
          <w:highlight w:val="lightGray"/>
        </w:rPr>
        <w:t>NCE</w:t>
      </w:r>
      <w:r w:rsidRPr="00AE6F90">
        <w:rPr>
          <w:highlight w:val="lightGray"/>
        </w:rPr>
        <w:t>’s objectives and principle activities;</w:t>
      </w:r>
    </w:p>
    <w:p w:rsidR="00907278" w:rsidRPr="00AE6F90" w:rsidRDefault="00907278" w:rsidP="00907278">
      <w:pPr>
        <w:pStyle w:val="Bullet2"/>
        <w:rPr>
          <w:highlight w:val="lightGray"/>
        </w:rPr>
      </w:pPr>
      <w:r w:rsidRPr="00AE6F90">
        <w:rPr>
          <w:highlight w:val="lightGray"/>
        </w:rPr>
        <w:t xml:space="preserve">a statement of the importance of property management to the operation and performance of the </w:t>
      </w:r>
      <w:r w:rsidR="00D20019">
        <w:rPr>
          <w:highlight w:val="lightGray"/>
        </w:rPr>
        <w:t>NCE</w:t>
      </w:r>
      <w:r w:rsidRPr="00AE6F90">
        <w:rPr>
          <w:highlight w:val="lightGray"/>
        </w:rPr>
        <w:t>;</w:t>
      </w:r>
    </w:p>
    <w:p w:rsidR="00907278" w:rsidRPr="00AE6F90" w:rsidRDefault="00907278" w:rsidP="00907278">
      <w:pPr>
        <w:pStyle w:val="Bullet2"/>
        <w:rPr>
          <w:highlight w:val="lightGray"/>
        </w:rPr>
      </w:pPr>
      <w:r w:rsidRPr="00AE6F90">
        <w:rPr>
          <w:highlight w:val="lightGray"/>
        </w:rPr>
        <w:t xml:space="preserve">a statement about the </w:t>
      </w:r>
      <w:r w:rsidR="00D20019">
        <w:rPr>
          <w:highlight w:val="lightGray"/>
        </w:rPr>
        <w:t>NCE</w:t>
      </w:r>
      <w:r w:rsidRPr="00AE6F90">
        <w:rPr>
          <w:highlight w:val="lightGray"/>
        </w:rPr>
        <w:t>’s property management priorities, projects and budget constraints;</w:t>
      </w:r>
    </w:p>
    <w:p w:rsidR="00907278" w:rsidRPr="00AE6F90" w:rsidRDefault="00907278" w:rsidP="00907278">
      <w:pPr>
        <w:pStyle w:val="Bullet2"/>
        <w:rPr>
          <w:highlight w:val="lightGray"/>
        </w:rPr>
      </w:pPr>
      <w:r w:rsidRPr="00AE6F90">
        <w:rPr>
          <w:highlight w:val="lightGray"/>
        </w:rPr>
        <w:t>brief commentary on the compliance of the property portfolio with Government policy or legislative requirements and relevant industry standards; and</w:t>
      </w:r>
    </w:p>
    <w:p w:rsidR="00907278" w:rsidRPr="00AE6F90" w:rsidRDefault="00907278" w:rsidP="00907278">
      <w:pPr>
        <w:pStyle w:val="Bullet2"/>
        <w:rPr>
          <w:highlight w:val="lightGray"/>
        </w:rPr>
      </w:pPr>
      <w:proofErr w:type="gramStart"/>
      <w:r w:rsidRPr="00AE6F90">
        <w:rPr>
          <w:highlight w:val="lightGray"/>
        </w:rPr>
        <w:t>a</w:t>
      </w:r>
      <w:proofErr w:type="gramEnd"/>
      <w:r w:rsidRPr="00AE6F90">
        <w:rPr>
          <w:highlight w:val="lightGray"/>
        </w:rPr>
        <w:t xml:space="preserve"> statement that demonstrates the </w:t>
      </w:r>
      <w:r w:rsidR="00D20019">
        <w:rPr>
          <w:highlight w:val="lightGray"/>
        </w:rPr>
        <w:t>NCE</w:t>
      </w:r>
      <w:r w:rsidRPr="00AE6F90">
        <w:rPr>
          <w:highlight w:val="lightGray"/>
        </w:rPr>
        <w:t xml:space="preserve">’s commitment to implementing the property management plan. </w:t>
      </w:r>
    </w:p>
    <w:p w:rsidR="00907278" w:rsidRPr="00AE6F90" w:rsidRDefault="00907278" w:rsidP="00907278">
      <w:pPr>
        <w:pStyle w:val="Bullet1"/>
        <w:rPr>
          <w:highlight w:val="lightGray"/>
        </w:rPr>
      </w:pPr>
      <w:r w:rsidRPr="00AE6F90">
        <w:rPr>
          <w:highlight w:val="lightGray"/>
        </w:rPr>
        <w:t xml:space="preserve">Information included in the property management plan should be consistent with other relevant publicly available documents and the </w:t>
      </w:r>
      <w:r w:rsidR="00D20019">
        <w:rPr>
          <w:highlight w:val="lightGray"/>
        </w:rPr>
        <w:t>NCE</w:t>
      </w:r>
      <w:r w:rsidRPr="00AE6F90">
        <w:rPr>
          <w:highlight w:val="lightGray"/>
        </w:rPr>
        <w:t xml:space="preserve">’s strategic plans. Most of the information required to outline the activities and objectives of the </w:t>
      </w:r>
      <w:r w:rsidR="00D20019">
        <w:rPr>
          <w:highlight w:val="lightGray"/>
        </w:rPr>
        <w:t>NCE</w:t>
      </w:r>
      <w:r w:rsidRPr="00AE6F90">
        <w:rPr>
          <w:highlight w:val="lightGray"/>
        </w:rPr>
        <w:t xml:space="preserve"> </w:t>
      </w:r>
      <w:proofErr w:type="gramStart"/>
      <w:r w:rsidRPr="00AE6F90">
        <w:rPr>
          <w:highlight w:val="lightGray"/>
        </w:rPr>
        <w:t>can be found</w:t>
      </w:r>
      <w:proofErr w:type="gramEnd"/>
      <w:r w:rsidRPr="00AE6F90">
        <w:rPr>
          <w:highlight w:val="lightGray"/>
        </w:rPr>
        <w:t xml:space="preserve"> in corporate or business plans, budget statements and annual reports. </w:t>
      </w:r>
    </w:p>
    <w:p w:rsidR="00907278" w:rsidRPr="00AE6F90" w:rsidRDefault="00907278" w:rsidP="00907278">
      <w:pPr>
        <w:pStyle w:val="Bullet1"/>
        <w:rPr>
          <w:highlight w:val="lightGray"/>
        </w:rPr>
      </w:pPr>
      <w:proofErr w:type="gramStart"/>
      <w:r w:rsidRPr="00AE6F90">
        <w:rPr>
          <w:highlight w:val="lightGray"/>
        </w:rPr>
        <w:t xml:space="preserve">When outlining the objectives and principal activities of the </w:t>
      </w:r>
      <w:r w:rsidR="00D20019">
        <w:rPr>
          <w:highlight w:val="lightGray"/>
        </w:rPr>
        <w:t>NCE</w:t>
      </w:r>
      <w:r w:rsidRPr="00AE6F90">
        <w:rPr>
          <w:highlight w:val="lightGray"/>
        </w:rPr>
        <w:t xml:space="preserve">, it would be useful to address the requirements of being in a specific location for the delivery of services (e.g. whether the </w:t>
      </w:r>
      <w:r w:rsidR="00D20019">
        <w:rPr>
          <w:highlight w:val="lightGray"/>
        </w:rPr>
        <w:t>NCE</w:t>
      </w:r>
      <w:r w:rsidRPr="00AE6F90">
        <w:rPr>
          <w:highlight w:val="lightGray"/>
        </w:rPr>
        <w:t xml:space="preserve"> needs to be in a central business district or other major activity node within a city’s metropolitan area, a major retail area, rural/remote areas or a combination thereof).</w:t>
      </w:r>
      <w:proofErr w:type="gramEnd"/>
      <w:r w:rsidRPr="00AE6F90">
        <w:rPr>
          <w:highlight w:val="lightGray"/>
        </w:rPr>
        <w:t xml:space="preserve"> It may also be useful to address any expected changes in future activities (e.g. </w:t>
      </w:r>
      <w:proofErr w:type="gramStart"/>
      <w:r w:rsidRPr="00AE6F90">
        <w:rPr>
          <w:highlight w:val="lightGray"/>
        </w:rPr>
        <w:t>as a result</w:t>
      </w:r>
      <w:proofErr w:type="gramEnd"/>
      <w:r w:rsidRPr="00AE6F90">
        <w:rPr>
          <w:highlight w:val="lightGray"/>
        </w:rPr>
        <w:t xml:space="preserve"> of new policy proposals or significant restructures) and any associated impacts on the property requirements of the </w:t>
      </w:r>
      <w:r w:rsidR="00D20019">
        <w:rPr>
          <w:highlight w:val="lightGray"/>
        </w:rPr>
        <w:t>NCE</w:t>
      </w:r>
      <w:r w:rsidRPr="00AE6F90">
        <w:rPr>
          <w:highlight w:val="lightGray"/>
        </w:rPr>
        <w:t xml:space="preserve"> and key stakeholders (e.g. </w:t>
      </w:r>
      <w:r w:rsidR="00D20019">
        <w:rPr>
          <w:highlight w:val="lightGray"/>
        </w:rPr>
        <w:t>NCE</w:t>
      </w:r>
      <w:r w:rsidRPr="00AE6F90">
        <w:rPr>
          <w:highlight w:val="lightGray"/>
        </w:rPr>
        <w:t xml:space="preserve"> employees and the public). </w:t>
      </w:r>
    </w:p>
    <w:p w:rsidR="00907278" w:rsidRPr="00AE6F90" w:rsidRDefault="00907278" w:rsidP="00907278">
      <w:pPr>
        <w:pStyle w:val="Bullet1"/>
        <w:rPr>
          <w:highlight w:val="lightGray"/>
        </w:rPr>
      </w:pPr>
      <w:r w:rsidRPr="00AE6F90">
        <w:rPr>
          <w:highlight w:val="lightGray"/>
        </w:rPr>
        <w:t xml:space="preserve">A statement about the </w:t>
      </w:r>
      <w:r w:rsidR="00D20019">
        <w:rPr>
          <w:highlight w:val="lightGray"/>
        </w:rPr>
        <w:t>NCE</w:t>
      </w:r>
      <w:r w:rsidRPr="00AE6F90">
        <w:rPr>
          <w:highlight w:val="lightGray"/>
        </w:rPr>
        <w:t xml:space="preserve">’s general property management priorities, strategies or goals and any budget constraints should help to inform the Accountable Authority (or an official authorised by the Accountable Authority) of the context in which the decisions or commitments contained within the property management plan were made. For example, priorities and strategies for </w:t>
      </w:r>
      <w:bookmarkStart w:id="0" w:name="_GoBack"/>
      <w:r w:rsidR="00D20019">
        <w:rPr>
          <w:highlight w:val="lightGray"/>
        </w:rPr>
        <w:t>NCEs</w:t>
      </w:r>
      <w:bookmarkEnd w:id="0"/>
      <w:r w:rsidRPr="00AE6F90">
        <w:rPr>
          <w:highlight w:val="lightGray"/>
        </w:rPr>
        <w:t xml:space="preserve"> with more frequently changing property needs may include </w:t>
      </w:r>
      <w:proofErr w:type="gramStart"/>
      <w:r w:rsidRPr="00AE6F90">
        <w:rPr>
          <w:highlight w:val="lightGray"/>
        </w:rPr>
        <w:t>shorter term</w:t>
      </w:r>
      <w:proofErr w:type="gramEnd"/>
      <w:r w:rsidRPr="00AE6F90">
        <w:rPr>
          <w:highlight w:val="lightGray"/>
        </w:rPr>
        <w:t xml:space="preserve"> leases with more flexible provisions, and allowance for and management of comparatively higher vacancy rates and office churn. In contrast, </w:t>
      </w:r>
      <w:r w:rsidR="00D20019">
        <w:rPr>
          <w:highlight w:val="lightGray"/>
        </w:rPr>
        <w:t>NCEs</w:t>
      </w:r>
      <w:r w:rsidRPr="00AE6F90">
        <w:rPr>
          <w:highlight w:val="lightGray"/>
        </w:rPr>
        <w:t xml:space="preserve"> with more stable property needs may opt for </w:t>
      </w:r>
      <w:proofErr w:type="gramStart"/>
      <w:r w:rsidRPr="00AE6F90">
        <w:rPr>
          <w:highlight w:val="lightGray"/>
        </w:rPr>
        <w:t>longer term</w:t>
      </w:r>
      <w:proofErr w:type="gramEnd"/>
      <w:r w:rsidRPr="00AE6F90">
        <w:rPr>
          <w:highlight w:val="lightGray"/>
        </w:rPr>
        <w:t xml:space="preserve"> leases and life cycle management programs. </w:t>
      </w:r>
    </w:p>
    <w:p w:rsidR="00907278" w:rsidRPr="00A73272" w:rsidRDefault="00907278" w:rsidP="00907278">
      <w:pPr>
        <w:pStyle w:val="Bullet1"/>
      </w:pPr>
      <w:r w:rsidRPr="00AE6F90">
        <w:rPr>
          <w:highlight w:val="lightGray"/>
        </w:rPr>
        <w:t xml:space="preserve">Brief commentary in relation to compliance of the </w:t>
      </w:r>
      <w:r w:rsidR="00D20019">
        <w:rPr>
          <w:highlight w:val="lightGray"/>
        </w:rPr>
        <w:t>NCE</w:t>
      </w:r>
      <w:r w:rsidRPr="00AE6F90">
        <w:rPr>
          <w:highlight w:val="lightGray"/>
        </w:rPr>
        <w:t>’s property arrangements with Government policy requirements and the ability to meet targets or industry standards may also be included. For example, maintaining a certain NABERS Energy rating and planning specifically to meet the occupational density target would be useful</w:t>
      </w:r>
      <w:r w:rsidRPr="00A73272">
        <w:t>.</w:t>
      </w:r>
    </w:p>
    <w:p w:rsidR="00EC0BD8" w:rsidRDefault="00EC0BD8">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rsidR="001C285E" w:rsidRPr="00A73272" w:rsidRDefault="001C285E" w:rsidP="001C285E">
      <w:pPr>
        <w:pStyle w:val="Heading1Numbered"/>
      </w:pPr>
      <w:r w:rsidRPr="00A73272">
        <w:lastRenderedPageBreak/>
        <w:t>Existing property portfolio and performance</w:t>
      </w:r>
    </w:p>
    <w:p w:rsidR="00907278" w:rsidRPr="00AE6F90" w:rsidRDefault="00907278" w:rsidP="00907278">
      <w:pPr>
        <w:pStyle w:val="Bullets2ndindent"/>
        <w:numPr>
          <w:ilvl w:val="0"/>
          <w:numId w:val="0"/>
        </w:numPr>
        <w:rPr>
          <w:color w:val="0070C0"/>
          <w:szCs w:val="22"/>
        </w:rPr>
      </w:pPr>
      <w:r w:rsidRPr="00AE6F90">
        <w:rPr>
          <w:color w:val="0070C0"/>
          <w:szCs w:val="22"/>
        </w:rPr>
        <w:t>(Guide: maximum two pages plus tables)</w:t>
      </w:r>
    </w:p>
    <w:p w:rsidR="00907278" w:rsidRPr="00A73272" w:rsidRDefault="00907278" w:rsidP="00907278">
      <w:pPr>
        <w:pStyle w:val="Bullet1"/>
        <w:numPr>
          <w:ilvl w:val="0"/>
          <w:numId w:val="0"/>
        </w:numPr>
      </w:pPr>
      <w:r w:rsidRPr="00AE6F90">
        <w:rPr>
          <w:highlight w:val="lightGray"/>
        </w:rPr>
        <w:t>The aim of this section is to provide a complete account of the existing property portfolio and the performance of each property</w:t>
      </w:r>
      <w:r w:rsidRPr="00A73272">
        <w:t>.</w:t>
      </w:r>
    </w:p>
    <w:p w:rsidR="00907278" w:rsidRPr="00A73272" w:rsidRDefault="00907278" w:rsidP="00907278">
      <w:pPr>
        <w:pStyle w:val="Heading2Numbered"/>
      </w:pPr>
      <w:r w:rsidRPr="00A73272">
        <w:t>Account of the existing property portfolio</w:t>
      </w:r>
    </w:p>
    <w:p w:rsidR="00907278" w:rsidRPr="00AE6F90" w:rsidRDefault="00907278" w:rsidP="00907278">
      <w:pPr>
        <w:pStyle w:val="Bullet1"/>
        <w:rPr>
          <w:highlight w:val="lightGray"/>
        </w:rPr>
      </w:pPr>
      <w:r w:rsidRPr="00AE6F90">
        <w:rPr>
          <w:highlight w:val="lightGray"/>
        </w:rPr>
        <w:t>In this section:</w:t>
      </w:r>
    </w:p>
    <w:p w:rsidR="00907278" w:rsidRPr="00AE6F90" w:rsidRDefault="00907278" w:rsidP="00907278">
      <w:pPr>
        <w:pStyle w:val="Bullet2"/>
        <w:rPr>
          <w:highlight w:val="lightGray"/>
        </w:rPr>
      </w:pPr>
      <w:r w:rsidRPr="00AE6F90">
        <w:rPr>
          <w:highlight w:val="lightGray"/>
        </w:rPr>
        <w:t xml:space="preserve">provide a description and inventory of the existing property portfolio, including any ongoing projects that affect it; and </w:t>
      </w:r>
    </w:p>
    <w:p w:rsidR="00907278" w:rsidRPr="00AE6F90" w:rsidRDefault="00907278" w:rsidP="00907278">
      <w:pPr>
        <w:pStyle w:val="Bullet2"/>
        <w:rPr>
          <w:highlight w:val="lightGray"/>
        </w:rPr>
      </w:pPr>
      <w:r w:rsidRPr="00AE6F90">
        <w:rPr>
          <w:highlight w:val="lightGray"/>
        </w:rPr>
        <w:t xml:space="preserve">record the details of the existing property portfolio, including: specific lease information; area occupied; employees accommodated; location; and costs. </w:t>
      </w:r>
    </w:p>
    <w:p w:rsidR="00907278" w:rsidRPr="00A73272" w:rsidRDefault="00907278" w:rsidP="00907278">
      <w:pPr>
        <w:pStyle w:val="Bullet1"/>
      </w:pPr>
      <w:r w:rsidRPr="00AE6F90">
        <w:rPr>
          <w:highlight w:val="lightGray"/>
        </w:rPr>
        <w:t>Refer to the ‘Property details’ table in the ‘Property profile - better practice templates’ at Appendix B for a suggested format. Where useful, the profile of existing properties could be used to generate a graph listing properties by lease expiry (grouped by property type, location etc) in order to help inform the timing of future property decisions</w:t>
      </w:r>
      <w:r w:rsidRPr="00A73272">
        <w:t>.</w:t>
      </w:r>
    </w:p>
    <w:p w:rsidR="00907278" w:rsidRPr="00A73272" w:rsidRDefault="00907278" w:rsidP="00907278">
      <w:pPr>
        <w:pStyle w:val="Heading2Numbered"/>
      </w:pPr>
      <w:r w:rsidRPr="00A73272">
        <w:t>Account of the performance of each property</w:t>
      </w:r>
    </w:p>
    <w:p w:rsidR="00907278" w:rsidRPr="00AE6F90" w:rsidRDefault="00907278" w:rsidP="00907278">
      <w:pPr>
        <w:pStyle w:val="Bullet1"/>
        <w:rPr>
          <w:highlight w:val="lightGray"/>
        </w:rPr>
      </w:pPr>
      <w:r w:rsidRPr="00AE6F90">
        <w:rPr>
          <w:highlight w:val="lightGray"/>
        </w:rPr>
        <w:t>Provide a description of the existing property portfolio’s performance (against relevant indicators); and</w:t>
      </w:r>
    </w:p>
    <w:p w:rsidR="00907278" w:rsidRPr="00AE6F90" w:rsidRDefault="00907278" w:rsidP="00907278">
      <w:pPr>
        <w:pStyle w:val="Bullet1"/>
        <w:rPr>
          <w:highlight w:val="lightGray"/>
        </w:rPr>
      </w:pPr>
      <w:r w:rsidRPr="00AE6F90">
        <w:rPr>
          <w:highlight w:val="lightGray"/>
        </w:rPr>
        <w:t xml:space="preserve">Record details of the performance of each property within the portfolio, including: property utilisation; density levels; costs; work practices; and environmental performance. </w:t>
      </w:r>
    </w:p>
    <w:p w:rsidR="00907278" w:rsidRPr="00AE6F90" w:rsidRDefault="00907278" w:rsidP="00907278">
      <w:pPr>
        <w:pStyle w:val="Bullet2"/>
        <w:rPr>
          <w:highlight w:val="lightGray"/>
        </w:rPr>
      </w:pPr>
      <w:r w:rsidRPr="00AE6F90">
        <w:rPr>
          <w:highlight w:val="lightGray"/>
        </w:rPr>
        <w:t>Refer to the ‘Property performance’ table in the ‘Property profile - better practice templates’ at Appendix B for a suggested format.</w:t>
      </w:r>
    </w:p>
    <w:p w:rsidR="00EC0BD8" w:rsidRDefault="00EC0BD8">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rsidR="001C285E" w:rsidRPr="00A73272" w:rsidRDefault="001C285E" w:rsidP="001C285E">
      <w:pPr>
        <w:pStyle w:val="Heading1Numbered"/>
      </w:pPr>
      <w:r w:rsidRPr="00A73272">
        <w:lastRenderedPageBreak/>
        <w:t>Existing and future property needs</w:t>
      </w:r>
    </w:p>
    <w:p w:rsidR="00907278" w:rsidRPr="00AE6F90" w:rsidRDefault="00907278" w:rsidP="00907278">
      <w:pPr>
        <w:pStyle w:val="Bullets2ndindent"/>
        <w:numPr>
          <w:ilvl w:val="0"/>
          <w:numId w:val="0"/>
        </w:numPr>
        <w:rPr>
          <w:color w:val="0070C0"/>
          <w:szCs w:val="22"/>
        </w:rPr>
      </w:pPr>
      <w:r w:rsidRPr="00AE6F90">
        <w:rPr>
          <w:color w:val="0070C0"/>
          <w:szCs w:val="22"/>
        </w:rPr>
        <w:t>(Guide: maximum two pages)</w:t>
      </w:r>
    </w:p>
    <w:p w:rsidR="00907278" w:rsidRPr="00AE6F90" w:rsidRDefault="00907278" w:rsidP="00907278">
      <w:pPr>
        <w:pStyle w:val="Bullet1"/>
        <w:rPr>
          <w:highlight w:val="lightGray"/>
        </w:rPr>
      </w:pPr>
      <w:r w:rsidRPr="00AE6F90">
        <w:rPr>
          <w:highlight w:val="lightGray"/>
        </w:rPr>
        <w:t xml:space="preserve">The aim of this section is to provide an account of the existing and future property needs of the </w:t>
      </w:r>
      <w:r w:rsidR="00D20019">
        <w:rPr>
          <w:highlight w:val="lightGray"/>
        </w:rPr>
        <w:t>NCE</w:t>
      </w:r>
      <w:r w:rsidRPr="00AE6F90">
        <w:rPr>
          <w:highlight w:val="lightGray"/>
        </w:rPr>
        <w:t xml:space="preserve"> (including short and longer-term needs).</w:t>
      </w:r>
    </w:p>
    <w:p w:rsidR="004F1EE8" w:rsidRPr="00422C07" w:rsidRDefault="004F1EE8" w:rsidP="004F1EE8">
      <w:pPr>
        <w:pStyle w:val="Bullet1"/>
      </w:pPr>
      <w:r w:rsidRPr="00AE6F90">
        <w:rPr>
          <w:highlight w:val="lightGray"/>
        </w:rPr>
        <w:t>require that an agency’s property management plan should address staffing level forecasts where possible as well as contingencies to deal with office churn</w:t>
      </w:r>
      <w:r w:rsidRPr="00422C07">
        <w:t>.</w:t>
      </w:r>
    </w:p>
    <w:p w:rsidR="004F1EE8" w:rsidRPr="00A73272" w:rsidRDefault="004F1EE8" w:rsidP="0003400B">
      <w:pPr>
        <w:pStyle w:val="Bullet1"/>
        <w:numPr>
          <w:ilvl w:val="0"/>
          <w:numId w:val="0"/>
        </w:numPr>
        <w:ind w:left="568"/>
      </w:pPr>
    </w:p>
    <w:p w:rsidR="00907278" w:rsidRPr="00A73272" w:rsidRDefault="00907278" w:rsidP="00907278">
      <w:pPr>
        <w:pStyle w:val="Heading2Numbered"/>
      </w:pPr>
      <w:r w:rsidRPr="00A73272">
        <w:t>Account of the existing property needs</w:t>
      </w:r>
    </w:p>
    <w:p w:rsidR="00907278" w:rsidRPr="00AE6F90" w:rsidRDefault="00907278" w:rsidP="00907278">
      <w:pPr>
        <w:pStyle w:val="Bullet1"/>
        <w:rPr>
          <w:highlight w:val="lightGray"/>
        </w:rPr>
      </w:pPr>
      <w:r w:rsidRPr="00AE6F90">
        <w:rPr>
          <w:highlight w:val="lightGray"/>
        </w:rPr>
        <w:t>In this section it may be useful to:</w:t>
      </w:r>
    </w:p>
    <w:p w:rsidR="00907278" w:rsidRPr="00AE6F90" w:rsidRDefault="00907278" w:rsidP="00907278">
      <w:pPr>
        <w:pStyle w:val="Bullet2"/>
        <w:rPr>
          <w:highlight w:val="lightGray"/>
        </w:rPr>
      </w:pPr>
      <w:r w:rsidRPr="00AE6F90">
        <w:rPr>
          <w:highlight w:val="lightGray"/>
        </w:rPr>
        <w:t xml:space="preserve">outline the existing property needs of the </w:t>
      </w:r>
      <w:r w:rsidR="00D20019">
        <w:rPr>
          <w:highlight w:val="lightGray"/>
        </w:rPr>
        <w:t>NCE</w:t>
      </w:r>
      <w:r w:rsidRPr="00AE6F90">
        <w:rPr>
          <w:highlight w:val="lightGray"/>
        </w:rPr>
        <w:t xml:space="preserve"> taking into account the objectives and function of the </w:t>
      </w:r>
      <w:r w:rsidR="00D20019">
        <w:rPr>
          <w:highlight w:val="lightGray"/>
        </w:rPr>
        <w:t>NCE</w:t>
      </w:r>
      <w:r w:rsidRPr="00AE6F90">
        <w:rPr>
          <w:highlight w:val="lightGray"/>
        </w:rPr>
        <w:t xml:space="preserve">; </w:t>
      </w:r>
    </w:p>
    <w:p w:rsidR="00907278" w:rsidRPr="00AE6F90" w:rsidRDefault="00907278" w:rsidP="00907278">
      <w:pPr>
        <w:pStyle w:val="Bullet2"/>
        <w:rPr>
          <w:highlight w:val="lightGray"/>
        </w:rPr>
      </w:pPr>
      <w:r w:rsidRPr="00AE6F90">
        <w:rPr>
          <w:highlight w:val="lightGray"/>
        </w:rPr>
        <w:t xml:space="preserve">provide a description of the existing property needs with respect to the following factors: location of properties; amount of space; employee numbers and capacity; building functionality; building or fit-out requirements; any related capital expenditure; operating costs (e.g. lease, utilities); and funding issues; and </w:t>
      </w:r>
    </w:p>
    <w:p w:rsidR="00907278" w:rsidRPr="00AE6F90" w:rsidRDefault="00907278" w:rsidP="00907278">
      <w:pPr>
        <w:pStyle w:val="Bullet2"/>
        <w:rPr>
          <w:highlight w:val="lightGray"/>
        </w:rPr>
      </w:pPr>
      <w:r w:rsidRPr="00AE6F90">
        <w:rPr>
          <w:highlight w:val="lightGray"/>
        </w:rPr>
        <w:t xml:space="preserve">specify who was consulted in compiling the information and any caveats that apply to the information or estimates. </w:t>
      </w:r>
    </w:p>
    <w:p w:rsidR="00907278" w:rsidRPr="00A73272" w:rsidRDefault="00907278" w:rsidP="00907278">
      <w:pPr>
        <w:pStyle w:val="Heading2Numbered"/>
      </w:pPr>
      <w:r w:rsidRPr="00A73272">
        <w:t>Account of the future property needs</w:t>
      </w:r>
    </w:p>
    <w:p w:rsidR="00907278" w:rsidRPr="00AE6F90" w:rsidRDefault="00907278" w:rsidP="00907278">
      <w:pPr>
        <w:pStyle w:val="Bullet1"/>
        <w:rPr>
          <w:highlight w:val="lightGray"/>
        </w:rPr>
      </w:pPr>
      <w:r w:rsidRPr="00AE6F90">
        <w:rPr>
          <w:highlight w:val="lightGray"/>
        </w:rPr>
        <w:t>In this section it may be useful to:</w:t>
      </w:r>
    </w:p>
    <w:p w:rsidR="00907278" w:rsidRPr="00AE6F90" w:rsidRDefault="00907278" w:rsidP="00907278">
      <w:pPr>
        <w:pStyle w:val="Bullet2"/>
        <w:rPr>
          <w:highlight w:val="lightGray"/>
        </w:rPr>
      </w:pPr>
      <w:r w:rsidRPr="00AE6F90">
        <w:rPr>
          <w:highlight w:val="lightGray"/>
        </w:rPr>
        <w:t xml:space="preserve">outline the anticipated future property needs of the </w:t>
      </w:r>
      <w:r w:rsidR="00D20019">
        <w:rPr>
          <w:highlight w:val="lightGray"/>
        </w:rPr>
        <w:t>NCE</w:t>
      </w:r>
      <w:r w:rsidRPr="00AE6F90">
        <w:rPr>
          <w:highlight w:val="lightGray"/>
        </w:rPr>
        <w:t xml:space="preserve">, taking into account the objectives, function and future direction of the </w:t>
      </w:r>
      <w:r w:rsidR="00D20019">
        <w:rPr>
          <w:highlight w:val="lightGray"/>
        </w:rPr>
        <w:t>NCE</w:t>
      </w:r>
      <w:r w:rsidRPr="00AE6F90">
        <w:rPr>
          <w:highlight w:val="lightGray"/>
        </w:rPr>
        <w:t>;</w:t>
      </w:r>
    </w:p>
    <w:p w:rsidR="00907278" w:rsidRPr="00AE6F90" w:rsidRDefault="00907278" w:rsidP="00907278">
      <w:pPr>
        <w:pStyle w:val="Bullet2"/>
        <w:rPr>
          <w:rFonts w:ascii="Cambria" w:hAnsi="Cambria" w:cs="Cambria"/>
          <w:highlight w:val="lightGray"/>
        </w:rPr>
      </w:pPr>
      <w:r w:rsidRPr="00AE6F90">
        <w:rPr>
          <w:highlight w:val="lightGray"/>
        </w:rPr>
        <w:t>describe the future property needs with respect to the following factors: location; amount of space; employee numbers and capacity; building functionality; building or fit</w:t>
      </w:r>
      <w:r w:rsidRPr="00AE6F90">
        <w:rPr>
          <w:rFonts w:ascii="MS Mincho" w:eastAsia="MS Mincho" w:hAnsi="MS Mincho" w:cs="MS Mincho" w:hint="eastAsia"/>
          <w:highlight w:val="lightGray"/>
        </w:rPr>
        <w:t>‑</w:t>
      </w:r>
      <w:r w:rsidRPr="00AE6F90">
        <w:rPr>
          <w:rFonts w:ascii="Cambria" w:hAnsi="Cambria" w:cs="Cambria"/>
          <w:highlight w:val="lightGray"/>
        </w:rPr>
        <w:t>out requirements; capital expenditure; operating costs; and funding issues; and</w:t>
      </w:r>
    </w:p>
    <w:p w:rsidR="00907278" w:rsidRPr="00AE6F90" w:rsidRDefault="00907278" w:rsidP="00907278">
      <w:pPr>
        <w:pStyle w:val="Bullet2"/>
        <w:rPr>
          <w:highlight w:val="lightGray"/>
        </w:rPr>
      </w:pPr>
      <w:r w:rsidRPr="00AE6F90">
        <w:rPr>
          <w:highlight w:val="lightGray"/>
        </w:rPr>
        <w:t>specify who was consulted in compiling the information and any caveats that apply to the information or estimates.</w:t>
      </w:r>
    </w:p>
    <w:p w:rsidR="00EC0BD8" w:rsidRDefault="00EC0BD8">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rsidR="001C285E" w:rsidRPr="00A73272" w:rsidRDefault="001C285E" w:rsidP="001C285E">
      <w:pPr>
        <w:pStyle w:val="Heading1Numbered"/>
      </w:pPr>
      <w:r w:rsidRPr="00A73272">
        <w:lastRenderedPageBreak/>
        <w:t>Risk Assessment</w:t>
      </w:r>
    </w:p>
    <w:p w:rsidR="00907278" w:rsidRPr="00AE6F90" w:rsidRDefault="00907278" w:rsidP="00907278">
      <w:pPr>
        <w:pStyle w:val="Bullets2ndindent"/>
        <w:numPr>
          <w:ilvl w:val="0"/>
          <w:numId w:val="0"/>
        </w:numPr>
        <w:rPr>
          <w:b/>
          <w:i/>
          <w:color w:val="0070C0"/>
          <w:szCs w:val="22"/>
        </w:rPr>
      </w:pPr>
      <w:r w:rsidRPr="00AE6F90">
        <w:rPr>
          <w:color w:val="0070C0"/>
          <w:szCs w:val="22"/>
        </w:rPr>
        <w:t>(Guide: maximum two pages)</w:t>
      </w:r>
    </w:p>
    <w:p w:rsidR="00907278" w:rsidRPr="00AE6F90" w:rsidRDefault="00907278" w:rsidP="00907278">
      <w:pPr>
        <w:pStyle w:val="Bullet1"/>
        <w:rPr>
          <w:highlight w:val="lightGray"/>
        </w:rPr>
      </w:pPr>
      <w:r w:rsidRPr="00AE6F90">
        <w:rPr>
          <w:highlight w:val="lightGray"/>
        </w:rPr>
        <w:t xml:space="preserve">The aim of this section is to identify the risks associated with the property portfolio not meeting the current and future needs of the </w:t>
      </w:r>
      <w:r w:rsidR="00D20019">
        <w:rPr>
          <w:highlight w:val="lightGray"/>
        </w:rPr>
        <w:t>NCE</w:t>
      </w:r>
      <w:r w:rsidRPr="00AE6F90">
        <w:rPr>
          <w:highlight w:val="lightGray"/>
        </w:rPr>
        <w:t xml:space="preserve"> and any mitigating strategies.</w:t>
      </w:r>
    </w:p>
    <w:p w:rsidR="00907278" w:rsidRPr="00AE6F90" w:rsidRDefault="00907278" w:rsidP="00907278">
      <w:pPr>
        <w:pStyle w:val="Bullet2"/>
        <w:rPr>
          <w:highlight w:val="lightGray"/>
        </w:rPr>
      </w:pPr>
      <w:r w:rsidRPr="00AE6F90">
        <w:rPr>
          <w:highlight w:val="lightGray"/>
        </w:rPr>
        <w:t>In this section it may be useful to:</w:t>
      </w:r>
    </w:p>
    <w:p w:rsidR="00907278" w:rsidRPr="00AE6F90" w:rsidRDefault="00907278" w:rsidP="00907278">
      <w:pPr>
        <w:pStyle w:val="Bullet2"/>
        <w:rPr>
          <w:highlight w:val="lightGray"/>
        </w:rPr>
      </w:pPr>
      <w:r w:rsidRPr="00AE6F90">
        <w:rPr>
          <w:highlight w:val="lightGray"/>
        </w:rPr>
        <w:t xml:space="preserve">develop a risk management plan that allocates responsibility to a senior manager for managing and reporting on the risks identified in an </w:t>
      </w:r>
      <w:r w:rsidR="00D20019">
        <w:rPr>
          <w:highlight w:val="lightGray"/>
        </w:rPr>
        <w:t>NCE</w:t>
      </w:r>
      <w:r w:rsidRPr="00AE6F90">
        <w:rPr>
          <w:highlight w:val="lightGray"/>
        </w:rPr>
        <w:t>’s property management plan;</w:t>
      </w:r>
    </w:p>
    <w:p w:rsidR="00907278" w:rsidRPr="00AE6F90" w:rsidRDefault="00907278" w:rsidP="00907278">
      <w:pPr>
        <w:pStyle w:val="Bullet2"/>
        <w:rPr>
          <w:highlight w:val="lightGray"/>
        </w:rPr>
      </w:pPr>
      <w:proofErr w:type="gramStart"/>
      <w:r w:rsidRPr="00AE6F90">
        <w:rPr>
          <w:highlight w:val="lightGray"/>
        </w:rPr>
        <w:t>undertake</w:t>
      </w:r>
      <w:proofErr w:type="gramEnd"/>
      <w:r w:rsidRPr="00AE6F90">
        <w:rPr>
          <w:highlight w:val="lightGray"/>
        </w:rPr>
        <w:t xml:space="preserve"> a risk assessment that considers an </w:t>
      </w:r>
      <w:r w:rsidR="00D20019">
        <w:rPr>
          <w:highlight w:val="lightGray"/>
        </w:rPr>
        <w:t>NCE</w:t>
      </w:r>
      <w:r w:rsidRPr="00AE6F90">
        <w:rPr>
          <w:highlight w:val="lightGray"/>
        </w:rPr>
        <w:t>’s appetite for managing risk in relation to its property assets. Careful consideration needs to be given to the use of these assets at both the minimum and maximum levels; and</w:t>
      </w:r>
    </w:p>
    <w:p w:rsidR="00907278" w:rsidRPr="00AE6F90" w:rsidRDefault="00907278" w:rsidP="00907278">
      <w:pPr>
        <w:pStyle w:val="Bullet2"/>
        <w:rPr>
          <w:highlight w:val="lightGray"/>
        </w:rPr>
      </w:pPr>
      <w:proofErr w:type="gramStart"/>
      <w:r w:rsidRPr="00AE6F90">
        <w:rPr>
          <w:highlight w:val="lightGray"/>
        </w:rPr>
        <w:t>check</w:t>
      </w:r>
      <w:proofErr w:type="gramEnd"/>
      <w:r w:rsidRPr="00AE6F90">
        <w:rPr>
          <w:highlight w:val="lightGray"/>
        </w:rPr>
        <w:t xml:space="preserve"> the </w:t>
      </w:r>
      <w:r w:rsidR="00D20019">
        <w:rPr>
          <w:highlight w:val="lightGray"/>
        </w:rPr>
        <w:t>NCE</w:t>
      </w:r>
      <w:r w:rsidRPr="00AE6F90">
        <w:rPr>
          <w:highlight w:val="lightGray"/>
        </w:rPr>
        <w:t xml:space="preserve">’s Comcover insurance policy to ensure it provides an appropriate level of cover to insure not only the </w:t>
      </w:r>
      <w:r w:rsidR="00D20019">
        <w:rPr>
          <w:highlight w:val="lightGray"/>
        </w:rPr>
        <w:t>NCE</w:t>
      </w:r>
      <w:r w:rsidRPr="00AE6F90">
        <w:rPr>
          <w:highlight w:val="lightGray"/>
        </w:rPr>
        <w:t>’s property assets, but also the impact of business interruption.</w:t>
      </w:r>
    </w:p>
    <w:p w:rsidR="00984FAA" w:rsidRPr="00AE6F90" w:rsidRDefault="00984FAA" w:rsidP="00E36947">
      <w:pPr>
        <w:pStyle w:val="Bullet1"/>
        <w:rPr>
          <w:highlight w:val="lightGray"/>
        </w:rPr>
      </w:pPr>
      <w:r w:rsidRPr="00AE6F90">
        <w:rPr>
          <w:highlight w:val="lightGray"/>
        </w:rPr>
        <w:t>Risks relating to property management may include:</w:t>
      </w:r>
    </w:p>
    <w:p w:rsidR="00984FAA" w:rsidRPr="00AE6F90" w:rsidRDefault="00984FAA" w:rsidP="00E36947">
      <w:pPr>
        <w:pStyle w:val="Bullet2"/>
        <w:rPr>
          <w:highlight w:val="lightGray"/>
        </w:rPr>
      </w:pPr>
      <w:r w:rsidRPr="00AE6F90">
        <w:rPr>
          <w:highlight w:val="lightGray"/>
        </w:rPr>
        <w:t xml:space="preserve">changes to the </w:t>
      </w:r>
      <w:r w:rsidR="00D20019">
        <w:rPr>
          <w:highlight w:val="lightGray"/>
        </w:rPr>
        <w:t>NCE</w:t>
      </w:r>
      <w:r w:rsidRPr="00AE6F90">
        <w:rPr>
          <w:highlight w:val="lightGray"/>
        </w:rPr>
        <w:t>’s role or property requirements due to machinery of Government, policy or budget changes;</w:t>
      </w:r>
    </w:p>
    <w:p w:rsidR="00984FAA" w:rsidRPr="00AE6F90" w:rsidRDefault="00984FAA" w:rsidP="00E36947">
      <w:pPr>
        <w:pStyle w:val="Bullet2"/>
        <w:rPr>
          <w:highlight w:val="lightGray"/>
        </w:rPr>
      </w:pPr>
      <w:r w:rsidRPr="00AE6F90">
        <w:rPr>
          <w:highlight w:val="lightGray"/>
        </w:rPr>
        <w:t>failure to accurately identify space requirements (in terms of location, quality or quantity);</w:t>
      </w:r>
    </w:p>
    <w:p w:rsidR="00984FAA" w:rsidRPr="00AE6F90" w:rsidRDefault="00984FAA" w:rsidP="00E36947">
      <w:pPr>
        <w:pStyle w:val="Bullet2"/>
        <w:rPr>
          <w:highlight w:val="lightGray"/>
        </w:rPr>
      </w:pPr>
      <w:r w:rsidRPr="00AE6F90">
        <w:rPr>
          <w:highlight w:val="lightGray"/>
        </w:rPr>
        <w:t xml:space="preserve">insufficient or inappropriate resources to carry out the </w:t>
      </w:r>
      <w:r w:rsidR="00D20019">
        <w:rPr>
          <w:highlight w:val="lightGray"/>
        </w:rPr>
        <w:t>NCE</w:t>
      </w:r>
      <w:r w:rsidRPr="00AE6F90">
        <w:rPr>
          <w:highlight w:val="lightGray"/>
        </w:rPr>
        <w:t xml:space="preserve">’s property-related activities e.g. lack of employees with the necessary skills; </w:t>
      </w:r>
    </w:p>
    <w:p w:rsidR="00984FAA" w:rsidRPr="00AE6F90" w:rsidRDefault="00984FAA" w:rsidP="00E36947">
      <w:pPr>
        <w:pStyle w:val="Bullet2"/>
        <w:rPr>
          <w:highlight w:val="lightGray"/>
        </w:rPr>
      </w:pPr>
      <w:r w:rsidRPr="00AE6F90">
        <w:rPr>
          <w:highlight w:val="lightGray"/>
        </w:rPr>
        <w:t>management systems not being able to identify inefficient use of space;</w:t>
      </w:r>
    </w:p>
    <w:p w:rsidR="00984FAA" w:rsidRPr="00AE6F90" w:rsidRDefault="00984FAA" w:rsidP="00E36947">
      <w:pPr>
        <w:pStyle w:val="Bullet2"/>
        <w:rPr>
          <w:highlight w:val="lightGray"/>
        </w:rPr>
      </w:pPr>
      <w:r w:rsidRPr="00AE6F90">
        <w:rPr>
          <w:highlight w:val="lightGray"/>
        </w:rPr>
        <w:t>poor maintenance of records e.g. inadequate lease documentation, key documents not filed;</w:t>
      </w:r>
    </w:p>
    <w:p w:rsidR="00984FAA" w:rsidRPr="00AE6F90" w:rsidRDefault="00984FAA" w:rsidP="00E36947">
      <w:pPr>
        <w:pStyle w:val="Bullet2"/>
        <w:rPr>
          <w:highlight w:val="lightGray"/>
        </w:rPr>
      </w:pPr>
      <w:r w:rsidRPr="00AE6F90">
        <w:rPr>
          <w:highlight w:val="lightGray"/>
        </w:rPr>
        <w:t>unduly onerous lease clauses;</w:t>
      </w:r>
    </w:p>
    <w:p w:rsidR="00984FAA" w:rsidRPr="00AE6F90" w:rsidRDefault="00984FAA" w:rsidP="00E36947">
      <w:pPr>
        <w:pStyle w:val="Bullet2"/>
        <w:rPr>
          <w:highlight w:val="lightGray"/>
        </w:rPr>
      </w:pPr>
      <w:r w:rsidRPr="00AE6F90">
        <w:rPr>
          <w:highlight w:val="lightGray"/>
        </w:rPr>
        <w:t xml:space="preserve">failure to understand and enforce contract provisions e.g. failure to exercise a lease option within the trigger period; </w:t>
      </w:r>
    </w:p>
    <w:p w:rsidR="00984FAA" w:rsidRPr="00AE6F90" w:rsidRDefault="00984FAA" w:rsidP="00E36947">
      <w:pPr>
        <w:pStyle w:val="Bullet2"/>
        <w:rPr>
          <w:highlight w:val="lightGray"/>
        </w:rPr>
      </w:pPr>
      <w:r w:rsidRPr="00AE6F90">
        <w:rPr>
          <w:highlight w:val="lightGray"/>
        </w:rPr>
        <w:t>inflexible property portfolio that cannot adapt to meet changing business requirements;</w:t>
      </w:r>
    </w:p>
    <w:p w:rsidR="00984FAA" w:rsidRPr="00AE6F90" w:rsidRDefault="00984FAA" w:rsidP="00E36947">
      <w:pPr>
        <w:pStyle w:val="Bullet2"/>
        <w:rPr>
          <w:highlight w:val="lightGray"/>
        </w:rPr>
      </w:pPr>
      <w:r w:rsidRPr="00AE6F90">
        <w:rPr>
          <w:highlight w:val="lightGray"/>
        </w:rPr>
        <w:t xml:space="preserve">damage to buildings and other property assets from adverse natural events e.g. storms, flooding and fire; </w:t>
      </w:r>
    </w:p>
    <w:p w:rsidR="00984FAA" w:rsidRPr="00AE6F90" w:rsidRDefault="00984FAA" w:rsidP="00E36947">
      <w:pPr>
        <w:pStyle w:val="Bullet2"/>
        <w:rPr>
          <w:highlight w:val="lightGray"/>
        </w:rPr>
      </w:pPr>
      <w:r w:rsidRPr="00AE6F90">
        <w:rPr>
          <w:highlight w:val="lightGray"/>
        </w:rPr>
        <w:t xml:space="preserve">exposure to hazards or environmental contamination; </w:t>
      </w:r>
    </w:p>
    <w:p w:rsidR="00984FAA" w:rsidRPr="00AE6F90" w:rsidRDefault="00984FAA" w:rsidP="00E36947">
      <w:pPr>
        <w:pStyle w:val="Bullet2"/>
        <w:rPr>
          <w:highlight w:val="lightGray"/>
        </w:rPr>
      </w:pPr>
      <w:r w:rsidRPr="00AE6F90">
        <w:rPr>
          <w:highlight w:val="lightGray"/>
        </w:rPr>
        <w:t>loss of property due to damage;</w:t>
      </w:r>
    </w:p>
    <w:p w:rsidR="00984FAA" w:rsidRPr="00AE6F90" w:rsidRDefault="00984FAA" w:rsidP="00E36947">
      <w:pPr>
        <w:pStyle w:val="Bullet2"/>
        <w:rPr>
          <w:highlight w:val="lightGray"/>
        </w:rPr>
      </w:pPr>
      <w:r w:rsidRPr="00AE6F90">
        <w:rPr>
          <w:highlight w:val="lightGray"/>
        </w:rPr>
        <w:t>failure of key infrastructure e.g. fire detection equipment; and</w:t>
      </w:r>
    </w:p>
    <w:p w:rsidR="00984FAA" w:rsidRPr="00AE6F90" w:rsidRDefault="00984FAA" w:rsidP="00E36947">
      <w:pPr>
        <w:pStyle w:val="Bullet2"/>
        <w:rPr>
          <w:highlight w:val="lightGray"/>
        </w:rPr>
      </w:pPr>
      <w:proofErr w:type="gramStart"/>
      <w:r w:rsidRPr="00AE6F90">
        <w:rPr>
          <w:highlight w:val="lightGray"/>
        </w:rPr>
        <w:t>failure</w:t>
      </w:r>
      <w:proofErr w:type="gramEnd"/>
      <w:r w:rsidRPr="00AE6F90">
        <w:rPr>
          <w:highlight w:val="lightGray"/>
        </w:rPr>
        <w:t xml:space="preserve"> to support unique </w:t>
      </w:r>
      <w:r w:rsidR="00D20019">
        <w:rPr>
          <w:highlight w:val="lightGray"/>
        </w:rPr>
        <w:t>NCE</w:t>
      </w:r>
      <w:r w:rsidRPr="00AE6F90">
        <w:rPr>
          <w:highlight w:val="lightGray"/>
        </w:rPr>
        <w:t xml:space="preserve"> requirements, such as an uninterrupted power supply.</w:t>
      </w:r>
    </w:p>
    <w:p w:rsidR="00EC0BD8" w:rsidRDefault="00EC0BD8">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rsidR="001C285E" w:rsidRPr="00A73272" w:rsidRDefault="00907278" w:rsidP="001C285E">
      <w:pPr>
        <w:pStyle w:val="Heading1Numbered"/>
      </w:pPr>
      <w:r w:rsidRPr="00A73272">
        <w:lastRenderedPageBreak/>
        <w:t>Gap Analysis and Performance Assessments</w:t>
      </w:r>
    </w:p>
    <w:p w:rsidR="00E36947" w:rsidRPr="00AA22C6" w:rsidRDefault="00E36947" w:rsidP="00E36947">
      <w:pPr>
        <w:rPr>
          <w:b/>
          <w:i/>
          <w:color w:val="0070C0"/>
        </w:rPr>
      </w:pPr>
      <w:r w:rsidRPr="00AA22C6">
        <w:rPr>
          <w:color w:val="0070C0"/>
        </w:rPr>
        <w:t>(Guide: maximum three pages plus tables)</w:t>
      </w:r>
    </w:p>
    <w:p w:rsidR="00E36947" w:rsidRPr="00AE6F90" w:rsidRDefault="00E36947" w:rsidP="00E36947">
      <w:pPr>
        <w:pStyle w:val="Bullet1"/>
        <w:rPr>
          <w:highlight w:val="lightGray"/>
        </w:rPr>
      </w:pPr>
      <w:r w:rsidRPr="00AE6F90">
        <w:rPr>
          <w:highlight w:val="lightGray"/>
        </w:rPr>
        <w:t xml:space="preserve">The aim of this section is to compare the existing property portfolio against the short to longer-term property needs of the </w:t>
      </w:r>
      <w:r w:rsidR="00D20019">
        <w:rPr>
          <w:highlight w:val="lightGray"/>
        </w:rPr>
        <w:t>NCE</w:t>
      </w:r>
      <w:r w:rsidRPr="00AE6F90">
        <w:rPr>
          <w:highlight w:val="lightGray"/>
        </w:rPr>
        <w:t xml:space="preserve"> and to provide an assessment of the existing property against relevant performance goals and targets. This section will essentially be a ‘gap analysis’ that identifies areas for improved property outcomes.</w:t>
      </w:r>
    </w:p>
    <w:p w:rsidR="00907278" w:rsidRPr="00A73272" w:rsidRDefault="00907278" w:rsidP="00907278">
      <w:pPr>
        <w:pStyle w:val="Heading2Numbered"/>
      </w:pPr>
      <w:r w:rsidRPr="00A73272">
        <w:t>Assessment of the existing property portfolio against the existing and future property needs</w:t>
      </w:r>
    </w:p>
    <w:p w:rsidR="00907278" w:rsidRPr="00AE6F90" w:rsidRDefault="00907278" w:rsidP="00907278">
      <w:pPr>
        <w:pStyle w:val="Bullet1"/>
        <w:rPr>
          <w:highlight w:val="lightGray"/>
        </w:rPr>
      </w:pPr>
      <w:r w:rsidRPr="00AE6F90">
        <w:rPr>
          <w:highlight w:val="lightGray"/>
        </w:rPr>
        <w:t>In this section it may be useful to:</w:t>
      </w:r>
    </w:p>
    <w:p w:rsidR="00907278" w:rsidRPr="00AE6F90" w:rsidRDefault="00907278" w:rsidP="00907278">
      <w:pPr>
        <w:pStyle w:val="Bullet2"/>
        <w:rPr>
          <w:highlight w:val="lightGray"/>
        </w:rPr>
      </w:pPr>
      <w:r w:rsidRPr="00AE6F90">
        <w:rPr>
          <w:highlight w:val="lightGray"/>
        </w:rPr>
        <w:t xml:space="preserve">provide an assessment of the </w:t>
      </w:r>
      <w:r w:rsidR="00D20019">
        <w:rPr>
          <w:highlight w:val="lightGray"/>
        </w:rPr>
        <w:t>NCE</w:t>
      </w:r>
      <w:r w:rsidRPr="00AE6F90">
        <w:rPr>
          <w:highlight w:val="lightGray"/>
        </w:rPr>
        <w:t>’s existing property portfolio against existing and future needs (see sections 4(c) and 4(d) of the Planning Guidance); and</w:t>
      </w:r>
    </w:p>
    <w:p w:rsidR="00907278" w:rsidRPr="00AE6F90" w:rsidRDefault="00907278" w:rsidP="00907278">
      <w:pPr>
        <w:pStyle w:val="Bullet2"/>
        <w:rPr>
          <w:highlight w:val="lightGray"/>
        </w:rPr>
      </w:pPr>
      <w:r w:rsidRPr="00AE6F90">
        <w:rPr>
          <w:highlight w:val="lightGray"/>
        </w:rPr>
        <w:t>record and reference the details for those factors that are quantifiable (e.g. amount of space) in an appendix – such as the ‘Gap analysis - better practice templates’ at Appendix C.</w:t>
      </w:r>
    </w:p>
    <w:p w:rsidR="00907278" w:rsidRPr="00A73272" w:rsidRDefault="00907278" w:rsidP="00907278">
      <w:pPr>
        <w:pStyle w:val="Heading2Numbered"/>
      </w:pPr>
      <w:r w:rsidRPr="00A73272">
        <w:t>Assessment of the existing property portfolio against any relevant performance goals and targets</w:t>
      </w:r>
    </w:p>
    <w:p w:rsidR="00907278" w:rsidRPr="00AE6F90" w:rsidRDefault="00907278" w:rsidP="00907278">
      <w:pPr>
        <w:pStyle w:val="Bullet1"/>
        <w:rPr>
          <w:highlight w:val="lightGray"/>
        </w:rPr>
      </w:pPr>
      <w:r w:rsidRPr="00AE6F90">
        <w:rPr>
          <w:highlight w:val="lightGray"/>
        </w:rPr>
        <w:t>In this section it may be useful to:</w:t>
      </w:r>
    </w:p>
    <w:p w:rsidR="00907278" w:rsidRPr="00AE6F90" w:rsidRDefault="00907278" w:rsidP="00907278">
      <w:pPr>
        <w:pStyle w:val="Bullet2"/>
        <w:rPr>
          <w:highlight w:val="lightGray"/>
        </w:rPr>
      </w:pPr>
      <w:r w:rsidRPr="00AE6F90">
        <w:rPr>
          <w:highlight w:val="lightGray"/>
        </w:rPr>
        <w:t>provide an assessment of the property portfolio against any targets, including occupational density target and environmental indicators; and</w:t>
      </w:r>
    </w:p>
    <w:p w:rsidR="00907278" w:rsidRPr="00AE6F90" w:rsidRDefault="00907278" w:rsidP="00907278">
      <w:pPr>
        <w:pStyle w:val="Bullet2"/>
        <w:rPr>
          <w:highlight w:val="lightGray"/>
        </w:rPr>
      </w:pPr>
      <w:r w:rsidRPr="00AE6F90">
        <w:rPr>
          <w:highlight w:val="lightGray"/>
        </w:rPr>
        <w:t>compare the performance details recorded at Appendix B against the relevant targets.</w:t>
      </w:r>
    </w:p>
    <w:p w:rsidR="00907278" w:rsidRPr="00A73272" w:rsidRDefault="00907278" w:rsidP="00907278">
      <w:pPr>
        <w:pStyle w:val="Heading2Numbered"/>
      </w:pPr>
      <w:r w:rsidRPr="00A73272">
        <w:t>Identification of opportunities and strategies to improve property outcomes</w:t>
      </w:r>
    </w:p>
    <w:p w:rsidR="00907278" w:rsidRPr="00AE6F90" w:rsidRDefault="00907278" w:rsidP="00907278">
      <w:pPr>
        <w:pStyle w:val="Bullet1"/>
        <w:rPr>
          <w:highlight w:val="lightGray"/>
        </w:rPr>
      </w:pPr>
      <w:r w:rsidRPr="00AE6F90">
        <w:rPr>
          <w:highlight w:val="lightGray"/>
        </w:rPr>
        <w:t xml:space="preserve">In this </w:t>
      </w:r>
      <w:r w:rsidR="00E36947" w:rsidRPr="00AE6F90">
        <w:rPr>
          <w:highlight w:val="lightGray"/>
        </w:rPr>
        <w:t>section,</w:t>
      </w:r>
      <w:r w:rsidRPr="00AE6F90">
        <w:rPr>
          <w:highlight w:val="lightGray"/>
        </w:rPr>
        <w:t xml:space="preserve"> it may be useful to identify potential areas to improve property efficiency, effectiveness and alignment with the </w:t>
      </w:r>
      <w:r w:rsidR="00D20019">
        <w:rPr>
          <w:highlight w:val="lightGray"/>
        </w:rPr>
        <w:t>NCE</w:t>
      </w:r>
      <w:r w:rsidRPr="00AE6F90">
        <w:rPr>
          <w:highlight w:val="lightGray"/>
        </w:rPr>
        <w:t>’s curren</w:t>
      </w:r>
      <w:r w:rsidR="00422C07" w:rsidRPr="00AE6F90">
        <w:rPr>
          <w:highlight w:val="lightGray"/>
        </w:rPr>
        <w:t>t and future needs</w:t>
      </w:r>
      <w:r w:rsidRPr="00AE6F90">
        <w:rPr>
          <w:highlight w:val="lightGray"/>
        </w:rPr>
        <w:t>:</w:t>
      </w:r>
    </w:p>
    <w:p w:rsidR="00907278" w:rsidRPr="00AE6F90" w:rsidRDefault="00907278" w:rsidP="00907278">
      <w:pPr>
        <w:pStyle w:val="Bullet2"/>
        <w:rPr>
          <w:highlight w:val="lightGray"/>
        </w:rPr>
      </w:pPr>
      <w:r w:rsidRPr="00AE6F90">
        <w:rPr>
          <w:highlight w:val="lightGray"/>
        </w:rPr>
        <w:t xml:space="preserve">the location of properties; </w:t>
      </w:r>
    </w:p>
    <w:p w:rsidR="00907278" w:rsidRPr="00AE6F90" w:rsidRDefault="00907278" w:rsidP="00907278">
      <w:pPr>
        <w:pStyle w:val="Bullet2"/>
        <w:rPr>
          <w:highlight w:val="lightGray"/>
        </w:rPr>
      </w:pPr>
      <w:r w:rsidRPr="00AE6F90">
        <w:rPr>
          <w:highlight w:val="lightGray"/>
        </w:rPr>
        <w:t xml:space="preserve">the amount of space; </w:t>
      </w:r>
    </w:p>
    <w:p w:rsidR="00907278" w:rsidRPr="00AE6F90" w:rsidRDefault="00907278" w:rsidP="00907278">
      <w:pPr>
        <w:pStyle w:val="Bullet2"/>
        <w:rPr>
          <w:highlight w:val="lightGray"/>
        </w:rPr>
      </w:pPr>
      <w:r w:rsidRPr="00AE6F90">
        <w:rPr>
          <w:highlight w:val="lightGray"/>
        </w:rPr>
        <w:t>the utilisation of space, including the use of data centres and the storage of records at an external location;</w:t>
      </w:r>
    </w:p>
    <w:p w:rsidR="00907278" w:rsidRPr="00AE6F90" w:rsidRDefault="00907278" w:rsidP="00907278">
      <w:pPr>
        <w:pStyle w:val="Bullet2"/>
        <w:rPr>
          <w:highlight w:val="lightGray"/>
        </w:rPr>
      </w:pPr>
      <w:r w:rsidRPr="00AE6F90">
        <w:rPr>
          <w:highlight w:val="lightGray"/>
        </w:rPr>
        <w:t xml:space="preserve">building functionality; </w:t>
      </w:r>
    </w:p>
    <w:p w:rsidR="00907278" w:rsidRPr="00AE6F90" w:rsidRDefault="00907278" w:rsidP="00907278">
      <w:pPr>
        <w:pStyle w:val="Bullet2"/>
        <w:rPr>
          <w:highlight w:val="lightGray"/>
        </w:rPr>
      </w:pPr>
      <w:r w:rsidRPr="00AE6F90">
        <w:rPr>
          <w:highlight w:val="lightGray"/>
        </w:rPr>
        <w:t xml:space="preserve">fit-out density and quality; </w:t>
      </w:r>
    </w:p>
    <w:p w:rsidR="00907278" w:rsidRPr="00AE6F90" w:rsidRDefault="00907278" w:rsidP="00907278">
      <w:pPr>
        <w:pStyle w:val="Bullet2"/>
        <w:rPr>
          <w:highlight w:val="lightGray"/>
        </w:rPr>
      </w:pPr>
      <w:r w:rsidRPr="00AE6F90">
        <w:rPr>
          <w:highlight w:val="lightGray"/>
        </w:rPr>
        <w:t>costs;</w:t>
      </w:r>
    </w:p>
    <w:p w:rsidR="00907278" w:rsidRPr="00AE6F90" w:rsidRDefault="00907278" w:rsidP="00907278">
      <w:pPr>
        <w:pStyle w:val="Bullet2"/>
        <w:rPr>
          <w:highlight w:val="lightGray"/>
        </w:rPr>
      </w:pPr>
      <w:r w:rsidRPr="00AE6F90">
        <w:rPr>
          <w:highlight w:val="lightGray"/>
        </w:rPr>
        <w:t>relevant market conditions e.g. availability of desired office space; and</w:t>
      </w:r>
    </w:p>
    <w:p w:rsidR="00EC0BD8" w:rsidRPr="00422C07" w:rsidRDefault="00907278" w:rsidP="00583185">
      <w:pPr>
        <w:pStyle w:val="Bullet2"/>
        <w:suppressAutoHyphens w:val="0"/>
        <w:spacing w:before="0" w:after="120" w:line="440" w:lineRule="atLeast"/>
        <w:rPr>
          <w:rFonts w:asciiTheme="majorHAnsi" w:eastAsiaTheme="majorEastAsia" w:hAnsiTheme="majorHAnsi" w:cstheme="majorBidi"/>
          <w:bCs/>
          <w:color w:val="1C1C1C" w:themeColor="text2"/>
          <w:sz w:val="40"/>
          <w:szCs w:val="28"/>
        </w:rPr>
      </w:pPr>
      <w:proofErr w:type="gramStart"/>
      <w:r w:rsidRPr="00AE6F90">
        <w:rPr>
          <w:highlight w:val="lightGray"/>
        </w:rPr>
        <w:t>the</w:t>
      </w:r>
      <w:proofErr w:type="gramEnd"/>
      <w:r w:rsidRPr="00AE6F90">
        <w:rPr>
          <w:highlight w:val="lightGray"/>
        </w:rPr>
        <w:t xml:space="preserve"> potential to collaborate with other </w:t>
      </w:r>
      <w:r w:rsidR="00D20019">
        <w:rPr>
          <w:highlight w:val="lightGray"/>
        </w:rPr>
        <w:t>NCEs</w:t>
      </w:r>
      <w:r w:rsidRPr="00AE6F90">
        <w:rPr>
          <w:highlight w:val="lightGray"/>
        </w:rPr>
        <w:t>.</w:t>
      </w:r>
      <w:r w:rsidR="00EC0BD8">
        <w:br w:type="page"/>
      </w:r>
    </w:p>
    <w:p w:rsidR="00907278" w:rsidRPr="00A73272" w:rsidRDefault="00907278" w:rsidP="00907278">
      <w:pPr>
        <w:pStyle w:val="Heading1Numbered"/>
      </w:pPr>
      <w:r w:rsidRPr="00A73272">
        <w:lastRenderedPageBreak/>
        <w:t>Actions/Outcomes</w:t>
      </w:r>
    </w:p>
    <w:p w:rsidR="00907278" w:rsidRPr="00AE6F90" w:rsidRDefault="00907278" w:rsidP="00907278">
      <w:pPr>
        <w:pStyle w:val="Bullets2ndindent"/>
        <w:numPr>
          <w:ilvl w:val="0"/>
          <w:numId w:val="0"/>
        </w:numPr>
        <w:rPr>
          <w:color w:val="0070C0"/>
          <w:szCs w:val="20"/>
        </w:rPr>
      </w:pPr>
      <w:r w:rsidRPr="00AE6F90">
        <w:rPr>
          <w:color w:val="0070C0"/>
          <w:szCs w:val="20"/>
        </w:rPr>
        <w:t>(Guide: maximum three</w:t>
      </w:r>
      <w:r w:rsidR="00A73272" w:rsidRPr="00AE6F90">
        <w:rPr>
          <w:color w:val="0070C0"/>
          <w:szCs w:val="20"/>
        </w:rPr>
        <w:t xml:space="preserve"> pages</w:t>
      </w:r>
      <w:r w:rsidRPr="00AE6F90">
        <w:rPr>
          <w:color w:val="0070C0"/>
          <w:szCs w:val="20"/>
        </w:rPr>
        <w:t>)</w:t>
      </w:r>
    </w:p>
    <w:p w:rsidR="00907278" w:rsidRPr="00AE6F90" w:rsidRDefault="00907278" w:rsidP="00907278">
      <w:pPr>
        <w:pStyle w:val="Bullet1"/>
        <w:rPr>
          <w:highlight w:val="lightGray"/>
        </w:rPr>
      </w:pPr>
      <w:r w:rsidRPr="00AE6F90">
        <w:rPr>
          <w:highlight w:val="lightGray"/>
        </w:rPr>
        <w:t>The aim of this section is to specify which of the opportunities or strategies identified in the gap analysis will be pursued and to outline how they will be implemented.</w:t>
      </w:r>
    </w:p>
    <w:p w:rsidR="00907278" w:rsidRPr="00A73272" w:rsidRDefault="00907278" w:rsidP="00907278">
      <w:pPr>
        <w:pStyle w:val="Heading2Numbered"/>
      </w:pPr>
      <w:r w:rsidRPr="00A73272">
        <w:t>Outline of the strategies to be implemented</w:t>
      </w:r>
    </w:p>
    <w:p w:rsidR="00907278" w:rsidRPr="00AE6F90" w:rsidRDefault="00907278" w:rsidP="00907278">
      <w:pPr>
        <w:pStyle w:val="Bullet1"/>
        <w:rPr>
          <w:highlight w:val="lightGray"/>
        </w:rPr>
      </w:pPr>
      <w:r w:rsidRPr="00AE6F90">
        <w:rPr>
          <w:highlight w:val="lightGray"/>
        </w:rPr>
        <w:t>In this section, it may be useful to:</w:t>
      </w:r>
    </w:p>
    <w:p w:rsidR="00907278" w:rsidRPr="00AE6F90" w:rsidRDefault="00907278" w:rsidP="00907278">
      <w:pPr>
        <w:pStyle w:val="Bullet2"/>
        <w:rPr>
          <w:highlight w:val="lightGray"/>
        </w:rPr>
      </w:pPr>
      <w:r w:rsidRPr="00AE6F90">
        <w:rPr>
          <w:highlight w:val="lightGray"/>
        </w:rPr>
        <w:t xml:space="preserve">outline which opportunities, changes or strategies the </w:t>
      </w:r>
      <w:r w:rsidR="00D20019">
        <w:rPr>
          <w:highlight w:val="lightGray"/>
        </w:rPr>
        <w:t>NCE</w:t>
      </w:r>
      <w:r w:rsidRPr="00AE6F90">
        <w:rPr>
          <w:highlight w:val="lightGray"/>
        </w:rPr>
        <w:t xml:space="preserve"> will pursue, including any strategies and projects that have previously been approved by the Accountable Authority (or an official authorised by the Accountable Authority) and are being implemented within the period covered by the property management plan; </w:t>
      </w:r>
    </w:p>
    <w:p w:rsidR="00907278" w:rsidRPr="00AE6F90" w:rsidRDefault="00907278" w:rsidP="00907278">
      <w:pPr>
        <w:pStyle w:val="Bullet2"/>
        <w:rPr>
          <w:highlight w:val="lightGray"/>
        </w:rPr>
      </w:pPr>
      <w:r w:rsidRPr="00AE6F90">
        <w:rPr>
          <w:highlight w:val="lightGray"/>
        </w:rPr>
        <w:t>outline any constraints, including funding issues and internal and external dependencies in relation to maximising opportunities; and</w:t>
      </w:r>
    </w:p>
    <w:p w:rsidR="00907278" w:rsidRPr="00AE6F90" w:rsidRDefault="00907278" w:rsidP="00907278">
      <w:pPr>
        <w:pStyle w:val="Bullet2"/>
        <w:rPr>
          <w:highlight w:val="lightGray"/>
        </w:rPr>
      </w:pPr>
      <w:r w:rsidRPr="00AE6F90">
        <w:rPr>
          <w:highlight w:val="lightGray"/>
        </w:rPr>
        <w:t>identify any risks or challenges associated with the strategies and any mitigating actions.</w:t>
      </w:r>
    </w:p>
    <w:p w:rsidR="00907278" w:rsidRPr="00AE6F90" w:rsidRDefault="00907278" w:rsidP="00907278">
      <w:pPr>
        <w:pStyle w:val="Bullet1"/>
        <w:rPr>
          <w:highlight w:val="lightGray"/>
        </w:rPr>
      </w:pPr>
      <w:r w:rsidRPr="00AE6F90">
        <w:rPr>
          <w:highlight w:val="lightGray"/>
        </w:rPr>
        <w:t xml:space="preserve">If developed, an accommodation manual may include information relevant to the implementation of identified opportunities or strategies. Where this is the case, it may be useful to link relevant internal accommodation manual requirements to the strategy. The strategies or opportunities identified in this section may also result in a need to change or update the accommodation manual to reflect any new internal requirements. </w:t>
      </w:r>
    </w:p>
    <w:p w:rsidR="00907278" w:rsidRPr="00A73272" w:rsidRDefault="00907278" w:rsidP="00907278">
      <w:pPr>
        <w:pStyle w:val="Heading2Numbered"/>
      </w:pPr>
      <w:r w:rsidRPr="00A73272">
        <w:t>Outline of how the strategies will be implemented</w:t>
      </w:r>
    </w:p>
    <w:p w:rsidR="00907278" w:rsidRPr="00AE6F90" w:rsidRDefault="00907278" w:rsidP="00907278">
      <w:pPr>
        <w:pStyle w:val="Bullet1"/>
        <w:rPr>
          <w:highlight w:val="lightGray"/>
        </w:rPr>
      </w:pPr>
      <w:r w:rsidRPr="00AE6F90">
        <w:rPr>
          <w:highlight w:val="lightGray"/>
        </w:rPr>
        <w:t>In this section, it may be useful to:</w:t>
      </w:r>
    </w:p>
    <w:p w:rsidR="00907278" w:rsidRPr="00AE6F90" w:rsidRDefault="00907278" w:rsidP="00907278">
      <w:pPr>
        <w:pStyle w:val="Bullet2"/>
        <w:rPr>
          <w:highlight w:val="lightGray"/>
        </w:rPr>
      </w:pPr>
      <w:r w:rsidRPr="00AE6F90">
        <w:rPr>
          <w:highlight w:val="lightGray"/>
        </w:rPr>
        <w:t xml:space="preserve">detail how the opportunities or strategies to be pursued will be implemented and the progress of any actions currently underway e.g. how to consolidate properties, capitalise on subletting opportunities for excess space and deliver on acquisition/disposal programs; </w:t>
      </w:r>
    </w:p>
    <w:p w:rsidR="00907278" w:rsidRPr="00AE6F90" w:rsidRDefault="00907278" w:rsidP="00907278">
      <w:pPr>
        <w:pStyle w:val="Bullet2"/>
        <w:rPr>
          <w:highlight w:val="lightGray"/>
        </w:rPr>
      </w:pPr>
      <w:r w:rsidRPr="00AE6F90">
        <w:rPr>
          <w:highlight w:val="lightGray"/>
        </w:rPr>
        <w:t>identify what the implementation of strategies will involve e.g. funding, capital expenditure, internal resources, consultation, approvals and timeframes; and</w:t>
      </w:r>
    </w:p>
    <w:p w:rsidR="00907278" w:rsidRPr="00AE6F90" w:rsidRDefault="00907278" w:rsidP="00907278">
      <w:pPr>
        <w:pStyle w:val="Bullet2"/>
        <w:rPr>
          <w:highlight w:val="lightGray"/>
        </w:rPr>
      </w:pPr>
      <w:proofErr w:type="gramStart"/>
      <w:r w:rsidRPr="00AE6F90">
        <w:rPr>
          <w:highlight w:val="lightGray"/>
        </w:rPr>
        <w:t>explain</w:t>
      </w:r>
      <w:proofErr w:type="gramEnd"/>
      <w:r w:rsidRPr="00AE6F90">
        <w:rPr>
          <w:highlight w:val="lightGray"/>
        </w:rPr>
        <w:t xml:space="preserve"> how any changes will be managed within the </w:t>
      </w:r>
      <w:r w:rsidR="00D20019">
        <w:rPr>
          <w:highlight w:val="lightGray"/>
        </w:rPr>
        <w:t>NCE</w:t>
      </w:r>
      <w:r w:rsidRPr="00AE6F90">
        <w:rPr>
          <w:highlight w:val="lightGray"/>
        </w:rPr>
        <w:t>, including communication and employee consultation strategies.</w:t>
      </w:r>
    </w:p>
    <w:p w:rsidR="00EC0BD8" w:rsidRDefault="00EC0BD8">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rsidR="00907278" w:rsidRPr="00A73272" w:rsidRDefault="00907278" w:rsidP="00907278">
      <w:pPr>
        <w:pStyle w:val="Heading1Numbered"/>
      </w:pPr>
      <w:r w:rsidRPr="00A73272">
        <w:lastRenderedPageBreak/>
        <w:t>Responsibility and Accountability</w:t>
      </w:r>
    </w:p>
    <w:p w:rsidR="00A73272" w:rsidRPr="00AA22C6" w:rsidRDefault="00E36947" w:rsidP="00A73272">
      <w:pPr>
        <w:rPr>
          <w:color w:val="0070C0"/>
        </w:rPr>
      </w:pPr>
      <w:r w:rsidRPr="00AA22C6">
        <w:rPr>
          <w:color w:val="0070C0"/>
        </w:rPr>
        <w:t xml:space="preserve"> </w:t>
      </w:r>
      <w:r w:rsidR="00A73272" w:rsidRPr="00AA22C6">
        <w:rPr>
          <w:color w:val="0070C0"/>
        </w:rPr>
        <w:t>(Guide: maximum one page)</w:t>
      </w:r>
    </w:p>
    <w:p w:rsidR="00A73272" w:rsidRPr="00AE6F90" w:rsidRDefault="00A73272" w:rsidP="00A73272">
      <w:pPr>
        <w:pStyle w:val="Bullet1"/>
        <w:rPr>
          <w:highlight w:val="lightGray"/>
        </w:rPr>
      </w:pPr>
      <w:r w:rsidRPr="00AE6F90">
        <w:rPr>
          <w:highlight w:val="lightGray"/>
        </w:rPr>
        <w:t xml:space="preserve">The aim of this section is to outline internal responsibility and accountability for the strategies and change programs identified in the property management plan that are to </w:t>
      </w:r>
      <w:proofErr w:type="gramStart"/>
      <w:r w:rsidRPr="00AE6F90">
        <w:rPr>
          <w:highlight w:val="lightGray"/>
        </w:rPr>
        <w:t>be pursued</w:t>
      </w:r>
      <w:proofErr w:type="gramEnd"/>
      <w:r w:rsidRPr="00AE6F90">
        <w:rPr>
          <w:highlight w:val="lightGray"/>
        </w:rPr>
        <w:t xml:space="preserve"> by the </w:t>
      </w:r>
      <w:r w:rsidR="00D20019">
        <w:rPr>
          <w:highlight w:val="lightGray"/>
        </w:rPr>
        <w:t>NCE</w:t>
      </w:r>
      <w:r w:rsidRPr="00AE6F90">
        <w:rPr>
          <w:highlight w:val="lightGray"/>
        </w:rPr>
        <w:t>. This section may also outline who is responsible for the development, approval, execution and review of the property management plan.</w:t>
      </w:r>
    </w:p>
    <w:p w:rsidR="00A73272" w:rsidRPr="00897A23" w:rsidRDefault="00A73272" w:rsidP="00A73272">
      <w:pPr>
        <w:pStyle w:val="Heading2Numbered"/>
      </w:pPr>
      <w:r w:rsidRPr="00897A23">
        <w:t xml:space="preserve">Outline of </w:t>
      </w:r>
      <w:r>
        <w:t xml:space="preserve">the areas of the </w:t>
      </w:r>
      <w:r w:rsidR="00D20019">
        <w:t>NCE</w:t>
      </w:r>
      <w:r>
        <w:t xml:space="preserve"> responsible for the implementation of the strategies</w:t>
      </w:r>
    </w:p>
    <w:p w:rsidR="00A73272" w:rsidRPr="00AE6F90" w:rsidRDefault="00A73272" w:rsidP="00A73272">
      <w:pPr>
        <w:pStyle w:val="Bullet1"/>
        <w:rPr>
          <w:highlight w:val="lightGray"/>
        </w:rPr>
      </w:pPr>
      <w:r w:rsidRPr="00AE6F90">
        <w:rPr>
          <w:highlight w:val="lightGray"/>
        </w:rPr>
        <w:t xml:space="preserve">In this section, it may be useful to: </w:t>
      </w:r>
    </w:p>
    <w:p w:rsidR="00A73272" w:rsidRPr="00AE6F90" w:rsidRDefault="00A73272" w:rsidP="00A73272">
      <w:pPr>
        <w:pStyle w:val="Bullet2"/>
        <w:rPr>
          <w:highlight w:val="lightGray"/>
        </w:rPr>
      </w:pPr>
      <w:r w:rsidRPr="00AE6F90">
        <w:rPr>
          <w:highlight w:val="lightGray"/>
        </w:rPr>
        <w:t xml:space="preserve">identify which areas of the </w:t>
      </w:r>
      <w:r w:rsidR="00D20019">
        <w:rPr>
          <w:highlight w:val="lightGray"/>
        </w:rPr>
        <w:t>NCE</w:t>
      </w:r>
      <w:r w:rsidRPr="00AE6F90">
        <w:rPr>
          <w:highlight w:val="lightGray"/>
        </w:rPr>
        <w:t xml:space="preserve"> are responsible for the implementation of the proposed strategies and the specific projects listed in the plan; </w:t>
      </w:r>
    </w:p>
    <w:p w:rsidR="00A73272" w:rsidRPr="00AE6F90" w:rsidRDefault="00A73272" w:rsidP="00A73272">
      <w:pPr>
        <w:pStyle w:val="Bullet2"/>
        <w:rPr>
          <w:highlight w:val="lightGray"/>
        </w:rPr>
      </w:pPr>
      <w:r w:rsidRPr="00AE6F90">
        <w:rPr>
          <w:highlight w:val="lightGray"/>
        </w:rPr>
        <w:t xml:space="preserve">outline the ongoing maintenance requirements of the </w:t>
      </w:r>
      <w:r w:rsidR="00D20019">
        <w:rPr>
          <w:highlight w:val="lightGray"/>
        </w:rPr>
        <w:t>NCE</w:t>
      </w:r>
      <w:r w:rsidRPr="00AE6F90">
        <w:rPr>
          <w:highlight w:val="lightGray"/>
        </w:rPr>
        <w:t xml:space="preserve">’s property; and </w:t>
      </w:r>
    </w:p>
    <w:p w:rsidR="00A73272" w:rsidRPr="00AE6F90" w:rsidRDefault="00A73272" w:rsidP="00A73272">
      <w:pPr>
        <w:pStyle w:val="Bullet2"/>
        <w:rPr>
          <w:highlight w:val="lightGray"/>
        </w:rPr>
      </w:pPr>
      <w:r w:rsidRPr="00AE6F90">
        <w:rPr>
          <w:highlight w:val="lightGray"/>
        </w:rPr>
        <w:t xml:space="preserve">specify, where relevant, any responsibilities of outsourced service providers or external stakeholders. </w:t>
      </w:r>
    </w:p>
    <w:p w:rsidR="00A73272" w:rsidRPr="00897A23" w:rsidRDefault="00A73272" w:rsidP="00A73272">
      <w:pPr>
        <w:pStyle w:val="Heading2Numbered"/>
      </w:pPr>
      <w:r w:rsidRPr="00897A23">
        <w:t>Outline of the frequency and/or triggers for reviews, updates and approval of the Property Management Plan</w:t>
      </w:r>
    </w:p>
    <w:p w:rsidR="00A73272" w:rsidRPr="00AE6F90" w:rsidRDefault="00A73272" w:rsidP="00A73272">
      <w:pPr>
        <w:pStyle w:val="Bullet1"/>
        <w:rPr>
          <w:highlight w:val="lightGray"/>
        </w:rPr>
      </w:pPr>
      <w:r w:rsidRPr="00AE6F90">
        <w:rPr>
          <w:highlight w:val="lightGray"/>
        </w:rPr>
        <w:t>In this section, it may be useful to:</w:t>
      </w:r>
    </w:p>
    <w:p w:rsidR="00A73272" w:rsidRPr="00AE6F90" w:rsidRDefault="00A73272" w:rsidP="00A73272">
      <w:pPr>
        <w:pStyle w:val="Bullet2"/>
        <w:rPr>
          <w:highlight w:val="lightGray"/>
        </w:rPr>
      </w:pPr>
      <w:r w:rsidRPr="00AE6F90">
        <w:rPr>
          <w:highlight w:val="lightGray"/>
        </w:rPr>
        <w:t>state the frequency of reviews and an explanation of the timing;</w:t>
      </w:r>
    </w:p>
    <w:p w:rsidR="00A73272" w:rsidRPr="00AE6F90" w:rsidRDefault="00A73272" w:rsidP="00A73272">
      <w:pPr>
        <w:pStyle w:val="Bullet2"/>
        <w:rPr>
          <w:highlight w:val="lightGray"/>
        </w:rPr>
      </w:pPr>
      <w:r w:rsidRPr="00AE6F90">
        <w:rPr>
          <w:highlight w:val="lightGray"/>
        </w:rPr>
        <w:t xml:space="preserve">specify any triggers for reviews and updates; </w:t>
      </w:r>
    </w:p>
    <w:p w:rsidR="00A73272" w:rsidRPr="00AE6F90" w:rsidRDefault="00A73272" w:rsidP="00A73272">
      <w:pPr>
        <w:pStyle w:val="Bullet2"/>
        <w:rPr>
          <w:highlight w:val="lightGray"/>
        </w:rPr>
      </w:pPr>
      <w:r w:rsidRPr="00AE6F90">
        <w:rPr>
          <w:highlight w:val="lightGray"/>
        </w:rPr>
        <w:t>outline the approval process; and</w:t>
      </w:r>
    </w:p>
    <w:p w:rsidR="00A73272" w:rsidRPr="00AE6F90" w:rsidRDefault="00A73272" w:rsidP="00A73272">
      <w:pPr>
        <w:pStyle w:val="Bullet2"/>
        <w:rPr>
          <w:highlight w:val="lightGray"/>
        </w:rPr>
      </w:pPr>
      <w:r w:rsidRPr="00AE6F90">
        <w:rPr>
          <w:highlight w:val="lightGray"/>
        </w:rPr>
        <w:t>note the internal consultation undertaken in the development or review of the property management plan.</w:t>
      </w:r>
    </w:p>
    <w:p w:rsidR="0048352A" w:rsidRDefault="0048352A">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rsidR="00A73272" w:rsidRDefault="00E36947" w:rsidP="00A73272">
      <w:pPr>
        <w:pStyle w:val="Heading1Numbered"/>
      </w:pPr>
      <w:r>
        <w:lastRenderedPageBreak/>
        <w:t>A</w:t>
      </w:r>
      <w:r w:rsidR="00984FAA">
        <w:t>ppendix B: Property P</w:t>
      </w:r>
      <w:r w:rsidR="00A73272">
        <w:t xml:space="preserve">rofile </w:t>
      </w:r>
    </w:p>
    <w:p w:rsidR="00A73272" w:rsidRDefault="00A73272" w:rsidP="00984FAA">
      <w:pPr>
        <w:pStyle w:val="Heading2Numbered"/>
      </w:pPr>
      <w:r>
        <w:t>B1 – Property details</w:t>
      </w:r>
    </w:p>
    <w:p w:rsidR="00A73272" w:rsidRDefault="00A73272" w:rsidP="00A73272"/>
    <w:tbl>
      <w:tblPr>
        <w:tblStyle w:val="TableGrid"/>
        <w:tblW w:w="0" w:type="auto"/>
        <w:tblLook w:val="04A0" w:firstRow="1" w:lastRow="0" w:firstColumn="1" w:lastColumn="0" w:noHBand="0" w:noVBand="1"/>
      </w:tblPr>
      <w:tblGrid>
        <w:gridCol w:w="3397"/>
        <w:gridCol w:w="5663"/>
      </w:tblGrid>
      <w:tr w:rsidR="007C16EB" w:rsidRPr="007C16EB" w:rsidTr="008165D1">
        <w:trPr>
          <w:trHeight w:val="284"/>
        </w:trPr>
        <w:tc>
          <w:tcPr>
            <w:tcW w:w="9060" w:type="dxa"/>
            <w:gridSpan w:val="2"/>
          </w:tcPr>
          <w:p w:rsidR="007C16EB" w:rsidRPr="007C16EB" w:rsidRDefault="007C16EB" w:rsidP="007C16EB">
            <w:pPr>
              <w:spacing w:before="60" w:line="240" w:lineRule="auto"/>
              <w:jc w:val="center"/>
              <w:rPr>
                <w:b/>
                <w:sz w:val="18"/>
                <w:szCs w:val="18"/>
              </w:rPr>
            </w:pPr>
            <w:r w:rsidRPr="007C16EB">
              <w:rPr>
                <w:b/>
                <w:sz w:val="20"/>
                <w:szCs w:val="18"/>
              </w:rPr>
              <w:t>Current Property Details</w:t>
            </w:r>
          </w:p>
        </w:tc>
      </w:tr>
      <w:tr w:rsidR="007C16EB" w:rsidRPr="007C16EB" w:rsidTr="007C16EB">
        <w:trPr>
          <w:trHeight w:val="284"/>
        </w:trPr>
        <w:tc>
          <w:tcPr>
            <w:tcW w:w="3397" w:type="dxa"/>
          </w:tcPr>
          <w:p w:rsidR="007C16EB" w:rsidRPr="007C16EB" w:rsidRDefault="007C16EB" w:rsidP="007C16EB">
            <w:pPr>
              <w:spacing w:before="60" w:line="240" w:lineRule="auto"/>
              <w:rPr>
                <w:sz w:val="18"/>
                <w:szCs w:val="18"/>
              </w:rPr>
            </w:pPr>
            <w:r w:rsidRPr="007C16EB">
              <w:rPr>
                <w:sz w:val="18"/>
                <w:szCs w:val="18"/>
              </w:rPr>
              <w:t>Location</w:t>
            </w:r>
          </w:p>
        </w:tc>
        <w:tc>
          <w:tcPr>
            <w:tcW w:w="5663" w:type="dxa"/>
          </w:tcPr>
          <w:p w:rsidR="007C16EB" w:rsidRPr="007C16EB" w:rsidRDefault="007C16EB" w:rsidP="007C16EB">
            <w:pPr>
              <w:spacing w:before="60" w:line="240" w:lineRule="auto"/>
              <w:rPr>
                <w:sz w:val="18"/>
                <w:szCs w:val="18"/>
              </w:rPr>
            </w:pPr>
          </w:p>
        </w:tc>
      </w:tr>
      <w:tr w:rsidR="007C16EB" w:rsidRPr="007C16EB" w:rsidTr="007C16EB">
        <w:trPr>
          <w:trHeight w:val="284"/>
        </w:trPr>
        <w:tc>
          <w:tcPr>
            <w:tcW w:w="3397" w:type="dxa"/>
          </w:tcPr>
          <w:p w:rsidR="007C16EB" w:rsidRPr="007C16EB" w:rsidRDefault="007C16EB" w:rsidP="007C16EB">
            <w:pPr>
              <w:spacing w:before="60" w:line="240" w:lineRule="auto"/>
              <w:rPr>
                <w:sz w:val="18"/>
                <w:szCs w:val="18"/>
              </w:rPr>
            </w:pPr>
            <w:r w:rsidRPr="007C16EB">
              <w:rPr>
                <w:sz w:val="18"/>
                <w:szCs w:val="18"/>
              </w:rPr>
              <w:t>Lease No.</w:t>
            </w:r>
          </w:p>
        </w:tc>
        <w:tc>
          <w:tcPr>
            <w:tcW w:w="5663" w:type="dxa"/>
          </w:tcPr>
          <w:p w:rsidR="007C16EB" w:rsidRPr="007C16EB" w:rsidRDefault="007C16EB" w:rsidP="007C16EB">
            <w:pPr>
              <w:spacing w:before="60" w:line="240" w:lineRule="auto"/>
              <w:rPr>
                <w:sz w:val="18"/>
                <w:szCs w:val="18"/>
              </w:rPr>
            </w:pPr>
          </w:p>
        </w:tc>
      </w:tr>
      <w:tr w:rsidR="007C16EB" w:rsidRPr="007C16EB" w:rsidTr="007C16EB">
        <w:trPr>
          <w:trHeight w:val="284"/>
        </w:trPr>
        <w:tc>
          <w:tcPr>
            <w:tcW w:w="3397" w:type="dxa"/>
          </w:tcPr>
          <w:p w:rsidR="007C16EB" w:rsidRPr="007C16EB" w:rsidRDefault="007C16EB" w:rsidP="007C16EB">
            <w:pPr>
              <w:spacing w:before="60" w:line="240" w:lineRule="auto"/>
              <w:rPr>
                <w:sz w:val="18"/>
                <w:szCs w:val="18"/>
              </w:rPr>
            </w:pPr>
            <w:r w:rsidRPr="007C16EB">
              <w:rPr>
                <w:sz w:val="18"/>
                <w:szCs w:val="18"/>
              </w:rPr>
              <w:t>Owned/Leased</w:t>
            </w:r>
          </w:p>
        </w:tc>
        <w:tc>
          <w:tcPr>
            <w:tcW w:w="5663" w:type="dxa"/>
          </w:tcPr>
          <w:p w:rsidR="007C16EB" w:rsidRPr="007C16EB" w:rsidRDefault="007C16EB" w:rsidP="007C16EB">
            <w:pPr>
              <w:spacing w:before="60" w:line="240" w:lineRule="auto"/>
              <w:rPr>
                <w:sz w:val="18"/>
                <w:szCs w:val="18"/>
              </w:rPr>
            </w:pPr>
          </w:p>
        </w:tc>
      </w:tr>
      <w:tr w:rsidR="007C16EB" w:rsidRPr="007C16EB" w:rsidTr="007C16EB">
        <w:trPr>
          <w:trHeight w:val="284"/>
        </w:trPr>
        <w:tc>
          <w:tcPr>
            <w:tcW w:w="3397" w:type="dxa"/>
          </w:tcPr>
          <w:p w:rsidR="007C16EB" w:rsidRPr="007C16EB" w:rsidRDefault="00422C07" w:rsidP="007C16EB">
            <w:pPr>
              <w:spacing w:before="60" w:line="240" w:lineRule="auto"/>
              <w:rPr>
                <w:sz w:val="18"/>
                <w:szCs w:val="18"/>
              </w:rPr>
            </w:pPr>
            <w:r>
              <w:rPr>
                <w:sz w:val="18"/>
                <w:szCs w:val="18"/>
              </w:rPr>
              <w:t>Type</w:t>
            </w:r>
          </w:p>
        </w:tc>
        <w:tc>
          <w:tcPr>
            <w:tcW w:w="5663" w:type="dxa"/>
          </w:tcPr>
          <w:p w:rsidR="007C16EB" w:rsidRPr="007C16EB" w:rsidRDefault="007C16EB" w:rsidP="007C16EB">
            <w:pPr>
              <w:spacing w:before="60" w:line="240" w:lineRule="auto"/>
              <w:rPr>
                <w:sz w:val="18"/>
                <w:szCs w:val="18"/>
              </w:rPr>
            </w:pPr>
          </w:p>
        </w:tc>
      </w:tr>
      <w:tr w:rsidR="007C16EB" w:rsidRPr="007C16EB" w:rsidTr="007C16EB">
        <w:trPr>
          <w:trHeight w:val="284"/>
        </w:trPr>
        <w:tc>
          <w:tcPr>
            <w:tcW w:w="3397" w:type="dxa"/>
          </w:tcPr>
          <w:p w:rsidR="007C16EB" w:rsidRPr="007C16EB" w:rsidRDefault="007C16EB" w:rsidP="007C16EB">
            <w:pPr>
              <w:spacing w:before="60" w:line="240" w:lineRule="auto"/>
              <w:rPr>
                <w:sz w:val="18"/>
                <w:szCs w:val="18"/>
              </w:rPr>
            </w:pPr>
            <w:r w:rsidRPr="007C16EB">
              <w:rPr>
                <w:sz w:val="18"/>
                <w:szCs w:val="18"/>
              </w:rPr>
              <w:t>Area (m2)</w:t>
            </w:r>
          </w:p>
        </w:tc>
        <w:tc>
          <w:tcPr>
            <w:tcW w:w="5663" w:type="dxa"/>
          </w:tcPr>
          <w:p w:rsidR="007C16EB" w:rsidRPr="007C16EB" w:rsidRDefault="007C16EB" w:rsidP="007C16EB">
            <w:pPr>
              <w:spacing w:before="60" w:line="240" w:lineRule="auto"/>
              <w:rPr>
                <w:sz w:val="18"/>
                <w:szCs w:val="18"/>
              </w:rPr>
            </w:pPr>
          </w:p>
        </w:tc>
      </w:tr>
      <w:tr w:rsidR="007C16EB" w:rsidRPr="007C16EB" w:rsidTr="007C16EB">
        <w:trPr>
          <w:trHeight w:val="284"/>
        </w:trPr>
        <w:tc>
          <w:tcPr>
            <w:tcW w:w="3397" w:type="dxa"/>
          </w:tcPr>
          <w:p w:rsidR="007C16EB" w:rsidRPr="007C16EB" w:rsidRDefault="007C16EB" w:rsidP="007C16EB">
            <w:pPr>
              <w:spacing w:before="60" w:line="240" w:lineRule="auto"/>
              <w:rPr>
                <w:sz w:val="18"/>
                <w:szCs w:val="18"/>
              </w:rPr>
            </w:pPr>
            <w:r w:rsidRPr="007C16EB">
              <w:rPr>
                <w:sz w:val="18"/>
                <w:szCs w:val="18"/>
              </w:rPr>
              <w:t>Total work points (WP)</w:t>
            </w:r>
          </w:p>
        </w:tc>
        <w:tc>
          <w:tcPr>
            <w:tcW w:w="5663" w:type="dxa"/>
          </w:tcPr>
          <w:p w:rsidR="007C16EB" w:rsidRPr="007C16EB" w:rsidRDefault="007C16EB" w:rsidP="007C16EB">
            <w:pPr>
              <w:spacing w:before="60" w:line="240" w:lineRule="auto"/>
              <w:rPr>
                <w:sz w:val="18"/>
                <w:szCs w:val="18"/>
              </w:rPr>
            </w:pPr>
          </w:p>
        </w:tc>
      </w:tr>
      <w:tr w:rsidR="007C16EB" w:rsidRPr="007C16EB" w:rsidTr="007C16EB">
        <w:trPr>
          <w:trHeight w:val="284"/>
        </w:trPr>
        <w:tc>
          <w:tcPr>
            <w:tcW w:w="3397" w:type="dxa"/>
          </w:tcPr>
          <w:p w:rsidR="007C16EB" w:rsidRPr="007C16EB" w:rsidRDefault="007C16EB" w:rsidP="007C16EB">
            <w:pPr>
              <w:spacing w:before="60" w:line="240" w:lineRule="auto"/>
              <w:rPr>
                <w:sz w:val="18"/>
                <w:szCs w:val="18"/>
              </w:rPr>
            </w:pPr>
            <w:r w:rsidRPr="007C16EB">
              <w:rPr>
                <w:sz w:val="18"/>
                <w:szCs w:val="18"/>
              </w:rPr>
              <w:t>Occupied work points (OWP)</w:t>
            </w:r>
          </w:p>
        </w:tc>
        <w:tc>
          <w:tcPr>
            <w:tcW w:w="5663" w:type="dxa"/>
          </w:tcPr>
          <w:p w:rsidR="007C16EB" w:rsidRPr="007C16EB" w:rsidRDefault="007C16EB" w:rsidP="007C16EB">
            <w:pPr>
              <w:spacing w:before="60" w:line="240" w:lineRule="auto"/>
              <w:rPr>
                <w:sz w:val="18"/>
                <w:szCs w:val="18"/>
              </w:rPr>
            </w:pPr>
          </w:p>
        </w:tc>
      </w:tr>
      <w:tr w:rsidR="007C16EB" w:rsidRPr="007C16EB" w:rsidTr="007C16EB">
        <w:trPr>
          <w:trHeight w:val="284"/>
        </w:trPr>
        <w:tc>
          <w:tcPr>
            <w:tcW w:w="3397" w:type="dxa"/>
          </w:tcPr>
          <w:p w:rsidR="007C16EB" w:rsidRPr="007C16EB" w:rsidRDefault="007C16EB" w:rsidP="007C16EB">
            <w:pPr>
              <w:spacing w:before="60" w:line="240" w:lineRule="auto"/>
              <w:rPr>
                <w:sz w:val="18"/>
                <w:szCs w:val="18"/>
              </w:rPr>
            </w:pPr>
            <w:r w:rsidRPr="007C16EB">
              <w:rPr>
                <w:sz w:val="18"/>
                <w:szCs w:val="18"/>
              </w:rPr>
              <w:t>Fit out: Remainder of useful life (years)</w:t>
            </w:r>
          </w:p>
        </w:tc>
        <w:tc>
          <w:tcPr>
            <w:tcW w:w="5663" w:type="dxa"/>
          </w:tcPr>
          <w:p w:rsidR="007C16EB" w:rsidRPr="007C16EB" w:rsidRDefault="007C16EB" w:rsidP="007C16EB">
            <w:pPr>
              <w:spacing w:before="60" w:line="240" w:lineRule="auto"/>
              <w:rPr>
                <w:sz w:val="18"/>
                <w:szCs w:val="18"/>
              </w:rPr>
            </w:pPr>
          </w:p>
        </w:tc>
      </w:tr>
      <w:tr w:rsidR="007C16EB" w:rsidRPr="007C16EB" w:rsidTr="00907DE5">
        <w:trPr>
          <w:trHeight w:val="284"/>
        </w:trPr>
        <w:tc>
          <w:tcPr>
            <w:tcW w:w="9060" w:type="dxa"/>
            <w:gridSpan w:val="2"/>
          </w:tcPr>
          <w:p w:rsidR="007C16EB" w:rsidRPr="007C16EB" w:rsidRDefault="007C16EB" w:rsidP="007C16EB">
            <w:pPr>
              <w:spacing w:before="60" w:line="240" w:lineRule="auto"/>
              <w:jc w:val="center"/>
              <w:rPr>
                <w:b/>
                <w:sz w:val="18"/>
                <w:szCs w:val="18"/>
              </w:rPr>
            </w:pPr>
            <w:r w:rsidRPr="007C16EB">
              <w:rPr>
                <w:b/>
                <w:sz w:val="20"/>
                <w:szCs w:val="18"/>
              </w:rPr>
              <w:t>Lease</w:t>
            </w:r>
          </w:p>
        </w:tc>
      </w:tr>
      <w:tr w:rsidR="007C16EB" w:rsidRPr="007C16EB" w:rsidTr="007C16EB">
        <w:trPr>
          <w:trHeight w:val="284"/>
        </w:trPr>
        <w:tc>
          <w:tcPr>
            <w:tcW w:w="3397" w:type="dxa"/>
          </w:tcPr>
          <w:p w:rsidR="007C16EB" w:rsidRPr="007C16EB" w:rsidRDefault="007C16EB" w:rsidP="007C16EB">
            <w:pPr>
              <w:spacing w:before="60" w:line="240" w:lineRule="auto"/>
              <w:rPr>
                <w:sz w:val="18"/>
                <w:szCs w:val="18"/>
              </w:rPr>
            </w:pPr>
            <w:r w:rsidRPr="007C16EB">
              <w:rPr>
                <w:sz w:val="18"/>
                <w:szCs w:val="18"/>
              </w:rPr>
              <w:t>Start Date</w:t>
            </w:r>
          </w:p>
        </w:tc>
        <w:tc>
          <w:tcPr>
            <w:tcW w:w="5663" w:type="dxa"/>
          </w:tcPr>
          <w:p w:rsidR="007C16EB" w:rsidRPr="007C16EB" w:rsidRDefault="007C16EB" w:rsidP="007C16EB">
            <w:pPr>
              <w:spacing w:before="60" w:line="240" w:lineRule="auto"/>
              <w:rPr>
                <w:sz w:val="18"/>
                <w:szCs w:val="18"/>
              </w:rPr>
            </w:pPr>
          </w:p>
        </w:tc>
      </w:tr>
      <w:tr w:rsidR="007C16EB" w:rsidRPr="007C16EB" w:rsidTr="007C16EB">
        <w:trPr>
          <w:trHeight w:val="284"/>
        </w:trPr>
        <w:tc>
          <w:tcPr>
            <w:tcW w:w="3397" w:type="dxa"/>
          </w:tcPr>
          <w:p w:rsidR="007C16EB" w:rsidRPr="007C16EB" w:rsidRDefault="007C16EB" w:rsidP="007C16EB">
            <w:pPr>
              <w:spacing w:before="60" w:line="240" w:lineRule="auto"/>
              <w:rPr>
                <w:sz w:val="18"/>
                <w:szCs w:val="18"/>
              </w:rPr>
            </w:pPr>
            <w:r w:rsidRPr="007C16EB">
              <w:rPr>
                <w:sz w:val="18"/>
                <w:szCs w:val="18"/>
              </w:rPr>
              <w:t>End Date</w:t>
            </w:r>
          </w:p>
        </w:tc>
        <w:tc>
          <w:tcPr>
            <w:tcW w:w="5663" w:type="dxa"/>
          </w:tcPr>
          <w:p w:rsidR="007C16EB" w:rsidRPr="007C16EB" w:rsidRDefault="007C16EB" w:rsidP="007C16EB">
            <w:pPr>
              <w:spacing w:before="60" w:line="240" w:lineRule="auto"/>
              <w:rPr>
                <w:sz w:val="18"/>
                <w:szCs w:val="18"/>
              </w:rPr>
            </w:pPr>
          </w:p>
        </w:tc>
      </w:tr>
      <w:tr w:rsidR="007C16EB" w:rsidRPr="007C16EB" w:rsidTr="007C16EB">
        <w:trPr>
          <w:trHeight w:val="284"/>
        </w:trPr>
        <w:tc>
          <w:tcPr>
            <w:tcW w:w="3397" w:type="dxa"/>
          </w:tcPr>
          <w:p w:rsidR="007C16EB" w:rsidRPr="007C16EB" w:rsidRDefault="007C16EB" w:rsidP="007C16EB">
            <w:pPr>
              <w:spacing w:before="60" w:line="240" w:lineRule="auto"/>
              <w:rPr>
                <w:sz w:val="18"/>
                <w:szCs w:val="18"/>
              </w:rPr>
            </w:pPr>
            <w:r w:rsidRPr="007C16EB">
              <w:rPr>
                <w:sz w:val="18"/>
                <w:szCs w:val="18"/>
              </w:rPr>
              <w:t>Option Details</w:t>
            </w:r>
          </w:p>
        </w:tc>
        <w:tc>
          <w:tcPr>
            <w:tcW w:w="5663" w:type="dxa"/>
          </w:tcPr>
          <w:p w:rsidR="007C16EB" w:rsidRPr="007C16EB" w:rsidRDefault="007C16EB" w:rsidP="007C16EB">
            <w:pPr>
              <w:spacing w:before="60" w:line="240" w:lineRule="auto"/>
              <w:rPr>
                <w:sz w:val="18"/>
                <w:szCs w:val="18"/>
              </w:rPr>
            </w:pPr>
          </w:p>
        </w:tc>
      </w:tr>
      <w:tr w:rsidR="007C16EB" w:rsidRPr="007C16EB" w:rsidTr="007C16EB">
        <w:trPr>
          <w:trHeight w:val="284"/>
        </w:trPr>
        <w:tc>
          <w:tcPr>
            <w:tcW w:w="3397" w:type="dxa"/>
          </w:tcPr>
          <w:p w:rsidR="007C16EB" w:rsidRPr="007C16EB" w:rsidRDefault="00422C07" w:rsidP="007C16EB">
            <w:pPr>
              <w:spacing w:before="60" w:line="240" w:lineRule="auto"/>
              <w:rPr>
                <w:sz w:val="18"/>
                <w:szCs w:val="18"/>
              </w:rPr>
            </w:pPr>
            <w:r>
              <w:rPr>
                <w:sz w:val="18"/>
                <w:szCs w:val="18"/>
              </w:rPr>
              <w:t xml:space="preserve">Other lease details </w:t>
            </w:r>
          </w:p>
        </w:tc>
        <w:tc>
          <w:tcPr>
            <w:tcW w:w="5663" w:type="dxa"/>
          </w:tcPr>
          <w:p w:rsidR="007C16EB" w:rsidRPr="007C16EB" w:rsidRDefault="007C16EB" w:rsidP="007C16EB">
            <w:pPr>
              <w:spacing w:before="60" w:line="240" w:lineRule="auto"/>
              <w:rPr>
                <w:sz w:val="18"/>
                <w:szCs w:val="18"/>
              </w:rPr>
            </w:pPr>
          </w:p>
        </w:tc>
      </w:tr>
      <w:tr w:rsidR="007C16EB" w:rsidRPr="007C16EB" w:rsidTr="00153DC8">
        <w:trPr>
          <w:trHeight w:val="284"/>
        </w:trPr>
        <w:tc>
          <w:tcPr>
            <w:tcW w:w="9060" w:type="dxa"/>
            <w:gridSpan w:val="2"/>
          </w:tcPr>
          <w:p w:rsidR="007C16EB" w:rsidRPr="007C16EB" w:rsidRDefault="007C16EB" w:rsidP="007C16EB">
            <w:pPr>
              <w:spacing w:before="60" w:line="240" w:lineRule="auto"/>
              <w:jc w:val="center"/>
              <w:rPr>
                <w:b/>
                <w:sz w:val="20"/>
                <w:szCs w:val="18"/>
              </w:rPr>
            </w:pPr>
            <w:r w:rsidRPr="007C16EB">
              <w:rPr>
                <w:b/>
                <w:sz w:val="20"/>
                <w:szCs w:val="18"/>
              </w:rPr>
              <w:t>Costs</w:t>
            </w:r>
          </w:p>
        </w:tc>
      </w:tr>
      <w:tr w:rsidR="007C16EB" w:rsidRPr="007C16EB" w:rsidTr="007C16EB">
        <w:trPr>
          <w:trHeight w:val="284"/>
        </w:trPr>
        <w:tc>
          <w:tcPr>
            <w:tcW w:w="3397" w:type="dxa"/>
          </w:tcPr>
          <w:p w:rsidR="007C16EB" w:rsidRPr="007C16EB" w:rsidRDefault="007C16EB" w:rsidP="007C16EB">
            <w:pPr>
              <w:spacing w:before="60" w:line="240" w:lineRule="auto"/>
              <w:rPr>
                <w:sz w:val="18"/>
                <w:szCs w:val="18"/>
              </w:rPr>
            </w:pPr>
            <w:r w:rsidRPr="007C16EB">
              <w:rPr>
                <w:sz w:val="18"/>
                <w:szCs w:val="18"/>
              </w:rPr>
              <w:t>Rent (</w:t>
            </w:r>
            <w:proofErr w:type="spellStart"/>
            <w:r w:rsidRPr="007C16EB">
              <w:rPr>
                <w:sz w:val="18"/>
                <w:szCs w:val="18"/>
              </w:rPr>
              <w:t>p.a</w:t>
            </w:r>
            <w:proofErr w:type="spellEnd"/>
            <w:r w:rsidRPr="007C16EB">
              <w:rPr>
                <w:sz w:val="18"/>
                <w:szCs w:val="18"/>
              </w:rPr>
              <w:t>)</w:t>
            </w:r>
          </w:p>
        </w:tc>
        <w:tc>
          <w:tcPr>
            <w:tcW w:w="5663" w:type="dxa"/>
          </w:tcPr>
          <w:p w:rsidR="007C16EB" w:rsidRPr="007C16EB" w:rsidRDefault="007C16EB" w:rsidP="007C16EB">
            <w:pPr>
              <w:spacing w:before="60" w:line="240" w:lineRule="auto"/>
              <w:rPr>
                <w:sz w:val="18"/>
                <w:szCs w:val="18"/>
              </w:rPr>
            </w:pPr>
          </w:p>
        </w:tc>
      </w:tr>
      <w:tr w:rsidR="007C16EB" w:rsidRPr="007C16EB" w:rsidTr="007C16EB">
        <w:trPr>
          <w:trHeight w:val="284"/>
        </w:trPr>
        <w:tc>
          <w:tcPr>
            <w:tcW w:w="3397" w:type="dxa"/>
          </w:tcPr>
          <w:p w:rsidR="007C16EB" w:rsidRPr="007C16EB" w:rsidRDefault="007C16EB" w:rsidP="007C16EB">
            <w:pPr>
              <w:spacing w:before="60" w:line="240" w:lineRule="auto"/>
              <w:rPr>
                <w:sz w:val="18"/>
                <w:szCs w:val="18"/>
              </w:rPr>
            </w:pPr>
            <w:r>
              <w:rPr>
                <w:sz w:val="18"/>
                <w:szCs w:val="18"/>
              </w:rPr>
              <w:t>Rent type: Gross or Net</w:t>
            </w:r>
          </w:p>
        </w:tc>
        <w:tc>
          <w:tcPr>
            <w:tcW w:w="5663" w:type="dxa"/>
          </w:tcPr>
          <w:p w:rsidR="007C16EB" w:rsidRPr="007C16EB" w:rsidRDefault="007C16EB" w:rsidP="007C16EB">
            <w:pPr>
              <w:spacing w:before="60" w:line="240" w:lineRule="auto"/>
              <w:rPr>
                <w:sz w:val="18"/>
                <w:szCs w:val="18"/>
              </w:rPr>
            </w:pPr>
          </w:p>
        </w:tc>
      </w:tr>
      <w:tr w:rsidR="007C16EB" w:rsidRPr="007C16EB" w:rsidTr="007C16EB">
        <w:trPr>
          <w:trHeight w:val="284"/>
        </w:trPr>
        <w:tc>
          <w:tcPr>
            <w:tcW w:w="3397" w:type="dxa"/>
          </w:tcPr>
          <w:p w:rsidR="007C16EB" w:rsidRPr="007C16EB" w:rsidRDefault="007C16EB" w:rsidP="007C16EB">
            <w:pPr>
              <w:spacing w:before="60" w:line="240" w:lineRule="auto"/>
              <w:rPr>
                <w:sz w:val="18"/>
                <w:szCs w:val="18"/>
              </w:rPr>
            </w:pPr>
            <w:r>
              <w:rPr>
                <w:sz w:val="18"/>
                <w:szCs w:val="18"/>
              </w:rPr>
              <w:t>Other property costs (</w:t>
            </w:r>
            <w:proofErr w:type="spellStart"/>
            <w:r>
              <w:rPr>
                <w:sz w:val="18"/>
                <w:szCs w:val="18"/>
              </w:rPr>
              <w:t>p.a</w:t>
            </w:r>
            <w:proofErr w:type="spellEnd"/>
            <w:r>
              <w:rPr>
                <w:sz w:val="18"/>
                <w:szCs w:val="18"/>
              </w:rPr>
              <w:t>)</w:t>
            </w:r>
          </w:p>
        </w:tc>
        <w:tc>
          <w:tcPr>
            <w:tcW w:w="5663" w:type="dxa"/>
          </w:tcPr>
          <w:p w:rsidR="007C16EB" w:rsidRPr="007C16EB" w:rsidRDefault="007C16EB" w:rsidP="007C16EB">
            <w:pPr>
              <w:spacing w:before="60" w:line="240" w:lineRule="auto"/>
              <w:rPr>
                <w:sz w:val="18"/>
                <w:szCs w:val="18"/>
              </w:rPr>
            </w:pPr>
          </w:p>
        </w:tc>
      </w:tr>
      <w:tr w:rsidR="007C16EB" w:rsidRPr="007C16EB" w:rsidTr="007C16EB">
        <w:trPr>
          <w:trHeight w:val="284"/>
        </w:trPr>
        <w:tc>
          <w:tcPr>
            <w:tcW w:w="3397" w:type="dxa"/>
          </w:tcPr>
          <w:p w:rsidR="007C16EB" w:rsidRPr="007C16EB" w:rsidRDefault="007C16EB" w:rsidP="007C16EB">
            <w:pPr>
              <w:spacing w:before="60" w:line="240" w:lineRule="auto"/>
              <w:rPr>
                <w:sz w:val="18"/>
                <w:szCs w:val="18"/>
              </w:rPr>
            </w:pPr>
            <w:r>
              <w:rPr>
                <w:sz w:val="18"/>
                <w:szCs w:val="18"/>
              </w:rPr>
              <w:t>Total property costs (</w:t>
            </w:r>
            <w:proofErr w:type="spellStart"/>
            <w:r>
              <w:rPr>
                <w:sz w:val="18"/>
                <w:szCs w:val="18"/>
              </w:rPr>
              <w:t>p.a</w:t>
            </w:r>
            <w:proofErr w:type="spellEnd"/>
            <w:r>
              <w:rPr>
                <w:sz w:val="18"/>
                <w:szCs w:val="18"/>
              </w:rPr>
              <w:t>)</w:t>
            </w:r>
          </w:p>
        </w:tc>
        <w:tc>
          <w:tcPr>
            <w:tcW w:w="5663" w:type="dxa"/>
          </w:tcPr>
          <w:p w:rsidR="007C16EB" w:rsidRPr="007C16EB" w:rsidRDefault="007C16EB" w:rsidP="007C16EB">
            <w:pPr>
              <w:spacing w:before="60" w:line="240" w:lineRule="auto"/>
              <w:rPr>
                <w:sz w:val="18"/>
                <w:szCs w:val="18"/>
              </w:rPr>
            </w:pPr>
          </w:p>
        </w:tc>
      </w:tr>
    </w:tbl>
    <w:p w:rsidR="00501D33" w:rsidRDefault="00501D33" w:rsidP="00850E37"/>
    <w:p w:rsidR="0048352A" w:rsidRDefault="0048352A">
      <w:pPr>
        <w:suppressAutoHyphens w:val="0"/>
        <w:spacing w:before="0" w:after="120" w:line="440" w:lineRule="atLeast"/>
      </w:pPr>
      <w:r>
        <w:br w:type="page"/>
      </w:r>
    </w:p>
    <w:p w:rsidR="00A73272" w:rsidRDefault="00422C07" w:rsidP="00984FAA">
      <w:pPr>
        <w:pStyle w:val="Heading2Numbered"/>
      </w:pPr>
      <w:r>
        <w:lastRenderedPageBreak/>
        <w:t>B2 – Property performance</w:t>
      </w:r>
    </w:p>
    <w:tbl>
      <w:tblPr>
        <w:tblStyle w:val="TableGrid"/>
        <w:tblW w:w="0" w:type="auto"/>
        <w:tblLook w:val="04A0" w:firstRow="1" w:lastRow="0" w:firstColumn="1" w:lastColumn="0" w:noHBand="0" w:noVBand="1"/>
      </w:tblPr>
      <w:tblGrid>
        <w:gridCol w:w="3397"/>
        <w:gridCol w:w="5663"/>
      </w:tblGrid>
      <w:tr w:rsidR="00BB441F" w:rsidRPr="007C16EB" w:rsidTr="001D5DB6">
        <w:trPr>
          <w:trHeight w:val="284"/>
        </w:trPr>
        <w:tc>
          <w:tcPr>
            <w:tcW w:w="9060" w:type="dxa"/>
            <w:gridSpan w:val="2"/>
          </w:tcPr>
          <w:p w:rsidR="00BB441F" w:rsidRPr="007C16EB" w:rsidRDefault="00BB441F" w:rsidP="001D5DB6">
            <w:pPr>
              <w:spacing w:before="60" w:line="240" w:lineRule="auto"/>
              <w:jc w:val="center"/>
              <w:rPr>
                <w:b/>
                <w:sz w:val="18"/>
                <w:szCs w:val="18"/>
              </w:rPr>
            </w:pPr>
            <w:r>
              <w:rPr>
                <w:b/>
                <w:sz w:val="20"/>
                <w:szCs w:val="18"/>
              </w:rPr>
              <w:t>Property Utilisation</w:t>
            </w:r>
          </w:p>
        </w:tc>
      </w:tr>
      <w:tr w:rsidR="00BB441F" w:rsidRPr="007C16EB" w:rsidTr="001D5DB6">
        <w:trPr>
          <w:trHeight w:val="284"/>
        </w:trPr>
        <w:tc>
          <w:tcPr>
            <w:tcW w:w="3397" w:type="dxa"/>
          </w:tcPr>
          <w:p w:rsidR="00BB441F" w:rsidRPr="007C16EB" w:rsidRDefault="00BB441F" w:rsidP="001D5DB6">
            <w:pPr>
              <w:spacing w:before="60" w:line="240" w:lineRule="auto"/>
              <w:rPr>
                <w:sz w:val="18"/>
                <w:szCs w:val="18"/>
              </w:rPr>
            </w:pPr>
            <w:r>
              <w:rPr>
                <w:sz w:val="18"/>
                <w:szCs w:val="18"/>
              </w:rPr>
              <w:t>Property</w:t>
            </w:r>
          </w:p>
        </w:tc>
        <w:tc>
          <w:tcPr>
            <w:tcW w:w="5663" w:type="dxa"/>
          </w:tcPr>
          <w:p w:rsidR="00BB441F" w:rsidRPr="007C16EB" w:rsidRDefault="00BB441F" w:rsidP="001D5DB6">
            <w:pPr>
              <w:spacing w:before="60" w:line="240" w:lineRule="auto"/>
              <w:rPr>
                <w:sz w:val="18"/>
                <w:szCs w:val="18"/>
              </w:rPr>
            </w:pPr>
          </w:p>
        </w:tc>
      </w:tr>
      <w:tr w:rsidR="00BB441F" w:rsidRPr="007C16EB" w:rsidTr="001D5DB6">
        <w:trPr>
          <w:trHeight w:val="284"/>
        </w:trPr>
        <w:tc>
          <w:tcPr>
            <w:tcW w:w="3397" w:type="dxa"/>
          </w:tcPr>
          <w:p w:rsidR="00BB441F" w:rsidRPr="007C16EB" w:rsidRDefault="00BB441F" w:rsidP="001D5DB6">
            <w:pPr>
              <w:spacing w:before="60" w:line="240" w:lineRule="auto"/>
              <w:rPr>
                <w:sz w:val="18"/>
                <w:szCs w:val="18"/>
              </w:rPr>
            </w:pPr>
            <w:r>
              <w:rPr>
                <w:sz w:val="18"/>
                <w:szCs w:val="18"/>
              </w:rPr>
              <w:t>M2</w:t>
            </w:r>
            <w:r w:rsidR="00A825A0">
              <w:rPr>
                <w:sz w:val="18"/>
                <w:szCs w:val="18"/>
              </w:rPr>
              <w:t xml:space="preserve"> </w:t>
            </w:r>
            <w:r>
              <w:rPr>
                <w:sz w:val="18"/>
                <w:szCs w:val="18"/>
              </w:rPr>
              <w:t>/</w:t>
            </w:r>
            <w:r w:rsidR="00A825A0">
              <w:rPr>
                <w:sz w:val="18"/>
                <w:szCs w:val="18"/>
              </w:rPr>
              <w:t xml:space="preserve"> </w:t>
            </w:r>
            <w:r>
              <w:rPr>
                <w:sz w:val="18"/>
                <w:szCs w:val="18"/>
              </w:rPr>
              <w:t>WP</w:t>
            </w:r>
          </w:p>
        </w:tc>
        <w:tc>
          <w:tcPr>
            <w:tcW w:w="5663" w:type="dxa"/>
          </w:tcPr>
          <w:p w:rsidR="00BB441F" w:rsidRPr="007C16EB" w:rsidRDefault="00BB441F" w:rsidP="001D5DB6">
            <w:pPr>
              <w:spacing w:before="60" w:line="240" w:lineRule="auto"/>
              <w:rPr>
                <w:sz w:val="18"/>
                <w:szCs w:val="18"/>
              </w:rPr>
            </w:pPr>
          </w:p>
        </w:tc>
      </w:tr>
      <w:tr w:rsidR="00BB441F" w:rsidRPr="007C16EB" w:rsidTr="001D5DB6">
        <w:trPr>
          <w:trHeight w:val="284"/>
        </w:trPr>
        <w:tc>
          <w:tcPr>
            <w:tcW w:w="3397" w:type="dxa"/>
          </w:tcPr>
          <w:p w:rsidR="00BB441F" w:rsidRPr="007C16EB" w:rsidRDefault="00BB441F" w:rsidP="001D5DB6">
            <w:pPr>
              <w:spacing w:before="60" w:line="240" w:lineRule="auto"/>
              <w:rPr>
                <w:sz w:val="18"/>
                <w:szCs w:val="18"/>
              </w:rPr>
            </w:pPr>
            <w:r>
              <w:rPr>
                <w:sz w:val="18"/>
                <w:szCs w:val="18"/>
              </w:rPr>
              <w:t>M2</w:t>
            </w:r>
            <w:r w:rsidR="00A825A0">
              <w:rPr>
                <w:sz w:val="18"/>
                <w:szCs w:val="18"/>
              </w:rPr>
              <w:t xml:space="preserve"> </w:t>
            </w:r>
            <w:r>
              <w:rPr>
                <w:sz w:val="18"/>
                <w:szCs w:val="18"/>
              </w:rPr>
              <w:t>/</w:t>
            </w:r>
            <w:r w:rsidR="00A825A0">
              <w:rPr>
                <w:sz w:val="18"/>
                <w:szCs w:val="18"/>
              </w:rPr>
              <w:t xml:space="preserve"> </w:t>
            </w:r>
            <w:r>
              <w:rPr>
                <w:sz w:val="18"/>
                <w:szCs w:val="18"/>
              </w:rPr>
              <w:t>OWP</w:t>
            </w:r>
          </w:p>
        </w:tc>
        <w:tc>
          <w:tcPr>
            <w:tcW w:w="5663" w:type="dxa"/>
          </w:tcPr>
          <w:p w:rsidR="00BB441F" w:rsidRPr="007C16EB" w:rsidRDefault="00BB441F" w:rsidP="001D5DB6">
            <w:pPr>
              <w:spacing w:before="60" w:line="240" w:lineRule="auto"/>
              <w:rPr>
                <w:sz w:val="18"/>
                <w:szCs w:val="18"/>
              </w:rPr>
            </w:pPr>
          </w:p>
        </w:tc>
      </w:tr>
      <w:tr w:rsidR="00BB441F" w:rsidRPr="007C16EB" w:rsidTr="001D5DB6">
        <w:trPr>
          <w:trHeight w:val="284"/>
        </w:trPr>
        <w:tc>
          <w:tcPr>
            <w:tcW w:w="3397" w:type="dxa"/>
          </w:tcPr>
          <w:p w:rsidR="00BB441F" w:rsidRPr="007C16EB" w:rsidRDefault="00BB441F" w:rsidP="001D5DB6">
            <w:pPr>
              <w:spacing w:before="60" w:line="240" w:lineRule="auto"/>
              <w:rPr>
                <w:sz w:val="18"/>
                <w:szCs w:val="18"/>
              </w:rPr>
            </w:pPr>
            <w:r>
              <w:rPr>
                <w:sz w:val="18"/>
                <w:szCs w:val="18"/>
              </w:rPr>
              <w:t>WP Vacancy</w:t>
            </w:r>
          </w:p>
        </w:tc>
        <w:tc>
          <w:tcPr>
            <w:tcW w:w="5663" w:type="dxa"/>
          </w:tcPr>
          <w:p w:rsidR="00BB441F" w:rsidRPr="007C16EB" w:rsidRDefault="00BB441F" w:rsidP="001D5DB6">
            <w:pPr>
              <w:spacing w:before="60" w:line="240" w:lineRule="auto"/>
              <w:rPr>
                <w:sz w:val="18"/>
                <w:szCs w:val="18"/>
              </w:rPr>
            </w:pPr>
          </w:p>
        </w:tc>
      </w:tr>
      <w:tr w:rsidR="00BB441F" w:rsidRPr="007C16EB" w:rsidTr="001E7C52">
        <w:trPr>
          <w:trHeight w:val="284"/>
        </w:trPr>
        <w:tc>
          <w:tcPr>
            <w:tcW w:w="9060" w:type="dxa"/>
            <w:gridSpan w:val="2"/>
          </w:tcPr>
          <w:p w:rsidR="00BB441F" w:rsidRPr="007C16EB" w:rsidRDefault="00BB441F" w:rsidP="00BB441F">
            <w:pPr>
              <w:spacing w:before="60" w:line="240" w:lineRule="auto"/>
              <w:jc w:val="center"/>
              <w:rPr>
                <w:sz w:val="18"/>
                <w:szCs w:val="18"/>
              </w:rPr>
            </w:pPr>
            <w:r w:rsidRPr="00BB441F">
              <w:rPr>
                <w:b/>
                <w:sz w:val="20"/>
                <w:szCs w:val="18"/>
              </w:rPr>
              <w:t>Costs</w:t>
            </w:r>
          </w:p>
        </w:tc>
      </w:tr>
      <w:tr w:rsidR="00BB441F" w:rsidRPr="007C16EB" w:rsidTr="001D5DB6">
        <w:trPr>
          <w:trHeight w:val="284"/>
        </w:trPr>
        <w:tc>
          <w:tcPr>
            <w:tcW w:w="3397" w:type="dxa"/>
          </w:tcPr>
          <w:p w:rsidR="00BB441F" w:rsidRPr="007C16EB" w:rsidRDefault="00BB441F" w:rsidP="001D5DB6">
            <w:pPr>
              <w:spacing w:before="60" w:line="240" w:lineRule="auto"/>
              <w:rPr>
                <w:sz w:val="18"/>
                <w:szCs w:val="18"/>
              </w:rPr>
            </w:pPr>
            <w:r>
              <w:rPr>
                <w:sz w:val="18"/>
                <w:szCs w:val="18"/>
              </w:rPr>
              <w:t>Rent</w:t>
            </w:r>
            <w:r w:rsidR="00A825A0">
              <w:rPr>
                <w:sz w:val="18"/>
                <w:szCs w:val="18"/>
              </w:rPr>
              <w:t xml:space="preserve"> </w:t>
            </w:r>
            <w:r>
              <w:rPr>
                <w:sz w:val="18"/>
                <w:szCs w:val="18"/>
              </w:rPr>
              <w:t>/</w:t>
            </w:r>
            <w:r w:rsidR="00A825A0">
              <w:rPr>
                <w:sz w:val="18"/>
                <w:szCs w:val="18"/>
              </w:rPr>
              <w:t xml:space="preserve"> </w:t>
            </w:r>
            <w:r>
              <w:rPr>
                <w:sz w:val="18"/>
                <w:szCs w:val="18"/>
              </w:rPr>
              <w:t>m2 (</w:t>
            </w:r>
            <w:proofErr w:type="spellStart"/>
            <w:r>
              <w:rPr>
                <w:sz w:val="18"/>
                <w:szCs w:val="18"/>
              </w:rPr>
              <w:t>p.a</w:t>
            </w:r>
            <w:proofErr w:type="spellEnd"/>
            <w:r>
              <w:rPr>
                <w:sz w:val="18"/>
                <w:szCs w:val="18"/>
              </w:rPr>
              <w:t>)</w:t>
            </w:r>
          </w:p>
        </w:tc>
        <w:tc>
          <w:tcPr>
            <w:tcW w:w="5663" w:type="dxa"/>
          </w:tcPr>
          <w:p w:rsidR="00BB441F" w:rsidRPr="007C16EB" w:rsidRDefault="00BB441F" w:rsidP="001D5DB6">
            <w:pPr>
              <w:spacing w:before="60" w:line="240" w:lineRule="auto"/>
              <w:rPr>
                <w:sz w:val="18"/>
                <w:szCs w:val="18"/>
              </w:rPr>
            </w:pPr>
          </w:p>
        </w:tc>
      </w:tr>
      <w:tr w:rsidR="00BB441F" w:rsidRPr="007C16EB" w:rsidTr="001D5DB6">
        <w:trPr>
          <w:trHeight w:val="284"/>
        </w:trPr>
        <w:tc>
          <w:tcPr>
            <w:tcW w:w="3397" w:type="dxa"/>
          </w:tcPr>
          <w:p w:rsidR="00BB441F" w:rsidRPr="007C16EB" w:rsidRDefault="00BB441F" w:rsidP="001D5DB6">
            <w:pPr>
              <w:spacing w:before="60" w:line="240" w:lineRule="auto"/>
              <w:rPr>
                <w:sz w:val="18"/>
                <w:szCs w:val="18"/>
              </w:rPr>
            </w:pPr>
            <w:r>
              <w:rPr>
                <w:sz w:val="18"/>
                <w:szCs w:val="18"/>
              </w:rPr>
              <w:t>Other property operating costs</w:t>
            </w:r>
            <w:r w:rsidR="00A825A0">
              <w:rPr>
                <w:sz w:val="18"/>
                <w:szCs w:val="18"/>
              </w:rPr>
              <w:t xml:space="preserve"> </w:t>
            </w:r>
            <w:r>
              <w:rPr>
                <w:sz w:val="18"/>
                <w:szCs w:val="18"/>
              </w:rPr>
              <w:t>/</w:t>
            </w:r>
            <w:r w:rsidR="00A825A0">
              <w:rPr>
                <w:sz w:val="18"/>
                <w:szCs w:val="18"/>
              </w:rPr>
              <w:t xml:space="preserve"> </w:t>
            </w:r>
            <w:r>
              <w:rPr>
                <w:sz w:val="18"/>
                <w:szCs w:val="18"/>
              </w:rPr>
              <w:t>m2 (</w:t>
            </w:r>
            <w:proofErr w:type="spellStart"/>
            <w:r>
              <w:rPr>
                <w:sz w:val="18"/>
                <w:szCs w:val="18"/>
              </w:rPr>
              <w:t>p.a</w:t>
            </w:r>
            <w:proofErr w:type="spellEnd"/>
            <w:r>
              <w:rPr>
                <w:sz w:val="18"/>
                <w:szCs w:val="18"/>
              </w:rPr>
              <w:t>)</w:t>
            </w:r>
          </w:p>
        </w:tc>
        <w:tc>
          <w:tcPr>
            <w:tcW w:w="5663" w:type="dxa"/>
          </w:tcPr>
          <w:p w:rsidR="00BB441F" w:rsidRPr="007C16EB" w:rsidRDefault="00BB441F" w:rsidP="001D5DB6">
            <w:pPr>
              <w:spacing w:before="60" w:line="240" w:lineRule="auto"/>
              <w:rPr>
                <w:sz w:val="18"/>
                <w:szCs w:val="18"/>
              </w:rPr>
            </w:pPr>
          </w:p>
        </w:tc>
      </w:tr>
      <w:tr w:rsidR="00BB441F" w:rsidRPr="007C16EB" w:rsidTr="001D5DB6">
        <w:trPr>
          <w:trHeight w:val="284"/>
        </w:trPr>
        <w:tc>
          <w:tcPr>
            <w:tcW w:w="3397" w:type="dxa"/>
          </w:tcPr>
          <w:p w:rsidR="00BB441F" w:rsidRPr="007C16EB" w:rsidRDefault="00BB441F" w:rsidP="001D5DB6">
            <w:pPr>
              <w:spacing w:before="60" w:line="240" w:lineRule="auto"/>
              <w:rPr>
                <w:sz w:val="18"/>
                <w:szCs w:val="18"/>
              </w:rPr>
            </w:pPr>
            <w:r>
              <w:rPr>
                <w:sz w:val="18"/>
                <w:szCs w:val="18"/>
              </w:rPr>
              <w:t>Total property costs / m2</w:t>
            </w:r>
            <w:r w:rsidR="00A825A0">
              <w:rPr>
                <w:sz w:val="18"/>
                <w:szCs w:val="18"/>
              </w:rPr>
              <w:t xml:space="preserve"> (</w:t>
            </w:r>
            <w:proofErr w:type="spellStart"/>
            <w:r w:rsidR="00A825A0">
              <w:rPr>
                <w:sz w:val="18"/>
                <w:szCs w:val="18"/>
              </w:rPr>
              <w:t>p.a</w:t>
            </w:r>
            <w:proofErr w:type="spellEnd"/>
            <w:r w:rsidR="00A825A0">
              <w:rPr>
                <w:sz w:val="18"/>
                <w:szCs w:val="18"/>
              </w:rPr>
              <w:t>)</w:t>
            </w:r>
          </w:p>
        </w:tc>
        <w:tc>
          <w:tcPr>
            <w:tcW w:w="5663" w:type="dxa"/>
          </w:tcPr>
          <w:p w:rsidR="00BB441F" w:rsidRPr="007C16EB" w:rsidRDefault="00BB441F" w:rsidP="001D5DB6">
            <w:pPr>
              <w:spacing w:before="60" w:line="240" w:lineRule="auto"/>
              <w:rPr>
                <w:sz w:val="18"/>
                <w:szCs w:val="18"/>
              </w:rPr>
            </w:pPr>
          </w:p>
        </w:tc>
      </w:tr>
      <w:tr w:rsidR="00BB441F" w:rsidRPr="007C16EB" w:rsidTr="001D5DB6">
        <w:trPr>
          <w:trHeight w:val="284"/>
        </w:trPr>
        <w:tc>
          <w:tcPr>
            <w:tcW w:w="3397" w:type="dxa"/>
          </w:tcPr>
          <w:p w:rsidR="00BB441F" w:rsidRPr="007C16EB" w:rsidRDefault="00A825A0" w:rsidP="001D5DB6">
            <w:pPr>
              <w:spacing w:before="60" w:line="240" w:lineRule="auto"/>
              <w:rPr>
                <w:sz w:val="18"/>
                <w:szCs w:val="18"/>
              </w:rPr>
            </w:pPr>
            <w:r>
              <w:rPr>
                <w:sz w:val="18"/>
                <w:szCs w:val="18"/>
              </w:rPr>
              <w:t>Total property costs / Total operating costs (%)</w:t>
            </w:r>
          </w:p>
        </w:tc>
        <w:tc>
          <w:tcPr>
            <w:tcW w:w="5663" w:type="dxa"/>
          </w:tcPr>
          <w:p w:rsidR="00BB441F" w:rsidRPr="007C16EB" w:rsidRDefault="00BB441F" w:rsidP="001D5DB6">
            <w:pPr>
              <w:spacing w:before="60" w:line="240" w:lineRule="auto"/>
              <w:rPr>
                <w:sz w:val="18"/>
                <w:szCs w:val="18"/>
              </w:rPr>
            </w:pPr>
          </w:p>
        </w:tc>
      </w:tr>
      <w:tr w:rsidR="00A825A0" w:rsidRPr="007C16EB" w:rsidTr="000D356A">
        <w:trPr>
          <w:trHeight w:val="284"/>
        </w:trPr>
        <w:tc>
          <w:tcPr>
            <w:tcW w:w="9060" w:type="dxa"/>
            <w:gridSpan w:val="2"/>
          </w:tcPr>
          <w:p w:rsidR="00A825A0" w:rsidRPr="00A825A0" w:rsidRDefault="00A825A0" w:rsidP="00A825A0">
            <w:pPr>
              <w:spacing w:before="60" w:line="240" w:lineRule="auto"/>
              <w:jc w:val="center"/>
              <w:rPr>
                <w:b/>
                <w:sz w:val="18"/>
                <w:szCs w:val="18"/>
              </w:rPr>
            </w:pPr>
            <w:r w:rsidRPr="00A825A0">
              <w:rPr>
                <w:b/>
                <w:sz w:val="18"/>
                <w:szCs w:val="18"/>
              </w:rPr>
              <w:t>Work Practices</w:t>
            </w:r>
          </w:p>
        </w:tc>
      </w:tr>
      <w:tr w:rsidR="00BB441F" w:rsidRPr="007C16EB" w:rsidTr="001D5DB6">
        <w:trPr>
          <w:trHeight w:val="284"/>
        </w:trPr>
        <w:tc>
          <w:tcPr>
            <w:tcW w:w="3397" w:type="dxa"/>
          </w:tcPr>
          <w:p w:rsidR="00BB441F" w:rsidRPr="007C16EB" w:rsidRDefault="00A825A0" w:rsidP="001D5DB6">
            <w:pPr>
              <w:spacing w:before="60" w:line="240" w:lineRule="auto"/>
              <w:rPr>
                <w:sz w:val="18"/>
                <w:szCs w:val="18"/>
              </w:rPr>
            </w:pPr>
            <w:r>
              <w:rPr>
                <w:sz w:val="18"/>
                <w:szCs w:val="18"/>
              </w:rPr>
              <w:t>Desk sharing or formal work from home (%)</w:t>
            </w:r>
          </w:p>
        </w:tc>
        <w:tc>
          <w:tcPr>
            <w:tcW w:w="5663" w:type="dxa"/>
          </w:tcPr>
          <w:p w:rsidR="00BB441F" w:rsidRPr="007C16EB" w:rsidRDefault="00BB441F" w:rsidP="001D5DB6">
            <w:pPr>
              <w:spacing w:before="60" w:line="240" w:lineRule="auto"/>
              <w:rPr>
                <w:sz w:val="18"/>
                <w:szCs w:val="18"/>
              </w:rPr>
            </w:pPr>
          </w:p>
        </w:tc>
      </w:tr>
      <w:tr w:rsidR="00A825A0" w:rsidRPr="007C16EB" w:rsidTr="008B324B">
        <w:trPr>
          <w:trHeight w:val="284"/>
        </w:trPr>
        <w:tc>
          <w:tcPr>
            <w:tcW w:w="9060" w:type="dxa"/>
            <w:gridSpan w:val="2"/>
          </w:tcPr>
          <w:p w:rsidR="00A825A0" w:rsidRPr="00A825A0" w:rsidRDefault="00A825A0" w:rsidP="00A825A0">
            <w:pPr>
              <w:spacing w:before="60" w:line="240" w:lineRule="auto"/>
              <w:jc w:val="center"/>
              <w:rPr>
                <w:b/>
                <w:sz w:val="18"/>
                <w:szCs w:val="18"/>
              </w:rPr>
            </w:pPr>
            <w:r w:rsidRPr="00A825A0">
              <w:rPr>
                <w:b/>
                <w:sz w:val="18"/>
                <w:szCs w:val="18"/>
              </w:rPr>
              <w:t>Environmental</w:t>
            </w:r>
          </w:p>
        </w:tc>
      </w:tr>
      <w:tr w:rsidR="00BB441F" w:rsidRPr="007C16EB" w:rsidTr="001D5DB6">
        <w:trPr>
          <w:trHeight w:val="284"/>
        </w:trPr>
        <w:tc>
          <w:tcPr>
            <w:tcW w:w="3397" w:type="dxa"/>
          </w:tcPr>
          <w:p w:rsidR="00BB441F" w:rsidRPr="007C16EB" w:rsidRDefault="00A825A0" w:rsidP="001D5DB6">
            <w:pPr>
              <w:spacing w:before="60" w:line="240" w:lineRule="auto"/>
              <w:rPr>
                <w:sz w:val="18"/>
                <w:szCs w:val="18"/>
              </w:rPr>
            </w:pPr>
            <w:r>
              <w:rPr>
                <w:sz w:val="18"/>
                <w:szCs w:val="18"/>
              </w:rPr>
              <w:t>Energy: MJ / m2 (</w:t>
            </w:r>
            <w:proofErr w:type="spellStart"/>
            <w:r>
              <w:rPr>
                <w:sz w:val="18"/>
                <w:szCs w:val="18"/>
              </w:rPr>
              <w:t>p.a</w:t>
            </w:r>
            <w:proofErr w:type="spellEnd"/>
            <w:r>
              <w:rPr>
                <w:sz w:val="18"/>
                <w:szCs w:val="18"/>
              </w:rPr>
              <w:t>) Base building</w:t>
            </w:r>
          </w:p>
        </w:tc>
        <w:tc>
          <w:tcPr>
            <w:tcW w:w="5663" w:type="dxa"/>
          </w:tcPr>
          <w:p w:rsidR="00BB441F" w:rsidRPr="007C16EB" w:rsidRDefault="00BB441F" w:rsidP="001D5DB6">
            <w:pPr>
              <w:spacing w:before="60" w:line="240" w:lineRule="auto"/>
              <w:rPr>
                <w:sz w:val="18"/>
                <w:szCs w:val="18"/>
              </w:rPr>
            </w:pPr>
          </w:p>
        </w:tc>
      </w:tr>
      <w:tr w:rsidR="00BB441F" w:rsidRPr="007C16EB" w:rsidTr="001D5DB6">
        <w:trPr>
          <w:trHeight w:val="284"/>
        </w:trPr>
        <w:tc>
          <w:tcPr>
            <w:tcW w:w="3397" w:type="dxa"/>
          </w:tcPr>
          <w:p w:rsidR="00BB441F" w:rsidRPr="007C16EB" w:rsidRDefault="00A825A0" w:rsidP="001D5DB6">
            <w:pPr>
              <w:spacing w:before="60" w:line="240" w:lineRule="auto"/>
              <w:rPr>
                <w:sz w:val="18"/>
                <w:szCs w:val="18"/>
              </w:rPr>
            </w:pPr>
            <w:r>
              <w:rPr>
                <w:sz w:val="18"/>
                <w:szCs w:val="18"/>
              </w:rPr>
              <w:t>Energy: MJ / OWP (</w:t>
            </w:r>
            <w:proofErr w:type="spellStart"/>
            <w:r>
              <w:rPr>
                <w:sz w:val="18"/>
                <w:szCs w:val="18"/>
              </w:rPr>
              <w:t>p.a</w:t>
            </w:r>
            <w:proofErr w:type="spellEnd"/>
            <w:r>
              <w:rPr>
                <w:sz w:val="18"/>
                <w:szCs w:val="18"/>
              </w:rPr>
              <w:t>) Tenancy</w:t>
            </w:r>
          </w:p>
        </w:tc>
        <w:tc>
          <w:tcPr>
            <w:tcW w:w="5663" w:type="dxa"/>
          </w:tcPr>
          <w:p w:rsidR="00BB441F" w:rsidRPr="007C16EB" w:rsidRDefault="00BB441F" w:rsidP="001D5DB6">
            <w:pPr>
              <w:spacing w:before="60" w:line="240" w:lineRule="auto"/>
              <w:rPr>
                <w:sz w:val="18"/>
                <w:szCs w:val="18"/>
              </w:rPr>
            </w:pPr>
          </w:p>
        </w:tc>
      </w:tr>
      <w:tr w:rsidR="00BB441F" w:rsidRPr="007C16EB" w:rsidTr="001D5DB6">
        <w:trPr>
          <w:trHeight w:val="284"/>
        </w:trPr>
        <w:tc>
          <w:tcPr>
            <w:tcW w:w="3397" w:type="dxa"/>
          </w:tcPr>
          <w:p w:rsidR="00BB441F" w:rsidRPr="007C16EB" w:rsidRDefault="00A825A0" w:rsidP="001D5DB6">
            <w:pPr>
              <w:spacing w:before="60" w:line="240" w:lineRule="auto"/>
              <w:rPr>
                <w:sz w:val="18"/>
                <w:szCs w:val="18"/>
              </w:rPr>
            </w:pPr>
            <w:r>
              <w:rPr>
                <w:sz w:val="18"/>
                <w:szCs w:val="18"/>
              </w:rPr>
              <w:t>NABERS Energy Rating (stars), Tenancy and Base building</w:t>
            </w:r>
          </w:p>
        </w:tc>
        <w:tc>
          <w:tcPr>
            <w:tcW w:w="5663" w:type="dxa"/>
          </w:tcPr>
          <w:p w:rsidR="00BB441F" w:rsidRPr="007C16EB" w:rsidRDefault="00BB441F" w:rsidP="001D5DB6">
            <w:pPr>
              <w:spacing w:before="60" w:line="240" w:lineRule="auto"/>
              <w:rPr>
                <w:sz w:val="18"/>
                <w:szCs w:val="18"/>
              </w:rPr>
            </w:pPr>
          </w:p>
        </w:tc>
      </w:tr>
    </w:tbl>
    <w:p w:rsidR="00984FAA" w:rsidRDefault="00984FAA" w:rsidP="00984FAA">
      <w:pPr>
        <w:ind w:left="720" w:hanging="720"/>
      </w:pPr>
    </w:p>
    <w:p w:rsidR="00A825A0" w:rsidRDefault="00A825A0" w:rsidP="00A825A0">
      <w:pPr>
        <w:ind w:left="720" w:hanging="720"/>
      </w:pPr>
    </w:p>
    <w:p w:rsidR="00984FAA" w:rsidRDefault="00984FAA" w:rsidP="00984FAA">
      <w:pPr>
        <w:ind w:left="720" w:hanging="720"/>
      </w:pPr>
    </w:p>
    <w:p w:rsidR="00BB441F" w:rsidRDefault="00BB441F" w:rsidP="00984FAA">
      <w:pPr>
        <w:ind w:left="720" w:hanging="720"/>
      </w:pPr>
    </w:p>
    <w:p w:rsidR="00BB441F" w:rsidRDefault="00BB441F">
      <w:pPr>
        <w:suppressAutoHyphens w:val="0"/>
        <w:spacing w:before="0" w:after="120" w:line="440" w:lineRule="atLeast"/>
      </w:pPr>
      <w:r>
        <w:br w:type="page"/>
      </w:r>
    </w:p>
    <w:p w:rsidR="00984FAA" w:rsidRDefault="00984FAA" w:rsidP="00A825A0">
      <w:pPr>
        <w:pStyle w:val="Heading1Numbered"/>
      </w:pPr>
      <w:r>
        <w:lastRenderedPageBreak/>
        <w:t xml:space="preserve"> Appendix C: Gap Analysis – better practice template</w:t>
      </w:r>
    </w:p>
    <w:tbl>
      <w:tblPr>
        <w:tblStyle w:val="TableGrid"/>
        <w:tblW w:w="0" w:type="auto"/>
        <w:tblLook w:val="04A0" w:firstRow="1" w:lastRow="0" w:firstColumn="1" w:lastColumn="0" w:noHBand="0" w:noVBand="1"/>
      </w:tblPr>
      <w:tblGrid>
        <w:gridCol w:w="3397"/>
        <w:gridCol w:w="5663"/>
      </w:tblGrid>
      <w:tr w:rsidR="00A825A0" w:rsidRPr="007C16EB" w:rsidTr="001D5DB6">
        <w:trPr>
          <w:trHeight w:val="284"/>
        </w:trPr>
        <w:tc>
          <w:tcPr>
            <w:tcW w:w="9060" w:type="dxa"/>
            <w:gridSpan w:val="2"/>
          </w:tcPr>
          <w:p w:rsidR="00A825A0" w:rsidRPr="007C16EB" w:rsidRDefault="00A825A0" w:rsidP="001D5DB6">
            <w:pPr>
              <w:spacing w:before="60" w:line="240" w:lineRule="auto"/>
              <w:jc w:val="center"/>
              <w:rPr>
                <w:b/>
                <w:sz w:val="18"/>
                <w:szCs w:val="18"/>
              </w:rPr>
            </w:pPr>
            <w:r>
              <w:rPr>
                <w:b/>
                <w:sz w:val="20"/>
                <w:szCs w:val="18"/>
              </w:rPr>
              <w:t>Property Details</w:t>
            </w:r>
          </w:p>
        </w:tc>
      </w:tr>
      <w:tr w:rsidR="00A825A0" w:rsidRPr="007C16EB" w:rsidTr="001D5DB6">
        <w:trPr>
          <w:trHeight w:val="284"/>
        </w:trPr>
        <w:tc>
          <w:tcPr>
            <w:tcW w:w="3397" w:type="dxa"/>
          </w:tcPr>
          <w:p w:rsidR="00A825A0" w:rsidRPr="007C16EB" w:rsidRDefault="00A825A0" w:rsidP="001D5DB6">
            <w:pPr>
              <w:spacing w:before="60" w:line="240" w:lineRule="auto"/>
              <w:rPr>
                <w:sz w:val="18"/>
                <w:szCs w:val="18"/>
              </w:rPr>
            </w:pPr>
            <w:r>
              <w:rPr>
                <w:sz w:val="18"/>
                <w:szCs w:val="18"/>
              </w:rPr>
              <w:t>Property</w:t>
            </w:r>
          </w:p>
        </w:tc>
        <w:tc>
          <w:tcPr>
            <w:tcW w:w="5663" w:type="dxa"/>
          </w:tcPr>
          <w:p w:rsidR="00A825A0" w:rsidRPr="007C16EB" w:rsidRDefault="00A825A0" w:rsidP="001D5DB6">
            <w:pPr>
              <w:spacing w:before="60" w:line="240" w:lineRule="auto"/>
              <w:rPr>
                <w:sz w:val="18"/>
                <w:szCs w:val="18"/>
              </w:rPr>
            </w:pPr>
          </w:p>
        </w:tc>
      </w:tr>
      <w:tr w:rsidR="00A825A0" w:rsidRPr="007C16EB" w:rsidTr="000B0A51">
        <w:trPr>
          <w:trHeight w:val="284"/>
        </w:trPr>
        <w:tc>
          <w:tcPr>
            <w:tcW w:w="9060" w:type="dxa"/>
            <w:gridSpan w:val="2"/>
          </w:tcPr>
          <w:p w:rsidR="00A825A0" w:rsidRPr="00A825A0" w:rsidRDefault="00A825A0" w:rsidP="00A825A0">
            <w:pPr>
              <w:spacing w:before="60" w:line="240" w:lineRule="auto"/>
              <w:jc w:val="center"/>
              <w:rPr>
                <w:b/>
                <w:sz w:val="18"/>
                <w:szCs w:val="18"/>
              </w:rPr>
            </w:pPr>
            <w:r>
              <w:rPr>
                <w:b/>
                <w:sz w:val="18"/>
                <w:szCs w:val="18"/>
              </w:rPr>
              <w:t>Work points</w:t>
            </w:r>
          </w:p>
        </w:tc>
      </w:tr>
      <w:tr w:rsidR="00A825A0" w:rsidRPr="007C16EB" w:rsidTr="001D5DB6">
        <w:trPr>
          <w:trHeight w:val="284"/>
        </w:trPr>
        <w:tc>
          <w:tcPr>
            <w:tcW w:w="3397" w:type="dxa"/>
          </w:tcPr>
          <w:p w:rsidR="00A825A0" w:rsidRPr="007C16EB" w:rsidRDefault="00A825A0" w:rsidP="001D5DB6">
            <w:pPr>
              <w:spacing w:before="60" w:line="240" w:lineRule="auto"/>
              <w:rPr>
                <w:sz w:val="18"/>
                <w:szCs w:val="18"/>
              </w:rPr>
            </w:pPr>
            <w:r>
              <w:rPr>
                <w:sz w:val="18"/>
                <w:szCs w:val="18"/>
              </w:rPr>
              <w:t>Current</w:t>
            </w:r>
          </w:p>
        </w:tc>
        <w:tc>
          <w:tcPr>
            <w:tcW w:w="5663" w:type="dxa"/>
          </w:tcPr>
          <w:p w:rsidR="00A825A0" w:rsidRPr="007C16EB" w:rsidRDefault="00A825A0" w:rsidP="001D5DB6">
            <w:pPr>
              <w:spacing w:before="60" w:line="240" w:lineRule="auto"/>
              <w:rPr>
                <w:sz w:val="18"/>
                <w:szCs w:val="18"/>
              </w:rPr>
            </w:pPr>
          </w:p>
        </w:tc>
      </w:tr>
      <w:tr w:rsidR="00A825A0" w:rsidRPr="007C16EB" w:rsidTr="001D5DB6">
        <w:trPr>
          <w:trHeight w:val="284"/>
        </w:trPr>
        <w:tc>
          <w:tcPr>
            <w:tcW w:w="3397" w:type="dxa"/>
          </w:tcPr>
          <w:p w:rsidR="00A825A0" w:rsidRPr="007C16EB" w:rsidRDefault="00A825A0" w:rsidP="001D5DB6">
            <w:pPr>
              <w:spacing w:before="60" w:line="240" w:lineRule="auto"/>
              <w:rPr>
                <w:sz w:val="18"/>
                <w:szCs w:val="18"/>
              </w:rPr>
            </w:pPr>
            <w:r>
              <w:rPr>
                <w:sz w:val="18"/>
                <w:szCs w:val="18"/>
              </w:rPr>
              <w:t>Short term: 1-2 years</w:t>
            </w:r>
          </w:p>
        </w:tc>
        <w:tc>
          <w:tcPr>
            <w:tcW w:w="5663" w:type="dxa"/>
          </w:tcPr>
          <w:p w:rsidR="00A825A0" w:rsidRPr="007C16EB" w:rsidRDefault="00A825A0" w:rsidP="001D5DB6">
            <w:pPr>
              <w:spacing w:before="60" w:line="240" w:lineRule="auto"/>
              <w:rPr>
                <w:sz w:val="18"/>
                <w:szCs w:val="18"/>
              </w:rPr>
            </w:pPr>
          </w:p>
        </w:tc>
      </w:tr>
      <w:tr w:rsidR="00A825A0" w:rsidRPr="007C16EB" w:rsidTr="001D5DB6">
        <w:trPr>
          <w:trHeight w:val="284"/>
        </w:trPr>
        <w:tc>
          <w:tcPr>
            <w:tcW w:w="3397" w:type="dxa"/>
          </w:tcPr>
          <w:p w:rsidR="00A825A0" w:rsidRPr="007C16EB" w:rsidRDefault="00A825A0" w:rsidP="001D5DB6">
            <w:pPr>
              <w:spacing w:before="60" w:line="240" w:lineRule="auto"/>
              <w:rPr>
                <w:sz w:val="18"/>
                <w:szCs w:val="18"/>
              </w:rPr>
            </w:pPr>
            <w:r>
              <w:rPr>
                <w:sz w:val="18"/>
                <w:szCs w:val="18"/>
              </w:rPr>
              <w:t>Medium term: 3-5 years</w:t>
            </w:r>
          </w:p>
        </w:tc>
        <w:tc>
          <w:tcPr>
            <w:tcW w:w="5663" w:type="dxa"/>
          </w:tcPr>
          <w:p w:rsidR="00A825A0" w:rsidRPr="007C16EB" w:rsidRDefault="00A825A0" w:rsidP="001D5DB6">
            <w:pPr>
              <w:spacing w:before="60" w:line="240" w:lineRule="auto"/>
              <w:rPr>
                <w:sz w:val="18"/>
                <w:szCs w:val="18"/>
              </w:rPr>
            </w:pPr>
          </w:p>
        </w:tc>
      </w:tr>
      <w:tr w:rsidR="00A825A0" w:rsidRPr="007C16EB" w:rsidTr="001D5DB6">
        <w:trPr>
          <w:trHeight w:val="284"/>
        </w:trPr>
        <w:tc>
          <w:tcPr>
            <w:tcW w:w="3397" w:type="dxa"/>
          </w:tcPr>
          <w:p w:rsidR="00A825A0" w:rsidRPr="007C16EB" w:rsidRDefault="00A825A0" w:rsidP="001D5DB6">
            <w:pPr>
              <w:spacing w:before="60" w:line="240" w:lineRule="auto"/>
              <w:rPr>
                <w:sz w:val="18"/>
                <w:szCs w:val="18"/>
              </w:rPr>
            </w:pPr>
            <w:r>
              <w:rPr>
                <w:sz w:val="18"/>
                <w:szCs w:val="18"/>
              </w:rPr>
              <w:t>Long term: &gt;5 years</w:t>
            </w:r>
          </w:p>
        </w:tc>
        <w:tc>
          <w:tcPr>
            <w:tcW w:w="5663" w:type="dxa"/>
          </w:tcPr>
          <w:p w:rsidR="00A825A0" w:rsidRPr="007C16EB" w:rsidRDefault="00A825A0" w:rsidP="001D5DB6">
            <w:pPr>
              <w:spacing w:before="60" w:line="240" w:lineRule="auto"/>
              <w:rPr>
                <w:sz w:val="18"/>
                <w:szCs w:val="18"/>
              </w:rPr>
            </w:pPr>
          </w:p>
        </w:tc>
      </w:tr>
      <w:tr w:rsidR="00A825A0" w:rsidRPr="007C16EB" w:rsidTr="00972202">
        <w:trPr>
          <w:trHeight w:val="284"/>
        </w:trPr>
        <w:tc>
          <w:tcPr>
            <w:tcW w:w="9060" w:type="dxa"/>
            <w:gridSpan w:val="2"/>
          </w:tcPr>
          <w:p w:rsidR="00A825A0" w:rsidRPr="00A825A0" w:rsidRDefault="00A825A0" w:rsidP="00A825A0">
            <w:pPr>
              <w:spacing w:before="60" w:line="240" w:lineRule="auto"/>
              <w:jc w:val="center"/>
              <w:rPr>
                <w:b/>
                <w:sz w:val="18"/>
                <w:szCs w:val="18"/>
              </w:rPr>
            </w:pPr>
            <w:r>
              <w:rPr>
                <w:b/>
                <w:sz w:val="18"/>
                <w:szCs w:val="18"/>
              </w:rPr>
              <w:t>Space (m2)</w:t>
            </w:r>
          </w:p>
        </w:tc>
      </w:tr>
      <w:tr w:rsidR="00A825A0" w:rsidRPr="007C16EB" w:rsidTr="001D5DB6">
        <w:trPr>
          <w:trHeight w:val="284"/>
        </w:trPr>
        <w:tc>
          <w:tcPr>
            <w:tcW w:w="3397" w:type="dxa"/>
          </w:tcPr>
          <w:p w:rsidR="00A825A0" w:rsidRPr="007C16EB" w:rsidRDefault="00A825A0" w:rsidP="001D5DB6">
            <w:pPr>
              <w:spacing w:before="60" w:line="240" w:lineRule="auto"/>
              <w:rPr>
                <w:sz w:val="18"/>
                <w:szCs w:val="18"/>
              </w:rPr>
            </w:pPr>
            <w:r>
              <w:rPr>
                <w:sz w:val="18"/>
                <w:szCs w:val="18"/>
              </w:rPr>
              <w:t>Current</w:t>
            </w:r>
          </w:p>
        </w:tc>
        <w:tc>
          <w:tcPr>
            <w:tcW w:w="5663" w:type="dxa"/>
          </w:tcPr>
          <w:p w:rsidR="00A825A0" w:rsidRPr="007C16EB" w:rsidRDefault="00A825A0" w:rsidP="001D5DB6">
            <w:pPr>
              <w:spacing w:before="60" w:line="240" w:lineRule="auto"/>
              <w:rPr>
                <w:sz w:val="18"/>
                <w:szCs w:val="18"/>
              </w:rPr>
            </w:pPr>
          </w:p>
        </w:tc>
      </w:tr>
      <w:tr w:rsidR="00A825A0" w:rsidRPr="007C16EB" w:rsidTr="001D5DB6">
        <w:trPr>
          <w:trHeight w:val="284"/>
        </w:trPr>
        <w:tc>
          <w:tcPr>
            <w:tcW w:w="3397" w:type="dxa"/>
          </w:tcPr>
          <w:p w:rsidR="00A825A0" w:rsidRPr="007C16EB" w:rsidRDefault="00A825A0" w:rsidP="001D5DB6">
            <w:pPr>
              <w:spacing w:before="60" w:line="240" w:lineRule="auto"/>
              <w:rPr>
                <w:sz w:val="18"/>
                <w:szCs w:val="18"/>
              </w:rPr>
            </w:pPr>
            <w:r>
              <w:rPr>
                <w:sz w:val="18"/>
                <w:szCs w:val="18"/>
              </w:rPr>
              <w:t>Short term: 1-2 years</w:t>
            </w:r>
          </w:p>
        </w:tc>
        <w:tc>
          <w:tcPr>
            <w:tcW w:w="5663" w:type="dxa"/>
          </w:tcPr>
          <w:p w:rsidR="00A825A0" w:rsidRPr="007C16EB" w:rsidRDefault="00A825A0" w:rsidP="001D5DB6">
            <w:pPr>
              <w:spacing w:before="60" w:line="240" w:lineRule="auto"/>
              <w:rPr>
                <w:sz w:val="18"/>
                <w:szCs w:val="18"/>
              </w:rPr>
            </w:pPr>
          </w:p>
        </w:tc>
      </w:tr>
      <w:tr w:rsidR="00A825A0" w:rsidRPr="007C16EB" w:rsidTr="001D5DB6">
        <w:trPr>
          <w:trHeight w:val="284"/>
        </w:trPr>
        <w:tc>
          <w:tcPr>
            <w:tcW w:w="3397" w:type="dxa"/>
          </w:tcPr>
          <w:p w:rsidR="00A825A0" w:rsidRPr="007C16EB" w:rsidRDefault="00A825A0" w:rsidP="001D5DB6">
            <w:pPr>
              <w:spacing w:before="60" w:line="240" w:lineRule="auto"/>
              <w:rPr>
                <w:sz w:val="18"/>
                <w:szCs w:val="18"/>
              </w:rPr>
            </w:pPr>
            <w:r>
              <w:rPr>
                <w:sz w:val="18"/>
                <w:szCs w:val="18"/>
              </w:rPr>
              <w:t>Medium term: 3-5 years</w:t>
            </w:r>
          </w:p>
        </w:tc>
        <w:tc>
          <w:tcPr>
            <w:tcW w:w="5663" w:type="dxa"/>
          </w:tcPr>
          <w:p w:rsidR="00A825A0" w:rsidRPr="007C16EB" w:rsidRDefault="00A825A0" w:rsidP="001D5DB6">
            <w:pPr>
              <w:spacing w:before="60" w:line="240" w:lineRule="auto"/>
              <w:rPr>
                <w:sz w:val="18"/>
                <w:szCs w:val="18"/>
              </w:rPr>
            </w:pPr>
          </w:p>
        </w:tc>
      </w:tr>
      <w:tr w:rsidR="00A825A0" w:rsidRPr="007C16EB" w:rsidTr="001D5DB6">
        <w:trPr>
          <w:trHeight w:val="284"/>
        </w:trPr>
        <w:tc>
          <w:tcPr>
            <w:tcW w:w="3397" w:type="dxa"/>
          </w:tcPr>
          <w:p w:rsidR="00A825A0" w:rsidRPr="007C16EB" w:rsidRDefault="00A825A0" w:rsidP="001D5DB6">
            <w:pPr>
              <w:spacing w:before="60" w:line="240" w:lineRule="auto"/>
              <w:rPr>
                <w:sz w:val="18"/>
                <w:szCs w:val="18"/>
              </w:rPr>
            </w:pPr>
            <w:r>
              <w:rPr>
                <w:sz w:val="18"/>
                <w:szCs w:val="18"/>
              </w:rPr>
              <w:t>Long term: &gt;5 years</w:t>
            </w:r>
          </w:p>
        </w:tc>
        <w:tc>
          <w:tcPr>
            <w:tcW w:w="5663" w:type="dxa"/>
          </w:tcPr>
          <w:p w:rsidR="00A825A0" w:rsidRPr="007C16EB" w:rsidRDefault="00A825A0" w:rsidP="001D5DB6">
            <w:pPr>
              <w:spacing w:before="60" w:line="240" w:lineRule="auto"/>
              <w:rPr>
                <w:sz w:val="18"/>
                <w:szCs w:val="18"/>
              </w:rPr>
            </w:pPr>
          </w:p>
        </w:tc>
      </w:tr>
      <w:tr w:rsidR="00A825A0" w:rsidRPr="007C16EB" w:rsidTr="001D5DB6">
        <w:trPr>
          <w:trHeight w:val="284"/>
        </w:trPr>
        <w:tc>
          <w:tcPr>
            <w:tcW w:w="9060" w:type="dxa"/>
            <w:gridSpan w:val="2"/>
          </w:tcPr>
          <w:p w:rsidR="00A825A0" w:rsidRPr="007C16EB" w:rsidRDefault="00A825A0" w:rsidP="001D5DB6">
            <w:pPr>
              <w:spacing w:before="60" w:line="240" w:lineRule="auto"/>
              <w:jc w:val="center"/>
              <w:rPr>
                <w:b/>
                <w:sz w:val="20"/>
                <w:szCs w:val="18"/>
              </w:rPr>
            </w:pPr>
            <w:r>
              <w:rPr>
                <w:b/>
                <w:sz w:val="20"/>
                <w:szCs w:val="18"/>
              </w:rPr>
              <w:t>Budget</w:t>
            </w:r>
          </w:p>
        </w:tc>
      </w:tr>
      <w:tr w:rsidR="00A825A0" w:rsidRPr="007C16EB" w:rsidTr="001D5DB6">
        <w:trPr>
          <w:trHeight w:val="284"/>
        </w:trPr>
        <w:tc>
          <w:tcPr>
            <w:tcW w:w="3397" w:type="dxa"/>
          </w:tcPr>
          <w:p w:rsidR="00A825A0" w:rsidRPr="007C16EB" w:rsidRDefault="00A825A0" w:rsidP="00A825A0">
            <w:pPr>
              <w:spacing w:before="60" w:line="240" w:lineRule="auto"/>
              <w:rPr>
                <w:sz w:val="18"/>
                <w:szCs w:val="18"/>
              </w:rPr>
            </w:pPr>
            <w:r>
              <w:rPr>
                <w:sz w:val="18"/>
                <w:szCs w:val="18"/>
              </w:rPr>
              <w:t>Current</w:t>
            </w:r>
          </w:p>
        </w:tc>
        <w:tc>
          <w:tcPr>
            <w:tcW w:w="5663" w:type="dxa"/>
          </w:tcPr>
          <w:p w:rsidR="00A825A0" w:rsidRPr="007C16EB" w:rsidRDefault="00A825A0" w:rsidP="00A825A0">
            <w:pPr>
              <w:spacing w:before="60" w:line="240" w:lineRule="auto"/>
              <w:rPr>
                <w:sz w:val="18"/>
                <w:szCs w:val="18"/>
              </w:rPr>
            </w:pPr>
          </w:p>
        </w:tc>
      </w:tr>
      <w:tr w:rsidR="00A825A0" w:rsidRPr="007C16EB" w:rsidTr="001D5DB6">
        <w:trPr>
          <w:trHeight w:val="284"/>
        </w:trPr>
        <w:tc>
          <w:tcPr>
            <w:tcW w:w="3397" w:type="dxa"/>
          </w:tcPr>
          <w:p w:rsidR="00A825A0" w:rsidRPr="007C16EB" w:rsidRDefault="00A825A0" w:rsidP="00A825A0">
            <w:pPr>
              <w:spacing w:before="60" w:line="240" w:lineRule="auto"/>
              <w:rPr>
                <w:sz w:val="18"/>
                <w:szCs w:val="18"/>
              </w:rPr>
            </w:pPr>
            <w:r>
              <w:rPr>
                <w:sz w:val="18"/>
                <w:szCs w:val="18"/>
              </w:rPr>
              <w:t>Short term: 1-2 years</w:t>
            </w:r>
          </w:p>
        </w:tc>
        <w:tc>
          <w:tcPr>
            <w:tcW w:w="5663" w:type="dxa"/>
          </w:tcPr>
          <w:p w:rsidR="00A825A0" w:rsidRPr="007C16EB" w:rsidRDefault="00A825A0" w:rsidP="00A825A0">
            <w:pPr>
              <w:spacing w:before="60" w:line="240" w:lineRule="auto"/>
              <w:rPr>
                <w:sz w:val="18"/>
                <w:szCs w:val="18"/>
              </w:rPr>
            </w:pPr>
          </w:p>
        </w:tc>
      </w:tr>
      <w:tr w:rsidR="00A825A0" w:rsidRPr="007C16EB" w:rsidTr="001D5DB6">
        <w:trPr>
          <w:trHeight w:val="284"/>
        </w:trPr>
        <w:tc>
          <w:tcPr>
            <w:tcW w:w="3397" w:type="dxa"/>
          </w:tcPr>
          <w:p w:rsidR="00A825A0" w:rsidRPr="007C16EB" w:rsidRDefault="00A825A0" w:rsidP="00A825A0">
            <w:pPr>
              <w:spacing w:before="60" w:line="240" w:lineRule="auto"/>
              <w:rPr>
                <w:sz w:val="18"/>
                <w:szCs w:val="18"/>
              </w:rPr>
            </w:pPr>
            <w:r>
              <w:rPr>
                <w:sz w:val="18"/>
                <w:szCs w:val="18"/>
              </w:rPr>
              <w:t>Medium term: 3-5 years</w:t>
            </w:r>
          </w:p>
        </w:tc>
        <w:tc>
          <w:tcPr>
            <w:tcW w:w="5663" w:type="dxa"/>
          </w:tcPr>
          <w:p w:rsidR="00A825A0" w:rsidRPr="007C16EB" w:rsidRDefault="00A825A0" w:rsidP="00A825A0">
            <w:pPr>
              <w:spacing w:before="60" w:line="240" w:lineRule="auto"/>
              <w:rPr>
                <w:sz w:val="18"/>
                <w:szCs w:val="18"/>
              </w:rPr>
            </w:pPr>
          </w:p>
        </w:tc>
      </w:tr>
      <w:tr w:rsidR="00A825A0" w:rsidRPr="007C16EB" w:rsidTr="001D5DB6">
        <w:trPr>
          <w:trHeight w:val="284"/>
        </w:trPr>
        <w:tc>
          <w:tcPr>
            <w:tcW w:w="3397" w:type="dxa"/>
          </w:tcPr>
          <w:p w:rsidR="00A825A0" w:rsidRPr="007C16EB" w:rsidRDefault="00A825A0" w:rsidP="00A825A0">
            <w:pPr>
              <w:spacing w:before="60" w:line="240" w:lineRule="auto"/>
              <w:rPr>
                <w:sz w:val="18"/>
                <w:szCs w:val="18"/>
              </w:rPr>
            </w:pPr>
            <w:r>
              <w:rPr>
                <w:sz w:val="18"/>
                <w:szCs w:val="18"/>
              </w:rPr>
              <w:t>Long term: &gt;5 years</w:t>
            </w:r>
          </w:p>
        </w:tc>
        <w:tc>
          <w:tcPr>
            <w:tcW w:w="5663" w:type="dxa"/>
          </w:tcPr>
          <w:p w:rsidR="00A825A0" w:rsidRPr="007C16EB" w:rsidRDefault="00A825A0" w:rsidP="00A825A0">
            <w:pPr>
              <w:spacing w:before="60" w:line="240" w:lineRule="auto"/>
              <w:rPr>
                <w:sz w:val="18"/>
                <w:szCs w:val="18"/>
              </w:rPr>
            </w:pPr>
          </w:p>
        </w:tc>
      </w:tr>
      <w:tr w:rsidR="00A825A0" w:rsidRPr="007C16EB" w:rsidTr="007C6A51">
        <w:trPr>
          <w:trHeight w:val="284"/>
        </w:trPr>
        <w:tc>
          <w:tcPr>
            <w:tcW w:w="9060" w:type="dxa"/>
            <w:gridSpan w:val="2"/>
          </w:tcPr>
          <w:p w:rsidR="00A825A0" w:rsidRPr="00A825A0" w:rsidRDefault="00A825A0" w:rsidP="00A825A0">
            <w:pPr>
              <w:spacing w:before="60" w:line="240" w:lineRule="auto"/>
              <w:jc w:val="center"/>
              <w:rPr>
                <w:b/>
                <w:sz w:val="18"/>
                <w:szCs w:val="18"/>
              </w:rPr>
            </w:pPr>
            <w:r w:rsidRPr="00A825A0">
              <w:rPr>
                <w:b/>
                <w:sz w:val="18"/>
                <w:szCs w:val="18"/>
              </w:rPr>
              <w:t>Costs*</w:t>
            </w:r>
          </w:p>
        </w:tc>
      </w:tr>
      <w:tr w:rsidR="00A825A0" w:rsidRPr="007C16EB" w:rsidTr="001D5DB6">
        <w:trPr>
          <w:trHeight w:val="284"/>
        </w:trPr>
        <w:tc>
          <w:tcPr>
            <w:tcW w:w="3397" w:type="dxa"/>
          </w:tcPr>
          <w:p w:rsidR="00A825A0" w:rsidRPr="007C16EB" w:rsidRDefault="00A825A0" w:rsidP="00A825A0">
            <w:pPr>
              <w:spacing w:before="60" w:line="240" w:lineRule="auto"/>
              <w:rPr>
                <w:sz w:val="18"/>
                <w:szCs w:val="18"/>
              </w:rPr>
            </w:pPr>
            <w:r>
              <w:rPr>
                <w:sz w:val="18"/>
                <w:szCs w:val="18"/>
              </w:rPr>
              <w:t>Current</w:t>
            </w:r>
          </w:p>
        </w:tc>
        <w:tc>
          <w:tcPr>
            <w:tcW w:w="5663" w:type="dxa"/>
          </w:tcPr>
          <w:p w:rsidR="00A825A0" w:rsidRPr="007C16EB" w:rsidRDefault="00A825A0" w:rsidP="00A825A0">
            <w:pPr>
              <w:spacing w:before="60" w:line="240" w:lineRule="auto"/>
              <w:rPr>
                <w:sz w:val="18"/>
                <w:szCs w:val="18"/>
              </w:rPr>
            </w:pPr>
          </w:p>
        </w:tc>
      </w:tr>
      <w:tr w:rsidR="00A825A0" w:rsidRPr="007C16EB" w:rsidTr="001D5DB6">
        <w:trPr>
          <w:trHeight w:val="284"/>
        </w:trPr>
        <w:tc>
          <w:tcPr>
            <w:tcW w:w="3397" w:type="dxa"/>
          </w:tcPr>
          <w:p w:rsidR="00A825A0" w:rsidRPr="007C16EB" w:rsidRDefault="00A825A0" w:rsidP="00A825A0">
            <w:pPr>
              <w:spacing w:before="60" w:line="240" w:lineRule="auto"/>
              <w:rPr>
                <w:sz w:val="18"/>
                <w:szCs w:val="18"/>
              </w:rPr>
            </w:pPr>
            <w:r>
              <w:rPr>
                <w:sz w:val="18"/>
                <w:szCs w:val="18"/>
              </w:rPr>
              <w:t>Short term: 1-2 years</w:t>
            </w:r>
          </w:p>
        </w:tc>
        <w:tc>
          <w:tcPr>
            <w:tcW w:w="5663" w:type="dxa"/>
          </w:tcPr>
          <w:p w:rsidR="00A825A0" w:rsidRPr="007C16EB" w:rsidRDefault="00A825A0" w:rsidP="00A825A0">
            <w:pPr>
              <w:spacing w:before="60" w:line="240" w:lineRule="auto"/>
              <w:rPr>
                <w:sz w:val="18"/>
                <w:szCs w:val="18"/>
              </w:rPr>
            </w:pPr>
          </w:p>
        </w:tc>
      </w:tr>
      <w:tr w:rsidR="00A825A0" w:rsidRPr="007C16EB" w:rsidTr="001D5DB6">
        <w:trPr>
          <w:trHeight w:val="284"/>
        </w:trPr>
        <w:tc>
          <w:tcPr>
            <w:tcW w:w="3397" w:type="dxa"/>
          </w:tcPr>
          <w:p w:rsidR="00A825A0" w:rsidRPr="007C16EB" w:rsidRDefault="00A825A0" w:rsidP="00A825A0">
            <w:pPr>
              <w:spacing w:before="60" w:line="240" w:lineRule="auto"/>
              <w:rPr>
                <w:sz w:val="18"/>
                <w:szCs w:val="18"/>
              </w:rPr>
            </w:pPr>
            <w:r>
              <w:rPr>
                <w:sz w:val="18"/>
                <w:szCs w:val="18"/>
              </w:rPr>
              <w:t>Medium term: 3-5 years</w:t>
            </w:r>
          </w:p>
        </w:tc>
        <w:tc>
          <w:tcPr>
            <w:tcW w:w="5663" w:type="dxa"/>
          </w:tcPr>
          <w:p w:rsidR="00A825A0" w:rsidRPr="007C16EB" w:rsidRDefault="00A825A0" w:rsidP="00A825A0">
            <w:pPr>
              <w:spacing w:before="60" w:line="240" w:lineRule="auto"/>
              <w:rPr>
                <w:sz w:val="18"/>
                <w:szCs w:val="18"/>
              </w:rPr>
            </w:pPr>
          </w:p>
        </w:tc>
      </w:tr>
      <w:tr w:rsidR="00A825A0" w:rsidRPr="007C16EB" w:rsidTr="001D5DB6">
        <w:trPr>
          <w:trHeight w:val="284"/>
        </w:trPr>
        <w:tc>
          <w:tcPr>
            <w:tcW w:w="3397" w:type="dxa"/>
          </w:tcPr>
          <w:p w:rsidR="00A825A0" w:rsidRPr="007C16EB" w:rsidRDefault="00A825A0" w:rsidP="00A825A0">
            <w:pPr>
              <w:spacing w:before="60" w:line="240" w:lineRule="auto"/>
              <w:rPr>
                <w:sz w:val="18"/>
                <w:szCs w:val="18"/>
              </w:rPr>
            </w:pPr>
            <w:r>
              <w:rPr>
                <w:sz w:val="18"/>
                <w:szCs w:val="18"/>
              </w:rPr>
              <w:t>Long term: &gt;5 years</w:t>
            </w:r>
          </w:p>
        </w:tc>
        <w:tc>
          <w:tcPr>
            <w:tcW w:w="5663" w:type="dxa"/>
          </w:tcPr>
          <w:p w:rsidR="00A825A0" w:rsidRPr="007C16EB" w:rsidRDefault="00A825A0" w:rsidP="00A825A0">
            <w:pPr>
              <w:spacing w:before="60" w:line="240" w:lineRule="auto"/>
              <w:rPr>
                <w:sz w:val="18"/>
                <w:szCs w:val="18"/>
              </w:rPr>
            </w:pPr>
          </w:p>
        </w:tc>
      </w:tr>
    </w:tbl>
    <w:p w:rsidR="00984FAA" w:rsidRPr="00984FAA" w:rsidRDefault="00A825A0" w:rsidP="00A825A0">
      <w:pPr>
        <w:ind w:left="720" w:hanging="720"/>
      </w:pPr>
      <w:r w:rsidRPr="00182565">
        <w:t>*</w:t>
      </w:r>
      <w:r w:rsidRPr="00182565">
        <w:tab/>
      </w:r>
    </w:p>
    <w:sectPr w:rsidR="00984FAA" w:rsidRPr="00984FAA" w:rsidSect="0048352A">
      <w:headerReference w:type="default" r:id="rId8"/>
      <w:footerReference w:type="default" r:id="rId9"/>
      <w:headerReference w:type="first" r:id="rId10"/>
      <w:footerReference w:type="first" r:id="rId11"/>
      <w:type w:val="continuous"/>
      <w:pgSz w:w="11906" w:h="16838" w:code="9"/>
      <w:pgMar w:top="1701"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002" w:rsidRDefault="00823002" w:rsidP="00EF4574">
      <w:pPr>
        <w:spacing w:before="0" w:after="0" w:line="240" w:lineRule="auto"/>
      </w:pPr>
      <w:r>
        <w:separator/>
      </w:r>
    </w:p>
    <w:p w:rsidR="00823002" w:rsidRDefault="00823002"/>
  </w:endnote>
  <w:endnote w:type="continuationSeparator" w:id="0">
    <w:p w:rsidR="00823002" w:rsidRDefault="00823002" w:rsidP="00EF4574">
      <w:pPr>
        <w:spacing w:before="0" w:after="0" w:line="240" w:lineRule="auto"/>
      </w:pPr>
      <w:r>
        <w:continuationSeparator/>
      </w:r>
    </w:p>
    <w:p w:rsidR="00823002" w:rsidRDefault="00823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altName w:val="Arial 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UltraCompressed">
    <w:altName w:val="HelveUltCompressed"/>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002" w:rsidRDefault="00823002" w:rsidP="005970EA">
    <w:pPr>
      <w:pStyle w:val="Footer"/>
      <w:rPr>
        <w:noProof/>
      </w:rPr>
    </w:pPr>
    <w:r>
      <w:tab/>
    </w:r>
    <w:r>
      <w:tab/>
    </w:r>
    <w:r>
      <w:fldChar w:fldCharType="begin"/>
    </w:r>
    <w:r>
      <w:instrText xml:space="preserve"> PAGE   \* MERGEFORMAT </w:instrText>
    </w:r>
    <w:r>
      <w:fldChar w:fldCharType="separate"/>
    </w:r>
    <w:r w:rsidR="00D20019">
      <w:rPr>
        <w:noProof/>
      </w:rPr>
      <w:t>13</w:t>
    </w:r>
    <w:r>
      <w:rPr>
        <w:noProof/>
      </w:rPr>
      <w:fldChar w:fldCharType="end"/>
    </w:r>
  </w:p>
  <w:sdt>
    <w:sdtPr>
      <w:rPr>
        <w:rStyle w:val="Classification"/>
      </w:rPr>
      <w:alias w:val="Status"/>
      <w:tag w:val=""/>
      <w:id w:val="2020120631"/>
      <w:placeholder>
        <w:docPart w:val="5C4B31DB2C8C4092A163BC9FC728C771"/>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rsidR="00823002" w:rsidRPr="000A6A8B" w:rsidRDefault="00823002" w:rsidP="000A6A8B">
        <w:pPr>
          <w:pStyle w:val="Footer"/>
          <w:jc w:val="center"/>
          <w:rPr>
            <w:rStyle w:val="Classification"/>
          </w:rPr>
        </w:pPr>
        <w:r w:rsidRPr="000A6A8B">
          <w:rPr>
            <w:rStyle w:val="Classification"/>
          </w:rPr>
          <w:t>Classification</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002" w:rsidRDefault="00823002">
    <w:pPr>
      <w:pStyle w:val="Footer"/>
    </w:pPr>
  </w:p>
  <w:sdt>
    <w:sdtPr>
      <w:rPr>
        <w:rStyle w:val="Classification"/>
      </w:rPr>
      <w:alias w:val="Status"/>
      <w:tag w:val=""/>
      <w:id w:val="1675842541"/>
      <w:placeholder>
        <w:docPart w:val="85FCF50EFA584C32A9291D76744CD17A"/>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rsidR="00823002" w:rsidRDefault="00823002" w:rsidP="000A6A8B">
        <w:pPr>
          <w:pStyle w:val="Footer"/>
          <w:jc w:val="center"/>
          <w:rPr>
            <w:rStyle w:val="Classification"/>
          </w:rPr>
        </w:pPr>
        <w:r w:rsidRPr="000A6A8B">
          <w:rPr>
            <w:rStyle w:val="Classification"/>
          </w:rPr>
          <w:t>Classification</w:t>
        </w:r>
      </w:p>
    </w:sdtContent>
  </w:sdt>
  <w:p w:rsidR="00823002" w:rsidRPr="000A6A8B" w:rsidRDefault="00823002" w:rsidP="000A6A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002" w:rsidRDefault="00823002" w:rsidP="0020122A">
      <w:pPr>
        <w:pStyle w:val="FootnoteSeparator"/>
      </w:pPr>
    </w:p>
  </w:footnote>
  <w:footnote w:type="continuationSeparator" w:id="0">
    <w:p w:rsidR="00823002" w:rsidRDefault="00823002" w:rsidP="00EF4574">
      <w:pPr>
        <w:spacing w:before="0" w:after="0" w:line="240" w:lineRule="auto"/>
      </w:pPr>
      <w:r>
        <w:continuationSeparator/>
      </w:r>
    </w:p>
    <w:p w:rsidR="00823002" w:rsidRDefault="008230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002" w:rsidRPr="000A6A8B" w:rsidRDefault="0048352A" w:rsidP="0048352A">
    <w:pPr>
      <w:pStyle w:val="Header"/>
      <w:tabs>
        <w:tab w:val="clear" w:pos="4513"/>
        <w:tab w:val="center" w:pos="4535"/>
        <w:tab w:val="left" w:pos="7776"/>
      </w:tabs>
      <w:jc w:val="left"/>
      <w:rPr>
        <w:rStyle w:val="Classification"/>
      </w:rPr>
    </w:pPr>
    <w:r>
      <w:rPr>
        <w:rStyle w:val="Classification"/>
      </w:rPr>
      <w:tab/>
    </w:r>
    <w:sdt>
      <w:sdtPr>
        <w:rPr>
          <w:rStyle w:val="Classification"/>
        </w:rPr>
        <w:alias w:val="Status"/>
        <w:tag w:val=""/>
        <w:id w:val="152119863"/>
        <w:placeholder>
          <w:docPart w:val="A62506F095F64A8DA15CCC83F10457A0"/>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823002" w:rsidRPr="000A6A8B">
          <w:rPr>
            <w:rStyle w:val="Classification"/>
          </w:rPr>
          <w:t>Classification</w:t>
        </w:r>
      </w:sdtContent>
    </w:sdt>
    <w:r>
      <w:rPr>
        <w:rStyle w:val="Classification"/>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002" w:rsidRDefault="00D20019" w:rsidP="000A6A8B">
    <w:pPr>
      <w:pStyle w:val="Header"/>
      <w:jc w:val="center"/>
    </w:pPr>
    <w:sdt>
      <w:sdtPr>
        <w:rPr>
          <w:rStyle w:val="Classification"/>
        </w:rPr>
        <w:alias w:val="Status"/>
        <w:tag w:val=""/>
        <w:id w:val="-1816711225"/>
        <w:placeholder>
          <w:docPart w:val="9D808996CD2146019246D2031F05F10B"/>
        </w:placeholder>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823002" w:rsidRPr="000A6A8B">
          <w:rPr>
            <w:rStyle w:val="Classification"/>
          </w:rPr>
          <w:t>Classification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364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E03C8"/>
    <w:multiLevelType w:val="hybridMultilevel"/>
    <w:tmpl w:val="8CA0367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637250"/>
    <w:multiLevelType w:val="hybridMultilevel"/>
    <w:tmpl w:val="9BC2F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D8176B"/>
    <w:multiLevelType w:val="hybridMultilevel"/>
    <w:tmpl w:val="8D4E8DE6"/>
    <w:lvl w:ilvl="0" w:tplc="2FCC1686">
      <w:start w:val="1"/>
      <w:numFmt w:val="bullet"/>
      <w:pStyle w:val="Bullets2ndinden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CF4B79"/>
    <w:multiLevelType w:val="hybridMultilevel"/>
    <w:tmpl w:val="3D2C4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344CBA"/>
    <w:multiLevelType w:val="hybridMultilevel"/>
    <w:tmpl w:val="96A02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9B159F"/>
    <w:multiLevelType w:val="multilevel"/>
    <w:tmpl w:val="183C041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C805410"/>
    <w:multiLevelType w:val="hybridMultilevel"/>
    <w:tmpl w:val="5734E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4F71A6"/>
    <w:multiLevelType w:val="hybridMultilevel"/>
    <w:tmpl w:val="96EE9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F01C3F"/>
    <w:multiLevelType w:val="hybridMultilevel"/>
    <w:tmpl w:val="98B874C0"/>
    <w:lvl w:ilvl="0" w:tplc="0C09000F">
      <w:start w:val="1"/>
      <w:numFmt w:val="decimal"/>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41DF37B2"/>
    <w:multiLevelType w:val="hybridMultilevel"/>
    <w:tmpl w:val="1A7AF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7D31C8"/>
    <w:multiLevelType w:val="hybridMultilevel"/>
    <w:tmpl w:val="7FB26592"/>
    <w:lvl w:ilvl="0" w:tplc="06380890">
      <w:start w:val="1"/>
      <w:numFmt w:val="bullet"/>
      <w:pStyle w:val="Bullets1stindent"/>
      <w:lvlText w:val=""/>
      <w:lvlJc w:val="left"/>
      <w:pPr>
        <w:ind w:left="360" w:hanging="360"/>
      </w:pPr>
      <w:rPr>
        <w:rFonts w:ascii="Symbol" w:hAnsi="Symbol" w:hint="default"/>
      </w:rPr>
    </w:lvl>
    <w:lvl w:ilvl="1" w:tplc="0C090017">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3" w15:restartNumberingAfterBreak="0">
    <w:nsid w:val="4F1523F7"/>
    <w:multiLevelType w:val="multilevel"/>
    <w:tmpl w:val="1C5C7DB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4" w15:restartNumberingAfterBreak="0">
    <w:nsid w:val="516A1A41"/>
    <w:multiLevelType w:val="hybridMultilevel"/>
    <w:tmpl w:val="0AF25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EC49A7"/>
    <w:multiLevelType w:val="hybridMultilevel"/>
    <w:tmpl w:val="60762C2C"/>
    <w:lvl w:ilvl="0" w:tplc="EB1088A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FB73EE"/>
    <w:multiLevelType w:val="multilevel"/>
    <w:tmpl w:val="A4AC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5EAE1302"/>
    <w:multiLevelType w:val="hybridMultilevel"/>
    <w:tmpl w:val="D8F481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107305"/>
    <w:multiLevelType w:val="multilevel"/>
    <w:tmpl w:val="79262C7A"/>
    <w:styleLink w:val="BulletsList"/>
    <w:lvl w:ilvl="0">
      <w:start w:val="1"/>
      <w:numFmt w:val="bullet"/>
      <w:pStyle w:val="Bullet1"/>
      <w:lvlText w:val=""/>
      <w:lvlJc w:val="left"/>
      <w:pPr>
        <w:ind w:left="568" w:hanging="284"/>
      </w:pPr>
      <w:rPr>
        <w:rFonts w:ascii="Symbol" w:hAnsi="Symbol" w:hint="default"/>
      </w:rPr>
    </w:lvl>
    <w:lvl w:ilvl="1">
      <w:start w:val="1"/>
      <w:numFmt w:val="bullet"/>
      <w:pStyle w:val="Bullet2"/>
      <w:lvlText w:val="–"/>
      <w:lvlJc w:val="left"/>
      <w:pPr>
        <w:ind w:left="852" w:hanging="284"/>
      </w:pPr>
      <w:rPr>
        <w:rFonts w:ascii="Arial" w:hAnsi="Arial" w:hint="default"/>
      </w:rPr>
    </w:lvl>
    <w:lvl w:ilvl="2">
      <w:start w:val="1"/>
      <w:numFmt w:val="bullet"/>
      <w:pStyle w:val="Bullet3"/>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31" w15:restartNumberingAfterBreak="0">
    <w:nsid w:val="7C727C0E"/>
    <w:multiLevelType w:val="hybridMultilevel"/>
    <w:tmpl w:val="0B1CAB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7"/>
  </w:num>
  <w:num w:numId="10">
    <w:abstractNumId w:val="2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17"/>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3">
    <w:abstractNumId w:val="15"/>
  </w:num>
  <w:num w:numId="24">
    <w:abstractNumId w:val="18"/>
  </w:num>
  <w:num w:numId="25">
    <w:abstractNumId w:val="29"/>
  </w:num>
  <w:num w:numId="26">
    <w:abstractNumId w:val="31"/>
  </w:num>
  <w:num w:numId="27">
    <w:abstractNumId w:val="19"/>
  </w:num>
  <w:num w:numId="28">
    <w:abstractNumId w:val="24"/>
  </w:num>
  <w:num w:numId="29">
    <w:abstractNumId w:val="13"/>
  </w:num>
  <w:num w:numId="30">
    <w:abstractNumId w:val="17"/>
    <w:lvlOverride w:ilvl="0">
      <w:startOverride w:val="1"/>
      <w:lvl w:ilvl="0">
        <w:start w:val="1"/>
        <w:numFmt w:val="decimal"/>
        <w:pStyle w:val="Heading1Numbered"/>
        <w:lvlText w:val="%1."/>
        <w:lvlJc w:val="left"/>
        <w:pPr>
          <w:ind w:left="567" w:hanging="567"/>
        </w:pPr>
        <w:rPr>
          <w:rFonts w:hint="default"/>
        </w:rPr>
      </w:lvl>
    </w:lvlOverride>
    <w:lvlOverride w:ilvl="1">
      <w:startOverride w:val="1"/>
      <w:lvl w:ilvl="1">
        <w:start w:val="1"/>
        <w:numFmt w:val="decimal"/>
        <w:pStyle w:val="Heading2Numbered"/>
        <w:lvlText w:val="%1.%2"/>
        <w:lvlJc w:val="left"/>
        <w:pPr>
          <w:ind w:left="567" w:hanging="567"/>
        </w:pPr>
        <w:rPr>
          <w:rFonts w:hint="default"/>
        </w:rPr>
      </w:lvl>
    </w:lvlOverride>
    <w:lvlOverride w:ilvl="2">
      <w:startOverride w:val="1"/>
      <w:lvl w:ilvl="2">
        <w:start w:val="1"/>
        <w:numFmt w:val="decimal"/>
        <w:pStyle w:val="Heading3Numbered"/>
        <w:lvlText w:val="%1.%2.%3"/>
        <w:lvlJc w:val="left"/>
        <w:pPr>
          <w:ind w:left="851" w:hanging="851"/>
        </w:pPr>
        <w:rPr>
          <w:rFonts w:hint="default"/>
        </w:rPr>
      </w:lvl>
    </w:lvlOverride>
    <w:lvlOverride w:ilvl="3">
      <w:startOverride w:val="1"/>
      <w:lvl w:ilvl="3">
        <w:start w:val="1"/>
        <w:numFmt w:val="decimal"/>
        <w:lvlText w:val="(%4)"/>
        <w:lvlJc w:val="left"/>
        <w:pPr>
          <w:ind w:left="2160" w:hanging="360"/>
        </w:pPr>
        <w:rPr>
          <w:rFonts w:hint="default"/>
        </w:rPr>
      </w:lvl>
    </w:lvlOverride>
    <w:lvlOverride w:ilvl="4">
      <w:startOverride w:val="1"/>
      <w:lvl w:ilvl="4">
        <w:start w:val="1"/>
        <w:numFmt w:val="lowerLetter"/>
        <w:lvlText w:val="(%5)"/>
        <w:lvlJc w:val="left"/>
        <w:pPr>
          <w:ind w:left="2520" w:hanging="360"/>
        </w:pPr>
        <w:rPr>
          <w:rFonts w:hint="default"/>
        </w:rPr>
      </w:lvl>
    </w:lvlOverride>
    <w:lvlOverride w:ilvl="5">
      <w:startOverride w:val="1"/>
      <w:lvl w:ilvl="5">
        <w:start w:val="1"/>
        <w:numFmt w:val="lowerRoman"/>
        <w:lvlText w:val="(%6)"/>
        <w:lvlJc w:val="left"/>
        <w:pPr>
          <w:ind w:left="2880" w:hanging="360"/>
        </w:pPr>
        <w:rPr>
          <w:rFonts w:hint="default"/>
        </w:rPr>
      </w:lvl>
    </w:lvlOverride>
    <w:lvlOverride w:ilvl="6">
      <w:startOverride w:val="1"/>
      <w:lvl w:ilvl="6">
        <w:start w:val="1"/>
        <w:numFmt w:val="decimal"/>
        <w:lvlText w:val="%7."/>
        <w:lvlJc w:val="left"/>
        <w:pPr>
          <w:ind w:left="3240" w:hanging="36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31">
    <w:abstractNumId w:val="20"/>
  </w:num>
  <w:num w:numId="32">
    <w:abstractNumId w:val="17"/>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hint="default"/>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33">
    <w:abstractNumId w:val="16"/>
  </w:num>
  <w:num w:numId="34">
    <w:abstractNumId w:val="17"/>
    <w:lvlOverride w:ilvl="0">
      <w:startOverride w:val="1"/>
      <w:lvl w:ilvl="0">
        <w:start w:val="1"/>
        <w:numFmt w:val="decimal"/>
        <w:pStyle w:val="Heading1Numbered"/>
        <w:lvlText w:val="%1."/>
        <w:lvlJc w:val="left"/>
        <w:pPr>
          <w:ind w:left="567" w:hanging="567"/>
        </w:pPr>
        <w:rPr>
          <w:rFonts w:hint="default"/>
        </w:rPr>
      </w:lvl>
    </w:lvlOverride>
    <w:lvlOverride w:ilvl="1">
      <w:startOverride w:val="1"/>
      <w:lvl w:ilvl="1">
        <w:start w:val="1"/>
        <w:numFmt w:val="decimal"/>
        <w:pStyle w:val="Heading2Numbered"/>
        <w:lvlText w:val="%1.%2"/>
        <w:lvlJc w:val="left"/>
        <w:pPr>
          <w:ind w:left="567" w:hanging="567"/>
        </w:pPr>
        <w:rPr>
          <w:rFonts w:hint="default"/>
        </w:rPr>
      </w:lvl>
    </w:lvlOverride>
    <w:lvlOverride w:ilvl="2">
      <w:startOverride w:val="1"/>
      <w:lvl w:ilvl="2">
        <w:start w:val="1"/>
        <w:numFmt w:val="decimal"/>
        <w:pStyle w:val="Heading3Numbered"/>
        <w:lvlText w:val="%1.%2.%3"/>
        <w:lvlJc w:val="left"/>
        <w:pPr>
          <w:ind w:left="851" w:hanging="851"/>
        </w:pPr>
        <w:rPr>
          <w:rFonts w:hint="default"/>
        </w:rPr>
      </w:lvl>
    </w:lvlOverride>
    <w:lvlOverride w:ilvl="3">
      <w:startOverride w:val="1"/>
      <w:lvl w:ilvl="3">
        <w:start w:val="1"/>
        <w:numFmt w:val="decimal"/>
        <w:lvlText w:val="(%4)"/>
        <w:lvlJc w:val="left"/>
        <w:pPr>
          <w:ind w:left="2160" w:hanging="360"/>
        </w:pPr>
        <w:rPr>
          <w:rFonts w:hint="default"/>
        </w:rPr>
      </w:lvl>
    </w:lvlOverride>
    <w:lvlOverride w:ilvl="4">
      <w:startOverride w:val="1"/>
      <w:lvl w:ilvl="4">
        <w:start w:val="1"/>
        <w:numFmt w:val="lowerLetter"/>
        <w:lvlText w:val="(%5)"/>
        <w:lvlJc w:val="left"/>
        <w:pPr>
          <w:ind w:left="2520" w:hanging="360"/>
        </w:pPr>
        <w:rPr>
          <w:rFonts w:hint="default"/>
        </w:rPr>
      </w:lvl>
    </w:lvlOverride>
    <w:lvlOverride w:ilvl="5">
      <w:startOverride w:val="1"/>
      <w:lvl w:ilvl="5">
        <w:start w:val="1"/>
        <w:numFmt w:val="lowerRoman"/>
        <w:lvlText w:val="(%6)"/>
        <w:lvlJc w:val="left"/>
        <w:pPr>
          <w:ind w:left="2880" w:hanging="360"/>
        </w:pPr>
        <w:rPr>
          <w:rFonts w:hint="default"/>
        </w:rPr>
      </w:lvl>
    </w:lvlOverride>
    <w:lvlOverride w:ilvl="6">
      <w:startOverride w:val="1"/>
      <w:lvl w:ilvl="6">
        <w:start w:val="1"/>
        <w:numFmt w:val="decimal"/>
        <w:lvlText w:val="%7."/>
        <w:lvlJc w:val="left"/>
        <w:pPr>
          <w:ind w:left="3240" w:hanging="36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35">
    <w:abstractNumId w:val="17"/>
    <w:lvlOverride w:ilvl="0">
      <w:startOverride w:val="1"/>
      <w:lvl w:ilvl="0">
        <w:start w:val="1"/>
        <w:numFmt w:val="decimal"/>
        <w:pStyle w:val="Heading1Numbered"/>
        <w:lvlText w:val="%1."/>
        <w:lvlJc w:val="left"/>
        <w:pPr>
          <w:ind w:left="567" w:hanging="567"/>
        </w:pPr>
        <w:rPr>
          <w:rFonts w:hint="default"/>
        </w:rPr>
      </w:lvl>
    </w:lvlOverride>
    <w:lvlOverride w:ilvl="1">
      <w:startOverride w:val="1"/>
      <w:lvl w:ilvl="1">
        <w:start w:val="1"/>
        <w:numFmt w:val="decimal"/>
        <w:pStyle w:val="Heading2Numbered"/>
        <w:lvlText w:val="%1.%2"/>
        <w:lvlJc w:val="left"/>
        <w:pPr>
          <w:ind w:left="567" w:hanging="567"/>
        </w:pPr>
        <w:rPr>
          <w:rFonts w:hint="default"/>
        </w:rPr>
      </w:lvl>
    </w:lvlOverride>
    <w:lvlOverride w:ilvl="2">
      <w:startOverride w:val="1"/>
      <w:lvl w:ilvl="2">
        <w:start w:val="1"/>
        <w:numFmt w:val="decimal"/>
        <w:pStyle w:val="Heading3Numbered"/>
        <w:lvlText w:val="%1.%2.%3"/>
        <w:lvlJc w:val="left"/>
        <w:pPr>
          <w:ind w:left="851" w:hanging="851"/>
        </w:pPr>
        <w:rPr>
          <w:rFonts w:hint="default"/>
        </w:rPr>
      </w:lvl>
    </w:lvlOverride>
    <w:lvlOverride w:ilvl="3">
      <w:startOverride w:val="1"/>
      <w:lvl w:ilvl="3">
        <w:start w:val="1"/>
        <w:numFmt w:val="decimal"/>
        <w:lvlText w:val="(%4)"/>
        <w:lvlJc w:val="left"/>
        <w:pPr>
          <w:ind w:left="2160" w:hanging="360"/>
        </w:pPr>
        <w:rPr>
          <w:rFonts w:hint="default"/>
        </w:rPr>
      </w:lvl>
    </w:lvlOverride>
    <w:lvlOverride w:ilvl="4">
      <w:startOverride w:val="1"/>
      <w:lvl w:ilvl="4">
        <w:start w:val="1"/>
        <w:numFmt w:val="lowerLetter"/>
        <w:lvlText w:val="(%5)"/>
        <w:lvlJc w:val="left"/>
        <w:pPr>
          <w:ind w:left="2520" w:hanging="360"/>
        </w:pPr>
        <w:rPr>
          <w:rFonts w:hint="default"/>
        </w:rPr>
      </w:lvl>
    </w:lvlOverride>
    <w:lvlOverride w:ilvl="5">
      <w:startOverride w:val="1"/>
      <w:lvl w:ilvl="5">
        <w:start w:val="1"/>
        <w:numFmt w:val="lowerRoman"/>
        <w:lvlText w:val="(%6)"/>
        <w:lvlJc w:val="left"/>
        <w:pPr>
          <w:ind w:left="2880" w:hanging="360"/>
        </w:pPr>
        <w:rPr>
          <w:rFonts w:hint="default"/>
        </w:rPr>
      </w:lvl>
    </w:lvlOverride>
    <w:lvlOverride w:ilvl="6">
      <w:startOverride w:val="1"/>
      <w:lvl w:ilvl="6">
        <w:start w:val="1"/>
        <w:numFmt w:val="decimal"/>
        <w:lvlText w:val="%7."/>
        <w:lvlJc w:val="left"/>
        <w:pPr>
          <w:ind w:left="3240" w:hanging="36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7"/>
  </w:num>
  <w:num w:numId="39">
    <w:abstractNumId w:val="22"/>
  </w:num>
  <w:num w:numId="40">
    <w:abstractNumId w:val="21"/>
  </w:num>
  <w:num w:numId="41">
    <w:abstractNumId w:val="25"/>
  </w:num>
  <w:num w:numId="42">
    <w:abstractNumId w:val="14"/>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2782F"/>
    <w:rsid w:val="0003400B"/>
    <w:rsid w:val="00054E4D"/>
    <w:rsid w:val="00060073"/>
    <w:rsid w:val="000603C7"/>
    <w:rsid w:val="000829F4"/>
    <w:rsid w:val="000A4B30"/>
    <w:rsid w:val="000A6A8B"/>
    <w:rsid w:val="000C2A48"/>
    <w:rsid w:val="000C5F75"/>
    <w:rsid w:val="000D60B1"/>
    <w:rsid w:val="00136530"/>
    <w:rsid w:val="001541EA"/>
    <w:rsid w:val="001612A4"/>
    <w:rsid w:val="001C285E"/>
    <w:rsid w:val="001D7EB4"/>
    <w:rsid w:val="001E1DC0"/>
    <w:rsid w:val="0020122A"/>
    <w:rsid w:val="00225067"/>
    <w:rsid w:val="00280D85"/>
    <w:rsid w:val="0028602A"/>
    <w:rsid w:val="00301144"/>
    <w:rsid w:val="003148B7"/>
    <w:rsid w:val="003158C3"/>
    <w:rsid w:val="003274CD"/>
    <w:rsid w:val="0035119D"/>
    <w:rsid w:val="003A70F7"/>
    <w:rsid w:val="003A71C5"/>
    <w:rsid w:val="003B4F12"/>
    <w:rsid w:val="003C0E5E"/>
    <w:rsid w:val="00422C07"/>
    <w:rsid w:val="00423F31"/>
    <w:rsid w:val="00431899"/>
    <w:rsid w:val="0048352A"/>
    <w:rsid w:val="00486804"/>
    <w:rsid w:val="004B3775"/>
    <w:rsid w:val="004C2A06"/>
    <w:rsid w:val="004E058F"/>
    <w:rsid w:val="004E3B87"/>
    <w:rsid w:val="004F1EE8"/>
    <w:rsid w:val="00501D33"/>
    <w:rsid w:val="00510921"/>
    <w:rsid w:val="00510AD3"/>
    <w:rsid w:val="00513348"/>
    <w:rsid w:val="00533B5D"/>
    <w:rsid w:val="005570E8"/>
    <w:rsid w:val="005970EA"/>
    <w:rsid w:val="005C37F0"/>
    <w:rsid w:val="005D2D36"/>
    <w:rsid w:val="00623BA1"/>
    <w:rsid w:val="006346BC"/>
    <w:rsid w:val="00666291"/>
    <w:rsid w:val="0066652A"/>
    <w:rsid w:val="00682167"/>
    <w:rsid w:val="006C42AF"/>
    <w:rsid w:val="006C4DD1"/>
    <w:rsid w:val="00711D8E"/>
    <w:rsid w:val="00712672"/>
    <w:rsid w:val="00717B86"/>
    <w:rsid w:val="00734E3F"/>
    <w:rsid w:val="00736985"/>
    <w:rsid w:val="00737A13"/>
    <w:rsid w:val="007B6200"/>
    <w:rsid w:val="007C16EB"/>
    <w:rsid w:val="007C6EDE"/>
    <w:rsid w:val="00801B9F"/>
    <w:rsid w:val="00823002"/>
    <w:rsid w:val="00850E37"/>
    <w:rsid w:val="00880B3F"/>
    <w:rsid w:val="008B62C7"/>
    <w:rsid w:val="008D4A99"/>
    <w:rsid w:val="00907278"/>
    <w:rsid w:val="00984FAA"/>
    <w:rsid w:val="009A2DA7"/>
    <w:rsid w:val="009B4D3B"/>
    <w:rsid w:val="009C5E63"/>
    <w:rsid w:val="009D7407"/>
    <w:rsid w:val="009E0866"/>
    <w:rsid w:val="00A000CE"/>
    <w:rsid w:val="00A20E8E"/>
    <w:rsid w:val="00A24A62"/>
    <w:rsid w:val="00A31C9F"/>
    <w:rsid w:val="00A73272"/>
    <w:rsid w:val="00A825A0"/>
    <w:rsid w:val="00AA22C6"/>
    <w:rsid w:val="00AB19CF"/>
    <w:rsid w:val="00AC164A"/>
    <w:rsid w:val="00AE6F90"/>
    <w:rsid w:val="00AF2050"/>
    <w:rsid w:val="00BB26C5"/>
    <w:rsid w:val="00BB441F"/>
    <w:rsid w:val="00BF4DE6"/>
    <w:rsid w:val="00C42CDE"/>
    <w:rsid w:val="00CA37B1"/>
    <w:rsid w:val="00CB1959"/>
    <w:rsid w:val="00D0296C"/>
    <w:rsid w:val="00D20019"/>
    <w:rsid w:val="00D22869"/>
    <w:rsid w:val="00D46D82"/>
    <w:rsid w:val="00D71320"/>
    <w:rsid w:val="00D87016"/>
    <w:rsid w:val="00DA75AF"/>
    <w:rsid w:val="00DB6D69"/>
    <w:rsid w:val="00DC430B"/>
    <w:rsid w:val="00DF25F7"/>
    <w:rsid w:val="00E357B7"/>
    <w:rsid w:val="00E36947"/>
    <w:rsid w:val="00E53800"/>
    <w:rsid w:val="00E6081F"/>
    <w:rsid w:val="00EA04B2"/>
    <w:rsid w:val="00EA20F3"/>
    <w:rsid w:val="00EC0BD8"/>
    <w:rsid w:val="00ED43D1"/>
    <w:rsid w:val="00EE4EE1"/>
    <w:rsid w:val="00EF4574"/>
    <w:rsid w:val="00F2684E"/>
    <w:rsid w:val="00F729EF"/>
    <w:rsid w:val="00F77CAE"/>
    <w:rsid w:val="00F96BB9"/>
    <w:rsid w:val="00FB44AA"/>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8929E5F"/>
  <w15:docId w15:val="{9B3D9A84-8831-4BE1-A87C-A2E0FB4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3"/>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5"/>
      </w:numPr>
    </w:pPr>
  </w:style>
  <w:style w:type="paragraph" w:customStyle="1" w:styleId="Heading2Numbered">
    <w:name w:val="Heading 2 Numbered"/>
    <w:basedOn w:val="Heading2"/>
    <w:next w:val="Normal"/>
    <w:qFormat/>
    <w:rsid w:val="00D46D82"/>
    <w:pPr>
      <w:numPr>
        <w:ilvl w:val="1"/>
        <w:numId w:val="5"/>
      </w:numPr>
    </w:pPr>
    <w:rPr>
      <w:bCs/>
    </w:rPr>
  </w:style>
  <w:style w:type="paragraph" w:customStyle="1" w:styleId="Heading3Numbered">
    <w:name w:val="Heading 3 Numbered"/>
    <w:basedOn w:val="Heading3"/>
    <w:next w:val="Normal"/>
    <w:qFormat/>
    <w:rsid w:val="001D7EB4"/>
    <w:pPr>
      <w:numPr>
        <w:ilvl w:val="2"/>
        <w:numId w:val="5"/>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38"/>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Default">
    <w:name w:val="Default"/>
    <w:rsid w:val="00DA75A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823002"/>
    <w:pPr>
      <w:ind w:left="720"/>
      <w:contextualSpacing/>
    </w:pPr>
  </w:style>
  <w:style w:type="table" w:styleId="GridTable2-Accent5">
    <w:name w:val="Grid Table 2 Accent 5"/>
    <w:basedOn w:val="TableNormal"/>
    <w:uiPriority w:val="47"/>
    <w:rsid w:val="00823002"/>
    <w:pPr>
      <w:spacing w:after="0" w:line="240" w:lineRule="auto"/>
    </w:pPr>
    <w:tblPr>
      <w:tblStyleRowBandSize w:val="1"/>
      <w:tblStyleColBandSize w:val="1"/>
      <w:tblBorders>
        <w:top w:val="single" w:sz="2" w:space="0" w:color="9F94C2" w:themeColor="accent5" w:themeTint="99"/>
        <w:bottom w:val="single" w:sz="2" w:space="0" w:color="9F94C2" w:themeColor="accent5" w:themeTint="99"/>
        <w:insideH w:val="single" w:sz="2" w:space="0" w:color="9F94C2" w:themeColor="accent5" w:themeTint="99"/>
        <w:insideV w:val="single" w:sz="2" w:space="0" w:color="9F94C2" w:themeColor="accent5" w:themeTint="99"/>
      </w:tblBorders>
    </w:tblPr>
    <w:tblStylePr w:type="firstRow">
      <w:rPr>
        <w:b/>
        <w:bCs/>
      </w:rPr>
      <w:tblPr/>
      <w:tcPr>
        <w:tcBorders>
          <w:top w:val="nil"/>
          <w:bottom w:val="single" w:sz="12" w:space="0" w:color="9F94C2" w:themeColor="accent5" w:themeTint="99"/>
          <w:insideH w:val="nil"/>
          <w:insideV w:val="nil"/>
        </w:tcBorders>
        <w:shd w:val="clear" w:color="auto" w:fill="FFFFFF" w:themeFill="background1"/>
      </w:tcPr>
    </w:tblStylePr>
    <w:tblStylePr w:type="lastRow">
      <w:rPr>
        <w:b/>
        <w:bCs/>
      </w:rPr>
      <w:tblPr/>
      <w:tcPr>
        <w:tcBorders>
          <w:top w:val="double" w:sz="2" w:space="0" w:color="9F94C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BEA" w:themeFill="accent5" w:themeFillTint="33"/>
      </w:tcPr>
    </w:tblStylePr>
    <w:tblStylePr w:type="band1Horz">
      <w:tblPr/>
      <w:tcPr>
        <w:shd w:val="clear" w:color="auto" w:fill="DFDBEA" w:themeFill="accent5" w:themeFillTint="33"/>
      </w:tcPr>
    </w:tblStylePr>
  </w:style>
  <w:style w:type="paragraph" w:customStyle="1" w:styleId="Bullets1stindent">
    <w:name w:val="Bullets (1st indent)"/>
    <w:basedOn w:val="Normal"/>
    <w:link w:val="Bullets1stindentChar"/>
    <w:semiHidden/>
    <w:rsid w:val="001C285E"/>
    <w:pPr>
      <w:numPr>
        <w:numId w:val="39"/>
      </w:numPr>
      <w:suppressAutoHyphens w:val="0"/>
      <w:spacing w:before="0" w:after="120" w:line="240" w:lineRule="auto"/>
      <w:ind w:left="720"/>
    </w:pPr>
    <w:rPr>
      <w:rFonts w:ascii="Cambria" w:eastAsia="Times New Roman" w:hAnsi="Cambria" w:cs="Times New Roman"/>
      <w:szCs w:val="24"/>
    </w:rPr>
  </w:style>
  <w:style w:type="paragraph" w:customStyle="1" w:styleId="Bullets1stindentlast">
    <w:name w:val="Bullets (1st indent) last"/>
    <w:basedOn w:val="Bullets1stindent"/>
    <w:rsid w:val="001C285E"/>
    <w:pPr>
      <w:spacing w:after="200"/>
      <w:ind w:left="360"/>
    </w:pPr>
  </w:style>
  <w:style w:type="table" w:styleId="GridTable1Light">
    <w:name w:val="Grid Table 1 Light"/>
    <w:basedOn w:val="TableNormal"/>
    <w:uiPriority w:val="46"/>
    <w:rsid w:val="001C28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umberedpara1stindent">
    <w:name w:val="Numbered para (1st indent)"/>
    <w:basedOn w:val="ListParagraph"/>
    <w:rsid w:val="001C285E"/>
    <w:pPr>
      <w:suppressAutoHyphens w:val="0"/>
      <w:spacing w:before="0" w:after="200" w:line="260" w:lineRule="exact"/>
      <w:ind w:left="360" w:hanging="360"/>
      <w:contextualSpacing w:val="0"/>
    </w:pPr>
    <w:rPr>
      <w:rFonts w:ascii="Cambria" w:eastAsia="Cambria" w:hAnsi="Cambria" w:cs="Times New Roman"/>
    </w:rPr>
  </w:style>
  <w:style w:type="character" w:customStyle="1" w:styleId="superscript">
    <w:name w:val="superscript"/>
    <w:uiPriority w:val="99"/>
    <w:rsid w:val="001C285E"/>
    <w:rPr>
      <w:rFonts w:ascii="ArialMT" w:hAnsi="ArialMT"/>
      <w:vertAlign w:val="superscript"/>
    </w:rPr>
  </w:style>
  <w:style w:type="paragraph" w:customStyle="1" w:styleId="Bullets2ndindent">
    <w:name w:val="Bullets (2nd indent)"/>
    <w:basedOn w:val="Bullets1stindent"/>
    <w:semiHidden/>
    <w:rsid w:val="001C285E"/>
    <w:pPr>
      <w:numPr>
        <w:numId w:val="42"/>
      </w:numPr>
      <w:tabs>
        <w:tab w:val="right" w:pos="794"/>
      </w:tabs>
      <w:spacing w:after="60"/>
    </w:pPr>
    <w:rPr>
      <w:rFonts w:asciiTheme="majorHAnsi" w:hAnsiTheme="majorHAnsi"/>
    </w:rPr>
  </w:style>
  <w:style w:type="character" w:customStyle="1" w:styleId="Bullets1stindentChar">
    <w:name w:val="Bullets (1st indent) Char"/>
    <w:basedOn w:val="DefaultParagraphFont"/>
    <w:link w:val="Bullets1stindent"/>
    <w:semiHidden/>
    <w:rsid w:val="00907278"/>
    <w:rPr>
      <w:rFonts w:ascii="Cambria" w:eastAsia="Times New Roman" w:hAnsi="Cambria" w:cs="Times New Roman"/>
      <w:szCs w:val="24"/>
    </w:rPr>
  </w:style>
  <w:style w:type="paragraph" w:customStyle="1" w:styleId="Figuretitle">
    <w:name w:val="Figure title"/>
    <w:next w:val="Normal"/>
    <w:qFormat/>
    <w:rsid w:val="00A73272"/>
    <w:pPr>
      <w:keepNext/>
      <w:keepLines/>
      <w:numPr>
        <w:ilvl w:val="6"/>
        <w:numId w:val="43"/>
      </w:numPr>
      <w:spacing w:before="340" w:after="170" w:line="240" w:lineRule="auto"/>
    </w:pPr>
    <w:rPr>
      <w:rFonts w:ascii="Arial" w:eastAsia="Times New Roman" w:hAnsi="Arial" w:cs="Times New Roman"/>
      <w:b/>
      <w:color w:val="005A77"/>
      <w:spacing w:val="-6"/>
      <w:sz w:val="24"/>
      <w:szCs w:val="24"/>
      <w:lang w:val="en-US"/>
    </w:rPr>
  </w:style>
  <w:style w:type="numbering" w:customStyle="1" w:styleId="Numbers">
    <w:name w:val="Numbers"/>
    <w:basedOn w:val="NoList"/>
    <w:rsid w:val="00A73272"/>
    <w:pPr>
      <w:numPr>
        <w:numId w:val="43"/>
      </w:numPr>
    </w:pPr>
  </w:style>
  <w:style w:type="paragraph" w:customStyle="1" w:styleId="Tabletitle">
    <w:name w:val="Table title"/>
    <w:next w:val="Normal"/>
    <w:qFormat/>
    <w:rsid w:val="00A73272"/>
    <w:pPr>
      <w:keepNext/>
      <w:numPr>
        <w:ilvl w:val="8"/>
        <w:numId w:val="43"/>
      </w:numPr>
      <w:spacing w:before="340" w:after="170" w:line="240" w:lineRule="auto"/>
    </w:pPr>
    <w:rPr>
      <w:rFonts w:ascii="Arial" w:eastAsia="Times New Roman" w:hAnsi="Arial" w:cs="Times New Roman"/>
      <w:b/>
      <w:color w:val="005A77"/>
      <w:spacing w:val="-6"/>
      <w:sz w:val="24"/>
      <w:szCs w:val="24"/>
      <w:lang w:val="en-US"/>
    </w:rPr>
  </w:style>
  <w:style w:type="paragraph" w:customStyle="1" w:styleId="Notetitle">
    <w:name w:val="Note title"/>
    <w:qFormat/>
    <w:rsid w:val="00A73272"/>
    <w:pPr>
      <w:keepNext/>
      <w:numPr>
        <w:ilvl w:val="7"/>
        <w:numId w:val="43"/>
      </w:numPr>
      <w:spacing w:before="340" w:after="170" w:line="240" w:lineRule="auto"/>
    </w:pPr>
    <w:rPr>
      <w:rFonts w:ascii="Arial" w:eastAsia="MS Gothic" w:hAnsi="Arial" w:cs="Times New Roman"/>
      <w:b/>
      <w:bCs/>
      <w:iCs/>
      <w:color w:val="005A77"/>
      <w:spacing w:val="-6"/>
      <w:sz w:val="24"/>
      <w:szCs w:val="28"/>
      <w:lang w:val="en-US"/>
    </w:rPr>
  </w:style>
  <w:style w:type="paragraph" w:customStyle="1" w:styleId="Numberedpara2ndindent">
    <w:name w:val="Numbered para (2nd indent)"/>
    <w:basedOn w:val="Normal"/>
    <w:rsid w:val="00A73272"/>
    <w:pPr>
      <w:numPr>
        <w:ilvl w:val="4"/>
        <w:numId w:val="43"/>
      </w:numPr>
      <w:tabs>
        <w:tab w:val="clear" w:pos="851"/>
      </w:tabs>
      <w:suppressAutoHyphens w:val="0"/>
      <w:spacing w:before="0" w:after="0" w:line="240" w:lineRule="auto"/>
      <w:ind w:left="3600" w:hanging="360"/>
    </w:pPr>
    <w:rPr>
      <w:rFonts w:ascii="Cambria" w:eastAsia="Times New Roman" w:hAnsi="Cambria" w:cs="Times New Roman"/>
      <w:szCs w:val="24"/>
    </w:rPr>
  </w:style>
  <w:style w:type="paragraph" w:customStyle="1" w:styleId="Numberedpara3rdindent">
    <w:name w:val="Numbered para (3rd indent)"/>
    <w:basedOn w:val="Normal"/>
    <w:rsid w:val="00A73272"/>
    <w:pPr>
      <w:numPr>
        <w:ilvl w:val="5"/>
        <w:numId w:val="43"/>
      </w:numPr>
      <w:tabs>
        <w:tab w:val="clear" w:pos="1134"/>
      </w:tabs>
      <w:suppressAutoHyphens w:val="0"/>
      <w:spacing w:before="0" w:after="0" w:line="240" w:lineRule="auto"/>
      <w:ind w:left="1135" w:hanging="284"/>
    </w:pPr>
    <w:rPr>
      <w:rFonts w:ascii="Cambria" w:eastAsia="Times New Roman" w:hAnsi="Cambria" w:cs="Times New Roman"/>
      <w:szCs w:val="24"/>
    </w:rPr>
  </w:style>
  <w:style w:type="paragraph" w:customStyle="1" w:styleId="Tabletext0">
    <w:name w:val="Table text"/>
    <w:basedOn w:val="Normal"/>
    <w:uiPriority w:val="99"/>
    <w:rsid w:val="00A73272"/>
    <w:pPr>
      <w:widowControl w:val="0"/>
      <w:autoSpaceDE w:val="0"/>
      <w:autoSpaceDN w:val="0"/>
      <w:adjustRightInd w:val="0"/>
      <w:spacing w:before="0" w:after="0" w:line="220" w:lineRule="atLeast"/>
      <w:textAlignment w:val="center"/>
    </w:pPr>
    <w:rPr>
      <w:rFonts w:ascii="ArialMT" w:eastAsia="Times New Roman" w:hAnsi="ArialMT" w:cs="ArialMT"/>
      <w:color w:val="000000"/>
      <w:spacing w:val="-2"/>
      <w:sz w:val="18"/>
      <w:szCs w:val="18"/>
      <w:lang w:val="en-GB"/>
    </w:rPr>
  </w:style>
  <w:style w:type="paragraph" w:customStyle="1" w:styleId="Tablehead">
    <w:name w:val="Table head"/>
    <w:basedOn w:val="Tabletext0"/>
    <w:uiPriority w:val="99"/>
    <w:rsid w:val="00A73272"/>
  </w:style>
  <w:style w:type="paragraph" w:customStyle="1" w:styleId="NoParagraphStyle">
    <w:name w:val="[No Paragraph Style]"/>
    <w:uiPriority w:val="99"/>
    <w:rsid w:val="00A73272"/>
    <w:pPr>
      <w:widowControl w:val="0"/>
      <w:autoSpaceDE w:val="0"/>
      <w:autoSpaceDN w:val="0"/>
      <w:adjustRightInd w:val="0"/>
      <w:spacing w:after="0" w:line="288" w:lineRule="auto"/>
      <w:textAlignment w:val="center"/>
    </w:pPr>
    <w:rPr>
      <w:rFonts w:ascii="Helvetica-UltraCompressed" w:eastAsia="Times New Roman" w:hAnsi="Helvetica-UltraCompressed" w:cs="Helvetica-UltraCompressed"/>
      <w:color w:val="000000"/>
      <w:sz w:val="24"/>
      <w:szCs w:val="24"/>
      <w:lang w:val="en-GB"/>
    </w:rPr>
  </w:style>
  <w:style w:type="paragraph" w:customStyle="1" w:styleId="BodyText2">
    <w:name w:val="Body Text2"/>
    <w:basedOn w:val="Normal"/>
    <w:uiPriority w:val="99"/>
    <w:rsid w:val="00850E37"/>
    <w:pPr>
      <w:widowControl w:val="0"/>
      <w:autoSpaceDE w:val="0"/>
      <w:autoSpaceDN w:val="0"/>
      <w:adjustRightInd w:val="0"/>
      <w:spacing w:before="227" w:after="0" w:line="250" w:lineRule="atLeast"/>
      <w:textAlignment w:val="center"/>
    </w:pPr>
    <w:rPr>
      <w:rFonts w:ascii="ArialMT" w:eastAsia="Times New Roman" w:hAnsi="ArialMT" w:cs="ArialMT"/>
      <w:color w:val="000000"/>
      <w:spacing w:val="-2"/>
      <w:sz w:val="19"/>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53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2506F095F64A8DA15CCC83F10457A0"/>
        <w:category>
          <w:name w:val="General"/>
          <w:gallery w:val="placeholder"/>
        </w:category>
        <w:types>
          <w:type w:val="bbPlcHdr"/>
        </w:types>
        <w:behaviors>
          <w:behavior w:val="content"/>
        </w:behaviors>
        <w:guid w:val="{93A9CC0C-B953-4365-B8E4-B78F2474280F}"/>
      </w:docPartPr>
      <w:docPartBody>
        <w:p w:rsidR="00817C60" w:rsidRDefault="00751FB6">
          <w:r w:rsidRPr="006009C9">
            <w:rPr>
              <w:rStyle w:val="PlaceholderText"/>
            </w:rPr>
            <w:t>[Status]</w:t>
          </w:r>
        </w:p>
      </w:docPartBody>
    </w:docPart>
    <w:docPart>
      <w:docPartPr>
        <w:name w:val="9D808996CD2146019246D2031F05F10B"/>
        <w:category>
          <w:name w:val="General"/>
          <w:gallery w:val="placeholder"/>
        </w:category>
        <w:types>
          <w:type w:val="bbPlcHdr"/>
        </w:types>
        <w:behaviors>
          <w:behavior w:val="content"/>
        </w:behaviors>
        <w:guid w:val="{91BC08E9-82F0-4806-B66A-59428F7C0270}"/>
      </w:docPartPr>
      <w:docPartBody>
        <w:p w:rsidR="00817C60" w:rsidRDefault="00751FB6" w:rsidP="00751FB6">
          <w:pPr>
            <w:pStyle w:val="9D808996CD2146019246D2031F05F10B"/>
          </w:pPr>
          <w:r w:rsidRPr="006009C9">
            <w:rPr>
              <w:rStyle w:val="PlaceholderText"/>
            </w:rPr>
            <w:t>[Status]</w:t>
          </w:r>
        </w:p>
      </w:docPartBody>
    </w:docPart>
    <w:docPart>
      <w:docPartPr>
        <w:name w:val="5C4B31DB2C8C4092A163BC9FC728C771"/>
        <w:category>
          <w:name w:val="General"/>
          <w:gallery w:val="placeholder"/>
        </w:category>
        <w:types>
          <w:type w:val="bbPlcHdr"/>
        </w:types>
        <w:behaviors>
          <w:behavior w:val="content"/>
        </w:behaviors>
        <w:guid w:val="{3E0C2A9F-DBC1-4AC1-A5D1-8140EA994965}"/>
      </w:docPartPr>
      <w:docPartBody>
        <w:p w:rsidR="00817C60" w:rsidRDefault="00751FB6" w:rsidP="00751FB6">
          <w:pPr>
            <w:pStyle w:val="5C4B31DB2C8C4092A163BC9FC728C771"/>
          </w:pPr>
          <w:r w:rsidRPr="006009C9">
            <w:rPr>
              <w:rStyle w:val="PlaceholderText"/>
            </w:rPr>
            <w:t>[Status]</w:t>
          </w:r>
        </w:p>
      </w:docPartBody>
    </w:docPart>
    <w:docPart>
      <w:docPartPr>
        <w:name w:val="85FCF50EFA584C32A9291D76744CD17A"/>
        <w:category>
          <w:name w:val="General"/>
          <w:gallery w:val="placeholder"/>
        </w:category>
        <w:types>
          <w:type w:val="bbPlcHdr"/>
        </w:types>
        <w:behaviors>
          <w:behavior w:val="content"/>
        </w:behaviors>
        <w:guid w:val="{F0F7575D-38F6-42DA-B1C8-F6AC6B3FB305}"/>
      </w:docPartPr>
      <w:docPartBody>
        <w:p w:rsidR="00817C60" w:rsidRDefault="00751FB6" w:rsidP="00751FB6">
          <w:pPr>
            <w:pStyle w:val="85FCF50EFA584C32A9291D76744CD17A"/>
          </w:pPr>
          <w:r w:rsidRPr="006009C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MT">
    <w:altName w:val="Arial 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UltraCompressed">
    <w:altName w:val="HelveUltCompressed"/>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B6"/>
    <w:rsid w:val="00105A8E"/>
    <w:rsid w:val="0066629B"/>
    <w:rsid w:val="00745C27"/>
    <w:rsid w:val="00751FB6"/>
    <w:rsid w:val="00765EC2"/>
    <w:rsid w:val="00817C60"/>
    <w:rsid w:val="00874D11"/>
    <w:rsid w:val="009C0D89"/>
    <w:rsid w:val="00EB2579"/>
    <w:rsid w:val="00FD0E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FB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FB6"/>
    <w:rPr>
      <w:color w:val="808080"/>
    </w:rPr>
  </w:style>
  <w:style w:type="paragraph" w:customStyle="1" w:styleId="9D808996CD2146019246D2031F05F10B">
    <w:name w:val="9D808996CD2146019246D2031F05F10B"/>
    <w:rsid w:val="00751FB6"/>
  </w:style>
  <w:style w:type="paragraph" w:customStyle="1" w:styleId="5C4B31DB2C8C4092A163BC9FC728C771">
    <w:name w:val="5C4B31DB2C8C4092A163BC9FC728C771"/>
    <w:rsid w:val="00751FB6"/>
  </w:style>
  <w:style w:type="paragraph" w:customStyle="1" w:styleId="85FCF50EFA584C32A9291D76744CD17A">
    <w:name w:val="85FCF50EFA584C32A9291D76744CD17A"/>
    <w:rsid w:val="00751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FB012-EDAB-4D16-99C6-0EA1882B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B220D416</Template>
  <TotalTime>107</TotalTime>
  <Pages>13</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Ryan, Morgan</cp:lastModifiedBy>
  <cp:revision>19</cp:revision>
  <cp:lastPrinted>2013-10-29T09:49:00Z</cp:lastPrinted>
  <dcterms:created xsi:type="dcterms:W3CDTF">2017-02-10T03:37:00Z</dcterms:created>
  <dcterms:modified xsi:type="dcterms:W3CDTF">2017-05-10T04:38:00Z</dcterms:modified>
  <cp:contentStatus>Classification</cp:contentStatus>
</cp:coreProperties>
</file>