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Default="00836879" w:rsidP="00836879">
      <w:pPr>
        <w:jc w:val="center"/>
      </w:pPr>
    </w:p>
    <w:p w:rsidR="00836879" w:rsidRPr="00D63A15" w:rsidRDefault="00836879" w:rsidP="00836879">
      <w:pPr>
        <w:jc w:val="center"/>
        <w:rPr>
          <w:caps/>
        </w:rPr>
      </w:pPr>
      <w:r>
        <w:rPr>
          <w:caps/>
          <w:noProof/>
          <w:lang w:eastAsia="en-AU"/>
        </w:rPr>
        <w:drawing>
          <wp:inline distT="0" distB="0" distL="0" distR="0">
            <wp:extent cx="2442845" cy="13512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42845" cy="1351280"/>
                    </a:xfrm>
                    <a:prstGeom prst="rect">
                      <a:avLst/>
                    </a:prstGeom>
                    <a:noFill/>
                    <a:ln w="9525">
                      <a:noFill/>
                      <a:miter lim="800000"/>
                      <a:headEnd/>
                      <a:tailEnd/>
                    </a:ln>
                  </pic:spPr>
                </pic:pic>
              </a:graphicData>
            </a:graphic>
          </wp:inline>
        </w:drawing>
      </w:r>
    </w:p>
    <w:p w:rsidR="00836879" w:rsidRDefault="00836879" w:rsidP="00836879">
      <w:pPr>
        <w:jc w:val="center"/>
      </w:pPr>
    </w:p>
    <w:p w:rsidR="00836879" w:rsidRDefault="00836879" w:rsidP="00836879"/>
    <w:p w:rsidR="00836879" w:rsidRDefault="00836879" w:rsidP="00836879"/>
    <w:p w:rsidR="00836879" w:rsidRDefault="00836879" w:rsidP="00836879">
      <w:pPr>
        <w:jc w:val="center"/>
        <w:rPr>
          <w:sz w:val="36"/>
          <w:szCs w:val="36"/>
        </w:rPr>
      </w:pPr>
      <w:bookmarkStart w:id="0" w:name="OLE_LINK1"/>
      <w:bookmarkStart w:id="1" w:name="OLE_LINK2"/>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r>
      <w:r w:rsidR="00202A0D" w:rsidRPr="00202A0D">
        <w:rPr>
          <w:sz w:val="36"/>
          <w:szCs w:val="36"/>
        </w:rPr>
        <w:t xml:space="preserve">Senate Reference Finance and Public Administration Committee </w:t>
      </w:r>
      <w:r w:rsidR="00E96DC9">
        <w:rPr>
          <w:sz w:val="36"/>
          <w:szCs w:val="36"/>
        </w:rPr>
        <w:t>R</w:t>
      </w:r>
      <w:r w:rsidR="00E96DC9" w:rsidRPr="009B57C6">
        <w:rPr>
          <w:sz w:val="36"/>
          <w:szCs w:val="36"/>
        </w:rPr>
        <w:t>eport</w:t>
      </w:r>
      <w:r>
        <w:rPr>
          <w:sz w:val="36"/>
          <w:szCs w:val="36"/>
        </w:rPr>
        <w:t>:</w:t>
      </w:r>
    </w:p>
    <w:p w:rsidR="00836879" w:rsidRDefault="00836879" w:rsidP="00836879">
      <w:pPr>
        <w:jc w:val="center"/>
        <w:rPr>
          <w:sz w:val="36"/>
          <w:szCs w:val="36"/>
        </w:rPr>
      </w:pPr>
    </w:p>
    <w:p w:rsidR="00202A0D" w:rsidRPr="00202A0D" w:rsidRDefault="00202A0D" w:rsidP="00202A0D">
      <w:pPr>
        <w:jc w:val="center"/>
        <w:rPr>
          <w:sz w:val="36"/>
          <w:szCs w:val="36"/>
        </w:rPr>
      </w:pPr>
      <w:r w:rsidRPr="00202A0D">
        <w:rPr>
          <w:sz w:val="36"/>
          <w:szCs w:val="36"/>
        </w:rPr>
        <w:t xml:space="preserve">Senate </w:t>
      </w:r>
      <w:r w:rsidR="00E96DC9">
        <w:rPr>
          <w:sz w:val="36"/>
          <w:szCs w:val="36"/>
        </w:rPr>
        <w:t>O</w:t>
      </w:r>
      <w:r w:rsidR="00E96DC9" w:rsidRPr="00202A0D">
        <w:rPr>
          <w:sz w:val="36"/>
          <w:szCs w:val="36"/>
        </w:rPr>
        <w:t xml:space="preserve">rder </w:t>
      </w:r>
      <w:r w:rsidRPr="00202A0D">
        <w:rPr>
          <w:sz w:val="36"/>
          <w:szCs w:val="36"/>
        </w:rPr>
        <w:t xml:space="preserve">for </w:t>
      </w:r>
      <w:r w:rsidR="00E96DC9">
        <w:rPr>
          <w:sz w:val="36"/>
          <w:szCs w:val="36"/>
        </w:rPr>
        <w:t>D</w:t>
      </w:r>
      <w:r w:rsidR="00E96DC9" w:rsidRPr="00202A0D">
        <w:rPr>
          <w:sz w:val="36"/>
          <w:szCs w:val="36"/>
        </w:rPr>
        <w:t xml:space="preserve">epartmental </w:t>
      </w:r>
      <w:r w:rsidRPr="00202A0D">
        <w:rPr>
          <w:sz w:val="36"/>
          <w:szCs w:val="36"/>
        </w:rPr>
        <w:t xml:space="preserve">and </w:t>
      </w:r>
      <w:r w:rsidR="00E96DC9">
        <w:rPr>
          <w:sz w:val="36"/>
          <w:szCs w:val="36"/>
        </w:rPr>
        <w:t>A</w:t>
      </w:r>
      <w:r w:rsidR="00E96DC9" w:rsidRPr="00202A0D">
        <w:rPr>
          <w:sz w:val="36"/>
          <w:szCs w:val="36"/>
        </w:rPr>
        <w:t>gency</w:t>
      </w:r>
    </w:p>
    <w:p w:rsidR="00836879" w:rsidRDefault="00E96DC9" w:rsidP="00202A0D">
      <w:pPr>
        <w:jc w:val="center"/>
        <w:rPr>
          <w:sz w:val="36"/>
          <w:szCs w:val="36"/>
        </w:rPr>
      </w:pPr>
      <w:r>
        <w:rPr>
          <w:sz w:val="36"/>
          <w:szCs w:val="36"/>
        </w:rPr>
        <w:t>C</w:t>
      </w:r>
      <w:r w:rsidRPr="00202A0D">
        <w:rPr>
          <w:sz w:val="36"/>
          <w:szCs w:val="36"/>
        </w:rPr>
        <w:t xml:space="preserve">ontracts </w:t>
      </w:r>
    </w:p>
    <w:bookmarkEnd w:id="0"/>
    <w:bookmarkEnd w:id="1"/>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Default="00836879" w:rsidP="00836879">
      <w:pPr>
        <w:jc w:val="center"/>
        <w:rPr>
          <w:sz w:val="36"/>
          <w:szCs w:val="36"/>
        </w:rPr>
      </w:pPr>
    </w:p>
    <w:p w:rsidR="00836879" w:rsidRPr="00D63A15" w:rsidRDefault="00836879" w:rsidP="00836879">
      <w:pPr>
        <w:jc w:val="center"/>
        <w:rPr>
          <w:caps/>
          <w:sz w:val="36"/>
          <w:szCs w:val="36"/>
        </w:rPr>
      </w:pPr>
    </w:p>
    <w:p w:rsidR="00836879" w:rsidRDefault="00397290" w:rsidP="00836879">
      <w:pPr>
        <w:jc w:val="right"/>
        <w:rPr>
          <w:caps/>
          <w:sz w:val="28"/>
          <w:szCs w:val="28"/>
        </w:rPr>
      </w:pPr>
      <w:r>
        <w:rPr>
          <w:caps/>
          <w:sz w:val="28"/>
          <w:szCs w:val="28"/>
        </w:rPr>
        <w:t>November</w:t>
      </w:r>
      <w:r w:rsidR="003C69F0">
        <w:rPr>
          <w:caps/>
          <w:sz w:val="28"/>
          <w:szCs w:val="28"/>
        </w:rPr>
        <w:t xml:space="preserve"> </w:t>
      </w:r>
      <w:r w:rsidR="00202A0D">
        <w:rPr>
          <w:caps/>
          <w:sz w:val="28"/>
          <w:szCs w:val="28"/>
        </w:rPr>
        <w:t>2014</w:t>
      </w:r>
    </w:p>
    <w:p w:rsidR="003124E7" w:rsidRDefault="003124E7" w:rsidP="003124E7">
      <w:pPr>
        <w:autoSpaceDE w:val="0"/>
        <w:autoSpaceDN w:val="0"/>
        <w:adjustRightInd w:val="0"/>
        <w:jc w:val="center"/>
        <w:rPr>
          <w:sz w:val="40"/>
          <w:szCs w:val="40"/>
        </w:rPr>
      </w:pPr>
      <w:r>
        <w:rPr>
          <w:sz w:val="40"/>
          <w:szCs w:val="40"/>
        </w:rPr>
        <w:t xml:space="preserve">Senate Reference Finance and Public Administration Committee Review of the Senate Order </w:t>
      </w:r>
      <w:r w:rsidRPr="001F2A28">
        <w:rPr>
          <w:sz w:val="40"/>
          <w:szCs w:val="40"/>
        </w:rPr>
        <w:t>Recommendations</w:t>
      </w:r>
      <w:r>
        <w:rPr>
          <w:sz w:val="40"/>
          <w:szCs w:val="40"/>
        </w:rPr>
        <w:t xml:space="preserve"> and Government </w:t>
      </w:r>
      <w:r w:rsidR="00E96DC9">
        <w:rPr>
          <w:sz w:val="40"/>
          <w:szCs w:val="40"/>
        </w:rPr>
        <w:t>Response</w:t>
      </w:r>
    </w:p>
    <w:p w:rsidR="003124E7" w:rsidRPr="00202A0D" w:rsidRDefault="003124E7" w:rsidP="003124E7">
      <w:pPr>
        <w:autoSpaceDE w:val="0"/>
        <w:autoSpaceDN w:val="0"/>
        <w:adjustRightInd w:val="0"/>
        <w:jc w:val="center"/>
      </w:pPr>
    </w:p>
    <w:p w:rsidR="00202A0D" w:rsidRDefault="00202A0D" w:rsidP="00202A0D">
      <w:pPr>
        <w:autoSpaceDE w:val="0"/>
        <w:autoSpaceDN w:val="0"/>
        <w:adjustRightInd w:val="0"/>
        <w:rPr>
          <w:iCs/>
        </w:rPr>
      </w:pPr>
      <w:r w:rsidRPr="00202A0D">
        <w:rPr>
          <w:iCs/>
        </w:rPr>
        <w:t>The Government is committed to ensur</w:t>
      </w:r>
      <w:r>
        <w:rPr>
          <w:iCs/>
        </w:rPr>
        <w:t xml:space="preserve">ing that </w:t>
      </w:r>
      <w:r w:rsidRPr="00202A0D">
        <w:rPr>
          <w:iCs/>
        </w:rPr>
        <w:t xml:space="preserve">contracting undertaken by </w:t>
      </w:r>
      <w:r>
        <w:rPr>
          <w:iCs/>
        </w:rPr>
        <w:t xml:space="preserve">non-corporate </w:t>
      </w:r>
      <w:r w:rsidRPr="00202A0D">
        <w:rPr>
          <w:iCs/>
        </w:rPr>
        <w:t>Commonwealth</w:t>
      </w:r>
      <w:r>
        <w:rPr>
          <w:iCs/>
        </w:rPr>
        <w:t xml:space="preserve"> entities subject to the </w:t>
      </w:r>
      <w:r w:rsidRPr="00202A0D">
        <w:rPr>
          <w:i/>
          <w:iCs/>
        </w:rPr>
        <w:t>P</w:t>
      </w:r>
      <w:r>
        <w:rPr>
          <w:i/>
          <w:iCs/>
        </w:rPr>
        <w:t>ublic Governance, Performance and Accountability Act 2013</w:t>
      </w:r>
      <w:r w:rsidR="00D7318E">
        <w:rPr>
          <w:i/>
          <w:iCs/>
        </w:rPr>
        <w:t xml:space="preserve"> </w:t>
      </w:r>
      <w:r>
        <w:rPr>
          <w:iCs/>
        </w:rPr>
        <w:t>(PGPA Act)</w:t>
      </w:r>
      <w:r w:rsidRPr="00202A0D">
        <w:rPr>
          <w:iCs/>
        </w:rPr>
        <w:t xml:space="preserve"> is accountable and transparent.</w:t>
      </w:r>
      <w:r w:rsidR="00946D60">
        <w:rPr>
          <w:iCs/>
        </w:rPr>
        <w:t xml:space="preserve"> </w:t>
      </w:r>
      <w:r w:rsidRPr="00202A0D">
        <w:rPr>
          <w:iCs/>
        </w:rPr>
        <w:t>The Government recognises the role that the Senate Order on departmental and agency contracts has played</w:t>
      </w:r>
      <w:r w:rsidR="00946D60">
        <w:rPr>
          <w:iCs/>
        </w:rPr>
        <w:t xml:space="preserve"> to date</w:t>
      </w:r>
      <w:r w:rsidRPr="00202A0D">
        <w:rPr>
          <w:iCs/>
        </w:rPr>
        <w:t xml:space="preserve"> in reinforcing transparency in Government contracting</w:t>
      </w:r>
      <w:r w:rsidR="00B855C0">
        <w:rPr>
          <w:iCs/>
        </w:rPr>
        <w:t xml:space="preserve"> and welcomes the </w:t>
      </w:r>
      <w:r w:rsidR="00946D60">
        <w:rPr>
          <w:iCs/>
        </w:rPr>
        <w:t>c</w:t>
      </w:r>
      <w:r w:rsidR="00B855C0">
        <w:rPr>
          <w:iCs/>
        </w:rPr>
        <w:t>ommittee’s report reviewing the operation of the Senate Order</w:t>
      </w:r>
      <w:r w:rsidRPr="00202A0D">
        <w:rPr>
          <w:iCs/>
        </w:rPr>
        <w:t xml:space="preserve">. </w:t>
      </w:r>
    </w:p>
    <w:p w:rsidR="00202A0D" w:rsidRDefault="00202A0D" w:rsidP="00202A0D">
      <w:pPr>
        <w:autoSpaceDE w:val="0"/>
        <w:autoSpaceDN w:val="0"/>
        <w:adjustRightInd w:val="0"/>
        <w:rPr>
          <w:iCs/>
        </w:rPr>
      </w:pPr>
    </w:p>
    <w:p w:rsidR="00EF5AE8" w:rsidRDefault="00946D60" w:rsidP="00EF5AE8">
      <w:pPr>
        <w:autoSpaceDE w:val="0"/>
        <w:autoSpaceDN w:val="0"/>
        <w:adjustRightInd w:val="0"/>
        <w:rPr>
          <w:iCs/>
        </w:rPr>
      </w:pPr>
      <w:r>
        <w:rPr>
          <w:iCs/>
        </w:rPr>
        <w:t xml:space="preserve">The Government strongly supports the committee’s recommendation to trial </w:t>
      </w:r>
      <w:proofErr w:type="spellStart"/>
      <w:r>
        <w:rPr>
          <w:iCs/>
        </w:rPr>
        <w:t>AusTender</w:t>
      </w:r>
      <w:proofErr w:type="spellEnd"/>
      <w:r>
        <w:rPr>
          <w:iCs/>
        </w:rPr>
        <w:t xml:space="preserve"> as the means by which an entity would satisfy its </w:t>
      </w:r>
      <w:r w:rsidR="00EF5AE8">
        <w:rPr>
          <w:iCs/>
        </w:rPr>
        <w:t xml:space="preserve">reporting </w:t>
      </w:r>
      <w:r>
        <w:rPr>
          <w:iCs/>
        </w:rPr>
        <w:t>obligations under the</w:t>
      </w:r>
      <w:r w:rsidR="00EF5AE8">
        <w:rPr>
          <w:iCs/>
        </w:rPr>
        <w:t xml:space="preserve"> </w:t>
      </w:r>
      <w:r w:rsidR="00990D13">
        <w:rPr>
          <w:iCs/>
        </w:rPr>
        <w:t xml:space="preserve">Senate </w:t>
      </w:r>
      <w:r>
        <w:rPr>
          <w:iCs/>
        </w:rPr>
        <w:t>Order</w:t>
      </w:r>
      <w:r w:rsidR="00EF5AE8">
        <w:rPr>
          <w:iCs/>
        </w:rPr>
        <w:t xml:space="preserve"> and revise supporting guidance accordingly.</w:t>
      </w:r>
      <w:r w:rsidR="00EF5AE8" w:rsidRPr="00EF5AE8">
        <w:rPr>
          <w:iCs/>
        </w:rPr>
        <w:t xml:space="preserve"> </w:t>
      </w:r>
      <w:r w:rsidR="00EF5AE8">
        <w:rPr>
          <w:iCs/>
        </w:rPr>
        <w:t xml:space="preserve">Meeting the obligations of the Senate Order through </w:t>
      </w:r>
      <w:proofErr w:type="spellStart"/>
      <w:r w:rsidR="00EF5AE8">
        <w:rPr>
          <w:iCs/>
        </w:rPr>
        <w:t>AusTender</w:t>
      </w:r>
      <w:proofErr w:type="spellEnd"/>
      <w:r w:rsidR="00EF5AE8">
        <w:rPr>
          <w:iCs/>
        </w:rPr>
        <w:t xml:space="preserve"> has the additional benefit of </w:t>
      </w:r>
      <w:r w:rsidR="00EF5AE8" w:rsidRPr="00202A0D">
        <w:rPr>
          <w:iCs/>
        </w:rPr>
        <w:t>remov</w:t>
      </w:r>
      <w:r w:rsidR="00EF5AE8">
        <w:rPr>
          <w:iCs/>
        </w:rPr>
        <w:t>ing</w:t>
      </w:r>
      <w:r w:rsidR="00EF5AE8" w:rsidRPr="00202A0D">
        <w:rPr>
          <w:iCs/>
        </w:rPr>
        <w:t xml:space="preserve"> </w:t>
      </w:r>
      <w:r w:rsidR="00B52F82">
        <w:rPr>
          <w:iCs/>
        </w:rPr>
        <w:t>replication</w:t>
      </w:r>
      <w:r w:rsidR="00B04FCC">
        <w:rPr>
          <w:iCs/>
        </w:rPr>
        <w:t xml:space="preserve"> </w:t>
      </w:r>
      <w:r w:rsidR="00EF5AE8" w:rsidRPr="00202A0D">
        <w:rPr>
          <w:iCs/>
        </w:rPr>
        <w:t>that exists across current</w:t>
      </w:r>
      <w:r w:rsidR="00EF5AE8">
        <w:rPr>
          <w:iCs/>
        </w:rPr>
        <w:t xml:space="preserve"> reporting</w:t>
      </w:r>
      <w:r w:rsidR="00EF5AE8" w:rsidRPr="00202A0D">
        <w:rPr>
          <w:iCs/>
        </w:rPr>
        <w:t xml:space="preserve"> regimes and improv</w:t>
      </w:r>
      <w:r w:rsidR="00EF5AE8">
        <w:rPr>
          <w:iCs/>
        </w:rPr>
        <w:t>es</w:t>
      </w:r>
      <w:r w:rsidR="00EF5AE8" w:rsidRPr="00202A0D">
        <w:rPr>
          <w:iCs/>
        </w:rPr>
        <w:t xml:space="preserve"> the quality an</w:t>
      </w:r>
      <w:r w:rsidR="00EF5AE8">
        <w:rPr>
          <w:iCs/>
        </w:rPr>
        <w:t xml:space="preserve">d consistency of data </w:t>
      </w:r>
      <w:proofErr w:type="gramStart"/>
      <w:r w:rsidR="00EF5AE8">
        <w:rPr>
          <w:iCs/>
        </w:rPr>
        <w:t>reported.</w:t>
      </w:r>
      <w:proofErr w:type="gramEnd"/>
      <w:r w:rsidR="00EF5AE8" w:rsidRPr="00EF5AE8">
        <w:rPr>
          <w:iCs/>
        </w:rPr>
        <w:t xml:space="preserve"> </w:t>
      </w:r>
      <w:r w:rsidR="00EF5AE8">
        <w:rPr>
          <w:iCs/>
        </w:rPr>
        <w:t xml:space="preserve">The Government also supports the </w:t>
      </w:r>
      <w:r w:rsidR="007B1A6A">
        <w:rPr>
          <w:iCs/>
        </w:rPr>
        <w:t>c</w:t>
      </w:r>
      <w:r w:rsidR="00EF5AE8">
        <w:rPr>
          <w:iCs/>
        </w:rPr>
        <w:t>ommittee’s proposed name change</w:t>
      </w:r>
      <w:r w:rsidR="007B1A6A">
        <w:rPr>
          <w:iCs/>
        </w:rPr>
        <w:t xml:space="preserve"> to the procurement contracts report</w:t>
      </w:r>
      <w:r w:rsidR="00EF5AE8">
        <w:rPr>
          <w:iCs/>
        </w:rPr>
        <w:t xml:space="preserve"> on </w:t>
      </w:r>
      <w:proofErr w:type="spellStart"/>
      <w:r w:rsidR="00EF5AE8">
        <w:rPr>
          <w:iCs/>
        </w:rPr>
        <w:t>AusTender</w:t>
      </w:r>
      <w:proofErr w:type="spellEnd"/>
      <w:r w:rsidR="00EF5AE8">
        <w:rPr>
          <w:iCs/>
        </w:rPr>
        <w:t xml:space="preserve">. </w:t>
      </w:r>
    </w:p>
    <w:p w:rsidR="006E189A" w:rsidRDefault="006E189A" w:rsidP="00202A0D">
      <w:pPr>
        <w:autoSpaceDE w:val="0"/>
        <w:autoSpaceDN w:val="0"/>
        <w:adjustRightInd w:val="0"/>
        <w:rPr>
          <w:iCs/>
        </w:rPr>
      </w:pPr>
    </w:p>
    <w:p w:rsidR="00EC52F1" w:rsidRPr="00EF0559" w:rsidRDefault="00894E93" w:rsidP="003124E7">
      <w:pPr>
        <w:rPr>
          <w:rFonts w:asciiTheme="majorBidi" w:hAnsiTheme="majorBidi" w:cstheme="majorBidi"/>
        </w:rPr>
        <w:sectPr w:rsidR="00EC52F1" w:rsidRPr="00EF0559" w:rsidSect="003124E7">
          <w:footerReference w:type="default" r:id="rId9"/>
          <w:pgSz w:w="11906" w:h="16838"/>
          <w:pgMar w:top="1440" w:right="1440" w:bottom="1440" w:left="1440" w:header="708" w:footer="708" w:gutter="0"/>
          <w:cols w:space="708"/>
          <w:docGrid w:linePitch="360"/>
        </w:sectPr>
      </w:pPr>
      <w:r>
        <w:rPr>
          <w:iCs/>
        </w:rPr>
        <w:t>The Government partially supports the</w:t>
      </w:r>
      <w:r w:rsidR="00165520">
        <w:rPr>
          <w:iCs/>
        </w:rPr>
        <w:t xml:space="preserve"> </w:t>
      </w:r>
      <w:r w:rsidR="0037510A">
        <w:rPr>
          <w:iCs/>
        </w:rPr>
        <w:t xml:space="preserve">committee’s </w:t>
      </w:r>
      <w:r>
        <w:rPr>
          <w:iCs/>
        </w:rPr>
        <w:t>proposed changes to the Senate Order</w:t>
      </w:r>
      <w:r w:rsidR="00D7318E">
        <w:rPr>
          <w:iCs/>
        </w:rPr>
        <w:t xml:space="preserve"> itself</w:t>
      </w:r>
      <w:r>
        <w:rPr>
          <w:iCs/>
        </w:rPr>
        <w:t xml:space="preserve">. </w:t>
      </w:r>
      <w:r w:rsidR="00523905">
        <w:t xml:space="preserve">The Government </w:t>
      </w:r>
      <w:r>
        <w:t xml:space="preserve">supports the reduced auditing of </w:t>
      </w:r>
      <w:r w:rsidRPr="008E3F78">
        <w:t>compliance with the Senate order</w:t>
      </w:r>
      <w:r w:rsidR="00EF5AE8">
        <w:t xml:space="preserve">. As the committee has acknowledged, </w:t>
      </w:r>
      <w:r w:rsidR="00EF5AE8">
        <w:rPr>
          <w:iCs/>
        </w:rPr>
        <w:t xml:space="preserve">non-corporate </w:t>
      </w:r>
      <w:r w:rsidR="00EF5AE8" w:rsidRPr="00202A0D">
        <w:rPr>
          <w:iCs/>
        </w:rPr>
        <w:t>Commonwealth</w:t>
      </w:r>
      <w:r w:rsidR="00EF5AE8">
        <w:rPr>
          <w:iCs/>
        </w:rPr>
        <w:t xml:space="preserve"> entities now enter fewer contracts containing confidentiality provisions and they are now less likely to incorrectly report contracts as containing confidentiality clauses. The Government also supports</w:t>
      </w:r>
      <w:r w:rsidR="00990267">
        <w:t xml:space="preserve"> further technical amendments to the Standing </w:t>
      </w:r>
      <w:r w:rsidR="00EF5AE8">
        <w:t>O</w:t>
      </w:r>
      <w:r w:rsidR="00990267">
        <w:t xml:space="preserve">rder by the </w:t>
      </w:r>
      <w:r w:rsidR="00EF5AE8">
        <w:t>c</w:t>
      </w:r>
      <w:r w:rsidR="00990267">
        <w:t>ommittee.</w:t>
      </w:r>
      <w:r w:rsidR="00165520">
        <w:t xml:space="preserve"> </w:t>
      </w:r>
      <w:r w:rsidR="007B1A6A">
        <w:rPr>
          <w:iCs/>
        </w:rPr>
        <w:t xml:space="preserve">However, the Government does not support </w:t>
      </w:r>
      <w:r w:rsidR="007B1A6A">
        <w:rPr>
          <w:color w:val="000000"/>
        </w:rPr>
        <w:t xml:space="preserve">requiring </w:t>
      </w:r>
      <w:r w:rsidR="007B1A6A">
        <w:rPr>
          <w:iCs/>
        </w:rPr>
        <w:t>Ministers to</w:t>
      </w:r>
      <w:r w:rsidR="007B1A6A" w:rsidRPr="00AB4C6A">
        <w:rPr>
          <w:iCs/>
        </w:rPr>
        <w:t xml:space="preserve"> </w:t>
      </w:r>
      <w:r w:rsidR="007B1A6A" w:rsidRPr="00AB4C6A">
        <w:t>certif</w:t>
      </w:r>
      <w:r w:rsidR="007B1A6A">
        <w:t xml:space="preserve">y the accuracy of </w:t>
      </w:r>
      <w:r w:rsidR="007B1A6A" w:rsidRPr="00AB4C6A">
        <w:t>entity contract listings</w:t>
      </w:r>
      <w:r w:rsidR="007B1A6A">
        <w:t>. Any</w:t>
      </w:r>
      <w:r w:rsidR="007B1A6A" w:rsidRPr="00AB4C6A">
        <w:t xml:space="preserve"> potential benefits</w:t>
      </w:r>
      <w:r w:rsidR="007B1A6A">
        <w:t xml:space="preserve"> of this initiative are outweighed by the</w:t>
      </w:r>
      <w:r w:rsidR="007B1A6A" w:rsidRPr="00AB4C6A">
        <w:t xml:space="preserve"> additional burden </w:t>
      </w:r>
      <w:r w:rsidR="007B1A6A">
        <w:t>on</w:t>
      </w:r>
      <w:r w:rsidR="007B1A6A" w:rsidRPr="00AB4C6A">
        <w:t xml:space="preserve"> entities</w:t>
      </w:r>
      <w:r w:rsidR="007B1A6A">
        <w:t xml:space="preserve"> of added</w:t>
      </w:r>
      <w:r w:rsidR="007B1A6A" w:rsidRPr="00AB4C6A">
        <w:t xml:space="preserve"> assurance process</w:t>
      </w:r>
      <w:r w:rsidR="007B1A6A">
        <w:t>es</w:t>
      </w:r>
      <w:r w:rsidR="007B1A6A" w:rsidRPr="00AB4C6A">
        <w:t xml:space="preserve">. </w:t>
      </w:r>
      <w:r w:rsidR="007B1A6A">
        <w:t>Further, it does not support the e</w:t>
      </w:r>
      <w:r w:rsidR="007B1A6A" w:rsidRPr="00AB4C6A">
        <w:rPr>
          <w:iCs/>
        </w:rPr>
        <w:t>xten</w:t>
      </w:r>
      <w:r w:rsidR="00EC52F1">
        <w:rPr>
          <w:iCs/>
        </w:rPr>
        <w:t>sion of</w:t>
      </w:r>
      <w:r w:rsidR="007B1A6A">
        <w:rPr>
          <w:iCs/>
        </w:rPr>
        <w:t xml:space="preserve"> the application of the </w:t>
      </w:r>
      <w:r w:rsidR="007B1A6A" w:rsidRPr="00AB4C6A">
        <w:rPr>
          <w:iCs/>
        </w:rPr>
        <w:t>Senate Order to</w:t>
      </w:r>
      <w:r w:rsidR="00EC52F1">
        <w:rPr>
          <w:iCs/>
        </w:rPr>
        <w:t xml:space="preserve"> include</w:t>
      </w:r>
      <w:r w:rsidR="007B1A6A" w:rsidRPr="00AB4C6A">
        <w:rPr>
          <w:iCs/>
        </w:rPr>
        <w:t xml:space="preserve"> corporate Commonwealth entities</w:t>
      </w:r>
      <w:r w:rsidR="00B04FCC">
        <w:rPr>
          <w:iCs/>
        </w:rPr>
        <w:t xml:space="preserve"> not currently required to meet the Senate Order</w:t>
      </w:r>
      <w:r w:rsidR="007B1A6A">
        <w:rPr>
          <w:iCs/>
        </w:rPr>
        <w:t>. This is undesirable, given that corporate Commonwealth entities have</w:t>
      </w:r>
      <w:r w:rsidR="007B1A6A" w:rsidRPr="00AB4C6A">
        <w:rPr>
          <w:iCs/>
        </w:rPr>
        <w:t xml:space="preserve"> differ</w:t>
      </w:r>
      <w:r w:rsidR="007B1A6A">
        <w:rPr>
          <w:iCs/>
        </w:rPr>
        <w:t>ing</w:t>
      </w:r>
      <w:r w:rsidR="007B1A6A" w:rsidRPr="00AB4C6A">
        <w:rPr>
          <w:iCs/>
        </w:rPr>
        <w:t xml:space="preserve"> </w:t>
      </w:r>
      <w:r w:rsidR="007B1A6A" w:rsidRPr="00AB4C6A">
        <w:t>responsibilities and compliance obligations</w:t>
      </w:r>
      <w:r w:rsidR="007B1A6A">
        <w:t xml:space="preserve">, </w:t>
      </w:r>
      <w:r w:rsidR="00B2465E">
        <w:t>and in the majority of cases are not subject to</w:t>
      </w:r>
      <w:r w:rsidR="007B1A6A">
        <w:t xml:space="preserve"> the Commonwealth Procurement Rules</w:t>
      </w:r>
      <w:r w:rsidR="007B1A6A" w:rsidRPr="00AB4C6A">
        <w:rPr>
          <w:iCs/>
        </w:rPr>
        <w:t xml:space="preserve">. </w:t>
      </w:r>
    </w:p>
    <w:p w:rsidR="003124E7" w:rsidRDefault="003124E7" w:rsidP="003124E7">
      <w:pPr>
        <w:autoSpaceDE w:val="0"/>
        <w:autoSpaceDN w:val="0"/>
        <w:adjustRightInd w:val="0"/>
        <w:jc w:val="center"/>
        <w:rPr>
          <w:sz w:val="40"/>
          <w:szCs w:val="40"/>
        </w:rPr>
      </w:pPr>
      <w:r>
        <w:rPr>
          <w:sz w:val="40"/>
          <w:szCs w:val="40"/>
        </w:rPr>
        <w:lastRenderedPageBreak/>
        <w:t xml:space="preserve">Senate Reference Finance and Public Administration Committee Review of the Senate Order </w:t>
      </w:r>
      <w:r w:rsidRPr="001F2A28">
        <w:rPr>
          <w:sz w:val="40"/>
          <w:szCs w:val="40"/>
        </w:rPr>
        <w:t>Recommendations</w:t>
      </w:r>
      <w:r>
        <w:rPr>
          <w:sz w:val="40"/>
          <w:szCs w:val="40"/>
        </w:rPr>
        <w:t xml:space="preserve"> and Government </w:t>
      </w:r>
      <w:r w:rsidR="00517F63">
        <w:rPr>
          <w:sz w:val="40"/>
          <w:szCs w:val="40"/>
        </w:rPr>
        <w:t>Response</w:t>
      </w:r>
    </w:p>
    <w:p w:rsidR="003124E7" w:rsidRDefault="003124E7" w:rsidP="003124E7">
      <w:pPr>
        <w:pStyle w:val="NoSpacing"/>
      </w:pPr>
    </w:p>
    <w:tbl>
      <w:tblPr>
        <w:tblStyle w:val="TableGrid"/>
        <w:tblW w:w="0" w:type="auto"/>
        <w:tblLook w:val="04A0"/>
      </w:tblPr>
      <w:tblGrid>
        <w:gridCol w:w="5778"/>
        <w:gridCol w:w="8396"/>
      </w:tblGrid>
      <w:tr w:rsidR="003124E7" w:rsidTr="003124E7">
        <w:tc>
          <w:tcPr>
            <w:tcW w:w="5778" w:type="dxa"/>
          </w:tcPr>
          <w:p w:rsidR="003124E7" w:rsidRPr="008E3F78" w:rsidRDefault="003124E7" w:rsidP="003124E7">
            <w:pPr>
              <w:autoSpaceDE w:val="0"/>
              <w:autoSpaceDN w:val="0"/>
              <w:adjustRightInd w:val="0"/>
              <w:spacing w:before="120" w:after="120"/>
              <w:rPr>
                <w:b/>
                <w:bCs/>
                <w:sz w:val="24"/>
                <w:szCs w:val="24"/>
              </w:rPr>
            </w:pPr>
            <w:r w:rsidRPr="008E3F78">
              <w:rPr>
                <w:b/>
                <w:bCs/>
                <w:sz w:val="24"/>
                <w:szCs w:val="24"/>
              </w:rPr>
              <w:t>Recommendation</w:t>
            </w:r>
          </w:p>
        </w:tc>
        <w:tc>
          <w:tcPr>
            <w:tcW w:w="8396" w:type="dxa"/>
          </w:tcPr>
          <w:p w:rsidR="003124E7" w:rsidRPr="008E3F78" w:rsidRDefault="003124E7" w:rsidP="003124E7">
            <w:pPr>
              <w:autoSpaceDE w:val="0"/>
              <w:autoSpaceDN w:val="0"/>
              <w:adjustRightInd w:val="0"/>
              <w:spacing w:before="120" w:after="120"/>
              <w:rPr>
                <w:b/>
                <w:bCs/>
                <w:sz w:val="24"/>
                <w:szCs w:val="24"/>
              </w:rPr>
            </w:pPr>
            <w:r w:rsidRPr="008E3F78">
              <w:rPr>
                <w:b/>
                <w:bCs/>
                <w:sz w:val="24"/>
                <w:szCs w:val="24"/>
              </w:rPr>
              <w:t>Government Response</w:t>
            </w:r>
          </w:p>
        </w:tc>
      </w:tr>
      <w:tr w:rsidR="003124E7" w:rsidTr="003124E7">
        <w:tc>
          <w:tcPr>
            <w:tcW w:w="5778" w:type="dxa"/>
          </w:tcPr>
          <w:p w:rsidR="003124E7" w:rsidRPr="008E3F78" w:rsidRDefault="003124E7" w:rsidP="003124E7">
            <w:pPr>
              <w:autoSpaceDE w:val="0"/>
              <w:autoSpaceDN w:val="0"/>
              <w:adjustRightInd w:val="0"/>
              <w:spacing w:before="60" w:after="60"/>
              <w:rPr>
                <w:sz w:val="24"/>
                <w:szCs w:val="24"/>
              </w:rPr>
            </w:pPr>
            <w:r w:rsidRPr="008E3F78">
              <w:rPr>
                <w:sz w:val="24"/>
                <w:szCs w:val="24"/>
              </w:rPr>
              <w:t xml:space="preserve">3.12 </w:t>
            </w:r>
            <w:r w:rsidR="00FA5CBE">
              <w:rPr>
                <w:sz w:val="24"/>
                <w:szCs w:val="24"/>
              </w:rPr>
              <w:t xml:space="preserve">- </w:t>
            </w:r>
            <w:r w:rsidRPr="008E3F78">
              <w:rPr>
                <w:sz w:val="24"/>
                <w:szCs w:val="24"/>
              </w:rPr>
              <w:t>The committee recommends the Department of Finance provide to the committee by 1 September 2014:</w:t>
            </w:r>
          </w:p>
          <w:p w:rsidR="003124E7" w:rsidRPr="008E3F78" w:rsidRDefault="003124E7" w:rsidP="003124E7">
            <w:pPr>
              <w:pStyle w:val="ListParagraph"/>
              <w:numPr>
                <w:ilvl w:val="0"/>
                <w:numId w:val="1"/>
              </w:numPr>
              <w:autoSpaceDE w:val="0"/>
              <w:autoSpaceDN w:val="0"/>
              <w:adjustRightInd w:val="0"/>
              <w:spacing w:before="60" w:after="60" w:line="240" w:lineRule="auto"/>
              <w:rPr>
                <w:rFonts w:ascii="Times New Roman" w:hAnsi="Times New Roman" w:cs="Times New Roman"/>
                <w:sz w:val="24"/>
                <w:szCs w:val="24"/>
              </w:rPr>
            </w:pPr>
            <w:r w:rsidRPr="008E3F78">
              <w:rPr>
                <w:rFonts w:ascii="Times New Roman" w:hAnsi="Times New Roman" w:cs="Times New Roman"/>
                <w:sz w:val="24"/>
                <w:szCs w:val="24"/>
              </w:rPr>
              <w:t xml:space="preserve">a link to a prototype of the </w:t>
            </w:r>
            <w:proofErr w:type="spellStart"/>
            <w:r w:rsidRPr="008E3F78">
              <w:rPr>
                <w:rFonts w:ascii="Times New Roman" w:hAnsi="Times New Roman" w:cs="Times New Roman"/>
                <w:sz w:val="24"/>
                <w:szCs w:val="24"/>
              </w:rPr>
              <w:t>AusTender</w:t>
            </w:r>
            <w:proofErr w:type="spellEnd"/>
            <w:r w:rsidRPr="008E3F78">
              <w:rPr>
                <w:rFonts w:ascii="Times New Roman" w:hAnsi="Times New Roman" w:cs="Times New Roman"/>
                <w:sz w:val="24"/>
                <w:szCs w:val="24"/>
              </w:rPr>
              <w:t xml:space="preserve"> website with agencies' compiled Senate order reports for the </w:t>
            </w:r>
            <w:r w:rsidR="00FA5CBE">
              <w:rPr>
                <w:rFonts w:ascii="Times New Roman" w:hAnsi="Times New Roman" w:cs="Times New Roman"/>
                <w:sz w:val="24"/>
                <w:szCs w:val="24"/>
              </w:rPr>
              <w:br/>
            </w:r>
            <w:r w:rsidRPr="008E3F78">
              <w:rPr>
                <w:rFonts w:ascii="Times New Roman" w:hAnsi="Times New Roman" w:cs="Times New Roman"/>
                <w:sz w:val="24"/>
                <w:szCs w:val="24"/>
              </w:rPr>
              <w:t>2013-14 financial year; and</w:t>
            </w:r>
          </w:p>
          <w:p w:rsidR="003124E7" w:rsidRPr="008E3F78" w:rsidRDefault="003124E7" w:rsidP="003124E7">
            <w:pPr>
              <w:pStyle w:val="ListParagraph"/>
              <w:numPr>
                <w:ilvl w:val="0"/>
                <w:numId w:val="1"/>
              </w:numPr>
              <w:autoSpaceDE w:val="0"/>
              <w:autoSpaceDN w:val="0"/>
              <w:adjustRightInd w:val="0"/>
              <w:spacing w:before="60" w:after="60" w:line="240" w:lineRule="auto"/>
              <w:rPr>
                <w:rFonts w:ascii="Times New Roman" w:hAnsi="Times New Roman" w:cs="Times New Roman"/>
                <w:sz w:val="24"/>
                <w:szCs w:val="24"/>
              </w:rPr>
            </w:pPr>
            <w:proofErr w:type="gramStart"/>
            <w:r w:rsidRPr="008E3F78">
              <w:rPr>
                <w:rFonts w:ascii="Times New Roman" w:hAnsi="Times New Roman" w:cs="Times New Roman"/>
                <w:sz w:val="24"/>
                <w:szCs w:val="24"/>
              </w:rPr>
              <w:t>a</w:t>
            </w:r>
            <w:proofErr w:type="gramEnd"/>
            <w:r w:rsidRPr="008E3F78">
              <w:rPr>
                <w:rFonts w:ascii="Times New Roman" w:hAnsi="Times New Roman" w:cs="Times New Roman"/>
                <w:sz w:val="24"/>
                <w:szCs w:val="24"/>
              </w:rPr>
              <w:t xml:space="preserve"> copy of the revised version of Financial Management Guidance No. 8 </w:t>
            </w:r>
            <w:r w:rsidRPr="008E3F78">
              <w:rPr>
                <w:rFonts w:ascii="Times New Roman" w:hAnsi="Times New Roman" w:cs="Times New Roman"/>
                <w:i/>
                <w:iCs/>
                <w:sz w:val="24"/>
                <w:szCs w:val="24"/>
              </w:rPr>
              <w:t xml:space="preserve">Guidance on the Listing of Contract Details on the Internet (Meeting the Senate order on Departmental and Agency Contracts) </w:t>
            </w:r>
            <w:r w:rsidRPr="008E3F78">
              <w:rPr>
                <w:rFonts w:ascii="Times New Roman" w:hAnsi="Times New Roman" w:cs="Times New Roman"/>
                <w:sz w:val="24"/>
                <w:szCs w:val="24"/>
              </w:rPr>
              <w:t>in draft form.</w:t>
            </w:r>
          </w:p>
        </w:tc>
        <w:tc>
          <w:tcPr>
            <w:tcW w:w="8396" w:type="dxa"/>
          </w:tcPr>
          <w:p w:rsidR="003124E7" w:rsidRPr="008E3F78" w:rsidRDefault="003124E7" w:rsidP="003124E7">
            <w:pPr>
              <w:autoSpaceDE w:val="0"/>
              <w:autoSpaceDN w:val="0"/>
              <w:adjustRightInd w:val="0"/>
              <w:spacing w:before="60" w:after="60"/>
              <w:rPr>
                <w:sz w:val="24"/>
                <w:szCs w:val="24"/>
              </w:rPr>
            </w:pPr>
            <w:r w:rsidRPr="008E3F78">
              <w:rPr>
                <w:sz w:val="24"/>
                <w:szCs w:val="24"/>
              </w:rPr>
              <w:t xml:space="preserve">Supported. </w:t>
            </w:r>
            <w:proofErr w:type="spellStart"/>
            <w:r w:rsidRPr="008E3F78">
              <w:rPr>
                <w:sz w:val="24"/>
                <w:szCs w:val="24"/>
              </w:rPr>
              <w:t>AusTender</w:t>
            </w:r>
            <w:proofErr w:type="spellEnd"/>
            <w:r w:rsidRPr="008E3F78">
              <w:rPr>
                <w:sz w:val="24"/>
                <w:szCs w:val="24"/>
              </w:rPr>
              <w:t xml:space="preserve"> is the authoritative source of information on Australian Government procurement. Using </w:t>
            </w:r>
            <w:proofErr w:type="spellStart"/>
            <w:r w:rsidRPr="008E3F78">
              <w:rPr>
                <w:sz w:val="24"/>
                <w:szCs w:val="24"/>
              </w:rPr>
              <w:t>AusTender</w:t>
            </w:r>
            <w:proofErr w:type="spellEnd"/>
            <w:r w:rsidRPr="008E3F78">
              <w:rPr>
                <w:sz w:val="24"/>
                <w:szCs w:val="24"/>
              </w:rPr>
              <w:t xml:space="preserve"> data to meet the various reporting requirements of non-corporate Commonwealth entities will enhance the accuracy of public reporting while simplifying compliance. </w:t>
            </w:r>
          </w:p>
          <w:p w:rsidR="003124E7" w:rsidRPr="008E3F78" w:rsidRDefault="003124E7" w:rsidP="003124E7">
            <w:pPr>
              <w:pStyle w:val="NoSpacing"/>
              <w:spacing w:before="60" w:after="60"/>
              <w:rPr>
                <w:sz w:val="24"/>
                <w:szCs w:val="24"/>
              </w:rPr>
            </w:pPr>
          </w:p>
        </w:tc>
      </w:tr>
      <w:tr w:rsidR="003124E7" w:rsidTr="00EF5AE8">
        <w:tc>
          <w:tcPr>
            <w:tcW w:w="5778" w:type="dxa"/>
            <w:tcBorders>
              <w:bottom w:val="single" w:sz="4" w:space="0" w:color="auto"/>
            </w:tcBorders>
          </w:tcPr>
          <w:p w:rsidR="003124E7" w:rsidRPr="008E3F78" w:rsidRDefault="003124E7" w:rsidP="00CE5F0A">
            <w:pPr>
              <w:autoSpaceDE w:val="0"/>
              <w:autoSpaceDN w:val="0"/>
              <w:adjustRightInd w:val="0"/>
              <w:spacing w:before="60" w:after="60"/>
              <w:rPr>
                <w:sz w:val="24"/>
                <w:szCs w:val="24"/>
              </w:rPr>
            </w:pPr>
            <w:r w:rsidRPr="008E3F78">
              <w:rPr>
                <w:sz w:val="24"/>
                <w:szCs w:val="24"/>
              </w:rPr>
              <w:t xml:space="preserve">3.24 </w:t>
            </w:r>
            <w:r w:rsidR="00FA5CBE">
              <w:rPr>
                <w:sz w:val="24"/>
                <w:szCs w:val="24"/>
              </w:rPr>
              <w:t xml:space="preserve">- </w:t>
            </w:r>
            <w:r w:rsidRPr="008E3F78">
              <w:rPr>
                <w:sz w:val="24"/>
                <w:szCs w:val="24"/>
              </w:rPr>
              <w:t xml:space="preserve">The committee recommends the Department of Finance amend the title of the report in </w:t>
            </w:r>
            <w:proofErr w:type="spellStart"/>
            <w:r w:rsidRPr="008E3F78">
              <w:rPr>
                <w:sz w:val="24"/>
                <w:szCs w:val="24"/>
              </w:rPr>
              <w:t>AusTender</w:t>
            </w:r>
            <w:proofErr w:type="spellEnd"/>
            <w:r w:rsidRPr="008E3F78">
              <w:rPr>
                <w:sz w:val="24"/>
                <w:szCs w:val="24"/>
              </w:rPr>
              <w:t xml:space="preserve"> to 'Agency reports complying with the Senate order on procurement contracts and use of confidentiality provisions'.</w:t>
            </w:r>
          </w:p>
        </w:tc>
        <w:tc>
          <w:tcPr>
            <w:tcW w:w="8396" w:type="dxa"/>
            <w:tcBorders>
              <w:bottom w:val="single" w:sz="4" w:space="0" w:color="auto"/>
            </w:tcBorders>
          </w:tcPr>
          <w:p w:rsidR="003124E7" w:rsidRPr="008E3F78" w:rsidRDefault="009115B0" w:rsidP="003124E7">
            <w:pPr>
              <w:autoSpaceDE w:val="0"/>
              <w:autoSpaceDN w:val="0"/>
              <w:adjustRightInd w:val="0"/>
              <w:spacing w:before="60" w:after="60"/>
              <w:rPr>
                <w:sz w:val="24"/>
                <w:szCs w:val="24"/>
              </w:rPr>
            </w:pPr>
            <w:r w:rsidRPr="008E3F78">
              <w:rPr>
                <w:sz w:val="24"/>
                <w:szCs w:val="24"/>
              </w:rPr>
              <w:t xml:space="preserve">Supported. </w:t>
            </w:r>
            <w:r w:rsidR="003124E7" w:rsidRPr="008E3F78">
              <w:rPr>
                <w:sz w:val="24"/>
                <w:szCs w:val="24"/>
              </w:rPr>
              <w:t xml:space="preserve">The Department of Finance (Finance) will reflect the Committee’s preferred title of the report on </w:t>
            </w:r>
            <w:proofErr w:type="spellStart"/>
            <w:r w:rsidR="003124E7" w:rsidRPr="008E3F78">
              <w:rPr>
                <w:sz w:val="24"/>
                <w:szCs w:val="24"/>
              </w:rPr>
              <w:t>AusTender</w:t>
            </w:r>
            <w:proofErr w:type="spellEnd"/>
            <w:r w:rsidR="003124E7" w:rsidRPr="008E3F78">
              <w:rPr>
                <w:sz w:val="24"/>
                <w:szCs w:val="24"/>
              </w:rPr>
              <w:t xml:space="preserve">. </w:t>
            </w:r>
          </w:p>
          <w:p w:rsidR="003124E7" w:rsidRPr="008E3F78" w:rsidRDefault="003124E7" w:rsidP="003124E7">
            <w:pPr>
              <w:pStyle w:val="NoSpacing"/>
              <w:spacing w:before="60" w:after="60"/>
              <w:rPr>
                <w:sz w:val="24"/>
                <w:szCs w:val="24"/>
              </w:rPr>
            </w:pPr>
          </w:p>
        </w:tc>
      </w:tr>
      <w:tr w:rsidR="003124E7" w:rsidTr="00EF5AE8">
        <w:tc>
          <w:tcPr>
            <w:tcW w:w="5778" w:type="dxa"/>
            <w:tcBorders>
              <w:bottom w:val="nil"/>
            </w:tcBorders>
          </w:tcPr>
          <w:p w:rsidR="008740F1" w:rsidRDefault="003124E7" w:rsidP="008740F1">
            <w:pPr>
              <w:autoSpaceDE w:val="0"/>
              <w:autoSpaceDN w:val="0"/>
              <w:adjustRightInd w:val="0"/>
              <w:spacing w:before="60" w:after="60"/>
              <w:contextualSpacing/>
              <w:rPr>
                <w:sz w:val="24"/>
                <w:szCs w:val="24"/>
              </w:rPr>
            </w:pPr>
            <w:r w:rsidRPr="008E3F78">
              <w:rPr>
                <w:sz w:val="24"/>
                <w:szCs w:val="24"/>
              </w:rPr>
              <w:t xml:space="preserve">3.34 </w:t>
            </w:r>
            <w:r w:rsidR="00FA5CBE">
              <w:rPr>
                <w:sz w:val="24"/>
                <w:szCs w:val="24"/>
              </w:rPr>
              <w:t xml:space="preserve">- </w:t>
            </w:r>
            <w:r w:rsidRPr="008E3F78">
              <w:rPr>
                <w:sz w:val="24"/>
                <w:szCs w:val="24"/>
              </w:rPr>
              <w:t>The committee recommends that the Senate order be amended:</w:t>
            </w:r>
            <w:r w:rsidR="008740F1" w:rsidRPr="008E3F78">
              <w:rPr>
                <w:sz w:val="24"/>
                <w:szCs w:val="24"/>
              </w:rPr>
              <w:t xml:space="preserve"> </w:t>
            </w:r>
          </w:p>
          <w:p w:rsidR="003124E7" w:rsidRPr="008E3F78" w:rsidRDefault="008740F1" w:rsidP="008740F1">
            <w:pPr>
              <w:pStyle w:val="ListParagraph"/>
              <w:numPr>
                <w:ilvl w:val="0"/>
                <w:numId w:val="1"/>
              </w:numPr>
              <w:autoSpaceDE w:val="0"/>
              <w:autoSpaceDN w:val="0"/>
              <w:adjustRightInd w:val="0"/>
              <w:spacing w:before="60" w:after="60" w:line="240" w:lineRule="auto"/>
            </w:pPr>
            <w:r w:rsidRPr="008740F1">
              <w:rPr>
                <w:rFonts w:ascii="Times New Roman" w:hAnsi="Times New Roman" w:cs="Times New Roman"/>
                <w:sz w:val="24"/>
                <w:szCs w:val="24"/>
              </w:rPr>
              <w:t>to provide that, following the tabling of the Auditor-General's report pursuant to paragraph (5) of the Senate order in 2014, the Auditor-General conduct an audit of compliance with the Senate order biennially for the next four years with reports due no later than 30 September 2016 and 30 September 2018;</w:t>
            </w:r>
          </w:p>
        </w:tc>
        <w:tc>
          <w:tcPr>
            <w:tcW w:w="8396" w:type="dxa"/>
            <w:tcBorders>
              <w:bottom w:val="nil"/>
            </w:tcBorders>
          </w:tcPr>
          <w:p w:rsidR="003124E7" w:rsidRDefault="00202A0D" w:rsidP="008E3F78">
            <w:pPr>
              <w:autoSpaceDE w:val="0"/>
              <w:autoSpaceDN w:val="0"/>
              <w:adjustRightInd w:val="0"/>
              <w:spacing w:before="60" w:after="60"/>
              <w:rPr>
                <w:sz w:val="24"/>
                <w:szCs w:val="24"/>
              </w:rPr>
            </w:pPr>
            <w:r>
              <w:rPr>
                <w:sz w:val="24"/>
                <w:szCs w:val="24"/>
              </w:rPr>
              <w:t>Partially Supported</w:t>
            </w:r>
            <w:r w:rsidR="008740F1">
              <w:rPr>
                <w:sz w:val="24"/>
                <w:szCs w:val="24"/>
              </w:rPr>
              <w:t>: R</w:t>
            </w:r>
            <w:r w:rsidR="00517F63">
              <w:rPr>
                <w:sz w:val="24"/>
                <w:szCs w:val="24"/>
              </w:rPr>
              <w:t>efer below</w:t>
            </w:r>
            <w:r>
              <w:rPr>
                <w:sz w:val="24"/>
                <w:szCs w:val="24"/>
              </w:rPr>
              <w:t>.</w:t>
            </w:r>
          </w:p>
          <w:p w:rsidR="00F77FDF" w:rsidRPr="008E3F78" w:rsidRDefault="008740F1" w:rsidP="00584A05">
            <w:pPr>
              <w:autoSpaceDE w:val="0"/>
              <w:autoSpaceDN w:val="0"/>
              <w:adjustRightInd w:val="0"/>
              <w:spacing w:before="60" w:after="60"/>
              <w:rPr>
                <w:sz w:val="24"/>
                <w:szCs w:val="24"/>
              </w:rPr>
            </w:pPr>
            <w:r>
              <w:rPr>
                <w:sz w:val="24"/>
                <w:szCs w:val="24"/>
              </w:rPr>
              <w:br/>
            </w:r>
            <w:r w:rsidR="00584A05" w:rsidRPr="008740F1">
              <w:rPr>
                <w:sz w:val="24"/>
                <w:szCs w:val="24"/>
              </w:rPr>
              <w:t>Supported</w:t>
            </w:r>
            <w:r w:rsidR="00F77FDF" w:rsidRPr="008740F1">
              <w:rPr>
                <w:sz w:val="24"/>
                <w:szCs w:val="24"/>
              </w:rPr>
              <w:t>: The Auditor-General has indicated his support for this recommendation.</w:t>
            </w:r>
            <w:r w:rsidR="00F77FDF">
              <w:rPr>
                <w:sz w:val="24"/>
                <w:szCs w:val="24"/>
              </w:rPr>
              <w:t xml:space="preserve"> </w:t>
            </w:r>
          </w:p>
        </w:tc>
      </w:tr>
      <w:tr w:rsidR="00882976" w:rsidTr="00EF5AE8">
        <w:tc>
          <w:tcPr>
            <w:tcW w:w="5778" w:type="dxa"/>
            <w:tcBorders>
              <w:top w:val="nil"/>
              <w:bottom w:val="single" w:sz="4" w:space="0" w:color="auto"/>
            </w:tcBorders>
          </w:tcPr>
          <w:p w:rsidR="00882976" w:rsidRPr="008740F1" w:rsidRDefault="00882976" w:rsidP="008740F1">
            <w:pPr>
              <w:autoSpaceDE w:val="0"/>
              <w:autoSpaceDN w:val="0"/>
              <w:adjustRightInd w:val="0"/>
              <w:spacing w:before="60" w:after="60"/>
              <w:rPr>
                <w:sz w:val="24"/>
                <w:szCs w:val="24"/>
              </w:rPr>
            </w:pPr>
          </w:p>
        </w:tc>
        <w:tc>
          <w:tcPr>
            <w:tcW w:w="8396" w:type="dxa"/>
            <w:tcBorders>
              <w:top w:val="nil"/>
              <w:bottom w:val="single" w:sz="4" w:space="0" w:color="auto"/>
            </w:tcBorders>
          </w:tcPr>
          <w:p w:rsidR="00882976" w:rsidRPr="00F77FDF" w:rsidRDefault="00882976" w:rsidP="00EB045A">
            <w:pPr>
              <w:autoSpaceDE w:val="0"/>
              <w:autoSpaceDN w:val="0"/>
              <w:adjustRightInd w:val="0"/>
              <w:spacing w:before="60" w:after="60"/>
              <w:rPr>
                <w:strike/>
                <w:sz w:val="24"/>
                <w:szCs w:val="24"/>
              </w:rPr>
            </w:pPr>
          </w:p>
        </w:tc>
      </w:tr>
      <w:tr w:rsidR="003124E7" w:rsidTr="00EF5AE8">
        <w:tc>
          <w:tcPr>
            <w:tcW w:w="5778" w:type="dxa"/>
            <w:tcBorders>
              <w:bottom w:val="nil"/>
            </w:tcBorders>
          </w:tcPr>
          <w:p w:rsidR="003124E7" w:rsidRPr="008E3F78" w:rsidRDefault="003124E7" w:rsidP="003124E7">
            <w:pPr>
              <w:pStyle w:val="ListParagraph"/>
              <w:numPr>
                <w:ilvl w:val="0"/>
                <w:numId w:val="1"/>
              </w:numPr>
              <w:autoSpaceDE w:val="0"/>
              <w:autoSpaceDN w:val="0"/>
              <w:adjustRightInd w:val="0"/>
              <w:spacing w:before="60" w:after="60" w:line="240" w:lineRule="auto"/>
              <w:rPr>
                <w:rFonts w:ascii="Times New Roman" w:hAnsi="Times New Roman" w:cs="Times New Roman"/>
                <w:sz w:val="24"/>
                <w:szCs w:val="24"/>
              </w:rPr>
            </w:pPr>
            <w:r w:rsidRPr="008E3F78">
              <w:rPr>
                <w:rFonts w:ascii="Times New Roman" w:hAnsi="Times New Roman" w:cs="Times New Roman"/>
                <w:sz w:val="24"/>
                <w:szCs w:val="24"/>
              </w:rPr>
              <w:lastRenderedPageBreak/>
              <w:t xml:space="preserve">to provide that in the letter of advice tabled pursuant to paragraph (1) of the Senate order, that Ministers must certify that none of the contracts included in the list contain inappropriate confidentiality provisions as measured against the Department of Finance's guidance; </w:t>
            </w:r>
          </w:p>
        </w:tc>
        <w:tc>
          <w:tcPr>
            <w:tcW w:w="8396" w:type="dxa"/>
            <w:tcBorders>
              <w:bottom w:val="nil"/>
            </w:tcBorders>
          </w:tcPr>
          <w:p w:rsidR="00E239C9" w:rsidRPr="008E3F78" w:rsidRDefault="003124E7" w:rsidP="00AC2C51">
            <w:pPr>
              <w:autoSpaceDE w:val="0"/>
              <w:autoSpaceDN w:val="0"/>
              <w:adjustRightInd w:val="0"/>
              <w:rPr>
                <w:sz w:val="24"/>
                <w:szCs w:val="24"/>
              </w:rPr>
            </w:pPr>
            <w:r w:rsidRPr="00202A0D">
              <w:rPr>
                <w:sz w:val="24"/>
                <w:szCs w:val="24"/>
              </w:rPr>
              <w:t xml:space="preserve">Not supported. </w:t>
            </w:r>
            <w:r w:rsidR="00EB045A">
              <w:rPr>
                <w:sz w:val="24"/>
                <w:szCs w:val="24"/>
              </w:rPr>
              <w:t>C</w:t>
            </w:r>
            <w:r w:rsidR="00E239C9" w:rsidRPr="00202A0D">
              <w:rPr>
                <w:sz w:val="24"/>
                <w:szCs w:val="24"/>
              </w:rPr>
              <w:t xml:space="preserve">ertification </w:t>
            </w:r>
            <w:r w:rsidR="00517F63">
              <w:rPr>
                <w:sz w:val="24"/>
                <w:szCs w:val="24"/>
              </w:rPr>
              <w:t xml:space="preserve">may </w:t>
            </w:r>
            <w:r w:rsidR="00E239C9" w:rsidRPr="00202A0D">
              <w:rPr>
                <w:sz w:val="24"/>
                <w:szCs w:val="24"/>
              </w:rPr>
              <w:t xml:space="preserve">enhance </w:t>
            </w:r>
            <w:r w:rsidR="007B1A6A" w:rsidRPr="00202A0D">
              <w:rPr>
                <w:sz w:val="24"/>
                <w:szCs w:val="24"/>
              </w:rPr>
              <w:t>entities</w:t>
            </w:r>
            <w:r w:rsidR="007B1A6A">
              <w:rPr>
                <w:sz w:val="24"/>
                <w:szCs w:val="24"/>
              </w:rPr>
              <w:t>’</w:t>
            </w:r>
            <w:r w:rsidR="007B1A6A" w:rsidRPr="00202A0D">
              <w:rPr>
                <w:sz w:val="24"/>
                <w:szCs w:val="24"/>
              </w:rPr>
              <w:t xml:space="preserve"> </w:t>
            </w:r>
            <w:r w:rsidR="00E239C9" w:rsidRPr="00202A0D">
              <w:rPr>
                <w:sz w:val="24"/>
                <w:szCs w:val="24"/>
              </w:rPr>
              <w:t>compliance</w:t>
            </w:r>
            <w:r w:rsidR="007B1A6A">
              <w:rPr>
                <w:sz w:val="24"/>
                <w:szCs w:val="24"/>
              </w:rPr>
              <w:t xml:space="preserve"> with the Senate Order.</w:t>
            </w:r>
            <w:r w:rsidR="00E239C9" w:rsidRPr="00202A0D">
              <w:rPr>
                <w:sz w:val="24"/>
                <w:szCs w:val="24"/>
              </w:rPr>
              <w:t xml:space="preserve"> </w:t>
            </w:r>
            <w:r w:rsidR="00517F63">
              <w:rPr>
                <w:sz w:val="24"/>
                <w:szCs w:val="24"/>
              </w:rPr>
              <w:t>However, a</w:t>
            </w:r>
            <w:r w:rsidR="00E239C9" w:rsidRPr="00202A0D">
              <w:rPr>
                <w:sz w:val="24"/>
                <w:szCs w:val="24"/>
              </w:rPr>
              <w:t>dditional review</w:t>
            </w:r>
            <w:r w:rsidR="007B1A6A">
              <w:rPr>
                <w:sz w:val="24"/>
                <w:szCs w:val="24"/>
              </w:rPr>
              <w:t xml:space="preserve"> processes</w:t>
            </w:r>
            <w:r w:rsidR="00FA5CBE">
              <w:rPr>
                <w:sz w:val="24"/>
                <w:szCs w:val="24"/>
              </w:rPr>
              <w:t xml:space="preserve"> will </w:t>
            </w:r>
            <w:r w:rsidR="007B1A6A">
              <w:rPr>
                <w:sz w:val="24"/>
                <w:szCs w:val="24"/>
              </w:rPr>
              <w:t>involv</w:t>
            </w:r>
            <w:r w:rsidR="00FA5CBE">
              <w:rPr>
                <w:sz w:val="24"/>
                <w:szCs w:val="24"/>
              </w:rPr>
              <w:t>e</w:t>
            </w:r>
            <w:r w:rsidR="007B1A6A">
              <w:rPr>
                <w:sz w:val="24"/>
                <w:szCs w:val="24"/>
              </w:rPr>
              <w:t xml:space="preserve"> costly external providers</w:t>
            </w:r>
            <w:r w:rsidR="00E239C9" w:rsidRPr="00202A0D">
              <w:rPr>
                <w:sz w:val="24"/>
                <w:szCs w:val="24"/>
              </w:rPr>
              <w:t xml:space="preserve"> or longer internal assurance or clearance process</w:t>
            </w:r>
            <w:r w:rsidR="007B1A6A">
              <w:rPr>
                <w:sz w:val="24"/>
                <w:szCs w:val="24"/>
              </w:rPr>
              <w:t xml:space="preserve">es, </w:t>
            </w:r>
            <w:r w:rsidR="00FA5CBE">
              <w:rPr>
                <w:sz w:val="24"/>
                <w:szCs w:val="24"/>
              </w:rPr>
              <w:t xml:space="preserve">and </w:t>
            </w:r>
            <w:r w:rsidR="007B1A6A">
              <w:rPr>
                <w:sz w:val="24"/>
                <w:szCs w:val="24"/>
              </w:rPr>
              <w:t>will place an additional burden on entities</w:t>
            </w:r>
            <w:r w:rsidR="00E239C9" w:rsidRPr="00202A0D">
              <w:rPr>
                <w:sz w:val="24"/>
                <w:szCs w:val="24"/>
              </w:rPr>
              <w:t>.</w:t>
            </w:r>
            <w:r w:rsidR="009825D2" w:rsidRPr="00202A0D">
              <w:rPr>
                <w:sz w:val="24"/>
                <w:szCs w:val="24"/>
              </w:rPr>
              <w:t xml:space="preserve"> </w:t>
            </w:r>
            <w:r w:rsidR="00EB045A" w:rsidRPr="008740F1">
              <w:rPr>
                <w:sz w:val="24"/>
                <w:szCs w:val="24"/>
              </w:rPr>
              <w:t>Further, d</w:t>
            </w:r>
            <w:r w:rsidR="009825D2" w:rsidRPr="008740F1">
              <w:rPr>
                <w:sz w:val="24"/>
                <w:szCs w:val="24"/>
              </w:rPr>
              <w:t>ata from ANAO’s most recent 2012</w:t>
            </w:r>
            <w:r w:rsidR="009825D2" w:rsidRPr="008740F1">
              <w:rPr>
                <w:sz w:val="24"/>
                <w:szCs w:val="24"/>
              </w:rPr>
              <w:noBreakHyphen/>
              <w:t xml:space="preserve">13 Senate Order audit suggests that </w:t>
            </w:r>
            <w:r w:rsidR="00AC2C51" w:rsidRPr="008740F1">
              <w:rPr>
                <w:sz w:val="24"/>
                <w:szCs w:val="24"/>
              </w:rPr>
              <w:t>the proportion of contracts reported as containing confidentiality provisions across Government agencies is low. Only 4 per cent of contracts were reported as containing confidentiality provisions in the 2012 calendar year Senate Order listings.</w:t>
            </w:r>
            <w:r w:rsidR="00AC2C51">
              <w:rPr>
                <w:sz w:val="24"/>
                <w:szCs w:val="24"/>
              </w:rPr>
              <w:t xml:space="preserve"> </w:t>
            </w:r>
            <w:r w:rsidR="00EB045A" w:rsidRPr="00F77FDF">
              <w:rPr>
                <w:sz w:val="24"/>
                <w:szCs w:val="24"/>
              </w:rPr>
              <w:t>Therefore, t</w:t>
            </w:r>
            <w:r w:rsidR="009825D2" w:rsidRPr="00F77FDF">
              <w:rPr>
                <w:sz w:val="24"/>
                <w:szCs w:val="24"/>
              </w:rPr>
              <w:t xml:space="preserve">he benefits of the </w:t>
            </w:r>
            <w:r w:rsidR="00EB045A" w:rsidRPr="00F77FDF">
              <w:rPr>
                <w:sz w:val="24"/>
                <w:szCs w:val="24"/>
              </w:rPr>
              <w:t>c</w:t>
            </w:r>
            <w:r w:rsidR="009825D2" w:rsidRPr="00F77FDF">
              <w:rPr>
                <w:sz w:val="24"/>
                <w:szCs w:val="24"/>
              </w:rPr>
              <w:t xml:space="preserve">ommittee’s proposed changes </w:t>
            </w:r>
            <w:r w:rsidR="008E3F78" w:rsidRPr="00F77FDF">
              <w:rPr>
                <w:sz w:val="24"/>
                <w:szCs w:val="24"/>
              </w:rPr>
              <w:t>appear to</w:t>
            </w:r>
            <w:r w:rsidR="009825D2" w:rsidRPr="00F77FDF">
              <w:rPr>
                <w:sz w:val="24"/>
                <w:szCs w:val="24"/>
              </w:rPr>
              <w:t xml:space="preserve"> be outweighed by the</w:t>
            </w:r>
            <w:r w:rsidR="00FA5CBE" w:rsidRPr="00F77FDF">
              <w:rPr>
                <w:sz w:val="24"/>
                <w:szCs w:val="24"/>
              </w:rPr>
              <w:t xml:space="preserve"> additional</w:t>
            </w:r>
            <w:r w:rsidR="009825D2" w:rsidRPr="00F77FDF">
              <w:rPr>
                <w:sz w:val="24"/>
                <w:szCs w:val="24"/>
              </w:rPr>
              <w:t xml:space="preserve"> costs</w:t>
            </w:r>
            <w:r w:rsidR="009825D2" w:rsidRPr="00AC2C51">
              <w:rPr>
                <w:sz w:val="24"/>
                <w:szCs w:val="24"/>
              </w:rPr>
              <w:t>.</w:t>
            </w:r>
          </w:p>
          <w:p w:rsidR="00A22CEB" w:rsidRPr="008E3F78" w:rsidRDefault="00A22CEB" w:rsidP="00E239C9">
            <w:pPr>
              <w:autoSpaceDE w:val="0"/>
              <w:autoSpaceDN w:val="0"/>
              <w:adjustRightInd w:val="0"/>
              <w:rPr>
                <w:sz w:val="24"/>
                <w:szCs w:val="24"/>
              </w:rPr>
            </w:pPr>
          </w:p>
          <w:p w:rsidR="00D14C88" w:rsidRDefault="00EB045A" w:rsidP="009825D2">
            <w:pPr>
              <w:autoSpaceDE w:val="0"/>
              <w:autoSpaceDN w:val="0"/>
              <w:adjustRightInd w:val="0"/>
              <w:rPr>
                <w:sz w:val="24"/>
                <w:szCs w:val="24"/>
              </w:rPr>
            </w:pPr>
            <w:r>
              <w:rPr>
                <w:sz w:val="24"/>
                <w:szCs w:val="24"/>
              </w:rPr>
              <w:t>T</w:t>
            </w:r>
            <w:r w:rsidR="00E239C9" w:rsidRPr="008E3F78">
              <w:rPr>
                <w:sz w:val="24"/>
                <w:szCs w:val="24"/>
              </w:rPr>
              <w:t xml:space="preserve">he Government considers the </w:t>
            </w:r>
            <w:r>
              <w:rPr>
                <w:sz w:val="24"/>
                <w:szCs w:val="24"/>
              </w:rPr>
              <w:t>c</w:t>
            </w:r>
            <w:r w:rsidR="00E239C9" w:rsidRPr="008E3F78">
              <w:rPr>
                <w:sz w:val="24"/>
                <w:szCs w:val="24"/>
              </w:rPr>
              <w:t xml:space="preserve">ommittee’s recommendations to simplify the </w:t>
            </w:r>
            <w:r>
              <w:rPr>
                <w:sz w:val="24"/>
                <w:szCs w:val="24"/>
              </w:rPr>
              <w:t xml:space="preserve">Senate Order reporting </w:t>
            </w:r>
            <w:r w:rsidR="00E239C9" w:rsidRPr="008E3F78">
              <w:rPr>
                <w:sz w:val="24"/>
                <w:szCs w:val="24"/>
              </w:rPr>
              <w:t xml:space="preserve">requirement through </w:t>
            </w:r>
            <w:proofErr w:type="spellStart"/>
            <w:r w:rsidR="00E239C9" w:rsidRPr="008E3F78">
              <w:rPr>
                <w:sz w:val="24"/>
                <w:szCs w:val="24"/>
              </w:rPr>
              <w:t>AusTender</w:t>
            </w:r>
            <w:proofErr w:type="spellEnd"/>
            <w:r w:rsidR="00F77FDF">
              <w:rPr>
                <w:sz w:val="24"/>
                <w:szCs w:val="24"/>
              </w:rPr>
              <w:t xml:space="preserve"> and</w:t>
            </w:r>
            <w:r w:rsidR="00E239C9" w:rsidRPr="008E3F78">
              <w:rPr>
                <w:sz w:val="24"/>
                <w:szCs w:val="24"/>
              </w:rPr>
              <w:t xml:space="preserve"> the revision of guidance </w:t>
            </w:r>
            <w:r>
              <w:rPr>
                <w:sz w:val="24"/>
                <w:szCs w:val="24"/>
              </w:rPr>
              <w:t>as better initiatives for</w:t>
            </w:r>
            <w:r w:rsidR="00E239C9" w:rsidRPr="008E3F78">
              <w:rPr>
                <w:sz w:val="24"/>
                <w:szCs w:val="24"/>
              </w:rPr>
              <w:t xml:space="preserve"> enhancing compliance</w:t>
            </w:r>
            <w:r>
              <w:rPr>
                <w:sz w:val="24"/>
                <w:szCs w:val="24"/>
              </w:rPr>
              <w:t>.</w:t>
            </w:r>
            <w:r w:rsidR="00E239C9" w:rsidRPr="008E3F78">
              <w:rPr>
                <w:sz w:val="24"/>
                <w:szCs w:val="24"/>
              </w:rPr>
              <w:t xml:space="preserve"> </w:t>
            </w:r>
            <w:r w:rsidR="00323403">
              <w:rPr>
                <w:sz w:val="24"/>
                <w:szCs w:val="24"/>
              </w:rPr>
              <w:t xml:space="preserve"> </w:t>
            </w:r>
          </w:p>
          <w:p w:rsidR="00EF5AE8" w:rsidRPr="008E3F78" w:rsidRDefault="00EF5AE8" w:rsidP="009825D2">
            <w:pPr>
              <w:autoSpaceDE w:val="0"/>
              <w:autoSpaceDN w:val="0"/>
              <w:adjustRightInd w:val="0"/>
              <w:rPr>
                <w:sz w:val="24"/>
                <w:szCs w:val="24"/>
              </w:rPr>
            </w:pPr>
          </w:p>
        </w:tc>
      </w:tr>
      <w:tr w:rsidR="003124E7" w:rsidTr="00EF5AE8">
        <w:tc>
          <w:tcPr>
            <w:tcW w:w="5778" w:type="dxa"/>
            <w:tcBorders>
              <w:top w:val="nil"/>
              <w:bottom w:val="nil"/>
            </w:tcBorders>
          </w:tcPr>
          <w:p w:rsidR="003124E7" w:rsidRPr="008E3F78" w:rsidRDefault="003124E7" w:rsidP="003124E7">
            <w:pPr>
              <w:pStyle w:val="ListParagraph"/>
              <w:numPr>
                <w:ilvl w:val="0"/>
                <w:numId w:val="1"/>
              </w:numPr>
              <w:autoSpaceDE w:val="0"/>
              <w:autoSpaceDN w:val="0"/>
              <w:adjustRightInd w:val="0"/>
              <w:spacing w:before="60" w:after="60" w:line="240" w:lineRule="auto"/>
              <w:rPr>
                <w:rFonts w:ascii="Times New Roman" w:hAnsi="Times New Roman" w:cs="Times New Roman"/>
                <w:sz w:val="24"/>
                <w:szCs w:val="24"/>
              </w:rPr>
            </w:pPr>
            <w:r w:rsidRPr="008E3F78">
              <w:rPr>
                <w:rFonts w:ascii="Times New Roman" w:hAnsi="Times New Roman" w:cs="Times New Roman"/>
                <w:sz w:val="24"/>
                <w:szCs w:val="24"/>
              </w:rPr>
              <w:t xml:space="preserve">to reflect legislative changes as a result of the </w:t>
            </w:r>
            <w:r w:rsidR="0076129C" w:rsidRPr="0076129C">
              <w:rPr>
                <w:rFonts w:ascii="Times New Roman" w:hAnsi="Times New Roman" w:cs="Times New Roman"/>
                <w:i/>
                <w:sz w:val="24"/>
                <w:szCs w:val="24"/>
              </w:rPr>
              <w:t>Public Governance Performance and Accountability Act 2013</w:t>
            </w:r>
            <w:r w:rsidRPr="008E3F78">
              <w:rPr>
                <w:rFonts w:ascii="Times New Roman" w:hAnsi="Times New Roman" w:cs="Times New Roman"/>
                <w:sz w:val="24"/>
                <w:szCs w:val="24"/>
              </w:rPr>
              <w:t>, so the Senate order applies to Commonwealth entities; and</w:t>
            </w:r>
          </w:p>
          <w:p w:rsidR="003124E7" w:rsidRPr="008E3F78" w:rsidRDefault="003124E7" w:rsidP="003124E7">
            <w:pPr>
              <w:pStyle w:val="NoSpacing"/>
              <w:spacing w:before="60" w:after="60"/>
              <w:rPr>
                <w:sz w:val="24"/>
                <w:szCs w:val="24"/>
              </w:rPr>
            </w:pPr>
          </w:p>
        </w:tc>
        <w:tc>
          <w:tcPr>
            <w:tcW w:w="8396" w:type="dxa"/>
            <w:tcBorders>
              <w:top w:val="nil"/>
              <w:bottom w:val="nil"/>
            </w:tcBorders>
          </w:tcPr>
          <w:p w:rsidR="003124E7" w:rsidRDefault="008E3F78" w:rsidP="008E3F78">
            <w:pPr>
              <w:autoSpaceDE w:val="0"/>
              <w:autoSpaceDN w:val="0"/>
              <w:rPr>
                <w:sz w:val="24"/>
                <w:szCs w:val="24"/>
              </w:rPr>
            </w:pPr>
            <w:r w:rsidRPr="008E3F78">
              <w:rPr>
                <w:sz w:val="24"/>
                <w:szCs w:val="24"/>
              </w:rPr>
              <w:t xml:space="preserve">Not supported. The </w:t>
            </w:r>
            <w:r w:rsidRPr="008E3F78">
              <w:rPr>
                <w:i/>
                <w:iCs/>
                <w:sz w:val="24"/>
                <w:szCs w:val="24"/>
              </w:rPr>
              <w:t>Public Governance, Performance and Accountability Act 2013</w:t>
            </w:r>
            <w:r w:rsidRPr="008E3F78">
              <w:rPr>
                <w:sz w:val="24"/>
                <w:szCs w:val="24"/>
              </w:rPr>
              <w:t xml:space="preserve"> was implemented to, among other things, modernise Commonwealth resource management and to address increasing regulatory and compliance burdens on Commonwealth entities.  While both corporate Commonwealth entities and </w:t>
            </w:r>
            <w:r w:rsidR="00FA5CBE">
              <w:rPr>
                <w:sz w:val="24"/>
                <w:szCs w:val="24"/>
              </w:rPr>
              <w:br/>
            </w:r>
            <w:r w:rsidRPr="008E3F78">
              <w:rPr>
                <w:sz w:val="24"/>
                <w:szCs w:val="24"/>
              </w:rPr>
              <w:t>non-corporate Commonwealth entities are captured under a single Act, entities retain differing responsibilities and compliance obligation</w:t>
            </w:r>
            <w:r>
              <w:rPr>
                <w:sz w:val="24"/>
                <w:szCs w:val="24"/>
              </w:rPr>
              <w:t>s</w:t>
            </w:r>
            <w:r w:rsidR="00FA5CBE">
              <w:rPr>
                <w:sz w:val="24"/>
                <w:szCs w:val="24"/>
              </w:rPr>
              <w:t xml:space="preserve"> including reporting requirements</w:t>
            </w:r>
            <w:r>
              <w:rPr>
                <w:sz w:val="24"/>
                <w:szCs w:val="24"/>
              </w:rPr>
              <w:t xml:space="preserve">. </w:t>
            </w:r>
            <w:r w:rsidRPr="008E3F78">
              <w:rPr>
                <w:sz w:val="24"/>
                <w:szCs w:val="24"/>
              </w:rPr>
              <w:t>This includes the majority of corporate Commonwealth entities not being bound by the Commonwealth Procurement Rules or the requirements to report procurement</w:t>
            </w:r>
            <w:r w:rsidR="00B2465E">
              <w:rPr>
                <w:sz w:val="24"/>
                <w:szCs w:val="24"/>
              </w:rPr>
              <w:t xml:space="preserve"> contract</w:t>
            </w:r>
            <w:r w:rsidRPr="008E3F78">
              <w:rPr>
                <w:sz w:val="24"/>
                <w:szCs w:val="24"/>
              </w:rPr>
              <w:t>s</w:t>
            </w:r>
            <w:r w:rsidR="00B2465E">
              <w:rPr>
                <w:sz w:val="24"/>
                <w:szCs w:val="24"/>
              </w:rPr>
              <w:t xml:space="preserve"> awarded</w:t>
            </w:r>
            <w:r w:rsidRPr="008E3F78">
              <w:rPr>
                <w:sz w:val="24"/>
                <w:szCs w:val="24"/>
              </w:rPr>
              <w:t xml:space="preserve"> on </w:t>
            </w:r>
            <w:proofErr w:type="spellStart"/>
            <w:r w:rsidRPr="008E3F78">
              <w:rPr>
                <w:sz w:val="24"/>
                <w:szCs w:val="24"/>
              </w:rPr>
              <w:t>AusTender</w:t>
            </w:r>
            <w:proofErr w:type="spellEnd"/>
            <w:r w:rsidRPr="008E3F78">
              <w:rPr>
                <w:sz w:val="24"/>
                <w:szCs w:val="24"/>
              </w:rPr>
              <w:t xml:space="preserve">.  Consistent with advice provided to the Committee in 2007, the Government does not support the extension of the Senate Order and considers its current scope to non-corporate Commonwealth entities </w:t>
            </w:r>
            <w:r w:rsidR="00B2465E">
              <w:rPr>
                <w:sz w:val="24"/>
                <w:szCs w:val="24"/>
              </w:rPr>
              <w:t xml:space="preserve">should </w:t>
            </w:r>
            <w:r w:rsidRPr="008E3F78">
              <w:rPr>
                <w:sz w:val="24"/>
                <w:szCs w:val="24"/>
              </w:rPr>
              <w:t>be retained.</w:t>
            </w:r>
          </w:p>
          <w:p w:rsidR="00EF5AE8" w:rsidRPr="008E3F78" w:rsidRDefault="00EF5AE8" w:rsidP="008E3F78">
            <w:pPr>
              <w:autoSpaceDE w:val="0"/>
              <w:autoSpaceDN w:val="0"/>
              <w:rPr>
                <w:sz w:val="24"/>
                <w:szCs w:val="24"/>
              </w:rPr>
            </w:pPr>
          </w:p>
        </w:tc>
      </w:tr>
      <w:tr w:rsidR="003124E7" w:rsidTr="00EF5AE8">
        <w:tc>
          <w:tcPr>
            <w:tcW w:w="5778" w:type="dxa"/>
            <w:tcBorders>
              <w:top w:val="nil"/>
            </w:tcBorders>
          </w:tcPr>
          <w:p w:rsidR="003124E7" w:rsidRPr="008E3F78" w:rsidRDefault="003124E7" w:rsidP="00EF5AE8">
            <w:pPr>
              <w:pStyle w:val="ListParagraph"/>
              <w:numPr>
                <w:ilvl w:val="0"/>
                <w:numId w:val="1"/>
              </w:numPr>
              <w:autoSpaceDE w:val="0"/>
              <w:autoSpaceDN w:val="0"/>
              <w:adjustRightInd w:val="0"/>
              <w:spacing w:before="60" w:after="60" w:line="240" w:lineRule="auto"/>
              <w:rPr>
                <w:sz w:val="24"/>
                <w:szCs w:val="24"/>
              </w:rPr>
            </w:pPr>
            <w:proofErr w:type="gramStart"/>
            <w:r w:rsidRPr="008E3F78">
              <w:rPr>
                <w:rFonts w:ascii="Times New Roman" w:hAnsi="Times New Roman" w:cs="Times New Roman"/>
                <w:sz w:val="24"/>
                <w:szCs w:val="24"/>
              </w:rPr>
              <w:t>with</w:t>
            </w:r>
            <w:proofErr w:type="gramEnd"/>
            <w:r w:rsidRPr="008E3F78">
              <w:rPr>
                <w:rFonts w:ascii="Times New Roman" w:hAnsi="Times New Roman" w:cs="Times New Roman"/>
                <w:sz w:val="24"/>
                <w:szCs w:val="24"/>
              </w:rPr>
              <w:t xml:space="preserve"> respect to any further technical aspects of the Senate order which are found, in consultation between the Clerk of the Senate</w:t>
            </w:r>
            <w:r w:rsidR="009115B0" w:rsidRPr="008E3F78">
              <w:rPr>
                <w:rFonts w:ascii="Times New Roman" w:hAnsi="Times New Roman" w:cs="Times New Roman"/>
                <w:sz w:val="24"/>
                <w:szCs w:val="24"/>
              </w:rPr>
              <w:t xml:space="preserve"> and the committee, to require </w:t>
            </w:r>
            <w:r w:rsidRPr="008E3F78">
              <w:rPr>
                <w:rFonts w:ascii="Times New Roman" w:hAnsi="Times New Roman" w:cs="Times New Roman"/>
                <w:sz w:val="24"/>
                <w:szCs w:val="24"/>
              </w:rPr>
              <w:t>amendment.</w:t>
            </w:r>
          </w:p>
        </w:tc>
        <w:tc>
          <w:tcPr>
            <w:tcW w:w="8396" w:type="dxa"/>
            <w:tcBorders>
              <w:top w:val="nil"/>
            </w:tcBorders>
          </w:tcPr>
          <w:p w:rsidR="003124E7" w:rsidRPr="008E3F78" w:rsidRDefault="003124E7" w:rsidP="003124E7">
            <w:pPr>
              <w:autoSpaceDE w:val="0"/>
              <w:autoSpaceDN w:val="0"/>
              <w:adjustRightInd w:val="0"/>
              <w:spacing w:before="60" w:after="60"/>
              <w:rPr>
                <w:sz w:val="24"/>
                <w:szCs w:val="24"/>
              </w:rPr>
            </w:pPr>
            <w:r w:rsidRPr="008E3F78">
              <w:rPr>
                <w:sz w:val="24"/>
                <w:szCs w:val="24"/>
              </w:rPr>
              <w:t>Supported.  Noting the responses to the other recommendations in relation to proposed changes to the Senate Order, the Government supports this recommendation.</w:t>
            </w:r>
          </w:p>
        </w:tc>
      </w:tr>
    </w:tbl>
    <w:p w:rsidR="001464E2" w:rsidRDefault="001464E2" w:rsidP="00202A0D"/>
    <w:sectPr w:rsidR="001464E2" w:rsidSect="00202A0D">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7D" w:rsidRDefault="00725A7D" w:rsidP="00202A0D">
      <w:r>
        <w:separator/>
      </w:r>
    </w:p>
  </w:endnote>
  <w:endnote w:type="continuationSeparator" w:id="0">
    <w:p w:rsidR="00725A7D" w:rsidRDefault="00725A7D" w:rsidP="00202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98772"/>
      <w:docPartObj>
        <w:docPartGallery w:val="Page Numbers (Bottom of Page)"/>
        <w:docPartUnique/>
      </w:docPartObj>
    </w:sdtPr>
    <w:sdtContent>
      <w:p w:rsidR="00F0630B" w:rsidRDefault="00280FA3">
        <w:pPr>
          <w:pStyle w:val="Footer"/>
          <w:jc w:val="right"/>
        </w:pPr>
        <w:r>
          <w:fldChar w:fldCharType="begin"/>
        </w:r>
        <w:r w:rsidR="00F77FDF">
          <w:instrText xml:space="preserve"> PAGE   \* MERGEFORMAT </w:instrText>
        </w:r>
        <w:r>
          <w:fldChar w:fldCharType="separate"/>
        </w:r>
        <w:r w:rsidR="00076763">
          <w:rPr>
            <w:noProof/>
          </w:rPr>
          <w:t>1</w:t>
        </w:r>
        <w:r>
          <w:rPr>
            <w:noProof/>
          </w:rPr>
          <w:fldChar w:fldCharType="end"/>
        </w:r>
      </w:p>
    </w:sdtContent>
  </w:sdt>
  <w:p w:rsidR="00F0630B" w:rsidRDefault="00F06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7D" w:rsidRDefault="00725A7D" w:rsidP="00202A0D">
      <w:r>
        <w:separator/>
      </w:r>
    </w:p>
  </w:footnote>
  <w:footnote w:type="continuationSeparator" w:id="0">
    <w:p w:rsidR="00725A7D" w:rsidRDefault="00725A7D" w:rsidP="00202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A0B3A"/>
    <w:multiLevelType w:val="hybridMultilevel"/>
    <w:tmpl w:val="CA56F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5132E42"/>
    <w:multiLevelType w:val="hybridMultilevel"/>
    <w:tmpl w:val="A524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rsids>
    <w:rsidRoot w:val="00836879"/>
    <w:rsid w:val="000016BE"/>
    <w:rsid w:val="00004750"/>
    <w:rsid w:val="00004BCE"/>
    <w:rsid w:val="00006CD1"/>
    <w:rsid w:val="00024BA8"/>
    <w:rsid w:val="000270B3"/>
    <w:rsid w:val="00027B1C"/>
    <w:rsid w:val="0003272F"/>
    <w:rsid w:val="0004418C"/>
    <w:rsid w:val="00044C71"/>
    <w:rsid w:val="00047D22"/>
    <w:rsid w:val="00047ECD"/>
    <w:rsid w:val="00050F59"/>
    <w:rsid w:val="00051503"/>
    <w:rsid w:val="00051806"/>
    <w:rsid w:val="00055FB6"/>
    <w:rsid w:val="00056501"/>
    <w:rsid w:val="00056B76"/>
    <w:rsid w:val="00057801"/>
    <w:rsid w:val="00064565"/>
    <w:rsid w:val="0006496B"/>
    <w:rsid w:val="000657BF"/>
    <w:rsid w:val="00070808"/>
    <w:rsid w:val="00076763"/>
    <w:rsid w:val="00080984"/>
    <w:rsid w:val="000873B5"/>
    <w:rsid w:val="000908A8"/>
    <w:rsid w:val="00090FD4"/>
    <w:rsid w:val="00091F5B"/>
    <w:rsid w:val="00093172"/>
    <w:rsid w:val="000A0E23"/>
    <w:rsid w:val="000A51AD"/>
    <w:rsid w:val="000B11AB"/>
    <w:rsid w:val="000B13BF"/>
    <w:rsid w:val="000B573A"/>
    <w:rsid w:val="000B66FA"/>
    <w:rsid w:val="000C4118"/>
    <w:rsid w:val="000C4EF3"/>
    <w:rsid w:val="000C54F5"/>
    <w:rsid w:val="000D7E3E"/>
    <w:rsid w:val="000E3039"/>
    <w:rsid w:val="000E31D5"/>
    <w:rsid w:val="000E646E"/>
    <w:rsid w:val="000F7185"/>
    <w:rsid w:val="00100814"/>
    <w:rsid w:val="00107663"/>
    <w:rsid w:val="001137CE"/>
    <w:rsid w:val="0011592B"/>
    <w:rsid w:val="001159F7"/>
    <w:rsid w:val="001211EA"/>
    <w:rsid w:val="0014500A"/>
    <w:rsid w:val="001464E2"/>
    <w:rsid w:val="0015414C"/>
    <w:rsid w:val="00165520"/>
    <w:rsid w:val="00174BDC"/>
    <w:rsid w:val="00175E7F"/>
    <w:rsid w:val="00184B7E"/>
    <w:rsid w:val="00184D19"/>
    <w:rsid w:val="001872AD"/>
    <w:rsid w:val="001975B2"/>
    <w:rsid w:val="0019792C"/>
    <w:rsid w:val="001A3DD0"/>
    <w:rsid w:val="001A5B8E"/>
    <w:rsid w:val="001A6FF6"/>
    <w:rsid w:val="001B2D07"/>
    <w:rsid w:val="001B4089"/>
    <w:rsid w:val="001B408C"/>
    <w:rsid w:val="001C5F94"/>
    <w:rsid w:val="001C66FB"/>
    <w:rsid w:val="001D0CE6"/>
    <w:rsid w:val="001D0DB2"/>
    <w:rsid w:val="001D14A7"/>
    <w:rsid w:val="001D475D"/>
    <w:rsid w:val="001D56DA"/>
    <w:rsid w:val="001E0838"/>
    <w:rsid w:val="001E15A5"/>
    <w:rsid w:val="001E2082"/>
    <w:rsid w:val="001E2BB4"/>
    <w:rsid w:val="001F7BEF"/>
    <w:rsid w:val="00200262"/>
    <w:rsid w:val="0020041C"/>
    <w:rsid w:val="00202A0D"/>
    <w:rsid w:val="00202CF5"/>
    <w:rsid w:val="00203D62"/>
    <w:rsid w:val="0020447B"/>
    <w:rsid w:val="00205DB0"/>
    <w:rsid w:val="00207265"/>
    <w:rsid w:val="00207A05"/>
    <w:rsid w:val="00212969"/>
    <w:rsid w:val="00212EE9"/>
    <w:rsid w:val="00213B2D"/>
    <w:rsid w:val="00215F56"/>
    <w:rsid w:val="00217BD5"/>
    <w:rsid w:val="0022304D"/>
    <w:rsid w:val="00224A2B"/>
    <w:rsid w:val="00224B88"/>
    <w:rsid w:val="00226A52"/>
    <w:rsid w:val="00232366"/>
    <w:rsid w:val="00232D7F"/>
    <w:rsid w:val="002330F6"/>
    <w:rsid w:val="0023529A"/>
    <w:rsid w:val="00235B87"/>
    <w:rsid w:val="002425FF"/>
    <w:rsid w:val="00243857"/>
    <w:rsid w:val="00244EAC"/>
    <w:rsid w:val="0024513E"/>
    <w:rsid w:val="002532D8"/>
    <w:rsid w:val="00254519"/>
    <w:rsid w:val="00256AE0"/>
    <w:rsid w:val="0026242F"/>
    <w:rsid w:val="00263099"/>
    <w:rsid w:val="00280FA3"/>
    <w:rsid w:val="002813A8"/>
    <w:rsid w:val="00282A3B"/>
    <w:rsid w:val="00286B91"/>
    <w:rsid w:val="00287D86"/>
    <w:rsid w:val="0029265F"/>
    <w:rsid w:val="00294ED9"/>
    <w:rsid w:val="002959EE"/>
    <w:rsid w:val="00297E73"/>
    <w:rsid w:val="002A031A"/>
    <w:rsid w:val="002A210B"/>
    <w:rsid w:val="002A650C"/>
    <w:rsid w:val="002B08ED"/>
    <w:rsid w:val="002B5D66"/>
    <w:rsid w:val="002B6C95"/>
    <w:rsid w:val="002D174F"/>
    <w:rsid w:val="002D30DA"/>
    <w:rsid w:val="002E0CCE"/>
    <w:rsid w:val="002E0D5D"/>
    <w:rsid w:val="002E20FF"/>
    <w:rsid w:val="002E24FA"/>
    <w:rsid w:val="002E5521"/>
    <w:rsid w:val="002E7D45"/>
    <w:rsid w:val="002F2A03"/>
    <w:rsid w:val="00300A80"/>
    <w:rsid w:val="00301BB0"/>
    <w:rsid w:val="00310191"/>
    <w:rsid w:val="0031153F"/>
    <w:rsid w:val="003124E7"/>
    <w:rsid w:val="00313CBE"/>
    <w:rsid w:val="00314E20"/>
    <w:rsid w:val="003233D9"/>
    <w:rsid w:val="00323403"/>
    <w:rsid w:val="00324787"/>
    <w:rsid w:val="00327FE0"/>
    <w:rsid w:val="0033430D"/>
    <w:rsid w:val="00334AF3"/>
    <w:rsid w:val="003367A6"/>
    <w:rsid w:val="00340DE4"/>
    <w:rsid w:val="00341F71"/>
    <w:rsid w:val="0034533B"/>
    <w:rsid w:val="00346B9B"/>
    <w:rsid w:val="00353110"/>
    <w:rsid w:val="003533C4"/>
    <w:rsid w:val="00353C6A"/>
    <w:rsid w:val="003563A1"/>
    <w:rsid w:val="00360A26"/>
    <w:rsid w:val="00365798"/>
    <w:rsid w:val="003711C1"/>
    <w:rsid w:val="0037510A"/>
    <w:rsid w:val="003873FF"/>
    <w:rsid w:val="00387CF2"/>
    <w:rsid w:val="003954A4"/>
    <w:rsid w:val="00397290"/>
    <w:rsid w:val="003A4413"/>
    <w:rsid w:val="003A46C1"/>
    <w:rsid w:val="003A4CC5"/>
    <w:rsid w:val="003A52F7"/>
    <w:rsid w:val="003A5D7F"/>
    <w:rsid w:val="003A6235"/>
    <w:rsid w:val="003B0C0E"/>
    <w:rsid w:val="003B41E2"/>
    <w:rsid w:val="003B4B71"/>
    <w:rsid w:val="003B5351"/>
    <w:rsid w:val="003B681E"/>
    <w:rsid w:val="003C031F"/>
    <w:rsid w:val="003C1965"/>
    <w:rsid w:val="003C1EDB"/>
    <w:rsid w:val="003C45DA"/>
    <w:rsid w:val="003C5492"/>
    <w:rsid w:val="003C69F0"/>
    <w:rsid w:val="003C6FBD"/>
    <w:rsid w:val="003D3906"/>
    <w:rsid w:val="003D45D1"/>
    <w:rsid w:val="003D550B"/>
    <w:rsid w:val="003D55B7"/>
    <w:rsid w:val="003E1654"/>
    <w:rsid w:val="003E57A8"/>
    <w:rsid w:val="003E5EB0"/>
    <w:rsid w:val="003E6DAF"/>
    <w:rsid w:val="003E75B6"/>
    <w:rsid w:val="003F0820"/>
    <w:rsid w:val="003F2F7F"/>
    <w:rsid w:val="003F4887"/>
    <w:rsid w:val="003F5B09"/>
    <w:rsid w:val="00403937"/>
    <w:rsid w:val="00403C39"/>
    <w:rsid w:val="0040429C"/>
    <w:rsid w:val="00406F28"/>
    <w:rsid w:val="0041397D"/>
    <w:rsid w:val="0041687D"/>
    <w:rsid w:val="00423684"/>
    <w:rsid w:val="00424CD5"/>
    <w:rsid w:val="00425517"/>
    <w:rsid w:val="00425CFE"/>
    <w:rsid w:val="00426089"/>
    <w:rsid w:val="00427AB2"/>
    <w:rsid w:val="004357C6"/>
    <w:rsid w:val="00436CA7"/>
    <w:rsid w:val="00437C4D"/>
    <w:rsid w:val="004424EE"/>
    <w:rsid w:val="00443336"/>
    <w:rsid w:val="004434A5"/>
    <w:rsid w:val="0044781A"/>
    <w:rsid w:val="0045176F"/>
    <w:rsid w:val="00457AD9"/>
    <w:rsid w:val="00462F86"/>
    <w:rsid w:val="0046328B"/>
    <w:rsid w:val="004702D7"/>
    <w:rsid w:val="00470C1A"/>
    <w:rsid w:val="00471484"/>
    <w:rsid w:val="00475E42"/>
    <w:rsid w:val="00480A8A"/>
    <w:rsid w:val="00480D1A"/>
    <w:rsid w:val="0048505A"/>
    <w:rsid w:val="0048580F"/>
    <w:rsid w:val="00486E7F"/>
    <w:rsid w:val="0048727A"/>
    <w:rsid w:val="00496969"/>
    <w:rsid w:val="004A1FFE"/>
    <w:rsid w:val="004A5E0D"/>
    <w:rsid w:val="004B1CBC"/>
    <w:rsid w:val="004B1ED6"/>
    <w:rsid w:val="004B5C05"/>
    <w:rsid w:val="004C3E16"/>
    <w:rsid w:val="004D0570"/>
    <w:rsid w:val="004D191C"/>
    <w:rsid w:val="004D508E"/>
    <w:rsid w:val="004D71FF"/>
    <w:rsid w:val="004E296B"/>
    <w:rsid w:val="004E3854"/>
    <w:rsid w:val="004E3AA6"/>
    <w:rsid w:val="004E4EA4"/>
    <w:rsid w:val="004E57F6"/>
    <w:rsid w:val="004E77B7"/>
    <w:rsid w:val="004F0958"/>
    <w:rsid w:val="004F4580"/>
    <w:rsid w:val="004F483A"/>
    <w:rsid w:val="00501496"/>
    <w:rsid w:val="00502E50"/>
    <w:rsid w:val="00511BF6"/>
    <w:rsid w:val="00513143"/>
    <w:rsid w:val="00514FCF"/>
    <w:rsid w:val="005171FB"/>
    <w:rsid w:val="00517F63"/>
    <w:rsid w:val="005211C3"/>
    <w:rsid w:val="00523905"/>
    <w:rsid w:val="005279E7"/>
    <w:rsid w:val="0053168D"/>
    <w:rsid w:val="0053345D"/>
    <w:rsid w:val="005334CA"/>
    <w:rsid w:val="005377D7"/>
    <w:rsid w:val="005402D6"/>
    <w:rsid w:val="005417FD"/>
    <w:rsid w:val="00541BD2"/>
    <w:rsid w:val="005451DC"/>
    <w:rsid w:val="005451EC"/>
    <w:rsid w:val="00552451"/>
    <w:rsid w:val="00553F86"/>
    <w:rsid w:val="005555B0"/>
    <w:rsid w:val="00557A81"/>
    <w:rsid w:val="005635CD"/>
    <w:rsid w:val="00566FA7"/>
    <w:rsid w:val="00567A02"/>
    <w:rsid w:val="00572E1D"/>
    <w:rsid w:val="00573A05"/>
    <w:rsid w:val="0057680D"/>
    <w:rsid w:val="00577B6B"/>
    <w:rsid w:val="005807D1"/>
    <w:rsid w:val="00580A68"/>
    <w:rsid w:val="00583FCD"/>
    <w:rsid w:val="00584A05"/>
    <w:rsid w:val="0059034D"/>
    <w:rsid w:val="00590520"/>
    <w:rsid w:val="0059069C"/>
    <w:rsid w:val="005A0775"/>
    <w:rsid w:val="005B2807"/>
    <w:rsid w:val="005B28F6"/>
    <w:rsid w:val="005B4BCE"/>
    <w:rsid w:val="005C38B9"/>
    <w:rsid w:val="005D26D7"/>
    <w:rsid w:val="005F3C04"/>
    <w:rsid w:val="005F75FB"/>
    <w:rsid w:val="006175D7"/>
    <w:rsid w:val="006179E5"/>
    <w:rsid w:val="00621A65"/>
    <w:rsid w:val="006241FE"/>
    <w:rsid w:val="00630EBD"/>
    <w:rsid w:val="00635244"/>
    <w:rsid w:val="00636371"/>
    <w:rsid w:val="00636F5E"/>
    <w:rsid w:val="0064162A"/>
    <w:rsid w:val="00645D94"/>
    <w:rsid w:val="006558AD"/>
    <w:rsid w:val="006607F8"/>
    <w:rsid w:val="00661D64"/>
    <w:rsid w:val="00666119"/>
    <w:rsid w:val="00671F08"/>
    <w:rsid w:val="00680707"/>
    <w:rsid w:val="006844B4"/>
    <w:rsid w:val="006853CC"/>
    <w:rsid w:val="00686BD3"/>
    <w:rsid w:val="00691177"/>
    <w:rsid w:val="006924D2"/>
    <w:rsid w:val="006A3FB7"/>
    <w:rsid w:val="006A476D"/>
    <w:rsid w:val="006A556A"/>
    <w:rsid w:val="006B1D13"/>
    <w:rsid w:val="006B2A8E"/>
    <w:rsid w:val="006B2D37"/>
    <w:rsid w:val="006B4B77"/>
    <w:rsid w:val="006B50A4"/>
    <w:rsid w:val="006B5EB6"/>
    <w:rsid w:val="006B754F"/>
    <w:rsid w:val="006C0481"/>
    <w:rsid w:val="006C37D0"/>
    <w:rsid w:val="006C3B6E"/>
    <w:rsid w:val="006D0D4C"/>
    <w:rsid w:val="006D1523"/>
    <w:rsid w:val="006D1E09"/>
    <w:rsid w:val="006E114D"/>
    <w:rsid w:val="006E189A"/>
    <w:rsid w:val="006E59C6"/>
    <w:rsid w:val="006E70E0"/>
    <w:rsid w:val="006F097C"/>
    <w:rsid w:val="006F1F37"/>
    <w:rsid w:val="006F687E"/>
    <w:rsid w:val="00700008"/>
    <w:rsid w:val="007002C7"/>
    <w:rsid w:val="007019F5"/>
    <w:rsid w:val="007020FD"/>
    <w:rsid w:val="0070230E"/>
    <w:rsid w:val="0070437D"/>
    <w:rsid w:val="00704807"/>
    <w:rsid w:val="00706E66"/>
    <w:rsid w:val="00707B49"/>
    <w:rsid w:val="00711956"/>
    <w:rsid w:val="0071468E"/>
    <w:rsid w:val="00720733"/>
    <w:rsid w:val="007216BB"/>
    <w:rsid w:val="00721B9D"/>
    <w:rsid w:val="00725A7D"/>
    <w:rsid w:val="007271C2"/>
    <w:rsid w:val="00730212"/>
    <w:rsid w:val="00730AE1"/>
    <w:rsid w:val="00733AD9"/>
    <w:rsid w:val="00734289"/>
    <w:rsid w:val="007347C5"/>
    <w:rsid w:val="00735E6A"/>
    <w:rsid w:val="00737463"/>
    <w:rsid w:val="00744567"/>
    <w:rsid w:val="00746BAB"/>
    <w:rsid w:val="00750FF7"/>
    <w:rsid w:val="0076129C"/>
    <w:rsid w:val="00765B17"/>
    <w:rsid w:val="00774B4D"/>
    <w:rsid w:val="00775286"/>
    <w:rsid w:val="007765EE"/>
    <w:rsid w:val="0077735A"/>
    <w:rsid w:val="00780510"/>
    <w:rsid w:val="0078325C"/>
    <w:rsid w:val="00793545"/>
    <w:rsid w:val="0079366E"/>
    <w:rsid w:val="00796894"/>
    <w:rsid w:val="007970C8"/>
    <w:rsid w:val="007A2CA5"/>
    <w:rsid w:val="007A328E"/>
    <w:rsid w:val="007A498B"/>
    <w:rsid w:val="007A757C"/>
    <w:rsid w:val="007B1A6A"/>
    <w:rsid w:val="007B4A80"/>
    <w:rsid w:val="007B4E4A"/>
    <w:rsid w:val="007B73A4"/>
    <w:rsid w:val="007B7EC3"/>
    <w:rsid w:val="007C45C0"/>
    <w:rsid w:val="007D575E"/>
    <w:rsid w:val="007E53BF"/>
    <w:rsid w:val="007F6D04"/>
    <w:rsid w:val="007F757F"/>
    <w:rsid w:val="008009DC"/>
    <w:rsid w:val="00800E73"/>
    <w:rsid w:val="00801CE0"/>
    <w:rsid w:val="00802C5B"/>
    <w:rsid w:val="00803A51"/>
    <w:rsid w:val="00805E02"/>
    <w:rsid w:val="00815B3A"/>
    <w:rsid w:val="00815D90"/>
    <w:rsid w:val="00826AA3"/>
    <w:rsid w:val="00833E8B"/>
    <w:rsid w:val="00834A54"/>
    <w:rsid w:val="0083566F"/>
    <w:rsid w:val="00835BC7"/>
    <w:rsid w:val="00836879"/>
    <w:rsid w:val="00843A64"/>
    <w:rsid w:val="00844126"/>
    <w:rsid w:val="0085450C"/>
    <w:rsid w:val="008546CE"/>
    <w:rsid w:val="0087050A"/>
    <w:rsid w:val="008740F1"/>
    <w:rsid w:val="00877303"/>
    <w:rsid w:val="00877CB6"/>
    <w:rsid w:val="008801AD"/>
    <w:rsid w:val="008804B3"/>
    <w:rsid w:val="00882976"/>
    <w:rsid w:val="00883CA7"/>
    <w:rsid w:val="00884C0D"/>
    <w:rsid w:val="0089078D"/>
    <w:rsid w:val="00892ACE"/>
    <w:rsid w:val="00894C65"/>
    <w:rsid w:val="00894E93"/>
    <w:rsid w:val="008A7456"/>
    <w:rsid w:val="008B2A36"/>
    <w:rsid w:val="008B5B5B"/>
    <w:rsid w:val="008B5CD4"/>
    <w:rsid w:val="008C1504"/>
    <w:rsid w:val="008C43B4"/>
    <w:rsid w:val="008C4A42"/>
    <w:rsid w:val="008C67DC"/>
    <w:rsid w:val="008D395E"/>
    <w:rsid w:val="008D406B"/>
    <w:rsid w:val="008D59C4"/>
    <w:rsid w:val="008D71CF"/>
    <w:rsid w:val="008E1D5D"/>
    <w:rsid w:val="008E33C4"/>
    <w:rsid w:val="008E3F78"/>
    <w:rsid w:val="008E46A8"/>
    <w:rsid w:val="008F080C"/>
    <w:rsid w:val="008F3289"/>
    <w:rsid w:val="00902B17"/>
    <w:rsid w:val="00905B76"/>
    <w:rsid w:val="009115B0"/>
    <w:rsid w:val="009124C5"/>
    <w:rsid w:val="009138CC"/>
    <w:rsid w:val="00917C53"/>
    <w:rsid w:val="00927A0F"/>
    <w:rsid w:val="00927D18"/>
    <w:rsid w:val="009330A4"/>
    <w:rsid w:val="009363C5"/>
    <w:rsid w:val="00941CE2"/>
    <w:rsid w:val="009441AA"/>
    <w:rsid w:val="00945F8E"/>
    <w:rsid w:val="00946D60"/>
    <w:rsid w:val="00947F22"/>
    <w:rsid w:val="00951462"/>
    <w:rsid w:val="00956499"/>
    <w:rsid w:val="00957D62"/>
    <w:rsid w:val="00960FBF"/>
    <w:rsid w:val="00972D71"/>
    <w:rsid w:val="009806F0"/>
    <w:rsid w:val="009825D2"/>
    <w:rsid w:val="009848A7"/>
    <w:rsid w:val="00984F27"/>
    <w:rsid w:val="00990267"/>
    <w:rsid w:val="00990D13"/>
    <w:rsid w:val="00992405"/>
    <w:rsid w:val="009927A7"/>
    <w:rsid w:val="00995455"/>
    <w:rsid w:val="009B2C5C"/>
    <w:rsid w:val="009B2DDD"/>
    <w:rsid w:val="009B422E"/>
    <w:rsid w:val="009B49F6"/>
    <w:rsid w:val="009B64E8"/>
    <w:rsid w:val="009B6F83"/>
    <w:rsid w:val="009C1521"/>
    <w:rsid w:val="009C347B"/>
    <w:rsid w:val="009C400D"/>
    <w:rsid w:val="009C6B31"/>
    <w:rsid w:val="009C76A7"/>
    <w:rsid w:val="009D0035"/>
    <w:rsid w:val="009D349A"/>
    <w:rsid w:val="009D4804"/>
    <w:rsid w:val="009E557A"/>
    <w:rsid w:val="009F02ED"/>
    <w:rsid w:val="009F3E02"/>
    <w:rsid w:val="009F478C"/>
    <w:rsid w:val="009F588E"/>
    <w:rsid w:val="009F5A68"/>
    <w:rsid w:val="00A00351"/>
    <w:rsid w:val="00A01072"/>
    <w:rsid w:val="00A03111"/>
    <w:rsid w:val="00A03E7B"/>
    <w:rsid w:val="00A054CB"/>
    <w:rsid w:val="00A10B30"/>
    <w:rsid w:val="00A11A3C"/>
    <w:rsid w:val="00A16028"/>
    <w:rsid w:val="00A22CEB"/>
    <w:rsid w:val="00A23D7B"/>
    <w:rsid w:val="00A24D5C"/>
    <w:rsid w:val="00A26977"/>
    <w:rsid w:val="00A32CED"/>
    <w:rsid w:val="00A47A24"/>
    <w:rsid w:val="00A47BCB"/>
    <w:rsid w:val="00A5093A"/>
    <w:rsid w:val="00A52810"/>
    <w:rsid w:val="00A54302"/>
    <w:rsid w:val="00A5431D"/>
    <w:rsid w:val="00A5737C"/>
    <w:rsid w:val="00A579F4"/>
    <w:rsid w:val="00A63204"/>
    <w:rsid w:val="00A63ADD"/>
    <w:rsid w:val="00A63EA7"/>
    <w:rsid w:val="00A64A48"/>
    <w:rsid w:val="00A66D19"/>
    <w:rsid w:val="00A67C54"/>
    <w:rsid w:val="00A71EEB"/>
    <w:rsid w:val="00A729B8"/>
    <w:rsid w:val="00A75FCC"/>
    <w:rsid w:val="00A81CD9"/>
    <w:rsid w:val="00A83EC8"/>
    <w:rsid w:val="00A867D1"/>
    <w:rsid w:val="00A86A00"/>
    <w:rsid w:val="00A9087B"/>
    <w:rsid w:val="00A91471"/>
    <w:rsid w:val="00A91692"/>
    <w:rsid w:val="00A96831"/>
    <w:rsid w:val="00AA4374"/>
    <w:rsid w:val="00AA6674"/>
    <w:rsid w:val="00AA71D0"/>
    <w:rsid w:val="00AB3BF2"/>
    <w:rsid w:val="00AB75F1"/>
    <w:rsid w:val="00AC06AC"/>
    <w:rsid w:val="00AC2C51"/>
    <w:rsid w:val="00AC46B8"/>
    <w:rsid w:val="00AC5F28"/>
    <w:rsid w:val="00AC5F34"/>
    <w:rsid w:val="00AD2853"/>
    <w:rsid w:val="00AD4689"/>
    <w:rsid w:val="00AD48A9"/>
    <w:rsid w:val="00AE1C22"/>
    <w:rsid w:val="00AE3A2E"/>
    <w:rsid w:val="00AE491A"/>
    <w:rsid w:val="00AE4DC7"/>
    <w:rsid w:val="00AF1F6D"/>
    <w:rsid w:val="00AF248B"/>
    <w:rsid w:val="00AF4CFE"/>
    <w:rsid w:val="00AF7D72"/>
    <w:rsid w:val="00B04FCC"/>
    <w:rsid w:val="00B11CE7"/>
    <w:rsid w:val="00B2465E"/>
    <w:rsid w:val="00B24896"/>
    <w:rsid w:val="00B30A37"/>
    <w:rsid w:val="00B30B71"/>
    <w:rsid w:val="00B32F49"/>
    <w:rsid w:val="00B4096C"/>
    <w:rsid w:val="00B40F11"/>
    <w:rsid w:val="00B44688"/>
    <w:rsid w:val="00B50D77"/>
    <w:rsid w:val="00B52F82"/>
    <w:rsid w:val="00B53C5C"/>
    <w:rsid w:val="00B55AC5"/>
    <w:rsid w:val="00B6163D"/>
    <w:rsid w:val="00B61784"/>
    <w:rsid w:val="00B620B6"/>
    <w:rsid w:val="00B65800"/>
    <w:rsid w:val="00B66E3A"/>
    <w:rsid w:val="00B67226"/>
    <w:rsid w:val="00B727EC"/>
    <w:rsid w:val="00B736B4"/>
    <w:rsid w:val="00B73FEF"/>
    <w:rsid w:val="00B7406D"/>
    <w:rsid w:val="00B75902"/>
    <w:rsid w:val="00B77B74"/>
    <w:rsid w:val="00B855C0"/>
    <w:rsid w:val="00B93D29"/>
    <w:rsid w:val="00B9577B"/>
    <w:rsid w:val="00B957B9"/>
    <w:rsid w:val="00BA0896"/>
    <w:rsid w:val="00BA2FBF"/>
    <w:rsid w:val="00BA46DE"/>
    <w:rsid w:val="00BA4797"/>
    <w:rsid w:val="00BA4AD7"/>
    <w:rsid w:val="00BA4C2E"/>
    <w:rsid w:val="00BB2AA7"/>
    <w:rsid w:val="00BB65D6"/>
    <w:rsid w:val="00BB69B2"/>
    <w:rsid w:val="00BC4B6B"/>
    <w:rsid w:val="00BC6A49"/>
    <w:rsid w:val="00BC76C2"/>
    <w:rsid w:val="00BD10AC"/>
    <w:rsid w:val="00BD1142"/>
    <w:rsid w:val="00BD1344"/>
    <w:rsid w:val="00BD3D84"/>
    <w:rsid w:val="00BD5193"/>
    <w:rsid w:val="00BE2919"/>
    <w:rsid w:val="00BE485D"/>
    <w:rsid w:val="00BF60F6"/>
    <w:rsid w:val="00C0167D"/>
    <w:rsid w:val="00C0175E"/>
    <w:rsid w:val="00C044A2"/>
    <w:rsid w:val="00C073EC"/>
    <w:rsid w:val="00C1052F"/>
    <w:rsid w:val="00C10FE6"/>
    <w:rsid w:val="00C11726"/>
    <w:rsid w:val="00C11B74"/>
    <w:rsid w:val="00C12F48"/>
    <w:rsid w:val="00C14167"/>
    <w:rsid w:val="00C14884"/>
    <w:rsid w:val="00C2003D"/>
    <w:rsid w:val="00C22A37"/>
    <w:rsid w:val="00C24E88"/>
    <w:rsid w:val="00C27837"/>
    <w:rsid w:val="00C330A1"/>
    <w:rsid w:val="00C42259"/>
    <w:rsid w:val="00C52F4B"/>
    <w:rsid w:val="00C6374C"/>
    <w:rsid w:val="00C65105"/>
    <w:rsid w:val="00C663F5"/>
    <w:rsid w:val="00C75694"/>
    <w:rsid w:val="00C8183D"/>
    <w:rsid w:val="00C9070C"/>
    <w:rsid w:val="00C93EC7"/>
    <w:rsid w:val="00C94449"/>
    <w:rsid w:val="00C945A1"/>
    <w:rsid w:val="00C95EE4"/>
    <w:rsid w:val="00C962C0"/>
    <w:rsid w:val="00CA2D41"/>
    <w:rsid w:val="00CA33EE"/>
    <w:rsid w:val="00CA3F4A"/>
    <w:rsid w:val="00CA433D"/>
    <w:rsid w:val="00CA4AE0"/>
    <w:rsid w:val="00CA7209"/>
    <w:rsid w:val="00CB2B4E"/>
    <w:rsid w:val="00CC0E75"/>
    <w:rsid w:val="00CC2C7E"/>
    <w:rsid w:val="00CC6BA1"/>
    <w:rsid w:val="00CD2D24"/>
    <w:rsid w:val="00CD43CA"/>
    <w:rsid w:val="00CD4AB1"/>
    <w:rsid w:val="00CD668D"/>
    <w:rsid w:val="00CD7178"/>
    <w:rsid w:val="00CE1508"/>
    <w:rsid w:val="00CE568D"/>
    <w:rsid w:val="00CE5F0A"/>
    <w:rsid w:val="00CE7D4F"/>
    <w:rsid w:val="00CF0C50"/>
    <w:rsid w:val="00CF1D5B"/>
    <w:rsid w:val="00D02BA0"/>
    <w:rsid w:val="00D12737"/>
    <w:rsid w:val="00D13EBF"/>
    <w:rsid w:val="00D14C88"/>
    <w:rsid w:val="00D16017"/>
    <w:rsid w:val="00D17010"/>
    <w:rsid w:val="00D21918"/>
    <w:rsid w:val="00D24F59"/>
    <w:rsid w:val="00D26157"/>
    <w:rsid w:val="00D26CA9"/>
    <w:rsid w:val="00D41FF2"/>
    <w:rsid w:val="00D4247D"/>
    <w:rsid w:val="00D526D0"/>
    <w:rsid w:val="00D52C58"/>
    <w:rsid w:val="00D55D7E"/>
    <w:rsid w:val="00D647F6"/>
    <w:rsid w:val="00D65C7A"/>
    <w:rsid w:val="00D65CA8"/>
    <w:rsid w:val="00D6755F"/>
    <w:rsid w:val="00D71612"/>
    <w:rsid w:val="00D7318E"/>
    <w:rsid w:val="00D73F38"/>
    <w:rsid w:val="00D73FDD"/>
    <w:rsid w:val="00D74E18"/>
    <w:rsid w:val="00D7535F"/>
    <w:rsid w:val="00D8059C"/>
    <w:rsid w:val="00D825AD"/>
    <w:rsid w:val="00D85E24"/>
    <w:rsid w:val="00D96585"/>
    <w:rsid w:val="00D96811"/>
    <w:rsid w:val="00D970F7"/>
    <w:rsid w:val="00DA1A64"/>
    <w:rsid w:val="00DA5701"/>
    <w:rsid w:val="00DA627E"/>
    <w:rsid w:val="00DA789B"/>
    <w:rsid w:val="00DB094D"/>
    <w:rsid w:val="00DB1DB9"/>
    <w:rsid w:val="00DB223E"/>
    <w:rsid w:val="00DB582F"/>
    <w:rsid w:val="00DB7E91"/>
    <w:rsid w:val="00DC7082"/>
    <w:rsid w:val="00DD2D61"/>
    <w:rsid w:val="00DD4D9D"/>
    <w:rsid w:val="00DE1152"/>
    <w:rsid w:val="00DE18FF"/>
    <w:rsid w:val="00DE1F49"/>
    <w:rsid w:val="00DE21BD"/>
    <w:rsid w:val="00DE3240"/>
    <w:rsid w:val="00DE7EC7"/>
    <w:rsid w:val="00DF0D97"/>
    <w:rsid w:val="00DF157D"/>
    <w:rsid w:val="00DF528E"/>
    <w:rsid w:val="00DF78D9"/>
    <w:rsid w:val="00E03A34"/>
    <w:rsid w:val="00E052F9"/>
    <w:rsid w:val="00E06ABC"/>
    <w:rsid w:val="00E11538"/>
    <w:rsid w:val="00E13553"/>
    <w:rsid w:val="00E21395"/>
    <w:rsid w:val="00E239C9"/>
    <w:rsid w:val="00E23D52"/>
    <w:rsid w:val="00E4288A"/>
    <w:rsid w:val="00E51F76"/>
    <w:rsid w:val="00E54BEC"/>
    <w:rsid w:val="00E63B87"/>
    <w:rsid w:val="00E71BED"/>
    <w:rsid w:val="00E81A7B"/>
    <w:rsid w:val="00E83762"/>
    <w:rsid w:val="00E8420C"/>
    <w:rsid w:val="00E91063"/>
    <w:rsid w:val="00E96DC9"/>
    <w:rsid w:val="00EA41A8"/>
    <w:rsid w:val="00EA641E"/>
    <w:rsid w:val="00EA7587"/>
    <w:rsid w:val="00EB045A"/>
    <w:rsid w:val="00EB2019"/>
    <w:rsid w:val="00EC018C"/>
    <w:rsid w:val="00EC05BC"/>
    <w:rsid w:val="00EC29F0"/>
    <w:rsid w:val="00EC3E48"/>
    <w:rsid w:val="00EC5066"/>
    <w:rsid w:val="00EC52F1"/>
    <w:rsid w:val="00EC6AE8"/>
    <w:rsid w:val="00ED1C17"/>
    <w:rsid w:val="00ED411B"/>
    <w:rsid w:val="00ED5761"/>
    <w:rsid w:val="00ED7C9C"/>
    <w:rsid w:val="00EE0392"/>
    <w:rsid w:val="00EE06F7"/>
    <w:rsid w:val="00EE10CE"/>
    <w:rsid w:val="00EE527D"/>
    <w:rsid w:val="00EF1612"/>
    <w:rsid w:val="00EF5AE8"/>
    <w:rsid w:val="00F03D83"/>
    <w:rsid w:val="00F04BF8"/>
    <w:rsid w:val="00F0630B"/>
    <w:rsid w:val="00F144F5"/>
    <w:rsid w:val="00F152D9"/>
    <w:rsid w:val="00F1591C"/>
    <w:rsid w:val="00F161FB"/>
    <w:rsid w:val="00F201E8"/>
    <w:rsid w:val="00F24B44"/>
    <w:rsid w:val="00F271D4"/>
    <w:rsid w:val="00F32787"/>
    <w:rsid w:val="00F35526"/>
    <w:rsid w:val="00F35D07"/>
    <w:rsid w:val="00F36DD2"/>
    <w:rsid w:val="00F410C0"/>
    <w:rsid w:val="00F41E80"/>
    <w:rsid w:val="00F43176"/>
    <w:rsid w:val="00F46255"/>
    <w:rsid w:val="00F4682A"/>
    <w:rsid w:val="00F46886"/>
    <w:rsid w:val="00F5200A"/>
    <w:rsid w:val="00F5220C"/>
    <w:rsid w:val="00F6315E"/>
    <w:rsid w:val="00F633B4"/>
    <w:rsid w:val="00F64FEE"/>
    <w:rsid w:val="00F70154"/>
    <w:rsid w:val="00F72916"/>
    <w:rsid w:val="00F77FDF"/>
    <w:rsid w:val="00F91F40"/>
    <w:rsid w:val="00F920D9"/>
    <w:rsid w:val="00F9214C"/>
    <w:rsid w:val="00F97BC5"/>
    <w:rsid w:val="00FA0C76"/>
    <w:rsid w:val="00FA384C"/>
    <w:rsid w:val="00FA5BE1"/>
    <w:rsid w:val="00FA5CBE"/>
    <w:rsid w:val="00FA61C2"/>
    <w:rsid w:val="00FB06F9"/>
    <w:rsid w:val="00FB3E1E"/>
    <w:rsid w:val="00FB5902"/>
    <w:rsid w:val="00FC210A"/>
    <w:rsid w:val="00FC3F7E"/>
    <w:rsid w:val="00FC41FE"/>
    <w:rsid w:val="00FC5808"/>
    <w:rsid w:val="00FC64BD"/>
    <w:rsid w:val="00FC71E4"/>
    <w:rsid w:val="00FD2C1A"/>
    <w:rsid w:val="00FD5ECF"/>
    <w:rsid w:val="00FE175F"/>
    <w:rsid w:val="00FE55E4"/>
    <w:rsid w:val="00FE5D83"/>
    <w:rsid w:val="00FE7F7E"/>
    <w:rsid w:val="00FF3E6D"/>
    <w:rsid w:val="00FF47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 Title"/>
    <w:basedOn w:val="Normal"/>
    <w:link w:val="AppendixTitleCharChar"/>
    <w:rsid w:val="00836879"/>
    <w:pPr>
      <w:spacing w:after="240"/>
      <w:jc w:val="right"/>
    </w:pPr>
    <w:rPr>
      <w:rFonts w:ascii="Arial" w:hAnsi="Arial" w:cs="Arial"/>
      <w:color w:val="000080"/>
      <w:sz w:val="28"/>
      <w:szCs w:val="28"/>
    </w:rPr>
  </w:style>
  <w:style w:type="character" w:customStyle="1" w:styleId="AppendixTitleCharChar">
    <w:name w:val="Appendix Title Char Char"/>
    <w:link w:val="AppendixTitle"/>
    <w:locked/>
    <w:rsid w:val="00836879"/>
    <w:rPr>
      <w:rFonts w:ascii="Arial" w:eastAsia="Times New Roman" w:hAnsi="Arial" w:cs="Arial"/>
      <w:color w:val="000080"/>
      <w:sz w:val="28"/>
      <w:szCs w:val="28"/>
    </w:rPr>
  </w:style>
  <w:style w:type="paragraph" w:styleId="BalloonText">
    <w:name w:val="Balloon Text"/>
    <w:basedOn w:val="Normal"/>
    <w:link w:val="BalloonTextChar"/>
    <w:uiPriority w:val="99"/>
    <w:semiHidden/>
    <w:unhideWhenUsed/>
    <w:rsid w:val="00836879"/>
    <w:rPr>
      <w:rFonts w:ascii="Tahoma" w:hAnsi="Tahoma" w:cs="Tahoma"/>
      <w:sz w:val="16"/>
      <w:szCs w:val="16"/>
    </w:rPr>
  </w:style>
  <w:style w:type="character" w:customStyle="1" w:styleId="BalloonTextChar">
    <w:name w:val="Balloon Text Char"/>
    <w:basedOn w:val="DefaultParagraphFont"/>
    <w:link w:val="BalloonText"/>
    <w:uiPriority w:val="99"/>
    <w:semiHidden/>
    <w:rsid w:val="00836879"/>
    <w:rPr>
      <w:rFonts w:ascii="Tahoma" w:eastAsia="Times New Roman" w:hAnsi="Tahoma" w:cs="Tahoma"/>
      <w:sz w:val="16"/>
      <w:szCs w:val="16"/>
    </w:rPr>
  </w:style>
  <w:style w:type="paragraph" w:styleId="ListParagraph">
    <w:name w:val="List Paragraph"/>
    <w:basedOn w:val="Normal"/>
    <w:uiPriority w:val="34"/>
    <w:qFormat/>
    <w:rsid w:val="003124E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124E7"/>
    <w:rPr>
      <w:sz w:val="16"/>
      <w:szCs w:val="16"/>
    </w:rPr>
  </w:style>
  <w:style w:type="paragraph" w:styleId="CommentText">
    <w:name w:val="annotation text"/>
    <w:basedOn w:val="Normal"/>
    <w:link w:val="CommentTextChar"/>
    <w:uiPriority w:val="99"/>
    <w:semiHidden/>
    <w:unhideWhenUsed/>
    <w:rsid w:val="003124E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124E7"/>
    <w:rPr>
      <w:sz w:val="20"/>
      <w:szCs w:val="20"/>
    </w:rPr>
  </w:style>
  <w:style w:type="paragraph" w:styleId="NoSpacing">
    <w:name w:val="No Spacing"/>
    <w:uiPriority w:val="1"/>
    <w:qFormat/>
    <w:rsid w:val="003124E7"/>
    <w:pPr>
      <w:spacing w:after="0" w:line="240" w:lineRule="auto"/>
    </w:pPr>
  </w:style>
  <w:style w:type="table" w:styleId="TableGrid">
    <w:name w:val="Table Grid"/>
    <w:basedOn w:val="TableNormal"/>
    <w:uiPriority w:val="59"/>
    <w:rsid w:val="00312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2A0D"/>
    <w:pPr>
      <w:tabs>
        <w:tab w:val="center" w:pos="4513"/>
        <w:tab w:val="right" w:pos="9026"/>
      </w:tabs>
    </w:pPr>
  </w:style>
  <w:style w:type="character" w:customStyle="1" w:styleId="HeaderChar">
    <w:name w:val="Header Char"/>
    <w:basedOn w:val="DefaultParagraphFont"/>
    <w:link w:val="Header"/>
    <w:uiPriority w:val="99"/>
    <w:semiHidden/>
    <w:rsid w:val="00202A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2A0D"/>
    <w:pPr>
      <w:tabs>
        <w:tab w:val="center" w:pos="4513"/>
        <w:tab w:val="right" w:pos="9026"/>
      </w:tabs>
    </w:pPr>
  </w:style>
  <w:style w:type="character" w:customStyle="1" w:styleId="FooterChar">
    <w:name w:val="Footer Char"/>
    <w:basedOn w:val="DefaultParagraphFont"/>
    <w:link w:val="Footer"/>
    <w:uiPriority w:val="99"/>
    <w:rsid w:val="00202A0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26A5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26A5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1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094A2-98BC-4585-B288-2DD1D54A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Reference Finance and Public Administration Committee Report: Senate Order for Departmental and Agency Contracts </dc:title>
  <dc:creator>Department of Finance</dc:creator>
  <cp:lastModifiedBy>catreb</cp:lastModifiedBy>
  <cp:revision>4</cp:revision>
  <cp:lastPrinted>2014-08-20T23:57:00Z</cp:lastPrinted>
  <dcterms:created xsi:type="dcterms:W3CDTF">2014-11-20T23:50:00Z</dcterms:created>
  <dcterms:modified xsi:type="dcterms:W3CDTF">2014-11-24T05:34:00Z</dcterms:modified>
</cp:coreProperties>
</file>