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1A965" w14:textId="77777777" w:rsidR="005710C5" w:rsidRDefault="001C13F0" w:rsidP="0058458C">
      <w:pPr>
        <w:pStyle w:val="Header"/>
        <w:tabs>
          <w:tab w:val="clear" w:pos="4153"/>
          <w:tab w:val="clear" w:pos="8306"/>
        </w:tabs>
        <w:spacing w:after="0"/>
        <w:ind w:left="-1134" w:right="-992"/>
        <w:jc w:val="center"/>
        <w:rPr>
          <w:rFonts w:ascii="Arial" w:hAnsi="Arial" w:cs="Arial"/>
          <w:b/>
          <w:bCs/>
          <w:noProof/>
          <w:sz w:val="12"/>
          <w:szCs w:val="12"/>
        </w:rPr>
      </w:pPr>
      <w:r>
        <w:rPr>
          <w:rFonts w:ascii="Arial" w:hAnsi="Arial" w:cs="Arial"/>
          <w:b/>
          <w:noProof/>
          <w:sz w:val="12"/>
          <w:szCs w:val="12"/>
          <w:lang w:eastAsia="en-AU"/>
        </w:rPr>
        <w:drawing>
          <wp:inline distT="0" distB="0" distL="0" distR="0" wp14:anchorId="26F9DB20" wp14:editId="5A5816DE">
            <wp:extent cx="2216785" cy="1509395"/>
            <wp:effectExtent l="19050" t="0" r="0" b="0"/>
            <wp:docPr id="1" name="Picture 2" descr="G:\Executive\DOC\Office Support\Logos\Finance_stacked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xecutive\DOC\Office Support\Logos\Finance_stacked_blk.jpg"/>
                    <pic:cNvPicPr>
                      <a:picLocks noChangeAspect="1" noChangeArrowheads="1"/>
                    </pic:cNvPicPr>
                  </pic:nvPicPr>
                  <pic:blipFill>
                    <a:blip r:embed="rId7" cstate="print"/>
                    <a:srcRect/>
                    <a:stretch>
                      <a:fillRect/>
                    </a:stretch>
                  </pic:blipFill>
                  <pic:spPr bwMode="auto">
                    <a:xfrm>
                      <a:off x="0" y="0"/>
                      <a:ext cx="2216785" cy="1509395"/>
                    </a:xfrm>
                    <a:prstGeom prst="rect">
                      <a:avLst/>
                    </a:prstGeom>
                    <a:noFill/>
                    <a:ln w="9525">
                      <a:noFill/>
                      <a:miter lim="800000"/>
                      <a:headEnd/>
                      <a:tailEnd/>
                    </a:ln>
                  </pic:spPr>
                </pic:pic>
              </a:graphicData>
            </a:graphic>
          </wp:inline>
        </w:drawing>
      </w:r>
    </w:p>
    <w:p w14:paraId="710C3E50" w14:textId="77777777" w:rsidR="005710C5" w:rsidRDefault="005710C5">
      <w:pPr>
        <w:pStyle w:val="Header"/>
        <w:tabs>
          <w:tab w:val="clear" w:pos="4153"/>
          <w:tab w:val="clear" w:pos="8306"/>
        </w:tabs>
        <w:spacing w:after="0"/>
        <w:rPr>
          <w:noProof/>
        </w:rPr>
      </w:pPr>
    </w:p>
    <w:p w14:paraId="7DBF6CDC" w14:textId="77777777" w:rsidR="005710C5" w:rsidRDefault="005710C5">
      <w:pPr>
        <w:pStyle w:val="Header"/>
        <w:tabs>
          <w:tab w:val="clear" w:pos="4153"/>
          <w:tab w:val="clear" w:pos="8306"/>
        </w:tabs>
        <w:spacing w:after="0"/>
        <w:sectPr w:rsidR="005710C5" w:rsidSect="002E1B8F">
          <w:footerReference w:type="default" r:id="rId8"/>
          <w:type w:val="continuous"/>
          <w:pgSz w:w="11907" w:h="16840" w:code="9"/>
          <w:pgMar w:top="992" w:right="1559" w:bottom="851" w:left="1701" w:header="340" w:footer="284" w:gutter="0"/>
          <w:cols w:space="720"/>
          <w:docGrid w:linePitch="326"/>
        </w:sectPr>
      </w:pPr>
    </w:p>
    <w:p w14:paraId="33C0200B" w14:textId="77777777" w:rsidR="005710C5" w:rsidRDefault="006128CA">
      <w:pPr>
        <w:pStyle w:val="Heading2"/>
        <w:tabs>
          <w:tab w:val="right" w:pos="8647"/>
        </w:tabs>
        <w:spacing w:before="0" w:after="0"/>
      </w:pPr>
      <w:r>
        <w:rPr>
          <w:noProof/>
          <w:lang w:eastAsia="en-AU"/>
        </w:rPr>
        <mc:AlternateContent>
          <mc:Choice Requires="wps">
            <w:drawing>
              <wp:anchor distT="0" distB="0" distL="114300" distR="114300" simplePos="0" relativeHeight="251657728" behindDoc="0" locked="0" layoutInCell="1" allowOverlap="1" wp14:anchorId="00721DFD" wp14:editId="34F5367F">
                <wp:simplePos x="0" y="0"/>
                <wp:positionH relativeFrom="column">
                  <wp:posOffset>4246245</wp:posOffset>
                </wp:positionH>
                <wp:positionV relativeFrom="paragraph">
                  <wp:posOffset>2540</wp:posOffset>
                </wp:positionV>
                <wp:extent cx="1724660" cy="459740"/>
                <wp:effectExtent l="0" t="0" r="635"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CCC7C" w14:textId="77777777" w:rsidR="00A92CF9" w:rsidRDefault="00A92CF9">
                            <w:pPr>
                              <w:pStyle w:val="Header"/>
                              <w:tabs>
                                <w:tab w:val="clear" w:pos="4153"/>
                                <w:tab w:val="clear" w:pos="8306"/>
                                <w:tab w:val="left" w:pos="7938"/>
                              </w:tabs>
                              <w:spacing w:after="0"/>
                              <w:ind w:right="-992"/>
                              <w:rPr>
                                <w:rFonts w:ascii="Arial" w:hAnsi="Arial" w:cs="Arial"/>
                                <w:b/>
                                <w:bCs/>
                                <w:noProof/>
                                <w:sz w:val="20"/>
                                <w:szCs w:val="20"/>
                              </w:rPr>
                            </w:pPr>
                            <w:r>
                              <w:rPr>
                                <w:rFonts w:ascii="Arial" w:hAnsi="Arial" w:cs="Arial"/>
                                <w:b/>
                                <w:bCs/>
                                <w:noProof/>
                                <w:sz w:val="20"/>
                                <w:szCs w:val="20"/>
                              </w:rPr>
                              <w:t>Rosemary Huxtable PSM</w:t>
                            </w:r>
                          </w:p>
                          <w:p w14:paraId="2AFD6D97" w14:textId="77777777" w:rsidR="00A92CF9" w:rsidRDefault="00A92CF9">
                            <w:pPr>
                              <w:pStyle w:val="Header"/>
                              <w:tabs>
                                <w:tab w:val="clear" w:pos="4153"/>
                                <w:tab w:val="clear" w:pos="8306"/>
                                <w:tab w:val="left" w:pos="7938"/>
                              </w:tabs>
                              <w:spacing w:after="0"/>
                              <w:ind w:right="-992"/>
                              <w:rPr>
                                <w:rFonts w:ascii="Arial" w:hAnsi="Arial" w:cs="Arial"/>
                                <w:b/>
                                <w:bCs/>
                                <w:sz w:val="20"/>
                                <w:szCs w:val="20"/>
                              </w:rPr>
                            </w:pPr>
                            <w:r>
                              <w:rPr>
                                <w:rFonts w:ascii="Arial" w:hAnsi="Arial" w:cs="Arial"/>
                                <w:b/>
                                <w:bCs/>
                                <w:noProof/>
                                <w:sz w:val="20"/>
                                <w:szCs w:val="20"/>
                              </w:rPr>
                              <w:t>Secretary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21DFD" id="_x0000_t202" coordsize="21600,21600" o:spt="202" path="m,l,21600r21600,l21600,xe">
                <v:stroke joinstyle="miter"/>
                <v:path gradientshapeok="t" o:connecttype="rect"/>
              </v:shapetype>
              <v:shape id="Text Box 2" o:spid="_x0000_s1026" type="#_x0000_t202" style="position:absolute;margin-left:334.35pt;margin-top:.2pt;width:135.8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0IgQ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" stroked="f">
                <v:textbox>
                  <w:txbxContent>
                    <w:p w14:paraId="09BCCC7C" w14:textId="77777777" w:rsidR="00A92CF9" w:rsidRDefault="00A92CF9">
                      <w:pPr>
                        <w:pStyle w:val="Header"/>
                        <w:tabs>
                          <w:tab w:val="clear" w:pos="4153"/>
                          <w:tab w:val="clear" w:pos="8306"/>
                          <w:tab w:val="left" w:pos="7938"/>
                        </w:tabs>
                        <w:spacing w:after="0"/>
                        <w:ind w:right="-992"/>
                        <w:rPr>
                          <w:rFonts w:ascii="Arial" w:hAnsi="Arial" w:cs="Arial"/>
                          <w:b/>
                          <w:bCs/>
                          <w:noProof/>
                          <w:sz w:val="20"/>
                          <w:szCs w:val="20"/>
                        </w:rPr>
                      </w:pPr>
                      <w:r>
                        <w:rPr>
                          <w:rFonts w:ascii="Arial" w:hAnsi="Arial" w:cs="Arial"/>
                          <w:b/>
                          <w:bCs/>
                          <w:noProof/>
                          <w:sz w:val="20"/>
                          <w:szCs w:val="20"/>
                        </w:rPr>
                        <w:t>Rosemary Huxtable PSM</w:t>
                      </w:r>
                    </w:p>
                    <w:p w14:paraId="2AFD6D97" w14:textId="77777777" w:rsidR="00A92CF9" w:rsidRDefault="00A92CF9">
                      <w:pPr>
                        <w:pStyle w:val="Header"/>
                        <w:tabs>
                          <w:tab w:val="clear" w:pos="4153"/>
                          <w:tab w:val="clear" w:pos="8306"/>
                          <w:tab w:val="left" w:pos="7938"/>
                        </w:tabs>
                        <w:spacing w:after="0"/>
                        <w:ind w:right="-992"/>
                        <w:rPr>
                          <w:rFonts w:ascii="Arial" w:hAnsi="Arial" w:cs="Arial"/>
                          <w:b/>
                          <w:bCs/>
                          <w:sz w:val="20"/>
                          <w:szCs w:val="20"/>
                        </w:rPr>
                      </w:pPr>
                      <w:r>
                        <w:rPr>
                          <w:rFonts w:ascii="Arial" w:hAnsi="Arial" w:cs="Arial"/>
                          <w:b/>
                          <w:bCs/>
                          <w:noProof/>
                          <w:sz w:val="20"/>
                          <w:szCs w:val="20"/>
                        </w:rPr>
                        <w:t>Secretary</w:t>
                      </w:r>
                    </w:p>
                  </w:txbxContent>
                </v:textbox>
                <w10:wrap type="square"/>
              </v:shape>
            </w:pict>
          </mc:Fallback>
        </mc:AlternateContent>
      </w:r>
      <w:r w:rsidR="005710C5">
        <w:tab/>
      </w:r>
    </w:p>
    <w:p w14:paraId="6C9A2407" w14:textId="77777777" w:rsidR="005710C5" w:rsidRDefault="005710C5">
      <w:pPr>
        <w:pStyle w:val="Header"/>
        <w:tabs>
          <w:tab w:val="clear" w:pos="4153"/>
          <w:tab w:val="clear" w:pos="8306"/>
        </w:tabs>
        <w:spacing w:after="0"/>
        <w:rPr>
          <w:rFonts w:ascii="Arial" w:hAnsi="Arial" w:cs="Arial"/>
        </w:rPr>
      </w:pPr>
    </w:p>
    <w:p w14:paraId="70651F2B" w14:textId="77777777" w:rsidR="0093391E" w:rsidRDefault="0093391E">
      <w:pPr>
        <w:rPr>
          <w:sz w:val="20"/>
          <w:szCs w:val="20"/>
          <w:highlight w:val="yellow"/>
        </w:rPr>
      </w:pPr>
    </w:p>
    <w:p w14:paraId="7269B3EC" w14:textId="77777777" w:rsidR="0093391E" w:rsidRDefault="0093391E">
      <w:pPr>
        <w:rPr>
          <w:sz w:val="20"/>
          <w:szCs w:val="20"/>
          <w:highlight w:val="yellow"/>
        </w:rPr>
      </w:pPr>
    </w:p>
    <w:p w14:paraId="5C2855F3" w14:textId="77777777" w:rsidR="006128CA" w:rsidRDefault="006128CA">
      <w:pPr>
        <w:rPr>
          <w:sz w:val="20"/>
          <w:szCs w:val="20"/>
        </w:rPr>
      </w:pPr>
    </w:p>
    <w:p w14:paraId="127636CD" w14:textId="77777777" w:rsidR="005710C5" w:rsidRDefault="005710C5">
      <w:pPr>
        <w:rPr>
          <w:sz w:val="20"/>
          <w:szCs w:val="20"/>
        </w:rPr>
      </w:pPr>
      <w:r w:rsidRPr="0093391E">
        <w:rPr>
          <w:sz w:val="20"/>
          <w:szCs w:val="20"/>
        </w:rPr>
        <w:t xml:space="preserve">Our Ref:  </w:t>
      </w:r>
      <w:r w:rsidR="0093391E">
        <w:rPr>
          <w:sz w:val="20"/>
          <w:szCs w:val="20"/>
        </w:rPr>
        <w:t>SEC00</w:t>
      </w:r>
      <w:r w:rsidR="00757328">
        <w:rPr>
          <w:sz w:val="20"/>
          <w:szCs w:val="20"/>
        </w:rPr>
        <w:t>14387</w:t>
      </w:r>
    </w:p>
    <w:p w14:paraId="5C21230C" w14:textId="77777777" w:rsidR="0093391E" w:rsidRDefault="0093391E">
      <w:pPr>
        <w:rPr>
          <w:sz w:val="20"/>
          <w:szCs w:val="20"/>
        </w:rPr>
      </w:pPr>
    </w:p>
    <w:p w14:paraId="7E4A759F" w14:textId="77777777" w:rsidR="0093391E" w:rsidRDefault="0093391E">
      <w:pPr>
        <w:rPr>
          <w:sz w:val="20"/>
          <w:szCs w:val="20"/>
        </w:rPr>
      </w:pPr>
    </w:p>
    <w:p w14:paraId="098F550B" w14:textId="77777777" w:rsidR="005710C5" w:rsidRDefault="005710C5"/>
    <w:p w14:paraId="5ABE3946" w14:textId="77777777" w:rsidR="00830AC0" w:rsidRDefault="00830AC0" w:rsidP="00830AC0">
      <w:r>
        <w:t>Senator Dean Smith</w:t>
      </w:r>
    </w:p>
    <w:p w14:paraId="4EA807B3" w14:textId="77777777" w:rsidR="00830AC0" w:rsidRDefault="00830AC0" w:rsidP="00830AC0">
      <w:r>
        <w:t>Chair</w:t>
      </w:r>
    </w:p>
    <w:p w14:paraId="1F3C2CA1" w14:textId="77777777" w:rsidR="00830AC0" w:rsidRDefault="00830AC0" w:rsidP="00830AC0">
      <w:r>
        <w:t>Joint Committee of Public Accounts and Audit</w:t>
      </w:r>
    </w:p>
    <w:p w14:paraId="6288E4B8" w14:textId="77777777" w:rsidR="00830AC0" w:rsidRDefault="00830AC0" w:rsidP="00830AC0">
      <w:r>
        <w:t>Parliament House</w:t>
      </w:r>
    </w:p>
    <w:p w14:paraId="38BB4494" w14:textId="77777777" w:rsidR="00830AC0" w:rsidRDefault="00830AC0" w:rsidP="00830AC0">
      <w:r>
        <w:t>CANBERRA ACT 2600</w:t>
      </w:r>
    </w:p>
    <w:p w14:paraId="0342C486" w14:textId="77777777" w:rsidR="005710C5" w:rsidRDefault="005710C5">
      <w:pPr>
        <w:pStyle w:val="Header"/>
        <w:tabs>
          <w:tab w:val="clear" w:pos="4153"/>
          <w:tab w:val="clear" w:pos="8306"/>
        </w:tabs>
      </w:pPr>
    </w:p>
    <w:p w14:paraId="6C1B8190" w14:textId="77777777" w:rsidR="00830AC0" w:rsidRDefault="0097476C" w:rsidP="00830AC0">
      <w:r>
        <w:t>D</w:t>
      </w:r>
      <w:r w:rsidR="00830AC0">
        <w:t>ear Senator Smith</w:t>
      </w:r>
    </w:p>
    <w:p w14:paraId="76465CC2" w14:textId="77777777" w:rsidR="00830AC0" w:rsidRDefault="00830AC0" w:rsidP="00830AC0"/>
    <w:p w14:paraId="04616A9A" w14:textId="24110B0A" w:rsidR="00830AC0" w:rsidRDefault="00830AC0" w:rsidP="003B7177">
      <w:pPr>
        <w:pStyle w:val="Header"/>
        <w:tabs>
          <w:tab w:val="clear" w:pos="4153"/>
          <w:tab w:val="clear" w:pos="8306"/>
        </w:tabs>
        <w:rPr>
          <w:i/>
          <w:lang w:val="en"/>
        </w:rPr>
      </w:pPr>
      <w:bookmarkStart w:id="0" w:name="EstMemoHolder"/>
      <w:r>
        <w:t xml:space="preserve">Thank you for </w:t>
      </w:r>
      <w:r w:rsidR="009418F5">
        <w:t xml:space="preserve">providing a copy of </w:t>
      </w:r>
      <w:r>
        <w:t xml:space="preserve">the Joint Committee of Public Accounts and Audit </w:t>
      </w:r>
      <w:r w:rsidRPr="00A27DF9">
        <w:rPr>
          <w:i/>
        </w:rPr>
        <w:t>Report 457</w:t>
      </w:r>
      <w:r w:rsidR="003B7177">
        <w:rPr>
          <w:i/>
        </w:rPr>
        <w:t xml:space="preserve">: </w:t>
      </w:r>
      <w:r w:rsidR="003B7177" w:rsidRPr="003B7177">
        <w:rPr>
          <w:i/>
          <w:lang w:val="en"/>
        </w:rPr>
        <w:t>Development of the Commonwealth Performance Framework - Second Report</w:t>
      </w:r>
      <w:r w:rsidR="009418F5">
        <w:rPr>
          <w:i/>
          <w:lang w:val="en"/>
        </w:rPr>
        <w:t xml:space="preserve"> </w:t>
      </w:r>
      <w:r w:rsidR="009418F5">
        <w:rPr>
          <w:lang w:val="en"/>
        </w:rPr>
        <w:t xml:space="preserve">following its tabling in parliament on </w:t>
      </w:r>
      <w:r w:rsidR="00DA5913">
        <w:rPr>
          <w:lang w:val="en"/>
        </w:rPr>
        <w:t xml:space="preserve">Thursday, </w:t>
      </w:r>
      <w:r w:rsidR="009418F5">
        <w:rPr>
          <w:lang w:val="en"/>
        </w:rPr>
        <w:t>5 May 2016</w:t>
      </w:r>
      <w:r w:rsidR="00B20D22">
        <w:rPr>
          <w:i/>
          <w:lang w:val="en"/>
        </w:rPr>
        <w:t>.</w:t>
      </w:r>
    </w:p>
    <w:p w14:paraId="3CE14A16" w14:textId="55EB3F11" w:rsidR="007432EB" w:rsidRPr="00FA7B58" w:rsidRDefault="007432EB" w:rsidP="003B7177">
      <w:pPr>
        <w:pStyle w:val="Header"/>
        <w:tabs>
          <w:tab w:val="clear" w:pos="4153"/>
          <w:tab w:val="clear" w:pos="8306"/>
        </w:tabs>
        <w:rPr>
          <w:lang w:val="en"/>
        </w:rPr>
      </w:pPr>
      <w:r>
        <w:rPr>
          <w:lang w:val="en"/>
        </w:rPr>
        <w:t>I welcome the opportunity that the Finance Department has had to engage with the Committee since the tabling of the Report and further address the issues raised.</w:t>
      </w:r>
    </w:p>
    <w:p w14:paraId="28434D9E" w14:textId="15F9C08E" w:rsidR="00D4053A" w:rsidRPr="00484BA8" w:rsidRDefault="007432EB" w:rsidP="00B20D22">
      <w:pPr>
        <w:pStyle w:val="Header"/>
        <w:tabs>
          <w:tab w:val="clear" w:pos="4153"/>
          <w:tab w:val="clear" w:pos="8306"/>
        </w:tabs>
        <w:rPr>
          <w:i/>
          <w:lang w:val="en"/>
        </w:rPr>
      </w:pPr>
      <w:r>
        <w:rPr>
          <w:lang w:val="en"/>
        </w:rPr>
        <w:t xml:space="preserve">Further to the information provided to the Committee and the ongoing </w:t>
      </w:r>
      <w:r w:rsidR="0019062F">
        <w:rPr>
          <w:lang w:val="en"/>
        </w:rPr>
        <w:t>dialogue</w:t>
      </w:r>
      <w:r>
        <w:rPr>
          <w:lang w:val="en"/>
        </w:rPr>
        <w:t xml:space="preserve"> that has occurred, please </w:t>
      </w:r>
      <w:r w:rsidR="00B20D22">
        <w:rPr>
          <w:lang w:val="en"/>
        </w:rPr>
        <w:t xml:space="preserve">find </w:t>
      </w:r>
      <w:r w:rsidR="0093391E">
        <w:rPr>
          <w:lang w:val="en"/>
        </w:rPr>
        <w:t xml:space="preserve">attached </w:t>
      </w:r>
      <w:r w:rsidR="00775B22">
        <w:rPr>
          <w:lang w:val="en"/>
        </w:rPr>
        <w:t xml:space="preserve">an Executive Minute containing </w:t>
      </w:r>
      <w:r w:rsidR="0093391E">
        <w:rPr>
          <w:lang w:val="en"/>
        </w:rPr>
        <w:t xml:space="preserve">the response </w:t>
      </w:r>
      <w:r w:rsidR="00B20D22">
        <w:rPr>
          <w:lang w:val="en"/>
        </w:rPr>
        <w:t>to the recommendations in the Report</w:t>
      </w:r>
      <w:r w:rsidR="00484BA8">
        <w:rPr>
          <w:lang w:val="en"/>
        </w:rPr>
        <w:t xml:space="preserve"> prepared in accordance with the agreed </w:t>
      </w:r>
      <w:r w:rsidR="00484BA8">
        <w:rPr>
          <w:rStyle w:val="Emphasis"/>
          <w:i w:val="0"/>
          <w:lang w:val="en"/>
        </w:rPr>
        <w:t xml:space="preserve">protocol </w:t>
      </w:r>
      <w:r w:rsidR="00717FE0">
        <w:rPr>
          <w:rStyle w:val="Emphasis"/>
          <w:i w:val="0"/>
          <w:lang w:val="en"/>
        </w:rPr>
        <w:t>for</w:t>
      </w:r>
      <w:r w:rsidR="00484BA8" w:rsidRPr="00484BA8">
        <w:rPr>
          <w:rStyle w:val="Emphasis"/>
          <w:i w:val="0"/>
          <w:lang w:val="en"/>
        </w:rPr>
        <w:t xml:space="preserve"> response</w:t>
      </w:r>
      <w:r w:rsidR="00717FE0">
        <w:rPr>
          <w:rStyle w:val="Emphasis"/>
          <w:i w:val="0"/>
          <w:lang w:val="en"/>
        </w:rPr>
        <w:t>s</w:t>
      </w:r>
      <w:r w:rsidR="00484BA8" w:rsidRPr="00484BA8">
        <w:rPr>
          <w:rStyle w:val="Emphasis"/>
          <w:i w:val="0"/>
          <w:lang w:val="en"/>
        </w:rPr>
        <w:t xml:space="preserve"> to Committee </w:t>
      </w:r>
      <w:r w:rsidR="000B274A">
        <w:rPr>
          <w:rStyle w:val="Emphasis"/>
          <w:i w:val="0"/>
          <w:lang w:val="en"/>
        </w:rPr>
        <w:t>Reports</w:t>
      </w:r>
      <w:r w:rsidR="00B20D22" w:rsidRPr="00484BA8">
        <w:rPr>
          <w:i/>
          <w:lang w:val="en"/>
        </w:rPr>
        <w:t>.</w:t>
      </w:r>
      <w:bookmarkEnd w:id="0"/>
    </w:p>
    <w:p w14:paraId="39057EAA" w14:textId="0C9555D6" w:rsidR="002D1423" w:rsidRDefault="00D4053A" w:rsidP="00B20D22">
      <w:pPr>
        <w:pStyle w:val="Header"/>
        <w:tabs>
          <w:tab w:val="clear" w:pos="4153"/>
          <w:tab w:val="clear" w:pos="8306"/>
        </w:tabs>
      </w:pPr>
      <w:r>
        <w:rPr>
          <w:lang w:val="en"/>
        </w:rPr>
        <w:t xml:space="preserve">We look forward to continuing our positive </w:t>
      </w:r>
      <w:r w:rsidR="00484BA8">
        <w:rPr>
          <w:lang w:val="en"/>
        </w:rPr>
        <w:t>engagement</w:t>
      </w:r>
      <w:r>
        <w:rPr>
          <w:lang w:val="en"/>
        </w:rPr>
        <w:t xml:space="preserve"> with the Committee</w:t>
      </w:r>
      <w:r w:rsidR="00775B22">
        <w:rPr>
          <w:lang w:val="en"/>
        </w:rPr>
        <w:t xml:space="preserve"> on this issue</w:t>
      </w:r>
      <w:r>
        <w:rPr>
          <w:lang w:val="en"/>
        </w:rPr>
        <w:t>.</w:t>
      </w:r>
      <w:r w:rsidR="00B20D22">
        <w:rPr>
          <w:lang w:val="en"/>
        </w:rPr>
        <w:br/>
      </w:r>
    </w:p>
    <w:p w14:paraId="22D9188D" w14:textId="77777777" w:rsidR="00DE4E08" w:rsidRDefault="002D1423" w:rsidP="00D272F2">
      <w:pPr>
        <w:pStyle w:val="Header"/>
        <w:spacing w:after="0"/>
      </w:pPr>
      <w:r>
        <w:t>Yours sincerely</w:t>
      </w:r>
    </w:p>
    <w:p w14:paraId="7D8F9610" w14:textId="77777777" w:rsidR="00DE4E08" w:rsidRDefault="00DE4E08" w:rsidP="00D272F2">
      <w:pPr>
        <w:pStyle w:val="Header"/>
        <w:spacing w:after="0"/>
      </w:pPr>
    </w:p>
    <w:p w14:paraId="087CD08A" w14:textId="5CAA1349" w:rsidR="00DE4E08" w:rsidRDefault="002E1C3F">
      <w:pPr>
        <w:pStyle w:val="Header"/>
        <w:tabs>
          <w:tab w:val="clear" w:pos="4153"/>
          <w:tab w:val="clear" w:pos="8306"/>
        </w:tabs>
      </w:pPr>
      <w:r>
        <w:br/>
      </w:r>
    </w:p>
    <w:p w14:paraId="67B5DC50" w14:textId="77777777" w:rsidR="005D0292" w:rsidRDefault="004E418D" w:rsidP="00B71E54">
      <w:pPr>
        <w:pStyle w:val="Header"/>
        <w:tabs>
          <w:tab w:val="clear" w:pos="4153"/>
          <w:tab w:val="clear" w:pos="8306"/>
        </w:tabs>
        <w:spacing w:after="0"/>
      </w:pPr>
      <w:r>
        <w:t>Rosemary Huxtable</w:t>
      </w:r>
      <w:r w:rsidR="005D0292">
        <w:br/>
        <w:t>Secretary</w:t>
      </w:r>
    </w:p>
    <w:p w14:paraId="46D1C4D9" w14:textId="6FCE835F" w:rsidR="005710C5" w:rsidRPr="005D0292" w:rsidRDefault="00974853" w:rsidP="00B71E54">
      <w:pPr>
        <w:pStyle w:val="Header"/>
        <w:tabs>
          <w:tab w:val="clear" w:pos="4153"/>
          <w:tab w:val="clear" w:pos="8306"/>
        </w:tabs>
        <w:spacing w:after="0"/>
      </w:pPr>
      <w:r>
        <w:br/>
        <w:t>30</w:t>
      </w:r>
      <w:r w:rsidR="005710C5">
        <w:t xml:space="preserve"> </w:t>
      </w:r>
      <w:bookmarkStart w:id="1" w:name="_GoBack"/>
      <w:bookmarkEnd w:id="1"/>
      <w:r w:rsidR="00830AC0">
        <w:t>March 2017</w:t>
      </w:r>
    </w:p>
    <w:p w14:paraId="7879A639" w14:textId="77777777" w:rsidR="005710C5" w:rsidRDefault="005710C5">
      <w:pPr>
        <w:pStyle w:val="Header"/>
        <w:tabs>
          <w:tab w:val="clear" w:pos="4153"/>
          <w:tab w:val="clear" w:pos="8306"/>
        </w:tabs>
      </w:pPr>
    </w:p>
    <w:p w14:paraId="66AFA775" w14:textId="2A5978AB" w:rsidR="0097476C" w:rsidRDefault="0097476C" w:rsidP="006F0F76">
      <w:pPr>
        <w:spacing w:line="240" w:lineRule="auto"/>
        <w:jc w:val="center"/>
      </w:pPr>
      <w:r>
        <w:br w:type="page"/>
      </w:r>
      <w:r>
        <w:rPr>
          <w:rFonts w:ascii="Arial" w:hAnsi="Arial" w:cs="Arial"/>
          <w:b/>
          <w:noProof/>
          <w:sz w:val="12"/>
          <w:szCs w:val="12"/>
          <w:lang w:eastAsia="en-AU"/>
        </w:rPr>
        <w:lastRenderedPageBreak/>
        <w:drawing>
          <wp:inline distT="0" distB="0" distL="0" distR="0" wp14:anchorId="3E3879D5" wp14:editId="17A6C19A">
            <wp:extent cx="2216785" cy="1509395"/>
            <wp:effectExtent l="19050" t="0" r="0" b="0"/>
            <wp:docPr id="3" name="Picture 2" descr="G:\Executive\DOC\Office Support\Logos\Finance_stacked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xecutive\DOC\Office Support\Logos\Finance_stacked_blk.jpg"/>
                    <pic:cNvPicPr>
                      <a:picLocks noChangeAspect="1" noChangeArrowheads="1"/>
                    </pic:cNvPicPr>
                  </pic:nvPicPr>
                  <pic:blipFill>
                    <a:blip r:embed="rId7" cstate="print"/>
                    <a:srcRect/>
                    <a:stretch>
                      <a:fillRect/>
                    </a:stretch>
                  </pic:blipFill>
                  <pic:spPr bwMode="auto">
                    <a:xfrm>
                      <a:off x="0" y="0"/>
                      <a:ext cx="2216785" cy="1509395"/>
                    </a:xfrm>
                    <a:prstGeom prst="rect">
                      <a:avLst/>
                    </a:prstGeom>
                    <a:noFill/>
                    <a:ln w="9525">
                      <a:noFill/>
                      <a:miter lim="800000"/>
                      <a:headEnd/>
                      <a:tailEnd/>
                    </a:ln>
                  </pic:spPr>
                </pic:pic>
              </a:graphicData>
            </a:graphic>
          </wp:inline>
        </w:drawing>
      </w:r>
    </w:p>
    <w:p w14:paraId="7BB81DD3" w14:textId="77777777" w:rsidR="00BE5A47" w:rsidRDefault="00BE5A47" w:rsidP="0097476C">
      <w:pPr>
        <w:pStyle w:val="Header"/>
        <w:tabs>
          <w:tab w:val="clear" w:pos="4153"/>
          <w:tab w:val="clear" w:pos="8306"/>
        </w:tabs>
        <w:jc w:val="center"/>
      </w:pPr>
    </w:p>
    <w:p w14:paraId="615D1E30" w14:textId="77777777" w:rsidR="0097476C" w:rsidRDefault="0097476C" w:rsidP="0097476C">
      <w:pPr>
        <w:pStyle w:val="Title"/>
        <w:pBdr>
          <w:top w:val="single" w:sz="4" w:space="1" w:color="auto" w:shadow="1"/>
          <w:left w:val="single" w:sz="4" w:space="4" w:color="auto" w:shadow="1"/>
          <w:bottom w:val="single" w:sz="4" w:space="1" w:color="auto" w:shadow="1"/>
          <w:right w:val="single" w:sz="4" w:space="0" w:color="auto" w:shadow="1"/>
        </w:pBdr>
        <w:shd w:val="pct5" w:color="auto" w:fill="auto"/>
        <w:ind w:left="1701" w:right="1643"/>
      </w:pPr>
      <w:r>
        <w:rPr>
          <w:sz w:val="36"/>
          <w:szCs w:val="36"/>
        </w:rPr>
        <w:t>E</w:t>
      </w:r>
      <w:r>
        <w:t xml:space="preserve">XECUTIVE </w:t>
      </w:r>
      <w:r>
        <w:rPr>
          <w:sz w:val="36"/>
          <w:szCs w:val="36"/>
        </w:rPr>
        <w:t>M</w:t>
      </w:r>
      <w:r>
        <w:t>INUTE</w:t>
      </w:r>
    </w:p>
    <w:p w14:paraId="4C5BFF10" w14:textId="77777777" w:rsidR="0097476C" w:rsidRDefault="0097476C" w:rsidP="0097476C">
      <w:pPr>
        <w:jc w:val="center"/>
        <w:rPr>
          <w:b/>
          <w:bCs/>
        </w:rPr>
      </w:pPr>
      <w:r>
        <w:rPr>
          <w:b/>
          <w:bCs/>
        </w:rPr>
        <w:t>on</w:t>
      </w:r>
    </w:p>
    <w:p w14:paraId="0054EAAC" w14:textId="77777777" w:rsidR="0097476C" w:rsidRDefault="0097476C" w:rsidP="0097476C">
      <w:pPr>
        <w:jc w:val="center"/>
        <w:rPr>
          <w:b/>
          <w:bCs/>
        </w:rPr>
      </w:pPr>
    </w:p>
    <w:p w14:paraId="54BB8480" w14:textId="77777777" w:rsidR="0097476C" w:rsidRPr="00B12AFB" w:rsidRDefault="0097476C" w:rsidP="0097476C">
      <w:pPr>
        <w:jc w:val="center"/>
        <w:rPr>
          <w:b/>
          <w:bCs/>
          <w:sz w:val="28"/>
        </w:rPr>
      </w:pPr>
      <w:r w:rsidRPr="00B12AFB">
        <w:rPr>
          <w:b/>
          <w:bCs/>
          <w:sz w:val="28"/>
        </w:rPr>
        <w:t>JOINT COMMITTEE OF PUBLIC ACCOUNTS AND AUDIT</w:t>
      </w:r>
    </w:p>
    <w:p w14:paraId="38D70F4C" w14:textId="77777777" w:rsidR="0097476C" w:rsidRPr="00B12AFB" w:rsidRDefault="0097476C" w:rsidP="0097476C">
      <w:pPr>
        <w:jc w:val="center"/>
        <w:rPr>
          <w:b/>
          <w:bCs/>
          <w:sz w:val="28"/>
        </w:rPr>
      </w:pPr>
    </w:p>
    <w:p w14:paraId="2D72B4F2" w14:textId="77777777" w:rsidR="0097476C" w:rsidRPr="00B12AFB" w:rsidRDefault="0097476C" w:rsidP="0097476C">
      <w:pPr>
        <w:jc w:val="center"/>
        <w:rPr>
          <w:b/>
          <w:bCs/>
          <w:iCs/>
          <w:sz w:val="28"/>
        </w:rPr>
      </w:pPr>
      <w:r w:rsidRPr="00B12AFB">
        <w:rPr>
          <w:b/>
          <w:bCs/>
          <w:sz w:val="28"/>
        </w:rPr>
        <w:t xml:space="preserve">REPORT </w:t>
      </w:r>
      <w:r w:rsidRPr="00B12AFB">
        <w:rPr>
          <w:b/>
          <w:bCs/>
          <w:iCs/>
          <w:sz w:val="28"/>
        </w:rPr>
        <w:t>No.457</w:t>
      </w:r>
    </w:p>
    <w:p w14:paraId="249475B1" w14:textId="77777777" w:rsidR="0097476C" w:rsidRPr="00B12AFB" w:rsidRDefault="0097476C" w:rsidP="0097476C">
      <w:pPr>
        <w:pStyle w:val="Header"/>
        <w:tabs>
          <w:tab w:val="clear" w:pos="4153"/>
          <w:tab w:val="clear" w:pos="8306"/>
        </w:tabs>
        <w:jc w:val="center"/>
        <w:rPr>
          <w:b/>
          <w:i/>
          <w:sz w:val="28"/>
          <w:lang w:val="en"/>
        </w:rPr>
      </w:pPr>
      <w:r w:rsidRPr="00B12AFB">
        <w:rPr>
          <w:b/>
          <w:i/>
          <w:sz w:val="28"/>
          <w:lang w:val="en"/>
        </w:rPr>
        <w:t>Development of the Commonwealth Performance Framework - Second Report</w:t>
      </w:r>
    </w:p>
    <w:p w14:paraId="6E73CF9B" w14:textId="77777777" w:rsidR="0097476C" w:rsidRPr="00B12AFB" w:rsidRDefault="00B12AFB" w:rsidP="0097476C">
      <w:pPr>
        <w:pStyle w:val="Header"/>
        <w:tabs>
          <w:tab w:val="clear" w:pos="4153"/>
          <w:tab w:val="clear" w:pos="8306"/>
        </w:tabs>
        <w:rPr>
          <w:b/>
          <w:sz w:val="28"/>
          <w:lang w:val="en"/>
        </w:rPr>
      </w:pPr>
      <w:r>
        <w:rPr>
          <w:b/>
          <w:sz w:val="28"/>
          <w:lang w:val="en"/>
        </w:rPr>
        <w:br/>
      </w:r>
      <w:r w:rsidR="0097476C" w:rsidRPr="00B12AFB">
        <w:rPr>
          <w:b/>
          <w:sz w:val="28"/>
          <w:lang w:val="en"/>
        </w:rPr>
        <w:t>General Comments</w:t>
      </w:r>
    </w:p>
    <w:p w14:paraId="6BF05203" w14:textId="0475D9BA" w:rsidR="0097476C" w:rsidRPr="00FB5BFA" w:rsidRDefault="0097476C" w:rsidP="00D4053A">
      <w:pPr>
        <w:pStyle w:val="NormalWeb"/>
        <w:rPr>
          <w:lang w:val="en"/>
        </w:rPr>
      </w:pPr>
      <w:r w:rsidRPr="00FB5BFA">
        <w:t>On 26 March 2015, the Joint Committee of Public Accounts and Audit (</w:t>
      </w:r>
      <w:r w:rsidR="00717FE0">
        <w:t>Committee</w:t>
      </w:r>
      <w:r w:rsidRPr="00FB5BFA">
        <w:t xml:space="preserve">) resolved to </w:t>
      </w:r>
      <w:r w:rsidRPr="00FB5BFA">
        <w:rPr>
          <w:lang w:val="en"/>
        </w:rPr>
        <w:t>inquire into and report on the development of the Commonwealth Performance Framework to ensure an effective, integrated performance management system that continues to improve accountability to the Parliament and the publi</w:t>
      </w:r>
      <w:r w:rsidR="00D4053A">
        <w:rPr>
          <w:lang w:val="en"/>
        </w:rPr>
        <w:t xml:space="preserve">c, with particular reference to </w:t>
      </w:r>
      <w:r w:rsidRPr="00FB5BFA">
        <w:rPr>
          <w:lang w:val="en"/>
        </w:rPr>
        <w:t>enhancing the effectiveness of key performance information under the framework, including:</w:t>
      </w:r>
    </w:p>
    <w:p w14:paraId="7D871BB9" w14:textId="77777777" w:rsidR="0097476C" w:rsidRPr="00FB5BFA" w:rsidRDefault="0097476C" w:rsidP="00D4053A">
      <w:pPr>
        <w:pStyle w:val="NormalWeb"/>
        <w:numPr>
          <w:ilvl w:val="0"/>
          <w:numId w:val="10"/>
        </w:numPr>
        <w:spacing w:before="0" w:beforeAutospacing="0" w:after="0" w:afterAutospacing="0"/>
        <w:rPr>
          <w:lang w:val="en"/>
        </w:rPr>
      </w:pPr>
      <w:r w:rsidRPr="00FB5BFA">
        <w:rPr>
          <w:lang w:val="en"/>
        </w:rPr>
        <w:t>performance measures that both foreshadow and subsequently assess the impact of government programs;</w:t>
      </w:r>
    </w:p>
    <w:p w14:paraId="433F71EE" w14:textId="77777777" w:rsidR="0097476C" w:rsidRPr="00FB5BFA" w:rsidRDefault="0097476C" w:rsidP="00D4053A">
      <w:pPr>
        <w:pStyle w:val="NormalWeb"/>
        <w:numPr>
          <w:ilvl w:val="0"/>
          <w:numId w:val="10"/>
        </w:numPr>
        <w:rPr>
          <w:lang w:val="en"/>
        </w:rPr>
      </w:pPr>
      <w:r w:rsidRPr="00FB5BFA">
        <w:rPr>
          <w:lang w:val="en"/>
        </w:rPr>
        <w:t>criteria that performance information must satisfy, to enable performance comparisons across Commonwealth entities and ensure auditable performance information;</w:t>
      </w:r>
    </w:p>
    <w:p w14:paraId="74029CB0" w14:textId="684C00E0" w:rsidR="0097476C" w:rsidRPr="00FB5BFA" w:rsidRDefault="0097476C" w:rsidP="00D4053A">
      <w:pPr>
        <w:pStyle w:val="NormalWeb"/>
        <w:numPr>
          <w:ilvl w:val="0"/>
          <w:numId w:val="10"/>
        </w:numPr>
        <w:rPr>
          <w:lang w:val="en"/>
        </w:rPr>
      </w:pPr>
      <w:r w:rsidRPr="00FB5BFA">
        <w:rPr>
          <w:lang w:val="en"/>
        </w:rPr>
        <w:t xml:space="preserve">reporting of high level, quantitative key performance information across </w:t>
      </w:r>
      <w:r w:rsidR="007B2A8F">
        <w:rPr>
          <w:lang w:val="en"/>
        </w:rPr>
        <w:t xml:space="preserve">the </w:t>
      </w:r>
      <w:r w:rsidRPr="00FB5BFA">
        <w:rPr>
          <w:lang w:val="en"/>
        </w:rPr>
        <w:t xml:space="preserve">Australian </w:t>
      </w:r>
      <w:r w:rsidR="007B2A8F">
        <w:rPr>
          <w:lang w:val="en"/>
        </w:rPr>
        <w:t>G</w:t>
      </w:r>
      <w:r w:rsidRPr="00FB5BFA">
        <w:rPr>
          <w:lang w:val="en"/>
        </w:rPr>
        <w:t>overnment;</w:t>
      </w:r>
    </w:p>
    <w:p w14:paraId="2341F4FD" w14:textId="77777777" w:rsidR="0097476C" w:rsidRPr="00FB5BFA" w:rsidRDefault="0097476C" w:rsidP="00D4053A">
      <w:pPr>
        <w:pStyle w:val="NormalWeb"/>
        <w:numPr>
          <w:ilvl w:val="0"/>
          <w:numId w:val="10"/>
        </w:numPr>
        <w:rPr>
          <w:lang w:val="en"/>
        </w:rPr>
      </w:pPr>
      <w:r w:rsidRPr="00FB5BFA">
        <w:rPr>
          <w:lang w:val="en"/>
        </w:rPr>
        <w:t>enhancing the effectiveness of performance documentation under the framework, including annual reports, corporate plans and Portfolio Budget Statements;</w:t>
      </w:r>
    </w:p>
    <w:p w14:paraId="34605ADD" w14:textId="77777777" w:rsidR="0097476C" w:rsidRPr="00FB5BFA" w:rsidRDefault="0097476C" w:rsidP="00D4053A">
      <w:pPr>
        <w:pStyle w:val="NormalWeb"/>
        <w:numPr>
          <w:ilvl w:val="0"/>
          <w:numId w:val="10"/>
        </w:numPr>
        <w:rPr>
          <w:lang w:val="en"/>
        </w:rPr>
      </w:pPr>
      <w:r w:rsidRPr="00FB5BFA">
        <w:rPr>
          <w:lang w:val="en"/>
        </w:rPr>
        <w:t xml:space="preserve">enhancing the effectiveness of the </w:t>
      </w:r>
      <w:r w:rsidRPr="00FB5BFA">
        <w:rPr>
          <w:i/>
          <w:lang w:val="en"/>
        </w:rPr>
        <w:t>Public Governance, Performance and Accountability Act 2013</w:t>
      </w:r>
      <w:r w:rsidRPr="00FB5BFA">
        <w:rPr>
          <w:lang w:val="en"/>
        </w:rPr>
        <w:t xml:space="preserve"> rule and Department of Finance Resource Management Guides for the Commonwealth performance framework;</w:t>
      </w:r>
    </w:p>
    <w:p w14:paraId="6F8A98AA" w14:textId="77777777" w:rsidR="0097476C" w:rsidRPr="00FB5BFA" w:rsidRDefault="0097476C" w:rsidP="00D4053A">
      <w:pPr>
        <w:pStyle w:val="NormalWeb"/>
        <w:numPr>
          <w:ilvl w:val="0"/>
          <w:numId w:val="10"/>
        </w:numPr>
        <w:rPr>
          <w:lang w:val="en"/>
        </w:rPr>
      </w:pPr>
      <w:r w:rsidRPr="00FB5BFA">
        <w:rPr>
          <w:lang w:val="en"/>
        </w:rPr>
        <w:t>Commonwealth entity requirements concerning implementation of the performance framework;</w:t>
      </w:r>
    </w:p>
    <w:p w14:paraId="330F9D6E" w14:textId="77777777" w:rsidR="0097476C" w:rsidRPr="00FB5BFA" w:rsidRDefault="0097476C" w:rsidP="00D4053A">
      <w:pPr>
        <w:pStyle w:val="NormalWeb"/>
        <w:numPr>
          <w:ilvl w:val="0"/>
          <w:numId w:val="10"/>
        </w:numPr>
        <w:rPr>
          <w:lang w:val="en"/>
        </w:rPr>
      </w:pPr>
      <w:r w:rsidRPr="00FB5BFA">
        <w:rPr>
          <w:lang w:val="en"/>
        </w:rPr>
        <w:t>Australian and international models; and</w:t>
      </w:r>
    </w:p>
    <w:p w14:paraId="79175F8C" w14:textId="77777777" w:rsidR="0097476C" w:rsidRPr="00FB5BFA" w:rsidRDefault="0097476C" w:rsidP="00D4053A">
      <w:pPr>
        <w:pStyle w:val="NormalWeb"/>
        <w:numPr>
          <w:ilvl w:val="0"/>
          <w:numId w:val="10"/>
        </w:numPr>
        <w:rPr>
          <w:lang w:val="en"/>
        </w:rPr>
      </w:pPr>
      <w:r w:rsidRPr="00FB5BFA">
        <w:rPr>
          <w:lang w:val="en"/>
        </w:rPr>
        <w:t>any other relevant matters.</w:t>
      </w:r>
    </w:p>
    <w:p w14:paraId="10B96EDB" w14:textId="1AEF94DE" w:rsidR="0097476C" w:rsidRDefault="0097476C" w:rsidP="0097476C">
      <w:pPr>
        <w:pStyle w:val="Header"/>
        <w:tabs>
          <w:tab w:val="clear" w:pos="4153"/>
          <w:tab w:val="clear" w:pos="8306"/>
        </w:tabs>
      </w:pPr>
      <w:r w:rsidRPr="00FB5BFA">
        <w:t>Report 457,</w:t>
      </w:r>
      <w:r w:rsidR="00B54D84">
        <w:t xml:space="preserve"> </w:t>
      </w:r>
      <w:r w:rsidR="00BF0E29">
        <w:t xml:space="preserve">tabled in </w:t>
      </w:r>
      <w:r w:rsidR="007B2A8F">
        <w:t>P</w:t>
      </w:r>
      <w:r w:rsidR="00BF0E29">
        <w:t>arliament on 5 May 2016</w:t>
      </w:r>
      <w:r w:rsidR="000B274A">
        <w:t>, is the second report of this inquiry.  It</w:t>
      </w:r>
      <w:r w:rsidRPr="00FB5BFA">
        <w:t xml:space="preserve"> made two recommendations</w:t>
      </w:r>
      <w:r w:rsidR="00717FE0">
        <w:t xml:space="preserve">, </w:t>
      </w:r>
      <w:r w:rsidRPr="00FB5BFA">
        <w:t>noted below along with the response</w:t>
      </w:r>
      <w:r w:rsidR="00882148">
        <w:t>s</w:t>
      </w:r>
      <w:r w:rsidR="00B54D84">
        <w:t>.</w:t>
      </w:r>
    </w:p>
    <w:p w14:paraId="34DE77BD" w14:textId="77777777" w:rsidR="00443B97" w:rsidRDefault="00443B97" w:rsidP="0097476C">
      <w:pPr>
        <w:pStyle w:val="Header"/>
        <w:tabs>
          <w:tab w:val="clear" w:pos="4153"/>
          <w:tab w:val="clear" w:pos="8306"/>
        </w:tabs>
        <w:rPr>
          <w:b/>
          <w:lang w:val="en"/>
        </w:rPr>
      </w:pPr>
    </w:p>
    <w:p w14:paraId="55A45FA1" w14:textId="77777777" w:rsidR="0097476C" w:rsidRDefault="0097476C" w:rsidP="00BE5A47">
      <w:pPr>
        <w:spacing w:line="240" w:lineRule="auto"/>
        <w:rPr>
          <w:b/>
          <w:lang w:val="en"/>
        </w:rPr>
      </w:pPr>
      <w:r w:rsidRPr="00B12AFB">
        <w:rPr>
          <w:b/>
          <w:sz w:val="28"/>
          <w:lang w:val="en"/>
        </w:rPr>
        <w:t>Response to the recommendations</w:t>
      </w:r>
    </w:p>
    <w:p w14:paraId="1DF598C1" w14:textId="77777777" w:rsidR="00BE5A47" w:rsidRDefault="00BE5A47" w:rsidP="00BE5A47">
      <w:pPr>
        <w:spacing w:line="240" w:lineRule="auto"/>
        <w:rPr>
          <w:b/>
          <w:lang w:val="en"/>
        </w:rPr>
      </w:pPr>
    </w:p>
    <w:tbl>
      <w:tblPr>
        <w:tblStyle w:val="TableGrid"/>
        <w:tblW w:w="0" w:type="auto"/>
        <w:tblLook w:val="04A0" w:firstRow="1" w:lastRow="0" w:firstColumn="1" w:lastColumn="0" w:noHBand="0" w:noVBand="1"/>
      </w:tblPr>
      <w:tblGrid>
        <w:gridCol w:w="8637"/>
      </w:tblGrid>
      <w:tr w:rsidR="0097476C" w14:paraId="163B8E30" w14:textId="77777777" w:rsidTr="0097476C">
        <w:tc>
          <w:tcPr>
            <w:tcW w:w="8637" w:type="dxa"/>
          </w:tcPr>
          <w:p w14:paraId="71F1E1DA" w14:textId="77777777" w:rsidR="0097476C" w:rsidRPr="0097476C" w:rsidRDefault="0097476C" w:rsidP="00A92CF9">
            <w:pPr>
              <w:pStyle w:val="Default"/>
              <w:spacing w:before="80" w:after="80"/>
              <w:rPr>
                <w:rFonts w:ascii="Times New Roman" w:hAnsi="Times New Roman" w:cs="Times New Roman"/>
                <w:i/>
              </w:rPr>
            </w:pPr>
            <w:r>
              <w:rPr>
                <w:rFonts w:ascii="Times New Roman" w:hAnsi="Times New Roman" w:cs="Times New Roman"/>
                <w:b/>
                <w:bCs/>
              </w:rPr>
              <w:br w:type="page"/>
            </w:r>
            <w:r w:rsidRPr="0097476C">
              <w:rPr>
                <w:rFonts w:ascii="Times New Roman" w:hAnsi="Times New Roman" w:cs="Times New Roman"/>
                <w:b/>
                <w:bCs/>
                <w:i/>
              </w:rPr>
              <w:t xml:space="preserve">Recommendation 1 </w:t>
            </w:r>
          </w:p>
          <w:p w14:paraId="67725BCF" w14:textId="77777777" w:rsidR="0097476C" w:rsidRPr="0097476C" w:rsidRDefault="0097476C" w:rsidP="00A92CF9">
            <w:pPr>
              <w:spacing w:after="120"/>
              <w:rPr>
                <w:rFonts w:ascii="Times New Roman" w:hAnsi="Times New Roman" w:cs="Times New Roman"/>
                <w:i/>
                <w:color w:val="000000"/>
              </w:rPr>
            </w:pPr>
            <w:r w:rsidRPr="0097476C">
              <w:rPr>
                <w:rFonts w:ascii="Times New Roman" w:hAnsi="Times New Roman" w:cs="Times New Roman"/>
                <w:i/>
                <w:color w:val="000000"/>
              </w:rPr>
              <w:t>To facilitate prompt and thorough engagement with the Public Management Reform Agenda by the Joint Committee of Public Accounts and Audit of the 45</w:t>
            </w:r>
            <w:r w:rsidRPr="0097476C">
              <w:rPr>
                <w:rFonts w:ascii="Times New Roman" w:hAnsi="Times New Roman" w:cs="Times New Roman"/>
                <w:i/>
                <w:color w:val="000000"/>
                <w:vertAlign w:val="superscript"/>
              </w:rPr>
              <w:t>th</w:t>
            </w:r>
            <w:r w:rsidRPr="0097476C">
              <w:rPr>
                <w:rFonts w:ascii="Times New Roman" w:hAnsi="Times New Roman" w:cs="Times New Roman"/>
                <w:i/>
                <w:color w:val="000000"/>
              </w:rPr>
              <w:t xml:space="preserve"> Parliament, the Committee recommends that the Department of Finance prepare an incoming brief addressing the following issues:</w:t>
            </w:r>
          </w:p>
          <w:p w14:paraId="2938F888" w14:textId="77777777" w:rsidR="0097476C" w:rsidRPr="0097476C" w:rsidRDefault="0097476C" w:rsidP="0097476C">
            <w:pPr>
              <w:pStyle w:val="ListParagraph"/>
              <w:numPr>
                <w:ilvl w:val="0"/>
                <w:numId w:val="11"/>
              </w:numPr>
              <w:spacing w:after="120" w:line="240" w:lineRule="auto"/>
              <w:rPr>
                <w:rFonts w:ascii="Times New Roman" w:hAnsi="Times New Roman" w:cs="Times New Roman"/>
                <w:i/>
                <w:color w:val="000000"/>
                <w:sz w:val="24"/>
                <w:szCs w:val="24"/>
              </w:rPr>
            </w:pPr>
            <w:r w:rsidRPr="0097476C">
              <w:rPr>
                <w:rFonts w:ascii="Times New Roman" w:hAnsi="Times New Roman" w:cs="Times New Roman"/>
                <w:i/>
                <w:color w:val="000000"/>
                <w:sz w:val="24"/>
                <w:szCs w:val="24"/>
              </w:rPr>
              <w:t>A summary of the history of the PMRA – including its achievements and challenges to date</w:t>
            </w:r>
          </w:p>
          <w:p w14:paraId="09A33534" w14:textId="77777777" w:rsidR="0097476C" w:rsidRPr="0097476C" w:rsidRDefault="0097476C" w:rsidP="0097476C">
            <w:pPr>
              <w:pStyle w:val="ListParagraph"/>
              <w:numPr>
                <w:ilvl w:val="0"/>
                <w:numId w:val="11"/>
              </w:numPr>
              <w:spacing w:after="120" w:line="240" w:lineRule="auto"/>
              <w:rPr>
                <w:rFonts w:ascii="Times New Roman" w:hAnsi="Times New Roman" w:cs="Times New Roman"/>
                <w:i/>
                <w:color w:val="000000"/>
                <w:sz w:val="24"/>
                <w:szCs w:val="24"/>
              </w:rPr>
            </w:pPr>
            <w:r w:rsidRPr="0097476C">
              <w:rPr>
                <w:rFonts w:ascii="Times New Roman" w:hAnsi="Times New Roman" w:cs="Times New Roman"/>
                <w:i/>
                <w:color w:val="000000"/>
                <w:sz w:val="24"/>
                <w:szCs w:val="24"/>
              </w:rPr>
              <w:t>Progress on key elements of Phase 3 of the Public Management Reform Agenda</w:t>
            </w:r>
          </w:p>
          <w:p w14:paraId="553CBD6B" w14:textId="77777777" w:rsidR="0097476C" w:rsidRDefault="0097476C" w:rsidP="0097476C">
            <w:pPr>
              <w:pStyle w:val="ListParagraph"/>
              <w:numPr>
                <w:ilvl w:val="0"/>
                <w:numId w:val="11"/>
              </w:numPr>
              <w:spacing w:after="120" w:line="240" w:lineRule="auto"/>
              <w:rPr>
                <w:rFonts w:ascii="Times New Roman" w:hAnsi="Times New Roman" w:cs="Times New Roman"/>
                <w:b/>
                <w:bCs/>
              </w:rPr>
            </w:pPr>
            <w:r w:rsidRPr="0097476C">
              <w:rPr>
                <w:rFonts w:ascii="Times New Roman" w:hAnsi="Times New Roman" w:cs="Times New Roman"/>
                <w:i/>
                <w:color w:val="000000"/>
                <w:sz w:val="24"/>
                <w:szCs w:val="24"/>
              </w:rPr>
              <w:t>A summary of the forward plan for the Public Management Reform Agenda – including priority areas and key timeframes as appropriate.</w:t>
            </w:r>
          </w:p>
        </w:tc>
      </w:tr>
    </w:tbl>
    <w:p w14:paraId="05CA7286" w14:textId="348B7B6D" w:rsidR="0097476C" w:rsidRDefault="0097476C" w:rsidP="0097476C">
      <w:pPr>
        <w:pStyle w:val="Default"/>
        <w:spacing w:before="80" w:after="80"/>
        <w:rPr>
          <w:rFonts w:ascii="Times New Roman" w:hAnsi="Times New Roman" w:cs="Times New Roman"/>
          <w:b/>
          <w:bCs/>
        </w:rPr>
      </w:pPr>
    </w:p>
    <w:p w14:paraId="4298432A" w14:textId="4B7FF832" w:rsidR="0097476C" w:rsidRPr="00B12AFB" w:rsidRDefault="0097476C" w:rsidP="0097476C">
      <w:pPr>
        <w:pStyle w:val="Default"/>
        <w:spacing w:before="80" w:after="80"/>
        <w:rPr>
          <w:rFonts w:ascii="Times New Roman" w:hAnsi="Times New Roman" w:cs="Times New Roman"/>
          <w:b/>
          <w:bCs/>
          <w:sz w:val="28"/>
        </w:rPr>
      </w:pPr>
      <w:r w:rsidRPr="00B12AFB">
        <w:rPr>
          <w:rFonts w:ascii="Times New Roman" w:hAnsi="Times New Roman" w:cs="Times New Roman"/>
          <w:b/>
          <w:bCs/>
          <w:sz w:val="28"/>
        </w:rPr>
        <w:t>Response</w:t>
      </w:r>
    </w:p>
    <w:p w14:paraId="66557CD8" w14:textId="457705F9" w:rsidR="0097476C" w:rsidRDefault="007B2A8F" w:rsidP="0097476C">
      <w:pPr>
        <w:spacing w:after="120"/>
      </w:pPr>
      <w:r>
        <w:rPr>
          <w:b/>
        </w:rPr>
        <w:t>Agree</w:t>
      </w:r>
      <w:r w:rsidR="0097476C" w:rsidRPr="0097476C">
        <w:rPr>
          <w:b/>
        </w:rPr>
        <w:t xml:space="preserve">d.  </w:t>
      </w:r>
      <w:r w:rsidR="0097476C" w:rsidRPr="00FB5BFA">
        <w:t>The Department of Finance</w:t>
      </w:r>
      <w:r w:rsidR="0097476C">
        <w:t xml:space="preserve"> (Finance) </w:t>
      </w:r>
      <w:r w:rsidR="0097476C" w:rsidRPr="00FB5BFA">
        <w:t>provided a</w:t>
      </w:r>
      <w:r w:rsidR="0097476C">
        <w:t>n incoming briefing</w:t>
      </w:r>
      <w:r w:rsidR="0097476C" w:rsidRPr="00FB5BFA">
        <w:t xml:space="preserve"> to the Committee </w:t>
      </w:r>
      <w:r w:rsidR="000B274A">
        <w:t xml:space="preserve">on 6 </w:t>
      </w:r>
      <w:r w:rsidR="0097476C">
        <w:t xml:space="preserve">November </w:t>
      </w:r>
      <w:r w:rsidR="0097476C" w:rsidRPr="00FB5BFA">
        <w:t>201</w:t>
      </w:r>
      <w:r w:rsidR="000B274A">
        <w:t>6</w:t>
      </w:r>
      <w:r w:rsidR="0097476C" w:rsidRPr="00FB5BFA">
        <w:t xml:space="preserve"> </w:t>
      </w:r>
      <w:r w:rsidR="0097476C">
        <w:t>to inform the</w:t>
      </w:r>
      <w:r w:rsidR="00B54D84">
        <w:t xml:space="preserve"> </w:t>
      </w:r>
      <w:r w:rsidR="0097476C">
        <w:t>Committe</w:t>
      </w:r>
      <w:r w:rsidR="000B274A">
        <w:t>e on the matters outlined</w:t>
      </w:r>
      <w:r w:rsidR="00B54D84">
        <w:t xml:space="preserve"> in Recommendation 1</w:t>
      </w:r>
      <w:r w:rsidR="0097476C">
        <w:t xml:space="preserve">.  </w:t>
      </w:r>
      <w:r w:rsidR="000B274A">
        <w:t>O</w:t>
      </w:r>
      <w:r w:rsidR="0097476C">
        <w:t>fficials from Finance attended a private briefing with the Committee</w:t>
      </w:r>
      <w:r w:rsidR="000B274A">
        <w:t xml:space="preserve"> on 9 November 2016</w:t>
      </w:r>
      <w:r w:rsidR="0097476C">
        <w:t xml:space="preserve"> </w:t>
      </w:r>
      <w:r w:rsidR="002E1C3F">
        <w:t>to expand on the briefing</w:t>
      </w:r>
      <w:r w:rsidR="0097476C">
        <w:t xml:space="preserve">.  </w:t>
      </w:r>
    </w:p>
    <w:p w14:paraId="4513BC74" w14:textId="77777777" w:rsidR="00B20947" w:rsidRDefault="00B20947" w:rsidP="0097476C">
      <w:pPr>
        <w:spacing w:after="120"/>
      </w:pPr>
    </w:p>
    <w:tbl>
      <w:tblPr>
        <w:tblStyle w:val="TableGrid"/>
        <w:tblW w:w="8931" w:type="dxa"/>
        <w:tblInd w:w="-5" w:type="dxa"/>
        <w:tblLook w:val="04A0" w:firstRow="1" w:lastRow="0" w:firstColumn="1" w:lastColumn="0" w:noHBand="0" w:noVBand="1"/>
      </w:tblPr>
      <w:tblGrid>
        <w:gridCol w:w="8931"/>
      </w:tblGrid>
      <w:tr w:rsidR="0097476C" w14:paraId="22FCAB0F" w14:textId="77777777" w:rsidTr="00A92CF9">
        <w:trPr>
          <w:trHeight w:val="3116"/>
        </w:trPr>
        <w:tc>
          <w:tcPr>
            <w:tcW w:w="8931" w:type="dxa"/>
          </w:tcPr>
          <w:p w14:paraId="2DF89469" w14:textId="77777777" w:rsidR="0097476C" w:rsidRPr="0097476C" w:rsidRDefault="0097476C" w:rsidP="00A92CF9">
            <w:pPr>
              <w:autoSpaceDE w:val="0"/>
              <w:autoSpaceDN w:val="0"/>
              <w:adjustRightInd w:val="0"/>
              <w:spacing w:before="80" w:after="80"/>
              <w:rPr>
                <w:rFonts w:ascii="Times New Roman" w:hAnsi="Times New Roman" w:cs="Times New Roman"/>
                <w:i/>
                <w:color w:val="000000"/>
              </w:rPr>
            </w:pPr>
            <w:r w:rsidRPr="0097476C">
              <w:rPr>
                <w:rFonts w:ascii="Times New Roman" w:hAnsi="Times New Roman" w:cs="Times New Roman"/>
                <w:b/>
                <w:bCs/>
                <w:i/>
                <w:color w:val="000000"/>
              </w:rPr>
              <w:t xml:space="preserve">Recommendation 2 </w:t>
            </w:r>
          </w:p>
          <w:p w14:paraId="34625231" w14:textId="77777777" w:rsidR="0097476C" w:rsidRPr="0097476C" w:rsidRDefault="0097476C" w:rsidP="00A92CF9">
            <w:pPr>
              <w:spacing w:after="120"/>
              <w:rPr>
                <w:rFonts w:ascii="Times New Roman" w:hAnsi="Times New Roman" w:cs="Times New Roman"/>
                <w:i/>
                <w:color w:val="000000"/>
              </w:rPr>
            </w:pPr>
            <w:r w:rsidRPr="0097476C">
              <w:rPr>
                <w:rFonts w:ascii="Times New Roman" w:hAnsi="Times New Roman" w:cs="Times New Roman"/>
                <w:i/>
                <w:color w:val="000000"/>
              </w:rPr>
              <w:t>To facilitate consideration of the 2016-17 Annual Reporting Rule, the Committee recommends that the Department of Finance include the following elements in their submission to the Committee:</w:t>
            </w:r>
          </w:p>
          <w:p w14:paraId="3AF7F7AB" w14:textId="7C282726" w:rsidR="0097476C" w:rsidRPr="0097476C" w:rsidRDefault="0097476C" w:rsidP="0097476C">
            <w:pPr>
              <w:pStyle w:val="ListParagraph"/>
              <w:numPr>
                <w:ilvl w:val="0"/>
                <w:numId w:val="11"/>
              </w:numPr>
              <w:spacing w:after="120" w:line="240" w:lineRule="auto"/>
              <w:rPr>
                <w:rFonts w:ascii="Times New Roman" w:hAnsi="Times New Roman" w:cs="Times New Roman"/>
                <w:i/>
                <w:color w:val="000000"/>
                <w:sz w:val="24"/>
                <w:szCs w:val="24"/>
              </w:rPr>
            </w:pPr>
            <w:r w:rsidRPr="0097476C">
              <w:rPr>
                <w:rFonts w:ascii="Times New Roman" w:hAnsi="Times New Roman" w:cs="Times New Roman"/>
                <w:i/>
                <w:color w:val="000000"/>
                <w:sz w:val="24"/>
                <w:szCs w:val="24"/>
              </w:rPr>
              <w:t>An update on progress to bringing forward and formally legislating earlier Annual Report deliver</w:t>
            </w:r>
            <w:r w:rsidR="00882148">
              <w:rPr>
                <w:rFonts w:ascii="Times New Roman" w:hAnsi="Times New Roman" w:cs="Times New Roman"/>
                <w:i/>
                <w:color w:val="000000"/>
                <w:sz w:val="24"/>
                <w:szCs w:val="24"/>
              </w:rPr>
              <w:t>y</w:t>
            </w:r>
            <w:r w:rsidRPr="0097476C">
              <w:rPr>
                <w:rFonts w:ascii="Times New Roman" w:hAnsi="Times New Roman" w:cs="Times New Roman"/>
                <w:i/>
                <w:color w:val="000000"/>
                <w:sz w:val="24"/>
                <w:szCs w:val="24"/>
              </w:rPr>
              <w:t xml:space="preserve"> and tabling dates</w:t>
            </w:r>
          </w:p>
          <w:p w14:paraId="55E53B1A" w14:textId="77777777" w:rsidR="0097476C" w:rsidRPr="0097476C" w:rsidRDefault="0097476C" w:rsidP="0097476C">
            <w:pPr>
              <w:pStyle w:val="ListParagraph"/>
              <w:numPr>
                <w:ilvl w:val="0"/>
                <w:numId w:val="11"/>
              </w:numPr>
              <w:spacing w:after="120" w:line="240" w:lineRule="auto"/>
              <w:rPr>
                <w:rFonts w:ascii="Times New Roman" w:hAnsi="Times New Roman" w:cs="Times New Roman"/>
                <w:i/>
                <w:color w:val="000000"/>
                <w:sz w:val="24"/>
                <w:szCs w:val="24"/>
              </w:rPr>
            </w:pPr>
            <w:r w:rsidRPr="0097476C">
              <w:rPr>
                <w:rFonts w:ascii="Times New Roman" w:hAnsi="Times New Roman" w:cs="Times New Roman"/>
                <w:i/>
                <w:color w:val="000000"/>
                <w:sz w:val="24"/>
                <w:szCs w:val="24"/>
              </w:rPr>
              <w:t>A detailed consideration of issues raised by other Parliamentary Committees, as forwarded to the Department of Finance by this Committee</w:t>
            </w:r>
          </w:p>
          <w:p w14:paraId="5619486F" w14:textId="77777777" w:rsidR="0097476C" w:rsidRDefault="0097476C" w:rsidP="0097476C">
            <w:pPr>
              <w:pStyle w:val="ListParagraph"/>
              <w:numPr>
                <w:ilvl w:val="0"/>
                <w:numId w:val="11"/>
              </w:numPr>
              <w:spacing w:after="120" w:line="240" w:lineRule="auto"/>
              <w:rPr>
                <w:rFonts w:ascii="Times New Roman" w:hAnsi="Times New Roman" w:cs="Times New Roman"/>
                <w:sz w:val="24"/>
                <w:szCs w:val="24"/>
              </w:rPr>
            </w:pPr>
            <w:r w:rsidRPr="0097476C">
              <w:rPr>
                <w:rFonts w:ascii="Times New Roman" w:hAnsi="Times New Roman" w:cs="Times New Roman"/>
                <w:i/>
                <w:color w:val="000000"/>
                <w:sz w:val="24"/>
                <w:szCs w:val="24"/>
              </w:rPr>
              <w:t>Consideration of proposals for change to the Annual Reporting Rule, including those stemming from the recommendations of the Belcher Review.</w:t>
            </w:r>
          </w:p>
        </w:tc>
      </w:tr>
    </w:tbl>
    <w:p w14:paraId="523B2508" w14:textId="7F5908E1" w:rsidR="0097476C" w:rsidRPr="00FB5BFA" w:rsidRDefault="0097476C" w:rsidP="0097476C">
      <w:pPr>
        <w:spacing w:after="120"/>
        <w:ind w:left="360"/>
      </w:pPr>
    </w:p>
    <w:p w14:paraId="420881CB" w14:textId="2C0CF6F2" w:rsidR="0097476C" w:rsidRPr="00B12AFB" w:rsidRDefault="0097476C" w:rsidP="0097476C">
      <w:pPr>
        <w:spacing w:after="120"/>
        <w:rPr>
          <w:b/>
          <w:bCs/>
          <w:color w:val="000000"/>
          <w:sz w:val="28"/>
        </w:rPr>
      </w:pPr>
      <w:r w:rsidRPr="00B12AFB">
        <w:rPr>
          <w:b/>
          <w:bCs/>
          <w:color w:val="000000"/>
          <w:sz w:val="28"/>
        </w:rPr>
        <w:t>Response</w:t>
      </w:r>
    </w:p>
    <w:p w14:paraId="5B681313" w14:textId="1BDF2A0D" w:rsidR="00CC7CB3" w:rsidRPr="004725B4" w:rsidRDefault="007B2A8F" w:rsidP="0097476C">
      <w:pPr>
        <w:pStyle w:val="Default"/>
        <w:spacing w:after="147"/>
        <w:rPr>
          <w:rFonts w:ascii="Times New Roman" w:hAnsi="Times New Roman" w:cs="Times New Roman"/>
        </w:rPr>
      </w:pPr>
      <w:r>
        <w:rPr>
          <w:rFonts w:ascii="Times New Roman" w:hAnsi="Times New Roman" w:cs="Times New Roman"/>
          <w:b/>
        </w:rPr>
        <w:t>Agree</w:t>
      </w:r>
      <w:r w:rsidR="0097476C" w:rsidRPr="0097476C">
        <w:rPr>
          <w:rFonts w:ascii="Times New Roman" w:hAnsi="Times New Roman" w:cs="Times New Roman"/>
          <w:b/>
        </w:rPr>
        <w:t xml:space="preserve">d.  </w:t>
      </w:r>
      <w:r w:rsidR="00CC7CB3" w:rsidRPr="00CC7CB3">
        <w:rPr>
          <w:rFonts w:ascii="Times New Roman" w:hAnsi="Times New Roman" w:cs="Times New Roman"/>
        </w:rPr>
        <w:t xml:space="preserve">Finance provided an incoming briefing to the Committee on 6 November 2016 to inform the Committee on the matters outlined in Recommendation </w:t>
      </w:r>
      <w:r w:rsidR="00717FE0">
        <w:rPr>
          <w:rFonts w:ascii="Times New Roman" w:hAnsi="Times New Roman" w:cs="Times New Roman"/>
        </w:rPr>
        <w:t>2</w:t>
      </w:r>
      <w:r w:rsidR="00CC7CB3" w:rsidRPr="00CC7CB3">
        <w:rPr>
          <w:rFonts w:ascii="Times New Roman" w:hAnsi="Times New Roman" w:cs="Times New Roman"/>
        </w:rPr>
        <w:t xml:space="preserve">.  Officials from Finance attended a private briefing with the Committee on 9 November 2016 </w:t>
      </w:r>
      <w:r w:rsidR="004725B4" w:rsidRPr="004725B4">
        <w:rPr>
          <w:rFonts w:ascii="Times New Roman" w:hAnsi="Times New Roman" w:cs="Times New Roman"/>
        </w:rPr>
        <w:t>to expand on the briefing</w:t>
      </w:r>
      <w:r w:rsidR="00CC7CB3" w:rsidRPr="00CC7CB3">
        <w:rPr>
          <w:rFonts w:ascii="Times New Roman" w:hAnsi="Times New Roman" w:cs="Times New Roman"/>
        </w:rPr>
        <w:t>.</w:t>
      </w:r>
    </w:p>
    <w:p w14:paraId="036E083E" w14:textId="13847EEC" w:rsidR="0097476C" w:rsidRPr="00FB5BFA" w:rsidRDefault="002E1C3F" w:rsidP="00B54D84">
      <w:pPr>
        <w:pStyle w:val="Default"/>
        <w:spacing w:after="147"/>
        <w:rPr>
          <w:rFonts w:ascii="Times New Roman" w:hAnsi="Times New Roman" w:cs="Times New Roman"/>
        </w:rPr>
      </w:pPr>
      <w:r>
        <w:rPr>
          <w:rFonts w:ascii="Times New Roman" w:hAnsi="Times New Roman" w:cs="Times New Roman"/>
        </w:rPr>
        <w:t>Issues have been raised by other</w:t>
      </w:r>
      <w:r w:rsidR="0097476C" w:rsidRPr="00FB5BFA">
        <w:rPr>
          <w:rFonts w:ascii="Times New Roman" w:hAnsi="Times New Roman" w:cs="Times New Roman"/>
        </w:rPr>
        <w:t xml:space="preserve"> Parliamentary Committees </w:t>
      </w:r>
      <w:r>
        <w:rPr>
          <w:rFonts w:ascii="Times New Roman" w:hAnsi="Times New Roman" w:cs="Times New Roman"/>
        </w:rPr>
        <w:t xml:space="preserve">relating </w:t>
      </w:r>
      <w:r w:rsidR="00CC7CB3">
        <w:rPr>
          <w:rFonts w:ascii="Times New Roman" w:hAnsi="Times New Roman" w:cs="Times New Roman"/>
        </w:rPr>
        <w:t>to</w:t>
      </w:r>
      <w:r>
        <w:rPr>
          <w:rFonts w:ascii="Times New Roman" w:hAnsi="Times New Roman" w:cs="Times New Roman"/>
        </w:rPr>
        <w:t xml:space="preserve"> the</w:t>
      </w:r>
      <w:r w:rsidR="0097476C" w:rsidRPr="00FB5BFA">
        <w:rPr>
          <w:rFonts w:ascii="Times New Roman" w:hAnsi="Times New Roman" w:cs="Times New Roman"/>
        </w:rPr>
        <w:t xml:space="preserve"> content and timeliness of annual reports</w:t>
      </w:r>
      <w:r>
        <w:rPr>
          <w:rFonts w:ascii="Times New Roman" w:hAnsi="Times New Roman" w:cs="Times New Roman"/>
        </w:rPr>
        <w:t>, in particular that:</w:t>
      </w:r>
    </w:p>
    <w:p w14:paraId="2F3EE8FF" w14:textId="5D05E72B" w:rsidR="0097476C" w:rsidRPr="00FB5BFA" w:rsidRDefault="002E1C3F" w:rsidP="0097476C">
      <w:pPr>
        <w:pStyle w:val="Default"/>
        <w:numPr>
          <w:ilvl w:val="0"/>
          <w:numId w:val="12"/>
        </w:numPr>
        <w:spacing w:before="80" w:after="80"/>
        <w:rPr>
          <w:rFonts w:ascii="Times New Roman" w:hAnsi="Times New Roman" w:cs="Times New Roman"/>
        </w:rPr>
      </w:pPr>
      <w:r>
        <w:rPr>
          <w:rFonts w:ascii="Times New Roman" w:hAnsi="Times New Roman" w:cs="Times New Roman"/>
        </w:rPr>
        <w:t>a</w:t>
      </w:r>
      <w:r w:rsidRPr="00FB5BFA">
        <w:rPr>
          <w:rFonts w:ascii="Times New Roman" w:hAnsi="Times New Roman" w:cs="Times New Roman"/>
        </w:rPr>
        <w:t xml:space="preserve">nnual </w:t>
      </w:r>
      <w:r w:rsidR="0097476C" w:rsidRPr="00FB5BFA">
        <w:rPr>
          <w:rFonts w:ascii="Times New Roman" w:hAnsi="Times New Roman" w:cs="Times New Roman"/>
        </w:rPr>
        <w:t xml:space="preserve">reports provide a formal record of a point in time for an </w:t>
      </w:r>
      <w:r w:rsidR="0097476C">
        <w:rPr>
          <w:rFonts w:ascii="Times New Roman" w:hAnsi="Times New Roman" w:cs="Times New Roman"/>
        </w:rPr>
        <w:t>e</w:t>
      </w:r>
      <w:r w:rsidR="0097476C" w:rsidRPr="00FB5BFA">
        <w:rPr>
          <w:rFonts w:ascii="Times New Roman" w:hAnsi="Times New Roman" w:cs="Times New Roman"/>
        </w:rPr>
        <w:t>ntity and include Machinery of Government changes;</w:t>
      </w:r>
    </w:p>
    <w:p w14:paraId="1B7D5A80" w14:textId="77777777" w:rsidR="0097476C" w:rsidRPr="00FB5BFA" w:rsidRDefault="0097476C" w:rsidP="0097476C">
      <w:pPr>
        <w:pStyle w:val="Default"/>
        <w:numPr>
          <w:ilvl w:val="0"/>
          <w:numId w:val="12"/>
        </w:numPr>
        <w:spacing w:before="80" w:after="80"/>
        <w:rPr>
          <w:rFonts w:ascii="Times New Roman" w:hAnsi="Times New Roman" w:cs="Times New Roman"/>
        </w:rPr>
      </w:pPr>
      <w:r w:rsidRPr="00FB5BFA">
        <w:rPr>
          <w:rFonts w:ascii="Times New Roman" w:hAnsi="Times New Roman" w:cs="Times New Roman"/>
        </w:rPr>
        <w:t>changes to annual reports should not reduce the amount of information in annual reports;</w:t>
      </w:r>
    </w:p>
    <w:p w14:paraId="3305AE80" w14:textId="77777777" w:rsidR="0097476C" w:rsidRPr="00FB5BFA" w:rsidRDefault="0097476C" w:rsidP="0097476C">
      <w:pPr>
        <w:pStyle w:val="Default"/>
        <w:numPr>
          <w:ilvl w:val="0"/>
          <w:numId w:val="12"/>
        </w:numPr>
        <w:spacing w:before="80" w:after="80"/>
        <w:rPr>
          <w:rFonts w:ascii="Times New Roman" w:hAnsi="Times New Roman" w:cs="Times New Roman"/>
        </w:rPr>
      </w:pPr>
      <w:r w:rsidRPr="00FB5BFA">
        <w:rPr>
          <w:rFonts w:ascii="Times New Roman" w:hAnsi="Times New Roman" w:cs="Times New Roman"/>
        </w:rPr>
        <w:t xml:space="preserve">near-time or </w:t>
      </w:r>
      <w:r w:rsidRPr="00C53DF6">
        <w:rPr>
          <w:rFonts w:ascii="Times New Roman" w:hAnsi="Times New Roman" w:cs="Times New Roman"/>
        </w:rPr>
        <w:t>continuous reporting</w:t>
      </w:r>
      <w:r w:rsidRPr="00FB5BFA">
        <w:rPr>
          <w:rFonts w:ascii="Times New Roman" w:hAnsi="Times New Roman" w:cs="Times New Roman"/>
        </w:rPr>
        <w:t xml:space="preserve"> could present challenges to the integrity of the data over time; and</w:t>
      </w:r>
    </w:p>
    <w:p w14:paraId="7C0441B5" w14:textId="468248BE" w:rsidR="0097476C" w:rsidRPr="00FB5BFA" w:rsidRDefault="0097476C" w:rsidP="0097476C">
      <w:pPr>
        <w:pStyle w:val="Default"/>
        <w:numPr>
          <w:ilvl w:val="0"/>
          <w:numId w:val="12"/>
        </w:numPr>
        <w:spacing w:after="147"/>
        <w:rPr>
          <w:rFonts w:ascii="Times New Roman" w:hAnsi="Times New Roman" w:cs="Times New Roman"/>
        </w:rPr>
      </w:pPr>
      <w:r w:rsidRPr="00FB5BFA">
        <w:rPr>
          <w:rFonts w:ascii="Times New Roman" w:hAnsi="Times New Roman" w:cs="Times New Roman"/>
        </w:rPr>
        <w:t xml:space="preserve">reporting of remuneration of entity Directors and Senior Executives </w:t>
      </w:r>
      <w:r w:rsidR="002E1C3F">
        <w:rPr>
          <w:rFonts w:ascii="Times New Roman" w:hAnsi="Times New Roman" w:cs="Times New Roman"/>
        </w:rPr>
        <w:t>i</w:t>
      </w:r>
      <w:r w:rsidR="002E1C3F" w:rsidRPr="00FB5BFA">
        <w:rPr>
          <w:rFonts w:ascii="Times New Roman" w:hAnsi="Times New Roman" w:cs="Times New Roman"/>
        </w:rPr>
        <w:t xml:space="preserve">s </w:t>
      </w:r>
      <w:r w:rsidRPr="00FB5BFA">
        <w:rPr>
          <w:rFonts w:ascii="Times New Roman" w:hAnsi="Times New Roman" w:cs="Times New Roman"/>
        </w:rPr>
        <w:t>an important part of transparency.</w:t>
      </w:r>
    </w:p>
    <w:p w14:paraId="2B849D28" w14:textId="0202A78B" w:rsidR="002E1C3F" w:rsidRDefault="002E1C3F" w:rsidP="00B54D84">
      <w:pPr>
        <w:pStyle w:val="Default"/>
        <w:spacing w:after="147"/>
        <w:rPr>
          <w:rFonts w:ascii="Times New Roman" w:hAnsi="Times New Roman" w:cs="Times New Roman"/>
          <w:b/>
          <w:i/>
        </w:rPr>
      </w:pPr>
      <w:r w:rsidRPr="00FA7B58">
        <w:rPr>
          <w:rFonts w:ascii="Times New Roman" w:hAnsi="Times New Roman" w:cs="Times New Roman"/>
          <w:b/>
          <w:i/>
        </w:rPr>
        <w:t>Content of Annual Reports</w:t>
      </w:r>
    </w:p>
    <w:p w14:paraId="3AE22449" w14:textId="670348A0" w:rsidR="002E1C3F" w:rsidRPr="002E1C3F" w:rsidRDefault="002E1C3F" w:rsidP="00B54D84">
      <w:pPr>
        <w:pStyle w:val="Default"/>
        <w:spacing w:after="147"/>
        <w:rPr>
          <w:rFonts w:ascii="Times New Roman" w:hAnsi="Times New Roman" w:cs="Times New Roman"/>
        </w:rPr>
      </w:pPr>
      <w:r>
        <w:rPr>
          <w:rFonts w:ascii="Times New Roman" w:hAnsi="Times New Roman" w:cs="Times New Roman"/>
        </w:rPr>
        <w:t>In response</w:t>
      </w:r>
      <w:r w:rsidR="0019062F">
        <w:rPr>
          <w:rFonts w:ascii="Times New Roman" w:hAnsi="Times New Roman" w:cs="Times New Roman"/>
        </w:rPr>
        <w:t>,</w:t>
      </w:r>
      <w:r>
        <w:rPr>
          <w:rFonts w:ascii="Times New Roman" w:hAnsi="Times New Roman" w:cs="Times New Roman"/>
        </w:rPr>
        <w:t xml:space="preserve"> Finance notes the following:</w:t>
      </w:r>
    </w:p>
    <w:p w14:paraId="6F795756" w14:textId="5CBBCBC1" w:rsidR="0097476C" w:rsidRPr="00FB5BFA" w:rsidRDefault="00CC7CB3">
      <w:pPr>
        <w:pStyle w:val="Default"/>
        <w:spacing w:after="147"/>
        <w:rPr>
          <w:rFonts w:ascii="Times New Roman" w:hAnsi="Times New Roman" w:cs="Times New Roman"/>
        </w:rPr>
      </w:pPr>
      <w:r>
        <w:rPr>
          <w:rFonts w:ascii="Times New Roman" w:hAnsi="Times New Roman" w:cs="Times New Roman"/>
        </w:rPr>
        <w:t>A</w:t>
      </w:r>
      <w:r w:rsidR="0097476C" w:rsidRPr="00FB5BFA">
        <w:rPr>
          <w:rFonts w:ascii="Times New Roman" w:hAnsi="Times New Roman" w:cs="Times New Roman"/>
        </w:rPr>
        <w:t>nnual report requirements have not changed substantively since 1995.</w:t>
      </w:r>
      <w:r w:rsidR="002E1C3F">
        <w:rPr>
          <w:rFonts w:ascii="Times New Roman" w:hAnsi="Times New Roman" w:cs="Times New Roman"/>
        </w:rPr>
        <w:t xml:space="preserve">  </w:t>
      </w:r>
      <w:r w:rsidR="0097476C" w:rsidRPr="00FB5BFA">
        <w:rPr>
          <w:rFonts w:ascii="Times New Roman" w:hAnsi="Times New Roman" w:cs="Times New Roman"/>
        </w:rPr>
        <w:t xml:space="preserve">Finance is aware of the importance </w:t>
      </w:r>
      <w:r>
        <w:rPr>
          <w:rFonts w:ascii="Times New Roman" w:hAnsi="Times New Roman" w:cs="Times New Roman"/>
        </w:rPr>
        <w:t>of</w:t>
      </w:r>
      <w:r w:rsidRPr="00FB5BFA">
        <w:rPr>
          <w:rFonts w:ascii="Times New Roman" w:hAnsi="Times New Roman" w:cs="Times New Roman"/>
        </w:rPr>
        <w:t xml:space="preserve"> </w:t>
      </w:r>
      <w:r w:rsidR="0097476C" w:rsidRPr="00FB5BFA">
        <w:rPr>
          <w:rFonts w:ascii="Times New Roman" w:hAnsi="Times New Roman" w:cs="Times New Roman"/>
        </w:rPr>
        <w:t xml:space="preserve">consistency of annual reporting </w:t>
      </w:r>
      <w:r>
        <w:rPr>
          <w:rFonts w:ascii="Times New Roman" w:hAnsi="Times New Roman" w:cs="Times New Roman"/>
        </w:rPr>
        <w:t>format</w:t>
      </w:r>
      <w:r w:rsidR="00717FE0">
        <w:rPr>
          <w:rFonts w:ascii="Times New Roman" w:hAnsi="Times New Roman" w:cs="Times New Roman"/>
        </w:rPr>
        <w:t>s</w:t>
      </w:r>
      <w:r>
        <w:rPr>
          <w:rFonts w:ascii="Times New Roman" w:hAnsi="Times New Roman" w:cs="Times New Roman"/>
        </w:rPr>
        <w:t xml:space="preserve"> to provide both</w:t>
      </w:r>
      <w:r w:rsidR="00142DB0">
        <w:rPr>
          <w:rFonts w:ascii="Times New Roman" w:hAnsi="Times New Roman" w:cs="Times New Roman"/>
        </w:rPr>
        <w:t xml:space="preserve"> a</w:t>
      </w:r>
      <w:r w:rsidR="0097476C" w:rsidRPr="00FB5BFA">
        <w:rPr>
          <w:rFonts w:ascii="Times New Roman" w:hAnsi="Times New Roman" w:cs="Times New Roman"/>
        </w:rPr>
        <w:t xml:space="preserve"> point in time record and data </w:t>
      </w:r>
      <w:r>
        <w:rPr>
          <w:rFonts w:ascii="Times New Roman" w:hAnsi="Times New Roman" w:cs="Times New Roman"/>
        </w:rPr>
        <w:t>analysis</w:t>
      </w:r>
      <w:r w:rsidRPr="00FB5BFA">
        <w:rPr>
          <w:rFonts w:ascii="Times New Roman" w:hAnsi="Times New Roman" w:cs="Times New Roman"/>
        </w:rPr>
        <w:t xml:space="preserve"> </w:t>
      </w:r>
      <w:r w:rsidR="0097476C" w:rsidRPr="00FB5BFA">
        <w:rPr>
          <w:rFonts w:ascii="Times New Roman" w:hAnsi="Times New Roman" w:cs="Times New Roman"/>
        </w:rPr>
        <w:t xml:space="preserve">over time. </w:t>
      </w:r>
    </w:p>
    <w:p w14:paraId="1D18644C" w14:textId="72129D92" w:rsidR="00CC7CB3" w:rsidRDefault="0097476C">
      <w:pPr>
        <w:pStyle w:val="Default"/>
        <w:spacing w:after="147"/>
        <w:rPr>
          <w:rFonts w:ascii="Times New Roman" w:hAnsi="Times New Roman" w:cs="Times New Roman"/>
        </w:rPr>
      </w:pPr>
      <w:r w:rsidRPr="00FB5BFA">
        <w:rPr>
          <w:rFonts w:ascii="Times New Roman" w:hAnsi="Times New Roman" w:cs="Times New Roman"/>
        </w:rPr>
        <w:t xml:space="preserve">Currently, there is a legislative requirement for annual reports to be for </w:t>
      </w:r>
      <w:r w:rsidR="00142DB0">
        <w:rPr>
          <w:rFonts w:ascii="Times New Roman" w:hAnsi="Times New Roman" w:cs="Times New Roman"/>
        </w:rPr>
        <w:t>each</w:t>
      </w:r>
      <w:r w:rsidRPr="00FB5BFA">
        <w:rPr>
          <w:rFonts w:ascii="Times New Roman" w:hAnsi="Times New Roman" w:cs="Times New Roman"/>
        </w:rPr>
        <w:t xml:space="preserve"> reporting period</w:t>
      </w:r>
      <w:r w:rsidR="00142DB0">
        <w:rPr>
          <w:rFonts w:ascii="Times New Roman" w:hAnsi="Times New Roman" w:cs="Times New Roman"/>
        </w:rPr>
        <w:t xml:space="preserve"> (</w:t>
      </w:r>
      <w:r w:rsidRPr="00FB5BFA">
        <w:rPr>
          <w:rFonts w:ascii="Times New Roman" w:hAnsi="Times New Roman" w:cs="Times New Roman"/>
        </w:rPr>
        <w:t>Section 46</w:t>
      </w:r>
      <w:r>
        <w:rPr>
          <w:rFonts w:ascii="Times New Roman" w:hAnsi="Times New Roman" w:cs="Times New Roman"/>
        </w:rPr>
        <w:t xml:space="preserve"> of the </w:t>
      </w:r>
      <w:r w:rsidR="006E779A" w:rsidRPr="00AF3F78">
        <w:rPr>
          <w:rFonts w:ascii="Times New Roman" w:hAnsi="Times New Roman" w:cs="Times New Roman"/>
          <w:i/>
        </w:rPr>
        <w:t xml:space="preserve">Public Governance, Performance and Accountability </w:t>
      </w:r>
      <w:r w:rsidRPr="00AF3F78">
        <w:rPr>
          <w:rFonts w:ascii="Times New Roman" w:hAnsi="Times New Roman" w:cs="Times New Roman"/>
          <w:i/>
        </w:rPr>
        <w:t>Act</w:t>
      </w:r>
      <w:r w:rsidR="006E779A">
        <w:rPr>
          <w:rFonts w:ascii="Times New Roman" w:hAnsi="Times New Roman" w:cs="Times New Roman"/>
          <w:i/>
        </w:rPr>
        <w:t xml:space="preserve"> 2013</w:t>
      </w:r>
      <w:r w:rsidR="006E779A" w:rsidRPr="00AF3F78">
        <w:rPr>
          <w:rFonts w:ascii="Times New Roman" w:hAnsi="Times New Roman" w:cs="Times New Roman"/>
          <w:i/>
        </w:rPr>
        <w:t xml:space="preserve"> </w:t>
      </w:r>
      <w:r w:rsidR="006E779A">
        <w:rPr>
          <w:rFonts w:ascii="Times New Roman" w:hAnsi="Times New Roman" w:cs="Times New Roman"/>
        </w:rPr>
        <w:t>(PGPA Act</w:t>
      </w:r>
      <w:r w:rsidRPr="00FB5BFA">
        <w:rPr>
          <w:rFonts w:ascii="Times New Roman" w:hAnsi="Times New Roman" w:cs="Times New Roman"/>
        </w:rPr>
        <w:t>)</w:t>
      </w:r>
      <w:r w:rsidR="00142DB0">
        <w:rPr>
          <w:rFonts w:ascii="Times New Roman" w:hAnsi="Times New Roman" w:cs="Times New Roman"/>
        </w:rPr>
        <w:t>)</w:t>
      </w:r>
      <w:r w:rsidRPr="00FB5BFA">
        <w:rPr>
          <w:rFonts w:ascii="Times New Roman" w:hAnsi="Times New Roman" w:cs="Times New Roman"/>
        </w:rPr>
        <w:t xml:space="preserve">. </w:t>
      </w:r>
      <w:r w:rsidR="00142DB0">
        <w:rPr>
          <w:rFonts w:ascii="Times New Roman" w:hAnsi="Times New Roman" w:cs="Times New Roman"/>
        </w:rPr>
        <w:t>For the overwhelming majority of Commonwealth entities and companies, t</w:t>
      </w:r>
      <w:r w:rsidRPr="00FB5BFA">
        <w:rPr>
          <w:rFonts w:ascii="Times New Roman" w:hAnsi="Times New Roman" w:cs="Times New Roman"/>
        </w:rPr>
        <w:t xml:space="preserve">he reporting period ends </w:t>
      </w:r>
      <w:r w:rsidR="00142DB0">
        <w:rPr>
          <w:rFonts w:ascii="Times New Roman" w:hAnsi="Times New Roman" w:cs="Times New Roman"/>
        </w:rPr>
        <w:t xml:space="preserve">on </w:t>
      </w:r>
      <w:r w:rsidRPr="00FB5BFA">
        <w:rPr>
          <w:rFonts w:ascii="Times New Roman" w:hAnsi="Times New Roman" w:cs="Times New Roman"/>
        </w:rPr>
        <w:t>30 June each year</w:t>
      </w:r>
      <w:r>
        <w:rPr>
          <w:rFonts w:ascii="Times New Roman" w:hAnsi="Times New Roman" w:cs="Times New Roman"/>
        </w:rPr>
        <w:t xml:space="preserve">.  </w:t>
      </w:r>
      <w:r w:rsidRPr="00FB5BFA">
        <w:rPr>
          <w:rFonts w:ascii="Times New Roman" w:hAnsi="Times New Roman" w:cs="Times New Roman"/>
        </w:rPr>
        <w:t xml:space="preserve"> </w:t>
      </w:r>
    </w:p>
    <w:p w14:paraId="4BCC7A5F" w14:textId="28AEE291" w:rsidR="0097476C" w:rsidRDefault="0097476C">
      <w:pPr>
        <w:pStyle w:val="Default"/>
        <w:spacing w:after="147"/>
        <w:rPr>
          <w:rFonts w:ascii="Times New Roman" w:hAnsi="Times New Roman" w:cs="Times New Roman"/>
        </w:rPr>
      </w:pPr>
      <w:r>
        <w:rPr>
          <w:rFonts w:ascii="Times New Roman" w:hAnsi="Times New Roman" w:cs="Times New Roman"/>
        </w:rPr>
        <w:t>A</w:t>
      </w:r>
      <w:r w:rsidRPr="00FB5BFA">
        <w:rPr>
          <w:rFonts w:ascii="Times New Roman" w:hAnsi="Times New Roman" w:cs="Times New Roman"/>
        </w:rPr>
        <w:t>ny changes to include real or near-time reporting would require legislative change</w:t>
      </w:r>
      <w:r w:rsidR="00142DB0">
        <w:rPr>
          <w:rFonts w:ascii="Times New Roman" w:hAnsi="Times New Roman" w:cs="Times New Roman"/>
        </w:rPr>
        <w:t>,</w:t>
      </w:r>
      <w:r w:rsidRPr="00FB5BFA">
        <w:rPr>
          <w:rFonts w:ascii="Times New Roman" w:hAnsi="Times New Roman" w:cs="Times New Roman"/>
        </w:rPr>
        <w:t xml:space="preserve"> and the benefits and costs associated with any such change</w:t>
      </w:r>
      <w:r w:rsidR="00142DB0">
        <w:rPr>
          <w:rFonts w:ascii="Times New Roman" w:hAnsi="Times New Roman" w:cs="Times New Roman"/>
        </w:rPr>
        <w:t xml:space="preserve"> would need to be weighed carefully</w:t>
      </w:r>
      <w:r w:rsidRPr="00FB5BFA">
        <w:rPr>
          <w:rFonts w:ascii="Times New Roman" w:hAnsi="Times New Roman" w:cs="Times New Roman"/>
        </w:rPr>
        <w:t xml:space="preserve">. It is worth noting that there is near-time reporting and accountability through AusTender for all procurement contracts valued at $10,000 and above, </w:t>
      </w:r>
      <w:r w:rsidR="00CC7CB3">
        <w:rPr>
          <w:rFonts w:ascii="Times New Roman" w:hAnsi="Times New Roman" w:cs="Times New Roman"/>
        </w:rPr>
        <w:t xml:space="preserve">including </w:t>
      </w:r>
      <w:r w:rsidRPr="00FB5BFA">
        <w:rPr>
          <w:rFonts w:ascii="Times New Roman" w:hAnsi="Times New Roman" w:cs="Times New Roman"/>
        </w:rPr>
        <w:t>consultancies</w:t>
      </w:r>
      <w:r w:rsidR="00CC7CB3">
        <w:rPr>
          <w:rFonts w:ascii="Times New Roman" w:hAnsi="Times New Roman" w:cs="Times New Roman"/>
        </w:rPr>
        <w:t>.  F</w:t>
      </w:r>
      <w:r w:rsidRPr="00FB5BFA">
        <w:rPr>
          <w:rFonts w:ascii="Times New Roman" w:hAnsi="Times New Roman" w:cs="Times New Roman"/>
        </w:rPr>
        <w:t xml:space="preserve">rom mid- 2017, grants reporting will be </w:t>
      </w:r>
      <w:r w:rsidR="00CC7CB3">
        <w:rPr>
          <w:rFonts w:ascii="Times New Roman" w:hAnsi="Times New Roman" w:cs="Times New Roman"/>
        </w:rPr>
        <w:t xml:space="preserve">available through </w:t>
      </w:r>
      <w:r w:rsidR="00142DB0">
        <w:rPr>
          <w:rFonts w:ascii="Times New Roman" w:hAnsi="Times New Roman" w:cs="Times New Roman"/>
        </w:rPr>
        <w:t xml:space="preserve">a new website called </w:t>
      </w:r>
      <w:r w:rsidR="007E2830">
        <w:rPr>
          <w:rFonts w:ascii="Times New Roman" w:hAnsi="Times New Roman" w:cs="Times New Roman"/>
        </w:rPr>
        <w:t>GrantConnect</w:t>
      </w:r>
      <w:r w:rsidR="00CC7CB3">
        <w:rPr>
          <w:rFonts w:ascii="Times New Roman" w:hAnsi="Times New Roman" w:cs="Times New Roman"/>
        </w:rPr>
        <w:t>.</w:t>
      </w:r>
      <w:r w:rsidRPr="00FB5BFA">
        <w:rPr>
          <w:rFonts w:ascii="Times New Roman" w:hAnsi="Times New Roman" w:cs="Times New Roman"/>
        </w:rPr>
        <w:t xml:space="preserve"> </w:t>
      </w:r>
    </w:p>
    <w:p w14:paraId="58368D2C" w14:textId="1777E970" w:rsidR="000C56BA" w:rsidRPr="00FA7B58" w:rsidRDefault="000C56BA" w:rsidP="000C56BA">
      <w:pPr>
        <w:pStyle w:val="Default"/>
        <w:spacing w:after="147"/>
        <w:rPr>
          <w:rFonts w:ascii="Times New Roman" w:hAnsi="Times New Roman" w:cs="Times New Roman"/>
          <w:b/>
          <w:i/>
        </w:rPr>
      </w:pPr>
      <w:r w:rsidRPr="00FA7B58">
        <w:rPr>
          <w:rFonts w:ascii="Times New Roman" w:hAnsi="Times New Roman" w:cs="Times New Roman"/>
          <w:b/>
          <w:i/>
        </w:rPr>
        <w:t>Reporting of Remuneration</w:t>
      </w:r>
    </w:p>
    <w:p w14:paraId="1D9B4AE8" w14:textId="0142ED62" w:rsidR="000C56BA" w:rsidRPr="00D836ED" w:rsidRDefault="0097476C">
      <w:pPr>
        <w:pStyle w:val="Default"/>
        <w:spacing w:after="147"/>
        <w:rPr>
          <w:rFonts w:ascii="Times New Roman" w:hAnsi="Times New Roman" w:cs="Times New Roman"/>
          <w:b/>
        </w:rPr>
      </w:pPr>
      <w:r w:rsidRPr="00FB5BFA">
        <w:rPr>
          <w:rFonts w:ascii="Times New Roman" w:hAnsi="Times New Roman" w:cs="Times New Roman"/>
        </w:rPr>
        <w:t xml:space="preserve">In 2014-15, the </w:t>
      </w:r>
      <w:r w:rsidR="00CC7CB3" w:rsidRPr="00A066AB">
        <w:rPr>
          <w:rFonts w:ascii="Times New Roman" w:hAnsi="Times New Roman" w:cs="Times New Roman"/>
          <w:i/>
        </w:rPr>
        <w:t>Public Governance, Performance and Accountability (Financial Reporting) Rule 2015</w:t>
      </w:r>
      <w:r w:rsidR="00CC7CB3" w:rsidRPr="00FB5BFA" w:rsidDel="00CC7CB3">
        <w:rPr>
          <w:rFonts w:ascii="Times New Roman" w:hAnsi="Times New Roman" w:cs="Times New Roman"/>
        </w:rPr>
        <w:t xml:space="preserve"> </w:t>
      </w:r>
      <w:r w:rsidR="00142DB0">
        <w:rPr>
          <w:rFonts w:ascii="Times New Roman" w:hAnsi="Times New Roman" w:cs="Times New Roman"/>
        </w:rPr>
        <w:t xml:space="preserve">(PGPA Rule) </w:t>
      </w:r>
      <w:r w:rsidRPr="00FB5BFA">
        <w:rPr>
          <w:rFonts w:ascii="Times New Roman" w:hAnsi="Times New Roman" w:cs="Times New Roman"/>
        </w:rPr>
        <w:t xml:space="preserve">was introduced to align the </w:t>
      </w:r>
      <w:r w:rsidR="00142DB0">
        <w:rPr>
          <w:rFonts w:ascii="Times New Roman" w:hAnsi="Times New Roman" w:cs="Times New Roman"/>
        </w:rPr>
        <w:t xml:space="preserve">requirements for annual </w:t>
      </w:r>
      <w:r w:rsidRPr="00FB5BFA">
        <w:rPr>
          <w:rFonts w:ascii="Times New Roman" w:hAnsi="Times New Roman" w:cs="Times New Roman"/>
        </w:rPr>
        <w:t xml:space="preserve">Financial Statements (including executive remuneration disclosure) with international and Australian Accounting Standards. The </w:t>
      </w:r>
      <w:r w:rsidR="00D5626C">
        <w:rPr>
          <w:rFonts w:ascii="Times New Roman" w:hAnsi="Times New Roman" w:cs="Times New Roman"/>
        </w:rPr>
        <w:t>PGPA Rule does</w:t>
      </w:r>
      <w:r w:rsidRPr="00FB5BFA">
        <w:rPr>
          <w:rFonts w:ascii="Times New Roman" w:hAnsi="Times New Roman" w:cs="Times New Roman"/>
        </w:rPr>
        <w:t xml:space="preserve"> not prevent an entity from reporting individual executive salaries or remuneration arrangements</w:t>
      </w:r>
      <w:r w:rsidR="00D5626C">
        <w:rPr>
          <w:rFonts w:ascii="Times New Roman" w:hAnsi="Times New Roman" w:cs="Times New Roman"/>
        </w:rPr>
        <w:t xml:space="preserve"> in detail, but establishes a minimum requirement for reporting</w:t>
      </w:r>
      <w:r w:rsidRPr="00FB5BFA">
        <w:rPr>
          <w:rFonts w:ascii="Times New Roman" w:hAnsi="Times New Roman" w:cs="Times New Roman"/>
        </w:rPr>
        <w:t xml:space="preserve">. </w:t>
      </w:r>
      <w:r w:rsidR="00882148" w:rsidRPr="00882148">
        <w:rPr>
          <w:rFonts w:ascii="Times New Roman" w:hAnsi="Times New Roman" w:cs="Times New Roman"/>
        </w:rPr>
        <w:t xml:space="preserve">The Minister for Finance, Senator the Hon. Mathias Cormann, </w:t>
      </w:r>
      <w:r w:rsidR="000C56BA">
        <w:rPr>
          <w:rFonts w:ascii="Times New Roman" w:hAnsi="Times New Roman" w:cs="Times New Roman"/>
        </w:rPr>
        <w:t>wrote</w:t>
      </w:r>
      <w:r w:rsidR="00882148" w:rsidRPr="00882148">
        <w:rPr>
          <w:rFonts w:ascii="Times New Roman" w:hAnsi="Times New Roman" w:cs="Times New Roman"/>
        </w:rPr>
        <w:t xml:space="preserve"> to Chairs of G</w:t>
      </w:r>
      <w:r w:rsidR="00882148">
        <w:rPr>
          <w:rFonts w:ascii="Times New Roman" w:hAnsi="Times New Roman" w:cs="Times New Roman"/>
        </w:rPr>
        <w:t>overnment Business Enterprises (GBEs)</w:t>
      </w:r>
      <w:r w:rsidR="000C56BA">
        <w:rPr>
          <w:rFonts w:ascii="Times New Roman" w:hAnsi="Times New Roman" w:cs="Times New Roman"/>
        </w:rPr>
        <w:t xml:space="preserve"> in </w:t>
      </w:r>
      <w:r w:rsidR="000C56BA" w:rsidRPr="00D836ED">
        <w:rPr>
          <w:rFonts w:ascii="Times New Roman" w:hAnsi="Times New Roman" w:cs="Times New Roman"/>
        </w:rPr>
        <w:t>February 2017</w:t>
      </w:r>
      <w:r w:rsidR="00882148" w:rsidRPr="00D836ED">
        <w:rPr>
          <w:rFonts w:ascii="Times New Roman" w:hAnsi="Times New Roman" w:cs="Times New Roman"/>
        </w:rPr>
        <w:t xml:space="preserve"> requesting that senior executive remuneration be disclosed.</w:t>
      </w:r>
    </w:p>
    <w:p w14:paraId="1A200D1E" w14:textId="3F1D3526" w:rsidR="000C56BA" w:rsidRPr="00D836ED" w:rsidRDefault="000C56BA">
      <w:pPr>
        <w:pStyle w:val="Default"/>
        <w:spacing w:after="147"/>
        <w:rPr>
          <w:rFonts w:ascii="Times New Roman" w:hAnsi="Times New Roman" w:cs="Times New Roman"/>
          <w:b/>
        </w:rPr>
      </w:pPr>
      <w:r w:rsidRPr="00D836ED">
        <w:rPr>
          <w:rFonts w:ascii="Times New Roman" w:hAnsi="Times New Roman" w:cs="Times New Roman"/>
        </w:rPr>
        <w:t>All GBEs have since provided details of remuneration for each of their key management personnel and Board members.</w:t>
      </w:r>
    </w:p>
    <w:p w14:paraId="5E8CD243" w14:textId="123F78B0" w:rsidR="00B20947" w:rsidRPr="006F0F76" w:rsidRDefault="00B20947">
      <w:pPr>
        <w:pStyle w:val="Default"/>
        <w:spacing w:after="147"/>
        <w:rPr>
          <w:rFonts w:ascii="Times New Roman" w:hAnsi="Times New Roman" w:cs="Times New Roman"/>
          <w:b/>
        </w:rPr>
      </w:pPr>
      <w:r w:rsidRPr="00D836ED">
        <w:rPr>
          <w:rFonts w:ascii="Times New Roman" w:hAnsi="Times New Roman" w:cs="Times New Roman"/>
        </w:rPr>
        <w:t xml:space="preserve">The GBE guidelines are currently being updated to include reference to </w:t>
      </w:r>
      <w:r w:rsidR="002D68FA" w:rsidRPr="00D836ED">
        <w:rPr>
          <w:rFonts w:ascii="Times New Roman" w:hAnsi="Times New Roman" w:cs="Times New Roman"/>
        </w:rPr>
        <w:t>annual</w:t>
      </w:r>
      <w:r w:rsidRPr="00D836ED">
        <w:rPr>
          <w:rFonts w:ascii="Times New Roman" w:hAnsi="Times New Roman" w:cs="Times New Roman"/>
        </w:rPr>
        <w:t xml:space="preserve"> reporting of remuneration.</w:t>
      </w:r>
    </w:p>
    <w:p w14:paraId="6BAECA5B" w14:textId="0B07DF57" w:rsidR="00B20947" w:rsidRPr="006F0F76" w:rsidRDefault="006F0F76" w:rsidP="000C56BA">
      <w:pPr>
        <w:pStyle w:val="Default"/>
        <w:spacing w:after="147"/>
        <w:rPr>
          <w:rFonts w:ascii="Times New Roman" w:hAnsi="Times New Roman" w:cs="Times New Roman"/>
          <w:b/>
          <w:i/>
        </w:rPr>
      </w:pPr>
      <w:r w:rsidRPr="006F0F76">
        <w:rPr>
          <w:rFonts w:ascii="Times New Roman" w:hAnsi="Times New Roman" w:cs="Times New Roman"/>
          <w:b/>
          <w:i/>
          <w:lang w:val="en"/>
        </w:rPr>
        <w:t>Independent Review of Whole-of-Government Internal Regulation</w:t>
      </w:r>
    </w:p>
    <w:p w14:paraId="70C66C77" w14:textId="6EB57A6E" w:rsidR="0097476C" w:rsidRPr="00D5626C" w:rsidRDefault="000F5B2E">
      <w:pPr>
        <w:pStyle w:val="Default"/>
        <w:spacing w:after="147"/>
        <w:rPr>
          <w:rFonts w:ascii="Times New Roman" w:hAnsi="Times New Roman" w:cs="Times New Roman"/>
        </w:rPr>
      </w:pPr>
      <w:r w:rsidRPr="00D5626C">
        <w:rPr>
          <w:rFonts w:ascii="Times New Roman" w:hAnsi="Times New Roman" w:cs="Times New Roman"/>
          <w:lang w:val="en"/>
        </w:rPr>
        <w:t xml:space="preserve">The </w:t>
      </w:r>
      <w:r w:rsidR="006F0F76">
        <w:rPr>
          <w:rFonts w:ascii="Times New Roman" w:hAnsi="Times New Roman" w:cs="Times New Roman"/>
          <w:lang w:val="en"/>
        </w:rPr>
        <w:t>I</w:t>
      </w:r>
      <w:r w:rsidR="006F0F76" w:rsidRPr="00D5626C">
        <w:rPr>
          <w:rFonts w:ascii="Times New Roman" w:hAnsi="Times New Roman" w:cs="Times New Roman"/>
          <w:lang w:val="en"/>
        </w:rPr>
        <w:t xml:space="preserve">ndependent </w:t>
      </w:r>
      <w:r w:rsidRPr="00D5626C">
        <w:rPr>
          <w:rFonts w:ascii="Times New Roman" w:hAnsi="Times New Roman" w:cs="Times New Roman"/>
          <w:lang w:val="en"/>
        </w:rPr>
        <w:t xml:space="preserve">Review of Whole-of-Government Internal Regulation </w:t>
      </w:r>
      <w:r w:rsidR="0097476C" w:rsidRPr="00D5626C">
        <w:rPr>
          <w:rFonts w:ascii="Times New Roman" w:hAnsi="Times New Roman" w:cs="Times New Roman"/>
        </w:rPr>
        <w:t xml:space="preserve">made several recommendations </w:t>
      </w:r>
      <w:r w:rsidRPr="00D5626C">
        <w:rPr>
          <w:rFonts w:ascii="Times New Roman" w:hAnsi="Times New Roman" w:cs="Times New Roman"/>
        </w:rPr>
        <w:t>to enhance entity</w:t>
      </w:r>
      <w:r w:rsidR="0097476C" w:rsidRPr="00D5626C">
        <w:rPr>
          <w:rFonts w:ascii="Times New Roman" w:hAnsi="Times New Roman" w:cs="Times New Roman"/>
        </w:rPr>
        <w:t xml:space="preserve"> planning and reporting</w:t>
      </w:r>
      <w:r w:rsidRPr="00D5626C">
        <w:rPr>
          <w:rFonts w:ascii="Times New Roman" w:hAnsi="Times New Roman" w:cs="Times New Roman"/>
        </w:rPr>
        <w:t xml:space="preserve"> processes and products</w:t>
      </w:r>
      <w:r w:rsidR="0097476C" w:rsidRPr="00D5626C">
        <w:rPr>
          <w:rFonts w:ascii="Times New Roman" w:hAnsi="Times New Roman" w:cs="Times New Roman"/>
        </w:rPr>
        <w:t xml:space="preserve">.  An important element </w:t>
      </w:r>
      <w:r w:rsidRPr="00D5626C">
        <w:rPr>
          <w:rFonts w:ascii="Times New Roman" w:hAnsi="Times New Roman" w:cs="Times New Roman"/>
        </w:rPr>
        <w:t xml:space="preserve">of these recommendations was to have reports </w:t>
      </w:r>
      <w:r w:rsidR="0097476C" w:rsidRPr="00D5626C">
        <w:rPr>
          <w:rFonts w:ascii="Times New Roman" w:hAnsi="Times New Roman" w:cs="Times New Roman"/>
        </w:rPr>
        <w:t xml:space="preserve">made available online in a format accessible and manipulable by users. Finance has been exploring the best way to approach this with regard to annual reports. </w:t>
      </w:r>
      <w:r w:rsidR="00DF3389">
        <w:rPr>
          <w:rFonts w:ascii="Times New Roman" w:hAnsi="Times New Roman" w:cs="Times New Roman"/>
        </w:rPr>
        <w:t xml:space="preserve">Through joint work </w:t>
      </w:r>
      <w:r w:rsidR="0097476C" w:rsidRPr="00D5626C">
        <w:rPr>
          <w:rFonts w:ascii="Times New Roman" w:hAnsi="Times New Roman" w:cs="Times New Roman"/>
        </w:rPr>
        <w:t xml:space="preserve">with the Department of the Prime Minister and Cabinet, it has become apparent that having annual reports in HTML with the underlying information on </w:t>
      </w:r>
      <w:hyperlink r:id="rId9" w:history="1">
        <w:r w:rsidR="0097476C" w:rsidRPr="008E58C9">
          <w:rPr>
            <w:rStyle w:val="Hyperlink"/>
            <w:rFonts w:ascii="Times New Roman" w:hAnsi="Times New Roman"/>
          </w:rPr>
          <w:t>data.gov</w:t>
        </w:r>
        <w:r w:rsidR="007E2830" w:rsidRPr="008E58C9">
          <w:rPr>
            <w:rStyle w:val="Hyperlink"/>
            <w:rFonts w:ascii="Times New Roman" w:hAnsi="Times New Roman"/>
          </w:rPr>
          <w:t>.au</w:t>
        </w:r>
      </w:hyperlink>
      <w:r w:rsidR="0097476C" w:rsidRPr="00D5626C">
        <w:rPr>
          <w:rFonts w:ascii="Times New Roman" w:hAnsi="Times New Roman" w:cs="Times New Roman"/>
        </w:rPr>
        <w:t xml:space="preserve">, and preferably in the one location, will </w:t>
      </w:r>
      <w:r w:rsidRPr="00D5626C">
        <w:rPr>
          <w:rFonts w:ascii="Times New Roman" w:hAnsi="Times New Roman" w:cs="Times New Roman"/>
        </w:rPr>
        <w:t>enhance</w:t>
      </w:r>
      <w:r w:rsidR="0097476C" w:rsidRPr="00D5626C">
        <w:rPr>
          <w:rFonts w:ascii="Times New Roman" w:hAnsi="Times New Roman" w:cs="Times New Roman"/>
        </w:rPr>
        <w:t xml:space="preserve"> transparency</w:t>
      </w:r>
      <w:r w:rsidRPr="00D5626C">
        <w:rPr>
          <w:rFonts w:ascii="Times New Roman" w:hAnsi="Times New Roman" w:cs="Times New Roman"/>
        </w:rPr>
        <w:t xml:space="preserve"> and accessibility</w:t>
      </w:r>
      <w:r w:rsidR="0097476C" w:rsidRPr="00D5626C">
        <w:rPr>
          <w:rFonts w:ascii="Times New Roman" w:hAnsi="Times New Roman" w:cs="Times New Roman"/>
        </w:rPr>
        <w:t xml:space="preserve">. </w:t>
      </w:r>
      <w:r w:rsidR="00D5626C" w:rsidRPr="00D5626C">
        <w:rPr>
          <w:rFonts w:ascii="Times New Roman" w:hAnsi="Times New Roman" w:cs="Times New Roman"/>
        </w:rPr>
        <w:t xml:space="preserve">Under this arrangement, the </w:t>
      </w:r>
      <w:r w:rsidR="0097476C" w:rsidRPr="00D5626C">
        <w:rPr>
          <w:rFonts w:ascii="Times New Roman" w:hAnsi="Times New Roman" w:cs="Times New Roman"/>
        </w:rPr>
        <w:t xml:space="preserve">Committee and other interested users </w:t>
      </w:r>
      <w:r w:rsidRPr="00D5626C">
        <w:rPr>
          <w:rFonts w:ascii="Times New Roman" w:hAnsi="Times New Roman" w:cs="Times New Roman"/>
        </w:rPr>
        <w:t xml:space="preserve">would be able to </w:t>
      </w:r>
      <w:r w:rsidR="0097476C" w:rsidRPr="00D5626C">
        <w:rPr>
          <w:rFonts w:ascii="Times New Roman" w:hAnsi="Times New Roman" w:cs="Times New Roman"/>
        </w:rPr>
        <w:t>compar</w:t>
      </w:r>
      <w:r w:rsidRPr="00D5626C">
        <w:rPr>
          <w:rFonts w:ascii="Times New Roman" w:hAnsi="Times New Roman" w:cs="Times New Roman"/>
        </w:rPr>
        <w:t>e</w:t>
      </w:r>
      <w:r w:rsidR="0097476C" w:rsidRPr="00D5626C">
        <w:rPr>
          <w:rFonts w:ascii="Times New Roman" w:hAnsi="Times New Roman" w:cs="Times New Roman"/>
        </w:rPr>
        <w:t xml:space="preserve"> entit</w:t>
      </w:r>
      <w:r w:rsidRPr="00D5626C">
        <w:rPr>
          <w:rFonts w:ascii="Times New Roman" w:hAnsi="Times New Roman" w:cs="Times New Roman"/>
        </w:rPr>
        <w:t>y results</w:t>
      </w:r>
      <w:r w:rsidR="0097476C" w:rsidRPr="00D5626C">
        <w:rPr>
          <w:rFonts w:ascii="Times New Roman" w:hAnsi="Times New Roman" w:cs="Times New Roman"/>
        </w:rPr>
        <w:t xml:space="preserve"> over several years and </w:t>
      </w:r>
      <w:r w:rsidRPr="00D5626C">
        <w:rPr>
          <w:rFonts w:ascii="Times New Roman" w:hAnsi="Times New Roman" w:cs="Times New Roman"/>
        </w:rPr>
        <w:t xml:space="preserve">make comparisons </w:t>
      </w:r>
      <w:r w:rsidR="0097476C" w:rsidRPr="00D5626C">
        <w:rPr>
          <w:rFonts w:ascii="Times New Roman" w:hAnsi="Times New Roman" w:cs="Times New Roman"/>
        </w:rPr>
        <w:t xml:space="preserve">between entities. Improving reporting and transparency is a commitment under Australia’s Open Government Partnership-National Action Plan. Finance (with the Digital Transformation Agency) is leading the commitment to improve </w:t>
      </w:r>
      <w:r w:rsidR="00B20947">
        <w:rPr>
          <w:rFonts w:ascii="Times New Roman" w:hAnsi="Times New Roman" w:cs="Times New Roman"/>
        </w:rPr>
        <w:t>c</w:t>
      </w:r>
      <w:r w:rsidR="00B20947" w:rsidRPr="00D5626C">
        <w:rPr>
          <w:rFonts w:ascii="Times New Roman" w:hAnsi="Times New Roman" w:cs="Times New Roman"/>
        </w:rPr>
        <w:t xml:space="preserve">orporate </w:t>
      </w:r>
      <w:r w:rsidR="0097476C" w:rsidRPr="00D5626C">
        <w:rPr>
          <w:rFonts w:ascii="Times New Roman" w:hAnsi="Times New Roman" w:cs="Times New Roman"/>
        </w:rPr>
        <w:t xml:space="preserve">and </w:t>
      </w:r>
      <w:r w:rsidR="00B20947">
        <w:rPr>
          <w:rFonts w:ascii="Times New Roman" w:hAnsi="Times New Roman" w:cs="Times New Roman"/>
        </w:rPr>
        <w:t>a</w:t>
      </w:r>
      <w:r w:rsidR="00B20947" w:rsidRPr="00D5626C">
        <w:rPr>
          <w:rFonts w:ascii="Times New Roman" w:hAnsi="Times New Roman" w:cs="Times New Roman"/>
        </w:rPr>
        <w:t xml:space="preserve">dministrative </w:t>
      </w:r>
      <w:r w:rsidR="0097476C" w:rsidRPr="00D5626C">
        <w:rPr>
          <w:rFonts w:ascii="Times New Roman" w:hAnsi="Times New Roman" w:cs="Times New Roman"/>
        </w:rPr>
        <w:t>information.</w:t>
      </w:r>
    </w:p>
    <w:p w14:paraId="073C14E2" w14:textId="77777777" w:rsidR="0097476C" w:rsidRPr="0097476C" w:rsidRDefault="0097476C" w:rsidP="0097476C">
      <w:pPr>
        <w:pStyle w:val="Header"/>
        <w:tabs>
          <w:tab w:val="clear" w:pos="4153"/>
          <w:tab w:val="clear" w:pos="8306"/>
        </w:tabs>
        <w:rPr>
          <w:b/>
        </w:rPr>
      </w:pPr>
    </w:p>
    <w:sectPr w:rsidR="0097476C" w:rsidRPr="0097476C" w:rsidSect="00BE5A47">
      <w:headerReference w:type="default" r:id="rId10"/>
      <w:footerReference w:type="default" r:id="rId11"/>
      <w:type w:val="continuous"/>
      <w:pgSz w:w="11907" w:h="16840" w:code="9"/>
      <w:pgMar w:top="1276" w:right="1559" w:bottom="851" w:left="1701" w:header="34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DEF88" w14:textId="77777777" w:rsidR="00A92CF9" w:rsidRDefault="00A92CF9">
      <w:r>
        <w:separator/>
      </w:r>
    </w:p>
  </w:endnote>
  <w:endnote w:type="continuationSeparator" w:id="0">
    <w:p w14:paraId="62A6A30C" w14:textId="77777777" w:rsidR="00A92CF9" w:rsidRDefault="00A9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405C7" w14:textId="77777777" w:rsidR="00A92CF9" w:rsidRDefault="00A92CF9">
    <w:pPr>
      <w:pStyle w:val="Footer"/>
      <w:tabs>
        <w:tab w:val="clear" w:pos="8306"/>
        <w:tab w:val="right" w:pos="8789"/>
      </w:tabs>
      <w:spacing w:after="0"/>
      <w:jc w:val="center"/>
      <w:rPr>
        <w:rFonts w:ascii="Arial" w:hAnsi="Arial" w:cs="Arial"/>
        <w:sz w:val="16"/>
        <w:szCs w:val="16"/>
        <w:lang w:val="en-US"/>
      </w:rPr>
    </w:pPr>
    <w:r>
      <w:rPr>
        <w:rFonts w:ascii="Arial" w:hAnsi="Arial" w:cs="Arial"/>
        <w:sz w:val="16"/>
        <w:szCs w:val="16"/>
        <w:lang w:val="en-US"/>
      </w:rPr>
      <w:t xml:space="preserve">One Canberra Avenue, Forrest ACT 2603 </w:t>
    </w:r>
    <w:r>
      <w:rPr>
        <w:rFonts w:ascii="Arial" w:hAnsi="Arial" w:cs="Arial"/>
        <w:sz w:val="16"/>
        <w:szCs w:val="16"/>
        <w:lang w:val="en-US"/>
      </w:rPr>
      <w:sym w:font="Symbol" w:char="F0B7"/>
    </w:r>
    <w:r>
      <w:rPr>
        <w:rFonts w:ascii="Arial" w:hAnsi="Arial" w:cs="Arial"/>
        <w:sz w:val="16"/>
        <w:szCs w:val="16"/>
        <w:lang w:val="en-US"/>
      </w:rPr>
      <w:t xml:space="preserve"> Telephone 02 6215 3445 </w:t>
    </w:r>
  </w:p>
  <w:p w14:paraId="1BCE8860" w14:textId="77777777" w:rsidR="00A92CF9" w:rsidRDefault="00A92CF9">
    <w:pPr>
      <w:pStyle w:val="Footer"/>
      <w:tabs>
        <w:tab w:val="clear" w:pos="8306"/>
        <w:tab w:val="right" w:pos="8505"/>
      </w:tabs>
      <w:spacing w:after="120"/>
      <w:jc w:val="center"/>
      <w:rPr>
        <w:rFonts w:ascii="Arial" w:hAnsi="Arial" w:cs="Arial"/>
        <w:sz w:val="16"/>
        <w:szCs w:val="16"/>
        <w:lang w:val="en-US"/>
      </w:rPr>
    </w:pPr>
    <w:r>
      <w:rPr>
        <w:rFonts w:ascii="Arial" w:hAnsi="Arial" w:cs="Arial"/>
        <w:sz w:val="16"/>
        <w:szCs w:val="16"/>
        <w:lang w:val="en-US"/>
      </w:rPr>
      <w:t>Internet www.finance.gov.au</w:t>
    </w:r>
  </w:p>
  <w:p w14:paraId="5D527FA0" w14:textId="77777777" w:rsidR="00A92CF9" w:rsidRDefault="00A92CF9">
    <w:pPr>
      <w:pStyle w:val="Footer"/>
      <w:tabs>
        <w:tab w:val="clear" w:pos="8306"/>
        <w:tab w:val="right" w:pos="8505"/>
      </w:tabs>
      <w:spacing w:after="0"/>
      <w:rPr>
        <w:rFonts w:ascii="Arial" w:hAnsi="Arial" w:cs="Arial"/>
        <w:vanish/>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1F972" w14:textId="1AF30F9F" w:rsidR="00A92CF9" w:rsidRDefault="00A92CF9">
    <w:pPr>
      <w:pStyle w:val="Footer"/>
      <w:tabs>
        <w:tab w:val="clear" w:pos="8306"/>
        <w:tab w:val="right" w:pos="8647"/>
      </w:tabs>
      <w:spacing w:after="120"/>
      <w:ind w:right="-284"/>
      <w:jc w:val="center"/>
      <w:rPr>
        <w:sz w:val="18"/>
        <w:szCs w:val="18"/>
      </w:rPr>
    </w:pPr>
    <w:r>
      <w:rPr>
        <w:b/>
        <w:bCs/>
      </w:rPr>
      <w:tab/>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974853">
      <w:rPr>
        <w:rStyle w:val="PageNumber"/>
        <w:rFonts w:ascii="Arial" w:hAnsi="Arial" w:cs="Arial"/>
        <w:noProof/>
        <w:sz w:val="16"/>
        <w:szCs w:val="16"/>
      </w:rPr>
      <w:t>2</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D70E7" w14:textId="77777777" w:rsidR="00A92CF9" w:rsidRDefault="00A92CF9">
      <w:r>
        <w:separator/>
      </w:r>
    </w:p>
  </w:footnote>
  <w:footnote w:type="continuationSeparator" w:id="0">
    <w:p w14:paraId="74836EA1" w14:textId="77777777" w:rsidR="00A92CF9" w:rsidRDefault="00A9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53BAE" w14:textId="77777777" w:rsidR="00A92CF9" w:rsidRPr="0097476C" w:rsidRDefault="00A92CF9" w:rsidP="00974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34CF"/>
    <w:multiLevelType w:val="hybridMultilevel"/>
    <w:tmpl w:val="2DFA3E4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691B2C"/>
    <w:multiLevelType w:val="hybridMultilevel"/>
    <w:tmpl w:val="4404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CFF"/>
    <w:multiLevelType w:val="singleLevel"/>
    <w:tmpl w:val="E9668A02"/>
    <w:lvl w:ilvl="0">
      <w:start w:val="2"/>
      <w:numFmt w:val="decimal"/>
      <w:pStyle w:val="ParaNumbering"/>
      <w:lvlText w:val="%1."/>
      <w:lvlJc w:val="left"/>
      <w:pPr>
        <w:tabs>
          <w:tab w:val="num" w:pos="360"/>
        </w:tabs>
      </w:pPr>
      <w:rPr>
        <w:rFonts w:cs="Times New Roman"/>
      </w:rPr>
    </w:lvl>
  </w:abstractNum>
  <w:abstractNum w:abstractNumId="3" w15:restartNumberingAfterBreak="0">
    <w:nsid w:val="140249D7"/>
    <w:multiLevelType w:val="multilevel"/>
    <w:tmpl w:val="02B656BA"/>
    <w:lvl w:ilvl="0">
      <w:start w:val="1"/>
      <w:numFmt w:val="bullet"/>
      <w:pStyle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268"/>
        </w:tabs>
        <w:ind w:left="2268" w:hanging="567"/>
      </w:pPr>
      <w:rPr>
        <w:rFonts w:ascii="Symbol" w:hAnsi="Symbol" w:hint="default"/>
      </w:rPr>
    </w:lvl>
    <w:lvl w:ilvl="7">
      <w:start w:val="1"/>
      <w:numFmt w:val="bullet"/>
      <w:lvlText w:val=""/>
      <w:lvlJc w:val="left"/>
      <w:pPr>
        <w:tabs>
          <w:tab w:val="num" w:pos="2835"/>
        </w:tabs>
        <w:ind w:left="2835" w:hanging="567"/>
      </w:pPr>
      <w:rPr>
        <w:rFonts w:ascii="Symbol" w:hAnsi="Symbol" w:hint="default"/>
      </w:rPr>
    </w:lvl>
    <w:lvl w:ilvl="8">
      <w:start w:val="1"/>
      <w:numFmt w:val="bullet"/>
      <w:lvlText w:val=""/>
      <w:lvlJc w:val="left"/>
      <w:pPr>
        <w:tabs>
          <w:tab w:val="num" w:pos="3402"/>
        </w:tabs>
        <w:ind w:left="3402" w:hanging="567"/>
      </w:pPr>
      <w:rPr>
        <w:rFonts w:ascii="Symbol" w:hAnsi="Symbol" w:hint="default"/>
      </w:rPr>
    </w:lvl>
  </w:abstractNum>
  <w:abstractNum w:abstractNumId="4" w15:restartNumberingAfterBreak="0">
    <w:nsid w:val="1A9877AF"/>
    <w:multiLevelType w:val="multilevel"/>
    <w:tmpl w:val="96F0E8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6734C"/>
    <w:multiLevelType w:val="multilevel"/>
    <w:tmpl w:val="C7C6AD38"/>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4B096117"/>
    <w:multiLevelType w:val="multilevel"/>
    <w:tmpl w:val="D2A0E5C4"/>
    <w:name w:val="List 1."/>
    <w:lvl w:ilvl="0">
      <w:start w:val="1"/>
      <w:numFmt w:val="decimal"/>
      <w:lvlText w:val="%1."/>
      <w:lvlJc w:val="left"/>
      <w:pPr>
        <w:tabs>
          <w:tab w:val="num" w:pos="567"/>
        </w:tabs>
        <w:ind w:left="567" w:hanging="567"/>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4F4853F2"/>
    <w:multiLevelType w:val="hybridMultilevel"/>
    <w:tmpl w:val="85EC25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8A0F96"/>
    <w:multiLevelType w:val="multilevel"/>
    <w:tmpl w:val="0F78BF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C30EC2"/>
    <w:multiLevelType w:val="multilevel"/>
    <w:tmpl w:val="E8B03B92"/>
    <w:name w:val="Legal"/>
    <w:lvl w:ilvl="0">
      <w:start w:val="1"/>
      <w:numFmt w:val="decimal"/>
      <w:isLgl/>
      <w:lvlText w:val="%1."/>
      <w:lvlJc w:val="left"/>
      <w:pPr>
        <w:tabs>
          <w:tab w:val="num" w:pos="567"/>
        </w:tabs>
        <w:ind w:left="567" w:hanging="567"/>
      </w:pPr>
      <w:rPr>
        <w:rFonts w:cs="Times New Roman"/>
      </w:rPr>
    </w:lvl>
    <w:lvl w:ilvl="1">
      <w:start w:val="1"/>
      <w:numFmt w:val="decimal"/>
      <w:isLgl/>
      <w:lvlText w:val="%1.%2."/>
      <w:lvlJc w:val="left"/>
      <w:pPr>
        <w:tabs>
          <w:tab w:val="num" w:pos="1134"/>
        </w:tabs>
        <w:ind w:left="1134" w:hanging="774"/>
      </w:pPr>
      <w:rPr>
        <w:rFonts w:cs="Times New Roman"/>
      </w:rPr>
    </w:lvl>
    <w:lvl w:ilvl="2">
      <w:start w:val="1"/>
      <w:numFmt w:val="decimal"/>
      <w:isLgl/>
      <w:lvlText w:val="%1.%2.%3."/>
      <w:lvlJc w:val="left"/>
      <w:pPr>
        <w:tabs>
          <w:tab w:val="num" w:pos="1701"/>
        </w:tabs>
        <w:ind w:left="1701" w:hanging="981"/>
      </w:pPr>
      <w:rPr>
        <w:rFonts w:cs="Times New Roman"/>
      </w:rPr>
    </w:lvl>
    <w:lvl w:ilvl="3">
      <w:start w:val="1"/>
      <w:numFmt w:val="decimal"/>
      <w:isLgl/>
      <w:lvlText w:val="%1.%2.%3.%4."/>
      <w:lvlJc w:val="left"/>
      <w:pPr>
        <w:tabs>
          <w:tab w:val="num" w:pos="1800"/>
        </w:tabs>
        <w:ind w:left="1729" w:hanging="649"/>
      </w:pPr>
      <w:rPr>
        <w:rFonts w:cs="Times New Roman"/>
      </w:rPr>
    </w:lvl>
    <w:lvl w:ilvl="4">
      <w:start w:val="1"/>
      <w:numFmt w:val="decimal"/>
      <w:isLgl/>
      <w:lvlText w:val="%1.%2.%3.%4.%5."/>
      <w:lvlJc w:val="left"/>
      <w:pPr>
        <w:tabs>
          <w:tab w:val="num" w:pos="2520"/>
        </w:tabs>
        <w:ind w:left="2234" w:hanging="794"/>
      </w:pPr>
      <w:rPr>
        <w:rFonts w:cs="Times New Roman"/>
      </w:rPr>
    </w:lvl>
    <w:lvl w:ilvl="5">
      <w:start w:val="1"/>
      <w:numFmt w:val="decimal"/>
      <w:isLgl/>
      <w:lvlText w:val="%1.%2.%3.%4.%5.%6."/>
      <w:lvlJc w:val="left"/>
      <w:pPr>
        <w:tabs>
          <w:tab w:val="num" w:pos="2880"/>
        </w:tabs>
        <w:ind w:left="2739" w:hanging="939"/>
      </w:pPr>
      <w:rPr>
        <w:rFonts w:cs="Times New Roman"/>
      </w:rPr>
    </w:lvl>
    <w:lvl w:ilvl="6">
      <w:start w:val="1"/>
      <w:numFmt w:val="decimal"/>
      <w:isLgl/>
      <w:lvlText w:val="%1.%2.%3.%4.%5.%6.%7."/>
      <w:lvlJc w:val="left"/>
      <w:pPr>
        <w:tabs>
          <w:tab w:val="num" w:pos="3600"/>
        </w:tabs>
        <w:ind w:left="3238" w:hanging="1078"/>
      </w:pPr>
      <w:rPr>
        <w:rFonts w:cs="Times New Roman"/>
      </w:rPr>
    </w:lvl>
    <w:lvl w:ilvl="7">
      <w:start w:val="1"/>
      <w:numFmt w:val="decimal"/>
      <w:isLgl/>
      <w:lvlText w:val="%1.%2.%3.%4.%5.%6.%7.%8."/>
      <w:lvlJc w:val="left"/>
      <w:pPr>
        <w:tabs>
          <w:tab w:val="num" w:pos="3960"/>
        </w:tabs>
        <w:ind w:left="3742" w:hanging="1222"/>
      </w:pPr>
      <w:rPr>
        <w:rFonts w:cs="Times New Roman"/>
      </w:rPr>
    </w:lvl>
    <w:lvl w:ilvl="8">
      <w:start w:val="1"/>
      <w:numFmt w:val="decimal"/>
      <w:isLgl/>
      <w:lvlText w:val="%1.%2.%3.%4.%5.%6.%7.%8.%9."/>
      <w:lvlJc w:val="left"/>
      <w:pPr>
        <w:tabs>
          <w:tab w:val="num" w:pos="4680"/>
        </w:tabs>
        <w:ind w:left="4321" w:hanging="1441"/>
      </w:pPr>
      <w:rPr>
        <w:rFonts w:cs="Times New Roman"/>
      </w:rPr>
    </w:lvl>
  </w:abstractNum>
  <w:abstractNum w:abstractNumId="10" w15:restartNumberingAfterBreak="0">
    <w:nsid w:val="5A56592E"/>
    <w:multiLevelType w:val="multilevel"/>
    <w:tmpl w:val="14765DC4"/>
    <w:lvl w:ilvl="0">
      <w:start w:val="1"/>
      <w:numFmt w:val="decimal"/>
      <w:pStyle w:val="NumberList"/>
      <w:lvlText w:val="%1."/>
      <w:lvlJc w:val="left"/>
      <w:pPr>
        <w:tabs>
          <w:tab w:val="num" w:pos="567"/>
        </w:tabs>
        <w:ind w:left="567" w:hanging="567"/>
      </w:pPr>
      <w:rPr>
        <w:rFonts w:cs="Times New Roman"/>
      </w:rPr>
    </w:lvl>
    <w:lvl w:ilvl="1">
      <w:start w:val="1"/>
      <w:numFmt w:val="lowerLetter"/>
      <w:lvlText w:val="(%2)"/>
      <w:lvlJc w:val="left"/>
      <w:pPr>
        <w:tabs>
          <w:tab w:val="num" w:pos="1134"/>
        </w:tabs>
        <w:ind w:left="1134" w:hanging="567"/>
      </w:pPr>
      <w:rPr>
        <w:rFonts w:cs="Times New Roman"/>
      </w:rPr>
    </w:lvl>
    <w:lvl w:ilvl="2">
      <w:start w:val="1"/>
      <w:numFmt w:val="lowerRoman"/>
      <w:lvlText w:val="(%3)"/>
      <w:lvlJc w:val="left"/>
      <w:pPr>
        <w:tabs>
          <w:tab w:val="num" w:pos="1854"/>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65900E82"/>
    <w:multiLevelType w:val="hybridMultilevel"/>
    <w:tmpl w:val="7C401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106066"/>
    <w:multiLevelType w:val="hybridMultilevel"/>
    <w:tmpl w:val="B582CC6E"/>
    <w:lvl w:ilvl="0" w:tplc="3C8427F6">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0A166F"/>
    <w:multiLevelType w:val="hybridMultilevel"/>
    <w:tmpl w:val="853A6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6"/>
  </w:num>
  <w:num w:numId="4">
    <w:abstractNumId w:val="3"/>
  </w:num>
  <w:num w:numId="5">
    <w:abstractNumId w:val="10"/>
  </w:num>
  <w:num w:numId="6">
    <w:abstractNumId w:val="2"/>
  </w:num>
  <w:num w:numId="7">
    <w:abstractNumId w:val="10"/>
  </w:num>
  <w:num w:numId="8">
    <w:abstractNumId w:val="10"/>
  </w:num>
  <w:num w:numId="9">
    <w:abstractNumId w:val="8"/>
  </w:num>
  <w:num w:numId="10">
    <w:abstractNumId w:val="4"/>
  </w:num>
  <w:num w:numId="11">
    <w:abstractNumId w:val="12"/>
  </w:num>
  <w:num w:numId="12">
    <w:abstractNumId w:val="1"/>
  </w:num>
  <w:num w:numId="13">
    <w:abstractNumId w:val="0"/>
  </w:num>
  <w:num w:numId="14">
    <w:abstractNumId w:val="7"/>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5B"/>
    <w:rsid w:val="00037339"/>
    <w:rsid w:val="00064F28"/>
    <w:rsid w:val="000658A1"/>
    <w:rsid w:val="00071AAF"/>
    <w:rsid w:val="000750D9"/>
    <w:rsid w:val="000856A9"/>
    <w:rsid w:val="000B274A"/>
    <w:rsid w:val="000C56BA"/>
    <w:rsid w:val="000C6397"/>
    <w:rsid w:val="000E7A11"/>
    <w:rsid w:val="000F5B2E"/>
    <w:rsid w:val="00142DB0"/>
    <w:rsid w:val="00151C9C"/>
    <w:rsid w:val="0016729E"/>
    <w:rsid w:val="0019062F"/>
    <w:rsid w:val="001C13F0"/>
    <w:rsid w:val="001E1B63"/>
    <w:rsid w:val="001F5D21"/>
    <w:rsid w:val="002136F0"/>
    <w:rsid w:val="00220409"/>
    <w:rsid w:val="002D1423"/>
    <w:rsid w:val="002D68FA"/>
    <w:rsid w:val="002E1B8F"/>
    <w:rsid w:val="002E1C3F"/>
    <w:rsid w:val="00383672"/>
    <w:rsid w:val="003B5009"/>
    <w:rsid w:val="003B7177"/>
    <w:rsid w:val="003E0D1B"/>
    <w:rsid w:val="003E2A42"/>
    <w:rsid w:val="00432847"/>
    <w:rsid w:val="00443B97"/>
    <w:rsid w:val="004725B4"/>
    <w:rsid w:val="00484BA8"/>
    <w:rsid w:val="004E175D"/>
    <w:rsid w:val="004E418D"/>
    <w:rsid w:val="00500B52"/>
    <w:rsid w:val="00537766"/>
    <w:rsid w:val="00541BB5"/>
    <w:rsid w:val="00552F7B"/>
    <w:rsid w:val="005710C5"/>
    <w:rsid w:val="0058458C"/>
    <w:rsid w:val="00597821"/>
    <w:rsid w:val="005B4016"/>
    <w:rsid w:val="005C733B"/>
    <w:rsid w:val="005D0292"/>
    <w:rsid w:val="005D7420"/>
    <w:rsid w:val="005E57AB"/>
    <w:rsid w:val="005E6089"/>
    <w:rsid w:val="005F37F4"/>
    <w:rsid w:val="005F4E7F"/>
    <w:rsid w:val="00603455"/>
    <w:rsid w:val="00612532"/>
    <w:rsid w:val="006128CA"/>
    <w:rsid w:val="00622D6D"/>
    <w:rsid w:val="006824E7"/>
    <w:rsid w:val="00686A15"/>
    <w:rsid w:val="006A4706"/>
    <w:rsid w:val="006B737B"/>
    <w:rsid w:val="006D3D4C"/>
    <w:rsid w:val="006E779A"/>
    <w:rsid w:val="006F0F76"/>
    <w:rsid w:val="00717FE0"/>
    <w:rsid w:val="007432EB"/>
    <w:rsid w:val="00757328"/>
    <w:rsid w:val="00764578"/>
    <w:rsid w:val="00775B22"/>
    <w:rsid w:val="007A42F5"/>
    <w:rsid w:val="007B2A8F"/>
    <w:rsid w:val="007B4298"/>
    <w:rsid w:val="007C19F0"/>
    <w:rsid w:val="007D03F3"/>
    <w:rsid w:val="007D2271"/>
    <w:rsid w:val="007E2830"/>
    <w:rsid w:val="007E37B7"/>
    <w:rsid w:val="00814E31"/>
    <w:rsid w:val="00822D35"/>
    <w:rsid w:val="00830AC0"/>
    <w:rsid w:val="008342C7"/>
    <w:rsid w:val="0084253F"/>
    <w:rsid w:val="00851E4F"/>
    <w:rsid w:val="008606EE"/>
    <w:rsid w:val="00882148"/>
    <w:rsid w:val="008A2BFC"/>
    <w:rsid w:val="008C3194"/>
    <w:rsid w:val="008E58C9"/>
    <w:rsid w:val="008F19C2"/>
    <w:rsid w:val="00933085"/>
    <w:rsid w:val="0093391E"/>
    <w:rsid w:val="00937FCA"/>
    <w:rsid w:val="009418F5"/>
    <w:rsid w:val="00946C52"/>
    <w:rsid w:val="00961283"/>
    <w:rsid w:val="0097476C"/>
    <w:rsid w:val="00974853"/>
    <w:rsid w:val="009C0C5B"/>
    <w:rsid w:val="009E39C7"/>
    <w:rsid w:val="009F5826"/>
    <w:rsid w:val="00A066AB"/>
    <w:rsid w:val="00A1435D"/>
    <w:rsid w:val="00A42A4B"/>
    <w:rsid w:val="00A92CF9"/>
    <w:rsid w:val="00A949FC"/>
    <w:rsid w:val="00AA2358"/>
    <w:rsid w:val="00AC5F72"/>
    <w:rsid w:val="00AC7AA4"/>
    <w:rsid w:val="00AD3A15"/>
    <w:rsid w:val="00AE187A"/>
    <w:rsid w:val="00AF3F78"/>
    <w:rsid w:val="00AF4B8F"/>
    <w:rsid w:val="00B07F1B"/>
    <w:rsid w:val="00B12AFB"/>
    <w:rsid w:val="00B15628"/>
    <w:rsid w:val="00B20947"/>
    <w:rsid w:val="00B20D22"/>
    <w:rsid w:val="00B26F20"/>
    <w:rsid w:val="00B54704"/>
    <w:rsid w:val="00B54D84"/>
    <w:rsid w:val="00B55EF3"/>
    <w:rsid w:val="00B6438D"/>
    <w:rsid w:val="00B71E54"/>
    <w:rsid w:val="00BA5E36"/>
    <w:rsid w:val="00BA5EBB"/>
    <w:rsid w:val="00BB3365"/>
    <w:rsid w:val="00BE545D"/>
    <w:rsid w:val="00BE5A47"/>
    <w:rsid w:val="00BF0E29"/>
    <w:rsid w:val="00C142FA"/>
    <w:rsid w:val="00C21C60"/>
    <w:rsid w:val="00C6157C"/>
    <w:rsid w:val="00C626F3"/>
    <w:rsid w:val="00C6496D"/>
    <w:rsid w:val="00CC7CB3"/>
    <w:rsid w:val="00CD2F91"/>
    <w:rsid w:val="00D04D60"/>
    <w:rsid w:val="00D241C4"/>
    <w:rsid w:val="00D272F2"/>
    <w:rsid w:val="00D4053A"/>
    <w:rsid w:val="00D5626C"/>
    <w:rsid w:val="00D836ED"/>
    <w:rsid w:val="00D8727B"/>
    <w:rsid w:val="00DA5913"/>
    <w:rsid w:val="00DE4E08"/>
    <w:rsid w:val="00DE7487"/>
    <w:rsid w:val="00DF3389"/>
    <w:rsid w:val="00E3116A"/>
    <w:rsid w:val="00E8730E"/>
    <w:rsid w:val="00E91EF4"/>
    <w:rsid w:val="00EA41D0"/>
    <w:rsid w:val="00EB25AD"/>
    <w:rsid w:val="00EB4519"/>
    <w:rsid w:val="00EB5262"/>
    <w:rsid w:val="00F16565"/>
    <w:rsid w:val="00F25E78"/>
    <w:rsid w:val="00F447A8"/>
    <w:rsid w:val="00F66827"/>
    <w:rsid w:val="00F868A5"/>
    <w:rsid w:val="00F9599F"/>
    <w:rsid w:val="00FA7B58"/>
    <w:rsid w:val="00FE1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EAB8C05"/>
  <w15:docId w15:val="{516A39DD-88B1-492D-B4BB-24175E5C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21"/>
    <w:pPr>
      <w:spacing w:line="240" w:lineRule="atLeast"/>
    </w:pPr>
    <w:rPr>
      <w:sz w:val="24"/>
      <w:szCs w:val="24"/>
      <w:lang w:eastAsia="en-US"/>
    </w:rPr>
  </w:style>
  <w:style w:type="paragraph" w:styleId="Heading1">
    <w:name w:val="heading 1"/>
    <w:basedOn w:val="Normal"/>
    <w:next w:val="Normal"/>
    <w:link w:val="Heading1Char"/>
    <w:qFormat/>
    <w:rsid w:val="001F5D21"/>
    <w:pPr>
      <w:keepNext/>
      <w:spacing w:before="60" w:after="360"/>
      <w:outlineLvl w:val="0"/>
    </w:pPr>
    <w:rPr>
      <w:rFonts w:ascii="Arial" w:hAnsi="Arial" w:cs="Arial"/>
      <w:b/>
      <w:bCs/>
      <w:kern w:val="28"/>
      <w:sz w:val="28"/>
      <w:szCs w:val="28"/>
    </w:rPr>
  </w:style>
  <w:style w:type="paragraph" w:styleId="Heading2">
    <w:name w:val="heading 2"/>
    <w:basedOn w:val="Normal"/>
    <w:next w:val="Normal"/>
    <w:qFormat/>
    <w:rsid w:val="001F5D21"/>
    <w:pPr>
      <w:keepNext/>
      <w:spacing w:before="60" w:after="60"/>
      <w:outlineLvl w:val="1"/>
    </w:pPr>
    <w:rPr>
      <w:rFonts w:ascii="Arial" w:hAnsi="Arial" w:cs="Arial"/>
      <w:b/>
      <w:bCs/>
    </w:rPr>
  </w:style>
  <w:style w:type="paragraph" w:styleId="Heading3">
    <w:name w:val="heading 3"/>
    <w:basedOn w:val="Normal"/>
    <w:next w:val="Normal"/>
    <w:qFormat/>
    <w:rsid w:val="001F5D21"/>
    <w:pPr>
      <w:keepNext/>
      <w:spacing w:before="60" w:after="60"/>
      <w:outlineLvl w:val="2"/>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5D21"/>
    <w:pPr>
      <w:tabs>
        <w:tab w:val="center" w:pos="4153"/>
        <w:tab w:val="right" w:pos="8306"/>
      </w:tabs>
      <w:spacing w:after="240"/>
    </w:pPr>
  </w:style>
  <w:style w:type="paragraph" w:styleId="Footer">
    <w:name w:val="footer"/>
    <w:basedOn w:val="Normal"/>
    <w:rsid w:val="001F5D21"/>
    <w:pPr>
      <w:tabs>
        <w:tab w:val="center" w:pos="4153"/>
        <w:tab w:val="right" w:pos="8306"/>
      </w:tabs>
      <w:spacing w:after="240"/>
    </w:pPr>
  </w:style>
  <w:style w:type="paragraph" w:customStyle="1" w:styleId="Bullet">
    <w:name w:val="Bullet"/>
    <w:basedOn w:val="Normal"/>
    <w:rsid w:val="001F5D21"/>
    <w:pPr>
      <w:numPr>
        <w:numId w:val="4"/>
      </w:numPr>
      <w:spacing w:after="240"/>
    </w:pPr>
  </w:style>
  <w:style w:type="paragraph" w:customStyle="1" w:styleId="NumberList">
    <w:name w:val="Number List"/>
    <w:basedOn w:val="Normal"/>
    <w:rsid w:val="001F5D21"/>
    <w:pPr>
      <w:numPr>
        <w:numId w:val="8"/>
      </w:numPr>
    </w:pPr>
  </w:style>
  <w:style w:type="paragraph" w:customStyle="1" w:styleId="ParaNumbering">
    <w:name w:val="Para Numbering"/>
    <w:basedOn w:val="Normal"/>
    <w:rsid w:val="001F5D21"/>
    <w:pPr>
      <w:numPr>
        <w:numId w:val="6"/>
      </w:numPr>
      <w:tabs>
        <w:tab w:val="clear" w:pos="360"/>
        <w:tab w:val="left" w:pos="567"/>
      </w:tabs>
    </w:pPr>
  </w:style>
  <w:style w:type="character" w:styleId="Hyperlink">
    <w:name w:val="Hyperlink"/>
    <w:basedOn w:val="DefaultParagraphFont"/>
    <w:rsid w:val="001F5D21"/>
    <w:rPr>
      <w:rFonts w:cs="Times New Roman"/>
      <w:color w:val="0000FF"/>
      <w:u w:val="single"/>
    </w:rPr>
  </w:style>
  <w:style w:type="paragraph" w:customStyle="1" w:styleId="Logo">
    <w:name w:val="Logo"/>
    <w:basedOn w:val="Heading2"/>
    <w:rsid w:val="001F5D21"/>
    <w:pPr>
      <w:spacing w:after="0"/>
      <w:ind w:left="-113" w:right="-113"/>
    </w:pPr>
    <w:rPr>
      <w:rFonts w:ascii="Times New Roman" w:hAnsi="Times New Roman" w:cs="Times New Roman"/>
      <w:sz w:val="22"/>
      <w:szCs w:val="22"/>
    </w:rPr>
  </w:style>
  <w:style w:type="character" w:styleId="PageNumber">
    <w:name w:val="page number"/>
    <w:basedOn w:val="DefaultParagraphFont"/>
    <w:rsid w:val="001F5D21"/>
    <w:rPr>
      <w:rFonts w:cs="Times New Roman"/>
    </w:rPr>
  </w:style>
  <w:style w:type="paragraph" w:styleId="BalloonText">
    <w:name w:val="Balloon Text"/>
    <w:basedOn w:val="Normal"/>
    <w:link w:val="BalloonTextChar"/>
    <w:rsid w:val="006D3D4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D3D4C"/>
    <w:rPr>
      <w:rFonts w:ascii="Tahoma" w:hAnsi="Tahoma" w:cs="Tahoma"/>
      <w:sz w:val="16"/>
      <w:szCs w:val="16"/>
      <w:lang w:eastAsia="en-US"/>
    </w:rPr>
  </w:style>
  <w:style w:type="paragraph" w:styleId="Title">
    <w:name w:val="Title"/>
    <w:basedOn w:val="Normal"/>
    <w:link w:val="TitleChar"/>
    <w:uiPriority w:val="10"/>
    <w:qFormat/>
    <w:rsid w:val="0097476C"/>
    <w:pPr>
      <w:autoSpaceDE w:val="0"/>
      <w:autoSpaceDN w:val="0"/>
      <w:spacing w:line="240" w:lineRule="auto"/>
      <w:jc w:val="center"/>
    </w:pPr>
    <w:rPr>
      <w:b/>
      <w:bCs/>
      <w:sz w:val="28"/>
      <w:szCs w:val="28"/>
    </w:rPr>
  </w:style>
  <w:style w:type="character" w:customStyle="1" w:styleId="TitleChar">
    <w:name w:val="Title Char"/>
    <w:basedOn w:val="DefaultParagraphFont"/>
    <w:link w:val="Title"/>
    <w:uiPriority w:val="10"/>
    <w:rsid w:val="0097476C"/>
    <w:rPr>
      <w:b/>
      <w:bCs/>
      <w:sz w:val="28"/>
      <w:szCs w:val="28"/>
      <w:lang w:eastAsia="en-US"/>
    </w:rPr>
  </w:style>
  <w:style w:type="character" w:customStyle="1" w:styleId="Heading1Char">
    <w:name w:val="Heading 1 Char"/>
    <w:basedOn w:val="DefaultParagraphFont"/>
    <w:link w:val="Heading1"/>
    <w:rsid w:val="0097476C"/>
    <w:rPr>
      <w:rFonts w:ascii="Arial" w:hAnsi="Arial" w:cs="Arial"/>
      <w:b/>
      <w:bCs/>
      <w:kern w:val="28"/>
      <w:sz w:val="28"/>
      <w:szCs w:val="28"/>
      <w:lang w:eastAsia="en-US"/>
    </w:rPr>
  </w:style>
  <w:style w:type="paragraph" w:styleId="NormalWeb">
    <w:name w:val="Normal (Web)"/>
    <w:basedOn w:val="Normal"/>
    <w:uiPriority w:val="99"/>
    <w:semiHidden/>
    <w:unhideWhenUsed/>
    <w:rsid w:val="0097476C"/>
    <w:pPr>
      <w:spacing w:before="100" w:beforeAutospacing="1" w:after="100" w:afterAutospacing="1" w:line="240" w:lineRule="auto"/>
    </w:pPr>
    <w:rPr>
      <w:lang w:eastAsia="en-AU"/>
    </w:rPr>
  </w:style>
  <w:style w:type="paragraph" w:customStyle="1" w:styleId="Default">
    <w:name w:val="Default"/>
    <w:rsid w:val="0097476C"/>
    <w:pPr>
      <w:autoSpaceDE w:val="0"/>
      <w:autoSpaceDN w:val="0"/>
      <w:adjustRightInd w:val="0"/>
    </w:pPr>
    <w:rPr>
      <w:rFonts w:ascii="Book Antiqua" w:eastAsiaTheme="minorHAnsi" w:hAnsi="Book Antiqua" w:cs="Book Antiqua"/>
      <w:color w:val="000000"/>
      <w:sz w:val="24"/>
      <w:szCs w:val="24"/>
      <w:lang w:eastAsia="en-US"/>
    </w:rPr>
  </w:style>
  <w:style w:type="table" w:styleId="TableGrid">
    <w:name w:val="Table Grid"/>
    <w:basedOn w:val="TableNormal"/>
    <w:uiPriority w:val="59"/>
    <w:rsid w:val="00974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76C"/>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484BA8"/>
    <w:rPr>
      <w:i/>
      <w:iCs/>
    </w:rPr>
  </w:style>
  <w:style w:type="character" w:styleId="CommentReference">
    <w:name w:val="annotation reference"/>
    <w:basedOn w:val="DefaultParagraphFont"/>
    <w:semiHidden/>
    <w:unhideWhenUsed/>
    <w:rsid w:val="00CC7CB3"/>
    <w:rPr>
      <w:sz w:val="16"/>
      <w:szCs w:val="16"/>
    </w:rPr>
  </w:style>
  <w:style w:type="paragraph" w:styleId="CommentText">
    <w:name w:val="annotation text"/>
    <w:basedOn w:val="Normal"/>
    <w:link w:val="CommentTextChar"/>
    <w:semiHidden/>
    <w:unhideWhenUsed/>
    <w:rsid w:val="00CC7CB3"/>
    <w:pPr>
      <w:spacing w:line="240" w:lineRule="auto"/>
    </w:pPr>
    <w:rPr>
      <w:sz w:val="20"/>
      <w:szCs w:val="20"/>
    </w:rPr>
  </w:style>
  <w:style w:type="character" w:customStyle="1" w:styleId="CommentTextChar">
    <w:name w:val="Comment Text Char"/>
    <w:basedOn w:val="DefaultParagraphFont"/>
    <w:link w:val="CommentText"/>
    <w:semiHidden/>
    <w:rsid w:val="00CC7CB3"/>
    <w:rPr>
      <w:lang w:eastAsia="en-US"/>
    </w:rPr>
  </w:style>
  <w:style w:type="paragraph" w:styleId="CommentSubject">
    <w:name w:val="annotation subject"/>
    <w:basedOn w:val="CommentText"/>
    <w:next w:val="CommentText"/>
    <w:link w:val="CommentSubjectChar"/>
    <w:semiHidden/>
    <w:unhideWhenUsed/>
    <w:rsid w:val="00CC7CB3"/>
    <w:rPr>
      <w:b/>
      <w:bCs/>
    </w:rPr>
  </w:style>
  <w:style w:type="character" w:customStyle="1" w:styleId="CommentSubjectChar">
    <w:name w:val="Comment Subject Char"/>
    <w:basedOn w:val="CommentTextChar"/>
    <w:link w:val="CommentSubject"/>
    <w:semiHidden/>
    <w:rsid w:val="00CC7CB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at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5ECE7EF2</Template>
  <TotalTime>3</TotalTime>
  <Pages>4</Pages>
  <Words>1167</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Benning, Kim-Louise</dc:creator>
  <cp:lastModifiedBy>Gordon, Helen</cp:lastModifiedBy>
  <cp:revision>3</cp:revision>
  <cp:lastPrinted>2017-03-29T01:24:00Z</cp:lastPrinted>
  <dcterms:created xsi:type="dcterms:W3CDTF">2017-06-19T23:04:00Z</dcterms:created>
  <dcterms:modified xsi:type="dcterms:W3CDTF">2017-06-19T23:12:00Z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Code">
    <vt:lpwstr>[Reference Code]</vt:lpwstr>
  </property>
  <property fmtid="{D5CDD505-2E9C-101B-9397-08002B2CF9AE}" pid="3" name="Business Group">
    <vt:lpwstr>[Business Group]</vt:lpwstr>
  </property>
  <property fmtid="{D5CDD505-2E9C-101B-9397-08002B2CF9AE}" pid="4" name="Deadline">
    <vt:lpwstr>[Deadline]</vt:lpwstr>
  </property>
  <property fmtid="{D5CDD505-2E9C-101B-9397-08002B2CF9AE}" pid="5" name="Action Officer">
    <vt:lpwstr>[Action Officer]</vt:lpwstr>
  </property>
  <property fmtid="{D5CDD505-2E9C-101B-9397-08002B2CF9AE}" pid="6" name="Action Officer Email">
    <vt:lpwstr>[Action Officer Email]</vt:lpwstr>
  </property>
  <property fmtid="{D5CDD505-2E9C-101B-9397-08002B2CF9AE}" pid="7" name="Correspondent Name">
    <vt:lpwstr>[Correspondent Name]</vt:lpwstr>
  </property>
  <property fmtid="{D5CDD505-2E9C-101B-9397-08002B2CF9AE}" pid="8" name="Correspondent Organisation">
    <vt:lpwstr>[Correspondent Organisation]</vt:lpwstr>
  </property>
  <property fmtid="{D5CDD505-2E9C-101B-9397-08002B2CF9AE}" pid="9" name="Correspondent Street">
    <vt:lpwstr>[Correspondent Street]</vt:lpwstr>
  </property>
  <property fmtid="{D5CDD505-2E9C-101B-9397-08002B2CF9AE}" pid="10" name="Correspondent State">
    <vt:lpwstr>[Correspondent State]</vt:lpwstr>
  </property>
  <property fmtid="{D5CDD505-2E9C-101B-9397-08002B2CF9AE}" pid="11" name="Correspondent Post Code">
    <vt:lpwstr>[Correspondent Post Code]</vt:lpwstr>
  </property>
  <property fmtid="{D5CDD505-2E9C-101B-9397-08002B2CF9AE}" pid="12" name="Correspondent Job Title">
    <vt:lpwstr>[Correspondent Job Title]</vt:lpwstr>
  </property>
  <property fmtid="{D5CDD505-2E9C-101B-9397-08002B2CF9AE}" pid="13" name="Correspondent Country">
    <vt:lpwstr>[Correspondent Country]</vt:lpwstr>
  </property>
  <property fmtid="{D5CDD505-2E9C-101B-9397-08002B2CF9AE}" pid="14" name="Correspondent City">
    <vt:lpwstr>[Correspondent City]</vt:lpwstr>
  </property>
  <property fmtid="{D5CDD505-2E9C-101B-9397-08002B2CF9AE}" pid="15" name="Correspondence Subject">
    <vt:lpwstr>[Subject]</vt:lpwstr>
  </property>
  <property fmtid="{D5CDD505-2E9C-101B-9397-08002B2CF9AE}" pid="16" name="Deadline Month Year">
    <vt:lpwstr>[Deadline Month Year]</vt:lpwstr>
  </property>
</Properties>
</file>